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9781AC" w14:textId="7C6F802A" w:rsidR="00F75F58" w:rsidRPr="0019705E" w:rsidRDefault="00F75F58" w:rsidP="00F75F58">
      <w:pPr>
        <w:spacing w:after="0" w:line="240" w:lineRule="auto"/>
        <w:ind w:right="480"/>
        <w:rPr>
          <w:rFonts w:asciiTheme="minorHAnsi" w:hAnsiTheme="minorHAnsi"/>
          <w:b/>
          <w:color w:val="FFFFFF" w:themeColor="background1"/>
          <w:sz w:val="32"/>
          <w:szCs w:val="32"/>
        </w:rPr>
      </w:pPr>
    </w:p>
    <w:p w14:paraId="74568437" w14:textId="6CC5FE16" w:rsidR="0028306B" w:rsidRPr="0019705E" w:rsidRDefault="0028306B" w:rsidP="008F78E0">
      <w:pPr>
        <w:spacing w:after="0" w:line="240" w:lineRule="auto"/>
        <w:ind w:right="480"/>
        <w:rPr>
          <w:rFonts w:asciiTheme="minorHAnsi" w:hAnsiTheme="minorHAnsi"/>
          <w:b/>
          <w:color w:val="FFFFFF" w:themeColor="background1"/>
          <w:sz w:val="32"/>
          <w:szCs w:val="32"/>
        </w:rPr>
      </w:pPr>
    </w:p>
    <w:p w14:paraId="2BB0A3CA" w14:textId="2DDB400B" w:rsidR="00E77AE9" w:rsidRPr="0019705E" w:rsidRDefault="00E77AE9" w:rsidP="008F78E0">
      <w:pPr>
        <w:pStyle w:val="FrontCoverText"/>
        <w:ind w:right="480"/>
        <w:rPr>
          <w:rFonts w:asciiTheme="minorHAnsi" w:hAnsiTheme="minorHAnsi"/>
        </w:rPr>
        <w:sectPr w:rsidR="00E77AE9" w:rsidRPr="0019705E" w:rsidSect="009E5D28">
          <w:footerReference w:type="first" r:id="rId11"/>
          <w:type w:val="continuous"/>
          <w:pgSz w:w="11906" w:h="16838" w:code="9"/>
          <w:pgMar w:top="1440" w:right="1440" w:bottom="1440" w:left="1440" w:header="851" w:footer="1571" w:gutter="0"/>
          <w:cols w:space="708"/>
          <w:docGrid w:linePitch="360"/>
        </w:sectPr>
      </w:pPr>
    </w:p>
    <w:p w14:paraId="7E67252E" w14:textId="2F4FCD3A" w:rsidR="009C62A0" w:rsidRPr="00894701" w:rsidRDefault="00446BD0" w:rsidP="009C62A0">
      <w:pPr>
        <w:spacing w:after="0" w:line="240" w:lineRule="auto"/>
        <w:ind w:right="480"/>
        <w:rPr>
          <w:rFonts w:asciiTheme="majorHAnsi" w:hAnsiTheme="majorHAnsi"/>
          <w:b/>
          <w:color w:val="FFFFFF" w:themeColor="background1"/>
          <w:sz w:val="32"/>
          <w:szCs w:val="32"/>
        </w:rPr>
      </w:pPr>
      <w:r w:rsidRPr="00894701">
        <w:rPr>
          <w:rFonts w:asciiTheme="minorHAnsi" w:hAnsiTheme="minorHAnsi"/>
          <w:noProof/>
          <w:lang w:val="en-US" w:eastAsia="en-US"/>
        </w:rPr>
        <w:drawing>
          <wp:anchor distT="0" distB="0" distL="114300" distR="114300" simplePos="0" relativeHeight="251658240" behindDoc="0" locked="0" layoutInCell="1" allowOverlap="1" wp14:anchorId="03D6A92A" wp14:editId="6B68D083">
            <wp:simplePos x="0" y="0"/>
            <wp:positionH relativeFrom="page">
              <wp:posOffset>0</wp:posOffset>
            </wp:positionH>
            <wp:positionV relativeFrom="page">
              <wp:posOffset>-7193280</wp:posOffset>
            </wp:positionV>
            <wp:extent cx="7562850" cy="452120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7562850" cy="4521200"/>
                    </a:xfrm>
                    <a:prstGeom prst="rect">
                      <a:avLst/>
                    </a:prstGeom>
                    <a:noFill/>
                  </pic:spPr>
                </pic:pic>
              </a:graphicData>
            </a:graphic>
          </wp:anchor>
        </w:drawing>
      </w:r>
    </w:p>
    <w:p w14:paraId="560A60C7" w14:textId="77777777" w:rsidR="009C62A0" w:rsidRPr="00894701" w:rsidRDefault="009C62A0" w:rsidP="009C62A0">
      <w:pPr>
        <w:spacing w:after="0" w:line="240" w:lineRule="auto"/>
        <w:ind w:right="480"/>
        <w:rPr>
          <w:rFonts w:asciiTheme="majorHAnsi" w:hAnsiTheme="majorHAnsi"/>
          <w:b/>
          <w:color w:val="FFFFFF" w:themeColor="background1"/>
          <w:sz w:val="32"/>
          <w:szCs w:val="32"/>
        </w:rPr>
      </w:pPr>
    </w:p>
    <w:p w14:paraId="672F90ED" w14:textId="77777777" w:rsidR="009C62A0" w:rsidRPr="00894701" w:rsidRDefault="009C62A0" w:rsidP="009C62A0">
      <w:pPr>
        <w:spacing w:after="0" w:line="240" w:lineRule="auto"/>
        <w:ind w:right="480"/>
        <w:rPr>
          <w:rFonts w:asciiTheme="majorHAnsi" w:hAnsiTheme="majorHAnsi"/>
          <w:b/>
          <w:color w:val="FFFFFF" w:themeColor="background1"/>
          <w:sz w:val="32"/>
          <w:szCs w:val="32"/>
        </w:rPr>
      </w:pPr>
    </w:p>
    <w:p w14:paraId="26D7BDC0" w14:textId="77777777" w:rsidR="009C62A0" w:rsidRPr="00894701" w:rsidRDefault="009C62A0" w:rsidP="009C62A0">
      <w:pPr>
        <w:spacing w:after="0" w:line="240" w:lineRule="auto"/>
        <w:ind w:right="480"/>
        <w:rPr>
          <w:rFonts w:asciiTheme="majorHAnsi" w:hAnsiTheme="majorHAnsi"/>
          <w:b/>
          <w:color w:val="FFFFFF" w:themeColor="background1"/>
          <w:sz w:val="32"/>
          <w:szCs w:val="32"/>
        </w:rPr>
      </w:pPr>
    </w:p>
    <w:p w14:paraId="3D972692" w14:textId="77777777" w:rsidR="009C62A0" w:rsidRPr="00894701" w:rsidRDefault="009C62A0" w:rsidP="009C62A0">
      <w:pPr>
        <w:spacing w:after="0" w:line="240" w:lineRule="auto"/>
        <w:ind w:right="480"/>
        <w:rPr>
          <w:rFonts w:asciiTheme="majorHAnsi" w:hAnsiTheme="majorHAnsi"/>
          <w:b/>
          <w:color w:val="FFFFFF" w:themeColor="background1"/>
          <w:sz w:val="32"/>
          <w:szCs w:val="32"/>
        </w:rPr>
      </w:pPr>
    </w:p>
    <w:p w14:paraId="6AAF953D" w14:textId="10E04F20" w:rsidR="009C62A0" w:rsidRPr="00894701" w:rsidRDefault="009C62A0" w:rsidP="009C62A0">
      <w:pPr>
        <w:pStyle w:val="DocTitle"/>
        <w:ind w:right="480"/>
        <w:rPr>
          <w:rFonts w:asciiTheme="majorHAnsi" w:hAnsiTheme="majorHAnsi"/>
        </w:rPr>
      </w:pPr>
      <w:r w:rsidRPr="00894701">
        <w:rPr>
          <w:rFonts w:asciiTheme="majorHAnsi" w:hAnsiTheme="majorHAnsi"/>
        </w:rPr>
        <w:t>EXTRACTIVE INDUSTRIES TRANSPA</w:t>
      </w:r>
      <w:r w:rsidR="001E79AF">
        <w:rPr>
          <w:rFonts w:asciiTheme="majorHAnsi" w:hAnsiTheme="majorHAnsi"/>
        </w:rPr>
        <w:t>RENCY INITIATIVE SURINAME (EITI</w:t>
      </w:r>
      <w:bookmarkStart w:id="0" w:name="_GoBack"/>
      <w:bookmarkEnd w:id="0"/>
      <w:r w:rsidRPr="00894701">
        <w:rPr>
          <w:rFonts w:asciiTheme="majorHAnsi" w:hAnsiTheme="majorHAnsi"/>
        </w:rPr>
        <w:t>SR)</w:t>
      </w:r>
    </w:p>
    <w:p w14:paraId="6CFD3C12" w14:textId="77777777" w:rsidR="009C62A0" w:rsidRPr="00894701" w:rsidRDefault="009C62A0" w:rsidP="009C62A0">
      <w:pPr>
        <w:pStyle w:val="DocTitle"/>
        <w:ind w:right="480"/>
        <w:rPr>
          <w:rFonts w:asciiTheme="majorHAnsi" w:hAnsiTheme="majorHAnsi"/>
          <w:b w:val="0"/>
          <w:sz w:val="32"/>
          <w:szCs w:val="32"/>
        </w:rPr>
      </w:pPr>
    </w:p>
    <w:p w14:paraId="49F6627E" w14:textId="77777777" w:rsidR="009C62A0" w:rsidRPr="00894701" w:rsidRDefault="009C62A0" w:rsidP="009C62A0">
      <w:pPr>
        <w:pStyle w:val="FrontCoverSubheading"/>
        <w:ind w:right="480"/>
        <w:rPr>
          <w:rFonts w:asciiTheme="majorHAnsi" w:hAnsiTheme="majorHAnsi"/>
        </w:rPr>
      </w:pPr>
    </w:p>
    <w:p w14:paraId="0C2D619B" w14:textId="2C5B4BE1" w:rsidR="009C62A0" w:rsidRPr="00894701" w:rsidRDefault="001E79AF" w:rsidP="009C62A0">
      <w:pPr>
        <w:pStyle w:val="FrontCoverText"/>
        <w:ind w:right="480"/>
        <w:rPr>
          <w:rFonts w:asciiTheme="majorHAnsi" w:hAnsiTheme="majorHAnsi"/>
          <w:sz w:val="32"/>
          <w:szCs w:val="32"/>
        </w:rPr>
      </w:pPr>
      <w:r>
        <w:rPr>
          <w:rFonts w:asciiTheme="majorHAnsi" w:hAnsiTheme="majorHAnsi"/>
          <w:sz w:val="32"/>
          <w:szCs w:val="32"/>
        </w:rPr>
        <w:t>AMENDED EITI</w:t>
      </w:r>
      <w:r w:rsidR="009C62A0" w:rsidRPr="00894701">
        <w:rPr>
          <w:rFonts w:asciiTheme="majorHAnsi" w:hAnsiTheme="majorHAnsi"/>
          <w:sz w:val="32"/>
          <w:szCs w:val="32"/>
        </w:rPr>
        <w:t xml:space="preserve">SR Report </w:t>
      </w:r>
    </w:p>
    <w:p w14:paraId="44062504" w14:textId="047507B7" w:rsidR="009C62A0" w:rsidRPr="00894701" w:rsidRDefault="009C62A0" w:rsidP="009C62A0">
      <w:pPr>
        <w:pStyle w:val="FrontCoverText"/>
        <w:ind w:right="480"/>
        <w:rPr>
          <w:rFonts w:asciiTheme="majorHAnsi" w:hAnsiTheme="majorHAnsi"/>
          <w:sz w:val="32"/>
          <w:szCs w:val="32"/>
        </w:rPr>
      </w:pPr>
      <w:r w:rsidRPr="00894701">
        <w:rPr>
          <w:rFonts w:asciiTheme="majorHAnsi" w:hAnsiTheme="majorHAnsi"/>
          <w:sz w:val="32"/>
          <w:szCs w:val="32"/>
        </w:rPr>
        <w:t xml:space="preserve">for Fiscal Years 2018, 2019 and 2020 </w:t>
      </w:r>
    </w:p>
    <w:p w14:paraId="3AC6DCA6" w14:textId="77777777" w:rsidR="009C62A0" w:rsidRPr="00894701" w:rsidRDefault="009C62A0" w:rsidP="009C62A0">
      <w:pPr>
        <w:pStyle w:val="FrontCoverText"/>
        <w:ind w:right="480"/>
        <w:rPr>
          <w:rFonts w:asciiTheme="majorHAnsi" w:hAnsiTheme="majorHAnsi"/>
          <w:sz w:val="32"/>
          <w:szCs w:val="32"/>
        </w:rPr>
      </w:pPr>
    </w:p>
    <w:p w14:paraId="7A0BB01B" w14:textId="77777777" w:rsidR="009C62A0" w:rsidRPr="00894701" w:rsidRDefault="009C62A0" w:rsidP="009C62A0">
      <w:pPr>
        <w:pStyle w:val="FrontCoverText"/>
        <w:ind w:right="480"/>
        <w:rPr>
          <w:rFonts w:asciiTheme="majorHAnsi" w:hAnsiTheme="majorHAnsi"/>
          <w:sz w:val="32"/>
          <w:szCs w:val="32"/>
        </w:rPr>
      </w:pPr>
    </w:p>
    <w:p w14:paraId="2D6FF9EA" w14:textId="5A69F9D3" w:rsidR="009C62A0" w:rsidRPr="00894701" w:rsidRDefault="00125D46" w:rsidP="009C62A0">
      <w:pPr>
        <w:pStyle w:val="FrontCoverText"/>
        <w:ind w:right="480"/>
        <w:rPr>
          <w:rFonts w:asciiTheme="majorHAnsi" w:hAnsiTheme="majorHAnsi"/>
        </w:rPr>
      </w:pPr>
      <w:r>
        <w:rPr>
          <w:caps/>
          <w:sz w:val="28"/>
          <w:szCs w:val="28"/>
        </w:rPr>
        <w:t>SEPTEMBER</w:t>
      </w:r>
      <w:r w:rsidRPr="00894701">
        <w:rPr>
          <w:caps/>
          <w:sz w:val="28"/>
          <w:szCs w:val="28"/>
        </w:rPr>
        <w:t xml:space="preserve"> </w:t>
      </w:r>
      <w:r w:rsidR="009C62A0" w:rsidRPr="00894701">
        <w:rPr>
          <w:caps/>
          <w:sz w:val="28"/>
          <w:szCs w:val="28"/>
        </w:rPr>
        <w:t>202</w:t>
      </w:r>
      <w:r w:rsidR="00DD0C73">
        <w:rPr>
          <w:caps/>
          <w:sz w:val="28"/>
          <w:szCs w:val="28"/>
        </w:rPr>
        <w:t>3</w:t>
      </w:r>
      <w:r w:rsidR="009C62A0" w:rsidRPr="00894701">
        <w:rPr>
          <w:caps/>
          <w:sz w:val="28"/>
          <w:szCs w:val="28"/>
        </w:rPr>
        <w:t xml:space="preserve"> </w:t>
      </w:r>
    </w:p>
    <w:p w14:paraId="3BD35475" w14:textId="77777777" w:rsidR="009C62A0" w:rsidRPr="00894701" w:rsidRDefault="009C62A0" w:rsidP="009C62A0">
      <w:pPr>
        <w:pStyle w:val="FrontCoverText"/>
        <w:ind w:right="480"/>
        <w:rPr>
          <w:rFonts w:asciiTheme="majorHAnsi" w:hAnsiTheme="majorHAnsi"/>
        </w:rPr>
        <w:sectPr w:rsidR="009C62A0" w:rsidRPr="00894701" w:rsidSect="009E5D28">
          <w:footerReference w:type="default" r:id="rId13"/>
          <w:footerReference w:type="first" r:id="rId14"/>
          <w:type w:val="continuous"/>
          <w:pgSz w:w="11906" w:h="16838" w:code="9"/>
          <w:pgMar w:top="1440" w:right="1440" w:bottom="1440" w:left="1440" w:header="851" w:footer="1571" w:gutter="0"/>
          <w:cols w:space="708"/>
          <w:docGrid w:linePitch="360"/>
        </w:sectPr>
      </w:pPr>
      <w:r w:rsidRPr="00894701">
        <w:rPr>
          <w:rFonts w:eastAsia="Trebuchet MS"/>
          <w:noProof/>
          <w:color w:val="404040"/>
          <w:sz w:val="18"/>
          <w:szCs w:val="18"/>
          <w:lang w:val="en-US" w:eastAsia="en-US"/>
        </w:rPr>
        <mc:AlternateContent>
          <mc:Choice Requires="wpg">
            <w:drawing>
              <wp:anchor distT="0" distB="0" distL="114300" distR="114300" simplePos="0" relativeHeight="251658244" behindDoc="1" locked="1" layoutInCell="1" allowOverlap="1" wp14:anchorId="69E7C9B9" wp14:editId="7C32BB55">
                <wp:simplePos x="0" y="0"/>
                <wp:positionH relativeFrom="margin">
                  <wp:posOffset>-517525</wp:posOffset>
                </wp:positionH>
                <wp:positionV relativeFrom="margin">
                  <wp:posOffset>-600075</wp:posOffset>
                </wp:positionV>
                <wp:extent cx="6839585" cy="9971405"/>
                <wp:effectExtent l="0" t="0" r="18415" b="10795"/>
                <wp:wrapNone/>
                <wp:docPr id="107666" name="Group 107666"/>
                <wp:cNvGraphicFramePr/>
                <a:graphic xmlns:a="http://schemas.openxmlformats.org/drawingml/2006/main">
                  <a:graphicData uri="http://schemas.microsoft.com/office/word/2010/wordprocessingGroup">
                    <wpg:wgp>
                      <wpg:cNvGrpSpPr/>
                      <wpg:grpSpPr>
                        <a:xfrm>
                          <a:off x="0" y="0"/>
                          <a:ext cx="6839585" cy="9971405"/>
                          <a:chOff x="0" y="0"/>
                          <a:chExt cx="6840000" cy="9972000"/>
                        </a:xfrm>
                      </wpg:grpSpPr>
                      <wps:wsp>
                        <wps:cNvPr id="107671" name="Rectangle 107671"/>
                        <wps:cNvSpPr/>
                        <wps:spPr>
                          <a:xfrm>
                            <a:off x="0" y="0"/>
                            <a:ext cx="6840000" cy="9972000"/>
                          </a:xfrm>
                          <a:prstGeom prst="rect">
                            <a:avLst/>
                          </a:prstGeom>
                          <a:solidFill>
                            <a:srgbClr val="98002E"/>
                          </a:solidFill>
                          <a:ln w="12700" cap="flat" cmpd="sng" algn="ctr">
                            <a:solidFill>
                              <a:srgbClr val="40404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7672" name="Group 107672"/>
                        <wpg:cNvGrpSpPr/>
                        <wpg:grpSpPr>
                          <a:xfrm>
                            <a:off x="1150883" y="0"/>
                            <a:ext cx="161925" cy="9971405"/>
                            <a:chOff x="0" y="-1898727"/>
                            <a:chExt cx="161925" cy="9974706"/>
                          </a:xfrm>
                          <a:solidFill>
                            <a:srgbClr val="ED1A3B"/>
                          </a:solidFill>
                        </wpg:grpSpPr>
                        <wps:wsp>
                          <wps:cNvPr id="107673" name="Freeform 23"/>
                          <wps:cNvSpPr>
                            <a:spLocks noChangeAspect="1"/>
                          </wps:cNvSpPr>
                          <wps:spPr bwMode="gray">
                            <a:xfrm>
                              <a:off x="0" y="-1898727"/>
                              <a:ext cx="161925" cy="898525"/>
                            </a:xfrm>
                            <a:custGeom>
                              <a:avLst/>
                              <a:gdLst/>
                              <a:ahLst/>
                              <a:cxnLst>
                                <a:cxn ang="0">
                                  <a:pos x="120" y="581"/>
                                </a:cxn>
                                <a:cxn ang="0">
                                  <a:pos x="120" y="0"/>
                                </a:cxn>
                                <a:cxn ang="0">
                                  <a:pos x="0" y="0"/>
                                </a:cxn>
                                <a:cxn ang="0">
                                  <a:pos x="0" y="666"/>
                                </a:cxn>
                                <a:cxn ang="0">
                                  <a:pos x="120" y="581"/>
                                </a:cxn>
                              </a:cxnLst>
                              <a:rect l="0" t="0" r="r" b="b"/>
                              <a:pathLst>
                                <a:path w="120" h="666">
                                  <a:moveTo>
                                    <a:pt x="120" y="581"/>
                                  </a:moveTo>
                                  <a:lnTo>
                                    <a:pt x="120" y="0"/>
                                  </a:lnTo>
                                  <a:lnTo>
                                    <a:pt x="0" y="0"/>
                                  </a:lnTo>
                                  <a:lnTo>
                                    <a:pt x="0" y="666"/>
                                  </a:lnTo>
                                  <a:lnTo>
                                    <a:pt x="120" y="581"/>
                                  </a:lnTo>
                                  <a:close/>
                                </a:path>
                              </a:pathLst>
                            </a:custGeom>
                            <a:grpFill/>
                            <a:ln w="9525">
                              <a:noFill/>
                              <a:round/>
                              <a:headEnd/>
                              <a:tailEnd/>
                            </a:ln>
                          </wps:spPr>
                          <wps:txbx>
                            <w:txbxContent>
                              <w:p w14:paraId="3F1E7DFA" w14:textId="77777777" w:rsidR="001B4837" w:rsidRDefault="001B4837" w:rsidP="009C62A0"/>
                            </w:txbxContent>
                          </wps:txbx>
                          <wps:bodyPr/>
                        </wps:wsp>
                        <wps:wsp>
                          <wps:cNvPr id="107674" name="Freeform 23"/>
                          <wps:cNvSpPr>
                            <a:spLocks noChangeAspect="1"/>
                          </wps:cNvSpPr>
                          <wps:spPr bwMode="gray">
                            <a:xfrm>
                              <a:off x="0" y="-1430891"/>
                              <a:ext cx="161925" cy="898525"/>
                            </a:xfrm>
                            <a:custGeom>
                              <a:avLst/>
                              <a:gdLst/>
                              <a:ahLst/>
                              <a:cxnLst>
                                <a:cxn ang="0">
                                  <a:pos x="120" y="581"/>
                                </a:cxn>
                                <a:cxn ang="0">
                                  <a:pos x="120" y="0"/>
                                </a:cxn>
                                <a:cxn ang="0">
                                  <a:pos x="0" y="0"/>
                                </a:cxn>
                                <a:cxn ang="0">
                                  <a:pos x="0" y="666"/>
                                </a:cxn>
                                <a:cxn ang="0">
                                  <a:pos x="120" y="581"/>
                                </a:cxn>
                              </a:cxnLst>
                              <a:rect l="0" t="0" r="r" b="b"/>
                              <a:pathLst>
                                <a:path w="120" h="666">
                                  <a:moveTo>
                                    <a:pt x="120" y="581"/>
                                  </a:moveTo>
                                  <a:lnTo>
                                    <a:pt x="120" y="0"/>
                                  </a:lnTo>
                                  <a:lnTo>
                                    <a:pt x="0" y="0"/>
                                  </a:lnTo>
                                  <a:lnTo>
                                    <a:pt x="0" y="666"/>
                                  </a:lnTo>
                                  <a:lnTo>
                                    <a:pt x="120" y="581"/>
                                  </a:lnTo>
                                  <a:close/>
                                </a:path>
                              </a:pathLst>
                            </a:custGeom>
                            <a:grpFill/>
                            <a:ln w="9525">
                              <a:noFill/>
                              <a:round/>
                              <a:headEnd/>
                              <a:tailEnd/>
                            </a:ln>
                          </wps:spPr>
                          <wps:txbx>
                            <w:txbxContent>
                              <w:p w14:paraId="49668FFB" w14:textId="77777777" w:rsidR="001B4837" w:rsidRDefault="001B4837" w:rsidP="009C62A0"/>
                            </w:txbxContent>
                          </wps:txbx>
                          <wps:bodyPr/>
                        </wps:wsp>
                        <wps:wsp>
                          <wps:cNvPr id="107676" name="Freeform 23"/>
                          <wps:cNvSpPr>
                            <a:spLocks noChangeAspect="1"/>
                          </wps:cNvSpPr>
                          <wps:spPr bwMode="gray">
                            <a:xfrm>
                              <a:off x="0" y="-1153459"/>
                              <a:ext cx="161925" cy="898525"/>
                            </a:xfrm>
                            <a:custGeom>
                              <a:avLst/>
                              <a:gdLst/>
                              <a:ahLst/>
                              <a:cxnLst>
                                <a:cxn ang="0">
                                  <a:pos x="120" y="581"/>
                                </a:cxn>
                                <a:cxn ang="0">
                                  <a:pos x="120" y="0"/>
                                </a:cxn>
                                <a:cxn ang="0">
                                  <a:pos x="0" y="0"/>
                                </a:cxn>
                                <a:cxn ang="0">
                                  <a:pos x="0" y="666"/>
                                </a:cxn>
                                <a:cxn ang="0">
                                  <a:pos x="120" y="581"/>
                                </a:cxn>
                              </a:cxnLst>
                              <a:rect l="0" t="0" r="r" b="b"/>
                              <a:pathLst>
                                <a:path w="120" h="666">
                                  <a:moveTo>
                                    <a:pt x="120" y="581"/>
                                  </a:moveTo>
                                  <a:lnTo>
                                    <a:pt x="120" y="0"/>
                                  </a:lnTo>
                                  <a:lnTo>
                                    <a:pt x="0" y="0"/>
                                  </a:lnTo>
                                  <a:lnTo>
                                    <a:pt x="0" y="666"/>
                                  </a:lnTo>
                                  <a:lnTo>
                                    <a:pt x="120" y="581"/>
                                  </a:lnTo>
                                  <a:close/>
                                </a:path>
                              </a:pathLst>
                            </a:custGeom>
                            <a:grpFill/>
                            <a:ln w="9525">
                              <a:noFill/>
                              <a:round/>
                              <a:headEnd/>
                              <a:tailEnd/>
                            </a:ln>
                          </wps:spPr>
                          <wps:txbx>
                            <w:txbxContent>
                              <w:p w14:paraId="01E753B9" w14:textId="77777777" w:rsidR="001B4837" w:rsidRDefault="001B4837" w:rsidP="009C62A0"/>
                            </w:txbxContent>
                          </wps:txbx>
                          <wps:bodyPr/>
                        </wps:wsp>
                        <wps:wsp>
                          <wps:cNvPr id="107691" name="Freeform 23"/>
                          <wps:cNvSpPr>
                            <a:spLocks noChangeAspect="1"/>
                          </wps:cNvSpPr>
                          <wps:spPr bwMode="gray">
                            <a:xfrm>
                              <a:off x="0" y="-1134459"/>
                              <a:ext cx="161925" cy="898525"/>
                            </a:xfrm>
                            <a:custGeom>
                              <a:avLst/>
                              <a:gdLst/>
                              <a:ahLst/>
                              <a:cxnLst>
                                <a:cxn ang="0">
                                  <a:pos x="120" y="581"/>
                                </a:cxn>
                                <a:cxn ang="0">
                                  <a:pos x="120" y="0"/>
                                </a:cxn>
                                <a:cxn ang="0">
                                  <a:pos x="0" y="0"/>
                                </a:cxn>
                                <a:cxn ang="0">
                                  <a:pos x="0" y="666"/>
                                </a:cxn>
                                <a:cxn ang="0">
                                  <a:pos x="120" y="581"/>
                                </a:cxn>
                              </a:cxnLst>
                              <a:rect l="0" t="0" r="r" b="b"/>
                              <a:pathLst>
                                <a:path w="120" h="666">
                                  <a:moveTo>
                                    <a:pt x="120" y="581"/>
                                  </a:moveTo>
                                  <a:lnTo>
                                    <a:pt x="120" y="0"/>
                                  </a:lnTo>
                                  <a:lnTo>
                                    <a:pt x="0" y="0"/>
                                  </a:lnTo>
                                  <a:lnTo>
                                    <a:pt x="0" y="666"/>
                                  </a:lnTo>
                                  <a:lnTo>
                                    <a:pt x="120" y="581"/>
                                  </a:lnTo>
                                  <a:close/>
                                </a:path>
                              </a:pathLst>
                            </a:custGeom>
                            <a:grpFill/>
                            <a:ln w="9525">
                              <a:noFill/>
                              <a:round/>
                              <a:headEnd/>
                              <a:tailEnd/>
                            </a:ln>
                          </wps:spPr>
                          <wps:txbx>
                            <w:txbxContent>
                              <w:p w14:paraId="29C314E9" w14:textId="77777777" w:rsidR="001B4837" w:rsidRDefault="001B4837" w:rsidP="009C62A0"/>
                            </w:txbxContent>
                          </wps:txbx>
                          <wps:bodyPr/>
                        </wps:wsp>
                        <wps:wsp>
                          <wps:cNvPr id="107692" name="Freeform 22"/>
                          <wps:cNvSpPr>
                            <a:spLocks noChangeAspect="1"/>
                          </wps:cNvSpPr>
                          <wps:spPr bwMode="gray">
                            <a:xfrm>
                              <a:off x="0" y="6248767"/>
                              <a:ext cx="161925" cy="1827212"/>
                            </a:xfrm>
                            <a:custGeom>
                              <a:avLst/>
                              <a:gdLst/>
                              <a:ahLst/>
                              <a:cxnLst>
                                <a:cxn ang="0">
                                  <a:pos x="120" y="0"/>
                                </a:cxn>
                                <a:cxn ang="0">
                                  <a:pos x="120" y="1354"/>
                                </a:cxn>
                                <a:cxn ang="0">
                                  <a:pos x="0" y="1354"/>
                                </a:cxn>
                                <a:cxn ang="0">
                                  <a:pos x="0" y="85"/>
                                </a:cxn>
                                <a:cxn ang="0">
                                  <a:pos x="120" y="0"/>
                                </a:cxn>
                              </a:cxnLst>
                              <a:rect l="0" t="0" r="r" b="b"/>
                              <a:pathLst>
                                <a:path w="120" h="1354">
                                  <a:moveTo>
                                    <a:pt x="120" y="0"/>
                                  </a:moveTo>
                                  <a:lnTo>
                                    <a:pt x="120" y="1354"/>
                                  </a:lnTo>
                                  <a:lnTo>
                                    <a:pt x="0" y="1354"/>
                                  </a:lnTo>
                                  <a:lnTo>
                                    <a:pt x="0" y="85"/>
                                  </a:lnTo>
                                  <a:lnTo>
                                    <a:pt x="120" y="0"/>
                                  </a:lnTo>
                                  <a:close/>
                                </a:path>
                              </a:pathLst>
                            </a:custGeom>
                            <a:grpFill/>
                            <a:ln w="9525">
                              <a:noFill/>
                              <a:round/>
                              <a:headEnd/>
                              <a:tailEnd/>
                            </a:ln>
                          </wps:spPr>
                          <wps:txbx>
                            <w:txbxContent>
                              <w:p w14:paraId="4AEB57F9" w14:textId="77777777" w:rsidR="001B4837" w:rsidRDefault="001B4837" w:rsidP="009C62A0"/>
                            </w:txbxContent>
                          </wps:txbx>
                          <wps:bodyPr/>
                        </wps:wsp>
                        <wps:wsp>
                          <wps:cNvPr id="107693" name="Freeform 22"/>
                          <wps:cNvSpPr>
                            <a:spLocks noChangeAspect="1"/>
                          </wps:cNvSpPr>
                          <wps:spPr bwMode="gray">
                            <a:xfrm>
                              <a:off x="0" y="5327202"/>
                              <a:ext cx="161925" cy="1827212"/>
                            </a:xfrm>
                            <a:custGeom>
                              <a:avLst/>
                              <a:gdLst/>
                              <a:ahLst/>
                              <a:cxnLst>
                                <a:cxn ang="0">
                                  <a:pos x="120" y="0"/>
                                </a:cxn>
                                <a:cxn ang="0">
                                  <a:pos x="120" y="1354"/>
                                </a:cxn>
                                <a:cxn ang="0">
                                  <a:pos x="0" y="1354"/>
                                </a:cxn>
                                <a:cxn ang="0">
                                  <a:pos x="0" y="85"/>
                                </a:cxn>
                                <a:cxn ang="0">
                                  <a:pos x="120" y="0"/>
                                </a:cxn>
                              </a:cxnLst>
                              <a:rect l="0" t="0" r="r" b="b"/>
                              <a:pathLst>
                                <a:path w="120" h="1354">
                                  <a:moveTo>
                                    <a:pt x="120" y="0"/>
                                  </a:moveTo>
                                  <a:lnTo>
                                    <a:pt x="120" y="1354"/>
                                  </a:lnTo>
                                  <a:lnTo>
                                    <a:pt x="0" y="1354"/>
                                  </a:lnTo>
                                  <a:lnTo>
                                    <a:pt x="0" y="85"/>
                                  </a:lnTo>
                                  <a:lnTo>
                                    <a:pt x="120" y="0"/>
                                  </a:lnTo>
                                  <a:close/>
                                </a:path>
                              </a:pathLst>
                            </a:custGeom>
                            <a:grpFill/>
                            <a:ln w="9525">
                              <a:noFill/>
                              <a:round/>
                              <a:headEnd/>
                              <a:tailEnd/>
                            </a:ln>
                          </wps:spPr>
                          <wps:txbx>
                            <w:txbxContent>
                              <w:p w14:paraId="6B085556" w14:textId="77777777" w:rsidR="001B4837" w:rsidRDefault="001B4837" w:rsidP="009C62A0"/>
                            </w:txbxContent>
                          </wps:txbx>
                          <wps:bodyPr/>
                        </wps:wsp>
                      </wpg:grpSp>
                      <pic:pic xmlns:pic="http://schemas.openxmlformats.org/drawingml/2006/picture">
                        <pic:nvPicPr>
                          <pic:cNvPr id="107694" name="Picture 107694"/>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468414" y="9348952"/>
                            <a:ext cx="3114040" cy="395605"/>
                          </a:xfrm>
                          <a:prstGeom prst="rect">
                            <a:avLst/>
                          </a:prstGeom>
                          <a:noFill/>
                          <a:ln>
                            <a:noFill/>
                          </a:ln>
                        </pic:spPr>
                      </pic:pic>
                      <wps:wsp>
                        <wps:cNvPr id="107695" name="Rectangle 107695"/>
                        <wps:cNvSpPr/>
                        <wps:spPr>
                          <a:xfrm>
                            <a:off x="0" y="0"/>
                            <a:ext cx="6840000" cy="9972000"/>
                          </a:xfrm>
                          <a:prstGeom prst="rect">
                            <a:avLst/>
                          </a:prstGeom>
                          <a:noFill/>
                          <a:ln w="12700" cap="flat" cmpd="sng" algn="ctr">
                            <a:solidFill>
                              <a:srgbClr val="40404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E7C9B9" id="Group 107666" o:spid="_x0000_s1026" style="position:absolute;margin-left:-40.75pt;margin-top:-47.25pt;width:538.55pt;height:785.15pt;z-index:-251658236;mso-position-horizontal-relative:margin;mso-position-vertical-relative:margin;mso-width-relative:margin;mso-height-relative:margin" coordsize="68400,99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">
                <v:rect id="Rectangle 107671" o:spid="_x0000_s1027" style="position:absolute;width:68400;height:99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" fillcolor="#98002e" strokecolor="#404040" strokeweight="1pt"/>
                <v:group id="Group 107672" o:spid="_x0000_s1028" style="position:absolute;left:11508;width:1620;height:99714" coordorigin=",-18987" coordsize="1619,99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">
                  <v:shape id="Freeform 23" o:spid="_x0000_s1029" style="position:absolute;top:-18987;width:1619;height:8985;visibility:visible;mso-wrap-style:square;v-text-anchor:top" coordsize="120,666"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" adj="-11796480,,5400" path="m120,581l120,,,,,666,120,581xe" filled="f" stroked="f">
                    <v:stroke joinstyle="round"/>
                    <v:formulas/>
                    <v:path arrowok="t" o:connecttype="custom" o:connectlocs="120,581;120,0;0,0;0,666;120,581" o:connectangles="0,0,0,0,0" textboxrect="0,0,120,666"/>
                    <o:lock v:ext="edit" aspectratio="t"/>
                    <v:textbox>
                      <w:txbxContent>
                        <w:p w14:paraId="3F1E7DFA" w14:textId="77777777" w:rsidR="001B4837" w:rsidRDefault="001B4837" w:rsidP="009C62A0"/>
                      </w:txbxContent>
                    </v:textbox>
                  </v:shape>
                  <v:shape id="Freeform 23" o:spid="_x0000_s1030" style="position:absolute;top:-14308;width:1619;height:8985;visibility:visible;mso-wrap-style:square;v-text-anchor:top" coordsize="120,666"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" adj="-11796480,,5400" path="m120,581l120,,,,,666,120,581xe" filled="f" stroked="f">
                    <v:stroke joinstyle="round"/>
                    <v:formulas/>
                    <v:path arrowok="t" o:connecttype="custom" o:connectlocs="120,581;120,0;0,0;0,666;120,581" o:connectangles="0,0,0,0,0" textboxrect="0,0,120,666"/>
                    <o:lock v:ext="edit" aspectratio="t"/>
                    <v:textbox>
                      <w:txbxContent>
                        <w:p w14:paraId="49668FFB" w14:textId="77777777" w:rsidR="001B4837" w:rsidRDefault="001B4837" w:rsidP="009C62A0"/>
                      </w:txbxContent>
                    </v:textbox>
                  </v:shape>
                  <v:shape id="Freeform 23" o:spid="_x0000_s1031" style="position:absolute;top:-11534;width:1619;height:8985;visibility:visible;mso-wrap-style:square;v-text-anchor:top" coordsize="120,666"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" adj="-11796480,,5400" path="m120,581l120,,,,,666,120,581xe" filled="f" stroked="f">
                    <v:stroke joinstyle="round"/>
                    <v:formulas/>
                    <v:path arrowok="t" o:connecttype="custom" o:connectlocs="120,581;120,0;0,0;0,666;120,581" o:connectangles="0,0,0,0,0" textboxrect="0,0,120,666"/>
                    <o:lock v:ext="edit" aspectratio="t"/>
                    <v:textbox>
                      <w:txbxContent>
                        <w:p w14:paraId="01E753B9" w14:textId="77777777" w:rsidR="001B4837" w:rsidRDefault="001B4837" w:rsidP="009C62A0"/>
                      </w:txbxContent>
                    </v:textbox>
                  </v:shape>
                  <v:shape id="Freeform 23" o:spid="_x0000_s1032" style="position:absolute;top:-11344;width:1619;height:8985;visibility:visible;mso-wrap-style:square;v-text-anchor:top" coordsize="120,666"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" adj="-11796480,,5400" path="m120,581l120,,,,,666,120,581xe" filled="f" stroked="f">
                    <v:stroke joinstyle="round"/>
                    <v:formulas/>
                    <v:path arrowok="t" o:connecttype="custom" o:connectlocs="120,581;120,0;0,0;0,666;120,581" o:connectangles="0,0,0,0,0" textboxrect="0,0,120,666"/>
                    <o:lock v:ext="edit" aspectratio="t"/>
                    <v:textbox>
                      <w:txbxContent>
                        <w:p w14:paraId="29C314E9" w14:textId="77777777" w:rsidR="001B4837" w:rsidRDefault="001B4837" w:rsidP="009C62A0"/>
                      </w:txbxContent>
                    </v:textbox>
                  </v:shape>
                  <v:shape id="Freeform 22" o:spid="_x0000_s1033" style="position:absolute;top:62487;width:1619;height:18272;visibility:visible;mso-wrap-style:square;v-text-anchor:top" coordsize="120,1354"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" adj="-11796480,,5400" path="m120,r,1354l,1354,,85,120,xe" filled="f" stroked="f">
                    <v:stroke joinstyle="round"/>
                    <v:formulas/>
                    <v:path arrowok="t" o:connecttype="custom" o:connectlocs="120,0;120,1354;0,1354;0,85;120,0" o:connectangles="0,0,0,0,0" textboxrect="0,0,120,1354"/>
                    <o:lock v:ext="edit" aspectratio="t"/>
                    <v:textbox>
                      <w:txbxContent>
                        <w:p w14:paraId="4AEB57F9" w14:textId="77777777" w:rsidR="001B4837" w:rsidRDefault="001B4837" w:rsidP="009C62A0"/>
                      </w:txbxContent>
                    </v:textbox>
                  </v:shape>
                  <v:shape id="Freeform 22" o:spid="_x0000_s1034" style="position:absolute;top:53272;width:1619;height:18272;visibility:visible;mso-wrap-style:square;v-text-anchor:top" coordsize="120,1354"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" adj="-11796480,,5400" path="m120,r,1354l,1354,,85,120,xe" filled="f" stroked="f">
                    <v:stroke joinstyle="round"/>
                    <v:formulas/>
                    <v:path arrowok="t" o:connecttype="custom" o:connectlocs="120,0;120,1354;0,1354;0,85;120,0" o:connectangles="0,0,0,0,0" textboxrect="0,0,120,1354"/>
                    <o:lock v:ext="edit" aspectratio="t"/>
                    <v:textbox>
                      <w:txbxContent>
                        <w:p w14:paraId="6B085556" w14:textId="77777777" w:rsidR="001B4837" w:rsidRDefault="001B4837" w:rsidP="009C62A0"/>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694" o:spid="_x0000_s1035" type="#_x0000_t75" style="position:absolute;left:34684;top:93489;width:31140;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">
                  <v:imagedata r:id="rId16" o:title=""/>
                </v:shape>
                <v:rect id="Rectangle 107695" o:spid="_x0000_s1036" style="position:absolute;width:68400;height:99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" filled="f" strokecolor="#404040" strokeweight="1pt"/>
                <w10:wrap anchorx="margin" anchory="margin"/>
                <w10:anchorlock/>
              </v:group>
            </w:pict>
          </mc:Fallback>
        </mc:AlternateContent>
      </w:r>
    </w:p>
    <w:p w14:paraId="355BED2A" w14:textId="77777777" w:rsidR="009C62A0" w:rsidRPr="00894701" w:rsidRDefault="009C62A0" w:rsidP="009C62A0">
      <w:pPr>
        <w:spacing w:after="0" w:line="240" w:lineRule="auto"/>
        <w:rPr>
          <w:rFonts w:asciiTheme="majorHAnsi" w:hAnsiTheme="majorHAnsi"/>
        </w:rPr>
      </w:pPr>
      <w:r w:rsidRPr="00894701">
        <w:rPr>
          <w:rFonts w:asciiTheme="majorHAnsi" w:hAnsiTheme="majorHAnsi"/>
        </w:rPr>
        <w:br w:type="page"/>
      </w:r>
    </w:p>
    <w:p w14:paraId="22A623E0" w14:textId="77777777" w:rsidR="009C62A0" w:rsidRPr="00894701" w:rsidRDefault="009C62A0" w:rsidP="009C62A0">
      <w:pPr>
        <w:spacing w:after="0" w:line="240" w:lineRule="auto"/>
        <w:rPr>
          <w:rFonts w:asciiTheme="majorHAnsi" w:hAnsiTheme="majorHAnsi"/>
        </w:rPr>
      </w:pPr>
    </w:p>
    <w:p w14:paraId="5ABB0404" w14:textId="77777777" w:rsidR="009C62A0" w:rsidRPr="00894701" w:rsidRDefault="009C62A0" w:rsidP="009C62A0">
      <w:pPr>
        <w:spacing w:after="0" w:line="240" w:lineRule="auto"/>
        <w:rPr>
          <w:rFonts w:asciiTheme="majorHAnsi" w:hAnsiTheme="majorHAnsi"/>
        </w:rPr>
      </w:pPr>
    </w:p>
    <w:p w14:paraId="5395FDC5" w14:textId="77777777" w:rsidR="009C62A0" w:rsidRPr="00894701" w:rsidRDefault="009C62A0" w:rsidP="009C62A0">
      <w:pPr>
        <w:spacing w:after="0" w:line="240" w:lineRule="auto"/>
        <w:rPr>
          <w:rFonts w:asciiTheme="majorHAnsi" w:hAnsiTheme="majorHAnsi"/>
        </w:rPr>
      </w:pPr>
    </w:p>
    <w:p w14:paraId="3C35531F" w14:textId="77777777" w:rsidR="009C62A0" w:rsidRPr="00894701" w:rsidRDefault="009C62A0" w:rsidP="009C62A0">
      <w:pPr>
        <w:spacing w:after="0" w:line="240" w:lineRule="auto"/>
        <w:rPr>
          <w:rFonts w:asciiTheme="majorHAnsi" w:hAnsiTheme="majorHAnsi"/>
        </w:rPr>
      </w:pPr>
    </w:p>
    <w:p w14:paraId="64C29CF5" w14:textId="77777777" w:rsidR="009C62A0" w:rsidRPr="00894701" w:rsidRDefault="009C62A0" w:rsidP="009C62A0">
      <w:pPr>
        <w:spacing w:after="0" w:line="240" w:lineRule="auto"/>
        <w:rPr>
          <w:rFonts w:asciiTheme="majorHAnsi" w:hAnsiTheme="majorHAnsi"/>
        </w:rPr>
      </w:pPr>
    </w:p>
    <w:p w14:paraId="190C54E6" w14:textId="77777777" w:rsidR="009C62A0" w:rsidRPr="00894701" w:rsidRDefault="009C62A0" w:rsidP="009C62A0">
      <w:pPr>
        <w:spacing w:after="0" w:line="240" w:lineRule="auto"/>
        <w:rPr>
          <w:rFonts w:asciiTheme="majorHAnsi" w:hAnsiTheme="majorHAnsi"/>
        </w:rPr>
      </w:pPr>
    </w:p>
    <w:p w14:paraId="0921B2A1" w14:textId="77777777" w:rsidR="009C62A0" w:rsidRPr="00894701" w:rsidRDefault="009C62A0" w:rsidP="009C62A0">
      <w:pPr>
        <w:spacing w:after="0" w:line="240" w:lineRule="auto"/>
        <w:rPr>
          <w:rFonts w:asciiTheme="majorHAnsi" w:hAnsiTheme="majorHAnsi"/>
        </w:rPr>
      </w:pPr>
    </w:p>
    <w:p w14:paraId="6CCE915E" w14:textId="77777777" w:rsidR="009C62A0" w:rsidRPr="00894701" w:rsidRDefault="009C62A0" w:rsidP="009C62A0">
      <w:pPr>
        <w:spacing w:after="0" w:line="240" w:lineRule="auto"/>
        <w:rPr>
          <w:rFonts w:asciiTheme="majorHAnsi" w:hAnsiTheme="majorHAnsi"/>
        </w:rPr>
      </w:pPr>
    </w:p>
    <w:p w14:paraId="4BABBCE8" w14:textId="77777777" w:rsidR="009C62A0" w:rsidRPr="00894701" w:rsidRDefault="009C62A0" w:rsidP="009C62A0">
      <w:pPr>
        <w:spacing w:after="0" w:line="240" w:lineRule="auto"/>
        <w:rPr>
          <w:rFonts w:asciiTheme="majorHAnsi" w:hAnsiTheme="majorHAnsi"/>
        </w:rPr>
      </w:pPr>
    </w:p>
    <w:p w14:paraId="167AF091" w14:textId="77777777" w:rsidR="009C62A0" w:rsidRPr="00894701" w:rsidRDefault="009C62A0" w:rsidP="009C62A0">
      <w:pPr>
        <w:spacing w:after="0" w:line="240" w:lineRule="auto"/>
        <w:rPr>
          <w:rFonts w:asciiTheme="majorHAnsi" w:hAnsiTheme="majorHAnsi"/>
        </w:rPr>
      </w:pPr>
    </w:p>
    <w:p w14:paraId="056BADD1" w14:textId="77777777" w:rsidR="009C62A0" w:rsidRPr="00894701" w:rsidRDefault="009C62A0" w:rsidP="009C62A0">
      <w:pPr>
        <w:spacing w:after="0" w:line="240" w:lineRule="auto"/>
        <w:rPr>
          <w:rFonts w:asciiTheme="majorHAnsi" w:hAnsiTheme="majorHAnsi"/>
        </w:rPr>
      </w:pPr>
    </w:p>
    <w:p w14:paraId="0EF7D4D0" w14:textId="77777777" w:rsidR="009C62A0" w:rsidRPr="00894701" w:rsidRDefault="009C62A0" w:rsidP="009C62A0">
      <w:pPr>
        <w:spacing w:after="0" w:line="240" w:lineRule="auto"/>
        <w:rPr>
          <w:rFonts w:asciiTheme="majorHAnsi" w:hAnsiTheme="majorHAnsi"/>
        </w:rPr>
      </w:pPr>
    </w:p>
    <w:p w14:paraId="54ABF7A5" w14:textId="77777777" w:rsidR="009C62A0" w:rsidRPr="00894701" w:rsidRDefault="009C62A0" w:rsidP="009C62A0">
      <w:pPr>
        <w:spacing w:after="0" w:line="240" w:lineRule="auto"/>
        <w:rPr>
          <w:rFonts w:asciiTheme="majorHAnsi" w:hAnsiTheme="majorHAnsi"/>
        </w:rPr>
      </w:pPr>
    </w:p>
    <w:p w14:paraId="644844BD" w14:textId="77777777" w:rsidR="009C62A0" w:rsidRPr="00894701" w:rsidRDefault="009C62A0" w:rsidP="009C62A0">
      <w:pPr>
        <w:spacing w:after="0" w:line="240" w:lineRule="auto"/>
        <w:rPr>
          <w:rFonts w:asciiTheme="majorHAnsi" w:hAnsiTheme="majorHAnsi"/>
        </w:rPr>
      </w:pPr>
    </w:p>
    <w:p w14:paraId="4381F1A8" w14:textId="77777777" w:rsidR="009C62A0" w:rsidRPr="00894701" w:rsidRDefault="009C62A0" w:rsidP="009C62A0">
      <w:pPr>
        <w:spacing w:after="0" w:line="240" w:lineRule="auto"/>
        <w:rPr>
          <w:rFonts w:asciiTheme="majorHAnsi" w:hAnsiTheme="majorHAnsi"/>
        </w:rPr>
      </w:pPr>
    </w:p>
    <w:p w14:paraId="6B20A28E" w14:textId="77777777" w:rsidR="009C62A0" w:rsidRPr="00894701" w:rsidRDefault="009C62A0" w:rsidP="009C62A0">
      <w:pPr>
        <w:spacing w:after="0" w:line="240" w:lineRule="auto"/>
        <w:rPr>
          <w:rFonts w:asciiTheme="majorHAnsi" w:hAnsiTheme="majorHAnsi"/>
        </w:rPr>
      </w:pPr>
    </w:p>
    <w:p w14:paraId="5E090A56" w14:textId="77777777" w:rsidR="009C62A0" w:rsidRPr="00894701" w:rsidRDefault="009C62A0" w:rsidP="009C62A0">
      <w:pPr>
        <w:spacing w:after="0" w:line="240" w:lineRule="auto"/>
        <w:rPr>
          <w:rFonts w:asciiTheme="majorHAnsi" w:hAnsiTheme="majorHAnsi"/>
        </w:rPr>
      </w:pPr>
    </w:p>
    <w:p w14:paraId="1BDE5CB0" w14:textId="77777777" w:rsidR="009C62A0" w:rsidRPr="00894701" w:rsidRDefault="009C62A0" w:rsidP="009C62A0">
      <w:pPr>
        <w:spacing w:after="0" w:line="240" w:lineRule="auto"/>
        <w:rPr>
          <w:rFonts w:asciiTheme="majorHAnsi" w:hAnsiTheme="majorHAnsi"/>
        </w:rPr>
      </w:pPr>
    </w:p>
    <w:p w14:paraId="3C967E71" w14:textId="77777777" w:rsidR="009C62A0" w:rsidRPr="00894701" w:rsidRDefault="009C62A0" w:rsidP="009C62A0">
      <w:pPr>
        <w:spacing w:after="0" w:line="240" w:lineRule="auto"/>
        <w:rPr>
          <w:rFonts w:asciiTheme="majorHAnsi" w:hAnsiTheme="majorHAnsi"/>
        </w:rPr>
      </w:pPr>
    </w:p>
    <w:p w14:paraId="747D78DC" w14:textId="77777777" w:rsidR="009C62A0" w:rsidRPr="00894701" w:rsidRDefault="009C62A0" w:rsidP="009C62A0">
      <w:pPr>
        <w:spacing w:after="0" w:line="240" w:lineRule="auto"/>
        <w:rPr>
          <w:rFonts w:asciiTheme="majorHAnsi" w:hAnsiTheme="majorHAnsi"/>
        </w:rPr>
      </w:pPr>
    </w:p>
    <w:p w14:paraId="0C927886" w14:textId="77777777" w:rsidR="009C62A0" w:rsidRPr="00894701" w:rsidRDefault="009C62A0" w:rsidP="009C62A0">
      <w:pPr>
        <w:spacing w:after="0" w:line="240" w:lineRule="auto"/>
        <w:rPr>
          <w:rFonts w:asciiTheme="majorHAnsi" w:hAnsiTheme="majorHAnsi"/>
        </w:rPr>
      </w:pPr>
    </w:p>
    <w:p w14:paraId="6A267608" w14:textId="77777777" w:rsidR="009C62A0" w:rsidRPr="00894701" w:rsidRDefault="009C62A0" w:rsidP="009C62A0">
      <w:pPr>
        <w:spacing w:after="0" w:line="240" w:lineRule="auto"/>
        <w:rPr>
          <w:rFonts w:asciiTheme="majorHAnsi" w:hAnsiTheme="majorHAnsi"/>
        </w:rPr>
      </w:pPr>
    </w:p>
    <w:p w14:paraId="608B0A70" w14:textId="77777777" w:rsidR="009C62A0" w:rsidRPr="00894701" w:rsidRDefault="009C62A0" w:rsidP="009C62A0">
      <w:pPr>
        <w:spacing w:after="0" w:line="240" w:lineRule="auto"/>
        <w:rPr>
          <w:rFonts w:asciiTheme="majorHAnsi" w:hAnsiTheme="majorHAnsi"/>
        </w:rPr>
      </w:pPr>
    </w:p>
    <w:p w14:paraId="511C5C5A" w14:textId="77777777" w:rsidR="009C62A0" w:rsidRPr="00894701" w:rsidRDefault="009C62A0" w:rsidP="009C62A0">
      <w:pPr>
        <w:spacing w:after="0" w:line="240" w:lineRule="auto"/>
        <w:rPr>
          <w:rFonts w:asciiTheme="majorHAnsi" w:hAnsiTheme="majorHAnsi"/>
        </w:rPr>
      </w:pPr>
    </w:p>
    <w:p w14:paraId="480FD797" w14:textId="77777777" w:rsidR="009C62A0" w:rsidRPr="00894701" w:rsidRDefault="009C62A0" w:rsidP="009C62A0">
      <w:pPr>
        <w:spacing w:after="0" w:line="240" w:lineRule="auto"/>
        <w:rPr>
          <w:rFonts w:asciiTheme="majorHAnsi" w:hAnsiTheme="majorHAnsi"/>
        </w:rPr>
      </w:pPr>
    </w:p>
    <w:p w14:paraId="22CE8F1A" w14:textId="77777777" w:rsidR="009C62A0" w:rsidRPr="00894701" w:rsidRDefault="009C62A0" w:rsidP="009C62A0">
      <w:pPr>
        <w:spacing w:after="0" w:line="240" w:lineRule="auto"/>
        <w:rPr>
          <w:rFonts w:asciiTheme="majorHAnsi" w:hAnsiTheme="majorHAnsi"/>
        </w:rPr>
      </w:pPr>
    </w:p>
    <w:tbl>
      <w:tblPr>
        <w:tblStyle w:val="TableGrid"/>
        <w:tblpPr w:leftFromText="180" w:rightFromText="180" w:vertAnchor="page" w:horzAnchor="margin" w:tblpXSpec="center" w:tblpY="3307"/>
        <w:tblW w:w="0" w:type="auto"/>
        <w:tblCellMar>
          <w:left w:w="0" w:type="dxa"/>
          <w:right w:w="0" w:type="dxa"/>
        </w:tblCellMar>
        <w:tblLook w:val="04A0" w:firstRow="1" w:lastRow="0" w:firstColumn="1" w:lastColumn="0" w:noHBand="0" w:noVBand="1"/>
      </w:tblPr>
      <w:tblGrid>
        <w:gridCol w:w="5805"/>
      </w:tblGrid>
      <w:tr w:rsidR="009C62A0" w:rsidRPr="00894701" w14:paraId="5A604307" w14:textId="77777777" w:rsidTr="00446B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5" w:type="dxa"/>
            <w:tcMar>
              <w:left w:w="113" w:type="dxa"/>
            </w:tcMar>
          </w:tcPr>
          <w:p w14:paraId="6954AAB7" w14:textId="718F4EB4" w:rsidR="009C62A0" w:rsidRPr="00894701" w:rsidRDefault="009C62A0" w:rsidP="00446B8D">
            <w:pPr>
              <w:pStyle w:val="Disclaimer"/>
              <w:framePr w:hSpace="0" w:wrap="auto" w:vAnchor="margin" w:hAnchor="text" w:xAlign="left" w:yAlign="inline"/>
              <w:jc w:val="both"/>
              <w:rPr>
                <w:b/>
                <w:iCs/>
                <w:sz w:val="22"/>
                <w:szCs w:val="22"/>
              </w:rPr>
            </w:pPr>
            <w:r w:rsidRPr="00894701">
              <w:rPr>
                <w:b/>
                <w:iCs/>
                <w:caps w:val="0"/>
                <w:sz w:val="22"/>
                <w:szCs w:val="22"/>
              </w:rPr>
              <w:t>This document is prepared solely for the use and benefit of the EITI - SR Multi-Stakeholder Group (MSG).</w:t>
            </w:r>
            <w:r w:rsidRPr="00894701">
              <w:rPr>
                <w:b/>
                <w:iCs/>
                <w:sz w:val="22"/>
                <w:szCs w:val="22"/>
              </w:rPr>
              <w:t xml:space="preserve"> </w:t>
            </w:r>
            <w:r w:rsidRPr="00894701">
              <w:rPr>
                <w:b/>
                <w:iCs/>
                <w:caps w:val="0"/>
                <w:sz w:val="22"/>
                <w:szCs w:val="22"/>
              </w:rPr>
              <w:t xml:space="preserve">Neither the authors nor </w:t>
            </w:r>
            <w:r w:rsidR="00EC3AB5" w:rsidRPr="00894701">
              <w:rPr>
                <w:b/>
                <w:iCs/>
                <w:caps w:val="0"/>
                <w:sz w:val="22"/>
                <w:szCs w:val="22"/>
              </w:rPr>
              <w:t xml:space="preserve">BDO </w:t>
            </w:r>
            <w:r w:rsidRPr="00894701">
              <w:rPr>
                <w:b/>
                <w:iCs/>
                <w:caps w:val="0"/>
                <w:sz w:val="22"/>
                <w:szCs w:val="22"/>
              </w:rPr>
              <w:t>LLP</w:t>
            </w:r>
            <w:r w:rsidR="00EC3AB5" w:rsidRPr="00894701">
              <w:rPr>
                <w:b/>
                <w:iCs/>
                <w:caps w:val="0"/>
                <w:sz w:val="22"/>
                <w:szCs w:val="22"/>
              </w:rPr>
              <w:t xml:space="preserve"> and BDO Suriname</w:t>
            </w:r>
            <w:r w:rsidRPr="00894701">
              <w:rPr>
                <w:b/>
                <w:iCs/>
                <w:caps w:val="0"/>
                <w:sz w:val="22"/>
                <w:szCs w:val="22"/>
              </w:rPr>
              <w:t xml:space="preserve"> accept or assume any responsibility or duty of care to any third party.</w:t>
            </w:r>
          </w:p>
          <w:p w14:paraId="70261940" w14:textId="77777777" w:rsidR="009C62A0" w:rsidRPr="00894701" w:rsidRDefault="009C62A0" w:rsidP="00446B8D">
            <w:pPr>
              <w:pStyle w:val="Disclaimer"/>
              <w:framePr w:hSpace="0" w:wrap="auto" w:vAnchor="margin" w:hAnchor="text" w:xAlign="left" w:yAlign="inline"/>
              <w:rPr>
                <w:b/>
                <w:iCs/>
              </w:rPr>
            </w:pPr>
          </w:p>
          <w:p w14:paraId="00A3A63D" w14:textId="03283E22" w:rsidR="009C62A0" w:rsidRPr="00894701" w:rsidRDefault="009C62A0" w:rsidP="00446B8D">
            <w:pPr>
              <w:pStyle w:val="Disclaimer"/>
              <w:framePr w:hSpace="0" w:wrap="auto" w:vAnchor="margin" w:hAnchor="text" w:xAlign="left" w:yAlign="inline"/>
              <w:rPr>
                <w:rStyle w:val="TextWhite"/>
              </w:rPr>
            </w:pPr>
            <w:r w:rsidRPr="00894701">
              <w:rPr>
                <w:rStyle w:val="TextWhite"/>
              </w:rPr>
              <w:t xml:space="preserve">© </w:t>
            </w:r>
            <w:r w:rsidR="009F5A1D" w:rsidRPr="00894701">
              <w:t>november</w:t>
            </w:r>
            <w:r w:rsidRPr="00894701">
              <w:rPr>
                <w:rStyle w:val="TextWhite"/>
              </w:rPr>
              <w:t xml:space="preserve"> </w:t>
            </w:r>
            <w:r w:rsidRPr="00894701">
              <w:fldChar w:fldCharType="begin"/>
            </w:r>
            <w:r w:rsidRPr="00894701">
              <w:instrText xml:space="preserve"> CREATEDATE  \@ "yyyy" </w:instrText>
            </w:r>
            <w:r w:rsidRPr="00894701">
              <w:fldChar w:fldCharType="separate"/>
            </w:r>
            <w:r w:rsidR="00682021" w:rsidRPr="00894701">
              <w:rPr>
                <w:caps w:val="0"/>
                <w:noProof/>
              </w:rPr>
              <w:t>2022</w:t>
            </w:r>
            <w:r w:rsidRPr="00894701">
              <w:fldChar w:fldCharType="end"/>
            </w:r>
            <w:r w:rsidRPr="00894701">
              <w:rPr>
                <w:rStyle w:val="TextWhite"/>
              </w:rPr>
              <w:t xml:space="preserve"> BDO LLP</w:t>
            </w:r>
            <w:r w:rsidR="003560DE" w:rsidRPr="00894701">
              <w:rPr>
                <w:rStyle w:val="TextWhite"/>
              </w:rPr>
              <w:t xml:space="preserve"> &amp; BDO Suriname</w:t>
            </w:r>
            <w:r w:rsidRPr="00894701">
              <w:rPr>
                <w:rStyle w:val="TextWhite"/>
              </w:rPr>
              <w:t>. A</w:t>
            </w:r>
            <w:r w:rsidRPr="00894701">
              <w:rPr>
                <w:rStyle w:val="TextWhite"/>
                <w:caps w:val="0"/>
              </w:rPr>
              <w:t>ll rights reserved</w:t>
            </w:r>
            <w:r w:rsidRPr="00894701">
              <w:rPr>
                <w:rStyle w:val="TextWhite"/>
              </w:rPr>
              <w:t>.</w:t>
            </w:r>
          </w:p>
          <w:p w14:paraId="212D1A8C" w14:textId="703E89C0" w:rsidR="009C62A0" w:rsidRPr="00894701" w:rsidRDefault="00EC3AB5" w:rsidP="00446B8D">
            <w:pPr>
              <w:pStyle w:val="Disclaimer"/>
              <w:framePr w:hSpace="0" w:wrap="auto" w:vAnchor="margin" w:hAnchor="text" w:xAlign="left" w:yAlign="inline"/>
              <w:rPr>
                <w:rStyle w:val="TextWhite"/>
                <w:b/>
                <w:caps w:val="0"/>
                <w:sz w:val="18"/>
                <w:szCs w:val="18"/>
              </w:rPr>
            </w:pPr>
            <w:r w:rsidRPr="00894701">
              <w:rPr>
                <w:rStyle w:val="TextWhite"/>
                <w:b/>
                <w:caps w:val="0"/>
                <w:sz w:val="18"/>
                <w:szCs w:val="18"/>
              </w:rPr>
              <w:t>www.bdo.co.uk/ www.bdo.sr</w:t>
            </w:r>
          </w:p>
        </w:tc>
      </w:tr>
      <w:tr w:rsidR="009C62A0" w:rsidRPr="00894701" w14:paraId="046A2DF7" w14:textId="77777777" w:rsidTr="00446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5" w:type="dxa"/>
            <w:tcMar>
              <w:left w:w="113" w:type="dxa"/>
            </w:tcMar>
          </w:tcPr>
          <w:p w14:paraId="39F8448A" w14:textId="77777777" w:rsidR="009C62A0" w:rsidRPr="00894701" w:rsidRDefault="009C62A0" w:rsidP="00446B8D">
            <w:pPr>
              <w:pStyle w:val="Disclaimer"/>
              <w:framePr w:hSpace="0" w:wrap="auto" w:vAnchor="margin" w:hAnchor="text" w:xAlign="left" w:yAlign="inline"/>
              <w:rPr>
                <w:rStyle w:val="TextWhite"/>
              </w:rPr>
            </w:pPr>
          </w:p>
        </w:tc>
      </w:tr>
    </w:tbl>
    <w:tbl>
      <w:tblPr>
        <w:tblStyle w:val="TableGrid"/>
        <w:tblpPr w:leftFromText="180" w:rightFromText="180" w:vertAnchor="page" w:horzAnchor="margin" w:tblpXSpec="center" w:tblpY="6841"/>
        <w:tblW w:w="0" w:type="auto"/>
        <w:tblCellMar>
          <w:left w:w="0" w:type="dxa"/>
          <w:right w:w="0" w:type="dxa"/>
        </w:tblCellMar>
        <w:tblLook w:val="04A0" w:firstRow="1" w:lastRow="0" w:firstColumn="1" w:lastColumn="0" w:noHBand="0" w:noVBand="1"/>
      </w:tblPr>
      <w:tblGrid>
        <w:gridCol w:w="5805"/>
      </w:tblGrid>
      <w:tr w:rsidR="00125D46" w:rsidRPr="00894701" w14:paraId="6F5ED7B4" w14:textId="77777777" w:rsidTr="00125D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5" w:type="dxa"/>
            <w:tcMar>
              <w:left w:w="113" w:type="dxa"/>
            </w:tcMar>
          </w:tcPr>
          <w:p w14:paraId="24A9C8E5" w14:textId="77777777" w:rsidR="00CD04D2" w:rsidRDefault="00CD04D2">
            <w:pPr>
              <w:pStyle w:val="Disclaimer"/>
              <w:framePr w:hSpace="0" w:wrap="auto" w:vAnchor="margin" w:hAnchor="text" w:xAlign="left" w:yAlign="inline"/>
              <w:jc w:val="both"/>
              <w:rPr>
                <w:iCs/>
                <w:caps w:val="0"/>
                <w:sz w:val="22"/>
                <w:szCs w:val="22"/>
              </w:rPr>
            </w:pPr>
            <w:r w:rsidRPr="00CD04D2">
              <w:rPr>
                <w:iCs/>
                <w:sz w:val="22"/>
                <w:szCs w:val="22"/>
              </w:rPr>
              <w:t>corrigendum</w:t>
            </w:r>
            <w:r>
              <w:rPr>
                <w:iCs/>
                <w:sz w:val="22"/>
                <w:szCs w:val="22"/>
              </w:rPr>
              <w:t>:</w:t>
            </w:r>
            <w:r w:rsidRPr="00CD04D2">
              <w:rPr>
                <w:iCs/>
                <w:sz w:val="22"/>
                <w:szCs w:val="22"/>
              </w:rPr>
              <w:t xml:space="preserve"> </w:t>
            </w:r>
          </w:p>
          <w:p w14:paraId="62659DAD" w14:textId="7ABC8324" w:rsidR="00125D46" w:rsidRPr="00CD04D2" w:rsidRDefault="00125D46" w:rsidP="00860520">
            <w:pPr>
              <w:pStyle w:val="Disclaimer"/>
              <w:framePr w:hSpace="0" w:wrap="auto" w:vAnchor="margin" w:hAnchor="text" w:xAlign="left" w:yAlign="inline"/>
              <w:jc w:val="both"/>
              <w:rPr>
                <w:rStyle w:val="TextWhite"/>
                <w:rFonts w:ascii="Trebuchet MS" w:hAnsi="Trebuchet MS" w:cs="Times New Roman"/>
                <w:b/>
                <w:bCs w:val="0"/>
                <w:caps w:val="0"/>
                <w:sz w:val="18"/>
                <w:szCs w:val="18"/>
              </w:rPr>
            </w:pPr>
            <w:r w:rsidRPr="00CD04D2">
              <w:rPr>
                <w:iCs/>
                <w:sz w:val="22"/>
                <w:szCs w:val="22"/>
              </w:rPr>
              <w:t xml:space="preserve">This is a second version of the eiti-suriname report for the fiscal years 2018, 2019 and 2020. </w:t>
            </w:r>
          </w:p>
        </w:tc>
      </w:tr>
      <w:tr w:rsidR="00125D46" w:rsidRPr="00894701" w14:paraId="4258D070" w14:textId="77777777" w:rsidTr="00125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5" w:type="dxa"/>
            <w:tcMar>
              <w:left w:w="113" w:type="dxa"/>
            </w:tcMar>
          </w:tcPr>
          <w:p w14:paraId="2485F6C6" w14:textId="77777777" w:rsidR="00125D46" w:rsidRPr="00894701" w:rsidRDefault="00125D46" w:rsidP="00125D46">
            <w:pPr>
              <w:pStyle w:val="Disclaimer"/>
              <w:framePr w:hSpace="0" w:wrap="auto" w:vAnchor="margin" w:hAnchor="text" w:xAlign="left" w:yAlign="inline"/>
              <w:rPr>
                <w:rStyle w:val="TextWhite"/>
              </w:rPr>
            </w:pPr>
          </w:p>
        </w:tc>
      </w:tr>
    </w:tbl>
    <w:p w14:paraId="7872094F" w14:textId="77777777" w:rsidR="009C62A0" w:rsidRPr="00894701" w:rsidRDefault="009C62A0" w:rsidP="009C62A0">
      <w:pPr>
        <w:spacing w:after="0" w:line="240" w:lineRule="auto"/>
        <w:rPr>
          <w:rFonts w:asciiTheme="majorHAnsi" w:hAnsiTheme="majorHAnsi"/>
        </w:rPr>
      </w:pPr>
    </w:p>
    <w:p w14:paraId="49DC1ED3" w14:textId="77777777" w:rsidR="009C62A0" w:rsidRPr="00894701" w:rsidRDefault="009C62A0" w:rsidP="009C62A0">
      <w:pPr>
        <w:spacing w:after="0" w:line="240" w:lineRule="auto"/>
        <w:rPr>
          <w:rFonts w:asciiTheme="majorHAnsi" w:hAnsiTheme="majorHAnsi"/>
        </w:rPr>
      </w:pPr>
    </w:p>
    <w:p w14:paraId="1C9759B3" w14:textId="77777777" w:rsidR="009C62A0" w:rsidRPr="00894701" w:rsidRDefault="009C62A0" w:rsidP="009C62A0">
      <w:pPr>
        <w:spacing w:after="0" w:line="240" w:lineRule="auto"/>
        <w:rPr>
          <w:rFonts w:asciiTheme="majorHAnsi" w:hAnsiTheme="majorHAnsi"/>
        </w:rPr>
      </w:pPr>
    </w:p>
    <w:p w14:paraId="7558E1B8" w14:textId="77777777" w:rsidR="009C62A0" w:rsidRPr="00894701" w:rsidRDefault="009C62A0" w:rsidP="009C62A0">
      <w:pPr>
        <w:spacing w:after="0" w:line="240" w:lineRule="auto"/>
        <w:rPr>
          <w:rFonts w:asciiTheme="majorHAnsi" w:hAnsiTheme="majorHAnsi"/>
        </w:rPr>
      </w:pPr>
    </w:p>
    <w:p w14:paraId="6DD84ACC" w14:textId="77777777" w:rsidR="009C62A0" w:rsidRPr="00894701" w:rsidRDefault="009C62A0" w:rsidP="009C62A0">
      <w:pPr>
        <w:spacing w:after="0" w:line="240" w:lineRule="auto"/>
        <w:rPr>
          <w:rFonts w:asciiTheme="majorHAnsi" w:hAnsiTheme="majorHAnsi"/>
        </w:rPr>
      </w:pPr>
    </w:p>
    <w:p w14:paraId="1DBA7729" w14:textId="77777777" w:rsidR="009C62A0" w:rsidRPr="00894701" w:rsidRDefault="009C62A0" w:rsidP="009C62A0">
      <w:pPr>
        <w:spacing w:after="0" w:line="240" w:lineRule="auto"/>
        <w:rPr>
          <w:rFonts w:asciiTheme="majorHAnsi" w:hAnsiTheme="majorHAnsi"/>
        </w:rPr>
      </w:pPr>
    </w:p>
    <w:p w14:paraId="157A2DE6" w14:textId="77777777" w:rsidR="009C62A0" w:rsidRPr="00894701" w:rsidRDefault="009C62A0" w:rsidP="009C62A0">
      <w:pPr>
        <w:spacing w:after="0" w:line="240" w:lineRule="auto"/>
        <w:rPr>
          <w:rFonts w:asciiTheme="majorHAnsi" w:hAnsiTheme="majorHAnsi"/>
        </w:rPr>
      </w:pPr>
    </w:p>
    <w:p w14:paraId="0B3F8768" w14:textId="77777777" w:rsidR="009C62A0" w:rsidRPr="00894701" w:rsidRDefault="009C62A0" w:rsidP="009C62A0">
      <w:pPr>
        <w:spacing w:after="0" w:line="240" w:lineRule="auto"/>
        <w:rPr>
          <w:rFonts w:asciiTheme="majorHAnsi" w:hAnsiTheme="majorHAnsi"/>
        </w:rPr>
      </w:pPr>
      <w:r w:rsidRPr="00894701">
        <w:rPr>
          <w:rFonts w:eastAsia="Trebuchet MS"/>
          <w:noProof/>
          <w:color w:val="404040"/>
          <w:szCs w:val="18"/>
          <w:lang w:val="en-US" w:eastAsia="en-US"/>
        </w:rPr>
        <mc:AlternateContent>
          <mc:Choice Requires="wpg">
            <w:drawing>
              <wp:anchor distT="0" distB="0" distL="114300" distR="114300" simplePos="0" relativeHeight="251658245" behindDoc="1" locked="1" layoutInCell="1" allowOverlap="1" wp14:anchorId="4149B91E" wp14:editId="105A9554">
                <wp:simplePos x="0" y="0"/>
                <wp:positionH relativeFrom="margin">
                  <wp:posOffset>-563245</wp:posOffset>
                </wp:positionH>
                <wp:positionV relativeFrom="page">
                  <wp:posOffset>340995</wp:posOffset>
                </wp:positionV>
                <wp:extent cx="6839585" cy="9971405"/>
                <wp:effectExtent l="0" t="0" r="18415" b="10795"/>
                <wp:wrapNone/>
                <wp:docPr id="107696" name="Group 107696"/>
                <wp:cNvGraphicFramePr/>
                <a:graphic xmlns:a="http://schemas.openxmlformats.org/drawingml/2006/main">
                  <a:graphicData uri="http://schemas.microsoft.com/office/word/2010/wordprocessingGroup">
                    <wpg:wgp>
                      <wpg:cNvGrpSpPr/>
                      <wpg:grpSpPr>
                        <a:xfrm>
                          <a:off x="0" y="0"/>
                          <a:ext cx="6839585" cy="9971405"/>
                          <a:chOff x="0" y="0"/>
                          <a:chExt cx="6839585" cy="9971405"/>
                        </a:xfrm>
                      </wpg:grpSpPr>
                      <wps:wsp>
                        <wps:cNvPr id="107697" name="Rectangle 107697"/>
                        <wps:cNvSpPr/>
                        <wps:spPr>
                          <a:xfrm>
                            <a:off x="0" y="0"/>
                            <a:ext cx="6839585" cy="9971405"/>
                          </a:xfrm>
                          <a:prstGeom prst="rect">
                            <a:avLst/>
                          </a:prstGeom>
                          <a:solidFill>
                            <a:srgbClr val="98002E"/>
                          </a:solidFill>
                          <a:ln w="12700" cap="flat" cmpd="sng" algn="ctr">
                            <a:solidFill>
                              <a:srgbClr val="404040"/>
                            </a:solidFill>
                            <a:prstDash val="solid"/>
                          </a:ln>
                          <a:effectLst/>
                        </wps:spPr>
                        <wps:txbx>
                          <w:txbxContent>
                            <w:p w14:paraId="7E61FE02" w14:textId="77777777" w:rsidR="00125D46" w:rsidRDefault="00125D46" w:rsidP="00125D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7698" name="Group 107698"/>
                        <wpg:cNvGrpSpPr/>
                        <wpg:grpSpPr>
                          <a:xfrm>
                            <a:off x="914400" y="0"/>
                            <a:ext cx="161915" cy="9970810"/>
                            <a:chOff x="0" y="-1898727"/>
                            <a:chExt cx="161925" cy="9974706"/>
                          </a:xfrm>
                          <a:solidFill>
                            <a:srgbClr val="ED1A3B"/>
                          </a:solidFill>
                        </wpg:grpSpPr>
                        <wps:wsp>
                          <wps:cNvPr id="107699" name="Freeform 23"/>
                          <wps:cNvSpPr>
                            <a:spLocks noChangeAspect="1"/>
                          </wps:cNvSpPr>
                          <wps:spPr bwMode="gray">
                            <a:xfrm>
                              <a:off x="0" y="-1898727"/>
                              <a:ext cx="161925" cy="898525"/>
                            </a:xfrm>
                            <a:custGeom>
                              <a:avLst/>
                              <a:gdLst/>
                              <a:ahLst/>
                              <a:cxnLst>
                                <a:cxn ang="0">
                                  <a:pos x="120" y="581"/>
                                </a:cxn>
                                <a:cxn ang="0">
                                  <a:pos x="120" y="0"/>
                                </a:cxn>
                                <a:cxn ang="0">
                                  <a:pos x="0" y="0"/>
                                </a:cxn>
                                <a:cxn ang="0">
                                  <a:pos x="0" y="666"/>
                                </a:cxn>
                                <a:cxn ang="0">
                                  <a:pos x="120" y="581"/>
                                </a:cxn>
                              </a:cxnLst>
                              <a:rect l="0" t="0" r="r" b="b"/>
                              <a:pathLst>
                                <a:path w="120" h="666">
                                  <a:moveTo>
                                    <a:pt x="120" y="581"/>
                                  </a:moveTo>
                                  <a:lnTo>
                                    <a:pt x="120" y="0"/>
                                  </a:lnTo>
                                  <a:lnTo>
                                    <a:pt x="0" y="0"/>
                                  </a:lnTo>
                                  <a:lnTo>
                                    <a:pt x="0" y="666"/>
                                  </a:lnTo>
                                  <a:lnTo>
                                    <a:pt x="120" y="581"/>
                                  </a:lnTo>
                                  <a:close/>
                                </a:path>
                              </a:pathLst>
                            </a:custGeom>
                            <a:grpFill/>
                            <a:ln w="9525">
                              <a:noFill/>
                              <a:round/>
                              <a:headEnd/>
                              <a:tailEnd/>
                            </a:ln>
                          </wps:spPr>
                          <wps:txbx>
                            <w:txbxContent>
                              <w:p w14:paraId="660780A5" w14:textId="77777777" w:rsidR="001B4837" w:rsidRDefault="001B4837" w:rsidP="009C62A0"/>
                            </w:txbxContent>
                          </wps:txbx>
                          <wps:bodyPr/>
                        </wps:wsp>
                        <wps:wsp>
                          <wps:cNvPr id="107700" name="Freeform 23"/>
                          <wps:cNvSpPr>
                            <a:spLocks noChangeAspect="1"/>
                          </wps:cNvSpPr>
                          <wps:spPr bwMode="gray">
                            <a:xfrm>
                              <a:off x="0" y="-1430891"/>
                              <a:ext cx="161925" cy="898525"/>
                            </a:xfrm>
                            <a:custGeom>
                              <a:avLst/>
                              <a:gdLst/>
                              <a:ahLst/>
                              <a:cxnLst>
                                <a:cxn ang="0">
                                  <a:pos x="120" y="581"/>
                                </a:cxn>
                                <a:cxn ang="0">
                                  <a:pos x="120" y="0"/>
                                </a:cxn>
                                <a:cxn ang="0">
                                  <a:pos x="0" y="0"/>
                                </a:cxn>
                                <a:cxn ang="0">
                                  <a:pos x="0" y="666"/>
                                </a:cxn>
                                <a:cxn ang="0">
                                  <a:pos x="120" y="581"/>
                                </a:cxn>
                              </a:cxnLst>
                              <a:rect l="0" t="0" r="r" b="b"/>
                              <a:pathLst>
                                <a:path w="120" h="666">
                                  <a:moveTo>
                                    <a:pt x="120" y="581"/>
                                  </a:moveTo>
                                  <a:lnTo>
                                    <a:pt x="120" y="0"/>
                                  </a:lnTo>
                                  <a:lnTo>
                                    <a:pt x="0" y="0"/>
                                  </a:lnTo>
                                  <a:lnTo>
                                    <a:pt x="0" y="666"/>
                                  </a:lnTo>
                                  <a:lnTo>
                                    <a:pt x="120" y="581"/>
                                  </a:lnTo>
                                  <a:close/>
                                </a:path>
                              </a:pathLst>
                            </a:custGeom>
                            <a:grpFill/>
                            <a:ln w="9525">
                              <a:noFill/>
                              <a:round/>
                              <a:headEnd/>
                              <a:tailEnd/>
                            </a:ln>
                          </wps:spPr>
                          <wps:txbx>
                            <w:txbxContent>
                              <w:p w14:paraId="3484A91C" w14:textId="77777777" w:rsidR="001B4837" w:rsidRDefault="001B4837" w:rsidP="009C62A0"/>
                            </w:txbxContent>
                          </wps:txbx>
                          <wps:bodyPr/>
                        </wps:wsp>
                        <wps:wsp>
                          <wps:cNvPr id="107701" name="Freeform 22"/>
                          <wps:cNvSpPr>
                            <a:spLocks noChangeAspect="1"/>
                          </wps:cNvSpPr>
                          <wps:spPr bwMode="gray">
                            <a:xfrm>
                              <a:off x="0" y="6248767"/>
                              <a:ext cx="161925" cy="1827212"/>
                            </a:xfrm>
                            <a:custGeom>
                              <a:avLst/>
                              <a:gdLst/>
                              <a:ahLst/>
                              <a:cxnLst>
                                <a:cxn ang="0">
                                  <a:pos x="120" y="0"/>
                                </a:cxn>
                                <a:cxn ang="0">
                                  <a:pos x="120" y="1354"/>
                                </a:cxn>
                                <a:cxn ang="0">
                                  <a:pos x="0" y="1354"/>
                                </a:cxn>
                                <a:cxn ang="0">
                                  <a:pos x="0" y="85"/>
                                </a:cxn>
                                <a:cxn ang="0">
                                  <a:pos x="120" y="0"/>
                                </a:cxn>
                              </a:cxnLst>
                              <a:rect l="0" t="0" r="r" b="b"/>
                              <a:pathLst>
                                <a:path w="120" h="1354">
                                  <a:moveTo>
                                    <a:pt x="120" y="0"/>
                                  </a:moveTo>
                                  <a:lnTo>
                                    <a:pt x="120" y="1354"/>
                                  </a:lnTo>
                                  <a:lnTo>
                                    <a:pt x="0" y="1354"/>
                                  </a:lnTo>
                                  <a:lnTo>
                                    <a:pt x="0" y="85"/>
                                  </a:lnTo>
                                  <a:lnTo>
                                    <a:pt x="120" y="0"/>
                                  </a:lnTo>
                                  <a:close/>
                                </a:path>
                              </a:pathLst>
                            </a:custGeom>
                            <a:grpFill/>
                            <a:ln w="9525">
                              <a:noFill/>
                              <a:round/>
                              <a:headEnd/>
                              <a:tailEnd/>
                            </a:ln>
                          </wps:spPr>
                          <wps:txbx>
                            <w:txbxContent>
                              <w:p w14:paraId="398A4D91" w14:textId="77777777" w:rsidR="001B4837" w:rsidRDefault="001B4837" w:rsidP="009C62A0"/>
                            </w:txbxContent>
                          </wps:txbx>
                          <wps:bodyPr/>
                        </wps:wsp>
                        <wps:wsp>
                          <wps:cNvPr id="107702" name="Freeform 22"/>
                          <wps:cNvSpPr>
                            <a:spLocks noChangeAspect="1"/>
                          </wps:cNvSpPr>
                          <wps:spPr bwMode="gray">
                            <a:xfrm>
                              <a:off x="0" y="5027540"/>
                              <a:ext cx="161925" cy="1827212"/>
                            </a:xfrm>
                            <a:custGeom>
                              <a:avLst/>
                              <a:gdLst/>
                              <a:ahLst/>
                              <a:cxnLst>
                                <a:cxn ang="0">
                                  <a:pos x="120" y="0"/>
                                </a:cxn>
                                <a:cxn ang="0">
                                  <a:pos x="120" y="1354"/>
                                </a:cxn>
                                <a:cxn ang="0">
                                  <a:pos x="0" y="1354"/>
                                </a:cxn>
                                <a:cxn ang="0">
                                  <a:pos x="0" y="85"/>
                                </a:cxn>
                                <a:cxn ang="0">
                                  <a:pos x="120" y="0"/>
                                </a:cxn>
                              </a:cxnLst>
                              <a:rect l="0" t="0" r="r" b="b"/>
                              <a:pathLst>
                                <a:path w="120" h="1354">
                                  <a:moveTo>
                                    <a:pt x="120" y="0"/>
                                  </a:moveTo>
                                  <a:lnTo>
                                    <a:pt x="120" y="1354"/>
                                  </a:lnTo>
                                  <a:lnTo>
                                    <a:pt x="0" y="1354"/>
                                  </a:lnTo>
                                  <a:lnTo>
                                    <a:pt x="0" y="85"/>
                                  </a:lnTo>
                                  <a:lnTo>
                                    <a:pt x="120" y="0"/>
                                  </a:lnTo>
                                  <a:close/>
                                </a:path>
                              </a:pathLst>
                            </a:custGeom>
                            <a:grpFill/>
                            <a:ln w="9525">
                              <a:noFill/>
                              <a:round/>
                              <a:headEnd/>
                              <a:tailEnd/>
                            </a:ln>
                          </wps:spPr>
                          <wps:txbx>
                            <w:txbxContent>
                              <w:p w14:paraId="54936D10" w14:textId="77777777" w:rsidR="001B4837" w:rsidRDefault="001B4837" w:rsidP="009C62A0"/>
                            </w:txbxContent>
                          </wps:txbx>
                          <wps:bodyPr/>
                        </wps:wsp>
                        <wps:wsp>
                          <wps:cNvPr id="107703" name="Freeform 22"/>
                          <wps:cNvSpPr>
                            <a:spLocks noChangeAspect="1"/>
                          </wps:cNvSpPr>
                          <wps:spPr bwMode="gray">
                            <a:xfrm>
                              <a:off x="0" y="4459761"/>
                              <a:ext cx="161925" cy="1827212"/>
                            </a:xfrm>
                            <a:custGeom>
                              <a:avLst/>
                              <a:gdLst/>
                              <a:ahLst/>
                              <a:cxnLst>
                                <a:cxn ang="0">
                                  <a:pos x="120" y="0"/>
                                </a:cxn>
                                <a:cxn ang="0">
                                  <a:pos x="120" y="1354"/>
                                </a:cxn>
                                <a:cxn ang="0">
                                  <a:pos x="0" y="1354"/>
                                </a:cxn>
                                <a:cxn ang="0">
                                  <a:pos x="0" y="85"/>
                                </a:cxn>
                                <a:cxn ang="0">
                                  <a:pos x="120" y="0"/>
                                </a:cxn>
                              </a:cxnLst>
                              <a:rect l="0" t="0" r="r" b="b"/>
                              <a:pathLst>
                                <a:path w="120" h="1354">
                                  <a:moveTo>
                                    <a:pt x="120" y="0"/>
                                  </a:moveTo>
                                  <a:lnTo>
                                    <a:pt x="120" y="1354"/>
                                  </a:lnTo>
                                  <a:lnTo>
                                    <a:pt x="0" y="1354"/>
                                  </a:lnTo>
                                  <a:lnTo>
                                    <a:pt x="0" y="85"/>
                                  </a:lnTo>
                                  <a:lnTo>
                                    <a:pt x="120" y="0"/>
                                  </a:lnTo>
                                  <a:close/>
                                </a:path>
                              </a:pathLst>
                            </a:custGeom>
                            <a:grpFill/>
                            <a:ln w="9525">
                              <a:noFill/>
                              <a:round/>
                              <a:headEnd/>
                              <a:tailEnd/>
                            </a:ln>
                          </wps:spPr>
                          <wps:txbx>
                            <w:txbxContent>
                              <w:p w14:paraId="476297E6" w14:textId="77777777" w:rsidR="001B4837" w:rsidRDefault="001B4837" w:rsidP="009C62A0"/>
                            </w:txbxContent>
                          </wps:txbx>
                          <wps:bodyPr/>
                        </wps:wsp>
                      </wpg:grpSp>
                      <wps:wsp>
                        <wps:cNvPr id="107704" name="Rectangle 107704"/>
                        <wps:cNvSpPr/>
                        <wps:spPr>
                          <a:xfrm>
                            <a:off x="0" y="0"/>
                            <a:ext cx="6839585" cy="9971405"/>
                          </a:xfrm>
                          <a:prstGeom prst="rect">
                            <a:avLst/>
                          </a:prstGeom>
                          <a:noFill/>
                          <a:ln w="12700" cap="flat" cmpd="sng" algn="ctr">
                            <a:solidFill>
                              <a:srgbClr val="40404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49B91E" id="Group 107696" o:spid="_x0000_s1037" style="position:absolute;margin-left:-44.35pt;margin-top:26.85pt;width:538.55pt;height:785.15pt;z-index:-251658235;mso-position-horizontal-relative:margin;mso-position-vertical-relative:page;mso-width-relative:margin;mso-height-relative:margin" coordsize="68395,99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">
                <v:rect id="Rectangle 107697" o:spid="_x0000_s1038" style="position:absolute;width:68395;height:99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" fillcolor="#98002e" strokecolor="#404040" strokeweight="1pt">
                  <v:textbox>
                    <w:txbxContent>
                      <w:p w14:paraId="7E61FE02" w14:textId="77777777" w:rsidR="00125D46" w:rsidRDefault="00125D46" w:rsidP="00125D46">
                        <w:pPr>
                          <w:jc w:val="center"/>
                        </w:pPr>
                      </w:p>
                    </w:txbxContent>
                  </v:textbox>
                </v:rect>
                <v:group id="Group 107698" o:spid="_x0000_s1039" style="position:absolute;left:9144;width:1619;height:99708" coordorigin=",-18987" coordsize="1619,99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">
                  <v:shape id="Freeform 23" o:spid="_x0000_s1040" style="position:absolute;top:-18987;width:1619;height:8985;visibility:visible;mso-wrap-style:square;v-text-anchor:top" coordsize="120,666"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" adj="-11796480,,5400" path="m120,581l120,,,,,666,120,581xe" filled="f" stroked="f">
                    <v:stroke joinstyle="round"/>
                    <v:formulas/>
                    <v:path arrowok="t" o:connecttype="custom" o:connectlocs="120,581;120,0;0,0;0,666;120,581" o:connectangles="0,0,0,0,0" textboxrect="0,0,120,666"/>
                    <o:lock v:ext="edit" aspectratio="t"/>
                    <v:textbox>
                      <w:txbxContent>
                        <w:p w14:paraId="660780A5" w14:textId="77777777" w:rsidR="001B4837" w:rsidRDefault="001B4837" w:rsidP="009C62A0"/>
                      </w:txbxContent>
                    </v:textbox>
                  </v:shape>
                  <v:shape id="Freeform 23" o:spid="_x0000_s1041" style="position:absolute;top:-14308;width:1619;height:8985;visibility:visible;mso-wrap-style:square;v-text-anchor:top" coordsize="120,666"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" adj="-11796480,,5400" path="m120,581l120,,,,,666,120,581xe" filled="f" stroked="f">
                    <v:stroke joinstyle="round"/>
                    <v:formulas/>
                    <v:path arrowok="t" o:connecttype="custom" o:connectlocs="120,581;120,0;0,0;0,666;120,581" o:connectangles="0,0,0,0,0" textboxrect="0,0,120,666"/>
                    <o:lock v:ext="edit" aspectratio="t"/>
                    <v:textbox>
                      <w:txbxContent>
                        <w:p w14:paraId="3484A91C" w14:textId="77777777" w:rsidR="001B4837" w:rsidRDefault="001B4837" w:rsidP="009C62A0"/>
                      </w:txbxContent>
                    </v:textbox>
                  </v:shape>
                  <v:shape id="Freeform 22" o:spid="_x0000_s1042" style="position:absolute;top:62487;width:1619;height:18272;visibility:visible;mso-wrap-style:square;v-text-anchor:top" coordsize="120,1354"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" adj="-11796480,,5400" path="m120,r,1354l,1354,,85,120,xe" filled="f" stroked="f">
                    <v:stroke joinstyle="round"/>
                    <v:formulas/>
                    <v:path arrowok="t" o:connecttype="custom" o:connectlocs="120,0;120,1354;0,1354;0,85;120,0" o:connectangles="0,0,0,0,0" textboxrect="0,0,120,1354"/>
                    <o:lock v:ext="edit" aspectratio="t"/>
                    <v:textbox>
                      <w:txbxContent>
                        <w:p w14:paraId="398A4D91" w14:textId="77777777" w:rsidR="001B4837" w:rsidRDefault="001B4837" w:rsidP="009C62A0"/>
                      </w:txbxContent>
                    </v:textbox>
                  </v:shape>
                  <v:shape id="Freeform 22" o:spid="_x0000_s1043" style="position:absolute;top:50275;width:1619;height:18272;visibility:visible;mso-wrap-style:square;v-text-anchor:top" coordsize="120,1354"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" adj="-11796480,,5400" path="m120,r,1354l,1354,,85,120,xe" filled="f" stroked="f">
                    <v:stroke joinstyle="round"/>
                    <v:formulas/>
                    <v:path arrowok="t" o:connecttype="custom" o:connectlocs="120,0;120,1354;0,1354;0,85;120,0" o:connectangles="0,0,0,0,0" textboxrect="0,0,120,1354"/>
                    <o:lock v:ext="edit" aspectratio="t"/>
                    <v:textbox>
                      <w:txbxContent>
                        <w:p w14:paraId="54936D10" w14:textId="77777777" w:rsidR="001B4837" w:rsidRDefault="001B4837" w:rsidP="009C62A0"/>
                      </w:txbxContent>
                    </v:textbox>
                  </v:shape>
                  <v:shape id="Freeform 22" o:spid="_x0000_s1044" style="position:absolute;top:44597;width:1619;height:18272;visibility:visible;mso-wrap-style:square;v-text-anchor:top" coordsize="120,1354"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" adj="-11796480,,5400" path="m120,r,1354l,1354,,85,120,xe" filled="f" stroked="f">
                    <v:stroke joinstyle="round"/>
                    <v:formulas/>
                    <v:path arrowok="t" o:connecttype="custom" o:connectlocs="120,0;120,1354;0,1354;0,85;120,0" o:connectangles="0,0,0,0,0" textboxrect="0,0,120,1354"/>
                    <o:lock v:ext="edit" aspectratio="t"/>
                    <v:textbox>
                      <w:txbxContent>
                        <w:p w14:paraId="476297E6" w14:textId="77777777" w:rsidR="001B4837" w:rsidRDefault="001B4837" w:rsidP="009C62A0"/>
                      </w:txbxContent>
                    </v:textbox>
                  </v:shape>
                </v:group>
                <v:rect id="Rectangle 107704" o:spid="_x0000_s1045" style="position:absolute;width:68395;height:99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" filled="f" strokecolor="#404040" strokeweight="1pt"/>
                <w10:wrap anchorx="margin" anchory="page"/>
                <w10:anchorlock/>
              </v:group>
            </w:pict>
          </mc:Fallback>
        </mc:AlternateContent>
      </w:r>
    </w:p>
    <w:p w14:paraId="1F3A52C3" w14:textId="77777777" w:rsidR="009C62A0" w:rsidRPr="00894701" w:rsidRDefault="009C62A0" w:rsidP="009C62A0">
      <w:pPr>
        <w:spacing w:after="0" w:line="240" w:lineRule="auto"/>
        <w:rPr>
          <w:rFonts w:asciiTheme="majorHAnsi" w:hAnsiTheme="majorHAnsi"/>
        </w:rPr>
      </w:pPr>
    </w:p>
    <w:p w14:paraId="1B85BC3D" w14:textId="77777777" w:rsidR="009C62A0" w:rsidRPr="00894701" w:rsidRDefault="009C62A0" w:rsidP="009C62A0">
      <w:pPr>
        <w:spacing w:after="0" w:line="240" w:lineRule="auto"/>
        <w:rPr>
          <w:rFonts w:asciiTheme="majorHAnsi" w:hAnsiTheme="majorHAnsi"/>
        </w:rPr>
      </w:pPr>
    </w:p>
    <w:p w14:paraId="749328E1" w14:textId="77777777" w:rsidR="009C62A0" w:rsidRPr="00894701" w:rsidRDefault="009C62A0" w:rsidP="009C62A0">
      <w:pPr>
        <w:spacing w:after="0" w:line="240" w:lineRule="auto"/>
        <w:rPr>
          <w:rFonts w:asciiTheme="majorHAnsi" w:hAnsiTheme="majorHAnsi"/>
        </w:rPr>
      </w:pPr>
    </w:p>
    <w:p w14:paraId="4C942CD5" w14:textId="77777777" w:rsidR="009C62A0" w:rsidRPr="00894701" w:rsidRDefault="009C62A0" w:rsidP="009C62A0">
      <w:pPr>
        <w:spacing w:after="0" w:line="240" w:lineRule="auto"/>
        <w:rPr>
          <w:rFonts w:asciiTheme="majorHAnsi" w:hAnsiTheme="majorHAnsi"/>
        </w:rPr>
      </w:pPr>
    </w:p>
    <w:p w14:paraId="6B88D333" w14:textId="77777777" w:rsidR="009C62A0" w:rsidRPr="00894701" w:rsidRDefault="009C62A0" w:rsidP="009C62A0">
      <w:pPr>
        <w:spacing w:after="0" w:line="240" w:lineRule="auto"/>
        <w:rPr>
          <w:rFonts w:asciiTheme="majorHAnsi" w:hAnsiTheme="majorHAnsi"/>
        </w:rPr>
      </w:pPr>
    </w:p>
    <w:p w14:paraId="7B1B33F9" w14:textId="77777777" w:rsidR="009C62A0" w:rsidRPr="00894701" w:rsidRDefault="009C62A0" w:rsidP="009C62A0">
      <w:pPr>
        <w:pStyle w:val="BDODisclaimer"/>
        <w:jc w:val="left"/>
        <w:rPr>
          <w:b w:val="0"/>
          <w:i/>
          <w:color w:val="auto"/>
          <w:sz w:val="24"/>
        </w:rPr>
      </w:pPr>
    </w:p>
    <w:p w14:paraId="5DA5DFC0" w14:textId="77777777" w:rsidR="009C62A0" w:rsidRPr="00894701" w:rsidRDefault="009C62A0" w:rsidP="009C62A0">
      <w:pPr>
        <w:spacing w:after="0" w:line="240" w:lineRule="auto"/>
        <w:rPr>
          <w:rFonts w:asciiTheme="majorHAnsi" w:hAnsiTheme="majorHAnsi"/>
        </w:rPr>
      </w:pPr>
    </w:p>
    <w:p w14:paraId="3F85B22D" w14:textId="77777777" w:rsidR="009C62A0" w:rsidRPr="00894701" w:rsidRDefault="009C62A0" w:rsidP="009C62A0">
      <w:pPr>
        <w:spacing w:after="0" w:line="240" w:lineRule="auto"/>
        <w:rPr>
          <w:rFonts w:asciiTheme="majorHAnsi" w:hAnsiTheme="majorHAnsi"/>
        </w:rPr>
      </w:pPr>
    </w:p>
    <w:p w14:paraId="071131A2" w14:textId="77777777" w:rsidR="009C62A0" w:rsidRPr="00894701" w:rsidRDefault="009C62A0" w:rsidP="009C62A0">
      <w:pPr>
        <w:spacing w:after="0" w:line="240" w:lineRule="auto"/>
        <w:rPr>
          <w:rFonts w:asciiTheme="majorHAnsi" w:hAnsiTheme="majorHAnsi"/>
        </w:rPr>
      </w:pPr>
      <w:r w:rsidRPr="00894701">
        <w:rPr>
          <w:rFonts w:asciiTheme="majorHAnsi" w:hAnsiTheme="majorHAnsi"/>
        </w:rPr>
        <w:br w:type="page"/>
      </w:r>
    </w:p>
    <w:p w14:paraId="39A9B9B1" w14:textId="77777777" w:rsidR="009C62A0" w:rsidRPr="00894701" w:rsidRDefault="009C62A0" w:rsidP="009C62A0">
      <w:pPr>
        <w:ind w:right="480"/>
        <w:rPr>
          <w:rFonts w:asciiTheme="majorHAnsi" w:hAnsiTheme="majorHAnsi"/>
        </w:rPr>
        <w:sectPr w:rsidR="009C62A0" w:rsidRPr="00894701" w:rsidSect="009E5D28">
          <w:headerReference w:type="default" r:id="rId17"/>
          <w:footerReference w:type="default" r:id="rId18"/>
          <w:type w:val="continuous"/>
          <w:pgSz w:w="11906" w:h="16838" w:code="9"/>
          <w:pgMar w:top="1440" w:right="1440" w:bottom="1440" w:left="1440" w:header="851" w:footer="709" w:gutter="0"/>
          <w:cols w:space="708"/>
          <w:docGrid w:linePitch="360"/>
        </w:sectPr>
      </w:pPr>
    </w:p>
    <w:p w14:paraId="3288430B" w14:textId="74E5B65B" w:rsidR="009C62A0" w:rsidRPr="00894701" w:rsidRDefault="009C62A0">
      <w:pPr>
        <w:spacing w:after="0" w:line="240" w:lineRule="auto"/>
        <w:rPr>
          <w:rFonts w:asciiTheme="minorHAnsi" w:hAnsiTheme="minorHAnsi"/>
        </w:rPr>
      </w:pPr>
    </w:p>
    <w:p w14:paraId="0AFA4B11" w14:textId="77777777" w:rsidR="00407658" w:rsidRPr="00894701" w:rsidRDefault="00407658" w:rsidP="00F733B5">
      <w:pPr>
        <w:spacing w:after="0" w:line="240" w:lineRule="auto"/>
        <w:rPr>
          <w:rFonts w:asciiTheme="minorHAnsi" w:hAnsiTheme="minorHAnsi"/>
        </w:rPr>
      </w:pPr>
    </w:p>
    <w:p w14:paraId="3080BB7D" w14:textId="3365246A" w:rsidR="004F03C1" w:rsidRPr="00894701" w:rsidRDefault="004F03C1" w:rsidP="008F78E0">
      <w:pPr>
        <w:ind w:right="480"/>
        <w:rPr>
          <w:rFonts w:asciiTheme="minorHAnsi" w:hAnsiTheme="minorHAnsi"/>
          <w:color w:val="FF0000"/>
        </w:rPr>
        <w:sectPr w:rsidR="004F03C1" w:rsidRPr="00894701" w:rsidSect="009E5D28">
          <w:headerReference w:type="default" r:id="rId19"/>
          <w:footerReference w:type="default" r:id="rId20"/>
          <w:type w:val="continuous"/>
          <w:pgSz w:w="11906" w:h="16838" w:code="9"/>
          <w:pgMar w:top="1440" w:right="1440" w:bottom="1440" w:left="1440" w:header="851" w:footer="709" w:gutter="0"/>
          <w:cols w:space="708"/>
          <w:docGrid w:linePitch="360"/>
        </w:sectPr>
      </w:pPr>
    </w:p>
    <w:p w14:paraId="55A5709E" w14:textId="77777777" w:rsidR="004F03C1" w:rsidRPr="00894701" w:rsidRDefault="00F00735" w:rsidP="00A87821">
      <w:pPr>
        <w:pStyle w:val="TableOfContentsHeader"/>
        <w:ind w:right="-46"/>
        <w:rPr>
          <w:rFonts w:asciiTheme="minorHAnsi" w:hAnsiTheme="minorHAnsi"/>
          <w:sz w:val="20"/>
          <w:szCs w:val="20"/>
        </w:rPr>
      </w:pPr>
      <w:r w:rsidRPr="00894701">
        <w:rPr>
          <w:rFonts w:asciiTheme="minorHAnsi" w:hAnsiTheme="minorHAnsi"/>
          <w:sz w:val="20"/>
          <w:szCs w:val="20"/>
        </w:rPr>
        <w:t xml:space="preserve">Table </w:t>
      </w:r>
      <w:r w:rsidR="00540C87" w:rsidRPr="00894701">
        <w:rPr>
          <w:rFonts w:asciiTheme="minorHAnsi" w:hAnsiTheme="minorHAnsi"/>
          <w:sz w:val="20"/>
          <w:szCs w:val="20"/>
        </w:rPr>
        <w:t>of contents</w:t>
      </w:r>
    </w:p>
    <w:p w14:paraId="336E518B" w14:textId="14583A7C" w:rsidR="00197D9B" w:rsidRDefault="009F372D">
      <w:pPr>
        <w:pStyle w:val="TOC1"/>
        <w:rPr>
          <w:rFonts w:eastAsiaTheme="minorEastAsia" w:cstheme="minorBidi"/>
          <w:noProof/>
          <w:color w:val="auto"/>
          <w:kern w:val="0"/>
          <w:sz w:val="22"/>
          <w:szCs w:val="22"/>
          <w:lang w:val="fr-FR" w:eastAsia="fr-FR"/>
        </w:rPr>
      </w:pPr>
      <w:r w:rsidRPr="00894701">
        <w:fldChar w:fldCharType="begin"/>
      </w:r>
      <w:r w:rsidRPr="00894701">
        <w:instrText xml:space="preserve"> TOC \o "1-4" \h \z \u </w:instrText>
      </w:r>
      <w:r w:rsidRPr="00894701">
        <w:fldChar w:fldCharType="separate"/>
      </w:r>
      <w:hyperlink w:anchor="_Toc122478826" w:history="1">
        <w:r w:rsidR="00197D9B" w:rsidRPr="00081B51">
          <w:rPr>
            <w:rStyle w:val="Hyperlink"/>
            <w:rFonts w:eastAsiaTheme="majorEastAsia"/>
            <w:noProof/>
          </w:rPr>
          <w:t>OVERVIEW</w:t>
        </w:r>
        <w:r w:rsidR="00197D9B">
          <w:rPr>
            <w:noProof/>
            <w:webHidden/>
          </w:rPr>
          <w:tab/>
        </w:r>
        <w:r w:rsidR="00197D9B">
          <w:rPr>
            <w:noProof/>
            <w:webHidden/>
          </w:rPr>
          <w:fldChar w:fldCharType="begin"/>
        </w:r>
        <w:r w:rsidR="00197D9B">
          <w:rPr>
            <w:noProof/>
            <w:webHidden/>
          </w:rPr>
          <w:instrText xml:space="preserve"> PAGEREF _Toc122478826 \h </w:instrText>
        </w:r>
        <w:r w:rsidR="00197D9B">
          <w:rPr>
            <w:noProof/>
            <w:webHidden/>
          </w:rPr>
        </w:r>
        <w:r w:rsidR="00197D9B">
          <w:rPr>
            <w:noProof/>
            <w:webHidden/>
          </w:rPr>
          <w:fldChar w:fldCharType="separate"/>
        </w:r>
        <w:r w:rsidR="003D0091">
          <w:rPr>
            <w:noProof/>
            <w:webHidden/>
          </w:rPr>
          <w:t>9</w:t>
        </w:r>
        <w:r w:rsidR="00197D9B">
          <w:rPr>
            <w:noProof/>
            <w:webHidden/>
          </w:rPr>
          <w:fldChar w:fldCharType="end"/>
        </w:r>
      </w:hyperlink>
    </w:p>
    <w:p w14:paraId="2A3AFEB7" w14:textId="17C859A0" w:rsidR="00197D9B" w:rsidRDefault="00511B60" w:rsidP="003D0091">
      <w:pPr>
        <w:pStyle w:val="TOC2"/>
        <w:rPr>
          <w:rFonts w:eastAsiaTheme="minorEastAsia" w:cstheme="minorBidi"/>
          <w:noProof/>
          <w:color w:val="auto"/>
          <w:kern w:val="0"/>
          <w:sz w:val="22"/>
          <w:szCs w:val="22"/>
          <w:lang w:val="fr-FR" w:eastAsia="fr-FR"/>
        </w:rPr>
      </w:pPr>
      <w:hyperlink w:anchor="_Toc122478827" w:history="1">
        <w:r w:rsidR="00197D9B" w:rsidRPr="00081B51">
          <w:rPr>
            <w:rStyle w:val="Hyperlink"/>
            <w:rFonts w:eastAsiaTheme="majorEastAsia"/>
            <w:noProof/>
          </w:rPr>
          <w:t>Background</w:t>
        </w:r>
        <w:r w:rsidR="00197D9B">
          <w:rPr>
            <w:noProof/>
            <w:webHidden/>
          </w:rPr>
          <w:tab/>
        </w:r>
        <w:r w:rsidR="00197D9B">
          <w:rPr>
            <w:noProof/>
            <w:webHidden/>
          </w:rPr>
          <w:fldChar w:fldCharType="begin"/>
        </w:r>
        <w:r w:rsidR="00197D9B">
          <w:rPr>
            <w:noProof/>
            <w:webHidden/>
          </w:rPr>
          <w:instrText xml:space="preserve"> PAGEREF _Toc122478827 \h </w:instrText>
        </w:r>
        <w:r w:rsidR="00197D9B">
          <w:rPr>
            <w:noProof/>
            <w:webHidden/>
          </w:rPr>
        </w:r>
        <w:r w:rsidR="00197D9B">
          <w:rPr>
            <w:noProof/>
            <w:webHidden/>
          </w:rPr>
          <w:fldChar w:fldCharType="separate"/>
        </w:r>
        <w:r w:rsidR="003D0091">
          <w:rPr>
            <w:noProof/>
            <w:webHidden/>
          </w:rPr>
          <w:t>9</w:t>
        </w:r>
        <w:r w:rsidR="00197D9B">
          <w:rPr>
            <w:noProof/>
            <w:webHidden/>
          </w:rPr>
          <w:fldChar w:fldCharType="end"/>
        </w:r>
      </w:hyperlink>
    </w:p>
    <w:p w14:paraId="344A7551" w14:textId="7C2319E6" w:rsidR="00197D9B" w:rsidRDefault="00511B60" w:rsidP="003D0091">
      <w:pPr>
        <w:pStyle w:val="TOC2"/>
        <w:rPr>
          <w:rFonts w:eastAsiaTheme="minorEastAsia" w:cstheme="minorBidi"/>
          <w:noProof/>
          <w:color w:val="auto"/>
          <w:kern w:val="0"/>
          <w:sz w:val="22"/>
          <w:szCs w:val="22"/>
          <w:lang w:val="fr-FR" w:eastAsia="fr-FR"/>
        </w:rPr>
      </w:pPr>
      <w:hyperlink w:anchor="_Toc122478828" w:history="1">
        <w:r w:rsidR="00197D9B" w:rsidRPr="00081B51">
          <w:rPr>
            <w:rStyle w:val="Hyperlink"/>
            <w:rFonts w:eastAsiaTheme="majorEastAsia"/>
            <w:noProof/>
          </w:rPr>
          <w:t>EITI in Suriname-Timeline</w:t>
        </w:r>
        <w:r w:rsidR="00197D9B">
          <w:rPr>
            <w:noProof/>
            <w:webHidden/>
          </w:rPr>
          <w:tab/>
        </w:r>
        <w:r w:rsidR="00197D9B">
          <w:rPr>
            <w:noProof/>
            <w:webHidden/>
          </w:rPr>
          <w:fldChar w:fldCharType="begin"/>
        </w:r>
        <w:r w:rsidR="00197D9B">
          <w:rPr>
            <w:noProof/>
            <w:webHidden/>
          </w:rPr>
          <w:instrText xml:space="preserve"> PAGEREF _Toc122478828 \h </w:instrText>
        </w:r>
        <w:r w:rsidR="00197D9B">
          <w:rPr>
            <w:noProof/>
            <w:webHidden/>
          </w:rPr>
        </w:r>
        <w:r w:rsidR="00197D9B">
          <w:rPr>
            <w:noProof/>
            <w:webHidden/>
          </w:rPr>
          <w:fldChar w:fldCharType="separate"/>
        </w:r>
        <w:r w:rsidR="003D0091">
          <w:rPr>
            <w:noProof/>
            <w:webHidden/>
          </w:rPr>
          <w:t>9</w:t>
        </w:r>
        <w:r w:rsidR="00197D9B">
          <w:rPr>
            <w:noProof/>
            <w:webHidden/>
          </w:rPr>
          <w:fldChar w:fldCharType="end"/>
        </w:r>
      </w:hyperlink>
    </w:p>
    <w:p w14:paraId="27837F2A" w14:textId="69A59765" w:rsidR="00197D9B" w:rsidRDefault="00511B60" w:rsidP="003D0091">
      <w:pPr>
        <w:pStyle w:val="TOC2"/>
        <w:rPr>
          <w:rFonts w:eastAsiaTheme="minorEastAsia" w:cstheme="minorBidi"/>
          <w:noProof/>
          <w:color w:val="auto"/>
          <w:kern w:val="0"/>
          <w:sz w:val="22"/>
          <w:szCs w:val="22"/>
          <w:lang w:val="fr-FR" w:eastAsia="fr-FR"/>
        </w:rPr>
      </w:pPr>
      <w:hyperlink w:anchor="_Toc122478829" w:history="1">
        <w:r w:rsidR="00197D9B" w:rsidRPr="00081B51">
          <w:rPr>
            <w:rStyle w:val="Hyperlink"/>
            <w:rFonts w:eastAsiaTheme="majorEastAsia"/>
            <w:noProof/>
          </w:rPr>
          <w:t>Scope of Work</w:t>
        </w:r>
        <w:r w:rsidR="00197D9B">
          <w:rPr>
            <w:noProof/>
            <w:webHidden/>
          </w:rPr>
          <w:tab/>
        </w:r>
        <w:r w:rsidR="00197D9B">
          <w:rPr>
            <w:noProof/>
            <w:webHidden/>
          </w:rPr>
          <w:fldChar w:fldCharType="begin"/>
        </w:r>
        <w:r w:rsidR="00197D9B">
          <w:rPr>
            <w:noProof/>
            <w:webHidden/>
          </w:rPr>
          <w:instrText xml:space="preserve"> PAGEREF _Toc122478829 \h </w:instrText>
        </w:r>
        <w:r w:rsidR="00197D9B">
          <w:rPr>
            <w:noProof/>
            <w:webHidden/>
          </w:rPr>
        </w:r>
        <w:r w:rsidR="00197D9B">
          <w:rPr>
            <w:noProof/>
            <w:webHidden/>
          </w:rPr>
          <w:fldChar w:fldCharType="separate"/>
        </w:r>
        <w:r w:rsidR="003D0091">
          <w:rPr>
            <w:noProof/>
            <w:webHidden/>
          </w:rPr>
          <w:t>11</w:t>
        </w:r>
        <w:r w:rsidR="00197D9B">
          <w:rPr>
            <w:noProof/>
            <w:webHidden/>
          </w:rPr>
          <w:fldChar w:fldCharType="end"/>
        </w:r>
      </w:hyperlink>
    </w:p>
    <w:p w14:paraId="7AB246D2" w14:textId="10ADEDDD" w:rsidR="00197D9B" w:rsidRDefault="00511B60" w:rsidP="003D0091">
      <w:pPr>
        <w:pStyle w:val="TOC2"/>
        <w:rPr>
          <w:rFonts w:eastAsiaTheme="minorEastAsia" w:cstheme="minorBidi"/>
          <w:noProof/>
          <w:color w:val="auto"/>
          <w:kern w:val="0"/>
          <w:sz w:val="22"/>
          <w:szCs w:val="22"/>
          <w:lang w:val="fr-FR" w:eastAsia="fr-FR"/>
        </w:rPr>
      </w:pPr>
      <w:hyperlink w:anchor="_Toc122478830" w:history="1">
        <w:r w:rsidR="00197D9B" w:rsidRPr="00081B51">
          <w:rPr>
            <w:rStyle w:val="Hyperlink"/>
            <w:rFonts w:asciiTheme="majorHAnsi" w:eastAsiaTheme="majorEastAsia" w:hAnsiTheme="majorHAnsi"/>
            <w:noProof/>
          </w:rPr>
          <w:t>Terminology</w:t>
        </w:r>
        <w:r w:rsidR="00197D9B">
          <w:rPr>
            <w:noProof/>
            <w:webHidden/>
          </w:rPr>
          <w:tab/>
        </w:r>
        <w:r w:rsidR="00197D9B">
          <w:rPr>
            <w:noProof/>
            <w:webHidden/>
          </w:rPr>
          <w:fldChar w:fldCharType="begin"/>
        </w:r>
        <w:r w:rsidR="00197D9B">
          <w:rPr>
            <w:noProof/>
            <w:webHidden/>
          </w:rPr>
          <w:instrText xml:space="preserve"> PAGEREF _Toc122478830 \h </w:instrText>
        </w:r>
        <w:r w:rsidR="00197D9B">
          <w:rPr>
            <w:noProof/>
            <w:webHidden/>
          </w:rPr>
        </w:r>
        <w:r w:rsidR="00197D9B">
          <w:rPr>
            <w:noProof/>
            <w:webHidden/>
          </w:rPr>
          <w:fldChar w:fldCharType="separate"/>
        </w:r>
        <w:r w:rsidR="003D0091">
          <w:rPr>
            <w:noProof/>
            <w:webHidden/>
          </w:rPr>
          <w:t>11</w:t>
        </w:r>
        <w:r w:rsidR="00197D9B">
          <w:rPr>
            <w:noProof/>
            <w:webHidden/>
          </w:rPr>
          <w:fldChar w:fldCharType="end"/>
        </w:r>
      </w:hyperlink>
    </w:p>
    <w:p w14:paraId="2453DAF4" w14:textId="7B8AE789" w:rsidR="00197D9B" w:rsidRDefault="00511B60">
      <w:pPr>
        <w:pStyle w:val="TOC1"/>
        <w:rPr>
          <w:rFonts w:eastAsiaTheme="minorEastAsia" w:cstheme="minorBidi"/>
          <w:noProof/>
          <w:color w:val="auto"/>
          <w:kern w:val="0"/>
          <w:sz w:val="22"/>
          <w:szCs w:val="22"/>
          <w:lang w:val="fr-FR" w:eastAsia="fr-FR"/>
        </w:rPr>
      </w:pPr>
      <w:hyperlink w:anchor="_Toc122478831" w:history="1">
        <w:r w:rsidR="00197D9B" w:rsidRPr="00081B51">
          <w:rPr>
            <w:rStyle w:val="Hyperlink"/>
            <w:rFonts w:eastAsiaTheme="majorEastAsia"/>
            <w:noProof/>
          </w:rPr>
          <w:t>1.</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Excecutive summary</w:t>
        </w:r>
        <w:r w:rsidR="00197D9B">
          <w:rPr>
            <w:noProof/>
            <w:webHidden/>
          </w:rPr>
          <w:tab/>
        </w:r>
        <w:r w:rsidR="00197D9B">
          <w:rPr>
            <w:noProof/>
            <w:webHidden/>
          </w:rPr>
          <w:fldChar w:fldCharType="begin"/>
        </w:r>
        <w:r w:rsidR="00197D9B">
          <w:rPr>
            <w:noProof/>
            <w:webHidden/>
          </w:rPr>
          <w:instrText xml:space="preserve"> PAGEREF _Toc122478831 \h </w:instrText>
        </w:r>
        <w:r w:rsidR="00197D9B">
          <w:rPr>
            <w:noProof/>
            <w:webHidden/>
          </w:rPr>
        </w:r>
        <w:r w:rsidR="00197D9B">
          <w:rPr>
            <w:noProof/>
            <w:webHidden/>
          </w:rPr>
          <w:fldChar w:fldCharType="separate"/>
        </w:r>
        <w:r w:rsidR="003D0091">
          <w:rPr>
            <w:noProof/>
            <w:webHidden/>
          </w:rPr>
          <w:t>12</w:t>
        </w:r>
        <w:r w:rsidR="00197D9B">
          <w:rPr>
            <w:noProof/>
            <w:webHidden/>
          </w:rPr>
          <w:fldChar w:fldCharType="end"/>
        </w:r>
      </w:hyperlink>
    </w:p>
    <w:p w14:paraId="40039570" w14:textId="1AE17213" w:rsidR="00197D9B" w:rsidRDefault="00511B60" w:rsidP="003D0091">
      <w:pPr>
        <w:pStyle w:val="TOC2"/>
        <w:rPr>
          <w:rFonts w:eastAsiaTheme="minorEastAsia" w:cstheme="minorBidi"/>
          <w:noProof/>
          <w:color w:val="auto"/>
          <w:kern w:val="0"/>
          <w:sz w:val="22"/>
          <w:szCs w:val="22"/>
          <w:lang w:val="fr-FR" w:eastAsia="fr-FR"/>
        </w:rPr>
      </w:pPr>
      <w:hyperlink w:anchor="_Toc122478832" w:history="1">
        <w:r w:rsidR="00197D9B" w:rsidRPr="00081B51">
          <w:rPr>
            <w:rStyle w:val="Hyperlink"/>
            <w:rFonts w:eastAsiaTheme="majorEastAsia"/>
            <w:b/>
            <w:noProof/>
          </w:rPr>
          <w:t>1.1.</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b/>
            <w:noProof/>
          </w:rPr>
          <w:t>Revenue Generated from the Extractive Industries</w:t>
        </w:r>
        <w:r w:rsidR="00197D9B">
          <w:rPr>
            <w:noProof/>
            <w:webHidden/>
          </w:rPr>
          <w:tab/>
        </w:r>
        <w:r w:rsidR="00197D9B">
          <w:rPr>
            <w:noProof/>
            <w:webHidden/>
          </w:rPr>
          <w:fldChar w:fldCharType="begin"/>
        </w:r>
        <w:r w:rsidR="00197D9B">
          <w:rPr>
            <w:noProof/>
            <w:webHidden/>
          </w:rPr>
          <w:instrText xml:space="preserve"> PAGEREF _Toc122478832 \h </w:instrText>
        </w:r>
        <w:r w:rsidR="00197D9B">
          <w:rPr>
            <w:noProof/>
            <w:webHidden/>
          </w:rPr>
        </w:r>
        <w:r w:rsidR="00197D9B">
          <w:rPr>
            <w:noProof/>
            <w:webHidden/>
          </w:rPr>
          <w:fldChar w:fldCharType="separate"/>
        </w:r>
        <w:r w:rsidR="003D0091">
          <w:rPr>
            <w:noProof/>
            <w:webHidden/>
          </w:rPr>
          <w:t>12</w:t>
        </w:r>
        <w:r w:rsidR="00197D9B">
          <w:rPr>
            <w:noProof/>
            <w:webHidden/>
          </w:rPr>
          <w:fldChar w:fldCharType="end"/>
        </w:r>
      </w:hyperlink>
    </w:p>
    <w:p w14:paraId="6488B883" w14:textId="55E20DC1" w:rsidR="00197D9B" w:rsidRDefault="00511B60" w:rsidP="003D0091">
      <w:pPr>
        <w:pStyle w:val="TOC2"/>
        <w:rPr>
          <w:rFonts w:eastAsiaTheme="minorEastAsia" w:cstheme="minorBidi"/>
          <w:noProof/>
          <w:color w:val="auto"/>
          <w:kern w:val="0"/>
          <w:sz w:val="22"/>
          <w:szCs w:val="22"/>
          <w:lang w:val="fr-FR" w:eastAsia="fr-FR"/>
        </w:rPr>
      </w:pPr>
      <w:hyperlink w:anchor="_Toc122478833" w:history="1">
        <w:r w:rsidR="00197D9B" w:rsidRPr="00081B51">
          <w:rPr>
            <w:rStyle w:val="Hyperlink"/>
            <w:rFonts w:eastAsiaTheme="majorEastAsia"/>
            <w:b/>
            <w:noProof/>
          </w:rPr>
          <w:t>1.2.</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b/>
            <w:noProof/>
          </w:rPr>
          <w:t>Contribution to Suriname’s economy</w:t>
        </w:r>
        <w:r w:rsidR="00197D9B">
          <w:rPr>
            <w:noProof/>
            <w:webHidden/>
          </w:rPr>
          <w:tab/>
        </w:r>
        <w:r w:rsidR="00197D9B">
          <w:rPr>
            <w:noProof/>
            <w:webHidden/>
          </w:rPr>
          <w:fldChar w:fldCharType="begin"/>
        </w:r>
        <w:r w:rsidR="00197D9B">
          <w:rPr>
            <w:noProof/>
            <w:webHidden/>
          </w:rPr>
          <w:instrText xml:space="preserve"> PAGEREF _Toc122478833 \h </w:instrText>
        </w:r>
        <w:r w:rsidR="00197D9B">
          <w:rPr>
            <w:noProof/>
            <w:webHidden/>
          </w:rPr>
        </w:r>
        <w:r w:rsidR="00197D9B">
          <w:rPr>
            <w:noProof/>
            <w:webHidden/>
          </w:rPr>
          <w:fldChar w:fldCharType="separate"/>
        </w:r>
        <w:r w:rsidR="003D0091">
          <w:rPr>
            <w:noProof/>
            <w:webHidden/>
          </w:rPr>
          <w:t>14</w:t>
        </w:r>
        <w:r w:rsidR="00197D9B">
          <w:rPr>
            <w:noProof/>
            <w:webHidden/>
          </w:rPr>
          <w:fldChar w:fldCharType="end"/>
        </w:r>
      </w:hyperlink>
    </w:p>
    <w:p w14:paraId="6C1B56B9" w14:textId="5C36908F" w:rsidR="00197D9B" w:rsidRDefault="00511B60" w:rsidP="003D0091">
      <w:pPr>
        <w:pStyle w:val="TOC2"/>
        <w:rPr>
          <w:rFonts w:eastAsiaTheme="minorEastAsia" w:cstheme="minorBidi"/>
          <w:noProof/>
          <w:color w:val="auto"/>
          <w:kern w:val="0"/>
          <w:sz w:val="22"/>
          <w:szCs w:val="22"/>
          <w:lang w:val="fr-FR" w:eastAsia="fr-FR"/>
        </w:rPr>
      </w:pPr>
      <w:hyperlink w:anchor="_Toc122478834" w:history="1">
        <w:r w:rsidR="00197D9B" w:rsidRPr="00081B51">
          <w:rPr>
            <w:rStyle w:val="Hyperlink"/>
            <w:rFonts w:eastAsiaTheme="majorEastAsia"/>
            <w:b/>
            <w:noProof/>
          </w:rPr>
          <w:t>1.3.</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b/>
            <w:noProof/>
          </w:rPr>
          <w:t>Production data</w:t>
        </w:r>
        <w:r w:rsidR="00197D9B">
          <w:rPr>
            <w:noProof/>
            <w:webHidden/>
          </w:rPr>
          <w:tab/>
        </w:r>
        <w:r w:rsidR="00197D9B">
          <w:rPr>
            <w:noProof/>
            <w:webHidden/>
          </w:rPr>
          <w:fldChar w:fldCharType="begin"/>
        </w:r>
        <w:r w:rsidR="00197D9B">
          <w:rPr>
            <w:noProof/>
            <w:webHidden/>
          </w:rPr>
          <w:instrText xml:space="preserve"> PAGEREF _Toc122478834 \h </w:instrText>
        </w:r>
        <w:r w:rsidR="00197D9B">
          <w:rPr>
            <w:noProof/>
            <w:webHidden/>
          </w:rPr>
        </w:r>
        <w:r w:rsidR="00197D9B">
          <w:rPr>
            <w:noProof/>
            <w:webHidden/>
          </w:rPr>
          <w:fldChar w:fldCharType="separate"/>
        </w:r>
        <w:r w:rsidR="003D0091">
          <w:rPr>
            <w:noProof/>
            <w:webHidden/>
          </w:rPr>
          <w:t>15</w:t>
        </w:r>
        <w:r w:rsidR="00197D9B">
          <w:rPr>
            <w:noProof/>
            <w:webHidden/>
          </w:rPr>
          <w:fldChar w:fldCharType="end"/>
        </w:r>
      </w:hyperlink>
    </w:p>
    <w:p w14:paraId="6FDAEEF1" w14:textId="3454A9EC" w:rsidR="00197D9B" w:rsidRDefault="00511B60" w:rsidP="003D0091">
      <w:pPr>
        <w:pStyle w:val="TOC2"/>
        <w:rPr>
          <w:rFonts w:eastAsiaTheme="minorEastAsia" w:cstheme="minorBidi"/>
          <w:noProof/>
          <w:color w:val="auto"/>
          <w:kern w:val="0"/>
          <w:sz w:val="22"/>
          <w:szCs w:val="22"/>
          <w:lang w:val="fr-FR" w:eastAsia="fr-FR"/>
        </w:rPr>
      </w:pPr>
      <w:hyperlink w:anchor="_Toc122478835" w:history="1">
        <w:r w:rsidR="00197D9B" w:rsidRPr="00081B51">
          <w:rPr>
            <w:rStyle w:val="Hyperlink"/>
            <w:rFonts w:eastAsiaTheme="majorEastAsia"/>
            <w:b/>
            <w:noProof/>
          </w:rPr>
          <w:t>1.4.</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b/>
            <w:noProof/>
          </w:rPr>
          <w:t>Scope of the data collection</w:t>
        </w:r>
        <w:r w:rsidR="00197D9B">
          <w:rPr>
            <w:noProof/>
            <w:webHidden/>
          </w:rPr>
          <w:tab/>
        </w:r>
        <w:r w:rsidR="00197D9B">
          <w:rPr>
            <w:noProof/>
            <w:webHidden/>
          </w:rPr>
          <w:fldChar w:fldCharType="begin"/>
        </w:r>
        <w:r w:rsidR="00197D9B">
          <w:rPr>
            <w:noProof/>
            <w:webHidden/>
          </w:rPr>
          <w:instrText xml:space="preserve"> PAGEREF _Toc122478835 \h </w:instrText>
        </w:r>
        <w:r w:rsidR="00197D9B">
          <w:rPr>
            <w:noProof/>
            <w:webHidden/>
          </w:rPr>
        </w:r>
        <w:r w:rsidR="00197D9B">
          <w:rPr>
            <w:noProof/>
            <w:webHidden/>
          </w:rPr>
          <w:fldChar w:fldCharType="separate"/>
        </w:r>
        <w:r w:rsidR="003D0091">
          <w:rPr>
            <w:noProof/>
            <w:webHidden/>
          </w:rPr>
          <w:t>15</w:t>
        </w:r>
        <w:r w:rsidR="00197D9B">
          <w:rPr>
            <w:noProof/>
            <w:webHidden/>
          </w:rPr>
          <w:fldChar w:fldCharType="end"/>
        </w:r>
      </w:hyperlink>
    </w:p>
    <w:p w14:paraId="3D0D7795" w14:textId="2F0792C2" w:rsidR="00197D9B" w:rsidRDefault="00511B60" w:rsidP="003D0091">
      <w:pPr>
        <w:pStyle w:val="TOC2"/>
        <w:rPr>
          <w:rFonts w:eastAsiaTheme="minorEastAsia" w:cstheme="minorBidi"/>
          <w:noProof/>
          <w:color w:val="auto"/>
          <w:kern w:val="0"/>
          <w:sz w:val="22"/>
          <w:szCs w:val="22"/>
          <w:lang w:val="fr-FR" w:eastAsia="fr-FR"/>
        </w:rPr>
      </w:pPr>
      <w:hyperlink w:anchor="_Toc122478836" w:history="1">
        <w:r w:rsidR="00197D9B" w:rsidRPr="00081B51">
          <w:rPr>
            <w:rStyle w:val="Hyperlink"/>
            <w:rFonts w:asciiTheme="majorHAnsi" w:eastAsiaTheme="majorEastAsia" w:hAnsiTheme="majorHAnsi"/>
            <w:noProof/>
          </w:rPr>
          <w:t>1.5.</w:t>
        </w:r>
        <w:r w:rsidR="00197D9B">
          <w:rPr>
            <w:rFonts w:eastAsiaTheme="minorEastAsia" w:cstheme="minorBidi"/>
            <w:noProof/>
            <w:color w:val="auto"/>
            <w:kern w:val="0"/>
            <w:sz w:val="22"/>
            <w:szCs w:val="22"/>
            <w:lang w:val="fr-FR" w:eastAsia="fr-FR"/>
          </w:rPr>
          <w:tab/>
        </w:r>
        <w:r w:rsidR="00197D9B" w:rsidRPr="00081B51">
          <w:rPr>
            <w:rStyle w:val="Hyperlink"/>
            <w:rFonts w:asciiTheme="majorHAnsi" w:eastAsiaTheme="majorEastAsia" w:hAnsiTheme="majorHAnsi"/>
            <w:noProof/>
          </w:rPr>
          <w:t>Completeness and Reliability of Data</w:t>
        </w:r>
        <w:r w:rsidR="00197D9B">
          <w:rPr>
            <w:noProof/>
            <w:webHidden/>
          </w:rPr>
          <w:tab/>
        </w:r>
        <w:r w:rsidR="00197D9B">
          <w:rPr>
            <w:noProof/>
            <w:webHidden/>
          </w:rPr>
          <w:fldChar w:fldCharType="begin"/>
        </w:r>
        <w:r w:rsidR="00197D9B">
          <w:rPr>
            <w:noProof/>
            <w:webHidden/>
          </w:rPr>
          <w:instrText xml:space="preserve"> PAGEREF _Toc122478836 \h </w:instrText>
        </w:r>
        <w:r w:rsidR="00197D9B">
          <w:rPr>
            <w:noProof/>
            <w:webHidden/>
          </w:rPr>
        </w:r>
        <w:r w:rsidR="00197D9B">
          <w:rPr>
            <w:noProof/>
            <w:webHidden/>
          </w:rPr>
          <w:fldChar w:fldCharType="separate"/>
        </w:r>
        <w:r w:rsidR="003D0091">
          <w:rPr>
            <w:noProof/>
            <w:webHidden/>
          </w:rPr>
          <w:t>17</w:t>
        </w:r>
        <w:r w:rsidR="00197D9B">
          <w:rPr>
            <w:noProof/>
            <w:webHidden/>
          </w:rPr>
          <w:fldChar w:fldCharType="end"/>
        </w:r>
      </w:hyperlink>
    </w:p>
    <w:p w14:paraId="48B1557D" w14:textId="5095F604" w:rsidR="00197D9B" w:rsidRDefault="00511B60" w:rsidP="003D0091">
      <w:pPr>
        <w:pStyle w:val="TOC2"/>
        <w:rPr>
          <w:rFonts w:eastAsiaTheme="minorEastAsia" w:cstheme="minorBidi"/>
          <w:noProof/>
          <w:color w:val="auto"/>
          <w:kern w:val="0"/>
          <w:sz w:val="22"/>
          <w:szCs w:val="22"/>
          <w:lang w:val="fr-FR" w:eastAsia="fr-FR"/>
        </w:rPr>
      </w:pPr>
      <w:hyperlink w:anchor="_Toc122478837" w:history="1">
        <w:r w:rsidR="00197D9B" w:rsidRPr="00081B51">
          <w:rPr>
            <w:rStyle w:val="Hyperlink"/>
            <w:rFonts w:asciiTheme="majorHAnsi" w:eastAsiaTheme="majorEastAsia" w:hAnsiTheme="majorHAnsi"/>
            <w:noProof/>
          </w:rPr>
          <w:t>1.6.</w:t>
        </w:r>
        <w:r w:rsidR="00197D9B">
          <w:rPr>
            <w:rFonts w:eastAsiaTheme="minorEastAsia" w:cstheme="minorBidi"/>
            <w:noProof/>
            <w:color w:val="auto"/>
            <w:kern w:val="0"/>
            <w:sz w:val="22"/>
            <w:szCs w:val="22"/>
            <w:lang w:val="fr-FR" w:eastAsia="fr-FR"/>
          </w:rPr>
          <w:tab/>
        </w:r>
        <w:r w:rsidR="00197D9B" w:rsidRPr="00081B51">
          <w:rPr>
            <w:rStyle w:val="Hyperlink"/>
            <w:rFonts w:asciiTheme="majorHAnsi" w:eastAsiaTheme="majorEastAsia" w:hAnsiTheme="majorHAnsi"/>
            <w:noProof/>
          </w:rPr>
          <w:t>Reconciliation of Cash Flows</w:t>
        </w:r>
        <w:r w:rsidR="00197D9B">
          <w:rPr>
            <w:noProof/>
            <w:webHidden/>
          </w:rPr>
          <w:tab/>
        </w:r>
        <w:r w:rsidR="00197D9B">
          <w:rPr>
            <w:noProof/>
            <w:webHidden/>
          </w:rPr>
          <w:fldChar w:fldCharType="begin"/>
        </w:r>
        <w:r w:rsidR="00197D9B">
          <w:rPr>
            <w:noProof/>
            <w:webHidden/>
          </w:rPr>
          <w:instrText xml:space="preserve"> PAGEREF _Toc122478837 \h </w:instrText>
        </w:r>
        <w:r w:rsidR="00197D9B">
          <w:rPr>
            <w:noProof/>
            <w:webHidden/>
          </w:rPr>
        </w:r>
        <w:r w:rsidR="00197D9B">
          <w:rPr>
            <w:noProof/>
            <w:webHidden/>
          </w:rPr>
          <w:fldChar w:fldCharType="separate"/>
        </w:r>
        <w:r w:rsidR="003D0091">
          <w:rPr>
            <w:noProof/>
            <w:webHidden/>
          </w:rPr>
          <w:t>18</w:t>
        </w:r>
        <w:r w:rsidR="00197D9B">
          <w:rPr>
            <w:noProof/>
            <w:webHidden/>
          </w:rPr>
          <w:fldChar w:fldCharType="end"/>
        </w:r>
      </w:hyperlink>
    </w:p>
    <w:p w14:paraId="56296564" w14:textId="240BD39E" w:rsidR="00197D9B" w:rsidRDefault="00511B60" w:rsidP="003D0091">
      <w:pPr>
        <w:pStyle w:val="TOC2"/>
        <w:rPr>
          <w:rFonts w:eastAsiaTheme="minorEastAsia" w:cstheme="minorBidi"/>
          <w:noProof/>
          <w:color w:val="auto"/>
          <w:kern w:val="0"/>
          <w:sz w:val="22"/>
          <w:szCs w:val="22"/>
          <w:lang w:val="fr-FR" w:eastAsia="fr-FR"/>
        </w:rPr>
      </w:pPr>
      <w:hyperlink w:anchor="_Toc122478838" w:history="1">
        <w:r w:rsidR="00197D9B" w:rsidRPr="00081B51">
          <w:rPr>
            <w:rStyle w:val="Hyperlink"/>
            <w:rFonts w:asciiTheme="majorHAnsi" w:eastAsiaTheme="majorEastAsia" w:hAnsiTheme="majorHAnsi"/>
            <w:noProof/>
          </w:rPr>
          <w:t>1.7.</w:t>
        </w:r>
        <w:r w:rsidR="00197D9B">
          <w:rPr>
            <w:rFonts w:eastAsiaTheme="minorEastAsia" w:cstheme="minorBidi"/>
            <w:noProof/>
            <w:color w:val="auto"/>
            <w:kern w:val="0"/>
            <w:sz w:val="22"/>
            <w:szCs w:val="22"/>
            <w:lang w:val="fr-FR" w:eastAsia="fr-FR"/>
          </w:rPr>
          <w:tab/>
        </w:r>
        <w:r w:rsidR="00197D9B" w:rsidRPr="00081B51">
          <w:rPr>
            <w:rStyle w:val="Hyperlink"/>
            <w:rFonts w:asciiTheme="majorHAnsi" w:eastAsiaTheme="majorEastAsia" w:hAnsiTheme="majorHAnsi"/>
            <w:noProof/>
          </w:rPr>
          <w:t>Implementation status of EITI recommendations</w:t>
        </w:r>
        <w:r w:rsidR="00197D9B">
          <w:rPr>
            <w:noProof/>
            <w:webHidden/>
          </w:rPr>
          <w:tab/>
        </w:r>
        <w:r w:rsidR="00197D9B">
          <w:rPr>
            <w:noProof/>
            <w:webHidden/>
          </w:rPr>
          <w:fldChar w:fldCharType="begin"/>
        </w:r>
        <w:r w:rsidR="00197D9B">
          <w:rPr>
            <w:noProof/>
            <w:webHidden/>
          </w:rPr>
          <w:instrText xml:space="preserve"> PAGEREF _Toc122478838 \h </w:instrText>
        </w:r>
        <w:r w:rsidR="00197D9B">
          <w:rPr>
            <w:noProof/>
            <w:webHidden/>
          </w:rPr>
        </w:r>
        <w:r w:rsidR="00197D9B">
          <w:rPr>
            <w:noProof/>
            <w:webHidden/>
          </w:rPr>
          <w:fldChar w:fldCharType="separate"/>
        </w:r>
        <w:r w:rsidR="003D0091">
          <w:rPr>
            <w:noProof/>
            <w:webHidden/>
          </w:rPr>
          <w:t>19</w:t>
        </w:r>
        <w:r w:rsidR="00197D9B">
          <w:rPr>
            <w:noProof/>
            <w:webHidden/>
          </w:rPr>
          <w:fldChar w:fldCharType="end"/>
        </w:r>
      </w:hyperlink>
    </w:p>
    <w:p w14:paraId="0D238406" w14:textId="74C217E8" w:rsidR="00197D9B" w:rsidRDefault="00511B60">
      <w:pPr>
        <w:pStyle w:val="TOC1"/>
        <w:rPr>
          <w:rFonts w:eastAsiaTheme="minorEastAsia" w:cstheme="minorBidi"/>
          <w:noProof/>
          <w:color w:val="auto"/>
          <w:kern w:val="0"/>
          <w:sz w:val="22"/>
          <w:szCs w:val="22"/>
          <w:lang w:val="fr-FR" w:eastAsia="fr-FR"/>
        </w:rPr>
      </w:pPr>
      <w:hyperlink w:anchor="_Toc122478839" w:history="1">
        <w:r w:rsidR="00197D9B" w:rsidRPr="00081B51">
          <w:rPr>
            <w:rStyle w:val="Hyperlink"/>
            <w:rFonts w:eastAsiaTheme="majorEastAsia"/>
            <w:noProof/>
          </w:rPr>
          <w:t>2.</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APPROACH AND METHODOLOGY</w:t>
        </w:r>
        <w:r w:rsidR="00197D9B">
          <w:rPr>
            <w:noProof/>
            <w:webHidden/>
          </w:rPr>
          <w:tab/>
        </w:r>
        <w:r w:rsidR="00197D9B">
          <w:rPr>
            <w:noProof/>
            <w:webHidden/>
          </w:rPr>
          <w:fldChar w:fldCharType="begin"/>
        </w:r>
        <w:r w:rsidR="00197D9B">
          <w:rPr>
            <w:noProof/>
            <w:webHidden/>
          </w:rPr>
          <w:instrText xml:space="preserve"> PAGEREF _Toc122478839 \h </w:instrText>
        </w:r>
        <w:r w:rsidR="00197D9B">
          <w:rPr>
            <w:noProof/>
            <w:webHidden/>
          </w:rPr>
        </w:r>
        <w:r w:rsidR="00197D9B">
          <w:rPr>
            <w:noProof/>
            <w:webHidden/>
          </w:rPr>
          <w:fldChar w:fldCharType="separate"/>
        </w:r>
        <w:r w:rsidR="003D0091">
          <w:rPr>
            <w:noProof/>
            <w:webHidden/>
          </w:rPr>
          <w:t>22</w:t>
        </w:r>
        <w:r w:rsidR="00197D9B">
          <w:rPr>
            <w:noProof/>
            <w:webHidden/>
          </w:rPr>
          <w:fldChar w:fldCharType="end"/>
        </w:r>
      </w:hyperlink>
    </w:p>
    <w:p w14:paraId="268C93BA" w14:textId="551C125F" w:rsidR="00197D9B" w:rsidRDefault="00511B60" w:rsidP="003D0091">
      <w:pPr>
        <w:pStyle w:val="TOC2"/>
        <w:rPr>
          <w:rFonts w:eastAsiaTheme="minorEastAsia" w:cstheme="minorBidi"/>
          <w:noProof/>
          <w:color w:val="auto"/>
          <w:kern w:val="0"/>
          <w:sz w:val="22"/>
          <w:szCs w:val="22"/>
          <w:lang w:val="fr-FR" w:eastAsia="fr-FR"/>
        </w:rPr>
      </w:pPr>
      <w:hyperlink w:anchor="_Toc122478840" w:history="1">
        <w:r w:rsidR="00197D9B" w:rsidRPr="00081B51">
          <w:rPr>
            <w:rStyle w:val="Hyperlink"/>
            <w:rFonts w:eastAsiaTheme="majorEastAsia"/>
            <w:b/>
            <w:noProof/>
          </w:rPr>
          <w:t>2.1.</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b/>
            <w:noProof/>
          </w:rPr>
          <w:t>Scoping Study</w:t>
        </w:r>
        <w:r w:rsidR="00197D9B">
          <w:rPr>
            <w:noProof/>
            <w:webHidden/>
          </w:rPr>
          <w:tab/>
        </w:r>
        <w:r w:rsidR="00197D9B">
          <w:rPr>
            <w:noProof/>
            <w:webHidden/>
          </w:rPr>
          <w:fldChar w:fldCharType="begin"/>
        </w:r>
        <w:r w:rsidR="00197D9B">
          <w:rPr>
            <w:noProof/>
            <w:webHidden/>
          </w:rPr>
          <w:instrText xml:space="preserve"> PAGEREF _Toc122478840 \h </w:instrText>
        </w:r>
        <w:r w:rsidR="00197D9B">
          <w:rPr>
            <w:noProof/>
            <w:webHidden/>
          </w:rPr>
        </w:r>
        <w:r w:rsidR="00197D9B">
          <w:rPr>
            <w:noProof/>
            <w:webHidden/>
          </w:rPr>
          <w:fldChar w:fldCharType="separate"/>
        </w:r>
        <w:r w:rsidR="003D0091">
          <w:rPr>
            <w:noProof/>
            <w:webHidden/>
          </w:rPr>
          <w:t>22</w:t>
        </w:r>
        <w:r w:rsidR="00197D9B">
          <w:rPr>
            <w:noProof/>
            <w:webHidden/>
          </w:rPr>
          <w:fldChar w:fldCharType="end"/>
        </w:r>
      </w:hyperlink>
    </w:p>
    <w:p w14:paraId="7A0C0D39" w14:textId="30F9A05A" w:rsidR="00197D9B" w:rsidRDefault="00511B60" w:rsidP="003D0091">
      <w:pPr>
        <w:pStyle w:val="TOC2"/>
        <w:rPr>
          <w:rFonts w:eastAsiaTheme="minorEastAsia" w:cstheme="minorBidi"/>
          <w:noProof/>
          <w:color w:val="auto"/>
          <w:kern w:val="0"/>
          <w:sz w:val="22"/>
          <w:szCs w:val="22"/>
          <w:lang w:val="fr-FR" w:eastAsia="fr-FR"/>
        </w:rPr>
      </w:pPr>
      <w:hyperlink w:anchor="_Toc122478841" w:history="1">
        <w:r w:rsidR="00197D9B" w:rsidRPr="00081B51">
          <w:rPr>
            <w:rStyle w:val="Hyperlink"/>
            <w:rFonts w:eastAsiaTheme="majorEastAsia"/>
            <w:b/>
            <w:noProof/>
          </w:rPr>
          <w:t>2.2.</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b/>
            <w:noProof/>
          </w:rPr>
          <w:t>Data Collection</w:t>
        </w:r>
        <w:r w:rsidR="00197D9B">
          <w:rPr>
            <w:noProof/>
            <w:webHidden/>
          </w:rPr>
          <w:tab/>
        </w:r>
        <w:r w:rsidR="00197D9B">
          <w:rPr>
            <w:noProof/>
            <w:webHidden/>
          </w:rPr>
          <w:fldChar w:fldCharType="begin"/>
        </w:r>
        <w:r w:rsidR="00197D9B">
          <w:rPr>
            <w:noProof/>
            <w:webHidden/>
          </w:rPr>
          <w:instrText xml:space="preserve"> PAGEREF _Toc122478841 \h </w:instrText>
        </w:r>
        <w:r w:rsidR="00197D9B">
          <w:rPr>
            <w:noProof/>
            <w:webHidden/>
          </w:rPr>
        </w:r>
        <w:r w:rsidR="00197D9B">
          <w:rPr>
            <w:noProof/>
            <w:webHidden/>
          </w:rPr>
          <w:fldChar w:fldCharType="separate"/>
        </w:r>
        <w:r w:rsidR="003D0091">
          <w:rPr>
            <w:noProof/>
            <w:webHidden/>
          </w:rPr>
          <w:t>22</w:t>
        </w:r>
        <w:r w:rsidR="00197D9B">
          <w:rPr>
            <w:noProof/>
            <w:webHidden/>
          </w:rPr>
          <w:fldChar w:fldCharType="end"/>
        </w:r>
      </w:hyperlink>
    </w:p>
    <w:p w14:paraId="3B644EED" w14:textId="73896E5D" w:rsidR="00197D9B" w:rsidRDefault="00511B60" w:rsidP="003D0091">
      <w:pPr>
        <w:pStyle w:val="TOC2"/>
        <w:rPr>
          <w:rFonts w:eastAsiaTheme="minorEastAsia" w:cstheme="minorBidi"/>
          <w:noProof/>
          <w:color w:val="auto"/>
          <w:kern w:val="0"/>
          <w:sz w:val="22"/>
          <w:szCs w:val="22"/>
          <w:lang w:val="fr-FR" w:eastAsia="fr-FR"/>
        </w:rPr>
      </w:pPr>
      <w:hyperlink w:anchor="_Toc122478842" w:history="1">
        <w:r w:rsidR="00197D9B" w:rsidRPr="00081B51">
          <w:rPr>
            <w:rStyle w:val="Hyperlink"/>
            <w:rFonts w:eastAsiaTheme="majorEastAsia"/>
            <w:b/>
            <w:noProof/>
          </w:rPr>
          <w:t>2.3.</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b/>
            <w:noProof/>
          </w:rPr>
          <w:t>Reliability and Credibility of Data Reported</w:t>
        </w:r>
        <w:r w:rsidR="00197D9B">
          <w:rPr>
            <w:noProof/>
            <w:webHidden/>
          </w:rPr>
          <w:tab/>
        </w:r>
        <w:r w:rsidR="00197D9B">
          <w:rPr>
            <w:noProof/>
            <w:webHidden/>
          </w:rPr>
          <w:fldChar w:fldCharType="begin"/>
        </w:r>
        <w:r w:rsidR="00197D9B">
          <w:rPr>
            <w:noProof/>
            <w:webHidden/>
          </w:rPr>
          <w:instrText xml:space="preserve"> PAGEREF _Toc122478842 \h </w:instrText>
        </w:r>
        <w:r w:rsidR="00197D9B">
          <w:rPr>
            <w:noProof/>
            <w:webHidden/>
          </w:rPr>
        </w:r>
        <w:r w:rsidR="00197D9B">
          <w:rPr>
            <w:noProof/>
            <w:webHidden/>
          </w:rPr>
          <w:fldChar w:fldCharType="separate"/>
        </w:r>
        <w:r w:rsidR="003D0091">
          <w:rPr>
            <w:noProof/>
            <w:webHidden/>
          </w:rPr>
          <w:t>23</w:t>
        </w:r>
        <w:r w:rsidR="00197D9B">
          <w:rPr>
            <w:noProof/>
            <w:webHidden/>
          </w:rPr>
          <w:fldChar w:fldCharType="end"/>
        </w:r>
      </w:hyperlink>
    </w:p>
    <w:p w14:paraId="1234A075" w14:textId="7A5BE589" w:rsidR="00197D9B" w:rsidRDefault="00511B60" w:rsidP="003D0091">
      <w:pPr>
        <w:pStyle w:val="TOC2"/>
        <w:rPr>
          <w:rFonts w:eastAsiaTheme="minorEastAsia" w:cstheme="minorBidi"/>
          <w:noProof/>
          <w:color w:val="auto"/>
          <w:kern w:val="0"/>
          <w:sz w:val="22"/>
          <w:szCs w:val="22"/>
          <w:lang w:val="fr-FR" w:eastAsia="fr-FR"/>
        </w:rPr>
      </w:pPr>
      <w:hyperlink w:anchor="_Toc122478843" w:history="1">
        <w:r w:rsidR="00197D9B" w:rsidRPr="00081B51">
          <w:rPr>
            <w:rStyle w:val="Hyperlink"/>
            <w:rFonts w:eastAsiaTheme="majorEastAsia"/>
            <w:b/>
            <w:noProof/>
          </w:rPr>
          <w:t>2.4.</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b/>
            <w:noProof/>
          </w:rPr>
          <w:t>Accounting records</w:t>
        </w:r>
        <w:r w:rsidR="00197D9B">
          <w:rPr>
            <w:noProof/>
            <w:webHidden/>
          </w:rPr>
          <w:tab/>
        </w:r>
        <w:r w:rsidR="00197D9B">
          <w:rPr>
            <w:noProof/>
            <w:webHidden/>
          </w:rPr>
          <w:fldChar w:fldCharType="begin"/>
        </w:r>
        <w:r w:rsidR="00197D9B">
          <w:rPr>
            <w:noProof/>
            <w:webHidden/>
          </w:rPr>
          <w:instrText xml:space="preserve"> PAGEREF _Toc122478843 \h </w:instrText>
        </w:r>
        <w:r w:rsidR="00197D9B">
          <w:rPr>
            <w:noProof/>
            <w:webHidden/>
          </w:rPr>
        </w:r>
        <w:r w:rsidR="00197D9B">
          <w:rPr>
            <w:noProof/>
            <w:webHidden/>
          </w:rPr>
          <w:fldChar w:fldCharType="separate"/>
        </w:r>
        <w:r w:rsidR="003D0091">
          <w:rPr>
            <w:noProof/>
            <w:webHidden/>
          </w:rPr>
          <w:t>23</w:t>
        </w:r>
        <w:r w:rsidR="00197D9B">
          <w:rPr>
            <w:noProof/>
            <w:webHidden/>
          </w:rPr>
          <w:fldChar w:fldCharType="end"/>
        </w:r>
      </w:hyperlink>
    </w:p>
    <w:p w14:paraId="07FC717D" w14:textId="3281AD6F" w:rsidR="00197D9B" w:rsidRDefault="00511B60">
      <w:pPr>
        <w:pStyle w:val="TOC3"/>
        <w:rPr>
          <w:rFonts w:eastAsiaTheme="minorEastAsia" w:cstheme="minorBidi"/>
          <w:noProof/>
          <w:color w:val="auto"/>
          <w:kern w:val="0"/>
          <w:sz w:val="22"/>
          <w:szCs w:val="22"/>
          <w:lang w:val="fr-FR" w:eastAsia="fr-FR"/>
        </w:rPr>
      </w:pPr>
      <w:hyperlink w:anchor="_Toc122478844" w:history="1">
        <w:r w:rsidR="00197D9B" w:rsidRPr="00081B51">
          <w:rPr>
            <w:rStyle w:val="Hyperlink"/>
            <w:rFonts w:eastAsiaTheme="majorEastAsia"/>
            <w:noProof/>
          </w:rPr>
          <w:t>2.4.1.</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Extractive entities</w:t>
        </w:r>
        <w:r w:rsidR="00197D9B">
          <w:rPr>
            <w:noProof/>
            <w:webHidden/>
          </w:rPr>
          <w:tab/>
        </w:r>
        <w:r w:rsidR="00197D9B">
          <w:rPr>
            <w:noProof/>
            <w:webHidden/>
          </w:rPr>
          <w:fldChar w:fldCharType="begin"/>
        </w:r>
        <w:r w:rsidR="00197D9B">
          <w:rPr>
            <w:noProof/>
            <w:webHidden/>
          </w:rPr>
          <w:instrText xml:space="preserve"> PAGEREF _Toc122478844 \h </w:instrText>
        </w:r>
        <w:r w:rsidR="00197D9B">
          <w:rPr>
            <w:noProof/>
            <w:webHidden/>
          </w:rPr>
        </w:r>
        <w:r w:rsidR="00197D9B">
          <w:rPr>
            <w:noProof/>
            <w:webHidden/>
          </w:rPr>
          <w:fldChar w:fldCharType="separate"/>
        </w:r>
        <w:r w:rsidR="003D0091">
          <w:rPr>
            <w:noProof/>
            <w:webHidden/>
          </w:rPr>
          <w:t>23</w:t>
        </w:r>
        <w:r w:rsidR="00197D9B">
          <w:rPr>
            <w:noProof/>
            <w:webHidden/>
          </w:rPr>
          <w:fldChar w:fldCharType="end"/>
        </w:r>
      </w:hyperlink>
    </w:p>
    <w:p w14:paraId="7A9A78BC" w14:textId="33E74E1F" w:rsidR="00197D9B" w:rsidRDefault="00511B60">
      <w:pPr>
        <w:pStyle w:val="TOC3"/>
        <w:rPr>
          <w:rFonts w:eastAsiaTheme="minorEastAsia" w:cstheme="minorBidi"/>
          <w:noProof/>
          <w:color w:val="auto"/>
          <w:kern w:val="0"/>
          <w:sz w:val="22"/>
          <w:szCs w:val="22"/>
          <w:lang w:val="fr-FR" w:eastAsia="fr-FR"/>
        </w:rPr>
      </w:pPr>
      <w:hyperlink w:anchor="_Toc122478845" w:history="1">
        <w:r w:rsidR="00197D9B" w:rsidRPr="00081B51">
          <w:rPr>
            <w:rStyle w:val="Hyperlink"/>
            <w:rFonts w:eastAsiaTheme="majorEastAsia"/>
            <w:noProof/>
          </w:rPr>
          <w:t>2.4.2.</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Government Agencies</w:t>
        </w:r>
        <w:r w:rsidR="00197D9B">
          <w:rPr>
            <w:noProof/>
            <w:webHidden/>
          </w:rPr>
          <w:tab/>
        </w:r>
        <w:r w:rsidR="00197D9B">
          <w:rPr>
            <w:noProof/>
            <w:webHidden/>
          </w:rPr>
          <w:fldChar w:fldCharType="begin"/>
        </w:r>
        <w:r w:rsidR="00197D9B">
          <w:rPr>
            <w:noProof/>
            <w:webHidden/>
          </w:rPr>
          <w:instrText xml:space="preserve"> PAGEREF _Toc122478845 \h </w:instrText>
        </w:r>
        <w:r w:rsidR="00197D9B">
          <w:rPr>
            <w:noProof/>
            <w:webHidden/>
          </w:rPr>
        </w:r>
        <w:r w:rsidR="00197D9B">
          <w:rPr>
            <w:noProof/>
            <w:webHidden/>
          </w:rPr>
          <w:fldChar w:fldCharType="separate"/>
        </w:r>
        <w:r w:rsidR="003D0091">
          <w:rPr>
            <w:noProof/>
            <w:webHidden/>
          </w:rPr>
          <w:t>23</w:t>
        </w:r>
        <w:r w:rsidR="00197D9B">
          <w:rPr>
            <w:noProof/>
            <w:webHidden/>
          </w:rPr>
          <w:fldChar w:fldCharType="end"/>
        </w:r>
      </w:hyperlink>
    </w:p>
    <w:p w14:paraId="1316CA92" w14:textId="4BACCA16" w:rsidR="00197D9B" w:rsidRDefault="00511B60">
      <w:pPr>
        <w:pStyle w:val="TOC1"/>
        <w:rPr>
          <w:rFonts w:eastAsiaTheme="minorEastAsia" w:cstheme="minorBidi"/>
          <w:noProof/>
          <w:color w:val="auto"/>
          <w:kern w:val="0"/>
          <w:sz w:val="22"/>
          <w:szCs w:val="22"/>
          <w:lang w:val="fr-FR" w:eastAsia="fr-FR"/>
        </w:rPr>
      </w:pPr>
      <w:hyperlink w:anchor="_Toc122478846" w:history="1">
        <w:r w:rsidR="00197D9B" w:rsidRPr="00081B51">
          <w:rPr>
            <w:rStyle w:val="Hyperlink"/>
            <w:rFonts w:eastAsiaTheme="majorEastAsia"/>
            <w:noProof/>
          </w:rPr>
          <w:t>3.</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CONTEXTUAL INFORMATION ON THE EXTRACTIVE SECTORS</w:t>
        </w:r>
        <w:r w:rsidR="00197D9B">
          <w:rPr>
            <w:noProof/>
            <w:webHidden/>
          </w:rPr>
          <w:tab/>
        </w:r>
        <w:r w:rsidR="00197D9B">
          <w:rPr>
            <w:noProof/>
            <w:webHidden/>
          </w:rPr>
          <w:fldChar w:fldCharType="begin"/>
        </w:r>
        <w:r w:rsidR="00197D9B">
          <w:rPr>
            <w:noProof/>
            <w:webHidden/>
          </w:rPr>
          <w:instrText xml:space="preserve"> PAGEREF _Toc122478846 \h </w:instrText>
        </w:r>
        <w:r w:rsidR="00197D9B">
          <w:rPr>
            <w:noProof/>
            <w:webHidden/>
          </w:rPr>
        </w:r>
        <w:r w:rsidR="00197D9B">
          <w:rPr>
            <w:noProof/>
            <w:webHidden/>
          </w:rPr>
          <w:fldChar w:fldCharType="separate"/>
        </w:r>
        <w:r w:rsidR="003D0091">
          <w:rPr>
            <w:noProof/>
            <w:webHidden/>
          </w:rPr>
          <w:t>24</w:t>
        </w:r>
        <w:r w:rsidR="00197D9B">
          <w:rPr>
            <w:noProof/>
            <w:webHidden/>
          </w:rPr>
          <w:fldChar w:fldCharType="end"/>
        </w:r>
      </w:hyperlink>
    </w:p>
    <w:p w14:paraId="6C6609B2" w14:textId="3ED18B21" w:rsidR="00197D9B" w:rsidRDefault="00511B60" w:rsidP="003D0091">
      <w:pPr>
        <w:pStyle w:val="TOC2"/>
        <w:rPr>
          <w:rFonts w:eastAsiaTheme="minorEastAsia" w:cstheme="minorBidi"/>
          <w:noProof/>
          <w:color w:val="auto"/>
          <w:kern w:val="0"/>
          <w:sz w:val="22"/>
          <w:szCs w:val="22"/>
          <w:lang w:val="fr-FR" w:eastAsia="fr-FR"/>
        </w:rPr>
      </w:pPr>
      <w:hyperlink w:anchor="_Toc122478847" w:history="1">
        <w:r w:rsidR="00197D9B" w:rsidRPr="00081B51">
          <w:rPr>
            <w:rStyle w:val="Hyperlink"/>
            <w:rFonts w:eastAsiaTheme="majorEastAsia"/>
            <w:b/>
            <w:noProof/>
          </w:rPr>
          <w:t>3.1.</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b/>
            <w:noProof/>
          </w:rPr>
          <w:t>Overview of the extractives industries including prospecting activities (EITI Requirement 3.1)</w:t>
        </w:r>
        <w:r w:rsidR="00197D9B">
          <w:rPr>
            <w:noProof/>
            <w:webHidden/>
          </w:rPr>
          <w:tab/>
        </w:r>
        <w:r w:rsidR="00197D9B">
          <w:rPr>
            <w:noProof/>
            <w:webHidden/>
          </w:rPr>
          <w:tab/>
        </w:r>
        <w:r w:rsidR="00197D9B">
          <w:rPr>
            <w:noProof/>
            <w:webHidden/>
          </w:rPr>
          <w:tab/>
        </w:r>
        <w:r w:rsidR="00197D9B">
          <w:rPr>
            <w:noProof/>
            <w:webHidden/>
          </w:rPr>
          <w:fldChar w:fldCharType="begin"/>
        </w:r>
        <w:r w:rsidR="00197D9B">
          <w:rPr>
            <w:noProof/>
            <w:webHidden/>
          </w:rPr>
          <w:instrText xml:space="preserve"> PAGEREF _Toc122478847 \h </w:instrText>
        </w:r>
        <w:r w:rsidR="00197D9B">
          <w:rPr>
            <w:noProof/>
            <w:webHidden/>
          </w:rPr>
        </w:r>
        <w:r w:rsidR="00197D9B">
          <w:rPr>
            <w:noProof/>
            <w:webHidden/>
          </w:rPr>
          <w:fldChar w:fldCharType="separate"/>
        </w:r>
        <w:r w:rsidR="003D0091">
          <w:rPr>
            <w:noProof/>
            <w:webHidden/>
          </w:rPr>
          <w:t>24</w:t>
        </w:r>
        <w:r w:rsidR="00197D9B">
          <w:rPr>
            <w:noProof/>
            <w:webHidden/>
          </w:rPr>
          <w:fldChar w:fldCharType="end"/>
        </w:r>
      </w:hyperlink>
    </w:p>
    <w:p w14:paraId="218ED685" w14:textId="07D3425D" w:rsidR="00197D9B" w:rsidRDefault="00511B60">
      <w:pPr>
        <w:pStyle w:val="TOC3"/>
        <w:rPr>
          <w:rFonts w:eastAsiaTheme="minorEastAsia" w:cstheme="minorBidi"/>
          <w:noProof/>
          <w:color w:val="auto"/>
          <w:kern w:val="0"/>
          <w:sz w:val="22"/>
          <w:szCs w:val="22"/>
          <w:lang w:val="fr-FR" w:eastAsia="fr-FR"/>
        </w:rPr>
      </w:pPr>
      <w:hyperlink w:anchor="_Toc122478848" w:history="1">
        <w:r w:rsidR="00197D9B" w:rsidRPr="00081B51">
          <w:rPr>
            <w:rStyle w:val="Hyperlink"/>
            <w:rFonts w:eastAsiaTheme="majorEastAsia"/>
            <w:noProof/>
          </w:rPr>
          <w:t>3.1.1</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Context of the mining sector</w:t>
        </w:r>
        <w:r w:rsidR="00197D9B">
          <w:rPr>
            <w:noProof/>
            <w:webHidden/>
          </w:rPr>
          <w:tab/>
        </w:r>
        <w:r w:rsidR="00197D9B">
          <w:rPr>
            <w:noProof/>
            <w:webHidden/>
          </w:rPr>
          <w:fldChar w:fldCharType="begin"/>
        </w:r>
        <w:r w:rsidR="00197D9B">
          <w:rPr>
            <w:noProof/>
            <w:webHidden/>
          </w:rPr>
          <w:instrText xml:space="preserve"> PAGEREF _Toc122478848 \h </w:instrText>
        </w:r>
        <w:r w:rsidR="00197D9B">
          <w:rPr>
            <w:noProof/>
            <w:webHidden/>
          </w:rPr>
        </w:r>
        <w:r w:rsidR="00197D9B">
          <w:rPr>
            <w:noProof/>
            <w:webHidden/>
          </w:rPr>
          <w:fldChar w:fldCharType="separate"/>
        </w:r>
        <w:r w:rsidR="003D0091">
          <w:rPr>
            <w:noProof/>
            <w:webHidden/>
          </w:rPr>
          <w:t>24</w:t>
        </w:r>
        <w:r w:rsidR="00197D9B">
          <w:rPr>
            <w:noProof/>
            <w:webHidden/>
          </w:rPr>
          <w:fldChar w:fldCharType="end"/>
        </w:r>
      </w:hyperlink>
    </w:p>
    <w:p w14:paraId="7FC872AC" w14:textId="4EA5A74D" w:rsidR="00197D9B" w:rsidRDefault="00511B60">
      <w:pPr>
        <w:pStyle w:val="TOC4"/>
        <w:rPr>
          <w:rFonts w:eastAsiaTheme="minorEastAsia" w:cstheme="minorBidi"/>
          <w:noProof/>
          <w:color w:val="auto"/>
          <w:kern w:val="0"/>
          <w:sz w:val="22"/>
          <w:szCs w:val="22"/>
          <w:lang w:val="fr-FR" w:eastAsia="fr-FR"/>
        </w:rPr>
      </w:pPr>
      <w:hyperlink w:anchor="_Toc122478849" w:history="1">
        <w:r w:rsidR="00197D9B" w:rsidRPr="00081B51">
          <w:rPr>
            <w:rStyle w:val="Hyperlink"/>
            <w:rFonts w:eastAsiaTheme="majorEastAsia"/>
            <w:noProof/>
          </w:rPr>
          <w:t>3.1.1.(a) Overview of the mining sector</w:t>
        </w:r>
        <w:r w:rsidR="00197D9B">
          <w:rPr>
            <w:noProof/>
            <w:webHidden/>
          </w:rPr>
          <w:tab/>
        </w:r>
        <w:r w:rsidR="00197D9B">
          <w:rPr>
            <w:noProof/>
            <w:webHidden/>
          </w:rPr>
          <w:fldChar w:fldCharType="begin"/>
        </w:r>
        <w:r w:rsidR="00197D9B">
          <w:rPr>
            <w:noProof/>
            <w:webHidden/>
          </w:rPr>
          <w:instrText xml:space="preserve"> PAGEREF _Toc122478849 \h </w:instrText>
        </w:r>
        <w:r w:rsidR="00197D9B">
          <w:rPr>
            <w:noProof/>
            <w:webHidden/>
          </w:rPr>
        </w:r>
        <w:r w:rsidR="00197D9B">
          <w:rPr>
            <w:noProof/>
            <w:webHidden/>
          </w:rPr>
          <w:fldChar w:fldCharType="separate"/>
        </w:r>
        <w:r w:rsidR="003D0091">
          <w:rPr>
            <w:noProof/>
            <w:webHidden/>
          </w:rPr>
          <w:t>24</w:t>
        </w:r>
        <w:r w:rsidR="00197D9B">
          <w:rPr>
            <w:noProof/>
            <w:webHidden/>
          </w:rPr>
          <w:fldChar w:fldCharType="end"/>
        </w:r>
      </w:hyperlink>
    </w:p>
    <w:p w14:paraId="47E41FD4" w14:textId="441013AF" w:rsidR="00197D9B" w:rsidRDefault="00511B60">
      <w:pPr>
        <w:pStyle w:val="TOC4"/>
        <w:rPr>
          <w:rFonts w:eastAsiaTheme="minorEastAsia" w:cstheme="minorBidi"/>
          <w:noProof/>
          <w:color w:val="auto"/>
          <w:kern w:val="0"/>
          <w:sz w:val="22"/>
          <w:szCs w:val="22"/>
          <w:lang w:val="fr-FR" w:eastAsia="fr-FR"/>
        </w:rPr>
      </w:pPr>
      <w:hyperlink w:anchor="_Toc122478850" w:history="1">
        <w:r w:rsidR="00197D9B" w:rsidRPr="00081B51">
          <w:rPr>
            <w:rStyle w:val="Hyperlink"/>
            <w:rFonts w:eastAsiaTheme="majorEastAsia"/>
            <w:noProof/>
          </w:rPr>
          <w:t>3.1.1.(b) Context of the Artisanal, Small, and Medium Scale mining</w:t>
        </w:r>
        <w:r w:rsidR="00197D9B">
          <w:rPr>
            <w:noProof/>
            <w:webHidden/>
          </w:rPr>
          <w:tab/>
        </w:r>
        <w:r w:rsidR="00197D9B">
          <w:rPr>
            <w:noProof/>
            <w:webHidden/>
          </w:rPr>
          <w:fldChar w:fldCharType="begin"/>
        </w:r>
        <w:r w:rsidR="00197D9B">
          <w:rPr>
            <w:noProof/>
            <w:webHidden/>
          </w:rPr>
          <w:instrText xml:space="preserve"> PAGEREF _Toc122478850 \h </w:instrText>
        </w:r>
        <w:r w:rsidR="00197D9B">
          <w:rPr>
            <w:noProof/>
            <w:webHidden/>
          </w:rPr>
        </w:r>
        <w:r w:rsidR="00197D9B">
          <w:rPr>
            <w:noProof/>
            <w:webHidden/>
          </w:rPr>
          <w:fldChar w:fldCharType="separate"/>
        </w:r>
        <w:r w:rsidR="003D0091">
          <w:rPr>
            <w:noProof/>
            <w:webHidden/>
          </w:rPr>
          <w:t>29</w:t>
        </w:r>
        <w:r w:rsidR="00197D9B">
          <w:rPr>
            <w:noProof/>
            <w:webHidden/>
          </w:rPr>
          <w:fldChar w:fldCharType="end"/>
        </w:r>
      </w:hyperlink>
    </w:p>
    <w:p w14:paraId="15A5DEDC" w14:textId="37CFEAD4" w:rsidR="00197D9B" w:rsidRDefault="00511B60">
      <w:pPr>
        <w:pStyle w:val="TOC3"/>
        <w:rPr>
          <w:rFonts w:eastAsiaTheme="minorEastAsia" w:cstheme="minorBidi"/>
          <w:noProof/>
          <w:color w:val="auto"/>
          <w:kern w:val="0"/>
          <w:sz w:val="22"/>
          <w:szCs w:val="22"/>
          <w:lang w:val="fr-FR" w:eastAsia="fr-FR"/>
        </w:rPr>
      </w:pPr>
      <w:hyperlink w:anchor="_Toc122478851" w:history="1">
        <w:r w:rsidR="00197D9B" w:rsidRPr="00081B51">
          <w:rPr>
            <w:rStyle w:val="Hyperlink"/>
            <w:rFonts w:eastAsiaTheme="majorEastAsia"/>
            <w:noProof/>
          </w:rPr>
          <w:t>3.1.2</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Context of oil &amp; gas sector</w:t>
        </w:r>
        <w:r w:rsidR="00197D9B">
          <w:rPr>
            <w:noProof/>
            <w:webHidden/>
          </w:rPr>
          <w:tab/>
        </w:r>
        <w:r w:rsidR="00197D9B">
          <w:rPr>
            <w:noProof/>
            <w:webHidden/>
          </w:rPr>
          <w:fldChar w:fldCharType="begin"/>
        </w:r>
        <w:r w:rsidR="00197D9B">
          <w:rPr>
            <w:noProof/>
            <w:webHidden/>
          </w:rPr>
          <w:instrText xml:space="preserve"> PAGEREF _Toc122478851 \h </w:instrText>
        </w:r>
        <w:r w:rsidR="00197D9B">
          <w:rPr>
            <w:noProof/>
            <w:webHidden/>
          </w:rPr>
        </w:r>
        <w:r w:rsidR="00197D9B">
          <w:rPr>
            <w:noProof/>
            <w:webHidden/>
          </w:rPr>
          <w:fldChar w:fldCharType="separate"/>
        </w:r>
        <w:r w:rsidR="003D0091">
          <w:rPr>
            <w:noProof/>
            <w:webHidden/>
          </w:rPr>
          <w:t>31</w:t>
        </w:r>
        <w:r w:rsidR="00197D9B">
          <w:rPr>
            <w:noProof/>
            <w:webHidden/>
          </w:rPr>
          <w:fldChar w:fldCharType="end"/>
        </w:r>
      </w:hyperlink>
    </w:p>
    <w:p w14:paraId="17636568" w14:textId="3E70A114" w:rsidR="00197D9B" w:rsidRDefault="00511B60">
      <w:pPr>
        <w:pStyle w:val="TOC4"/>
        <w:rPr>
          <w:rFonts w:eastAsiaTheme="minorEastAsia" w:cstheme="minorBidi"/>
          <w:noProof/>
          <w:color w:val="auto"/>
          <w:kern w:val="0"/>
          <w:sz w:val="22"/>
          <w:szCs w:val="22"/>
          <w:lang w:val="fr-FR" w:eastAsia="fr-FR"/>
        </w:rPr>
      </w:pPr>
      <w:hyperlink w:anchor="_Toc122478852" w:history="1">
        <w:r w:rsidR="00197D9B" w:rsidRPr="00081B51">
          <w:rPr>
            <w:rStyle w:val="Hyperlink"/>
            <w:rFonts w:eastAsiaTheme="majorEastAsia"/>
            <w:noProof/>
          </w:rPr>
          <w:t>3.1.2.(a) Petroleum exploration history in Suriname</w:t>
        </w:r>
        <w:r w:rsidR="00197D9B">
          <w:rPr>
            <w:noProof/>
            <w:webHidden/>
          </w:rPr>
          <w:tab/>
        </w:r>
        <w:r w:rsidR="00197D9B">
          <w:rPr>
            <w:noProof/>
            <w:webHidden/>
          </w:rPr>
          <w:fldChar w:fldCharType="begin"/>
        </w:r>
        <w:r w:rsidR="00197D9B">
          <w:rPr>
            <w:noProof/>
            <w:webHidden/>
          </w:rPr>
          <w:instrText xml:space="preserve"> PAGEREF _Toc122478852 \h </w:instrText>
        </w:r>
        <w:r w:rsidR="00197D9B">
          <w:rPr>
            <w:noProof/>
            <w:webHidden/>
          </w:rPr>
        </w:r>
        <w:r w:rsidR="00197D9B">
          <w:rPr>
            <w:noProof/>
            <w:webHidden/>
          </w:rPr>
          <w:fldChar w:fldCharType="separate"/>
        </w:r>
        <w:r w:rsidR="003D0091">
          <w:rPr>
            <w:noProof/>
            <w:webHidden/>
          </w:rPr>
          <w:t>31</w:t>
        </w:r>
        <w:r w:rsidR="00197D9B">
          <w:rPr>
            <w:noProof/>
            <w:webHidden/>
          </w:rPr>
          <w:fldChar w:fldCharType="end"/>
        </w:r>
      </w:hyperlink>
    </w:p>
    <w:p w14:paraId="5B360532" w14:textId="01E062D9" w:rsidR="00197D9B" w:rsidRDefault="00511B60">
      <w:pPr>
        <w:pStyle w:val="TOC4"/>
        <w:rPr>
          <w:rFonts w:eastAsiaTheme="minorEastAsia" w:cstheme="minorBidi"/>
          <w:noProof/>
          <w:color w:val="auto"/>
          <w:kern w:val="0"/>
          <w:sz w:val="22"/>
          <w:szCs w:val="22"/>
          <w:lang w:val="fr-FR" w:eastAsia="fr-FR"/>
        </w:rPr>
      </w:pPr>
      <w:hyperlink w:anchor="_Toc122478853" w:history="1">
        <w:r w:rsidR="00197D9B" w:rsidRPr="00081B51">
          <w:rPr>
            <w:rStyle w:val="Hyperlink"/>
            <w:rFonts w:eastAsiaTheme="majorEastAsia"/>
            <w:noProof/>
          </w:rPr>
          <w:t>3.1.2.(b) Geological overview</w:t>
        </w:r>
        <w:r w:rsidR="00197D9B">
          <w:rPr>
            <w:noProof/>
            <w:webHidden/>
          </w:rPr>
          <w:tab/>
        </w:r>
        <w:r w:rsidR="00197D9B">
          <w:rPr>
            <w:noProof/>
            <w:webHidden/>
          </w:rPr>
          <w:fldChar w:fldCharType="begin"/>
        </w:r>
        <w:r w:rsidR="00197D9B">
          <w:rPr>
            <w:noProof/>
            <w:webHidden/>
          </w:rPr>
          <w:instrText xml:space="preserve"> PAGEREF _Toc122478853 \h </w:instrText>
        </w:r>
        <w:r w:rsidR="00197D9B">
          <w:rPr>
            <w:noProof/>
            <w:webHidden/>
          </w:rPr>
        </w:r>
        <w:r w:rsidR="00197D9B">
          <w:rPr>
            <w:noProof/>
            <w:webHidden/>
          </w:rPr>
          <w:fldChar w:fldCharType="separate"/>
        </w:r>
        <w:r w:rsidR="003D0091">
          <w:rPr>
            <w:noProof/>
            <w:webHidden/>
          </w:rPr>
          <w:t>31</w:t>
        </w:r>
        <w:r w:rsidR="00197D9B">
          <w:rPr>
            <w:noProof/>
            <w:webHidden/>
          </w:rPr>
          <w:fldChar w:fldCharType="end"/>
        </w:r>
      </w:hyperlink>
    </w:p>
    <w:p w14:paraId="427234C4" w14:textId="183CC57F" w:rsidR="00197D9B" w:rsidRDefault="00511B60">
      <w:pPr>
        <w:pStyle w:val="TOC4"/>
        <w:rPr>
          <w:rFonts w:eastAsiaTheme="minorEastAsia" w:cstheme="minorBidi"/>
          <w:noProof/>
          <w:color w:val="auto"/>
          <w:kern w:val="0"/>
          <w:sz w:val="22"/>
          <w:szCs w:val="22"/>
          <w:lang w:val="fr-FR" w:eastAsia="fr-FR"/>
        </w:rPr>
      </w:pPr>
      <w:hyperlink w:anchor="_Toc122478854" w:history="1">
        <w:r w:rsidR="00197D9B" w:rsidRPr="00081B51">
          <w:rPr>
            <w:rStyle w:val="Hyperlink"/>
            <w:rFonts w:eastAsiaTheme="majorEastAsia"/>
            <w:noProof/>
          </w:rPr>
          <w:t>3.1.2.(c) The main Oil &amp; Gas exploration players in Suriname</w:t>
        </w:r>
        <w:r w:rsidR="00197D9B">
          <w:rPr>
            <w:noProof/>
            <w:webHidden/>
          </w:rPr>
          <w:tab/>
        </w:r>
        <w:r w:rsidR="00197D9B">
          <w:rPr>
            <w:noProof/>
            <w:webHidden/>
          </w:rPr>
          <w:fldChar w:fldCharType="begin"/>
        </w:r>
        <w:r w:rsidR="00197D9B">
          <w:rPr>
            <w:noProof/>
            <w:webHidden/>
          </w:rPr>
          <w:instrText xml:space="preserve"> PAGEREF _Toc122478854 \h </w:instrText>
        </w:r>
        <w:r w:rsidR="00197D9B">
          <w:rPr>
            <w:noProof/>
            <w:webHidden/>
          </w:rPr>
        </w:r>
        <w:r w:rsidR="00197D9B">
          <w:rPr>
            <w:noProof/>
            <w:webHidden/>
          </w:rPr>
          <w:fldChar w:fldCharType="separate"/>
        </w:r>
        <w:r w:rsidR="003D0091">
          <w:rPr>
            <w:noProof/>
            <w:webHidden/>
          </w:rPr>
          <w:t>32</w:t>
        </w:r>
        <w:r w:rsidR="00197D9B">
          <w:rPr>
            <w:noProof/>
            <w:webHidden/>
          </w:rPr>
          <w:fldChar w:fldCharType="end"/>
        </w:r>
      </w:hyperlink>
    </w:p>
    <w:p w14:paraId="325F28BB" w14:textId="6E71687C" w:rsidR="00197D9B" w:rsidRDefault="00511B60">
      <w:pPr>
        <w:pStyle w:val="TOC4"/>
        <w:rPr>
          <w:rFonts w:eastAsiaTheme="minorEastAsia" w:cstheme="minorBidi"/>
          <w:noProof/>
          <w:color w:val="auto"/>
          <w:kern w:val="0"/>
          <w:sz w:val="22"/>
          <w:szCs w:val="22"/>
          <w:lang w:val="fr-FR" w:eastAsia="fr-FR"/>
        </w:rPr>
      </w:pPr>
      <w:hyperlink w:anchor="_Toc122478855" w:history="1">
        <w:r w:rsidR="00197D9B" w:rsidRPr="00081B51">
          <w:rPr>
            <w:rStyle w:val="Hyperlink"/>
            <w:rFonts w:eastAsiaTheme="majorEastAsia"/>
            <w:noProof/>
          </w:rPr>
          <w:t>3.1.2.(d) Prospecting licenses and blocks in the oil and gas sector</w:t>
        </w:r>
        <w:r w:rsidR="00197D9B">
          <w:rPr>
            <w:noProof/>
            <w:webHidden/>
          </w:rPr>
          <w:tab/>
        </w:r>
        <w:r w:rsidR="00197D9B">
          <w:rPr>
            <w:noProof/>
            <w:webHidden/>
          </w:rPr>
          <w:fldChar w:fldCharType="begin"/>
        </w:r>
        <w:r w:rsidR="00197D9B">
          <w:rPr>
            <w:noProof/>
            <w:webHidden/>
          </w:rPr>
          <w:instrText xml:space="preserve"> PAGEREF _Toc122478855 \h </w:instrText>
        </w:r>
        <w:r w:rsidR="00197D9B">
          <w:rPr>
            <w:noProof/>
            <w:webHidden/>
          </w:rPr>
        </w:r>
        <w:r w:rsidR="00197D9B">
          <w:rPr>
            <w:noProof/>
            <w:webHidden/>
          </w:rPr>
          <w:fldChar w:fldCharType="separate"/>
        </w:r>
        <w:r w:rsidR="003D0091">
          <w:rPr>
            <w:noProof/>
            <w:webHidden/>
          </w:rPr>
          <w:t>32</w:t>
        </w:r>
        <w:r w:rsidR="00197D9B">
          <w:rPr>
            <w:noProof/>
            <w:webHidden/>
          </w:rPr>
          <w:fldChar w:fldCharType="end"/>
        </w:r>
      </w:hyperlink>
    </w:p>
    <w:p w14:paraId="07AA6C7F" w14:textId="0FC25B9B" w:rsidR="00197D9B" w:rsidRDefault="00511B60" w:rsidP="003D0091">
      <w:pPr>
        <w:pStyle w:val="TOC2"/>
        <w:rPr>
          <w:rFonts w:eastAsiaTheme="minorEastAsia" w:cstheme="minorBidi"/>
          <w:noProof/>
          <w:color w:val="auto"/>
          <w:kern w:val="0"/>
          <w:sz w:val="22"/>
          <w:szCs w:val="22"/>
          <w:lang w:val="fr-FR" w:eastAsia="fr-FR"/>
        </w:rPr>
      </w:pPr>
      <w:hyperlink w:anchor="_Toc122478856" w:history="1">
        <w:r w:rsidR="00197D9B" w:rsidRPr="00081B51">
          <w:rPr>
            <w:rStyle w:val="Hyperlink"/>
            <w:rFonts w:eastAsiaTheme="majorEastAsia"/>
            <w:b/>
            <w:noProof/>
          </w:rPr>
          <w:t>3.2.</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b/>
            <w:noProof/>
          </w:rPr>
          <w:t>Legal and Institutional Framework (EITI Requirement 2.1)</w:t>
        </w:r>
        <w:r w:rsidR="00197D9B">
          <w:rPr>
            <w:noProof/>
            <w:webHidden/>
          </w:rPr>
          <w:tab/>
        </w:r>
        <w:r w:rsidR="00197D9B">
          <w:rPr>
            <w:noProof/>
            <w:webHidden/>
          </w:rPr>
          <w:fldChar w:fldCharType="begin"/>
        </w:r>
        <w:r w:rsidR="00197D9B">
          <w:rPr>
            <w:noProof/>
            <w:webHidden/>
          </w:rPr>
          <w:instrText xml:space="preserve"> PAGEREF _Toc122478856 \h </w:instrText>
        </w:r>
        <w:r w:rsidR="00197D9B">
          <w:rPr>
            <w:noProof/>
            <w:webHidden/>
          </w:rPr>
        </w:r>
        <w:r w:rsidR="00197D9B">
          <w:rPr>
            <w:noProof/>
            <w:webHidden/>
          </w:rPr>
          <w:fldChar w:fldCharType="separate"/>
        </w:r>
        <w:r w:rsidR="003D0091">
          <w:rPr>
            <w:noProof/>
            <w:webHidden/>
          </w:rPr>
          <w:t>33</w:t>
        </w:r>
        <w:r w:rsidR="00197D9B">
          <w:rPr>
            <w:noProof/>
            <w:webHidden/>
          </w:rPr>
          <w:fldChar w:fldCharType="end"/>
        </w:r>
      </w:hyperlink>
    </w:p>
    <w:p w14:paraId="30110075" w14:textId="2E40F4D8" w:rsidR="00197D9B" w:rsidRDefault="00511B60">
      <w:pPr>
        <w:pStyle w:val="TOC3"/>
        <w:rPr>
          <w:rFonts w:eastAsiaTheme="minorEastAsia" w:cstheme="minorBidi"/>
          <w:noProof/>
          <w:color w:val="auto"/>
          <w:kern w:val="0"/>
          <w:sz w:val="22"/>
          <w:szCs w:val="22"/>
          <w:lang w:val="fr-FR" w:eastAsia="fr-FR"/>
        </w:rPr>
      </w:pPr>
      <w:hyperlink w:anchor="_Toc122478857" w:history="1">
        <w:r w:rsidR="00197D9B" w:rsidRPr="00081B51">
          <w:rPr>
            <w:rStyle w:val="Hyperlink"/>
            <w:rFonts w:eastAsiaTheme="majorEastAsia"/>
            <w:noProof/>
          </w:rPr>
          <w:t>3.2.1</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Legal and Institutional Framework in the Mining sector</w:t>
        </w:r>
        <w:r w:rsidR="00197D9B">
          <w:rPr>
            <w:noProof/>
            <w:webHidden/>
          </w:rPr>
          <w:tab/>
        </w:r>
        <w:r w:rsidR="00197D9B">
          <w:rPr>
            <w:noProof/>
            <w:webHidden/>
          </w:rPr>
          <w:fldChar w:fldCharType="begin"/>
        </w:r>
        <w:r w:rsidR="00197D9B">
          <w:rPr>
            <w:noProof/>
            <w:webHidden/>
          </w:rPr>
          <w:instrText xml:space="preserve"> PAGEREF _Toc122478857 \h </w:instrText>
        </w:r>
        <w:r w:rsidR="00197D9B">
          <w:rPr>
            <w:noProof/>
            <w:webHidden/>
          </w:rPr>
        </w:r>
        <w:r w:rsidR="00197D9B">
          <w:rPr>
            <w:noProof/>
            <w:webHidden/>
          </w:rPr>
          <w:fldChar w:fldCharType="separate"/>
        </w:r>
        <w:r w:rsidR="003D0091">
          <w:rPr>
            <w:noProof/>
            <w:webHidden/>
          </w:rPr>
          <w:t>33</w:t>
        </w:r>
        <w:r w:rsidR="00197D9B">
          <w:rPr>
            <w:noProof/>
            <w:webHidden/>
          </w:rPr>
          <w:fldChar w:fldCharType="end"/>
        </w:r>
      </w:hyperlink>
    </w:p>
    <w:p w14:paraId="174B4473" w14:textId="0CFDCA67" w:rsidR="00197D9B" w:rsidRDefault="00511B60">
      <w:pPr>
        <w:pStyle w:val="TOC4"/>
        <w:rPr>
          <w:rFonts w:eastAsiaTheme="minorEastAsia" w:cstheme="minorBidi"/>
          <w:noProof/>
          <w:color w:val="auto"/>
          <w:kern w:val="0"/>
          <w:sz w:val="22"/>
          <w:szCs w:val="22"/>
          <w:lang w:val="fr-FR" w:eastAsia="fr-FR"/>
        </w:rPr>
      </w:pPr>
      <w:hyperlink w:anchor="_Toc122478858" w:history="1">
        <w:r w:rsidR="00197D9B" w:rsidRPr="00081B51">
          <w:rPr>
            <w:rStyle w:val="Hyperlink"/>
            <w:rFonts w:eastAsiaTheme="majorEastAsia"/>
            <w:noProof/>
          </w:rPr>
          <w:t>3.2.1. (a) Institutional Framework</w:t>
        </w:r>
        <w:r w:rsidR="00197D9B">
          <w:rPr>
            <w:noProof/>
            <w:webHidden/>
          </w:rPr>
          <w:tab/>
        </w:r>
        <w:r w:rsidR="00197D9B">
          <w:rPr>
            <w:noProof/>
            <w:webHidden/>
          </w:rPr>
          <w:fldChar w:fldCharType="begin"/>
        </w:r>
        <w:r w:rsidR="00197D9B">
          <w:rPr>
            <w:noProof/>
            <w:webHidden/>
          </w:rPr>
          <w:instrText xml:space="preserve"> PAGEREF _Toc122478858 \h </w:instrText>
        </w:r>
        <w:r w:rsidR="00197D9B">
          <w:rPr>
            <w:noProof/>
            <w:webHidden/>
          </w:rPr>
        </w:r>
        <w:r w:rsidR="00197D9B">
          <w:rPr>
            <w:noProof/>
            <w:webHidden/>
          </w:rPr>
          <w:fldChar w:fldCharType="separate"/>
        </w:r>
        <w:r w:rsidR="003D0091">
          <w:rPr>
            <w:noProof/>
            <w:webHidden/>
          </w:rPr>
          <w:t>33</w:t>
        </w:r>
        <w:r w:rsidR="00197D9B">
          <w:rPr>
            <w:noProof/>
            <w:webHidden/>
          </w:rPr>
          <w:fldChar w:fldCharType="end"/>
        </w:r>
      </w:hyperlink>
    </w:p>
    <w:p w14:paraId="3D8DAF3E" w14:textId="7F4A9347" w:rsidR="00197D9B" w:rsidRDefault="00511B60">
      <w:pPr>
        <w:pStyle w:val="TOC4"/>
        <w:rPr>
          <w:rFonts w:eastAsiaTheme="minorEastAsia" w:cstheme="minorBidi"/>
          <w:noProof/>
          <w:color w:val="auto"/>
          <w:kern w:val="0"/>
          <w:sz w:val="22"/>
          <w:szCs w:val="22"/>
          <w:lang w:val="fr-FR" w:eastAsia="fr-FR"/>
        </w:rPr>
      </w:pPr>
      <w:hyperlink w:anchor="_Toc122478859" w:history="1">
        <w:r w:rsidR="00197D9B" w:rsidRPr="00081B51">
          <w:rPr>
            <w:rStyle w:val="Hyperlink"/>
            <w:rFonts w:eastAsiaTheme="majorEastAsia"/>
            <w:noProof/>
          </w:rPr>
          <w:t>3.2.1.(b) Legal Framework</w:t>
        </w:r>
        <w:r w:rsidR="00197D9B">
          <w:rPr>
            <w:noProof/>
            <w:webHidden/>
          </w:rPr>
          <w:tab/>
        </w:r>
        <w:r w:rsidR="00197D9B">
          <w:rPr>
            <w:noProof/>
            <w:webHidden/>
          </w:rPr>
          <w:fldChar w:fldCharType="begin"/>
        </w:r>
        <w:r w:rsidR="00197D9B">
          <w:rPr>
            <w:noProof/>
            <w:webHidden/>
          </w:rPr>
          <w:instrText xml:space="preserve"> PAGEREF _Toc122478859 \h </w:instrText>
        </w:r>
        <w:r w:rsidR="00197D9B">
          <w:rPr>
            <w:noProof/>
            <w:webHidden/>
          </w:rPr>
        </w:r>
        <w:r w:rsidR="00197D9B">
          <w:rPr>
            <w:noProof/>
            <w:webHidden/>
          </w:rPr>
          <w:fldChar w:fldCharType="separate"/>
        </w:r>
        <w:r w:rsidR="003D0091">
          <w:rPr>
            <w:noProof/>
            <w:webHidden/>
          </w:rPr>
          <w:t>36</w:t>
        </w:r>
        <w:r w:rsidR="00197D9B">
          <w:rPr>
            <w:noProof/>
            <w:webHidden/>
          </w:rPr>
          <w:fldChar w:fldCharType="end"/>
        </w:r>
      </w:hyperlink>
    </w:p>
    <w:p w14:paraId="7F88B197" w14:textId="6B00FE08" w:rsidR="00197D9B" w:rsidRDefault="00511B60">
      <w:pPr>
        <w:pStyle w:val="TOC4"/>
        <w:rPr>
          <w:rFonts w:eastAsiaTheme="minorEastAsia" w:cstheme="minorBidi"/>
          <w:noProof/>
          <w:color w:val="auto"/>
          <w:kern w:val="0"/>
          <w:sz w:val="22"/>
          <w:szCs w:val="22"/>
          <w:lang w:val="fr-FR" w:eastAsia="fr-FR"/>
        </w:rPr>
      </w:pPr>
      <w:hyperlink w:anchor="_Toc122478860" w:history="1">
        <w:r w:rsidR="00197D9B" w:rsidRPr="00081B51">
          <w:rPr>
            <w:rStyle w:val="Hyperlink"/>
            <w:rFonts w:eastAsiaTheme="majorEastAsia"/>
            <w:noProof/>
          </w:rPr>
          <w:t>3.2.1. (c) Fiscal regime</w:t>
        </w:r>
        <w:r w:rsidR="00197D9B">
          <w:rPr>
            <w:noProof/>
            <w:webHidden/>
          </w:rPr>
          <w:tab/>
        </w:r>
        <w:r w:rsidR="00197D9B">
          <w:rPr>
            <w:noProof/>
            <w:webHidden/>
          </w:rPr>
          <w:fldChar w:fldCharType="begin"/>
        </w:r>
        <w:r w:rsidR="00197D9B">
          <w:rPr>
            <w:noProof/>
            <w:webHidden/>
          </w:rPr>
          <w:instrText xml:space="preserve"> PAGEREF _Toc122478860 \h </w:instrText>
        </w:r>
        <w:r w:rsidR="00197D9B">
          <w:rPr>
            <w:noProof/>
            <w:webHidden/>
          </w:rPr>
        </w:r>
        <w:r w:rsidR="00197D9B">
          <w:rPr>
            <w:noProof/>
            <w:webHidden/>
          </w:rPr>
          <w:fldChar w:fldCharType="separate"/>
        </w:r>
        <w:r w:rsidR="003D0091">
          <w:rPr>
            <w:noProof/>
            <w:webHidden/>
          </w:rPr>
          <w:t>37</w:t>
        </w:r>
        <w:r w:rsidR="00197D9B">
          <w:rPr>
            <w:noProof/>
            <w:webHidden/>
          </w:rPr>
          <w:fldChar w:fldCharType="end"/>
        </w:r>
      </w:hyperlink>
    </w:p>
    <w:p w14:paraId="3A11E66A" w14:textId="201E60D6" w:rsidR="00197D9B" w:rsidRDefault="00511B60">
      <w:pPr>
        <w:pStyle w:val="TOC3"/>
        <w:rPr>
          <w:rFonts w:eastAsiaTheme="minorEastAsia" w:cstheme="minorBidi"/>
          <w:noProof/>
          <w:color w:val="auto"/>
          <w:kern w:val="0"/>
          <w:sz w:val="22"/>
          <w:szCs w:val="22"/>
          <w:lang w:val="fr-FR" w:eastAsia="fr-FR"/>
        </w:rPr>
      </w:pPr>
      <w:hyperlink w:anchor="_Toc122478861" w:history="1">
        <w:r w:rsidR="00197D9B" w:rsidRPr="00081B51">
          <w:rPr>
            <w:rStyle w:val="Hyperlink"/>
            <w:rFonts w:eastAsiaTheme="majorEastAsia"/>
            <w:noProof/>
          </w:rPr>
          <w:t>3.2.2</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Legal and Institutional Framework in the Oil and Gas sector</w:t>
        </w:r>
        <w:r w:rsidR="00197D9B">
          <w:rPr>
            <w:noProof/>
            <w:webHidden/>
          </w:rPr>
          <w:tab/>
        </w:r>
        <w:r w:rsidR="00197D9B">
          <w:rPr>
            <w:noProof/>
            <w:webHidden/>
          </w:rPr>
          <w:fldChar w:fldCharType="begin"/>
        </w:r>
        <w:r w:rsidR="00197D9B">
          <w:rPr>
            <w:noProof/>
            <w:webHidden/>
          </w:rPr>
          <w:instrText xml:space="preserve"> PAGEREF _Toc122478861 \h </w:instrText>
        </w:r>
        <w:r w:rsidR="00197D9B">
          <w:rPr>
            <w:noProof/>
            <w:webHidden/>
          </w:rPr>
        </w:r>
        <w:r w:rsidR="00197D9B">
          <w:rPr>
            <w:noProof/>
            <w:webHidden/>
          </w:rPr>
          <w:fldChar w:fldCharType="separate"/>
        </w:r>
        <w:r w:rsidR="003D0091">
          <w:rPr>
            <w:noProof/>
            <w:webHidden/>
          </w:rPr>
          <w:t>42</w:t>
        </w:r>
        <w:r w:rsidR="00197D9B">
          <w:rPr>
            <w:noProof/>
            <w:webHidden/>
          </w:rPr>
          <w:fldChar w:fldCharType="end"/>
        </w:r>
      </w:hyperlink>
    </w:p>
    <w:p w14:paraId="5BC15463" w14:textId="4875A2D2" w:rsidR="00197D9B" w:rsidRDefault="00511B60">
      <w:pPr>
        <w:pStyle w:val="TOC4"/>
        <w:rPr>
          <w:rFonts w:eastAsiaTheme="minorEastAsia" w:cstheme="minorBidi"/>
          <w:noProof/>
          <w:color w:val="auto"/>
          <w:kern w:val="0"/>
          <w:sz w:val="22"/>
          <w:szCs w:val="22"/>
          <w:lang w:val="fr-FR" w:eastAsia="fr-FR"/>
        </w:rPr>
      </w:pPr>
      <w:hyperlink w:anchor="_Toc122478862" w:history="1">
        <w:r w:rsidR="00197D9B" w:rsidRPr="00081B51">
          <w:rPr>
            <w:rStyle w:val="Hyperlink"/>
            <w:rFonts w:eastAsiaTheme="majorEastAsia"/>
            <w:noProof/>
          </w:rPr>
          <w:t>3.2.2.(a) Institutional Framework</w:t>
        </w:r>
        <w:r w:rsidR="00197D9B">
          <w:rPr>
            <w:noProof/>
            <w:webHidden/>
          </w:rPr>
          <w:tab/>
        </w:r>
        <w:r w:rsidR="00197D9B">
          <w:rPr>
            <w:noProof/>
            <w:webHidden/>
          </w:rPr>
          <w:fldChar w:fldCharType="begin"/>
        </w:r>
        <w:r w:rsidR="00197D9B">
          <w:rPr>
            <w:noProof/>
            <w:webHidden/>
          </w:rPr>
          <w:instrText xml:space="preserve"> PAGEREF _Toc122478862 \h </w:instrText>
        </w:r>
        <w:r w:rsidR="00197D9B">
          <w:rPr>
            <w:noProof/>
            <w:webHidden/>
          </w:rPr>
        </w:r>
        <w:r w:rsidR="00197D9B">
          <w:rPr>
            <w:noProof/>
            <w:webHidden/>
          </w:rPr>
          <w:fldChar w:fldCharType="separate"/>
        </w:r>
        <w:r w:rsidR="003D0091">
          <w:rPr>
            <w:noProof/>
            <w:webHidden/>
          </w:rPr>
          <w:t>42</w:t>
        </w:r>
        <w:r w:rsidR="00197D9B">
          <w:rPr>
            <w:noProof/>
            <w:webHidden/>
          </w:rPr>
          <w:fldChar w:fldCharType="end"/>
        </w:r>
      </w:hyperlink>
    </w:p>
    <w:p w14:paraId="22CF38AD" w14:textId="63F42B27" w:rsidR="00197D9B" w:rsidRDefault="00511B60">
      <w:pPr>
        <w:pStyle w:val="TOC4"/>
        <w:rPr>
          <w:rFonts w:eastAsiaTheme="minorEastAsia" w:cstheme="minorBidi"/>
          <w:noProof/>
          <w:color w:val="auto"/>
          <w:kern w:val="0"/>
          <w:sz w:val="22"/>
          <w:szCs w:val="22"/>
          <w:lang w:val="fr-FR" w:eastAsia="fr-FR"/>
        </w:rPr>
      </w:pPr>
      <w:hyperlink w:anchor="_Toc122478863" w:history="1">
        <w:r w:rsidR="00197D9B" w:rsidRPr="00081B51">
          <w:rPr>
            <w:rStyle w:val="Hyperlink"/>
            <w:rFonts w:eastAsiaTheme="majorEastAsia"/>
            <w:noProof/>
          </w:rPr>
          <w:t>3.2.2. (b) Legal Framework</w:t>
        </w:r>
        <w:r w:rsidR="00197D9B">
          <w:rPr>
            <w:noProof/>
            <w:webHidden/>
          </w:rPr>
          <w:tab/>
        </w:r>
        <w:r w:rsidR="00197D9B">
          <w:rPr>
            <w:noProof/>
            <w:webHidden/>
          </w:rPr>
          <w:fldChar w:fldCharType="begin"/>
        </w:r>
        <w:r w:rsidR="00197D9B">
          <w:rPr>
            <w:noProof/>
            <w:webHidden/>
          </w:rPr>
          <w:instrText xml:space="preserve"> PAGEREF _Toc122478863 \h </w:instrText>
        </w:r>
        <w:r w:rsidR="00197D9B">
          <w:rPr>
            <w:noProof/>
            <w:webHidden/>
          </w:rPr>
        </w:r>
        <w:r w:rsidR="00197D9B">
          <w:rPr>
            <w:noProof/>
            <w:webHidden/>
          </w:rPr>
          <w:fldChar w:fldCharType="separate"/>
        </w:r>
        <w:r w:rsidR="003D0091">
          <w:rPr>
            <w:noProof/>
            <w:webHidden/>
          </w:rPr>
          <w:t>43</w:t>
        </w:r>
        <w:r w:rsidR="00197D9B">
          <w:rPr>
            <w:noProof/>
            <w:webHidden/>
          </w:rPr>
          <w:fldChar w:fldCharType="end"/>
        </w:r>
      </w:hyperlink>
    </w:p>
    <w:p w14:paraId="02BE0F1B" w14:textId="29286158" w:rsidR="00197D9B" w:rsidRDefault="00511B60">
      <w:pPr>
        <w:pStyle w:val="TOC4"/>
        <w:rPr>
          <w:rFonts w:eastAsiaTheme="minorEastAsia" w:cstheme="minorBidi"/>
          <w:noProof/>
          <w:color w:val="auto"/>
          <w:kern w:val="0"/>
          <w:sz w:val="22"/>
          <w:szCs w:val="22"/>
          <w:lang w:val="fr-FR" w:eastAsia="fr-FR"/>
        </w:rPr>
      </w:pPr>
      <w:hyperlink w:anchor="_Toc122478864" w:history="1">
        <w:r w:rsidR="00197D9B" w:rsidRPr="00081B51">
          <w:rPr>
            <w:rStyle w:val="Hyperlink"/>
            <w:rFonts w:eastAsiaTheme="majorEastAsia"/>
            <w:noProof/>
          </w:rPr>
          <w:t>3.2.2. (c) Fiscal regime</w:t>
        </w:r>
        <w:r w:rsidR="00197D9B">
          <w:rPr>
            <w:noProof/>
            <w:webHidden/>
          </w:rPr>
          <w:tab/>
        </w:r>
        <w:r w:rsidR="00197D9B">
          <w:rPr>
            <w:noProof/>
            <w:webHidden/>
          </w:rPr>
          <w:fldChar w:fldCharType="begin"/>
        </w:r>
        <w:r w:rsidR="00197D9B">
          <w:rPr>
            <w:noProof/>
            <w:webHidden/>
          </w:rPr>
          <w:instrText xml:space="preserve"> PAGEREF _Toc122478864 \h </w:instrText>
        </w:r>
        <w:r w:rsidR="00197D9B">
          <w:rPr>
            <w:noProof/>
            <w:webHidden/>
          </w:rPr>
        </w:r>
        <w:r w:rsidR="00197D9B">
          <w:rPr>
            <w:noProof/>
            <w:webHidden/>
          </w:rPr>
          <w:fldChar w:fldCharType="separate"/>
        </w:r>
        <w:r w:rsidR="003D0091">
          <w:rPr>
            <w:noProof/>
            <w:webHidden/>
          </w:rPr>
          <w:t>43</w:t>
        </w:r>
        <w:r w:rsidR="00197D9B">
          <w:rPr>
            <w:noProof/>
            <w:webHidden/>
          </w:rPr>
          <w:fldChar w:fldCharType="end"/>
        </w:r>
      </w:hyperlink>
    </w:p>
    <w:p w14:paraId="50563282" w14:textId="0D2B2F35" w:rsidR="00197D9B" w:rsidRDefault="00511B60" w:rsidP="003D0091">
      <w:pPr>
        <w:pStyle w:val="TOC2"/>
        <w:rPr>
          <w:rFonts w:eastAsiaTheme="minorEastAsia" w:cstheme="minorBidi"/>
          <w:noProof/>
          <w:color w:val="auto"/>
          <w:kern w:val="0"/>
          <w:sz w:val="22"/>
          <w:szCs w:val="22"/>
          <w:lang w:val="fr-FR" w:eastAsia="fr-FR"/>
        </w:rPr>
      </w:pPr>
      <w:hyperlink w:anchor="_Toc122478865" w:history="1">
        <w:r w:rsidR="00197D9B" w:rsidRPr="00081B51">
          <w:rPr>
            <w:rStyle w:val="Hyperlink"/>
            <w:rFonts w:eastAsiaTheme="majorEastAsia"/>
            <w:b/>
            <w:noProof/>
          </w:rPr>
          <w:t>3.3.</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b/>
            <w:noProof/>
          </w:rPr>
          <w:t>Contract and license allocations (EITI Requirement 2.2)</w:t>
        </w:r>
        <w:r w:rsidR="00197D9B">
          <w:rPr>
            <w:noProof/>
            <w:webHidden/>
          </w:rPr>
          <w:tab/>
        </w:r>
        <w:r w:rsidR="00197D9B">
          <w:rPr>
            <w:noProof/>
            <w:webHidden/>
          </w:rPr>
          <w:fldChar w:fldCharType="begin"/>
        </w:r>
        <w:r w:rsidR="00197D9B">
          <w:rPr>
            <w:noProof/>
            <w:webHidden/>
          </w:rPr>
          <w:instrText xml:space="preserve"> PAGEREF _Toc122478865 \h </w:instrText>
        </w:r>
        <w:r w:rsidR="00197D9B">
          <w:rPr>
            <w:noProof/>
            <w:webHidden/>
          </w:rPr>
        </w:r>
        <w:r w:rsidR="00197D9B">
          <w:rPr>
            <w:noProof/>
            <w:webHidden/>
          </w:rPr>
          <w:fldChar w:fldCharType="separate"/>
        </w:r>
        <w:r w:rsidR="003D0091">
          <w:rPr>
            <w:noProof/>
            <w:webHidden/>
          </w:rPr>
          <w:t>45</w:t>
        </w:r>
        <w:r w:rsidR="00197D9B">
          <w:rPr>
            <w:noProof/>
            <w:webHidden/>
          </w:rPr>
          <w:fldChar w:fldCharType="end"/>
        </w:r>
      </w:hyperlink>
    </w:p>
    <w:p w14:paraId="15DC8BCF" w14:textId="4CBECD9C" w:rsidR="00197D9B" w:rsidRDefault="00511B60">
      <w:pPr>
        <w:pStyle w:val="TOC3"/>
        <w:rPr>
          <w:rFonts w:eastAsiaTheme="minorEastAsia" w:cstheme="minorBidi"/>
          <w:noProof/>
          <w:color w:val="auto"/>
          <w:kern w:val="0"/>
          <w:sz w:val="22"/>
          <w:szCs w:val="22"/>
          <w:lang w:val="fr-FR" w:eastAsia="fr-FR"/>
        </w:rPr>
      </w:pPr>
      <w:hyperlink w:anchor="_Toc122478866" w:history="1">
        <w:r w:rsidR="00197D9B" w:rsidRPr="00081B51">
          <w:rPr>
            <w:rStyle w:val="Hyperlink"/>
            <w:rFonts w:eastAsiaTheme="majorEastAsia"/>
            <w:noProof/>
          </w:rPr>
          <w:t>3.3.1</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Contract and license allocations in the Mining Sector</w:t>
        </w:r>
        <w:r w:rsidR="00197D9B">
          <w:rPr>
            <w:noProof/>
            <w:webHidden/>
          </w:rPr>
          <w:tab/>
        </w:r>
        <w:r w:rsidR="00197D9B">
          <w:rPr>
            <w:noProof/>
            <w:webHidden/>
          </w:rPr>
          <w:fldChar w:fldCharType="begin"/>
        </w:r>
        <w:r w:rsidR="00197D9B">
          <w:rPr>
            <w:noProof/>
            <w:webHidden/>
          </w:rPr>
          <w:instrText xml:space="preserve"> PAGEREF _Toc122478866 \h </w:instrText>
        </w:r>
        <w:r w:rsidR="00197D9B">
          <w:rPr>
            <w:noProof/>
            <w:webHidden/>
          </w:rPr>
        </w:r>
        <w:r w:rsidR="00197D9B">
          <w:rPr>
            <w:noProof/>
            <w:webHidden/>
          </w:rPr>
          <w:fldChar w:fldCharType="separate"/>
        </w:r>
        <w:r w:rsidR="003D0091">
          <w:rPr>
            <w:noProof/>
            <w:webHidden/>
          </w:rPr>
          <w:t>45</w:t>
        </w:r>
        <w:r w:rsidR="00197D9B">
          <w:rPr>
            <w:noProof/>
            <w:webHidden/>
          </w:rPr>
          <w:fldChar w:fldCharType="end"/>
        </w:r>
      </w:hyperlink>
    </w:p>
    <w:p w14:paraId="48EC41DD" w14:textId="4EE2ACD7" w:rsidR="00197D9B" w:rsidRDefault="00511B60">
      <w:pPr>
        <w:pStyle w:val="TOC4"/>
        <w:rPr>
          <w:rFonts w:eastAsiaTheme="minorEastAsia" w:cstheme="minorBidi"/>
          <w:noProof/>
          <w:color w:val="auto"/>
          <w:kern w:val="0"/>
          <w:sz w:val="22"/>
          <w:szCs w:val="22"/>
          <w:lang w:val="fr-FR" w:eastAsia="fr-FR"/>
        </w:rPr>
      </w:pPr>
      <w:hyperlink w:anchor="_Toc122478867" w:history="1">
        <w:r w:rsidR="00197D9B" w:rsidRPr="00081B51">
          <w:rPr>
            <w:rStyle w:val="Hyperlink"/>
            <w:rFonts w:eastAsiaTheme="majorEastAsia"/>
            <w:noProof/>
          </w:rPr>
          <w:t>3.3.1.(a) Types of mining licenses and permits</w:t>
        </w:r>
        <w:r w:rsidR="00197D9B">
          <w:rPr>
            <w:noProof/>
            <w:webHidden/>
          </w:rPr>
          <w:tab/>
        </w:r>
        <w:r w:rsidR="00197D9B">
          <w:rPr>
            <w:noProof/>
            <w:webHidden/>
          </w:rPr>
          <w:fldChar w:fldCharType="begin"/>
        </w:r>
        <w:r w:rsidR="00197D9B">
          <w:rPr>
            <w:noProof/>
            <w:webHidden/>
          </w:rPr>
          <w:instrText xml:space="preserve"> PAGEREF _Toc122478867 \h </w:instrText>
        </w:r>
        <w:r w:rsidR="00197D9B">
          <w:rPr>
            <w:noProof/>
            <w:webHidden/>
          </w:rPr>
        </w:r>
        <w:r w:rsidR="00197D9B">
          <w:rPr>
            <w:noProof/>
            <w:webHidden/>
          </w:rPr>
          <w:fldChar w:fldCharType="separate"/>
        </w:r>
        <w:r w:rsidR="003D0091">
          <w:rPr>
            <w:noProof/>
            <w:webHidden/>
          </w:rPr>
          <w:t>45</w:t>
        </w:r>
        <w:r w:rsidR="00197D9B">
          <w:rPr>
            <w:noProof/>
            <w:webHidden/>
          </w:rPr>
          <w:fldChar w:fldCharType="end"/>
        </w:r>
      </w:hyperlink>
    </w:p>
    <w:p w14:paraId="2AA7A7EF" w14:textId="690DA5C5" w:rsidR="00197D9B" w:rsidRDefault="00511B60">
      <w:pPr>
        <w:pStyle w:val="TOC4"/>
        <w:rPr>
          <w:rFonts w:eastAsiaTheme="minorEastAsia" w:cstheme="minorBidi"/>
          <w:noProof/>
          <w:color w:val="auto"/>
          <w:kern w:val="0"/>
          <w:sz w:val="22"/>
          <w:szCs w:val="22"/>
          <w:lang w:val="fr-FR" w:eastAsia="fr-FR"/>
        </w:rPr>
      </w:pPr>
      <w:hyperlink w:anchor="_Toc122478868" w:history="1">
        <w:r w:rsidR="00197D9B" w:rsidRPr="00081B51">
          <w:rPr>
            <w:rStyle w:val="Hyperlink"/>
            <w:rFonts w:eastAsiaTheme="majorEastAsia"/>
            <w:noProof/>
          </w:rPr>
          <w:t>3.3.1.(b) Mining contracts</w:t>
        </w:r>
        <w:r w:rsidR="00197D9B">
          <w:rPr>
            <w:noProof/>
            <w:webHidden/>
          </w:rPr>
          <w:tab/>
        </w:r>
        <w:r w:rsidR="00197D9B">
          <w:rPr>
            <w:noProof/>
            <w:webHidden/>
          </w:rPr>
          <w:fldChar w:fldCharType="begin"/>
        </w:r>
        <w:r w:rsidR="00197D9B">
          <w:rPr>
            <w:noProof/>
            <w:webHidden/>
          </w:rPr>
          <w:instrText xml:space="preserve"> PAGEREF _Toc122478868 \h </w:instrText>
        </w:r>
        <w:r w:rsidR="00197D9B">
          <w:rPr>
            <w:noProof/>
            <w:webHidden/>
          </w:rPr>
        </w:r>
        <w:r w:rsidR="00197D9B">
          <w:rPr>
            <w:noProof/>
            <w:webHidden/>
          </w:rPr>
          <w:fldChar w:fldCharType="separate"/>
        </w:r>
        <w:r w:rsidR="003D0091">
          <w:rPr>
            <w:noProof/>
            <w:webHidden/>
          </w:rPr>
          <w:t>47</w:t>
        </w:r>
        <w:r w:rsidR="00197D9B">
          <w:rPr>
            <w:noProof/>
            <w:webHidden/>
          </w:rPr>
          <w:fldChar w:fldCharType="end"/>
        </w:r>
      </w:hyperlink>
    </w:p>
    <w:p w14:paraId="7CE23DD5" w14:textId="4B9D6576" w:rsidR="00197D9B" w:rsidRDefault="00511B60">
      <w:pPr>
        <w:pStyle w:val="TOC4"/>
        <w:rPr>
          <w:rFonts w:eastAsiaTheme="minorEastAsia" w:cstheme="minorBidi"/>
          <w:noProof/>
          <w:color w:val="auto"/>
          <w:kern w:val="0"/>
          <w:sz w:val="22"/>
          <w:szCs w:val="22"/>
          <w:lang w:val="fr-FR" w:eastAsia="fr-FR"/>
        </w:rPr>
      </w:pPr>
      <w:hyperlink w:anchor="_Toc122478869" w:history="1">
        <w:r w:rsidR="00197D9B" w:rsidRPr="00081B51">
          <w:rPr>
            <w:rStyle w:val="Hyperlink"/>
            <w:rFonts w:eastAsiaTheme="majorEastAsia"/>
            <w:noProof/>
          </w:rPr>
          <w:t>3.3.1. (c) mining licenses and mining contracts allocation</w:t>
        </w:r>
        <w:r w:rsidR="00197D9B">
          <w:rPr>
            <w:noProof/>
            <w:webHidden/>
          </w:rPr>
          <w:tab/>
        </w:r>
        <w:r w:rsidR="00197D9B">
          <w:rPr>
            <w:noProof/>
            <w:webHidden/>
          </w:rPr>
          <w:fldChar w:fldCharType="begin"/>
        </w:r>
        <w:r w:rsidR="00197D9B">
          <w:rPr>
            <w:noProof/>
            <w:webHidden/>
          </w:rPr>
          <w:instrText xml:space="preserve"> PAGEREF _Toc122478869 \h </w:instrText>
        </w:r>
        <w:r w:rsidR="00197D9B">
          <w:rPr>
            <w:noProof/>
            <w:webHidden/>
          </w:rPr>
        </w:r>
        <w:r w:rsidR="00197D9B">
          <w:rPr>
            <w:noProof/>
            <w:webHidden/>
          </w:rPr>
          <w:fldChar w:fldCharType="separate"/>
        </w:r>
        <w:r w:rsidR="003D0091">
          <w:rPr>
            <w:noProof/>
            <w:webHidden/>
          </w:rPr>
          <w:t>48</w:t>
        </w:r>
        <w:r w:rsidR="00197D9B">
          <w:rPr>
            <w:noProof/>
            <w:webHidden/>
          </w:rPr>
          <w:fldChar w:fldCharType="end"/>
        </w:r>
      </w:hyperlink>
    </w:p>
    <w:p w14:paraId="0E6B158F" w14:textId="704A331C" w:rsidR="00197D9B" w:rsidRDefault="00511B60">
      <w:pPr>
        <w:pStyle w:val="TOC3"/>
        <w:rPr>
          <w:rFonts w:eastAsiaTheme="minorEastAsia" w:cstheme="minorBidi"/>
          <w:noProof/>
          <w:color w:val="auto"/>
          <w:kern w:val="0"/>
          <w:sz w:val="22"/>
          <w:szCs w:val="22"/>
          <w:lang w:val="fr-FR" w:eastAsia="fr-FR"/>
        </w:rPr>
      </w:pPr>
      <w:hyperlink w:anchor="_Toc122478870" w:history="1">
        <w:r w:rsidR="00197D9B" w:rsidRPr="00081B51">
          <w:rPr>
            <w:rStyle w:val="Hyperlink"/>
            <w:rFonts w:eastAsiaTheme="majorEastAsia"/>
            <w:noProof/>
          </w:rPr>
          <w:t>3.3.2</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Contract and license allocations in the Oil and Gas Sector</w:t>
        </w:r>
        <w:r w:rsidR="00197D9B">
          <w:rPr>
            <w:noProof/>
            <w:webHidden/>
          </w:rPr>
          <w:tab/>
        </w:r>
        <w:r w:rsidR="00197D9B">
          <w:rPr>
            <w:noProof/>
            <w:webHidden/>
          </w:rPr>
          <w:fldChar w:fldCharType="begin"/>
        </w:r>
        <w:r w:rsidR="00197D9B">
          <w:rPr>
            <w:noProof/>
            <w:webHidden/>
          </w:rPr>
          <w:instrText xml:space="preserve"> PAGEREF _Toc122478870 \h </w:instrText>
        </w:r>
        <w:r w:rsidR="00197D9B">
          <w:rPr>
            <w:noProof/>
            <w:webHidden/>
          </w:rPr>
        </w:r>
        <w:r w:rsidR="00197D9B">
          <w:rPr>
            <w:noProof/>
            <w:webHidden/>
          </w:rPr>
          <w:fldChar w:fldCharType="separate"/>
        </w:r>
        <w:r w:rsidR="003D0091">
          <w:rPr>
            <w:noProof/>
            <w:webHidden/>
          </w:rPr>
          <w:t>51</w:t>
        </w:r>
        <w:r w:rsidR="00197D9B">
          <w:rPr>
            <w:noProof/>
            <w:webHidden/>
          </w:rPr>
          <w:fldChar w:fldCharType="end"/>
        </w:r>
      </w:hyperlink>
    </w:p>
    <w:p w14:paraId="3D26C81F" w14:textId="6997B1CE" w:rsidR="00197D9B" w:rsidRDefault="00511B60">
      <w:pPr>
        <w:pStyle w:val="TOC4"/>
        <w:rPr>
          <w:rFonts w:eastAsiaTheme="minorEastAsia" w:cstheme="minorBidi"/>
          <w:noProof/>
          <w:color w:val="auto"/>
          <w:kern w:val="0"/>
          <w:sz w:val="22"/>
          <w:szCs w:val="22"/>
          <w:lang w:val="fr-FR" w:eastAsia="fr-FR"/>
        </w:rPr>
      </w:pPr>
      <w:hyperlink w:anchor="_Toc122478871" w:history="1">
        <w:r w:rsidR="00197D9B" w:rsidRPr="00081B51">
          <w:rPr>
            <w:rStyle w:val="Hyperlink"/>
            <w:rFonts w:eastAsiaTheme="majorEastAsia"/>
            <w:noProof/>
          </w:rPr>
          <w:t>3.3.2.(a) Procedure for the award of Oil and Gas blocks</w:t>
        </w:r>
        <w:r w:rsidR="00197D9B">
          <w:rPr>
            <w:noProof/>
            <w:webHidden/>
          </w:rPr>
          <w:tab/>
        </w:r>
        <w:r w:rsidR="00197D9B">
          <w:rPr>
            <w:noProof/>
            <w:webHidden/>
          </w:rPr>
          <w:fldChar w:fldCharType="begin"/>
        </w:r>
        <w:r w:rsidR="00197D9B">
          <w:rPr>
            <w:noProof/>
            <w:webHidden/>
          </w:rPr>
          <w:instrText xml:space="preserve"> PAGEREF _Toc122478871 \h </w:instrText>
        </w:r>
        <w:r w:rsidR="00197D9B">
          <w:rPr>
            <w:noProof/>
            <w:webHidden/>
          </w:rPr>
        </w:r>
        <w:r w:rsidR="00197D9B">
          <w:rPr>
            <w:noProof/>
            <w:webHidden/>
          </w:rPr>
          <w:fldChar w:fldCharType="separate"/>
        </w:r>
        <w:r w:rsidR="003D0091">
          <w:rPr>
            <w:noProof/>
            <w:webHidden/>
          </w:rPr>
          <w:t>51</w:t>
        </w:r>
        <w:r w:rsidR="00197D9B">
          <w:rPr>
            <w:noProof/>
            <w:webHidden/>
          </w:rPr>
          <w:fldChar w:fldCharType="end"/>
        </w:r>
      </w:hyperlink>
    </w:p>
    <w:p w14:paraId="13D81772" w14:textId="7B8D16C1" w:rsidR="00197D9B" w:rsidRDefault="00511B60">
      <w:pPr>
        <w:pStyle w:val="TOC4"/>
        <w:rPr>
          <w:rFonts w:eastAsiaTheme="minorEastAsia" w:cstheme="minorBidi"/>
          <w:noProof/>
          <w:color w:val="auto"/>
          <w:kern w:val="0"/>
          <w:sz w:val="22"/>
          <w:szCs w:val="22"/>
          <w:lang w:val="fr-FR" w:eastAsia="fr-FR"/>
        </w:rPr>
      </w:pPr>
      <w:hyperlink w:anchor="_Toc122478872" w:history="1">
        <w:r w:rsidR="00197D9B" w:rsidRPr="00081B51">
          <w:rPr>
            <w:rStyle w:val="Hyperlink"/>
            <w:rFonts w:eastAsiaTheme="majorEastAsia"/>
            <w:noProof/>
          </w:rPr>
          <w:t>3.3.1.(b) Production Sharing Contracts</w:t>
        </w:r>
        <w:r w:rsidR="00197D9B">
          <w:rPr>
            <w:noProof/>
            <w:webHidden/>
          </w:rPr>
          <w:tab/>
        </w:r>
        <w:r w:rsidR="00197D9B">
          <w:rPr>
            <w:noProof/>
            <w:webHidden/>
          </w:rPr>
          <w:fldChar w:fldCharType="begin"/>
        </w:r>
        <w:r w:rsidR="00197D9B">
          <w:rPr>
            <w:noProof/>
            <w:webHidden/>
          </w:rPr>
          <w:instrText xml:space="preserve"> PAGEREF _Toc122478872 \h </w:instrText>
        </w:r>
        <w:r w:rsidR="00197D9B">
          <w:rPr>
            <w:noProof/>
            <w:webHidden/>
          </w:rPr>
        </w:r>
        <w:r w:rsidR="00197D9B">
          <w:rPr>
            <w:noProof/>
            <w:webHidden/>
          </w:rPr>
          <w:fldChar w:fldCharType="separate"/>
        </w:r>
        <w:r w:rsidR="003D0091">
          <w:rPr>
            <w:noProof/>
            <w:webHidden/>
          </w:rPr>
          <w:t>53</w:t>
        </w:r>
        <w:r w:rsidR="00197D9B">
          <w:rPr>
            <w:noProof/>
            <w:webHidden/>
          </w:rPr>
          <w:fldChar w:fldCharType="end"/>
        </w:r>
      </w:hyperlink>
    </w:p>
    <w:p w14:paraId="64081D25" w14:textId="6EAEF208" w:rsidR="00197D9B" w:rsidRDefault="00511B60">
      <w:pPr>
        <w:pStyle w:val="TOC4"/>
        <w:rPr>
          <w:rFonts w:eastAsiaTheme="minorEastAsia" w:cstheme="minorBidi"/>
          <w:noProof/>
          <w:color w:val="auto"/>
          <w:kern w:val="0"/>
          <w:sz w:val="22"/>
          <w:szCs w:val="22"/>
          <w:lang w:val="fr-FR" w:eastAsia="fr-FR"/>
        </w:rPr>
      </w:pPr>
      <w:hyperlink w:anchor="_Toc122478873" w:history="1">
        <w:r w:rsidR="00197D9B" w:rsidRPr="00081B51">
          <w:rPr>
            <w:rStyle w:val="Hyperlink"/>
            <w:rFonts w:eastAsiaTheme="majorEastAsia"/>
            <w:noProof/>
          </w:rPr>
          <w:t>3.3.1.(c) Petroleum licenses and permits awarded and transferred in 2018, 2019 and 2020</w:t>
        </w:r>
        <w:r w:rsidR="00197D9B">
          <w:rPr>
            <w:noProof/>
            <w:webHidden/>
          </w:rPr>
          <w:tab/>
        </w:r>
        <w:r w:rsidR="00197D9B">
          <w:rPr>
            <w:noProof/>
            <w:webHidden/>
          </w:rPr>
          <w:fldChar w:fldCharType="begin"/>
        </w:r>
        <w:r w:rsidR="00197D9B">
          <w:rPr>
            <w:noProof/>
            <w:webHidden/>
          </w:rPr>
          <w:instrText xml:space="preserve"> PAGEREF _Toc122478873 \h </w:instrText>
        </w:r>
        <w:r w:rsidR="00197D9B">
          <w:rPr>
            <w:noProof/>
            <w:webHidden/>
          </w:rPr>
        </w:r>
        <w:r w:rsidR="00197D9B">
          <w:rPr>
            <w:noProof/>
            <w:webHidden/>
          </w:rPr>
          <w:fldChar w:fldCharType="separate"/>
        </w:r>
        <w:r w:rsidR="003D0091">
          <w:rPr>
            <w:noProof/>
            <w:webHidden/>
          </w:rPr>
          <w:t>54</w:t>
        </w:r>
        <w:r w:rsidR="00197D9B">
          <w:rPr>
            <w:noProof/>
            <w:webHidden/>
          </w:rPr>
          <w:fldChar w:fldCharType="end"/>
        </w:r>
      </w:hyperlink>
    </w:p>
    <w:p w14:paraId="2652FF24" w14:textId="488809ED" w:rsidR="00197D9B" w:rsidRDefault="00511B60" w:rsidP="003D0091">
      <w:pPr>
        <w:pStyle w:val="TOC2"/>
        <w:rPr>
          <w:rFonts w:eastAsiaTheme="minorEastAsia" w:cstheme="minorBidi"/>
          <w:noProof/>
          <w:color w:val="auto"/>
          <w:kern w:val="0"/>
          <w:sz w:val="22"/>
          <w:szCs w:val="22"/>
          <w:lang w:val="fr-FR" w:eastAsia="fr-FR"/>
        </w:rPr>
      </w:pPr>
      <w:hyperlink w:anchor="_Toc122478874" w:history="1">
        <w:r w:rsidR="00197D9B" w:rsidRPr="00081B51">
          <w:rPr>
            <w:rStyle w:val="Hyperlink"/>
            <w:rFonts w:eastAsiaTheme="majorEastAsia"/>
            <w:b/>
            <w:noProof/>
          </w:rPr>
          <w:t>3.4.</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b/>
            <w:noProof/>
          </w:rPr>
          <w:t>Register of licenses and permits / Public register/ Cadastre (EITI Requirement 2.3)</w:t>
        </w:r>
        <w:r w:rsidR="00197D9B">
          <w:rPr>
            <w:noProof/>
            <w:webHidden/>
          </w:rPr>
          <w:tab/>
        </w:r>
        <w:r w:rsidR="00197D9B">
          <w:rPr>
            <w:noProof/>
            <w:webHidden/>
          </w:rPr>
          <w:fldChar w:fldCharType="begin"/>
        </w:r>
        <w:r w:rsidR="00197D9B">
          <w:rPr>
            <w:noProof/>
            <w:webHidden/>
          </w:rPr>
          <w:instrText xml:space="preserve"> PAGEREF _Toc122478874 \h </w:instrText>
        </w:r>
        <w:r w:rsidR="00197D9B">
          <w:rPr>
            <w:noProof/>
            <w:webHidden/>
          </w:rPr>
        </w:r>
        <w:r w:rsidR="00197D9B">
          <w:rPr>
            <w:noProof/>
            <w:webHidden/>
          </w:rPr>
          <w:fldChar w:fldCharType="separate"/>
        </w:r>
        <w:r w:rsidR="003D0091">
          <w:rPr>
            <w:noProof/>
            <w:webHidden/>
          </w:rPr>
          <w:t>55</w:t>
        </w:r>
        <w:r w:rsidR="00197D9B">
          <w:rPr>
            <w:noProof/>
            <w:webHidden/>
          </w:rPr>
          <w:fldChar w:fldCharType="end"/>
        </w:r>
      </w:hyperlink>
    </w:p>
    <w:p w14:paraId="5912D4BB" w14:textId="25F1AE07" w:rsidR="00197D9B" w:rsidRDefault="00511B60">
      <w:pPr>
        <w:pStyle w:val="TOC3"/>
        <w:rPr>
          <w:rFonts w:eastAsiaTheme="minorEastAsia" w:cstheme="minorBidi"/>
          <w:noProof/>
          <w:color w:val="auto"/>
          <w:kern w:val="0"/>
          <w:sz w:val="22"/>
          <w:szCs w:val="22"/>
          <w:lang w:val="fr-FR" w:eastAsia="fr-FR"/>
        </w:rPr>
      </w:pPr>
      <w:hyperlink w:anchor="_Toc122478875" w:history="1">
        <w:r w:rsidR="00197D9B" w:rsidRPr="00081B51">
          <w:rPr>
            <w:rStyle w:val="Hyperlink"/>
            <w:rFonts w:eastAsiaTheme="majorEastAsia"/>
            <w:noProof/>
          </w:rPr>
          <w:t>3.4.1</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Register of licenses in the Mining sector</w:t>
        </w:r>
        <w:r w:rsidR="00197D9B">
          <w:rPr>
            <w:noProof/>
            <w:webHidden/>
          </w:rPr>
          <w:tab/>
        </w:r>
        <w:r w:rsidR="00197D9B">
          <w:rPr>
            <w:noProof/>
            <w:webHidden/>
          </w:rPr>
          <w:fldChar w:fldCharType="begin"/>
        </w:r>
        <w:r w:rsidR="00197D9B">
          <w:rPr>
            <w:noProof/>
            <w:webHidden/>
          </w:rPr>
          <w:instrText xml:space="preserve"> PAGEREF _Toc122478875 \h </w:instrText>
        </w:r>
        <w:r w:rsidR="00197D9B">
          <w:rPr>
            <w:noProof/>
            <w:webHidden/>
          </w:rPr>
        </w:r>
        <w:r w:rsidR="00197D9B">
          <w:rPr>
            <w:noProof/>
            <w:webHidden/>
          </w:rPr>
          <w:fldChar w:fldCharType="separate"/>
        </w:r>
        <w:r w:rsidR="003D0091">
          <w:rPr>
            <w:noProof/>
            <w:webHidden/>
          </w:rPr>
          <w:t>55</w:t>
        </w:r>
        <w:r w:rsidR="00197D9B">
          <w:rPr>
            <w:noProof/>
            <w:webHidden/>
          </w:rPr>
          <w:fldChar w:fldCharType="end"/>
        </w:r>
      </w:hyperlink>
    </w:p>
    <w:p w14:paraId="4277DCCE" w14:textId="43AE0FB8" w:rsidR="00197D9B" w:rsidRDefault="00511B60">
      <w:pPr>
        <w:pStyle w:val="TOC3"/>
        <w:rPr>
          <w:rFonts w:eastAsiaTheme="minorEastAsia" w:cstheme="minorBidi"/>
          <w:noProof/>
          <w:color w:val="auto"/>
          <w:kern w:val="0"/>
          <w:sz w:val="22"/>
          <w:szCs w:val="22"/>
          <w:lang w:val="fr-FR" w:eastAsia="fr-FR"/>
        </w:rPr>
      </w:pPr>
      <w:hyperlink w:anchor="_Toc122478876" w:history="1">
        <w:r w:rsidR="00197D9B" w:rsidRPr="00081B51">
          <w:rPr>
            <w:rStyle w:val="Hyperlink"/>
            <w:rFonts w:eastAsiaTheme="majorEastAsia"/>
            <w:noProof/>
          </w:rPr>
          <w:t>3.4.2</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Register of licenses in the Oil and Gas sector</w:t>
        </w:r>
        <w:r w:rsidR="00197D9B">
          <w:rPr>
            <w:noProof/>
            <w:webHidden/>
          </w:rPr>
          <w:tab/>
        </w:r>
        <w:r w:rsidR="00197D9B">
          <w:rPr>
            <w:noProof/>
            <w:webHidden/>
          </w:rPr>
          <w:fldChar w:fldCharType="begin"/>
        </w:r>
        <w:r w:rsidR="00197D9B">
          <w:rPr>
            <w:noProof/>
            <w:webHidden/>
          </w:rPr>
          <w:instrText xml:space="preserve"> PAGEREF _Toc122478876 \h </w:instrText>
        </w:r>
        <w:r w:rsidR="00197D9B">
          <w:rPr>
            <w:noProof/>
            <w:webHidden/>
          </w:rPr>
        </w:r>
        <w:r w:rsidR="00197D9B">
          <w:rPr>
            <w:noProof/>
            <w:webHidden/>
          </w:rPr>
          <w:fldChar w:fldCharType="separate"/>
        </w:r>
        <w:r w:rsidR="003D0091">
          <w:rPr>
            <w:noProof/>
            <w:webHidden/>
          </w:rPr>
          <w:t>55</w:t>
        </w:r>
        <w:r w:rsidR="00197D9B">
          <w:rPr>
            <w:noProof/>
            <w:webHidden/>
          </w:rPr>
          <w:fldChar w:fldCharType="end"/>
        </w:r>
      </w:hyperlink>
    </w:p>
    <w:p w14:paraId="0B5EA0A2" w14:textId="079DE322" w:rsidR="00197D9B" w:rsidRDefault="00511B60" w:rsidP="003D0091">
      <w:pPr>
        <w:pStyle w:val="TOC2"/>
        <w:rPr>
          <w:rFonts w:eastAsiaTheme="minorEastAsia" w:cstheme="minorBidi"/>
          <w:noProof/>
          <w:color w:val="auto"/>
          <w:kern w:val="0"/>
          <w:sz w:val="22"/>
          <w:szCs w:val="22"/>
          <w:lang w:val="fr-FR" w:eastAsia="fr-FR"/>
        </w:rPr>
      </w:pPr>
      <w:hyperlink w:anchor="_Toc122478877" w:history="1">
        <w:r w:rsidR="00197D9B" w:rsidRPr="00081B51">
          <w:rPr>
            <w:rStyle w:val="Hyperlink"/>
            <w:rFonts w:eastAsiaTheme="majorEastAsia"/>
            <w:b/>
            <w:noProof/>
          </w:rPr>
          <w:t>3.5.</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b/>
            <w:noProof/>
          </w:rPr>
          <w:t>Disclosure of licenses and contracts (EITI requirement 2.4)</w:t>
        </w:r>
        <w:r w:rsidR="00197D9B">
          <w:rPr>
            <w:noProof/>
            <w:webHidden/>
          </w:rPr>
          <w:tab/>
        </w:r>
        <w:r w:rsidR="00197D9B">
          <w:rPr>
            <w:noProof/>
            <w:webHidden/>
          </w:rPr>
          <w:fldChar w:fldCharType="begin"/>
        </w:r>
        <w:r w:rsidR="00197D9B">
          <w:rPr>
            <w:noProof/>
            <w:webHidden/>
          </w:rPr>
          <w:instrText xml:space="preserve"> PAGEREF _Toc122478877 \h </w:instrText>
        </w:r>
        <w:r w:rsidR="00197D9B">
          <w:rPr>
            <w:noProof/>
            <w:webHidden/>
          </w:rPr>
        </w:r>
        <w:r w:rsidR="00197D9B">
          <w:rPr>
            <w:noProof/>
            <w:webHidden/>
          </w:rPr>
          <w:fldChar w:fldCharType="separate"/>
        </w:r>
        <w:r w:rsidR="003D0091">
          <w:rPr>
            <w:noProof/>
            <w:webHidden/>
          </w:rPr>
          <w:t>55</w:t>
        </w:r>
        <w:r w:rsidR="00197D9B">
          <w:rPr>
            <w:noProof/>
            <w:webHidden/>
          </w:rPr>
          <w:fldChar w:fldCharType="end"/>
        </w:r>
      </w:hyperlink>
    </w:p>
    <w:p w14:paraId="48451981" w14:textId="4F1F484C" w:rsidR="00197D9B" w:rsidRDefault="00511B60" w:rsidP="003D0091">
      <w:pPr>
        <w:pStyle w:val="TOC2"/>
        <w:rPr>
          <w:rFonts w:eastAsiaTheme="minorEastAsia" w:cstheme="minorBidi"/>
          <w:noProof/>
          <w:color w:val="auto"/>
          <w:kern w:val="0"/>
          <w:sz w:val="22"/>
          <w:szCs w:val="22"/>
          <w:lang w:val="fr-FR" w:eastAsia="fr-FR"/>
        </w:rPr>
      </w:pPr>
      <w:hyperlink w:anchor="_Toc122478878" w:history="1">
        <w:r w:rsidR="00197D9B" w:rsidRPr="00081B51">
          <w:rPr>
            <w:rStyle w:val="Hyperlink"/>
            <w:rFonts w:eastAsiaTheme="majorEastAsia"/>
            <w:b/>
            <w:noProof/>
          </w:rPr>
          <w:t>3.6.</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b/>
            <w:noProof/>
          </w:rPr>
          <w:t>State participation (EITI Requirement 2.6)</w:t>
        </w:r>
        <w:r w:rsidR="00197D9B">
          <w:rPr>
            <w:noProof/>
            <w:webHidden/>
          </w:rPr>
          <w:tab/>
        </w:r>
        <w:r w:rsidR="00197D9B">
          <w:rPr>
            <w:noProof/>
            <w:webHidden/>
          </w:rPr>
          <w:fldChar w:fldCharType="begin"/>
        </w:r>
        <w:r w:rsidR="00197D9B">
          <w:rPr>
            <w:noProof/>
            <w:webHidden/>
          </w:rPr>
          <w:instrText xml:space="preserve"> PAGEREF _Toc122478878 \h </w:instrText>
        </w:r>
        <w:r w:rsidR="00197D9B">
          <w:rPr>
            <w:noProof/>
            <w:webHidden/>
          </w:rPr>
        </w:r>
        <w:r w:rsidR="00197D9B">
          <w:rPr>
            <w:noProof/>
            <w:webHidden/>
          </w:rPr>
          <w:fldChar w:fldCharType="separate"/>
        </w:r>
        <w:r w:rsidR="003D0091">
          <w:rPr>
            <w:noProof/>
            <w:webHidden/>
          </w:rPr>
          <w:t>55</w:t>
        </w:r>
        <w:r w:rsidR="00197D9B">
          <w:rPr>
            <w:noProof/>
            <w:webHidden/>
          </w:rPr>
          <w:fldChar w:fldCharType="end"/>
        </w:r>
      </w:hyperlink>
    </w:p>
    <w:p w14:paraId="1DF03B9D" w14:textId="7E25673E" w:rsidR="00197D9B" w:rsidRDefault="00511B60">
      <w:pPr>
        <w:pStyle w:val="TOC3"/>
        <w:rPr>
          <w:rFonts w:eastAsiaTheme="minorEastAsia" w:cstheme="minorBidi"/>
          <w:noProof/>
          <w:color w:val="auto"/>
          <w:kern w:val="0"/>
          <w:sz w:val="22"/>
          <w:szCs w:val="22"/>
          <w:lang w:val="fr-FR" w:eastAsia="fr-FR"/>
        </w:rPr>
      </w:pPr>
      <w:hyperlink w:anchor="_Toc122478879" w:history="1">
        <w:r w:rsidR="00197D9B" w:rsidRPr="00081B51">
          <w:rPr>
            <w:rStyle w:val="Hyperlink"/>
            <w:rFonts w:eastAsiaTheme="majorEastAsia"/>
            <w:noProof/>
          </w:rPr>
          <w:t>3.6.1</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State participation in the Mining Sector</w:t>
        </w:r>
        <w:r w:rsidR="00197D9B">
          <w:rPr>
            <w:noProof/>
            <w:webHidden/>
          </w:rPr>
          <w:tab/>
        </w:r>
        <w:r w:rsidR="00197D9B">
          <w:rPr>
            <w:noProof/>
            <w:webHidden/>
          </w:rPr>
          <w:fldChar w:fldCharType="begin"/>
        </w:r>
        <w:r w:rsidR="00197D9B">
          <w:rPr>
            <w:noProof/>
            <w:webHidden/>
          </w:rPr>
          <w:instrText xml:space="preserve"> PAGEREF _Toc122478879 \h </w:instrText>
        </w:r>
        <w:r w:rsidR="00197D9B">
          <w:rPr>
            <w:noProof/>
            <w:webHidden/>
          </w:rPr>
        </w:r>
        <w:r w:rsidR="00197D9B">
          <w:rPr>
            <w:noProof/>
            <w:webHidden/>
          </w:rPr>
          <w:fldChar w:fldCharType="separate"/>
        </w:r>
        <w:r w:rsidR="003D0091">
          <w:rPr>
            <w:noProof/>
            <w:webHidden/>
          </w:rPr>
          <w:t>56</w:t>
        </w:r>
        <w:r w:rsidR="00197D9B">
          <w:rPr>
            <w:noProof/>
            <w:webHidden/>
          </w:rPr>
          <w:fldChar w:fldCharType="end"/>
        </w:r>
      </w:hyperlink>
    </w:p>
    <w:p w14:paraId="242BB008" w14:textId="7BF6BB58" w:rsidR="00197D9B" w:rsidRDefault="00511B60">
      <w:pPr>
        <w:pStyle w:val="TOC3"/>
        <w:rPr>
          <w:rFonts w:eastAsiaTheme="minorEastAsia" w:cstheme="minorBidi"/>
          <w:noProof/>
          <w:color w:val="auto"/>
          <w:kern w:val="0"/>
          <w:sz w:val="22"/>
          <w:szCs w:val="22"/>
          <w:lang w:val="fr-FR" w:eastAsia="fr-FR"/>
        </w:rPr>
      </w:pPr>
      <w:hyperlink w:anchor="_Toc122478880" w:history="1">
        <w:r w:rsidR="00197D9B" w:rsidRPr="00081B51">
          <w:rPr>
            <w:rStyle w:val="Hyperlink"/>
            <w:rFonts w:eastAsiaTheme="majorEastAsia"/>
            <w:noProof/>
          </w:rPr>
          <w:t>3.6.2</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State participation in the Oil and Gas sector</w:t>
        </w:r>
        <w:r w:rsidR="00197D9B">
          <w:rPr>
            <w:noProof/>
            <w:webHidden/>
          </w:rPr>
          <w:tab/>
        </w:r>
        <w:r w:rsidR="00197D9B">
          <w:rPr>
            <w:noProof/>
            <w:webHidden/>
          </w:rPr>
          <w:fldChar w:fldCharType="begin"/>
        </w:r>
        <w:r w:rsidR="00197D9B">
          <w:rPr>
            <w:noProof/>
            <w:webHidden/>
          </w:rPr>
          <w:instrText xml:space="preserve"> PAGEREF _Toc122478880 \h </w:instrText>
        </w:r>
        <w:r w:rsidR="00197D9B">
          <w:rPr>
            <w:noProof/>
            <w:webHidden/>
          </w:rPr>
        </w:r>
        <w:r w:rsidR="00197D9B">
          <w:rPr>
            <w:noProof/>
            <w:webHidden/>
          </w:rPr>
          <w:fldChar w:fldCharType="separate"/>
        </w:r>
        <w:r w:rsidR="003D0091">
          <w:rPr>
            <w:noProof/>
            <w:webHidden/>
          </w:rPr>
          <w:t>57</w:t>
        </w:r>
        <w:r w:rsidR="00197D9B">
          <w:rPr>
            <w:noProof/>
            <w:webHidden/>
          </w:rPr>
          <w:fldChar w:fldCharType="end"/>
        </w:r>
      </w:hyperlink>
    </w:p>
    <w:p w14:paraId="3B0CED03" w14:textId="437E08B1" w:rsidR="00197D9B" w:rsidRDefault="00511B60" w:rsidP="003D0091">
      <w:pPr>
        <w:pStyle w:val="TOC2"/>
        <w:rPr>
          <w:rFonts w:eastAsiaTheme="minorEastAsia" w:cstheme="minorBidi"/>
          <w:noProof/>
          <w:color w:val="auto"/>
          <w:kern w:val="0"/>
          <w:sz w:val="22"/>
          <w:szCs w:val="22"/>
          <w:lang w:val="fr-FR" w:eastAsia="fr-FR"/>
        </w:rPr>
      </w:pPr>
      <w:hyperlink w:anchor="_Toc122478881" w:history="1">
        <w:r w:rsidR="00197D9B" w:rsidRPr="00081B51">
          <w:rPr>
            <w:rStyle w:val="Hyperlink"/>
            <w:rFonts w:eastAsiaTheme="majorEastAsia"/>
            <w:b/>
            <w:noProof/>
          </w:rPr>
          <w:t>3.7.</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b/>
            <w:noProof/>
          </w:rPr>
          <w:t>In-Kind payment (EITI Requirement 4.2)</w:t>
        </w:r>
        <w:r w:rsidR="00197D9B">
          <w:rPr>
            <w:noProof/>
            <w:webHidden/>
          </w:rPr>
          <w:tab/>
        </w:r>
        <w:r w:rsidR="00197D9B">
          <w:rPr>
            <w:noProof/>
            <w:webHidden/>
          </w:rPr>
          <w:fldChar w:fldCharType="begin"/>
        </w:r>
        <w:r w:rsidR="00197D9B">
          <w:rPr>
            <w:noProof/>
            <w:webHidden/>
          </w:rPr>
          <w:instrText xml:space="preserve"> PAGEREF _Toc122478881 \h </w:instrText>
        </w:r>
        <w:r w:rsidR="00197D9B">
          <w:rPr>
            <w:noProof/>
            <w:webHidden/>
          </w:rPr>
        </w:r>
        <w:r w:rsidR="00197D9B">
          <w:rPr>
            <w:noProof/>
            <w:webHidden/>
          </w:rPr>
          <w:fldChar w:fldCharType="separate"/>
        </w:r>
        <w:r w:rsidR="003D0091">
          <w:rPr>
            <w:noProof/>
            <w:webHidden/>
          </w:rPr>
          <w:t>58</w:t>
        </w:r>
        <w:r w:rsidR="00197D9B">
          <w:rPr>
            <w:noProof/>
            <w:webHidden/>
          </w:rPr>
          <w:fldChar w:fldCharType="end"/>
        </w:r>
      </w:hyperlink>
    </w:p>
    <w:p w14:paraId="79ED5837" w14:textId="55205387" w:rsidR="00197D9B" w:rsidRDefault="00511B60">
      <w:pPr>
        <w:pStyle w:val="TOC3"/>
        <w:rPr>
          <w:rFonts w:eastAsiaTheme="minorEastAsia" w:cstheme="minorBidi"/>
          <w:noProof/>
          <w:color w:val="auto"/>
          <w:kern w:val="0"/>
          <w:sz w:val="22"/>
          <w:szCs w:val="22"/>
          <w:lang w:val="fr-FR" w:eastAsia="fr-FR"/>
        </w:rPr>
      </w:pPr>
      <w:hyperlink w:anchor="_Toc122478882" w:history="1">
        <w:r w:rsidR="00197D9B" w:rsidRPr="00081B51">
          <w:rPr>
            <w:rStyle w:val="Hyperlink"/>
            <w:rFonts w:eastAsiaTheme="majorEastAsia"/>
            <w:noProof/>
          </w:rPr>
          <w:t>3.7.1</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In-Kind payment in the Mining sector</w:t>
        </w:r>
        <w:r w:rsidR="00197D9B">
          <w:rPr>
            <w:noProof/>
            <w:webHidden/>
          </w:rPr>
          <w:tab/>
        </w:r>
        <w:r w:rsidR="00197D9B">
          <w:rPr>
            <w:noProof/>
            <w:webHidden/>
          </w:rPr>
          <w:fldChar w:fldCharType="begin"/>
        </w:r>
        <w:r w:rsidR="00197D9B">
          <w:rPr>
            <w:noProof/>
            <w:webHidden/>
          </w:rPr>
          <w:instrText xml:space="preserve"> PAGEREF _Toc122478882 \h </w:instrText>
        </w:r>
        <w:r w:rsidR="00197D9B">
          <w:rPr>
            <w:noProof/>
            <w:webHidden/>
          </w:rPr>
        </w:r>
        <w:r w:rsidR="00197D9B">
          <w:rPr>
            <w:noProof/>
            <w:webHidden/>
          </w:rPr>
          <w:fldChar w:fldCharType="separate"/>
        </w:r>
        <w:r w:rsidR="003D0091">
          <w:rPr>
            <w:noProof/>
            <w:webHidden/>
          </w:rPr>
          <w:t>59</w:t>
        </w:r>
        <w:r w:rsidR="00197D9B">
          <w:rPr>
            <w:noProof/>
            <w:webHidden/>
          </w:rPr>
          <w:fldChar w:fldCharType="end"/>
        </w:r>
      </w:hyperlink>
    </w:p>
    <w:p w14:paraId="215E24CD" w14:textId="54314B17" w:rsidR="00197D9B" w:rsidRDefault="00511B60">
      <w:pPr>
        <w:pStyle w:val="TOC3"/>
        <w:rPr>
          <w:rFonts w:eastAsiaTheme="minorEastAsia" w:cstheme="minorBidi"/>
          <w:noProof/>
          <w:color w:val="auto"/>
          <w:kern w:val="0"/>
          <w:sz w:val="22"/>
          <w:szCs w:val="22"/>
          <w:lang w:val="fr-FR" w:eastAsia="fr-FR"/>
        </w:rPr>
      </w:pPr>
      <w:hyperlink w:anchor="_Toc122478883" w:history="1">
        <w:r w:rsidR="00197D9B" w:rsidRPr="00081B51">
          <w:rPr>
            <w:rStyle w:val="Hyperlink"/>
            <w:rFonts w:eastAsiaTheme="majorEastAsia"/>
            <w:noProof/>
          </w:rPr>
          <w:t>3.7.2</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In-Kind payment in the Oil and Gas sector</w:t>
        </w:r>
        <w:r w:rsidR="00197D9B">
          <w:rPr>
            <w:noProof/>
            <w:webHidden/>
          </w:rPr>
          <w:tab/>
        </w:r>
        <w:r w:rsidR="00197D9B">
          <w:rPr>
            <w:noProof/>
            <w:webHidden/>
          </w:rPr>
          <w:fldChar w:fldCharType="begin"/>
        </w:r>
        <w:r w:rsidR="00197D9B">
          <w:rPr>
            <w:noProof/>
            <w:webHidden/>
          </w:rPr>
          <w:instrText xml:space="preserve"> PAGEREF _Toc122478883 \h </w:instrText>
        </w:r>
        <w:r w:rsidR="00197D9B">
          <w:rPr>
            <w:noProof/>
            <w:webHidden/>
          </w:rPr>
        </w:r>
        <w:r w:rsidR="00197D9B">
          <w:rPr>
            <w:noProof/>
            <w:webHidden/>
          </w:rPr>
          <w:fldChar w:fldCharType="separate"/>
        </w:r>
        <w:r w:rsidR="003D0091">
          <w:rPr>
            <w:noProof/>
            <w:webHidden/>
          </w:rPr>
          <w:t>59</w:t>
        </w:r>
        <w:r w:rsidR="00197D9B">
          <w:rPr>
            <w:noProof/>
            <w:webHidden/>
          </w:rPr>
          <w:fldChar w:fldCharType="end"/>
        </w:r>
      </w:hyperlink>
    </w:p>
    <w:p w14:paraId="33B698D3" w14:textId="021AA486" w:rsidR="00197D9B" w:rsidRDefault="00511B60" w:rsidP="003D0091">
      <w:pPr>
        <w:pStyle w:val="TOC2"/>
        <w:rPr>
          <w:rFonts w:eastAsiaTheme="minorEastAsia" w:cstheme="minorBidi"/>
          <w:noProof/>
          <w:color w:val="auto"/>
          <w:kern w:val="0"/>
          <w:sz w:val="22"/>
          <w:szCs w:val="22"/>
          <w:lang w:val="fr-FR" w:eastAsia="fr-FR"/>
        </w:rPr>
      </w:pPr>
      <w:hyperlink w:anchor="_Toc122478884" w:history="1">
        <w:r w:rsidR="00197D9B" w:rsidRPr="00081B51">
          <w:rPr>
            <w:rStyle w:val="Hyperlink"/>
            <w:rFonts w:eastAsiaTheme="majorEastAsia"/>
            <w:b/>
            <w:noProof/>
          </w:rPr>
          <w:t>3.8.</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b/>
            <w:noProof/>
          </w:rPr>
          <w:t>Infrastructure provision and barter arrangements in the Extractive Sector (EITI Requirement 4.3)</w:t>
        </w:r>
        <w:r w:rsidR="00197D9B">
          <w:rPr>
            <w:noProof/>
            <w:webHidden/>
          </w:rPr>
          <w:tab/>
        </w:r>
        <w:r w:rsidR="00197D9B">
          <w:rPr>
            <w:noProof/>
            <w:webHidden/>
          </w:rPr>
          <w:tab/>
        </w:r>
        <w:r w:rsidR="00197D9B">
          <w:rPr>
            <w:noProof/>
            <w:webHidden/>
          </w:rPr>
          <w:fldChar w:fldCharType="begin"/>
        </w:r>
        <w:r w:rsidR="00197D9B">
          <w:rPr>
            <w:noProof/>
            <w:webHidden/>
          </w:rPr>
          <w:instrText xml:space="preserve"> PAGEREF _Toc122478884 \h </w:instrText>
        </w:r>
        <w:r w:rsidR="00197D9B">
          <w:rPr>
            <w:noProof/>
            <w:webHidden/>
          </w:rPr>
        </w:r>
        <w:r w:rsidR="00197D9B">
          <w:rPr>
            <w:noProof/>
            <w:webHidden/>
          </w:rPr>
          <w:fldChar w:fldCharType="separate"/>
        </w:r>
        <w:r w:rsidR="003D0091">
          <w:rPr>
            <w:noProof/>
            <w:webHidden/>
          </w:rPr>
          <w:t>59</w:t>
        </w:r>
        <w:r w:rsidR="00197D9B">
          <w:rPr>
            <w:noProof/>
            <w:webHidden/>
          </w:rPr>
          <w:fldChar w:fldCharType="end"/>
        </w:r>
      </w:hyperlink>
    </w:p>
    <w:p w14:paraId="7F11B402" w14:textId="5326631F" w:rsidR="00197D9B" w:rsidRDefault="00511B60" w:rsidP="003D0091">
      <w:pPr>
        <w:pStyle w:val="TOC2"/>
        <w:rPr>
          <w:rFonts w:eastAsiaTheme="minorEastAsia" w:cstheme="minorBidi"/>
          <w:noProof/>
          <w:color w:val="auto"/>
          <w:kern w:val="0"/>
          <w:sz w:val="22"/>
          <w:szCs w:val="22"/>
          <w:lang w:val="fr-FR" w:eastAsia="fr-FR"/>
        </w:rPr>
      </w:pPr>
      <w:hyperlink w:anchor="_Toc122478885" w:history="1">
        <w:r w:rsidR="00197D9B" w:rsidRPr="00081B51">
          <w:rPr>
            <w:rStyle w:val="Hyperlink"/>
            <w:rFonts w:eastAsiaTheme="majorEastAsia"/>
            <w:b/>
            <w:noProof/>
          </w:rPr>
          <w:t>3.9.</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b/>
            <w:noProof/>
          </w:rPr>
          <w:t>Transport of minerals (EITI Requirement 4.4)</w:t>
        </w:r>
        <w:r w:rsidR="00197D9B">
          <w:rPr>
            <w:noProof/>
            <w:webHidden/>
          </w:rPr>
          <w:tab/>
        </w:r>
        <w:r w:rsidR="00197D9B">
          <w:rPr>
            <w:noProof/>
            <w:webHidden/>
          </w:rPr>
          <w:fldChar w:fldCharType="begin"/>
        </w:r>
        <w:r w:rsidR="00197D9B">
          <w:rPr>
            <w:noProof/>
            <w:webHidden/>
          </w:rPr>
          <w:instrText xml:space="preserve"> PAGEREF _Toc122478885 \h </w:instrText>
        </w:r>
        <w:r w:rsidR="00197D9B">
          <w:rPr>
            <w:noProof/>
            <w:webHidden/>
          </w:rPr>
        </w:r>
        <w:r w:rsidR="00197D9B">
          <w:rPr>
            <w:noProof/>
            <w:webHidden/>
          </w:rPr>
          <w:fldChar w:fldCharType="separate"/>
        </w:r>
        <w:r w:rsidR="003D0091">
          <w:rPr>
            <w:noProof/>
            <w:webHidden/>
          </w:rPr>
          <w:t>59</w:t>
        </w:r>
        <w:r w:rsidR="00197D9B">
          <w:rPr>
            <w:noProof/>
            <w:webHidden/>
          </w:rPr>
          <w:fldChar w:fldCharType="end"/>
        </w:r>
      </w:hyperlink>
    </w:p>
    <w:p w14:paraId="6533BD5D" w14:textId="02B5902F" w:rsidR="00197D9B" w:rsidRDefault="00511B60" w:rsidP="003D0091">
      <w:pPr>
        <w:pStyle w:val="TOC2"/>
        <w:rPr>
          <w:rFonts w:eastAsiaTheme="minorEastAsia" w:cstheme="minorBidi"/>
          <w:noProof/>
          <w:color w:val="auto"/>
          <w:kern w:val="0"/>
          <w:sz w:val="22"/>
          <w:szCs w:val="22"/>
          <w:lang w:val="fr-FR" w:eastAsia="fr-FR"/>
        </w:rPr>
      </w:pPr>
      <w:hyperlink w:anchor="_Toc122478886" w:history="1">
        <w:r w:rsidR="00197D9B" w:rsidRPr="00081B51">
          <w:rPr>
            <w:rStyle w:val="Hyperlink"/>
            <w:rFonts w:eastAsiaTheme="majorEastAsia"/>
            <w:b/>
            <w:noProof/>
          </w:rPr>
          <w:t>3.10.</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b/>
            <w:noProof/>
          </w:rPr>
          <w:t>Subnational payments</w:t>
        </w:r>
        <w:r w:rsidR="00197D9B">
          <w:rPr>
            <w:noProof/>
            <w:webHidden/>
          </w:rPr>
          <w:tab/>
        </w:r>
        <w:r w:rsidR="00197D9B">
          <w:rPr>
            <w:noProof/>
            <w:webHidden/>
          </w:rPr>
          <w:fldChar w:fldCharType="begin"/>
        </w:r>
        <w:r w:rsidR="00197D9B">
          <w:rPr>
            <w:noProof/>
            <w:webHidden/>
          </w:rPr>
          <w:instrText xml:space="preserve"> PAGEREF _Toc122478886 \h </w:instrText>
        </w:r>
        <w:r w:rsidR="00197D9B">
          <w:rPr>
            <w:noProof/>
            <w:webHidden/>
          </w:rPr>
        </w:r>
        <w:r w:rsidR="00197D9B">
          <w:rPr>
            <w:noProof/>
            <w:webHidden/>
          </w:rPr>
          <w:fldChar w:fldCharType="separate"/>
        </w:r>
        <w:r w:rsidR="003D0091">
          <w:rPr>
            <w:noProof/>
            <w:webHidden/>
          </w:rPr>
          <w:t>59</w:t>
        </w:r>
        <w:r w:rsidR="00197D9B">
          <w:rPr>
            <w:noProof/>
            <w:webHidden/>
          </w:rPr>
          <w:fldChar w:fldCharType="end"/>
        </w:r>
      </w:hyperlink>
    </w:p>
    <w:p w14:paraId="0CF496BE" w14:textId="0A68FF1E" w:rsidR="00197D9B" w:rsidRDefault="00511B60" w:rsidP="003D0091">
      <w:pPr>
        <w:pStyle w:val="TOC2"/>
        <w:rPr>
          <w:rFonts w:eastAsiaTheme="minorEastAsia" w:cstheme="minorBidi"/>
          <w:noProof/>
          <w:color w:val="auto"/>
          <w:kern w:val="0"/>
          <w:sz w:val="22"/>
          <w:szCs w:val="22"/>
          <w:lang w:val="fr-FR" w:eastAsia="fr-FR"/>
        </w:rPr>
      </w:pPr>
      <w:hyperlink w:anchor="_Toc122478887" w:history="1">
        <w:r w:rsidR="00197D9B" w:rsidRPr="00081B51">
          <w:rPr>
            <w:rStyle w:val="Hyperlink"/>
            <w:rFonts w:eastAsiaTheme="majorEastAsia"/>
            <w:b/>
            <w:noProof/>
          </w:rPr>
          <w:t>3.11.</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b/>
            <w:noProof/>
          </w:rPr>
          <w:t>Subnational Transfers</w:t>
        </w:r>
        <w:r w:rsidR="00197D9B">
          <w:rPr>
            <w:noProof/>
            <w:webHidden/>
          </w:rPr>
          <w:tab/>
        </w:r>
        <w:r w:rsidR="00197D9B">
          <w:rPr>
            <w:noProof/>
            <w:webHidden/>
          </w:rPr>
          <w:fldChar w:fldCharType="begin"/>
        </w:r>
        <w:r w:rsidR="00197D9B">
          <w:rPr>
            <w:noProof/>
            <w:webHidden/>
          </w:rPr>
          <w:instrText xml:space="preserve"> PAGEREF _Toc122478887 \h </w:instrText>
        </w:r>
        <w:r w:rsidR="00197D9B">
          <w:rPr>
            <w:noProof/>
            <w:webHidden/>
          </w:rPr>
        </w:r>
        <w:r w:rsidR="00197D9B">
          <w:rPr>
            <w:noProof/>
            <w:webHidden/>
          </w:rPr>
          <w:fldChar w:fldCharType="separate"/>
        </w:r>
        <w:r w:rsidR="003D0091">
          <w:rPr>
            <w:noProof/>
            <w:webHidden/>
          </w:rPr>
          <w:t>60</w:t>
        </w:r>
        <w:r w:rsidR="00197D9B">
          <w:rPr>
            <w:noProof/>
            <w:webHidden/>
          </w:rPr>
          <w:fldChar w:fldCharType="end"/>
        </w:r>
      </w:hyperlink>
    </w:p>
    <w:p w14:paraId="1E47B777" w14:textId="790FE389" w:rsidR="00197D9B" w:rsidRDefault="00511B60" w:rsidP="003D0091">
      <w:pPr>
        <w:pStyle w:val="TOC2"/>
        <w:rPr>
          <w:rFonts w:eastAsiaTheme="minorEastAsia" w:cstheme="minorBidi"/>
          <w:noProof/>
          <w:color w:val="auto"/>
          <w:kern w:val="0"/>
          <w:sz w:val="22"/>
          <w:szCs w:val="22"/>
          <w:lang w:val="fr-FR" w:eastAsia="fr-FR"/>
        </w:rPr>
      </w:pPr>
      <w:hyperlink w:anchor="_Toc122478888" w:history="1">
        <w:r w:rsidR="00197D9B" w:rsidRPr="00081B51">
          <w:rPr>
            <w:rStyle w:val="Hyperlink"/>
            <w:rFonts w:eastAsiaTheme="majorEastAsia"/>
            <w:b/>
            <w:noProof/>
          </w:rPr>
          <w:t>3.12.</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b/>
            <w:noProof/>
          </w:rPr>
          <w:t>Social expenditure (EITI Requirement 6.1)</w:t>
        </w:r>
        <w:r w:rsidR="00197D9B">
          <w:rPr>
            <w:noProof/>
            <w:webHidden/>
          </w:rPr>
          <w:tab/>
        </w:r>
        <w:r w:rsidR="00197D9B">
          <w:rPr>
            <w:noProof/>
            <w:webHidden/>
          </w:rPr>
          <w:fldChar w:fldCharType="begin"/>
        </w:r>
        <w:r w:rsidR="00197D9B">
          <w:rPr>
            <w:noProof/>
            <w:webHidden/>
          </w:rPr>
          <w:instrText xml:space="preserve"> PAGEREF _Toc122478888 \h </w:instrText>
        </w:r>
        <w:r w:rsidR="00197D9B">
          <w:rPr>
            <w:noProof/>
            <w:webHidden/>
          </w:rPr>
        </w:r>
        <w:r w:rsidR="00197D9B">
          <w:rPr>
            <w:noProof/>
            <w:webHidden/>
          </w:rPr>
          <w:fldChar w:fldCharType="separate"/>
        </w:r>
        <w:r w:rsidR="003D0091">
          <w:rPr>
            <w:noProof/>
            <w:webHidden/>
          </w:rPr>
          <w:t>60</w:t>
        </w:r>
        <w:r w:rsidR="00197D9B">
          <w:rPr>
            <w:noProof/>
            <w:webHidden/>
          </w:rPr>
          <w:fldChar w:fldCharType="end"/>
        </w:r>
      </w:hyperlink>
    </w:p>
    <w:p w14:paraId="40560BCC" w14:textId="7198F418" w:rsidR="00197D9B" w:rsidRDefault="00511B60" w:rsidP="0035303B">
      <w:pPr>
        <w:pStyle w:val="TOC3"/>
        <w:rPr>
          <w:rFonts w:eastAsiaTheme="minorEastAsia" w:cstheme="minorBidi"/>
          <w:noProof/>
          <w:color w:val="auto"/>
          <w:kern w:val="0"/>
          <w:sz w:val="22"/>
          <w:szCs w:val="22"/>
          <w:lang w:val="fr-FR" w:eastAsia="fr-FR"/>
        </w:rPr>
      </w:pPr>
      <w:hyperlink w:anchor="_Toc122478889" w:history="1">
        <w:r w:rsidR="00197D9B" w:rsidRPr="00081B51">
          <w:rPr>
            <w:rStyle w:val="Hyperlink"/>
            <w:rFonts w:eastAsiaTheme="majorEastAsia"/>
            <w:noProof/>
          </w:rPr>
          <w:t>3.12.1</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Social expenditure in the Mining Sector</w:t>
        </w:r>
        <w:r w:rsidR="00197D9B">
          <w:rPr>
            <w:noProof/>
            <w:webHidden/>
          </w:rPr>
          <w:tab/>
        </w:r>
        <w:r w:rsidR="00197D9B">
          <w:rPr>
            <w:noProof/>
            <w:webHidden/>
          </w:rPr>
          <w:fldChar w:fldCharType="begin"/>
        </w:r>
        <w:r w:rsidR="00197D9B">
          <w:rPr>
            <w:noProof/>
            <w:webHidden/>
          </w:rPr>
          <w:instrText xml:space="preserve"> PAGEREF _Toc122478889 \h </w:instrText>
        </w:r>
        <w:r w:rsidR="00197D9B">
          <w:rPr>
            <w:noProof/>
            <w:webHidden/>
          </w:rPr>
        </w:r>
        <w:r w:rsidR="00197D9B">
          <w:rPr>
            <w:noProof/>
            <w:webHidden/>
          </w:rPr>
          <w:fldChar w:fldCharType="separate"/>
        </w:r>
        <w:r w:rsidR="003D0091">
          <w:rPr>
            <w:noProof/>
            <w:webHidden/>
          </w:rPr>
          <w:t>60</w:t>
        </w:r>
        <w:r w:rsidR="00197D9B">
          <w:rPr>
            <w:noProof/>
            <w:webHidden/>
          </w:rPr>
          <w:fldChar w:fldCharType="end"/>
        </w:r>
      </w:hyperlink>
    </w:p>
    <w:p w14:paraId="400F7A75" w14:textId="13D93F06" w:rsidR="00197D9B" w:rsidRDefault="00511B60" w:rsidP="0035303B">
      <w:pPr>
        <w:pStyle w:val="TOC3"/>
        <w:rPr>
          <w:rFonts w:eastAsiaTheme="minorEastAsia" w:cstheme="minorBidi"/>
          <w:noProof/>
          <w:color w:val="auto"/>
          <w:kern w:val="0"/>
          <w:sz w:val="22"/>
          <w:szCs w:val="22"/>
          <w:lang w:val="fr-FR" w:eastAsia="fr-FR"/>
        </w:rPr>
      </w:pPr>
      <w:hyperlink w:anchor="_Toc122478890" w:history="1">
        <w:r w:rsidR="00197D9B" w:rsidRPr="00081B51">
          <w:rPr>
            <w:rStyle w:val="Hyperlink"/>
            <w:rFonts w:eastAsiaTheme="majorEastAsia"/>
            <w:noProof/>
          </w:rPr>
          <w:t>3.12.2</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Social expenditure in the Oil &amp; Gas Sector</w:t>
        </w:r>
        <w:r w:rsidR="00197D9B">
          <w:rPr>
            <w:noProof/>
            <w:webHidden/>
          </w:rPr>
          <w:tab/>
        </w:r>
        <w:r w:rsidR="00197D9B">
          <w:rPr>
            <w:noProof/>
            <w:webHidden/>
          </w:rPr>
          <w:fldChar w:fldCharType="begin"/>
        </w:r>
        <w:r w:rsidR="00197D9B">
          <w:rPr>
            <w:noProof/>
            <w:webHidden/>
          </w:rPr>
          <w:instrText xml:space="preserve"> PAGEREF _Toc122478890 \h </w:instrText>
        </w:r>
        <w:r w:rsidR="00197D9B">
          <w:rPr>
            <w:noProof/>
            <w:webHidden/>
          </w:rPr>
        </w:r>
        <w:r w:rsidR="00197D9B">
          <w:rPr>
            <w:noProof/>
            <w:webHidden/>
          </w:rPr>
          <w:fldChar w:fldCharType="separate"/>
        </w:r>
        <w:r w:rsidR="003D0091">
          <w:rPr>
            <w:noProof/>
            <w:webHidden/>
          </w:rPr>
          <w:t>61</w:t>
        </w:r>
        <w:r w:rsidR="00197D9B">
          <w:rPr>
            <w:noProof/>
            <w:webHidden/>
          </w:rPr>
          <w:fldChar w:fldCharType="end"/>
        </w:r>
      </w:hyperlink>
    </w:p>
    <w:p w14:paraId="2CD9C32E" w14:textId="105377DD" w:rsidR="00197D9B" w:rsidRDefault="00511B60" w:rsidP="003D0091">
      <w:pPr>
        <w:pStyle w:val="TOC2"/>
        <w:rPr>
          <w:rFonts w:eastAsiaTheme="minorEastAsia" w:cstheme="minorBidi"/>
          <w:noProof/>
          <w:color w:val="auto"/>
          <w:kern w:val="0"/>
          <w:sz w:val="22"/>
          <w:szCs w:val="22"/>
          <w:lang w:val="fr-FR" w:eastAsia="fr-FR"/>
        </w:rPr>
      </w:pPr>
      <w:hyperlink w:anchor="_Toc122478891" w:history="1">
        <w:r w:rsidR="00197D9B" w:rsidRPr="00081B51">
          <w:rPr>
            <w:rStyle w:val="Hyperlink"/>
            <w:rFonts w:eastAsiaTheme="majorEastAsia"/>
            <w:b/>
            <w:noProof/>
          </w:rPr>
          <w:t>3.13.</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b/>
            <w:noProof/>
          </w:rPr>
          <w:t>Beneficial ownership (EITI Requirement 2.5)</w:t>
        </w:r>
        <w:r w:rsidR="00197D9B">
          <w:rPr>
            <w:noProof/>
            <w:webHidden/>
          </w:rPr>
          <w:tab/>
        </w:r>
        <w:r w:rsidR="00197D9B">
          <w:rPr>
            <w:noProof/>
            <w:webHidden/>
          </w:rPr>
          <w:fldChar w:fldCharType="begin"/>
        </w:r>
        <w:r w:rsidR="00197D9B">
          <w:rPr>
            <w:noProof/>
            <w:webHidden/>
          </w:rPr>
          <w:instrText xml:space="preserve"> PAGEREF _Toc122478891 \h </w:instrText>
        </w:r>
        <w:r w:rsidR="00197D9B">
          <w:rPr>
            <w:noProof/>
            <w:webHidden/>
          </w:rPr>
        </w:r>
        <w:r w:rsidR="00197D9B">
          <w:rPr>
            <w:noProof/>
            <w:webHidden/>
          </w:rPr>
          <w:fldChar w:fldCharType="separate"/>
        </w:r>
        <w:r w:rsidR="003D0091">
          <w:rPr>
            <w:noProof/>
            <w:webHidden/>
          </w:rPr>
          <w:t>61</w:t>
        </w:r>
        <w:r w:rsidR="00197D9B">
          <w:rPr>
            <w:noProof/>
            <w:webHidden/>
          </w:rPr>
          <w:fldChar w:fldCharType="end"/>
        </w:r>
      </w:hyperlink>
    </w:p>
    <w:p w14:paraId="39218C09" w14:textId="6D2A12FA" w:rsidR="00197D9B" w:rsidRDefault="00511B60" w:rsidP="0035303B">
      <w:pPr>
        <w:pStyle w:val="TOC3"/>
        <w:rPr>
          <w:rFonts w:eastAsiaTheme="minorEastAsia" w:cstheme="minorBidi"/>
          <w:noProof/>
          <w:color w:val="auto"/>
          <w:kern w:val="0"/>
          <w:sz w:val="22"/>
          <w:szCs w:val="22"/>
          <w:lang w:val="fr-FR" w:eastAsia="fr-FR"/>
        </w:rPr>
      </w:pPr>
      <w:hyperlink w:anchor="_Toc122478892" w:history="1">
        <w:r w:rsidR="00197D9B" w:rsidRPr="00081B51">
          <w:rPr>
            <w:rStyle w:val="Hyperlink"/>
            <w:rFonts w:eastAsiaTheme="majorEastAsia"/>
            <w:noProof/>
          </w:rPr>
          <w:t>3.13.1.</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Beneficial Ownership (BO) road map</w:t>
        </w:r>
        <w:r w:rsidR="00197D9B">
          <w:rPr>
            <w:noProof/>
            <w:webHidden/>
          </w:rPr>
          <w:tab/>
        </w:r>
        <w:r w:rsidR="00197D9B">
          <w:rPr>
            <w:noProof/>
            <w:webHidden/>
          </w:rPr>
          <w:fldChar w:fldCharType="begin"/>
        </w:r>
        <w:r w:rsidR="00197D9B">
          <w:rPr>
            <w:noProof/>
            <w:webHidden/>
          </w:rPr>
          <w:instrText xml:space="preserve"> PAGEREF _Toc122478892 \h </w:instrText>
        </w:r>
        <w:r w:rsidR="00197D9B">
          <w:rPr>
            <w:noProof/>
            <w:webHidden/>
          </w:rPr>
        </w:r>
        <w:r w:rsidR="00197D9B">
          <w:rPr>
            <w:noProof/>
            <w:webHidden/>
          </w:rPr>
          <w:fldChar w:fldCharType="separate"/>
        </w:r>
        <w:r w:rsidR="003D0091">
          <w:rPr>
            <w:noProof/>
            <w:webHidden/>
          </w:rPr>
          <w:t>61</w:t>
        </w:r>
        <w:r w:rsidR="00197D9B">
          <w:rPr>
            <w:noProof/>
            <w:webHidden/>
          </w:rPr>
          <w:fldChar w:fldCharType="end"/>
        </w:r>
      </w:hyperlink>
    </w:p>
    <w:p w14:paraId="57060451" w14:textId="0226FBC8" w:rsidR="00197D9B" w:rsidRDefault="00511B60" w:rsidP="0035303B">
      <w:pPr>
        <w:pStyle w:val="TOC3"/>
        <w:rPr>
          <w:rFonts w:eastAsiaTheme="minorEastAsia" w:cstheme="minorBidi"/>
          <w:noProof/>
          <w:color w:val="auto"/>
          <w:kern w:val="0"/>
          <w:sz w:val="22"/>
          <w:szCs w:val="22"/>
          <w:lang w:val="fr-FR" w:eastAsia="fr-FR"/>
        </w:rPr>
      </w:pPr>
      <w:hyperlink w:anchor="_Toc122478893" w:history="1">
        <w:r w:rsidR="00197D9B" w:rsidRPr="00081B51">
          <w:rPr>
            <w:rStyle w:val="Hyperlink"/>
            <w:rFonts w:eastAsiaTheme="majorEastAsia"/>
            <w:noProof/>
          </w:rPr>
          <w:t>3.13.2.</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Beneficial Ownership (BO) reporting in the extractive sector in Suriname</w:t>
        </w:r>
        <w:r w:rsidR="00197D9B">
          <w:rPr>
            <w:noProof/>
            <w:webHidden/>
          </w:rPr>
          <w:tab/>
        </w:r>
        <w:r w:rsidR="00197D9B">
          <w:rPr>
            <w:noProof/>
            <w:webHidden/>
          </w:rPr>
          <w:fldChar w:fldCharType="begin"/>
        </w:r>
        <w:r w:rsidR="00197D9B">
          <w:rPr>
            <w:noProof/>
            <w:webHidden/>
          </w:rPr>
          <w:instrText xml:space="preserve"> PAGEREF _Toc122478893 \h </w:instrText>
        </w:r>
        <w:r w:rsidR="00197D9B">
          <w:rPr>
            <w:noProof/>
            <w:webHidden/>
          </w:rPr>
        </w:r>
        <w:r w:rsidR="00197D9B">
          <w:rPr>
            <w:noProof/>
            <w:webHidden/>
          </w:rPr>
          <w:fldChar w:fldCharType="separate"/>
        </w:r>
        <w:r w:rsidR="003D0091">
          <w:rPr>
            <w:noProof/>
            <w:webHidden/>
          </w:rPr>
          <w:t>62</w:t>
        </w:r>
        <w:r w:rsidR="00197D9B">
          <w:rPr>
            <w:noProof/>
            <w:webHidden/>
          </w:rPr>
          <w:fldChar w:fldCharType="end"/>
        </w:r>
      </w:hyperlink>
    </w:p>
    <w:p w14:paraId="1CE08978" w14:textId="2C95DDFB" w:rsidR="00197D9B" w:rsidRDefault="00511B60" w:rsidP="0035303B">
      <w:pPr>
        <w:pStyle w:val="TOC3"/>
        <w:rPr>
          <w:rFonts w:eastAsiaTheme="minorEastAsia" w:cstheme="minorBidi"/>
          <w:noProof/>
          <w:color w:val="auto"/>
          <w:kern w:val="0"/>
          <w:sz w:val="22"/>
          <w:szCs w:val="22"/>
          <w:lang w:val="fr-FR" w:eastAsia="fr-FR"/>
        </w:rPr>
      </w:pPr>
      <w:hyperlink w:anchor="_Toc122478894" w:history="1">
        <w:r w:rsidR="00197D9B" w:rsidRPr="00081B51">
          <w:rPr>
            <w:rStyle w:val="Hyperlink"/>
            <w:rFonts w:eastAsiaTheme="majorEastAsia"/>
            <w:noProof/>
          </w:rPr>
          <w:t>3.13.3.</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Beneficial ownership reporting under Suriname EITI report 2018, 2019 and 2020</w:t>
        </w:r>
        <w:r w:rsidR="00197D9B">
          <w:rPr>
            <w:noProof/>
            <w:webHidden/>
          </w:rPr>
          <w:tab/>
        </w:r>
        <w:r w:rsidR="00197D9B">
          <w:rPr>
            <w:noProof/>
            <w:webHidden/>
          </w:rPr>
          <w:fldChar w:fldCharType="begin"/>
        </w:r>
        <w:r w:rsidR="00197D9B">
          <w:rPr>
            <w:noProof/>
            <w:webHidden/>
          </w:rPr>
          <w:instrText xml:space="preserve"> PAGEREF _Toc122478894 \h </w:instrText>
        </w:r>
        <w:r w:rsidR="00197D9B">
          <w:rPr>
            <w:noProof/>
            <w:webHidden/>
          </w:rPr>
        </w:r>
        <w:r w:rsidR="00197D9B">
          <w:rPr>
            <w:noProof/>
            <w:webHidden/>
          </w:rPr>
          <w:fldChar w:fldCharType="separate"/>
        </w:r>
        <w:r w:rsidR="003D0091">
          <w:rPr>
            <w:noProof/>
            <w:webHidden/>
          </w:rPr>
          <w:t>62</w:t>
        </w:r>
        <w:r w:rsidR="00197D9B">
          <w:rPr>
            <w:noProof/>
            <w:webHidden/>
          </w:rPr>
          <w:fldChar w:fldCharType="end"/>
        </w:r>
      </w:hyperlink>
    </w:p>
    <w:p w14:paraId="6D06859A" w14:textId="0C71B41D" w:rsidR="00197D9B" w:rsidRDefault="00511B60" w:rsidP="0035303B">
      <w:pPr>
        <w:pStyle w:val="TOC3"/>
        <w:rPr>
          <w:rFonts w:eastAsiaTheme="minorEastAsia" w:cstheme="minorBidi"/>
          <w:noProof/>
          <w:color w:val="auto"/>
          <w:kern w:val="0"/>
          <w:sz w:val="22"/>
          <w:szCs w:val="22"/>
          <w:lang w:val="fr-FR" w:eastAsia="fr-FR"/>
        </w:rPr>
      </w:pPr>
      <w:hyperlink w:anchor="_Toc122478895" w:history="1">
        <w:r w:rsidR="00197D9B" w:rsidRPr="00081B51">
          <w:rPr>
            <w:rStyle w:val="Hyperlink"/>
            <w:rFonts w:eastAsiaTheme="majorEastAsia"/>
            <w:noProof/>
          </w:rPr>
          <w:t>3.13.4.</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Legal ownership declaration</w:t>
        </w:r>
        <w:r w:rsidR="00197D9B">
          <w:rPr>
            <w:noProof/>
            <w:webHidden/>
          </w:rPr>
          <w:tab/>
        </w:r>
        <w:r w:rsidR="00197D9B">
          <w:rPr>
            <w:noProof/>
            <w:webHidden/>
          </w:rPr>
          <w:fldChar w:fldCharType="begin"/>
        </w:r>
        <w:r w:rsidR="00197D9B">
          <w:rPr>
            <w:noProof/>
            <w:webHidden/>
          </w:rPr>
          <w:instrText xml:space="preserve"> PAGEREF _Toc122478895 \h </w:instrText>
        </w:r>
        <w:r w:rsidR="00197D9B">
          <w:rPr>
            <w:noProof/>
            <w:webHidden/>
          </w:rPr>
        </w:r>
        <w:r w:rsidR="00197D9B">
          <w:rPr>
            <w:noProof/>
            <w:webHidden/>
          </w:rPr>
          <w:fldChar w:fldCharType="separate"/>
        </w:r>
        <w:r w:rsidR="003D0091">
          <w:rPr>
            <w:noProof/>
            <w:webHidden/>
          </w:rPr>
          <w:t>64</w:t>
        </w:r>
        <w:r w:rsidR="00197D9B">
          <w:rPr>
            <w:noProof/>
            <w:webHidden/>
          </w:rPr>
          <w:fldChar w:fldCharType="end"/>
        </w:r>
      </w:hyperlink>
    </w:p>
    <w:p w14:paraId="2E4049F3" w14:textId="0117836C" w:rsidR="00197D9B" w:rsidRDefault="00511B60" w:rsidP="003D0091">
      <w:pPr>
        <w:pStyle w:val="TOC2"/>
        <w:rPr>
          <w:rFonts w:eastAsiaTheme="minorEastAsia" w:cstheme="minorBidi"/>
          <w:noProof/>
          <w:color w:val="auto"/>
          <w:kern w:val="0"/>
          <w:sz w:val="22"/>
          <w:szCs w:val="22"/>
          <w:lang w:val="fr-FR" w:eastAsia="fr-FR"/>
        </w:rPr>
      </w:pPr>
      <w:hyperlink w:anchor="_Toc122478896" w:history="1">
        <w:r w:rsidR="00197D9B" w:rsidRPr="00081B51">
          <w:rPr>
            <w:rStyle w:val="Hyperlink"/>
            <w:rFonts w:eastAsiaTheme="majorEastAsia"/>
            <w:b/>
            <w:noProof/>
          </w:rPr>
          <w:t>3.14.</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b/>
            <w:noProof/>
          </w:rPr>
          <w:t>Collection and Distribution of Extractive Revenues (EITI Requirement 5.1)</w:t>
        </w:r>
        <w:r w:rsidR="00197D9B">
          <w:rPr>
            <w:noProof/>
            <w:webHidden/>
          </w:rPr>
          <w:tab/>
        </w:r>
        <w:r w:rsidR="00197D9B">
          <w:rPr>
            <w:noProof/>
            <w:webHidden/>
          </w:rPr>
          <w:fldChar w:fldCharType="begin"/>
        </w:r>
        <w:r w:rsidR="00197D9B">
          <w:rPr>
            <w:noProof/>
            <w:webHidden/>
          </w:rPr>
          <w:instrText xml:space="preserve"> PAGEREF _Toc122478896 \h </w:instrText>
        </w:r>
        <w:r w:rsidR="00197D9B">
          <w:rPr>
            <w:noProof/>
            <w:webHidden/>
          </w:rPr>
        </w:r>
        <w:r w:rsidR="00197D9B">
          <w:rPr>
            <w:noProof/>
            <w:webHidden/>
          </w:rPr>
          <w:fldChar w:fldCharType="separate"/>
        </w:r>
        <w:r w:rsidR="003D0091">
          <w:rPr>
            <w:noProof/>
            <w:webHidden/>
          </w:rPr>
          <w:t>64</w:t>
        </w:r>
        <w:r w:rsidR="00197D9B">
          <w:rPr>
            <w:noProof/>
            <w:webHidden/>
          </w:rPr>
          <w:fldChar w:fldCharType="end"/>
        </w:r>
      </w:hyperlink>
    </w:p>
    <w:p w14:paraId="7361C36B" w14:textId="7E197343" w:rsidR="00197D9B" w:rsidRDefault="00511B60" w:rsidP="0035303B">
      <w:pPr>
        <w:pStyle w:val="TOC3"/>
        <w:rPr>
          <w:rFonts w:eastAsiaTheme="minorEastAsia" w:cstheme="minorBidi"/>
          <w:noProof/>
          <w:color w:val="auto"/>
          <w:kern w:val="0"/>
          <w:sz w:val="22"/>
          <w:szCs w:val="22"/>
          <w:lang w:val="fr-FR" w:eastAsia="fr-FR"/>
        </w:rPr>
      </w:pPr>
      <w:hyperlink w:anchor="_Toc122478897" w:history="1">
        <w:r w:rsidR="00197D9B" w:rsidRPr="00081B51">
          <w:rPr>
            <w:rStyle w:val="Hyperlink"/>
            <w:rFonts w:eastAsiaTheme="majorEastAsia"/>
            <w:noProof/>
          </w:rPr>
          <w:t>3.15.1</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Budget Process</w:t>
        </w:r>
        <w:r w:rsidR="00197D9B">
          <w:rPr>
            <w:noProof/>
            <w:webHidden/>
          </w:rPr>
          <w:tab/>
        </w:r>
        <w:r w:rsidR="00197D9B">
          <w:rPr>
            <w:noProof/>
            <w:webHidden/>
          </w:rPr>
          <w:fldChar w:fldCharType="begin"/>
        </w:r>
        <w:r w:rsidR="00197D9B">
          <w:rPr>
            <w:noProof/>
            <w:webHidden/>
          </w:rPr>
          <w:instrText xml:space="preserve"> PAGEREF _Toc122478897 \h </w:instrText>
        </w:r>
        <w:r w:rsidR="00197D9B">
          <w:rPr>
            <w:noProof/>
            <w:webHidden/>
          </w:rPr>
        </w:r>
        <w:r w:rsidR="00197D9B">
          <w:rPr>
            <w:noProof/>
            <w:webHidden/>
          </w:rPr>
          <w:fldChar w:fldCharType="separate"/>
        </w:r>
        <w:r w:rsidR="003D0091">
          <w:rPr>
            <w:noProof/>
            <w:webHidden/>
          </w:rPr>
          <w:t>64</w:t>
        </w:r>
        <w:r w:rsidR="00197D9B">
          <w:rPr>
            <w:noProof/>
            <w:webHidden/>
          </w:rPr>
          <w:fldChar w:fldCharType="end"/>
        </w:r>
      </w:hyperlink>
    </w:p>
    <w:p w14:paraId="0892DF67" w14:textId="3167D7EA" w:rsidR="00197D9B" w:rsidRDefault="00511B60" w:rsidP="0035303B">
      <w:pPr>
        <w:pStyle w:val="TOC3"/>
        <w:rPr>
          <w:rFonts w:eastAsiaTheme="minorEastAsia" w:cstheme="minorBidi"/>
          <w:noProof/>
          <w:color w:val="auto"/>
          <w:kern w:val="0"/>
          <w:sz w:val="22"/>
          <w:szCs w:val="22"/>
          <w:lang w:val="fr-FR" w:eastAsia="fr-FR"/>
        </w:rPr>
      </w:pPr>
      <w:hyperlink w:anchor="_Toc122478898" w:history="1">
        <w:r w:rsidR="00197D9B" w:rsidRPr="00081B51">
          <w:rPr>
            <w:rStyle w:val="Hyperlink"/>
            <w:rFonts w:eastAsiaTheme="majorEastAsia"/>
            <w:noProof/>
          </w:rPr>
          <w:t>3.15.2</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Revenues Collection</w:t>
        </w:r>
        <w:r w:rsidR="00197D9B">
          <w:rPr>
            <w:noProof/>
            <w:webHidden/>
          </w:rPr>
          <w:tab/>
        </w:r>
        <w:r w:rsidR="00197D9B">
          <w:rPr>
            <w:noProof/>
            <w:webHidden/>
          </w:rPr>
          <w:fldChar w:fldCharType="begin"/>
        </w:r>
        <w:r w:rsidR="00197D9B">
          <w:rPr>
            <w:noProof/>
            <w:webHidden/>
          </w:rPr>
          <w:instrText xml:space="preserve"> PAGEREF _Toc122478898 \h </w:instrText>
        </w:r>
        <w:r w:rsidR="00197D9B">
          <w:rPr>
            <w:noProof/>
            <w:webHidden/>
          </w:rPr>
        </w:r>
        <w:r w:rsidR="00197D9B">
          <w:rPr>
            <w:noProof/>
            <w:webHidden/>
          </w:rPr>
          <w:fldChar w:fldCharType="separate"/>
        </w:r>
        <w:r w:rsidR="003D0091">
          <w:rPr>
            <w:noProof/>
            <w:webHidden/>
          </w:rPr>
          <w:t>65</w:t>
        </w:r>
        <w:r w:rsidR="00197D9B">
          <w:rPr>
            <w:noProof/>
            <w:webHidden/>
          </w:rPr>
          <w:fldChar w:fldCharType="end"/>
        </w:r>
      </w:hyperlink>
    </w:p>
    <w:p w14:paraId="05912BE4" w14:textId="77D2F3B6" w:rsidR="00197D9B" w:rsidRDefault="00511B60" w:rsidP="003D0091">
      <w:pPr>
        <w:pStyle w:val="TOC2"/>
        <w:rPr>
          <w:rFonts w:eastAsiaTheme="minorEastAsia" w:cstheme="minorBidi"/>
          <w:noProof/>
          <w:color w:val="auto"/>
          <w:kern w:val="0"/>
          <w:sz w:val="22"/>
          <w:szCs w:val="22"/>
          <w:lang w:val="fr-FR" w:eastAsia="fr-FR"/>
        </w:rPr>
      </w:pPr>
      <w:hyperlink w:anchor="_Toc122478899" w:history="1">
        <w:r w:rsidR="00197D9B" w:rsidRPr="00081B51">
          <w:rPr>
            <w:rStyle w:val="Hyperlink"/>
            <w:rFonts w:eastAsiaTheme="majorEastAsia"/>
            <w:b/>
            <w:noProof/>
          </w:rPr>
          <w:t>3.15.</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b/>
            <w:noProof/>
          </w:rPr>
          <w:t>Auditing and accounting (EITI Requirement 4.9)</w:t>
        </w:r>
        <w:r w:rsidR="00197D9B">
          <w:rPr>
            <w:noProof/>
            <w:webHidden/>
          </w:rPr>
          <w:tab/>
        </w:r>
        <w:r w:rsidR="00197D9B">
          <w:rPr>
            <w:noProof/>
            <w:webHidden/>
          </w:rPr>
          <w:fldChar w:fldCharType="begin"/>
        </w:r>
        <w:r w:rsidR="00197D9B">
          <w:rPr>
            <w:noProof/>
            <w:webHidden/>
          </w:rPr>
          <w:instrText xml:space="preserve"> PAGEREF _Toc122478899 \h </w:instrText>
        </w:r>
        <w:r w:rsidR="00197D9B">
          <w:rPr>
            <w:noProof/>
            <w:webHidden/>
          </w:rPr>
        </w:r>
        <w:r w:rsidR="00197D9B">
          <w:rPr>
            <w:noProof/>
            <w:webHidden/>
          </w:rPr>
          <w:fldChar w:fldCharType="separate"/>
        </w:r>
        <w:r w:rsidR="003D0091">
          <w:rPr>
            <w:noProof/>
            <w:webHidden/>
          </w:rPr>
          <w:t>66</w:t>
        </w:r>
        <w:r w:rsidR="00197D9B">
          <w:rPr>
            <w:noProof/>
            <w:webHidden/>
          </w:rPr>
          <w:fldChar w:fldCharType="end"/>
        </w:r>
      </w:hyperlink>
    </w:p>
    <w:p w14:paraId="2D4D8985" w14:textId="72DC86CC" w:rsidR="00197D9B" w:rsidRDefault="00511B60" w:rsidP="0035303B">
      <w:pPr>
        <w:pStyle w:val="TOC3"/>
        <w:rPr>
          <w:rFonts w:eastAsiaTheme="minorEastAsia" w:cstheme="minorBidi"/>
          <w:noProof/>
          <w:color w:val="auto"/>
          <w:kern w:val="0"/>
          <w:sz w:val="22"/>
          <w:szCs w:val="22"/>
          <w:lang w:val="fr-FR" w:eastAsia="fr-FR"/>
        </w:rPr>
      </w:pPr>
      <w:hyperlink w:anchor="_Toc122478900" w:history="1">
        <w:r w:rsidR="00197D9B" w:rsidRPr="00081B51">
          <w:rPr>
            <w:rStyle w:val="Hyperlink"/>
            <w:rFonts w:eastAsiaTheme="majorEastAsia"/>
            <w:noProof/>
          </w:rPr>
          <w:t>3.16.1</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Private companies</w:t>
        </w:r>
        <w:r w:rsidR="00197D9B">
          <w:rPr>
            <w:noProof/>
            <w:webHidden/>
          </w:rPr>
          <w:tab/>
        </w:r>
        <w:r w:rsidR="00197D9B">
          <w:rPr>
            <w:noProof/>
            <w:webHidden/>
          </w:rPr>
          <w:fldChar w:fldCharType="begin"/>
        </w:r>
        <w:r w:rsidR="00197D9B">
          <w:rPr>
            <w:noProof/>
            <w:webHidden/>
          </w:rPr>
          <w:instrText xml:space="preserve"> PAGEREF _Toc122478900 \h </w:instrText>
        </w:r>
        <w:r w:rsidR="00197D9B">
          <w:rPr>
            <w:noProof/>
            <w:webHidden/>
          </w:rPr>
        </w:r>
        <w:r w:rsidR="00197D9B">
          <w:rPr>
            <w:noProof/>
            <w:webHidden/>
          </w:rPr>
          <w:fldChar w:fldCharType="separate"/>
        </w:r>
        <w:r w:rsidR="003D0091">
          <w:rPr>
            <w:noProof/>
            <w:webHidden/>
          </w:rPr>
          <w:t>66</w:t>
        </w:r>
        <w:r w:rsidR="00197D9B">
          <w:rPr>
            <w:noProof/>
            <w:webHidden/>
          </w:rPr>
          <w:fldChar w:fldCharType="end"/>
        </w:r>
      </w:hyperlink>
    </w:p>
    <w:p w14:paraId="12A175EE" w14:textId="112C3FB7" w:rsidR="00197D9B" w:rsidRDefault="00511B60" w:rsidP="0035303B">
      <w:pPr>
        <w:pStyle w:val="TOC3"/>
        <w:rPr>
          <w:rFonts w:eastAsiaTheme="minorEastAsia" w:cstheme="minorBidi"/>
          <w:noProof/>
          <w:color w:val="auto"/>
          <w:kern w:val="0"/>
          <w:sz w:val="22"/>
          <w:szCs w:val="22"/>
          <w:lang w:val="fr-FR" w:eastAsia="fr-FR"/>
        </w:rPr>
      </w:pPr>
      <w:hyperlink w:anchor="_Toc122478901" w:history="1">
        <w:r w:rsidR="00197D9B" w:rsidRPr="00081B51">
          <w:rPr>
            <w:rStyle w:val="Hyperlink"/>
            <w:rFonts w:eastAsiaTheme="majorEastAsia"/>
            <w:noProof/>
          </w:rPr>
          <w:t>3.16.2</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Government Agencies</w:t>
        </w:r>
        <w:r w:rsidR="00197D9B">
          <w:rPr>
            <w:noProof/>
            <w:webHidden/>
          </w:rPr>
          <w:tab/>
        </w:r>
        <w:r w:rsidR="00197D9B">
          <w:rPr>
            <w:noProof/>
            <w:webHidden/>
          </w:rPr>
          <w:fldChar w:fldCharType="begin"/>
        </w:r>
        <w:r w:rsidR="00197D9B">
          <w:rPr>
            <w:noProof/>
            <w:webHidden/>
          </w:rPr>
          <w:instrText xml:space="preserve"> PAGEREF _Toc122478901 \h </w:instrText>
        </w:r>
        <w:r w:rsidR="00197D9B">
          <w:rPr>
            <w:noProof/>
            <w:webHidden/>
          </w:rPr>
        </w:r>
        <w:r w:rsidR="00197D9B">
          <w:rPr>
            <w:noProof/>
            <w:webHidden/>
          </w:rPr>
          <w:fldChar w:fldCharType="separate"/>
        </w:r>
        <w:r w:rsidR="003D0091">
          <w:rPr>
            <w:noProof/>
            <w:webHidden/>
          </w:rPr>
          <w:t>68</w:t>
        </w:r>
        <w:r w:rsidR="00197D9B">
          <w:rPr>
            <w:noProof/>
            <w:webHidden/>
          </w:rPr>
          <w:fldChar w:fldCharType="end"/>
        </w:r>
      </w:hyperlink>
    </w:p>
    <w:p w14:paraId="5735F14B" w14:textId="69950FD7" w:rsidR="00197D9B" w:rsidRDefault="00511B60" w:rsidP="003D0091">
      <w:pPr>
        <w:pStyle w:val="TOC2"/>
        <w:rPr>
          <w:rFonts w:eastAsiaTheme="minorEastAsia" w:cstheme="minorBidi"/>
          <w:noProof/>
          <w:color w:val="auto"/>
          <w:kern w:val="0"/>
          <w:sz w:val="22"/>
          <w:szCs w:val="22"/>
          <w:lang w:val="fr-FR" w:eastAsia="fr-FR"/>
        </w:rPr>
      </w:pPr>
      <w:hyperlink w:anchor="_Toc122478902" w:history="1">
        <w:r w:rsidR="00197D9B" w:rsidRPr="00081B51">
          <w:rPr>
            <w:rStyle w:val="Hyperlink"/>
            <w:rFonts w:eastAsiaTheme="majorEastAsia"/>
            <w:b/>
            <w:noProof/>
          </w:rPr>
          <w:t>3.16.</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b/>
            <w:noProof/>
          </w:rPr>
          <w:t>Management of environment and environmental expenditure (EITI Requirements 6.1 &amp; 6.4)</w:t>
        </w:r>
        <w:r w:rsidR="00197D9B">
          <w:rPr>
            <w:noProof/>
            <w:webHidden/>
          </w:rPr>
          <w:tab/>
        </w:r>
        <w:r w:rsidR="00197D9B">
          <w:rPr>
            <w:noProof/>
            <w:webHidden/>
          </w:rPr>
          <w:fldChar w:fldCharType="begin"/>
        </w:r>
        <w:r w:rsidR="00197D9B">
          <w:rPr>
            <w:noProof/>
            <w:webHidden/>
          </w:rPr>
          <w:instrText xml:space="preserve"> PAGEREF _Toc122478902 \h </w:instrText>
        </w:r>
        <w:r w:rsidR="00197D9B">
          <w:rPr>
            <w:noProof/>
            <w:webHidden/>
          </w:rPr>
        </w:r>
        <w:r w:rsidR="00197D9B">
          <w:rPr>
            <w:noProof/>
            <w:webHidden/>
          </w:rPr>
          <w:fldChar w:fldCharType="separate"/>
        </w:r>
        <w:r w:rsidR="003D0091">
          <w:rPr>
            <w:noProof/>
            <w:webHidden/>
          </w:rPr>
          <w:t>68</w:t>
        </w:r>
        <w:r w:rsidR="00197D9B">
          <w:rPr>
            <w:noProof/>
            <w:webHidden/>
          </w:rPr>
          <w:fldChar w:fldCharType="end"/>
        </w:r>
      </w:hyperlink>
    </w:p>
    <w:p w14:paraId="4B76AF2D" w14:textId="168DAC6F" w:rsidR="00197D9B" w:rsidRDefault="00511B60" w:rsidP="0035303B">
      <w:pPr>
        <w:pStyle w:val="TOC3"/>
        <w:rPr>
          <w:rFonts w:eastAsiaTheme="minorEastAsia" w:cstheme="minorBidi"/>
          <w:noProof/>
          <w:color w:val="auto"/>
          <w:kern w:val="0"/>
          <w:sz w:val="22"/>
          <w:szCs w:val="22"/>
          <w:lang w:val="fr-FR" w:eastAsia="fr-FR"/>
        </w:rPr>
      </w:pPr>
      <w:hyperlink w:anchor="_Toc122478903" w:history="1">
        <w:r w:rsidR="00197D9B" w:rsidRPr="00081B51">
          <w:rPr>
            <w:rStyle w:val="Hyperlink"/>
            <w:rFonts w:eastAsiaTheme="majorEastAsia"/>
            <w:noProof/>
          </w:rPr>
          <w:t>3.16.1.</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Management and monitoring of the environment</w:t>
        </w:r>
        <w:r w:rsidR="00197D9B">
          <w:rPr>
            <w:noProof/>
            <w:webHidden/>
          </w:rPr>
          <w:tab/>
        </w:r>
        <w:r w:rsidR="00197D9B">
          <w:rPr>
            <w:noProof/>
            <w:webHidden/>
          </w:rPr>
          <w:fldChar w:fldCharType="begin"/>
        </w:r>
        <w:r w:rsidR="00197D9B">
          <w:rPr>
            <w:noProof/>
            <w:webHidden/>
          </w:rPr>
          <w:instrText xml:space="preserve"> PAGEREF _Toc122478903 \h </w:instrText>
        </w:r>
        <w:r w:rsidR="00197D9B">
          <w:rPr>
            <w:noProof/>
            <w:webHidden/>
          </w:rPr>
        </w:r>
        <w:r w:rsidR="00197D9B">
          <w:rPr>
            <w:noProof/>
            <w:webHidden/>
          </w:rPr>
          <w:fldChar w:fldCharType="separate"/>
        </w:r>
        <w:r w:rsidR="003D0091">
          <w:rPr>
            <w:noProof/>
            <w:webHidden/>
          </w:rPr>
          <w:t>68</w:t>
        </w:r>
        <w:r w:rsidR="00197D9B">
          <w:rPr>
            <w:noProof/>
            <w:webHidden/>
          </w:rPr>
          <w:fldChar w:fldCharType="end"/>
        </w:r>
      </w:hyperlink>
    </w:p>
    <w:p w14:paraId="232B1E87" w14:textId="541CE56E" w:rsidR="00197D9B" w:rsidRDefault="00511B60" w:rsidP="0035303B">
      <w:pPr>
        <w:pStyle w:val="TOC3"/>
        <w:rPr>
          <w:rFonts w:eastAsiaTheme="minorEastAsia" w:cstheme="minorBidi"/>
          <w:noProof/>
          <w:color w:val="auto"/>
          <w:kern w:val="0"/>
          <w:sz w:val="22"/>
          <w:szCs w:val="22"/>
          <w:lang w:val="fr-FR" w:eastAsia="fr-FR"/>
        </w:rPr>
      </w:pPr>
      <w:hyperlink w:anchor="_Toc122478904" w:history="1">
        <w:r w:rsidR="00197D9B" w:rsidRPr="00081B51">
          <w:rPr>
            <w:rStyle w:val="Hyperlink"/>
            <w:rFonts w:eastAsiaTheme="majorEastAsia"/>
            <w:noProof/>
          </w:rPr>
          <w:t>3.16.2.</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Environmental expenditure</w:t>
        </w:r>
        <w:r w:rsidR="00197D9B">
          <w:rPr>
            <w:noProof/>
            <w:webHidden/>
          </w:rPr>
          <w:tab/>
        </w:r>
        <w:r w:rsidR="00197D9B">
          <w:rPr>
            <w:noProof/>
            <w:webHidden/>
          </w:rPr>
          <w:fldChar w:fldCharType="begin"/>
        </w:r>
        <w:r w:rsidR="00197D9B">
          <w:rPr>
            <w:noProof/>
            <w:webHidden/>
          </w:rPr>
          <w:instrText xml:space="preserve"> PAGEREF _Toc122478904 \h </w:instrText>
        </w:r>
        <w:r w:rsidR="00197D9B">
          <w:rPr>
            <w:noProof/>
            <w:webHidden/>
          </w:rPr>
        </w:r>
        <w:r w:rsidR="00197D9B">
          <w:rPr>
            <w:noProof/>
            <w:webHidden/>
          </w:rPr>
          <w:fldChar w:fldCharType="separate"/>
        </w:r>
        <w:r w:rsidR="003D0091">
          <w:rPr>
            <w:noProof/>
            <w:webHidden/>
          </w:rPr>
          <w:t>69</w:t>
        </w:r>
        <w:r w:rsidR="00197D9B">
          <w:rPr>
            <w:noProof/>
            <w:webHidden/>
          </w:rPr>
          <w:fldChar w:fldCharType="end"/>
        </w:r>
      </w:hyperlink>
    </w:p>
    <w:p w14:paraId="483ED7F7" w14:textId="739A9542" w:rsidR="00197D9B" w:rsidRDefault="00511B60" w:rsidP="003D0091">
      <w:pPr>
        <w:pStyle w:val="TOC2"/>
        <w:rPr>
          <w:rFonts w:eastAsiaTheme="minorEastAsia" w:cstheme="minorBidi"/>
          <w:noProof/>
          <w:color w:val="auto"/>
          <w:kern w:val="0"/>
          <w:sz w:val="22"/>
          <w:szCs w:val="22"/>
          <w:lang w:val="fr-FR" w:eastAsia="fr-FR"/>
        </w:rPr>
      </w:pPr>
      <w:hyperlink w:anchor="_Toc122478905" w:history="1">
        <w:r w:rsidR="00197D9B" w:rsidRPr="00081B51">
          <w:rPr>
            <w:rStyle w:val="Hyperlink"/>
            <w:rFonts w:eastAsiaTheme="majorEastAsia"/>
            <w:b/>
            <w:noProof/>
          </w:rPr>
          <w:t>3.17.</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b/>
            <w:noProof/>
          </w:rPr>
          <w:t>Local content</w:t>
        </w:r>
        <w:r w:rsidR="00197D9B">
          <w:rPr>
            <w:noProof/>
            <w:webHidden/>
          </w:rPr>
          <w:tab/>
        </w:r>
        <w:r w:rsidR="00197D9B">
          <w:rPr>
            <w:noProof/>
            <w:webHidden/>
          </w:rPr>
          <w:fldChar w:fldCharType="begin"/>
        </w:r>
        <w:r w:rsidR="00197D9B">
          <w:rPr>
            <w:noProof/>
            <w:webHidden/>
          </w:rPr>
          <w:instrText xml:space="preserve"> PAGEREF _Toc122478905 \h </w:instrText>
        </w:r>
        <w:r w:rsidR="00197D9B">
          <w:rPr>
            <w:noProof/>
            <w:webHidden/>
          </w:rPr>
        </w:r>
        <w:r w:rsidR="00197D9B">
          <w:rPr>
            <w:noProof/>
            <w:webHidden/>
          </w:rPr>
          <w:fldChar w:fldCharType="separate"/>
        </w:r>
        <w:r w:rsidR="003D0091">
          <w:rPr>
            <w:noProof/>
            <w:webHidden/>
          </w:rPr>
          <w:t>70</w:t>
        </w:r>
        <w:r w:rsidR="00197D9B">
          <w:rPr>
            <w:noProof/>
            <w:webHidden/>
          </w:rPr>
          <w:fldChar w:fldCharType="end"/>
        </w:r>
      </w:hyperlink>
    </w:p>
    <w:p w14:paraId="2DEFFE0A" w14:textId="0C5CFF30" w:rsidR="00197D9B" w:rsidRDefault="00511B60" w:rsidP="0035303B">
      <w:pPr>
        <w:pStyle w:val="TOC3"/>
        <w:rPr>
          <w:rFonts w:eastAsiaTheme="minorEastAsia" w:cstheme="minorBidi"/>
          <w:noProof/>
          <w:color w:val="auto"/>
          <w:kern w:val="0"/>
          <w:sz w:val="22"/>
          <w:szCs w:val="22"/>
          <w:lang w:val="fr-FR" w:eastAsia="fr-FR"/>
        </w:rPr>
      </w:pPr>
      <w:hyperlink w:anchor="_Toc122478906" w:history="1">
        <w:r w:rsidR="00197D9B" w:rsidRPr="00081B51">
          <w:rPr>
            <w:rStyle w:val="Hyperlink"/>
            <w:rFonts w:eastAsiaTheme="majorEastAsia"/>
            <w:noProof/>
          </w:rPr>
          <w:t>3.17.1.</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Local content in the Mining sector</w:t>
        </w:r>
        <w:r w:rsidR="00197D9B">
          <w:rPr>
            <w:noProof/>
            <w:webHidden/>
          </w:rPr>
          <w:tab/>
        </w:r>
        <w:r w:rsidR="00197D9B">
          <w:rPr>
            <w:noProof/>
            <w:webHidden/>
          </w:rPr>
          <w:fldChar w:fldCharType="begin"/>
        </w:r>
        <w:r w:rsidR="00197D9B">
          <w:rPr>
            <w:noProof/>
            <w:webHidden/>
          </w:rPr>
          <w:instrText xml:space="preserve"> PAGEREF _Toc122478906 \h </w:instrText>
        </w:r>
        <w:r w:rsidR="00197D9B">
          <w:rPr>
            <w:noProof/>
            <w:webHidden/>
          </w:rPr>
        </w:r>
        <w:r w:rsidR="00197D9B">
          <w:rPr>
            <w:noProof/>
            <w:webHidden/>
          </w:rPr>
          <w:fldChar w:fldCharType="separate"/>
        </w:r>
        <w:r w:rsidR="003D0091">
          <w:rPr>
            <w:noProof/>
            <w:webHidden/>
          </w:rPr>
          <w:t>70</w:t>
        </w:r>
        <w:r w:rsidR="00197D9B">
          <w:rPr>
            <w:noProof/>
            <w:webHidden/>
          </w:rPr>
          <w:fldChar w:fldCharType="end"/>
        </w:r>
      </w:hyperlink>
    </w:p>
    <w:p w14:paraId="6AF1A145" w14:textId="66B691CD" w:rsidR="00197D9B" w:rsidRDefault="00511B60" w:rsidP="0035303B">
      <w:pPr>
        <w:pStyle w:val="TOC3"/>
        <w:rPr>
          <w:rFonts w:eastAsiaTheme="minorEastAsia" w:cstheme="minorBidi"/>
          <w:noProof/>
          <w:color w:val="auto"/>
          <w:kern w:val="0"/>
          <w:sz w:val="22"/>
          <w:szCs w:val="22"/>
          <w:lang w:val="fr-FR" w:eastAsia="fr-FR"/>
        </w:rPr>
      </w:pPr>
      <w:hyperlink w:anchor="_Toc122478907" w:history="1">
        <w:r w:rsidR="00197D9B" w:rsidRPr="00081B51">
          <w:rPr>
            <w:rStyle w:val="Hyperlink"/>
            <w:rFonts w:eastAsiaTheme="majorEastAsia"/>
            <w:noProof/>
          </w:rPr>
          <w:t>3.17.2.</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Local content in the Oil and Gas sector</w:t>
        </w:r>
        <w:r w:rsidR="00197D9B">
          <w:rPr>
            <w:noProof/>
            <w:webHidden/>
          </w:rPr>
          <w:tab/>
        </w:r>
        <w:r w:rsidR="00197D9B">
          <w:rPr>
            <w:noProof/>
            <w:webHidden/>
          </w:rPr>
          <w:fldChar w:fldCharType="begin"/>
        </w:r>
        <w:r w:rsidR="00197D9B">
          <w:rPr>
            <w:noProof/>
            <w:webHidden/>
          </w:rPr>
          <w:instrText xml:space="preserve"> PAGEREF _Toc122478907 \h </w:instrText>
        </w:r>
        <w:r w:rsidR="00197D9B">
          <w:rPr>
            <w:noProof/>
            <w:webHidden/>
          </w:rPr>
        </w:r>
        <w:r w:rsidR="00197D9B">
          <w:rPr>
            <w:noProof/>
            <w:webHidden/>
          </w:rPr>
          <w:fldChar w:fldCharType="separate"/>
        </w:r>
        <w:r w:rsidR="003D0091">
          <w:rPr>
            <w:noProof/>
            <w:webHidden/>
          </w:rPr>
          <w:t>70</w:t>
        </w:r>
        <w:r w:rsidR="00197D9B">
          <w:rPr>
            <w:noProof/>
            <w:webHidden/>
          </w:rPr>
          <w:fldChar w:fldCharType="end"/>
        </w:r>
      </w:hyperlink>
    </w:p>
    <w:p w14:paraId="52C4B386" w14:textId="05045C9D" w:rsidR="00197D9B" w:rsidRDefault="00511B60" w:rsidP="003D0091">
      <w:pPr>
        <w:pStyle w:val="TOC2"/>
        <w:rPr>
          <w:rFonts w:eastAsiaTheme="minorEastAsia" w:cstheme="minorBidi"/>
          <w:noProof/>
          <w:color w:val="auto"/>
          <w:kern w:val="0"/>
          <w:sz w:val="22"/>
          <w:szCs w:val="22"/>
          <w:lang w:val="fr-FR" w:eastAsia="fr-FR"/>
        </w:rPr>
      </w:pPr>
      <w:hyperlink w:anchor="_Toc122478908" w:history="1">
        <w:r w:rsidR="00197D9B" w:rsidRPr="00081B51">
          <w:rPr>
            <w:rStyle w:val="Hyperlink"/>
            <w:rFonts w:eastAsiaTheme="majorEastAsia"/>
            <w:b/>
            <w:noProof/>
          </w:rPr>
          <w:t>3.18.</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b/>
            <w:noProof/>
          </w:rPr>
          <w:t>Production data in the extractive sector (EITI Requirement 3.2)</w:t>
        </w:r>
        <w:r w:rsidR="00197D9B">
          <w:rPr>
            <w:noProof/>
            <w:webHidden/>
          </w:rPr>
          <w:tab/>
        </w:r>
        <w:r w:rsidR="00197D9B">
          <w:rPr>
            <w:noProof/>
            <w:webHidden/>
          </w:rPr>
          <w:fldChar w:fldCharType="begin"/>
        </w:r>
        <w:r w:rsidR="00197D9B">
          <w:rPr>
            <w:noProof/>
            <w:webHidden/>
          </w:rPr>
          <w:instrText xml:space="preserve"> PAGEREF _Toc122478908 \h </w:instrText>
        </w:r>
        <w:r w:rsidR="00197D9B">
          <w:rPr>
            <w:noProof/>
            <w:webHidden/>
          </w:rPr>
        </w:r>
        <w:r w:rsidR="00197D9B">
          <w:rPr>
            <w:noProof/>
            <w:webHidden/>
          </w:rPr>
          <w:fldChar w:fldCharType="separate"/>
        </w:r>
        <w:r w:rsidR="003D0091">
          <w:rPr>
            <w:noProof/>
            <w:webHidden/>
          </w:rPr>
          <w:t>71</w:t>
        </w:r>
        <w:r w:rsidR="00197D9B">
          <w:rPr>
            <w:noProof/>
            <w:webHidden/>
          </w:rPr>
          <w:fldChar w:fldCharType="end"/>
        </w:r>
      </w:hyperlink>
    </w:p>
    <w:p w14:paraId="5F280567" w14:textId="13619F2C" w:rsidR="00197D9B" w:rsidRDefault="00511B60">
      <w:pPr>
        <w:pStyle w:val="TOC3"/>
        <w:rPr>
          <w:rFonts w:eastAsiaTheme="minorEastAsia" w:cstheme="minorBidi"/>
          <w:noProof/>
          <w:color w:val="auto"/>
          <w:kern w:val="0"/>
          <w:sz w:val="22"/>
          <w:szCs w:val="22"/>
          <w:lang w:val="fr-FR" w:eastAsia="fr-FR"/>
        </w:rPr>
      </w:pPr>
      <w:hyperlink w:anchor="_Toc122478909" w:history="1">
        <w:r w:rsidR="00197D9B" w:rsidRPr="00081B51">
          <w:rPr>
            <w:rStyle w:val="Hyperlink"/>
            <w:rFonts w:eastAsiaTheme="majorEastAsia"/>
            <w:noProof/>
          </w:rPr>
          <w:t>3.18.1. Production data in the Oil &amp; Gas sector</w:t>
        </w:r>
        <w:r w:rsidR="00197D9B">
          <w:rPr>
            <w:noProof/>
            <w:webHidden/>
          </w:rPr>
          <w:tab/>
        </w:r>
        <w:r w:rsidR="00197D9B">
          <w:rPr>
            <w:noProof/>
            <w:webHidden/>
          </w:rPr>
          <w:fldChar w:fldCharType="begin"/>
        </w:r>
        <w:r w:rsidR="00197D9B">
          <w:rPr>
            <w:noProof/>
            <w:webHidden/>
          </w:rPr>
          <w:instrText xml:space="preserve"> PAGEREF _Toc122478909 \h </w:instrText>
        </w:r>
        <w:r w:rsidR="00197D9B">
          <w:rPr>
            <w:noProof/>
            <w:webHidden/>
          </w:rPr>
        </w:r>
        <w:r w:rsidR="00197D9B">
          <w:rPr>
            <w:noProof/>
            <w:webHidden/>
          </w:rPr>
          <w:fldChar w:fldCharType="separate"/>
        </w:r>
        <w:r w:rsidR="003D0091">
          <w:rPr>
            <w:noProof/>
            <w:webHidden/>
          </w:rPr>
          <w:t>71</w:t>
        </w:r>
        <w:r w:rsidR="00197D9B">
          <w:rPr>
            <w:noProof/>
            <w:webHidden/>
          </w:rPr>
          <w:fldChar w:fldCharType="end"/>
        </w:r>
      </w:hyperlink>
    </w:p>
    <w:p w14:paraId="1D642593" w14:textId="23240DF0" w:rsidR="00197D9B" w:rsidRDefault="00511B60">
      <w:pPr>
        <w:pStyle w:val="TOC3"/>
        <w:rPr>
          <w:rFonts w:eastAsiaTheme="minorEastAsia" w:cstheme="minorBidi"/>
          <w:noProof/>
          <w:color w:val="auto"/>
          <w:kern w:val="0"/>
          <w:sz w:val="22"/>
          <w:szCs w:val="22"/>
          <w:lang w:val="fr-FR" w:eastAsia="fr-FR"/>
        </w:rPr>
      </w:pPr>
      <w:hyperlink w:anchor="_Toc122478910" w:history="1">
        <w:r w:rsidR="00197D9B" w:rsidRPr="00081B51">
          <w:rPr>
            <w:rStyle w:val="Hyperlink"/>
            <w:rFonts w:eastAsiaTheme="majorEastAsia"/>
            <w:noProof/>
          </w:rPr>
          <w:t>3.18.2. Production data in the Mining sector</w:t>
        </w:r>
        <w:r w:rsidR="00197D9B">
          <w:rPr>
            <w:noProof/>
            <w:webHidden/>
          </w:rPr>
          <w:tab/>
        </w:r>
        <w:r w:rsidR="00197D9B">
          <w:rPr>
            <w:noProof/>
            <w:webHidden/>
          </w:rPr>
          <w:fldChar w:fldCharType="begin"/>
        </w:r>
        <w:r w:rsidR="00197D9B">
          <w:rPr>
            <w:noProof/>
            <w:webHidden/>
          </w:rPr>
          <w:instrText xml:space="preserve"> PAGEREF _Toc122478910 \h </w:instrText>
        </w:r>
        <w:r w:rsidR="00197D9B">
          <w:rPr>
            <w:noProof/>
            <w:webHidden/>
          </w:rPr>
        </w:r>
        <w:r w:rsidR="00197D9B">
          <w:rPr>
            <w:noProof/>
            <w:webHidden/>
          </w:rPr>
          <w:fldChar w:fldCharType="separate"/>
        </w:r>
        <w:r w:rsidR="003D0091">
          <w:rPr>
            <w:noProof/>
            <w:webHidden/>
          </w:rPr>
          <w:t>71</w:t>
        </w:r>
        <w:r w:rsidR="00197D9B">
          <w:rPr>
            <w:noProof/>
            <w:webHidden/>
          </w:rPr>
          <w:fldChar w:fldCharType="end"/>
        </w:r>
      </w:hyperlink>
    </w:p>
    <w:p w14:paraId="2602341F" w14:textId="39377772" w:rsidR="00197D9B" w:rsidRDefault="00511B60" w:rsidP="003D0091">
      <w:pPr>
        <w:pStyle w:val="TOC2"/>
        <w:rPr>
          <w:rFonts w:eastAsiaTheme="minorEastAsia" w:cstheme="minorBidi"/>
          <w:noProof/>
          <w:color w:val="auto"/>
          <w:kern w:val="0"/>
          <w:sz w:val="22"/>
          <w:szCs w:val="22"/>
          <w:lang w:val="fr-FR" w:eastAsia="fr-FR"/>
        </w:rPr>
      </w:pPr>
      <w:hyperlink w:anchor="_Toc122478911" w:history="1">
        <w:r w:rsidR="00197D9B" w:rsidRPr="00081B51">
          <w:rPr>
            <w:rStyle w:val="Hyperlink"/>
            <w:rFonts w:eastAsiaTheme="majorEastAsia"/>
            <w:b/>
            <w:noProof/>
          </w:rPr>
          <w:t>3.19.</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b/>
            <w:noProof/>
          </w:rPr>
          <w:t>Contribution of the extractive sector to the economy (EITI Requirement 6.3)</w:t>
        </w:r>
        <w:r w:rsidR="00197D9B">
          <w:rPr>
            <w:noProof/>
            <w:webHidden/>
          </w:rPr>
          <w:tab/>
        </w:r>
        <w:r w:rsidR="00197D9B">
          <w:rPr>
            <w:noProof/>
            <w:webHidden/>
          </w:rPr>
          <w:fldChar w:fldCharType="begin"/>
        </w:r>
        <w:r w:rsidR="00197D9B">
          <w:rPr>
            <w:noProof/>
            <w:webHidden/>
          </w:rPr>
          <w:instrText xml:space="preserve"> PAGEREF _Toc122478911 \h </w:instrText>
        </w:r>
        <w:r w:rsidR="00197D9B">
          <w:rPr>
            <w:noProof/>
            <w:webHidden/>
          </w:rPr>
        </w:r>
        <w:r w:rsidR="00197D9B">
          <w:rPr>
            <w:noProof/>
            <w:webHidden/>
          </w:rPr>
          <w:fldChar w:fldCharType="separate"/>
        </w:r>
        <w:r w:rsidR="003D0091">
          <w:rPr>
            <w:noProof/>
            <w:webHidden/>
          </w:rPr>
          <w:t>72</w:t>
        </w:r>
        <w:r w:rsidR="00197D9B">
          <w:rPr>
            <w:noProof/>
            <w:webHidden/>
          </w:rPr>
          <w:fldChar w:fldCharType="end"/>
        </w:r>
      </w:hyperlink>
    </w:p>
    <w:p w14:paraId="3D965A2F" w14:textId="1FEE204A" w:rsidR="00197D9B" w:rsidRDefault="00511B60" w:rsidP="0035303B">
      <w:pPr>
        <w:pStyle w:val="TOC3"/>
        <w:rPr>
          <w:rFonts w:eastAsiaTheme="minorEastAsia" w:cstheme="minorBidi"/>
          <w:noProof/>
          <w:color w:val="auto"/>
          <w:kern w:val="0"/>
          <w:sz w:val="22"/>
          <w:szCs w:val="22"/>
          <w:lang w:val="fr-FR" w:eastAsia="fr-FR"/>
        </w:rPr>
      </w:pPr>
      <w:hyperlink w:anchor="_Toc122478912" w:history="1">
        <w:r w:rsidR="00197D9B" w:rsidRPr="00081B51">
          <w:rPr>
            <w:rStyle w:val="Hyperlink"/>
            <w:rFonts w:eastAsiaTheme="majorEastAsia"/>
            <w:noProof/>
          </w:rPr>
          <w:t>3.19.1.</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Contribution to the GDP (Requirement 6.3.a)</w:t>
        </w:r>
        <w:r w:rsidR="00197D9B">
          <w:rPr>
            <w:noProof/>
            <w:webHidden/>
          </w:rPr>
          <w:tab/>
        </w:r>
        <w:r w:rsidR="00197D9B">
          <w:rPr>
            <w:noProof/>
            <w:webHidden/>
          </w:rPr>
          <w:fldChar w:fldCharType="begin"/>
        </w:r>
        <w:r w:rsidR="00197D9B">
          <w:rPr>
            <w:noProof/>
            <w:webHidden/>
          </w:rPr>
          <w:instrText xml:space="preserve"> PAGEREF _Toc122478912 \h </w:instrText>
        </w:r>
        <w:r w:rsidR="00197D9B">
          <w:rPr>
            <w:noProof/>
            <w:webHidden/>
          </w:rPr>
        </w:r>
        <w:r w:rsidR="00197D9B">
          <w:rPr>
            <w:noProof/>
            <w:webHidden/>
          </w:rPr>
          <w:fldChar w:fldCharType="separate"/>
        </w:r>
        <w:r w:rsidR="003D0091">
          <w:rPr>
            <w:noProof/>
            <w:webHidden/>
          </w:rPr>
          <w:t>72</w:t>
        </w:r>
        <w:r w:rsidR="00197D9B">
          <w:rPr>
            <w:noProof/>
            <w:webHidden/>
          </w:rPr>
          <w:fldChar w:fldCharType="end"/>
        </w:r>
      </w:hyperlink>
    </w:p>
    <w:p w14:paraId="4C0E9D82" w14:textId="0D59827D" w:rsidR="00197D9B" w:rsidRDefault="00511B60" w:rsidP="00860520">
      <w:pPr>
        <w:pStyle w:val="TOC3"/>
        <w:rPr>
          <w:rFonts w:eastAsiaTheme="minorEastAsia" w:cstheme="minorBidi"/>
          <w:noProof/>
          <w:color w:val="auto"/>
          <w:kern w:val="0"/>
          <w:sz w:val="22"/>
          <w:szCs w:val="22"/>
          <w:lang w:val="fr-FR" w:eastAsia="fr-FR"/>
        </w:rPr>
      </w:pPr>
      <w:hyperlink w:anchor="_Toc122478913" w:history="1">
        <w:r w:rsidR="00197D9B" w:rsidRPr="00081B51">
          <w:rPr>
            <w:rStyle w:val="Hyperlink"/>
            <w:rFonts w:eastAsiaTheme="majorEastAsia"/>
            <w:noProof/>
          </w:rPr>
          <w:t>3.19.2.</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Contribution of the Oil &amp; Gas sector to the economy</w:t>
        </w:r>
        <w:r w:rsidR="00197D9B">
          <w:rPr>
            <w:noProof/>
            <w:webHidden/>
          </w:rPr>
          <w:tab/>
        </w:r>
        <w:r w:rsidR="00197D9B">
          <w:rPr>
            <w:noProof/>
            <w:webHidden/>
          </w:rPr>
          <w:fldChar w:fldCharType="begin"/>
        </w:r>
        <w:r w:rsidR="00197D9B">
          <w:rPr>
            <w:noProof/>
            <w:webHidden/>
          </w:rPr>
          <w:instrText xml:space="preserve"> PAGEREF _Toc122478913 \h </w:instrText>
        </w:r>
        <w:r w:rsidR="00197D9B">
          <w:rPr>
            <w:noProof/>
            <w:webHidden/>
          </w:rPr>
        </w:r>
        <w:r w:rsidR="00197D9B">
          <w:rPr>
            <w:noProof/>
            <w:webHidden/>
          </w:rPr>
          <w:fldChar w:fldCharType="separate"/>
        </w:r>
        <w:r w:rsidR="003D0091">
          <w:rPr>
            <w:noProof/>
            <w:webHidden/>
          </w:rPr>
          <w:t>73</w:t>
        </w:r>
        <w:r w:rsidR="00197D9B">
          <w:rPr>
            <w:noProof/>
            <w:webHidden/>
          </w:rPr>
          <w:fldChar w:fldCharType="end"/>
        </w:r>
      </w:hyperlink>
    </w:p>
    <w:p w14:paraId="67BD554C" w14:textId="3DEFB374" w:rsidR="00197D9B" w:rsidRDefault="00511B60">
      <w:pPr>
        <w:pStyle w:val="TOC4"/>
        <w:rPr>
          <w:rFonts w:eastAsiaTheme="minorEastAsia" w:cstheme="minorBidi"/>
          <w:noProof/>
          <w:color w:val="auto"/>
          <w:kern w:val="0"/>
          <w:sz w:val="22"/>
          <w:szCs w:val="22"/>
          <w:lang w:val="fr-FR" w:eastAsia="fr-FR"/>
        </w:rPr>
      </w:pPr>
      <w:hyperlink w:anchor="_Toc122478914" w:history="1">
        <w:r w:rsidR="00197D9B" w:rsidRPr="00081B51">
          <w:rPr>
            <w:rStyle w:val="Hyperlink"/>
            <w:rFonts w:eastAsiaTheme="majorEastAsia"/>
            <w:noProof/>
          </w:rPr>
          <w:t>3.19.2. (a) Government revenues (Requirement 6.3.b):</w:t>
        </w:r>
        <w:r w:rsidR="00197D9B">
          <w:rPr>
            <w:noProof/>
            <w:webHidden/>
          </w:rPr>
          <w:tab/>
        </w:r>
        <w:r w:rsidR="00197D9B">
          <w:rPr>
            <w:noProof/>
            <w:webHidden/>
          </w:rPr>
          <w:fldChar w:fldCharType="begin"/>
        </w:r>
        <w:r w:rsidR="00197D9B">
          <w:rPr>
            <w:noProof/>
            <w:webHidden/>
          </w:rPr>
          <w:instrText xml:space="preserve"> PAGEREF _Toc122478914 \h </w:instrText>
        </w:r>
        <w:r w:rsidR="00197D9B">
          <w:rPr>
            <w:noProof/>
            <w:webHidden/>
          </w:rPr>
        </w:r>
        <w:r w:rsidR="00197D9B">
          <w:rPr>
            <w:noProof/>
            <w:webHidden/>
          </w:rPr>
          <w:fldChar w:fldCharType="separate"/>
        </w:r>
        <w:r w:rsidR="003D0091">
          <w:rPr>
            <w:noProof/>
            <w:webHidden/>
          </w:rPr>
          <w:t>73</w:t>
        </w:r>
        <w:r w:rsidR="00197D9B">
          <w:rPr>
            <w:noProof/>
            <w:webHidden/>
          </w:rPr>
          <w:fldChar w:fldCharType="end"/>
        </w:r>
      </w:hyperlink>
    </w:p>
    <w:p w14:paraId="657E32FA" w14:textId="2FC42BE7" w:rsidR="00197D9B" w:rsidRDefault="00511B60">
      <w:pPr>
        <w:pStyle w:val="TOC4"/>
        <w:rPr>
          <w:rFonts w:eastAsiaTheme="minorEastAsia" w:cstheme="minorBidi"/>
          <w:noProof/>
          <w:color w:val="auto"/>
          <w:kern w:val="0"/>
          <w:sz w:val="22"/>
          <w:szCs w:val="22"/>
          <w:lang w:val="fr-FR" w:eastAsia="fr-FR"/>
        </w:rPr>
      </w:pPr>
      <w:hyperlink w:anchor="_Toc122478915" w:history="1">
        <w:r w:rsidR="00197D9B" w:rsidRPr="00081B51">
          <w:rPr>
            <w:rStyle w:val="Hyperlink"/>
            <w:rFonts w:eastAsiaTheme="majorEastAsia"/>
            <w:noProof/>
          </w:rPr>
          <w:t>3.19.2 (b) Exports (Requirement 6.3.c):</w:t>
        </w:r>
        <w:r w:rsidR="00197D9B">
          <w:rPr>
            <w:noProof/>
            <w:webHidden/>
          </w:rPr>
          <w:tab/>
        </w:r>
        <w:r w:rsidR="00197D9B">
          <w:rPr>
            <w:noProof/>
            <w:webHidden/>
          </w:rPr>
          <w:fldChar w:fldCharType="begin"/>
        </w:r>
        <w:r w:rsidR="00197D9B">
          <w:rPr>
            <w:noProof/>
            <w:webHidden/>
          </w:rPr>
          <w:instrText xml:space="preserve"> PAGEREF _Toc122478915 \h </w:instrText>
        </w:r>
        <w:r w:rsidR="00197D9B">
          <w:rPr>
            <w:noProof/>
            <w:webHidden/>
          </w:rPr>
        </w:r>
        <w:r w:rsidR="00197D9B">
          <w:rPr>
            <w:noProof/>
            <w:webHidden/>
          </w:rPr>
          <w:fldChar w:fldCharType="separate"/>
        </w:r>
        <w:r w:rsidR="003D0091">
          <w:rPr>
            <w:noProof/>
            <w:webHidden/>
          </w:rPr>
          <w:t>73</w:t>
        </w:r>
        <w:r w:rsidR="00197D9B">
          <w:rPr>
            <w:noProof/>
            <w:webHidden/>
          </w:rPr>
          <w:fldChar w:fldCharType="end"/>
        </w:r>
      </w:hyperlink>
    </w:p>
    <w:p w14:paraId="35769004" w14:textId="13D510B1" w:rsidR="00197D9B" w:rsidRDefault="00511B60">
      <w:pPr>
        <w:pStyle w:val="TOC4"/>
        <w:rPr>
          <w:rFonts w:eastAsiaTheme="minorEastAsia" w:cstheme="minorBidi"/>
          <w:noProof/>
          <w:color w:val="auto"/>
          <w:kern w:val="0"/>
          <w:sz w:val="22"/>
          <w:szCs w:val="22"/>
          <w:lang w:val="fr-FR" w:eastAsia="fr-FR"/>
        </w:rPr>
      </w:pPr>
      <w:hyperlink w:anchor="_Toc122478916" w:history="1">
        <w:r w:rsidR="00197D9B" w:rsidRPr="00081B51">
          <w:rPr>
            <w:rStyle w:val="Hyperlink"/>
            <w:rFonts w:eastAsiaTheme="majorEastAsia"/>
            <w:noProof/>
          </w:rPr>
          <w:t>3.19.2 (c) Contribution to employment (Requirement 6.3.d):</w:t>
        </w:r>
        <w:r w:rsidR="00197D9B">
          <w:rPr>
            <w:noProof/>
            <w:webHidden/>
          </w:rPr>
          <w:tab/>
        </w:r>
        <w:r w:rsidR="00197D9B">
          <w:rPr>
            <w:noProof/>
            <w:webHidden/>
          </w:rPr>
          <w:fldChar w:fldCharType="begin"/>
        </w:r>
        <w:r w:rsidR="00197D9B">
          <w:rPr>
            <w:noProof/>
            <w:webHidden/>
          </w:rPr>
          <w:instrText xml:space="preserve"> PAGEREF _Toc122478916 \h </w:instrText>
        </w:r>
        <w:r w:rsidR="00197D9B">
          <w:rPr>
            <w:noProof/>
            <w:webHidden/>
          </w:rPr>
        </w:r>
        <w:r w:rsidR="00197D9B">
          <w:rPr>
            <w:noProof/>
            <w:webHidden/>
          </w:rPr>
          <w:fldChar w:fldCharType="separate"/>
        </w:r>
        <w:r w:rsidR="003D0091">
          <w:rPr>
            <w:noProof/>
            <w:webHidden/>
          </w:rPr>
          <w:t>73</w:t>
        </w:r>
        <w:r w:rsidR="00197D9B">
          <w:rPr>
            <w:noProof/>
            <w:webHidden/>
          </w:rPr>
          <w:fldChar w:fldCharType="end"/>
        </w:r>
      </w:hyperlink>
    </w:p>
    <w:p w14:paraId="207FB236" w14:textId="6FEE0C9F" w:rsidR="00197D9B" w:rsidRDefault="00511B60" w:rsidP="00860520">
      <w:pPr>
        <w:pStyle w:val="TOC3"/>
        <w:rPr>
          <w:rFonts w:eastAsiaTheme="minorEastAsia" w:cstheme="minorBidi"/>
          <w:noProof/>
          <w:color w:val="auto"/>
          <w:kern w:val="0"/>
          <w:sz w:val="22"/>
          <w:szCs w:val="22"/>
          <w:lang w:val="fr-FR" w:eastAsia="fr-FR"/>
        </w:rPr>
      </w:pPr>
      <w:hyperlink w:anchor="_Toc122478917" w:history="1">
        <w:r w:rsidR="00197D9B" w:rsidRPr="00081B51">
          <w:rPr>
            <w:rStyle w:val="Hyperlink"/>
            <w:rFonts w:eastAsiaTheme="majorEastAsia"/>
            <w:noProof/>
          </w:rPr>
          <w:t>3.19.3.</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Contribution of the Mining sector to the economy</w:t>
        </w:r>
        <w:r w:rsidR="00197D9B">
          <w:rPr>
            <w:noProof/>
            <w:webHidden/>
          </w:rPr>
          <w:tab/>
        </w:r>
        <w:r w:rsidR="00197D9B">
          <w:rPr>
            <w:noProof/>
            <w:webHidden/>
          </w:rPr>
          <w:fldChar w:fldCharType="begin"/>
        </w:r>
        <w:r w:rsidR="00197D9B">
          <w:rPr>
            <w:noProof/>
            <w:webHidden/>
          </w:rPr>
          <w:instrText xml:space="preserve"> PAGEREF _Toc122478917 \h </w:instrText>
        </w:r>
        <w:r w:rsidR="00197D9B">
          <w:rPr>
            <w:noProof/>
            <w:webHidden/>
          </w:rPr>
        </w:r>
        <w:r w:rsidR="00197D9B">
          <w:rPr>
            <w:noProof/>
            <w:webHidden/>
          </w:rPr>
          <w:fldChar w:fldCharType="separate"/>
        </w:r>
        <w:r w:rsidR="003D0091">
          <w:rPr>
            <w:noProof/>
            <w:webHidden/>
          </w:rPr>
          <w:t>75</w:t>
        </w:r>
        <w:r w:rsidR="00197D9B">
          <w:rPr>
            <w:noProof/>
            <w:webHidden/>
          </w:rPr>
          <w:fldChar w:fldCharType="end"/>
        </w:r>
      </w:hyperlink>
    </w:p>
    <w:p w14:paraId="5DE48367" w14:textId="1A67240E" w:rsidR="00197D9B" w:rsidRDefault="00511B60">
      <w:pPr>
        <w:pStyle w:val="TOC4"/>
        <w:rPr>
          <w:rFonts w:eastAsiaTheme="minorEastAsia" w:cstheme="minorBidi"/>
          <w:noProof/>
          <w:color w:val="auto"/>
          <w:kern w:val="0"/>
          <w:sz w:val="22"/>
          <w:szCs w:val="22"/>
          <w:lang w:val="fr-FR" w:eastAsia="fr-FR"/>
        </w:rPr>
      </w:pPr>
      <w:hyperlink w:anchor="_Toc122478918" w:history="1">
        <w:r w:rsidR="00197D9B" w:rsidRPr="00081B51">
          <w:rPr>
            <w:rStyle w:val="Hyperlink"/>
            <w:rFonts w:eastAsiaTheme="majorEastAsia"/>
            <w:noProof/>
          </w:rPr>
          <w:t>3.19.3 (a) Government revenues (Requirement 6.3.b):</w:t>
        </w:r>
        <w:r w:rsidR="00197D9B">
          <w:rPr>
            <w:noProof/>
            <w:webHidden/>
          </w:rPr>
          <w:tab/>
        </w:r>
        <w:r w:rsidR="00197D9B">
          <w:rPr>
            <w:noProof/>
            <w:webHidden/>
          </w:rPr>
          <w:fldChar w:fldCharType="begin"/>
        </w:r>
        <w:r w:rsidR="00197D9B">
          <w:rPr>
            <w:noProof/>
            <w:webHidden/>
          </w:rPr>
          <w:instrText xml:space="preserve"> PAGEREF _Toc122478918 \h </w:instrText>
        </w:r>
        <w:r w:rsidR="00197D9B">
          <w:rPr>
            <w:noProof/>
            <w:webHidden/>
          </w:rPr>
        </w:r>
        <w:r w:rsidR="00197D9B">
          <w:rPr>
            <w:noProof/>
            <w:webHidden/>
          </w:rPr>
          <w:fldChar w:fldCharType="separate"/>
        </w:r>
        <w:r w:rsidR="003D0091">
          <w:rPr>
            <w:noProof/>
            <w:webHidden/>
          </w:rPr>
          <w:t>75</w:t>
        </w:r>
        <w:r w:rsidR="00197D9B">
          <w:rPr>
            <w:noProof/>
            <w:webHidden/>
          </w:rPr>
          <w:fldChar w:fldCharType="end"/>
        </w:r>
      </w:hyperlink>
    </w:p>
    <w:p w14:paraId="2291F2B1" w14:textId="01DEDCF8" w:rsidR="00197D9B" w:rsidRDefault="00511B60">
      <w:pPr>
        <w:pStyle w:val="TOC4"/>
        <w:rPr>
          <w:rFonts w:eastAsiaTheme="minorEastAsia" w:cstheme="minorBidi"/>
          <w:noProof/>
          <w:color w:val="auto"/>
          <w:kern w:val="0"/>
          <w:sz w:val="22"/>
          <w:szCs w:val="22"/>
          <w:lang w:val="fr-FR" w:eastAsia="fr-FR"/>
        </w:rPr>
      </w:pPr>
      <w:hyperlink w:anchor="_Toc122478919" w:history="1">
        <w:r w:rsidR="00197D9B" w:rsidRPr="00081B51">
          <w:rPr>
            <w:rStyle w:val="Hyperlink"/>
            <w:rFonts w:eastAsiaTheme="majorEastAsia"/>
            <w:noProof/>
          </w:rPr>
          <w:t>3.19.3 (b) Exports (Requirement 6.3.c):</w:t>
        </w:r>
        <w:r w:rsidR="00197D9B">
          <w:rPr>
            <w:noProof/>
            <w:webHidden/>
          </w:rPr>
          <w:tab/>
        </w:r>
        <w:r w:rsidR="00197D9B">
          <w:rPr>
            <w:noProof/>
            <w:webHidden/>
          </w:rPr>
          <w:fldChar w:fldCharType="begin"/>
        </w:r>
        <w:r w:rsidR="00197D9B">
          <w:rPr>
            <w:noProof/>
            <w:webHidden/>
          </w:rPr>
          <w:instrText xml:space="preserve"> PAGEREF _Toc122478919 \h </w:instrText>
        </w:r>
        <w:r w:rsidR="00197D9B">
          <w:rPr>
            <w:noProof/>
            <w:webHidden/>
          </w:rPr>
        </w:r>
        <w:r w:rsidR="00197D9B">
          <w:rPr>
            <w:noProof/>
            <w:webHidden/>
          </w:rPr>
          <w:fldChar w:fldCharType="separate"/>
        </w:r>
        <w:r w:rsidR="003D0091">
          <w:rPr>
            <w:noProof/>
            <w:webHidden/>
          </w:rPr>
          <w:t>75</w:t>
        </w:r>
        <w:r w:rsidR="00197D9B">
          <w:rPr>
            <w:noProof/>
            <w:webHidden/>
          </w:rPr>
          <w:fldChar w:fldCharType="end"/>
        </w:r>
      </w:hyperlink>
    </w:p>
    <w:p w14:paraId="541835D5" w14:textId="5DCFCC31" w:rsidR="00197D9B" w:rsidRDefault="00511B60">
      <w:pPr>
        <w:pStyle w:val="TOC4"/>
        <w:rPr>
          <w:rFonts w:eastAsiaTheme="minorEastAsia" w:cstheme="minorBidi"/>
          <w:noProof/>
          <w:color w:val="auto"/>
          <w:kern w:val="0"/>
          <w:sz w:val="22"/>
          <w:szCs w:val="22"/>
          <w:lang w:val="fr-FR" w:eastAsia="fr-FR"/>
        </w:rPr>
      </w:pPr>
      <w:hyperlink w:anchor="_Toc122478920" w:history="1">
        <w:r w:rsidR="00197D9B" w:rsidRPr="00081B51">
          <w:rPr>
            <w:rStyle w:val="Hyperlink"/>
            <w:rFonts w:eastAsiaTheme="majorEastAsia"/>
            <w:noProof/>
          </w:rPr>
          <w:t>3.19.3.(c) Employment (Requirement 6.3.d):</w:t>
        </w:r>
        <w:r w:rsidR="00197D9B">
          <w:rPr>
            <w:noProof/>
            <w:webHidden/>
          </w:rPr>
          <w:tab/>
        </w:r>
        <w:r w:rsidR="00197D9B">
          <w:rPr>
            <w:noProof/>
            <w:webHidden/>
          </w:rPr>
          <w:fldChar w:fldCharType="begin"/>
        </w:r>
        <w:r w:rsidR="00197D9B">
          <w:rPr>
            <w:noProof/>
            <w:webHidden/>
          </w:rPr>
          <w:instrText xml:space="preserve"> PAGEREF _Toc122478920 \h </w:instrText>
        </w:r>
        <w:r w:rsidR="00197D9B">
          <w:rPr>
            <w:noProof/>
            <w:webHidden/>
          </w:rPr>
        </w:r>
        <w:r w:rsidR="00197D9B">
          <w:rPr>
            <w:noProof/>
            <w:webHidden/>
          </w:rPr>
          <w:fldChar w:fldCharType="separate"/>
        </w:r>
        <w:r w:rsidR="003D0091">
          <w:rPr>
            <w:noProof/>
            <w:webHidden/>
          </w:rPr>
          <w:t>75</w:t>
        </w:r>
        <w:r w:rsidR="00197D9B">
          <w:rPr>
            <w:noProof/>
            <w:webHidden/>
          </w:rPr>
          <w:fldChar w:fldCharType="end"/>
        </w:r>
      </w:hyperlink>
    </w:p>
    <w:p w14:paraId="3FD61BCC" w14:textId="07D95331" w:rsidR="00197D9B" w:rsidRDefault="00511B60" w:rsidP="003D0091">
      <w:pPr>
        <w:pStyle w:val="TOC2"/>
        <w:rPr>
          <w:rFonts w:eastAsiaTheme="minorEastAsia" w:cstheme="minorBidi"/>
          <w:noProof/>
          <w:color w:val="auto"/>
          <w:kern w:val="0"/>
          <w:sz w:val="22"/>
          <w:szCs w:val="22"/>
          <w:lang w:val="fr-FR" w:eastAsia="fr-FR"/>
        </w:rPr>
      </w:pPr>
      <w:hyperlink w:anchor="_Toc122478921" w:history="1">
        <w:r w:rsidR="00197D9B" w:rsidRPr="00081B51">
          <w:rPr>
            <w:rStyle w:val="Hyperlink"/>
            <w:rFonts w:eastAsiaTheme="majorEastAsia"/>
            <w:b/>
            <w:noProof/>
          </w:rPr>
          <w:t>3.20.</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b/>
            <w:noProof/>
          </w:rPr>
          <w:t>Notes towards Gender Sensitive EITI-SR Reporting and Implementation</w:t>
        </w:r>
        <w:r w:rsidR="00197D9B">
          <w:rPr>
            <w:noProof/>
            <w:webHidden/>
          </w:rPr>
          <w:tab/>
        </w:r>
        <w:r w:rsidR="00197D9B">
          <w:rPr>
            <w:noProof/>
            <w:webHidden/>
          </w:rPr>
          <w:fldChar w:fldCharType="begin"/>
        </w:r>
        <w:r w:rsidR="00197D9B">
          <w:rPr>
            <w:noProof/>
            <w:webHidden/>
          </w:rPr>
          <w:instrText xml:space="preserve"> PAGEREF _Toc122478921 \h </w:instrText>
        </w:r>
        <w:r w:rsidR="00197D9B">
          <w:rPr>
            <w:noProof/>
            <w:webHidden/>
          </w:rPr>
        </w:r>
        <w:r w:rsidR="00197D9B">
          <w:rPr>
            <w:noProof/>
            <w:webHidden/>
          </w:rPr>
          <w:fldChar w:fldCharType="separate"/>
        </w:r>
        <w:r w:rsidR="003D0091">
          <w:rPr>
            <w:noProof/>
            <w:webHidden/>
          </w:rPr>
          <w:t>76</w:t>
        </w:r>
        <w:r w:rsidR="00197D9B">
          <w:rPr>
            <w:noProof/>
            <w:webHidden/>
          </w:rPr>
          <w:fldChar w:fldCharType="end"/>
        </w:r>
      </w:hyperlink>
    </w:p>
    <w:p w14:paraId="13F53EC6" w14:textId="37592BAF" w:rsidR="00197D9B" w:rsidRDefault="00511B60" w:rsidP="00860520">
      <w:pPr>
        <w:pStyle w:val="TOC3"/>
        <w:rPr>
          <w:rFonts w:eastAsiaTheme="minorEastAsia" w:cstheme="minorBidi"/>
          <w:noProof/>
          <w:color w:val="auto"/>
          <w:kern w:val="0"/>
          <w:sz w:val="22"/>
          <w:szCs w:val="22"/>
          <w:lang w:val="fr-FR" w:eastAsia="fr-FR"/>
        </w:rPr>
      </w:pPr>
      <w:hyperlink w:anchor="_Toc122478922" w:history="1">
        <w:r w:rsidR="00197D9B" w:rsidRPr="00081B51">
          <w:rPr>
            <w:rStyle w:val="Hyperlink"/>
            <w:rFonts w:eastAsiaTheme="majorEastAsia"/>
            <w:noProof/>
          </w:rPr>
          <w:t>3.20.1.</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Brief Statistical Overview:</w:t>
        </w:r>
        <w:r w:rsidR="00197D9B">
          <w:rPr>
            <w:noProof/>
            <w:webHidden/>
          </w:rPr>
          <w:tab/>
        </w:r>
        <w:r w:rsidR="00197D9B">
          <w:rPr>
            <w:noProof/>
            <w:webHidden/>
          </w:rPr>
          <w:fldChar w:fldCharType="begin"/>
        </w:r>
        <w:r w:rsidR="00197D9B">
          <w:rPr>
            <w:noProof/>
            <w:webHidden/>
          </w:rPr>
          <w:instrText xml:space="preserve"> PAGEREF _Toc122478922 \h </w:instrText>
        </w:r>
        <w:r w:rsidR="00197D9B">
          <w:rPr>
            <w:noProof/>
            <w:webHidden/>
          </w:rPr>
        </w:r>
        <w:r w:rsidR="00197D9B">
          <w:rPr>
            <w:noProof/>
            <w:webHidden/>
          </w:rPr>
          <w:fldChar w:fldCharType="separate"/>
        </w:r>
        <w:r w:rsidR="003D0091">
          <w:rPr>
            <w:noProof/>
            <w:webHidden/>
          </w:rPr>
          <w:t>76</w:t>
        </w:r>
        <w:r w:rsidR="00197D9B">
          <w:rPr>
            <w:noProof/>
            <w:webHidden/>
          </w:rPr>
          <w:fldChar w:fldCharType="end"/>
        </w:r>
      </w:hyperlink>
    </w:p>
    <w:p w14:paraId="4275E75B" w14:textId="72EDAAD8" w:rsidR="00197D9B" w:rsidRDefault="00511B60" w:rsidP="00860520">
      <w:pPr>
        <w:pStyle w:val="TOC3"/>
        <w:rPr>
          <w:rFonts w:eastAsiaTheme="minorEastAsia" w:cstheme="minorBidi"/>
          <w:noProof/>
          <w:color w:val="auto"/>
          <w:kern w:val="0"/>
          <w:sz w:val="22"/>
          <w:szCs w:val="22"/>
          <w:lang w:val="fr-FR" w:eastAsia="fr-FR"/>
        </w:rPr>
      </w:pPr>
      <w:hyperlink w:anchor="_Toc122478923" w:history="1">
        <w:r w:rsidR="00197D9B" w:rsidRPr="00081B51">
          <w:rPr>
            <w:rStyle w:val="Hyperlink"/>
            <w:rFonts w:eastAsiaTheme="majorEastAsia"/>
            <w:noProof/>
          </w:rPr>
          <w:t>3.20.2.</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EITI-SR Multi</w:t>
        </w:r>
        <w:r w:rsidR="00197D9B" w:rsidRPr="00081B51">
          <w:rPr>
            <w:rStyle w:val="Hyperlink"/>
            <w:rFonts w:ascii="Cambria Math" w:eastAsiaTheme="majorEastAsia" w:hAnsi="Cambria Math" w:cs="Cambria Math"/>
            <w:noProof/>
          </w:rPr>
          <w:t>‑</w:t>
        </w:r>
        <w:r w:rsidR="00197D9B" w:rsidRPr="00081B51">
          <w:rPr>
            <w:rStyle w:val="Hyperlink"/>
            <w:rFonts w:eastAsiaTheme="majorEastAsia"/>
            <w:noProof/>
          </w:rPr>
          <w:t>Stakeholder Group: Gender Balance (EITI Requirement 1.4)</w:t>
        </w:r>
        <w:r w:rsidR="00197D9B">
          <w:rPr>
            <w:noProof/>
            <w:webHidden/>
          </w:rPr>
          <w:tab/>
        </w:r>
        <w:r w:rsidR="00197D9B">
          <w:rPr>
            <w:noProof/>
            <w:webHidden/>
          </w:rPr>
          <w:fldChar w:fldCharType="begin"/>
        </w:r>
        <w:r w:rsidR="00197D9B">
          <w:rPr>
            <w:noProof/>
            <w:webHidden/>
          </w:rPr>
          <w:instrText xml:space="preserve"> PAGEREF _Toc122478923 \h </w:instrText>
        </w:r>
        <w:r w:rsidR="00197D9B">
          <w:rPr>
            <w:noProof/>
            <w:webHidden/>
          </w:rPr>
        </w:r>
        <w:r w:rsidR="00197D9B">
          <w:rPr>
            <w:noProof/>
            <w:webHidden/>
          </w:rPr>
          <w:fldChar w:fldCharType="separate"/>
        </w:r>
        <w:r w:rsidR="003D0091">
          <w:rPr>
            <w:noProof/>
            <w:webHidden/>
          </w:rPr>
          <w:t>77</w:t>
        </w:r>
        <w:r w:rsidR="00197D9B">
          <w:rPr>
            <w:noProof/>
            <w:webHidden/>
          </w:rPr>
          <w:fldChar w:fldCharType="end"/>
        </w:r>
      </w:hyperlink>
    </w:p>
    <w:p w14:paraId="40395517" w14:textId="22C00B3E" w:rsidR="00197D9B" w:rsidRDefault="00511B60" w:rsidP="00860520">
      <w:pPr>
        <w:pStyle w:val="TOC3"/>
        <w:rPr>
          <w:rFonts w:eastAsiaTheme="minorEastAsia" w:cstheme="minorBidi"/>
          <w:noProof/>
          <w:color w:val="auto"/>
          <w:kern w:val="0"/>
          <w:sz w:val="22"/>
          <w:szCs w:val="22"/>
          <w:lang w:val="fr-FR" w:eastAsia="fr-FR"/>
        </w:rPr>
      </w:pPr>
      <w:hyperlink w:anchor="_Toc122478924" w:history="1">
        <w:r w:rsidR="00197D9B" w:rsidRPr="00081B51">
          <w:rPr>
            <w:rStyle w:val="Hyperlink"/>
            <w:rFonts w:eastAsiaTheme="majorEastAsia"/>
            <w:noProof/>
          </w:rPr>
          <w:t>3.20.3.</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Legislative &amp; Policy Framework for Gender Equality in Suriname</w:t>
        </w:r>
        <w:r w:rsidR="00197D9B">
          <w:rPr>
            <w:noProof/>
            <w:webHidden/>
          </w:rPr>
          <w:tab/>
        </w:r>
        <w:r w:rsidR="00197D9B">
          <w:rPr>
            <w:noProof/>
            <w:webHidden/>
          </w:rPr>
          <w:fldChar w:fldCharType="begin"/>
        </w:r>
        <w:r w:rsidR="00197D9B">
          <w:rPr>
            <w:noProof/>
            <w:webHidden/>
          </w:rPr>
          <w:instrText xml:space="preserve"> PAGEREF _Toc122478924 \h </w:instrText>
        </w:r>
        <w:r w:rsidR="00197D9B">
          <w:rPr>
            <w:noProof/>
            <w:webHidden/>
          </w:rPr>
        </w:r>
        <w:r w:rsidR="00197D9B">
          <w:rPr>
            <w:noProof/>
            <w:webHidden/>
          </w:rPr>
          <w:fldChar w:fldCharType="separate"/>
        </w:r>
        <w:r w:rsidR="003D0091">
          <w:rPr>
            <w:noProof/>
            <w:webHidden/>
          </w:rPr>
          <w:t>77</w:t>
        </w:r>
        <w:r w:rsidR="00197D9B">
          <w:rPr>
            <w:noProof/>
            <w:webHidden/>
          </w:rPr>
          <w:fldChar w:fldCharType="end"/>
        </w:r>
      </w:hyperlink>
    </w:p>
    <w:p w14:paraId="728234AF" w14:textId="3C7C1D38" w:rsidR="00197D9B" w:rsidRDefault="00511B60">
      <w:pPr>
        <w:pStyle w:val="TOC1"/>
        <w:rPr>
          <w:rFonts w:eastAsiaTheme="minorEastAsia" w:cstheme="minorBidi"/>
          <w:noProof/>
          <w:color w:val="auto"/>
          <w:kern w:val="0"/>
          <w:sz w:val="22"/>
          <w:szCs w:val="22"/>
          <w:lang w:val="fr-FR" w:eastAsia="fr-FR"/>
        </w:rPr>
      </w:pPr>
      <w:hyperlink w:anchor="_Toc122478925" w:history="1">
        <w:r w:rsidR="00197D9B" w:rsidRPr="00081B51">
          <w:rPr>
            <w:rStyle w:val="Hyperlink"/>
            <w:rFonts w:eastAsiaTheme="majorEastAsia"/>
            <w:noProof/>
          </w:rPr>
          <w:t>4.</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Defining the reconciliation scope</w:t>
        </w:r>
        <w:r w:rsidR="00197D9B">
          <w:rPr>
            <w:noProof/>
            <w:webHidden/>
          </w:rPr>
          <w:tab/>
        </w:r>
        <w:r w:rsidR="00197D9B">
          <w:rPr>
            <w:noProof/>
            <w:webHidden/>
          </w:rPr>
          <w:fldChar w:fldCharType="begin"/>
        </w:r>
        <w:r w:rsidR="00197D9B">
          <w:rPr>
            <w:noProof/>
            <w:webHidden/>
          </w:rPr>
          <w:instrText xml:space="preserve"> PAGEREF _Toc122478925 \h </w:instrText>
        </w:r>
        <w:r w:rsidR="00197D9B">
          <w:rPr>
            <w:noProof/>
            <w:webHidden/>
          </w:rPr>
        </w:r>
        <w:r w:rsidR="00197D9B">
          <w:rPr>
            <w:noProof/>
            <w:webHidden/>
          </w:rPr>
          <w:fldChar w:fldCharType="separate"/>
        </w:r>
        <w:r w:rsidR="003D0091">
          <w:rPr>
            <w:noProof/>
            <w:webHidden/>
          </w:rPr>
          <w:t>79</w:t>
        </w:r>
        <w:r w:rsidR="00197D9B">
          <w:rPr>
            <w:noProof/>
            <w:webHidden/>
          </w:rPr>
          <w:fldChar w:fldCharType="end"/>
        </w:r>
      </w:hyperlink>
    </w:p>
    <w:p w14:paraId="082C1BE8" w14:textId="0079C311" w:rsidR="00197D9B" w:rsidRDefault="00511B60" w:rsidP="003D0091">
      <w:pPr>
        <w:pStyle w:val="TOC2"/>
        <w:rPr>
          <w:rFonts w:eastAsiaTheme="minorEastAsia" w:cstheme="minorBidi"/>
          <w:noProof/>
          <w:color w:val="auto"/>
          <w:kern w:val="0"/>
          <w:sz w:val="22"/>
          <w:szCs w:val="22"/>
          <w:lang w:val="fr-FR" w:eastAsia="fr-FR"/>
        </w:rPr>
      </w:pPr>
      <w:hyperlink w:anchor="_Toc122478926" w:history="1">
        <w:r w:rsidR="00197D9B" w:rsidRPr="00081B51">
          <w:rPr>
            <w:rStyle w:val="Hyperlink"/>
            <w:rFonts w:eastAsiaTheme="majorEastAsia"/>
            <w:b/>
            <w:noProof/>
          </w:rPr>
          <w:t>4.1.</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b/>
            <w:noProof/>
          </w:rPr>
          <w:t>Fiscal year (EITI Requirement 4.8)</w:t>
        </w:r>
        <w:r w:rsidR="00197D9B">
          <w:rPr>
            <w:noProof/>
            <w:webHidden/>
          </w:rPr>
          <w:tab/>
        </w:r>
        <w:r w:rsidR="00197D9B">
          <w:rPr>
            <w:noProof/>
            <w:webHidden/>
          </w:rPr>
          <w:fldChar w:fldCharType="begin"/>
        </w:r>
        <w:r w:rsidR="00197D9B">
          <w:rPr>
            <w:noProof/>
            <w:webHidden/>
          </w:rPr>
          <w:instrText xml:space="preserve"> PAGEREF _Toc122478926 \h </w:instrText>
        </w:r>
        <w:r w:rsidR="00197D9B">
          <w:rPr>
            <w:noProof/>
            <w:webHidden/>
          </w:rPr>
        </w:r>
        <w:r w:rsidR="00197D9B">
          <w:rPr>
            <w:noProof/>
            <w:webHidden/>
          </w:rPr>
          <w:fldChar w:fldCharType="separate"/>
        </w:r>
        <w:r w:rsidR="003D0091">
          <w:rPr>
            <w:noProof/>
            <w:webHidden/>
          </w:rPr>
          <w:t>79</w:t>
        </w:r>
        <w:r w:rsidR="00197D9B">
          <w:rPr>
            <w:noProof/>
            <w:webHidden/>
          </w:rPr>
          <w:fldChar w:fldCharType="end"/>
        </w:r>
      </w:hyperlink>
    </w:p>
    <w:p w14:paraId="1F37505A" w14:textId="5A3D0EDC" w:rsidR="00197D9B" w:rsidRDefault="00511B60" w:rsidP="003D0091">
      <w:pPr>
        <w:pStyle w:val="TOC2"/>
        <w:rPr>
          <w:rFonts w:eastAsiaTheme="minorEastAsia" w:cstheme="minorBidi"/>
          <w:noProof/>
          <w:color w:val="auto"/>
          <w:kern w:val="0"/>
          <w:sz w:val="22"/>
          <w:szCs w:val="22"/>
          <w:lang w:val="fr-FR" w:eastAsia="fr-FR"/>
        </w:rPr>
      </w:pPr>
      <w:hyperlink w:anchor="_Toc122478927" w:history="1">
        <w:r w:rsidR="00197D9B" w:rsidRPr="00081B51">
          <w:rPr>
            <w:rStyle w:val="Hyperlink"/>
            <w:rFonts w:eastAsiaTheme="majorEastAsia"/>
            <w:b/>
            <w:noProof/>
          </w:rPr>
          <w:t>4.2.</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b/>
            <w:noProof/>
          </w:rPr>
          <w:t>Revenue flows</w:t>
        </w:r>
        <w:r w:rsidR="00197D9B">
          <w:rPr>
            <w:noProof/>
            <w:webHidden/>
          </w:rPr>
          <w:tab/>
        </w:r>
        <w:r w:rsidR="00197D9B">
          <w:rPr>
            <w:noProof/>
            <w:webHidden/>
          </w:rPr>
          <w:fldChar w:fldCharType="begin"/>
        </w:r>
        <w:r w:rsidR="00197D9B">
          <w:rPr>
            <w:noProof/>
            <w:webHidden/>
          </w:rPr>
          <w:instrText xml:space="preserve"> PAGEREF _Toc122478927 \h </w:instrText>
        </w:r>
        <w:r w:rsidR="00197D9B">
          <w:rPr>
            <w:noProof/>
            <w:webHidden/>
          </w:rPr>
        </w:r>
        <w:r w:rsidR="00197D9B">
          <w:rPr>
            <w:noProof/>
            <w:webHidden/>
          </w:rPr>
          <w:fldChar w:fldCharType="separate"/>
        </w:r>
        <w:r w:rsidR="003D0091">
          <w:rPr>
            <w:noProof/>
            <w:webHidden/>
          </w:rPr>
          <w:t>79</w:t>
        </w:r>
        <w:r w:rsidR="00197D9B">
          <w:rPr>
            <w:noProof/>
            <w:webHidden/>
          </w:rPr>
          <w:fldChar w:fldCharType="end"/>
        </w:r>
      </w:hyperlink>
    </w:p>
    <w:p w14:paraId="28124199" w14:textId="736FE3CA" w:rsidR="00197D9B" w:rsidRDefault="00511B60">
      <w:pPr>
        <w:pStyle w:val="TOC3"/>
        <w:rPr>
          <w:rFonts w:eastAsiaTheme="minorEastAsia" w:cstheme="minorBidi"/>
          <w:noProof/>
          <w:color w:val="auto"/>
          <w:kern w:val="0"/>
          <w:sz w:val="22"/>
          <w:szCs w:val="22"/>
          <w:lang w:val="fr-FR" w:eastAsia="fr-FR"/>
        </w:rPr>
      </w:pPr>
      <w:hyperlink w:anchor="_Toc122478928" w:history="1">
        <w:r w:rsidR="00197D9B" w:rsidRPr="00081B51">
          <w:rPr>
            <w:rStyle w:val="Hyperlink"/>
            <w:rFonts w:eastAsiaTheme="majorEastAsia"/>
            <w:noProof/>
          </w:rPr>
          <w:t>4.2.1.</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Direct payments (EITI Requirement 4.1)</w:t>
        </w:r>
        <w:r w:rsidR="00197D9B">
          <w:rPr>
            <w:noProof/>
            <w:webHidden/>
          </w:rPr>
          <w:tab/>
        </w:r>
        <w:r w:rsidR="00197D9B">
          <w:rPr>
            <w:noProof/>
            <w:webHidden/>
          </w:rPr>
          <w:fldChar w:fldCharType="begin"/>
        </w:r>
        <w:r w:rsidR="00197D9B">
          <w:rPr>
            <w:noProof/>
            <w:webHidden/>
          </w:rPr>
          <w:instrText xml:space="preserve"> PAGEREF _Toc122478928 \h </w:instrText>
        </w:r>
        <w:r w:rsidR="00197D9B">
          <w:rPr>
            <w:noProof/>
            <w:webHidden/>
          </w:rPr>
        </w:r>
        <w:r w:rsidR="00197D9B">
          <w:rPr>
            <w:noProof/>
            <w:webHidden/>
          </w:rPr>
          <w:fldChar w:fldCharType="separate"/>
        </w:r>
        <w:r w:rsidR="003D0091">
          <w:rPr>
            <w:noProof/>
            <w:webHidden/>
          </w:rPr>
          <w:t>79</w:t>
        </w:r>
        <w:r w:rsidR="00197D9B">
          <w:rPr>
            <w:noProof/>
            <w:webHidden/>
          </w:rPr>
          <w:fldChar w:fldCharType="end"/>
        </w:r>
      </w:hyperlink>
    </w:p>
    <w:p w14:paraId="5F6B4733" w14:textId="2682A7D5" w:rsidR="00197D9B" w:rsidRDefault="00511B60">
      <w:pPr>
        <w:pStyle w:val="TOC3"/>
        <w:rPr>
          <w:rFonts w:eastAsiaTheme="minorEastAsia" w:cstheme="minorBidi"/>
          <w:noProof/>
          <w:color w:val="auto"/>
          <w:kern w:val="0"/>
          <w:sz w:val="22"/>
          <w:szCs w:val="22"/>
          <w:lang w:val="fr-FR" w:eastAsia="fr-FR"/>
        </w:rPr>
      </w:pPr>
      <w:hyperlink w:anchor="_Toc122478929" w:history="1">
        <w:r w:rsidR="00197D9B" w:rsidRPr="00081B51">
          <w:rPr>
            <w:rStyle w:val="Hyperlink"/>
            <w:rFonts w:eastAsiaTheme="majorEastAsia"/>
            <w:noProof/>
          </w:rPr>
          <w:t>4.2.2.</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Social and environmental expenditure (EITI Requirement 6.1)</w:t>
        </w:r>
        <w:r w:rsidR="00197D9B">
          <w:rPr>
            <w:noProof/>
            <w:webHidden/>
          </w:rPr>
          <w:tab/>
        </w:r>
        <w:r w:rsidR="00197D9B">
          <w:rPr>
            <w:noProof/>
            <w:webHidden/>
          </w:rPr>
          <w:fldChar w:fldCharType="begin"/>
        </w:r>
        <w:r w:rsidR="00197D9B">
          <w:rPr>
            <w:noProof/>
            <w:webHidden/>
          </w:rPr>
          <w:instrText xml:space="preserve"> PAGEREF _Toc122478929 \h </w:instrText>
        </w:r>
        <w:r w:rsidR="00197D9B">
          <w:rPr>
            <w:noProof/>
            <w:webHidden/>
          </w:rPr>
        </w:r>
        <w:r w:rsidR="00197D9B">
          <w:rPr>
            <w:noProof/>
            <w:webHidden/>
          </w:rPr>
          <w:fldChar w:fldCharType="separate"/>
        </w:r>
        <w:r w:rsidR="003D0091">
          <w:rPr>
            <w:noProof/>
            <w:webHidden/>
          </w:rPr>
          <w:t>80</w:t>
        </w:r>
        <w:r w:rsidR="00197D9B">
          <w:rPr>
            <w:noProof/>
            <w:webHidden/>
          </w:rPr>
          <w:fldChar w:fldCharType="end"/>
        </w:r>
      </w:hyperlink>
    </w:p>
    <w:p w14:paraId="31974758" w14:textId="7D6D5C22" w:rsidR="00197D9B" w:rsidRDefault="00511B60">
      <w:pPr>
        <w:pStyle w:val="TOC3"/>
        <w:rPr>
          <w:rFonts w:eastAsiaTheme="minorEastAsia" w:cstheme="minorBidi"/>
          <w:noProof/>
          <w:color w:val="auto"/>
          <w:kern w:val="0"/>
          <w:sz w:val="22"/>
          <w:szCs w:val="22"/>
          <w:lang w:val="fr-FR" w:eastAsia="fr-FR"/>
        </w:rPr>
      </w:pPr>
      <w:hyperlink w:anchor="_Toc122478930" w:history="1">
        <w:r w:rsidR="00197D9B" w:rsidRPr="00081B51">
          <w:rPr>
            <w:rStyle w:val="Hyperlink"/>
            <w:rFonts w:eastAsiaTheme="majorEastAsia"/>
            <w:noProof/>
          </w:rPr>
          <w:t>4.2.3.</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State’s share of production and other in-kind revenues (EITI Requirement 4.2)</w:t>
        </w:r>
        <w:r w:rsidR="00197D9B">
          <w:rPr>
            <w:noProof/>
            <w:webHidden/>
          </w:rPr>
          <w:tab/>
        </w:r>
        <w:r w:rsidR="00197D9B">
          <w:rPr>
            <w:noProof/>
            <w:webHidden/>
          </w:rPr>
          <w:fldChar w:fldCharType="begin"/>
        </w:r>
        <w:r w:rsidR="00197D9B">
          <w:rPr>
            <w:noProof/>
            <w:webHidden/>
          </w:rPr>
          <w:instrText xml:space="preserve"> PAGEREF _Toc122478930 \h </w:instrText>
        </w:r>
        <w:r w:rsidR="00197D9B">
          <w:rPr>
            <w:noProof/>
            <w:webHidden/>
          </w:rPr>
        </w:r>
        <w:r w:rsidR="00197D9B">
          <w:rPr>
            <w:noProof/>
            <w:webHidden/>
          </w:rPr>
          <w:fldChar w:fldCharType="separate"/>
        </w:r>
        <w:r w:rsidR="003D0091">
          <w:rPr>
            <w:noProof/>
            <w:webHidden/>
          </w:rPr>
          <w:t>81</w:t>
        </w:r>
        <w:r w:rsidR="00197D9B">
          <w:rPr>
            <w:noProof/>
            <w:webHidden/>
          </w:rPr>
          <w:fldChar w:fldCharType="end"/>
        </w:r>
      </w:hyperlink>
    </w:p>
    <w:p w14:paraId="1398D051" w14:textId="677488AC" w:rsidR="00197D9B" w:rsidRDefault="00511B60">
      <w:pPr>
        <w:pStyle w:val="TOC3"/>
        <w:rPr>
          <w:rFonts w:eastAsiaTheme="minorEastAsia" w:cstheme="minorBidi"/>
          <w:noProof/>
          <w:color w:val="auto"/>
          <w:kern w:val="0"/>
          <w:sz w:val="22"/>
          <w:szCs w:val="22"/>
          <w:lang w:val="fr-FR" w:eastAsia="fr-FR"/>
        </w:rPr>
      </w:pPr>
      <w:hyperlink w:anchor="_Toc122478931" w:history="1">
        <w:r w:rsidR="00197D9B" w:rsidRPr="00081B51">
          <w:rPr>
            <w:rStyle w:val="Hyperlink"/>
            <w:rFonts w:eastAsiaTheme="majorEastAsia"/>
            <w:noProof/>
          </w:rPr>
          <w:t>4.2.4.</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Subnational payments (Requirement 4.6)</w:t>
        </w:r>
        <w:r w:rsidR="00197D9B">
          <w:rPr>
            <w:noProof/>
            <w:webHidden/>
          </w:rPr>
          <w:tab/>
        </w:r>
        <w:r w:rsidR="00197D9B">
          <w:rPr>
            <w:noProof/>
            <w:webHidden/>
          </w:rPr>
          <w:fldChar w:fldCharType="begin"/>
        </w:r>
        <w:r w:rsidR="00197D9B">
          <w:rPr>
            <w:noProof/>
            <w:webHidden/>
          </w:rPr>
          <w:instrText xml:space="preserve"> PAGEREF _Toc122478931 \h </w:instrText>
        </w:r>
        <w:r w:rsidR="00197D9B">
          <w:rPr>
            <w:noProof/>
            <w:webHidden/>
          </w:rPr>
        </w:r>
        <w:r w:rsidR="00197D9B">
          <w:rPr>
            <w:noProof/>
            <w:webHidden/>
          </w:rPr>
          <w:fldChar w:fldCharType="separate"/>
        </w:r>
        <w:r w:rsidR="003D0091">
          <w:rPr>
            <w:noProof/>
            <w:webHidden/>
          </w:rPr>
          <w:t>81</w:t>
        </w:r>
        <w:r w:rsidR="00197D9B">
          <w:rPr>
            <w:noProof/>
            <w:webHidden/>
          </w:rPr>
          <w:fldChar w:fldCharType="end"/>
        </w:r>
      </w:hyperlink>
    </w:p>
    <w:p w14:paraId="687C62A1" w14:textId="7CAC264B" w:rsidR="00197D9B" w:rsidRDefault="00511B60">
      <w:pPr>
        <w:pStyle w:val="TOC3"/>
        <w:rPr>
          <w:rFonts w:eastAsiaTheme="minorEastAsia" w:cstheme="minorBidi"/>
          <w:noProof/>
          <w:color w:val="auto"/>
          <w:kern w:val="0"/>
          <w:sz w:val="22"/>
          <w:szCs w:val="22"/>
          <w:lang w:val="fr-FR" w:eastAsia="fr-FR"/>
        </w:rPr>
      </w:pPr>
      <w:hyperlink w:anchor="_Toc122478932" w:history="1">
        <w:r w:rsidR="00197D9B" w:rsidRPr="00081B51">
          <w:rPr>
            <w:rStyle w:val="Hyperlink"/>
            <w:rFonts w:eastAsiaTheme="majorEastAsia"/>
            <w:noProof/>
          </w:rPr>
          <w:t>4.2.5.</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Subnational transfers (Requirement 5.2)</w:t>
        </w:r>
        <w:r w:rsidR="00197D9B">
          <w:rPr>
            <w:noProof/>
            <w:webHidden/>
          </w:rPr>
          <w:tab/>
        </w:r>
        <w:r w:rsidR="00197D9B">
          <w:rPr>
            <w:noProof/>
            <w:webHidden/>
          </w:rPr>
          <w:fldChar w:fldCharType="begin"/>
        </w:r>
        <w:r w:rsidR="00197D9B">
          <w:rPr>
            <w:noProof/>
            <w:webHidden/>
          </w:rPr>
          <w:instrText xml:space="preserve"> PAGEREF _Toc122478932 \h </w:instrText>
        </w:r>
        <w:r w:rsidR="00197D9B">
          <w:rPr>
            <w:noProof/>
            <w:webHidden/>
          </w:rPr>
        </w:r>
        <w:r w:rsidR="00197D9B">
          <w:rPr>
            <w:noProof/>
            <w:webHidden/>
          </w:rPr>
          <w:fldChar w:fldCharType="separate"/>
        </w:r>
        <w:r w:rsidR="003D0091">
          <w:rPr>
            <w:noProof/>
            <w:webHidden/>
          </w:rPr>
          <w:t>81</w:t>
        </w:r>
        <w:r w:rsidR="00197D9B">
          <w:rPr>
            <w:noProof/>
            <w:webHidden/>
          </w:rPr>
          <w:fldChar w:fldCharType="end"/>
        </w:r>
      </w:hyperlink>
    </w:p>
    <w:p w14:paraId="06E0A4F7" w14:textId="7345F617" w:rsidR="00197D9B" w:rsidRDefault="00511B60">
      <w:pPr>
        <w:pStyle w:val="TOC3"/>
        <w:rPr>
          <w:rFonts w:eastAsiaTheme="minorEastAsia" w:cstheme="minorBidi"/>
          <w:noProof/>
          <w:color w:val="auto"/>
          <w:kern w:val="0"/>
          <w:sz w:val="22"/>
          <w:szCs w:val="22"/>
          <w:lang w:val="fr-FR" w:eastAsia="fr-FR"/>
        </w:rPr>
      </w:pPr>
      <w:hyperlink w:anchor="_Toc122478933" w:history="1">
        <w:r w:rsidR="00197D9B" w:rsidRPr="00081B51">
          <w:rPr>
            <w:rStyle w:val="Hyperlink"/>
            <w:rFonts w:eastAsiaTheme="majorEastAsia"/>
            <w:noProof/>
          </w:rPr>
          <w:t>4.2.6.</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Quasi-fiscal expenditure (Requirement 6.2)</w:t>
        </w:r>
        <w:r w:rsidR="00197D9B">
          <w:rPr>
            <w:noProof/>
            <w:webHidden/>
          </w:rPr>
          <w:tab/>
        </w:r>
        <w:r w:rsidR="00197D9B">
          <w:rPr>
            <w:noProof/>
            <w:webHidden/>
          </w:rPr>
          <w:fldChar w:fldCharType="begin"/>
        </w:r>
        <w:r w:rsidR="00197D9B">
          <w:rPr>
            <w:noProof/>
            <w:webHidden/>
          </w:rPr>
          <w:instrText xml:space="preserve"> PAGEREF _Toc122478933 \h </w:instrText>
        </w:r>
        <w:r w:rsidR="00197D9B">
          <w:rPr>
            <w:noProof/>
            <w:webHidden/>
          </w:rPr>
        </w:r>
        <w:r w:rsidR="00197D9B">
          <w:rPr>
            <w:noProof/>
            <w:webHidden/>
          </w:rPr>
          <w:fldChar w:fldCharType="separate"/>
        </w:r>
        <w:r w:rsidR="003D0091">
          <w:rPr>
            <w:noProof/>
            <w:webHidden/>
          </w:rPr>
          <w:t>82</w:t>
        </w:r>
        <w:r w:rsidR="00197D9B">
          <w:rPr>
            <w:noProof/>
            <w:webHidden/>
          </w:rPr>
          <w:fldChar w:fldCharType="end"/>
        </w:r>
      </w:hyperlink>
    </w:p>
    <w:p w14:paraId="73254F79" w14:textId="5DFED175" w:rsidR="00197D9B" w:rsidRDefault="00511B60" w:rsidP="003D0091">
      <w:pPr>
        <w:pStyle w:val="TOC2"/>
        <w:rPr>
          <w:rFonts w:eastAsiaTheme="minorEastAsia" w:cstheme="minorBidi"/>
          <w:noProof/>
          <w:color w:val="auto"/>
          <w:kern w:val="0"/>
          <w:sz w:val="22"/>
          <w:szCs w:val="22"/>
          <w:lang w:val="fr-FR" w:eastAsia="fr-FR"/>
        </w:rPr>
      </w:pPr>
      <w:hyperlink w:anchor="_Toc122478934" w:history="1">
        <w:r w:rsidR="00197D9B" w:rsidRPr="00081B51">
          <w:rPr>
            <w:rStyle w:val="Hyperlink"/>
            <w:rFonts w:eastAsiaTheme="majorEastAsia"/>
            <w:b/>
            <w:noProof/>
          </w:rPr>
          <w:t>4.3.</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b/>
            <w:noProof/>
          </w:rPr>
          <w:t>Level of disaggregation (EITI Requirement 4.7)</w:t>
        </w:r>
        <w:r w:rsidR="00197D9B">
          <w:rPr>
            <w:noProof/>
            <w:webHidden/>
          </w:rPr>
          <w:tab/>
        </w:r>
        <w:r w:rsidR="00197D9B">
          <w:rPr>
            <w:noProof/>
            <w:webHidden/>
          </w:rPr>
          <w:fldChar w:fldCharType="begin"/>
        </w:r>
        <w:r w:rsidR="00197D9B">
          <w:rPr>
            <w:noProof/>
            <w:webHidden/>
          </w:rPr>
          <w:instrText xml:space="preserve"> PAGEREF _Toc122478934 \h </w:instrText>
        </w:r>
        <w:r w:rsidR="00197D9B">
          <w:rPr>
            <w:noProof/>
            <w:webHidden/>
          </w:rPr>
        </w:r>
        <w:r w:rsidR="00197D9B">
          <w:rPr>
            <w:noProof/>
            <w:webHidden/>
          </w:rPr>
          <w:fldChar w:fldCharType="separate"/>
        </w:r>
        <w:r w:rsidR="003D0091">
          <w:rPr>
            <w:noProof/>
            <w:webHidden/>
          </w:rPr>
          <w:t>82</w:t>
        </w:r>
        <w:r w:rsidR="00197D9B">
          <w:rPr>
            <w:noProof/>
            <w:webHidden/>
          </w:rPr>
          <w:fldChar w:fldCharType="end"/>
        </w:r>
      </w:hyperlink>
    </w:p>
    <w:p w14:paraId="7966DA8D" w14:textId="13B64E26" w:rsidR="00197D9B" w:rsidRDefault="00511B60">
      <w:pPr>
        <w:pStyle w:val="TOC3"/>
        <w:rPr>
          <w:rFonts w:eastAsiaTheme="minorEastAsia" w:cstheme="minorBidi"/>
          <w:noProof/>
          <w:color w:val="auto"/>
          <w:kern w:val="0"/>
          <w:sz w:val="22"/>
          <w:szCs w:val="22"/>
          <w:lang w:val="fr-FR" w:eastAsia="fr-FR"/>
        </w:rPr>
      </w:pPr>
      <w:hyperlink w:anchor="_Toc122478935" w:history="1">
        <w:r w:rsidR="00197D9B" w:rsidRPr="00081B51">
          <w:rPr>
            <w:rStyle w:val="Hyperlink"/>
            <w:rFonts w:eastAsiaTheme="majorEastAsia"/>
            <w:noProof/>
          </w:rPr>
          <w:t>4.3.1.</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Mining companies</w:t>
        </w:r>
        <w:r w:rsidR="00197D9B">
          <w:rPr>
            <w:noProof/>
            <w:webHidden/>
          </w:rPr>
          <w:tab/>
        </w:r>
        <w:r w:rsidR="00197D9B">
          <w:rPr>
            <w:noProof/>
            <w:webHidden/>
          </w:rPr>
          <w:fldChar w:fldCharType="begin"/>
        </w:r>
        <w:r w:rsidR="00197D9B">
          <w:rPr>
            <w:noProof/>
            <w:webHidden/>
          </w:rPr>
          <w:instrText xml:space="preserve"> PAGEREF _Toc122478935 \h </w:instrText>
        </w:r>
        <w:r w:rsidR="00197D9B">
          <w:rPr>
            <w:noProof/>
            <w:webHidden/>
          </w:rPr>
        </w:r>
        <w:r w:rsidR="00197D9B">
          <w:rPr>
            <w:noProof/>
            <w:webHidden/>
          </w:rPr>
          <w:fldChar w:fldCharType="separate"/>
        </w:r>
        <w:r w:rsidR="003D0091">
          <w:rPr>
            <w:noProof/>
            <w:webHidden/>
          </w:rPr>
          <w:t>83</w:t>
        </w:r>
        <w:r w:rsidR="00197D9B">
          <w:rPr>
            <w:noProof/>
            <w:webHidden/>
          </w:rPr>
          <w:fldChar w:fldCharType="end"/>
        </w:r>
      </w:hyperlink>
    </w:p>
    <w:p w14:paraId="79DB4E54" w14:textId="53E0B6B5" w:rsidR="00197D9B" w:rsidRDefault="00511B60">
      <w:pPr>
        <w:pStyle w:val="TOC3"/>
        <w:rPr>
          <w:rFonts w:eastAsiaTheme="minorEastAsia" w:cstheme="minorBidi"/>
          <w:noProof/>
          <w:color w:val="auto"/>
          <w:kern w:val="0"/>
          <w:sz w:val="22"/>
          <w:szCs w:val="22"/>
          <w:lang w:val="fr-FR" w:eastAsia="fr-FR"/>
        </w:rPr>
      </w:pPr>
      <w:hyperlink w:anchor="_Toc122478936" w:history="1">
        <w:r w:rsidR="00197D9B" w:rsidRPr="00081B51">
          <w:rPr>
            <w:rStyle w:val="Hyperlink"/>
            <w:rFonts w:eastAsiaTheme="majorEastAsia"/>
            <w:noProof/>
          </w:rPr>
          <w:t>4.3.2.</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Oil and gas companies</w:t>
        </w:r>
        <w:r w:rsidR="00197D9B">
          <w:rPr>
            <w:noProof/>
            <w:webHidden/>
          </w:rPr>
          <w:tab/>
        </w:r>
        <w:r w:rsidR="00197D9B">
          <w:rPr>
            <w:noProof/>
            <w:webHidden/>
          </w:rPr>
          <w:fldChar w:fldCharType="begin"/>
        </w:r>
        <w:r w:rsidR="00197D9B">
          <w:rPr>
            <w:noProof/>
            <w:webHidden/>
          </w:rPr>
          <w:instrText xml:space="preserve"> PAGEREF _Toc122478936 \h </w:instrText>
        </w:r>
        <w:r w:rsidR="00197D9B">
          <w:rPr>
            <w:noProof/>
            <w:webHidden/>
          </w:rPr>
        </w:r>
        <w:r w:rsidR="00197D9B">
          <w:rPr>
            <w:noProof/>
            <w:webHidden/>
          </w:rPr>
          <w:fldChar w:fldCharType="separate"/>
        </w:r>
        <w:r w:rsidR="003D0091">
          <w:rPr>
            <w:noProof/>
            <w:webHidden/>
          </w:rPr>
          <w:t>83</w:t>
        </w:r>
        <w:r w:rsidR="00197D9B">
          <w:rPr>
            <w:noProof/>
            <w:webHidden/>
          </w:rPr>
          <w:fldChar w:fldCharType="end"/>
        </w:r>
      </w:hyperlink>
    </w:p>
    <w:p w14:paraId="6D58D723" w14:textId="6ECE32B7" w:rsidR="00197D9B" w:rsidRDefault="00511B60" w:rsidP="003D0091">
      <w:pPr>
        <w:pStyle w:val="TOC2"/>
        <w:rPr>
          <w:rFonts w:eastAsiaTheme="minorEastAsia" w:cstheme="minorBidi"/>
          <w:noProof/>
          <w:color w:val="auto"/>
          <w:kern w:val="0"/>
          <w:sz w:val="22"/>
          <w:szCs w:val="22"/>
          <w:lang w:val="fr-FR" w:eastAsia="fr-FR"/>
        </w:rPr>
      </w:pPr>
      <w:hyperlink w:anchor="_Toc122478937" w:history="1">
        <w:r w:rsidR="00197D9B" w:rsidRPr="00081B51">
          <w:rPr>
            <w:rStyle w:val="Hyperlink"/>
            <w:rFonts w:eastAsiaTheme="majorEastAsia"/>
            <w:b/>
            <w:noProof/>
          </w:rPr>
          <w:t>4.4.</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b/>
            <w:noProof/>
          </w:rPr>
          <w:t>Government Agencies (EITI Requirement 4.1.d)</w:t>
        </w:r>
        <w:r w:rsidR="00197D9B">
          <w:rPr>
            <w:noProof/>
            <w:webHidden/>
          </w:rPr>
          <w:tab/>
        </w:r>
        <w:r w:rsidR="00197D9B">
          <w:rPr>
            <w:noProof/>
            <w:webHidden/>
          </w:rPr>
          <w:fldChar w:fldCharType="begin"/>
        </w:r>
        <w:r w:rsidR="00197D9B">
          <w:rPr>
            <w:noProof/>
            <w:webHidden/>
          </w:rPr>
          <w:instrText xml:space="preserve"> PAGEREF _Toc122478937 \h </w:instrText>
        </w:r>
        <w:r w:rsidR="00197D9B">
          <w:rPr>
            <w:noProof/>
            <w:webHidden/>
          </w:rPr>
        </w:r>
        <w:r w:rsidR="00197D9B">
          <w:rPr>
            <w:noProof/>
            <w:webHidden/>
          </w:rPr>
          <w:fldChar w:fldCharType="separate"/>
        </w:r>
        <w:r w:rsidR="003D0091">
          <w:rPr>
            <w:noProof/>
            <w:webHidden/>
          </w:rPr>
          <w:t>84</w:t>
        </w:r>
        <w:r w:rsidR="00197D9B">
          <w:rPr>
            <w:noProof/>
            <w:webHidden/>
          </w:rPr>
          <w:fldChar w:fldCharType="end"/>
        </w:r>
      </w:hyperlink>
    </w:p>
    <w:p w14:paraId="044245D7" w14:textId="777C8512" w:rsidR="00197D9B" w:rsidRDefault="00511B60">
      <w:pPr>
        <w:pStyle w:val="TOC1"/>
        <w:rPr>
          <w:rFonts w:eastAsiaTheme="minorEastAsia" w:cstheme="minorBidi"/>
          <w:noProof/>
          <w:color w:val="auto"/>
          <w:kern w:val="0"/>
          <w:sz w:val="22"/>
          <w:szCs w:val="22"/>
          <w:lang w:val="fr-FR" w:eastAsia="fr-FR"/>
        </w:rPr>
      </w:pPr>
      <w:hyperlink w:anchor="_Toc122478938" w:history="1">
        <w:r w:rsidR="00197D9B" w:rsidRPr="00081B51">
          <w:rPr>
            <w:rStyle w:val="Hyperlink"/>
            <w:rFonts w:asciiTheme="majorHAnsi" w:eastAsiaTheme="majorEastAsia" w:hAnsiTheme="majorHAnsi"/>
            <w:noProof/>
          </w:rPr>
          <w:t>5.</w:t>
        </w:r>
        <w:r w:rsidR="00197D9B">
          <w:rPr>
            <w:rFonts w:eastAsiaTheme="minorEastAsia" w:cstheme="minorBidi"/>
            <w:noProof/>
            <w:color w:val="auto"/>
            <w:kern w:val="0"/>
            <w:sz w:val="22"/>
            <w:szCs w:val="22"/>
            <w:lang w:val="fr-FR" w:eastAsia="fr-FR"/>
          </w:rPr>
          <w:tab/>
        </w:r>
        <w:r w:rsidR="00197D9B" w:rsidRPr="00081B51">
          <w:rPr>
            <w:rStyle w:val="Hyperlink"/>
            <w:rFonts w:asciiTheme="majorHAnsi" w:eastAsiaTheme="majorEastAsia" w:hAnsiTheme="majorHAnsi"/>
            <w:noProof/>
          </w:rPr>
          <w:t>Analysis of reported data</w:t>
        </w:r>
        <w:r w:rsidR="00197D9B">
          <w:rPr>
            <w:noProof/>
            <w:webHidden/>
          </w:rPr>
          <w:tab/>
        </w:r>
        <w:r w:rsidR="00197D9B">
          <w:rPr>
            <w:noProof/>
            <w:webHidden/>
          </w:rPr>
          <w:fldChar w:fldCharType="begin"/>
        </w:r>
        <w:r w:rsidR="00197D9B">
          <w:rPr>
            <w:noProof/>
            <w:webHidden/>
          </w:rPr>
          <w:instrText xml:space="preserve"> PAGEREF _Toc122478938 \h </w:instrText>
        </w:r>
        <w:r w:rsidR="00197D9B">
          <w:rPr>
            <w:noProof/>
            <w:webHidden/>
          </w:rPr>
        </w:r>
        <w:r w:rsidR="00197D9B">
          <w:rPr>
            <w:noProof/>
            <w:webHidden/>
          </w:rPr>
          <w:fldChar w:fldCharType="separate"/>
        </w:r>
        <w:r w:rsidR="003D0091">
          <w:rPr>
            <w:noProof/>
            <w:webHidden/>
          </w:rPr>
          <w:t>85</w:t>
        </w:r>
        <w:r w:rsidR="00197D9B">
          <w:rPr>
            <w:noProof/>
            <w:webHidden/>
          </w:rPr>
          <w:fldChar w:fldCharType="end"/>
        </w:r>
      </w:hyperlink>
    </w:p>
    <w:p w14:paraId="7D7E00C6" w14:textId="7F0A07A2" w:rsidR="00197D9B" w:rsidRDefault="00511B60" w:rsidP="003D0091">
      <w:pPr>
        <w:pStyle w:val="TOC2"/>
        <w:rPr>
          <w:rFonts w:eastAsiaTheme="minorEastAsia" w:cstheme="minorBidi"/>
          <w:noProof/>
          <w:color w:val="auto"/>
          <w:kern w:val="0"/>
          <w:sz w:val="22"/>
          <w:szCs w:val="22"/>
          <w:lang w:val="fr-FR" w:eastAsia="fr-FR"/>
        </w:rPr>
      </w:pPr>
      <w:hyperlink w:anchor="_Toc122478939" w:history="1">
        <w:r w:rsidR="00197D9B" w:rsidRPr="00081B51">
          <w:rPr>
            <w:rStyle w:val="Hyperlink"/>
            <w:rFonts w:eastAsiaTheme="majorEastAsia"/>
            <w:b/>
            <w:noProof/>
          </w:rPr>
          <w:t>5.1.</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b/>
            <w:noProof/>
          </w:rPr>
          <w:t>Analysis of total extractive revenues</w:t>
        </w:r>
        <w:r w:rsidR="00197D9B">
          <w:rPr>
            <w:noProof/>
            <w:webHidden/>
          </w:rPr>
          <w:tab/>
        </w:r>
        <w:r w:rsidR="00197D9B">
          <w:rPr>
            <w:noProof/>
            <w:webHidden/>
          </w:rPr>
          <w:fldChar w:fldCharType="begin"/>
        </w:r>
        <w:r w:rsidR="00197D9B">
          <w:rPr>
            <w:noProof/>
            <w:webHidden/>
          </w:rPr>
          <w:instrText xml:space="preserve"> PAGEREF _Toc122478939 \h </w:instrText>
        </w:r>
        <w:r w:rsidR="00197D9B">
          <w:rPr>
            <w:noProof/>
            <w:webHidden/>
          </w:rPr>
        </w:r>
        <w:r w:rsidR="00197D9B">
          <w:rPr>
            <w:noProof/>
            <w:webHidden/>
          </w:rPr>
          <w:fldChar w:fldCharType="separate"/>
        </w:r>
        <w:r w:rsidR="003D0091">
          <w:rPr>
            <w:noProof/>
            <w:webHidden/>
          </w:rPr>
          <w:t>85</w:t>
        </w:r>
        <w:r w:rsidR="00197D9B">
          <w:rPr>
            <w:noProof/>
            <w:webHidden/>
          </w:rPr>
          <w:fldChar w:fldCharType="end"/>
        </w:r>
      </w:hyperlink>
    </w:p>
    <w:p w14:paraId="65F0AA8E" w14:textId="3ED3DB0C" w:rsidR="00197D9B" w:rsidRDefault="00511B60">
      <w:pPr>
        <w:pStyle w:val="TOC3"/>
        <w:rPr>
          <w:rFonts w:eastAsiaTheme="minorEastAsia" w:cstheme="minorBidi"/>
          <w:noProof/>
          <w:color w:val="auto"/>
          <w:kern w:val="0"/>
          <w:sz w:val="22"/>
          <w:szCs w:val="22"/>
          <w:lang w:val="fr-FR" w:eastAsia="fr-FR"/>
        </w:rPr>
      </w:pPr>
      <w:hyperlink w:anchor="_Toc122478940" w:history="1">
        <w:r w:rsidR="00197D9B" w:rsidRPr="00081B51">
          <w:rPr>
            <w:rStyle w:val="Hyperlink"/>
            <w:rFonts w:eastAsiaTheme="majorEastAsia"/>
            <w:noProof/>
          </w:rPr>
          <w:t>5.2.1.</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Analysis of total revenues - contribution by sector</w:t>
        </w:r>
        <w:r w:rsidR="00197D9B">
          <w:rPr>
            <w:noProof/>
            <w:webHidden/>
          </w:rPr>
          <w:tab/>
        </w:r>
        <w:r w:rsidR="00197D9B">
          <w:rPr>
            <w:noProof/>
            <w:webHidden/>
          </w:rPr>
          <w:fldChar w:fldCharType="begin"/>
        </w:r>
        <w:r w:rsidR="00197D9B">
          <w:rPr>
            <w:noProof/>
            <w:webHidden/>
          </w:rPr>
          <w:instrText xml:space="preserve"> PAGEREF _Toc122478940 \h </w:instrText>
        </w:r>
        <w:r w:rsidR="00197D9B">
          <w:rPr>
            <w:noProof/>
            <w:webHidden/>
          </w:rPr>
        </w:r>
        <w:r w:rsidR="00197D9B">
          <w:rPr>
            <w:noProof/>
            <w:webHidden/>
          </w:rPr>
          <w:fldChar w:fldCharType="separate"/>
        </w:r>
        <w:r w:rsidR="003D0091">
          <w:rPr>
            <w:noProof/>
            <w:webHidden/>
          </w:rPr>
          <w:t>88</w:t>
        </w:r>
        <w:r w:rsidR="00197D9B">
          <w:rPr>
            <w:noProof/>
            <w:webHidden/>
          </w:rPr>
          <w:fldChar w:fldCharType="end"/>
        </w:r>
      </w:hyperlink>
    </w:p>
    <w:p w14:paraId="5CCC08E3" w14:textId="60872550" w:rsidR="00197D9B" w:rsidRDefault="00511B60">
      <w:pPr>
        <w:pStyle w:val="TOC3"/>
        <w:rPr>
          <w:rFonts w:eastAsiaTheme="minorEastAsia" w:cstheme="minorBidi"/>
          <w:noProof/>
          <w:color w:val="auto"/>
          <w:kern w:val="0"/>
          <w:sz w:val="22"/>
          <w:szCs w:val="22"/>
          <w:lang w:val="fr-FR" w:eastAsia="fr-FR"/>
        </w:rPr>
      </w:pPr>
      <w:hyperlink w:anchor="_Toc122478941" w:history="1">
        <w:r w:rsidR="00197D9B" w:rsidRPr="00081B51">
          <w:rPr>
            <w:rStyle w:val="Hyperlink"/>
            <w:rFonts w:eastAsiaTheme="majorEastAsia"/>
            <w:noProof/>
          </w:rPr>
          <w:t>5.2.2.</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Analysis of total revenues - contribution by extractive entity</w:t>
        </w:r>
        <w:r w:rsidR="00197D9B">
          <w:rPr>
            <w:noProof/>
            <w:webHidden/>
          </w:rPr>
          <w:tab/>
        </w:r>
        <w:r w:rsidR="00197D9B">
          <w:rPr>
            <w:noProof/>
            <w:webHidden/>
          </w:rPr>
          <w:fldChar w:fldCharType="begin"/>
        </w:r>
        <w:r w:rsidR="00197D9B">
          <w:rPr>
            <w:noProof/>
            <w:webHidden/>
          </w:rPr>
          <w:instrText xml:space="preserve"> PAGEREF _Toc122478941 \h </w:instrText>
        </w:r>
        <w:r w:rsidR="00197D9B">
          <w:rPr>
            <w:noProof/>
            <w:webHidden/>
          </w:rPr>
        </w:r>
        <w:r w:rsidR="00197D9B">
          <w:rPr>
            <w:noProof/>
            <w:webHidden/>
          </w:rPr>
          <w:fldChar w:fldCharType="separate"/>
        </w:r>
        <w:r w:rsidR="003D0091">
          <w:rPr>
            <w:noProof/>
            <w:webHidden/>
          </w:rPr>
          <w:t>89</w:t>
        </w:r>
        <w:r w:rsidR="00197D9B">
          <w:rPr>
            <w:noProof/>
            <w:webHidden/>
          </w:rPr>
          <w:fldChar w:fldCharType="end"/>
        </w:r>
      </w:hyperlink>
    </w:p>
    <w:p w14:paraId="1A7DDD9C" w14:textId="3BAF529E" w:rsidR="00197D9B" w:rsidRDefault="00511B60">
      <w:pPr>
        <w:pStyle w:val="TOC3"/>
        <w:rPr>
          <w:rFonts w:eastAsiaTheme="minorEastAsia" w:cstheme="minorBidi"/>
          <w:noProof/>
          <w:color w:val="auto"/>
          <w:kern w:val="0"/>
          <w:sz w:val="22"/>
          <w:szCs w:val="22"/>
          <w:lang w:val="fr-FR" w:eastAsia="fr-FR"/>
        </w:rPr>
      </w:pPr>
      <w:hyperlink w:anchor="_Toc122478942" w:history="1">
        <w:r w:rsidR="00197D9B" w:rsidRPr="00081B51">
          <w:rPr>
            <w:rStyle w:val="Hyperlink"/>
            <w:rFonts w:eastAsiaTheme="majorEastAsia"/>
            <w:noProof/>
          </w:rPr>
          <w:t>5.2.3.</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Analysis of total revenues - contribution by revenue stream</w:t>
        </w:r>
        <w:r w:rsidR="00197D9B">
          <w:rPr>
            <w:noProof/>
            <w:webHidden/>
          </w:rPr>
          <w:tab/>
        </w:r>
        <w:r w:rsidR="00197D9B">
          <w:rPr>
            <w:noProof/>
            <w:webHidden/>
          </w:rPr>
          <w:fldChar w:fldCharType="begin"/>
        </w:r>
        <w:r w:rsidR="00197D9B">
          <w:rPr>
            <w:noProof/>
            <w:webHidden/>
          </w:rPr>
          <w:instrText xml:space="preserve"> PAGEREF _Toc122478942 \h </w:instrText>
        </w:r>
        <w:r w:rsidR="00197D9B">
          <w:rPr>
            <w:noProof/>
            <w:webHidden/>
          </w:rPr>
        </w:r>
        <w:r w:rsidR="00197D9B">
          <w:rPr>
            <w:noProof/>
            <w:webHidden/>
          </w:rPr>
          <w:fldChar w:fldCharType="separate"/>
        </w:r>
        <w:r w:rsidR="003D0091">
          <w:rPr>
            <w:noProof/>
            <w:webHidden/>
          </w:rPr>
          <w:t>90</w:t>
        </w:r>
        <w:r w:rsidR="00197D9B">
          <w:rPr>
            <w:noProof/>
            <w:webHidden/>
          </w:rPr>
          <w:fldChar w:fldCharType="end"/>
        </w:r>
      </w:hyperlink>
    </w:p>
    <w:p w14:paraId="69AB67C9" w14:textId="50014818" w:rsidR="00197D9B" w:rsidRDefault="00511B60" w:rsidP="003D0091">
      <w:pPr>
        <w:pStyle w:val="TOC2"/>
        <w:rPr>
          <w:rFonts w:eastAsiaTheme="minorEastAsia" w:cstheme="minorBidi"/>
          <w:noProof/>
          <w:color w:val="auto"/>
          <w:kern w:val="0"/>
          <w:sz w:val="22"/>
          <w:szCs w:val="22"/>
          <w:lang w:val="fr-FR" w:eastAsia="fr-FR"/>
        </w:rPr>
      </w:pPr>
      <w:hyperlink w:anchor="_Toc122478943" w:history="1">
        <w:r w:rsidR="00197D9B" w:rsidRPr="00081B51">
          <w:rPr>
            <w:rStyle w:val="Hyperlink"/>
            <w:rFonts w:eastAsiaTheme="majorEastAsia"/>
            <w:b/>
            <w:noProof/>
          </w:rPr>
          <w:t>5.2.</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b/>
            <w:noProof/>
          </w:rPr>
          <w:t>Revenues collected from in-scope companies</w:t>
        </w:r>
        <w:r w:rsidR="00197D9B">
          <w:rPr>
            <w:noProof/>
            <w:webHidden/>
          </w:rPr>
          <w:tab/>
        </w:r>
        <w:r w:rsidR="00197D9B">
          <w:rPr>
            <w:noProof/>
            <w:webHidden/>
          </w:rPr>
          <w:fldChar w:fldCharType="begin"/>
        </w:r>
        <w:r w:rsidR="00197D9B">
          <w:rPr>
            <w:noProof/>
            <w:webHidden/>
          </w:rPr>
          <w:instrText xml:space="preserve"> PAGEREF _Toc122478943 \h </w:instrText>
        </w:r>
        <w:r w:rsidR="00197D9B">
          <w:rPr>
            <w:noProof/>
            <w:webHidden/>
          </w:rPr>
        </w:r>
        <w:r w:rsidR="00197D9B">
          <w:rPr>
            <w:noProof/>
            <w:webHidden/>
          </w:rPr>
          <w:fldChar w:fldCharType="separate"/>
        </w:r>
        <w:r w:rsidR="003D0091">
          <w:rPr>
            <w:noProof/>
            <w:webHidden/>
          </w:rPr>
          <w:t>91</w:t>
        </w:r>
        <w:r w:rsidR="00197D9B">
          <w:rPr>
            <w:noProof/>
            <w:webHidden/>
          </w:rPr>
          <w:fldChar w:fldCharType="end"/>
        </w:r>
      </w:hyperlink>
    </w:p>
    <w:p w14:paraId="6FB97A1C" w14:textId="5C37B29C" w:rsidR="00197D9B" w:rsidRDefault="00511B60">
      <w:pPr>
        <w:pStyle w:val="TOC3"/>
        <w:rPr>
          <w:rFonts w:eastAsiaTheme="minorEastAsia" w:cstheme="minorBidi"/>
          <w:noProof/>
          <w:color w:val="auto"/>
          <w:kern w:val="0"/>
          <w:sz w:val="22"/>
          <w:szCs w:val="22"/>
          <w:lang w:val="fr-FR" w:eastAsia="fr-FR"/>
        </w:rPr>
      </w:pPr>
      <w:hyperlink w:anchor="_Toc122478944" w:history="1">
        <w:r w:rsidR="00197D9B" w:rsidRPr="00081B51">
          <w:rPr>
            <w:rStyle w:val="Hyperlink"/>
            <w:rFonts w:eastAsiaTheme="majorEastAsia"/>
            <w:noProof/>
          </w:rPr>
          <w:t>5.2.1.</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Reconciliation results</w:t>
        </w:r>
        <w:r w:rsidR="00197D9B">
          <w:rPr>
            <w:noProof/>
            <w:webHidden/>
          </w:rPr>
          <w:tab/>
        </w:r>
        <w:r w:rsidR="00197D9B">
          <w:rPr>
            <w:noProof/>
            <w:webHidden/>
          </w:rPr>
          <w:fldChar w:fldCharType="begin"/>
        </w:r>
        <w:r w:rsidR="00197D9B">
          <w:rPr>
            <w:noProof/>
            <w:webHidden/>
          </w:rPr>
          <w:instrText xml:space="preserve"> PAGEREF _Toc122478944 \h </w:instrText>
        </w:r>
        <w:r w:rsidR="00197D9B">
          <w:rPr>
            <w:noProof/>
            <w:webHidden/>
          </w:rPr>
        </w:r>
        <w:r w:rsidR="00197D9B">
          <w:rPr>
            <w:noProof/>
            <w:webHidden/>
          </w:rPr>
          <w:fldChar w:fldCharType="separate"/>
        </w:r>
        <w:r w:rsidR="003D0091">
          <w:rPr>
            <w:noProof/>
            <w:webHidden/>
          </w:rPr>
          <w:t>91</w:t>
        </w:r>
        <w:r w:rsidR="00197D9B">
          <w:rPr>
            <w:noProof/>
            <w:webHidden/>
          </w:rPr>
          <w:fldChar w:fldCharType="end"/>
        </w:r>
      </w:hyperlink>
    </w:p>
    <w:p w14:paraId="398E7A2F" w14:textId="5FCBE81B" w:rsidR="00197D9B" w:rsidRDefault="00511B60">
      <w:pPr>
        <w:pStyle w:val="TOC4"/>
        <w:rPr>
          <w:rFonts w:eastAsiaTheme="minorEastAsia" w:cstheme="minorBidi"/>
          <w:noProof/>
          <w:color w:val="auto"/>
          <w:kern w:val="0"/>
          <w:sz w:val="22"/>
          <w:szCs w:val="22"/>
          <w:lang w:val="fr-FR" w:eastAsia="fr-FR"/>
        </w:rPr>
      </w:pPr>
      <w:hyperlink w:anchor="_Toc122478945" w:history="1">
        <w:r w:rsidR="00197D9B" w:rsidRPr="00081B51">
          <w:rPr>
            <w:rStyle w:val="Hyperlink"/>
            <w:rFonts w:eastAsiaTheme="majorEastAsia"/>
            <w:noProof/>
          </w:rPr>
          <w:t>5.2.1.(a) Reconciliation by Company</w:t>
        </w:r>
        <w:r w:rsidR="00197D9B">
          <w:rPr>
            <w:noProof/>
            <w:webHidden/>
          </w:rPr>
          <w:tab/>
        </w:r>
        <w:r w:rsidR="00197D9B">
          <w:rPr>
            <w:noProof/>
            <w:webHidden/>
          </w:rPr>
          <w:fldChar w:fldCharType="begin"/>
        </w:r>
        <w:r w:rsidR="00197D9B">
          <w:rPr>
            <w:noProof/>
            <w:webHidden/>
          </w:rPr>
          <w:instrText xml:space="preserve"> PAGEREF _Toc122478945 \h </w:instrText>
        </w:r>
        <w:r w:rsidR="00197D9B">
          <w:rPr>
            <w:noProof/>
            <w:webHidden/>
          </w:rPr>
        </w:r>
        <w:r w:rsidR="00197D9B">
          <w:rPr>
            <w:noProof/>
            <w:webHidden/>
          </w:rPr>
          <w:fldChar w:fldCharType="separate"/>
        </w:r>
        <w:r w:rsidR="003D0091">
          <w:rPr>
            <w:noProof/>
            <w:webHidden/>
          </w:rPr>
          <w:t>91</w:t>
        </w:r>
        <w:r w:rsidR="00197D9B">
          <w:rPr>
            <w:noProof/>
            <w:webHidden/>
          </w:rPr>
          <w:fldChar w:fldCharType="end"/>
        </w:r>
      </w:hyperlink>
    </w:p>
    <w:p w14:paraId="29F23A36" w14:textId="2C94410E" w:rsidR="00197D9B" w:rsidRDefault="00511B60">
      <w:pPr>
        <w:pStyle w:val="TOC4"/>
        <w:rPr>
          <w:rFonts w:eastAsiaTheme="minorEastAsia" w:cstheme="minorBidi"/>
          <w:noProof/>
          <w:color w:val="auto"/>
          <w:kern w:val="0"/>
          <w:sz w:val="22"/>
          <w:szCs w:val="22"/>
          <w:lang w:val="fr-FR" w:eastAsia="fr-FR"/>
        </w:rPr>
      </w:pPr>
      <w:hyperlink w:anchor="_Toc122478946" w:history="1">
        <w:r w:rsidR="00197D9B" w:rsidRPr="00081B51">
          <w:rPr>
            <w:rStyle w:val="Hyperlink"/>
            <w:rFonts w:eastAsiaTheme="majorEastAsia"/>
            <w:noProof/>
          </w:rPr>
          <w:t>5.2.1.(b) Reconciliation by revenue stream</w:t>
        </w:r>
        <w:r w:rsidR="00197D9B">
          <w:rPr>
            <w:noProof/>
            <w:webHidden/>
          </w:rPr>
          <w:tab/>
        </w:r>
        <w:r w:rsidR="00197D9B">
          <w:rPr>
            <w:noProof/>
            <w:webHidden/>
          </w:rPr>
          <w:fldChar w:fldCharType="begin"/>
        </w:r>
        <w:r w:rsidR="00197D9B">
          <w:rPr>
            <w:noProof/>
            <w:webHidden/>
          </w:rPr>
          <w:instrText xml:space="preserve"> PAGEREF _Toc122478946 \h </w:instrText>
        </w:r>
        <w:r w:rsidR="00197D9B">
          <w:rPr>
            <w:noProof/>
            <w:webHidden/>
          </w:rPr>
        </w:r>
        <w:r w:rsidR="00197D9B">
          <w:rPr>
            <w:noProof/>
            <w:webHidden/>
          </w:rPr>
          <w:fldChar w:fldCharType="separate"/>
        </w:r>
        <w:r w:rsidR="003D0091">
          <w:rPr>
            <w:noProof/>
            <w:webHidden/>
          </w:rPr>
          <w:t>94</w:t>
        </w:r>
        <w:r w:rsidR="00197D9B">
          <w:rPr>
            <w:noProof/>
            <w:webHidden/>
          </w:rPr>
          <w:fldChar w:fldCharType="end"/>
        </w:r>
      </w:hyperlink>
    </w:p>
    <w:p w14:paraId="4CAFFAFD" w14:textId="4E90897B" w:rsidR="00197D9B" w:rsidRDefault="00511B60">
      <w:pPr>
        <w:pStyle w:val="TOC3"/>
        <w:rPr>
          <w:rFonts w:eastAsiaTheme="minorEastAsia" w:cstheme="minorBidi"/>
          <w:noProof/>
          <w:color w:val="auto"/>
          <w:kern w:val="0"/>
          <w:sz w:val="22"/>
          <w:szCs w:val="22"/>
          <w:lang w:val="fr-FR" w:eastAsia="fr-FR"/>
        </w:rPr>
      </w:pPr>
      <w:hyperlink w:anchor="_Toc122478947" w:history="1">
        <w:r w:rsidR="00197D9B" w:rsidRPr="00081B51">
          <w:rPr>
            <w:rStyle w:val="Hyperlink"/>
            <w:rFonts w:eastAsiaTheme="majorEastAsia"/>
            <w:noProof/>
          </w:rPr>
          <w:t>5.2.2.</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Adjustments to oil and gas payments</w:t>
        </w:r>
        <w:r w:rsidR="00197D9B">
          <w:rPr>
            <w:noProof/>
            <w:webHidden/>
          </w:rPr>
          <w:tab/>
        </w:r>
        <w:r w:rsidR="00197D9B">
          <w:rPr>
            <w:noProof/>
            <w:webHidden/>
          </w:rPr>
          <w:fldChar w:fldCharType="begin"/>
        </w:r>
        <w:r w:rsidR="00197D9B">
          <w:rPr>
            <w:noProof/>
            <w:webHidden/>
          </w:rPr>
          <w:instrText xml:space="preserve"> PAGEREF _Toc122478947 \h </w:instrText>
        </w:r>
        <w:r w:rsidR="00197D9B">
          <w:rPr>
            <w:noProof/>
            <w:webHidden/>
          </w:rPr>
        </w:r>
        <w:r w:rsidR="00197D9B">
          <w:rPr>
            <w:noProof/>
            <w:webHidden/>
          </w:rPr>
          <w:fldChar w:fldCharType="separate"/>
        </w:r>
        <w:r w:rsidR="003D0091">
          <w:rPr>
            <w:noProof/>
            <w:webHidden/>
          </w:rPr>
          <w:t>100</w:t>
        </w:r>
        <w:r w:rsidR="00197D9B">
          <w:rPr>
            <w:noProof/>
            <w:webHidden/>
          </w:rPr>
          <w:fldChar w:fldCharType="end"/>
        </w:r>
      </w:hyperlink>
    </w:p>
    <w:p w14:paraId="163C9FCB" w14:textId="19F713E5" w:rsidR="00197D9B" w:rsidRDefault="00511B60">
      <w:pPr>
        <w:pStyle w:val="TOC4"/>
        <w:rPr>
          <w:rFonts w:eastAsiaTheme="minorEastAsia" w:cstheme="minorBidi"/>
          <w:noProof/>
          <w:color w:val="auto"/>
          <w:kern w:val="0"/>
          <w:sz w:val="22"/>
          <w:szCs w:val="22"/>
          <w:lang w:val="fr-FR" w:eastAsia="fr-FR"/>
        </w:rPr>
      </w:pPr>
      <w:hyperlink w:anchor="_Toc122478948" w:history="1">
        <w:r w:rsidR="00197D9B" w:rsidRPr="00081B51">
          <w:rPr>
            <w:rStyle w:val="Hyperlink"/>
            <w:rFonts w:eastAsiaTheme="majorEastAsia"/>
            <w:noProof/>
          </w:rPr>
          <w:t>5.2.2.(a) Adjustments to oil and gas entities’ templates</w:t>
        </w:r>
        <w:r w:rsidR="00197D9B">
          <w:rPr>
            <w:noProof/>
            <w:webHidden/>
          </w:rPr>
          <w:tab/>
        </w:r>
        <w:r w:rsidR="00197D9B">
          <w:rPr>
            <w:noProof/>
            <w:webHidden/>
          </w:rPr>
          <w:fldChar w:fldCharType="begin"/>
        </w:r>
        <w:r w:rsidR="00197D9B">
          <w:rPr>
            <w:noProof/>
            <w:webHidden/>
          </w:rPr>
          <w:instrText xml:space="preserve"> PAGEREF _Toc122478948 \h </w:instrText>
        </w:r>
        <w:r w:rsidR="00197D9B">
          <w:rPr>
            <w:noProof/>
            <w:webHidden/>
          </w:rPr>
        </w:r>
        <w:r w:rsidR="00197D9B">
          <w:rPr>
            <w:noProof/>
            <w:webHidden/>
          </w:rPr>
          <w:fldChar w:fldCharType="separate"/>
        </w:r>
        <w:r w:rsidR="003D0091">
          <w:rPr>
            <w:noProof/>
            <w:webHidden/>
          </w:rPr>
          <w:t>100</w:t>
        </w:r>
        <w:r w:rsidR="00197D9B">
          <w:rPr>
            <w:noProof/>
            <w:webHidden/>
          </w:rPr>
          <w:fldChar w:fldCharType="end"/>
        </w:r>
      </w:hyperlink>
    </w:p>
    <w:p w14:paraId="2ECAE718" w14:textId="36C2F45C" w:rsidR="00197D9B" w:rsidRDefault="00511B60">
      <w:pPr>
        <w:pStyle w:val="TOC4"/>
        <w:rPr>
          <w:rFonts w:eastAsiaTheme="minorEastAsia" w:cstheme="minorBidi"/>
          <w:noProof/>
          <w:color w:val="auto"/>
          <w:kern w:val="0"/>
          <w:sz w:val="22"/>
          <w:szCs w:val="22"/>
          <w:lang w:val="fr-FR" w:eastAsia="fr-FR"/>
        </w:rPr>
      </w:pPr>
      <w:hyperlink w:anchor="_Toc122478949" w:history="1">
        <w:r w:rsidR="00197D9B" w:rsidRPr="00081B51">
          <w:rPr>
            <w:rStyle w:val="Hyperlink"/>
            <w:rFonts w:eastAsiaTheme="majorEastAsia"/>
            <w:noProof/>
          </w:rPr>
          <w:t>5.2.2.(b) Adjustments to Government Agency templates</w:t>
        </w:r>
        <w:r w:rsidR="00197D9B">
          <w:rPr>
            <w:noProof/>
            <w:webHidden/>
          </w:rPr>
          <w:tab/>
        </w:r>
        <w:r w:rsidR="00197D9B">
          <w:rPr>
            <w:noProof/>
            <w:webHidden/>
          </w:rPr>
          <w:fldChar w:fldCharType="begin"/>
        </w:r>
        <w:r w:rsidR="00197D9B">
          <w:rPr>
            <w:noProof/>
            <w:webHidden/>
          </w:rPr>
          <w:instrText xml:space="preserve"> PAGEREF _Toc122478949 \h </w:instrText>
        </w:r>
        <w:r w:rsidR="00197D9B">
          <w:rPr>
            <w:noProof/>
            <w:webHidden/>
          </w:rPr>
        </w:r>
        <w:r w:rsidR="00197D9B">
          <w:rPr>
            <w:noProof/>
            <w:webHidden/>
          </w:rPr>
          <w:fldChar w:fldCharType="separate"/>
        </w:r>
        <w:r w:rsidR="003D0091">
          <w:rPr>
            <w:noProof/>
            <w:webHidden/>
          </w:rPr>
          <w:t>100</w:t>
        </w:r>
        <w:r w:rsidR="00197D9B">
          <w:rPr>
            <w:noProof/>
            <w:webHidden/>
          </w:rPr>
          <w:fldChar w:fldCharType="end"/>
        </w:r>
      </w:hyperlink>
    </w:p>
    <w:p w14:paraId="39104DF9" w14:textId="702541CA" w:rsidR="00197D9B" w:rsidRDefault="00511B60">
      <w:pPr>
        <w:pStyle w:val="TOC3"/>
        <w:rPr>
          <w:rFonts w:eastAsiaTheme="minorEastAsia" w:cstheme="minorBidi"/>
          <w:noProof/>
          <w:color w:val="auto"/>
          <w:kern w:val="0"/>
          <w:sz w:val="22"/>
          <w:szCs w:val="22"/>
          <w:lang w:val="fr-FR" w:eastAsia="fr-FR"/>
        </w:rPr>
      </w:pPr>
      <w:hyperlink w:anchor="_Toc122478950" w:history="1">
        <w:r w:rsidR="00197D9B" w:rsidRPr="00081B51">
          <w:rPr>
            <w:rStyle w:val="Hyperlink"/>
            <w:rFonts w:eastAsiaTheme="majorEastAsia"/>
            <w:noProof/>
          </w:rPr>
          <w:t>5.2.3.</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Unreconciled discrepancies</w:t>
        </w:r>
        <w:r w:rsidR="00197D9B">
          <w:rPr>
            <w:noProof/>
            <w:webHidden/>
          </w:rPr>
          <w:tab/>
        </w:r>
        <w:r w:rsidR="00197D9B">
          <w:rPr>
            <w:noProof/>
            <w:webHidden/>
          </w:rPr>
          <w:fldChar w:fldCharType="begin"/>
        </w:r>
        <w:r w:rsidR="00197D9B">
          <w:rPr>
            <w:noProof/>
            <w:webHidden/>
          </w:rPr>
          <w:instrText xml:space="preserve"> PAGEREF _Toc122478950 \h </w:instrText>
        </w:r>
        <w:r w:rsidR="00197D9B">
          <w:rPr>
            <w:noProof/>
            <w:webHidden/>
          </w:rPr>
        </w:r>
        <w:r w:rsidR="00197D9B">
          <w:rPr>
            <w:noProof/>
            <w:webHidden/>
          </w:rPr>
          <w:fldChar w:fldCharType="separate"/>
        </w:r>
        <w:r w:rsidR="003D0091">
          <w:rPr>
            <w:noProof/>
            <w:webHidden/>
          </w:rPr>
          <w:t>101</w:t>
        </w:r>
        <w:r w:rsidR="00197D9B">
          <w:rPr>
            <w:noProof/>
            <w:webHidden/>
          </w:rPr>
          <w:fldChar w:fldCharType="end"/>
        </w:r>
      </w:hyperlink>
    </w:p>
    <w:p w14:paraId="418C2385" w14:textId="6059D073" w:rsidR="00197D9B" w:rsidRDefault="00511B60" w:rsidP="003D0091">
      <w:pPr>
        <w:pStyle w:val="TOC2"/>
        <w:rPr>
          <w:rFonts w:eastAsiaTheme="minorEastAsia" w:cstheme="minorBidi"/>
          <w:noProof/>
          <w:color w:val="auto"/>
          <w:kern w:val="0"/>
          <w:sz w:val="22"/>
          <w:szCs w:val="22"/>
          <w:lang w:val="fr-FR" w:eastAsia="fr-FR"/>
        </w:rPr>
      </w:pPr>
      <w:hyperlink w:anchor="_Toc122478951" w:history="1">
        <w:r w:rsidR="00197D9B" w:rsidRPr="00081B51">
          <w:rPr>
            <w:rStyle w:val="Hyperlink"/>
            <w:rFonts w:eastAsiaTheme="majorEastAsia"/>
            <w:b/>
            <w:noProof/>
          </w:rPr>
          <w:t>5.3.</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b/>
            <w:noProof/>
          </w:rPr>
          <w:t>Social and environmental expenditure disclosed by extractive entities (EITI Requirement 6.1)</w:t>
        </w:r>
        <w:r w:rsidR="00197D9B">
          <w:rPr>
            <w:noProof/>
            <w:webHidden/>
          </w:rPr>
          <w:tab/>
        </w:r>
        <w:r w:rsidR="00197D9B">
          <w:rPr>
            <w:noProof/>
            <w:webHidden/>
          </w:rPr>
          <w:tab/>
        </w:r>
        <w:r w:rsidR="00197D9B">
          <w:rPr>
            <w:noProof/>
            <w:webHidden/>
          </w:rPr>
          <w:tab/>
        </w:r>
        <w:r w:rsidR="00197D9B">
          <w:rPr>
            <w:noProof/>
            <w:webHidden/>
          </w:rPr>
          <w:fldChar w:fldCharType="begin"/>
        </w:r>
        <w:r w:rsidR="00197D9B">
          <w:rPr>
            <w:noProof/>
            <w:webHidden/>
          </w:rPr>
          <w:instrText xml:space="preserve"> PAGEREF _Toc122478951 \h </w:instrText>
        </w:r>
        <w:r w:rsidR="00197D9B">
          <w:rPr>
            <w:noProof/>
            <w:webHidden/>
          </w:rPr>
        </w:r>
        <w:r w:rsidR="00197D9B">
          <w:rPr>
            <w:noProof/>
            <w:webHidden/>
          </w:rPr>
          <w:fldChar w:fldCharType="separate"/>
        </w:r>
        <w:r w:rsidR="003D0091">
          <w:rPr>
            <w:noProof/>
            <w:webHidden/>
          </w:rPr>
          <w:t>104</w:t>
        </w:r>
        <w:r w:rsidR="00197D9B">
          <w:rPr>
            <w:noProof/>
            <w:webHidden/>
          </w:rPr>
          <w:fldChar w:fldCharType="end"/>
        </w:r>
      </w:hyperlink>
    </w:p>
    <w:p w14:paraId="383B8BE5" w14:textId="709EC588" w:rsidR="00197D9B" w:rsidRDefault="00511B60" w:rsidP="003D0091">
      <w:pPr>
        <w:pStyle w:val="TOC2"/>
        <w:rPr>
          <w:rFonts w:eastAsiaTheme="minorEastAsia" w:cstheme="minorBidi"/>
          <w:noProof/>
          <w:color w:val="auto"/>
          <w:kern w:val="0"/>
          <w:sz w:val="22"/>
          <w:szCs w:val="22"/>
          <w:lang w:val="fr-FR" w:eastAsia="fr-FR"/>
        </w:rPr>
      </w:pPr>
      <w:hyperlink w:anchor="_Toc122478952" w:history="1">
        <w:r w:rsidR="00197D9B" w:rsidRPr="00081B51">
          <w:rPr>
            <w:rStyle w:val="Hyperlink"/>
            <w:rFonts w:eastAsiaTheme="majorEastAsia"/>
            <w:b/>
            <w:noProof/>
          </w:rPr>
          <w:t>5.4.</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b/>
            <w:noProof/>
          </w:rPr>
          <w:t>Analysis of production and exports data declared by reporting entities</w:t>
        </w:r>
        <w:r w:rsidR="00197D9B">
          <w:rPr>
            <w:noProof/>
            <w:webHidden/>
          </w:rPr>
          <w:tab/>
        </w:r>
        <w:r w:rsidR="00197D9B">
          <w:rPr>
            <w:noProof/>
            <w:webHidden/>
          </w:rPr>
          <w:fldChar w:fldCharType="begin"/>
        </w:r>
        <w:r w:rsidR="00197D9B">
          <w:rPr>
            <w:noProof/>
            <w:webHidden/>
          </w:rPr>
          <w:instrText xml:space="preserve"> PAGEREF _Toc122478952 \h </w:instrText>
        </w:r>
        <w:r w:rsidR="00197D9B">
          <w:rPr>
            <w:noProof/>
            <w:webHidden/>
          </w:rPr>
        </w:r>
        <w:r w:rsidR="00197D9B">
          <w:rPr>
            <w:noProof/>
            <w:webHidden/>
          </w:rPr>
          <w:fldChar w:fldCharType="separate"/>
        </w:r>
        <w:r w:rsidR="003D0091">
          <w:rPr>
            <w:noProof/>
            <w:webHidden/>
          </w:rPr>
          <w:t>104</w:t>
        </w:r>
        <w:r w:rsidR="00197D9B">
          <w:rPr>
            <w:noProof/>
            <w:webHidden/>
          </w:rPr>
          <w:fldChar w:fldCharType="end"/>
        </w:r>
      </w:hyperlink>
    </w:p>
    <w:p w14:paraId="5F729D37" w14:textId="160CF8FB" w:rsidR="00197D9B" w:rsidRDefault="00511B60">
      <w:pPr>
        <w:pStyle w:val="TOC1"/>
        <w:rPr>
          <w:rFonts w:eastAsiaTheme="minorEastAsia" w:cstheme="minorBidi"/>
          <w:noProof/>
          <w:color w:val="auto"/>
          <w:kern w:val="0"/>
          <w:sz w:val="22"/>
          <w:szCs w:val="22"/>
          <w:lang w:val="fr-FR" w:eastAsia="fr-FR"/>
        </w:rPr>
      </w:pPr>
      <w:hyperlink w:anchor="_Toc122478953" w:history="1">
        <w:r w:rsidR="00197D9B" w:rsidRPr="00081B51">
          <w:rPr>
            <w:rStyle w:val="Hyperlink"/>
            <w:rFonts w:eastAsiaTheme="majorEastAsia"/>
            <w:noProof/>
          </w:rPr>
          <w:t>6.</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Implementation status of EITI recommendations</w:t>
        </w:r>
        <w:r w:rsidR="00197D9B">
          <w:rPr>
            <w:noProof/>
            <w:webHidden/>
          </w:rPr>
          <w:tab/>
        </w:r>
        <w:r w:rsidR="00197D9B">
          <w:rPr>
            <w:noProof/>
            <w:webHidden/>
          </w:rPr>
          <w:fldChar w:fldCharType="begin"/>
        </w:r>
        <w:r w:rsidR="00197D9B">
          <w:rPr>
            <w:noProof/>
            <w:webHidden/>
          </w:rPr>
          <w:instrText xml:space="preserve"> PAGEREF _Toc122478953 \h </w:instrText>
        </w:r>
        <w:r w:rsidR="00197D9B">
          <w:rPr>
            <w:noProof/>
            <w:webHidden/>
          </w:rPr>
        </w:r>
        <w:r w:rsidR="00197D9B">
          <w:rPr>
            <w:noProof/>
            <w:webHidden/>
          </w:rPr>
          <w:fldChar w:fldCharType="separate"/>
        </w:r>
        <w:r w:rsidR="003D0091">
          <w:rPr>
            <w:noProof/>
            <w:webHidden/>
          </w:rPr>
          <w:t>105</w:t>
        </w:r>
        <w:r w:rsidR="00197D9B">
          <w:rPr>
            <w:noProof/>
            <w:webHidden/>
          </w:rPr>
          <w:fldChar w:fldCharType="end"/>
        </w:r>
      </w:hyperlink>
    </w:p>
    <w:p w14:paraId="4B063CB1" w14:textId="0AB8715B" w:rsidR="00197D9B" w:rsidRDefault="00511B60" w:rsidP="003D0091">
      <w:pPr>
        <w:pStyle w:val="TOC2"/>
        <w:rPr>
          <w:rFonts w:eastAsiaTheme="minorEastAsia" w:cstheme="minorBidi"/>
          <w:noProof/>
          <w:color w:val="auto"/>
          <w:kern w:val="0"/>
          <w:sz w:val="22"/>
          <w:szCs w:val="22"/>
          <w:lang w:val="fr-FR" w:eastAsia="fr-FR"/>
        </w:rPr>
      </w:pPr>
      <w:hyperlink w:anchor="_Toc122478954" w:history="1">
        <w:r w:rsidR="00197D9B" w:rsidRPr="00081B51">
          <w:rPr>
            <w:rStyle w:val="Hyperlink"/>
            <w:rFonts w:eastAsiaTheme="majorEastAsia"/>
            <w:b/>
            <w:noProof/>
          </w:rPr>
          <w:t>6.1.</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b/>
            <w:noProof/>
          </w:rPr>
          <w:t>Concluding Comment on Recommendations</w:t>
        </w:r>
        <w:r w:rsidR="00197D9B">
          <w:rPr>
            <w:noProof/>
            <w:webHidden/>
          </w:rPr>
          <w:tab/>
        </w:r>
        <w:r w:rsidR="00197D9B">
          <w:rPr>
            <w:noProof/>
            <w:webHidden/>
          </w:rPr>
          <w:fldChar w:fldCharType="begin"/>
        </w:r>
        <w:r w:rsidR="00197D9B">
          <w:rPr>
            <w:noProof/>
            <w:webHidden/>
          </w:rPr>
          <w:instrText xml:space="preserve"> PAGEREF _Toc122478954 \h </w:instrText>
        </w:r>
        <w:r w:rsidR="00197D9B">
          <w:rPr>
            <w:noProof/>
            <w:webHidden/>
          </w:rPr>
        </w:r>
        <w:r w:rsidR="00197D9B">
          <w:rPr>
            <w:noProof/>
            <w:webHidden/>
          </w:rPr>
          <w:fldChar w:fldCharType="separate"/>
        </w:r>
        <w:r w:rsidR="003D0091">
          <w:rPr>
            <w:noProof/>
            <w:webHidden/>
          </w:rPr>
          <w:t>105</w:t>
        </w:r>
        <w:r w:rsidR="00197D9B">
          <w:rPr>
            <w:noProof/>
            <w:webHidden/>
          </w:rPr>
          <w:fldChar w:fldCharType="end"/>
        </w:r>
      </w:hyperlink>
    </w:p>
    <w:p w14:paraId="495339DA" w14:textId="60E15E10" w:rsidR="00197D9B" w:rsidRDefault="00511B60" w:rsidP="003D0091">
      <w:pPr>
        <w:pStyle w:val="TOC2"/>
        <w:rPr>
          <w:rFonts w:eastAsiaTheme="minorEastAsia" w:cstheme="minorBidi"/>
          <w:noProof/>
          <w:color w:val="auto"/>
          <w:kern w:val="0"/>
          <w:sz w:val="22"/>
          <w:szCs w:val="22"/>
          <w:lang w:val="fr-FR" w:eastAsia="fr-FR"/>
        </w:rPr>
      </w:pPr>
      <w:hyperlink w:anchor="_Toc122478955" w:history="1">
        <w:r w:rsidR="00197D9B" w:rsidRPr="00081B51">
          <w:rPr>
            <w:rStyle w:val="Hyperlink"/>
            <w:rFonts w:eastAsiaTheme="majorEastAsia"/>
            <w:b/>
            <w:noProof/>
          </w:rPr>
          <w:t>6.2.</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b/>
            <w:noProof/>
          </w:rPr>
          <w:t xml:space="preserve">Status of recommendations of prior fiscal year report </w:t>
        </w:r>
        <w:r w:rsidR="00197D9B">
          <w:rPr>
            <w:noProof/>
            <w:webHidden/>
          </w:rPr>
          <w:tab/>
        </w:r>
        <w:r w:rsidR="00197D9B">
          <w:rPr>
            <w:noProof/>
            <w:webHidden/>
          </w:rPr>
          <w:fldChar w:fldCharType="begin"/>
        </w:r>
        <w:r w:rsidR="00197D9B">
          <w:rPr>
            <w:noProof/>
            <w:webHidden/>
          </w:rPr>
          <w:instrText xml:space="preserve"> PAGEREF _Toc122478955 \h </w:instrText>
        </w:r>
        <w:r w:rsidR="00197D9B">
          <w:rPr>
            <w:noProof/>
            <w:webHidden/>
          </w:rPr>
        </w:r>
        <w:r w:rsidR="00197D9B">
          <w:rPr>
            <w:noProof/>
            <w:webHidden/>
          </w:rPr>
          <w:fldChar w:fldCharType="separate"/>
        </w:r>
        <w:r w:rsidR="003D0091">
          <w:rPr>
            <w:noProof/>
            <w:webHidden/>
          </w:rPr>
          <w:t>106</w:t>
        </w:r>
        <w:r w:rsidR="00197D9B">
          <w:rPr>
            <w:noProof/>
            <w:webHidden/>
          </w:rPr>
          <w:fldChar w:fldCharType="end"/>
        </w:r>
      </w:hyperlink>
    </w:p>
    <w:p w14:paraId="18DF3B16" w14:textId="40E279E2" w:rsidR="00197D9B" w:rsidRDefault="00511B60">
      <w:pPr>
        <w:pStyle w:val="TOC3"/>
        <w:rPr>
          <w:rFonts w:eastAsiaTheme="minorEastAsia" w:cstheme="minorBidi"/>
          <w:noProof/>
          <w:color w:val="auto"/>
          <w:kern w:val="0"/>
          <w:sz w:val="22"/>
          <w:szCs w:val="22"/>
          <w:lang w:val="fr-FR" w:eastAsia="fr-FR"/>
        </w:rPr>
      </w:pPr>
      <w:hyperlink w:anchor="_Toc122478956" w:history="1">
        <w:r w:rsidR="00197D9B" w:rsidRPr="00081B51">
          <w:rPr>
            <w:rStyle w:val="Hyperlink"/>
            <w:rFonts w:eastAsiaTheme="majorEastAsia"/>
            <w:noProof/>
          </w:rPr>
          <w:t>6.2.1.</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Oversight by the multi-stakeholder group</w:t>
        </w:r>
        <w:r w:rsidR="00197D9B">
          <w:rPr>
            <w:noProof/>
            <w:webHidden/>
          </w:rPr>
          <w:tab/>
        </w:r>
        <w:r w:rsidR="00197D9B">
          <w:rPr>
            <w:noProof/>
            <w:webHidden/>
          </w:rPr>
          <w:fldChar w:fldCharType="begin"/>
        </w:r>
        <w:r w:rsidR="00197D9B">
          <w:rPr>
            <w:noProof/>
            <w:webHidden/>
          </w:rPr>
          <w:instrText xml:space="preserve"> PAGEREF _Toc122478956 \h </w:instrText>
        </w:r>
        <w:r w:rsidR="00197D9B">
          <w:rPr>
            <w:noProof/>
            <w:webHidden/>
          </w:rPr>
        </w:r>
        <w:r w:rsidR="00197D9B">
          <w:rPr>
            <w:noProof/>
            <w:webHidden/>
          </w:rPr>
          <w:fldChar w:fldCharType="separate"/>
        </w:r>
        <w:r w:rsidR="003D0091">
          <w:rPr>
            <w:noProof/>
            <w:webHidden/>
          </w:rPr>
          <w:t>106</w:t>
        </w:r>
        <w:r w:rsidR="00197D9B">
          <w:rPr>
            <w:noProof/>
            <w:webHidden/>
          </w:rPr>
          <w:fldChar w:fldCharType="end"/>
        </w:r>
      </w:hyperlink>
    </w:p>
    <w:p w14:paraId="46EA7B21" w14:textId="4B6AA66C" w:rsidR="00197D9B" w:rsidRDefault="00511B60">
      <w:pPr>
        <w:pStyle w:val="TOC3"/>
        <w:rPr>
          <w:rFonts w:eastAsiaTheme="minorEastAsia" w:cstheme="minorBidi"/>
          <w:noProof/>
          <w:color w:val="auto"/>
          <w:kern w:val="0"/>
          <w:sz w:val="22"/>
          <w:szCs w:val="22"/>
          <w:lang w:val="fr-FR" w:eastAsia="fr-FR"/>
        </w:rPr>
      </w:pPr>
      <w:hyperlink w:anchor="_Toc122478957" w:history="1">
        <w:r w:rsidR="00197D9B" w:rsidRPr="00081B51">
          <w:rPr>
            <w:rStyle w:val="Hyperlink"/>
            <w:rFonts w:eastAsiaTheme="majorEastAsia"/>
            <w:noProof/>
          </w:rPr>
          <w:t>6.2.2.</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Legal and institutional framework, including allocation of contracts and licenses</w:t>
        </w:r>
        <w:r w:rsidR="00197D9B">
          <w:rPr>
            <w:noProof/>
            <w:webHidden/>
          </w:rPr>
          <w:tab/>
        </w:r>
        <w:r w:rsidR="00197D9B">
          <w:rPr>
            <w:noProof/>
            <w:webHidden/>
          </w:rPr>
          <w:fldChar w:fldCharType="begin"/>
        </w:r>
        <w:r w:rsidR="00197D9B">
          <w:rPr>
            <w:noProof/>
            <w:webHidden/>
          </w:rPr>
          <w:instrText xml:space="preserve"> PAGEREF _Toc122478957 \h </w:instrText>
        </w:r>
        <w:r w:rsidR="00197D9B">
          <w:rPr>
            <w:noProof/>
            <w:webHidden/>
          </w:rPr>
        </w:r>
        <w:r w:rsidR="00197D9B">
          <w:rPr>
            <w:noProof/>
            <w:webHidden/>
          </w:rPr>
          <w:fldChar w:fldCharType="separate"/>
        </w:r>
        <w:r w:rsidR="003D0091">
          <w:rPr>
            <w:noProof/>
            <w:webHidden/>
          </w:rPr>
          <w:t>110</w:t>
        </w:r>
        <w:r w:rsidR="00197D9B">
          <w:rPr>
            <w:noProof/>
            <w:webHidden/>
          </w:rPr>
          <w:fldChar w:fldCharType="end"/>
        </w:r>
      </w:hyperlink>
    </w:p>
    <w:p w14:paraId="2C828D69" w14:textId="557F5679" w:rsidR="00197D9B" w:rsidRDefault="00511B60">
      <w:pPr>
        <w:pStyle w:val="TOC3"/>
        <w:rPr>
          <w:rFonts w:eastAsiaTheme="minorEastAsia" w:cstheme="minorBidi"/>
          <w:noProof/>
          <w:color w:val="auto"/>
          <w:kern w:val="0"/>
          <w:sz w:val="22"/>
          <w:szCs w:val="22"/>
          <w:lang w:val="fr-FR" w:eastAsia="fr-FR"/>
        </w:rPr>
      </w:pPr>
      <w:hyperlink w:anchor="_Toc122478958" w:history="1">
        <w:r w:rsidR="00197D9B" w:rsidRPr="00081B51">
          <w:rPr>
            <w:rStyle w:val="Hyperlink"/>
            <w:rFonts w:eastAsiaTheme="majorEastAsia"/>
            <w:noProof/>
          </w:rPr>
          <w:t>6.2.3.</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Revenue collection</w:t>
        </w:r>
        <w:r w:rsidR="00197D9B">
          <w:rPr>
            <w:noProof/>
            <w:webHidden/>
          </w:rPr>
          <w:tab/>
        </w:r>
        <w:r w:rsidR="00197D9B">
          <w:rPr>
            <w:noProof/>
            <w:webHidden/>
          </w:rPr>
          <w:fldChar w:fldCharType="begin"/>
        </w:r>
        <w:r w:rsidR="00197D9B">
          <w:rPr>
            <w:noProof/>
            <w:webHidden/>
          </w:rPr>
          <w:instrText xml:space="preserve"> PAGEREF _Toc122478958 \h </w:instrText>
        </w:r>
        <w:r w:rsidR="00197D9B">
          <w:rPr>
            <w:noProof/>
            <w:webHidden/>
          </w:rPr>
        </w:r>
        <w:r w:rsidR="00197D9B">
          <w:rPr>
            <w:noProof/>
            <w:webHidden/>
          </w:rPr>
          <w:fldChar w:fldCharType="separate"/>
        </w:r>
        <w:r w:rsidR="003D0091">
          <w:rPr>
            <w:noProof/>
            <w:webHidden/>
          </w:rPr>
          <w:t>115</w:t>
        </w:r>
        <w:r w:rsidR="00197D9B">
          <w:rPr>
            <w:noProof/>
            <w:webHidden/>
          </w:rPr>
          <w:fldChar w:fldCharType="end"/>
        </w:r>
      </w:hyperlink>
    </w:p>
    <w:p w14:paraId="2777C89E" w14:textId="1125469D" w:rsidR="00197D9B" w:rsidRDefault="00511B60">
      <w:pPr>
        <w:pStyle w:val="TOC3"/>
        <w:rPr>
          <w:rFonts w:eastAsiaTheme="minorEastAsia" w:cstheme="minorBidi"/>
          <w:noProof/>
          <w:color w:val="auto"/>
          <w:kern w:val="0"/>
          <w:sz w:val="22"/>
          <w:szCs w:val="22"/>
          <w:lang w:val="fr-FR" w:eastAsia="fr-FR"/>
        </w:rPr>
      </w:pPr>
      <w:hyperlink w:anchor="_Toc122478959" w:history="1">
        <w:r w:rsidR="00197D9B" w:rsidRPr="00081B51">
          <w:rPr>
            <w:rStyle w:val="Hyperlink"/>
            <w:rFonts w:eastAsiaTheme="majorEastAsia"/>
            <w:noProof/>
          </w:rPr>
          <w:t>6.2.4.</w:t>
        </w:r>
        <w:r w:rsidR="00197D9B">
          <w:rPr>
            <w:rFonts w:eastAsiaTheme="minorEastAsia" w:cstheme="minorBidi"/>
            <w:noProof/>
            <w:color w:val="auto"/>
            <w:kern w:val="0"/>
            <w:sz w:val="22"/>
            <w:szCs w:val="22"/>
            <w:lang w:val="fr-FR" w:eastAsia="fr-FR"/>
          </w:rPr>
          <w:tab/>
        </w:r>
        <w:r w:rsidR="00197D9B" w:rsidRPr="00081B51">
          <w:rPr>
            <w:rStyle w:val="Hyperlink"/>
            <w:rFonts w:eastAsiaTheme="majorEastAsia"/>
            <w:noProof/>
          </w:rPr>
          <w:t>Social and economic spending</w:t>
        </w:r>
        <w:r w:rsidR="00197D9B">
          <w:rPr>
            <w:noProof/>
            <w:webHidden/>
          </w:rPr>
          <w:tab/>
        </w:r>
        <w:r w:rsidR="00197D9B">
          <w:rPr>
            <w:noProof/>
            <w:webHidden/>
          </w:rPr>
          <w:fldChar w:fldCharType="begin"/>
        </w:r>
        <w:r w:rsidR="00197D9B">
          <w:rPr>
            <w:noProof/>
            <w:webHidden/>
          </w:rPr>
          <w:instrText xml:space="preserve"> PAGEREF _Toc122478959 \h </w:instrText>
        </w:r>
        <w:r w:rsidR="00197D9B">
          <w:rPr>
            <w:noProof/>
            <w:webHidden/>
          </w:rPr>
        </w:r>
        <w:r w:rsidR="00197D9B">
          <w:rPr>
            <w:noProof/>
            <w:webHidden/>
          </w:rPr>
          <w:fldChar w:fldCharType="separate"/>
        </w:r>
        <w:r w:rsidR="003D0091">
          <w:rPr>
            <w:noProof/>
            <w:webHidden/>
          </w:rPr>
          <w:t>119</w:t>
        </w:r>
        <w:r w:rsidR="00197D9B">
          <w:rPr>
            <w:noProof/>
            <w:webHidden/>
          </w:rPr>
          <w:fldChar w:fldCharType="end"/>
        </w:r>
      </w:hyperlink>
    </w:p>
    <w:p w14:paraId="39581636" w14:textId="5E12A2AA" w:rsidR="00197D9B" w:rsidRDefault="00511B60" w:rsidP="003D0091">
      <w:pPr>
        <w:pStyle w:val="TOC2"/>
        <w:rPr>
          <w:rFonts w:eastAsiaTheme="minorEastAsia" w:cstheme="minorBidi"/>
          <w:noProof/>
          <w:color w:val="auto"/>
          <w:kern w:val="0"/>
          <w:sz w:val="22"/>
          <w:szCs w:val="22"/>
          <w:lang w:val="fr-FR" w:eastAsia="fr-FR"/>
        </w:rPr>
      </w:pPr>
      <w:hyperlink w:anchor="_Toc122478960" w:history="1">
        <w:r w:rsidR="00197D9B" w:rsidRPr="00081B51">
          <w:rPr>
            <w:rStyle w:val="Hyperlink"/>
            <w:rFonts w:eastAsiaTheme="majorEastAsia"/>
            <w:noProof/>
          </w:rPr>
          <w:t>Annexes</w:t>
        </w:r>
        <w:r w:rsidR="00197D9B">
          <w:rPr>
            <w:noProof/>
            <w:webHidden/>
          </w:rPr>
          <w:tab/>
        </w:r>
        <w:r w:rsidR="00197D9B">
          <w:rPr>
            <w:noProof/>
            <w:webHidden/>
          </w:rPr>
          <w:fldChar w:fldCharType="begin"/>
        </w:r>
        <w:r w:rsidR="00197D9B">
          <w:rPr>
            <w:noProof/>
            <w:webHidden/>
          </w:rPr>
          <w:instrText xml:space="preserve"> PAGEREF _Toc122478960 \h </w:instrText>
        </w:r>
        <w:r w:rsidR="00197D9B">
          <w:rPr>
            <w:noProof/>
            <w:webHidden/>
          </w:rPr>
        </w:r>
        <w:r w:rsidR="00197D9B">
          <w:rPr>
            <w:noProof/>
            <w:webHidden/>
          </w:rPr>
          <w:fldChar w:fldCharType="separate"/>
        </w:r>
        <w:r w:rsidR="003D0091">
          <w:rPr>
            <w:noProof/>
            <w:webHidden/>
          </w:rPr>
          <w:t>125</w:t>
        </w:r>
        <w:r w:rsidR="00197D9B">
          <w:rPr>
            <w:noProof/>
            <w:webHidden/>
          </w:rPr>
          <w:fldChar w:fldCharType="end"/>
        </w:r>
      </w:hyperlink>
    </w:p>
    <w:p w14:paraId="0358F408" w14:textId="0BF7455A" w:rsidR="00197D9B" w:rsidRDefault="00511B60" w:rsidP="003D0091">
      <w:pPr>
        <w:pStyle w:val="TOC2"/>
        <w:rPr>
          <w:rFonts w:eastAsiaTheme="minorEastAsia" w:cstheme="minorBidi"/>
          <w:noProof/>
          <w:color w:val="auto"/>
          <w:kern w:val="0"/>
          <w:sz w:val="22"/>
          <w:szCs w:val="22"/>
          <w:lang w:val="fr-FR" w:eastAsia="fr-FR"/>
        </w:rPr>
      </w:pPr>
      <w:hyperlink w:anchor="_Toc122478961" w:history="1">
        <w:r w:rsidR="00197D9B" w:rsidRPr="00081B51">
          <w:rPr>
            <w:rStyle w:val="Hyperlink"/>
            <w:rFonts w:eastAsiaTheme="majorEastAsia"/>
            <w:noProof/>
          </w:rPr>
          <w:t>Annex 1: List of active mining licenses during FY 2018, 2019 and 2020</w:t>
        </w:r>
        <w:r w:rsidR="00197D9B">
          <w:rPr>
            <w:noProof/>
            <w:webHidden/>
          </w:rPr>
          <w:tab/>
        </w:r>
        <w:r w:rsidR="00197D9B">
          <w:rPr>
            <w:noProof/>
            <w:webHidden/>
          </w:rPr>
          <w:fldChar w:fldCharType="begin"/>
        </w:r>
        <w:r w:rsidR="00197D9B">
          <w:rPr>
            <w:noProof/>
            <w:webHidden/>
          </w:rPr>
          <w:instrText xml:space="preserve"> PAGEREF _Toc122478961 \h </w:instrText>
        </w:r>
        <w:r w:rsidR="00197D9B">
          <w:rPr>
            <w:noProof/>
            <w:webHidden/>
          </w:rPr>
        </w:r>
        <w:r w:rsidR="00197D9B">
          <w:rPr>
            <w:noProof/>
            <w:webHidden/>
          </w:rPr>
          <w:fldChar w:fldCharType="separate"/>
        </w:r>
        <w:r w:rsidR="003D0091">
          <w:rPr>
            <w:noProof/>
            <w:webHidden/>
          </w:rPr>
          <w:t>126</w:t>
        </w:r>
        <w:r w:rsidR="00197D9B">
          <w:rPr>
            <w:noProof/>
            <w:webHidden/>
          </w:rPr>
          <w:fldChar w:fldCharType="end"/>
        </w:r>
      </w:hyperlink>
    </w:p>
    <w:p w14:paraId="0696854A" w14:textId="282C4F42" w:rsidR="00197D9B" w:rsidRDefault="00511B60" w:rsidP="003D0091">
      <w:pPr>
        <w:pStyle w:val="TOC2"/>
        <w:rPr>
          <w:rFonts w:eastAsiaTheme="minorEastAsia" w:cstheme="minorBidi"/>
          <w:noProof/>
          <w:color w:val="auto"/>
          <w:kern w:val="0"/>
          <w:sz w:val="22"/>
          <w:szCs w:val="22"/>
          <w:lang w:val="fr-FR" w:eastAsia="fr-FR"/>
        </w:rPr>
      </w:pPr>
      <w:hyperlink w:anchor="_Toc122478962" w:history="1">
        <w:r w:rsidR="00197D9B" w:rsidRPr="00081B51">
          <w:rPr>
            <w:rStyle w:val="Hyperlink"/>
            <w:rFonts w:eastAsiaTheme="majorEastAsia"/>
            <w:noProof/>
          </w:rPr>
          <w:t>Annex 2: Beneficial ownership</w:t>
        </w:r>
        <w:r w:rsidR="00197D9B">
          <w:rPr>
            <w:noProof/>
            <w:webHidden/>
          </w:rPr>
          <w:tab/>
        </w:r>
        <w:r w:rsidR="00197D9B">
          <w:rPr>
            <w:noProof/>
            <w:webHidden/>
          </w:rPr>
          <w:fldChar w:fldCharType="begin"/>
        </w:r>
        <w:r w:rsidR="00197D9B">
          <w:rPr>
            <w:noProof/>
            <w:webHidden/>
          </w:rPr>
          <w:instrText xml:space="preserve"> PAGEREF _Toc122478962 \h </w:instrText>
        </w:r>
        <w:r w:rsidR="00197D9B">
          <w:rPr>
            <w:noProof/>
            <w:webHidden/>
          </w:rPr>
        </w:r>
        <w:r w:rsidR="00197D9B">
          <w:rPr>
            <w:noProof/>
            <w:webHidden/>
          </w:rPr>
          <w:fldChar w:fldCharType="separate"/>
        </w:r>
        <w:r w:rsidR="003D0091">
          <w:rPr>
            <w:noProof/>
            <w:webHidden/>
          </w:rPr>
          <w:t>136</w:t>
        </w:r>
        <w:r w:rsidR="00197D9B">
          <w:rPr>
            <w:noProof/>
            <w:webHidden/>
          </w:rPr>
          <w:fldChar w:fldCharType="end"/>
        </w:r>
      </w:hyperlink>
    </w:p>
    <w:p w14:paraId="57842C11" w14:textId="46E96E58" w:rsidR="00197D9B" w:rsidRDefault="00511B60" w:rsidP="003D0091">
      <w:pPr>
        <w:pStyle w:val="TOC2"/>
        <w:rPr>
          <w:rFonts w:eastAsiaTheme="minorEastAsia" w:cstheme="minorBidi"/>
          <w:noProof/>
          <w:color w:val="auto"/>
          <w:kern w:val="0"/>
          <w:sz w:val="22"/>
          <w:szCs w:val="22"/>
          <w:lang w:val="fr-FR" w:eastAsia="fr-FR"/>
        </w:rPr>
      </w:pPr>
      <w:hyperlink w:anchor="_Toc122478963" w:history="1">
        <w:r w:rsidR="00197D9B" w:rsidRPr="00081B51">
          <w:rPr>
            <w:rStyle w:val="Hyperlink"/>
            <w:rFonts w:eastAsiaTheme="majorEastAsia"/>
            <w:noProof/>
          </w:rPr>
          <w:t>Annex 3: Legal ownership</w:t>
        </w:r>
        <w:r w:rsidR="00197D9B">
          <w:rPr>
            <w:noProof/>
            <w:webHidden/>
          </w:rPr>
          <w:tab/>
        </w:r>
        <w:r w:rsidR="00197D9B">
          <w:rPr>
            <w:noProof/>
            <w:webHidden/>
          </w:rPr>
          <w:fldChar w:fldCharType="begin"/>
        </w:r>
        <w:r w:rsidR="00197D9B">
          <w:rPr>
            <w:noProof/>
            <w:webHidden/>
          </w:rPr>
          <w:instrText xml:space="preserve"> PAGEREF _Toc122478963 \h </w:instrText>
        </w:r>
        <w:r w:rsidR="00197D9B">
          <w:rPr>
            <w:noProof/>
            <w:webHidden/>
          </w:rPr>
        </w:r>
        <w:r w:rsidR="00197D9B">
          <w:rPr>
            <w:noProof/>
            <w:webHidden/>
          </w:rPr>
          <w:fldChar w:fldCharType="separate"/>
        </w:r>
        <w:r w:rsidR="003D0091">
          <w:rPr>
            <w:noProof/>
            <w:webHidden/>
          </w:rPr>
          <w:t>137</w:t>
        </w:r>
        <w:r w:rsidR="00197D9B">
          <w:rPr>
            <w:noProof/>
            <w:webHidden/>
          </w:rPr>
          <w:fldChar w:fldCharType="end"/>
        </w:r>
      </w:hyperlink>
    </w:p>
    <w:p w14:paraId="049B6D42" w14:textId="043AF7DF" w:rsidR="00197D9B" w:rsidRDefault="00511B60" w:rsidP="003D0091">
      <w:pPr>
        <w:pStyle w:val="TOC2"/>
        <w:rPr>
          <w:rFonts w:eastAsiaTheme="minorEastAsia" w:cstheme="minorBidi"/>
          <w:noProof/>
          <w:color w:val="auto"/>
          <w:kern w:val="0"/>
          <w:sz w:val="22"/>
          <w:szCs w:val="22"/>
          <w:lang w:val="fr-FR" w:eastAsia="fr-FR"/>
        </w:rPr>
      </w:pPr>
      <w:hyperlink w:anchor="_Toc122478964" w:history="1">
        <w:r w:rsidR="00197D9B" w:rsidRPr="00081B51">
          <w:rPr>
            <w:rStyle w:val="Hyperlink"/>
            <w:rFonts w:eastAsiaTheme="majorEastAsia"/>
            <w:noProof/>
          </w:rPr>
          <w:t>Annex 4: Data submission and reliability 2018, 2019 and 2020</w:t>
        </w:r>
        <w:r w:rsidR="00197D9B">
          <w:rPr>
            <w:noProof/>
            <w:webHidden/>
          </w:rPr>
          <w:tab/>
        </w:r>
        <w:r w:rsidR="00197D9B">
          <w:rPr>
            <w:noProof/>
            <w:webHidden/>
          </w:rPr>
          <w:fldChar w:fldCharType="begin"/>
        </w:r>
        <w:r w:rsidR="00197D9B">
          <w:rPr>
            <w:noProof/>
            <w:webHidden/>
          </w:rPr>
          <w:instrText xml:space="preserve"> PAGEREF _Toc122478964 \h </w:instrText>
        </w:r>
        <w:r w:rsidR="00197D9B">
          <w:rPr>
            <w:noProof/>
            <w:webHidden/>
          </w:rPr>
        </w:r>
        <w:r w:rsidR="00197D9B">
          <w:rPr>
            <w:noProof/>
            <w:webHidden/>
          </w:rPr>
          <w:fldChar w:fldCharType="separate"/>
        </w:r>
        <w:r w:rsidR="003D0091">
          <w:rPr>
            <w:noProof/>
            <w:webHidden/>
          </w:rPr>
          <w:t>138</w:t>
        </w:r>
        <w:r w:rsidR="00197D9B">
          <w:rPr>
            <w:noProof/>
            <w:webHidden/>
          </w:rPr>
          <w:fldChar w:fldCharType="end"/>
        </w:r>
      </w:hyperlink>
    </w:p>
    <w:p w14:paraId="59BB31BA" w14:textId="6543C794" w:rsidR="00197D9B" w:rsidRDefault="00511B60" w:rsidP="003D0091">
      <w:pPr>
        <w:pStyle w:val="TOC2"/>
        <w:rPr>
          <w:rFonts w:eastAsiaTheme="minorEastAsia" w:cstheme="minorBidi"/>
          <w:noProof/>
          <w:color w:val="auto"/>
          <w:kern w:val="0"/>
          <w:sz w:val="22"/>
          <w:szCs w:val="22"/>
          <w:lang w:val="fr-FR" w:eastAsia="fr-FR"/>
        </w:rPr>
      </w:pPr>
      <w:hyperlink w:anchor="_Toc122478965" w:history="1">
        <w:r w:rsidR="00197D9B" w:rsidRPr="00081B51">
          <w:rPr>
            <w:rStyle w:val="Hyperlink"/>
            <w:rFonts w:eastAsiaTheme="majorEastAsia"/>
            <w:noProof/>
          </w:rPr>
          <w:t>Annex 5: Companies profile as declared by the oil and gas entities</w:t>
        </w:r>
        <w:r w:rsidR="00197D9B">
          <w:rPr>
            <w:noProof/>
            <w:webHidden/>
          </w:rPr>
          <w:tab/>
        </w:r>
        <w:r w:rsidR="00197D9B">
          <w:rPr>
            <w:noProof/>
            <w:webHidden/>
          </w:rPr>
          <w:fldChar w:fldCharType="begin"/>
        </w:r>
        <w:r w:rsidR="00197D9B">
          <w:rPr>
            <w:noProof/>
            <w:webHidden/>
          </w:rPr>
          <w:instrText xml:space="preserve"> PAGEREF _Toc122478965 \h </w:instrText>
        </w:r>
        <w:r w:rsidR="00197D9B">
          <w:rPr>
            <w:noProof/>
            <w:webHidden/>
          </w:rPr>
        </w:r>
        <w:r w:rsidR="00197D9B">
          <w:rPr>
            <w:noProof/>
            <w:webHidden/>
          </w:rPr>
          <w:fldChar w:fldCharType="separate"/>
        </w:r>
        <w:r w:rsidR="003D0091">
          <w:rPr>
            <w:noProof/>
            <w:webHidden/>
          </w:rPr>
          <w:t>140</w:t>
        </w:r>
        <w:r w:rsidR="00197D9B">
          <w:rPr>
            <w:noProof/>
            <w:webHidden/>
          </w:rPr>
          <w:fldChar w:fldCharType="end"/>
        </w:r>
      </w:hyperlink>
    </w:p>
    <w:p w14:paraId="7D6F819C" w14:textId="744C60FD" w:rsidR="00197D9B" w:rsidRDefault="00511B60" w:rsidP="003D0091">
      <w:pPr>
        <w:pStyle w:val="TOC2"/>
        <w:rPr>
          <w:rFonts w:eastAsiaTheme="minorEastAsia" w:cstheme="minorBidi"/>
          <w:noProof/>
          <w:color w:val="auto"/>
          <w:kern w:val="0"/>
          <w:sz w:val="22"/>
          <w:szCs w:val="22"/>
          <w:lang w:val="fr-FR" w:eastAsia="fr-FR"/>
        </w:rPr>
      </w:pPr>
      <w:hyperlink w:anchor="_Toc122478966" w:history="1">
        <w:r w:rsidR="00197D9B" w:rsidRPr="00081B51">
          <w:rPr>
            <w:rStyle w:val="Hyperlink"/>
            <w:rFonts w:eastAsiaTheme="majorEastAsia"/>
            <w:noProof/>
          </w:rPr>
          <w:t>Annex 6: Reconciliation sheet by companies</w:t>
        </w:r>
        <w:r w:rsidR="00197D9B">
          <w:rPr>
            <w:noProof/>
            <w:webHidden/>
          </w:rPr>
          <w:tab/>
        </w:r>
        <w:r w:rsidR="00197D9B">
          <w:rPr>
            <w:noProof/>
            <w:webHidden/>
          </w:rPr>
          <w:fldChar w:fldCharType="begin"/>
        </w:r>
        <w:r w:rsidR="00197D9B">
          <w:rPr>
            <w:noProof/>
            <w:webHidden/>
          </w:rPr>
          <w:instrText xml:space="preserve"> PAGEREF _Toc122478966 \h </w:instrText>
        </w:r>
        <w:r w:rsidR="00197D9B">
          <w:rPr>
            <w:noProof/>
            <w:webHidden/>
          </w:rPr>
        </w:r>
        <w:r w:rsidR="00197D9B">
          <w:rPr>
            <w:noProof/>
            <w:webHidden/>
          </w:rPr>
          <w:fldChar w:fldCharType="separate"/>
        </w:r>
        <w:r w:rsidR="003D0091">
          <w:rPr>
            <w:noProof/>
            <w:webHidden/>
          </w:rPr>
          <w:t>141</w:t>
        </w:r>
        <w:r w:rsidR="00197D9B">
          <w:rPr>
            <w:noProof/>
            <w:webHidden/>
          </w:rPr>
          <w:fldChar w:fldCharType="end"/>
        </w:r>
      </w:hyperlink>
    </w:p>
    <w:p w14:paraId="39CC4418" w14:textId="3131BD27" w:rsidR="00197D9B" w:rsidRDefault="00511B60">
      <w:pPr>
        <w:pStyle w:val="TOC3"/>
        <w:rPr>
          <w:rFonts w:eastAsiaTheme="minorEastAsia" w:cstheme="minorBidi"/>
          <w:noProof/>
          <w:color w:val="auto"/>
          <w:kern w:val="0"/>
          <w:sz w:val="22"/>
          <w:szCs w:val="22"/>
          <w:lang w:val="fr-FR" w:eastAsia="fr-FR"/>
        </w:rPr>
      </w:pPr>
      <w:hyperlink w:anchor="_Toc122478967" w:history="1">
        <w:r w:rsidR="00197D9B" w:rsidRPr="00081B51">
          <w:rPr>
            <w:rStyle w:val="Hyperlink"/>
            <w:rFonts w:eastAsiaTheme="majorEastAsia"/>
            <w:noProof/>
          </w:rPr>
          <w:t>Fiscal year 2018</w:t>
        </w:r>
        <w:r w:rsidR="00197D9B">
          <w:rPr>
            <w:noProof/>
            <w:webHidden/>
          </w:rPr>
          <w:tab/>
        </w:r>
        <w:r w:rsidR="00197D9B">
          <w:rPr>
            <w:noProof/>
            <w:webHidden/>
          </w:rPr>
          <w:fldChar w:fldCharType="begin"/>
        </w:r>
        <w:r w:rsidR="00197D9B">
          <w:rPr>
            <w:noProof/>
            <w:webHidden/>
          </w:rPr>
          <w:instrText xml:space="preserve"> PAGEREF _Toc122478967 \h </w:instrText>
        </w:r>
        <w:r w:rsidR="00197D9B">
          <w:rPr>
            <w:noProof/>
            <w:webHidden/>
          </w:rPr>
        </w:r>
        <w:r w:rsidR="00197D9B">
          <w:rPr>
            <w:noProof/>
            <w:webHidden/>
          </w:rPr>
          <w:fldChar w:fldCharType="separate"/>
        </w:r>
        <w:r w:rsidR="003D0091">
          <w:rPr>
            <w:noProof/>
            <w:webHidden/>
          </w:rPr>
          <w:t>141</w:t>
        </w:r>
        <w:r w:rsidR="00197D9B">
          <w:rPr>
            <w:noProof/>
            <w:webHidden/>
          </w:rPr>
          <w:fldChar w:fldCharType="end"/>
        </w:r>
      </w:hyperlink>
    </w:p>
    <w:p w14:paraId="6C5D2176" w14:textId="5C3242BB" w:rsidR="00197D9B" w:rsidRDefault="00511B60">
      <w:pPr>
        <w:pStyle w:val="TOC3"/>
        <w:rPr>
          <w:rFonts w:eastAsiaTheme="minorEastAsia" w:cstheme="minorBidi"/>
          <w:noProof/>
          <w:color w:val="auto"/>
          <w:kern w:val="0"/>
          <w:sz w:val="22"/>
          <w:szCs w:val="22"/>
          <w:lang w:val="fr-FR" w:eastAsia="fr-FR"/>
        </w:rPr>
      </w:pPr>
      <w:hyperlink w:anchor="_Toc122478968" w:history="1">
        <w:r w:rsidR="00197D9B" w:rsidRPr="00081B51">
          <w:rPr>
            <w:rStyle w:val="Hyperlink"/>
            <w:rFonts w:eastAsiaTheme="majorEastAsia"/>
            <w:noProof/>
          </w:rPr>
          <w:t>Fiscal year 2019</w:t>
        </w:r>
        <w:r w:rsidR="00197D9B">
          <w:rPr>
            <w:noProof/>
            <w:webHidden/>
          </w:rPr>
          <w:tab/>
        </w:r>
        <w:r w:rsidR="00197D9B">
          <w:rPr>
            <w:noProof/>
            <w:webHidden/>
          </w:rPr>
          <w:fldChar w:fldCharType="begin"/>
        </w:r>
        <w:r w:rsidR="00197D9B">
          <w:rPr>
            <w:noProof/>
            <w:webHidden/>
          </w:rPr>
          <w:instrText xml:space="preserve"> PAGEREF _Toc122478968 \h </w:instrText>
        </w:r>
        <w:r w:rsidR="00197D9B">
          <w:rPr>
            <w:noProof/>
            <w:webHidden/>
          </w:rPr>
        </w:r>
        <w:r w:rsidR="00197D9B">
          <w:rPr>
            <w:noProof/>
            <w:webHidden/>
          </w:rPr>
          <w:fldChar w:fldCharType="separate"/>
        </w:r>
        <w:r w:rsidR="003D0091">
          <w:rPr>
            <w:noProof/>
            <w:webHidden/>
          </w:rPr>
          <w:t>149</w:t>
        </w:r>
        <w:r w:rsidR="00197D9B">
          <w:rPr>
            <w:noProof/>
            <w:webHidden/>
          </w:rPr>
          <w:fldChar w:fldCharType="end"/>
        </w:r>
      </w:hyperlink>
    </w:p>
    <w:p w14:paraId="4BD9966A" w14:textId="0F36D74E" w:rsidR="00197D9B" w:rsidRDefault="00511B60">
      <w:pPr>
        <w:pStyle w:val="TOC3"/>
        <w:rPr>
          <w:rFonts w:eastAsiaTheme="minorEastAsia" w:cstheme="minorBidi"/>
          <w:noProof/>
          <w:color w:val="auto"/>
          <w:kern w:val="0"/>
          <w:sz w:val="22"/>
          <w:szCs w:val="22"/>
          <w:lang w:val="fr-FR" w:eastAsia="fr-FR"/>
        </w:rPr>
      </w:pPr>
      <w:hyperlink w:anchor="_Toc122478969" w:history="1">
        <w:r w:rsidR="00197D9B" w:rsidRPr="00081B51">
          <w:rPr>
            <w:rStyle w:val="Hyperlink"/>
            <w:rFonts w:eastAsiaTheme="majorEastAsia"/>
            <w:noProof/>
          </w:rPr>
          <w:t>Fiscal year 2020</w:t>
        </w:r>
        <w:r w:rsidR="00197D9B">
          <w:rPr>
            <w:noProof/>
            <w:webHidden/>
          </w:rPr>
          <w:tab/>
        </w:r>
        <w:r w:rsidR="00197D9B">
          <w:rPr>
            <w:noProof/>
            <w:webHidden/>
          </w:rPr>
          <w:fldChar w:fldCharType="begin"/>
        </w:r>
        <w:r w:rsidR="00197D9B">
          <w:rPr>
            <w:noProof/>
            <w:webHidden/>
          </w:rPr>
          <w:instrText xml:space="preserve"> PAGEREF _Toc122478969 \h </w:instrText>
        </w:r>
        <w:r w:rsidR="00197D9B">
          <w:rPr>
            <w:noProof/>
            <w:webHidden/>
          </w:rPr>
        </w:r>
        <w:r w:rsidR="00197D9B">
          <w:rPr>
            <w:noProof/>
            <w:webHidden/>
          </w:rPr>
          <w:fldChar w:fldCharType="separate"/>
        </w:r>
        <w:r w:rsidR="003D0091">
          <w:rPr>
            <w:noProof/>
            <w:webHidden/>
          </w:rPr>
          <w:t>157</w:t>
        </w:r>
        <w:r w:rsidR="00197D9B">
          <w:rPr>
            <w:noProof/>
            <w:webHidden/>
          </w:rPr>
          <w:fldChar w:fldCharType="end"/>
        </w:r>
      </w:hyperlink>
    </w:p>
    <w:p w14:paraId="756C45BC" w14:textId="45EE76DF" w:rsidR="00197D9B" w:rsidRDefault="00511B60" w:rsidP="003D0091">
      <w:pPr>
        <w:pStyle w:val="TOC2"/>
        <w:rPr>
          <w:rFonts w:eastAsiaTheme="minorEastAsia" w:cstheme="minorBidi"/>
          <w:noProof/>
          <w:color w:val="auto"/>
          <w:kern w:val="0"/>
          <w:sz w:val="22"/>
          <w:szCs w:val="22"/>
          <w:lang w:val="fr-FR" w:eastAsia="fr-FR"/>
        </w:rPr>
      </w:pPr>
      <w:hyperlink w:anchor="_Toc122478970" w:history="1">
        <w:r w:rsidR="00197D9B" w:rsidRPr="00081B51">
          <w:rPr>
            <w:rStyle w:val="Hyperlink"/>
            <w:rFonts w:eastAsiaTheme="majorEastAsia"/>
            <w:noProof/>
          </w:rPr>
          <w:t>Annex 7: Persons contacted or involved</w:t>
        </w:r>
        <w:r w:rsidR="00197D9B">
          <w:rPr>
            <w:noProof/>
            <w:webHidden/>
          </w:rPr>
          <w:tab/>
        </w:r>
        <w:r w:rsidR="00197D9B">
          <w:rPr>
            <w:noProof/>
            <w:webHidden/>
          </w:rPr>
          <w:fldChar w:fldCharType="begin"/>
        </w:r>
        <w:r w:rsidR="00197D9B">
          <w:rPr>
            <w:noProof/>
            <w:webHidden/>
          </w:rPr>
          <w:instrText xml:space="preserve"> PAGEREF _Toc122478970 \h </w:instrText>
        </w:r>
        <w:r w:rsidR="00197D9B">
          <w:rPr>
            <w:noProof/>
            <w:webHidden/>
          </w:rPr>
        </w:r>
        <w:r w:rsidR="00197D9B">
          <w:rPr>
            <w:noProof/>
            <w:webHidden/>
          </w:rPr>
          <w:fldChar w:fldCharType="separate"/>
        </w:r>
        <w:r w:rsidR="003D0091">
          <w:rPr>
            <w:noProof/>
            <w:webHidden/>
          </w:rPr>
          <w:t>165</w:t>
        </w:r>
        <w:r w:rsidR="00197D9B">
          <w:rPr>
            <w:noProof/>
            <w:webHidden/>
          </w:rPr>
          <w:fldChar w:fldCharType="end"/>
        </w:r>
      </w:hyperlink>
    </w:p>
    <w:p w14:paraId="7BFC379C" w14:textId="55BC2658" w:rsidR="003A4A35" w:rsidRPr="00894701" w:rsidRDefault="009F372D" w:rsidP="003D0091">
      <w:pPr>
        <w:pStyle w:val="TOC2"/>
        <w:rPr>
          <w:rFonts w:eastAsiaTheme="minorEastAsia" w:cstheme="minorBidi"/>
          <w:noProof/>
          <w:kern w:val="0"/>
        </w:rPr>
      </w:pPr>
      <w:r w:rsidRPr="00894701">
        <w:fldChar w:fldCharType="end"/>
      </w:r>
    </w:p>
    <w:p w14:paraId="15EE4B2B" w14:textId="3119E33F" w:rsidR="003A4A35" w:rsidRPr="00894701" w:rsidRDefault="003A4A35" w:rsidP="003D0091">
      <w:pPr>
        <w:pStyle w:val="TOC2"/>
        <w:rPr>
          <w:rFonts w:eastAsiaTheme="minorEastAsia"/>
          <w:noProof/>
        </w:rPr>
      </w:pPr>
    </w:p>
    <w:p w14:paraId="0A0A647A" w14:textId="7EE350BB" w:rsidR="00F00735" w:rsidRPr="00894701" w:rsidRDefault="00F00735" w:rsidP="003D0091">
      <w:pPr>
        <w:pStyle w:val="TOC2"/>
      </w:pPr>
    </w:p>
    <w:p w14:paraId="719D1CF4" w14:textId="18ED9597" w:rsidR="003A4A35" w:rsidRPr="00894701" w:rsidRDefault="00A96F7E" w:rsidP="0071537D">
      <w:pPr>
        <w:ind w:right="-46"/>
        <w:outlineLvl w:val="0"/>
        <w:rPr>
          <w:rFonts w:asciiTheme="minorHAnsi" w:hAnsiTheme="minorHAnsi"/>
          <w:sz w:val="20"/>
          <w:szCs w:val="20"/>
        </w:rPr>
      </w:pPr>
      <w:r w:rsidRPr="00894701">
        <w:rPr>
          <w:rFonts w:asciiTheme="minorHAnsi" w:hAnsiTheme="minorHAnsi"/>
          <w:sz w:val="20"/>
          <w:szCs w:val="20"/>
        </w:rPr>
        <w:tab/>
      </w:r>
    </w:p>
    <w:p w14:paraId="4BBD5E55" w14:textId="77777777" w:rsidR="005F7A02" w:rsidRPr="00894701" w:rsidRDefault="005F7A02" w:rsidP="008F78E0">
      <w:pPr>
        <w:ind w:right="480"/>
        <w:rPr>
          <w:rFonts w:asciiTheme="minorHAnsi" w:hAnsiTheme="minorHAnsi"/>
          <w:sz w:val="20"/>
          <w:szCs w:val="20"/>
        </w:rPr>
        <w:sectPr w:rsidR="005F7A02" w:rsidRPr="00894701" w:rsidSect="009E5D28">
          <w:headerReference w:type="default" r:id="rId21"/>
          <w:footerReference w:type="default" r:id="rId22"/>
          <w:type w:val="continuous"/>
          <w:pgSz w:w="11906" w:h="16838" w:code="9"/>
          <w:pgMar w:top="1440" w:right="1440" w:bottom="1440" w:left="1440" w:header="851" w:footer="709" w:gutter="0"/>
          <w:pgNumType w:start="0"/>
          <w:cols w:space="708"/>
          <w:docGrid w:linePitch="360"/>
        </w:sectPr>
      </w:pPr>
    </w:p>
    <w:p w14:paraId="344CF815" w14:textId="6823E221" w:rsidR="00A40FA5" w:rsidRPr="00894701" w:rsidRDefault="003A4A35" w:rsidP="00AE1CA0">
      <w:pPr>
        <w:spacing w:after="0" w:line="240" w:lineRule="auto"/>
        <w:rPr>
          <w:rFonts w:asciiTheme="minorHAnsi" w:hAnsiTheme="minorHAnsi"/>
        </w:rPr>
      </w:pPr>
      <w:r w:rsidRPr="00894701">
        <w:rPr>
          <w:rFonts w:asciiTheme="minorHAnsi" w:hAnsiTheme="minorHAnsi"/>
        </w:rPr>
        <w:br w:type="page"/>
      </w:r>
    </w:p>
    <w:p w14:paraId="62D0E08E" w14:textId="77777777" w:rsidR="00A40FA5" w:rsidRPr="00894701" w:rsidRDefault="00A40FA5" w:rsidP="00FF6EB3">
      <w:pPr>
        <w:spacing w:after="60" w:line="240" w:lineRule="auto"/>
        <w:ind w:right="480"/>
        <w:rPr>
          <w:rFonts w:asciiTheme="minorHAnsi" w:hAnsiTheme="minorHAnsi"/>
        </w:rPr>
      </w:pPr>
    </w:p>
    <w:p w14:paraId="76105E81" w14:textId="77777777" w:rsidR="00CB4C1D" w:rsidRPr="00894701" w:rsidRDefault="00CB4C1D" w:rsidP="00FF6EB3">
      <w:pPr>
        <w:spacing w:after="60" w:line="240" w:lineRule="auto"/>
        <w:ind w:right="480"/>
        <w:rPr>
          <w:rFonts w:asciiTheme="minorHAnsi" w:hAnsiTheme="minorHAnsi"/>
        </w:rPr>
      </w:pPr>
    </w:p>
    <w:p w14:paraId="6D066C88" w14:textId="6EE3A5CB" w:rsidR="00CB4C1D" w:rsidRPr="00894701" w:rsidRDefault="00CB4C1D" w:rsidP="00CB4C1D">
      <w:pPr>
        <w:pStyle w:val="TableOfContentsHeader"/>
        <w:ind w:right="-46"/>
        <w:rPr>
          <w:rFonts w:asciiTheme="minorHAnsi" w:hAnsiTheme="minorHAnsi"/>
          <w:sz w:val="28"/>
          <w:szCs w:val="28"/>
        </w:rPr>
      </w:pPr>
      <w:r w:rsidRPr="00894701">
        <w:rPr>
          <w:rFonts w:asciiTheme="minorHAnsi" w:hAnsiTheme="minorHAnsi"/>
          <w:sz w:val="28"/>
          <w:szCs w:val="28"/>
        </w:rPr>
        <w:t>list of tables</w:t>
      </w:r>
    </w:p>
    <w:p w14:paraId="12890C2B" w14:textId="437E268B" w:rsidR="0035303B" w:rsidRDefault="00CB4C1D">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r w:rsidRPr="00894701">
        <w:rPr>
          <w:rStyle w:val="Hyperlink"/>
          <w:rFonts w:asciiTheme="minorHAnsi" w:eastAsiaTheme="majorEastAsia" w:hAnsiTheme="minorHAnsi"/>
          <w:b/>
          <w:bCs/>
          <w:i/>
          <w:iCs/>
          <w:caps/>
          <w:smallCaps/>
          <w:noProof/>
        </w:rPr>
        <w:fldChar w:fldCharType="begin"/>
      </w:r>
      <w:r w:rsidRPr="00894701">
        <w:rPr>
          <w:rStyle w:val="Hyperlink"/>
          <w:rFonts w:asciiTheme="minorHAnsi" w:eastAsiaTheme="majorEastAsia" w:hAnsiTheme="minorHAnsi"/>
          <w:b/>
          <w:bCs/>
          <w:i/>
          <w:iCs/>
          <w:caps/>
          <w:noProof/>
        </w:rPr>
        <w:instrText xml:space="preserve"> TOC \f F \h \z \c "Table" </w:instrText>
      </w:r>
      <w:r w:rsidRPr="00894701">
        <w:rPr>
          <w:rStyle w:val="Hyperlink"/>
          <w:rFonts w:asciiTheme="minorHAnsi" w:eastAsiaTheme="majorEastAsia" w:hAnsiTheme="minorHAnsi"/>
          <w:b/>
          <w:bCs/>
          <w:i/>
          <w:iCs/>
          <w:caps/>
          <w:smallCaps/>
          <w:noProof/>
        </w:rPr>
        <w:fldChar w:fldCharType="separate"/>
      </w:r>
      <w:hyperlink w:anchor="_Toc146590473" w:history="1">
        <w:r w:rsidR="0035303B" w:rsidRPr="0090354F">
          <w:rPr>
            <w:rStyle w:val="Hyperlink"/>
            <w:rFonts w:eastAsiaTheme="majorEastAsia"/>
            <w:b/>
            <w:bCs/>
            <w:noProof/>
          </w:rPr>
          <w:t>Table 1: List of abbreviations</w:t>
        </w:r>
        <w:r w:rsidR="0035303B">
          <w:rPr>
            <w:noProof/>
            <w:webHidden/>
          </w:rPr>
          <w:tab/>
        </w:r>
        <w:r w:rsidR="0035303B">
          <w:rPr>
            <w:noProof/>
            <w:webHidden/>
          </w:rPr>
          <w:fldChar w:fldCharType="begin"/>
        </w:r>
        <w:r w:rsidR="0035303B">
          <w:rPr>
            <w:noProof/>
            <w:webHidden/>
          </w:rPr>
          <w:instrText xml:space="preserve"> PAGEREF _Toc146590473 \h </w:instrText>
        </w:r>
        <w:r w:rsidR="0035303B">
          <w:rPr>
            <w:noProof/>
            <w:webHidden/>
          </w:rPr>
        </w:r>
        <w:r w:rsidR="0035303B">
          <w:rPr>
            <w:noProof/>
            <w:webHidden/>
          </w:rPr>
          <w:fldChar w:fldCharType="separate"/>
        </w:r>
        <w:r w:rsidR="003D0091">
          <w:rPr>
            <w:noProof/>
            <w:webHidden/>
          </w:rPr>
          <w:t>8</w:t>
        </w:r>
        <w:r w:rsidR="0035303B">
          <w:rPr>
            <w:noProof/>
            <w:webHidden/>
          </w:rPr>
          <w:fldChar w:fldCharType="end"/>
        </w:r>
      </w:hyperlink>
    </w:p>
    <w:p w14:paraId="2EA493C1" w14:textId="061E6178"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474" w:history="1">
        <w:r w:rsidR="0035303B" w:rsidRPr="0090354F">
          <w:rPr>
            <w:rStyle w:val="Hyperlink"/>
            <w:rFonts w:eastAsiaTheme="majorEastAsia"/>
            <w:b/>
            <w:bCs/>
            <w:noProof/>
          </w:rPr>
          <w:t>Table 2: Terminology used for the EITI-SR report covering the fiscal years 2018, 2019 and 2020</w:t>
        </w:r>
        <w:r w:rsidR="0035303B">
          <w:rPr>
            <w:noProof/>
            <w:webHidden/>
          </w:rPr>
          <w:tab/>
        </w:r>
        <w:r w:rsidR="0035303B">
          <w:rPr>
            <w:noProof/>
            <w:webHidden/>
          </w:rPr>
          <w:fldChar w:fldCharType="begin"/>
        </w:r>
        <w:r w:rsidR="0035303B">
          <w:rPr>
            <w:noProof/>
            <w:webHidden/>
          </w:rPr>
          <w:instrText xml:space="preserve"> PAGEREF _Toc146590474 \h </w:instrText>
        </w:r>
        <w:r w:rsidR="0035303B">
          <w:rPr>
            <w:noProof/>
            <w:webHidden/>
          </w:rPr>
        </w:r>
        <w:r w:rsidR="0035303B">
          <w:rPr>
            <w:noProof/>
            <w:webHidden/>
          </w:rPr>
          <w:fldChar w:fldCharType="separate"/>
        </w:r>
        <w:r w:rsidR="003D0091">
          <w:rPr>
            <w:noProof/>
            <w:webHidden/>
          </w:rPr>
          <w:t>11</w:t>
        </w:r>
        <w:r w:rsidR="0035303B">
          <w:rPr>
            <w:noProof/>
            <w:webHidden/>
          </w:rPr>
          <w:fldChar w:fldCharType="end"/>
        </w:r>
      </w:hyperlink>
    </w:p>
    <w:p w14:paraId="7AC52D8C" w14:textId="42F9C6C1"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475" w:history="1">
        <w:r w:rsidR="0035303B" w:rsidRPr="0090354F">
          <w:rPr>
            <w:rStyle w:val="Hyperlink"/>
            <w:rFonts w:eastAsiaTheme="majorEastAsia"/>
            <w:b/>
            <w:bCs/>
            <w:noProof/>
          </w:rPr>
          <w:t>Table 3: Total extractive revenues by Government Agency for the fiscal years 2018, 2019 and 2020</w:t>
        </w:r>
        <w:r w:rsidR="0035303B">
          <w:rPr>
            <w:noProof/>
            <w:webHidden/>
          </w:rPr>
          <w:tab/>
        </w:r>
        <w:r w:rsidR="0035303B">
          <w:rPr>
            <w:noProof/>
            <w:webHidden/>
          </w:rPr>
          <w:fldChar w:fldCharType="begin"/>
        </w:r>
        <w:r w:rsidR="0035303B">
          <w:rPr>
            <w:noProof/>
            <w:webHidden/>
          </w:rPr>
          <w:instrText xml:space="preserve"> PAGEREF _Toc146590475 \h </w:instrText>
        </w:r>
        <w:r w:rsidR="0035303B">
          <w:rPr>
            <w:noProof/>
            <w:webHidden/>
          </w:rPr>
        </w:r>
        <w:r w:rsidR="0035303B">
          <w:rPr>
            <w:noProof/>
            <w:webHidden/>
          </w:rPr>
          <w:fldChar w:fldCharType="separate"/>
        </w:r>
        <w:r w:rsidR="003D0091">
          <w:rPr>
            <w:noProof/>
            <w:webHidden/>
          </w:rPr>
          <w:t>12</w:t>
        </w:r>
        <w:r w:rsidR="0035303B">
          <w:rPr>
            <w:noProof/>
            <w:webHidden/>
          </w:rPr>
          <w:fldChar w:fldCharType="end"/>
        </w:r>
      </w:hyperlink>
    </w:p>
    <w:p w14:paraId="79715D46" w14:textId="77F5C75F"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476" w:history="1">
        <w:r w:rsidR="0035303B" w:rsidRPr="0090354F">
          <w:rPr>
            <w:rStyle w:val="Hyperlink"/>
            <w:rFonts w:eastAsiaTheme="majorEastAsia"/>
            <w:b/>
            <w:bCs/>
            <w:noProof/>
          </w:rPr>
          <w:t>Table 4: Total extractive revenues by sector for the fiscal years 2018, 2019 and 2020</w:t>
        </w:r>
        <w:r w:rsidR="0035303B">
          <w:rPr>
            <w:noProof/>
            <w:webHidden/>
          </w:rPr>
          <w:tab/>
        </w:r>
        <w:r w:rsidR="0035303B">
          <w:rPr>
            <w:noProof/>
            <w:webHidden/>
          </w:rPr>
          <w:fldChar w:fldCharType="begin"/>
        </w:r>
        <w:r w:rsidR="0035303B">
          <w:rPr>
            <w:noProof/>
            <w:webHidden/>
          </w:rPr>
          <w:instrText xml:space="preserve"> PAGEREF _Toc146590476 \h </w:instrText>
        </w:r>
        <w:r w:rsidR="0035303B">
          <w:rPr>
            <w:noProof/>
            <w:webHidden/>
          </w:rPr>
        </w:r>
        <w:r w:rsidR="0035303B">
          <w:rPr>
            <w:noProof/>
            <w:webHidden/>
          </w:rPr>
          <w:fldChar w:fldCharType="separate"/>
        </w:r>
        <w:r w:rsidR="003D0091">
          <w:rPr>
            <w:noProof/>
            <w:webHidden/>
          </w:rPr>
          <w:t>12</w:t>
        </w:r>
        <w:r w:rsidR="0035303B">
          <w:rPr>
            <w:noProof/>
            <w:webHidden/>
          </w:rPr>
          <w:fldChar w:fldCharType="end"/>
        </w:r>
      </w:hyperlink>
    </w:p>
    <w:p w14:paraId="0D144BBB" w14:textId="595DE465"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477" w:history="1">
        <w:r w:rsidR="0035303B" w:rsidRPr="0090354F">
          <w:rPr>
            <w:rStyle w:val="Hyperlink"/>
            <w:rFonts w:eastAsiaTheme="majorEastAsia"/>
            <w:b/>
            <w:bCs/>
            <w:noProof/>
          </w:rPr>
          <w:t>Table 5: Oil production data reported for the fiscal years 2018, 2019 and 2020</w:t>
        </w:r>
        <w:r w:rsidR="0035303B">
          <w:rPr>
            <w:noProof/>
            <w:webHidden/>
          </w:rPr>
          <w:tab/>
        </w:r>
        <w:r w:rsidR="0035303B">
          <w:rPr>
            <w:noProof/>
            <w:webHidden/>
          </w:rPr>
          <w:fldChar w:fldCharType="begin"/>
        </w:r>
        <w:r w:rsidR="0035303B">
          <w:rPr>
            <w:noProof/>
            <w:webHidden/>
          </w:rPr>
          <w:instrText xml:space="preserve"> PAGEREF _Toc146590477 \h </w:instrText>
        </w:r>
        <w:r w:rsidR="0035303B">
          <w:rPr>
            <w:noProof/>
            <w:webHidden/>
          </w:rPr>
        </w:r>
        <w:r w:rsidR="0035303B">
          <w:rPr>
            <w:noProof/>
            <w:webHidden/>
          </w:rPr>
          <w:fldChar w:fldCharType="separate"/>
        </w:r>
        <w:r w:rsidR="003D0091">
          <w:rPr>
            <w:noProof/>
            <w:webHidden/>
          </w:rPr>
          <w:t>15</w:t>
        </w:r>
        <w:r w:rsidR="0035303B">
          <w:rPr>
            <w:noProof/>
            <w:webHidden/>
          </w:rPr>
          <w:fldChar w:fldCharType="end"/>
        </w:r>
      </w:hyperlink>
    </w:p>
    <w:p w14:paraId="5EA9FDCD" w14:textId="0FBD85B9"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478" w:history="1">
        <w:r w:rsidR="0035303B" w:rsidRPr="0090354F">
          <w:rPr>
            <w:rStyle w:val="Hyperlink"/>
            <w:rFonts w:eastAsiaTheme="majorEastAsia"/>
            <w:b/>
            <w:bCs/>
            <w:noProof/>
          </w:rPr>
          <w:t>Table 6: Production data reported for the fiscal years 2018, 2019 and 2020 by mineral type</w:t>
        </w:r>
        <w:r w:rsidR="0035303B">
          <w:rPr>
            <w:noProof/>
            <w:webHidden/>
          </w:rPr>
          <w:tab/>
        </w:r>
        <w:r w:rsidR="0035303B">
          <w:rPr>
            <w:noProof/>
            <w:webHidden/>
          </w:rPr>
          <w:fldChar w:fldCharType="begin"/>
        </w:r>
        <w:r w:rsidR="0035303B">
          <w:rPr>
            <w:noProof/>
            <w:webHidden/>
          </w:rPr>
          <w:instrText xml:space="preserve"> PAGEREF _Toc146590478 \h </w:instrText>
        </w:r>
        <w:r w:rsidR="0035303B">
          <w:rPr>
            <w:noProof/>
            <w:webHidden/>
          </w:rPr>
        </w:r>
        <w:r w:rsidR="0035303B">
          <w:rPr>
            <w:noProof/>
            <w:webHidden/>
          </w:rPr>
          <w:fldChar w:fldCharType="separate"/>
        </w:r>
        <w:r w:rsidR="003D0091">
          <w:rPr>
            <w:noProof/>
            <w:webHidden/>
          </w:rPr>
          <w:t>15</w:t>
        </w:r>
        <w:r w:rsidR="0035303B">
          <w:rPr>
            <w:noProof/>
            <w:webHidden/>
          </w:rPr>
          <w:fldChar w:fldCharType="end"/>
        </w:r>
      </w:hyperlink>
    </w:p>
    <w:p w14:paraId="3A7A9C81" w14:textId="791AF78A"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479" w:history="1">
        <w:r w:rsidR="0035303B" w:rsidRPr="0090354F">
          <w:rPr>
            <w:rStyle w:val="Hyperlink"/>
            <w:rFonts w:eastAsiaTheme="majorEastAsia"/>
            <w:b/>
            <w:bCs/>
            <w:noProof/>
          </w:rPr>
          <w:t>Table 7: Reporting template not submitted by MoFP</w:t>
        </w:r>
        <w:r w:rsidR="0035303B">
          <w:rPr>
            <w:noProof/>
            <w:webHidden/>
          </w:rPr>
          <w:tab/>
        </w:r>
        <w:r w:rsidR="0035303B">
          <w:rPr>
            <w:noProof/>
            <w:webHidden/>
          </w:rPr>
          <w:fldChar w:fldCharType="begin"/>
        </w:r>
        <w:r w:rsidR="0035303B">
          <w:rPr>
            <w:noProof/>
            <w:webHidden/>
          </w:rPr>
          <w:instrText xml:space="preserve"> PAGEREF _Toc146590479 \h </w:instrText>
        </w:r>
        <w:r w:rsidR="0035303B">
          <w:rPr>
            <w:noProof/>
            <w:webHidden/>
          </w:rPr>
        </w:r>
        <w:r w:rsidR="0035303B">
          <w:rPr>
            <w:noProof/>
            <w:webHidden/>
          </w:rPr>
          <w:fldChar w:fldCharType="separate"/>
        </w:r>
        <w:r w:rsidR="003D0091">
          <w:rPr>
            <w:noProof/>
            <w:webHidden/>
          </w:rPr>
          <w:t>17</w:t>
        </w:r>
        <w:r w:rsidR="0035303B">
          <w:rPr>
            <w:noProof/>
            <w:webHidden/>
          </w:rPr>
          <w:fldChar w:fldCharType="end"/>
        </w:r>
      </w:hyperlink>
    </w:p>
    <w:p w14:paraId="0CD2E472" w14:textId="773578EA"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480" w:history="1">
        <w:r w:rsidR="0035303B" w:rsidRPr="0090354F">
          <w:rPr>
            <w:rStyle w:val="Hyperlink"/>
            <w:rFonts w:eastAsiaTheme="majorEastAsia"/>
            <w:b/>
            <w:bCs/>
            <w:noProof/>
          </w:rPr>
          <w:t>Table 8: Reporting templates submitted by the extractive companies not signed by authorised officers at management level</w:t>
        </w:r>
        <w:r w:rsidR="0035303B">
          <w:rPr>
            <w:noProof/>
            <w:webHidden/>
          </w:rPr>
          <w:tab/>
        </w:r>
        <w:r w:rsidR="0035303B">
          <w:rPr>
            <w:noProof/>
            <w:webHidden/>
          </w:rPr>
          <w:fldChar w:fldCharType="begin"/>
        </w:r>
        <w:r w:rsidR="0035303B">
          <w:rPr>
            <w:noProof/>
            <w:webHidden/>
          </w:rPr>
          <w:instrText xml:space="preserve"> PAGEREF _Toc146590480 \h </w:instrText>
        </w:r>
        <w:r w:rsidR="0035303B">
          <w:rPr>
            <w:noProof/>
            <w:webHidden/>
          </w:rPr>
        </w:r>
        <w:r w:rsidR="0035303B">
          <w:rPr>
            <w:noProof/>
            <w:webHidden/>
          </w:rPr>
          <w:fldChar w:fldCharType="separate"/>
        </w:r>
        <w:r w:rsidR="003D0091">
          <w:rPr>
            <w:noProof/>
            <w:webHidden/>
          </w:rPr>
          <w:t>17</w:t>
        </w:r>
        <w:r w:rsidR="0035303B">
          <w:rPr>
            <w:noProof/>
            <w:webHidden/>
          </w:rPr>
          <w:fldChar w:fldCharType="end"/>
        </w:r>
      </w:hyperlink>
    </w:p>
    <w:p w14:paraId="1192AC41" w14:textId="2D2584FE"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481" w:history="1">
        <w:r w:rsidR="0035303B" w:rsidRPr="0090354F">
          <w:rPr>
            <w:rStyle w:val="Hyperlink"/>
            <w:rFonts w:eastAsiaTheme="majorEastAsia"/>
            <w:b/>
            <w:bCs/>
            <w:noProof/>
          </w:rPr>
          <w:t>Table 9: List of extractive companies that did not submitted audited financial statements</w:t>
        </w:r>
        <w:r w:rsidR="0035303B">
          <w:rPr>
            <w:noProof/>
            <w:webHidden/>
          </w:rPr>
          <w:tab/>
        </w:r>
        <w:r w:rsidR="0035303B">
          <w:rPr>
            <w:noProof/>
            <w:webHidden/>
          </w:rPr>
          <w:fldChar w:fldCharType="begin"/>
        </w:r>
        <w:r w:rsidR="0035303B">
          <w:rPr>
            <w:noProof/>
            <w:webHidden/>
          </w:rPr>
          <w:instrText xml:space="preserve"> PAGEREF _Toc146590481 \h </w:instrText>
        </w:r>
        <w:r w:rsidR="0035303B">
          <w:rPr>
            <w:noProof/>
            <w:webHidden/>
          </w:rPr>
        </w:r>
        <w:r w:rsidR="0035303B">
          <w:rPr>
            <w:noProof/>
            <w:webHidden/>
          </w:rPr>
          <w:fldChar w:fldCharType="separate"/>
        </w:r>
        <w:r w:rsidR="003D0091">
          <w:rPr>
            <w:noProof/>
            <w:webHidden/>
          </w:rPr>
          <w:t>18</w:t>
        </w:r>
        <w:r w:rsidR="0035303B">
          <w:rPr>
            <w:noProof/>
            <w:webHidden/>
          </w:rPr>
          <w:fldChar w:fldCharType="end"/>
        </w:r>
      </w:hyperlink>
    </w:p>
    <w:p w14:paraId="42E6EDFD" w14:textId="3AA92F9B"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482" w:history="1">
        <w:r w:rsidR="0035303B" w:rsidRPr="0090354F">
          <w:rPr>
            <w:rStyle w:val="Hyperlink"/>
            <w:rFonts w:eastAsiaTheme="majorEastAsia"/>
            <w:b/>
            <w:bCs/>
            <w:noProof/>
          </w:rPr>
          <w:t>Table 10: Cash flows reconciliation</w:t>
        </w:r>
        <w:r w:rsidR="0035303B">
          <w:rPr>
            <w:noProof/>
            <w:webHidden/>
          </w:rPr>
          <w:tab/>
        </w:r>
        <w:r w:rsidR="0035303B">
          <w:rPr>
            <w:noProof/>
            <w:webHidden/>
          </w:rPr>
          <w:fldChar w:fldCharType="begin"/>
        </w:r>
        <w:r w:rsidR="0035303B">
          <w:rPr>
            <w:noProof/>
            <w:webHidden/>
          </w:rPr>
          <w:instrText xml:space="preserve"> PAGEREF _Toc146590482 \h </w:instrText>
        </w:r>
        <w:r w:rsidR="0035303B">
          <w:rPr>
            <w:noProof/>
            <w:webHidden/>
          </w:rPr>
        </w:r>
        <w:r w:rsidR="0035303B">
          <w:rPr>
            <w:noProof/>
            <w:webHidden/>
          </w:rPr>
          <w:fldChar w:fldCharType="separate"/>
        </w:r>
        <w:r w:rsidR="003D0091">
          <w:rPr>
            <w:noProof/>
            <w:webHidden/>
          </w:rPr>
          <w:t>19</w:t>
        </w:r>
        <w:r w:rsidR="0035303B">
          <w:rPr>
            <w:noProof/>
            <w:webHidden/>
          </w:rPr>
          <w:fldChar w:fldCharType="end"/>
        </w:r>
      </w:hyperlink>
    </w:p>
    <w:p w14:paraId="3044DB7A" w14:textId="05CEDBDD"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483" w:history="1">
        <w:r w:rsidR="0035303B" w:rsidRPr="0090354F">
          <w:rPr>
            <w:rStyle w:val="Hyperlink"/>
            <w:rFonts w:eastAsiaTheme="majorEastAsia"/>
            <w:b/>
            <w:bCs/>
            <w:noProof/>
          </w:rPr>
          <w:t>Table 11: List of recommendations</w:t>
        </w:r>
        <w:r w:rsidR="0035303B">
          <w:rPr>
            <w:noProof/>
            <w:webHidden/>
          </w:rPr>
          <w:tab/>
        </w:r>
        <w:r w:rsidR="0035303B">
          <w:rPr>
            <w:noProof/>
            <w:webHidden/>
          </w:rPr>
          <w:fldChar w:fldCharType="begin"/>
        </w:r>
        <w:r w:rsidR="0035303B">
          <w:rPr>
            <w:noProof/>
            <w:webHidden/>
          </w:rPr>
          <w:instrText xml:space="preserve"> PAGEREF _Toc146590483 \h </w:instrText>
        </w:r>
        <w:r w:rsidR="0035303B">
          <w:rPr>
            <w:noProof/>
            <w:webHidden/>
          </w:rPr>
        </w:r>
        <w:r w:rsidR="0035303B">
          <w:rPr>
            <w:noProof/>
            <w:webHidden/>
          </w:rPr>
          <w:fldChar w:fldCharType="separate"/>
        </w:r>
        <w:r w:rsidR="003D0091">
          <w:rPr>
            <w:noProof/>
            <w:webHidden/>
          </w:rPr>
          <w:t>19</w:t>
        </w:r>
        <w:r w:rsidR="0035303B">
          <w:rPr>
            <w:noProof/>
            <w:webHidden/>
          </w:rPr>
          <w:fldChar w:fldCharType="end"/>
        </w:r>
      </w:hyperlink>
    </w:p>
    <w:p w14:paraId="5CA4A59E" w14:textId="0A77C7EE"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484" w:history="1">
        <w:r w:rsidR="0035303B" w:rsidRPr="0090354F">
          <w:rPr>
            <w:rStyle w:val="Hyperlink"/>
            <w:rFonts w:asciiTheme="majorHAnsi" w:eastAsiaTheme="majorEastAsia" w:hAnsiTheme="majorHAnsi"/>
            <w:b/>
            <w:bCs/>
            <w:noProof/>
          </w:rPr>
          <w:t xml:space="preserve">Table 12: </w:t>
        </w:r>
        <w:r w:rsidR="0035303B" w:rsidRPr="0090354F">
          <w:rPr>
            <w:rStyle w:val="Hyperlink"/>
            <w:rFonts w:eastAsiaTheme="majorEastAsia" w:cs="TrebuchetMS-Bold"/>
            <w:b/>
            <w:bCs/>
            <w:noProof/>
            <w:kern w:val="0"/>
            <w:lang w:eastAsia="en-US"/>
          </w:rPr>
          <w:t>Main ongoing gold mining project in Suriname</w:t>
        </w:r>
        <w:r w:rsidR="0035303B">
          <w:rPr>
            <w:noProof/>
            <w:webHidden/>
          </w:rPr>
          <w:tab/>
        </w:r>
        <w:r w:rsidR="0035303B">
          <w:rPr>
            <w:noProof/>
            <w:webHidden/>
          </w:rPr>
          <w:fldChar w:fldCharType="begin"/>
        </w:r>
        <w:r w:rsidR="0035303B">
          <w:rPr>
            <w:noProof/>
            <w:webHidden/>
          </w:rPr>
          <w:instrText xml:space="preserve"> PAGEREF _Toc146590484 \h </w:instrText>
        </w:r>
        <w:r w:rsidR="0035303B">
          <w:rPr>
            <w:noProof/>
            <w:webHidden/>
          </w:rPr>
        </w:r>
        <w:r w:rsidR="0035303B">
          <w:rPr>
            <w:noProof/>
            <w:webHidden/>
          </w:rPr>
          <w:fldChar w:fldCharType="separate"/>
        </w:r>
        <w:r w:rsidR="003D0091">
          <w:rPr>
            <w:noProof/>
            <w:webHidden/>
          </w:rPr>
          <w:t>27</w:t>
        </w:r>
        <w:r w:rsidR="0035303B">
          <w:rPr>
            <w:noProof/>
            <w:webHidden/>
          </w:rPr>
          <w:fldChar w:fldCharType="end"/>
        </w:r>
      </w:hyperlink>
    </w:p>
    <w:p w14:paraId="3372977C" w14:textId="0456B19A"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485" w:history="1">
        <w:r w:rsidR="0035303B" w:rsidRPr="0090354F">
          <w:rPr>
            <w:rStyle w:val="Hyperlink"/>
            <w:rFonts w:asciiTheme="majorHAnsi" w:eastAsiaTheme="majorEastAsia" w:hAnsiTheme="majorHAnsi"/>
            <w:b/>
            <w:bCs/>
            <w:noProof/>
          </w:rPr>
          <w:t>Table 13: Crude oil production period</w:t>
        </w:r>
        <w:r w:rsidR="0035303B">
          <w:rPr>
            <w:noProof/>
            <w:webHidden/>
          </w:rPr>
          <w:tab/>
        </w:r>
        <w:r w:rsidR="0035303B">
          <w:rPr>
            <w:noProof/>
            <w:webHidden/>
          </w:rPr>
          <w:fldChar w:fldCharType="begin"/>
        </w:r>
        <w:r w:rsidR="0035303B">
          <w:rPr>
            <w:noProof/>
            <w:webHidden/>
          </w:rPr>
          <w:instrText xml:space="preserve"> PAGEREF _Toc146590485 \h </w:instrText>
        </w:r>
        <w:r w:rsidR="0035303B">
          <w:rPr>
            <w:noProof/>
            <w:webHidden/>
          </w:rPr>
        </w:r>
        <w:r w:rsidR="0035303B">
          <w:rPr>
            <w:noProof/>
            <w:webHidden/>
          </w:rPr>
          <w:fldChar w:fldCharType="separate"/>
        </w:r>
        <w:r w:rsidR="003D0091">
          <w:rPr>
            <w:noProof/>
            <w:webHidden/>
          </w:rPr>
          <w:t>33</w:t>
        </w:r>
        <w:r w:rsidR="0035303B">
          <w:rPr>
            <w:noProof/>
            <w:webHidden/>
          </w:rPr>
          <w:fldChar w:fldCharType="end"/>
        </w:r>
      </w:hyperlink>
    </w:p>
    <w:p w14:paraId="4E2A37E7" w14:textId="111BCEA2"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486" w:history="1">
        <w:r w:rsidR="0035303B" w:rsidRPr="0090354F">
          <w:rPr>
            <w:rStyle w:val="Hyperlink"/>
            <w:rFonts w:asciiTheme="majorHAnsi" w:eastAsiaTheme="majorEastAsia" w:hAnsiTheme="majorHAnsi"/>
            <w:b/>
            <w:bCs/>
            <w:noProof/>
          </w:rPr>
          <w:t>Table 14: Summary of Oil &amp; Gas Major event</w:t>
        </w:r>
        <w:r w:rsidR="0035303B">
          <w:rPr>
            <w:noProof/>
            <w:webHidden/>
          </w:rPr>
          <w:tab/>
        </w:r>
        <w:r w:rsidR="0035303B">
          <w:rPr>
            <w:noProof/>
            <w:webHidden/>
          </w:rPr>
          <w:fldChar w:fldCharType="begin"/>
        </w:r>
        <w:r w:rsidR="0035303B">
          <w:rPr>
            <w:noProof/>
            <w:webHidden/>
          </w:rPr>
          <w:instrText xml:space="preserve"> PAGEREF _Toc146590486 \h </w:instrText>
        </w:r>
        <w:r w:rsidR="0035303B">
          <w:rPr>
            <w:noProof/>
            <w:webHidden/>
          </w:rPr>
        </w:r>
        <w:r w:rsidR="0035303B">
          <w:rPr>
            <w:noProof/>
            <w:webHidden/>
          </w:rPr>
          <w:fldChar w:fldCharType="separate"/>
        </w:r>
        <w:r w:rsidR="003D0091">
          <w:rPr>
            <w:noProof/>
            <w:webHidden/>
          </w:rPr>
          <w:t>33</w:t>
        </w:r>
        <w:r w:rsidR="0035303B">
          <w:rPr>
            <w:noProof/>
            <w:webHidden/>
          </w:rPr>
          <w:fldChar w:fldCharType="end"/>
        </w:r>
      </w:hyperlink>
    </w:p>
    <w:p w14:paraId="44AF7A2D" w14:textId="4FB23270"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487" w:history="1">
        <w:r w:rsidR="0035303B" w:rsidRPr="0090354F">
          <w:rPr>
            <w:rStyle w:val="Hyperlink"/>
            <w:rFonts w:asciiTheme="majorHAnsi" w:eastAsiaTheme="majorEastAsia" w:hAnsiTheme="majorHAnsi"/>
            <w:b/>
            <w:bCs/>
            <w:noProof/>
          </w:rPr>
          <w:t>Table 15: Summary of Government agency(ies) key responsibilities</w:t>
        </w:r>
        <w:r w:rsidR="0035303B">
          <w:rPr>
            <w:noProof/>
            <w:webHidden/>
          </w:rPr>
          <w:tab/>
        </w:r>
        <w:r w:rsidR="0035303B">
          <w:rPr>
            <w:noProof/>
            <w:webHidden/>
          </w:rPr>
          <w:fldChar w:fldCharType="begin"/>
        </w:r>
        <w:r w:rsidR="0035303B">
          <w:rPr>
            <w:noProof/>
            <w:webHidden/>
          </w:rPr>
          <w:instrText xml:space="preserve"> PAGEREF _Toc146590487 \h </w:instrText>
        </w:r>
        <w:r w:rsidR="0035303B">
          <w:rPr>
            <w:noProof/>
            <w:webHidden/>
          </w:rPr>
        </w:r>
        <w:r w:rsidR="0035303B">
          <w:rPr>
            <w:noProof/>
            <w:webHidden/>
          </w:rPr>
          <w:fldChar w:fldCharType="separate"/>
        </w:r>
        <w:r w:rsidR="003D0091">
          <w:rPr>
            <w:noProof/>
            <w:webHidden/>
          </w:rPr>
          <w:t>33</w:t>
        </w:r>
        <w:r w:rsidR="0035303B">
          <w:rPr>
            <w:noProof/>
            <w:webHidden/>
          </w:rPr>
          <w:fldChar w:fldCharType="end"/>
        </w:r>
      </w:hyperlink>
    </w:p>
    <w:p w14:paraId="1AEEE159" w14:textId="570630FB"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488" w:history="1">
        <w:r w:rsidR="0035303B" w:rsidRPr="0090354F">
          <w:rPr>
            <w:rStyle w:val="Hyperlink"/>
            <w:rFonts w:asciiTheme="majorHAnsi" w:eastAsiaTheme="majorEastAsia" w:hAnsiTheme="majorHAnsi"/>
            <w:b/>
            <w:bCs/>
            <w:noProof/>
          </w:rPr>
          <w:t>Table 16: Summary of fiscal and legal laws and regulations</w:t>
        </w:r>
        <w:r w:rsidR="0035303B">
          <w:rPr>
            <w:noProof/>
            <w:webHidden/>
          </w:rPr>
          <w:tab/>
        </w:r>
        <w:r w:rsidR="0035303B">
          <w:rPr>
            <w:noProof/>
            <w:webHidden/>
          </w:rPr>
          <w:fldChar w:fldCharType="begin"/>
        </w:r>
        <w:r w:rsidR="0035303B">
          <w:rPr>
            <w:noProof/>
            <w:webHidden/>
          </w:rPr>
          <w:instrText xml:space="preserve"> PAGEREF _Toc146590488 \h </w:instrText>
        </w:r>
        <w:r w:rsidR="0035303B">
          <w:rPr>
            <w:noProof/>
            <w:webHidden/>
          </w:rPr>
        </w:r>
        <w:r w:rsidR="0035303B">
          <w:rPr>
            <w:noProof/>
            <w:webHidden/>
          </w:rPr>
          <w:fldChar w:fldCharType="separate"/>
        </w:r>
        <w:r w:rsidR="003D0091">
          <w:rPr>
            <w:noProof/>
            <w:webHidden/>
          </w:rPr>
          <w:t>38</w:t>
        </w:r>
        <w:r w:rsidR="0035303B">
          <w:rPr>
            <w:noProof/>
            <w:webHidden/>
          </w:rPr>
          <w:fldChar w:fldCharType="end"/>
        </w:r>
      </w:hyperlink>
    </w:p>
    <w:p w14:paraId="5947D45E" w14:textId="612A48B0"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489" w:history="1">
        <w:r w:rsidR="0035303B" w:rsidRPr="0090354F">
          <w:rPr>
            <w:rStyle w:val="Hyperlink"/>
            <w:rFonts w:asciiTheme="majorHAnsi" w:eastAsiaTheme="majorEastAsia" w:hAnsiTheme="majorHAnsi"/>
            <w:b/>
            <w:bCs/>
            <w:noProof/>
          </w:rPr>
          <w:t xml:space="preserve">Table 17: </w:t>
        </w:r>
        <w:r w:rsidR="0035303B" w:rsidRPr="0090354F">
          <w:rPr>
            <w:rStyle w:val="Hyperlink"/>
            <w:rFonts w:eastAsiaTheme="majorEastAsia" w:cs="TrebuchetMS-Bold"/>
            <w:b/>
            <w:bCs/>
            <w:noProof/>
          </w:rPr>
          <w:t>Mining sector tax regime</w:t>
        </w:r>
        <w:r w:rsidR="0035303B">
          <w:rPr>
            <w:noProof/>
            <w:webHidden/>
          </w:rPr>
          <w:tab/>
        </w:r>
        <w:r w:rsidR="0035303B">
          <w:rPr>
            <w:noProof/>
            <w:webHidden/>
          </w:rPr>
          <w:fldChar w:fldCharType="begin"/>
        </w:r>
        <w:r w:rsidR="0035303B">
          <w:rPr>
            <w:noProof/>
            <w:webHidden/>
          </w:rPr>
          <w:instrText xml:space="preserve"> PAGEREF _Toc146590489 \h </w:instrText>
        </w:r>
        <w:r w:rsidR="0035303B">
          <w:rPr>
            <w:noProof/>
            <w:webHidden/>
          </w:rPr>
        </w:r>
        <w:r w:rsidR="0035303B">
          <w:rPr>
            <w:noProof/>
            <w:webHidden/>
          </w:rPr>
          <w:fldChar w:fldCharType="separate"/>
        </w:r>
        <w:r w:rsidR="003D0091">
          <w:rPr>
            <w:noProof/>
            <w:webHidden/>
          </w:rPr>
          <w:t>41</w:t>
        </w:r>
        <w:r w:rsidR="0035303B">
          <w:rPr>
            <w:noProof/>
            <w:webHidden/>
          </w:rPr>
          <w:fldChar w:fldCharType="end"/>
        </w:r>
      </w:hyperlink>
    </w:p>
    <w:p w14:paraId="33AB0D77" w14:textId="75DFCDFA"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490" w:history="1">
        <w:r w:rsidR="0035303B" w:rsidRPr="0090354F">
          <w:rPr>
            <w:rStyle w:val="Hyperlink"/>
            <w:rFonts w:asciiTheme="majorHAnsi" w:eastAsiaTheme="majorEastAsia" w:hAnsiTheme="majorHAnsi"/>
            <w:b/>
            <w:bCs/>
            <w:noProof/>
          </w:rPr>
          <w:t>Table 18: Royalty fee rates</w:t>
        </w:r>
        <w:r w:rsidR="0035303B">
          <w:rPr>
            <w:noProof/>
            <w:webHidden/>
          </w:rPr>
          <w:tab/>
        </w:r>
        <w:r w:rsidR="0035303B">
          <w:rPr>
            <w:noProof/>
            <w:webHidden/>
          </w:rPr>
          <w:fldChar w:fldCharType="begin"/>
        </w:r>
        <w:r w:rsidR="0035303B">
          <w:rPr>
            <w:noProof/>
            <w:webHidden/>
          </w:rPr>
          <w:instrText xml:space="preserve"> PAGEREF _Toc146590490 \h </w:instrText>
        </w:r>
        <w:r w:rsidR="0035303B">
          <w:rPr>
            <w:noProof/>
            <w:webHidden/>
          </w:rPr>
        </w:r>
        <w:r w:rsidR="0035303B">
          <w:rPr>
            <w:noProof/>
            <w:webHidden/>
          </w:rPr>
          <w:fldChar w:fldCharType="separate"/>
        </w:r>
        <w:r w:rsidR="003D0091">
          <w:rPr>
            <w:noProof/>
            <w:webHidden/>
          </w:rPr>
          <w:t>42</w:t>
        </w:r>
        <w:r w:rsidR="0035303B">
          <w:rPr>
            <w:noProof/>
            <w:webHidden/>
          </w:rPr>
          <w:fldChar w:fldCharType="end"/>
        </w:r>
      </w:hyperlink>
    </w:p>
    <w:p w14:paraId="4430569C" w14:textId="53279DAC"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491" w:history="1">
        <w:r w:rsidR="0035303B" w:rsidRPr="0090354F">
          <w:rPr>
            <w:rStyle w:val="Hyperlink"/>
            <w:rFonts w:asciiTheme="majorHAnsi" w:eastAsiaTheme="majorEastAsia" w:hAnsiTheme="majorHAnsi"/>
            <w:b/>
            <w:bCs/>
            <w:noProof/>
          </w:rPr>
          <w:t>Table 19: List of Government Agencies in the Oil and Gas sector</w:t>
        </w:r>
        <w:r w:rsidR="0035303B">
          <w:rPr>
            <w:noProof/>
            <w:webHidden/>
          </w:rPr>
          <w:tab/>
        </w:r>
        <w:r w:rsidR="0035303B">
          <w:rPr>
            <w:noProof/>
            <w:webHidden/>
          </w:rPr>
          <w:fldChar w:fldCharType="begin"/>
        </w:r>
        <w:r w:rsidR="0035303B">
          <w:rPr>
            <w:noProof/>
            <w:webHidden/>
          </w:rPr>
          <w:instrText xml:space="preserve"> PAGEREF _Toc146590491 \h </w:instrText>
        </w:r>
        <w:r w:rsidR="0035303B">
          <w:rPr>
            <w:noProof/>
            <w:webHidden/>
          </w:rPr>
        </w:r>
        <w:r w:rsidR="0035303B">
          <w:rPr>
            <w:noProof/>
            <w:webHidden/>
          </w:rPr>
          <w:fldChar w:fldCharType="separate"/>
        </w:r>
        <w:r w:rsidR="003D0091">
          <w:rPr>
            <w:noProof/>
            <w:webHidden/>
          </w:rPr>
          <w:t>42</w:t>
        </w:r>
        <w:r w:rsidR="0035303B">
          <w:rPr>
            <w:noProof/>
            <w:webHidden/>
          </w:rPr>
          <w:fldChar w:fldCharType="end"/>
        </w:r>
      </w:hyperlink>
    </w:p>
    <w:p w14:paraId="0D778A59" w14:textId="2F2323E6"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492" w:history="1">
        <w:r w:rsidR="0035303B" w:rsidRPr="0090354F">
          <w:rPr>
            <w:rStyle w:val="Hyperlink"/>
            <w:rFonts w:asciiTheme="majorHAnsi" w:eastAsiaTheme="majorEastAsia" w:hAnsiTheme="majorHAnsi"/>
            <w:b/>
            <w:bCs/>
            <w:noProof/>
          </w:rPr>
          <w:t xml:space="preserve">Table 20: </w:t>
        </w:r>
        <w:r w:rsidR="0035303B" w:rsidRPr="0090354F">
          <w:rPr>
            <w:rStyle w:val="Hyperlink"/>
            <w:rFonts w:eastAsiaTheme="majorEastAsia"/>
            <w:b/>
            <w:bCs/>
            <w:noProof/>
          </w:rPr>
          <w:t>Types of mining licenses and permits.</w:t>
        </w:r>
        <w:r w:rsidR="0035303B">
          <w:rPr>
            <w:noProof/>
            <w:webHidden/>
          </w:rPr>
          <w:tab/>
        </w:r>
        <w:r w:rsidR="0035303B">
          <w:rPr>
            <w:noProof/>
            <w:webHidden/>
          </w:rPr>
          <w:fldChar w:fldCharType="begin"/>
        </w:r>
        <w:r w:rsidR="0035303B">
          <w:rPr>
            <w:noProof/>
            <w:webHidden/>
          </w:rPr>
          <w:instrText xml:space="preserve"> PAGEREF _Toc146590492 \h </w:instrText>
        </w:r>
        <w:r w:rsidR="0035303B">
          <w:rPr>
            <w:noProof/>
            <w:webHidden/>
          </w:rPr>
        </w:r>
        <w:r w:rsidR="0035303B">
          <w:rPr>
            <w:noProof/>
            <w:webHidden/>
          </w:rPr>
          <w:fldChar w:fldCharType="separate"/>
        </w:r>
        <w:r w:rsidR="003D0091">
          <w:rPr>
            <w:noProof/>
            <w:webHidden/>
          </w:rPr>
          <w:t>46</w:t>
        </w:r>
        <w:r w:rsidR="0035303B">
          <w:rPr>
            <w:noProof/>
            <w:webHidden/>
          </w:rPr>
          <w:fldChar w:fldCharType="end"/>
        </w:r>
      </w:hyperlink>
    </w:p>
    <w:p w14:paraId="3E032C7C" w14:textId="1AC37C95"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493" w:history="1">
        <w:r w:rsidR="0035303B" w:rsidRPr="0090354F">
          <w:rPr>
            <w:rStyle w:val="Hyperlink"/>
            <w:rFonts w:asciiTheme="majorHAnsi" w:eastAsiaTheme="majorEastAsia" w:hAnsiTheme="majorHAnsi"/>
            <w:b/>
            <w:bCs/>
            <w:noProof/>
          </w:rPr>
          <w:t>Table 21: Main active agreements in 2020</w:t>
        </w:r>
        <w:r w:rsidR="0035303B">
          <w:rPr>
            <w:noProof/>
            <w:webHidden/>
          </w:rPr>
          <w:tab/>
        </w:r>
        <w:r w:rsidR="0035303B">
          <w:rPr>
            <w:noProof/>
            <w:webHidden/>
          </w:rPr>
          <w:fldChar w:fldCharType="begin"/>
        </w:r>
        <w:r w:rsidR="0035303B">
          <w:rPr>
            <w:noProof/>
            <w:webHidden/>
          </w:rPr>
          <w:instrText xml:space="preserve"> PAGEREF _Toc146590493 \h </w:instrText>
        </w:r>
        <w:r w:rsidR="0035303B">
          <w:rPr>
            <w:noProof/>
            <w:webHidden/>
          </w:rPr>
        </w:r>
        <w:r w:rsidR="0035303B">
          <w:rPr>
            <w:noProof/>
            <w:webHidden/>
          </w:rPr>
          <w:fldChar w:fldCharType="separate"/>
        </w:r>
        <w:r w:rsidR="003D0091">
          <w:rPr>
            <w:noProof/>
            <w:webHidden/>
          </w:rPr>
          <w:t>47</w:t>
        </w:r>
        <w:r w:rsidR="0035303B">
          <w:rPr>
            <w:noProof/>
            <w:webHidden/>
          </w:rPr>
          <w:fldChar w:fldCharType="end"/>
        </w:r>
      </w:hyperlink>
    </w:p>
    <w:p w14:paraId="1ACE54B6" w14:textId="36990501"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494" w:history="1">
        <w:r w:rsidR="0035303B" w:rsidRPr="0090354F">
          <w:rPr>
            <w:rStyle w:val="Hyperlink"/>
            <w:rFonts w:asciiTheme="majorHAnsi" w:eastAsiaTheme="majorEastAsia" w:hAnsiTheme="majorHAnsi"/>
            <w:b/>
            <w:bCs/>
            <w:noProof/>
          </w:rPr>
          <w:t>Table 22: Licenses and contracts allocation method</w:t>
        </w:r>
        <w:r w:rsidR="0035303B">
          <w:rPr>
            <w:noProof/>
            <w:webHidden/>
          </w:rPr>
          <w:tab/>
        </w:r>
        <w:r w:rsidR="0035303B">
          <w:rPr>
            <w:noProof/>
            <w:webHidden/>
          </w:rPr>
          <w:fldChar w:fldCharType="begin"/>
        </w:r>
        <w:r w:rsidR="0035303B">
          <w:rPr>
            <w:noProof/>
            <w:webHidden/>
          </w:rPr>
          <w:instrText xml:space="preserve"> PAGEREF _Toc146590494 \h </w:instrText>
        </w:r>
        <w:r w:rsidR="0035303B">
          <w:rPr>
            <w:noProof/>
            <w:webHidden/>
          </w:rPr>
        </w:r>
        <w:r w:rsidR="0035303B">
          <w:rPr>
            <w:noProof/>
            <w:webHidden/>
          </w:rPr>
          <w:fldChar w:fldCharType="separate"/>
        </w:r>
        <w:r w:rsidR="003D0091">
          <w:rPr>
            <w:noProof/>
            <w:webHidden/>
          </w:rPr>
          <w:t>48</w:t>
        </w:r>
        <w:r w:rsidR="0035303B">
          <w:rPr>
            <w:noProof/>
            <w:webHidden/>
          </w:rPr>
          <w:fldChar w:fldCharType="end"/>
        </w:r>
      </w:hyperlink>
    </w:p>
    <w:p w14:paraId="78947E6A" w14:textId="4EB868D3"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495" w:history="1">
        <w:r w:rsidR="0035303B" w:rsidRPr="0090354F">
          <w:rPr>
            <w:rStyle w:val="Hyperlink"/>
            <w:rFonts w:asciiTheme="majorHAnsi" w:eastAsiaTheme="majorEastAsia" w:hAnsiTheme="majorHAnsi"/>
            <w:b/>
            <w:bCs/>
            <w:noProof/>
          </w:rPr>
          <w:t>Table 23: List of documents for application for the type of mining license</w:t>
        </w:r>
        <w:r w:rsidR="0035303B">
          <w:rPr>
            <w:noProof/>
            <w:webHidden/>
          </w:rPr>
          <w:tab/>
        </w:r>
        <w:r w:rsidR="0035303B">
          <w:rPr>
            <w:noProof/>
            <w:webHidden/>
          </w:rPr>
          <w:fldChar w:fldCharType="begin"/>
        </w:r>
        <w:r w:rsidR="0035303B">
          <w:rPr>
            <w:noProof/>
            <w:webHidden/>
          </w:rPr>
          <w:instrText xml:space="preserve"> PAGEREF _Toc146590495 \h </w:instrText>
        </w:r>
        <w:r w:rsidR="0035303B">
          <w:rPr>
            <w:noProof/>
            <w:webHidden/>
          </w:rPr>
        </w:r>
        <w:r w:rsidR="0035303B">
          <w:rPr>
            <w:noProof/>
            <w:webHidden/>
          </w:rPr>
          <w:fldChar w:fldCharType="separate"/>
        </w:r>
        <w:r w:rsidR="003D0091">
          <w:rPr>
            <w:noProof/>
            <w:webHidden/>
          </w:rPr>
          <w:t>49</w:t>
        </w:r>
        <w:r w:rsidR="0035303B">
          <w:rPr>
            <w:noProof/>
            <w:webHidden/>
          </w:rPr>
          <w:fldChar w:fldCharType="end"/>
        </w:r>
      </w:hyperlink>
    </w:p>
    <w:p w14:paraId="73C2A077" w14:textId="2F3EFBDE"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496" w:history="1">
        <w:r w:rsidR="0035303B" w:rsidRPr="0090354F">
          <w:rPr>
            <w:rStyle w:val="Hyperlink"/>
            <w:rFonts w:asciiTheme="majorHAnsi" w:eastAsiaTheme="majorEastAsia" w:hAnsiTheme="majorHAnsi"/>
            <w:b/>
            <w:noProof/>
          </w:rPr>
          <w:t xml:space="preserve">Table 24: </w:t>
        </w:r>
        <w:r w:rsidR="0035303B" w:rsidRPr="0090354F">
          <w:rPr>
            <w:rStyle w:val="Hyperlink"/>
            <w:rFonts w:asciiTheme="majorHAnsi" w:eastAsiaTheme="majorEastAsia" w:hAnsiTheme="majorHAnsi"/>
            <w:b/>
            <w:bCs/>
            <w:noProof/>
          </w:rPr>
          <w:t>Summary of active medium and small-scale mining licenses in 2020</w:t>
        </w:r>
        <w:r w:rsidR="0035303B">
          <w:rPr>
            <w:noProof/>
            <w:webHidden/>
          </w:rPr>
          <w:tab/>
        </w:r>
        <w:r w:rsidR="0035303B">
          <w:rPr>
            <w:noProof/>
            <w:webHidden/>
          </w:rPr>
          <w:fldChar w:fldCharType="begin"/>
        </w:r>
        <w:r w:rsidR="0035303B">
          <w:rPr>
            <w:noProof/>
            <w:webHidden/>
          </w:rPr>
          <w:instrText xml:space="preserve"> PAGEREF _Toc146590496 \h </w:instrText>
        </w:r>
        <w:r w:rsidR="0035303B">
          <w:rPr>
            <w:noProof/>
            <w:webHidden/>
          </w:rPr>
        </w:r>
        <w:r w:rsidR="0035303B">
          <w:rPr>
            <w:noProof/>
            <w:webHidden/>
          </w:rPr>
          <w:fldChar w:fldCharType="separate"/>
        </w:r>
        <w:r w:rsidR="003D0091">
          <w:rPr>
            <w:noProof/>
            <w:webHidden/>
          </w:rPr>
          <w:t>50</w:t>
        </w:r>
        <w:r w:rsidR="0035303B">
          <w:rPr>
            <w:noProof/>
            <w:webHidden/>
          </w:rPr>
          <w:fldChar w:fldCharType="end"/>
        </w:r>
      </w:hyperlink>
    </w:p>
    <w:p w14:paraId="0C92EE18" w14:textId="54EFA1DF"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497" w:history="1">
        <w:r w:rsidR="0035303B" w:rsidRPr="0090354F">
          <w:rPr>
            <w:rStyle w:val="Hyperlink"/>
            <w:rFonts w:eastAsiaTheme="majorEastAsia"/>
            <w:b/>
            <w:bCs/>
            <w:noProof/>
          </w:rPr>
          <w:t>Table 25: Summary of the bid weighting</w:t>
        </w:r>
        <w:r w:rsidR="0035303B">
          <w:rPr>
            <w:noProof/>
            <w:webHidden/>
          </w:rPr>
          <w:tab/>
        </w:r>
        <w:r w:rsidR="0035303B">
          <w:rPr>
            <w:noProof/>
            <w:webHidden/>
          </w:rPr>
          <w:fldChar w:fldCharType="begin"/>
        </w:r>
        <w:r w:rsidR="0035303B">
          <w:rPr>
            <w:noProof/>
            <w:webHidden/>
          </w:rPr>
          <w:instrText xml:space="preserve"> PAGEREF _Toc146590497 \h </w:instrText>
        </w:r>
        <w:r w:rsidR="0035303B">
          <w:rPr>
            <w:noProof/>
            <w:webHidden/>
          </w:rPr>
        </w:r>
        <w:r w:rsidR="0035303B">
          <w:rPr>
            <w:noProof/>
            <w:webHidden/>
          </w:rPr>
          <w:fldChar w:fldCharType="separate"/>
        </w:r>
        <w:r w:rsidR="003D0091">
          <w:rPr>
            <w:noProof/>
            <w:webHidden/>
          </w:rPr>
          <w:t>53</w:t>
        </w:r>
        <w:r w:rsidR="0035303B">
          <w:rPr>
            <w:noProof/>
            <w:webHidden/>
          </w:rPr>
          <w:fldChar w:fldCharType="end"/>
        </w:r>
      </w:hyperlink>
    </w:p>
    <w:p w14:paraId="7BC4C1BE" w14:textId="1C40809F"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498" w:history="1">
        <w:r w:rsidR="0035303B" w:rsidRPr="0090354F">
          <w:rPr>
            <w:rStyle w:val="Hyperlink"/>
            <w:rFonts w:asciiTheme="majorHAnsi" w:eastAsiaTheme="majorEastAsia" w:hAnsiTheme="majorHAnsi"/>
            <w:b/>
            <w:bCs/>
            <w:noProof/>
          </w:rPr>
          <w:t>Table 26: Active Oil &amp; Gas Agreements</w:t>
        </w:r>
        <w:r w:rsidR="0035303B">
          <w:rPr>
            <w:noProof/>
            <w:webHidden/>
          </w:rPr>
          <w:tab/>
        </w:r>
        <w:r w:rsidR="0035303B">
          <w:rPr>
            <w:noProof/>
            <w:webHidden/>
          </w:rPr>
          <w:fldChar w:fldCharType="begin"/>
        </w:r>
        <w:r w:rsidR="0035303B">
          <w:rPr>
            <w:noProof/>
            <w:webHidden/>
          </w:rPr>
          <w:instrText xml:space="preserve"> PAGEREF _Toc146590498 \h </w:instrText>
        </w:r>
        <w:r w:rsidR="0035303B">
          <w:rPr>
            <w:noProof/>
            <w:webHidden/>
          </w:rPr>
        </w:r>
        <w:r w:rsidR="0035303B">
          <w:rPr>
            <w:noProof/>
            <w:webHidden/>
          </w:rPr>
          <w:fldChar w:fldCharType="separate"/>
        </w:r>
        <w:r w:rsidR="003D0091">
          <w:rPr>
            <w:noProof/>
            <w:webHidden/>
          </w:rPr>
          <w:t>53</w:t>
        </w:r>
        <w:r w:rsidR="0035303B">
          <w:rPr>
            <w:noProof/>
            <w:webHidden/>
          </w:rPr>
          <w:fldChar w:fldCharType="end"/>
        </w:r>
      </w:hyperlink>
    </w:p>
    <w:p w14:paraId="46498A9D" w14:textId="481487D4"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499" w:history="1">
        <w:r w:rsidR="0035303B" w:rsidRPr="0090354F">
          <w:rPr>
            <w:rStyle w:val="Hyperlink"/>
            <w:rFonts w:asciiTheme="majorHAnsi" w:eastAsiaTheme="majorEastAsia" w:hAnsiTheme="majorHAnsi"/>
            <w:b/>
            <w:bCs/>
            <w:noProof/>
          </w:rPr>
          <w:t xml:space="preserve">Table 27: </w:t>
        </w:r>
        <w:r w:rsidR="0035303B" w:rsidRPr="0090354F">
          <w:rPr>
            <w:rStyle w:val="Hyperlink"/>
            <w:rFonts w:eastAsiaTheme="majorEastAsia" w:cs="TrebuchetMS-Bold"/>
            <w:b/>
            <w:bCs/>
            <w:noProof/>
            <w:kern w:val="0"/>
            <w:lang w:eastAsia="en-US"/>
          </w:rPr>
          <w:t>Overview of state participation in the mining sector</w:t>
        </w:r>
        <w:r w:rsidR="0035303B">
          <w:rPr>
            <w:noProof/>
            <w:webHidden/>
          </w:rPr>
          <w:tab/>
        </w:r>
        <w:r w:rsidR="0035303B">
          <w:rPr>
            <w:noProof/>
            <w:webHidden/>
          </w:rPr>
          <w:fldChar w:fldCharType="begin"/>
        </w:r>
        <w:r w:rsidR="0035303B">
          <w:rPr>
            <w:noProof/>
            <w:webHidden/>
          </w:rPr>
          <w:instrText xml:space="preserve"> PAGEREF _Toc146590499 \h </w:instrText>
        </w:r>
        <w:r w:rsidR="0035303B">
          <w:rPr>
            <w:noProof/>
            <w:webHidden/>
          </w:rPr>
        </w:r>
        <w:r w:rsidR="0035303B">
          <w:rPr>
            <w:noProof/>
            <w:webHidden/>
          </w:rPr>
          <w:fldChar w:fldCharType="separate"/>
        </w:r>
        <w:r w:rsidR="003D0091">
          <w:rPr>
            <w:noProof/>
            <w:webHidden/>
          </w:rPr>
          <w:t>56</w:t>
        </w:r>
        <w:r w:rsidR="0035303B">
          <w:rPr>
            <w:noProof/>
            <w:webHidden/>
          </w:rPr>
          <w:fldChar w:fldCharType="end"/>
        </w:r>
      </w:hyperlink>
    </w:p>
    <w:p w14:paraId="0E5774CB" w14:textId="41685243"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00" w:history="1">
        <w:r w:rsidR="0035303B" w:rsidRPr="0090354F">
          <w:rPr>
            <w:rStyle w:val="Hyperlink"/>
            <w:rFonts w:asciiTheme="majorHAnsi" w:eastAsiaTheme="majorEastAsia" w:hAnsiTheme="majorHAnsi"/>
            <w:b/>
            <w:bCs/>
            <w:noProof/>
          </w:rPr>
          <w:t xml:space="preserve">Table 28: </w:t>
        </w:r>
        <w:r w:rsidR="0035303B" w:rsidRPr="0090354F">
          <w:rPr>
            <w:rStyle w:val="Hyperlink"/>
            <w:rFonts w:eastAsiaTheme="majorEastAsia" w:cs="TrebuchetMS-Bold"/>
            <w:b/>
            <w:bCs/>
            <w:noProof/>
          </w:rPr>
          <w:t>Overview Staatsolie</w:t>
        </w:r>
        <w:r w:rsidR="0035303B" w:rsidRPr="0090354F">
          <w:rPr>
            <w:rStyle w:val="Hyperlink"/>
            <w:rFonts w:eastAsiaTheme="majorEastAsia" w:cs="TrebuchetMS-Bold"/>
            <w:b/>
            <w:bCs/>
            <w:noProof/>
            <w:spacing w:val="-13"/>
          </w:rPr>
          <w:t>’</w:t>
        </w:r>
        <w:r w:rsidR="0035303B" w:rsidRPr="0090354F">
          <w:rPr>
            <w:rStyle w:val="Hyperlink"/>
            <w:rFonts w:eastAsiaTheme="majorEastAsia" w:cs="TrebuchetMS-Bold"/>
            <w:b/>
            <w:bCs/>
            <w:noProof/>
          </w:rPr>
          <w:t>s subsidiaries</w:t>
        </w:r>
        <w:r w:rsidR="0035303B">
          <w:rPr>
            <w:noProof/>
            <w:webHidden/>
          </w:rPr>
          <w:tab/>
        </w:r>
        <w:r w:rsidR="0035303B">
          <w:rPr>
            <w:noProof/>
            <w:webHidden/>
          </w:rPr>
          <w:fldChar w:fldCharType="begin"/>
        </w:r>
        <w:r w:rsidR="0035303B">
          <w:rPr>
            <w:noProof/>
            <w:webHidden/>
          </w:rPr>
          <w:instrText xml:space="preserve"> PAGEREF _Toc146590500 \h </w:instrText>
        </w:r>
        <w:r w:rsidR="0035303B">
          <w:rPr>
            <w:noProof/>
            <w:webHidden/>
          </w:rPr>
        </w:r>
        <w:r w:rsidR="0035303B">
          <w:rPr>
            <w:noProof/>
            <w:webHidden/>
          </w:rPr>
          <w:fldChar w:fldCharType="separate"/>
        </w:r>
        <w:r w:rsidR="003D0091">
          <w:rPr>
            <w:noProof/>
            <w:webHidden/>
          </w:rPr>
          <w:t>58</w:t>
        </w:r>
        <w:r w:rsidR="0035303B">
          <w:rPr>
            <w:noProof/>
            <w:webHidden/>
          </w:rPr>
          <w:fldChar w:fldCharType="end"/>
        </w:r>
      </w:hyperlink>
    </w:p>
    <w:p w14:paraId="4C28355C" w14:textId="49FA464C"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01" w:history="1">
        <w:r w:rsidR="0035303B" w:rsidRPr="0090354F">
          <w:rPr>
            <w:rStyle w:val="Hyperlink"/>
            <w:rFonts w:asciiTheme="majorHAnsi" w:eastAsiaTheme="majorEastAsia" w:hAnsiTheme="majorHAnsi"/>
            <w:b/>
            <w:bCs/>
            <w:noProof/>
          </w:rPr>
          <w:t>Table 29: Size criteria and public interest entities</w:t>
        </w:r>
        <w:r w:rsidR="0035303B">
          <w:rPr>
            <w:noProof/>
            <w:webHidden/>
          </w:rPr>
          <w:tab/>
        </w:r>
        <w:r w:rsidR="0035303B">
          <w:rPr>
            <w:noProof/>
            <w:webHidden/>
          </w:rPr>
          <w:fldChar w:fldCharType="begin"/>
        </w:r>
        <w:r w:rsidR="0035303B">
          <w:rPr>
            <w:noProof/>
            <w:webHidden/>
          </w:rPr>
          <w:instrText xml:space="preserve"> PAGEREF _Toc146590501 \h </w:instrText>
        </w:r>
        <w:r w:rsidR="0035303B">
          <w:rPr>
            <w:noProof/>
            <w:webHidden/>
          </w:rPr>
        </w:r>
        <w:r w:rsidR="0035303B">
          <w:rPr>
            <w:noProof/>
            <w:webHidden/>
          </w:rPr>
          <w:fldChar w:fldCharType="separate"/>
        </w:r>
        <w:r w:rsidR="003D0091">
          <w:rPr>
            <w:noProof/>
            <w:webHidden/>
          </w:rPr>
          <w:t>67</w:t>
        </w:r>
        <w:r w:rsidR="0035303B">
          <w:rPr>
            <w:noProof/>
            <w:webHidden/>
          </w:rPr>
          <w:fldChar w:fldCharType="end"/>
        </w:r>
      </w:hyperlink>
    </w:p>
    <w:p w14:paraId="3D93EB4E" w14:textId="56AD67F1"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02" w:history="1">
        <w:r w:rsidR="0035303B" w:rsidRPr="0090354F">
          <w:rPr>
            <w:rStyle w:val="Hyperlink"/>
            <w:rFonts w:asciiTheme="majorHAnsi" w:eastAsiaTheme="majorEastAsia" w:hAnsiTheme="majorHAnsi"/>
            <w:b/>
            <w:bCs/>
            <w:noProof/>
          </w:rPr>
          <w:t>Table 30: Summary of production data in the Oil &amp; Gas sector</w:t>
        </w:r>
        <w:r w:rsidR="0035303B">
          <w:rPr>
            <w:noProof/>
            <w:webHidden/>
          </w:rPr>
          <w:tab/>
        </w:r>
        <w:r w:rsidR="0035303B">
          <w:rPr>
            <w:noProof/>
            <w:webHidden/>
          </w:rPr>
          <w:fldChar w:fldCharType="begin"/>
        </w:r>
        <w:r w:rsidR="0035303B">
          <w:rPr>
            <w:noProof/>
            <w:webHidden/>
          </w:rPr>
          <w:instrText xml:space="preserve"> PAGEREF _Toc146590502 \h </w:instrText>
        </w:r>
        <w:r w:rsidR="0035303B">
          <w:rPr>
            <w:noProof/>
            <w:webHidden/>
          </w:rPr>
        </w:r>
        <w:r w:rsidR="0035303B">
          <w:rPr>
            <w:noProof/>
            <w:webHidden/>
          </w:rPr>
          <w:fldChar w:fldCharType="separate"/>
        </w:r>
        <w:r w:rsidR="003D0091">
          <w:rPr>
            <w:noProof/>
            <w:webHidden/>
          </w:rPr>
          <w:t>71</w:t>
        </w:r>
        <w:r w:rsidR="0035303B">
          <w:rPr>
            <w:noProof/>
            <w:webHidden/>
          </w:rPr>
          <w:fldChar w:fldCharType="end"/>
        </w:r>
      </w:hyperlink>
    </w:p>
    <w:p w14:paraId="6EB6E3DA" w14:textId="5CB4CAD5"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03" w:history="1">
        <w:r w:rsidR="0035303B" w:rsidRPr="0090354F">
          <w:rPr>
            <w:rStyle w:val="Hyperlink"/>
            <w:rFonts w:asciiTheme="majorHAnsi" w:eastAsiaTheme="majorEastAsia" w:hAnsiTheme="majorHAnsi"/>
            <w:b/>
            <w:bCs/>
            <w:noProof/>
          </w:rPr>
          <w:t>Table 31: The production volumes of the gold extracted</w:t>
        </w:r>
        <w:r w:rsidR="0035303B">
          <w:rPr>
            <w:noProof/>
            <w:webHidden/>
          </w:rPr>
          <w:tab/>
        </w:r>
        <w:r w:rsidR="0035303B">
          <w:rPr>
            <w:noProof/>
            <w:webHidden/>
          </w:rPr>
          <w:fldChar w:fldCharType="begin"/>
        </w:r>
        <w:r w:rsidR="0035303B">
          <w:rPr>
            <w:noProof/>
            <w:webHidden/>
          </w:rPr>
          <w:instrText xml:space="preserve"> PAGEREF _Toc146590503 \h </w:instrText>
        </w:r>
        <w:r w:rsidR="0035303B">
          <w:rPr>
            <w:noProof/>
            <w:webHidden/>
          </w:rPr>
        </w:r>
        <w:r w:rsidR="0035303B">
          <w:rPr>
            <w:noProof/>
            <w:webHidden/>
          </w:rPr>
          <w:fldChar w:fldCharType="separate"/>
        </w:r>
        <w:r w:rsidR="003D0091">
          <w:rPr>
            <w:noProof/>
            <w:webHidden/>
          </w:rPr>
          <w:t>72</w:t>
        </w:r>
        <w:r w:rsidR="0035303B">
          <w:rPr>
            <w:noProof/>
            <w:webHidden/>
          </w:rPr>
          <w:fldChar w:fldCharType="end"/>
        </w:r>
      </w:hyperlink>
    </w:p>
    <w:p w14:paraId="79501E33" w14:textId="0CE9A43B"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04" w:history="1">
        <w:r w:rsidR="0035303B" w:rsidRPr="0090354F">
          <w:rPr>
            <w:rStyle w:val="Hyperlink"/>
            <w:rFonts w:asciiTheme="majorHAnsi" w:eastAsiaTheme="majorEastAsia" w:hAnsiTheme="majorHAnsi"/>
            <w:b/>
            <w:bCs/>
            <w:noProof/>
          </w:rPr>
          <w:t>Table 32: Gold production data as per the Planning Office of Suriname</w:t>
        </w:r>
        <w:r w:rsidR="0035303B">
          <w:rPr>
            <w:noProof/>
            <w:webHidden/>
          </w:rPr>
          <w:tab/>
        </w:r>
        <w:r w:rsidR="0035303B">
          <w:rPr>
            <w:noProof/>
            <w:webHidden/>
          </w:rPr>
          <w:fldChar w:fldCharType="begin"/>
        </w:r>
        <w:r w:rsidR="0035303B">
          <w:rPr>
            <w:noProof/>
            <w:webHidden/>
          </w:rPr>
          <w:instrText xml:space="preserve"> PAGEREF _Toc146590504 \h </w:instrText>
        </w:r>
        <w:r w:rsidR="0035303B">
          <w:rPr>
            <w:noProof/>
            <w:webHidden/>
          </w:rPr>
        </w:r>
        <w:r w:rsidR="0035303B">
          <w:rPr>
            <w:noProof/>
            <w:webHidden/>
          </w:rPr>
          <w:fldChar w:fldCharType="separate"/>
        </w:r>
        <w:r w:rsidR="003D0091">
          <w:rPr>
            <w:noProof/>
            <w:webHidden/>
          </w:rPr>
          <w:t>72</w:t>
        </w:r>
        <w:r w:rsidR="0035303B">
          <w:rPr>
            <w:noProof/>
            <w:webHidden/>
          </w:rPr>
          <w:fldChar w:fldCharType="end"/>
        </w:r>
      </w:hyperlink>
    </w:p>
    <w:p w14:paraId="11A37C0C" w14:textId="264DFD03"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05" w:history="1">
        <w:r w:rsidR="0035303B" w:rsidRPr="0090354F">
          <w:rPr>
            <w:rStyle w:val="Hyperlink"/>
            <w:rFonts w:eastAsiaTheme="majorEastAsia"/>
            <w:b/>
            <w:bCs/>
            <w:noProof/>
          </w:rPr>
          <w:t>Table 33: Contribution of the mineral sector to GDP at for the fiscal years 2018, 2019 and 2020</w:t>
        </w:r>
        <w:r w:rsidR="0035303B">
          <w:rPr>
            <w:noProof/>
            <w:webHidden/>
          </w:rPr>
          <w:tab/>
        </w:r>
        <w:r w:rsidR="0035303B">
          <w:rPr>
            <w:noProof/>
            <w:webHidden/>
          </w:rPr>
          <w:fldChar w:fldCharType="begin"/>
        </w:r>
        <w:r w:rsidR="0035303B">
          <w:rPr>
            <w:noProof/>
            <w:webHidden/>
          </w:rPr>
          <w:instrText xml:space="preserve"> PAGEREF _Toc146590505 \h </w:instrText>
        </w:r>
        <w:r w:rsidR="0035303B">
          <w:rPr>
            <w:noProof/>
            <w:webHidden/>
          </w:rPr>
        </w:r>
        <w:r w:rsidR="0035303B">
          <w:rPr>
            <w:noProof/>
            <w:webHidden/>
          </w:rPr>
          <w:fldChar w:fldCharType="separate"/>
        </w:r>
        <w:r w:rsidR="003D0091">
          <w:rPr>
            <w:noProof/>
            <w:webHidden/>
          </w:rPr>
          <w:t>72</w:t>
        </w:r>
        <w:r w:rsidR="0035303B">
          <w:rPr>
            <w:noProof/>
            <w:webHidden/>
          </w:rPr>
          <w:fldChar w:fldCharType="end"/>
        </w:r>
      </w:hyperlink>
    </w:p>
    <w:p w14:paraId="47DA9307" w14:textId="285E03AF"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06" w:history="1">
        <w:r w:rsidR="0035303B" w:rsidRPr="0090354F">
          <w:rPr>
            <w:rStyle w:val="Hyperlink"/>
            <w:rFonts w:eastAsiaTheme="majorEastAsia"/>
            <w:b/>
            <w:bCs/>
            <w:noProof/>
          </w:rPr>
          <w:t>Table 34: Contribution of the oil and gas sector to the Government revenues for the fiscal years 2018,2019 and 2020</w:t>
        </w:r>
        <w:r w:rsidR="0035303B">
          <w:rPr>
            <w:noProof/>
            <w:webHidden/>
          </w:rPr>
          <w:tab/>
        </w:r>
        <w:r w:rsidR="0035303B">
          <w:rPr>
            <w:noProof/>
            <w:webHidden/>
          </w:rPr>
          <w:fldChar w:fldCharType="begin"/>
        </w:r>
        <w:r w:rsidR="0035303B">
          <w:rPr>
            <w:noProof/>
            <w:webHidden/>
          </w:rPr>
          <w:instrText xml:space="preserve"> PAGEREF _Toc146590506 \h </w:instrText>
        </w:r>
        <w:r w:rsidR="0035303B">
          <w:rPr>
            <w:noProof/>
            <w:webHidden/>
          </w:rPr>
        </w:r>
        <w:r w:rsidR="0035303B">
          <w:rPr>
            <w:noProof/>
            <w:webHidden/>
          </w:rPr>
          <w:fldChar w:fldCharType="separate"/>
        </w:r>
        <w:r w:rsidR="003D0091">
          <w:rPr>
            <w:noProof/>
            <w:webHidden/>
          </w:rPr>
          <w:t>73</w:t>
        </w:r>
        <w:r w:rsidR="0035303B">
          <w:rPr>
            <w:noProof/>
            <w:webHidden/>
          </w:rPr>
          <w:fldChar w:fldCharType="end"/>
        </w:r>
      </w:hyperlink>
    </w:p>
    <w:p w14:paraId="27475600" w14:textId="5F71FE61"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07" w:history="1">
        <w:r w:rsidR="0035303B" w:rsidRPr="0090354F">
          <w:rPr>
            <w:rStyle w:val="Hyperlink"/>
            <w:rFonts w:eastAsiaTheme="majorEastAsia"/>
            <w:b/>
            <w:bCs/>
            <w:noProof/>
          </w:rPr>
          <w:t>Table 35: Contribution of the oil and gas export to total exports for the fiscal years 2018, 2019 and 2020</w:t>
        </w:r>
        <w:r w:rsidR="0035303B">
          <w:rPr>
            <w:noProof/>
            <w:webHidden/>
          </w:rPr>
          <w:tab/>
        </w:r>
        <w:r w:rsidR="0035303B">
          <w:rPr>
            <w:noProof/>
            <w:webHidden/>
          </w:rPr>
          <w:fldChar w:fldCharType="begin"/>
        </w:r>
        <w:r w:rsidR="0035303B">
          <w:rPr>
            <w:noProof/>
            <w:webHidden/>
          </w:rPr>
          <w:instrText xml:space="preserve"> PAGEREF _Toc146590507 \h </w:instrText>
        </w:r>
        <w:r w:rsidR="0035303B">
          <w:rPr>
            <w:noProof/>
            <w:webHidden/>
          </w:rPr>
        </w:r>
        <w:r w:rsidR="0035303B">
          <w:rPr>
            <w:noProof/>
            <w:webHidden/>
          </w:rPr>
          <w:fldChar w:fldCharType="separate"/>
        </w:r>
        <w:r w:rsidR="003D0091">
          <w:rPr>
            <w:noProof/>
            <w:webHidden/>
          </w:rPr>
          <w:t>73</w:t>
        </w:r>
        <w:r w:rsidR="0035303B">
          <w:rPr>
            <w:noProof/>
            <w:webHidden/>
          </w:rPr>
          <w:fldChar w:fldCharType="end"/>
        </w:r>
      </w:hyperlink>
    </w:p>
    <w:p w14:paraId="76BB0B66" w14:textId="2912DCDD"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08" w:history="1">
        <w:r w:rsidR="0035303B" w:rsidRPr="0090354F">
          <w:rPr>
            <w:rStyle w:val="Hyperlink"/>
            <w:rFonts w:eastAsiaTheme="majorEastAsia"/>
            <w:b/>
            <w:bCs/>
            <w:noProof/>
          </w:rPr>
          <w:t>Table 36: Contribution of the Oil &amp; Gas sector to employment for the fiscal years 2018, 2019 and 2020</w:t>
        </w:r>
        <w:r w:rsidR="0035303B">
          <w:rPr>
            <w:noProof/>
            <w:webHidden/>
          </w:rPr>
          <w:tab/>
        </w:r>
        <w:r w:rsidR="0035303B">
          <w:rPr>
            <w:noProof/>
            <w:webHidden/>
          </w:rPr>
          <w:fldChar w:fldCharType="begin"/>
        </w:r>
        <w:r w:rsidR="0035303B">
          <w:rPr>
            <w:noProof/>
            <w:webHidden/>
          </w:rPr>
          <w:instrText xml:space="preserve"> PAGEREF _Toc146590508 \h </w:instrText>
        </w:r>
        <w:r w:rsidR="0035303B">
          <w:rPr>
            <w:noProof/>
            <w:webHidden/>
          </w:rPr>
        </w:r>
        <w:r w:rsidR="0035303B">
          <w:rPr>
            <w:noProof/>
            <w:webHidden/>
          </w:rPr>
          <w:fldChar w:fldCharType="separate"/>
        </w:r>
        <w:r w:rsidR="003D0091">
          <w:rPr>
            <w:noProof/>
            <w:webHidden/>
          </w:rPr>
          <w:t>73</w:t>
        </w:r>
        <w:r w:rsidR="0035303B">
          <w:rPr>
            <w:noProof/>
            <w:webHidden/>
          </w:rPr>
          <w:fldChar w:fldCharType="end"/>
        </w:r>
      </w:hyperlink>
    </w:p>
    <w:p w14:paraId="00B13A40" w14:textId="03C36A84"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09" w:history="1">
        <w:r w:rsidR="0035303B" w:rsidRPr="0090354F">
          <w:rPr>
            <w:rStyle w:val="Hyperlink"/>
            <w:rFonts w:eastAsiaTheme="majorEastAsia"/>
            <w:b/>
            <w:bCs/>
            <w:noProof/>
          </w:rPr>
          <w:t>Table 37: Contribution of the mining sector to Government revenues for the fiscal years 2018, 2019 and 2020</w:t>
        </w:r>
        <w:r w:rsidR="0035303B">
          <w:rPr>
            <w:noProof/>
            <w:webHidden/>
          </w:rPr>
          <w:tab/>
        </w:r>
        <w:r w:rsidR="0035303B">
          <w:rPr>
            <w:noProof/>
            <w:webHidden/>
          </w:rPr>
          <w:fldChar w:fldCharType="begin"/>
        </w:r>
        <w:r w:rsidR="0035303B">
          <w:rPr>
            <w:noProof/>
            <w:webHidden/>
          </w:rPr>
          <w:instrText xml:space="preserve"> PAGEREF _Toc146590509 \h </w:instrText>
        </w:r>
        <w:r w:rsidR="0035303B">
          <w:rPr>
            <w:noProof/>
            <w:webHidden/>
          </w:rPr>
        </w:r>
        <w:r w:rsidR="0035303B">
          <w:rPr>
            <w:noProof/>
            <w:webHidden/>
          </w:rPr>
          <w:fldChar w:fldCharType="separate"/>
        </w:r>
        <w:r w:rsidR="003D0091">
          <w:rPr>
            <w:noProof/>
            <w:webHidden/>
          </w:rPr>
          <w:t>75</w:t>
        </w:r>
        <w:r w:rsidR="0035303B">
          <w:rPr>
            <w:noProof/>
            <w:webHidden/>
          </w:rPr>
          <w:fldChar w:fldCharType="end"/>
        </w:r>
      </w:hyperlink>
    </w:p>
    <w:p w14:paraId="2A1455D6" w14:textId="25602056"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10" w:history="1">
        <w:r w:rsidR="0035303B" w:rsidRPr="0090354F">
          <w:rPr>
            <w:rStyle w:val="Hyperlink"/>
            <w:rFonts w:eastAsiaTheme="majorEastAsia"/>
            <w:b/>
            <w:bCs/>
            <w:noProof/>
          </w:rPr>
          <w:t>Table 38: Contribution of mineral exports to total exports</w:t>
        </w:r>
        <w:r w:rsidR="0035303B">
          <w:rPr>
            <w:noProof/>
            <w:webHidden/>
          </w:rPr>
          <w:tab/>
        </w:r>
        <w:r w:rsidR="0035303B">
          <w:rPr>
            <w:noProof/>
            <w:webHidden/>
          </w:rPr>
          <w:fldChar w:fldCharType="begin"/>
        </w:r>
        <w:r w:rsidR="0035303B">
          <w:rPr>
            <w:noProof/>
            <w:webHidden/>
          </w:rPr>
          <w:instrText xml:space="preserve"> PAGEREF _Toc146590510 \h </w:instrText>
        </w:r>
        <w:r w:rsidR="0035303B">
          <w:rPr>
            <w:noProof/>
            <w:webHidden/>
          </w:rPr>
        </w:r>
        <w:r w:rsidR="0035303B">
          <w:rPr>
            <w:noProof/>
            <w:webHidden/>
          </w:rPr>
          <w:fldChar w:fldCharType="separate"/>
        </w:r>
        <w:r w:rsidR="003D0091">
          <w:rPr>
            <w:noProof/>
            <w:webHidden/>
          </w:rPr>
          <w:t>75</w:t>
        </w:r>
        <w:r w:rsidR="0035303B">
          <w:rPr>
            <w:noProof/>
            <w:webHidden/>
          </w:rPr>
          <w:fldChar w:fldCharType="end"/>
        </w:r>
      </w:hyperlink>
    </w:p>
    <w:p w14:paraId="692DA924" w14:textId="0CD7970B"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11" w:history="1">
        <w:r w:rsidR="0035303B" w:rsidRPr="0090354F">
          <w:rPr>
            <w:rStyle w:val="Hyperlink"/>
            <w:rFonts w:eastAsiaTheme="majorEastAsia"/>
            <w:b/>
            <w:bCs/>
            <w:noProof/>
          </w:rPr>
          <w:t>Table 39: Contribution of the mining sector to the total employment from 2018 to 2020</w:t>
        </w:r>
        <w:r w:rsidR="0035303B">
          <w:rPr>
            <w:noProof/>
            <w:webHidden/>
          </w:rPr>
          <w:tab/>
        </w:r>
        <w:r w:rsidR="0035303B">
          <w:rPr>
            <w:noProof/>
            <w:webHidden/>
          </w:rPr>
          <w:fldChar w:fldCharType="begin"/>
        </w:r>
        <w:r w:rsidR="0035303B">
          <w:rPr>
            <w:noProof/>
            <w:webHidden/>
          </w:rPr>
          <w:instrText xml:space="preserve"> PAGEREF _Toc146590511 \h </w:instrText>
        </w:r>
        <w:r w:rsidR="0035303B">
          <w:rPr>
            <w:noProof/>
            <w:webHidden/>
          </w:rPr>
        </w:r>
        <w:r w:rsidR="0035303B">
          <w:rPr>
            <w:noProof/>
            <w:webHidden/>
          </w:rPr>
          <w:fldChar w:fldCharType="separate"/>
        </w:r>
        <w:r w:rsidR="003D0091">
          <w:rPr>
            <w:noProof/>
            <w:webHidden/>
          </w:rPr>
          <w:t>75</w:t>
        </w:r>
        <w:r w:rsidR="0035303B">
          <w:rPr>
            <w:noProof/>
            <w:webHidden/>
          </w:rPr>
          <w:fldChar w:fldCharType="end"/>
        </w:r>
      </w:hyperlink>
    </w:p>
    <w:p w14:paraId="17BEAA7A" w14:textId="798AC04D"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12" w:history="1">
        <w:r w:rsidR="0035303B" w:rsidRPr="0090354F">
          <w:rPr>
            <w:rStyle w:val="Hyperlink"/>
            <w:rFonts w:eastAsiaTheme="majorEastAsia"/>
            <w:b/>
            <w:bCs/>
            <w:noProof/>
          </w:rPr>
          <w:t>Table 40: Disaggregation by sex and age in total population in Suriname from 2017 to 2019</w:t>
        </w:r>
        <w:r w:rsidR="0035303B">
          <w:rPr>
            <w:noProof/>
            <w:webHidden/>
          </w:rPr>
          <w:tab/>
        </w:r>
        <w:r w:rsidR="0035303B">
          <w:rPr>
            <w:noProof/>
            <w:webHidden/>
          </w:rPr>
          <w:fldChar w:fldCharType="begin"/>
        </w:r>
        <w:r w:rsidR="0035303B">
          <w:rPr>
            <w:noProof/>
            <w:webHidden/>
          </w:rPr>
          <w:instrText xml:space="preserve"> PAGEREF _Toc146590512 \h </w:instrText>
        </w:r>
        <w:r w:rsidR="0035303B">
          <w:rPr>
            <w:noProof/>
            <w:webHidden/>
          </w:rPr>
        </w:r>
        <w:r w:rsidR="0035303B">
          <w:rPr>
            <w:noProof/>
            <w:webHidden/>
          </w:rPr>
          <w:fldChar w:fldCharType="separate"/>
        </w:r>
        <w:r w:rsidR="003D0091">
          <w:rPr>
            <w:noProof/>
            <w:webHidden/>
          </w:rPr>
          <w:t>76</w:t>
        </w:r>
        <w:r w:rsidR="0035303B">
          <w:rPr>
            <w:noProof/>
            <w:webHidden/>
          </w:rPr>
          <w:fldChar w:fldCharType="end"/>
        </w:r>
      </w:hyperlink>
    </w:p>
    <w:p w14:paraId="089EC4C5" w14:textId="0AE83D65"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13" w:history="1">
        <w:r w:rsidR="0035303B" w:rsidRPr="0090354F">
          <w:rPr>
            <w:rStyle w:val="Hyperlink"/>
            <w:rFonts w:eastAsiaTheme="majorEastAsia"/>
            <w:b/>
            <w:bCs/>
            <w:noProof/>
          </w:rPr>
          <w:t>Table 41: Disaggregation Population by Ethnicity</w:t>
        </w:r>
        <w:r w:rsidR="0035303B">
          <w:rPr>
            <w:noProof/>
            <w:webHidden/>
          </w:rPr>
          <w:tab/>
        </w:r>
        <w:r w:rsidR="0035303B">
          <w:rPr>
            <w:noProof/>
            <w:webHidden/>
          </w:rPr>
          <w:fldChar w:fldCharType="begin"/>
        </w:r>
        <w:r w:rsidR="0035303B">
          <w:rPr>
            <w:noProof/>
            <w:webHidden/>
          </w:rPr>
          <w:instrText xml:space="preserve"> PAGEREF _Toc146590513 \h </w:instrText>
        </w:r>
        <w:r w:rsidR="0035303B">
          <w:rPr>
            <w:noProof/>
            <w:webHidden/>
          </w:rPr>
        </w:r>
        <w:r w:rsidR="0035303B">
          <w:rPr>
            <w:noProof/>
            <w:webHidden/>
          </w:rPr>
          <w:fldChar w:fldCharType="separate"/>
        </w:r>
        <w:r w:rsidR="003D0091">
          <w:rPr>
            <w:noProof/>
            <w:webHidden/>
          </w:rPr>
          <w:t>76</w:t>
        </w:r>
        <w:r w:rsidR="0035303B">
          <w:rPr>
            <w:noProof/>
            <w:webHidden/>
          </w:rPr>
          <w:fldChar w:fldCharType="end"/>
        </w:r>
      </w:hyperlink>
    </w:p>
    <w:p w14:paraId="4DEF60C1" w14:textId="55457A68"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14" w:history="1">
        <w:r w:rsidR="0035303B" w:rsidRPr="0090354F">
          <w:rPr>
            <w:rStyle w:val="Hyperlink"/>
            <w:rFonts w:eastAsiaTheme="majorEastAsia"/>
            <w:b/>
            <w:bCs/>
            <w:noProof/>
          </w:rPr>
          <w:t>Table 42: Cumulative gender balance per sector of the MSG in 2020</w:t>
        </w:r>
        <w:r w:rsidR="0035303B">
          <w:rPr>
            <w:noProof/>
            <w:webHidden/>
          </w:rPr>
          <w:tab/>
        </w:r>
        <w:r w:rsidR="0035303B">
          <w:rPr>
            <w:noProof/>
            <w:webHidden/>
          </w:rPr>
          <w:fldChar w:fldCharType="begin"/>
        </w:r>
        <w:r w:rsidR="0035303B">
          <w:rPr>
            <w:noProof/>
            <w:webHidden/>
          </w:rPr>
          <w:instrText xml:space="preserve"> PAGEREF _Toc146590514 \h </w:instrText>
        </w:r>
        <w:r w:rsidR="0035303B">
          <w:rPr>
            <w:noProof/>
            <w:webHidden/>
          </w:rPr>
        </w:r>
        <w:r w:rsidR="0035303B">
          <w:rPr>
            <w:noProof/>
            <w:webHidden/>
          </w:rPr>
          <w:fldChar w:fldCharType="separate"/>
        </w:r>
        <w:r w:rsidR="003D0091">
          <w:rPr>
            <w:noProof/>
            <w:webHidden/>
          </w:rPr>
          <w:t>77</w:t>
        </w:r>
        <w:r w:rsidR="0035303B">
          <w:rPr>
            <w:noProof/>
            <w:webHidden/>
          </w:rPr>
          <w:fldChar w:fldCharType="end"/>
        </w:r>
      </w:hyperlink>
    </w:p>
    <w:p w14:paraId="735FA5E0" w14:textId="267B37DC"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15" w:history="1">
        <w:r w:rsidR="0035303B" w:rsidRPr="0090354F">
          <w:rPr>
            <w:rStyle w:val="Hyperlink"/>
            <w:rFonts w:eastAsiaTheme="majorEastAsia"/>
            <w:b/>
            <w:bCs/>
            <w:noProof/>
          </w:rPr>
          <w:t>Table 43: List of direct payments</w:t>
        </w:r>
        <w:r w:rsidR="0035303B">
          <w:rPr>
            <w:noProof/>
            <w:webHidden/>
          </w:rPr>
          <w:tab/>
        </w:r>
        <w:r w:rsidR="0035303B">
          <w:rPr>
            <w:noProof/>
            <w:webHidden/>
          </w:rPr>
          <w:fldChar w:fldCharType="begin"/>
        </w:r>
        <w:r w:rsidR="0035303B">
          <w:rPr>
            <w:noProof/>
            <w:webHidden/>
          </w:rPr>
          <w:instrText xml:space="preserve"> PAGEREF _Toc146590515 \h </w:instrText>
        </w:r>
        <w:r w:rsidR="0035303B">
          <w:rPr>
            <w:noProof/>
            <w:webHidden/>
          </w:rPr>
        </w:r>
        <w:r w:rsidR="0035303B">
          <w:rPr>
            <w:noProof/>
            <w:webHidden/>
          </w:rPr>
          <w:fldChar w:fldCharType="separate"/>
        </w:r>
        <w:r w:rsidR="003D0091">
          <w:rPr>
            <w:noProof/>
            <w:webHidden/>
          </w:rPr>
          <w:t>79</w:t>
        </w:r>
        <w:r w:rsidR="0035303B">
          <w:rPr>
            <w:noProof/>
            <w:webHidden/>
          </w:rPr>
          <w:fldChar w:fldCharType="end"/>
        </w:r>
      </w:hyperlink>
    </w:p>
    <w:p w14:paraId="376B7371" w14:textId="7AB0B3C6"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16" w:history="1">
        <w:r w:rsidR="0035303B" w:rsidRPr="0090354F">
          <w:rPr>
            <w:rStyle w:val="Hyperlink"/>
            <w:rFonts w:eastAsiaTheme="majorEastAsia"/>
            <w:b/>
            <w:bCs/>
            <w:noProof/>
          </w:rPr>
          <w:t>Table 44: Extractive companies included in the scope</w:t>
        </w:r>
        <w:r w:rsidR="0035303B">
          <w:rPr>
            <w:noProof/>
            <w:webHidden/>
          </w:rPr>
          <w:tab/>
        </w:r>
        <w:r w:rsidR="0035303B">
          <w:rPr>
            <w:noProof/>
            <w:webHidden/>
          </w:rPr>
          <w:fldChar w:fldCharType="begin"/>
        </w:r>
        <w:r w:rsidR="0035303B">
          <w:rPr>
            <w:noProof/>
            <w:webHidden/>
          </w:rPr>
          <w:instrText xml:space="preserve"> PAGEREF _Toc146590516 \h </w:instrText>
        </w:r>
        <w:r w:rsidR="0035303B">
          <w:rPr>
            <w:noProof/>
            <w:webHidden/>
          </w:rPr>
        </w:r>
        <w:r w:rsidR="0035303B">
          <w:rPr>
            <w:noProof/>
            <w:webHidden/>
          </w:rPr>
          <w:fldChar w:fldCharType="separate"/>
        </w:r>
        <w:r w:rsidR="003D0091">
          <w:rPr>
            <w:noProof/>
            <w:webHidden/>
          </w:rPr>
          <w:t>83</w:t>
        </w:r>
        <w:r w:rsidR="0035303B">
          <w:rPr>
            <w:noProof/>
            <w:webHidden/>
          </w:rPr>
          <w:fldChar w:fldCharType="end"/>
        </w:r>
      </w:hyperlink>
    </w:p>
    <w:p w14:paraId="303893A3" w14:textId="3F8D2A11"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17" w:history="1">
        <w:r w:rsidR="0035303B" w:rsidRPr="0090354F">
          <w:rPr>
            <w:rStyle w:val="Hyperlink"/>
            <w:rFonts w:asciiTheme="majorHAnsi" w:eastAsiaTheme="majorEastAsia" w:hAnsiTheme="majorHAnsi"/>
            <w:b/>
            <w:bCs/>
            <w:noProof/>
          </w:rPr>
          <w:t xml:space="preserve">Table 45: Summary of revenues and unilateral disclosure </w:t>
        </w:r>
        <w:r w:rsidR="0035303B" w:rsidRPr="0090354F">
          <w:rPr>
            <w:rStyle w:val="Hyperlink"/>
            <w:rFonts w:eastAsiaTheme="majorEastAsia"/>
            <w:b/>
            <w:bCs/>
            <w:noProof/>
          </w:rPr>
          <w:t>for the fiscal years 2018</w:t>
        </w:r>
        <w:r w:rsidR="0035303B">
          <w:rPr>
            <w:noProof/>
            <w:webHidden/>
          </w:rPr>
          <w:tab/>
        </w:r>
        <w:r w:rsidR="0035303B">
          <w:rPr>
            <w:noProof/>
            <w:webHidden/>
          </w:rPr>
          <w:fldChar w:fldCharType="begin"/>
        </w:r>
        <w:r w:rsidR="0035303B">
          <w:rPr>
            <w:noProof/>
            <w:webHidden/>
          </w:rPr>
          <w:instrText xml:space="preserve"> PAGEREF _Toc146590517 \h </w:instrText>
        </w:r>
        <w:r w:rsidR="0035303B">
          <w:rPr>
            <w:noProof/>
            <w:webHidden/>
          </w:rPr>
        </w:r>
        <w:r w:rsidR="0035303B">
          <w:rPr>
            <w:noProof/>
            <w:webHidden/>
          </w:rPr>
          <w:fldChar w:fldCharType="separate"/>
        </w:r>
        <w:r w:rsidR="003D0091">
          <w:rPr>
            <w:noProof/>
            <w:webHidden/>
          </w:rPr>
          <w:t>85</w:t>
        </w:r>
        <w:r w:rsidR="0035303B">
          <w:rPr>
            <w:noProof/>
            <w:webHidden/>
          </w:rPr>
          <w:fldChar w:fldCharType="end"/>
        </w:r>
      </w:hyperlink>
    </w:p>
    <w:p w14:paraId="0584A90A" w14:textId="252FAC95"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18" w:history="1">
        <w:r w:rsidR="0035303B" w:rsidRPr="0090354F">
          <w:rPr>
            <w:rStyle w:val="Hyperlink"/>
            <w:rFonts w:asciiTheme="majorHAnsi" w:eastAsiaTheme="majorEastAsia" w:hAnsiTheme="majorHAnsi"/>
            <w:b/>
            <w:bCs/>
            <w:noProof/>
          </w:rPr>
          <w:t xml:space="preserve">Table 46: Summary of revenues and unilateral disclosure </w:t>
        </w:r>
        <w:r w:rsidR="0035303B" w:rsidRPr="0090354F">
          <w:rPr>
            <w:rStyle w:val="Hyperlink"/>
            <w:rFonts w:eastAsiaTheme="majorEastAsia"/>
            <w:b/>
            <w:bCs/>
            <w:noProof/>
          </w:rPr>
          <w:t>for the fiscal years 2019</w:t>
        </w:r>
        <w:r w:rsidR="0035303B">
          <w:rPr>
            <w:noProof/>
            <w:webHidden/>
          </w:rPr>
          <w:tab/>
        </w:r>
        <w:r w:rsidR="0035303B">
          <w:rPr>
            <w:noProof/>
            <w:webHidden/>
          </w:rPr>
          <w:fldChar w:fldCharType="begin"/>
        </w:r>
        <w:r w:rsidR="0035303B">
          <w:rPr>
            <w:noProof/>
            <w:webHidden/>
          </w:rPr>
          <w:instrText xml:space="preserve"> PAGEREF _Toc146590518 \h </w:instrText>
        </w:r>
        <w:r w:rsidR="0035303B">
          <w:rPr>
            <w:noProof/>
            <w:webHidden/>
          </w:rPr>
        </w:r>
        <w:r w:rsidR="0035303B">
          <w:rPr>
            <w:noProof/>
            <w:webHidden/>
          </w:rPr>
          <w:fldChar w:fldCharType="separate"/>
        </w:r>
        <w:r w:rsidR="003D0091">
          <w:rPr>
            <w:noProof/>
            <w:webHidden/>
          </w:rPr>
          <w:t>86</w:t>
        </w:r>
        <w:r w:rsidR="0035303B">
          <w:rPr>
            <w:noProof/>
            <w:webHidden/>
          </w:rPr>
          <w:fldChar w:fldCharType="end"/>
        </w:r>
      </w:hyperlink>
    </w:p>
    <w:p w14:paraId="4D55896C" w14:textId="62C18D6C"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19" w:history="1">
        <w:r w:rsidR="0035303B" w:rsidRPr="0090354F">
          <w:rPr>
            <w:rStyle w:val="Hyperlink"/>
            <w:rFonts w:asciiTheme="majorHAnsi" w:eastAsiaTheme="majorEastAsia" w:hAnsiTheme="majorHAnsi"/>
            <w:b/>
            <w:bCs/>
            <w:noProof/>
          </w:rPr>
          <w:t xml:space="preserve">Table 47: Summary of revenues and unilateral disclosure </w:t>
        </w:r>
        <w:r w:rsidR="0035303B" w:rsidRPr="0090354F">
          <w:rPr>
            <w:rStyle w:val="Hyperlink"/>
            <w:rFonts w:eastAsiaTheme="majorEastAsia"/>
            <w:b/>
            <w:bCs/>
            <w:noProof/>
          </w:rPr>
          <w:t>for the fiscal years 2020</w:t>
        </w:r>
        <w:r w:rsidR="0035303B">
          <w:rPr>
            <w:noProof/>
            <w:webHidden/>
          </w:rPr>
          <w:tab/>
        </w:r>
        <w:r w:rsidR="0035303B">
          <w:rPr>
            <w:noProof/>
            <w:webHidden/>
          </w:rPr>
          <w:fldChar w:fldCharType="begin"/>
        </w:r>
        <w:r w:rsidR="0035303B">
          <w:rPr>
            <w:noProof/>
            <w:webHidden/>
          </w:rPr>
          <w:instrText xml:space="preserve"> PAGEREF _Toc146590519 \h </w:instrText>
        </w:r>
        <w:r w:rsidR="0035303B">
          <w:rPr>
            <w:noProof/>
            <w:webHidden/>
          </w:rPr>
        </w:r>
        <w:r w:rsidR="0035303B">
          <w:rPr>
            <w:noProof/>
            <w:webHidden/>
          </w:rPr>
          <w:fldChar w:fldCharType="separate"/>
        </w:r>
        <w:r w:rsidR="003D0091">
          <w:rPr>
            <w:noProof/>
            <w:webHidden/>
          </w:rPr>
          <w:t>87</w:t>
        </w:r>
        <w:r w:rsidR="0035303B">
          <w:rPr>
            <w:noProof/>
            <w:webHidden/>
          </w:rPr>
          <w:fldChar w:fldCharType="end"/>
        </w:r>
      </w:hyperlink>
    </w:p>
    <w:p w14:paraId="6585D531" w14:textId="64939A1A"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20" w:history="1">
        <w:r w:rsidR="0035303B" w:rsidRPr="0090354F">
          <w:rPr>
            <w:rStyle w:val="Hyperlink"/>
            <w:rFonts w:eastAsiaTheme="majorEastAsia"/>
            <w:b/>
            <w:bCs/>
            <w:noProof/>
          </w:rPr>
          <w:t>Table 48: Analysis of total revenues by sector for the fiscal years 2018, 2019 and 2020</w:t>
        </w:r>
        <w:r w:rsidR="0035303B">
          <w:rPr>
            <w:noProof/>
            <w:webHidden/>
          </w:rPr>
          <w:tab/>
        </w:r>
        <w:r w:rsidR="0035303B">
          <w:rPr>
            <w:noProof/>
            <w:webHidden/>
          </w:rPr>
          <w:fldChar w:fldCharType="begin"/>
        </w:r>
        <w:r w:rsidR="0035303B">
          <w:rPr>
            <w:noProof/>
            <w:webHidden/>
          </w:rPr>
          <w:instrText xml:space="preserve"> PAGEREF _Toc146590520 \h </w:instrText>
        </w:r>
        <w:r w:rsidR="0035303B">
          <w:rPr>
            <w:noProof/>
            <w:webHidden/>
          </w:rPr>
        </w:r>
        <w:r w:rsidR="0035303B">
          <w:rPr>
            <w:noProof/>
            <w:webHidden/>
          </w:rPr>
          <w:fldChar w:fldCharType="separate"/>
        </w:r>
        <w:r w:rsidR="003D0091">
          <w:rPr>
            <w:noProof/>
            <w:webHidden/>
          </w:rPr>
          <w:t>88</w:t>
        </w:r>
        <w:r w:rsidR="0035303B">
          <w:rPr>
            <w:noProof/>
            <w:webHidden/>
          </w:rPr>
          <w:fldChar w:fldCharType="end"/>
        </w:r>
      </w:hyperlink>
    </w:p>
    <w:p w14:paraId="5A509449" w14:textId="31BDF86C"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21" w:history="1">
        <w:r w:rsidR="0035303B" w:rsidRPr="0090354F">
          <w:rPr>
            <w:rStyle w:val="Hyperlink"/>
            <w:rFonts w:asciiTheme="majorHAnsi" w:eastAsiaTheme="majorEastAsia" w:hAnsiTheme="majorHAnsi"/>
            <w:b/>
            <w:bCs/>
            <w:noProof/>
          </w:rPr>
          <w:t>Table 49:Analysis of total revenues by extractive entity for the fiscal years 2018, 2019 and 2020</w:t>
        </w:r>
        <w:r w:rsidR="0035303B">
          <w:rPr>
            <w:noProof/>
            <w:webHidden/>
          </w:rPr>
          <w:tab/>
        </w:r>
        <w:r w:rsidR="0035303B">
          <w:rPr>
            <w:noProof/>
            <w:webHidden/>
          </w:rPr>
          <w:fldChar w:fldCharType="begin"/>
        </w:r>
        <w:r w:rsidR="0035303B">
          <w:rPr>
            <w:noProof/>
            <w:webHidden/>
          </w:rPr>
          <w:instrText xml:space="preserve"> PAGEREF _Toc146590521 \h </w:instrText>
        </w:r>
        <w:r w:rsidR="0035303B">
          <w:rPr>
            <w:noProof/>
            <w:webHidden/>
          </w:rPr>
        </w:r>
        <w:r w:rsidR="0035303B">
          <w:rPr>
            <w:noProof/>
            <w:webHidden/>
          </w:rPr>
          <w:fldChar w:fldCharType="separate"/>
        </w:r>
        <w:r w:rsidR="003D0091">
          <w:rPr>
            <w:noProof/>
            <w:webHidden/>
          </w:rPr>
          <w:t>89</w:t>
        </w:r>
        <w:r w:rsidR="0035303B">
          <w:rPr>
            <w:noProof/>
            <w:webHidden/>
          </w:rPr>
          <w:fldChar w:fldCharType="end"/>
        </w:r>
      </w:hyperlink>
    </w:p>
    <w:p w14:paraId="6055AC67" w14:textId="38F434EF"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22" w:history="1">
        <w:r w:rsidR="0035303B" w:rsidRPr="0090354F">
          <w:rPr>
            <w:rStyle w:val="Hyperlink"/>
            <w:rFonts w:asciiTheme="majorHAnsi" w:eastAsiaTheme="majorEastAsia" w:hAnsiTheme="majorHAnsi"/>
            <w:b/>
            <w:bCs/>
            <w:noProof/>
          </w:rPr>
          <w:t>Table 50:Analysis of total revenues by extractive entity for the fiscal years 2018, 2019 and 2020</w:t>
        </w:r>
        <w:r w:rsidR="0035303B">
          <w:rPr>
            <w:noProof/>
            <w:webHidden/>
          </w:rPr>
          <w:tab/>
        </w:r>
        <w:r w:rsidR="0035303B">
          <w:rPr>
            <w:noProof/>
            <w:webHidden/>
          </w:rPr>
          <w:fldChar w:fldCharType="begin"/>
        </w:r>
        <w:r w:rsidR="0035303B">
          <w:rPr>
            <w:noProof/>
            <w:webHidden/>
          </w:rPr>
          <w:instrText xml:space="preserve"> PAGEREF _Toc146590522 \h </w:instrText>
        </w:r>
        <w:r w:rsidR="0035303B">
          <w:rPr>
            <w:noProof/>
            <w:webHidden/>
          </w:rPr>
        </w:r>
        <w:r w:rsidR="0035303B">
          <w:rPr>
            <w:noProof/>
            <w:webHidden/>
          </w:rPr>
          <w:fldChar w:fldCharType="separate"/>
        </w:r>
        <w:r w:rsidR="003D0091">
          <w:rPr>
            <w:noProof/>
            <w:webHidden/>
          </w:rPr>
          <w:t>90</w:t>
        </w:r>
        <w:r w:rsidR="0035303B">
          <w:rPr>
            <w:noProof/>
            <w:webHidden/>
          </w:rPr>
          <w:fldChar w:fldCharType="end"/>
        </w:r>
      </w:hyperlink>
    </w:p>
    <w:p w14:paraId="51C3DD3C" w14:textId="33F49B6E"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23" w:history="1">
        <w:r w:rsidR="0035303B" w:rsidRPr="0090354F">
          <w:rPr>
            <w:rStyle w:val="Hyperlink"/>
            <w:rFonts w:eastAsiaTheme="majorEastAsia"/>
            <w:b/>
            <w:bCs/>
            <w:noProof/>
          </w:rPr>
          <w:t>Table 51: Reconciliation by oil and gas companies for the fiscal year 2018</w:t>
        </w:r>
        <w:r w:rsidR="0035303B" w:rsidRPr="0090354F">
          <w:rPr>
            <w:rStyle w:val="Hyperlink"/>
            <w:rFonts w:eastAsiaTheme="majorEastAsia" w:cs="Arial"/>
            <w:i/>
            <w:iCs/>
            <w:noProof/>
            <w:lang w:eastAsia="fr-FR"/>
          </w:rPr>
          <w:t xml:space="preserve">           </w:t>
        </w:r>
        <w:r w:rsidR="0035303B">
          <w:rPr>
            <w:noProof/>
            <w:webHidden/>
          </w:rPr>
          <w:tab/>
        </w:r>
        <w:r w:rsidR="0035303B">
          <w:rPr>
            <w:noProof/>
            <w:webHidden/>
          </w:rPr>
          <w:fldChar w:fldCharType="begin"/>
        </w:r>
        <w:r w:rsidR="0035303B">
          <w:rPr>
            <w:noProof/>
            <w:webHidden/>
          </w:rPr>
          <w:instrText xml:space="preserve"> PAGEREF _Toc146590523 \h </w:instrText>
        </w:r>
        <w:r w:rsidR="0035303B">
          <w:rPr>
            <w:noProof/>
            <w:webHidden/>
          </w:rPr>
        </w:r>
        <w:r w:rsidR="0035303B">
          <w:rPr>
            <w:noProof/>
            <w:webHidden/>
          </w:rPr>
          <w:fldChar w:fldCharType="separate"/>
        </w:r>
        <w:r w:rsidR="003D0091">
          <w:rPr>
            <w:noProof/>
            <w:webHidden/>
          </w:rPr>
          <w:t>91</w:t>
        </w:r>
        <w:r w:rsidR="0035303B">
          <w:rPr>
            <w:noProof/>
            <w:webHidden/>
          </w:rPr>
          <w:fldChar w:fldCharType="end"/>
        </w:r>
      </w:hyperlink>
    </w:p>
    <w:p w14:paraId="620B1D43" w14:textId="25D951D1"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24" w:history="1">
        <w:r w:rsidR="0035303B" w:rsidRPr="0090354F">
          <w:rPr>
            <w:rStyle w:val="Hyperlink"/>
            <w:rFonts w:eastAsiaTheme="majorEastAsia"/>
            <w:b/>
            <w:bCs/>
            <w:noProof/>
          </w:rPr>
          <w:t>Table 52: Reconciliation by oil and gas companies for the fiscal year 2019</w:t>
        </w:r>
        <w:r w:rsidR="0035303B">
          <w:rPr>
            <w:noProof/>
            <w:webHidden/>
          </w:rPr>
          <w:tab/>
        </w:r>
        <w:r w:rsidR="0035303B">
          <w:rPr>
            <w:noProof/>
            <w:webHidden/>
          </w:rPr>
          <w:fldChar w:fldCharType="begin"/>
        </w:r>
        <w:r w:rsidR="0035303B">
          <w:rPr>
            <w:noProof/>
            <w:webHidden/>
          </w:rPr>
          <w:instrText xml:space="preserve"> PAGEREF _Toc146590524 \h </w:instrText>
        </w:r>
        <w:r w:rsidR="0035303B">
          <w:rPr>
            <w:noProof/>
            <w:webHidden/>
          </w:rPr>
        </w:r>
        <w:r w:rsidR="0035303B">
          <w:rPr>
            <w:noProof/>
            <w:webHidden/>
          </w:rPr>
          <w:fldChar w:fldCharType="separate"/>
        </w:r>
        <w:r w:rsidR="003D0091">
          <w:rPr>
            <w:noProof/>
            <w:webHidden/>
          </w:rPr>
          <w:t>92</w:t>
        </w:r>
        <w:r w:rsidR="0035303B">
          <w:rPr>
            <w:noProof/>
            <w:webHidden/>
          </w:rPr>
          <w:fldChar w:fldCharType="end"/>
        </w:r>
      </w:hyperlink>
    </w:p>
    <w:p w14:paraId="5F6E84B4" w14:textId="3E7C7223"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25" w:history="1">
        <w:r w:rsidR="0035303B" w:rsidRPr="0090354F">
          <w:rPr>
            <w:rStyle w:val="Hyperlink"/>
            <w:rFonts w:eastAsiaTheme="majorEastAsia"/>
            <w:b/>
            <w:bCs/>
            <w:noProof/>
          </w:rPr>
          <w:t>Table 53: Reconciliation by oil and gas companiesfor the fiscal year 2020</w:t>
        </w:r>
        <w:r w:rsidR="0035303B">
          <w:rPr>
            <w:noProof/>
            <w:webHidden/>
          </w:rPr>
          <w:tab/>
        </w:r>
        <w:r w:rsidR="0035303B">
          <w:rPr>
            <w:noProof/>
            <w:webHidden/>
          </w:rPr>
          <w:fldChar w:fldCharType="begin"/>
        </w:r>
        <w:r w:rsidR="0035303B">
          <w:rPr>
            <w:noProof/>
            <w:webHidden/>
          </w:rPr>
          <w:instrText xml:space="preserve"> PAGEREF _Toc146590525 \h </w:instrText>
        </w:r>
        <w:r w:rsidR="0035303B">
          <w:rPr>
            <w:noProof/>
            <w:webHidden/>
          </w:rPr>
        </w:r>
        <w:r w:rsidR="0035303B">
          <w:rPr>
            <w:noProof/>
            <w:webHidden/>
          </w:rPr>
          <w:fldChar w:fldCharType="separate"/>
        </w:r>
        <w:r w:rsidR="003D0091">
          <w:rPr>
            <w:noProof/>
            <w:webHidden/>
          </w:rPr>
          <w:t>93</w:t>
        </w:r>
        <w:r w:rsidR="0035303B">
          <w:rPr>
            <w:noProof/>
            <w:webHidden/>
          </w:rPr>
          <w:fldChar w:fldCharType="end"/>
        </w:r>
      </w:hyperlink>
    </w:p>
    <w:p w14:paraId="2DE5E6C7" w14:textId="05A74490"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26" w:history="1">
        <w:r w:rsidR="0035303B" w:rsidRPr="0090354F">
          <w:rPr>
            <w:rStyle w:val="Hyperlink"/>
            <w:rFonts w:eastAsiaTheme="majorEastAsia"/>
            <w:b/>
            <w:bCs/>
            <w:noProof/>
          </w:rPr>
          <w:t>Table 54: Reconciliation by revenue stream for the fiscal year 2018</w:t>
        </w:r>
        <w:r w:rsidR="0035303B" w:rsidRPr="0090354F">
          <w:rPr>
            <w:rStyle w:val="Hyperlink"/>
            <w:rFonts w:eastAsiaTheme="majorEastAsia" w:cs="Arial"/>
            <w:i/>
            <w:iCs/>
            <w:noProof/>
            <w:lang w:eastAsia="fr-FR"/>
          </w:rPr>
          <w:t xml:space="preserve">                                 </w:t>
        </w:r>
        <w:r w:rsidR="0035303B">
          <w:rPr>
            <w:noProof/>
            <w:webHidden/>
          </w:rPr>
          <w:tab/>
        </w:r>
        <w:r w:rsidR="0035303B">
          <w:rPr>
            <w:noProof/>
            <w:webHidden/>
          </w:rPr>
          <w:fldChar w:fldCharType="begin"/>
        </w:r>
        <w:r w:rsidR="0035303B">
          <w:rPr>
            <w:noProof/>
            <w:webHidden/>
          </w:rPr>
          <w:instrText xml:space="preserve"> PAGEREF _Toc146590526 \h </w:instrText>
        </w:r>
        <w:r w:rsidR="0035303B">
          <w:rPr>
            <w:noProof/>
            <w:webHidden/>
          </w:rPr>
        </w:r>
        <w:r w:rsidR="0035303B">
          <w:rPr>
            <w:noProof/>
            <w:webHidden/>
          </w:rPr>
          <w:fldChar w:fldCharType="separate"/>
        </w:r>
        <w:r w:rsidR="003D0091">
          <w:rPr>
            <w:noProof/>
            <w:webHidden/>
          </w:rPr>
          <w:t>94</w:t>
        </w:r>
        <w:r w:rsidR="0035303B">
          <w:rPr>
            <w:noProof/>
            <w:webHidden/>
          </w:rPr>
          <w:fldChar w:fldCharType="end"/>
        </w:r>
      </w:hyperlink>
    </w:p>
    <w:p w14:paraId="67D31DA8" w14:textId="5CF9793C"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27" w:history="1">
        <w:r w:rsidR="0035303B" w:rsidRPr="0090354F">
          <w:rPr>
            <w:rStyle w:val="Hyperlink"/>
            <w:rFonts w:eastAsiaTheme="majorEastAsia"/>
            <w:b/>
            <w:bCs/>
            <w:noProof/>
          </w:rPr>
          <w:t>Table 55: Reconciliation by revenue stream for the fiscal year 2019</w:t>
        </w:r>
        <w:r w:rsidR="0035303B">
          <w:rPr>
            <w:noProof/>
            <w:webHidden/>
          </w:rPr>
          <w:tab/>
        </w:r>
        <w:r w:rsidR="0035303B">
          <w:rPr>
            <w:noProof/>
            <w:webHidden/>
          </w:rPr>
          <w:fldChar w:fldCharType="begin"/>
        </w:r>
        <w:r w:rsidR="0035303B">
          <w:rPr>
            <w:noProof/>
            <w:webHidden/>
          </w:rPr>
          <w:instrText xml:space="preserve"> PAGEREF _Toc146590527 \h </w:instrText>
        </w:r>
        <w:r w:rsidR="0035303B">
          <w:rPr>
            <w:noProof/>
            <w:webHidden/>
          </w:rPr>
        </w:r>
        <w:r w:rsidR="0035303B">
          <w:rPr>
            <w:noProof/>
            <w:webHidden/>
          </w:rPr>
          <w:fldChar w:fldCharType="separate"/>
        </w:r>
        <w:r w:rsidR="003D0091">
          <w:rPr>
            <w:noProof/>
            <w:webHidden/>
          </w:rPr>
          <w:t>96</w:t>
        </w:r>
        <w:r w:rsidR="0035303B">
          <w:rPr>
            <w:noProof/>
            <w:webHidden/>
          </w:rPr>
          <w:fldChar w:fldCharType="end"/>
        </w:r>
      </w:hyperlink>
    </w:p>
    <w:p w14:paraId="2925AD2B" w14:textId="73E485E1"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28" w:history="1">
        <w:r w:rsidR="0035303B" w:rsidRPr="0090354F">
          <w:rPr>
            <w:rStyle w:val="Hyperlink"/>
            <w:rFonts w:eastAsiaTheme="majorEastAsia"/>
            <w:b/>
            <w:bCs/>
            <w:noProof/>
          </w:rPr>
          <w:t>Table 56: Reconciliation by revenue stream for the fiscal year 2020</w:t>
        </w:r>
        <w:r w:rsidR="0035303B">
          <w:rPr>
            <w:noProof/>
            <w:webHidden/>
          </w:rPr>
          <w:tab/>
        </w:r>
        <w:r w:rsidR="0035303B">
          <w:rPr>
            <w:noProof/>
            <w:webHidden/>
          </w:rPr>
          <w:fldChar w:fldCharType="begin"/>
        </w:r>
        <w:r w:rsidR="0035303B">
          <w:rPr>
            <w:noProof/>
            <w:webHidden/>
          </w:rPr>
          <w:instrText xml:space="preserve"> PAGEREF _Toc146590528 \h </w:instrText>
        </w:r>
        <w:r w:rsidR="0035303B">
          <w:rPr>
            <w:noProof/>
            <w:webHidden/>
          </w:rPr>
        </w:r>
        <w:r w:rsidR="0035303B">
          <w:rPr>
            <w:noProof/>
            <w:webHidden/>
          </w:rPr>
          <w:fldChar w:fldCharType="separate"/>
        </w:r>
        <w:r w:rsidR="003D0091">
          <w:rPr>
            <w:noProof/>
            <w:webHidden/>
          </w:rPr>
          <w:t>98</w:t>
        </w:r>
        <w:r w:rsidR="0035303B">
          <w:rPr>
            <w:noProof/>
            <w:webHidden/>
          </w:rPr>
          <w:fldChar w:fldCharType="end"/>
        </w:r>
      </w:hyperlink>
    </w:p>
    <w:p w14:paraId="25711D1E" w14:textId="1677E64B"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29" w:history="1">
        <w:r w:rsidR="0035303B" w:rsidRPr="0090354F">
          <w:rPr>
            <w:rStyle w:val="Hyperlink"/>
            <w:rFonts w:eastAsiaTheme="majorEastAsia"/>
            <w:b/>
            <w:bCs/>
            <w:noProof/>
          </w:rPr>
          <w:t>Table 57:Adjustments to Extractive entities’ templates for the fiscal year 2018</w:t>
        </w:r>
        <w:r w:rsidR="0035303B">
          <w:rPr>
            <w:noProof/>
            <w:webHidden/>
          </w:rPr>
          <w:tab/>
        </w:r>
        <w:r w:rsidR="0035303B">
          <w:rPr>
            <w:noProof/>
            <w:webHidden/>
          </w:rPr>
          <w:fldChar w:fldCharType="begin"/>
        </w:r>
        <w:r w:rsidR="0035303B">
          <w:rPr>
            <w:noProof/>
            <w:webHidden/>
          </w:rPr>
          <w:instrText xml:space="preserve"> PAGEREF _Toc146590529 \h </w:instrText>
        </w:r>
        <w:r w:rsidR="0035303B">
          <w:rPr>
            <w:noProof/>
            <w:webHidden/>
          </w:rPr>
        </w:r>
        <w:r w:rsidR="0035303B">
          <w:rPr>
            <w:noProof/>
            <w:webHidden/>
          </w:rPr>
          <w:fldChar w:fldCharType="separate"/>
        </w:r>
        <w:r w:rsidR="003D0091">
          <w:rPr>
            <w:noProof/>
            <w:webHidden/>
          </w:rPr>
          <w:t>100</w:t>
        </w:r>
        <w:r w:rsidR="0035303B">
          <w:rPr>
            <w:noProof/>
            <w:webHidden/>
          </w:rPr>
          <w:fldChar w:fldCharType="end"/>
        </w:r>
      </w:hyperlink>
    </w:p>
    <w:p w14:paraId="7F76E136" w14:textId="6C601C03"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30" w:history="1">
        <w:r w:rsidR="0035303B" w:rsidRPr="0090354F">
          <w:rPr>
            <w:rStyle w:val="Hyperlink"/>
            <w:rFonts w:eastAsiaTheme="majorEastAsia"/>
            <w:b/>
            <w:bCs/>
            <w:noProof/>
          </w:rPr>
          <w:t>Table 58:  Adjustments to Extractive entities’ templates for the fiscal year 2019</w:t>
        </w:r>
        <w:r w:rsidR="0035303B">
          <w:rPr>
            <w:noProof/>
            <w:webHidden/>
          </w:rPr>
          <w:tab/>
        </w:r>
        <w:r w:rsidR="0035303B">
          <w:rPr>
            <w:noProof/>
            <w:webHidden/>
          </w:rPr>
          <w:fldChar w:fldCharType="begin"/>
        </w:r>
        <w:r w:rsidR="0035303B">
          <w:rPr>
            <w:noProof/>
            <w:webHidden/>
          </w:rPr>
          <w:instrText xml:space="preserve"> PAGEREF _Toc146590530 \h </w:instrText>
        </w:r>
        <w:r w:rsidR="0035303B">
          <w:rPr>
            <w:noProof/>
            <w:webHidden/>
          </w:rPr>
        </w:r>
        <w:r w:rsidR="0035303B">
          <w:rPr>
            <w:noProof/>
            <w:webHidden/>
          </w:rPr>
          <w:fldChar w:fldCharType="separate"/>
        </w:r>
        <w:r w:rsidR="003D0091">
          <w:rPr>
            <w:noProof/>
            <w:webHidden/>
          </w:rPr>
          <w:t>100</w:t>
        </w:r>
        <w:r w:rsidR="0035303B">
          <w:rPr>
            <w:noProof/>
            <w:webHidden/>
          </w:rPr>
          <w:fldChar w:fldCharType="end"/>
        </w:r>
      </w:hyperlink>
    </w:p>
    <w:p w14:paraId="0EAAC23E" w14:textId="1C9FF8F8"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31" w:history="1">
        <w:r w:rsidR="0035303B" w:rsidRPr="0090354F">
          <w:rPr>
            <w:rStyle w:val="Hyperlink"/>
            <w:rFonts w:eastAsiaTheme="majorEastAsia"/>
            <w:b/>
            <w:bCs/>
            <w:noProof/>
          </w:rPr>
          <w:t>Table 59:  Adjustments to Extractive entities’ templates for the fiscal year 2020</w:t>
        </w:r>
        <w:r w:rsidR="0035303B">
          <w:rPr>
            <w:noProof/>
            <w:webHidden/>
          </w:rPr>
          <w:tab/>
        </w:r>
        <w:r w:rsidR="0035303B">
          <w:rPr>
            <w:noProof/>
            <w:webHidden/>
          </w:rPr>
          <w:fldChar w:fldCharType="begin"/>
        </w:r>
        <w:r w:rsidR="0035303B">
          <w:rPr>
            <w:noProof/>
            <w:webHidden/>
          </w:rPr>
          <w:instrText xml:space="preserve"> PAGEREF _Toc146590531 \h </w:instrText>
        </w:r>
        <w:r w:rsidR="0035303B">
          <w:rPr>
            <w:noProof/>
            <w:webHidden/>
          </w:rPr>
        </w:r>
        <w:r w:rsidR="0035303B">
          <w:rPr>
            <w:noProof/>
            <w:webHidden/>
          </w:rPr>
          <w:fldChar w:fldCharType="separate"/>
        </w:r>
        <w:r w:rsidR="003D0091">
          <w:rPr>
            <w:noProof/>
            <w:webHidden/>
          </w:rPr>
          <w:t>100</w:t>
        </w:r>
        <w:r w:rsidR="0035303B">
          <w:rPr>
            <w:noProof/>
            <w:webHidden/>
          </w:rPr>
          <w:fldChar w:fldCharType="end"/>
        </w:r>
      </w:hyperlink>
    </w:p>
    <w:p w14:paraId="47EA6E1C" w14:textId="1A0BBF41"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32" w:history="1">
        <w:r w:rsidR="0035303B" w:rsidRPr="0090354F">
          <w:rPr>
            <w:rStyle w:val="Hyperlink"/>
            <w:rFonts w:eastAsiaTheme="majorEastAsia"/>
            <w:b/>
            <w:bCs/>
            <w:noProof/>
          </w:rPr>
          <w:t>Table 60:Adjustments to Government Agencies’ templates for the fiscal year 2018</w:t>
        </w:r>
        <w:r w:rsidR="0035303B">
          <w:rPr>
            <w:noProof/>
            <w:webHidden/>
          </w:rPr>
          <w:tab/>
        </w:r>
        <w:r w:rsidR="0035303B">
          <w:rPr>
            <w:noProof/>
            <w:webHidden/>
          </w:rPr>
          <w:fldChar w:fldCharType="begin"/>
        </w:r>
        <w:r w:rsidR="0035303B">
          <w:rPr>
            <w:noProof/>
            <w:webHidden/>
          </w:rPr>
          <w:instrText xml:space="preserve"> PAGEREF _Toc146590532 \h </w:instrText>
        </w:r>
        <w:r w:rsidR="0035303B">
          <w:rPr>
            <w:noProof/>
            <w:webHidden/>
          </w:rPr>
        </w:r>
        <w:r w:rsidR="0035303B">
          <w:rPr>
            <w:noProof/>
            <w:webHidden/>
          </w:rPr>
          <w:fldChar w:fldCharType="separate"/>
        </w:r>
        <w:r w:rsidR="003D0091">
          <w:rPr>
            <w:noProof/>
            <w:webHidden/>
          </w:rPr>
          <w:t>100</w:t>
        </w:r>
        <w:r w:rsidR="0035303B">
          <w:rPr>
            <w:noProof/>
            <w:webHidden/>
          </w:rPr>
          <w:fldChar w:fldCharType="end"/>
        </w:r>
      </w:hyperlink>
    </w:p>
    <w:p w14:paraId="078EFABF" w14:textId="4AC5DC16"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33" w:history="1">
        <w:r w:rsidR="0035303B" w:rsidRPr="0090354F">
          <w:rPr>
            <w:rStyle w:val="Hyperlink"/>
            <w:rFonts w:eastAsiaTheme="majorEastAsia"/>
            <w:b/>
            <w:bCs/>
            <w:noProof/>
          </w:rPr>
          <w:t>Table 61: Adjustments to Government Agencies’ templates for the fiscal year 2019</w:t>
        </w:r>
        <w:r w:rsidR="0035303B">
          <w:rPr>
            <w:noProof/>
            <w:webHidden/>
          </w:rPr>
          <w:tab/>
        </w:r>
        <w:r w:rsidR="0035303B">
          <w:rPr>
            <w:noProof/>
            <w:webHidden/>
          </w:rPr>
          <w:fldChar w:fldCharType="begin"/>
        </w:r>
        <w:r w:rsidR="0035303B">
          <w:rPr>
            <w:noProof/>
            <w:webHidden/>
          </w:rPr>
          <w:instrText xml:space="preserve"> PAGEREF _Toc146590533 \h </w:instrText>
        </w:r>
        <w:r w:rsidR="0035303B">
          <w:rPr>
            <w:noProof/>
            <w:webHidden/>
          </w:rPr>
        </w:r>
        <w:r w:rsidR="0035303B">
          <w:rPr>
            <w:noProof/>
            <w:webHidden/>
          </w:rPr>
          <w:fldChar w:fldCharType="separate"/>
        </w:r>
        <w:r w:rsidR="003D0091">
          <w:rPr>
            <w:noProof/>
            <w:webHidden/>
          </w:rPr>
          <w:t>100</w:t>
        </w:r>
        <w:r w:rsidR="0035303B">
          <w:rPr>
            <w:noProof/>
            <w:webHidden/>
          </w:rPr>
          <w:fldChar w:fldCharType="end"/>
        </w:r>
      </w:hyperlink>
    </w:p>
    <w:p w14:paraId="13362B4F" w14:textId="1F1BD1D5"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34" w:history="1">
        <w:r w:rsidR="0035303B" w:rsidRPr="0090354F">
          <w:rPr>
            <w:rStyle w:val="Hyperlink"/>
            <w:rFonts w:eastAsiaTheme="majorEastAsia"/>
            <w:b/>
            <w:bCs/>
            <w:noProof/>
          </w:rPr>
          <w:t>Table 62: Adjustments to Government Agencies’ templates for the fiscal year 2020</w:t>
        </w:r>
        <w:r w:rsidR="0035303B">
          <w:rPr>
            <w:noProof/>
            <w:webHidden/>
          </w:rPr>
          <w:tab/>
        </w:r>
        <w:r w:rsidR="0035303B">
          <w:rPr>
            <w:noProof/>
            <w:webHidden/>
          </w:rPr>
          <w:fldChar w:fldCharType="begin"/>
        </w:r>
        <w:r w:rsidR="0035303B">
          <w:rPr>
            <w:noProof/>
            <w:webHidden/>
          </w:rPr>
          <w:instrText xml:space="preserve"> PAGEREF _Toc146590534 \h </w:instrText>
        </w:r>
        <w:r w:rsidR="0035303B">
          <w:rPr>
            <w:noProof/>
            <w:webHidden/>
          </w:rPr>
        </w:r>
        <w:r w:rsidR="0035303B">
          <w:rPr>
            <w:noProof/>
            <w:webHidden/>
          </w:rPr>
          <w:fldChar w:fldCharType="separate"/>
        </w:r>
        <w:r w:rsidR="003D0091">
          <w:rPr>
            <w:noProof/>
            <w:webHidden/>
          </w:rPr>
          <w:t>101</w:t>
        </w:r>
        <w:r w:rsidR="0035303B">
          <w:rPr>
            <w:noProof/>
            <w:webHidden/>
          </w:rPr>
          <w:fldChar w:fldCharType="end"/>
        </w:r>
      </w:hyperlink>
    </w:p>
    <w:p w14:paraId="202838D6" w14:textId="5E0741F5"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35" w:history="1">
        <w:r w:rsidR="0035303B" w:rsidRPr="0090354F">
          <w:rPr>
            <w:rStyle w:val="Hyperlink"/>
            <w:rFonts w:eastAsiaTheme="majorEastAsia"/>
            <w:b/>
            <w:bCs/>
            <w:noProof/>
          </w:rPr>
          <w:t>Table 63: Summary of unreconciled discrepancies for the fiscal year 2018</w:t>
        </w:r>
        <w:r w:rsidR="0035303B">
          <w:rPr>
            <w:noProof/>
            <w:webHidden/>
          </w:rPr>
          <w:tab/>
        </w:r>
        <w:r w:rsidR="0035303B">
          <w:rPr>
            <w:noProof/>
            <w:webHidden/>
          </w:rPr>
          <w:fldChar w:fldCharType="begin"/>
        </w:r>
        <w:r w:rsidR="0035303B">
          <w:rPr>
            <w:noProof/>
            <w:webHidden/>
          </w:rPr>
          <w:instrText xml:space="preserve"> PAGEREF _Toc146590535 \h </w:instrText>
        </w:r>
        <w:r w:rsidR="0035303B">
          <w:rPr>
            <w:noProof/>
            <w:webHidden/>
          </w:rPr>
        </w:r>
        <w:r w:rsidR="0035303B">
          <w:rPr>
            <w:noProof/>
            <w:webHidden/>
          </w:rPr>
          <w:fldChar w:fldCharType="separate"/>
        </w:r>
        <w:r w:rsidR="003D0091">
          <w:rPr>
            <w:noProof/>
            <w:webHidden/>
          </w:rPr>
          <w:t>101</w:t>
        </w:r>
        <w:r w:rsidR="0035303B">
          <w:rPr>
            <w:noProof/>
            <w:webHidden/>
          </w:rPr>
          <w:fldChar w:fldCharType="end"/>
        </w:r>
      </w:hyperlink>
    </w:p>
    <w:p w14:paraId="421939FE" w14:textId="48ABF93F"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36" w:history="1">
        <w:r w:rsidR="0035303B" w:rsidRPr="0090354F">
          <w:rPr>
            <w:rStyle w:val="Hyperlink"/>
            <w:rFonts w:eastAsiaTheme="majorEastAsia"/>
            <w:b/>
            <w:bCs/>
            <w:noProof/>
          </w:rPr>
          <w:t>Table 64: Summary of unreconciled discrepancies for the fiscal year 2019</w:t>
        </w:r>
        <w:r w:rsidR="0035303B">
          <w:rPr>
            <w:noProof/>
            <w:webHidden/>
          </w:rPr>
          <w:tab/>
        </w:r>
        <w:r w:rsidR="0035303B">
          <w:rPr>
            <w:noProof/>
            <w:webHidden/>
          </w:rPr>
          <w:fldChar w:fldCharType="begin"/>
        </w:r>
        <w:r w:rsidR="0035303B">
          <w:rPr>
            <w:noProof/>
            <w:webHidden/>
          </w:rPr>
          <w:instrText xml:space="preserve"> PAGEREF _Toc146590536 \h </w:instrText>
        </w:r>
        <w:r w:rsidR="0035303B">
          <w:rPr>
            <w:noProof/>
            <w:webHidden/>
          </w:rPr>
        </w:r>
        <w:r w:rsidR="0035303B">
          <w:rPr>
            <w:noProof/>
            <w:webHidden/>
          </w:rPr>
          <w:fldChar w:fldCharType="separate"/>
        </w:r>
        <w:r w:rsidR="003D0091">
          <w:rPr>
            <w:noProof/>
            <w:webHidden/>
          </w:rPr>
          <w:t>101</w:t>
        </w:r>
        <w:r w:rsidR="0035303B">
          <w:rPr>
            <w:noProof/>
            <w:webHidden/>
          </w:rPr>
          <w:fldChar w:fldCharType="end"/>
        </w:r>
      </w:hyperlink>
    </w:p>
    <w:p w14:paraId="5CD28D5A" w14:textId="06B09E83"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37" w:history="1">
        <w:r w:rsidR="0035303B" w:rsidRPr="0090354F">
          <w:rPr>
            <w:rStyle w:val="Hyperlink"/>
            <w:rFonts w:eastAsiaTheme="majorEastAsia"/>
            <w:b/>
            <w:bCs/>
            <w:noProof/>
          </w:rPr>
          <w:t>Table 65: Summary of unreconciled discrepancies for the fiscal year 2020</w:t>
        </w:r>
        <w:r w:rsidR="0035303B">
          <w:rPr>
            <w:noProof/>
            <w:webHidden/>
          </w:rPr>
          <w:tab/>
        </w:r>
        <w:r w:rsidR="0035303B">
          <w:rPr>
            <w:noProof/>
            <w:webHidden/>
          </w:rPr>
          <w:fldChar w:fldCharType="begin"/>
        </w:r>
        <w:r w:rsidR="0035303B">
          <w:rPr>
            <w:noProof/>
            <w:webHidden/>
          </w:rPr>
          <w:instrText xml:space="preserve"> PAGEREF _Toc146590537 \h </w:instrText>
        </w:r>
        <w:r w:rsidR="0035303B">
          <w:rPr>
            <w:noProof/>
            <w:webHidden/>
          </w:rPr>
        </w:r>
        <w:r w:rsidR="0035303B">
          <w:rPr>
            <w:noProof/>
            <w:webHidden/>
          </w:rPr>
          <w:fldChar w:fldCharType="separate"/>
        </w:r>
        <w:r w:rsidR="003D0091">
          <w:rPr>
            <w:noProof/>
            <w:webHidden/>
          </w:rPr>
          <w:t>101</w:t>
        </w:r>
        <w:r w:rsidR="0035303B">
          <w:rPr>
            <w:noProof/>
            <w:webHidden/>
          </w:rPr>
          <w:fldChar w:fldCharType="end"/>
        </w:r>
      </w:hyperlink>
    </w:p>
    <w:p w14:paraId="1485ABDC" w14:textId="4C32D9F9"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38" w:history="1">
        <w:r w:rsidR="0035303B" w:rsidRPr="0090354F">
          <w:rPr>
            <w:rStyle w:val="Hyperlink"/>
            <w:rFonts w:eastAsiaTheme="majorEastAsia"/>
            <w:b/>
            <w:bCs/>
            <w:noProof/>
          </w:rPr>
          <w:t>Table 66: Summary of the unreconciled differences by company for the fiscal year 2018</w:t>
        </w:r>
        <w:r w:rsidR="0035303B">
          <w:rPr>
            <w:noProof/>
            <w:webHidden/>
          </w:rPr>
          <w:tab/>
        </w:r>
        <w:r w:rsidR="0035303B">
          <w:rPr>
            <w:noProof/>
            <w:webHidden/>
          </w:rPr>
          <w:fldChar w:fldCharType="begin"/>
        </w:r>
        <w:r w:rsidR="0035303B">
          <w:rPr>
            <w:noProof/>
            <w:webHidden/>
          </w:rPr>
          <w:instrText xml:space="preserve"> PAGEREF _Toc146590538 \h </w:instrText>
        </w:r>
        <w:r w:rsidR="0035303B">
          <w:rPr>
            <w:noProof/>
            <w:webHidden/>
          </w:rPr>
        </w:r>
        <w:r w:rsidR="0035303B">
          <w:rPr>
            <w:noProof/>
            <w:webHidden/>
          </w:rPr>
          <w:fldChar w:fldCharType="separate"/>
        </w:r>
        <w:r w:rsidR="003D0091">
          <w:rPr>
            <w:noProof/>
            <w:webHidden/>
          </w:rPr>
          <w:t>102</w:t>
        </w:r>
        <w:r w:rsidR="0035303B">
          <w:rPr>
            <w:noProof/>
            <w:webHidden/>
          </w:rPr>
          <w:fldChar w:fldCharType="end"/>
        </w:r>
      </w:hyperlink>
    </w:p>
    <w:p w14:paraId="671EDB8E" w14:textId="7DEF7AF5"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39" w:history="1">
        <w:r w:rsidR="0035303B" w:rsidRPr="0090354F">
          <w:rPr>
            <w:rStyle w:val="Hyperlink"/>
            <w:rFonts w:eastAsiaTheme="majorEastAsia"/>
            <w:b/>
            <w:bCs/>
            <w:noProof/>
          </w:rPr>
          <w:t>Table 67: Summary of the unreconciled differences by company for the fiscal year 2019</w:t>
        </w:r>
        <w:r w:rsidR="0035303B">
          <w:rPr>
            <w:noProof/>
            <w:webHidden/>
          </w:rPr>
          <w:tab/>
        </w:r>
        <w:r w:rsidR="0035303B">
          <w:rPr>
            <w:noProof/>
            <w:webHidden/>
          </w:rPr>
          <w:fldChar w:fldCharType="begin"/>
        </w:r>
        <w:r w:rsidR="0035303B">
          <w:rPr>
            <w:noProof/>
            <w:webHidden/>
          </w:rPr>
          <w:instrText xml:space="preserve"> PAGEREF _Toc146590539 \h </w:instrText>
        </w:r>
        <w:r w:rsidR="0035303B">
          <w:rPr>
            <w:noProof/>
            <w:webHidden/>
          </w:rPr>
        </w:r>
        <w:r w:rsidR="0035303B">
          <w:rPr>
            <w:noProof/>
            <w:webHidden/>
          </w:rPr>
          <w:fldChar w:fldCharType="separate"/>
        </w:r>
        <w:r w:rsidR="003D0091">
          <w:rPr>
            <w:noProof/>
            <w:webHidden/>
          </w:rPr>
          <w:t>102</w:t>
        </w:r>
        <w:r w:rsidR="0035303B">
          <w:rPr>
            <w:noProof/>
            <w:webHidden/>
          </w:rPr>
          <w:fldChar w:fldCharType="end"/>
        </w:r>
      </w:hyperlink>
    </w:p>
    <w:p w14:paraId="25D9BF1D" w14:textId="02FC2B4F"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40" w:history="1">
        <w:r w:rsidR="0035303B" w:rsidRPr="0090354F">
          <w:rPr>
            <w:rStyle w:val="Hyperlink"/>
            <w:rFonts w:eastAsiaTheme="majorEastAsia"/>
            <w:b/>
            <w:bCs/>
            <w:noProof/>
          </w:rPr>
          <w:t>Table 68: Summary of the unreconciled differences by company for the fiscal year 2020</w:t>
        </w:r>
        <w:r w:rsidR="0035303B">
          <w:rPr>
            <w:noProof/>
            <w:webHidden/>
          </w:rPr>
          <w:tab/>
        </w:r>
        <w:r w:rsidR="0035303B">
          <w:rPr>
            <w:noProof/>
            <w:webHidden/>
          </w:rPr>
          <w:fldChar w:fldCharType="begin"/>
        </w:r>
        <w:r w:rsidR="0035303B">
          <w:rPr>
            <w:noProof/>
            <w:webHidden/>
          </w:rPr>
          <w:instrText xml:space="preserve"> PAGEREF _Toc146590540 \h </w:instrText>
        </w:r>
        <w:r w:rsidR="0035303B">
          <w:rPr>
            <w:noProof/>
            <w:webHidden/>
          </w:rPr>
        </w:r>
        <w:r w:rsidR="0035303B">
          <w:rPr>
            <w:noProof/>
            <w:webHidden/>
          </w:rPr>
          <w:fldChar w:fldCharType="separate"/>
        </w:r>
        <w:r w:rsidR="003D0091">
          <w:rPr>
            <w:noProof/>
            <w:webHidden/>
          </w:rPr>
          <w:t>102</w:t>
        </w:r>
        <w:r w:rsidR="0035303B">
          <w:rPr>
            <w:noProof/>
            <w:webHidden/>
          </w:rPr>
          <w:fldChar w:fldCharType="end"/>
        </w:r>
      </w:hyperlink>
    </w:p>
    <w:p w14:paraId="2D857DEC" w14:textId="3A3A785B"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41" w:history="1">
        <w:r w:rsidR="0035303B" w:rsidRPr="0090354F">
          <w:rPr>
            <w:rStyle w:val="Hyperlink"/>
            <w:rFonts w:eastAsiaTheme="majorEastAsia"/>
            <w:b/>
            <w:bCs/>
            <w:noProof/>
          </w:rPr>
          <w:t>Table 69: Summary of unreconciled amounts by revenue stream for the fiscal year 2018</w:t>
        </w:r>
        <w:r w:rsidR="0035303B">
          <w:rPr>
            <w:noProof/>
            <w:webHidden/>
          </w:rPr>
          <w:tab/>
        </w:r>
        <w:r w:rsidR="0035303B">
          <w:rPr>
            <w:noProof/>
            <w:webHidden/>
          </w:rPr>
          <w:fldChar w:fldCharType="begin"/>
        </w:r>
        <w:r w:rsidR="0035303B">
          <w:rPr>
            <w:noProof/>
            <w:webHidden/>
          </w:rPr>
          <w:instrText xml:space="preserve"> PAGEREF _Toc146590541 \h </w:instrText>
        </w:r>
        <w:r w:rsidR="0035303B">
          <w:rPr>
            <w:noProof/>
            <w:webHidden/>
          </w:rPr>
        </w:r>
        <w:r w:rsidR="0035303B">
          <w:rPr>
            <w:noProof/>
            <w:webHidden/>
          </w:rPr>
          <w:fldChar w:fldCharType="separate"/>
        </w:r>
        <w:r w:rsidR="003D0091">
          <w:rPr>
            <w:noProof/>
            <w:webHidden/>
          </w:rPr>
          <w:t>103</w:t>
        </w:r>
        <w:r w:rsidR="0035303B">
          <w:rPr>
            <w:noProof/>
            <w:webHidden/>
          </w:rPr>
          <w:fldChar w:fldCharType="end"/>
        </w:r>
      </w:hyperlink>
    </w:p>
    <w:p w14:paraId="753C9E06" w14:textId="4E30B2A7"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42" w:history="1">
        <w:r w:rsidR="0035303B" w:rsidRPr="0090354F">
          <w:rPr>
            <w:rStyle w:val="Hyperlink"/>
            <w:rFonts w:eastAsiaTheme="majorEastAsia"/>
            <w:b/>
            <w:bCs/>
            <w:noProof/>
          </w:rPr>
          <w:t>Table 70: Summary of unreconciled amounts by revenue stream for the fiscal year 2019</w:t>
        </w:r>
        <w:r w:rsidR="0035303B">
          <w:rPr>
            <w:noProof/>
            <w:webHidden/>
          </w:rPr>
          <w:tab/>
        </w:r>
        <w:r w:rsidR="0035303B">
          <w:rPr>
            <w:noProof/>
            <w:webHidden/>
          </w:rPr>
          <w:fldChar w:fldCharType="begin"/>
        </w:r>
        <w:r w:rsidR="0035303B">
          <w:rPr>
            <w:noProof/>
            <w:webHidden/>
          </w:rPr>
          <w:instrText xml:space="preserve"> PAGEREF _Toc146590542 \h </w:instrText>
        </w:r>
        <w:r w:rsidR="0035303B">
          <w:rPr>
            <w:noProof/>
            <w:webHidden/>
          </w:rPr>
        </w:r>
        <w:r w:rsidR="0035303B">
          <w:rPr>
            <w:noProof/>
            <w:webHidden/>
          </w:rPr>
          <w:fldChar w:fldCharType="separate"/>
        </w:r>
        <w:r w:rsidR="003D0091">
          <w:rPr>
            <w:noProof/>
            <w:webHidden/>
          </w:rPr>
          <w:t>103</w:t>
        </w:r>
        <w:r w:rsidR="0035303B">
          <w:rPr>
            <w:noProof/>
            <w:webHidden/>
          </w:rPr>
          <w:fldChar w:fldCharType="end"/>
        </w:r>
      </w:hyperlink>
    </w:p>
    <w:p w14:paraId="31873D79" w14:textId="56C81066"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43" w:history="1">
        <w:r w:rsidR="0035303B" w:rsidRPr="0090354F">
          <w:rPr>
            <w:rStyle w:val="Hyperlink"/>
            <w:rFonts w:eastAsiaTheme="majorEastAsia"/>
            <w:b/>
            <w:bCs/>
            <w:noProof/>
          </w:rPr>
          <w:t>Table 71: Summary of unreconciled amounts by revenue stream for the fiscal year 2020</w:t>
        </w:r>
        <w:r w:rsidR="0035303B">
          <w:rPr>
            <w:noProof/>
            <w:webHidden/>
          </w:rPr>
          <w:tab/>
        </w:r>
        <w:r w:rsidR="0035303B">
          <w:rPr>
            <w:noProof/>
            <w:webHidden/>
          </w:rPr>
          <w:fldChar w:fldCharType="begin"/>
        </w:r>
        <w:r w:rsidR="0035303B">
          <w:rPr>
            <w:noProof/>
            <w:webHidden/>
          </w:rPr>
          <w:instrText xml:space="preserve"> PAGEREF _Toc146590543 \h </w:instrText>
        </w:r>
        <w:r w:rsidR="0035303B">
          <w:rPr>
            <w:noProof/>
            <w:webHidden/>
          </w:rPr>
        </w:r>
        <w:r w:rsidR="0035303B">
          <w:rPr>
            <w:noProof/>
            <w:webHidden/>
          </w:rPr>
          <w:fldChar w:fldCharType="separate"/>
        </w:r>
        <w:r w:rsidR="003D0091">
          <w:rPr>
            <w:noProof/>
            <w:webHidden/>
          </w:rPr>
          <w:t>103</w:t>
        </w:r>
        <w:r w:rsidR="0035303B">
          <w:rPr>
            <w:noProof/>
            <w:webHidden/>
          </w:rPr>
          <w:fldChar w:fldCharType="end"/>
        </w:r>
      </w:hyperlink>
    </w:p>
    <w:p w14:paraId="2C4E1703" w14:textId="4B4F0C2C"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44" w:history="1">
        <w:r w:rsidR="0035303B" w:rsidRPr="0090354F">
          <w:rPr>
            <w:rStyle w:val="Hyperlink"/>
            <w:rFonts w:eastAsiaTheme="majorEastAsia"/>
            <w:b/>
            <w:bCs/>
            <w:noProof/>
          </w:rPr>
          <w:t>Table 72: Summary of social contributions reported by the companies for the fiscal years 2018,2019 and 2020</w:t>
        </w:r>
        <w:r w:rsidR="0035303B">
          <w:rPr>
            <w:noProof/>
            <w:webHidden/>
          </w:rPr>
          <w:tab/>
        </w:r>
        <w:r w:rsidR="0035303B">
          <w:rPr>
            <w:noProof/>
            <w:webHidden/>
          </w:rPr>
          <w:fldChar w:fldCharType="begin"/>
        </w:r>
        <w:r w:rsidR="0035303B">
          <w:rPr>
            <w:noProof/>
            <w:webHidden/>
          </w:rPr>
          <w:instrText xml:space="preserve"> PAGEREF _Toc146590544 \h </w:instrText>
        </w:r>
        <w:r w:rsidR="0035303B">
          <w:rPr>
            <w:noProof/>
            <w:webHidden/>
          </w:rPr>
        </w:r>
        <w:r w:rsidR="0035303B">
          <w:rPr>
            <w:noProof/>
            <w:webHidden/>
          </w:rPr>
          <w:fldChar w:fldCharType="separate"/>
        </w:r>
        <w:r w:rsidR="003D0091">
          <w:rPr>
            <w:noProof/>
            <w:webHidden/>
          </w:rPr>
          <w:t>104</w:t>
        </w:r>
        <w:r w:rsidR="0035303B">
          <w:rPr>
            <w:noProof/>
            <w:webHidden/>
          </w:rPr>
          <w:fldChar w:fldCharType="end"/>
        </w:r>
      </w:hyperlink>
    </w:p>
    <w:p w14:paraId="4AD58F94" w14:textId="2838D17F"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45" w:history="1">
        <w:r w:rsidR="0035303B" w:rsidRPr="0090354F">
          <w:rPr>
            <w:rStyle w:val="Hyperlink"/>
            <w:rFonts w:eastAsiaTheme="majorEastAsia"/>
            <w:b/>
            <w:bCs/>
            <w:noProof/>
          </w:rPr>
          <w:t>Table 73: Production declared by the companies for the fiscal year 2018, 2019 and 2020</w:t>
        </w:r>
        <w:r w:rsidR="0035303B">
          <w:rPr>
            <w:noProof/>
            <w:webHidden/>
          </w:rPr>
          <w:tab/>
        </w:r>
        <w:r w:rsidR="0035303B">
          <w:rPr>
            <w:noProof/>
            <w:webHidden/>
          </w:rPr>
          <w:fldChar w:fldCharType="begin"/>
        </w:r>
        <w:r w:rsidR="0035303B">
          <w:rPr>
            <w:noProof/>
            <w:webHidden/>
          </w:rPr>
          <w:instrText xml:space="preserve"> PAGEREF _Toc146590545 \h </w:instrText>
        </w:r>
        <w:r w:rsidR="0035303B">
          <w:rPr>
            <w:noProof/>
            <w:webHidden/>
          </w:rPr>
        </w:r>
        <w:r w:rsidR="0035303B">
          <w:rPr>
            <w:noProof/>
            <w:webHidden/>
          </w:rPr>
          <w:fldChar w:fldCharType="separate"/>
        </w:r>
        <w:r w:rsidR="003D0091">
          <w:rPr>
            <w:noProof/>
            <w:webHidden/>
          </w:rPr>
          <w:t>104</w:t>
        </w:r>
        <w:r w:rsidR="0035303B">
          <w:rPr>
            <w:noProof/>
            <w:webHidden/>
          </w:rPr>
          <w:fldChar w:fldCharType="end"/>
        </w:r>
      </w:hyperlink>
    </w:p>
    <w:p w14:paraId="7DF1F129" w14:textId="1B244F30" w:rsidR="0035303B" w:rsidRPr="00860520" w:rsidRDefault="00511B60">
      <w:pPr>
        <w:pStyle w:val="TableofFigures"/>
        <w:tabs>
          <w:tab w:val="right" w:leader="dot" w:pos="9016"/>
        </w:tabs>
        <w:rPr>
          <w:rFonts w:asciiTheme="minorHAnsi" w:eastAsiaTheme="minorEastAsia" w:hAnsiTheme="minorHAnsi" w:cstheme="minorBidi"/>
          <w:b/>
          <w:bCs/>
          <w:noProof/>
          <w:color w:val="auto"/>
          <w:kern w:val="2"/>
          <w:sz w:val="22"/>
          <w:szCs w:val="22"/>
          <w:lang w:val="fr-FR" w:eastAsia="fr-FR"/>
          <w14:ligatures w14:val="standardContextual"/>
        </w:rPr>
      </w:pPr>
      <w:hyperlink w:anchor="_Toc146590546" w:history="1">
        <w:r w:rsidR="0035303B" w:rsidRPr="00860520">
          <w:rPr>
            <w:rStyle w:val="Hyperlink"/>
            <w:rFonts w:eastAsiaTheme="majorEastAsia"/>
            <w:b/>
            <w:bCs/>
            <w:noProof/>
          </w:rPr>
          <w:t>Table 74: exports declared by the mining companies</w:t>
        </w:r>
        <w:r w:rsidR="0035303B" w:rsidRPr="00860520">
          <w:rPr>
            <w:b/>
            <w:bCs/>
            <w:noProof/>
            <w:webHidden/>
          </w:rPr>
          <w:tab/>
        </w:r>
        <w:r w:rsidR="0035303B" w:rsidRPr="00860520">
          <w:rPr>
            <w:b/>
            <w:bCs/>
            <w:noProof/>
            <w:webHidden/>
          </w:rPr>
          <w:fldChar w:fldCharType="begin"/>
        </w:r>
        <w:r w:rsidR="0035303B" w:rsidRPr="00860520">
          <w:rPr>
            <w:b/>
            <w:bCs/>
            <w:noProof/>
            <w:webHidden/>
          </w:rPr>
          <w:instrText xml:space="preserve"> PAGEREF _Toc146590546 \h </w:instrText>
        </w:r>
        <w:r w:rsidR="0035303B" w:rsidRPr="00860520">
          <w:rPr>
            <w:b/>
            <w:bCs/>
            <w:noProof/>
            <w:webHidden/>
          </w:rPr>
        </w:r>
        <w:r w:rsidR="0035303B" w:rsidRPr="00860520">
          <w:rPr>
            <w:b/>
            <w:bCs/>
            <w:noProof/>
            <w:webHidden/>
          </w:rPr>
          <w:fldChar w:fldCharType="separate"/>
        </w:r>
        <w:r w:rsidR="003D0091">
          <w:rPr>
            <w:b/>
            <w:bCs/>
            <w:noProof/>
            <w:webHidden/>
          </w:rPr>
          <w:t>104</w:t>
        </w:r>
        <w:r w:rsidR="0035303B" w:rsidRPr="00860520">
          <w:rPr>
            <w:b/>
            <w:bCs/>
            <w:noProof/>
            <w:webHidden/>
          </w:rPr>
          <w:fldChar w:fldCharType="end"/>
        </w:r>
      </w:hyperlink>
    </w:p>
    <w:p w14:paraId="45BDAE47" w14:textId="4828FCC2"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47" w:history="1">
        <w:r w:rsidR="0035303B" w:rsidRPr="0090354F">
          <w:rPr>
            <w:rStyle w:val="Hyperlink"/>
            <w:rFonts w:eastAsiaTheme="majorEastAsia"/>
            <w:b/>
            <w:bCs/>
            <w:noProof/>
          </w:rPr>
          <w:t>Table 75: Recommendation 1</w:t>
        </w:r>
        <w:r w:rsidR="0035303B">
          <w:rPr>
            <w:noProof/>
            <w:webHidden/>
          </w:rPr>
          <w:tab/>
        </w:r>
        <w:r w:rsidR="0035303B">
          <w:rPr>
            <w:noProof/>
            <w:webHidden/>
          </w:rPr>
          <w:fldChar w:fldCharType="begin"/>
        </w:r>
        <w:r w:rsidR="0035303B">
          <w:rPr>
            <w:noProof/>
            <w:webHidden/>
          </w:rPr>
          <w:instrText xml:space="preserve"> PAGEREF _Toc146590547 \h </w:instrText>
        </w:r>
        <w:r w:rsidR="0035303B">
          <w:rPr>
            <w:noProof/>
            <w:webHidden/>
          </w:rPr>
        </w:r>
        <w:r w:rsidR="0035303B">
          <w:rPr>
            <w:noProof/>
            <w:webHidden/>
          </w:rPr>
          <w:fldChar w:fldCharType="separate"/>
        </w:r>
        <w:r w:rsidR="003D0091">
          <w:rPr>
            <w:noProof/>
            <w:webHidden/>
          </w:rPr>
          <w:t>106</w:t>
        </w:r>
        <w:r w:rsidR="0035303B">
          <w:rPr>
            <w:noProof/>
            <w:webHidden/>
          </w:rPr>
          <w:fldChar w:fldCharType="end"/>
        </w:r>
      </w:hyperlink>
    </w:p>
    <w:p w14:paraId="18D3A15A" w14:textId="755F136E"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48" w:history="1">
        <w:r w:rsidR="0035303B" w:rsidRPr="0090354F">
          <w:rPr>
            <w:rStyle w:val="Hyperlink"/>
            <w:rFonts w:eastAsiaTheme="majorEastAsia"/>
            <w:b/>
            <w:bCs/>
            <w:noProof/>
          </w:rPr>
          <w:t>Table 76: Recommendation 2</w:t>
        </w:r>
        <w:r w:rsidR="0035303B">
          <w:rPr>
            <w:noProof/>
            <w:webHidden/>
          </w:rPr>
          <w:tab/>
        </w:r>
        <w:r w:rsidR="0035303B">
          <w:rPr>
            <w:noProof/>
            <w:webHidden/>
          </w:rPr>
          <w:fldChar w:fldCharType="begin"/>
        </w:r>
        <w:r w:rsidR="0035303B">
          <w:rPr>
            <w:noProof/>
            <w:webHidden/>
          </w:rPr>
          <w:instrText xml:space="preserve"> PAGEREF _Toc146590548 \h </w:instrText>
        </w:r>
        <w:r w:rsidR="0035303B">
          <w:rPr>
            <w:noProof/>
            <w:webHidden/>
          </w:rPr>
        </w:r>
        <w:r w:rsidR="0035303B">
          <w:rPr>
            <w:noProof/>
            <w:webHidden/>
          </w:rPr>
          <w:fldChar w:fldCharType="separate"/>
        </w:r>
        <w:r w:rsidR="003D0091">
          <w:rPr>
            <w:noProof/>
            <w:webHidden/>
          </w:rPr>
          <w:t>107</w:t>
        </w:r>
        <w:r w:rsidR="0035303B">
          <w:rPr>
            <w:noProof/>
            <w:webHidden/>
          </w:rPr>
          <w:fldChar w:fldCharType="end"/>
        </w:r>
      </w:hyperlink>
    </w:p>
    <w:p w14:paraId="09E1BF15" w14:textId="6CFFFBE8"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49" w:history="1">
        <w:r w:rsidR="0035303B" w:rsidRPr="0090354F">
          <w:rPr>
            <w:rStyle w:val="Hyperlink"/>
            <w:rFonts w:eastAsiaTheme="majorEastAsia"/>
            <w:b/>
            <w:bCs/>
            <w:noProof/>
          </w:rPr>
          <w:t>Table 77: Recommendation 3</w:t>
        </w:r>
        <w:r w:rsidR="0035303B">
          <w:rPr>
            <w:noProof/>
            <w:webHidden/>
          </w:rPr>
          <w:tab/>
        </w:r>
        <w:r w:rsidR="0035303B">
          <w:rPr>
            <w:noProof/>
            <w:webHidden/>
          </w:rPr>
          <w:fldChar w:fldCharType="begin"/>
        </w:r>
        <w:r w:rsidR="0035303B">
          <w:rPr>
            <w:noProof/>
            <w:webHidden/>
          </w:rPr>
          <w:instrText xml:space="preserve"> PAGEREF _Toc146590549 \h </w:instrText>
        </w:r>
        <w:r w:rsidR="0035303B">
          <w:rPr>
            <w:noProof/>
            <w:webHidden/>
          </w:rPr>
        </w:r>
        <w:r w:rsidR="0035303B">
          <w:rPr>
            <w:noProof/>
            <w:webHidden/>
          </w:rPr>
          <w:fldChar w:fldCharType="separate"/>
        </w:r>
        <w:r w:rsidR="003D0091">
          <w:rPr>
            <w:noProof/>
            <w:webHidden/>
          </w:rPr>
          <w:t>108</w:t>
        </w:r>
        <w:r w:rsidR="0035303B">
          <w:rPr>
            <w:noProof/>
            <w:webHidden/>
          </w:rPr>
          <w:fldChar w:fldCharType="end"/>
        </w:r>
      </w:hyperlink>
    </w:p>
    <w:p w14:paraId="346C43C0" w14:textId="52F6539F"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50" w:history="1">
        <w:r w:rsidR="0035303B" w:rsidRPr="0090354F">
          <w:rPr>
            <w:rStyle w:val="Hyperlink"/>
            <w:rFonts w:eastAsiaTheme="majorEastAsia"/>
            <w:b/>
            <w:bCs/>
            <w:noProof/>
          </w:rPr>
          <w:t>Table 78: Recommendation 4</w:t>
        </w:r>
        <w:r w:rsidR="0035303B">
          <w:rPr>
            <w:noProof/>
            <w:webHidden/>
          </w:rPr>
          <w:tab/>
        </w:r>
        <w:r w:rsidR="0035303B">
          <w:rPr>
            <w:noProof/>
            <w:webHidden/>
          </w:rPr>
          <w:fldChar w:fldCharType="begin"/>
        </w:r>
        <w:r w:rsidR="0035303B">
          <w:rPr>
            <w:noProof/>
            <w:webHidden/>
          </w:rPr>
          <w:instrText xml:space="preserve"> PAGEREF _Toc146590550 \h </w:instrText>
        </w:r>
        <w:r w:rsidR="0035303B">
          <w:rPr>
            <w:noProof/>
            <w:webHidden/>
          </w:rPr>
        </w:r>
        <w:r w:rsidR="0035303B">
          <w:rPr>
            <w:noProof/>
            <w:webHidden/>
          </w:rPr>
          <w:fldChar w:fldCharType="separate"/>
        </w:r>
        <w:r w:rsidR="003D0091">
          <w:rPr>
            <w:noProof/>
            <w:webHidden/>
          </w:rPr>
          <w:t>109</w:t>
        </w:r>
        <w:r w:rsidR="0035303B">
          <w:rPr>
            <w:noProof/>
            <w:webHidden/>
          </w:rPr>
          <w:fldChar w:fldCharType="end"/>
        </w:r>
      </w:hyperlink>
    </w:p>
    <w:p w14:paraId="386FDC4A" w14:textId="22BD5317"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51" w:history="1">
        <w:r w:rsidR="0035303B" w:rsidRPr="0090354F">
          <w:rPr>
            <w:rStyle w:val="Hyperlink"/>
            <w:rFonts w:eastAsiaTheme="majorEastAsia"/>
            <w:b/>
            <w:bCs/>
            <w:noProof/>
          </w:rPr>
          <w:t>Table 79: Recommendation 5</w:t>
        </w:r>
        <w:r w:rsidR="0035303B">
          <w:rPr>
            <w:noProof/>
            <w:webHidden/>
          </w:rPr>
          <w:tab/>
        </w:r>
        <w:r w:rsidR="0035303B">
          <w:rPr>
            <w:noProof/>
            <w:webHidden/>
          </w:rPr>
          <w:fldChar w:fldCharType="begin"/>
        </w:r>
        <w:r w:rsidR="0035303B">
          <w:rPr>
            <w:noProof/>
            <w:webHidden/>
          </w:rPr>
          <w:instrText xml:space="preserve"> PAGEREF _Toc146590551 \h </w:instrText>
        </w:r>
        <w:r w:rsidR="0035303B">
          <w:rPr>
            <w:noProof/>
            <w:webHidden/>
          </w:rPr>
        </w:r>
        <w:r w:rsidR="0035303B">
          <w:rPr>
            <w:noProof/>
            <w:webHidden/>
          </w:rPr>
          <w:fldChar w:fldCharType="separate"/>
        </w:r>
        <w:r w:rsidR="003D0091">
          <w:rPr>
            <w:noProof/>
            <w:webHidden/>
          </w:rPr>
          <w:t>110</w:t>
        </w:r>
        <w:r w:rsidR="0035303B">
          <w:rPr>
            <w:noProof/>
            <w:webHidden/>
          </w:rPr>
          <w:fldChar w:fldCharType="end"/>
        </w:r>
      </w:hyperlink>
    </w:p>
    <w:p w14:paraId="3662DDEC" w14:textId="77EFF195"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52" w:history="1">
        <w:r w:rsidR="0035303B" w:rsidRPr="0090354F">
          <w:rPr>
            <w:rStyle w:val="Hyperlink"/>
            <w:rFonts w:eastAsiaTheme="majorEastAsia"/>
            <w:b/>
            <w:bCs/>
            <w:noProof/>
          </w:rPr>
          <w:t>Table 80: Recommendation 6</w:t>
        </w:r>
        <w:r w:rsidR="0035303B">
          <w:rPr>
            <w:noProof/>
            <w:webHidden/>
          </w:rPr>
          <w:tab/>
        </w:r>
        <w:r w:rsidR="0035303B">
          <w:rPr>
            <w:noProof/>
            <w:webHidden/>
          </w:rPr>
          <w:fldChar w:fldCharType="begin"/>
        </w:r>
        <w:r w:rsidR="0035303B">
          <w:rPr>
            <w:noProof/>
            <w:webHidden/>
          </w:rPr>
          <w:instrText xml:space="preserve"> PAGEREF _Toc146590552 \h </w:instrText>
        </w:r>
        <w:r w:rsidR="0035303B">
          <w:rPr>
            <w:noProof/>
            <w:webHidden/>
          </w:rPr>
        </w:r>
        <w:r w:rsidR="0035303B">
          <w:rPr>
            <w:noProof/>
            <w:webHidden/>
          </w:rPr>
          <w:fldChar w:fldCharType="separate"/>
        </w:r>
        <w:r w:rsidR="003D0091">
          <w:rPr>
            <w:noProof/>
            <w:webHidden/>
          </w:rPr>
          <w:t>111</w:t>
        </w:r>
        <w:r w:rsidR="0035303B">
          <w:rPr>
            <w:noProof/>
            <w:webHidden/>
          </w:rPr>
          <w:fldChar w:fldCharType="end"/>
        </w:r>
      </w:hyperlink>
    </w:p>
    <w:p w14:paraId="09E874D0" w14:textId="39A64864"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53" w:history="1">
        <w:r w:rsidR="0035303B" w:rsidRPr="0090354F">
          <w:rPr>
            <w:rStyle w:val="Hyperlink"/>
            <w:rFonts w:eastAsiaTheme="majorEastAsia"/>
            <w:b/>
            <w:bCs/>
            <w:noProof/>
          </w:rPr>
          <w:t>Table 81: Recommendation 7</w:t>
        </w:r>
        <w:r w:rsidR="0035303B">
          <w:rPr>
            <w:noProof/>
            <w:webHidden/>
          </w:rPr>
          <w:tab/>
        </w:r>
        <w:r w:rsidR="0035303B">
          <w:rPr>
            <w:noProof/>
            <w:webHidden/>
          </w:rPr>
          <w:fldChar w:fldCharType="begin"/>
        </w:r>
        <w:r w:rsidR="0035303B">
          <w:rPr>
            <w:noProof/>
            <w:webHidden/>
          </w:rPr>
          <w:instrText xml:space="preserve"> PAGEREF _Toc146590553 \h </w:instrText>
        </w:r>
        <w:r w:rsidR="0035303B">
          <w:rPr>
            <w:noProof/>
            <w:webHidden/>
          </w:rPr>
        </w:r>
        <w:r w:rsidR="0035303B">
          <w:rPr>
            <w:noProof/>
            <w:webHidden/>
          </w:rPr>
          <w:fldChar w:fldCharType="separate"/>
        </w:r>
        <w:r w:rsidR="003D0091">
          <w:rPr>
            <w:noProof/>
            <w:webHidden/>
          </w:rPr>
          <w:t>112</w:t>
        </w:r>
        <w:r w:rsidR="0035303B">
          <w:rPr>
            <w:noProof/>
            <w:webHidden/>
          </w:rPr>
          <w:fldChar w:fldCharType="end"/>
        </w:r>
      </w:hyperlink>
    </w:p>
    <w:p w14:paraId="35D60D61" w14:textId="662276FE"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54" w:history="1">
        <w:r w:rsidR="0035303B" w:rsidRPr="0090354F">
          <w:rPr>
            <w:rStyle w:val="Hyperlink"/>
            <w:rFonts w:eastAsiaTheme="majorEastAsia"/>
            <w:b/>
            <w:bCs/>
            <w:noProof/>
          </w:rPr>
          <w:t>Table 82: Recommendation 8</w:t>
        </w:r>
        <w:r w:rsidR="0035303B">
          <w:rPr>
            <w:noProof/>
            <w:webHidden/>
          </w:rPr>
          <w:tab/>
        </w:r>
        <w:r w:rsidR="0035303B">
          <w:rPr>
            <w:noProof/>
            <w:webHidden/>
          </w:rPr>
          <w:fldChar w:fldCharType="begin"/>
        </w:r>
        <w:r w:rsidR="0035303B">
          <w:rPr>
            <w:noProof/>
            <w:webHidden/>
          </w:rPr>
          <w:instrText xml:space="preserve"> PAGEREF _Toc146590554 \h </w:instrText>
        </w:r>
        <w:r w:rsidR="0035303B">
          <w:rPr>
            <w:noProof/>
            <w:webHidden/>
          </w:rPr>
        </w:r>
        <w:r w:rsidR="0035303B">
          <w:rPr>
            <w:noProof/>
            <w:webHidden/>
          </w:rPr>
          <w:fldChar w:fldCharType="separate"/>
        </w:r>
        <w:r w:rsidR="003D0091">
          <w:rPr>
            <w:noProof/>
            <w:webHidden/>
          </w:rPr>
          <w:t>113</w:t>
        </w:r>
        <w:r w:rsidR="0035303B">
          <w:rPr>
            <w:noProof/>
            <w:webHidden/>
          </w:rPr>
          <w:fldChar w:fldCharType="end"/>
        </w:r>
      </w:hyperlink>
    </w:p>
    <w:p w14:paraId="6FCC1675" w14:textId="3D18D03E"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55" w:history="1">
        <w:r w:rsidR="0035303B" w:rsidRPr="0090354F">
          <w:rPr>
            <w:rStyle w:val="Hyperlink"/>
            <w:rFonts w:eastAsiaTheme="majorEastAsia"/>
            <w:b/>
            <w:bCs/>
            <w:noProof/>
          </w:rPr>
          <w:t>Table 83: Recommendation 9</w:t>
        </w:r>
        <w:r w:rsidR="0035303B">
          <w:rPr>
            <w:noProof/>
            <w:webHidden/>
          </w:rPr>
          <w:tab/>
        </w:r>
        <w:r w:rsidR="0035303B">
          <w:rPr>
            <w:noProof/>
            <w:webHidden/>
          </w:rPr>
          <w:fldChar w:fldCharType="begin"/>
        </w:r>
        <w:r w:rsidR="0035303B">
          <w:rPr>
            <w:noProof/>
            <w:webHidden/>
          </w:rPr>
          <w:instrText xml:space="preserve"> PAGEREF _Toc146590555 \h </w:instrText>
        </w:r>
        <w:r w:rsidR="0035303B">
          <w:rPr>
            <w:noProof/>
            <w:webHidden/>
          </w:rPr>
        </w:r>
        <w:r w:rsidR="0035303B">
          <w:rPr>
            <w:noProof/>
            <w:webHidden/>
          </w:rPr>
          <w:fldChar w:fldCharType="separate"/>
        </w:r>
        <w:r w:rsidR="003D0091">
          <w:rPr>
            <w:noProof/>
            <w:webHidden/>
          </w:rPr>
          <w:t>114</w:t>
        </w:r>
        <w:r w:rsidR="0035303B">
          <w:rPr>
            <w:noProof/>
            <w:webHidden/>
          </w:rPr>
          <w:fldChar w:fldCharType="end"/>
        </w:r>
      </w:hyperlink>
    </w:p>
    <w:p w14:paraId="038666A4" w14:textId="5B2B4A0B"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56" w:history="1">
        <w:r w:rsidR="0035303B" w:rsidRPr="0090354F">
          <w:rPr>
            <w:rStyle w:val="Hyperlink"/>
            <w:rFonts w:eastAsiaTheme="majorEastAsia"/>
            <w:b/>
            <w:bCs/>
            <w:noProof/>
          </w:rPr>
          <w:t>Table 84: Recommendation 10</w:t>
        </w:r>
        <w:r w:rsidR="0035303B">
          <w:rPr>
            <w:noProof/>
            <w:webHidden/>
          </w:rPr>
          <w:tab/>
        </w:r>
        <w:r w:rsidR="0035303B">
          <w:rPr>
            <w:noProof/>
            <w:webHidden/>
          </w:rPr>
          <w:fldChar w:fldCharType="begin"/>
        </w:r>
        <w:r w:rsidR="0035303B">
          <w:rPr>
            <w:noProof/>
            <w:webHidden/>
          </w:rPr>
          <w:instrText xml:space="preserve"> PAGEREF _Toc146590556 \h </w:instrText>
        </w:r>
        <w:r w:rsidR="0035303B">
          <w:rPr>
            <w:noProof/>
            <w:webHidden/>
          </w:rPr>
        </w:r>
        <w:r w:rsidR="0035303B">
          <w:rPr>
            <w:noProof/>
            <w:webHidden/>
          </w:rPr>
          <w:fldChar w:fldCharType="separate"/>
        </w:r>
        <w:r w:rsidR="003D0091">
          <w:rPr>
            <w:noProof/>
            <w:webHidden/>
          </w:rPr>
          <w:t>115</w:t>
        </w:r>
        <w:r w:rsidR="0035303B">
          <w:rPr>
            <w:noProof/>
            <w:webHidden/>
          </w:rPr>
          <w:fldChar w:fldCharType="end"/>
        </w:r>
      </w:hyperlink>
    </w:p>
    <w:p w14:paraId="561C56DA" w14:textId="1EB68BDC"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57" w:history="1">
        <w:r w:rsidR="0035303B" w:rsidRPr="0090354F">
          <w:rPr>
            <w:rStyle w:val="Hyperlink"/>
            <w:rFonts w:eastAsiaTheme="majorEastAsia"/>
            <w:b/>
            <w:bCs/>
            <w:noProof/>
          </w:rPr>
          <w:t>Table 85: Recommendation 11</w:t>
        </w:r>
        <w:r w:rsidR="0035303B">
          <w:rPr>
            <w:noProof/>
            <w:webHidden/>
          </w:rPr>
          <w:tab/>
        </w:r>
        <w:r w:rsidR="0035303B">
          <w:rPr>
            <w:noProof/>
            <w:webHidden/>
          </w:rPr>
          <w:fldChar w:fldCharType="begin"/>
        </w:r>
        <w:r w:rsidR="0035303B">
          <w:rPr>
            <w:noProof/>
            <w:webHidden/>
          </w:rPr>
          <w:instrText xml:space="preserve"> PAGEREF _Toc146590557 \h </w:instrText>
        </w:r>
        <w:r w:rsidR="0035303B">
          <w:rPr>
            <w:noProof/>
            <w:webHidden/>
          </w:rPr>
        </w:r>
        <w:r w:rsidR="0035303B">
          <w:rPr>
            <w:noProof/>
            <w:webHidden/>
          </w:rPr>
          <w:fldChar w:fldCharType="separate"/>
        </w:r>
        <w:r w:rsidR="003D0091">
          <w:rPr>
            <w:noProof/>
            <w:webHidden/>
          </w:rPr>
          <w:t>116</w:t>
        </w:r>
        <w:r w:rsidR="0035303B">
          <w:rPr>
            <w:noProof/>
            <w:webHidden/>
          </w:rPr>
          <w:fldChar w:fldCharType="end"/>
        </w:r>
      </w:hyperlink>
    </w:p>
    <w:p w14:paraId="183CC8A8" w14:textId="6C8B8557"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58" w:history="1">
        <w:r w:rsidR="0035303B" w:rsidRPr="0090354F">
          <w:rPr>
            <w:rStyle w:val="Hyperlink"/>
            <w:rFonts w:eastAsiaTheme="majorEastAsia"/>
            <w:b/>
            <w:bCs/>
            <w:noProof/>
          </w:rPr>
          <w:t>Table 86: Recommendation 12</w:t>
        </w:r>
        <w:r w:rsidR="0035303B">
          <w:rPr>
            <w:noProof/>
            <w:webHidden/>
          </w:rPr>
          <w:tab/>
        </w:r>
        <w:r w:rsidR="0035303B">
          <w:rPr>
            <w:noProof/>
            <w:webHidden/>
          </w:rPr>
          <w:fldChar w:fldCharType="begin"/>
        </w:r>
        <w:r w:rsidR="0035303B">
          <w:rPr>
            <w:noProof/>
            <w:webHidden/>
          </w:rPr>
          <w:instrText xml:space="preserve"> PAGEREF _Toc146590558 \h </w:instrText>
        </w:r>
        <w:r w:rsidR="0035303B">
          <w:rPr>
            <w:noProof/>
            <w:webHidden/>
          </w:rPr>
        </w:r>
        <w:r w:rsidR="0035303B">
          <w:rPr>
            <w:noProof/>
            <w:webHidden/>
          </w:rPr>
          <w:fldChar w:fldCharType="separate"/>
        </w:r>
        <w:r w:rsidR="003D0091">
          <w:rPr>
            <w:noProof/>
            <w:webHidden/>
          </w:rPr>
          <w:t>117</w:t>
        </w:r>
        <w:r w:rsidR="0035303B">
          <w:rPr>
            <w:noProof/>
            <w:webHidden/>
          </w:rPr>
          <w:fldChar w:fldCharType="end"/>
        </w:r>
      </w:hyperlink>
    </w:p>
    <w:p w14:paraId="6EEA983D" w14:textId="29FFE937"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59" w:history="1">
        <w:r w:rsidR="0035303B" w:rsidRPr="0090354F">
          <w:rPr>
            <w:rStyle w:val="Hyperlink"/>
            <w:rFonts w:eastAsiaTheme="majorEastAsia"/>
            <w:b/>
            <w:bCs/>
            <w:noProof/>
          </w:rPr>
          <w:t>Table 87: Recommendation 13</w:t>
        </w:r>
        <w:r w:rsidR="0035303B">
          <w:rPr>
            <w:noProof/>
            <w:webHidden/>
          </w:rPr>
          <w:tab/>
        </w:r>
        <w:r w:rsidR="0035303B">
          <w:rPr>
            <w:noProof/>
            <w:webHidden/>
          </w:rPr>
          <w:fldChar w:fldCharType="begin"/>
        </w:r>
        <w:r w:rsidR="0035303B">
          <w:rPr>
            <w:noProof/>
            <w:webHidden/>
          </w:rPr>
          <w:instrText xml:space="preserve"> PAGEREF _Toc146590559 \h </w:instrText>
        </w:r>
        <w:r w:rsidR="0035303B">
          <w:rPr>
            <w:noProof/>
            <w:webHidden/>
          </w:rPr>
        </w:r>
        <w:r w:rsidR="0035303B">
          <w:rPr>
            <w:noProof/>
            <w:webHidden/>
          </w:rPr>
          <w:fldChar w:fldCharType="separate"/>
        </w:r>
        <w:r w:rsidR="003D0091">
          <w:rPr>
            <w:noProof/>
            <w:webHidden/>
          </w:rPr>
          <w:t>118</w:t>
        </w:r>
        <w:r w:rsidR="0035303B">
          <w:rPr>
            <w:noProof/>
            <w:webHidden/>
          </w:rPr>
          <w:fldChar w:fldCharType="end"/>
        </w:r>
      </w:hyperlink>
    </w:p>
    <w:p w14:paraId="38DF59BE" w14:textId="492B9665"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60" w:history="1">
        <w:r w:rsidR="0035303B" w:rsidRPr="0090354F">
          <w:rPr>
            <w:rStyle w:val="Hyperlink"/>
            <w:rFonts w:eastAsiaTheme="majorEastAsia"/>
            <w:b/>
            <w:bCs/>
            <w:noProof/>
          </w:rPr>
          <w:t>Table 88: Recommendation 14</w:t>
        </w:r>
        <w:r w:rsidR="0035303B">
          <w:rPr>
            <w:noProof/>
            <w:webHidden/>
          </w:rPr>
          <w:tab/>
        </w:r>
        <w:r w:rsidR="0035303B">
          <w:rPr>
            <w:noProof/>
            <w:webHidden/>
          </w:rPr>
          <w:fldChar w:fldCharType="begin"/>
        </w:r>
        <w:r w:rsidR="0035303B">
          <w:rPr>
            <w:noProof/>
            <w:webHidden/>
          </w:rPr>
          <w:instrText xml:space="preserve"> PAGEREF _Toc146590560 \h </w:instrText>
        </w:r>
        <w:r w:rsidR="0035303B">
          <w:rPr>
            <w:noProof/>
            <w:webHidden/>
          </w:rPr>
        </w:r>
        <w:r w:rsidR="0035303B">
          <w:rPr>
            <w:noProof/>
            <w:webHidden/>
          </w:rPr>
          <w:fldChar w:fldCharType="separate"/>
        </w:r>
        <w:r w:rsidR="003D0091">
          <w:rPr>
            <w:noProof/>
            <w:webHidden/>
          </w:rPr>
          <w:t>119</w:t>
        </w:r>
        <w:r w:rsidR="0035303B">
          <w:rPr>
            <w:noProof/>
            <w:webHidden/>
          </w:rPr>
          <w:fldChar w:fldCharType="end"/>
        </w:r>
      </w:hyperlink>
    </w:p>
    <w:p w14:paraId="6B8291FB" w14:textId="0108BBD1"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61" w:history="1">
        <w:r w:rsidR="0035303B" w:rsidRPr="0090354F">
          <w:rPr>
            <w:rStyle w:val="Hyperlink"/>
            <w:rFonts w:eastAsiaTheme="majorEastAsia"/>
            <w:b/>
            <w:bCs/>
            <w:noProof/>
          </w:rPr>
          <w:t>Table 89: Recommendation 15</w:t>
        </w:r>
        <w:r w:rsidR="0035303B">
          <w:rPr>
            <w:noProof/>
            <w:webHidden/>
          </w:rPr>
          <w:tab/>
        </w:r>
        <w:r w:rsidR="0035303B">
          <w:rPr>
            <w:noProof/>
            <w:webHidden/>
          </w:rPr>
          <w:fldChar w:fldCharType="begin"/>
        </w:r>
        <w:r w:rsidR="0035303B">
          <w:rPr>
            <w:noProof/>
            <w:webHidden/>
          </w:rPr>
          <w:instrText xml:space="preserve"> PAGEREF _Toc146590561 \h </w:instrText>
        </w:r>
        <w:r w:rsidR="0035303B">
          <w:rPr>
            <w:noProof/>
            <w:webHidden/>
          </w:rPr>
        </w:r>
        <w:r w:rsidR="0035303B">
          <w:rPr>
            <w:noProof/>
            <w:webHidden/>
          </w:rPr>
          <w:fldChar w:fldCharType="separate"/>
        </w:r>
        <w:r w:rsidR="003D0091">
          <w:rPr>
            <w:noProof/>
            <w:webHidden/>
          </w:rPr>
          <w:t>120</w:t>
        </w:r>
        <w:r w:rsidR="0035303B">
          <w:rPr>
            <w:noProof/>
            <w:webHidden/>
          </w:rPr>
          <w:fldChar w:fldCharType="end"/>
        </w:r>
      </w:hyperlink>
    </w:p>
    <w:p w14:paraId="0B2740B9" w14:textId="6B587F64"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62" w:history="1">
        <w:r w:rsidR="0035303B" w:rsidRPr="0090354F">
          <w:rPr>
            <w:rStyle w:val="Hyperlink"/>
            <w:rFonts w:eastAsiaTheme="majorEastAsia"/>
            <w:b/>
            <w:bCs/>
            <w:noProof/>
          </w:rPr>
          <w:t>Table 90: Recommendation 16</w:t>
        </w:r>
        <w:r w:rsidR="0035303B">
          <w:rPr>
            <w:noProof/>
            <w:webHidden/>
          </w:rPr>
          <w:tab/>
        </w:r>
        <w:r w:rsidR="0035303B">
          <w:rPr>
            <w:noProof/>
            <w:webHidden/>
          </w:rPr>
          <w:fldChar w:fldCharType="begin"/>
        </w:r>
        <w:r w:rsidR="0035303B">
          <w:rPr>
            <w:noProof/>
            <w:webHidden/>
          </w:rPr>
          <w:instrText xml:space="preserve"> PAGEREF _Toc146590562 \h </w:instrText>
        </w:r>
        <w:r w:rsidR="0035303B">
          <w:rPr>
            <w:noProof/>
            <w:webHidden/>
          </w:rPr>
        </w:r>
        <w:r w:rsidR="0035303B">
          <w:rPr>
            <w:noProof/>
            <w:webHidden/>
          </w:rPr>
          <w:fldChar w:fldCharType="separate"/>
        </w:r>
        <w:r w:rsidR="003D0091">
          <w:rPr>
            <w:noProof/>
            <w:webHidden/>
          </w:rPr>
          <w:t>121</w:t>
        </w:r>
        <w:r w:rsidR="0035303B">
          <w:rPr>
            <w:noProof/>
            <w:webHidden/>
          </w:rPr>
          <w:fldChar w:fldCharType="end"/>
        </w:r>
      </w:hyperlink>
    </w:p>
    <w:p w14:paraId="7BEABA77" w14:textId="39878339"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63" w:history="1">
        <w:r w:rsidR="0035303B" w:rsidRPr="0090354F">
          <w:rPr>
            <w:rStyle w:val="Hyperlink"/>
            <w:rFonts w:eastAsiaTheme="majorEastAsia"/>
            <w:b/>
            <w:bCs/>
            <w:noProof/>
          </w:rPr>
          <w:t>Table 91: Recommendation 17</w:t>
        </w:r>
        <w:r w:rsidR="0035303B">
          <w:rPr>
            <w:noProof/>
            <w:webHidden/>
          </w:rPr>
          <w:tab/>
        </w:r>
        <w:r w:rsidR="0035303B">
          <w:rPr>
            <w:noProof/>
            <w:webHidden/>
          </w:rPr>
          <w:fldChar w:fldCharType="begin"/>
        </w:r>
        <w:r w:rsidR="0035303B">
          <w:rPr>
            <w:noProof/>
            <w:webHidden/>
          </w:rPr>
          <w:instrText xml:space="preserve"> PAGEREF _Toc146590563 \h </w:instrText>
        </w:r>
        <w:r w:rsidR="0035303B">
          <w:rPr>
            <w:noProof/>
            <w:webHidden/>
          </w:rPr>
        </w:r>
        <w:r w:rsidR="0035303B">
          <w:rPr>
            <w:noProof/>
            <w:webHidden/>
          </w:rPr>
          <w:fldChar w:fldCharType="separate"/>
        </w:r>
        <w:r w:rsidR="003D0091">
          <w:rPr>
            <w:noProof/>
            <w:webHidden/>
          </w:rPr>
          <w:t>122</w:t>
        </w:r>
        <w:r w:rsidR="0035303B">
          <w:rPr>
            <w:noProof/>
            <w:webHidden/>
          </w:rPr>
          <w:fldChar w:fldCharType="end"/>
        </w:r>
      </w:hyperlink>
    </w:p>
    <w:p w14:paraId="77006F72" w14:textId="77F6B6C0"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64" w:history="1">
        <w:r w:rsidR="0035303B" w:rsidRPr="0090354F">
          <w:rPr>
            <w:rStyle w:val="Hyperlink"/>
            <w:rFonts w:eastAsiaTheme="majorEastAsia"/>
            <w:b/>
            <w:bCs/>
            <w:noProof/>
          </w:rPr>
          <w:t>Table 92: Recommendation 18</w:t>
        </w:r>
        <w:r w:rsidR="0035303B">
          <w:rPr>
            <w:noProof/>
            <w:webHidden/>
          </w:rPr>
          <w:tab/>
        </w:r>
        <w:r w:rsidR="0035303B">
          <w:rPr>
            <w:noProof/>
            <w:webHidden/>
          </w:rPr>
          <w:fldChar w:fldCharType="begin"/>
        </w:r>
        <w:r w:rsidR="0035303B">
          <w:rPr>
            <w:noProof/>
            <w:webHidden/>
          </w:rPr>
          <w:instrText xml:space="preserve"> PAGEREF _Toc146590564 \h </w:instrText>
        </w:r>
        <w:r w:rsidR="0035303B">
          <w:rPr>
            <w:noProof/>
            <w:webHidden/>
          </w:rPr>
        </w:r>
        <w:r w:rsidR="0035303B">
          <w:rPr>
            <w:noProof/>
            <w:webHidden/>
          </w:rPr>
          <w:fldChar w:fldCharType="separate"/>
        </w:r>
        <w:r w:rsidR="003D0091">
          <w:rPr>
            <w:noProof/>
            <w:webHidden/>
          </w:rPr>
          <w:t>123</w:t>
        </w:r>
        <w:r w:rsidR="0035303B">
          <w:rPr>
            <w:noProof/>
            <w:webHidden/>
          </w:rPr>
          <w:fldChar w:fldCharType="end"/>
        </w:r>
      </w:hyperlink>
    </w:p>
    <w:p w14:paraId="66C0714E" w14:textId="58749222" w:rsidR="0035303B" w:rsidRDefault="00511B60">
      <w:pPr>
        <w:pStyle w:val="TableofFigures"/>
        <w:tabs>
          <w:tab w:val="right" w:leader="dot" w:pos="9016"/>
        </w:tabs>
        <w:rPr>
          <w:rFonts w:asciiTheme="minorHAnsi" w:eastAsiaTheme="minorEastAsia" w:hAnsiTheme="minorHAnsi" w:cstheme="minorBidi"/>
          <w:noProof/>
          <w:color w:val="auto"/>
          <w:kern w:val="2"/>
          <w:sz w:val="22"/>
          <w:szCs w:val="22"/>
          <w:lang w:val="fr-FR" w:eastAsia="fr-FR"/>
          <w14:ligatures w14:val="standardContextual"/>
        </w:rPr>
      </w:pPr>
      <w:hyperlink w:anchor="_Toc146590565" w:history="1">
        <w:r w:rsidR="0035303B" w:rsidRPr="0090354F">
          <w:rPr>
            <w:rStyle w:val="Hyperlink"/>
            <w:rFonts w:eastAsiaTheme="majorEastAsia"/>
            <w:b/>
            <w:bCs/>
            <w:noProof/>
          </w:rPr>
          <w:t>Table 93: Recommendation 19</w:t>
        </w:r>
        <w:r w:rsidR="0035303B">
          <w:rPr>
            <w:noProof/>
            <w:webHidden/>
          </w:rPr>
          <w:tab/>
        </w:r>
        <w:r w:rsidR="0035303B">
          <w:rPr>
            <w:noProof/>
            <w:webHidden/>
          </w:rPr>
          <w:fldChar w:fldCharType="begin"/>
        </w:r>
        <w:r w:rsidR="0035303B">
          <w:rPr>
            <w:noProof/>
            <w:webHidden/>
          </w:rPr>
          <w:instrText xml:space="preserve"> PAGEREF _Toc146590565 \h </w:instrText>
        </w:r>
        <w:r w:rsidR="0035303B">
          <w:rPr>
            <w:noProof/>
            <w:webHidden/>
          </w:rPr>
        </w:r>
        <w:r w:rsidR="0035303B">
          <w:rPr>
            <w:noProof/>
            <w:webHidden/>
          </w:rPr>
          <w:fldChar w:fldCharType="separate"/>
        </w:r>
        <w:r w:rsidR="003D0091">
          <w:rPr>
            <w:noProof/>
            <w:webHidden/>
          </w:rPr>
          <w:t>124</w:t>
        </w:r>
        <w:r w:rsidR="0035303B">
          <w:rPr>
            <w:noProof/>
            <w:webHidden/>
          </w:rPr>
          <w:fldChar w:fldCharType="end"/>
        </w:r>
      </w:hyperlink>
    </w:p>
    <w:p w14:paraId="66657F9E" w14:textId="160F5289" w:rsidR="00706BB8" w:rsidRPr="00894701" w:rsidRDefault="00CB4C1D" w:rsidP="00CB4C1D">
      <w:pPr>
        <w:spacing w:after="60" w:line="240" w:lineRule="auto"/>
        <w:ind w:right="480"/>
        <w:rPr>
          <w:rStyle w:val="Hyperlink"/>
          <w:rFonts w:asciiTheme="minorHAnsi" w:eastAsiaTheme="majorEastAsia" w:hAnsiTheme="minorHAnsi"/>
          <w:b/>
          <w:bCs/>
          <w:i/>
          <w:iCs/>
          <w:caps/>
          <w:noProof/>
          <w:sz w:val="20"/>
        </w:rPr>
      </w:pPr>
      <w:r w:rsidRPr="00894701">
        <w:rPr>
          <w:rStyle w:val="Hyperlink"/>
          <w:rFonts w:asciiTheme="minorHAnsi" w:eastAsiaTheme="majorEastAsia" w:hAnsiTheme="minorHAnsi"/>
          <w:b/>
          <w:bCs/>
          <w:i/>
          <w:iCs/>
          <w:caps/>
          <w:noProof/>
          <w:sz w:val="20"/>
        </w:rPr>
        <w:fldChar w:fldCharType="end"/>
      </w:r>
    </w:p>
    <w:p w14:paraId="4765F7A7" w14:textId="77777777" w:rsidR="00706BB8" w:rsidRDefault="00706BB8" w:rsidP="00CB4C1D">
      <w:pPr>
        <w:spacing w:after="60" w:line="240" w:lineRule="auto"/>
        <w:ind w:right="480"/>
        <w:rPr>
          <w:rFonts w:asciiTheme="minorHAnsi" w:hAnsiTheme="minorHAnsi"/>
        </w:rPr>
      </w:pPr>
    </w:p>
    <w:p w14:paraId="625EEB5A" w14:textId="77777777" w:rsidR="009160D8" w:rsidRDefault="009160D8" w:rsidP="00CB4C1D">
      <w:pPr>
        <w:spacing w:after="60" w:line="240" w:lineRule="auto"/>
        <w:ind w:right="480"/>
        <w:rPr>
          <w:rFonts w:asciiTheme="minorHAnsi" w:hAnsiTheme="minorHAnsi"/>
        </w:rPr>
        <w:sectPr w:rsidR="009160D8" w:rsidSect="00A95B1A">
          <w:headerReference w:type="default" r:id="rId23"/>
          <w:footerReference w:type="default" r:id="rId24"/>
          <w:type w:val="continuous"/>
          <w:pgSz w:w="11906" w:h="16838" w:code="9"/>
          <w:pgMar w:top="1440" w:right="1440" w:bottom="1440" w:left="1440" w:header="851" w:footer="750" w:gutter="0"/>
          <w:pgNumType w:start="7"/>
          <w:cols w:space="708"/>
          <w:docGrid w:linePitch="360"/>
        </w:sectPr>
      </w:pPr>
    </w:p>
    <w:p w14:paraId="4B917058" w14:textId="77777777" w:rsidR="009160D8" w:rsidRDefault="009160D8" w:rsidP="00CB4C1D">
      <w:pPr>
        <w:spacing w:after="60" w:line="240" w:lineRule="auto"/>
        <w:ind w:right="480"/>
        <w:rPr>
          <w:rFonts w:asciiTheme="minorHAnsi" w:hAnsiTheme="minorHAnsi"/>
        </w:rPr>
      </w:pPr>
    </w:p>
    <w:p w14:paraId="4E21CEC8" w14:textId="77777777" w:rsidR="009160D8" w:rsidRDefault="009160D8" w:rsidP="009160D8">
      <w:pPr>
        <w:spacing w:after="60" w:line="240" w:lineRule="auto"/>
        <w:ind w:right="480"/>
        <w:rPr>
          <w:rFonts w:asciiTheme="majorHAnsi" w:hAnsiTheme="majorHAnsi"/>
        </w:rPr>
      </w:pPr>
    </w:p>
    <w:p w14:paraId="0206B949" w14:textId="77777777" w:rsidR="009160D8" w:rsidRPr="00860520" w:rsidRDefault="009160D8" w:rsidP="00860520">
      <w:pPr>
        <w:pStyle w:val="TableOfContentsHeader"/>
        <w:spacing w:after="120"/>
        <w:ind w:right="-46"/>
        <w:rPr>
          <w:rFonts w:asciiTheme="minorHAnsi" w:hAnsiTheme="minorHAnsi"/>
          <w:sz w:val="28"/>
          <w:szCs w:val="28"/>
        </w:rPr>
      </w:pPr>
      <w:r w:rsidRPr="00860520">
        <w:rPr>
          <w:rFonts w:asciiTheme="minorHAnsi" w:hAnsiTheme="minorHAnsi"/>
          <w:sz w:val="28"/>
          <w:szCs w:val="28"/>
        </w:rPr>
        <w:t>LIST OF FIGURES</w:t>
      </w:r>
    </w:p>
    <w:p w14:paraId="0B1A9A3C" w14:textId="6F4859EF" w:rsidR="000D7CAB" w:rsidRPr="00860520" w:rsidRDefault="009160D8" w:rsidP="00860520">
      <w:pPr>
        <w:pStyle w:val="TableofFigures"/>
        <w:tabs>
          <w:tab w:val="right" w:leader="dot" w:pos="9016"/>
        </w:tabs>
        <w:spacing w:after="120"/>
        <w:rPr>
          <w:rFonts w:asciiTheme="minorHAnsi" w:eastAsiaTheme="minorEastAsia" w:hAnsiTheme="minorHAnsi" w:cstheme="minorBidi"/>
          <w:b/>
          <w:bCs/>
          <w:noProof/>
          <w:color w:val="auto"/>
          <w:kern w:val="2"/>
          <w:sz w:val="22"/>
          <w:szCs w:val="22"/>
          <w:lang w:val="fr-FR" w:eastAsia="fr-FR"/>
          <w14:ligatures w14:val="standardContextual"/>
        </w:rPr>
      </w:pPr>
      <w:r w:rsidRPr="00860520">
        <w:rPr>
          <w:b/>
          <w:bCs/>
        </w:rPr>
        <w:fldChar w:fldCharType="begin"/>
      </w:r>
      <w:r w:rsidRPr="00860520">
        <w:rPr>
          <w:b/>
          <w:bCs/>
        </w:rPr>
        <w:instrText xml:space="preserve"> TOC \h \z \c "Figure" </w:instrText>
      </w:r>
      <w:r w:rsidRPr="00860520">
        <w:rPr>
          <w:b/>
          <w:bCs/>
        </w:rPr>
        <w:fldChar w:fldCharType="separate"/>
      </w:r>
      <w:hyperlink w:anchor="_Toc146590566" w:history="1">
        <w:r w:rsidR="000D7CAB" w:rsidRPr="00860520">
          <w:rPr>
            <w:rStyle w:val="Hyperlink"/>
            <w:rFonts w:asciiTheme="majorHAnsi" w:eastAsiaTheme="majorEastAsia" w:hAnsiTheme="majorHAnsi"/>
            <w:b/>
            <w:bCs/>
            <w:i/>
            <w:iCs/>
            <w:noProof/>
          </w:rPr>
          <w:t xml:space="preserve">Figure </w:t>
        </w:r>
        <w:r w:rsidR="000D7CAB" w:rsidRPr="00860520">
          <w:rPr>
            <w:rStyle w:val="Hyperlink"/>
            <w:rFonts w:eastAsiaTheme="majorEastAsia"/>
            <w:b/>
            <w:bCs/>
            <w:noProof/>
          </w:rPr>
          <w:t>1</w:t>
        </w:r>
        <w:r w:rsidR="000D7CAB" w:rsidRPr="00860520">
          <w:rPr>
            <w:rStyle w:val="Hyperlink"/>
            <w:rFonts w:asciiTheme="majorHAnsi" w:eastAsiaTheme="majorEastAsia" w:hAnsiTheme="majorHAnsi"/>
            <w:b/>
            <w:bCs/>
            <w:i/>
            <w:iCs/>
            <w:noProof/>
          </w:rPr>
          <w:t>: Process timeline</w:t>
        </w:r>
        <w:r w:rsidR="000D7CAB" w:rsidRPr="00860520">
          <w:rPr>
            <w:b/>
            <w:bCs/>
            <w:noProof/>
            <w:webHidden/>
          </w:rPr>
          <w:tab/>
        </w:r>
        <w:r w:rsidR="000D7CAB" w:rsidRPr="00860520">
          <w:rPr>
            <w:b/>
            <w:bCs/>
            <w:noProof/>
            <w:webHidden/>
          </w:rPr>
          <w:fldChar w:fldCharType="begin"/>
        </w:r>
        <w:r w:rsidR="000D7CAB" w:rsidRPr="00860520">
          <w:rPr>
            <w:b/>
            <w:bCs/>
            <w:noProof/>
            <w:webHidden/>
          </w:rPr>
          <w:instrText xml:space="preserve"> PAGEREF _Toc146590566 \h </w:instrText>
        </w:r>
        <w:r w:rsidR="000D7CAB" w:rsidRPr="00860520">
          <w:rPr>
            <w:b/>
            <w:bCs/>
            <w:noProof/>
            <w:webHidden/>
          </w:rPr>
        </w:r>
        <w:r w:rsidR="000D7CAB" w:rsidRPr="00860520">
          <w:rPr>
            <w:b/>
            <w:bCs/>
            <w:noProof/>
            <w:webHidden/>
          </w:rPr>
          <w:fldChar w:fldCharType="separate"/>
        </w:r>
        <w:r w:rsidR="003D0091">
          <w:rPr>
            <w:b/>
            <w:bCs/>
            <w:noProof/>
            <w:webHidden/>
          </w:rPr>
          <w:t>10</w:t>
        </w:r>
        <w:r w:rsidR="000D7CAB" w:rsidRPr="00860520">
          <w:rPr>
            <w:b/>
            <w:bCs/>
            <w:noProof/>
            <w:webHidden/>
          </w:rPr>
          <w:fldChar w:fldCharType="end"/>
        </w:r>
      </w:hyperlink>
    </w:p>
    <w:p w14:paraId="169BAFF0" w14:textId="350E85B1" w:rsidR="000D7CAB" w:rsidRPr="00860520" w:rsidRDefault="00511B60" w:rsidP="00860520">
      <w:pPr>
        <w:pStyle w:val="TableofFigures"/>
        <w:tabs>
          <w:tab w:val="right" w:leader="dot" w:pos="9016"/>
        </w:tabs>
        <w:spacing w:after="120"/>
        <w:rPr>
          <w:rFonts w:asciiTheme="minorHAnsi" w:eastAsiaTheme="minorEastAsia" w:hAnsiTheme="minorHAnsi" w:cstheme="minorBidi"/>
          <w:b/>
          <w:bCs/>
          <w:noProof/>
          <w:color w:val="auto"/>
          <w:kern w:val="2"/>
          <w:sz w:val="22"/>
          <w:szCs w:val="22"/>
          <w:lang w:val="fr-FR" w:eastAsia="fr-FR"/>
          <w14:ligatures w14:val="standardContextual"/>
        </w:rPr>
      </w:pPr>
      <w:hyperlink w:anchor="_Toc146590567" w:history="1">
        <w:r w:rsidR="000D7CAB" w:rsidRPr="00DD0C73">
          <w:rPr>
            <w:rStyle w:val="Hyperlink"/>
            <w:rFonts w:asciiTheme="majorHAnsi" w:eastAsiaTheme="majorEastAsia" w:hAnsiTheme="majorHAnsi"/>
            <w:b/>
            <w:bCs/>
            <w:i/>
            <w:iCs/>
            <w:noProof/>
          </w:rPr>
          <w:t>Figure 2: Structure of extractive industries revenues for the fiscal year 2018</w:t>
        </w:r>
        <w:r w:rsidR="000D7CAB" w:rsidRPr="00860520">
          <w:rPr>
            <w:b/>
            <w:bCs/>
            <w:noProof/>
            <w:webHidden/>
          </w:rPr>
          <w:tab/>
        </w:r>
        <w:r w:rsidR="000D7CAB" w:rsidRPr="00860520">
          <w:rPr>
            <w:b/>
            <w:bCs/>
            <w:noProof/>
            <w:webHidden/>
          </w:rPr>
          <w:fldChar w:fldCharType="begin"/>
        </w:r>
        <w:r w:rsidR="000D7CAB" w:rsidRPr="00860520">
          <w:rPr>
            <w:b/>
            <w:bCs/>
            <w:noProof/>
            <w:webHidden/>
          </w:rPr>
          <w:instrText xml:space="preserve"> PAGEREF _Toc146590567 \h </w:instrText>
        </w:r>
        <w:r w:rsidR="000D7CAB" w:rsidRPr="00860520">
          <w:rPr>
            <w:b/>
            <w:bCs/>
            <w:noProof/>
            <w:webHidden/>
          </w:rPr>
        </w:r>
        <w:r w:rsidR="000D7CAB" w:rsidRPr="00860520">
          <w:rPr>
            <w:b/>
            <w:bCs/>
            <w:noProof/>
            <w:webHidden/>
          </w:rPr>
          <w:fldChar w:fldCharType="separate"/>
        </w:r>
        <w:r w:rsidR="003D0091">
          <w:rPr>
            <w:b/>
            <w:bCs/>
            <w:noProof/>
            <w:webHidden/>
          </w:rPr>
          <w:t>13</w:t>
        </w:r>
        <w:r w:rsidR="000D7CAB" w:rsidRPr="00860520">
          <w:rPr>
            <w:b/>
            <w:bCs/>
            <w:noProof/>
            <w:webHidden/>
          </w:rPr>
          <w:fldChar w:fldCharType="end"/>
        </w:r>
      </w:hyperlink>
    </w:p>
    <w:p w14:paraId="6DB9503E" w14:textId="3D558797" w:rsidR="000D7CAB" w:rsidRPr="00860520" w:rsidRDefault="00511B60" w:rsidP="00860520">
      <w:pPr>
        <w:pStyle w:val="TableofFigures"/>
        <w:tabs>
          <w:tab w:val="right" w:leader="dot" w:pos="9016"/>
        </w:tabs>
        <w:spacing w:after="120"/>
        <w:rPr>
          <w:rFonts w:asciiTheme="minorHAnsi" w:eastAsiaTheme="minorEastAsia" w:hAnsiTheme="minorHAnsi" w:cstheme="minorBidi"/>
          <w:b/>
          <w:bCs/>
          <w:noProof/>
          <w:color w:val="auto"/>
          <w:kern w:val="2"/>
          <w:sz w:val="22"/>
          <w:szCs w:val="22"/>
          <w:lang w:val="fr-FR" w:eastAsia="fr-FR"/>
          <w14:ligatures w14:val="standardContextual"/>
        </w:rPr>
      </w:pPr>
      <w:hyperlink w:anchor="_Toc146590568" w:history="1">
        <w:r w:rsidR="000D7CAB" w:rsidRPr="00DD0C73">
          <w:rPr>
            <w:rStyle w:val="Hyperlink"/>
            <w:rFonts w:asciiTheme="majorHAnsi" w:eastAsiaTheme="majorEastAsia" w:hAnsiTheme="majorHAnsi"/>
            <w:b/>
            <w:bCs/>
            <w:i/>
            <w:iCs/>
            <w:noProof/>
          </w:rPr>
          <w:t>Figure 3: Structure of extractive industries revenues for the fiscal year 2019</w:t>
        </w:r>
        <w:r w:rsidR="000D7CAB" w:rsidRPr="00860520">
          <w:rPr>
            <w:b/>
            <w:bCs/>
            <w:noProof/>
            <w:webHidden/>
          </w:rPr>
          <w:tab/>
        </w:r>
        <w:r w:rsidR="000D7CAB" w:rsidRPr="00860520">
          <w:rPr>
            <w:b/>
            <w:bCs/>
            <w:noProof/>
            <w:webHidden/>
          </w:rPr>
          <w:fldChar w:fldCharType="begin"/>
        </w:r>
        <w:r w:rsidR="000D7CAB" w:rsidRPr="00860520">
          <w:rPr>
            <w:b/>
            <w:bCs/>
            <w:noProof/>
            <w:webHidden/>
          </w:rPr>
          <w:instrText xml:space="preserve"> PAGEREF _Toc146590568 \h </w:instrText>
        </w:r>
        <w:r w:rsidR="000D7CAB" w:rsidRPr="00860520">
          <w:rPr>
            <w:b/>
            <w:bCs/>
            <w:noProof/>
            <w:webHidden/>
          </w:rPr>
        </w:r>
        <w:r w:rsidR="000D7CAB" w:rsidRPr="00860520">
          <w:rPr>
            <w:b/>
            <w:bCs/>
            <w:noProof/>
            <w:webHidden/>
          </w:rPr>
          <w:fldChar w:fldCharType="separate"/>
        </w:r>
        <w:r w:rsidR="003D0091">
          <w:rPr>
            <w:b/>
            <w:bCs/>
            <w:noProof/>
            <w:webHidden/>
          </w:rPr>
          <w:t>13</w:t>
        </w:r>
        <w:r w:rsidR="000D7CAB" w:rsidRPr="00860520">
          <w:rPr>
            <w:b/>
            <w:bCs/>
            <w:noProof/>
            <w:webHidden/>
          </w:rPr>
          <w:fldChar w:fldCharType="end"/>
        </w:r>
      </w:hyperlink>
    </w:p>
    <w:p w14:paraId="7948545B" w14:textId="4186BE69" w:rsidR="000D7CAB" w:rsidRPr="00860520" w:rsidRDefault="00511B60" w:rsidP="00860520">
      <w:pPr>
        <w:pStyle w:val="TableofFigures"/>
        <w:tabs>
          <w:tab w:val="right" w:leader="dot" w:pos="9016"/>
        </w:tabs>
        <w:spacing w:after="120"/>
        <w:rPr>
          <w:rFonts w:asciiTheme="minorHAnsi" w:eastAsiaTheme="minorEastAsia" w:hAnsiTheme="minorHAnsi" w:cstheme="minorBidi"/>
          <w:b/>
          <w:bCs/>
          <w:noProof/>
          <w:color w:val="auto"/>
          <w:kern w:val="2"/>
          <w:sz w:val="22"/>
          <w:szCs w:val="22"/>
          <w:lang w:val="fr-FR" w:eastAsia="fr-FR"/>
          <w14:ligatures w14:val="standardContextual"/>
        </w:rPr>
      </w:pPr>
      <w:hyperlink w:anchor="_Toc146590569" w:history="1">
        <w:r w:rsidR="000D7CAB" w:rsidRPr="00DD0C73">
          <w:rPr>
            <w:rStyle w:val="Hyperlink"/>
            <w:rFonts w:asciiTheme="majorHAnsi" w:eastAsiaTheme="majorEastAsia" w:hAnsiTheme="majorHAnsi"/>
            <w:b/>
            <w:bCs/>
            <w:i/>
            <w:iCs/>
            <w:noProof/>
          </w:rPr>
          <w:t>Figure 4: Structure of extractive industries revenues for the fiscal year 2020</w:t>
        </w:r>
        <w:r w:rsidR="000D7CAB" w:rsidRPr="00860520">
          <w:rPr>
            <w:b/>
            <w:bCs/>
            <w:noProof/>
            <w:webHidden/>
          </w:rPr>
          <w:tab/>
        </w:r>
        <w:r w:rsidR="000D7CAB" w:rsidRPr="00860520">
          <w:rPr>
            <w:b/>
            <w:bCs/>
            <w:noProof/>
            <w:webHidden/>
          </w:rPr>
          <w:fldChar w:fldCharType="begin"/>
        </w:r>
        <w:r w:rsidR="000D7CAB" w:rsidRPr="00860520">
          <w:rPr>
            <w:b/>
            <w:bCs/>
            <w:noProof/>
            <w:webHidden/>
          </w:rPr>
          <w:instrText xml:space="preserve"> PAGEREF _Toc146590569 \h </w:instrText>
        </w:r>
        <w:r w:rsidR="000D7CAB" w:rsidRPr="00860520">
          <w:rPr>
            <w:b/>
            <w:bCs/>
            <w:noProof/>
            <w:webHidden/>
          </w:rPr>
        </w:r>
        <w:r w:rsidR="000D7CAB" w:rsidRPr="00860520">
          <w:rPr>
            <w:b/>
            <w:bCs/>
            <w:noProof/>
            <w:webHidden/>
          </w:rPr>
          <w:fldChar w:fldCharType="separate"/>
        </w:r>
        <w:r w:rsidR="003D0091">
          <w:rPr>
            <w:b/>
            <w:bCs/>
            <w:noProof/>
            <w:webHidden/>
          </w:rPr>
          <w:t>13</w:t>
        </w:r>
        <w:r w:rsidR="000D7CAB" w:rsidRPr="00860520">
          <w:rPr>
            <w:b/>
            <w:bCs/>
            <w:noProof/>
            <w:webHidden/>
          </w:rPr>
          <w:fldChar w:fldCharType="end"/>
        </w:r>
      </w:hyperlink>
    </w:p>
    <w:p w14:paraId="66D90E62" w14:textId="319DE1CF" w:rsidR="000D7CAB" w:rsidRPr="00860520" w:rsidRDefault="00511B60" w:rsidP="00860520">
      <w:pPr>
        <w:pStyle w:val="TableofFigures"/>
        <w:tabs>
          <w:tab w:val="right" w:leader="dot" w:pos="9016"/>
        </w:tabs>
        <w:spacing w:after="120"/>
        <w:rPr>
          <w:rFonts w:asciiTheme="minorHAnsi" w:eastAsiaTheme="minorEastAsia" w:hAnsiTheme="minorHAnsi" w:cstheme="minorBidi"/>
          <w:b/>
          <w:bCs/>
          <w:noProof/>
          <w:color w:val="auto"/>
          <w:kern w:val="2"/>
          <w:sz w:val="22"/>
          <w:szCs w:val="22"/>
          <w:lang w:val="fr-FR" w:eastAsia="fr-FR"/>
          <w14:ligatures w14:val="standardContextual"/>
        </w:rPr>
      </w:pPr>
      <w:hyperlink w:anchor="_Toc146590570" w:history="1">
        <w:r w:rsidR="000D7CAB" w:rsidRPr="00860520">
          <w:rPr>
            <w:rStyle w:val="Hyperlink"/>
            <w:rFonts w:asciiTheme="majorHAnsi" w:eastAsiaTheme="majorEastAsia" w:hAnsiTheme="majorHAnsi"/>
            <w:b/>
            <w:bCs/>
            <w:i/>
            <w:iCs/>
            <w:noProof/>
          </w:rPr>
          <w:t>Figure 5: Contribution of the extractive sectors to the economy for the fiscal year 2018</w:t>
        </w:r>
        <w:r w:rsidR="000D7CAB" w:rsidRPr="00860520">
          <w:rPr>
            <w:b/>
            <w:bCs/>
            <w:noProof/>
            <w:webHidden/>
          </w:rPr>
          <w:tab/>
        </w:r>
        <w:r w:rsidR="000D7CAB" w:rsidRPr="00860520">
          <w:rPr>
            <w:b/>
            <w:bCs/>
            <w:noProof/>
            <w:webHidden/>
          </w:rPr>
          <w:fldChar w:fldCharType="begin"/>
        </w:r>
        <w:r w:rsidR="000D7CAB" w:rsidRPr="00860520">
          <w:rPr>
            <w:b/>
            <w:bCs/>
            <w:noProof/>
            <w:webHidden/>
          </w:rPr>
          <w:instrText xml:space="preserve"> PAGEREF _Toc146590570 \h </w:instrText>
        </w:r>
        <w:r w:rsidR="000D7CAB" w:rsidRPr="00860520">
          <w:rPr>
            <w:b/>
            <w:bCs/>
            <w:noProof/>
            <w:webHidden/>
          </w:rPr>
        </w:r>
        <w:r w:rsidR="000D7CAB" w:rsidRPr="00860520">
          <w:rPr>
            <w:b/>
            <w:bCs/>
            <w:noProof/>
            <w:webHidden/>
          </w:rPr>
          <w:fldChar w:fldCharType="separate"/>
        </w:r>
        <w:r w:rsidR="003D0091">
          <w:rPr>
            <w:b/>
            <w:bCs/>
            <w:noProof/>
            <w:webHidden/>
          </w:rPr>
          <w:t>14</w:t>
        </w:r>
        <w:r w:rsidR="000D7CAB" w:rsidRPr="00860520">
          <w:rPr>
            <w:b/>
            <w:bCs/>
            <w:noProof/>
            <w:webHidden/>
          </w:rPr>
          <w:fldChar w:fldCharType="end"/>
        </w:r>
      </w:hyperlink>
    </w:p>
    <w:p w14:paraId="3009B206" w14:textId="2A3B1962" w:rsidR="000D7CAB" w:rsidRPr="00860520" w:rsidRDefault="00511B60" w:rsidP="00860520">
      <w:pPr>
        <w:pStyle w:val="TableofFigures"/>
        <w:tabs>
          <w:tab w:val="right" w:leader="dot" w:pos="9016"/>
        </w:tabs>
        <w:spacing w:after="120"/>
        <w:rPr>
          <w:rFonts w:asciiTheme="minorHAnsi" w:eastAsiaTheme="minorEastAsia" w:hAnsiTheme="minorHAnsi" w:cstheme="minorBidi"/>
          <w:b/>
          <w:bCs/>
          <w:noProof/>
          <w:color w:val="auto"/>
          <w:kern w:val="2"/>
          <w:sz w:val="22"/>
          <w:szCs w:val="22"/>
          <w:lang w:val="fr-FR" w:eastAsia="fr-FR"/>
          <w14:ligatures w14:val="standardContextual"/>
        </w:rPr>
      </w:pPr>
      <w:hyperlink w:anchor="_Toc146590571" w:history="1">
        <w:r w:rsidR="000D7CAB" w:rsidRPr="00860520">
          <w:rPr>
            <w:rStyle w:val="Hyperlink"/>
            <w:rFonts w:asciiTheme="majorHAnsi" w:eastAsiaTheme="majorEastAsia" w:hAnsiTheme="majorHAnsi"/>
            <w:b/>
            <w:bCs/>
            <w:i/>
            <w:iCs/>
            <w:noProof/>
          </w:rPr>
          <w:t>Figure 6: Contribution of the extractive sectors to the economy for the fiscal year 2019</w:t>
        </w:r>
        <w:r w:rsidR="000D7CAB" w:rsidRPr="00860520">
          <w:rPr>
            <w:b/>
            <w:bCs/>
            <w:noProof/>
            <w:webHidden/>
          </w:rPr>
          <w:tab/>
        </w:r>
        <w:r w:rsidR="000D7CAB" w:rsidRPr="00860520">
          <w:rPr>
            <w:b/>
            <w:bCs/>
            <w:noProof/>
            <w:webHidden/>
          </w:rPr>
          <w:fldChar w:fldCharType="begin"/>
        </w:r>
        <w:r w:rsidR="000D7CAB" w:rsidRPr="00860520">
          <w:rPr>
            <w:b/>
            <w:bCs/>
            <w:noProof/>
            <w:webHidden/>
          </w:rPr>
          <w:instrText xml:space="preserve"> PAGEREF _Toc146590571 \h </w:instrText>
        </w:r>
        <w:r w:rsidR="000D7CAB" w:rsidRPr="00860520">
          <w:rPr>
            <w:b/>
            <w:bCs/>
            <w:noProof/>
            <w:webHidden/>
          </w:rPr>
        </w:r>
        <w:r w:rsidR="000D7CAB" w:rsidRPr="00860520">
          <w:rPr>
            <w:b/>
            <w:bCs/>
            <w:noProof/>
            <w:webHidden/>
          </w:rPr>
          <w:fldChar w:fldCharType="separate"/>
        </w:r>
        <w:r w:rsidR="003D0091">
          <w:rPr>
            <w:b/>
            <w:bCs/>
            <w:noProof/>
            <w:webHidden/>
          </w:rPr>
          <w:t>14</w:t>
        </w:r>
        <w:r w:rsidR="000D7CAB" w:rsidRPr="00860520">
          <w:rPr>
            <w:b/>
            <w:bCs/>
            <w:noProof/>
            <w:webHidden/>
          </w:rPr>
          <w:fldChar w:fldCharType="end"/>
        </w:r>
      </w:hyperlink>
    </w:p>
    <w:p w14:paraId="7EFF63A5" w14:textId="6550BDD5" w:rsidR="000D7CAB" w:rsidRPr="00860520" w:rsidRDefault="00511B60" w:rsidP="00860520">
      <w:pPr>
        <w:pStyle w:val="TableofFigures"/>
        <w:tabs>
          <w:tab w:val="right" w:leader="dot" w:pos="9016"/>
        </w:tabs>
        <w:spacing w:after="120"/>
        <w:rPr>
          <w:rFonts w:asciiTheme="minorHAnsi" w:eastAsiaTheme="minorEastAsia" w:hAnsiTheme="minorHAnsi" w:cstheme="minorBidi"/>
          <w:b/>
          <w:bCs/>
          <w:noProof/>
          <w:color w:val="auto"/>
          <w:kern w:val="2"/>
          <w:sz w:val="22"/>
          <w:szCs w:val="22"/>
          <w:lang w:val="fr-FR" w:eastAsia="fr-FR"/>
          <w14:ligatures w14:val="standardContextual"/>
        </w:rPr>
      </w:pPr>
      <w:hyperlink w:anchor="_Toc146590572" w:history="1">
        <w:r w:rsidR="000D7CAB" w:rsidRPr="00860520">
          <w:rPr>
            <w:rStyle w:val="Hyperlink"/>
            <w:rFonts w:asciiTheme="majorHAnsi" w:eastAsiaTheme="majorEastAsia" w:hAnsiTheme="majorHAnsi"/>
            <w:b/>
            <w:bCs/>
            <w:i/>
            <w:iCs/>
            <w:noProof/>
          </w:rPr>
          <w:t>Figure 7: Contribution of the extractive sectors to the economy for the fiscal year 2020</w:t>
        </w:r>
        <w:r w:rsidR="000D7CAB" w:rsidRPr="00860520">
          <w:rPr>
            <w:b/>
            <w:bCs/>
            <w:noProof/>
            <w:webHidden/>
          </w:rPr>
          <w:tab/>
        </w:r>
        <w:r w:rsidR="000D7CAB" w:rsidRPr="00860520">
          <w:rPr>
            <w:b/>
            <w:bCs/>
            <w:noProof/>
            <w:webHidden/>
          </w:rPr>
          <w:fldChar w:fldCharType="begin"/>
        </w:r>
        <w:r w:rsidR="000D7CAB" w:rsidRPr="00860520">
          <w:rPr>
            <w:b/>
            <w:bCs/>
            <w:noProof/>
            <w:webHidden/>
          </w:rPr>
          <w:instrText xml:space="preserve"> PAGEREF _Toc146590572 \h </w:instrText>
        </w:r>
        <w:r w:rsidR="000D7CAB" w:rsidRPr="00860520">
          <w:rPr>
            <w:b/>
            <w:bCs/>
            <w:noProof/>
            <w:webHidden/>
          </w:rPr>
        </w:r>
        <w:r w:rsidR="000D7CAB" w:rsidRPr="00860520">
          <w:rPr>
            <w:b/>
            <w:bCs/>
            <w:noProof/>
            <w:webHidden/>
          </w:rPr>
          <w:fldChar w:fldCharType="separate"/>
        </w:r>
        <w:r w:rsidR="003D0091">
          <w:rPr>
            <w:b/>
            <w:bCs/>
            <w:noProof/>
            <w:webHidden/>
          </w:rPr>
          <w:t>14</w:t>
        </w:r>
        <w:r w:rsidR="000D7CAB" w:rsidRPr="00860520">
          <w:rPr>
            <w:b/>
            <w:bCs/>
            <w:noProof/>
            <w:webHidden/>
          </w:rPr>
          <w:fldChar w:fldCharType="end"/>
        </w:r>
      </w:hyperlink>
    </w:p>
    <w:p w14:paraId="269EBE7C" w14:textId="528F80C7" w:rsidR="000D7CAB" w:rsidRPr="00860520" w:rsidRDefault="00511B60" w:rsidP="00860520">
      <w:pPr>
        <w:pStyle w:val="TableofFigures"/>
        <w:tabs>
          <w:tab w:val="right" w:leader="dot" w:pos="9016"/>
        </w:tabs>
        <w:spacing w:after="120"/>
        <w:rPr>
          <w:rFonts w:asciiTheme="minorHAnsi" w:eastAsiaTheme="minorEastAsia" w:hAnsiTheme="minorHAnsi" w:cstheme="minorBidi"/>
          <w:b/>
          <w:bCs/>
          <w:noProof/>
          <w:color w:val="auto"/>
          <w:kern w:val="2"/>
          <w:sz w:val="22"/>
          <w:szCs w:val="22"/>
          <w:lang w:val="fr-FR" w:eastAsia="fr-FR"/>
          <w14:ligatures w14:val="standardContextual"/>
        </w:rPr>
      </w:pPr>
      <w:hyperlink w:anchor="_Toc146590573" w:history="1">
        <w:r w:rsidR="000D7CAB" w:rsidRPr="00DD0C73">
          <w:rPr>
            <w:rStyle w:val="Hyperlink"/>
            <w:rFonts w:asciiTheme="majorHAnsi" w:eastAsiaTheme="majorEastAsia" w:hAnsiTheme="majorHAnsi"/>
            <w:b/>
            <w:bCs/>
            <w:i/>
            <w:iCs/>
            <w:noProof/>
          </w:rPr>
          <w:t>Figure 8: Map Mineral sources in Suriname</w:t>
        </w:r>
        <w:r w:rsidR="000D7CAB" w:rsidRPr="00860520">
          <w:rPr>
            <w:b/>
            <w:bCs/>
            <w:noProof/>
            <w:webHidden/>
          </w:rPr>
          <w:tab/>
        </w:r>
        <w:r w:rsidR="000D7CAB" w:rsidRPr="00860520">
          <w:rPr>
            <w:b/>
            <w:bCs/>
            <w:noProof/>
            <w:webHidden/>
          </w:rPr>
          <w:fldChar w:fldCharType="begin"/>
        </w:r>
        <w:r w:rsidR="000D7CAB" w:rsidRPr="00860520">
          <w:rPr>
            <w:b/>
            <w:bCs/>
            <w:noProof/>
            <w:webHidden/>
          </w:rPr>
          <w:instrText xml:space="preserve"> PAGEREF _Toc146590573 \h </w:instrText>
        </w:r>
        <w:r w:rsidR="000D7CAB" w:rsidRPr="00860520">
          <w:rPr>
            <w:b/>
            <w:bCs/>
            <w:noProof/>
            <w:webHidden/>
          </w:rPr>
        </w:r>
        <w:r w:rsidR="000D7CAB" w:rsidRPr="00860520">
          <w:rPr>
            <w:b/>
            <w:bCs/>
            <w:noProof/>
            <w:webHidden/>
          </w:rPr>
          <w:fldChar w:fldCharType="separate"/>
        </w:r>
        <w:r w:rsidR="003D0091">
          <w:rPr>
            <w:b/>
            <w:bCs/>
            <w:noProof/>
            <w:webHidden/>
          </w:rPr>
          <w:t>25</w:t>
        </w:r>
        <w:r w:rsidR="000D7CAB" w:rsidRPr="00860520">
          <w:rPr>
            <w:b/>
            <w:bCs/>
            <w:noProof/>
            <w:webHidden/>
          </w:rPr>
          <w:fldChar w:fldCharType="end"/>
        </w:r>
      </w:hyperlink>
    </w:p>
    <w:p w14:paraId="32FE532B" w14:textId="1220EC53" w:rsidR="000D7CAB" w:rsidRPr="00860520" w:rsidRDefault="00511B60" w:rsidP="00860520">
      <w:pPr>
        <w:pStyle w:val="TableofFigures"/>
        <w:tabs>
          <w:tab w:val="right" w:leader="dot" w:pos="9016"/>
        </w:tabs>
        <w:spacing w:after="120"/>
        <w:rPr>
          <w:rFonts w:asciiTheme="minorHAnsi" w:eastAsiaTheme="minorEastAsia" w:hAnsiTheme="minorHAnsi" w:cstheme="minorBidi"/>
          <w:b/>
          <w:bCs/>
          <w:noProof/>
          <w:color w:val="auto"/>
          <w:kern w:val="2"/>
          <w:sz w:val="22"/>
          <w:szCs w:val="22"/>
          <w:lang w:val="fr-FR" w:eastAsia="fr-FR"/>
          <w14:ligatures w14:val="standardContextual"/>
        </w:rPr>
      </w:pPr>
      <w:hyperlink w:anchor="_Toc146590574" w:history="1">
        <w:r w:rsidR="000D7CAB" w:rsidRPr="00DD0C73">
          <w:rPr>
            <w:rStyle w:val="Hyperlink"/>
            <w:rFonts w:asciiTheme="majorHAnsi" w:eastAsiaTheme="majorEastAsia" w:hAnsiTheme="majorHAnsi"/>
            <w:b/>
            <w:bCs/>
            <w:i/>
            <w:iCs/>
            <w:noProof/>
          </w:rPr>
          <w:t>Figure 9: Map showing the petroleum blocks in Suriname</w:t>
        </w:r>
        <w:r w:rsidR="000D7CAB" w:rsidRPr="00860520">
          <w:rPr>
            <w:b/>
            <w:bCs/>
            <w:noProof/>
            <w:webHidden/>
          </w:rPr>
          <w:tab/>
        </w:r>
        <w:r w:rsidR="000D7CAB" w:rsidRPr="00860520">
          <w:rPr>
            <w:b/>
            <w:bCs/>
            <w:noProof/>
            <w:webHidden/>
          </w:rPr>
          <w:fldChar w:fldCharType="begin"/>
        </w:r>
        <w:r w:rsidR="000D7CAB" w:rsidRPr="00860520">
          <w:rPr>
            <w:b/>
            <w:bCs/>
            <w:noProof/>
            <w:webHidden/>
          </w:rPr>
          <w:instrText xml:space="preserve"> PAGEREF _Toc146590574 \h </w:instrText>
        </w:r>
        <w:r w:rsidR="000D7CAB" w:rsidRPr="00860520">
          <w:rPr>
            <w:b/>
            <w:bCs/>
            <w:noProof/>
            <w:webHidden/>
          </w:rPr>
        </w:r>
        <w:r w:rsidR="000D7CAB" w:rsidRPr="00860520">
          <w:rPr>
            <w:b/>
            <w:bCs/>
            <w:noProof/>
            <w:webHidden/>
          </w:rPr>
          <w:fldChar w:fldCharType="separate"/>
        </w:r>
        <w:r w:rsidR="003D0091">
          <w:rPr>
            <w:b/>
            <w:bCs/>
            <w:noProof/>
            <w:webHidden/>
          </w:rPr>
          <w:t>32</w:t>
        </w:r>
        <w:r w:rsidR="000D7CAB" w:rsidRPr="00860520">
          <w:rPr>
            <w:b/>
            <w:bCs/>
            <w:noProof/>
            <w:webHidden/>
          </w:rPr>
          <w:fldChar w:fldCharType="end"/>
        </w:r>
      </w:hyperlink>
    </w:p>
    <w:p w14:paraId="61C97455" w14:textId="2007CCA9" w:rsidR="000D7CAB" w:rsidRPr="00860520" w:rsidRDefault="00511B60" w:rsidP="00860520">
      <w:pPr>
        <w:pStyle w:val="TableofFigures"/>
        <w:tabs>
          <w:tab w:val="right" w:leader="dot" w:pos="9016"/>
        </w:tabs>
        <w:spacing w:after="120"/>
        <w:rPr>
          <w:rFonts w:asciiTheme="minorHAnsi" w:eastAsiaTheme="minorEastAsia" w:hAnsiTheme="minorHAnsi" w:cstheme="minorBidi"/>
          <w:b/>
          <w:bCs/>
          <w:noProof/>
          <w:color w:val="auto"/>
          <w:kern w:val="2"/>
          <w:sz w:val="22"/>
          <w:szCs w:val="22"/>
          <w:lang w:val="fr-FR" w:eastAsia="fr-FR"/>
          <w14:ligatures w14:val="standardContextual"/>
        </w:rPr>
      </w:pPr>
      <w:hyperlink w:anchor="_Toc146590575" w:history="1">
        <w:r w:rsidR="000D7CAB" w:rsidRPr="00860520">
          <w:rPr>
            <w:rStyle w:val="Hyperlink"/>
            <w:rFonts w:asciiTheme="majorHAnsi" w:eastAsiaTheme="majorEastAsia" w:hAnsiTheme="majorHAnsi"/>
            <w:b/>
            <w:bCs/>
            <w:i/>
            <w:iCs/>
            <w:noProof/>
          </w:rPr>
          <w:t xml:space="preserve">Figure </w:t>
        </w:r>
        <w:r w:rsidR="000D7CAB" w:rsidRPr="00860520">
          <w:rPr>
            <w:rStyle w:val="Hyperlink"/>
            <w:rFonts w:asciiTheme="majorHAnsi" w:eastAsiaTheme="majorEastAsia" w:hAnsiTheme="majorHAnsi"/>
            <w:b/>
            <w:bCs/>
            <w:noProof/>
          </w:rPr>
          <w:t>10</w:t>
        </w:r>
        <w:r w:rsidR="000D7CAB" w:rsidRPr="00860520">
          <w:rPr>
            <w:rStyle w:val="Hyperlink"/>
            <w:rFonts w:asciiTheme="majorHAnsi" w:eastAsiaTheme="majorEastAsia" w:hAnsiTheme="majorHAnsi"/>
            <w:b/>
            <w:bCs/>
            <w:i/>
            <w:iCs/>
            <w:noProof/>
          </w:rPr>
          <w:t xml:space="preserve">: Organogram of the directorate of taxation </w:t>
        </w:r>
        <w:r w:rsidR="000D7CAB" w:rsidRPr="00860520">
          <w:rPr>
            <w:b/>
            <w:bCs/>
            <w:noProof/>
            <w:webHidden/>
          </w:rPr>
          <w:tab/>
        </w:r>
        <w:r w:rsidR="000D7CAB" w:rsidRPr="00860520">
          <w:rPr>
            <w:b/>
            <w:bCs/>
            <w:noProof/>
            <w:webHidden/>
          </w:rPr>
          <w:fldChar w:fldCharType="begin"/>
        </w:r>
        <w:r w:rsidR="000D7CAB" w:rsidRPr="00860520">
          <w:rPr>
            <w:b/>
            <w:bCs/>
            <w:noProof/>
            <w:webHidden/>
          </w:rPr>
          <w:instrText xml:space="preserve"> PAGEREF _Toc146590575 \h </w:instrText>
        </w:r>
        <w:r w:rsidR="000D7CAB" w:rsidRPr="00860520">
          <w:rPr>
            <w:b/>
            <w:bCs/>
            <w:noProof/>
            <w:webHidden/>
          </w:rPr>
        </w:r>
        <w:r w:rsidR="000D7CAB" w:rsidRPr="00860520">
          <w:rPr>
            <w:b/>
            <w:bCs/>
            <w:noProof/>
            <w:webHidden/>
          </w:rPr>
          <w:fldChar w:fldCharType="separate"/>
        </w:r>
        <w:r w:rsidR="003D0091">
          <w:rPr>
            <w:b/>
            <w:bCs/>
            <w:noProof/>
            <w:webHidden/>
          </w:rPr>
          <w:t>35</w:t>
        </w:r>
        <w:r w:rsidR="000D7CAB" w:rsidRPr="00860520">
          <w:rPr>
            <w:b/>
            <w:bCs/>
            <w:noProof/>
            <w:webHidden/>
          </w:rPr>
          <w:fldChar w:fldCharType="end"/>
        </w:r>
      </w:hyperlink>
    </w:p>
    <w:p w14:paraId="0880C74F" w14:textId="29F4F49D" w:rsidR="000D7CAB" w:rsidRPr="00860520" w:rsidRDefault="00511B60" w:rsidP="00860520">
      <w:pPr>
        <w:pStyle w:val="TableofFigures"/>
        <w:tabs>
          <w:tab w:val="right" w:leader="dot" w:pos="9016"/>
        </w:tabs>
        <w:spacing w:after="120"/>
        <w:rPr>
          <w:rFonts w:asciiTheme="minorHAnsi" w:eastAsiaTheme="minorEastAsia" w:hAnsiTheme="minorHAnsi" w:cstheme="minorBidi"/>
          <w:b/>
          <w:bCs/>
          <w:noProof/>
          <w:color w:val="auto"/>
          <w:kern w:val="2"/>
          <w:sz w:val="22"/>
          <w:szCs w:val="22"/>
          <w:lang w:val="fr-FR" w:eastAsia="fr-FR"/>
          <w14:ligatures w14:val="standardContextual"/>
        </w:rPr>
      </w:pPr>
      <w:hyperlink w:anchor="_Toc146590576" w:history="1">
        <w:r w:rsidR="000D7CAB" w:rsidRPr="00DD0C73">
          <w:rPr>
            <w:rStyle w:val="Hyperlink"/>
            <w:rFonts w:asciiTheme="majorHAnsi" w:eastAsiaTheme="majorEastAsia" w:hAnsiTheme="majorHAnsi"/>
            <w:b/>
            <w:bCs/>
            <w:i/>
            <w:iCs/>
            <w:noProof/>
          </w:rPr>
          <w:t>Figure 11</w:t>
        </w:r>
        <w:r w:rsidR="000D7CAB" w:rsidRPr="000D7CAB">
          <w:rPr>
            <w:rStyle w:val="Hyperlink"/>
            <w:rFonts w:asciiTheme="majorHAnsi" w:eastAsiaTheme="majorEastAsia" w:hAnsiTheme="majorHAnsi"/>
            <w:b/>
            <w:bCs/>
            <w:i/>
            <w:iCs/>
            <w:noProof/>
          </w:rPr>
          <w:t>:</w:t>
        </w:r>
        <w:r w:rsidR="000D7CAB" w:rsidRPr="00DD0C73">
          <w:rPr>
            <w:rStyle w:val="Hyperlink"/>
            <w:rFonts w:asciiTheme="majorHAnsi" w:eastAsiaTheme="majorEastAsia" w:hAnsiTheme="majorHAnsi"/>
            <w:b/>
            <w:bCs/>
            <w:i/>
            <w:iCs/>
            <w:noProof/>
          </w:rPr>
          <w:t xml:space="preserve"> Process Open Door Invitation</w:t>
        </w:r>
        <w:r w:rsidR="000D7CAB" w:rsidRPr="00860520">
          <w:rPr>
            <w:b/>
            <w:bCs/>
            <w:noProof/>
            <w:webHidden/>
          </w:rPr>
          <w:tab/>
        </w:r>
        <w:r w:rsidR="000D7CAB" w:rsidRPr="00860520">
          <w:rPr>
            <w:b/>
            <w:bCs/>
            <w:noProof/>
            <w:webHidden/>
          </w:rPr>
          <w:fldChar w:fldCharType="begin"/>
        </w:r>
        <w:r w:rsidR="000D7CAB" w:rsidRPr="00860520">
          <w:rPr>
            <w:b/>
            <w:bCs/>
            <w:noProof/>
            <w:webHidden/>
          </w:rPr>
          <w:instrText xml:space="preserve"> PAGEREF _Toc146590576 \h </w:instrText>
        </w:r>
        <w:r w:rsidR="000D7CAB" w:rsidRPr="00860520">
          <w:rPr>
            <w:b/>
            <w:bCs/>
            <w:noProof/>
            <w:webHidden/>
          </w:rPr>
        </w:r>
        <w:r w:rsidR="000D7CAB" w:rsidRPr="00860520">
          <w:rPr>
            <w:b/>
            <w:bCs/>
            <w:noProof/>
            <w:webHidden/>
          </w:rPr>
          <w:fldChar w:fldCharType="separate"/>
        </w:r>
        <w:r w:rsidR="003D0091">
          <w:rPr>
            <w:b/>
            <w:bCs/>
            <w:noProof/>
            <w:webHidden/>
          </w:rPr>
          <w:t>51</w:t>
        </w:r>
        <w:r w:rsidR="000D7CAB" w:rsidRPr="00860520">
          <w:rPr>
            <w:b/>
            <w:bCs/>
            <w:noProof/>
            <w:webHidden/>
          </w:rPr>
          <w:fldChar w:fldCharType="end"/>
        </w:r>
      </w:hyperlink>
    </w:p>
    <w:p w14:paraId="4F6AE0CA" w14:textId="1556FFA1" w:rsidR="000D7CAB" w:rsidRPr="00860520" w:rsidRDefault="00511B60" w:rsidP="00860520">
      <w:pPr>
        <w:pStyle w:val="TableofFigures"/>
        <w:tabs>
          <w:tab w:val="right" w:leader="dot" w:pos="9016"/>
        </w:tabs>
        <w:spacing w:after="120"/>
        <w:rPr>
          <w:rFonts w:asciiTheme="minorHAnsi" w:eastAsiaTheme="minorEastAsia" w:hAnsiTheme="minorHAnsi" w:cstheme="minorBidi"/>
          <w:b/>
          <w:bCs/>
          <w:noProof/>
          <w:color w:val="auto"/>
          <w:kern w:val="2"/>
          <w:sz w:val="22"/>
          <w:szCs w:val="22"/>
          <w:lang w:val="fr-FR" w:eastAsia="fr-FR"/>
          <w14:ligatures w14:val="standardContextual"/>
        </w:rPr>
      </w:pPr>
      <w:hyperlink w:anchor="_Toc146590577" w:history="1">
        <w:r w:rsidR="000D7CAB" w:rsidRPr="00DD0C73">
          <w:rPr>
            <w:rStyle w:val="Hyperlink"/>
            <w:rFonts w:asciiTheme="majorHAnsi" w:eastAsiaTheme="majorEastAsia" w:hAnsiTheme="majorHAnsi"/>
            <w:b/>
            <w:bCs/>
            <w:i/>
            <w:iCs/>
            <w:noProof/>
          </w:rPr>
          <w:t>Figure 12: The extractive revenue collections framework is presented in the diagrams</w:t>
        </w:r>
        <w:r w:rsidR="000D7CAB" w:rsidRPr="00860520">
          <w:rPr>
            <w:b/>
            <w:bCs/>
            <w:noProof/>
            <w:webHidden/>
          </w:rPr>
          <w:tab/>
        </w:r>
        <w:r w:rsidR="000D7CAB" w:rsidRPr="00860520">
          <w:rPr>
            <w:b/>
            <w:bCs/>
            <w:noProof/>
            <w:webHidden/>
          </w:rPr>
          <w:fldChar w:fldCharType="begin"/>
        </w:r>
        <w:r w:rsidR="000D7CAB" w:rsidRPr="00860520">
          <w:rPr>
            <w:b/>
            <w:bCs/>
            <w:noProof/>
            <w:webHidden/>
          </w:rPr>
          <w:instrText xml:space="preserve"> PAGEREF _Toc146590577 \h </w:instrText>
        </w:r>
        <w:r w:rsidR="000D7CAB" w:rsidRPr="00860520">
          <w:rPr>
            <w:b/>
            <w:bCs/>
            <w:noProof/>
            <w:webHidden/>
          </w:rPr>
        </w:r>
        <w:r w:rsidR="000D7CAB" w:rsidRPr="00860520">
          <w:rPr>
            <w:b/>
            <w:bCs/>
            <w:noProof/>
            <w:webHidden/>
          </w:rPr>
          <w:fldChar w:fldCharType="separate"/>
        </w:r>
        <w:r w:rsidR="003D0091">
          <w:rPr>
            <w:b/>
            <w:bCs/>
            <w:noProof/>
            <w:webHidden/>
          </w:rPr>
          <w:t>66</w:t>
        </w:r>
        <w:r w:rsidR="000D7CAB" w:rsidRPr="00860520">
          <w:rPr>
            <w:b/>
            <w:bCs/>
            <w:noProof/>
            <w:webHidden/>
          </w:rPr>
          <w:fldChar w:fldCharType="end"/>
        </w:r>
      </w:hyperlink>
    </w:p>
    <w:p w14:paraId="523E7CF9" w14:textId="0945B3C6" w:rsidR="000D7CAB" w:rsidRPr="00860520" w:rsidRDefault="00511B60" w:rsidP="00860520">
      <w:pPr>
        <w:pStyle w:val="TableofFigures"/>
        <w:tabs>
          <w:tab w:val="right" w:leader="dot" w:pos="9016"/>
        </w:tabs>
        <w:spacing w:after="120"/>
        <w:rPr>
          <w:rFonts w:asciiTheme="minorHAnsi" w:eastAsiaTheme="minorEastAsia" w:hAnsiTheme="minorHAnsi" w:cstheme="minorBidi"/>
          <w:b/>
          <w:bCs/>
          <w:noProof/>
          <w:color w:val="auto"/>
          <w:kern w:val="2"/>
          <w:sz w:val="22"/>
          <w:szCs w:val="22"/>
          <w:lang w:val="fr-FR" w:eastAsia="fr-FR"/>
          <w14:ligatures w14:val="standardContextual"/>
        </w:rPr>
      </w:pPr>
      <w:hyperlink w:anchor="_Toc146590578" w:history="1">
        <w:r w:rsidR="000D7CAB" w:rsidRPr="00DD0C73">
          <w:rPr>
            <w:rStyle w:val="Hyperlink"/>
            <w:rFonts w:eastAsiaTheme="majorEastAsia"/>
            <w:b/>
            <w:bCs/>
            <w:i/>
            <w:iCs/>
            <w:noProof/>
          </w:rPr>
          <w:t>Figure 13: Contribution by sector for the fiscal year 2018, 2019 and 2020</w:t>
        </w:r>
        <w:r w:rsidR="000D7CAB" w:rsidRPr="00860520">
          <w:rPr>
            <w:b/>
            <w:bCs/>
            <w:noProof/>
            <w:webHidden/>
          </w:rPr>
          <w:tab/>
        </w:r>
        <w:r w:rsidR="000D7CAB" w:rsidRPr="00860520">
          <w:rPr>
            <w:b/>
            <w:bCs/>
            <w:noProof/>
            <w:webHidden/>
          </w:rPr>
          <w:fldChar w:fldCharType="begin"/>
        </w:r>
        <w:r w:rsidR="000D7CAB" w:rsidRPr="00860520">
          <w:rPr>
            <w:b/>
            <w:bCs/>
            <w:noProof/>
            <w:webHidden/>
          </w:rPr>
          <w:instrText xml:space="preserve"> PAGEREF _Toc146590578 \h </w:instrText>
        </w:r>
        <w:r w:rsidR="000D7CAB" w:rsidRPr="00860520">
          <w:rPr>
            <w:b/>
            <w:bCs/>
            <w:noProof/>
            <w:webHidden/>
          </w:rPr>
        </w:r>
        <w:r w:rsidR="000D7CAB" w:rsidRPr="00860520">
          <w:rPr>
            <w:b/>
            <w:bCs/>
            <w:noProof/>
            <w:webHidden/>
          </w:rPr>
          <w:fldChar w:fldCharType="separate"/>
        </w:r>
        <w:r w:rsidR="003D0091">
          <w:rPr>
            <w:b/>
            <w:bCs/>
            <w:noProof/>
            <w:webHidden/>
          </w:rPr>
          <w:t>88</w:t>
        </w:r>
        <w:r w:rsidR="000D7CAB" w:rsidRPr="00860520">
          <w:rPr>
            <w:b/>
            <w:bCs/>
            <w:noProof/>
            <w:webHidden/>
          </w:rPr>
          <w:fldChar w:fldCharType="end"/>
        </w:r>
      </w:hyperlink>
    </w:p>
    <w:p w14:paraId="424D4342" w14:textId="7C1B03BD" w:rsidR="000D7CAB" w:rsidRPr="00860520" w:rsidRDefault="00511B60" w:rsidP="00860520">
      <w:pPr>
        <w:pStyle w:val="TableofFigures"/>
        <w:tabs>
          <w:tab w:val="right" w:leader="dot" w:pos="9016"/>
        </w:tabs>
        <w:spacing w:after="120"/>
        <w:rPr>
          <w:rFonts w:asciiTheme="minorHAnsi" w:eastAsiaTheme="minorEastAsia" w:hAnsiTheme="minorHAnsi" w:cstheme="minorBidi"/>
          <w:b/>
          <w:bCs/>
          <w:noProof/>
          <w:color w:val="auto"/>
          <w:kern w:val="2"/>
          <w:sz w:val="22"/>
          <w:szCs w:val="22"/>
          <w:lang w:val="fr-FR" w:eastAsia="fr-FR"/>
          <w14:ligatures w14:val="standardContextual"/>
        </w:rPr>
      </w:pPr>
      <w:hyperlink w:anchor="_Toc146590579" w:history="1">
        <w:r w:rsidR="000D7CAB" w:rsidRPr="00DD0C73">
          <w:rPr>
            <w:rStyle w:val="Hyperlink"/>
            <w:rFonts w:eastAsiaTheme="majorEastAsia"/>
            <w:b/>
            <w:bCs/>
            <w:i/>
            <w:iCs/>
            <w:noProof/>
          </w:rPr>
          <w:t>Figure 14: top five companies’ contribution for the fiscal years 2018, 2019 and 2020</w:t>
        </w:r>
        <w:r w:rsidR="000D7CAB" w:rsidRPr="00860520">
          <w:rPr>
            <w:b/>
            <w:bCs/>
            <w:noProof/>
            <w:webHidden/>
          </w:rPr>
          <w:tab/>
        </w:r>
        <w:r w:rsidR="000D7CAB" w:rsidRPr="00860520">
          <w:rPr>
            <w:b/>
            <w:bCs/>
            <w:noProof/>
            <w:webHidden/>
          </w:rPr>
          <w:fldChar w:fldCharType="begin"/>
        </w:r>
        <w:r w:rsidR="000D7CAB" w:rsidRPr="00860520">
          <w:rPr>
            <w:b/>
            <w:bCs/>
            <w:noProof/>
            <w:webHidden/>
          </w:rPr>
          <w:instrText xml:space="preserve"> PAGEREF _Toc146590579 \h </w:instrText>
        </w:r>
        <w:r w:rsidR="000D7CAB" w:rsidRPr="00860520">
          <w:rPr>
            <w:b/>
            <w:bCs/>
            <w:noProof/>
            <w:webHidden/>
          </w:rPr>
        </w:r>
        <w:r w:rsidR="000D7CAB" w:rsidRPr="00860520">
          <w:rPr>
            <w:b/>
            <w:bCs/>
            <w:noProof/>
            <w:webHidden/>
          </w:rPr>
          <w:fldChar w:fldCharType="separate"/>
        </w:r>
        <w:r w:rsidR="003D0091">
          <w:rPr>
            <w:b/>
            <w:bCs/>
            <w:noProof/>
            <w:webHidden/>
          </w:rPr>
          <w:t>89</w:t>
        </w:r>
        <w:r w:rsidR="000D7CAB" w:rsidRPr="00860520">
          <w:rPr>
            <w:b/>
            <w:bCs/>
            <w:noProof/>
            <w:webHidden/>
          </w:rPr>
          <w:fldChar w:fldCharType="end"/>
        </w:r>
      </w:hyperlink>
    </w:p>
    <w:p w14:paraId="291A1CE9" w14:textId="0B721AC1" w:rsidR="000D7CAB" w:rsidRDefault="00511B60" w:rsidP="00860520">
      <w:pPr>
        <w:pStyle w:val="TableofFigures"/>
        <w:tabs>
          <w:tab w:val="right" w:leader="dot" w:pos="9016"/>
        </w:tabs>
        <w:spacing w:after="120"/>
        <w:rPr>
          <w:rFonts w:asciiTheme="minorHAnsi" w:eastAsiaTheme="minorEastAsia" w:hAnsiTheme="minorHAnsi" w:cstheme="minorBidi"/>
          <w:noProof/>
          <w:color w:val="auto"/>
          <w:kern w:val="2"/>
          <w:sz w:val="22"/>
          <w:szCs w:val="22"/>
          <w:lang w:val="fr-FR" w:eastAsia="fr-FR"/>
          <w14:ligatures w14:val="standardContextual"/>
        </w:rPr>
      </w:pPr>
      <w:hyperlink w:anchor="_Toc146590580" w:history="1">
        <w:r w:rsidR="000D7CAB" w:rsidRPr="00DD0C73">
          <w:rPr>
            <w:rStyle w:val="Hyperlink"/>
            <w:rFonts w:eastAsiaTheme="majorEastAsia"/>
            <w:b/>
            <w:bCs/>
            <w:i/>
            <w:iCs/>
            <w:noProof/>
          </w:rPr>
          <w:t>Figure 15: top four payment stream for the fiscal years 2018, 2019 and 2020</w:t>
        </w:r>
        <w:r w:rsidR="000D7CAB" w:rsidRPr="00860520">
          <w:rPr>
            <w:b/>
            <w:bCs/>
            <w:noProof/>
            <w:webHidden/>
          </w:rPr>
          <w:tab/>
        </w:r>
        <w:r w:rsidR="000D7CAB" w:rsidRPr="00860520">
          <w:rPr>
            <w:b/>
            <w:bCs/>
            <w:noProof/>
            <w:webHidden/>
          </w:rPr>
          <w:fldChar w:fldCharType="begin"/>
        </w:r>
        <w:r w:rsidR="000D7CAB" w:rsidRPr="00860520">
          <w:rPr>
            <w:b/>
            <w:bCs/>
            <w:noProof/>
            <w:webHidden/>
          </w:rPr>
          <w:instrText xml:space="preserve"> PAGEREF _Toc146590580 \h </w:instrText>
        </w:r>
        <w:r w:rsidR="000D7CAB" w:rsidRPr="00860520">
          <w:rPr>
            <w:b/>
            <w:bCs/>
            <w:noProof/>
            <w:webHidden/>
          </w:rPr>
        </w:r>
        <w:r w:rsidR="000D7CAB" w:rsidRPr="00860520">
          <w:rPr>
            <w:b/>
            <w:bCs/>
            <w:noProof/>
            <w:webHidden/>
          </w:rPr>
          <w:fldChar w:fldCharType="separate"/>
        </w:r>
        <w:r w:rsidR="003D0091">
          <w:rPr>
            <w:b/>
            <w:bCs/>
            <w:noProof/>
            <w:webHidden/>
          </w:rPr>
          <w:t>90</w:t>
        </w:r>
        <w:r w:rsidR="000D7CAB" w:rsidRPr="00860520">
          <w:rPr>
            <w:b/>
            <w:bCs/>
            <w:noProof/>
            <w:webHidden/>
          </w:rPr>
          <w:fldChar w:fldCharType="end"/>
        </w:r>
      </w:hyperlink>
    </w:p>
    <w:p w14:paraId="6AF5EBD5" w14:textId="69D3D9A1" w:rsidR="009160D8" w:rsidRPr="00860520" w:rsidRDefault="009160D8" w:rsidP="00860520">
      <w:pPr>
        <w:spacing w:line="240" w:lineRule="auto"/>
        <w:ind w:right="480"/>
        <w:rPr>
          <w:rFonts w:asciiTheme="minorHAnsi" w:hAnsiTheme="minorHAnsi"/>
          <w:b/>
          <w:bCs/>
        </w:rPr>
      </w:pPr>
      <w:r w:rsidRPr="00860520">
        <w:rPr>
          <w:b/>
          <w:bCs/>
        </w:rPr>
        <w:fldChar w:fldCharType="end"/>
      </w:r>
    </w:p>
    <w:p w14:paraId="48BF298C" w14:textId="77777777" w:rsidR="009160D8" w:rsidRDefault="009160D8" w:rsidP="00CB4C1D">
      <w:pPr>
        <w:spacing w:after="60" w:line="240" w:lineRule="auto"/>
        <w:ind w:right="480"/>
        <w:rPr>
          <w:rFonts w:asciiTheme="minorHAnsi" w:hAnsiTheme="minorHAnsi"/>
        </w:rPr>
      </w:pPr>
    </w:p>
    <w:p w14:paraId="07D61B11" w14:textId="77777777" w:rsidR="009160D8" w:rsidRPr="00894701" w:rsidRDefault="009160D8" w:rsidP="00CB4C1D">
      <w:pPr>
        <w:spacing w:after="60" w:line="240" w:lineRule="auto"/>
        <w:ind w:right="480"/>
        <w:rPr>
          <w:rFonts w:asciiTheme="minorHAnsi" w:hAnsiTheme="minorHAnsi"/>
        </w:rPr>
        <w:sectPr w:rsidR="009160D8" w:rsidRPr="00894701" w:rsidSect="009160D8">
          <w:pgSz w:w="11906" w:h="16838" w:code="9"/>
          <w:pgMar w:top="1440" w:right="1440" w:bottom="1440" w:left="1440" w:header="851" w:footer="750" w:gutter="0"/>
          <w:pgNumType w:start="7"/>
          <w:cols w:space="708"/>
          <w:docGrid w:linePitch="360"/>
        </w:sectPr>
      </w:pPr>
    </w:p>
    <w:p w14:paraId="07343E24" w14:textId="54BBEAF8" w:rsidR="00A41ADF" w:rsidRPr="00894701" w:rsidRDefault="00A41ADF" w:rsidP="00096821">
      <w:pPr>
        <w:pStyle w:val="BodyTextRed"/>
        <w:jc w:val="both"/>
        <w:rPr>
          <w:b/>
          <w:bCs/>
          <w:color w:val="98002E" w:themeColor="accent3"/>
          <w:sz w:val="20"/>
          <w:szCs w:val="20"/>
        </w:rPr>
      </w:pPr>
      <w:bookmarkStart w:id="1" w:name="_Toc54297002"/>
      <w:bookmarkStart w:id="2" w:name="_Toc146590473"/>
      <w:bookmarkEnd w:id="1"/>
      <w:r w:rsidRPr="00894701">
        <w:rPr>
          <w:b/>
          <w:bCs/>
          <w:color w:val="98002E" w:themeColor="accent3"/>
          <w:sz w:val="20"/>
          <w:szCs w:val="20"/>
        </w:rPr>
        <w:lastRenderedPageBreak/>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1</w:t>
      </w:r>
      <w:r w:rsidRPr="00894701">
        <w:rPr>
          <w:b/>
          <w:bCs/>
          <w:color w:val="98002E" w:themeColor="accent3"/>
          <w:sz w:val="20"/>
          <w:szCs w:val="20"/>
        </w:rPr>
        <w:fldChar w:fldCharType="end"/>
      </w:r>
      <w:r w:rsidRPr="00894701">
        <w:rPr>
          <w:b/>
          <w:bCs/>
          <w:color w:val="98002E" w:themeColor="accent3"/>
          <w:sz w:val="20"/>
          <w:szCs w:val="20"/>
        </w:rPr>
        <w:t>: List of abbreviations</w:t>
      </w:r>
      <w:bookmarkEnd w:id="2"/>
    </w:p>
    <w:tbl>
      <w:tblPr>
        <w:tblW w:w="5000" w:type="pct"/>
        <w:tblLayout w:type="fixed"/>
        <w:tblCellMar>
          <w:left w:w="70" w:type="dxa"/>
          <w:right w:w="70" w:type="dxa"/>
        </w:tblCellMar>
        <w:tblLook w:val="04A0" w:firstRow="1" w:lastRow="0" w:firstColumn="1" w:lastColumn="0" w:noHBand="0" w:noVBand="1"/>
      </w:tblPr>
      <w:tblGrid>
        <w:gridCol w:w="994"/>
        <w:gridCol w:w="8056"/>
      </w:tblGrid>
      <w:tr w:rsidR="00C62B4C" w:rsidRPr="00894701" w14:paraId="72779936" w14:textId="77777777" w:rsidTr="00C62B4C">
        <w:trPr>
          <w:tblHeader/>
        </w:trPr>
        <w:tc>
          <w:tcPr>
            <w:tcW w:w="5000" w:type="pct"/>
            <w:gridSpan w:val="2"/>
            <w:tcBorders>
              <w:top w:val="nil"/>
              <w:left w:val="nil"/>
              <w:bottom w:val="single" w:sz="4" w:space="0" w:color="FF0000"/>
              <w:right w:val="nil"/>
            </w:tcBorders>
            <w:shd w:val="clear" w:color="000000" w:fill="7A091A"/>
            <w:noWrap/>
            <w:vAlign w:val="center"/>
            <w:hideMark/>
          </w:tcPr>
          <w:p w14:paraId="5BF8CA59" w14:textId="250AB14D" w:rsidR="00C62B4C" w:rsidRPr="00894701" w:rsidRDefault="00C62B4C" w:rsidP="008C503C">
            <w:pPr>
              <w:spacing w:before="40" w:after="40" w:line="240" w:lineRule="auto"/>
              <w:rPr>
                <w:rFonts w:asciiTheme="minorHAnsi" w:hAnsiTheme="minorHAnsi"/>
                <w:b/>
                <w:color w:val="auto"/>
                <w:szCs w:val="18"/>
              </w:rPr>
            </w:pPr>
            <w:r w:rsidRPr="00894701">
              <w:rPr>
                <w:rFonts w:asciiTheme="minorHAnsi" w:hAnsiTheme="minorHAnsi"/>
                <w:b/>
                <w:color w:val="auto"/>
                <w:szCs w:val="18"/>
              </w:rPr>
              <w:t>List of Abbreviations</w:t>
            </w:r>
          </w:p>
        </w:tc>
      </w:tr>
      <w:tr w:rsidR="00C62B4C" w:rsidRPr="00894701" w14:paraId="3CFEE998" w14:textId="77777777" w:rsidTr="00C62B4C">
        <w:trPr>
          <w:tblHeader/>
        </w:trPr>
        <w:tc>
          <w:tcPr>
            <w:tcW w:w="549" w:type="pct"/>
            <w:tcBorders>
              <w:top w:val="nil"/>
              <w:left w:val="nil"/>
              <w:bottom w:val="single" w:sz="4" w:space="0" w:color="FF0000"/>
              <w:right w:val="nil"/>
            </w:tcBorders>
            <w:shd w:val="clear" w:color="auto" w:fill="F7A3B0"/>
            <w:noWrap/>
          </w:tcPr>
          <w:p w14:paraId="713DA77F" w14:textId="0322C895" w:rsidR="00987079" w:rsidRPr="00894701" w:rsidRDefault="00987079" w:rsidP="00987079">
            <w:pPr>
              <w:spacing w:before="40" w:after="40" w:line="240" w:lineRule="auto"/>
              <w:rPr>
                <w:rFonts w:asciiTheme="minorHAnsi" w:hAnsiTheme="minorHAnsi"/>
                <w:b/>
                <w:color w:val="auto"/>
                <w:sz w:val="16"/>
                <w:szCs w:val="16"/>
              </w:rPr>
            </w:pPr>
            <w:r w:rsidRPr="00894701">
              <w:rPr>
                <w:rFonts w:asciiTheme="minorHAnsi" w:hAnsiTheme="minorHAnsi"/>
                <w:color w:val="auto"/>
                <w:sz w:val="16"/>
                <w:szCs w:val="16"/>
              </w:rPr>
              <w:t>ABS</w:t>
            </w:r>
          </w:p>
        </w:tc>
        <w:tc>
          <w:tcPr>
            <w:tcW w:w="4451" w:type="pct"/>
            <w:tcBorders>
              <w:top w:val="nil"/>
              <w:left w:val="nil"/>
              <w:bottom w:val="single" w:sz="4" w:space="0" w:color="FF0000"/>
              <w:right w:val="nil"/>
            </w:tcBorders>
            <w:shd w:val="clear" w:color="auto" w:fill="F7A3B0"/>
            <w:noWrap/>
          </w:tcPr>
          <w:p w14:paraId="654FAF24" w14:textId="31020E21" w:rsidR="00987079" w:rsidRPr="00894701" w:rsidRDefault="00987079" w:rsidP="00987079">
            <w:pPr>
              <w:spacing w:before="40" w:after="40" w:line="240" w:lineRule="auto"/>
              <w:rPr>
                <w:rFonts w:asciiTheme="minorHAnsi" w:hAnsiTheme="minorHAnsi"/>
                <w:b/>
                <w:color w:val="auto"/>
                <w:sz w:val="16"/>
                <w:szCs w:val="16"/>
              </w:rPr>
            </w:pPr>
            <w:r w:rsidRPr="00894701">
              <w:rPr>
                <w:rFonts w:asciiTheme="minorHAnsi" w:hAnsiTheme="minorHAnsi"/>
                <w:color w:val="auto"/>
                <w:sz w:val="16"/>
                <w:szCs w:val="16"/>
              </w:rPr>
              <w:t>(St</w:t>
            </w:r>
            <w:r w:rsidR="003560DE" w:rsidRPr="00894701">
              <w:rPr>
                <w:rFonts w:asciiTheme="minorHAnsi" w:hAnsiTheme="minorHAnsi"/>
                <w:color w:val="auto"/>
                <w:sz w:val="16"/>
                <w:szCs w:val="16"/>
              </w:rPr>
              <w:t>i</w:t>
            </w:r>
            <w:r w:rsidRPr="00894701">
              <w:rPr>
                <w:rFonts w:asciiTheme="minorHAnsi" w:hAnsiTheme="minorHAnsi"/>
                <w:color w:val="auto"/>
                <w:sz w:val="16"/>
                <w:szCs w:val="16"/>
              </w:rPr>
              <w:t>cht</w:t>
            </w:r>
            <w:r w:rsidR="003560DE" w:rsidRPr="00894701">
              <w:rPr>
                <w:rFonts w:asciiTheme="minorHAnsi" w:hAnsiTheme="minorHAnsi"/>
                <w:color w:val="auto"/>
                <w:sz w:val="16"/>
                <w:szCs w:val="16"/>
              </w:rPr>
              <w:t>i</w:t>
            </w:r>
            <w:r w:rsidRPr="00894701">
              <w:rPr>
                <w:rFonts w:asciiTheme="minorHAnsi" w:hAnsiTheme="minorHAnsi"/>
                <w:color w:val="auto"/>
                <w:sz w:val="16"/>
                <w:szCs w:val="16"/>
              </w:rPr>
              <w:t>ng) Algemeen Bureau voor de Stat</w:t>
            </w:r>
            <w:r w:rsidR="003560DE" w:rsidRPr="00894701">
              <w:rPr>
                <w:rFonts w:asciiTheme="minorHAnsi" w:hAnsiTheme="minorHAnsi"/>
                <w:color w:val="auto"/>
                <w:sz w:val="16"/>
                <w:szCs w:val="16"/>
              </w:rPr>
              <w:t>i</w:t>
            </w:r>
            <w:r w:rsidRPr="00894701">
              <w:rPr>
                <w:rFonts w:asciiTheme="minorHAnsi" w:hAnsiTheme="minorHAnsi"/>
                <w:color w:val="auto"/>
                <w:sz w:val="16"/>
                <w:szCs w:val="16"/>
              </w:rPr>
              <w:t>st</w:t>
            </w:r>
            <w:r w:rsidR="003560DE" w:rsidRPr="00894701">
              <w:rPr>
                <w:rFonts w:asciiTheme="minorHAnsi" w:hAnsiTheme="minorHAnsi"/>
                <w:color w:val="auto"/>
                <w:sz w:val="16"/>
                <w:szCs w:val="16"/>
              </w:rPr>
              <w:t>i</w:t>
            </w:r>
            <w:r w:rsidRPr="00894701">
              <w:rPr>
                <w:rFonts w:asciiTheme="minorHAnsi" w:hAnsiTheme="minorHAnsi"/>
                <w:color w:val="auto"/>
                <w:sz w:val="16"/>
                <w:szCs w:val="16"/>
              </w:rPr>
              <w:t>ek/(Foundat</w:t>
            </w:r>
            <w:r w:rsidR="003560DE" w:rsidRPr="00894701">
              <w:rPr>
                <w:rFonts w:asciiTheme="minorHAnsi" w:hAnsiTheme="minorHAnsi"/>
                <w:color w:val="auto"/>
                <w:sz w:val="16"/>
                <w:szCs w:val="16"/>
              </w:rPr>
              <w:t>i</w:t>
            </w:r>
            <w:r w:rsidRPr="00894701">
              <w:rPr>
                <w:rFonts w:asciiTheme="minorHAnsi" w:hAnsiTheme="minorHAnsi"/>
                <w:color w:val="auto"/>
                <w:sz w:val="16"/>
                <w:szCs w:val="16"/>
              </w:rPr>
              <w:t xml:space="preserve">on) General Office for </w:t>
            </w:r>
            <w:r w:rsidR="00C62B4C" w:rsidRPr="00894701">
              <w:rPr>
                <w:rFonts w:asciiTheme="minorHAnsi" w:hAnsiTheme="minorHAnsi"/>
                <w:color w:val="auto"/>
                <w:sz w:val="16"/>
                <w:szCs w:val="16"/>
              </w:rPr>
              <w:t>Statistics</w:t>
            </w:r>
          </w:p>
        </w:tc>
      </w:tr>
      <w:tr w:rsidR="00C62B4C" w:rsidRPr="00894701" w14:paraId="360AED44" w14:textId="77777777" w:rsidTr="00C62B4C">
        <w:tc>
          <w:tcPr>
            <w:tcW w:w="549" w:type="pct"/>
            <w:tcBorders>
              <w:top w:val="single" w:sz="4" w:space="0" w:color="FF0000"/>
              <w:left w:val="nil"/>
              <w:bottom w:val="nil"/>
              <w:right w:val="nil"/>
            </w:tcBorders>
            <w:shd w:val="clear" w:color="auto" w:fill="auto"/>
            <w:noWrap/>
          </w:tcPr>
          <w:p w14:paraId="1A544D2E" w14:textId="0B600533" w:rsidR="00987079" w:rsidRPr="00894701" w:rsidRDefault="00987079" w:rsidP="00987079">
            <w:pPr>
              <w:spacing w:before="40" w:after="40" w:line="240" w:lineRule="auto"/>
              <w:rPr>
                <w:rFonts w:asciiTheme="minorHAnsi" w:hAnsiTheme="minorHAnsi"/>
                <w:color w:val="auto"/>
                <w:sz w:val="16"/>
                <w:szCs w:val="16"/>
              </w:rPr>
            </w:pPr>
            <w:r w:rsidRPr="00894701">
              <w:rPr>
                <w:rFonts w:asciiTheme="minorHAnsi" w:hAnsiTheme="minorHAnsi"/>
                <w:color w:val="auto"/>
                <w:sz w:val="16"/>
                <w:szCs w:val="16"/>
              </w:rPr>
              <w:t>ASGM</w:t>
            </w:r>
          </w:p>
        </w:tc>
        <w:tc>
          <w:tcPr>
            <w:tcW w:w="4451" w:type="pct"/>
            <w:tcBorders>
              <w:top w:val="single" w:sz="4" w:space="0" w:color="FF0000"/>
              <w:left w:val="nil"/>
              <w:bottom w:val="nil"/>
              <w:right w:val="nil"/>
            </w:tcBorders>
            <w:shd w:val="clear" w:color="auto" w:fill="auto"/>
            <w:noWrap/>
          </w:tcPr>
          <w:p w14:paraId="2F2192D6" w14:textId="2CBBC69A" w:rsidR="00987079" w:rsidRPr="00894701" w:rsidRDefault="00987079" w:rsidP="00987079">
            <w:pPr>
              <w:spacing w:before="40" w:after="40" w:line="240" w:lineRule="auto"/>
              <w:rPr>
                <w:rFonts w:asciiTheme="minorHAnsi" w:hAnsiTheme="minorHAnsi"/>
                <w:color w:val="auto"/>
                <w:sz w:val="16"/>
                <w:szCs w:val="16"/>
              </w:rPr>
            </w:pPr>
            <w:r w:rsidRPr="00894701">
              <w:rPr>
                <w:rFonts w:asciiTheme="minorHAnsi" w:hAnsiTheme="minorHAnsi"/>
                <w:color w:val="auto"/>
                <w:sz w:val="16"/>
                <w:szCs w:val="16"/>
              </w:rPr>
              <w:t xml:space="preserve">Artisanal and </w:t>
            </w:r>
            <w:r w:rsidR="00C62B4C" w:rsidRPr="00894701">
              <w:rPr>
                <w:rFonts w:asciiTheme="minorHAnsi" w:hAnsiTheme="minorHAnsi"/>
                <w:color w:val="auto"/>
                <w:sz w:val="16"/>
                <w:szCs w:val="16"/>
              </w:rPr>
              <w:t>Small-scale</w:t>
            </w:r>
            <w:r w:rsidRPr="00894701">
              <w:rPr>
                <w:rFonts w:asciiTheme="minorHAnsi" w:hAnsiTheme="minorHAnsi"/>
                <w:color w:val="auto"/>
                <w:sz w:val="16"/>
                <w:szCs w:val="16"/>
              </w:rPr>
              <w:t xml:space="preserve"> Gold Minin</w:t>
            </w:r>
          </w:p>
        </w:tc>
      </w:tr>
      <w:tr w:rsidR="00C62B4C" w:rsidRPr="00894701" w14:paraId="6BF8A900" w14:textId="77777777" w:rsidTr="00C62B4C">
        <w:tc>
          <w:tcPr>
            <w:tcW w:w="549" w:type="pct"/>
            <w:tcBorders>
              <w:left w:val="nil"/>
              <w:bottom w:val="nil"/>
              <w:right w:val="nil"/>
            </w:tcBorders>
            <w:shd w:val="clear" w:color="000000" w:fill="F7A3B0"/>
            <w:noWrap/>
          </w:tcPr>
          <w:p w14:paraId="5C3D1528" w14:textId="55BE354E" w:rsidR="00987079" w:rsidRPr="00894701" w:rsidRDefault="00987079" w:rsidP="00987079">
            <w:pPr>
              <w:spacing w:before="40" w:after="40" w:line="240" w:lineRule="auto"/>
              <w:rPr>
                <w:rFonts w:asciiTheme="minorHAnsi" w:hAnsiTheme="minorHAnsi"/>
                <w:color w:val="auto"/>
                <w:sz w:val="16"/>
                <w:szCs w:val="16"/>
              </w:rPr>
            </w:pPr>
            <w:r w:rsidRPr="00894701">
              <w:rPr>
                <w:rFonts w:asciiTheme="minorHAnsi" w:hAnsiTheme="minorHAnsi"/>
                <w:color w:val="auto"/>
                <w:sz w:val="16"/>
                <w:szCs w:val="16"/>
              </w:rPr>
              <w:t>BOPD</w:t>
            </w:r>
          </w:p>
        </w:tc>
        <w:tc>
          <w:tcPr>
            <w:tcW w:w="4451" w:type="pct"/>
            <w:tcBorders>
              <w:left w:val="nil"/>
              <w:bottom w:val="nil"/>
              <w:right w:val="nil"/>
            </w:tcBorders>
            <w:shd w:val="clear" w:color="000000" w:fill="F7A3B0"/>
            <w:noWrap/>
          </w:tcPr>
          <w:p w14:paraId="2E617600" w14:textId="50C2E893" w:rsidR="00987079" w:rsidRPr="00894701" w:rsidRDefault="00987079" w:rsidP="00987079">
            <w:pPr>
              <w:spacing w:before="40" w:after="40" w:line="240" w:lineRule="auto"/>
              <w:rPr>
                <w:rFonts w:asciiTheme="minorHAnsi" w:hAnsiTheme="minorHAnsi"/>
                <w:color w:val="auto"/>
                <w:sz w:val="16"/>
                <w:szCs w:val="16"/>
              </w:rPr>
            </w:pPr>
            <w:r w:rsidRPr="00894701">
              <w:rPr>
                <w:rFonts w:asciiTheme="minorHAnsi" w:hAnsiTheme="minorHAnsi"/>
                <w:color w:val="auto"/>
                <w:sz w:val="16"/>
                <w:szCs w:val="16"/>
              </w:rPr>
              <w:t>Barrels of Oil Per Day</w:t>
            </w:r>
          </w:p>
        </w:tc>
      </w:tr>
      <w:tr w:rsidR="00C62B4C" w:rsidRPr="00894701" w14:paraId="4ED7C2A7" w14:textId="77777777" w:rsidTr="00C62B4C">
        <w:tc>
          <w:tcPr>
            <w:tcW w:w="549" w:type="pct"/>
            <w:tcBorders>
              <w:top w:val="nil"/>
              <w:left w:val="nil"/>
              <w:bottom w:val="nil"/>
              <w:right w:val="nil"/>
            </w:tcBorders>
            <w:shd w:val="clear" w:color="000000" w:fill="FFFFFF"/>
            <w:noWrap/>
          </w:tcPr>
          <w:p w14:paraId="3D785E62" w14:textId="7FC42487" w:rsidR="004E480E" w:rsidRPr="00894701" w:rsidRDefault="004E480E" w:rsidP="004E480E">
            <w:pPr>
              <w:spacing w:before="40" w:after="40" w:line="240" w:lineRule="auto"/>
              <w:rPr>
                <w:rFonts w:asciiTheme="minorHAnsi" w:hAnsiTheme="minorHAnsi"/>
                <w:color w:val="auto"/>
                <w:sz w:val="16"/>
                <w:szCs w:val="16"/>
              </w:rPr>
            </w:pPr>
            <w:r w:rsidRPr="00894701">
              <w:rPr>
                <w:rFonts w:asciiTheme="minorHAnsi" w:hAnsiTheme="minorHAnsi"/>
                <w:color w:val="auto"/>
                <w:sz w:val="16"/>
                <w:szCs w:val="16"/>
              </w:rPr>
              <w:t>CARICOM</w:t>
            </w:r>
          </w:p>
        </w:tc>
        <w:tc>
          <w:tcPr>
            <w:tcW w:w="4451" w:type="pct"/>
            <w:tcBorders>
              <w:top w:val="nil"/>
              <w:left w:val="nil"/>
              <w:bottom w:val="nil"/>
              <w:right w:val="nil"/>
            </w:tcBorders>
            <w:shd w:val="clear" w:color="000000" w:fill="FFFFFF"/>
            <w:noWrap/>
          </w:tcPr>
          <w:p w14:paraId="4DC9B955" w14:textId="60C112BB" w:rsidR="004E480E" w:rsidRPr="00894701" w:rsidRDefault="004E480E" w:rsidP="004E480E">
            <w:pPr>
              <w:spacing w:before="40" w:after="40" w:line="240" w:lineRule="auto"/>
              <w:rPr>
                <w:rFonts w:asciiTheme="minorHAnsi" w:hAnsiTheme="minorHAnsi"/>
                <w:color w:val="auto"/>
                <w:sz w:val="16"/>
                <w:szCs w:val="16"/>
              </w:rPr>
            </w:pPr>
            <w:r w:rsidRPr="00894701">
              <w:rPr>
                <w:rFonts w:asciiTheme="minorHAnsi" w:hAnsiTheme="minorHAnsi"/>
                <w:color w:val="auto"/>
                <w:sz w:val="16"/>
                <w:szCs w:val="16"/>
              </w:rPr>
              <w:t>Caribbean Community (CC)</w:t>
            </w:r>
          </w:p>
        </w:tc>
      </w:tr>
      <w:tr w:rsidR="00C62B4C" w:rsidRPr="00894701" w14:paraId="71220DA8" w14:textId="77777777" w:rsidTr="00C62B4C">
        <w:tc>
          <w:tcPr>
            <w:tcW w:w="549" w:type="pct"/>
            <w:tcBorders>
              <w:top w:val="nil"/>
              <w:left w:val="nil"/>
              <w:bottom w:val="nil"/>
              <w:right w:val="nil"/>
            </w:tcBorders>
            <w:shd w:val="clear" w:color="auto" w:fill="F7A3B0"/>
            <w:noWrap/>
          </w:tcPr>
          <w:p w14:paraId="4653532A" w14:textId="632DA9A4" w:rsidR="004E480E" w:rsidRPr="00894701" w:rsidRDefault="004E480E" w:rsidP="004E480E">
            <w:pPr>
              <w:spacing w:before="40" w:after="40" w:line="240" w:lineRule="auto"/>
              <w:rPr>
                <w:rFonts w:asciiTheme="minorHAnsi" w:hAnsiTheme="minorHAnsi"/>
                <w:color w:val="auto"/>
                <w:sz w:val="16"/>
                <w:szCs w:val="16"/>
              </w:rPr>
            </w:pPr>
            <w:r w:rsidRPr="00894701">
              <w:rPr>
                <w:rFonts w:asciiTheme="minorHAnsi" w:hAnsiTheme="minorHAnsi"/>
                <w:color w:val="auto"/>
                <w:sz w:val="16"/>
                <w:szCs w:val="16"/>
              </w:rPr>
              <w:t xml:space="preserve">CBvS/CBoS </w:t>
            </w:r>
          </w:p>
        </w:tc>
        <w:tc>
          <w:tcPr>
            <w:tcW w:w="4451" w:type="pct"/>
            <w:tcBorders>
              <w:top w:val="nil"/>
              <w:left w:val="nil"/>
              <w:bottom w:val="nil"/>
              <w:right w:val="nil"/>
            </w:tcBorders>
            <w:shd w:val="clear" w:color="000000" w:fill="F7A3B0"/>
            <w:noWrap/>
          </w:tcPr>
          <w:p w14:paraId="05AA4B94" w14:textId="5C8E8914" w:rsidR="004E480E" w:rsidRPr="00894701" w:rsidRDefault="004E480E" w:rsidP="004E480E">
            <w:pPr>
              <w:spacing w:before="40" w:after="40" w:line="240" w:lineRule="auto"/>
              <w:rPr>
                <w:rFonts w:asciiTheme="minorHAnsi" w:hAnsiTheme="minorHAnsi"/>
                <w:color w:val="auto"/>
                <w:sz w:val="16"/>
                <w:szCs w:val="16"/>
              </w:rPr>
            </w:pPr>
            <w:r w:rsidRPr="00894701">
              <w:rPr>
                <w:rFonts w:asciiTheme="minorHAnsi" w:hAnsiTheme="minorHAnsi"/>
                <w:color w:val="auto"/>
                <w:sz w:val="16"/>
                <w:szCs w:val="16"/>
              </w:rPr>
              <w:t xml:space="preserve">Centrale Bank van Suriname /Central Bank of Suriname </w:t>
            </w:r>
          </w:p>
        </w:tc>
      </w:tr>
      <w:tr w:rsidR="00C62B4C" w:rsidRPr="00894701" w14:paraId="7E3A5A43" w14:textId="77777777" w:rsidTr="00C62B4C">
        <w:tc>
          <w:tcPr>
            <w:tcW w:w="549" w:type="pct"/>
            <w:tcBorders>
              <w:top w:val="nil"/>
              <w:left w:val="nil"/>
              <w:bottom w:val="nil"/>
              <w:right w:val="nil"/>
            </w:tcBorders>
            <w:shd w:val="clear" w:color="000000" w:fill="FFFFFF"/>
            <w:noWrap/>
          </w:tcPr>
          <w:p w14:paraId="4272DC45" w14:textId="7FCE81F9" w:rsidR="004E480E" w:rsidRPr="00894701" w:rsidRDefault="004E480E" w:rsidP="004E480E">
            <w:pPr>
              <w:spacing w:before="40" w:after="40" w:line="240" w:lineRule="auto"/>
              <w:rPr>
                <w:rFonts w:asciiTheme="minorHAnsi" w:hAnsiTheme="minorHAnsi"/>
                <w:color w:val="auto"/>
                <w:sz w:val="16"/>
                <w:szCs w:val="16"/>
              </w:rPr>
            </w:pPr>
            <w:r w:rsidRPr="00894701">
              <w:rPr>
                <w:rFonts w:asciiTheme="minorHAnsi" w:hAnsiTheme="minorHAnsi"/>
                <w:color w:val="auto"/>
                <w:sz w:val="16"/>
                <w:szCs w:val="16"/>
              </w:rPr>
              <w:t xml:space="preserve">CC&amp;l </w:t>
            </w:r>
          </w:p>
        </w:tc>
        <w:tc>
          <w:tcPr>
            <w:tcW w:w="4451" w:type="pct"/>
            <w:tcBorders>
              <w:top w:val="nil"/>
              <w:left w:val="nil"/>
              <w:bottom w:val="nil"/>
              <w:right w:val="nil"/>
            </w:tcBorders>
            <w:shd w:val="clear" w:color="000000" w:fill="FFFFFF"/>
            <w:noWrap/>
          </w:tcPr>
          <w:p w14:paraId="4B790ED2" w14:textId="305D2D10" w:rsidR="004E480E" w:rsidRPr="00894701" w:rsidRDefault="004E480E" w:rsidP="004E480E">
            <w:pPr>
              <w:spacing w:before="40" w:after="40" w:line="240" w:lineRule="auto"/>
              <w:rPr>
                <w:rFonts w:asciiTheme="minorHAnsi" w:hAnsiTheme="minorHAnsi"/>
                <w:color w:val="auto"/>
                <w:sz w:val="16"/>
                <w:szCs w:val="16"/>
              </w:rPr>
            </w:pPr>
            <w:r w:rsidRPr="00894701">
              <w:rPr>
                <w:rFonts w:asciiTheme="minorHAnsi" w:hAnsiTheme="minorHAnsi"/>
                <w:color w:val="auto"/>
                <w:sz w:val="16"/>
                <w:szCs w:val="16"/>
              </w:rPr>
              <w:t>Chamber of Commerce and Industry</w:t>
            </w:r>
          </w:p>
        </w:tc>
      </w:tr>
      <w:tr w:rsidR="00C62B4C" w:rsidRPr="00894701" w14:paraId="6BBAF69A" w14:textId="77777777" w:rsidTr="00C62B4C">
        <w:tc>
          <w:tcPr>
            <w:tcW w:w="549" w:type="pct"/>
            <w:tcBorders>
              <w:top w:val="nil"/>
              <w:left w:val="nil"/>
              <w:bottom w:val="nil"/>
              <w:right w:val="nil"/>
            </w:tcBorders>
            <w:shd w:val="clear" w:color="000000" w:fill="F7A3B0"/>
            <w:noWrap/>
          </w:tcPr>
          <w:p w14:paraId="1FA5C396" w14:textId="0E4C3AD4" w:rsidR="004E480E" w:rsidRPr="00894701" w:rsidRDefault="004E480E" w:rsidP="004E480E">
            <w:pPr>
              <w:spacing w:before="40" w:after="40" w:line="240" w:lineRule="auto"/>
              <w:rPr>
                <w:rFonts w:asciiTheme="minorHAnsi" w:hAnsiTheme="minorHAnsi"/>
                <w:color w:val="auto"/>
                <w:sz w:val="16"/>
                <w:szCs w:val="16"/>
              </w:rPr>
            </w:pPr>
            <w:r w:rsidRPr="00894701">
              <w:rPr>
                <w:rFonts w:asciiTheme="minorHAnsi" w:hAnsiTheme="minorHAnsi"/>
                <w:color w:val="auto"/>
                <w:sz w:val="16"/>
                <w:szCs w:val="16"/>
              </w:rPr>
              <w:t>CSR</w:t>
            </w:r>
          </w:p>
        </w:tc>
        <w:tc>
          <w:tcPr>
            <w:tcW w:w="4451" w:type="pct"/>
            <w:tcBorders>
              <w:top w:val="nil"/>
              <w:left w:val="nil"/>
              <w:bottom w:val="nil"/>
              <w:right w:val="nil"/>
            </w:tcBorders>
            <w:shd w:val="clear" w:color="000000" w:fill="F7A3B0"/>
            <w:noWrap/>
          </w:tcPr>
          <w:p w14:paraId="354D2616" w14:textId="5AD6F48A" w:rsidR="004E480E" w:rsidRPr="00894701" w:rsidRDefault="004E480E" w:rsidP="004E480E">
            <w:pPr>
              <w:spacing w:before="40" w:after="40" w:line="240" w:lineRule="auto"/>
              <w:rPr>
                <w:rFonts w:asciiTheme="minorHAnsi" w:hAnsiTheme="minorHAnsi"/>
                <w:color w:val="auto"/>
                <w:sz w:val="16"/>
                <w:szCs w:val="16"/>
              </w:rPr>
            </w:pPr>
            <w:r w:rsidRPr="00894701">
              <w:rPr>
                <w:rFonts w:asciiTheme="minorHAnsi" w:hAnsiTheme="minorHAnsi"/>
                <w:color w:val="auto"/>
                <w:sz w:val="16"/>
                <w:szCs w:val="16"/>
              </w:rPr>
              <w:t>Corporate Social Responsibility</w:t>
            </w:r>
          </w:p>
        </w:tc>
      </w:tr>
      <w:tr w:rsidR="00C62B4C" w:rsidRPr="00860520" w14:paraId="6DEBDE35" w14:textId="77777777" w:rsidTr="00C62B4C">
        <w:tc>
          <w:tcPr>
            <w:tcW w:w="549" w:type="pct"/>
            <w:tcBorders>
              <w:top w:val="nil"/>
              <w:left w:val="nil"/>
              <w:bottom w:val="nil"/>
              <w:right w:val="nil"/>
            </w:tcBorders>
            <w:shd w:val="clear" w:color="000000" w:fill="FFFFFF"/>
            <w:noWrap/>
          </w:tcPr>
          <w:p w14:paraId="7E935F43" w14:textId="2AD0B181" w:rsidR="004E480E" w:rsidRPr="00894701" w:rsidRDefault="004E480E" w:rsidP="004E480E">
            <w:pPr>
              <w:spacing w:before="40" w:after="40" w:line="240" w:lineRule="auto"/>
              <w:rPr>
                <w:rFonts w:asciiTheme="minorHAnsi" w:hAnsiTheme="minorHAnsi"/>
                <w:color w:val="auto"/>
                <w:sz w:val="16"/>
                <w:szCs w:val="16"/>
              </w:rPr>
            </w:pPr>
            <w:r w:rsidRPr="00894701">
              <w:rPr>
                <w:rFonts w:asciiTheme="minorHAnsi" w:hAnsiTheme="minorHAnsi"/>
                <w:color w:val="auto"/>
                <w:sz w:val="16"/>
                <w:szCs w:val="16"/>
              </w:rPr>
              <w:t>DIS (MIS)</w:t>
            </w:r>
          </w:p>
        </w:tc>
        <w:tc>
          <w:tcPr>
            <w:tcW w:w="4451" w:type="pct"/>
            <w:tcBorders>
              <w:top w:val="nil"/>
              <w:left w:val="nil"/>
              <w:bottom w:val="nil"/>
              <w:right w:val="nil"/>
            </w:tcBorders>
            <w:shd w:val="clear" w:color="000000" w:fill="FFFFFF"/>
            <w:noWrap/>
          </w:tcPr>
          <w:p w14:paraId="76BA8E23" w14:textId="414BA72F" w:rsidR="004E480E" w:rsidRPr="00894701" w:rsidRDefault="004E480E" w:rsidP="004E480E">
            <w:pPr>
              <w:spacing w:before="40" w:after="40" w:line="240" w:lineRule="auto"/>
              <w:rPr>
                <w:rFonts w:asciiTheme="minorHAnsi" w:hAnsiTheme="minorHAnsi"/>
                <w:color w:val="auto"/>
                <w:sz w:val="16"/>
                <w:szCs w:val="16"/>
                <w:lang w:val="nl-NL"/>
              </w:rPr>
            </w:pPr>
            <w:r w:rsidRPr="00894701">
              <w:rPr>
                <w:rFonts w:asciiTheme="minorHAnsi" w:hAnsiTheme="minorHAnsi"/>
                <w:color w:val="auto"/>
                <w:sz w:val="16"/>
                <w:szCs w:val="16"/>
                <w:lang w:val="nl-NL"/>
              </w:rPr>
              <w:t>Delfstoffen Institu</w:t>
            </w:r>
            <w:r w:rsidR="003560DE" w:rsidRPr="00894701">
              <w:rPr>
                <w:rFonts w:asciiTheme="minorHAnsi" w:hAnsiTheme="minorHAnsi"/>
                <w:color w:val="auto"/>
                <w:sz w:val="16"/>
                <w:szCs w:val="16"/>
                <w:lang w:val="nl-NL"/>
              </w:rPr>
              <w:t>u</w:t>
            </w:r>
            <w:r w:rsidRPr="00894701">
              <w:rPr>
                <w:rFonts w:asciiTheme="minorHAnsi" w:hAnsiTheme="minorHAnsi"/>
                <w:color w:val="auto"/>
                <w:sz w:val="16"/>
                <w:szCs w:val="16"/>
                <w:lang w:val="nl-NL"/>
              </w:rPr>
              <w:t>t Suriname (Minerals Institute Suriname)/MIS)</w:t>
            </w:r>
          </w:p>
        </w:tc>
      </w:tr>
      <w:tr w:rsidR="00C62B4C" w:rsidRPr="003D0091" w14:paraId="43111F18" w14:textId="77777777" w:rsidTr="00C62B4C">
        <w:tc>
          <w:tcPr>
            <w:tcW w:w="549" w:type="pct"/>
            <w:tcBorders>
              <w:top w:val="nil"/>
              <w:left w:val="nil"/>
              <w:bottom w:val="nil"/>
              <w:right w:val="nil"/>
            </w:tcBorders>
            <w:shd w:val="clear" w:color="000000" w:fill="F7A3B0"/>
            <w:noWrap/>
          </w:tcPr>
          <w:p w14:paraId="0CB87D16" w14:textId="2F9B4129" w:rsidR="004E480E" w:rsidRPr="00894701" w:rsidRDefault="004E480E" w:rsidP="004E480E">
            <w:pPr>
              <w:spacing w:before="40" w:after="40" w:line="240" w:lineRule="auto"/>
              <w:rPr>
                <w:rFonts w:asciiTheme="minorHAnsi" w:hAnsiTheme="minorHAnsi"/>
                <w:color w:val="auto"/>
                <w:sz w:val="16"/>
                <w:szCs w:val="16"/>
              </w:rPr>
            </w:pPr>
            <w:r w:rsidRPr="00894701">
              <w:rPr>
                <w:rFonts w:asciiTheme="minorHAnsi" w:hAnsiTheme="minorHAnsi"/>
                <w:color w:val="auto"/>
                <w:sz w:val="16"/>
                <w:szCs w:val="16"/>
              </w:rPr>
              <w:t>DNA</w:t>
            </w:r>
          </w:p>
        </w:tc>
        <w:tc>
          <w:tcPr>
            <w:tcW w:w="4451" w:type="pct"/>
            <w:tcBorders>
              <w:top w:val="nil"/>
              <w:left w:val="nil"/>
              <w:bottom w:val="nil"/>
              <w:right w:val="nil"/>
            </w:tcBorders>
            <w:shd w:val="clear" w:color="000000" w:fill="F7A3B0"/>
            <w:noWrap/>
          </w:tcPr>
          <w:p w14:paraId="1CA362C7" w14:textId="41A36D19" w:rsidR="004E480E" w:rsidRPr="00894701" w:rsidRDefault="004E480E" w:rsidP="004E480E">
            <w:pPr>
              <w:spacing w:before="40" w:after="40" w:line="240" w:lineRule="auto"/>
              <w:rPr>
                <w:rFonts w:asciiTheme="minorHAnsi" w:hAnsiTheme="minorHAnsi"/>
                <w:color w:val="auto"/>
                <w:sz w:val="16"/>
                <w:szCs w:val="16"/>
                <w:lang w:val="fr-FR"/>
              </w:rPr>
            </w:pPr>
            <w:r w:rsidRPr="00894701">
              <w:rPr>
                <w:rFonts w:asciiTheme="minorHAnsi" w:hAnsiTheme="minorHAnsi"/>
                <w:color w:val="auto"/>
                <w:sz w:val="16"/>
                <w:szCs w:val="16"/>
                <w:lang w:val="fr-FR"/>
              </w:rPr>
              <w:t>De Nationale Assemblée (The National Assembly)</w:t>
            </w:r>
          </w:p>
        </w:tc>
      </w:tr>
      <w:tr w:rsidR="00C62B4C" w:rsidRPr="00894701" w14:paraId="5404F0A0" w14:textId="77777777" w:rsidTr="00C62B4C">
        <w:tc>
          <w:tcPr>
            <w:tcW w:w="549" w:type="pct"/>
            <w:tcBorders>
              <w:top w:val="nil"/>
              <w:left w:val="nil"/>
              <w:bottom w:val="nil"/>
              <w:right w:val="nil"/>
            </w:tcBorders>
            <w:shd w:val="clear" w:color="000000" w:fill="FFFFFF"/>
            <w:noWrap/>
          </w:tcPr>
          <w:p w14:paraId="02E2BB68" w14:textId="611FA3F4" w:rsidR="004E480E" w:rsidRPr="00894701" w:rsidRDefault="004E480E" w:rsidP="004E480E">
            <w:pPr>
              <w:spacing w:before="40" w:after="40" w:line="240" w:lineRule="auto"/>
              <w:rPr>
                <w:rFonts w:asciiTheme="minorHAnsi" w:hAnsiTheme="minorHAnsi"/>
                <w:color w:val="auto"/>
                <w:sz w:val="16"/>
                <w:szCs w:val="16"/>
              </w:rPr>
            </w:pPr>
            <w:r w:rsidRPr="00894701">
              <w:rPr>
                <w:rFonts w:asciiTheme="minorHAnsi" w:hAnsiTheme="minorHAnsi"/>
                <w:color w:val="auto"/>
                <w:sz w:val="16"/>
                <w:szCs w:val="16"/>
              </w:rPr>
              <w:t>E&amp;P</w:t>
            </w:r>
          </w:p>
        </w:tc>
        <w:tc>
          <w:tcPr>
            <w:tcW w:w="4451" w:type="pct"/>
            <w:tcBorders>
              <w:top w:val="nil"/>
              <w:left w:val="nil"/>
              <w:bottom w:val="nil"/>
              <w:right w:val="nil"/>
            </w:tcBorders>
            <w:shd w:val="clear" w:color="000000" w:fill="FFFFFF"/>
            <w:noWrap/>
          </w:tcPr>
          <w:p w14:paraId="4F3C3688" w14:textId="0EAE9E52" w:rsidR="004E480E" w:rsidRPr="00894701" w:rsidRDefault="004E480E" w:rsidP="004E480E">
            <w:pPr>
              <w:spacing w:before="40" w:after="40" w:line="240" w:lineRule="auto"/>
              <w:rPr>
                <w:rFonts w:asciiTheme="minorHAnsi" w:hAnsiTheme="minorHAnsi"/>
                <w:color w:val="auto"/>
                <w:sz w:val="16"/>
                <w:szCs w:val="16"/>
              </w:rPr>
            </w:pPr>
            <w:r w:rsidRPr="00894701">
              <w:rPr>
                <w:rFonts w:asciiTheme="minorHAnsi" w:hAnsiTheme="minorHAnsi"/>
                <w:color w:val="auto"/>
                <w:sz w:val="16"/>
                <w:szCs w:val="16"/>
              </w:rPr>
              <w:t>Exploration and Production</w:t>
            </w:r>
          </w:p>
        </w:tc>
      </w:tr>
      <w:tr w:rsidR="00C62B4C" w:rsidRPr="00894701" w14:paraId="0A5E6D88" w14:textId="77777777" w:rsidTr="00C62B4C">
        <w:tc>
          <w:tcPr>
            <w:tcW w:w="549" w:type="pct"/>
            <w:tcBorders>
              <w:top w:val="nil"/>
              <w:left w:val="nil"/>
              <w:bottom w:val="nil"/>
              <w:right w:val="nil"/>
            </w:tcBorders>
            <w:shd w:val="clear" w:color="000000" w:fill="F7A3B0"/>
            <w:noWrap/>
          </w:tcPr>
          <w:p w14:paraId="5C900636" w14:textId="29B0581C" w:rsidR="004E480E" w:rsidRPr="00894701" w:rsidRDefault="004E480E" w:rsidP="004E480E">
            <w:pPr>
              <w:spacing w:before="40" w:after="40" w:line="240" w:lineRule="auto"/>
              <w:rPr>
                <w:rFonts w:asciiTheme="minorHAnsi" w:hAnsiTheme="minorHAnsi"/>
                <w:color w:val="auto"/>
                <w:sz w:val="16"/>
                <w:szCs w:val="16"/>
              </w:rPr>
            </w:pPr>
            <w:r w:rsidRPr="00894701">
              <w:rPr>
                <w:rFonts w:asciiTheme="minorHAnsi" w:hAnsiTheme="minorHAnsi"/>
                <w:color w:val="auto"/>
                <w:sz w:val="16"/>
                <w:szCs w:val="16"/>
              </w:rPr>
              <w:t>FTE</w:t>
            </w:r>
          </w:p>
        </w:tc>
        <w:tc>
          <w:tcPr>
            <w:tcW w:w="4451" w:type="pct"/>
            <w:tcBorders>
              <w:top w:val="nil"/>
              <w:left w:val="nil"/>
              <w:bottom w:val="nil"/>
              <w:right w:val="nil"/>
            </w:tcBorders>
            <w:shd w:val="clear" w:color="000000" w:fill="F7A3B0"/>
            <w:noWrap/>
          </w:tcPr>
          <w:p w14:paraId="1C4B2886" w14:textId="0CC9F4E3" w:rsidR="004E480E" w:rsidRPr="00894701" w:rsidRDefault="004E480E" w:rsidP="004E480E">
            <w:pPr>
              <w:spacing w:before="40" w:after="40" w:line="240" w:lineRule="auto"/>
              <w:rPr>
                <w:rFonts w:asciiTheme="minorHAnsi" w:hAnsiTheme="minorHAnsi"/>
                <w:color w:val="auto"/>
                <w:sz w:val="16"/>
                <w:szCs w:val="16"/>
              </w:rPr>
            </w:pPr>
            <w:r w:rsidRPr="00894701">
              <w:rPr>
                <w:rFonts w:asciiTheme="minorHAnsi" w:hAnsiTheme="minorHAnsi"/>
                <w:color w:val="auto"/>
                <w:sz w:val="16"/>
                <w:szCs w:val="16"/>
              </w:rPr>
              <w:t>Fulltime equivalent</w:t>
            </w:r>
          </w:p>
        </w:tc>
      </w:tr>
      <w:tr w:rsidR="00C62B4C" w:rsidRPr="00894701" w14:paraId="3676DBDE" w14:textId="77777777" w:rsidTr="00C62B4C">
        <w:tc>
          <w:tcPr>
            <w:tcW w:w="549" w:type="pct"/>
            <w:tcBorders>
              <w:top w:val="nil"/>
              <w:left w:val="nil"/>
              <w:bottom w:val="nil"/>
              <w:right w:val="nil"/>
            </w:tcBorders>
            <w:shd w:val="clear" w:color="000000" w:fill="FFFFFF"/>
            <w:noWrap/>
          </w:tcPr>
          <w:p w14:paraId="639CAD81" w14:textId="22CD71C0" w:rsidR="00813EB7" w:rsidRPr="00894701" w:rsidRDefault="00813EB7" w:rsidP="00813EB7">
            <w:pPr>
              <w:spacing w:before="40" w:after="40" w:line="240" w:lineRule="auto"/>
              <w:rPr>
                <w:rFonts w:asciiTheme="minorHAnsi" w:hAnsiTheme="minorHAnsi"/>
                <w:color w:val="auto"/>
                <w:sz w:val="16"/>
                <w:szCs w:val="16"/>
              </w:rPr>
            </w:pPr>
            <w:r w:rsidRPr="00894701">
              <w:rPr>
                <w:rFonts w:asciiTheme="minorHAnsi" w:hAnsiTheme="minorHAnsi"/>
                <w:color w:val="auto"/>
                <w:sz w:val="16"/>
                <w:szCs w:val="16"/>
              </w:rPr>
              <w:t>GB</w:t>
            </w:r>
          </w:p>
        </w:tc>
        <w:tc>
          <w:tcPr>
            <w:tcW w:w="4451" w:type="pct"/>
            <w:tcBorders>
              <w:top w:val="nil"/>
              <w:left w:val="nil"/>
              <w:bottom w:val="nil"/>
              <w:right w:val="nil"/>
            </w:tcBorders>
            <w:shd w:val="clear" w:color="000000" w:fill="FFFFFF"/>
            <w:noWrap/>
          </w:tcPr>
          <w:p w14:paraId="0CB9296C" w14:textId="748E7A6C" w:rsidR="00813EB7" w:rsidRPr="00894701" w:rsidRDefault="00813EB7" w:rsidP="00813EB7">
            <w:pPr>
              <w:spacing w:before="40" w:after="40" w:line="240" w:lineRule="auto"/>
              <w:rPr>
                <w:rFonts w:asciiTheme="minorHAnsi" w:hAnsiTheme="minorHAnsi"/>
                <w:color w:val="auto"/>
                <w:sz w:val="16"/>
                <w:szCs w:val="16"/>
              </w:rPr>
            </w:pPr>
            <w:r w:rsidRPr="00894701">
              <w:rPr>
                <w:rFonts w:asciiTheme="minorHAnsi" w:hAnsiTheme="minorHAnsi"/>
                <w:color w:val="auto"/>
                <w:sz w:val="16"/>
                <w:szCs w:val="16"/>
              </w:rPr>
              <w:t>Gouvernementsblad (an official gazette before November 1975 Governments blad/GB)</w:t>
            </w:r>
          </w:p>
        </w:tc>
      </w:tr>
      <w:tr w:rsidR="00C62B4C" w:rsidRPr="00894701" w14:paraId="4CB798B3" w14:textId="77777777" w:rsidTr="00C62B4C">
        <w:tc>
          <w:tcPr>
            <w:tcW w:w="549" w:type="pct"/>
            <w:tcBorders>
              <w:top w:val="nil"/>
              <w:left w:val="nil"/>
              <w:bottom w:val="nil"/>
              <w:right w:val="nil"/>
            </w:tcBorders>
            <w:shd w:val="clear" w:color="000000" w:fill="F7A3B0"/>
            <w:noWrap/>
          </w:tcPr>
          <w:p w14:paraId="08DDA001" w14:textId="71E9C54A" w:rsidR="00813EB7" w:rsidRPr="00894701" w:rsidRDefault="00813EB7" w:rsidP="00813EB7">
            <w:pPr>
              <w:spacing w:before="40" w:after="40" w:line="240" w:lineRule="auto"/>
              <w:rPr>
                <w:rFonts w:asciiTheme="minorHAnsi" w:hAnsiTheme="minorHAnsi"/>
                <w:color w:val="auto"/>
                <w:sz w:val="16"/>
                <w:szCs w:val="16"/>
              </w:rPr>
            </w:pPr>
            <w:r w:rsidRPr="00894701">
              <w:rPr>
                <w:rFonts w:asciiTheme="minorHAnsi" w:hAnsiTheme="minorHAnsi"/>
                <w:color w:val="auto"/>
                <w:sz w:val="16"/>
                <w:szCs w:val="16"/>
              </w:rPr>
              <w:t>GFS</w:t>
            </w:r>
          </w:p>
        </w:tc>
        <w:tc>
          <w:tcPr>
            <w:tcW w:w="4451" w:type="pct"/>
            <w:tcBorders>
              <w:top w:val="nil"/>
              <w:left w:val="nil"/>
              <w:bottom w:val="nil"/>
              <w:right w:val="nil"/>
            </w:tcBorders>
            <w:shd w:val="clear" w:color="000000" w:fill="F7A3B0"/>
            <w:noWrap/>
          </w:tcPr>
          <w:p w14:paraId="394FFD5D" w14:textId="03E197AA" w:rsidR="00813EB7" w:rsidRPr="00894701" w:rsidRDefault="00813EB7" w:rsidP="00813EB7">
            <w:pPr>
              <w:spacing w:before="40" w:after="40" w:line="240" w:lineRule="auto"/>
              <w:rPr>
                <w:rFonts w:asciiTheme="minorHAnsi" w:hAnsiTheme="minorHAnsi"/>
                <w:color w:val="auto"/>
                <w:sz w:val="16"/>
                <w:szCs w:val="16"/>
              </w:rPr>
            </w:pPr>
            <w:r w:rsidRPr="00894701">
              <w:rPr>
                <w:rFonts w:asciiTheme="minorHAnsi" w:hAnsiTheme="minorHAnsi"/>
                <w:color w:val="auto"/>
                <w:sz w:val="16"/>
                <w:szCs w:val="16"/>
              </w:rPr>
              <w:t>Government Finance Statistics</w:t>
            </w:r>
          </w:p>
        </w:tc>
      </w:tr>
      <w:tr w:rsidR="00C62B4C" w:rsidRPr="00894701" w14:paraId="1E0C5292" w14:textId="77777777" w:rsidTr="00C62B4C">
        <w:tc>
          <w:tcPr>
            <w:tcW w:w="549" w:type="pct"/>
            <w:tcBorders>
              <w:top w:val="nil"/>
              <w:left w:val="nil"/>
              <w:bottom w:val="nil"/>
              <w:right w:val="nil"/>
            </w:tcBorders>
            <w:shd w:val="clear" w:color="000000" w:fill="FFFFFF"/>
            <w:noWrap/>
          </w:tcPr>
          <w:p w14:paraId="3A69E28B" w14:textId="71229B17" w:rsidR="00813EB7" w:rsidRPr="00894701" w:rsidRDefault="00813EB7" w:rsidP="00813EB7">
            <w:pPr>
              <w:spacing w:before="40" w:after="40" w:line="240" w:lineRule="auto"/>
              <w:rPr>
                <w:rFonts w:asciiTheme="minorHAnsi" w:hAnsiTheme="minorHAnsi"/>
                <w:color w:val="auto"/>
                <w:sz w:val="16"/>
                <w:szCs w:val="16"/>
              </w:rPr>
            </w:pPr>
            <w:r w:rsidRPr="00894701">
              <w:rPr>
                <w:rFonts w:asciiTheme="minorHAnsi" w:hAnsiTheme="minorHAnsi"/>
                <w:color w:val="auto"/>
                <w:sz w:val="16"/>
                <w:szCs w:val="16"/>
              </w:rPr>
              <w:t>GDP</w:t>
            </w:r>
          </w:p>
        </w:tc>
        <w:tc>
          <w:tcPr>
            <w:tcW w:w="4451" w:type="pct"/>
            <w:tcBorders>
              <w:top w:val="nil"/>
              <w:left w:val="nil"/>
              <w:bottom w:val="nil"/>
              <w:right w:val="nil"/>
            </w:tcBorders>
            <w:shd w:val="clear" w:color="000000" w:fill="FFFFFF"/>
            <w:noWrap/>
          </w:tcPr>
          <w:p w14:paraId="0B24CE55" w14:textId="621910F1" w:rsidR="00813EB7" w:rsidRPr="00894701" w:rsidRDefault="00813EB7" w:rsidP="00813EB7">
            <w:pPr>
              <w:spacing w:before="40" w:after="40" w:line="240" w:lineRule="auto"/>
              <w:rPr>
                <w:rFonts w:asciiTheme="minorHAnsi" w:hAnsiTheme="minorHAnsi"/>
                <w:color w:val="auto"/>
                <w:sz w:val="16"/>
                <w:szCs w:val="16"/>
              </w:rPr>
            </w:pPr>
            <w:r w:rsidRPr="00894701">
              <w:rPr>
                <w:rFonts w:asciiTheme="minorHAnsi" w:hAnsiTheme="minorHAnsi"/>
                <w:color w:val="auto"/>
                <w:sz w:val="16"/>
                <w:szCs w:val="16"/>
              </w:rPr>
              <w:t>Gross Domestic Product</w:t>
            </w:r>
          </w:p>
        </w:tc>
      </w:tr>
      <w:tr w:rsidR="00C62B4C" w:rsidRPr="00894701" w14:paraId="5DF9C46D" w14:textId="77777777" w:rsidTr="00C62B4C">
        <w:tc>
          <w:tcPr>
            <w:tcW w:w="549" w:type="pct"/>
            <w:tcBorders>
              <w:top w:val="nil"/>
              <w:left w:val="nil"/>
              <w:bottom w:val="nil"/>
              <w:right w:val="nil"/>
            </w:tcBorders>
            <w:shd w:val="clear" w:color="000000" w:fill="F7A3B0"/>
            <w:noWrap/>
          </w:tcPr>
          <w:p w14:paraId="59C86DA6" w14:textId="1DC021F1" w:rsidR="00813EB7" w:rsidRPr="00894701" w:rsidRDefault="00813EB7" w:rsidP="00813EB7">
            <w:pPr>
              <w:spacing w:before="40" w:after="40" w:line="240" w:lineRule="auto"/>
              <w:rPr>
                <w:rFonts w:asciiTheme="minorHAnsi" w:hAnsiTheme="minorHAnsi"/>
                <w:color w:val="auto"/>
                <w:sz w:val="16"/>
                <w:szCs w:val="16"/>
              </w:rPr>
            </w:pPr>
            <w:r w:rsidRPr="00894701">
              <w:rPr>
                <w:rFonts w:asciiTheme="minorHAnsi" w:hAnsiTheme="minorHAnsi"/>
                <w:color w:val="auto"/>
                <w:sz w:val="16"/>
                <w:szCs w:val="16"/>
              </w:rPr>
              <w:t>GLIS</w:t>
            </w:r>
          </w:p>
        </w:tc>
        <w:tc>
          <w:tcPr>
            <w:tcW w:w="4451" w:type="pct"/>
            <w:tcBorders>
              <w:top w:val="nil"/>
              <w:left w:val="nil"/>
              <w:bottom w:val="nil"/>
              <w:right w:val="nil"/>
            </w:tcBorders>
            <w:shd w:val="clear" w:color="000000" w:fill="F7A3B0"/>
            <w:noWrap/>
          </w:tcPr>
          <w:p w14:paraId="7923657F" w14:textId="6879EA76" w:rsidR="00813EB7" w:rsidRPr="00894701" w:rsidRDefault="00813EB7" w:rsidP="00813EB7">
            <w:pPr>
              <w:spacing w:before="40" w:after="40" w:line="240" w:lineRule="auto"/>
              <w:rPr>
                <w:rFonts w:asciiTheme="minorHAnsi" w:hAnsiTheme="minorHAnsi"/>
                <w:color w:val="auto"/>
                <w:sz w:val="16"/>
                <w:szCs w:val="16"/>
              </w:rPr>
            </w:pPr>
            <w:r w:rsidRPr="00894701">
              <w:rPr>
                <w:rFonts w:asciiTheme="minorHAnsi" w:hAnsiTheme="minorHAnsi"/>
                <w:color w:val="auto"/>
                <w:sz w:val="16"/>
                <w:szCs w:val="16"/>
              </w:rPr>
              <w:t>Grondregistrat</w:t>
            </w:r>
            <w:r w:rsidR="003560DE" w:rsidRPr="00894701">
              <w:rPr>
                <w:rFonts w:asciiTheme="minorHAnsi" w:hAnsiTheme="minorHAnsi"/>
                <w:color w:val="auto"/>
                <w:sz w:val="16"/>
                <w:szCs w:val="16"/>
              </w:rPr>
              <w:t>i</w:t>
            </w:r>
            <w:r w:rsidRPr="00894701">
              <w:rPr>
                <w:rFonts w:asciiTheme="minorHAnsi" w:hAnsiTheme="minorHAnsi"/>
                <w:color w:val="auto"/>
                <w:sz w:val="16"/>
                <w:szCs w:val="16"/>
              </w:rPr>
              <w:t>e en Land Informat</w:t>
            </w:r>
            <w:r w:rsidR="003560DE" w:rsidRPr="00894701">
              <w:rPr>
                <w:rFonts w:asciiTheme="minorHAnsi" w:hAnsiTheme="minorHAnsi"/>
                <w:color w:val="auto"/>
                <w:sz w:val="16"/>
                <w:szCs w:val="16"/>
              </w:rPr>
              <w:t>i</w:t>
            </w:r>
            <w:r w:rsidRPr="00894701">
              <w:rPr>
                <w:rFonts w:asciiTheme="minorHAnsi" w:hAnsiTheme="minorHAnsi"/>
                <w:color w:val="auto"/>
                <w:sz w:val="16"/>
                <w:szCs w:val="16"/>
              </w:rPr>
              <w:t>e Systeem (Land Registration and Land Information System. Keeper of mortgages)</w:t>
            </w:r>
          </w:p>
        </w:tc>
      </w:tr>
      <w:tr w:rsidR="00C62B4C" w:rsidRPr="00860520" w14:paraId="71F39A32" w14:textId="77777777" w:rsidTr="00C62B4C">
        <w:tc>
          <w:tcPr>
            <w:tcW w:w="549" w:type="pct"/>
            <w:tcBorders>
              <w:top w:val="nil"/>
              <w:left w:val="nil"/>
              <w:bottom w:val="nil"/>
              <w:right w:val="nil"/>
            </w:tcBorders>
            <w:shd w:val="clear" w:color="000000" w:fill="FFFFFF"/>
            <w:noWrap/>
          </w:tcPr>
          <w:p w14:paraId="51F17D36" w14:textId="58108E19" w:rsidR="00813EB7" w:rsidRPr="00894701" w:rsidRDefault="00813EB7" w:rsidP="00813EB7">
            <w:pPr>
              <w:spacing w:before="40" w:after="40" w:line="240" w:lineRule="auto"/>
              <w:rPr>
                <w:rFonts w:asciiTheme="minorHAnsi" w:hAnsiTheme="minorHAnsi"/>
                <w:color w:val="auto"/>
                <w:sz w:val="16"/>
                <w:szCs w:val="16"/>
              </w:rPr>
            </w:pPr>
            <w:r w:rsidRPr="00894701">
              <w:rPr>
                <w:rFonts w:asciiTheme="minorHAnsi" w:hAnsiTheme="minorHAnsi"/>
                <w:color w:val="auto"/>
                <w:sz w:val="16"/>
                <w:szCs w:val="16"/>
              </w:rPr>
              <w:t>GMD</w:t>
            </w:r>
          </w:p>
        </w:tc>
        <w:tc>
          <w:tcPr>
            <w:tcW w:w="4451" w:type="pct"/>
            <w:tcBorders>
              <w:top w:val="nil"/>
              <w:left w:val="nil"/>
              <w:bottom w:val="nil"/>
              <w:right w:val="nil"/>
            </w:tcBorders>
            <w:shd w:val="clear" w:color="000000" w:fill="FFFFFF"/>
            <w:noWrap/>
          </w:tcPr>
          <w:p w14:paraId="385D64DF" w14:textId="1F74A8DF" w:rsidR="00813EB7" w:rsidRPr="00894701" w:rsidRDefault="00813EB7" w:rsidP="00813EB7">
            <w:pPr>
              <w:spacing w:before="40" w:after="40" w:line="240" w:lineRule="auto"/>
              <w:rPr>
                <w:rFonts w:asciiTheme="minorHAnsi" w:hAnsiTheme="minorHAnsi"/>
                <w:color w:val="auto"/>
                <w:sz w:val="16"/>
                <w:szCs w:val="16"/>
                <w:lang w:val="nl-NL"/>
              </w:rPr>
            </w:pPr>
            <w:r w:rsidRPr="00894701">
              <w:rPr>
                <w:rFonts w:asciiTheme="minorHAnsi" w:hAnsiTheme="minorHAnsi"/>
                <w:color w:val="auto"/>
                <w:sz w:val="16"/>
                <w:szCs w:val="16"/>
                <w:lang w:val="nl-NL"/>
              </w:rPr>
              <w:t>G</w:t>
            </w:r>
            <w:r w:rsidR="003560DE" w:rsidRPr="00894701">
              <w:rPr>
                <w:rFonts w:asciiTheme="minorHAnsi" w:hAnsiTheme="minorHAnsi"/>
                <w:color w:val="auto"/>
                <w:sz w:val="16"/>
                <w:szCs w:val="16"/>
                <w:lang w:val="nl-NL"/>
              </w:rPr>
              <w:t>e</w:t>
            </w:r>
            <w:r w:rsidRPr="00894701">
              <w:rPr>
                <w:rFonts w:asciiTheme="minorHAnsi" w:hAnsiTheme="minorHAnsi"/>
                <w:color w:val="auto"/>
                <w:sz w:val="16"/>
                <w:szCs w:val="16"/>
                <w:lang w:val="nl-NL"/>
              </w:rPr>
              <w:t>ologisch M</w:t>
            </w:r>
            <w:r w:rsidR="007107F8" w:rsidRPr="00894701">
              <w:rPr>
                <w:rFonts w:asciiTheme="minorHAnsi" w:hAnsiTheme="minorHAnsi"/>
                <w:color w:val="auto"/>
                <w:sz w:val="16"/>
                <w:szCs w:val="16"/>
                <w:lang w:val="nl-NL"/>
              </w:rPr>
              <w:t>i</w:t>
            </w:r>
            <w:r w:rsidRPr="00894701">
              <w:rPr>
                <w:rFonts w:asciiTheme="minorHAnsi" w:hAnsiTheme="minorHAnsi"/>
                <w:color w:val="auto"/>
                <w:sz w:val="16"/>
                <w:szCs w:val="16"/>
                <w:lang w:val="nl-NL"/>
              </w:rPr>
              <w:t>jnbouwkund</w:t>
            </w:r>
            <w:r w:rsidR="003560DE" w:rsidRPr="00894701">
              <w:rPr>
                <w:rFonts w:asciiTheme="minorHAnsi" w:hAnsiTheme="minorHAnsi"/>
                <w:color w:val="auto"/>
                <w:sz w:val="16"/>
                <w:szCs w:val="16"/>
                <w:lang w:val="nl-NL"/>
              </w:rPr>
              <w:t>i</w:t>
            </w:r>
            <w:r w:rsidRPr="00894701">
              <w:rPr>
                <w:rFonts w:asciiTheme="minorHAnsi" w:hAnsiTheme="minorHAnsi"/>
                <w:color w:val="auto"/>
                <w:sz w:val="16"/>
                <w:szCs w:val="16"/>
                <w:lang w:val="nl-NL"/>
              </w:rPr>
              <w:t>ge D</w:t>
            </w:r>
            <w:r w:rsidR="003560DE" w:rsidRPr="00894701">
              <w:rPr>
                <w:rFonts w:asciiTheme="minorHAnsi" w:hAnsiTheme="minorHAnsi"/>
                <w:color w:val="auto"/>
                <w:sz w:val="16"/>
                <w:szCs w:val="16"/>
                <w:lang w:val="nl-NL"/>
              </w:rPr>
              <w:t>i</w:t>
            </w:r>
            <w:r w:rsidRPr="00894701">
              <w:rPr>
                <w:rFonts w:asciiTheme="minorHAnsi" w:hAnsiTheme="minorHAnsi"/>
                <w:color w:val="auto"/>
                <w:sz w:val="16"/>
                <w:szCs w:val="16"/>
                <w:lang w:val="nl-NL"/>
              </w:rPr>
              <w:t>enst (Geological Mining Service)</w:t>
            </w:r>
          </w:p>
        </w:tc>
      </w:tr>
      <w:tr w:rsidR="00C62B4C" w:rsidRPr="00894701" w14:paraId="4E652B82" w14:textId="77777777" w:rsidTr="00C62B4C">
        <w:tc>
          <w:tcPr>
            <w:tcW w:w="549" w:type="pct"/>
            <w:tcBorders>
              <w:top w:val="nil"/>
              <w:left w:val="nil"/>
              <w:bottom w:val="nil"/>
              <w:right w:val="nil"/>
            </w:tcBorders>
            <w:shd w:val="clear" w:color="000000" w:fill="F7A3B0"/>
            <w:noWrap/>
          </w:tcPr>
          <w:p w14:paraId="296F728A" w14:textId="5E63B734" w:rsidR="00813EB7" w:rsidRPr="00894701" w:rsidRDefault="00813EB7" w:rsidP="00813EB7">
            <w:pPr>
              <w:spacing w:before="40" w:after="40" w:line="240" w:lineRule="auto"/>
              <w:rPr>
                <w:rFonts w:asciiTheme="minorHAnsi" w:hAnsiTheme="minorHAnsi"/>
                <w:color w:val="auto"/>
                <w:sz w:val="16"/>
                <w:szCs w:val="16"/>
              </w:rPr>
            </w:pPr>
            <w:r w:rsidRPr="00894701">
              <w:rPr>
                <w:rFonts w:asciiTheme="minorHAnsi" w:hAnsiTheme="minorHAnsi"/>
                <w:color w:val="auto"/>
                <w:sz w:val="16"/>
                <w:szCs w:val="16"/>
              </w:rPr>
              <w:t>Grassalco</w:t>
            </w:r>
          </w:p>
        </w:tc>
        <w:tc>
          <w:tcPr>
            <w:tcW w:w="4451" w:type="pct"/>
            <w:tcBorders>
              <w:top w:val="nil"/>
              <w:left w:val="nil"/>
              <w:bottom w:val="nil"/>
              <w:right w:val="nil"/>
            </w:tcBorders>
            <w:shd w:val="clear" w:color="000000" w:fill="F7A3B0"/>
            <w:noWrap/>
          </w:tcPr>
          <w:p w14:paraId="3389F412" w14:textId="4A038574" w:rsidR="00813EB7" w:rsidRPr="00894701" w:rsidRDefault="00813EB7" w:rsidP="00813EB7">
            <w:pPr>
              <w:spacing w:before="40" w:after="40" w:line="240" w:lineRule="auto"/>
              <w:rPr>
                <w:rFonts w:asciiTheme="minorHAnsi" w:hAnsiTheme="minorHAnsi"/>
                <w:color w:val="auto"/>
                <w:sz w:val="16"/>
                <w:szCs w:val="16"/>
              </w:rPr>
            </w:pPr>
            <w:r w:rsidRPr="00894701">
              <w:rPr>
                <w:rFonts w:asciiTheme="minorHAnsi" w:hAnsiTheme="minorHAnsi"/>
                <w:color w:val="auto"/>
                <w:sz w:val="16"/>
                <w:szCs w:val="16"/>
              </w:rPr>
              <w:t>Grasshopper Aluminium Company Suriname NV (LLC)</w:t>
            </w:r>
          </w:p>
        </w:tc>
      </w:tr>
      <w:tr w:rsidR="00C62B4C" w:rsidRPr="00894701" w14:paraId="01859852" w14:textId="77777777" w:rsidTr="00C62B4C">
        <w:tc>
          <w:tcPr>
            <w:tcW w:w="549" w:type="pct"/>
            <w:tcBorders>
              <w:top w:val="nil"/>
              <w:left w:val="nil"/>
              <w:bottom w:val="nil"/>
              <w:right w:val="nil"/>
            </w:tcBorders>
            <w:shd w:val="clear" w:color="000000" w:fill="FFFFFF"/>
            <w:noWrap/>
          </w:tcPr>
          <w:p w14:paraId="1A42F352" w14:textId="3C82A062" w:rsidR="00813EB7" w:rsidRPr="00894701" w:rsidRDefault="00813EB7" w:rsidP="00813EB7">
            <w:pPr>
              <w:spacing w:before="40" w:after="40" w:line="240" w:lineRule="auto"/>
              <w:rPr>
                <w:rFonts w:asciiTheme="minorHAnsi" w:hAnsiTheme="minorHAnsi"/>
                <w:color w:val="auto"/>
                <w:sz w:val="16"/>
                <w:szCs w:val="16"/>
              </w:rPr>
            </w:pPr>
            <w:r w:rsidRPr="00894701">
              <w:rPr>
                <w:rFonts w:asciiTheme="minorHAnsi" w:hAnsiTheme="minorHAnsi"/>
                <w:color w:val="auto"/>
                <w:sz w:val="16"/>
                <w:szCs w:val="16"/>
              </w:rPr>
              <w:t>GOS</w:t>
            </w:r>
          </w:p>
        </w:tc>
        <w:tc>
          <w:tcPr>
            <w:tcW w:w="4451" w:type="pct"/>
            <w:tcBorders>
              <w:top w:val="nil"/>
              <w:left w:val="nil"/>
              <w:bottom w:val="nil"/>
              <w:right w:val="nil"/>
            </w:tcBorders>
            <w:shd w:val="clear" w:color="000000" w:fill="FFFFFF"/>
            <w:noWrap/>
          </w:tcPr>
          <w:p w14:paraId="157D4325" w14:textId="5CB12AE5" w:rsidR="00813EB7" w:rsidRPr="00894701" w:rsidRDefault="00813EB7" w:rsidP="00813EB7">
            <w:pPr>
              <w:spacing w:before="40" w:after="40" w:line="240" w:lineRule="auto"/>
              <w:rPr>
                <w:rFonts w:asciiTheme="minorHAnsi" w:hAnsiTheme="minorHAnsi"/>
                <w:color w:val="auto"/>
                <w:sz w:val="16"/>
                <w:szCs w:val="16"/>
              </w:rPr>
            </w:pPr>
            <w:r w:rsidRPr="00894701">
              <w:rPr>
                <w:rFonts w:asciiTheme="minorHAnsi" w:hAnsiTheme="minorHAnsi"/>
                <w:color w:val="auto"/>
                <w:sz w:val="16"/>
                <w:szCs w:val="16"/>
              </w:rPr>
              <w:t>Government of the Republic of Suriname</w:t>
            </w:r>
          </w:p>
        </w:tc>
      </w:tr>
      <w:tr w:rsidR="00C62B4C" w:rsidRPr="00894701" w14:paraId="3923D34B" w14:textId="77777777" w:rsidTr="00C62B4C">
        <w:tc>
          <w:tcPr>
            <w:tcW w:w="549" w:type="pct"/>
            <w:tcBorders>
              <w:top w:val="nil"/>
              <w:left w:val="nil"/>
              <w:bottom w:val="nil"/>
              <w:right w:val="nil"/>
            </w:tcBorders>
            <w:shd w:val="clear" w:color="000000" w:fill="F7A3B0"/>
            <w:noWrap/>
          </w:tcPr>
          <w:p w14:paraId="7D3125E7" w14:textId="640578DA" w:rsidR="00C119D9" w:rsidRPr="00894701" w:rsidRDefault="00C119D9" w:rsidP="00C119D9">
            <w:pPr>
              <w:spacing w:before="40" w:after="40" w:line="240" w:lineRule="auto"/>
              <w:rPr>
                <w:rFonts w:asciiTheme="minorHAnsi" w:hAnsiTheme="minorHAnsi"/>
                <w:color w:val="auto"/>
                <w:sz w:val="16"/>
                <w:szCs w:val="16"/>
              </w:rPr>
            </w:pPr>
            <w:r w:rsidRPr="00894701">
              <w:rPr>
                <w:rFonts w:asciiTheme="minorHAnsi" w:hAnsiTheme="minorHAnsi"/>
                <w:color w:val="auto"/>
                <w:sz w:val="16"/>
                <w:szCs w:val="16"/>
              </w:rPr>
              <w:t>IA</w:t>
            </w:r>
          </w:p>
        </w:tc>
        <w:tc>
          <w:tcPr>
            <w:tcW w:w="4451" w:type="pct"/>
            <w:tcBorders>
              <w:top w:val="nil"/>
              <w:left w:val="nil"/>
              <w:bottom w:val="nil"/>
              <w:right w:val="nil"/>
            </w:tcBorders>
            <w:shd w:val="clear" w:color="000000" w:fill="F7A3B0"/>
            <w:noWrap/>
          </w:tcPr>
          <w:p w14:paraId="6187FDE3" w14:textId="5A6323F6" w:rsidR="00C119D9" w:rsidRPr="00894701" w:rsidRDefault="00C119D9" w:rsidP="00C119D9">
            <w:pPr>
              <w:spacing w:before="40" w:after="40" w:line="240" w:lineRule="auto"/>
              <w:rPr>
                <w:rFonts w:asciiTheme="minorHAnsi" w:hAnsiTheme="minorHAnsi"/>
                <w:color w:val="auto"/>
                <w:sz w:val="16"/>
                <w:szCs w:val="16"/>
              </w:rPr>
            </w:pPr>
            <w:r w:rsidRPr="00894701">
              <w:rPr>
                <w:rFonts w:asciiTheme="minorHAnsi" w:hAnsiTheme="minorHAnsi"/>
                <w:color w:val="auto"/>
                <w:sz w:val="16"/>
                <w:szCs w:val="16"/>
              </w:rPr>
              <w:t>Independent Administrator</w:t>
            </w:r>
          </w:p>
        </w:tc>
      </w:tr>
      <w:tr w:rsidR="00C62B4C" w:rsidRPr="00894701" w14:paraId="64913090" w14:textId="77777777" w:rsidTr="00C62B4C">
        <w:tc>
          <w:tcPr>
            <w:tcW w:w="549" w:type="pct"/>
            <w:tcBorders>
              <w:top w:val="nil"/>
              <w:left w:val="nil"/>
              <w:bottom w:val="nil"/>
              <w:right w:val="nil"/>
            </w:tcBorders>
            <w:shd w:val="clear" w:color="000000" w:fill="FFFFFF"/>
            <w:noWrap/>
          </w:tcPr>
          <w:p w14:paraId="2E6DB851" w14:textId="51FD32E8" w:rsidR="00C119D9" w:rsidRPr="00894701" w:rsidRDefault="00C119D9" w:rsidP="00C119D9">
            <w:pPr>
              <w:spacing w:before="40" w:after="40" w:line="240" w:lineRule="auto"/>
              <w:rPr>
                <w:rFonts w:asciiTheme="minorHAnsi" w:hAnsiTheme="minorHAnsi"/>
                <w:color w:val="auto"/>
                <w:sz w:val="16"/>
                <w:szCs w:val="16"/>
              </w:rPr>
            </w:pPr>
            <w:r w:rsidRPr="00894701">
              <w:rPr>
                <w:rFonts w:asciiTheme="minorHAnsi" w:hAnsiTheme="minorHAnsi"/>
                <w:color w:val="auto"/>
                <w:sz w:val="16"/>
                <w:szCs w:val="16"/>
              </w:rPr>
              <w:t>IOC</w:t>
            </w:r>
          </w:p>
        </w:tc>
        <w:tc>
          <w:tcPr>
            <w:tcW w:w="4451" w:type="pct"/>
            <w:tcBorders>
              <w:top w:val="nil"/>
              <w:left w:val="nil"/>
              <w:bottom w:val="nil"/>
              <w:right w:val="nil"/>
            </w:tcBorders>
            <w:shd w:val="clear" w:color="000000" w:fill="FFFFFF"/>
            <w:noWrap/>
          </w:tcPr>
          <w:p w14:paraId="4244CD9F" w14:textId="27E454B1" w:rsidR="00C119D9" w:rsidRPr="00894701" w:rsidRDefault="00C119D9" w:rsidP="00C119D9">
            <w:pPr>
              <w:spacing w:before="40" w:after="40" w:line="240" w:lineRule="auto"/>
              <w:rPr>
                <w:rFonts w:asciiTheme="minorHAnsi" w:hAnsiTheme="minorHAnsi"/>
                <w:color w:val="auto"/>
                <w:sz w:val="16"/>
                <w:szCs w:val="16"/>
              </w:rPr>
            </w:pPr>
            <w:r w:rsidRPr="00894701">
              <w:rPr>
                <w:rFonts w:asciiTheme="minorHAnsi" w:hAnsiTheme="minorHAnsi"/>
                <w:color w:val="auto"/>
                <w:sz w:val="16"/>
                <w:szCs w:val="16"/>
              </w:rPr>
              <w:t>International Oil Company</w:t>
            </w:r>
          </w:p>
        </w:tc>
      </w:tr>
      <w:tr w:rsidR="00C62B4C" w:rsidRPr="00894701" w14:paraId="72BEF793" w14:textId="77777777" w:rsidTr="00C62B4C">
        <w:tc>
          <w:tcPr>
            <w:tcW w:w="549" w:type="pct"/>
            <w:tcBorders>
              <w:top w:val="nil"/>
              <w:left w:val="nil"/>
              <w:bottom w:val="nil"/>
              <w:right w:val="nil"/>
            </w:tcBorders>
            <w:shd w:val="clear" w:color="000000" w:fill="F7A3B0"/>
            <w:noWrap/>
          </w:tcPr>
          <w:p w14:paraId="3101026B" w14:textId="46E229AF" w:rsidR="00C119D9" w:rsidRPr="00894701" w:rsidRDefault="00C119D9" w:rsidP="00C119D9">
            <w:pPr>
              <w:spacing w:before="40" w:after="40" w:line="240" w:lineRule="auto"/>
              <w:rPr>
                <w:rFonts w:asciiTheme="minorHAnsi" w:hAnsiTheme="minorHAnsi"/>
                <w:color w:val="auto"/>
                <w:sz w:val="16"/>
                <w:szCs w:val="16"/>
              </w:rPr>
            </w:pPr>
            <w:r w:rsidRPr="00894701">
              <w:rPr>
                <w:rFonts w:asciiTheme="minorHAnsi" w:hAnsiTheme="minorHAnsi"/>
                <w:color w:val="auto"/>
                <w:sz w:val="16"/>
                <w:szCs w:val="16"/>
              </w:rPr>
              <w:t>MOF</w:t>
            </w:r>
            <w:r w:rsidR="00AD734E" w:rsidRPr="00894701">
              <w:rPr>
                <w:rFonts w:asciiTheme="minorHAnsi" w:hAnsiTheme="minorHAnsi"/>
                <w:color w:val="auto"/>
                <w:sz w:val="16"/>
                <w:szCs w:val="16"/>
              </w:rPr>
              <w:t>P</w:t>
            </w:r>
          </w:p>
        </w:tc>
        <w:tc>
          <w:tcPr>
            <w:tcW w:w="4451" w:type="pct"/>
            <w:tcBorders>
              <w:top w:val="nil"/>
              <w:left w:val="nil"/>
              <w:bottom w:val="nil"/>
              <w:right w:val="nil"/>
            </w:tcBorders>
            <w:shd w:val="clear" w:color="000000" w:fill="F7A3B0"/>
            <w:noWrap/>
          </w:tcPr>
          <w:p w14:paraId="0EC69140" w14:textId="429BCA0D" w:rsidR="00C119D9" w:rsidRPr="00894701" w:rsidRDefault="00C119D9" w:rsidP="00C119D9">
            <w:pPr>
              <w:spacing w:before="40" w:after="40" w:line="240" w:lineRule="auto"/>
              <w:rPr>
                <w:rFonts w:asciiTheme="minorHAnsi" w:hAnsiTheme="minorHAnsi"/>
                <w:color w:val="auto"/>
                <w:sz w:val="16"/>
                <w:szCs w:val="16"/>
              </w:rPr>
            </w:pPr>
            <w:r w:rsidRPr="00894701">
              <w:rPr>
                <w:rFonts w:asciiTheme="minorHAnsi" w:hAnsiTheme="minorHAnsi"/>
                <w:color w:val="auto"/>
                <w:sz w:val="16"/>
                <w:szCs w:val="16"/>
              </w:rPr>
              <w:t>Ministry of Finance</w:t>
            </w:r>
            <w:r w:rsidR="00AD734E" w:rsidRPr="00894701">
              <w:rPr>
                <w:rFonts w:asciiTheme="minorHAnsi" w:hAnsiTheme="minorHAnsi"/>
                <w:color w:val="auto"/>
                <w:sz w:val="16"/>
                <w:szCs w:val="16"/>
              </w:rPr>
              <w:t xml:space="preserve"> and Planning</w:t>
            </w:r>
          </w:p>
        </w:tc>
      </w:tr>
      <w:tr w:rsidR="00C62B4C" w:rsidRPr="00894701" w14:paraId="2526C1D4" w14:textId="77777777" w:rsidTr="00C62B4C">
        <w:tc>
          <w:tcPr>
            <w:tcW w:w="549" w:type="pct"/>
            <w:tcBorders>
              <w:top w:val="nil"/>
              <w:left w:val="nil"/>
              <w:bottom w:val="nil"/>
              <w:right w:val="nil"/>
            </w:tcBorders>
            <w:shd w:val="clear" w:color="000000" w:fill="FFFFFF"/>
            <w:noWrap/>
          </w:tcPr>
          <w:p w14:paraId="232CAC81" w14:textId="7897C029" w:rsidR="00AF4330" w:rsidRPr="00894701" w:rsidRDefault="00AF4330" w:rsidP="00AF4330">
            <w:pPr>
              <w:spacing w:before="40" w:after="40" w:line="240" w:lineRule="auto"/>
              <w:rPr>
                <w:rFonts w:asciiTheme="minorHAnsi" w:hAnsiTheme="minorHAnsi"/>
                <w:color w:val="auto"/>
                <w:sz w:val="16"/>
                <w:szCs w:val="16"/>
              </w:rPr>
            </w:pPr>
            <w:r w:rsidRPr="00894701">
              <w:rPr>
                <w:rFonts w:asciiTheme="minorHAnsi" w:hAnsiTheme="minorHAnsi"/>
                <w:color w:val="auto"/>
                <w:sz w:val="16"/>
                <w:szCs w:val="16"/>
              </w:rPr>
              <w:t>LOA</w:t>
            </w:r>
          </w:p>
        </w:tc>
        <w:tc>
          <w:tcPr>
            <w:tcW w:w="4451" w:type="pct"/>
            <w:tcBorders>
              <w:top w:val="nil"/>
              <w:left w:val="nil"/>
              <w:bottom w:val="nil"/>
              <w:right w:val="nil"/>
            </w:tcBorders>
            <w:shd w:val="clear" w:color="000000" w:fill="FFFFFF"/>
            <w:noWrap/>
          </w:tcPr>
          <w:p w14:paraId="03E28C23" w14:textId="3C9A4D99" w:rsidR="00AF4330" w:rsidRPr="00894701" w:rsidRDefault="00AF4330" w:rsidP="00AF4330">
            <w:pPr>
              <w:spacing w:before="40" w:after="40" w:line="240" w:lineRule="auto"/>
              <w:rPr>
                <w:rFonts w:asciiTheme="minorHAnsi" w:hAnsiTheme="minorHAnsi"/>
                <w:color w:val="auto"/>
                <w:sz w:val="16"/>
                <w:szCs w:val="16"/>
              </w:rPr>
            </w:pPr>
            <w:r w:rsidRPr="00894701">
              <w:rPr>
                <w:rFonts w:asciiTheme="minorHAnsi" w:hAnsiTheme="minorHAnsi"/>
                <w:color w:val="auto"/>
                <w:sz w:val="16"/>
                <w:szCs w:val="16"/>
              </w:rPr>
              <w:t>Letter of Agreement</w:t>
            </w:r>
          </w:p>
        </w:tc>
      </w:tr>
      <w:tr w:rsidR="00C62B4C" w:rsidRPr="00894701" w14:paraId="7F38D919" w14:textId="77777777" w:rsidTr="00C62B4C">
        <w:tc>
          <w:tcPr>
            <w:tcW w:w="549" w:type="pct"/>
            <w:tcBorders>
              <w:top w:val="nil"/>
              <w:left w:val="nil"/>
              <w:bottom w:val="nil"/>
              <w:right w:val="nil"/>
            </w:tcBorders>
            <w:shd w:val="clear" w:color="000000" w:fill="F7A3B0"/>
            <w:noWrap/>
          </w:tcPr>
          <w:p w14:paraId="5AE6B4CF" w14:textId="441BA3CD" w:rsidR="00AF4330" w:rsidRPr="00894701" w:rsidRDefault="00AF4330" w:rsidP="00AF4330">
            <w:pPr>
              <w:spacing w:before="40" w:after="40" w:line="240" w:lineRule="auto"/>
              <w:rPr>
                <w:rFonts w:asciiTheme="minorHAnsi" w:hAnsiTheme="minorHAnsi"/>
                <w:color w:val="auto"/>
                <w:sz w:val="16"/>
                <w:szCs w:val="16"/>
              </w:rPr>
            </w:pPr>
            <w:r w:rsidRPr="00894701">
              <w:rPr>
                <w:rFonts w:asciiTheme="minorHAnsi" w:hAnsiTheme="minorHAnsi"/>
                <w:color w:val="auto"/>
                <w:sz w:val="16"/>
                <w:szCs w:val="16"/>
              </w:rPr>
              <w:t>MONR</w:t>
            </w:r>
          </w:p>
        </w:tc>
        <w:tc>
          <w:tcPr>
            <w:tcW w:w="4451" w:type="pct"/>
            <w:tcBorders>
              <w:top w:val="nil"/>
              <w:left w:val="nil"/>
              <w:bottom w:val="nil"/>
              <w:right w:val="nil"/>
            </w:tcBorders>
            <w:shd w:val="clear" w:color="000000" w:fill="F7A3B0"/>
            <w:noWrap/>
          </w:tcPr>
          <w:p w14:paraId="5FB35E63" w14:textId="716EBF0A" w:rsidR="00AF4330" w:rsidRPr="00894701" w:rsidRDefault="00AF4330" w:rsidP="00AF4330">
            <w:pPr>
              <w:spacing w:before="40" w:after="40" w:line="240" w:lineRule="auto"/>
              <w:rPr>
                <w:rFonts w:asciiTheme="minorHAnsi" w:hAnsiTheme="minorHAnsi"/>
                <w:color w:val="auto"/>
                <w:sz w:val="16"/>
                <w:szCs w:val="16"/>
              </w:rPr>
            </w:pPr>
            <w:r w:rsidRPr="00894701">
              <w:rPr>
                <w:rFonts w:asciiTheme="minorHAnsi" w:hAnsiTheme="minorHAnsi"/>
                <w:color w:val="auto"/>
                <w:sz w:val="16"/>
                <w:szCs w:val="16"/>
              </w:rPr>
              <w:t>Ministry of Natural Resources</w:t>
            </w:r>
          </w:p>
        </w:tc>
      </w:tr>
      <w:tr w:rsidR="00C62B4C" w:rsidRPr="00894701" w14:paraId="2B3FE14A" w14:textId="77777777" w:rsidTr="00C62B4C">
        <w:tc>
          <w:tcPr>
            <w:tcW w:w="549" w:type="pct"/>
            <w:tcBorders>
              <w:top w:val="nil"/>
              <w:left w:val="nil"/>
              <w:bottom w:val="nil"/>
              <w:right w:val="nil"/>
            </w:tcBorders>
            <w:shd w:val="clear" w:color="000000" w:fill="FFFFFF"/>
            <w:noWrap/>
          </w:tcPr>
          <w:p w14:paraId="42ED8BD1" w14:textId="49FE5B91" w:rsidR="00AF4330" w:rsidRPr="00894701" w:rsidRDefault="00AF4330" w:rsidP="00AF4330">
            <w:pPr>
              <w:spacing w:before="40" w:after="40" w:line="240" w:lineRule="auto"/>
              <w:rPr>
                <w:rFonts w:asciiTheme="minorHAnsi" w:hAnsiTheme="minorHAnsi"/>
                <w:color w:val="auto"/>
                <w:sz w:val="16"/>
                <w:szCs w:val="16"/>
              </w:rPr>
            </w:pPr>
            <w:r w:rsidRPr="00894701">
              <w:rPr>
                <w:rFonts w:asciiTheme="minorHAnsi" w:hAnsiTheme="minorHAnsi"/>
                <w:color w:val="auto"/>
                <w:sz w:val="16"/>
                <w:szCs w:val="16"/>
              </w:rPr>
              <w:t xml:space="preserve">MOSPL&amp;FP </w:t>
            </w:r>
          </w:p>
        </w:tc>
        <w:tc>
          <w:tcPr>
            <w:tcW w:w="4451" w:type="pct"/>
            <w:tcBorders>
              <w:top w:val="nil"/>
              <w:left w:val="nil"/>
              <w:bottom w:val="nil"/>
              <w:right w:val="nil"/>
            </w:tcBorders>
            <w:shd w:val="clear" w:color="000000" w:fill="FFFFFF"/>
            <w:noWrap/>
          </w:tcPr>
          <w:p w14:paraId="2E19B4F5" w14:textId="6CA47FE3" w:rsidR="00AF4330" w:rsidRPr="00894701" w:rsidRDefault="00AF4330" w:rsidP="00AF4330">
            <w:pPr>
              <w:spacing w:before="40" w:after="40" w:line="240" w:lineRule="auto"/>
              <w:rPr>
                <w:rFonts w:asciiTheme="minorHAnsi" w:hAnsiTheme="minorHAnsi"/>
                <w:color w:val="auto"/>
                <w:sz w:val="16"/>
                <w:szCs w:val="16"/>
              </w:rPr>
            </w:pPr>
            <w:r w:rsidRPr="00894701">
              <w:rPr>
                <w:rFonts w:asciiTheme="minorHAnsi" w:hAnsiTheme="minorHAnsi"/>
                <w:color w:val="auto"/>
                <w:sz w:val="16"/>
                <w:szCs w:val="16"/>
              </w:rPr>
              <w:t xml:space="preserve">Ministry of Spatial Planning, Land &amp; Forest Management </w:t>
            </w:r>
          </w:p>
        </w:tc>
      </w:tr>
      <w:tr w:rsidR="00C62B4C" w:rsidRPr="00894701" w14:paraId="36EFFEE6" w14:textId="77777777" w:rsidTr="00C62B4C">
        <w:tc>
          <w:tcPr>
            <w:tcW w:w="549" w:type="pct"/>
            <w:tcBorders>
              <w:top w:val="nil"/>
              <w:left w:val="nil"/>
              <w:bottom w:val="nil"/>
              <w:right w:val="nil"/>
            </w:tcBorders>
            <w:shd w:val="clear" w:color="000000" w:fill="F7A3B0"/>
            <w:noWrap/>
          </w:tcPr>
          <w:p w14:paraId="4CB295E5" w14:textId="085F490F" w:rsidR="00AF4330" w:rsidRPr="00894701" w:rsidRDefault="00AF4330" w:rsidP="00AF4330">
            <w:pPr>
              <w:spacing w:before="40" w:after="40" w:line="240" w:lineRule="auto"/>
              <w:rPr>
                <w:rFonts w:asciiTheme="minorHAnsi" w:hAnsiTheme="minorHAnsi"/>
                <w:color w:val="auto"/>
                <w:sz w:val="16"/>
                <w:szCs w:val="16"/>
              </w:rPr>
            </w:pPr>
            <w:r w:rsidRPr="00894701">
              <w:rPr>
                <w:rFonts w:asciiTheme="minorHAnsi" w:hAnsiTheme="minorHAnsi"/>
                <w:color w:val="auto"/>
                <w:sz w:val="16"/>
                <w:szCs w:val="16"/>
              </w:rPr>
              <w:t>M.O.U.</w:t>
            </w:r>
          </w:p>
        </w:tc>
        <w:tc>
          <w:tcPr>
            <w:tcW w:w="4451" w:type="pct"/>
            <w:tcBorders>
              <w:top w:val="nil"/>
              <w:left w:val="nil"/>
              <w:bottom w:val="nil"/>
              <w:right w:val="nil"/>
            </w:tcBorders>
            <w:shd w:val="clear" w:color="000000" w:fill="F7A3B0"/>
            <w:noWrap/>
          </w:tcPr>
          <w:p w14:paraId="7A2D4D00" w14:textId="09DDD52C" w:rsidR="00AF4330" w:rsidRPr="00894701" w:rsidRDefault="00AF4330" w:rsidP="00AF4330">
            <w:pPr>
              <w:spacing w:before="40" w:after="40" w:line="240" w:lineRule="auto"/>
              <w:rPr>
                <w:rFonts w:asciiTheme="minorHAnsi" w:hAnsiTheme="minorHAnsi"/>
                <w:color w:val="auto"/>
                <w:sz w:val="16"/>
                <w:szCs w:val="16"/>
              </w:rPr>
            </w:pPr>
            <w:r w:rsidRPr="00894701">
              <w:rPr>
                <w:rFonts w:asciiTheme="minorHAnsi" w:hAnsiTheme="minorHAnsi"/>
                <w:color w:val="auto"/>
                <w:sz w:val="16"/>
                <w:szCs w:val="16"/>
              </w:rPr>
              <w:t>Memorandum of Understanding</w:t>
            </w:r>
          </w:p>
        </w:tc>
      </w:tr>
      <w:tr w:rsidR="00C62B4C" w:rsidRPr="00894701" w14:paraId="2257F2EB" w14:textId="77777777" w:rsidTr="00C62B4C">
        <w:tc>
          <w:tcPr>
            <w:tcW w:w="549" w:type="pct"/>
            <w:tcBorders>
              <w:top w:val="nil"/>
              <w:left w:val="nil"/>
              <w:bottom w:val="nil"/>
              <w:right w:val="nil"/>
            </w:tcBorders>
            <w:shd w:val="clear" w:color="000000" w:fill="FFFFFF"/>
            <w:noWrap/>
          </w:tcPr>
          <w:p w14:paraId="301287CF" w14:textId="4E6B55F5" w:rsidR="00AF4330" w:rsidRPr="00894701" w:rsidRDefault="00AF4330" w:rsidP="00AF4330">
            <w:pPr>
              <w:spacing w:before="40" w:after="40" w:line="240" w:lineRule="auto"/>
              <w:rPr>
                <w:rFonts w:asciiTheme="minorHAnsi" w:hAnsiTheme="minorHAnsi"/>
                <w:color w:val="auto"/>
                <w:sz w:val="16"/>
                <w:szCs w:val="16"/>
              </w:rPr>
            </w:pPr>
            <w:r w:rsidRPr="00894701">
              <w:rPr>
                <w:rFonts w:asciiTheme="minorHAnsi" w:hAnsiTheme="minorHAnsi"/>
                <w:color w:val="auto"/>
                <w:sz w:val="16"/>
                <w:szCs w:val="16"/>
              </w:rPr>
              <w:t>MSG</w:t>
            </w:r>
          </w:p>
        </w:tc>
        <w:tc>
          <w:tcPr>
            <w:tcW w:w="4451" w:type="pct"/>
            <w:tcBorders>
              <w:top w:val="nil"/>
              <w:left w:val="nil"/>
              <w:bottom w:val="nil"/>
              <w:right w:val="nil"/>
            </w:tcBorders>
            <w:shd w:val="clear" w:color="000000" w:fill="FFFFFF"/>
            <w:noWrap/>
          </w:tcPr>
          <w:p w14:paraId="51F0EA43" w14:textId="12C61AF2" w:rsidR="00AF4330" w:rsidRPr="00894701" w:rsidRDefault="00AF4330" w:rsidP="00AF4330">
            <w:pPr>
              <w:spacing w:before="40" w:after="40" w:line="240" w:lineRule="auto"/>
              <w:rPr>
                <w:rFonts w:asciiTheme="minorHAnsi" w:hAnsiTheme="minorHAnsi"/>
                <w:color w:val="auto"/>
                <w:sz w:val="16"/>
                <w:szCs w:val="16"/>
              </w:rPr>
            </w:pPr>
            <w:r w:rsidRPr="00894701">
              <w:rPr>
                <w:rFonts w:asciiTheme="minorHAnsi" w:hAnsiTheme="minorHAnsi"/>
                <w:color w:val="auto"/>
                <w:sz w:val="16"/>
                <w:szCs w:val="16"/>
              </w:rPr>
              <w:t>Multi Stakeholder Group</w:t>
            </w:r>
          </w:p>
        </w:tc>
      </w:tr>
      <w:tr w:rsidR="00EA41DC" w:rsidRPr="00894701" w14:paraId="28AAD627" w14:textId="77777777" w:rsidTr="00C62B4C">
        <w:tc>
          <w:tcPr>
            <w:tcW w:w="549" w:type="pct"/>
            <w:tcBorders>
              <w:top w:val="nil"/>
              <w:left w:val="nil"/>
              <w:bottom w:val="nil"/>
              <w:right w:val="nil"/>
            </w:tcBorders>
            <w:shd w:val="clear" w:color="000000" w:fill="F7A3B0"/>
            <w:noWrap/>
            <w:vAlign w:val="center"/>
          </w:tcPr>
          <w:p w14:paraId="5AC51DD9" w14:textId="42ABC346" w:rsidR="00EA41DC" w:rsidRPr="00894701" w:rsidRDefault="00EA41DC" w:rsidP="000803D2">
            <w:pPr>
              <w:spacing w:before="40" w:after="40" w:line="240" w:lineRule="auto"/>
              <w:rPr>
                <w:rFonts w:asciiTheme="minorHAnsi" w:hAnsiTheme="minorHAnsi" w:cs="Trebuchet MS"/>
                <w:color w:val="auto"/>
                <w:kern w:val="0"/>
                <w:sz w:val="16"/>
                <w:szCs w:val="16"/>
                <w:lang w:eastAsia="fr-FR"/>
              </w:rPr>
            </w:pPr>
            <w:r w:rsidRPr="00894701">
              <w:rPr>
                <w:rFonts w:asciiTheme="minorHAnsi" w:hAnsiTheme="minorHAnsi" w:cs="Trebuchet MS"/>
                <w:color w:val="auto"/>
                <w:kern w:val="0"/>
                <w:sz w:val="16"/>
                <w:szCs w:val="16"/>
                <w:lang w:eastAsia="fr-FR"/>
              </w:rPr>
              <w:t>RGM</w:t>
            </w:r>
          </w:p>
        </w:tc>
        <w:tc>
          <w:tcPr>
            <w:tcW w:w="4451" w:type="pct"/>
            <w:tcBorders>
              <w:top w:val="nil"/>
              <w:left w:val="nil"/>
              <w:bottom w:val="nil"/>
              <w:right w:val="nil"/>
            </w:tcBorders>
            <w:shd w:val="clear" w:color="000000" w:fill="F7A3B0"/>
            <w:noWrap/>
            <w:vAlign w:val="center"/>
          </w:tcPr>
          <w:p w14:paraId="571701BF" w14:textId="738BD6F5" w:rsidR="00EA41DC" w:rsidRPr="00894701" w:rsidRDefault="00EA41DC" w:rsidP="000803D2">
            <w:pPr>
              <w:spacing w:before="40" w:after="40" w:line="240" w:lineRule="auto"/>
              <w:rPr>
                <w:rFonts w:asciiTheme="minorHAnsi" w:hAnsiTheme="minorHAnsi" w:cs="Trebuchet MS"/>
                <w:color w:val="auto"/>
                <w:kern w:val="0"/>
                <w:sz w:val="16"/>
                <w:szCs w:val="16"/>
                <w:lang w:eastAsia="fr-FR"/>
              </w:rPr>
            </w:pPr>
            <w:r w:rsidRPr="00894701">
              <w:rPr>
                <w:rFonts w:asciiTheme="minorHAnsi" w:hAnsiTheme="minorHAnsi" w:cs="Trebuchet MS"/>
                <w:color w:val="auto"/>
                <w:kern w:val="0"/>
                <w:sz w:val="16"/>
                <w:szCs w:val="16"/>
                <w:lang w:eastAsia="fr-FR"/>
              </w:rPr>
              <w:t>Rosebel Gold Mines NV</w:t>
            </w:r>
          </w:p>
        </w:tc>
      </w:tr>
      <w:tr w:rsidR="00EA41DC" w:rsidRPr="00894701" w14:paraId="2EDE330E" w14:textId="77777777" w:rsidTr="00EA41DC">
        <w:tc>
          <w:tcPr>
            <w:tcW w:w="549" w:type="pct"/>
            <w:tcBorders>
              <w:top w:val="nil"/>
              <w:left w:val="nil"/>
              <w:bottom w:val="nil"/>
              <w:right w:val="nil"/>
            </w:tcBorders>
            <w:shd w:val="clear" w:color="auto" w:fill="auto"/>
            <w:noWrap/>
            <w:vAlign w:val="center"/>
          </w:tcPr>
          <w:p w14:paraId="472731C8" w14:textId="205913F3" w:rsidR="00EA41DC" w:rsidRPr="00894701" w:rsidRDefault="00EA41DC" w:rsidP="00EA41DC">
            <w:pPr>
              <w:spacing w:before="40" w:after="40" w:line="240" w:lineRule="auto"/>
              <w:rPr>
                <w:rFonts w:asciiTheme="minorHAnsi" w:hAnsiTheme="minorHAnsi" w:cs="Trebuchet MS"/>
                <w:color w:val="auto"/>
                <w:kern w:val="0"/>
                <w:sz w:val="16"/>
                <w:szCs w:val="16"/>
                <w:lang w:eastAsia="fr-FR"/>
              </w:rPr>
            </w:pPr>
            <w:r w:rsidRPr="00894701">
              <w:rPr>
                <w:rFonts w:asciiTheme="minorHAnsi" w:hAnsiTheme="minorHAnsi" w:cs="Trebuchet MS"/>
                <w:color w:val="auto"/>
                <w:kern w:val="0"/>
                <w:sz w:val="16"/>
                <w:szCs w:val="16"/>
                <w:lang w:eastAsia="fr-FR"/>
              </w:rPr>
              <w:t>SRD</w:t>
            </w:r>
          </w:p>
        </w:tc>
        <w:tc>
          <w:tcPr>
            <w:tcW w:w="4451" w:type="pct"/>
            <w:tcBorders>
              <w:top w:val="nil"/>
              <w:left w:val="nil"/>
              <w:bottom w:val="nil"/>
              <w:right w:val="nil"/>
            </w:tcBorders>
            <w:shd w:val="clear" w:color="auto" w:fill="auto"/>
            <w:noWrap/>
            <w:vAlign w:val="center"/>
          </w:tcPr>
          <w:p w14:paraId="45AD929C" w14:textId="145F1F0E" w:rsidR="00EA41DC" w:rsidRPr="00894701" w:rsidRDefault="00EA41DC" w:rsidP="00EA41DC">
            <w:pPr>
              <w:spacing w:before="40" w:after="40" w:line="240" w:lineRule="auto"/>
              <w:rPr>
                <w:rFonts w:asciiTheme="minorHAnsi" w:hAnsiTheme="minorHAnsi" w:cs="Trebuchet MS"/>
                <w:color w:val="auto"/>
                <w:kern w:val="0"/>
                <w:sz w:val="16"/>
                <w:szCs w:val="16"/>
                <w:lang w:eastAsia="fr-FR"/>
              </w:rPr>
            </w:pPr>
            <w:r w:rsidRPr="00894701">
              <w:rPr>
                <w:rFonts w:asciiTheme="minorHAnsi" w:hAnsiTheme="minorHAnsi" w:cs="Trebuchet MS"/>
                <w:color w:val="auto"/>
                <w:kern w:val="0"/>
                <w:sz w:val="16"/>
                <w:szCs w:val="16"/>
                <w:lang w:eastAsia="fr-FR"/>
              </w:rPr>
              <w:t>Suriname Dollar (Surinamese Dollar)</w:t>
            </w:r>
          </w:p>
        </w:tc>
      </w:tr>
      <w:tr w:rsidR="00EA41DC" w:rsidRPr="00894701" w14:paraId="3E4FECF8" w14:textId="77777777" w:rsidTr="00C62B4C">
        <w:tc>
          <w:tcPr>
            <w:tcW w:w="549" w:type="pct"/>
            <w:tcBorders>
              <w:top w:val="nil"/>
              <w:left w:val="nil"/>
              <w:bottom w:val="nil"/>
              <w:right w:val="nil"/>
            </w:tcBorders>
            <w:shd w:val="clear" w:color="000000" w:fill="F7A3B0"/>
            <w:noWrap/>
            <w:vAlign w:val="center"/>
          </w:tcPr>
          <w:p w14:paraId="230EEE66" w14:textId="20372465" w:rsidR="00EA41DC" w:rsidRPr="00894701" w:rsidRDefault="00EA41DC" w:rsidP="00EA41DC">
            <w:pPr>
              <w:spacing w:before="40" w:after="40" w:line="240" w:lineRule="auto"/>
              <w:rPr>
                <w:rFonts w:asciiTheme="minorHAnsi" w:hAnsiTheme="minorHAnsi"/>
                <w:color w:val="auto"/>
                <w:sz w:val="16"/>
                <w:szCs w:val="16"/>
              </w:rPr>
            </w:pPr>
            <w:r w:rsidRPr="00894701">
              <w:rPr>
                <w:rFonts w:asciiTheme="minorHAnsi" w:hAnsiTheme="minorHAnsi" w:cs="Trebuchet MS"/>
                <w:color w:val="auto"/>
                <w:kern w:val="0"/>
                <w:sz w:val="16"/>
                <w:szCs w:val="16"/>
                <w:lang w:eastAsia="fr-FR"/>
              </w:rPr>
              <w:t>SOE</w:t>
            </w:r>
          </w:p>
        </w:tc>
        <w:tc>
          <w:tcPr>
            <w:tcW w:w="4451" w:type="pct"/>
            <w:tcBorders>
              <w:top w:val="nil"/>
              <w:left w:val="nil"/>
              <w:bottom w:val="nil"/>
              <w:right w:val="nil"/>
            </w:tcBorders>
            <w:shd w:val="clear" w:color="000000" w:fill="F7A3B0"/>
            <w:noWrap/>
            <w:vAlign w:val="center"/>
          </w:tcPr>
          <w:p w14:paraId="0EDC8E68" w14:textId="7E7BF507" w:rsidR="00EA41DC" w:rsidRPr="00894701" w:rsidRDefault="00EA41DC" w:rsidP="00EA41DC">
            <w:pPr>
              <w:spacing w:before="40" w:after="40" w:line="240" w:lineRule="auto"/>
              <w:rPr>
                <w:rFonts w:asciiTheme="minorHAnsi" w:hAnsiTheme="minorHAnsi"/>
                <w:color w:val="auto"/>
                <w:sz w:val="16"/>
                <w:szCs w:val="16"/>
              </w:rPr>
            </w:pPr>
            <w:r w:rsidRPr="00894701">
              <w:rPr>
                <w:rFonts w:asciiTheme="minorHAnsi" w:hAnsiTheme="minorHAnsi" w:cs="Trebuchet MS"/>
                <w:color w:val="auto"/>
                <w:kern w:val="0"/>
                <w:sz w:val="16"/>
                <w:szCs w:val="16"/>
                <w:lang w:eastAsia="fr-FR"/>
              </w:rPr>
              <w:t>State-owned Entity</w:t>
            </w:r>
          </w:p>
        </w:tc>
      </w:tr>
      <w:tr w:rsidR="00EA41DC" w:rsidRPr="00894701" w14:paraId="6B1B7CFE" w14:textId="77777777" w:rsidTr="00C62B4C">
        <w:tc>
          <w:tcPr>
            <w:tcW w:w="549" w:type="pct"/>
            <w:tcBorders>
              <w:top w:val="nil"/>
              <w:left w:val="nil"/>
              <w:bottom w:val="nil"/>
              <w:right w:val="nil"/>
            </w:tcBorders>
            <w:shd w:val="clear" w:color="000000" w:fill="FFFFFF"/>
            <w:noWrap/>
            <w:vAlign w:val="center"/>
          </w:tcPr>
          <w:p w14:paraId="1B42C0FC" w14:textId="72A983B9" w:rsidR="00EA41DC" w:rsidRPr="00894701" w:rsidRDefault="00EA41DC" w:rsidP="00EA41DC">
            <w:pPr>
              <w:spacing w:before="40" w:after="40" w:line="240" w:lineRule="auto"/>
              <w:rPr>
                <w:rFonts w:asciiTheme="minorHAnsi" w:hAnsiTheme="minorHAnsi"/>
                <w:color w:val="auto"/>
                <w:sz w:val="16"/>
                <w:szCs w:val="16"/>
              </w:rPr>
            </w:pPr>
            <w:r w:rsidRPr="00894701">
              <w:rPr>
                <w:rFonts w:asciiTheme="minorHAnsi" w:hAnsiTheme="minorHAnsi" w:cs="Trebuchet MS"/>
                <w:color w:val="auto"/>
                <w:kern w:val="0"/>
                <w:sz w:val="16"/>
                <w:szCs w:val="16"/>
                <w:lang w:eastAsia="fr-FR"/>
              </w:rPr>
              <w:t>Staatsol</w:t>
            </w:r>
            <w:r w:rsidR="003560DE" w:rsidRPr="00894701">
              <w:rPr>
                <w:rFonts w:asciiTheme="minorHAnsi" w:hAnsiTheme="minorHAnsi" w:cs="Trebuchet MS"/>
                <w:color w:val="auto"/>
                <w:kern w:val="0"/>
                <w:sz w:val="16"/>
                <w:szCs w:val="16"/>
                <w:lang w:eastAsia="fr-FR"/>
              </w:rPr>
              <w:t>i</w:t>
            </w:r>
            <w:r w:rsidRPr="00894701">
              <w:rPr>
                <w:rFonts w:asciiTheme="minorHAnsi" w:hAnsiTheme="minorHAnsi" w:cs="Trebuchet MS"/>
                <w:color w:val="auto"/>
                <w:kern w:val="0"/>
                <w:sz w:val="16"/>
                <w:szCs w:val="16"/>
                <w:lang w:eastAsia="fr-FR"/>
              </w:rPr>
              <w:t>e</w:t>
            </w:r>
          </w:p>
        </w:tc>
        <w:tc>
          <w:tcPr>
            <w:tcW w:w="4451" w:type="pct"/>
            <w:tcBorders>
              <w:top w:val="nil"/>
              <w:left w:val="nil"/>
              <w:bottom w:val="nil"/>
              <w:right w:val="nil"/>
            </w:tcBorders>
            <w:shd w:val="clear" w:color="000000" w:fill="FFFFFF"/>
            <w:noWrap/>
            <w:vAlign w:val="center"/>
          </w:tcPr>
          <w:p w14:paraId="6AF243AF" w14:textId="0E825197" w:rsidR="00EA41DC" w:rsidRPr="00894701" w:rsidRDefault="00EA41DC" w:rsidP="00EA41DC">
            <w:pPr>
              <w:spacing w:before="40" w:after="40" w:line="240" w:lineRule="auto"/>
              <w:rPr>
                <w:rFonts w:asciiTheme="minorHAnsi" w:hAnsiTheme="minorHAnsi"/>
                <w:color w:val="auto"/>
                <w:sz w:val="16"/>
                <w:szCs w:val="16"/>
              </w:rPr>
            </w:pPr>
            <w:r w:rsidRPr="00894701">
              <w:rPr>
                <w:rFonts w:asciiTheme="minorHAnsi" w:hAnsiTheme="minorHAnsi" w:cs="Trebuchet MS"/>
                <w:color w:val="auto"/>
                <w:kern w:val="0"/>
                <w:sz w:val="16"/>
                <w:szCs w:val="16"/>
                <w:lang w:eastAsia="fr-FR"/>
              </w:rPr>
              <w:t>Staatsol</w:t>
            </w:r>
            <w:r w:rsidR="003560DE" w:rsidRPr="00894701">
              <w:rPr>
                <w:rFonts w:asciiTheme="minorHAnsi" w:hAnsiTheme="minorHAnsi" w:cs="Trebuchet MS"/>
                <w:color w:val="auto"/>
                <w:kern w:val="0"/>
                <w:sz w:val="16"/>
                <w:szCs w:val="16"/>
                <w:lang w:eastAsia="fr-FR"/>
              </w:rPr>
              <w:t>i</w:t>
            </w:r>
            <w:r w:rsidRPr="00894701">
              <w:rPr>
                <w:rFonts w:asciiTheme="minorHAnsi" w:hAnsiTheme="minorHAnsi" w:cs="Trebuchet MS"/>
                <w:color w:val="auto"/>
                <w:kern w:val="0"/>
                <w:sz w:val="16"/>
                <w:szCs w:val="16"/>
                <w:lang w:eastAsia="fr-FR"/>
              </w:rPr>
              <w:t>e Maatschapp</w:t>
            </w:r>
            <w:r w:rsidR="003560DE" w:rsidRPr="00894701">
              <w:rPr>
                <w:rFonts w:asciiTheme="minorHAnsi" w:hAnsiTheme="minorHAnsi" w:cs="Trebuchet MS"/>
                <w:color w:val="auto"/>
                <w:kern w:val="0"/>
                <w:sz w:val="16"/>
                <w:szCs w:val="16"/>
                <w:lang w:eastAsia="fr-FR"/>
              </w:rPr>
              <w:t>ij</w:t>
            </w:r>
            <w:r w:rsidRPr="00894701">
              <w:rPr>
                <w:rFonts w:asciiTheme="minorHAnsi" w:hAnsiTheme="minorHAnsi" w:cs="Trebuchet MS"/>
                <w:color w:val="auto"/>
                <w:kern w:val="0"/>
                <w:sz w:val="16"/>
                <w:szCs w:val="16"/>
                <w:lang w:eastAsia="fr-FR"/>
              </w:rPr>
              <w:t xml:space="preserve"> Suriname NV</w:t>
            </w:r>
          </w:p>
        </w:tc>
      </w:tr>
      <w:tr w:rsidR="00EA41DC" w:rsidRPr="00894701" w14:paraId="266E1BB8" w14:textId="77777777" w:rsidTr="00C62B4C">
        <w:tc>
          <w:tcPr>
            <w:tcW w:w="549" w:type="pct"/>
            <w:tcBorders>
              <w:top w:val="nil"/>
              <w:left w:val="nil"/>
              <w:bottom w:val="nil"/>
              <w:right w:val="nil"/>
            </w:tcBorders>
            <w:shd w:val="clear" w:color="auto" w:fill="F7A3B0" w:themeFill="accent1" w:themeFillTint="66"/>
            <w:noWrap/>
            <w:vAlign w:val="center"/>
          </w:tcPr>
          <w:p w14:paraId="1897162F" w14:textId="0137B3CA" w:rsidR="00EA41DC" w:rsidRPr="00894701" w:rsidRDefault="00EA41DC" w:rsidP="00EA41DC">
            <w:pPr>
              <w:spacing w:before="40" w:after="40" w:line="240" w:lineRule="auto"/>
              <w:rPr>
                <w:rFonts w:asciiTheme="minorHAnsi" w:hAnsiTheme="minorHAnsi"/>
                <w:color w:val="auto"/>
                <w:sz w:val="16"/>
                <w:szCs w:val="16"/>
              </w:rPr>
            </w:pPr>
            <w:r w:rsidRPr="00894701">
              <w:rPr>
                <w:rFonts w:asciiTheme="minorHAnsi" w:hAnsiTheme="minorHAnsi" w:cs="Trebuchet MS"/>
                <w:color w:val="auto"/>
                <w:kern w:val="0"/>
                <w:sz w:val="16"/>
                <w:szCs w:val="16"/>
                <w:lang w:eastAsia="fr-FR"/>
              </w:rPr>
              <w:t>SGP</w:t>
            </w:r>
          </w:p>
        </w:tc>
        <w:tc>
          <w:tcPr>
            <w:tcW w:w="4451" w:type="pct"/>
            <w:tcBorders>
              <w:top w:val="nil"/>
              <w:left w:val="nil"/>
              <w:bottom w:val="nil"/>
              <w:right w:val="nil"/>
            </w:tcBorders>
            <w:shd w:val="clear" w:color="auto" w:fill="F7A3B0" w:themeFill="accent1" w:themeFillTint="66"/>
            <w:noWrap/>
            <w:vAlign w:val="center"/>
          </w:tcPr>
          <w:p w14:paraId="773AD0ED" w14:textId="50F90F11" w:rsidR="00EA41DC" w:rsidRPr="00894701" w:rsidRDefault="00EA41DC" w:rsidP="00EA41DC">
            <w:pPr>
              <w:spacing w:before="40" w:after="40" w:line="240" w:lineRule="auto"/>
              <w:rPr>
                <w:rFonts w:asciiTheme="minorHAnsi" w:hAnsiTheme="minorHAnsi"/>
                <w:color w:val="auto"/>
                <w:sz w:val="16"/>
                <w:szCs w:val="16"/>
              </w:rPr>
            </w:pPr>
            <w:r w:rsidRPr="00894701">
              <w:rPr>
                <w:rFonts w:asciiTheme="minorHAnsi" w:hAnsiTheme="minorHAnsi" w:cs="Trebuchet MS"/>
                <w:color w:val="auto"/>
                <w:kern w:val="0"/>
                <w:sz w:val="16"/>
                <w:szCs w:val="16"/>
                <w:lang w:eastAsia="fr-FR"/>
              </w:rPr>
              <w:t>Suriname Gold Project C.V.</w:t>
            </w:r>
          </w:p>
        </w:tc>
      </w:tr>
      <w:tr w:rsidR="00EA41DC" w:rsidRPr="00894701" w14:paraId="10B6A0F6" w14:textId="77777777" w:rsidTr="00C62B4C">
        <w:tc>
          <w:tcPr>
            <w:tcW w:w="549" w:type="pct"/>
            <w:tcBorders>
              <w:top w:val="nil"/>
              <w:left w:val="nil"/>
              <w:bottom w:val="nil"/>
              <w:right w:val="nil"/>
            </w:tcBorders>
            <w:shd w:val="clear" w:color="auto" w:fill="auto"/>
            <w:noWrap/>
            <w:vAlign w:val="center"/>
          </w:tcPr>
          <w:p w14:paraId="692A32FD" w14:textId="7DC3F257" w:rsidR="00EA41DC" w:rsidRPr="00894701" w:rsidRDefault="00EA41DC" w:rsidP="00EA41DC">
            <w:pPr>
              <w:spacing w:before="40" w:after="40" w:line="240" w:lineRule="auto"/>
              <w:rPr>
                <w:rFonts w:asciiTheme="minorHAnsi" w:hAnsiTheme="minorHAnsi"/>
                <w:color w:val="auto"/>
                <w:sz w:val="16"/>
                <w:szCs w:val="16"/>
              </w:rPr>
            </w:pPr>
            <w:r w:rsidRPr="00894701">
              <w:rPr>
                <w:rFonts w:asciiTheme="minorHAnsi" w:hAnsiTheme="minorHAnsi" w:cs="Trebuchet MS"/>
                <w:color w:val="auto"/>
                <w:kern w:val="0"/>
                <w:sz w:val="16"/>
                <w:szCs w:val="16"/>
                <w:lang w:eastAsia="fr-FR"/>
              </w:rPr>
              <w:t>USD</w:t>
            </w:r>
          </w:p>
        </w:tc>
        <w:tc>
          <w:tcPr>
            <w:tcW w:w="4451" w:type="pct"/>
            <w:tcBorders>
              <w:top w:val="nil"/>
              <w:left w:val="nil"/>
              <w:bottom w:val="nil"/>
              <w:right w:val="nil"/>
            </w:tcBorders>
            <w:shd w:val="clear" w:color="auto" w:fill="auto"/>
            <w:noWrap/>
            <w:vAlign w:val="center"/>
          </w:tcPr>
          <w:p w14:paraId="12F30940" w14:textId="6134DFE0" w:rsidR="00EA41DC" w:rsidRPr="00894701" w:rsidRDefault="00EA41DC" w:rsidP="00EA41DC">
            <w:pPr>
              <w:spacing w:before="40" w:after="40" w:line="240" w:lineRule="auto"/>
              <w:rPr>
                <w:rFonts w:asciiTheme="minorHAnsi" w:hAnsiTheme="minorHAnsi"/>
                <w:color w:val="auto"/>
                <w:sz w:val="16"/>
                <w:szCs w:val="16"/>
              </w:rPr>
            </w:pPr>
            <w:r w:rsidRPr="00894701">
              <w:rPr>
                <w:rFonts w:asciiTheme="minorHAnsi" w:hAnsiTheme="minorHAnsi" w:cs="Trebuchet MS"/>
                <w:color w:val="auto"/>
                <w:kern w:val="0"/>
                <w:sz w:val="16"/>
                <w:szCs w:val="16"/>
                <w:lang w:eastAsia="fr-FR"/>
              </w:rPr>
              <w:t>United States Dollar</w:t>
            </w:r>
          </w:p>
        </w:tc>
      </w:tr>
      <w:tr w:rsidR="00EA41DC" w:rsidRPr="00894701" w14:paraId="6EE568DE" w14:textId="77777777" w:rsidTr="00C62B4C">
        <w:tc>
          <w:tcPr>
            <w:tcW w:w="549" w:type="pct"/>
            <w:tcBorders>
              <w:top w:val="nil"/>
              <w:left w:val="nil"/>
              <w:bottom w:val="nil"/>
              <w:right w:val="nil"/>
            </w:tcBorders>
            <w:shd w:val="clear" w:color="auto" w:fill="F7A3B0" w:themeFill="accent1" w:themeFillTint="66"/>
            <w:noWrap/>
            <w:vAlign w:val="center"/>
          </w:tcPr>
          <w:p w14:paraId="4949C67F" w14:textId="447D8059" w:rsidR="00EA41DC" w:rsidRPr="00894701" w:rsidRDefault="00EA41DC" w:rsidP="00EA41DC">
            <w:pPr>
              <w:spacing w:before="40" w:after="40" w:line="240" w:lineRule="auto"/>
              <w:rPr>
                <w:rFonts w:asciiTheme="minorHAnsi" w:hAnsiTheme="minorHAnsi"/>
                <w:color w:val="auto"/>
                <w:sz w:val="16"/>
                <w:szCs w:val="16"/>
              </w:rPr>
            </w:pPr>
            <w:r w:rsidRPr="00894701">
              <w:rPr>
                <w:rFonts w:asciiTheme="minorHAnsi" w:hAnsiTheme="minorHAnsi" w:cs="Trebuchet MS"/>
                <w:color w:val="auto"/>
                <w:kern w:val="0"/>
                <w:sz w:val="16"/>
                <w:szCs w:val="16"/>
                <w:lang w:eastAsia="fr-FR"/>
              </w:rPr>
              <w:t>UJV</w:t>
            </w:r>
          </w:p>
        </w:tc>
        <w:tc>
          <w:tcPr>
            <w:tcW w:w="4451" w:type="pct"/>
            <w:tcBorders>
              <w:top w:val="nil"/>
              <w:left w:val="nil"/>
              <w:bottom w:val="nil"/>
              <w:right w:val="nil"/>
            </w:tcBorders>
            <w:shd w:val="clear" w:color="auto" w:fill="F7A3B0" w:themeFill="accent1" w:themeFillTint="66"/>
            <w:noWrap/>
            <w:vAlign w:val="center"/>
          </w:tcPr>
          <w:p w14:paraId="2E50DAC4" w14:textId="1DB1A65C" w:rsidR="00EA41DC" w:rsidRPr="00894701" w:rsidRDefault="00EA41DC" w:rsidP="00EA41DC">
            <w:pPr>
              <w:spacing w:before="40" w:after="40" w:line="240" w:lineRule="auto"/>
              <w:rPr>
                <w:rFonts w:asciiTheme="minorHAnsi" w:hAnsiTheme="minorHAnsi"/>
                <w:color w:val="auto"/>
                <w:sz w:val="16"/>
                <w:szCs w:val="16"/>
              </w:rPr>
            </w:pPr>
            <w:r w:rsidRPr="00894701">
              <w:rPr>
                <w:rFonts w:asciiTheme="minorHAnsi" w:hAnsiTheme="minorHAnsi" w:cs="Trebuchet MS"/>
                <w:color w:val="auto"/>
                <w:kern w:val="0"/>
                <w:sz w:val="16"/>
                <w:szCs w:val="16"/>
                <w:lang w:eastAsia="fr-FR"/>
              </w:rPr>
              <w:t>Unincorporated Joint-Venture</w:t>
            </w:r>
          </w:p>
        </w:tc>
      </w:tr>
    </w:tbl>
    <w:p w14:paraId="55EB3231" w14:textId="77777777" w:rsidR="00A41ADF" w:rsidRPr="00894701" w:rsidRDefault="00A41ADF" w:rsidP="008C503C">
      <w:pPr>
        <w:pStyle w:val="BodyText"/>
        <w:spacing w:after="0"/>
        <w:jc w:val="both"/>
        <w:rPr>
          <w:rFonts w:asciiTheme="minorHAnsi" w:hAnsiTheme="minorHAnsi"/>
          <w:sz w:val="20"/>
          <w:szCs w:val="14"/>
        </w:rPr>
      </w:pPr>
    </w:p>
    <w:p w14:paraId="53E77DBF" w14:textId="09823931" w:rsidR="00156918" w:rsidRPr="00894701" w:rsidRDefault="00836AED" w:rsidP="0036443C">
      <w:pPr>
        <w:pStyle w:val="NumHeading"/>
        <w:numPr>
          <w:ilvl w:val="0"/>
          <w:numId w:val="0"/>
        </w:numPr>
        <w:ind w:left="624" w:right="480" w:hanging="624"/>
        <w:rPr>
          <w:rFonts w:asciiTheme="minorHAnsi" w:hAnsiTheme="minorHAnsi"/>
          <w:sz w:val="36"/>
        </w:rPr>
      </w:pPr>
      <w:bookmarkStart w:id="3" w:name="_Toc122478826"/>
      <w:r w:rsidRPr="00894701">
        <w:rPr>
          <w:rFonts w:asciiTheme="minorHAnsi" w:hAnsiTheme="minorHAnsi"/>
          <w:sz w:val="36"/>
        </w:rPr>
        <w:lastRenderedPageBreak/>
        <w:t>OVERVIEW</w:t>
      </w:r>
      <w:bookmarkEnd w:id="3"/>
    </w:p>
    <w:p w14:paraId="72CFDFD4" w14:textId="77777777" w:rsidR="00156918" w:rsidRPr="00894701" w:rsidRDefault="00156918" w:rsidP="008F78E0">
      <w:pPr>
        <w:spacing w:after="0"/>
        <w:ind w:right="480"/>
        <w:rPr>
          <w:rFonts w:asciiTheme="minorHAnsi" w:hAnsiTheme="minorHAnsi"/>
          <w:color w:val="auto"/>
          <w:kern w:val="0"/>
          <w:sz w:val="8"/>
        </w:rPr>
      </w:pPr>
    </w:p>
    <w:p w14:paraId="2BCAB7E3" w14:textId="5CE0C966" w:rsidR="00156918" w:rsidRPr="00894701" w:rsidRDefault="00A83578" w:rsidP="00F673F3">
      <w:pPr>
        <w:pStyle w:val="Heading2"/>
        <w:numPr>
          <w:ilvl w:val="0"/>
          <w:numId w:val="0"/>
        </w:numPr>
        <w:spacing w:after="120"/>
        <w:ind w:right="480"/>
        <w:rPr>
          <w:rFonts w:asciiTheme="minorHAnsi" w:hAnsiTheme="minorHAnsi"/>
          <w:sz w:val="28"/>
        </w:rPr>
      </w:pPr>
      <w:bookmarkStart w:id="4" w:name="_Toc122478827"/>
      <w:r w:rsidRPr="00894701">
        <w:rPr>
          <w:rFonts w:asciiTheme="minorHAnsi" w:hAnsiTheme="minorHAnsi"/>
          <w:sz w:val="28"/>
        </w:rPr>
        <w:t>Background</w:t>
      </w:r>
      <w:r w:rsidRPr="00894701">
        <w:rPr>
          <w:rFonts w:asciiTheme="minorHAnsi" w:hAnsiTheme="minorHAnsi"/>
          <w:b w:val="0"/>
          <w:color w:val="auto"/>
          <w:kern w:val="0"/>
          <w:sz w:val="24"/>
          <w:vertAlign w:val="superscript"/>
        </w:rPr>
        <w:footnoteReference w:id="2"/>
      </w:r>
      <w:bookmarkEnd w:id="4"/>
    </w:p>
    <w:p w14:paraId="346E5AF5" w14:textId="77777777" w:rsidR="00890E82" w:rsidRPr="00894701" w:rsidRDefault="00890E82" w:rsidP="00890E82">
      <w:pPr>
        <w:jc w:val="both"/>
        <w:rPr>
          <w:rFonts w:asciiTheme="minorHAnsi" w:hAnsiTheme="minorHAnsi"/>
          <w:color w:val="auto"/>
          <w:sz w:val="20"/>
        </w:rPr>
      </w:pPr>
      <w:bookmarkStart w:id="5" w:name="_Toc3312084"/>
      <w:r w:rsidRPr="00894701">
        <w:rPr>
          <w:rFonts w:asciiTheme="minorHAnsi" w:hAnsiTheme="minorHAnsi"/>
          <w:color w:val="auto"/>
          <w:sz w:val="20"/>
        </w:rPr>
        <w:t xml:space="preserve">The Extractive Industries Transparency Initiative (EITI) is a global Standard to promote open and accountable management of natural resources. It seeks to strengthen government and company systems, inform public debates and enhance trust. In each implementing country, it is supported by the multi-Stakeholder group composed of governments, companies and civil society organisations working together. </w:t>
      </w:r>
    </w:p>
    <w:p w14:paraId="08A42D58" w14:textId="214B672A" w:rsidR="00890E82" w:rsidRPr="00894701" w:rsidRDefault="00890E82" w:rsidP="00890E82">
      <w:pPr>
        <w:jc w:val="both"/>
        <w:rPr>
          <w:rFonts w:asciiTheme="minorHAnsi" w:hAnsiTheme="minorHAnsi"/>
          <w:color w:val="auto"/>
          <w:sz w:val="20"/>
        </w:rPr>
      </w:pPr>
      <w:r w:rsidRPr="00894701">
        <w:rPr>
          <w:rFonts w:asciiTheme="minorHAnsi" w:hAnsiTheme="minorHAnsi"/>
          <w:color w:val="auto"/>
          <w:sz w:val="20"/>
        </w:rPr>
        <w:t xml:space="preserve">The Extractive Industries Transparency Initiative (EITI) was first announced at the World Summit on Sustainable Development in Johannesburg in 2002 (the Earth Summit 2002) and was officially launched in London in 2003. EITI is currently being implemented in 55 countries in Africa, Asia, Europe and America. </w:t>
      </w:r>
    </w:p>
    <w:p w14:paraId="1D6C2F42" w14:textId="77777777" w:rsidR="00890E82" w:rsidRPr="00894701" w:rsidRDefault="00890E82" w:rsidP="00890E82">
      <w:pPr>
        <w:jc w:val="both"/>
        <w:rPr>
          <w:rFonts w:asciiTheme="minorHAnsi" w:hAnsiTheme="minorHAnsi"/>
          <w:color w:val="auto"/>
          <w:sz w:val="20"/>
        </w:rPr>
      </w:pPr>
      <w:r w:rsidRPr="00894701">
        <w:rPr>
          <w:rFonts w:asciiTheme="minorHAnsi" w:hAnsiTheme="minorHAnsi"/>
          <w:color w:val="auto"/>
          <w:sz w:val="20"/>
        </w:rPr>
        <w:t xml:space="preserve">The EITI Standard sets out the requirements which countries need to meet in order to be recognised, first as EITI Candidates and subsequently as EITI Compliant country. The Standard is overseen by the EITI Board, which comprises members from governments, extractive companies, and civil society organisations. </w:t>
      </w:r>
    </w:p>
    <w:p w14:paraId="5A5DC9D9" w14:textId="064659D2" w:rsidR="00890E82" w:rsidRPr="00894701" w:rsidRDefault="00890E82" w:rsidP="00890E82">
      <w:pPr>
        <w:jc w:val="both"/>
        <w:rPr>
          <w:rFonts w:asciiTheme="minorHAnsi" w:hAnsiTheme="minorHAnsi"/>
          <w:color w:val="auto"/>
          <w:sz w:val="20"/>
        </w:rPr>
      </w:pPr>
      <w:r w:rsidRPr="00894701">
        <w:rPr>
          <w:rFonts w:asciiTheme="minorHAnsi" w:hAnsiTheme="minorHAnsi"/>
          <w:color w:val="auto"/>
          <w:sz w:val="20"/>
        </w:rPr>
        <w:t>The 43</w:t>
      </w:r>
      <w:r w:rsidRPr="00894701">
        <w:rPr>
          <w:rFonts w:asciiTheme="minorHAnsi" w:hAnsiTheme="minorHAnsi"/>
          <w:color w:val="auto"/>
          <w:sz w:val="20"/>
          <w:vertAlign w:val="superscript"/>
        </w:rPr>
        <w:t>rd</w:t>
      </w:r>
      <w:r w:rsidRPr="00894701">
        <w:rPr>
          <w:rFonts w:asciiTheme="minorHAnsi" w:hAnsiTheme="minorHAnsi"/>
          <w:color w:val="auto"/>
          <w:sz w:val="20"/>
        </w:rPr>
        <w:t xml:space="preserve"> EITI Board meeting held in Paris on 17 June 2019 adopted the 2019 EITI Standard.  From 1 January 2020 onwards, only the 2019 EITI Standard shall be applied. It is the sixth version since the EITI Principles were agreed in 2003. The 2019 EITI Standard encourages countries to make use of existing reporting systems for EITI data collection and make the results transparent at the source and can be accessed at: (</w:t>
      </w:r>
      <w:hyperlink r:id="rId25" w:history="1">
        <w:r w:rsidRPr="00894701">
          <w:rPr>
            <w:rStyle w:val="Hyperlink"/>
            <w:rFonts w:asciiTheme="minorHAnsi" w:hAnsiTheme="minorHAnsi"/>
            <w:sz w:val="20"/>
          </w:rPr>
          <w:t>https://eiti.org/files/documents/eiti_standard2019_a4_en.pdf</w:t>
        </w:r>
      </w:hyperlink>
      <w:r w:rsidRPr="00894701">
        <w:rPr>
          <w:rFonts w:asciiTheme="minorHAnsi" w:hAnsiTheme="minorHAnsi"/>
          <w:color w:val="auto"/>
          <w:sz w:val="20"/>
        </w:rPr>
        <w:t>). The 2019 Standard introduced new aspects of environmental, social, and gender impacts. It also breaks ground in the disclosure of the identity of the real owners – the ‘beneficial owners’ – of the companies that have obtained rights to extract oil, gas and minerals starting from 2020.</w:t>
      </w:r>
    </w:p>
    <w:p w14:paraId="5B155FA0" w14:textId="77777777" w:rsidR="00890E82" w:rsidRPr="00894701" w:rsidRDefault="00890E82" w:rsidP="00F673F3">
      <w:pPr>
        <w:pStyle w:val="Heading2"/>
        <w:numPr>
          <w:ilvl w:val="0"/>
          <w:numId w:val="0"/>
        </w:numPr>
        <w:spacing w:after="120"/>
        <w:ind w:right="480"/>
        <w:rPr>
          <w:rFonts w:asciiTheme="minorHAnsi" w:hAnsiTheme="minorHAnsi"/>
          <w:sz w:val="28"/>
        </w:rPr>
      </w:pPr>
      <w:bookmarkStart w:id="6" w:name="_Toc53598301"/>
      <w:bookmarkStart w:id="7" w:name="_Toc122478828"/>
      <w:r w:rsidRPr="00894701">
        <w:rPr>
          <w:rFonts w:asciiTheme="minorHAnsi" w:hAnsiTheme="minorHAnsi"/>
          <w:sz w:val="28"/>
        </w:rPr>
        <w:t>EITI in Suriname-Timeline</w:t>
      </w:r>
      <w:bookmarkEnd w:id="6"/>
      <w:bookmarkEnd w:id="7"/>
    </w:p>
    <w:p w14:paraId="5E025623" w14:textId="208D7BC0" w:rsidR="00890E82" w:rsidRPr="00894701" w:rsidRDefault="00890E82" w:rsidP="00890E82">
      <w:pPr>
        <w:jc w:val="both"/>
        <w:rPr>
          <w:rFonts w:asciiTheme="minorHAnsi" w:hAnsiTheme="minorHAnsi"/>
          <w:color w:val="auto"/>
          <w:sz w:val="20"/>
        </w:rPr>
      </w:pPr>
      <w:r w:rsidRPr="00894701">
        <w:rPr>
          <w:rFonts w:asciiTheme="minorHAnsi" w:hAnsiTheme="minorHAnsi"/>
          <w:color w:val="auto"/>
          <w:sz w:val="20"/>
        </w:rPr>
        <w:t xml:space="preserve">On 29 April 2016, the Minister of Natural Resources declared Suriname’s intention of becoming an EITI implementing country, which eventually materialised in May 2017. </w:t>
      </w:r>
    </w:p>
    <w:p w14:paraId="1AAF74D4" w14:textId="18AA400D" w:rsidR="00890E82" w:rsidRPr="00894701" w:rsidRDefault="00890E82" w:rsidP="00890E82">
      <w:pPr>
        <w:jc w:val="both"/>
        <w:rPr>
          <w:rFonts w:asciiTheme="minorHAnsi" w:hAnsiTheme="minorHAnsi"/>
          <w:color w:val="auto"/>
          <w:sz w:val="20"/>
        </w:rPr>
      </w:pPr>
      <w:r w:rsidRPr="00894701">
        <w:rPr>
          <w:rFonts w:asciiTheme="minorHAnsi" w:hAnsiTheme="minorHAnsi"/>
          <w:color w:val="auto"/>
          <w:sz w:val="20"/>
        </w:rPr>
        <w:t xml:space="preserve">Following the conclusion of Suriname’s Validation in 2021, the EITI Board agreed that Suriname </w:t>
      </w:r>
      <w:r w:rsidRPr="00894701">
        <w:rPr>
          <w:rFonts w:asciiTheme="minorHAnsi" w:hAnsiTheme="minorHAnsi"/>
          <w:color w:val="auto"/>
          <w:sz w:val="20"/>
        </w:rPr>
        <w:br/>
        <w:t xml:space="preserve">made meaningful progress overall in implementing the 2019 EITI Standard.  </w:t>
      </w:r>
    </w:p>
    <w:p w14:paraId="67351301" w14:textId="3AE4BABA" w:rsidR="006C20EE" w:rsidRPr="00894701" w:rsidRDefault="00890E82" w:rsidP="00F673F3">
      <w:pPr>
        <w:jc w:val="both"/>
        <w:rPr>
          <w:rFonts w:asciiTheme="minorHAnsi" w:hAnsiTheme="minorHAnsi"/>
          <w:color w:val="auto"/>
          <w:sz w:val="20"/>
        </w:rPr>
      </w:pPr>
      <w:r w:rsidRPr="00894701">
        <w:rPr>
          <w:rFonts w:asciiTheme="minorHAnsi" w:hAnsiTheme="minorHAnsi"/>
          <w:color w:val="auto"/>
          <w:sz w:val="20"/>
        </w:rPr>
        <w:t xml:space="preserve">The EITI Board agreed that Suriname will have until </w:t>
      </w:r>
      <w:r w:rsidRPr="00894701">
        <w:rPr>
          <w:rFonts w:asciiTheme="minorHAnsi" w:hAnsiTheme="minorHAnsi"/>
          <w:b/>
          <w:bCs/>
          <w:color w:val="auto"/>
          <w:sz w:val="20"/>
        </w:rPr>
        <w:t>1 April 2023</w:t>
      </w:r>
      <w:r w:rsidRPr="00894701">
        <w:rPr>
          <w:rFonts w:asciiTheme="minorHAnsi" w:hAnsiTheme="minorHAnsi"/>
          <w:color w:val="auto"/>
          <w:sz w:val="20"/>
        </w:rPr>
        <w:t xml:space="preserve"> before its next validation, during which time, it could carry out corrective actions related to government engagement (Requirement 1.1), industry</w:t>
      </w:r>
      <w:r w:rsidR="00D0251F" w:rsidRPr="00894701">
        <w:rPr>
          <w:rFonts w:asciiTheme="minorHAnsi" w:hAnsiTheme="minorHAnsi"/>
          <w:color w:val="auto"/>
          <w:sz w:val="20"/>
        </w:rPr>
        <w:t xml:space="preserve"> </w:t>
      </w:r>
      <w:r w:rsidRPr="00894701">
        <w:rPr>
          <w:rFonts w:asciiTheme="minorHAnsi" w:hAnsiTheme="minorHAnsi"/>
          <w:color w:val="auto"/>
          <w:sz w:val="20"/>
        </w:rPr>
        <w:t>engagement (Requirement 1.2), MSG oversight (Requirement 1.4), work plan (Requirement 1.5), contract and license allocations (Requirement 2.2), register of licenses (Requirement 2.3), contracts (Requirement 2.4), beneficial ownership (Requirement 2.5), state participation (Requirement 2.6), comprehensive disclosure of taxes and revenues (Requirement 4.1), sale of the state’s share of production or other revenues collected in kind (Requirement 4.2), transactions related to state</w:t>
      </w:r>
      <w:r w:rsidRPr="00894701">
        <w:rPr>
          <w:rFonts w:ascii="Cambria Math" w:hAnsi="Cambria Math" w:cs="Cambria Math"/>
          <w:color w:val="auto"/>
          <w:sz w:val="20"/>
        </w:rPr>
        <w:t>‑</w:t>
      </w:r>
      <w:r w:rsidRPr="00894701">
        <w:rPr>
          <w:rFonts w:asciiTheme="minorHAnsi" w:hAnsiTheme="minorHAnsi"/>
          <w:color w:val="auto"/>
          <w:sz w:val="20"/>
        </w:rPr>
        <w:t xml:space="preserve">owned enterprises (Requirement 4.5), data quality and assurance (Requirement 4.9), social expenditures (Requirement 6.1), quasi-fiscal expenditures (Requirement 6.2), the contribution of the extractive sector to the economy (Requirement 6.3), public debate (Requirement 7.1), data accessibility (Requirement 7.3) and review of outcomes and impacts of EITI implementation (Requirement 7.4). The next validation of Suriname will be conducted according to the revised validation model approved by the Board in October 2020. The Board’s decision on the validation of Suriname is available on </w:t>
      </w:r>
      <w:r w:rsidR="002263A9">
        <w:rPr>
          <w:rFonts w:asciiTheme="minorHAnsi" w:hAnsiTheme="minorHAnsi"/>
          <w:color w:val="auto"/>
          <w:sz w:val="20"/>
        </w:rPr>
        <w:t xml:space="preserve">the </w:t>
      </w:r>
      <w:r w:rsidRPr="00894701">
        <w:rPr>
          <w:rFonts w:asciiTheme="minorHAnsi" w:hAnsiTheme="minorHAnsi"/>
          <w:color w:val="auto"/>
          <w:sz w:val="20"/>
        </w:rPr>
        <w:t>EITI International website</w:t>
      </w:r>
      <w:r w:rsidRPr="00894701">
        <w:rPr>
          <w:rStyle w:val="FootnoteReference"/>
          <w:rFonts w:asciiTheme="minorHAnsi" w:hAnsiTheme="minorHAnsi"/>
          <w:color w:val="auto"/>
          <w:sz w:val="20"/>
        </w:rPr>
        <w:footnoteReference w:id="3"/>
      </w:r>
      <w:r w:rsidRPr="00894701">
        <w:rPr>
          <w:rFonts w:asciiTheme="minorHAnsi" w:hAnsiTheme="minorHAnsi"/>
          <w:color w:val="auto"/>
          <w:sz w:val="20"/>
        </w:rPr>
        <w:t>.</w:t>
      </w:r>
      <w:r w:rsidR="006C20EE" w:rsidRPr="00894701">
        <w:rPr>
          <w:rFonts w:asciiTheme="minorHAnsi" w:hAnsiTheme="minorHAnsi"/>
          <w:color w:val="auto"/>
          <w:sz w:val="20"/>
        </w:rPr>
        <w:br w:type="page"/>
      </w:r>
    </w:p>
    <w:p w14:paraId="23B09FD7" w14:textId="09C86B72" w:rsidR="006C20EE" w:rsidRPr="00894701" w:rsidRDefault="006C20EE" w:rsidP="006C20EE">
      <w:pPr>
        <w:jc w:val="both"/>
        <w:rPr>
          <w:rFonts w:asciiTheme="minorHAnsi" w:hAnsiTheme="minorHAnsi"/>
          <w:color w:val="auto"/>
          <w:sz w:val="20"/>
        </w:rPr>
      </w:pPr>
      <w:r w:rsidRPr="00894701">
        <w:rPr>
          <w:rFonts w:asciiTheme="minorHAnsi" w:hAnsiTheme="minorHAnsi"/>
          <w:color w:val="auto"/>
          <w:sz w:val="20"/>
        </w:rPr>
        <w:lastRenderedPageBreak/>
        <w:t>The timeline for the EITI-SR process can be presented as follows:</w:t>
      </w:r>
      <w:r w:rsidR="00206BA2" w:rsidRPr="00894701">
        <w:rPr>
          <w:rFonts w:asciiTheme="minorHAnsi" w:hAnsiTheme="minorHAnsi"/>
          <w:color w:val="auto"/>
          <w:sz w:val="20"/>
        </w:rPr>
        <w:t xml:space="preserve"> </w:t>
      </w:r>
    </w:p>
    <w:p w14:paraId="49F0C6B5" w14:textId="77777777" w:rsidR="006C20EE" w:rsidRPr="00894701" w:rsidRDefault="006C20EE" w:rsidP="006C20EE">
      <w:pPr>
        <w:jc w:val="both"/>
        <w:rPr>
          <w:rFonts w:asciiTheme="minorHAnsi" w:hAnsiTheme="minorHAnsi"/>
          <w:color w:val="auto"/>
          <w:sz w:val="20"/>
        </w:rPr>
      </w:pPr>
    </w:p>
    <w:p w14:paraId="3503F229" w14:textId="7508FAB3" w:rsidR="006C20EE" w:rsidRPr="002263A9" w:rsidRDefault="004B09B6" w:rsidP="00860520">
      <w:pPr>
        <w:pStyle w:val="Caption"/>
        <w:keepNext/>
        <w:jc w:val="center"/>
        <w:rPr>
          <w:rFonts w:asciiTheme="minorHAnsi" w:hAnsiTheme="minorHAnsi"/>
          <w:sz w:val="20"/>
        </w:rPr>
      </w:pPr>
      <w:bookmarkStart w:id="8" w:name="_Toc146590566"/>
      <w:r w:rsidRPr="00860520">
        <w:rPr>
          <w:rFonts w:asciiTheme="majorHAnsi" w:hAnsiTheme="majorHAnsi"/>
          <w:b w:val="0"/>
          <w:i/>
          <w:iCs/>
          <w:color w:val="685040"/>
          <w:kern w:val="16"/>
          <w:sz w:val="20"/>
          <w:lang w:eastAsia="en-GB"/>
        </w:rPr>
        <w:t xml:space="preserve">Figure </w:t>
      </w:r>
      <w:r w:rsidRPr="00860520">
        <w:rPr>
          <w:rFonts w:asciiTheme="minorHAnsi" w:hAnsiTheme="minorHAnsi"/>
          <w:b w:val="0"/>
          <w:sz w:val="20"/>
        </w:rPr>
        <w:fldChar w:fldCharType="begin"/>
      </w:r>
      <w:r w:rsidRPr="00860520">
        <w:rPr>
          <w:rFonts w:asciiTheme="minorHAnsi" w:hAnsiTheme="minorHAnsi"/>
          <w:b w:val="0"/>
          <w:sz w:val="20"/>
        </w:rPr>
        <w:instrText xml:space="preserve"> SEQ Figure \* ARABIC </w:instrText>
      </w:r>
      <w:r w:rsidRPr="00860520">
        <w:rPr>
          <w:rFonts w:asciiTheme="minorHAnsi" w:hAnsiTheme="minorHAnsi"/>
          <w:b w:val="0"/>
          <w:sz w:val="20"/>
        </w:rPr>
        <w:fldChar w:fldCharType="separate"/>
      </w:r>
      <w:r w:rsidR="0035303B">
        <w:rPr>
          <w:rFonts w:asciiTheme="minorHAnsi" w:hAnsiTheme="minorHAnsi"/>
          <w:b w:val="0"/>
          <w:noProof/>
          <w:sz w:val="20"/>
        </w:rPr>
        <w:t>1</w:t>
      </w:r>
      <w:r w:rsidRPr="00860520">
        <w:rPr>
          <w:rFonts w:asciiTheme="minorHAnsi" w:hAnsiTheme="minorHAnsi"/>
          <w:b w:val="0"/>
          <w:sz w:val="20"/>
        </w:rPr>
        <w:fldChar w:fldCharType="end"/>
      </w:r>
      <w:r w:rsidR="006C20EE" w:rsidRPr="00860520">
        <w:rPr>
          <w:rFonts w:asciiTheme="majorHAnsi" w:hAnsiTheme="majorHAnsi"/>
          <w:bCs w:val="0"/>
          <w:i/>
          <w:iCs/>
          <w:color w:val="685040"/>
          <w:kern w:val="16"/>
          <w:sz w:val="20"/>
          <w:lang w:eastAsia="en-GB"/>
        </w:rPr>
        <w:t>: Process timeline</w:t>
      </w:r>
      <w:r w:rsidR="006C20EE" w:rsidRPr="002263A9">
        <w:rPr>
          <w:rStyle w:val="FootnoteReference"/>
          <w:rFonts w:asciiTheme="minorHAnsi" w:hAnsiTheme="minorHAnsi"/>
          <w:sz w:val="20"/>
        </w:rPr>
        <w:footnoteReference w:id="4"/>
      </w:r>
      <w:bookmarkEnd w:id="8"/>
    </w:p>
    <w:p w14:paraId="736DD1A7" w14:textId="77777777" w:rsidR="006C20EE" w:rsidRPr="00894701" w:rsidRDefault="006C20EE" w:rsidP="006C20EE">
      <w:pPr>
        <w:jc w:val="both"/>
        <w:rPr>
          <w:rFonts w:asciiTheme="minorHAnsi" w:hAnsiTheme="minorHAnsi"/>
          <w:color w:val="auto"/>
          <w:sz w:val="20"/>
        </w:rPr>
      </w:pPr>
      <w:r w:rsidRPr="00894701">
        <w:rPr>
          <w:rFonts w:asciiTheme="minorHAnsi" w:hAnsiTheme="minorHAnsi"/>
          <w:noProof/>
          <w:color w:val="auto"/>
          <w:sz w:val="20"/>
          <w:lang w:val="en-US" w:eastAsia="en-US"/>
        </w:rPr>
        <w:drawing>
          <wp:anchor distT="0" distB="0" distL="114300" distR="114300" simplePos="0" relativeHeight="251658241" behindDoc="0" locked="0" layoutInCell="1" allowOverlap="1" wp14:anchorId="1F164F8C" wp14:editId="35F67C03">
            <wp:simplePos x="0" y="0"/>
            <wp:positionH relativeFrom="page">
              <wp:posOffset>914400</wp:posOffset>
            </wp:positionH>
            <wp:positionV relativeFrom="paragraph">
              <wp:posOffset>92709</wp:posOffset>
            </wp:positionV>
            <wp:extent cx="5746750" cy="302387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746750" cy="3023870"/>
                    </a:xfrm>
                    <a:prstGeom prst="rect">
                      <a:avLst/>
                    </a:prstGeom>
                    <a:noFill/>
                  </pic:spPr>
                </pic:pic>
              </a:graphicData>
            </a:graphic>
          </wp:anchor>
        </w:drawing>
      </w:r>
    </w:p>
    <w:p w14:paraId="5710EDCD" w14:textId="77777777" w:rsidR="006C20EE" w:rsidRPr="00894701" w:rsidRDefault="006C20EE" w:rsidP="006C20EE">
      <w:pPr>
        <w:jc w:val="both"/>
        <w:rPr>
          <w:rFonts w:asciiTheme="minorHAnsi" w:hAnsiTheme="minorHAnsi"/>
          <w:color w:val="auto"/>
          <w:sz w:val="20"/>
        </w:rPr>
      </w:pPr>
      <w:r w:rsidRPr="00894701">
        <w:rPr>
          <w:rFonts w:asciiTheme="minorHAnsi" w:hAnsiTheme="minorHAnsi"/>
          <w:noProof/>
          <w:color w:val="auto"/>
          <w:sz w:val="20"/>
          <w:lang w:val="en-US" w:eastAsia="en-US"/>
        </w:rPr>
        <w:drawing>
          <wp:anchor distT="0" distB="0" distL="114300" distR="114300" simplePos="0" relativeHeight="251658242" behindDoc="0" locked="0" layoutInCell="1" allowOverlap="1" wp14:anchorId="4C0043E0" wp14:editId="4138B879">
            <wp:simplePos x="0" y="0"/>
            <wp:positionH relativeFrom="page">
              <wp:posOffset>914400</wp:posOffset>
            </wp:positionH>
            <wp:positionV relativeFrom="paragraph">
              <wp:posOffset>-82551</wp:posOffset>
            </wp:positionV>
            <wp:extent cx="5746750" cy="302387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5"/>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746750" cy="3023870"/>
                    </a:xfrm>
                    <a:prstGeom prst="rect">
                      <a:avLst/>
                    </a:prstGeom>
                    <a:noFill/>
                  </pic:spPr>
                </pic:pic>
              </a:graphicData>
            </a:graphic>
          </wp:anchor>
        </w:drawing>
      </w:r>
    </w:p>
    <w:p w14:paraId="3F7FAE4F" w14:textId="77777777" w:rsidR="006C20EE" w:rsidRPr="00894701" w:rsidRDefault="006C20EE" w:rsidP="006C20EE">
      <w:pPr>
        <w:jc w:val="both"/>
        <w:rPr>
          <w:rFonts w:asciiTheme="minorHAnsi" w:hAnsiTheme="minorHAnsi"/>
          <w:color w:val="auto"/>
          <w:sz w:val="20"/>
        </w:rPr>
      </w:pPr>
    </w:p>
    <w:p w14:paraId="204EE890" w14:textId="77777777" w:rsidR="006C20EE" w:rsidRPr="00894701" w:rsidRDefault="006C20EE" w:rsidP="006C20EE">
      <w:pPr>
        <w:jc w:val="both"/>
        <w:rPr>
          <w:rFonts w:asciiTheme="minorHAnsi" w:hAnsiTheme="minorHAnsi"/>
          <w:color w:val="auto"/>
          <w:sz w:val="20"/>
        </w:rPr>
      </w:pPr>
    </w:p>
    <w:p w14:paraId="0E3CAA51" w14:textId="77777777" w:rsidR="006C20EE" w:rsidRPr="00894701" w:rsidRDefault="006C20EE" w:rsidP="006C20EE">
      <w:pPr>
        <w:jc w:val="both"/>
        <w:rPr>
          <w:rFonts w:asciiTheme="minorHAnsi" w:hAnsiTheme="minorHAnsi"/>
          <w:color w:val="auto"/>
          <w:sz w:val="20"/>
        </w:rPr>
      </w:pPr>
    </w:p>
    <w:p w14:paraId="485E9C46" w14:textId="77777777" w:rsidR="006C20EE" w:rsidRPr="00894701" w:rsidRDefault="006C20EE" w:rsidP="006C20EE">
      <w:pPr>
        <w:jc w:val="both"/>
        <w:rPr>
          <w:rFonts w:asciiTheme="minorHAnsi" w:hAnsiTheme="minorHAnsi"/>
          <w:color w:val="auto"/>
          <w:sz w:val="20"/>
        </w:rPr>
      </w:pPr>
    </w:p>
    <w:p w14:paraId="709E01C4" w14:textId="77777777" w:rsidR="006C20EE" w:rsidRPr="00894701" w:rsidRDefault="006C20EE" w:rsidP="006C20EE">
      <w:pPr>
        <w:jc w:val="both"/>
        <w:rPr>
          <w:rFonts w:asciiTheme="minorHAnsi" w:hAnsiTheme="minorHAnsi"/>
          <w:color w:val="auto"/>
          <w:sz w:val="20"/>
        </w:rPr>
      </w:pPr>
    </w:p>
    <w:p w14:paraId="78B6C252" w14:textId="77777777" w:rsidR="006C20EE" w:rsidRPr="00894701" w:rsidRDefault="006C20EE" w:rsidP="006C20EE">
      <w:pPr>
        <w:jc w:val="both"/>
        <w:rPr>
          <w:rFonts w:asciiTheme="minorHAnsi" w:hAnsiTheme="minorHAnsi"/>
          <w:color w:val="auto"/>
          <w:sz w:val="20"/>
        </w:rPr>
      </w:pPr>
    </w:p>
    <w:p w14:paraId="1649C964" w14:textId="77777777" w:rsidR="006C20EE" w:rsidRPr="00894701" w:rsidRDefault="006C20EE" w:rsidP="006C20EE">
      <w:pPr>
        <w:jc w:val="both"/>
        <w:rPr>
          <w:rFonts w:asciiTheme="minorHAnsi" w:hAnsiTheme="minorHAnsi"/>
          <w:color w:val="auto"/>
          <w:sz w:val="20"/>
        </w:rPr>
      </w:pPr>
    </w:p>
    <w:p w14:paraId="27BFAFB6" w14:textId="77777777" w:rsidR="006C20EE" w:rsidRPr="00894701" w:rsidRDefault="006C20EE" w:rsidP="006C20EE">
      <w:pPr>
        <w:jc w:val="both"/>
        <w:rPr>
          <w:rFonts w:asciiTheme="minorHAnsi" w:hAnsiTheme="minorHAnsi"/>
          <w:color w:val="auto"/>
          <w:sz w:val="20"/>
        </w:rPr>
      </w:pPr>
    </w:p>
    <w:p w14:paraId="7FC49D4C" w14:textId="77777777" w:rsidR="006C20EE" w:rsidRPr="00894701" w:rsidRDefault="006C20EE" w:rsidP="006C20EE">
      <w:pPr>
        <w:jc w:val="both"/>
        <w:rPr>
          <w:rFonts w:asciiTheme="minorHAnsi" w:hAnsiTheme="minorHAnsi"/>
          <w:color w:val="auto"/>
          <w:sz w:val="20"/>
        </w:rPr>
      </w:pPr>
    </w:p>
    <w:p w14:paraId="34D3780D" w14:textId="77777777" w:rsidR="006C20EE" w:rsidRPr="00894701" w:rsidRDefault="006C20EE" w:rsidP="006C20EE">
      <w:pPr>
        <w:jc w:val="both"/>
        <w:rPr>
          <w:rFonts w:asciiTheme="minorHAnsi" w:hAnsiTheme="minorHAnsi"/>
          <w:color w:val="auto"/>
          <w:sz w:val="20"/>
        </w:rPr>
      </w:pPr>
    </w:p>
    <w:p w14:paraId="2FB165E9" w14:textId="77777777" w:rsidR="006C20EE" w:rsidRPr="00894701" w:rsidRDefault="006C20EE" w:rsidP="006C20EE">
      <w:pPr>
        <w:jc w:val="both"/>
        <w:rPr>
          <w:rFonts w:asciiTheme="minorHAnsi" w:hAnsiTheme="minorHAnsi"/>
          <w:color w:val="auto"/>
          <w:sz w:val="20"/>
        </w:rPr>
      </w:pPr>
    </w:p>
    <w:p w14:paraId="439F77A8" w14:textId="77777777" w:rsidR="006C20EE" w:rsidRPr="00894701" w:rsidRDefault="006C20EE" w:rsidP="006C20EE">
      <w:pPr>
        <w:jc w:val="both"/>
        <w:rPr>
          <w:rFonts w:asciiTheme="minorHAnsi" w:hAnsiTheme="minorHAnsi"/>
          <w:color w:val="auto"/>
          <w:sz w:val="20"/>
        </w:rPr>
      </w:pPr>
    </w:p>
    <w:bookmarkEnd w:id="5"/>
    <w:p w14:paraId="25AB3309" w14:textId="40E099E9" w:rsidR="00F049A1" w:rsidRDefault="00143941" w:rsidP="00143941">
      <w:pPr>
        <w:jc w:val="both"/>
        <w:rPr>
          <w:rFonts w:asciiTheme="minorHAnsi" w:hAnsiTheme="minorHAnsi"/>
          <w:color w:val="auto"/>
          <w:sz w:val="20"/>
        </w:rPr>
      </w:pPr>
      <w:r w:rsidRPr="00894701">
        <w:rPr>
          <w:rFonts w:asciiTheme="minorHAnsi" w:hAnsiTheme="minorHAnsi"/>
          <w:color w:val="auto"/>
          <w:sz w:val="20"/>
        </w:rPr>
        <w:t>The EITI-SR Multi-Stakeholder Group (EITI-SR MSG) has been established by State Resolution on 17 November 2016 (760/</w:t>
      </w:r>
      <w:r w:rsidR="001B0BEA" w:rsidRPr="00894701">
        <w:rPr>
          <w:rFonts w:asciiTheme="minorHAnsi" w:hAnsiTheme="minorHAnsi"/>
          <w:color w:val="auto"/>
          <w:sz w:val="20"/>
        </w:rPr>
        <w:t>R</w:t>
      </w:r>
      <w:r w:rsidR="001B0BEA">
        <w:rPr>
          <w:rFonts w:asciiTheme="minorHAnsi" w:hAnsiTheme="minorHAnsi"/>
          <w:color w:val="auto"/>
          <w:sz w:val="20"/>
        </w:rPr>
        <w:t>V</w:t>
      </w:r>
      <w:r w:rsidR="001B0BEA" w:rsidRPr="00894701">
        <w:rPr>
          <w:rFonts w:asciiTheme="minorHAnsi" w:hAnsiTheme="minorHAnsi"/>
          <w:color w:val="auto"/>
          <w:sz w:val="20"/>
        </w:rPr>
        <w:t>M</w:t>
      </w:r>
      <w:r w:rsidRPr="00894701">
        <w:rPr>
          <w:rFonts w:asciiTheme="minorHAnsi" w:hAnsiTheme="minorHAnsi"/>
          <w:color w:val="auto"/>
          <w:sz w:val="20"/>
        </w:rPr>
        <w:t>). The main function of the MSG is to oversee the EITI implementation in Suriname. The MSG</w:t>
      </w:r>
      <w:r w:rsidR="00B101C1">
        <w:rPr>
          <w:rFonts w:asciiTheme="minorHAnsi" w:hAnsiTheme="minorHAnsi"/>
          <w:color w:val="auto"/>
          <w:sz w:val="20"/>
        </w:rPr>
        <w:t>’s</w:t>
      </w:r>
      <w:r w:rsidR="004B25D8">
        <w:rPr>
          <w:rFonts w:asciiTheme="minorHAnsi" w:hAnsiTheme="minorHAnsi"/>
          <w:color w:val="auto"/>
          <w:sz w:val="20"/>
        </w:rPr>
        <w:t xml:space="preserve"> </w:t>
      </w:r>
      <w:r w:rsidRPr="00894701">
        <w:rPr>
          <w:rFonts w:asciiTheme="minorHAnsi" w:hAnsiTheme="minorHAnsi"/>
          <w:color w:val="auto"/>
          <w:sz w:val="20"/>
        </w:rPr>
        <w:t xml:space="preserve">main strategic </w:t>
      </w:r>
      <w:r w:rsidR="00B101C1">
        <w:rPr>
          <w:rFonts w:asciiTheme="minorHAnsi" w:hAnsiTheme="minorHAnsi"/>
          <w:color w:val="auto"/>
          <w:sz w:val="20"/>
        </w:rPr>
        <w:t>priority</w:t>
      </w:r>
      <w:r w:rsidR="00B101C1" w:rsidRPr="00894701">
        <w:rPr>
          <w:rFonts w:asciiTheme="minorHAnsi" w:hAnsiTheme="minorHAnsi"/>
          <w:color w:val="auto"/>
          <w:sz w:val="20"/>
        </w:rPr>
        <w:t xml:space="preserve"> </w:t>
      </w:r>
      <w:r w:rsidRPr="00894701">
        <w:rPr>
          <w:rFonts w:asciiTheme="minorHAnsi" w:hAnsiTheme="minorHAnsi"/>
          <w:color w:val="auto"/>
          <w:sz w:val="20"/>
        </w:rPr>
        <w:t xml:space="preserve">for Suriname EITI </w:t>
      </w:r>
      <w:r w:rsidR="00B101C1">
        <w:rPr>
          <w:rFonts w:asciiTheme="minorHAnsi" w:hAnsiTheme="minorHAnsi"/>
          <w:color w:val="auto"/>
          <w:sz w:val="20"/>
        </w:rPr>
        <w:t xml:space="preserve">is </w:t>
      </w:r>
      <w:r w:rsidRPr="00894701">
        <w:rPr>
          <w:rFonts w:asciiTheme="minorHAnsi" w:hAnsiTheme="minorHAnsi"/>
          <w:color w:val="auto"/>
          <w:sz w:val="20"/>
        </w:rPr>
        <w:t xml:space="preserve">to mainstream EITI implementation within government systems. With this intention in mind, their 2019-2020 work plan included the following objectives for implementation: </w:t>
      </w:r>
    </w:p>
    <w:p w14:paraId="77F5C9EF" w14:textId="77777777" w:rsidR="00F049A1" w:rsidRDefault="00143941" w:rsidP="00F049A1">
      <w:pPr>
        <w:pStyle w:val="ListParagraph"/>
        <w:numPr>
          <w:ilvl w:val="0"/>
          <w:numId w:val="101"/>
        </w:numPr>
        <w:jc w:val="both"/>
        <w:rPr>
          <w:rFonts w:asciiTheme="minorHAnsi" w:hAnsiTheme="minorHAnsi"/>
          <w:color w:val="auto"/>
          <w:sz w:val="20"/>
        </w:rPr>
      </w:pPr>
      <w:r w:rsidRPr="004B25D8">
        <w:rPr>
          <w:rFonts w:asciiTheme="minorHAnsi" w:hAnsiTheme="minorHAnsi"/>
          <w:color w:val="auto"/>
          <w:sz w:val="20"/>
        </w:rPr>
        <w:t xml:space="preserve">disseminating key information from EITI Reports; </w:t>
      </w:r>
    </w:p>
    <w:p w14:paraId="322965F9" w14:textId="77777777" w:rsidR="00F049A1" w:rsidRDefault="00143941" w:rsidP="00F049A1">
      <w:pPr>
        <w:pStyle w:val="ListParagraph"/>
        <w:numPr>
          <w:ilvl w:val="0"/>
          <w:numId w:val="101"/>
        </w:numPr>
        <w:jc w:val="both"/>
        <w:rPr>
          <w:rFonts w:asciiTheme="minorHAnsi" w:hAnsiTheme="minorHAnsi"/>
          <w:color w:val="auto"/>
          <w:sz w:val="20"/>
        </w:rPr>
      </w:pPr>
      <w:r w:rsidRPr="004B25D8">
        <w:rPr>
          <w:rFonts w:asciiTheme="minorHAnsi" w:hAnsiTheme="minorHAnsi"/>
          <w:color w:val="auto"/>
          <w:sz w:val="20"/>
        </w:rPr>
        <w:t xml:space="preserve">implementing the Beneficial Ownership Roadmap; and </w:t>
      </w:r>
    </w:p>
    <w:p w14:paraId="76182C73" w14:textId="2899DFBF" w:rsidR="00143941" w:rsidRPr="004B25D8" w:rsidRDefault="00143941" w:rsidP="00197D9B">
      <w:pPr>
        <w:pStyle w:val="ListParagraph"/>
        <w:numPr>
          <w:ilvl w:val="0"/>
          <w:numId w:val="101"/>
        </w:numPr>
        <w:jc w:val="both"/>
        <w:rPr>
          <w:rFonts w:asciiTheme="minorHAnsi" w:hAnsiTheme="minorHAnsi"/>
          <w:color w:val="auto"/>
          <w:sz w:val="20"/>
        </w:rPr>
      </w:pPr>
      <w:r w:rsidRPr="004B25D8">
        <w:rPr>
          <w:rFonts w:asciiTheme="minorHAnsi" w:hAnsiTheme="minorHAnsi"/>
          <w:color w:val="auto"/>
          <w:sz w:val="20"/>
        </w:rPr>
        <w:t xml:space="preserve">expanding the reporting scope to also include construction materials. </w:t>
      </w:r>
    </w:p>
    <w:p w14:paraId="186E2EEB" w14:textId="4F818E12" w:rsidR="00143941" w:rsidRPr="00894701" w:rsidRDefault="00143941" w:rsidP="00143941">
      <w:pPr>
        <w:jc w:val="both"/>
        <w:rPr>
          <w:rFonts w:asciiTheme="minorHAnsi" w:hAnsiTheme="minorHAnsi"/>
          <w:color w:val="auto"/>
          <w:sz w:val="20"/>
        </w:rPr>
      </w:pPr>
      <w:r w:rsidRPr="00894701">
        <w:rPr>
          <w:rFonts w:asciiTheme="minorHAnsi" w:hAnsiTheme="minorHAnsi"/>
          <w:color w:val="auto"/>
          <w:sz w:val="20"/>
        </w:rPr>
        <w:t xml:space="preserve">The EITI-SR process covers two sectors in Suriname: mining and oil &amp; gas. To date, Suriname has published two EITI Reports, covering the fiscal years 2016 and 2017, respectively. This </w:t>
      </w:r>
      <w:r w:rsidRPr="00894701">
        <w:rPr>
          <w:rFonts w:asciiTheme="minorHAnsi" w:hAnsiTheme="minorHAnsi" w:cs="Arial"/>
          <w:color w:val="auto"/>
          <w:sz w:val="20"/>
        </w:rPr>
        <w:t>report</w:t>
      </w:r>
      <w:r w:rsidRPr="00894701">
        <w:rPr>
          <w:rFonts w:asciiTheme="minorHAnsi" w:hAnsiTheme="minorHAnsi"/>
          <w:color w:val="auto"/>
          <w:sz w:val="20"/>
        </w:rPr>
        <w:t xml:space="preserve"> covers three fiscal years: 2018, 2019 and 2020. </w:t>
      </w:r>
    </w:p>
    <w:p w14:paraId="560A99A7" w14:textId="77777777" w:rsidR="00143941" w:rsidRPr="00894701" w:rsidRDefault="00143941" w:rsidP="00143941">
      <w:pPr>
        <w:jc w:val="both"/>
        <w:rPr>
          <w:rFonts w:asciiTheme="minorHAnsi" w:hAnsiTheme="minorHAnsi"/>
          <w:sz w:val="28"/>
        </w:rPr>
      </w:pPr>
      <w:bookmarkStart w:id="9" w:name="_Toc551418"/>
      <w:r w:rsidRPr="00894701">
        <w:rPr>
          <w:rFonts w:asciiTheme="minorHAnsi" w:hAnsiTheme="minorHAnsi"/>
          <w:sz w:val="28"/>
        </w:rPr>
        <w:t>Objecti</w:t>
      </w:r>
      <w:bookmarkEnd w:id="9"/>
      <w:r w:rsidRPr="00894701">
        <w:rPr>
          <w:rFonts w:asciiTheme="minorHAnsi" w:hAnsiTheme="minorHAnsi"/>
          <w:sz w:val="28"/>
        </w:rPr>
        <w:t xml:space="preserve">ve </w:t>
      </w:r>
    </w:p>
    <w:p w14:paraId="6FB582EB" w14:textId="77777777" w:rsidR="00143941" w:rsidRPr="00894701" w:rsidRDefault="00143941" w:rsidP="00143941">
      <w:pPr>
        <w:jc w:val="both"/>
        <w:rPr>
          <w:rFonts w:cs="Arial"/>
          <w:color w:val="000000"/>
          <w:sz w:val="20"/>
          <w:lang w:eastAsia="fr-FR"/>
        </w:rPr>
      </w:pPr>
      <w:r w:rsidRPr="00894701">
        <w:rPr>
          <w:rFonts w:cs="Arial"/>
          <w:color w:val="000000"/>
          <w:sz w:val="20"/>
          <w:lang w:eastAsia="fr-FR"/>
        </w:rPr>
        <w:t>EITI requires publishing comprehensive EITI reports, including full disclosure of government revenues from the extractive sector, as well as the disclosure of all material payments made to the government by companies operating in the oil, gas and mining sectors</w:t>
      </w:r>
      <w:r w:rsidRPr="00894701">
        <w:rPr>
          <w:rStyle w:val="FootnoteReference"/>
          <w:rFonts w:cs="Arial"/>
          <w:color w:val="000000"/>
          <w:sz w:val="20"/>
          <w:lang w:eastAsia="fr-FR"/>
        </w:rPr>
        <w:footnoteReference w:id="5"/>
      </w:r>
      <w:r w:rsidRPr="00894701">
        <w:rPr>
          <w:rFonts w:cs="Arial"/>
          <w:color w:val="000000"/>
          <w:sz w:val="20"/>
          <w:lang w:eastAsia="fr-FR"/>
        </w:rPr>
        <w:t>.</w:t>
      </w:r>
    </w:p>
    <w:p w14:paraId="216C56C0" w14:textId="77777777" w:rsidR="00143941" w:rsidRPr="00894701" w:rsidRDefault="00143941" w:rsidP="00143941">
      <w:pPr>
        <w:jc w:val="both"/>
        <w:rPr>
          <w:rFonts w:cs="Arial"/>
          <w:color w:val="000000"/>
          <w:sz w:val="20"/>
          <w:lang w:eastAsia="fr-FR"/>
        </w:rPr>
      </w:pPr>
      <w:r w:rsidRPr="00894701">
        <w:rPr>
          <w:rFonts w:cs="Arial"/>
          <w:color w:val="000000"/>
          <w:sz w:val="20"/>
          <w:lang w:eastAsia="fr-FR"/>
        </w:rPr>
        <w:t>The objective of this EITI report is to help the understanding of the level of contributions of the extractive sector to the economic and social development of Suriname to improve transparency and good governance at all levels of the extractive industry value chain.</w:t>
      </w:r>
    </w:p>
    <w:p w14:paraId="5448D472" w14:textId="015875DB" w:rsidR="00E44566" w:rsidRDefault="00143941" w:rsidP="00143941">
      <w:pPr>
        <w:spacing w:after="240"/>
        <w:jc w:val="both"/>
        <w:rPr>
          <w:rFonts w:cs="Arial"/>
          <w:color w:val="000000"/>
          <w:sz w:val="20"/>
          <w:lang w:eastAsia="fr-FR"/>
        </w:rPr>
      </w:pPr>
      <w:r w:rsidRPr="00894701">
        <w:rPr>
          <w:rFonts w:cs="Arial"/>
          <w:color w:val="000000"/>
          <w:sz w:val="20"/>
          <w:lang w:eastAsia="fr-FR"/>
        </w:rPr>
        <w:t>The objectives of the EITI implementation are set out in the EITI Standard.</w:t>
      </w:r>
      <w:r w:rsidRPr="00894701">
        <w:rPr>
          <w:rStyle w:val="FootnoteReference"/>
          <w:rFonts w:cs="Arial"/>
          <w:color w:val="000000"/>
          <w:sz w:val="20"/>
          <w:lang w:eastAsia="fr-FR"/>
        </w:rPr>
        <w:footnoteReference w:id="6"/>
      </w:r>
      <w:r w:rsidRPr="00894701">
        <w:rPr>
          <w:rFonts w:cs="Arial"/>
          <w:color w:val="000000"/>
          <w:sz w:val="20"/>
          <w:lang w:eastAsia="fr-FR"/>
        </w:rPr>
        <w:t xml:space="preserve"> </w:t>
      </w:r>
      <w:r w:rsidR="00E44566">
        <w:rPr>
          <w:rFonts w:cs="Arial"/>
          <w:color w:val="000000"/>
          <w:sz w:val="20"/>
          <w:lang w:eastAsia="fr-FR"/>
        </w:rPr>
        <w:br w:type="page"/>
      </w:r>
    </w:p>
    <w:p w14:paraId="39AE08A8" w14:textId="77777777" w:rsidR="00143941" w:rsidRPr="00894701" w:rsidRDefault="00143941" w:rsidP="00B55953">
      <w:pPr>
        <w:spacing w:after="0"/>
        <w:jc w:val="both"/>
        <w:rPr>
          <w:rFonts w:cs="Arial"/>
          <w:color w:val="000000"/>
          <w:sz w:val="20"/>
          <w:lang w:eastAsia="fr-FR"/>
        </w:rPr>
      </w:pPr>
    </w:p>
    <w:p w14:paraId="5C892C62" w14:textId="12EAB028" w:rsidR="00A83578" w:rsidRPr="00894701" w:rsidRDefault="00A83578" w:rsidP="00B55953">
      <w:pPr>
        <w:pStyle w:val="Heading2"/>
        <w:spacing w:after="240"/>
        <w:ind w:right="482"/>
        <w:rPr>
          <w:rFonts w:asciiTheme="minorHAnsi" w:hAnsiTheme="minorHAnsi"/>
          <w:sz w:val="28"/>
        </w:rPr>
      </w:pPr>
      <w:bookmarkStart w:id="10" w:name="_Toc3312087"/>
      <w:bookmarkStart w:id="11" w:name="_Toc122478829"/>
      <w:r w:rsidRPr="00894701">
        <w:rPr>
          <w:rFonts w:asciiTheme="minorHAnsi" w:hAnsiTheme="minorHAnsi"/>
          <w:sz w:val="28"/>
        </w:rPr>
        <w:t>Scope of Work</w:t>
      </w:r>
      <w:bookmarkEnd w:id="10"/>
      <w:bookmarkEnd w:id="11"/>
    </w:p>
    <w:p w14:paraId="1CAF3D20" w14:textId="22D98792" w:rsidR="005E6341" w:rsidRPr="00894701" w:rsidRDefault="005E6341" w:rsidP="00B226CF">
      <w:pPr>
        <w:jc w:val="both"/>
        <w:rPr>
          <w:rFonts w:cs="Arial"/>
          <w:color w:val="000000"/>
          <w:sz w:val="20"/>
          <w:lang w:eastAsia="fr-FR"/>
        </w:rPr>
      </w:pPr>
      <w:r w:rsidRPr="00894701">
        <w:rPr>
          <w:rFonts w:cs="Arial"/>
          <w:color w:val="000000"/>
          <w:sz w:val="20"/>
          <w:lang w:eastAsia="fr-FR"/>
        </w:rPr>
        <w:t xml:space="preserve">BDO LLP was appointed as Independent Administrator to prepare the third EITI-SR Report </w:t>
      </w:r>
      <w:r w:rsidR="00CE12CA" w:rsidRPr="00894701">
        <w:rPr>
          <w:rFonts w:cs="Arial"/>
          <w:color w:val="000000"/>
          <w:sz w:val="20"/>
          <w:lang w:eastAsia="fr-FR"/>
        </w:rPr>
        <w:t xml:space="preserve">covering </w:t>
      </w:r>
      <w:r w:rsidR="005E38A8" w:rsidRPr="00894701">
        <w:rPr>
          <w:rFonts w:cs="Arial"/>
          <w:color w:val="000000"/>
          <w:sz w:val="20"/>
          <w:lang w:eastAsia="fr-FR"/>
        </w:rPr>
        <w:t xml:space="preserve">the </w:t>
      </w:r>
      <w:r w:rsidR="00702D95" w:rsidRPr="00894701">
        <w:rPr>
          <w:rFonts w:cs="Arial"/>
          <w:color w:val="000000"/>
          <w:sz w:val="20"/>
          <w:lang w:eastAsia="fr-FR"/>
        </w:rPr>
        <w:t xml:space="preserve">fiscal years </w:t>
      </w:r>
      <w:r w:rsidR="00157BEE" w:rsidRPr="00894701">
        <w:rPr>
          <w:rFonts w:cs="Arial"/>
          <w:color w:val="000000"/>
          <w:sz w:val="20"/>
          <w:lang w:eastAsia="fr-FR"/>
        </w:rPr>
        <w:t xml:space="preserve">2018, </w:t>
      </w:r>
      <w:r w:rsidRPr="00894701">
        <w:rPr>
          <w:rFonts w:cs="Arial"/>
          <w:color w:val="000000"/>
          <w:sz w:val="20"/>
          <w:lang w:eastAsia="fr-FR"/>
        </w:rPr>
        <w:t>2019</w:t>
      </w:r>
      <w:r w:rsidR="00157BEE" w:rsidRPr="00894701">
        <w:rPr>
          <w:rFonts w:cs="Arial"/>
          <w:color w:val="000000"/>
          <w:sz w:val="20"/>
          <w:lang w:eastAsia="fr-FR"/>
        </w:rPr>
        <w:t xml:space="preserve"> and 2020</w:t>
      </w:r>
      <w:r w:rsidRPr="00894701">
        <w:rPr>
          <w:rFonts w:cs="Arial"/>
          <w:color w:val="000000"/>
          <w:sz w:val="20"/>
          <w:lang w:eastAsia="fr-FR"/>
        </w:rPr>
        <w:t>.</w:t>
      </w:r>
    </w:p>
    <w:p w14:paraId="09C8BDD5" w14:textId="77777777" w:rsidR="005E6341" w:rsidRPr="00894701" w:rsidRDefault="005E6341" w:rsidP="00B226CF">
      <w:pPr>
        <w:jc w:val="both"/>
        <w:rPr>
          <w:rFonts w:cs="Arial"/>
          <w:color w:val="000000"/>
          <w:sz w:val="20"/>
          <w:lang w:eastAsia="fr-FR"/>
        </w:rPr>
      </w:pPr>
      <w:r w:rsidRPr="00894701">
        <w:rPr>
          <w:rFonts w:cs="Arial"/>
          <w:color w:val="000000"/>
          <w:sz w:val="20"/>
          <w:lang w:eastAsia="fr-FR"/>
        </w:rPr>
        <w:t>This engagement was carried out in accordance with the International Standards on Related Services (ISRS 4400 Engagements to perform agreed upon procedures regarding Financial Information). The procedures performed were those set out in the terms of reference as defined in the Contract for Consultants’ Services.</w:t>
      </w:r>
    </w:p>
    <w:p w14:paraId="7527599C" w14:textId="77777777" w:rsidR="005E6341" w:rsidRPr="00894701" w:rsidRDefault="005E6341" w:rsidP="00B226CF">
      <w:pPr>
        <w:jc w:val="both"/>
        <w:rPr>
          <w:rFonts w:cs="Arial"/>
          <w:color w:val="auto"/>
          <w:sz w:val="20"/>
          <w:lang w:eastAsia="fr-FR"/>
        </w:rPr>
      </w:pPr>
      <w:r w:rsidRPr="00894701">
        <w:rPr>
          <w:rFonts w:cs="Arial"/>
          <w:color w:val="000000"/>
          <w:sz w:val="20"/>
          <w:lang w:eastAsia="fr-FR"/>
        </w:rPr>
        <w:t xml:space="preserve">The reconciliation procedures carried out were not designed to constitute an audit or a review in accordance with International Standards on Auditing or International Standards on Review Engagements and as a result, no assurances on the transactions beyond the explicit statements set out in this report are being expressed. </w:t>
      </w:r>
    </w:p>
    <w:p w14:paraId="31719447" w14:textId="798B8AFA" w:rsidR="0048344D" w:rsidRPr="00894701" w:rsidRDefault="0048344D" w:rsidP="00B226CF">
      <w:pPr>
        <w:jc w:val="both"/>
        <w:rPr>
          <w:rFonts w:cs="Arial"/>
          <w:color w:val="auto"/>
          <w:sz w:val="20"/>
          <w:lang w:eastAsia="fr-FR"/>
        </w:rPr>
      </w:pPr>
      <w:r w:rsidRPr="00894701">
        <w:rPr>
          <w:rFonts w:cs="Arial"/>
          <w:color w:val="auto"/>
          <w:sz w:val="20"/>
          <w:lang w:eastAsia="fr-FR"/>
        </w:rPr>
        <w:t xml:space="preserve">The report consists of </w:t>
      </w:r>
      <w:r w:rsidR="00090FFA">
        <w:rPr>
          <w:rFonts w:cs="Arial"/>
          <w:color w:val="auto"/>
          <w:sz w:val="20"/>
          <w:lang w:eastAsia="fr-FR"/>
        </w:rPr>
        <w:t>six</w:t>
      </w:r>
      <w:r w:rsidR="00090FFA" w:rsidRPr="00894701">
        <w:rPr>
          <w:rFonts w:cs="Arial"/>
          <w:color w:val="auto"/>
          <w:sz w:val="20"/>
          <w:lang w:eastAsia="fr-FR"/>
        </w:rPr>
        <w:t xml:space="preserve"> </w:t>
      </w:r>
      <w:r w:rsidRPr="00894701">
        <w:rPr>
          <w:rFonts w:cs="Arial"/>
          <w:color w:val="auto"/>
          <w:sz w:val="20"/>
          <w:lang w:eastAsia="fr-FR"/>
        </w:rPr>
        <w:t>(</w:t>
      </w:r>
      <w:r w:rsidR="00090FFA">
        <w:rPr>
          <w:rFonts w:cs="Arial"/>
          <w:color w:val="auto"/>
          <w:sz w:val="20"/>
          <w:lang w:eastAsia="fr-FR"/>
        </w:rPr>
        <w:t>6</w:t>
      </w:r>
      <w:r w:rsidRPr="00894701">
        <w:rPr>
          <w:rFonts w:cs="Arial"/>
          <w:color w:val="auto"/>
          <w:sz w:val="20"/>
          <w:lang w:eastAsia="fr-FR"/>
        </w:rPr>
        <w:t>) chapters presented as follows:</w:t>
      </w:r>
    </w:p>
    <w:p w14:paraId="6D523D5C" w14:textId="77777777" w:rsidR="0048344D" w:rsidRPr="00894701" w:rsidRDefault="0048344D" w:rsidP="003560DE">
      <w:pPr>
        <w:numPr>
          <w:ilvl w:val="0"/>
          <w:numId w:val="69"/>
        </w:numPr>
        <w:spacing w:before="60" w:after="0"/>
        <w:jc w:val="both"/>
        <w:rPr>
          <w:rFonts w:cs="Arial"/>
          <w:color w:val="000000"/>
          <w:sz w:val="20"/>
          <w:lang w:eastAsia="fr-FR"/>
        </w:rPr>
      </w:pPr>
      <w:r w:rsidRPr="00894701">
        <w:rPr>
          <w:rFonts w:cs="Arial"/>
          <w:color w:val="000000"/>
          <w:sz w:val="20"/>
          <w:lang w:eastAsia="fr-FR"/>
        </w:rPr>
        <w:t>Executive Summary;</w:t>
      </w:r>
    </w:p>
    <w:p w14:paraId="0708DCE6" w14:textId="77777777" w:rsidR="0048344D" w:rsidRPr="00894701" w:rsidRDefault="0048344D" w:rsidP="003560DE">
      <w:pPr>
        <w:numPr>
          <w:ilvl w:val="0"/>
          <w:numId w:val="69"/>
        </w:numPr>
        <w:spacing w:after="0"/>
        <w:jc w:val="both"/>
        <w:rPr>
          <w:rFonts w:cs="Arial"/>
          <w:color w:val="000000"/>
          <w:sz w:val="20"/>
          <w:lang w:eastAsia="fr-FR"/>
        </w:rPr>
      </w:pPr>
      <w:r w:rsidRPr="00894701">
        <w:rPr>
          <w:rFonts w:cs="Arial"/>
          <w:color w:val="000000"/>
          <w:sz w:val="20"/>
          <w:lang w:eastAsia="fr-FR"/>
        </w:rPr>
        <w:t>Approach and Methodology;</w:t>
      </w:r>
    </w:p>
    <w:p w14:paraId="7A0F1B60" w14:textId="77777777" w:rsidR="0048344D" w:rsidRPr="00894701" w:rsidRDefault="0048344D" w:rsidP="003560DE">
      <w:pPr>
        <w:numPr>
          <w:ilvl w:val="0"/>
          <w:numId w:val="69"/>
        </w:numPr>
        <w:spacing w:after="0"/>
        <w:jc w:val="both"/>
        <w:rPr>
          <w:rFonts w:cs="Arial"/>
          <w:color w:val="000000"/>
          <w:sz w:val="20"/>
          <w:lang w:eastAsia="fr-FR"/>
        </w:rPr>
      </w:pPr>
      <w:r w:rsidRPr="00894701">
        <w:rPr>
          <w:rFonts w:cs="Arial"/>
          <w:color w:val="000000"/>
          <w:sz w:val="20"/>
          <w:lang w:eastAsia="fr-FR"/>
        </w:rPr>
        <w:t>Contextual Information on the Extractive sectors;</w:t>
      </w:r>
    </w:p>
    <w:p w14:paraId="309A1814" w14:textId="77777777" w:rsidR="0048344D" w:rsidRPr="00894701" w:rsidRDefault="0048344D" w:rsidP="003560DE">
      <w:pPr>
        <w:numPr>
          <w:ilvl w:val="0"/>
          <w:numId w:val="69"/>
        </w:numPr>
        <w:spacing w:after="0"/>
        <w:jc w:val="both"/>
        <w:rPr>
          <w:rFonts w:cs="Arial"/>
          <w:color w:val="000000"/>
          <w:sz w:val="20"/>
          <w:lang w:eastAsia="fr-FR"/>
        </w:rPr>
      </w:pPr>
      <w:r w:rsidRPr="00894701">
        <w:rPr>
          <w:rFonts w:cs="Arial"/>
          <w:color w:val="000000"/>
          <w:sz w:val="20"/>
          <w:lang w:eastAsia="fr-FR"/>
        </w:rPr>
        <w:t>Defining the reconciliation scope;</w:t>
      </w:r>
    </w:p>
    <w:p w14:paraId="1D591A85" w14:textId="77777777" w:rsidR="0048344D" w:rsidRPr="00894701" w:rsidRDefault="0048344D" w:rsidP="003560DE">
      <w:pPr>
        <w:numPr>
          <w:ilvl w:val="0"/>
          <w:numId w:val="69"/>
        </w:numPr>
        <w:spacing w:after="0"/>
        <w:jc w:val="both"/>
        <w:rPr>
          <w:rFonts w:cs="Arial"/>
          <w:color w:val="000000"/>
          <w:sz w:val="20"/>
          <w:lang w:eastAsia="fr-FR"/>
        </w:rPr>
      </w:pPr>
      <w:r w:rsidRPr="00894701">
        <w:rPr>
          <w:rFonts w:cs="Arial"/>
          <w:color w:val="000000"/>
          <w:sz w:val="20"/>
          <w:lang w:eastAsia="fr-FR"/>
        </w:rPr>
        <w:t>Analysis of reported data; and</w:t>
      </w:r>
    </w:p>
    <w:p w14:paraId="7E5B1FA1" w14:textId="77777777" w:rsidR="0048344D" w:rsidRPr="00894701" w:rsidRDefault="0048344D" w:rsidP="003560DE">
      <w:pPr>
        <w:numPr>
          <w:ilvl w:val="0"/>
          <w:numId w:val="69"/>
        </w:numPr>
        <w:jc w:val="both"/>
        <w:rPr>
          <w:rFonts w:cs="Arial"/>
          <w:color w:val="000000"/>
          <w:sz w:val="20"/>
          <w:lang w:eastAsia="fr-FR"/>
        </w:rPr>
      </w:pPr>
      <w:r w:rsidRPr="00894701">
        <w:rPr>
          <w:rFonts w:cs="Arial"/>
          <w:color w:val="000000"/>
          <w:sz w:val="20"/>
          <w:lang w:eastAsia="fr-FR"/>
        </w:rPr>
        <w:t>Implementation status of EITI recommendations.</w:t>
      </w:r>
    </w:p>
    <w:p w14:paraId="08D94FFD" w14:textId="77777777" w:rsidR="0048344D" w:rsidRPr="00894701" w:rsidRDefault="0048344D" w:rsidP="00B226CF">
      <w:pPr>
        <w:jc w:val="both"/>
        <w:rPr>
          <w:rFonts w:cs="Arial"/>
          <w:color w:val="000000"/>
          <w:sz w:val="20"/>
          <w:lang w:eastAsia="fr-FR"/>
        </w:rPr>
      </w:pPr>
      <w:r w:rsidRPr="00894701">
        <w:rPr>
          <w:rFonts w:cs="Arial"/>
          <w:color w:val="000000"/>
          <w:sz w:val="20"/>
          <w:lang w:eastAsia="fr-FR"/>
        </w:rPr>
        <w:t>Reported data disaggregated by extractive entities, Government Agencies and revenue streams, are presented in Sections 5 and 6 of this report.</w:t>
      </w:r>
    </w:p>
    <w:p w14:paraId="13DE50FD" w14:textId="342A33B8" w:rsidR="0048344D" w:rsidRPr="00894701" w:rsidRDefault="0048344D" w:rsidP="00B226CF">
      <w:pPr>
        <w:autoSpaceDE w:val="0"/>
        <w:autoSpaceDN w:val="0"/>
        <w:adjustRightInd w:val="0"/>
        <w:spacing w:after="240"/>
        <w:ind w:right="-22"/>
        <w:jc w:val="both"/>
        <w:rPr>
          <w:rFonts w:asciiTheme="majorHAnsi" w:hAnsiTheme="majorHAnsi"/>
          <w:sz w:val="28"/>
          <w:szCs w:val="28"/>
        </w:rPr>
      </w:pPr>
      <w:r w:rsidRPr="00894701">
        <w:rPr>
          <w:rFonts w:cs="Arial"/>
          <w:color w:val="000000"/>
          <w:sz w:val="20"/>
          <w:lang w:eastAsia="fr-FR"/>
        </w:rPr>
        <w:t xml:space="preserve">This report incorporates information received up to </w:t>
      </w:r>
      <w:r w:rsidR="00A10F82" w:rsidRPr="00894701">
        <w:rPr>
          <w:rFonts w:cs="Arial"/>
          <w:color w:val="000000"/>
          <w:sz w:val="20"/>
          <w:lang w:eastAsia="fr-FR"/>
        </w:rPr>
        <w:t xml:space="preserve">15 </w:t>
      </w:r>
      <w:r w:rsidR="00DA055B" w:rsidRPr="00894701">
        <w:rPr>
          <w:rFonts w:cs="Arial"/>
          <w:color w:val="000000"/>
          <w:sz w:val="20"/>
          <w:lang w:eastAsia="fr-FR"/>
        </w:rPr>
        <w:t xml:space="preserve">November </w:t>
      </w:r>
      <w:r w:rsidRPr="00894701">
        <w:rPr>
          <w:rFonts w:cs="Arial"/>
          <w:color w:val="000000"/>
          <w:sz w:val="20"/>
          <w:lang w:eastAsia="fr-FR"/>
        </w:rPr>
        <w:t xml:space="preserve">2022. Any information received after this date has not, therefore, been included therein. </w:t>
      </w:r>
    </w:p>
    <w:p w14:paraId="5129B600" w14:textId="77777777" w:rsidR="00757F0F" w:rsidRPr="00894701" w:rsidRDefault="00757F0F" w:rsidP="00B226CF">
      <w:pPr>
        <w:pStyle w:val="Heading2"/>
        <w:spacing w:after="240"/>
        <w:ind w:right="480"/>
        <w:rPr>
          <w:rFonts w:asciiTheme="majorHAnsi" w:hAnsiTheme="majorHAnsi"/>
          <w:sz w:val="28"/>
          <w:szCs w:val="28"/>
        </w:rPr>
      </w:pPr>
      <w:bookmarkStart w:id="12" w:name="_Toc104555373"/>
      <w:bookmarkStart w:id="13" w:name="_Toc122478830"/>
      <w:r w:rsidRPr="00894701">
        <w:rPr>
          <w:rFonts w:asciiTheme="majorHAnsi" w:hAnsiTheme="majorHAnsi"/>
          <w:sz w:val="28"/>
          <w:szCs w:val="28"/>
        </w:rPr>
        <w:t>Terminology</w:t>
      </w:r>
      <w:bookmarkEnd w:id="12"/>
      <w:bookmarkEnd w:id="13"/>
      <w:r w:rsidRPr="00894701">
        <w:rPr>
          <w:rFonts w:asciiTheme="majorHAnsi" w:hAnsiTheme="majorHAnsi"/>
          <w:sz w:val="28"/>
          <w:szCs w:val="28"/>
        </w:rPr>
        <w:t xml:space="preserve"> </w:t>
      </w:r>
    </w:p>
    <w:p w14:paraId="7A83E2CE" w14:textId="62E7D722" w:rsidR="00C309C1" w:rsidRPr="00894701" w:rsidRDefault="00C309C1" w:rsidP="004B09B6">
      <w:pPr>
        <w:pStyle w:val="BodyTextRed"/>
        <w:jc w:val="center"/>
        <w:rPr>
          <w:b/>
          <w:bCs/>
          <w:color w:val="98002E" w:themeColor="accent3"/>
          <w:sz w:val="20"/>
          <w:szCs w:val="20"/>
        </w:rPr>
      </w:pPr>
      <w:bookmarkStart w:id="14" w:name="_Toc146590474"/>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2</w:t>
      </w:r>
      <w:r w:rsidRPr="00894701">
        <w:rPr>
          <w:b/>
          <w:bCs/>
          <w:color w:val="98002E" w:themeColor="accent3"/>
          <w:sz w:val="20"/>
          <w:szCs w:val="20"/>
        </w:rPr>
        <w:fldChar w:fldCharType="end"/>
      </w:r>
      <w:r w:rsidR="00596A8E" w:rsidRPr="00894701">
        <w:rPr>
          <w:b/>
          <w:bCs/>
          <w:color w:val="98002E" w:themeColor="accent3"/>
          <w:sz w:val="20"/>
          <w:szCs w:val="20"/>
        </w:rPr>
        <w:t xml:space="preserve">: </w:t>
      </w:r>
      <w:r w:rsidR="004B09B6" w:rsidRPr="00894701">
        <w:rPr>
          <w:b/>
          <w:bCs/>
          <w:color w:val="98002E" w:themeColor="accent3"/>
          <w:sz w:val="20"/>
          <w:szCs w:val="20"/>
        </w:rPr>
        <w:t>Terminology used for the EITI-SR report covering the fiscal year</w:t>
      </w:r>
      <w:r w:rsidR="00894701">
        <w:rPr>
          <w:b/>
          <w:bCs/>
          <w:color w:val="98002E" w:themeColor="accent3"/>
          <w:sz w:val="20"/>
          <w:szCs w:val="20"/>
        </w:rPr>
        <w:t>s</w:t>
      </w:r>
      <w:r w:rsidR="004B09B6" w:rsidRPr="00894701">
        <w:rPr>
          <w:b/>
          <w:bCs/>
          <w:color w:val="98002E" w:themeColor="accent3"/>
          <w:sz w:val="20"/>
          <w:szCs w:val="20"/>
        </w:rPr>
        <w:t xml:space="preserve"> 2018, 2019 and 2020</w:t>
      </w:r>
      <w:bookmarkEnd w:id="14"/>
    </w:p>
    <w:tbl>
      <w:tblPr>
        <w:tblW w:w="5519" w:type="pct"/>
        <w:tblLayout w:type="fixed"/>
        <w:tblCellMar>
          <w:left w:w="70" w:type="dxa"/>
          <w:right w:w="70" w:type="dxa"/>
        </w:tblCellMar>
        <w:tblLook w:val="04A0" w:firstRow="1" w:lastRow="0" w:firstColumn="1" w:lastColumn="0" w:noHBand="0" w:noVBand="1"/>
        <w:tblCaption w:val="Table 2: Terminology used for the EITI-SR report covering the fiscal year 2018, 2019 and 2020"/>
      </w:tblPr>
      <w:tblGrid>
        <w:gridCol w:w="1440"/>
        <w:gridCol w:w="8549"/>
      </w:tblGrid>
      <w:tr w:rsidR="00757F0F" w:rsidRPr="00894701" w14:paraId="7C633C4A" w14:textId="77777777" w:rsidTr="00446B8D">
        <w:trPr>
          <w:trHeight w:val="20"/>
          <w:tblHeader/>
        </w:trPr>
        <w:tc>
          <w:tcPr>
            <w:tcW w:w="721" w:type="pct"/>
            <w:tcBorders>
              <w:top w:val="nil"/>
              <w:left w:val="nil"/>
              <w:bottom w:val="single" w:sz="4" w:space="0" w:color="FF0000"/>
              <w:right w:val="nil"/>
            </w:tcBorders>
            <w:shd w:val="clear" w:color="000000" w:fill="7A091A"/>
            <w:noWrap/>
            <w:vAlign w:val="center"/>
            <w:hideMark/>
          </w:tcPr>
          <w:p w14:paraId="29CC3B02" w14:textId="77777777" w:rsidR="00757F0F" w:rsidRPr="00894701" w:rsidRDefault="00757F0F" w:rsidP="00B226CF">
            <w:pPr>
              <w:spacing w:before="40" w:after="40"/>
              <w:rPr>
                <w:rFonts w:cs="Arial"/>
                <w:b/>
                <w:bCs/>
                <w:color w:val="FFFFFF"/>
                <w:sz w:val="16"/>
                <w:szCs w:val="16"/>
                <w:lang w:eastAsia="fr-FR"/>
              </w:rPr>
            </w:pPr>
            <w:bookmarkStart w:id="15" w:name="_Hlk117158997"/>
            <w:r w:rsidRPr="00894701">
              <w:rPr>
                <w:rFonts w:cs="Arial"/>
                <w:b/>
                <w:bCs/>
                <w:color w:val="FFFFFF"/>
                <w:sz w:val="16"/>
                <w:szCs w:val="16"/>
                <w:lang w:eastAsia="fr-FR"/>
              </w:rPr>
              <w:t>Terms</w:t>
            </w:r>
          </w:p>
        </w:tc>
        <w:tc>
          <w:tcPr>
            <w:tcW w:w="4279" w:type="pct"/>
            <w:tcBorders>
              <w:top w:val="nil"/>
              <w:left w:val="nil"/>
              <w:bottom w:val="single" w:sz="4" w:space="0" w:color="FF0000"/>
              <w:right w:val="nil"/>
            </w:tcBorders>
            <w:shd w:val="clear" w:color="000000" w:fill="7A091A"/>
            <w:noWrap/>
            <w:vAlign w:val="center"/>
          </w:tcPr>
          <w:p w14:paraId="1B007A5F" w14:textId="77777777" w:rsidR="00757F0F" w:rsidRPr="00894701" w:rsidRDefault="00757F0F" w:rsidP="00B226CF">
            <w:pPr>
              <w:spacing w:before="40" w:after="40"/>
              <w:rPr>
                <w:rFonts w:cs="Arial"/>
                <w:b/>
                <w:bCs/>
                <w:color w:val="FFFFFF"/>
                <w:sz w:val="16"/>
                <w:szCs w:val="16"/>
                <w:lang w:eastAsia="fr-FR"/>
              </w:rPr>
            </w:pPr>
            <w:r w:rsidRPr="00894701">
              <w:rPr>
                <w:rFonts w:cs="Arial"/>
                <w:b/>
                <w:bCs/>
                <w:color w:val="FFFFFF"/>
                <w:sz w:val="16"/>
                <w:szCs w:val="16"/>
                <w:lang w:eastAsia="fr-FR"/>
              </w:rPr>
              <w:t>Definitions</w:t>
            </w:r>
          </w:p>
        </w:tc>
      </w:tr>
      <w:tr w:rsidR="00757F0F" w:rsidRPr="00894701" w14:paraId="14901DE0" w14:textId="77777777" w:rsidTr="00446B8D">
        <w:trPr>
          <w:trHeight w:val="20"/>
        </w:trPr>
        <w:tc>
          <w:tcPr>
            <w:tcW w:w="721" w:type="pct"/>
            <w:tcBorders>
              <w:left w:val="nil"/>
              <w:bottom w:val="nil"/>
              <w:right w:val="nil"/>
            </w:tcBorders>
            <w:shd w:val="clear" w:color="000000" w:fill="F7A3B0"/>
            <w:noWrap/>
            <w:vAlign w:val="center"/>
          </w:tcPr>
          <w:p w14:paraId="060CE26A" w14:textId="77777777" w:rsidR="00757F0F" w:rsidRPr="00894701" w:rsidRDefault="00757F0F" w:rsidP="00B226CF">
            <w:pPr>
              <w:spacing w:before="40" w:after="40"/>
              <w:rPr>
                <w:rFonts w:cs="Arial"/>
                <w:color w:val="auto"/>
                <w:sz w:val="16"/>
                <w:szCs w:val="16"/>
                <w:lang w:eastAsia="fr-FR"/>
              </w:rPr>
            </w:pPr>
            <w:r w:rsidRPr="00894701">
              <w:rPr>
                <w:rFonts w:cs="Calibri"/>
                <w:color w:val="auto"/>
                <w:sz w:val="16"/>
                <w:szCs w:val="16"/>
              </w:rPr>
              <w:t>Beneficial owner</w:t>
            </w:r>
          </w:p>
        </w:tc>
        <w:tc>
          <w:tcPr>
            <w:tcW w:w="4279" w:type="pct"/>
            <w:tcBorders>
              <w:left w:val="nil"/>
              <w:bottom w:val="nil"/>
              <w:right w:val="nil"/>
            </w:tcBorders>
            <w:shd w:val="clear" w:color="000000" w:fill="F7A3B0"/>
            <w:noWrap/>
            <w:vAlign w:val="center"/>
          </w:tcPr>
          <w:p w14:paraId="3756B5FB" w14:textId="076723F3" w:rsidR="00757F0F" w:rsidRPr="00894701" w:rsidRDefault="00757F0F" w:rsidP="00B226CF">
            <w:pPr>
              <w:autoSpaceDE w:val="0"/>
              <w:autoSpaceDN w:val="0"/>
              <w:adjustRightInd w:val="0"/>
              <w:spacing w:after="0" w:line="240" w:lineRule="auto"/>
              <w:jc w:val="both"/>
              <w:rPr>
                <w:rFonts w:cs="Arial"/>
                <w:color w:val="auto"/>
                <w:sz w:val="16"/>
                <w:szCs w:val="16"/>
                <w:lang w:eastAsia="fr-FR"/>
              </w:rPr>
            </w:pPr>
            <w:r w:rsidRPr="00894701">
              <w:rPr>
                <w:rFonts w:cs="Arial"/>
                <w:color w:val="auto"/>
                <w:sz w:val="16"/>
                <w:szCs w:val="16"/>
                <w:lang w:eastAsia="fr-FR"/>
              </w:rPr>
              <w:t xml:space="preserve">A natural person or persons who ultimately exercise individually or jointly voting rights representing at least twenty-five percent of the total shares, or otherwise have ownership rights of a legal entity; or ownership by a natural person or persons who ultimately owns or controls a customer or the person on whose behalf a transaction is being conducted and includes those persons who exercise ultimate effective control over a legal person or arrangement directly through a trustee, legal representative, agent or other intermediary. </w:t>
            </w:r>
          </w:p>
        </w:tc>
      </w:tr>
      <w:tr w:rsidR="00757F0F" w:rsidRPr="00894701" w14:paraId="5EABACF3" w14:textId="77777777" w:rsidTr="00446B8D">
        <w:trPr>
          <w:trHeight w:val="20"/>
        </w:trPr>
        <w:tc>
          <w:tcPr>
            <w:tcW w:w="721" w:type="pct"/>
            <w:tcBorders>
              <w:top w:val="nil"/>
              <w:left w:val="nil"/>
              <w:bottom w:val="nil"/>
              <w:right w:val="nil"/>
            </w:tcBorders>
            <w:shd w:val="clear" w:color="000000" w:fill="FFFFFF"/>
            <w:noWrap/>
            <w:vAlign w:val="center"/>
          </w:tcPr>
          <w:p w14:paraId="77D6DCFC" w14:textId="77777777" w:rsidR="00757F0F" w:rsidRPr="00894701" w:rsidRDefault="00757F0F" w:rsidP="00B226CF">
            <w:pPr>
              <w:spacing w:before="40" w:after="40"/>
              <w:rPr>
                <w:rFonts w:cs="Arial"/>
                <w:color w:val="auto"/>
                <w:sz w:val="16"/>
                <w:szCs w:val="16"/>
                <w:lang w:eastAsia="fr-FR"/>
              </w:rPr>
            </w:pPr>
            <w:r w:rsidRPr="00894701">
              <w:rPr>
                <w:rFonts w:cs="Arial"/>
                <w:color w:val="auto"/>
                <w:sz w:val="16"/>
                <w:szCs w:val="16"/>
                <w:lang w:eastAsia="fr-FR"/>
              </w:rPr>
              <w:t>Contract</w:t>
            </w:r>
          </w:p>
        </w:tc>
        <w:tc>
          <w:tcPr>
            <w:tcW w:w="4279" w:type="pct"/>
            <w:tcBorders>
              <w:top w:val="nil"/>
              <w:left w:val="nil"/>
              <w:bottom w:val="nil"/>
              <w:right w:val="nil"/>
            </w:tcBorders>
            <w:shd w:val="clear" w:color="000000" w:fill="FFFFFF"/>
            <w:noWrap/>
            <w:vAlign w:val="center"/>
          </w:tcPr>
          <w:p w14:paraId="08E89BBF" w14:textId="0B5B728C" w:rsidR="00757F0F" w:rsidRPr="00894701" w:rsidRDefault="00757F0F" w:rsidP="00B226CF">
            <w:pPr>
              <w:spacing w:before="40" w:after="40"/>
              <w:jc w:val="both"/>
              <w:rPr>
                <w:rFonts w:cs="Arial"/>
                <w:color w:val="auto"/>
                <w:sz w:val="16"/>
                <w:szCs w:val="16"/>
                <w:lang w:eastAsia="fr-FR"/>
              </w:rPr>
            </w:pPr>
            <w:r w:rsidRPr="00894701">
              <w:rPr>
                <w:rFonts w:cs="Arial"/>
                <w:color w:val="auto"/>
                <w:sz w:val="16"/>
                <w:szCs w:val="16"/>
                <w:lang w:eastAsia="fr-FR"/>
              </w:rPr>
              <w:t>The full text of any contract, concession, production</w:t>
            </w:r>
            <w:r w:rsidRPr="00894701">
              <w:rPr>
                <w:rFonts w:ascii="Cambria Math" w:hAnsi="Cambria Math" w:cs="Arial"/>
                <w:color w:val="auto"/>
                <w:sz w:val="16"/>
                <w:szCs w:val="16"/>
                <w:lang w:eastAsia="fr-FR"/>
              </w:rPr>
              <w:noBreakHyphen/>
            </w:r>
            <w:r w:rsidRPr="00894701">
              <w:rPr>
                <w:rFonts w:cs="Arial"/>
                <w:color w:val="auto"/>
                <w:sz w:val="16"/>
                <w:szCs w:val="16"/>
                <w:lang w:eastAsia="fr-FR"/>
              </w:rPr>
              <w:t xml:space="preserve">sharing </w:t>
            </w:r>
            <w:r w:rsidR="007107F8" w:rsidRPr="00894701">
              <w:rPr>
                <w:rFonts w:cs="Arial"/>
                <w:color w:val="auto"/>
                <w:sz w:val="16"/>
                <w:szCs w:val="16"/>
                <w:lang w:eastAsia="fr-FR"/>
              </w:rPr>
              <w:t>agreement,</w:t>
            </w:r>
            <w:r w:rsidRPr="00894701">
              <w:rPr>
                <w:rFonts w:cs="Arial"/>
                <w:color w:val="auto"/>
                <w:sz w:val="16"/>
                <w:szCs w:val="16"/>
                <w:lang w:eastAsia="fr-FR"/>
              </w:rPr>
              <w:t xml:space="preserve"> or other agreement granted by, or entered into by, the government which provides the terms attached to the exploitation of oil, gas and mineral resources. It includes the full text of any annex, addendum or rider which establishes details relevant to the exploitation rights.</w:t>
            </w:r>
          </w:p>
        </w:tc>
      </w:tr>
      <w:tr w:rsidR="00757F0F" w:rsidRPr="00894701" w14:paraId="73416B00" w14:textId="77777777" w:rsidTr="00446B8D">
        <w:trPr>
          <w:trHeight w:val="20"/>
        </w:trPr>
        <w:tc>
          <w:tcPr>
            <w:tcW w:w="721" w:type="pct"/>
            <w:tcBorders>
              <w:top w:val="nil"/>
              <w:left w:val="nil"/>
              <w:bottom w:val="nil"/>
              <w:right w:val="nil"/>
            </w:tcBorders>
            <w:shd w:val="clear" w:color="000000" w:fill="F7A3B0"/>
            <w:noWrap/>
            <w:vAlign w:val="center"/>
          </w:tcPr>
          <w:p w14:paraId="7B16D9D0" w14:textId="77777777" w:rsidR="00757F0F" w:rsidRPr="00894701" w:rsidRDefault="00757F0F" w:rsidP="00B226CF">
            <w:pPr>
              <w:spacing w:before="40" w:after="40"/>
              <w:rPr>
                <w:rFonts w:cs="Arial"/>
                <w:color w:val="auto"/>
                <w:sz w:val="16"/>
                <w:szCs w:val="16"/>
                <w:lang w:eastAsia="fr-FR"/>
              </w:rPr>
            </w:pPr>
            <w:r w:rsidRPr="00894701">
              <w:rPr>
                <w:rFonts w:cs="Calibri"/>
                <w:color w:val="auto"/>
                <w:sz w:val="16"/>
                <w:szCs w:val="16"/>
              </w:rPr>
              <w:t>Extractive entities</w:t>
            </w:r>
          </w:p>
        </w:tc>
        <w:tc>
          <w:tcPr>
            <w:tcW w:w="4279" w:type="pct"/>
            <w:tcBorders>
              <w:top w:val="nil"/>
              <w:left w:val="nil"/>
              <w:bottom w:val="nil"/>
              <w:right w:val="nil"/>
            </w:tcBorders>
            <w:shd w:val="clear" w:color="000000" w:fill="F7A3B0"/>
            <w:noWrap/>
            <w:vAlign w:val="center"/>
          </w:tcPr>
          <w:p w14:paraId="36AF0436" w14:textId="29754208" w:rsidR="00757F0F" w:rsidRPr="00894701" w:rsidRDefault="00757F0F" w:rsidP="00B226CF">
            <w:pPr>
              <w:spacing w:before="40" w:after="40"/>
              <w:jc w:val="both"/>
              <w:rPr>
                <w:rFonts w:cs="Arial"/>
                <w:color w:val="auto"/>
                <w:sz w:val="16"/>
                <w:szCs w:val="16"/>
                <w:lang w:eastAsia="fr-FR"/>
              </w:rPr>
            </w:pPr>
            <w:r w:rsidRPr="00894701">
              <w:rPr>
                <w:rFonts w:cs="Arial"/>
                <w:color w:val="auto"/>
                <w:sz w:val="16"/>
                <w:szCs w:val="16"/>
                <w:lang w:eastAsia="fr-FR"/>
              </w:rPr>
              <w:t>Extractive entities in this report refers to mining entities, Oil and Gas companies.</w:t>
            </w:r>
          </w:p>
        </w:tc>
      </w:tr>
      <w:tr w:rsidR="00757F0F" w:rsidRPr="00894701" w14:paraId="3D35CDE4" w14:textId="77777777" w:rsidTr="00446B8D">
        <w:trPr>
          <w:trHeight w:val="20"/>
        </w:trPr>
        <w:tc>
          <w:tcPr>
            <w:tcW w:w="721" w:type="pct"/>
            <w:tcBorders>
              <w:top w:val="nil"/>
              <w:left w:val="nil"/>
              <w:bottom w:val="nil"/>
              <w:right w:val="nil"/>
            </w:tcBorders>
            <w:shd w:val="clear" w:color="000000" w:fill="FFFFFF"/>
            <w:noWrap/>
            <w:vAlign w:val="center"/>
          </w:tcPr>
          <w:p w14:paraId="2FB2C19B" w14:textId="77777777" w:rsidR="00757F0F" w:rsidRPr="00894701" w:rsidRDefault="00757F0F" w:rsidP="00B226CF">
            <w:pPr>
              <w:autoSpaceDE w:val="0"/>
              <w:autoSpaceDN w:val="0"/>
              <w:adjustRightInd w:val="0"/>
              <w:spacing w:after="0" w:line="240" w:lineRule="auto"/>
              <w:rPr>
                <w:rFonts w:cs="Arial"/>
                <w:color w:val="auto"/>
                <w:sz w:val="16"/>
                <w:szCs w:val="16"/>
                <w:lang w:eastAsia="fr-FR"/>
              </w:rPr>
            </w:pPr>
            <w:r w:rsidRPr="00894701">
              <w:rPr>
                <w:rFonts w:cs="Arial"/>
                <w:color w:val="auto"/>
                <w:sz w:val="16"/>
                <w:szCs w:val="16"/>
                <w:lang w:eastAsia="fr-FR"/>
              </w:rPr>
              <w:t>License</w:t>
            </w:r>
          </w:p>
        </w:tc>
        <w:tc>
          <w:tcPr>
            <w:tcW w:w="4279" w:type="pct"/>
            <w:tcBorders>
              <w:top w:val="nil"/>
              <w:left w:val="nil"/>
              <w:bottom w:val="nil"/>
              <w:right w:val="nil"/>
            </w:tcBorders>
            <w:shd w:val="clear" w:color="000000" w:fill="FFFFFF"/>
            <w:noWrap/>
            <w:vAlign w:val="center"/>
          </w:tcPr>
          <w:p w14:paraId="77BA32A5" w14:textId="77777777" w:rsidR="00757F0F" w:rsidRPr="00894701" w:rsidRDefault="00757F0F" w:rsidP="00B226CF">
            <w:pPr>
              <w:autoSpaceDE w:val="0"/>
              <w:autoSpaceDN w:val="0"/>
              <w:adjustRightInd w:val="0"/>
              <w:spacing w:after="0" w:line="240" w:lineRule="auto"/>
              <w:jc w:val="both"/>
              <w:rPr>
                <w:rFonts w:cs="Arial"/>
                <w:color w:val="auto"/>
                <w:sz w:val="16"/>
                <w:szCs w:val="16"/>
                <w:lang w:eastAsia="fr-FR"/>
              </w:rPr>
            </w:pPr>
            <w:r w:rsidRPr="00894701">
              <w:rPr>
                <w:rFonts w:cs="Arial"/>
                <w:color w:val="auto"/>
                <w:sz w:val="16"/>
                <w:szCs w:val="16"/>
                <w:lang w:eastAsia="fr-FR"/>
              </w:rPr>
              <w:t>EITI Requirement 2.3 defines the term ‘license’ as being any license, lease, title, permit, contract or concession by which the government confers on an entity the rights to explore or exploit oil, gas and/or mineral resources.</w:t>
            </w:r>
          </w:p>
        </w:tc>
      </w:tr>
      <w:tr w:rsidR="00757F0F" w:rsidRPr="00894701" w14:paraId="71FA5FE1" w14:textId="77777777" w:rsidTr="00446B8D">
        <w:trPr>
          <w:trHeight w:val="20"/>
        </w:trPr>
        <w:tc>
          <w:tcPr>
            <w:tcW w:w="721" w:type="pct"/>
            <w:tcBorders>
              <w:top w:val="nil"/>
              <w:left w:val="nil"/>
              <w:bottom w:val="nil"/>
              <w:right w:val="nil"/>
            </w:tcBorders>
            <w:shd w:val="clear" w:color="000000" w:fill="F7A3B0"/>
            <w:noWrap/>
            <w:vAlign w:val="center"/>
          </w:tcPr>
          <w:p w14:paraId="542877AC" w14:textId="77777777" w:rsidR="00757F0F" w:rsidRPr="00894701" w:rsidRDefault="00757F0F" w:rsidP="00B226CF">
            <w:pPr>
              <w:autoSpaceDE w:val="0"/>
              <w:autoSpaceDN w:val="0"/>
              <w:adjustRightInd w:val="0"/>
              <w:spacing w:after="0" w:line="240" w:lineRule="auto"/>
              <w:rPr>
                <w:rFonts w:cs="Arial"/>
                <w:color w:val="auto"/>
                <w:sz w:val="16"/>
                <w:szCs w:val="16"/>
                <w:lang w:eastAsia="fr-FR"/>
              </w:rPr>
            </w:pPr>
            <w:r w:rsidRPr="00894701">
              <w:rPr>
                <w:rFonts w:cs="Calibri"/>
                <w:color w:val="auto"/>
                <w:sz w:val="16"/>
                <w:szCs w:val="16"/>
              </w:rPr>
              <w:t>Materiality</w:t>
            </w:r>
          </w:p>
        </w:tc>
        <w:tc>
          <w:tcPr>
            <w:tcW w:w="4279" w:type="pct"/>
            <w:tcBorders>
              <w:top w:val="nil"/>
              <w:left w:val="nil"/>
              <w:bottom w:val="nil"/>
              <w:right w:val="nil"/>
            </w:tcBorders>
            <w:shd w:val="clear" w:color="000000" w:fill="F7A3B0"/>
            <w:noWrap/>
            <w:vAlign w:val="center"/>
          </w:tcPr>
          <w:p w14:paraId="2F83E524" w14:textId="77777777" w:rsidR="00757F0F" w:rsidRPr="00894701" w:rsidRDefault="00757F0F" w:rsidP="00B226CF">
            <w:pPr>
              <w:autoSpaceDE w:val="0"/>
              <w:autoSpaceDN w:val="0"/>
              <w:adjustRightInd w:val="0"/>
              <w:spacing w:after="0" w:line="240" w:lineRule="auto"/>
              <w:jc w:val="both"/>
              <w:rPr>
                <w:rFonts w:cs="Arial"/>
                <w:color w:val="auto"/>
                <w:sz w:val="16"/>
                <w:szCs w:val="16"/>
                <w:lang w:eastAsia="fr-FR"/>
              </w:rPr>
            </w:pPr>
            <w:r w:rsidRPr="00894701">
              <w:rPr>
                <w:rFonts w:cs="Calibri"/>
                <w:color w:val="auto"/>
                <w:sz w:val="16"/>
                <w:szCs w:val="16"/>
              </w:rPr>
              <w:t>Materiality definitions and thresholds are agreed by the EITI-SR Multi</w:t>
            </w:r>
            <w:r w:rsidRPr="00894701">
              <w:rPr>
                <w:rFonts w:ascii="Cambria Math" w:hAnsi="Cambria Math" w:cs="Calibri"/>
                <w:color w:val="auto"/>
                <w:sz w:val="16"/>
                <w:szCs w:val="16"/>
              </w:rPr>
              <w:noBreakHyphen/>
            </w:r>
            <w:r w:rsidRPr="00894701">
              <w:rPr>
                <w:rFonts w:cs="Calibri"/>
                <w:color w:val="auto"/>
                <w:sz w:val="16"/>
                <w:szCs w:val="16"/>
              </w:rPr>
              <w:t xml:space="preserve">Stakeholder Group and above which payments and revenues are considered material and therefore must be disclosed. Payments and revenues are considered material if their omission or misstatement could significantly affect the comprehensiveness of the disclosures. </w:t>
            </w:r>
          </w:p>
        </w:tc>
      </w:tr>
      <w:tr w:rsidR="00757F0F" w:rsidRPr="00894701" w14:paraId="3866F7CC" w14:textId="77777777" w:rsidTr="00446B8D">
        <w:trPr>
          <w:trHeight w:val="20"/>
        </w:trPr>
        <w:tc>
          <w:tcPr>
            <w:tcW w:w="721" w:type="pct"/>
            <w:tcBorders>
              <w:top w:val="nil"/>
              <w:left w:val="nil"/>
              <w:bottom w:val="nil"/>
              <w:right w:val="nil"/>
            </w:tcBorders>
            <w:shd w:val="clear" w:color="000000" w:fill="FFFFFF"/>
            <w:noWrap/>
            <w:vAlign w:val="center"/>
          </w:tcPr>
          <w:p w14:paraId="2D3D37B8" w14:textId="77777777" w:rsidR="00757F0F" w:rsidRPr="00894701" w:rsidRDefault="00757F0F" w:rsidP="00B226CF">
            <w:pPr>
              <w:spacing w:before="40" w:after="40"/>
              <w:rPr>
                <w:rFonts w:cs="Arial"/>
                <w:color w:val="auto"/>
                <w:sz w:val="16"/>
                <w:szCs w:val="16"/>
                <w:lang w:eastAsia="fr-FR"/>
              </w:rPr>
            </w:pPr>
            <w:r w:rsidRPr="00894701">
              <w:rPr>
                <w:rFonts w:cs="Calibri"/>
                <w:color w:val="auto"/>
                <w:sz w:val="16"/>
                <w:szCs w:val="16"/>
              </w:rPr>
              <w:t>Multi-Stakeholder Group</w:t>
            </w:r>
          </w:p>
        </w:tc>
        <w:tc>
          <w:tcPr>
            <w:tcW w:w="4279" w:type="pct"/>
            <w:tcBorders>
              <w:top w:val="nil"/>
              <w:left w:val="nil"/>
              <w:bottom w:val="nil"/>
              <w:right w:val="nil"/>
            </w:tcBorders>
            <w:shd w:val="clear" w:color="000000" w:fill="FFFFFF"/>
            <w:noWrap/>
            <w:vAlign w:val="center"/>
          </w:tcPr>
          <w:p w14:paraId="208F66C9" w14:textId="77777777" w:rsidR="00757F0F" w:rsidRPr="00894701" w:rsidRDefault="00757F0F" w:rsidP="00B226CF">
            <w:pPr>
              <w:autoSpaceDE w:val="0"/>
              <w:autoSpaceDN w:val="0"/>
              <w:adjustRightInd w:val="0"/>
              <w:spacing w:after="0" w:line="240" w:lineRule="auto"/>
              <w:jc w:val="both"/>
              <w:rPr>
                <w:rFonts w:cs="Arial"/>
                <w:color w:val="auto"/>
                <w:sz w:val="16"/>
                <w:szCs w:val="16"/>
                <w:lang w:eastAsia="fr-FR"/>
              </w:rPr>
            </w:pPr>
            <w:r w:rsidRPr="00894701">
              <w:rPr>
                <w:rFonts w:cs="Calibri"/>
                <w:color w:val="auto"/>
                <w:sz w:val="16"/>
                <w:szCs w:val="16"/>
              </w:rPr>
              <w:t>A group established by the government in line with its commitment to work with civil society and extractive entities to oversee the implementation of the EITI.</w:t>
            </w:r>
          </w:p>
        </w:tc>
      </w:tr>
      <w:tr w:rsidR="00757F0F" w:rsidRPr="00894701" w14:paraId="4DF54524" w14:textId="77777777" w:rsidTr="00446B8D">
        <w:trPr>
          <w:trHeight w:val="20"/>
        </w:trPr>
        <w:tc>
          <w:tcPr>
            <w:tcW w:w="721" w:type="pct"/>
            <w:tcBorders>
              <w:top w:val="nil"/>
              <w:left w:val="nil"/>
              <w:bottom w:val="nil"/>
              <w:right w:val="nil"/>
            </w:tcBorders>
            <w:shd w:val="clear" w:color="000000" w:fill="F7A3B0"/>
            <w:noWrap/>
            <w:vAlign w:val="center"/>
          </w:tcPr>
          <w:p w14:paraId="613D3196" w14:textId="77777777" w:rsidR="00757F0F" w:rsidRPr="00894701" w:rsidRDefault="00757F0F" w:rsidP="00B226CF">
            <w:pPr>
              <w:spacing w:before="40" w:after="40"/>
              <w:rPr>
                <w:rFonts w:cs="Arial"/>
                <w:color w:val="auto"/>
                <w:sz w:val="16"/>
                <w:szCs w:val="16"/>
                <w:lang w:eastAsia="fr-FR"/>
              </w:rPr>
            </w:pPr>
            <w:r w:rsidRPr="00894701">
              <w:rPr>
                <w:rFonts w:cs="Calibri"/>
                <w:color w:val="auto"/>
                <w:sz w:val="16"/>
                <w:szCs w:val="16"/>
              </w:rPr>
              <w:t>Systematic disclosure</w:t>
            </w:r>
          </w:p>
        </w:tc>
        <w:tc>
          <w:tcPr>
            <w:tcW w:w="4279" w:type="pct"/>
            <w:tcBorders>
              <w:top w:val="nil"/>
              <w:left w:val="nil"/>
              <w:bottom w:val="nil"/>
              <w:right w:val="nil"/>
            </w:tcBorders>
            <w:shd w:val="clear" w:color="000000" w:fill="F7A3B0"/>
            <w:noWrap/>
            <w:vAlign w:val="center"/>
          </w:tcPr>
          <w:p w14:paraId="03A43797" w14:textId="77777777" w:rsidR="00757F0F" w:rsidRPr="00894701" w:rsidRDefault="00757F0F" w:rsidP="00B226CF">
            <w:pPr>
              <w:spacing w:before="40" w:after="40"/>
              <w:rPr>
                <w:rFonts w:cs="Arial"/>
                <w:color w:val="auto"/>
                <w:sz w:val="16"/>
                <w:szCs w:val="16"/>
                <w:lang w:eastAsia="fr-FR"/>
              </w:rPr>
            </w:pPr>
            <w:r w:rsidRPr="00894701">
              <w:rPr>
                <w:rFonts w:cs="Calibri"/>
                <w:color w:val="auto"/>
                <w:sz w:val="16"/>
                <w:szCs w:val="16"/>
              </w:rPr>
              <w:t>Refers to mainstreaming of information where the EITI’s disclosure requirements are met through routine and publicly available company and government reporting.</w:t>
            </w:r>
          </w:p>
        </w:tc>
      </w:tr>
      <w:bookmarkEnd w:id="15"/>
    </w:tbl>
    <w:p w14:paraId="556A5323" w14:textId="77777777" w:rsidR="00757F0F" w:rsidRPr="00894701" w:rsidRDefault="00757F0F" w:rsidP="00B226CF">
      <w:pPr>
        <w:autoSpaceDE w:val="0"/>
        <w:autoSpaceDN w:val="0"/>
        <w:adjustRightInd w:val="0"/>
        <w:ind w:right="480"/>
        <w:jc w:val="both"/>
        <w:rPr>
          <w:rFonts w:asciiTheme="majorHAnsi" w:hAnsiTheme="majorHAnsi"/>
          <w:sz w:val="20"/>
          <w:szCs w:val="20"/>
          <w:lang w:eastAsia="en-US"/>
        </w:rPr>
      </w:pPr>
    </w:p>
    <w:p w14:paraId="192C539C" w14:textId="146B04E5" w:rsidR="00535EFB" w:rsidRPr="00894701" w:rsidRDefault="00535EFB">
      <w:pPr>
        <w:spacing w:after="0" w:line="240" w:lineRule="auto"/>
        <w:rPr>
          <w:rFonts w:asciiTheme="minorHAnsi" w:hAnsiTheme="minorHAnsi" w:cs="Arial"/>
          <w:iCs/>
          <w:color w:val="auto"/>
          <w:sz w:val="20"/>
          <w:szCs w:val="20"/>
        </w:rPr>
      </w:pPr>
      <w:r w:rsidRPr="00894701">
        <w:rPr>
          <w:rFonts w:asciiTheme="minorHAnsi" w:hAnsiTheme="minorHAnsi" w:cs="Arial"/>
          <w:iCs/>
          <w:color w:val="auto"/>
          <w:sz w:val="20"/>
          <w:szCs w:val="20"/>
        </w:rPr>
        <w:br w:type="page"/>
      </w:r>
    </w:p>
    <w:p w14:paraId="4392ABB8" w14:textId="77777777" w:rsidR="00F348A0" w:rsidRPr="00894701" w:rsidRDefault="00F348A0" w:rsidP="00686ADB">
      <w:pPr>
        <w:pStyle w:val="NumHeading"/>
        <w:numPr>
          <w:ilvl w:val="0"/>
          <w:numId w:val="26"/>
        </w:numPr>
        <w:ind w:left="426" w:right="480" w:hanging="426"/>
        <w:rPr>
          <w:rFonts w:asciiTheme="minorHAnsi" w:hAnsiTheme="minorHAnsi"/>
          <w:sz w:val="36"/>
        </w:rPr>
      </w:pPr>
      <w:bookmarkStart w:id="16" w:name="_Toc122478831"/>
      <w:r w:rsidRPr="00894701">
        <w:rPr>
          <w:rFonts w:asciiTheme="minorHAnsi" w:hAnsiTheme="minorHAnsi"/>
          <w:sz w:val="36"/>
        </w:rPr>
        <w:lastRenderedPageBreak/>
        <w:t>Excecutive summary</w:t>
      </w:r>
      <w:bookmarkEnd w:id="16"/>
    </w:p>
    <w:p w14:paraId="2C415258" w14:textId="77777777" w:rsidR="00FB7F58" w:rsidRPr="00894701" w:rsidRDefault="00FB7F58" w:rsidP="00B226CF">
      <w:pPr>
        <w:spacing w:after="240"/>
        <w:jc w:val="both"/>
        <w:rPr>
          <w:rFonts w:cs="Arial"/>
          <w:color w:val="000000"/>
          <w:sz w:val="20"/>
          <w:lang w:eastAsia="fr-FR"/>
        </w:rPr>
      </w:pPr>
      <w:r w:rsidRPr="00894701">
        <w:rPr>
          <w:rFonts w:cs="Arial"/>
          <w:color w:val="000000"/>
          <w:sz w:val="20"/>
          <w:lang w:eastAsia="fr-FR"/>
        </w:rPr>
        <w:t>This report covers payments made by extractive entities and revenues received by Government Agencies and other material payments and benefits to Government Agencies as stated by Requirement 4.1 of the 2019 EITI Standard.</w:t>
      </w:r>
    </w:p>
    <w:p w14:paraId="6100D48E" w14:textId="19BB1A61" w:rsidR="00FB7F58" w:rsidRPr="00894701" w:rsidRDefault="00FB7F58" w:rsidP="00B226CF">
      <w:pPr>
        <w:spacing w:after="240"/>
        <w:jc w:val="both"/>
        <w:rPr>
          <w:rFonts w:cs="Arial"/>
          <w:color w:val="000000"/>
          <w:sz w:val="20"/>
          <w:lang w:eastAsia="fr-FR"/>
        </w:rPr>
      </w:pPr>
      <w:r w:rsidRPr="00894701">
        <w:rPr>
          <w:rFonts w:cs="Arial"/>
          <w:color w:val="000000"/>
          <w:sz w:val="20"/>
          <w:lang w:eastAsia="fr-FR"/>
        </w:rPr>
        <w:t xml:space="preserve">It also includes contextual information about </w:t>
      </w:r>
      <w:r w:rsidR="00514C1B" w:rsidRPr="00894701">
        <w:rPr>
          <w:rFonts w:cs="Arial"/>
          <w:color w:val="000000"/>
          <w:sz w:val="20"/>
          <w:lang w:eastAsia="fr-FR"/>
        </w:rPr>
        <w:t xml:space="preserve">Suriname’s </w:t>
      </w:r>
      <w:r w:rsidRPr="00894701">
        <w:rPr>
          <w:rFonts w:cs="Arial"/>
          <w:color w:val="000000"/>
          <w:sz w:val="20"/>
          <w:lang w:eastAsia="fr-FR"/>
        </w:rPr>
        <w:t xml:space="preserve">extractive sector in line with EITI Requirements n° 2, 3, 4, 5 and 6. The contextual information includes a summary description of the legal framework and fiscal regime, an overview of </w:t>
      </w:r>
      <w:r w:rsidR="00514C1B" w:rsidRPr="00894701">
        <w:rPr>
          <w:rFonts w:cs="Arial"/>
          <w:color w:val="000000"/>
          <w:sz w:val="20"/>
          <w:lang w:eastAsia="fr-FR"/>
        </w:rPr>
        <w:t xml:space="preserve">Suriname’s </w:t>
      </w:r>
      <w:r w:rsidRPr="00894701">
        <w:rPr>
          <w:rFonts w:cs="Arial"/>
          <w:color w:val="000000"/>
          <w:sz w:val="20"/>
          <w:lang w:eastAsia="fr-FR"/>
        </w:rPr>
        <w:t xml:space="preserve">extractive sector, the contribution of the extractive sector to </w:t>
      </w:r>
      <w:r w:rsidR="00514C1B" w:rsidRPr="00894701">
        <w:rPr>
          <w:rFonts w:cs="Arial"/>
          <w:color w:val="000000"/>
          <w:sz w:val="20"/>
          <w:lang w:eastAsia="fr-FR"/>
        </w:rPr>
        <w:t xml:space="preserve">Suriname’s </w:t>
      </w:r>
      <w:r w:rsidRPr="00894701">
        <w:rPr>
          <w:rFonts w:cs="Arial"/>
          <w:color w:val="000000"/>
          <w:sz w:val="20"/>
          <w:lang w:eastAsia="fr-FR"/>
        </w:rPr>
        <w:t>economy, production data, the State’s shareholding in extractive entities, revenue allocations, license registers and license allocations.</w:t>
      </w:r>
    </w:p>
    <w:p w14:paraId="77E73C93" w14:textId="4A324CFB" w:rsidR="00FB7F58" w:rsidRPr="00894701" w:rsidRDefault="00DA055B" w:rsidP="00B30F10">
      <w:pPr>
        <w:pStyle w:val="ListParagraph"/>
        <w:numPr>
          <w:ilvl w:val="1"/>
          <w:numId w:val="7"/>
        </w:numPr>
        <w:spacing w:before="240" w:after="240"/>
        <w:ind w:left="851" w:right="482" w:hanging="851"/>
        <w:outlineLvl w:val="1"/>
        <w:rPr>
          <w:b/>
          <w:sz w:val="28"/>
          <w:szCs w:val="28"/>
        </w:rPr>
      </w:pPr>
      <w:bookmarkStart w:id="17" w:name="_Toc6189162"/>
      <w:bookmarkStart w:id="18" w:name="_Toc6925721"/>
      <w:bookmarkStart w:id="19" w:name="_Toc101349923"/>
      <w:bookmarkStart w:id="20" w:name="_Toc104555375"/>
      <w:bookmarkStart w:id="21" w:name="_Toc122478832"/>
      <w:r w:rsidRPr="00894701">
        <w:rPr>
          <w:b/>
          <w:sz w:val="28"/>
          <w:szCs w:val="28"/>
        </w:rPr>
        <w:t>R</w:t>
      </w:r>
      <w:r w:rsidR="00FB7F58" w:rsidRPr="00894701">
        <w:rPr>
          <w:b/>
          <w:sz w:val="28"/>
          <w:szCs w:val="28"/>
        </w:rPr>
        <w:t>evenue Generated from the Extractive Industries</w:t>
      </w:r>
      <w:bookmarkEnd w:id="17"/>
      <w:bookmarkEnd w:id="18"/>
      <w:bookmarkEnd w:id="19"/>
      <w:bookmarkEnd w:id="20"/>
      <w:bookmarkEnd w:id="21"/>
    </w:p>
    <w:p w14:paraId="3E9E09A8" w14:textId="4984ABF5" w:rsidR="001A6DCD" w:rsidRPr="00894701" w:rsidRDefault="001A6DCD" w:rsidP="00B30F10">
      <w:pPr>
        <w:jc w:val="both"/>
        <w:rPr>
          <w:rFonts w:cs="Arial"/>
          <w:color w:val="auto"/>
          <w:sz w:val="20"/>
          <w:szCs w:val="22"/>
          <w:lang w:eastAsia="fr-FR"/>
        </w:rPr>
      </w:pPr>
      <w:r w:rsidRPr="00894701">
        <w:rPr>
          <w:rFonts w:cs="Arial"/>
          <w:color w:val="auto"/>
          <w:sz w:val="20"/>
          <w:szCs w:val="22"/>
          <w:lang w:eastAsia="fr-FR"/>
        </w:rPr>
        <w:t xml:space="preserve">Total revenues received from the extractive sector in 2018 amounted to SRD </w:t>
      </w:r>
      <w:r w:rsidR="00180C63" w:rsidRPr="00894701">
        <w:rPr>
          <w:rFonts w:cs="Arial"/>
          <w:color w:val="auto"/>
          <w:sz w:val="20"/>
          <w:szCs w:val="22"/>
          <w:lang w:eastAsia="fr-FR"/>
        </w:rPr>
        <w:t>1</w:t>
      </w:r>
      <w:r w:rsidRPr="00894701">
        <w:rPr>
          <w:rFonts w:cs="Arial"/>
          <w:color w:val="auto"/>
          <w:sz w:val="20"/>
          <w:szCs w:val="22"/>
          <w:lang w:eastAsia="fr-FR"/>
        </w:rPr>
        <w:t>,</w:t>
      </w:r>
      <w:r w:rsidR="00180C63" w:rsidRPr="00894701">
        <w:rPr>
          <w:rFonts w:cs="Arial"/>
          <w:color w:val="auto"/>
          <w:sz w:val="20"/>
          <w:szCs w:val="22"/>
          <w:lang w:eastAsia="fr-FR"/>
        </w:rPr>
        <w:t>89</w:t>
      </w:r>
      <w:r w:rsidR="00E449E4" w:rsidRPr="00894701">
        <w:rPr>
          <w:rFonts w:cs="Arial"/>
          <w:color w:val="auto"/>
          <w:sz w:val="20"/>
          <w:szCs w:val="22"/>
          <w:lang w:eastAsia="fr-FR"/>
        </w:rPr>
        <w:t>7</w:t>
      </w:r>
      <w:r w:rsidRPr="00894701">
        <w:rPr>
          <w:rFonts w:cs="Arial"/>
          <w:color w:val="auto"/>
          <w:sz w:val="20"/>
          <w:szCs w:val="22"/>
          <w:lang w:eastAsia="fr-FR"/>
        </w:rPr>
        <w:t xml:space="preserve"> million</w:t>
      </w:r>
      <w:r w:rsidR="00E9701B">
        <w:rPr>
          <w:rFonts w:cs="Arial"/>
          <w:color w:val="auto"/>
          <w:sz w:val="20"/>
          <w:szCs w:val="22"/>
          <w:lang w:eastAsia="fr-FR"/>
        </w:rPr>
        <w:t>.</w:t>
      </w:r>
      <w:r w:rsidR="00E9701B" w:rsidRPr="00894701">
        <w:rPr>
          <w:rFonts w:cs="Arial"/>
          <w:color w:val="auto"/>
          <w:sz w:val="20"/>
          <w:szCs w:val="22"/>
          <w:lang w:eastAsia="fr-FR"/>
        </w:rPr>
        <w:t xml:space="preserve"> </w:t>
      </w:r>
      <w:r w:rsidR="00E9701B">
        <w:rPr>
          <w:rFonts w:cs="Arial"/>
          <w:color w:val="auto"/>
          <w:sz w:val="20"/>
          <w:szCs w:val="22"/>
          <w:lang w:eastAsia="fr-FR"/>
        </w:rPr>
        <w:t>I</w:t>
      </w:r>
      <w:r w:rsidR="00E9701B" w:rsidRPr="00894701">
        <w:rPr>
          <w:rFonts w:cs="Arial"/>
          <w:color w:val="auto"/>
          <w:sz w:val="20"/>
          <w:szCs w:val="22"/>
          <w:lang w:eastAsia="fr-FR"/>
        </w:rPr>
        <w:t xml:space="preserve">n </w:t>
      </w:r>
      <w:r w:rsidRPr="00894701">
        <w:rPr>
          <w:rFonts w:cs="Arial"/>
          <w:color w:val="auto"/>
          <w:sz w:val="20"/>
          <w:szCs w:val="22"/>
          <w:lang w:eastAsia="fr-FR"/>
        </w:rPr>
        <w:t>2019 the revenue was SRD 1,</w:t>
      </w:r>
      <w:r w:rsidR="00E449E4" w:rsidRPr="00894701">
        <w:rPr>
          <w:rFonts w:cs="Arial"/>
          <w:color w:val="auto"/>
          <w:sz w:val="20"/>
          <w:szCs w:val="22"/>
          <w:lang w:eastAsia="fr-FR"/>
        </w:rPr>
        <w:t>12</w:t>
      </w:r>
      <w:r w:rsidR="00F62C68" w:rsidRPr="00894701">
        <w:rPr>
          <w:rFonts w:cs="Arial"/>
          <w:color w:val="auto"/>
          <w:sz w:val="20"/>
          <w:szCs w:val="22"/>
          <w:lang w:eastAsia="fr-FR"/>
        </w:rPr>
        <w:t>0</w:t>
      </w:r>
      <w:r w:rsidRPr="00894701">
        <w:rPr>
          <w:rFonts w:cs="Arial"/>
          <w:color w:val="auto"/>
          <w:sz w:val="20"/>
          <w:szCs w:val="22"/>
          <w:lang w:eastAsia="fr-FR"/>
        </w:rPr>
        <w:t xml:space="preserve"> million and in 2020 </w:t>
      </w:r>
      <w:r w:rsidR="00E9701B">
        <w:rPr>
          <w:rFonts w:cs="Arial"/>
          <w:color w:val="auto"/>
          <w:sz w:val="20"/>
          <w:szCs w:val="22"/>
          <w:lang w:eastAsia="fr-FR"/>
        </w:rPr>
        <w:t>it was</w:t>
      </w:r>
      <w:r w:rsidRPr="00894701">
        <w:rPr>
          <w:rFonts w:cs="Arial"/>
          <w:color w:val="auto"/>
          <w:sz w:val="20"/>
          <w:szCs w:val="22"/>
          <w:lang w:eastAsia="fr-FR"/>
        </w:rPr>
        <w:t xml:space="preserve"> SRD 1,57</w:t>
      </w:r>
      <w:r w:rsidR="00180C63" w:rsidRPr="00894701">
        <w:rPr>
          <w:rFonts w:cs="Arial"/>
          <w:color w:val="auto"/>
          <w:sz w:val="20"/>
          <w:szCs w:val="22"/>
          <w:lang w:eastAsia="fr-FR"/>
        </w:rPr>
        <w:t>6</w:t>
      </w:r>
      <w:r w:rsidRPr="00894701">
        <w:rPr>
          <w:rFonts w:cs="Arial"/>
          <w:color w:val="auto"/>
          <w:sz w:val="20"/>
          <w:szCs w:val="22"/>
          <w:lang w:eastAsia="fr-FR"/>
        </w:rPr>
        <w:t xml:space="preserve"> million. The Ministry of Finance and Planning (MoFP) was the only reporting Government Agency </w:t>
      </w:r>
      <w:r w:rsidR="00E9701B">
        <w:rPr>
          <w:rFonts w:cs="Arial"/>
          <w:color w:val="auto"/>
          <w:sz w:val="20"/>
          <w:szCs w:val="22"/>
          <w:lang w:eastAsia="fr-FR"/>
        </w:rPr>
        <w:t>for</w:t>
      </w:r>
      <w:r w:rsidR="00E9701B" w:rsidRPr="00894701">
        <w:rPr>
          <w:rFonts w:cs="Arial"/>
          <w:color w:val="auto"/>
          <w:sz w:val="20"/>
          <w:szCs w:val="22"/>
          <w:lang w:eastAsia="fr-FR"/>
        </w:rPr>
        <w:t xml:space="preserve"> </w:t>
      </w:r>
      <w:r w:rsidRPr="00894701">
        <w:rPr>
          <w:rFonts w:cs="Arial"/>
          <w:color w:val="auto"/>
          <w:sz w:val="20"/>
          <w:szCs w:val="22"/>
          <w:lang w:eastAsia="fr-FR"/>
        </w:rPr>
        <w:t>the three (03) fiscal years. The breakdown of revenues is set out in the table</w:t>
      </w:r>
      <w:r w:rsidR="001707CE">
        <w:rPr>
          <w:rFonts w:cs="Arial"/>
          <w:color w:val="auto"/>
          <w:sz w:val="20"/>
          <w:szCs w:val="22"/>
          <w:lang w:eastAsia="fr-FR"/>
        </w:rPr>
        <w:t>s</w:t>
      </w:r>
      <w:r w:rsidRPr="00894701">
        <w:rPr>
          <w:rFonts w:cs="Arial"/>
          <w:color w:val="auto"/>
          <w:sz w:val="20"/>
          <w:szCs w:val="22"/>
          <w:lang w:eastAsia="fr-FR"/>
        </w:rPr>
        <w:t xml:space="preserve"> below.</w:t>
      </w:r>
    </w:p>
    <w:p w14:paraId="494338BF" w14:textId="2A6E0069" w:rsidR="00FB7F58" w:rsidRPr="00894701" w:rsidRDefault="00FB7F58" w:rsidP="00B30F10">
      <w:pPr>
        <w:pStyle w:val="BodyTextRed"/>
        <w:jc w:val="center"/>
        <w:rPr>
          <w:b/>
          <w:bCs/>
          <w:color w:val="98002E" w:themeColor="accent3"/>
          <w:sz w:val="20"/>
          <w:szCs w:val="20"/>
        </w:rPr>
      </w:pPr>
      <w:bookmarkStart w:id="22" w:name="_Toc6924785"/>
      <w:bookmarkStart w:id="23" w:name="_Toc104557651"/>
      <w:bookmarkStart w:id="24" w:name="_Toc146590475"/>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3</w:t>
      </w:r>
      <w:r w:rsidRPr="00894701">
        <w:rPr>
          <w:b/>
          <w:bCs/>
          <w:color w:val="98002E" w:themeColor="accent3"/>
          <w:sz w:val="20"/>
          <w:szCs w:val="20"/>
        </w:rPr>
        <w:fldChar w:fldCharType="end"/>
      </w:r>
      <w:r w:rsidRPr="00894701">
        <w:rPr>
          <w:b/>
          <w:bCs/>
          <w:color w:val="98002E" w:themeColor="accent3"/>
          <w:sz w:val="20"/>
          <w:szCs w:val="20"/>
        </w:rPr>
        <w:t xml:space="preserve">: </w:t>
      </w:r>
      <w:r w:rsidR="00180C63" w:rsidRPr="00894701">
        <w:rPr>
          <w:b/>
          <w:bCs/>
          <w:color w:val="98002E" w:themeColor="accent3"/>
          <w:sz w:val="20"/>
          <w:szCs w:val="20"/>
        </w:rPr>
        <w:t>T</w:t>
      </w:r>
      <w:r w:rsidRPr="00894701">
        <w:rPr>
          <w:b/>
          <w:bCs/>
          <w:color w:val="98002E" w:themeColor="accent3"/>
          <w:sz w:val="20"/>
          <w:szCs w:val="20"/>
        </w:rPr>
        <w:t>otal extractive revenues</w:t>
      </w:r>
      <w:bookmarkEnd w:id="22"/>
      <w:r w:rsidRPr="00894701">
        <w:rPr>
          <w:b/>
          <w:bCs/>
          <w:color w:val="98002E" w:themeColor="accent3"/>
          <w:sz w:val="20"/>
          <w:szCs w:val="20"/>
        </w:rPr>
        <w:t xml:space="preserve"> </w:t>
      </w:r>
      <w:bookmarkStart w:id="25" w:name="_Hlk66911003"/>
      <w:r w:rsidRPr="00894701">
        <w:rPr>
          <w:b/>
          <w:bCs/>
          <w:color w:val="98002E" w:themeColor="accent3"/>
          <w:sz w:val="20"/>
          <w:szCs w:val="20"/>
        </w:rPr>
        <w:t>by Government Agency for the fiscal year</w:t>
      </w:r>
      <w:bookmarkEnd w:id="25"/>
      <w:r w:rsidRPr="00894701">
        <w:rPr>
          <w:b/>
          <w:bCs/>
          <w:color w:val="98002E" w:themeColor="accent3"/>
          <w:sz w:val="20"/>
          <w:szCs w:val="20"/>
        </w:rPr>
        <w:t>s 2018</w:t>
      </w:r>
      <w:r w:rsidR="00EA53DA" w:rsidRPr="00894701">
        <w:rPr>
          <w:b/>
          <w:bCs/>
          <w:color w:val="98002E" w:themeColor="accent3"/>
          <w:sz w:val="20"/>
          <w:szCs w:val="20"/>
        </w:rPr>
        <w:t xml:space="preserve">, </w:t>
      </w:r>
      <w:r w:rsidRPr="00894701">
        <w:rPr>
          <w:b/>
          <w:bCs/>
          <w:color w:val="98002E" w:themeColor="accent3"/>
          <w:sz w:val="20"/>
          <w:szCs w:val="20"/>
        </w:rPr>
        <w:t>2019</w:t>
      </w:r>
      <w:bookmarkEnd w:id="23"/>
      <w:r w:rsidR="00EA53DA" w:rsidRPr="00894701">
        <w:rPr>
          <w:b/>
          <w:bCs/>
          <w:color w:val="98002E" w:themeColor="accent3"/>
          <w:sz w:val="20"/>
          <w:szCs w:val="20"/>
        </w:rPr>
        <w:t xml:space="preserve"> and 2020</w:t>
      </w:r>
      <w:bookmarkEnd w:id="24"/>
    </w:p>
    <w:tbl>
      <w:tblPr>
        <w:tblW w:w="5000" w:type="pct"/>
        <w:jc w:val="center"/>
        <w:tblLook w:val="04A0" w:firstRow="1" w:lastRow="0" w:firstColumn="1" w:lastColumn="0" w:noHBand="0" w:noVBand="1"/>
      </w:tblPr>
      <w:tblGrid>
        <w:gridCol w:w="3127"/>
        <w:gridCol w:w="1026"/>
        <w:gridCol w:w="944"/>
        <w:gridCol w:w="1027"/>
        <w:gridCol w:w="945"/>
        <w:gridCol w:w="1027"/>
        <w:gridCol w:w="944"/>
      </w:tblGrid>
      <w:tr w:rsidR="00B8020B" w:rsidRPr="00894701" w14:paraId="339E862D" w14:textId="77777777" w:rsidTr="004C70CC">
        <w:trPr>
          <w:trHeight w:val="270"/>
          <w:jc w:val="center"/>
        </w:trPr>
        <w:tc>
          <w:tcPr>
            <w:tcW w:w="1662" w:type="pct"/>
            <w:vMerge w:val="restart"/>
            <w:tcBorders>
              <w:top w:val="nil"/>
              <w:left w:val="nil"/>
              <w:bottom w:val="single" w:sz="8" w:space="0" w:color="FF0000"/>
              <w:right w:val="single" w:sz="8" w:space="0" w:color="FF0000"/>
            </w:tcBorders>
            <w:shd w:val="clear" w:color="000000" w:fill="800000"/>
            <w:vAlign w:val="center"/>
            <w:hideMark/>
          </w:tcPr>
          <w:p w14:paraId="3F7DD48A" w14:textId="77777777" w:rsidR="00B8020B" w:rsidRPr="00894701" w:rsidRDefault="00B8020B" w:rsidP="00B30F10">
            <w:pPr>
              <w:spacing w:after="0" w:line="240" w:lineRule="auto"/>
              <w:jc w:val="center"/>
              <w:rPr>
                <w:b/>
                <w:bCs/>
                <w:color w:val="auto"/>
                <w:kern w:val="0"/>
                <w:sz w:val="16"/>
                <w:szCs w:val="16"/>
              </w:rPr>
            </w:pPr>
            <w:bookmarkStart w:id="26" w:name="_Toc104557652"/>
            <w:r w:rsidRPr="00894701">
              <w:rPr>
                <w:b/>
                <w:bCs/>
                <w:color w:val="auto"/>
                <w:kern w:val="0"/>
                <w:sz w:val="16"/>
                <w:szCs w:val="16"/>
              </w:rPr>
              <w:t>Government Agency</w:t>
            </w:r>
          </w:p>
        </w:tc>
        <w:tc>
          <w:tcPr>
            <w:tcW w:w="1113" w:type="pct"/>
            <w:gridSpan w:val="2"/>
            <w:tcBorders>
              <w:top w:val="nil"/>
              <w:left w:val="nil"/>
              <w:bottom w:val="nil"/>
              <w:right w:val="single" w:sz="8" w:space="0" w:color="FF0000"/>
            </w:tcBorders>
            <w:shd w:val="clear" w:color="000000" w:fill="800000"/>
            <w:vAlign w:val="center"/>
            <w:hideMark/>
          </w:tcPr>
          <w:p w14:paraId="594F7B90" w14:textId="77777777" w:rsidR="00B8020B" w:rsidRPr="00894701" w:rsidRDefault="00B8020B" w:rsidP="00B30F10">
            <w:pPr>
              <w:spacing w:after="0" w:line="240" w:lineRule="auto"/>
              <w:jc w:val="center"/>
              <w:rPr>
                <w:b/>
                <w:bCs/>
                <w:color w:val="auto"/>
                <w:kern w:val="0"/>
                <w:sz w:val="16"/>
                <w:szCs w:val="16"/>
              </w:rPr>
            </w:pPr>
            <w:r w:rsidRPr="00894701">
              <w:rPr>
                <w:b/>
                <w:bCs/>
                <w:color w:val="auto"/>
                <w:kern w:val="0"/>
                <w:sz w:val="16"/>
                <w:szCs w:val="16"/>
              </w:rPr>
              <w:t>2018</w:t>
            </w:r>
          </w:p>
        </w:tc>
        <w:tc>
          <w:tcPr>
            <w:tcW w:w="1113" w:type="pct"/>
            <w:gridSpan w:val="2"/>
            <w:tcBorders>
              <w:top w:val="nil"/>
              <w:left w:val="nil"/>
              <w:bottom w:val="nil"/>
              <w:right w:val="single" w:sz="8" w:space="0" w:color="FF0000"/>
            </w:tcBorders>
            <w:shd w:val="clear" w:color="000000" w:fill="800000"/>
            <w:vAlign w:val="center"/>
            <w:hideMark/>
          </w:tcPr>
          <w:p w14:paraId="59441D73" w14:textId="77777777" w:rsidR="00B8020B" w:rsidRPr="00894701" w:rsidRDefault="00B8020B" w:rsidP="00B30F10">
            <w:pPr>
              <w:spacing w:after="0" w:line="240" w:lineRule="auto"/>
              <w:jc w:val="center"/>
              <w:rPr>
                <w:b/>
                <w:bCs/>
                <w:color w:val="auto"/>
                <w:kern w:val="0"/>
                <w:sz w:val="16"/>
                <w:szCs w:val="16"/>
              </w:rPr>
            </w:pPr>
            <w:r w:rsidRPr="00894701">
              <w:rPr>
                <w:b/>
                <w:bCs/>
                <w:color w:val="auto"/>
                <w:kern w:val="0"/>
                <w:sz w:val="16"/>
                <w:szCs w:val="16"/>
              </w:rPr>
              <w:t>2019</w:t>
            </w:r>
          </w:p>
        </w:tc>
        <w:tc>
          <w:tcPr>
            <w:tcW w:w="1113" w:type="pct"/>
            <w:gridSpan w:val="2"/>
            <w:tcBorders>
              <w:top w:val="nil"/>
              <w:left w:val="nil"/>
              <w:bottom w:val="nil"/>
              <w:right w:val="single" w:sz="8" w:space="0" w:color="FF0000"/>
            </w:tcBorders>
            <w:shd w:val="clear" w:color="000000" w:fill="800000"/>
            <w:vAlign w:val="center"/>
            <w:hideMark/>
          </w:tcPr>
          <w:p w14:paraId="252AB253" w14:textId="77777777" w:rsidR="00B8020B" w:rsidRPr="00894701" w:rsidRDefault="00B8020B" w:rsidP="00B30F10">
            <w:pPr>
              <w:spacing w:after="0" w:line="240" w:lineRule="auto"/>
              <w:jc w:val="center"/>
              <w:rPr>
                <w:b/>
                <w:bCs/>
                <w:color w:val="auto"/>
                <w:kern w:val="0"/>
                <w:sz w:val="16"/>
                <w:szCs w:val="16"/>
              </w:rPr>
            </w:pPr>
            <w:r w:rsidRPr="00894701">
              <w:rPr>
                <w:b/>
                <w:bCs/>
                <w:color w:val="auto"/>
                <w:kern w:val="0"/>
                <w:sz w:val="16"/>
                <w:szCs w:val="16"/>
              </w:rPr>
              <w:t>2020</w:t>
            </w:r>
          </w:p>
        </w:tc>
      </w:tr>
      <w:tr w:rsidR="004C70CC" w:rsidRPr="00894701" w14:paraId="717EC76E" w14:textId="77777777" w:rsidTr="004C70CC">
        <w:trPr>
          <w:trHeight w:val="280"/>
          <w:jc w:val="center"/>
        </w:trPr>
        <w:tc>
          <w:tcPr>
            <w:tcW w:w="1662" w:type="pct"/>
            <w:vMerge/>
            <w:tcBorders>
              <w:top w:val="nil"/>
              <w:left w:val="nil"/>
              <w:bottom w:val="single" w:sz="8" w:space="0" w:color="FF0000"/>
              <w:right w:val="single" w:sz="8" w:space="0" w:color="FF0000"/>
            </w:tcBorders>
            <w:vAlign w:val="center"/>
            <w:hideMark/>
          </w:tcPr>
          <w:p w14:paraId="638E2A03" w14:textId="77777777" w:rsidR="00B8020B" w:rsidRPr="00894701" w:rsidRDefault="00B8020B" w:rsidP="00B30F10">
            <w:pPr>
              <w:spacing w:after="0" w:line="240" w:lineRule="auto"/>
              <w:rPr>
                <w:b/>
                <w:bCs/>
                <w:color w:val="auto"/>
                <w:kern w:val="0"/>
                <w:sz w:val="16"/>
                <w:szCs w:val="16"/>
              </w:rPr>
            </w:pPr>
          </w:p>
        </w:tc>
        <w:tc>
          <w:tcPr>
            <w:tcW w:w="579" w:type="pct"/>
            <w:tcBorders>
              <w:top w:val="nil"/>
              <w:left w:val="nil"/>
              <w:bottom w:val="single" w:sz="8" w:space="0" w:color="FF0000"/>
              <w:right w:val="nil"/>
            </w:tcBorders>
            <w:shd w:val="clear" w:color="000000" w:fill="800000"/>
            <w:vAlign w:val="center"/>
            <w:hideMark/>
          </w:tcPr>
          <w:p w14:paraId="5FEEA1BC" w14:textId="77777777" w:rsidR="00B8020B" w:rsidRPr="00894701" w:rsidRDefault="00B8020B" w:rsidP="00B30F10">
            <w:pPr>
              <w:spacing w:after="0" w:line="240" w:lineRule="auto"/>
              <w:jc w:val="center"/>
              <w:rPr>
                <w:b/>
                <w:bCs/>
                <w:color w:val="auto"/>
                <w:kern w:val="0"/>
                <w:sz w:val="16"/>
                <w:szCs w:val="16"/>
              </w:rPr>
            </w:pPr>
            <w:r w:rsidRPr="00894701">
              <w:rPr>
                <w:b/>
                <w:bCs/>
                <w:color w:val="auto"/>
                <w:kern w:val="0"/>
                <w:sz w:val="16"/>
                <w:szCs w:val="16"/>
              </w:rPr>
              <w:t>(SRD million)</w:t>
            </w:r>
          </w:p>
        </w:tc>
        <w:tc>
          <w:tcPr>
            <w:tcW w:w="534" w:type="pct"/>
            <w:tcBorders>
              <w:top w:val="nil"/>
              <w:left w:val="nil"/>
              <w:bottom w:val="single" w:sz="8" w:space="0" w:color="FF0000"/>
              <w:right w:val="single" w:sz="8" w:space="0" w:color="FF0000"/>
            </w:tcBorders>
            <w:shd w:val="clear" w:color="000000" w:fill="800000"/>
            <w:vAlign w:val="center"/>
            <w:hideMark/>
          </w:tcPr>
          <w:p w14:paraId="60BF91AC" w14:textId="77777777" w:rsidR="00B8020B" w:rsidRPr="00894701" w:rsidRDefault="00B8020B" w:rsidP="00B30F10">
            <w:pPr>
              <w:spacing w:after="0" w:line="240" w:lineRule="auto"/>
              <w:jc w:val="center"/>
              <w:rPr>
                <w:b/>
                <w:bCs/>
                <w:color w:val="auto"/>
                <w:kern w:val="0"/>
                <w:sz w:val="16"/>
                <w:szCs w:val="16"/>
              </w:rPr>
            </w:pPr>
            <w:r w:rsidRPr="00894701">
              <w:rPr>
                <w:b/>
                <w:bCs/>
                <w:color w:val="auto"/>
                <w:kern w:val="0"/>
                <w:sz w:val="16"/>
                <w:szCs w:val="16"/>
              </w:rPr>
              <w:t xml:space="preserve">% </w:t>
            </w:r>
          </w:p>
        </w:tc>
        <w:tc>
          <w:tcPr>
            <w:tcW w:w="579" w:type="pct"/>
            <w:tcBorders>
              <w:top w:val="nil"/>
              <w:left w:val="nil"/>
              <w:bottom w:val="single" w:sz="8" w:space="0" w:color="FF0000"/>
              <w:right w:val="nil"/>
            </w:tcBorders>
            <w:shd w:val="clear" w:color="000000" w:fill="800000"/>
            <w:vAlign w:val="center"/>
            <w:hideMark/>
          </w:tcPr>
          <w:p w14:paraId="30444E4C" w14:textId="77777777" w:rsidR="00B8020B" w:rsidRPr="00894701" w:rsidRDefault="00B8020B" w:rsidP="00B30F10">
            <w:pPr>
              <w:spacing w:after="0" w:line="240" w:lineRule="auto"/>
              <w:jc w:val="center"/>
              <w:rPr>
                <w:b/>
                <w:bCs/>
                <w:color w:val="auto"/>
                <w:kern w:val="0"/>
                <w:sz w:val="16"/>
                <w:szCs w:val="16"/>
              </w:rPr>
            </w:pPr>
            <w:r w:rsidRPr="00894701">
              <w:rPr>
                <w:b/>
                <w:bCs/>
                <w:color w:val="auto"/>
                <w:kern w:val="0"/>
                <w:sz w:val="16"/>
                <w:szCs w:val="16"/>
              </w:rPr>
              <w:t>(SRD million)</w:t>
            </w:r>
          </w:p>
        </w:tc>
        <w:tc>
          <w:tcPr>
            <w:tcW w:w="534" w:type="pct"/>
            <w:tcBorders>
              <w:top w:val="nil"/>
              <w:left w:val="nil"/>
              <w:bottom w:val="single" w:sz="8" w:space="0" w:color="FF0000"/>
              <w:right w:val="single" w:sz="8" w:space="0" w:color="FF0000"/>
            </w:tcBorders>
            <w:shd w:val="clear" w:color="000000" w:fill="800000"/>
            <w:vAlign w:val="center"/>
            <w:hideMark/>
          </w:tcPr>
          <w:p w14:paraId="477C9925" w14:textId="77777777" w:rsidR="00B8020B" w:rsidRPr="00894701" w:rsidRDefault="00B8020B" w:rsidP="00B30F10">
            <w:pPr>
              <w:spacing w:after="0" w:line="240" w:lineRule="auto"/>
              <w:jc w:val="center"/>
              <w:rPr>
                <w:b/>
                <w:bCs/>
                <w:color w:val="auto"/>
                <w:kern w:val="0"/>
                <w:sz w:val="16"/>
                <w:szCs w:val="16"/>
              </w:rPr>
            </w:pPr>
            <w:r w:rsidRPr="00894701">
              <w:rPr>
                <w:b/>
                <w:bCs/>
                <w:color w:val="auto"/>
                <w:kern w:val="0"/>
                <w:sz w:val="16"/>
                <w:szCs w:val="16"/>
              </w:rPr>
              <w:t xml:space="preserve">% </w:t>
            </w:r>
          </w:p>
        </w:tc>
        <w:tc>
          <w:tcPr>
            <w:tcW w:w="579" w:type="pct"/>
            <w:tcBorders>
              <w:top w:val="nil"/>
              <w:left w:val="nil"/>
              <w:bottom w:val="single" w:sz="8" w:space="0" w:color="FF0000"/>
              <w:right w:val="nil"/>
            </w:tcBorders>
            <w:shd w:val="clear" w:color="000000" w:fill="800000"/>
            <w:vAlign w:val="center"/>
            <w:hideMark/>
          </w:tcPr>
          <w:p w14:paraId="120BEAA0" w14:textId="77777777" w:rsidR="00B8020B" w:rsidRPr="00894701" w:rsidRDefault="00B8020B" w:rsidP="00B30F10">
            <w:pPr>
              <w:spacing w:after="0" w:line="240" w:lineRule="auto"/>
              <w:jc w:val="center"/>
              <w:rPr>
                <w:b/>
                <w:bCs/>
                <w:color w:val="auto"/>
                <w:kern w:val="0"/>
                <w:sz w:val="16"/>
                <w:szCs w:val="16"/>
              </w:rPr>
            </w:pPr>
            <w:r w:rsidRPr="00894701">
              <w:rPr>
                <w:b/>
                <w:bCs/>
                <w:color w:val="auto"/>
                <w:kern w:val="0"/>
                <w:sz w:val="16"/>
                <w:szCs w:val="16"/>
              </w:rPr>
              <w:t>(SRD million)</w:t>
            </w:r>
          </w:p>
        </w:tc>
        <w:tc>
          <w:tcPr>
            <w:tcW w:w="534" w:type="pct"/>
            <w:tcBorders>
              <w:top w:val="nil"/>
              <w:left w:val="nil"/>
              <w:bottom w:val="single" w:sz="8" w:space="0" w:color="FF0000"/>
              <w:right w:val="single" w:sz="8" w:space="0" w:color="FF0000"/>
            </w:tcBorders>
            <w:shd w:val="clear" w:color="000000" w:fill="800000"/>
            <w:vAlign w:val="center"/>
            <w:hideMark/>
          </w:tcPr>
          <w:p w14:paraId="6E34A8DB" w14:textId="77777777" w:rsidR="00B8020B" w:rsidRPr="00894701" w:rsidRDefault="00B8020B" w:rsidP="00B30F10">
            <w:pPr>
              <w:spacing w:after="0" w:line="240" w:lineRule="auto"/>
              <w:jc w:val="center"/>
              <w:rPr>
                <w:b/>
                <w:bCs/>
                <w:color w:val="auto"/>
                <w:kern w:val="0"/>
                <w:sz w:val="16"/>
                <w:szCs w:val="16"/>
              </w:rPr>
            </w:pPr>
            <w:r w:rsidRPr="00894701">
              <w:rPr>
                <w:b/>
                <w:bCs/>
                <w:color w:val="auto"/>
                <w:kern w:val="0"/>
                <w:sz w:val="16"/>
                <w:szCs w:val="16"/>
              </w:rPr>
              <w:t xml:space="preserve">% </w:t>
            </w:r>
          </w:p>
        </w:tc>
      </w:tr>
      <w:tr w:rsidR="004C70CC" w:rsidRPr="00894701" w14:paraId="3811790B" w14:textId="77777777" w:rsidTr="004C70CC">
        <w:trPr>
          <w:trHeight w:val="270"/>
          <w:jc w:val="center"/>
        </w:trPr>
        <w:tc>
          <w:tcPr>
            <w:tcW w:w="1662" w:type="pct"/>
            <w:tcBorders>
              <w:top w:val="nil"/>
              <w:left w:val="nil"/>
              <w:bottom w:val="nil"/>
              <w:right w:val="single" w:sz="8" w:space="0" w:color="FF0000"/>
            </w:tcBorders>
            <w:shd w:val="clear" w:color="000000" w:fill="F7A3B0"/>
            <w:noWrap/>
            <w:vAlign w:val="center"/>
            <w:hideMark/>
          </w:tcPr>
          <w:p w14:paraId="27B5CA16" w14:textId="6D3E8DCD" w:rsidR="00F62C68" w:rsidRPr="00894701" w:rsidRDefault="00F62C68" w:rsidP="00F62C68">
            <w:pPr>
              <w:spacing w:after="0" w:line="240" w:lineRule="auto"/>
              <w:rPr>
                <w:color w:val="000000"/>
                <w:kern w:val="0"/>
                <w:sz w:val="16"/>
                <w:szCs w:val="16"/>
              </w:rPr>
            </w:pPr>
            <w:r w:rsidRPr="00894701">
              <w:rPr>
                <w:color w:val="000000"/>
                <w:kern w:val="0"/>
                <w:sz w:val="16"/>
                <w:szCs w:val="16"/>
              </w:rPr>
              <w:t xml:space="preserve"> Ministry of Finance and Planning (MoFP)</w:t>
            </w:r>
          </w:p>
        </w:tc>
        <w:tc>
          <w:tcPr>
            <w:tcW w:w="579" w:type="pct"/>
            <w:tcBorders>
              <w:top w:val="nil"/>
              <w:left w:val="nil"/>
              <w:bottom w:val="nil"/>
              <w:right w:val="nil"/>
            </w:tcBorders>
            <w:shd w:val="clear" w:color="000000" w:fill="F7A3B0"/>
            <w:noWrap/>
            <w:vAlign w:val="center"/>
          </w:tcPr>
          <w:p w14:paraId="0416830A" w14:textId="64AF4BCE" w:rsidR="00F62C68" w:rsidRPr="00894701" w:rsidRDefault="00F62C68" w:rsidP="00F62C68">
            <w:pPr>
              <w:spacing w:after="0" w:line="240" w:lineRule="auto"/>
              <w:jc w:val="right"/>
              <w:rPr>
                <w:color w:val="auto"/>
                <w:kern w:val="0"/>
                <w:sz w:val="16"/>
                <w:szCs w:val="16"/>
              </w:rPr>
            </w:pPr>
            <w:r w:rsidRPr="00894701">
              <w:rPr>
                <w:rFonts w:cs="Arial"/>
                <w:color w:val="auto"/>
                <w:sz w:val="16"/>
                <w:szCs w:val="16"/>
              </w:rPr>
              <w:t>1,097</w:t>
            </w:r>
          </w:p>
        </w:tc>
        <w:tc>
          <w:tcPr>
            <w:tcW w:w="534" w:type="pct"/>
            <w:tcBorders>
              <w:top w:val="nil"/>
              <w:left w:val="nil"/>
              <w:bottom w:val="nil"/>
              <w:right w:val="single" w:sz="8" w:space="0" w:color="FF0000"/>
            </w:tcBorders>
            <w:shd w:val="clear" w:color="000000" w:fill="F7A3B0"/>
            <w:noWrap/>
            <w:vAlign w:val="center"/>
          </w:tcPr>
          <w:p w14:paraId="6EADD053" w14:textId="33FBF940" w:rsidR="00F62C68" w:rsidRPr="00894701" w:rsidRDefault="00F62C68" w:rsidP="00F62C68">
            <w:pPr>
              <w:spacing w:after="0" w:line="240" w:lineRule="auto"/>
              <w:jc w:val="right"/>
              <w:rPr>
                <w:color w:val="auto"/>
                <w:kern w:val="0"/>
                <w:sz w:val="16"/>
                <w:szCs w:val="16"/>
              </w:rPr>
            </w:pPr>
            <w:r w:rsidRPr="00894701">
              <w:rPr>
                <w:rFonts w:cs="Arial"/>
                <w:color w:val="auto"/>
                <w:sz w:val="16"/>
                <w:szCs w:val="16"/>
              </w:rPr>
              <w:t>58%</w:t>
            </w:r>
          </w:p>
        </w:tc>
        <w:tc>
          <w:tcPr>
            <w:tcW w:w="579" w:type="pct"/>
            <w:tcBorders>
              <w:top w:val="nil"/>
              <w:left w:val="nil"/>
              <w:bottom w:val="nil"/>
              <w:right w:val="nil"/>
            </w:tcBorders>
            <w:shd w:val="clear" w:color="000000" w:fill="F7A3B0"/>
            <w:noWrap/>
            <w:vAlign w:val="center"/>
          </w:tcPr>
          <w:p w14:paraId="1D1DFB1D" w14:textId="6495D6CD" w:rsidR="00F62C68" w:rsidRPr="00894701" w:rsidRDefault="00F62C68" w:rsidP="00F62C68">
            <w:pPr>
              <w:spacing w:after="0" w:line="240" w:lineRule="auto"/>
              <w:jc w:val="right"/>
              <w:rPr>
                <w:color w:val="auto"/>
                <w:kern w:val="0"/>
                <w:sz w:val="16"/>
                <w:szCs w:val="16"/>
              </w:rPr>
            </w:pPr>
            <w:r w:rsidRPr="00894701">
              <w:rPr>
                <w:rFonts w:cs="Arial"/>
                <w:color w:val="auto"/>
                <w:sz w:val="16"/>
                <w:szCs w:val="16"/>
              </w:rPr>
              <w:t>1,119</w:t>
            </w:r>
          </w:p>
        </w:tc>
        <w:tc>
          <w:tcPr>
            <w:tcW w:w="534" w:type="pct"/>
            <w:tcBorders>
              <w:top w:val="nil"/>
              <w:left w:val="nil"/>
              <w:bottom w:val="nil"/>
              <w:right w:val="single" w:sz="8" w:space="0" w:color="FF0000"/>
            </w:tcBorders>
            <w:shd w:val="clear" w:color="000000" w:fill="F7A3B0"/>
            <w:noWrap/>
            <w:vAlign w:val="center"/>
          </w:tcPr>
          <w:p w14:paraId="22373DDC" w14:textId="635E6C68" w:rsidR="00F62C68" w:rsidRPr="00894701" w:rsidRDefault="00F62C68" w:rsidP="00F62C68">
            <w:pPr>
              <w:spacing w:after="0" w:line="240" w:lineRule="auto"/>
              <w:jc w:val="right"/>
              <w:rPr>
                <w:color w:val="auto"/>
                <w:kern w:val="0"/>
                <w:sz w:val="16"/>
                <w:szCs w:val="16"/>
              </w:rPr>
            </w:pPr>
            <w:r w:rsidRPr="00894701">
              <w:rPr>
                <w:rFonts w:cs="Arial"/>
                <w:color w:val="auto"/>
                <w:sz w:val="16"/>
                <w:szCs w:val="16"/>
              </w:rPr>
              <w:t>100%</w:t>
            </w:r>
          </w:p>
        </w:tc>
        <w:tc>
          <w:tcPr>
            <w:tcW w:w="579" w:type="pct"/>
            <w:tcBorders>
              <w:top w:val="nil"/>
              <w:left w:val="nil"/>
              <w:bottom w:val="nil"/>
              <w:right w:val="nil"/>
            </w:tcBorders>
            <w:shd w:val="clear" w:color="000000" w:fill="F7A3B0"/>
            <w:noWrap/>
            <w:vAlign w:val="center"/>
          </w:tcPr>
          <w:p w14:paraId="3C4CEED9" w14:textId="3871CE3D" w:rsidR="00F62C68" w:rsidRPr="00894701" w:rsidRDefault="00F62C68" w:rsidP="00F62C68">
            <w:pPr>
              <w:spacing w:after="0" w:line="240" w:lineRule="auto"/>
              <w:jc w:val="right"/>
              <w:rPr>
                <w:color w:val="auto"/>
                <w:kern w:val="0"/>
                <w:sz w:val="16"/>
                <w:szCs w:val="16"/>
              </w:rPr>
            </w:pPr>
            <w:r w:rsidRPr="00894701">
              <w:rPr>
                <w:rFonts w:cs="Arial"/>
                <w:color w:val="auto"/>
                <w:sz w:val="16"/>
                <w:szCs w:val="16"/>
              </w:rPr>
              <w:t>1,575</w:t>
            </w:r>
          </w:p>
        </w:tc>
        <w:tc>
          <w:tcPr>
            <w:tcW w:w="534" w:type="pct"/>
            <w:tcBorders>
              <w:top w:val="nil"/>
              <w:left w:val="nil"/>
              <w:bottom w:val="nil"/>
              <w:right w:val="single" w:sz="8" w:space="0" w:color="FF0000"/>
            </w:tcBorders>
            <w:shd w:val="clear" w:color="000000" w:fill="F7A3B0"/>
            <w:noWrap/>
            <w:vAlign w:val="center"/>
          </w:tcPr>
          <w:p w14:paraId="6E73D112" w14:textId="0101C8B0" w:rsidR="00F62C68" w:rsidRPr="00894701" w:rsidRDefault="00F62C68" w:rsidP="00F62C68">
            <w:pPr>
              <w:spacing w:after="0" w:line="240" w:lineRule="auto"/>
              <w:jc w:val="right"/>
              <w:rPr>
                <w:color w:val="auto"/>
                <w:kern w:val="0"/>
                <w:sz w:val="16"/>
                <w:szCs w:val="16"/>
              </w:rPr>
            </w:pPr>
            <w:r w:rsidRPr="00894701">
              <w:rPr>
                <w:rFonts w:cs="Arial"/>
                <w:color w:val="auto"/>
                <w:sz w:val="16"/>
                <w:szCs w:val="16"/>
              </w:rPr>
              <w:t>100%</w:t>
            </w:r>
          </w:p>
        </w:tc>
      </w:tr>
      <w:tr w:rsidR="004C70CC" w:rsidRPr="00894701" w14:paraId="2C53D597" w14:textId="77777777" w:rsidTr="004C70CC">
        <w:trPr>
          <w:trHeight w:val="270"/>
          <w:jc w:val="center"/>
        </w:trPr>
        <w:tc>
          <w:tcPr>
            <w:tcW w:w="1662" w:type="pct"/>
            <w:tcBorders>
              <w:top w:val="nil"/>
              <w:left w:val="nil"/>
              <w:bottom w:val="nil"/>
              <w:right w:val="single" w:sz="8" w:space="0" w:color="FF0000"/>
            </w:tcBorders>
            <w:shd w:val="clear" w:color="auto" w:fill="auto"/>
            <w:noWrap/>
            <w:vAlign w:val="center"/>
            <w:hideMark/>
          </w:tcPr>
          <w:p w14:paraId="5D4064DB" w14:textId="3D06AB70" w:rsidR="00F62C68" w:rsidRPr="00894701" w:rsidRDefault="00F62C68" w:rsidP="00F62C68">
            <w:pPr>
              <w:spacing w:after="0" w:line="240" w:lineRule="auto"/>
              <w:rPr>
                <w:color w:val="000000"/>
                <w:kern w:val="0"/>
                <w:sz w:val="16"/>
                <w:szCs w:val="16"/>
              </w:rPr>
            </w:pPr>
            <w:r w:rsidRPr="00894701">
              <w:rPr>
                <w:color w:val="000000"/>
                <w:kern w:val="0"/>
                <w:sz w:val="16"/>
                <w:szCs w:val="16"/>
              </w:rPr>
              <w:t xml:space="preserve"> Social Contribution (SC)</w:t>
            </w:r>
          </w:p>
        </w:tc>
        <w:tc>
          <w:tcPr>
            <w:tcW w:w="579" w:type="pct"/>
            <w:tcBorders>
              <w:top w:val="nil"/>
              <w:left w:val="nil"/>
              <w:bottom w:val="nil"/>
              <w:right w:val="nil"/>
            </w:tcBorders>
            <w:shd w:val="clear" w:color="auto" w:fill="auto"/>
            <w:noWrap/>
            <w:vAlign w:val="center"/>
          </w:tcPr>
          <w:p w14:paraId="0A6A20AB" w14:textId="3C7CC933" w:rsidR="00F62C68" w:rsidRPr="00894701" w:rsidRDefault="00F62C68" w:rsidP="00F62C68">
            <w:pPr>
              <w:spacing w:after="0" w:line="240" w:lineRule="auto"/>
              <w:jc w:val="right"/>
              <w:rPr>
                <w:rFonts w:cs="Arial"/>
                <w:color w:val="auto"/>
                <w:kern w:val="0"/>
                <w:sz w:val="16"/>
                <w:szCs w:val="16"/>
              </w:rPr>
            </w:pPr>
            <w:r w:rsidRPr="00894701">
              <w:rPr>
                <w:rFonts w:cs="Arial"/>
                <w:color w:val="auto"/>
                <w:sz w:val="16"/>
                <w:szCs w:val="16"/>
              </w:rPr>
              <w:t>800</w:t>
            </w:r>
          </w:p>
        </w:tc>
        <w:tc>
          <w:tcPr>
            <w:tcW w:w="534" w:type="pct"/>
            <w:tcBorders>
              <w:top w:val="nil"/>
              <w:left w:val="nil"/>
              <w:bottom w:val="nil"/>
              <w:right w:val="single" w:sz="8" w:space="0" w:color="FF0000"/>
            </w:tcBorders>
            <w:shd w:val="clear" w:color="auto" w:fill="auto"/>
            <w:noWrap/>
            <w:vAlign w:val="center"/>
          </w:tcPr>
          <w:p w14:paraId="2474044F" w14:textId="1A3F8B63" w:rsidR="00F62C68" w:rsidRPr="00894701" w:rsidRDefault="00F62C68" w:rsidP="00F62C68">
            <w:pPr>
              <w:spacing w:after="0" w:line="240" w:lineRule="auto"/>
              <w:jc w:val="right"/>
              <w:rPr>
                <w:color w:val="auto"/>
                <w:kern w:val="0"/>
                <w:sz w:val="16"/>
                <w:szCs w:val="16"/>
              </w:rPr>
            </w:pPr>
            <w:r w:rsidRPr="00894701">
              <w:rPr>
                <w:rFonts w:cs="Arial"/>
                <w:color w:val="auto"/>
                <w:sz w:val="16"/>
                <w:szCs w:val="16"/>
              </w:rPr>
              <w:t>42%</w:t>
            </w:r>
          </w:p>
        </w:tc>
        <w:tc>
          <w:tcPr>
            <w:tcW w:w="579" w:type="pct"/>
            <w:tcBorders>
              <w:top w:val="nil"/>
              <w:left w:val="nil"/>
              <w:bottom w:val="nil"/>
              <w:right w:val="nil"/>
            </w:tcBorders>
            <w:shd w:val="clear" w:color="auto" w:fill="auto"/>
            <w:noWrap/>
            <w:vAlign w:val="center"/>
          </w:tcPr>
          <w:p w14:paraId="11D6096B" w14:textId="12D31C73" w:rsidR="00F62C68" w:rsidRPr="00894701" w:rsidRDefault="00F62C68" w:rsidP="00F62C68">
            <w:pPr>
              <w:spacing w:after="0" w:line="240" w:lineRule="auto"/>
              <w:jc w:val="right"/>
              <w:rPr>
                <w:color w:val="auto"/>
                <w:kern w:val="0"/>
                <w:sz w:val="16"/>
                <w:szCs w:val="16"/>
              </w:rPr>
            </w:pPr>
            <w:r w:rsidRPr="00894701">
              <w:rPr>
                <w:rFonts w:cs="Arial"/>
                <w:color w:val="auto"/>
                <w:sz w:val="16"/>
                <w:szCs w:val="16"/>
              </w:rPr>
              <w:t>1</w:t>
            </w:r>
          </w:p>
        </w:tc>
        <w:tc>
          <w:tcPr>
            <w:tcW w:w="534" w:type="pct"/>
            <w:tcBorders>
              <w:top w:val="nil"/>
              <w:left w:val="nil"/>
              <w:bottom w:val="nil"/>
              <w:right w:val="single" w:sz="8" w:space="0" w:color="FF0000"/>
            </w:tcBorders>
            <w:shd w:val="clear" w:color="auto" w:fill="auto"/>
            <w:noWrap/>
            <w:vAlign w:val="center"/>
          </w:tcPr>
          <w:p w14:paraId="5B34029F" w14:textId="47F72631" w:rsidR="00F62C68" w:rsidRPr="00894701" w:rsidRDefault="00F62C68" w:rsidP="00F62C68">
            <w:pPr>
              <w:spacing w:after="0" w:line="240" w:lineRule="auto"/>
              <w:jc w:val="right"/>
              <w:rPr>
                <w:color w:val="auto"/>
                <w:kern w:val="0"/>
                <w:sz w:val="16"/>
                <w:szCs w:val="16"/>
              </w:rPr>
            </w:pPr>
            <w:r w:rsidRPr="00894701">
              <w:rPr>
                <w:rFonts w:cs="Arial"/>
                <w:color w:val="auto"/>
                <w:sz w:val="16"/>
                <w:szCs w:val="16"/>
              </w:rPr>
              <w:t>0%</w:t>
            </w:r>
          </w:p>
        </w:tc>
        <w:tc>
          <w:tcPr>
            <w:tcW w:w="579" w:type="pct"/>
            <w:tcBorders>
              <w:top w:val="nil"/>
              <w:left w:val="nil"/>
              <w:bottom w:val="nil"/>
              <w:right w:val="nil"/>
            </w:tcBorders>
            <w:shd w:val="clear" w:color="auto" w:fill="auto"/>
            <w:noWrap/>
            <w:vAlign w:val="center"/>
          </w:tcPr>
          <w:p w14:paraId="755562CD" w14:textId="6F810B67" w:rsidR="00F62C68" w:rsidRPr="00894701" w:rsidRDefault="00F62C68" w:rsidP="00F62C68">
            <w:pPr>
              <w:spacing w:after="0" w:line="240" w:lineRule="auto"/>
              <w:jc w:val="right"/>
              <w:rPr>
                <w:color w:val="auto"/>
                <w:kern w:val="0"/>
                <w:sz w:val="16"/>
                <w:szCs w:val="16"/>
              </w:rPr>
            </w:pPr>
            <w:r w:rsidRPr="00894701">
              <w:rPr>
                <w:rFonts w:cs="Arial"/>
                <w:color w:val="auto"/>
                <w:sz w:val="16"/>
                <w:szCs w:val="16"/>
              </w:rPr>
              <w:t>1</w:t>
            </w:r>
          </w:p>
        </w:tc>
        <w:tc>
          <w:tcPr>
            <w:tcW w:w="534" w:type="pct"/>
            <w:tcBorders>
              <w:top w:val="nil"/>
              <w:left w:val="nil"/>
              <w:bottom w:val="nil"/>
              <w:right w:val="single" w:sz="8" w:space="0" w:color="FF0000"/>
            </w:tcBorders>
            <w:shd w:val="clear" w:color="auto" w:fill="auto"/>
            <w:noWrap/>
            <w:vAlign w:val="center"/>
          </w:tcPr>
          <w:p w14:paraId="67BC58E4" w14:textId="449F53F2" w:rsidR="00F62C68" w:rsidRPr="00894701" w:rsidRDefault="00F62C68" w:rsidP="00F62C68">
            <w:pPr>
              <w:spacing w:after="0" w:line="240" w:lineRule="auto"/>
              <w:jc w:val="right"/>
              <w:rPr>
                <w:color w:val="auto"/>
                <w:kern w:val="0"/>
                <w:sz w:val="16"/>
                <w:szCs w:val="16"/>
              </w:rPr>
            </w:pPr>
            <w:r w:rsidRPr="00894701">
              <w:rPr>
                <w:rFonts w:cs="Arial"/>
                <w:color w:val="auto"/>
                <w:sz w:val="16"/>
                <w:szCs w:val="16"/>
              </w:rPr>
              <w:t>0%</w:t>
            </w:r>
          </w:p>
        </w:tc>
      </w:tr>
      <w:tr w:rsidR="004C70CC" w:rsidRPr="00894701" w14:paraId="079ADEAD" w14:textId="77777777" w:rsidTr="004C70CC">
        <w:trPr>
          <w:trHeight w:val="490"/>
          <w:jc w:val="center"/>
        </w:trPr>
        <w:tc>
          <w:tcPr>
            <w:tcW w:w="1662" w:type="pct"/>
            <w:tcBorders>
              <w:top w:val="nil"/>
              <w:left w:val="nil"/>
              <w:bottom w:val="single" w:sz="12" w:space="0" w:color="FF0000"/>
              <w:right w:val="single" w:sz="8" w:space="0" w:color="FF0000"/>
            </w:tcBorders>
            <w:shd w:val="clear" w:color="auto" w:fill="808080"/>
            <w:vAlign w:val="center"/>
            <w:hideMark/>
          </w:tcPr>
          <w:p w14:paraId="2735DCF8" w14:textId="43EBC220" w:rsidR="00F62C68" w:rsidRPr="00894701" w:rsidRDefault="00F62C68" w:rsidP="00F62C68">
            <w:pPr>
              <w:spacing w:after="0" w:line="240" w:lineRule="auto"/>
              <w:rPr>
                <w:b/>
                <w:bCs/>
                <w:color w:val="auto"/>
                <w:kern w:val="0"/>
                <w:sz w:val="16"/>
                <w:szCs w:val="16"/>
              </w:rPr>
            </w:pPr>
            <w:r w:rsidRPr="00894701">
              <w:rPr>
                <w:b/>
                <w:bCs/>
                <w:color w:val="auto"/>
                <w:kern w:val="0"/>
                <w:sz w:val="16"/>
                <w:szCs w:val="16"/>
              </w:rPr>
              <w:t xml:space="preserve"> Total Revenue</w:t>
            </w:r>
          </w:p>
        </w:tc>
        <w:tc>
          <w:tcPr>
            <w:tcW w:w="579" w:type="pct"/>
            <w:tcBorders>
              <w:top w:val="nil"/>
              <w:left w:val="nil"/>
              <w:bottom w:val="single" w:sz="12" w:space="0" w:color="FF0000"/>
              <w:right w:val="nil"/>
            </w:tcBorders>
            <w:shd w:val="clear" w:color="auto" w:fill="808080"/>
            <w:vAlign w:val="center"/>
          </w:tcPr>
          <w:p w14:paraId="586AEB23" w14:textId="2F64498D" w:rsidR="00F62C68" w:rsidRPr="00894701" w:rsidRDefault="00F62C68" w:rsidP="00F62C68">
            <w:pPr>
              <w:spacing w:after="0" w:line="240" w:lineRule="auto"/>
              <w:jc w:val="right"/>
              <w:rPr>
                <w:b/>
                <w:bCs/>
                <w:color w:val="auto"/>
                <w:kern w:val="0"/>
                <w:sz w:val="16"/>
                <w:szCs w:val="16"/>
              </w:rPr>
            </w:pPr>
            <w:r w:rsidRPr="00894701">
              <w:rPr>
                <w:rFonts w:cs="Arial"/>
                <w:b/>
                <w:bCs/>
                <w:color w:val="000000"/>
                <w:sz w:val="16"/>
                <w:szCs w:val="16"/>
              </w:rPr>
              <w:t>1,897</w:t>
            </w:r>
          </w:p>
        </w:tc>
        <w:tc>
          <w:tcPr>
            <w:tcW w:w="534" w:type="pct"/>
            <w:tcBorders>
              <w:top w:val="nil"/>
              <w:left w:val="nil"/>
              <w:bottom w:val="single" w:sz="12" w:space="0" w:color="FF0000"/>
              <w:right w:val="single" w:sz="8" w:space="0" w:color="FF0000"/>
            </w:tcBorders>
            <w:shd w:val="clear" w:color="auto" w:fill="808080"/>
            <w:vAlign w:val="center"/>
          </w:tcPr>
          <w:p w14:paraId="18CB7DC7" w14:textId="35666982" w:rsidR="00F62C68" w:rsidRPr="00894701" w:rsidRDefault="00F62C68" w:rsidP="00F62C68">
            <w:pPr>
              <w:spacing w:after="0" w:line="240" w:lineRule="auto"/>
              <w:jc w:val="right"/>
              <w:rPr>
                <w:b/>
                <w:bCs/>
                <w:color w:val="auto"/>
                <w:kern w:val="0"/>
                <w:sz w:val="16"/>
                <w:szCs w:val="16"/>
              </w:rPr>
            </w:pPr>
            <w:r w:rsidRPr="00894701">
              <w:rPr>
                <w:rFonts w:cs="Arial"/>
                <w:b/>
                <w:bCs/>
                <w:color w:val="000000"/>
                <w:sz w:val="16"/>
                <w:szCs w:val="16"/>
              </w:rPr>
              <w:t>100%</w:t>
            </w:r>
          </w:p>
        </w:tc>
        <w:tc>
          <w:tcPr>
            <w:tcW w:w="579" w:type="pct"/>
            <w:tcBorders>
              <w:top w:val="nil"/>
              <w:left w:val="nil"/>
              <w:bottom w:val="single" w:sz="12" w:space="0" w:color="FF0000"/>
              <w:right w:val="nil"/>
            </w:tcBorders>
            <w:shd w:val="clear" w:color="auto" w:fill="808080"/>
            <w:vAlign w:val="center"/>
          </w:tcPr>
          <w:p w14:paraId="51A4E986" w14:textId="34EA7E6A" w:rsidR="00F62C68" w:rsidRPr="00894701" w:rsidRDefault="00F62C68" w:rsidP="00F62C68">
            <w:pPr>
              <w:spacing w:after="0" w:line="240" w:lineRule="auto"/>
              <w:jc w:val="right"/>
              <w:rPr>
                <w:b/>
                <w:bCs/>
                <w:color w:val="auto"/>
                <w:kern w:val="0"/>
                <w:sz w:val="16"/>
                <w:szCs w:val="16"/>
              </w:rPr>
            </w:pPr>
            <w:r w:rsidRPr="00894701">
              <w:rPr>
                <w:rFonts w:cs="Arial"/>
                <w:b/>
                <w:bCs/>
                <w:color w:val="000000"/>
                <w:sz w:val="16"/>
                <w:szCs w:val="16"/>
              </w:rPr>
              <w:t>1,120</w:t>
            </w:r>
          </w:p>
        </w:tc>
        <w:tc>
          <w:tcPr>
            <w:tcW w:w="534" w:type="pct"/>
            <w:tcBorders>
              <w:top w:val="nil"/>
              <w:left w:val="nil"/>
              <w:bottom w:val="single" w:sz="12" w:space="0" w:color="FF0000"/>
              <w:right w:val="single" w:sz="8" w:space="0" w:color="FF0000"/>
            </w:tcBorders>
            <w:shd w:val="clear" w:color="auto" w:fill="808080"/>
            <w:vAlign w:val="center"/>
          </w:tcPr>
          <w:p w14:paraId="3E9F964B" w14:textId="23006859" w:rsidR="00F62C68" w:rsidRPr="00894701" w:rsidRDefault="00F62C68" w:rsidP="00F62C68">
            <w:pPr>
              <w:spacing w:after="0" w:line="240" w:lineRule="auto"/>
              <w:jc w:val="right"/>
              <w:rPr>
                <w:b/>
                <w:bCs/>
                <w:color w:val="auto"/>
                <w:kern w:val="0"/>
                <w:sz w:val="16"/>
                <w:szCs w:val="16"/>
              </w:rPr>
            </w:pPr>
            <w:r w:rsidRPr="00894701">
              <w:rPr>
                <w:rFonts w:cs="Arial"/>
                <w:b/>
                <w:bCs/>
                <w:color w:val="000000"/>
                <w:sz w:val="16"/>
                <w:szCs w:val="16"/>
              </w:rPr>
              <w:t>100%</w:t>
            </w:r>
          </w:p>
        </w:tc>
        <w:tc>
          <w:tcPr>
            <w:tcW w:w="579" w:type="pct"/>
            <w:tcBorders>
              <w:top w:val="nil"/>
              <w:left w:val="nil"/>
              <w:bottom w:val="single" w:sz="12" w:space="0" w:color="FF0000"/>
              <w:right w:val="nil"/>
            </w:tcBorders>
            <w:shd w:val="clear" w:color="auto" w:fill="808080"/>
            <w:vAlign w:val="center"/>
          </w:tcPr>
          <w:p w14:paraId="0B558235" w14:textId="61AFEEE1" w:rsidR="00F62C68" w:rsidRPr="00894701" w:rsidRDefault="00F62C68" w:rsidP="00F62C68">
            <w:pPr>
              <w:spacing w:after="0" w:line="240" w:lineRule="auto"/>
              <w:jc w:val="right"/>
              <w:rPr>
                <w:b/>
                <w:bCs/>
                <w:color w:val="auto"/>
                <w:kern w:val="0"/>
                <w:sz w:val="16"/>
                <w:szCs w:val="16"/>
              </w:rPr>
            </w:pPr>
            <w:r w:rsidRPr="00894701">
              <w:rPr>
                <w:rFonts w:cs="Arial"/>
                <w:b/>
                <w:bCs/>
                <w:color w:val="000000"/>
                <w:sz w:val="16"/>
                <w:szCs w:val="16"/>
              </w:rPr>
              <w:t>1,576</w:t>
            </w:r>
          </w:p>
        </w:tc>
        <w:tc>
          <w:tcPr>
            <w:tcW w:w="534" w:type="pct"/>
            <w:tcBorders>
              <w:top w:val="nil"/>
              <w:left w:val="nil"/>
              <w:bottom w:val="single" w:sz="12" w:space="0" w:color="FF0000"/>
              <w:right w:val="single" w:sz="8" w:space="0" w:color="FF0000"/>
            </w:tcBorders>
            <w:shd w:val="clear" w:color="auto" w:fill="808080"/>
            <w:vAlign w:val="center"/>
          </w:tcPr>
          <w:p w14:paraId="6A70DF40" w14:textId="356C11B2" w:rsidR="00F62C68" w:rsidRPr="00894701" w:rsidRDefault="00F62C68" w:rsidP="00F62C68">
            <w:pPr>
              <w:spacing w:after="0" w:line="240" w:lineRule="auto"/>
              <w:jc w:val="right"/>
              <w:rPr>
                <w:b/>
                <w:bCs/>
                <w:color w:val="auto"/>
                <w:kern w:val="0"/>
                <w:sz w:val="16"/>
                <w:szCs w:val="16"/>
              </w:rPr>
            </w:pPr>
            <w:r w:rsidRPr="00894701">
              <w:rPr>
                <w:rFonts w:cs="Arial"/>
                <w:b/>
                <w:bCs/>
                <w:color w:val="000000"/>
                <w:sz w:val="16"/>
                <w:szCs w:val="16"/>
              </w:rPr>
              <w:t>100%</w:t>
            </w:r>
          </w:p>
        </w:tc>
      </w:tr>
    </w:tbl>
    <w:p w14:paraId="23484FF8" w14:textId="258E05B1" w:rsidR="003D7DD5" w:rsidRPr="00B55953" w:rsidRDefault="008F1F8F" w:rsidP="00B30F10">
      <w:pPr>
        <w:pStyle w:val="BodyTextRed"/>
        <w:contextualSpacing/>
        <w:jc w:val="both"/>
        <w:rPr>
          <w:i/>
          <w:iCs/>
          <w:color w:val="auto"/>
          <w:sz w:val="16"/>
          <w:szCs w:val="16"/>
        </w:rPr>
      </w:pPr>
      <w:r w:rsidRPr="00B55953">
        <w:rPr>
          <w:i/>
          <w:iCs/>
          <w:color w:val="auto"/>
          <w:sz w:val="16"/>
          <w:szCs w:val="16"/>
        </w:rPr>
        <w:t>Source: EITI-SR Reporting templates</w:t>
      </w:r>
    </w:p>
    <w:p w14:paraId="0A377101" w14:textId="77777777" w:rsidR="0073659F" w:rsidRPr="00894701" w:rsidRDefault="0073659F" w:rsidP="00B30F10">
      <w:pPr>
        <w:pStyle w:val="BodyTextRed"/>
        <w:jc w:val="center"/>
        <w:rPr>
          <w:b/>
          <w:bCs/>
          <w:color w:val="98002E" w:themeColor="accent3"/>
          <w:sz w:val="20"/>
          <w:szCs w:val="20"/>
        </w:rPr>
      </w:pPr>
    </w:p>
    <w:p w14:paraId="12F05B6F" w14:textId="398E739F" w:rsidR="009C185E" w:rsidRPr="00894701" w:rsidRDefault="009C185E" w:rsidP="00B30F10">
      <w:pPr>
        <w:pStyle w:val="BodyTextRed"/>
        <w:jc w:val="center"/>
        <w:rPr>
          <w:b/>
          <w:bCs/>
          <w:color w:val="98002E" w:themeColor="accent3"/>
          <w:sz w:val="20"/>
          <w:szCs w:val="20"/>
        </w:rPr>
      </w:pPr>
      <w:bookmarkStart w:id="27" w:name="_Toc146590476"/>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4</w:t>
      </w:r>
      <w:r w:rsidRPr="00894701">
        <w:rPr>
          <w:b/>
          <w:bCs/>
          <w:color w:val="98002E" w:themeColor="accent3"/>
          <w:sz w:val="20"/>
          <w:szCs w:val="20"/>
        </w:rPr>
        <w:fldChar w:fldCharType="end"/>
      </w:r>
      <w:r w:rsidRPr="00894701">
        <w:rPr>
          <w:b/>
          <w:bCs/>
          <w:color w:val="98002E" w:themeColor="accent3"/>
          <w:sz w:val="20"/>
          <w:szCs w:val="20"/>
        </w:rPr>
        <w:t xml:space="preserve">: </w:t>
      </w:r>
      <w:r w:rsidR="00F758CF" w:rsidRPr="00894701">
        <w:rPr>
          <w:b/>
          <w:bCs/>
          <w:color w:val="98002E" w:themeColor="accent3"/>
          <w:sz w:val="20"/>
          <w:szCs w:val="20"/>
        </w:rPr>
        <w:t>T</w:t>
      </w:r>
      <w:r w:rsidRPr="00894701">
        <w:rPr>
          <w:b/>
          <w:bCs/>
          <w:color w:val="98002E" w:themeColor="accent3"/>
          <w:sz w:val="20"/>
          <w:szCs w:val="20"/>
        </w:rPr>
        <w:t>otal extractive revenues by sector for the fiscal years 2018</w:t>
      </w:r>
      <w:r w:rsidR="00EA53DA" w:rsidRPr="00894701">
        <w:rPr>
          <w:b/>
          <w:bCs/>
          <w:color w:val="98002E" w:themeColor="accent3"/>
          <w:sz w:val="20"/>
          <w:szCs w:val="20"/>
        </w:rPr>
        <w:t xml:space="preserve">, </w:t>
      </w:r>
      <w:r w:rsidRPr="00894701">
        <w:rPr>
          <w:b/>
          <w:bCs/>
          <w:color w:val="98002E" w:themeColor="accent3"/>
          <w:sz w:val="20"/>
          <w:szCs w:val="20"/>
        </w:rPr>
        <w:t>2019</w:t>
      </w:r>
      <w:bookmarkEnd w:id="26"/>
      <w:r w:rsidR="00EA53DA" w:rsidRPr="00894701">
        <w:rPr>
          <w:b/>
          <w:bCs/>
          <w:color w:val="98002E" w:themeColor="accent3"/>
          <w:sz w:val="20"/>
          <w:szCs w:val="20"/>
        </w:rPr>
        <w:t xml:space="preserve"> and 2020</w:t>
      </w:r>
      <w:bookmarkEnd w:id="27"/>
    </w:p>
    <w:tbl>
      <w:tblPr>
        <w:tblW w:w="5000" w:type="pct"/>
        <w:tblLayout w:type="fixed"/>
        <w:tblLook w:val="04A0" w:firstRow="1" w:lastRow="0" w:firstColumn="1" w:lastColumn="0" w:noHBand="0" w:noVBand="1"/>
      </w:tblPr>
      <w:tblGrid>
        <w:gridCol w:w="2977"/>
        <w:gridCol w:w="899"/>
        <w:gridCol w:w="998"/>
        <w:gridCol w:w="1087"/>
        <w:gridCol w:w="998"/>
        <w:gridCol w:w="1085"/>
        <w:gridCol w:w="996"/>
      </w:tblGrid>
      <w:tr w:rsidR="00B8020B" w:rsidRPr="00894701" w14:paraId="243CA47B" w14:textId="77777777" w:rsidTr="004C70CC">
        <w:trPr>
          <w:trHeight w:val="270"/>
        </w:trPr>
        <w:tc>
          <w:tcPr>
            <w:tcW w:w="1647" w:type="pct"/>
            <w:vMerge w:val="restart"/>
            <w:tcBorders>
              <w:top w:val="nil"/>
              <w:left w:val="nil"/>
              <w:bottom w:val="single" w:sz="8" w:space="0" w:color="FF0000"/>
              <w:right w:val="nil"/>
            </w:tcBorders>
            <w:shd w:val="clear" w:color="000000" w:fill="800000"/>
            <w:vAlign w:val="center"/>
            <w:hideMark/>
          </w:tcPr>
          <w:p w14:paraId="5223F23E" w14:textId="77777777" w:rsidR="00B8020B" w:rsidRPr="00894701" w:rsidRDefault="00B8020B" w:rsidP="00B30F10">
            <w:pPr>
              <w:spacing w:after="0" w:line="240" w:lineRule="auto"/>
              <w:rPr>
                <w:b/>
                <w:bCs/>
                <w:color w:val="auto"/>
                <w:kern w:val="0"/>
                <w:sz w:val="16"/>
                <w:szCs w:val="16"/>
              </w:rPr>
            </w:pPr>
            <w:r w:rsidRPr="00894701">
              <w:rPr>
                <w:b/>
                <w:bCs/>
                <w:color w:val="auto"/>
                <w:kern w:val="0"/>
                <w:sz w:val="16"/>
                <w:szCs w:val="16"/>
              </w:rPr>
              <w:t>Sectors</w:t>
            </w:r>
          </w:p>
        </w:tc>
        <w:tc>
          <w:tcPr>
            <w:tcW w:w="1049" w:type="pct"/>
            <w:gridSpan w:val="2"/>
            <w:tcBorders>
              <w:top w:val="nil"/>
              <w:left w:val="single" w:sz="8" w:space="0" w:color="FF0000"/>
              <w:bottom w:val="nil"/>
              <w:right w:val="single" w:sz="8" w:space="0" w:color="FF0000"/>
            </w:tcBorders>
            <w:shd w:val="clear" w:color="000000" w:fill="800000"/>
            <w:vAlign w:val="center"/>
            <w:hideMark/>
          </w:tcPr>
          <w:p w14:paraId="48111029" w14:textId="77777777" w:rsidR="00B8020B" w:rsidRPr="00894701" w:rsidRDefault="00B8020B" w:rsidP="00B30F10">
            <w:pPr>
              <w:spacing w:after="0" w:line="240" w:lineRule="auto"/>
              <w:jc w:val="center"/>
              <w:rPr>
                <w:b/>
                <w:bCs/>
                <w:color w:val="auto"/>
                <w:kern w:val="0"/>
                <w:sz w:val="16"/>
                <w:szCs w:val="16"/>
              </w:rPr>
            </w:pPr>
            <w:r w:rsidRPr="00894701">
              <w:rPr>
                <w:b/>
                <w:bCs/>
                <w:color w:val="auto"/>
                <w:kern w:val="0"/>
                <w:sz w:val="16"/>
                <w:szCs w:val="16"/>
              </w:rPr>
              <w:t>2018</w:t>
            </w:r>
          </w:p>
        </w:tc>
        <w:tc>
          <w:tcPr>
            <w:tcW w:w="1153" w:type="pct"/>
            <w:gridSpan w:val="2"/>
            <w:tcBorders>
              <w:top w:val="nil"/>
              <w:left w:val="nil"/>
              <w:bottom w:val="nil"/>
              <w:right w:val="single" w:sz="8" w:space="0" w:color="FF0000"/>
            </w:tcBorders>
            <w:shd w:val="clear" w:color="000000" w:fill="800000"/>
            <w:vAlign w:val="center"/>
            <w:hideMark/>
          </w:tcPr>
          <w:p w14:paraId="51A5D45A" w14:textId="77777777" w:rsidR="00B8020B" w:rsidRPr="00894701" w:rsidRDefault="00B8020B" w:rsidP="00B30F10">
            <w:pPr>
              <w:spacing w:after="0" w:line="240" w:lineRule="auto"/>
              <w:jc w:val="center"/>
              <w:rPr>
                <w:b/>
                <w:bCs/>
                <w:color w:val="auto"/>
                <w:kern w:val="0"/>
                <w:sz w:val="16"/>
                <w:szCs w:val="16"/>
              </w:rPr>
            </w:pPr>
            <w:r w:rsidRPr="00894701">
              <w:rPr>
                <w:b/>
                <w:bCs/>
                <w:color w:val="auto"/>
                <w:kern w:val="0"/>
                <w:sz w:val="16"/>
                <w:szCs w:val="16"/>
              </w:rPr>
              <w:t>2019</w:t>
            </w:r>
          </w:p>
        </w:tc>
        <w:tc>
          <w:tcPr>
            <w:tcW w:w="1152" w:type="pct"/>
            <w:gridSpan w:val="2"/>
            <w:tcBorders>
              <w:top w:val="nil"/>
              <w:left w:val="nil"/>
              <w:bottom w:val="nil"/>
              <w:right w:val="single" w:sz="8" w:space="0" w:color="FF0000"/>
            </w:tcBorders>
            <w:shd w:val="clear" w:color="000000" w:fill="800000"/>
            <w:vAlign w:val="center"/>
            <w:hideMark/>
          </w:tcPr>
          <w:p w14:paraId="61D06A44" w14:textId="77777777" w:rsidR="00B8020B" w:rsidRPr="00894701" w:rsidRDefault="00B8020B" w:rsidP="00B30F10">
            <w:pPr>
              <w:spacing w:after="0" w:line="240" w:lineRule="auto"/>
              <w:jc w:val="center"/>
              <w:rPr>
                <w:b/>
                <w:bCs/>
                <w:color w:val="auto"/>
                <w:kern w:val="0"/>
                <w:sz w:val="16"/>
                <w:szCs w:val="16"/>
              </w:rPr>
            </w:pPr>
            <w:r w:rsidRPr="00894701">
              <w:rPr>
                <w:b/>
                <w:bCs/>
                <w:color w:val="auto"/>
                <w:kern w:val="0"/>
                <w:sz w:val="16"/>
                <w:szCs w:val="16"/>
              </w:rPr>
              <w:t>2020</w:t>
            </w:r>
          </w:p>
        </w:tc>
      </w:tr>
      <w:tr w:rsidR="004C70CC" w:rsidRPr="00894701" w14:paraId="15CBD8FC" w14:textId="77777777" w:rsidTr="004C70CC">
        <w:trPr>
          <w:trHeight w:val="280"/>
        </w:trPr>
        <w:tc>
          <w:tcPr>
            <w:tcW w:w="1647" w:type="pct"/>
            <w:vMerge/>
            <w:tcBorders>
              <w:top w:val="nil"/>
              <w:left w:val="nil"/>
              <w:bottom w:val="single" w:sz="8" w:space="0" w:color="FF0000"/>
              <w:right w:val="nil"/>
            </w:tcBorders>
            <w:vAlign w:val="center"/>
            <w:hideMark/>
          </w:tcPr>
          <w:p w14:paraId="457ED2DB" w14:textId="77777777" w:rsidR="00B8020B" w:rsidRPr="00894701" w:rsidRDefault="00B8020B" w:rsidP="00B30F10">
            <w:pPr>
              <w:spacing w:after="0" w:line="240" w:lineRule="auto"/>
              <w:rPr>
                <w:b/>
                <w:bCs/>
                <w:color w:val="auto"/>
                <w:kern w:val="0"/>
                <w:sz w:val="16"/>
                <w:szCs w:val="16"/>
              </w:rPr>
            </w:pPr>
          </w:p>
        </w:tc>
        <w:tc>
          <w:tcPr>
            <w:tcW w:w="497" w:type="pct"/>
            <w:tcBorders>
              <w:top w:val="nil"/>
              <w:left w:val="single" w:sz="8" w:space="0" w:color="FF0000"/>
              <w:bottom w:val="single" w:sz="8" w:space="0" w:color="FF0000"/>
              <w:right w:val="nil"/>
            </w:tcBorders>
            <w:shd w:val="clear" w:color="000000" w:fill="800000"/>
            <w:vAlign w:val="center"/>
            <w:hideMark/>
          </w:tcPr>
          <w:p w14:paraId="2D6C0309" w14:textId="77777777" w:rsidR="00B8020B" w:rsidRPr="00894701" w:rsidRDefault="00B8020B" w:rsidP="00B30F10">
            <w:pPr>
              <w:spacing w:after="0" w:line="240" w:lineRule="auto"/>
              <w:jc w:val="center"/>
              <w:rPr>
                <w:b/>
                <w:bCs/>
                <w:color w:val="auto"/>
                <w:kern w:val="0"/>
                <w:sz w:val="16"/>
                <w:szCs w:val="16"/>
              </w:rPr>
            </w:pPr>
            <w:r w:rsidRPr="00894701">
              <w:rPr>
                <w:b/>
                <w:bCs/>
                <w:color w:val="auto"/>
                <w:kern w:val="0"/>
                <w:sz w:val="16"/>
                <w:szCs w:val="16"/>
              </w:rPr>
              <w:t>(SRD million)</w:t>
            </w:r>
          </w:p>
        </w:tc>
        <w:tc>
          <w:tcPr>
            <w:tcW w:w="552" w:type="pct"/>
            <w:tcBorders>
              <w:top w:val="nil"/>
              <w:left w:val="nil"/>
              <w:bottom w:val="single" w:sz="8" w:space="0" w:color="FF0000"/>
              <w:right w:val="single" w:sz="8" w:space="0" w:color="FF0000"/>
            </w:tcBorders>
            <w:shd w:val="clear" w:color="000000" w:fill="800000"/>
            <w:vAlign w:val="center"/>
            <w:hideMark/>
          </w:tcPr>
          <w:p w14:paraId="23BD4431" w14:textId="77777777" w:rsidR="00B8020B" w:rsidRPr="00894701" w:rsidRDefault="00B8020B" w:rsidP="00B30F10">
            <w:pPr>
              <w:spacing w:after="0" w:line="240" w:lineRule="auto"/>
              <w:jc w:val="center"/>
              <w:rPr>
                <w:b/>
                <w:bCs/>
                <w:color w:val="auto"/>
                <w:kern w:val="0"/>
                <w:sz w:val="16"/>
                <w:szCs w:val="16"/>
              </w:rPr>
            </w:pPr>
            <w:r w:rsidRPr="00894701">
              <w:rPr>
                <w:b/>
                <w:bCs/>
                <w:color w:val="auto"/>
                <w:kern w:val="0"/>
                <w:sz w:val="16"/>
                <w:szCs w:val="16"/>
              </w:rPr>
              <w:t xml:space="preserve">% </w:t>
            </w:r>
          </w:p>
        </w:tc>
        <w:tc>
          <w:tcPr>
            <w:tcW w:w="601" w:type="pct"/>
            <w:tcBorders>
              <w:top w:val="nil"/>
              <w:left w:val="nil"/>
              <w:bottom w:val="single" w:sz="8" w:space="0" w:color="FF0000"/>
              <w:right w:val="nil"/>
            </w:tcBorders>
            <w:shd w:val="clear" w:color="000000" w:fill="800000"/>
            <w:vAlign w:val="center"/>
            <w:hideMark/>
          </w:tcPr>
          <w:p w14:paraId="2EEDD010" w14:textId="77777777" w:rsidR="00B8020B" w:rsidRPr="00894701" w:rsidRDefault="00B8020B" w:rsidP="00B30F10">
            <w:pPr>
              <w:spacing w:after="0" w:line="240" w:lineRule="auto"/>
              <w:jc w:val="center"/>
              <w:rPr>
                <w:b/>
                <w:bCs/>
                <w:color w:val="auto"/>
                <w:kern w:val="0"/>
                <w:sz w:val="16"/>
                <w:szCs w:val="16"/>
              </w:rPr>
            </w:pPr>
            <w:r w:rsidRPr="00894701">
              <w:rPr>
                <w:b/>
                <w:bCs/>
                <w:color w:val="auto"/>
                <w:kern w:val="0"/>
                <w:sz w:val="16"/>
                <w:szCs w:val="16"/>
              </w:rPr>
              <w:t>(SRD million)</w:t>
            </w:r>
          </w:p>
        </w:tc>
        <w:tc>
          <w:tcPr>
            <w:tcW w:w="552" w:type="pct"/>
            <w:tcBorders>
              <w:top w:val="nil"/>
              <w:left w:val="nil"/>
              <w:bottom w:val="single" w:sz="8" w:space="0" w:color="FF0000"/>
              <w:right w:val="single" w:sz="8" w:space="0" w:color="FF0000"/>
            </w:tcBorders>
            <w:shd w:val="clear" w:color="000000" w:fill="800000"/>
            <w:vAlign w:val="center"/>
            <w:hideMark/>
          </w:tcPr>
          <w:p w14:paraId="7453BB7E" w14:textId="77777777" w:rsidR="00B8020B" w:rsidRPr="00894701" w:rsidRDefault="00B8020B" w:rsidP="00B30F10">
            <w:pPr>
              <w:spacing w:after="0" w:line="240" w:lineRule="auto"/>
              <w:jc w:val="center"/>
              <w:rPr>
                <w:b/>
                <w:bCs/>
                <w:color w:val="auto"/>
                <w:kern w:val="0"/>
                <w:sz w:val="16"/>
                <w:szCs w:val="16"/>
              </w:rPr>
            </w:pPr>
            <w:r w:rsidRPr="00894701">
              <w:rPr>
                <w:b/>
                <w:bCs/>
                <w:color w:val="auto"/>
                <w:kern w:val="0"/>
                <w:sz w:val="16"/>
                <w:szCs w:val="16"/>
              </w:rPr>
              <w:t xml:space="preserve">% </w:t>
            </w:r>
          </w:p>
        </w:tc>
        <w:tc>
          <w:tcPr>
            <w:tcW w:w="600" w:type="pct"/>
            <w:tcBorders>
              <w:top w:val="nil"/>
              <w:left w:val="nil"/>
              <w:bottom w:val="single" w:sz="8" w:space="0" w:color="FF0000"/>
              <w:right w:val="nil"/>
            </w:tcBorders>
            <w:shd w:val="clear" w:color="000000" w:fill="800000"/>
            <w:vAlign w:val="center"/>
            <w:hideMark/>
          </w:tcPr>
          <w:p w14:paraId="4B4CCE21" w14:textId="77777777" w:rsidR="00B8020B" w:rsidRPr="00894701" w:rsidRDefault="00B8020B" w:rsidP="00B30F10">
            <w:pPr>
              <w:spacing w:after="0" w:line="240" w:lineRule="auto"/>
              <w:jc w:val="center"/>
              <w:rPr>
                <w:b/>
                <w:bCs/>
                <w:color w:val="auto"/>
                <w:kern w:val="0"/>
                <w:sz w:val="16"/>
                <w:szCs w:val="16"/>
              </w:rPr>
            </w:pPr>
            <w:r w:rsidRPr="00894701">
              <w:rPr>
                <w:b/>
                <w:bCs/>
                <w:color w:val="auto"/>
                <w:kern w:val="0"/>
                <w:sz w:val="16"/>
                <w:szCs w:val="16"/>
              </w:rPr>
              <w:t>(SRD million)</w:t>
            </w:r>
          </w:p>
        </w:tc>
        <w:tc>
          <w:tcPr>
            <w:tcW w:w="552" w:type="pct"/>
            <w:tcBorders>
              <w:top w:val="nil"/>
              <w:left w:val="nil"/>
              <w:bottom w:val="single" w:sz="8" w:space="0" w:color="FF0000"/>
              <w:right w:val="single" w:sz="8" w:space="0" w:color="FF0000"/>
            </w:tcBorders>
            <w:shd w:val="clear" w:color="000000" w:fill="800000"/>
            <w:vAlign w:val="center"/>
            <w:hideMark/>
          </w:tcPr>
          <w:p w14:paraId="5C8C9D7B" w14:textId="77777777" w:rsidR="00B8020B" w:rsidRPr="00894701" w:rsidRDefault="00B8020B" w:rsidP="00B30F10">
            <w:pPr>
              <w:spacing w:after="0" w:line="240" w:lineRule="auto"/>
              <w:jc w:val="center"/>
              <w:rPr>
                <w:b/>
                <w:bCs/>
                <w:color w:val="auto"/>
                <w:kern w:val="0"/>
                <w:sz w:val="16"/>
                <w:szCs w:val="16"/>
              </w:rPr>
            </w:pPr>
            <w:r w:rsidRPr="00894701">
              <w:rPr>
                <w:b/>
                <w:bCs/>
                <w:color w:val="auto"/>
                <w:kern w:val="0"/>
                <w:sz w:val="16"/>
                <w:szCs w:val="16"/>
              </w:rPr>
              <w:t xml:space="preserve">% </w:t>
            </w:r>
          </w:p>
        </w:tc>
      </w:tr>
      <w:tr w:rsidR="004C70CC" w:rsidRPr="00894701" w14:paraId="3DF00839" w14:textId="77777777" w:rsidTr="004C70CC">
        <w:trPr>
          <w:trHeight w:val="270"/>
        </w:trPr>
        <w:tc>
          <w:tcPr>
            <w:tcW w:w="1647" w:type="pct"/>
            <w:tcBorders>
              <w:top w:val="nil"/>
              <w:left w:val="nil"/>
              <w:bottom w:val="nil"/>
              <w:right w:val="single" w:sz="8" w:space="0" w:color="FF0000"/>
            </w:tcBorders>
            <w:shd w:val="clear" w:color="000000" w:fill="F7A3B0"/>
            <w:noWrap/>
            <w:vAlign w:val="center"/>
            <w:hideMark/>
          </w:tcPr>
          <w:p w14:paraId="484FED60" w14:textId="77777777" w:rsidR="00E449E4" w:rsidRPr="00894701" w:rsidRDefault="00E449E4" w:rsidP="00E449E4">
            <w:pPr>
              <w:spacing w:after="0" w:line="240" w:lineRule="auto"/>
              <w:rPr>
                <w:color w:val="000000"/>
                <w:kern w:val="0"/>
                <w:sz w:val="16"/>
                <w:szCs w:val="16"/>
              </w:rPr>
            </w:pPr>
            <w:r w:rsidRPr="00894701">
              <w:rPr>
                <w:color w:val="000000"/>
                <w:kern w:val="0"/>
                <w:sz w:val="16"/>
                <w:szCs w:val="16"/>
              </w:rPr>
              <w:t>Oil &amp; Gas Sector</w:t>
            </w:r>
          </w:p>
        </w:tc>
        <w:tc>
          <w:tcPr>
            <w:tcW w:w="497" w:type="pct"/>
            <w:tcBorders>
              <w:top w:val="nil"/>
              <w:left w:val="nil"/>
              <w:bottom w:val="nil"/>
              <w:right w:val="nil"/>
            </w:tcBorders>
            <w:shd w:val="clear" w:color="000000" w:fill="F7A3B0"/>
            <w:noWrap/>
            <w:vAlign w:val="center"/>
            <w:hideMark/>
          </w:tcPr>
          <w:p w14:paraId="3D524DB2" w14:textId="1074F165" w:rsidR="00E449E4" w:rsidRPr="00894701" w:rsidRDefault="00E449E4" w:rsidP="00E449E4">
            <w:pPr>
              <w:spacing w:after="0" w:line="240" w:lineRule="auto"/>
              <w:jc w:val="right"/>
              <w:rPr>
                <w:color w:val="auto"/>
                <w:kern w:val="0"/>
                <w:sz w:val="16"/>
                <w:szCs w:val="16"/>
              </w:rPr>
            </w:pPr>
            <w:r w:rsidRPr="00894701">
              <w:rPr>
                <w:rFonts w:cs="Arial"/>
                <w:color w:val="000000"/>
                <w:sz w:val="16"/>
                <w:szCs w:val="16"/>
              </w:rPr>
              <w:t>1,076</w:t>
            </w:r>
          </w:p>
        </w:tc>
        <w:tc>
          <w:tcPr>
            <w:tcW w:w="552" w:type="pct"/>
            <w:tcBorders>
              <w:top w:val="nil"/>
              <w:left w:val="nil"/>
              <w:bottom w:val="nil"/>
              <w:right w:val="single" w:sz="8" w:space="0" w:color="FF0000"/>
            </w:tcBorders>
            <w:shd w:val="clear" w:color="000000" w:fill="F7A3B0"/>
            <w:noWrap/>
            <w:vAlign w:val="center"/>
            <w:hideMark/>
          </w:tcPr>
          <w:p w14:paraId="197B8CFE" w14:textId="715D5A8C" w:rsidR="00E449E4" w:rsidRPr="00894701" w:rsidRDefault="00E449E4" w:rsidP="00E449E4">
            <w:pPr>
              <w:spacing w:after="0" w:line="240" w:lineRule="auto"/>
              <w:jc w:val="right"/>
              <w:rPr>
                <w:color w:val="auto"/>
                <w:kern w:val="0"/>
                <w:sz w:val="16"/>
                <w:szCs w:val="16"/>
              </w:rPr>
            </w:pPr>
            <w:r w:rsidRPr="00894701">
              <w:rPr>
                <w:rFonts w:cs="Arial"/>
                <w:color w:val="000000"/>
                <w:sz w:val="16"/>
                <w:szCs w:val="16"/>
              </w:rPr>
              <w:t>57%</w:t>
            </w:r>
          </w:p>
        </w:tc>
        <w:tc>
          <w:tcPr>
            <w:tcW w:w="601" w:type="pct"/>
            <w:tcBorders>
              <w:top w:val="nil"/>
              <w:left w:val="nil"/>
              <w:bottom w:val="nil"/>
              <w:right w:val="nil"/>
            </w:tcBorders>
            <w:shd w:val="clear" w:color="000000" w:fill="F7A3B0"/>
            <w:noWrap/>
            <w:vAlign w:val="center"/>
            <w:hideMark/>
          </w:tcPr>
          <w:p w14:paraId="33DCB242" w14:textId="2567A92B" w:rsidR="00E449E4" w:rsidRPr="00894701" w:rsidRDefault="00F62C68" w:rsidP="00E449E4">
            <w:pPr>
              <w:spacing w:after="0" w:line="240" w:lineRule="auto"/>
              <w:jc w:val="right"/>
              <w:rPr>
                <w:color w:val="auto"/>
                <w:kern w:val="0"/>
                <w:sz w:val="16"/>
                <w:szCs w:val="16"/>
              </w:rPr>
            </w:pPr>
            <w:r w:rsidRPr="00894701">
              <w:rPr>
                <w:rFonts w:cs="Arial"/>
                <w:color w:val="000000"/>
                <w:sz w:val="16"/>
                <w:szCs w:val="16"/>
              </w:rPr>
              <w:t>200</w:t>
            </w:r>
          </w:p>
        </w:tc>
        <w:tc>
          <w:tcPr>
            <w:tcW w:w="552" w:type="pct"/>
            <w:tcBorders>
              <w:top w:val="nil"/>
              <w:left w:val="nil"/>
              <w:bottom w:val="nil"/>
              <w:right w:val="single" w:sz="8" w:space="0" w:color="FF0000"/>
            </w:tcBorders>
            <w:shd w:val="clear" w:color="000000" w:fill="F7A3B0"/>
            <w:noWrap/>
            <w:vAlign w:val="center"/>
            <w:hideMark/>
          </w:tcPr>
          <w:p w14:paraId="34AF5A7B" w14:textId="14D1974A" w:rsidR="00E449E4" w:rsidRPr="00894701" w:rsidRDefault="00E449E4" w:rsidP="00E449E4">
            <w:pPr>
              <w:spacing w:after="0" w:line="240" w:lineRule="auto"/>
              <w:jc w:val="right"/>
              <w:rPr>
                <w:color w:val="auto"/>
                <w:kern w:val="0"/>
                <w:sz w:val="16"/>
                <w:szCs w:val="16"/>
              </w:rPr>
            </w:pPr>
            <w:r w:rsidRPr="00894701">
              <w:rPr>
                <w:rFonts w:cs="Arial"/>
                <w:color w:val="000000"/>
                <w:sz w:val="16"/>
                <w:szCs w:val="16"/>
              </w:rPr>
              <w:t>18%</w:t>
            </w:r>
          </w:p>
        </w:tc>
        <w:tc>
          <w:tcPr>
            <w:tcW w:w="600" w:type="pct"/>
            <w:tcBorders>
              <w:top w:val="nil"/>
              <w:left w:val="nil"/>
              <w:bottom w:val="nil"/>
              <w:right w:val="nil"/>
            </w:tcBorders>
            <w:shd w:val="clear" w:color="000000" w:fill="F7A3B0"/>
            <w:noWrap/>
            <w:vAlign w:val="center"/>
            <w:hideMark/>
          </w:tcPr>
          <w:p w14:paraId="462EE59E" w14:textId="47A59BFE" w:rsidR="00E449E4" w:rsidRPr="00894701" w:rsidRDefault="00E449E4" w:rsidP="00E449E4">
            <w:pPr>
              <w:spacing w:after="0" w:line="240" w:lineRule="auto"/>
              <w:jc w:val="right"/>
              <w:rPr>
                <w:color w:val="auto"/>
                <w:kern w:val="0"/>
                <w:sz w:val="16"/>
                <w:szCs w:val="16"/>
              </w:rPr>
            </w:pPr>
            <w:r w:rsidRPr="00894701">
              <w:rPr>
                <w:rFonts w:cs="Arial"/>
                <w:color w:val="000000"/>
                <w:sz w:val="16"/>
                <w:szCs w:val="16"/>
              </w:rPr>
              <w:t>174</w:t>
            </w:r>
          </w:p>
        </w:tc>
        <w:tc>
          <w:tcPr>
            <w:tcW w:w="552" w:type="pct"/>
            <w:tcBorders>
              <w:top w:val="nil"/>
              <w:left w:val="nil"/>
              <w:bottom w:val="nil"/>
              <w:right w:val="single" w:sz="8" w:space="0" w:color="FF0000"/>
            </w:tcBorders>
            <w:shd w:val="clear" w:color="000000" w:fill="F7A3B0"/>
            <w:noWrap/>
            <w:vAlign w:val="center"/>
            <w:hideMark/>
          </w:tcPr>
          <w:p w14:paraId="102BBC70" w14:textId="375E3C43" w:rsidR="00E449E4" w:rsidRPr="00894701" w:rsidRDefault="00E449E4" w:rsidP="00E449E4">
            <w:pPr>
              <w:spacing w:after="0" w:line="240" w:lineRule="auto"/>
              <w:jc w:val="right"/>
              <w:rPr>
                <w:color w:val="auto"/>
                <w:kern w:val="0"/>
                <w:sz w:val="16"/>
                <w:szCs w:val="16"/>
              </w:rPr>
            </w:pPr>
            <w:r w:rsidRPr="00894701">
              <w:rPr>
                <w:rFonts w:cs="Arial"/>
                <w:color w:val="000000"/>
                <w:sz w:val="16"/>
                <w:szCs w:val="16"/>
              </w:rPr>
              <w:t>11%</w:t>
            </w:r>
          </w:p>
        </w:tc>
      </w:tr>
      <w:tr w:rsidR="004C70CC" w:rsidRPr="00894701" w14:paraId="1638D422" w14:textId="77777777" w:rsidTr="004C70CC">
        <w:trPr>
          <w:trHeight w:val="270"/>
        </w:trPr>
        <w:tc>
          <w:tcPr>
            <w:tcW w:w="1647" w:type="pct"/>
            <w:tcBorders>
              <w:top w:val="nil"/>
              <w:left w:val="nil"/>
              <w:bottom w:val="nil"/>
              <w:right w:val="single" w:sz="8" w:space="0" w:color="FF0000"/>
            </w:tcBorders>
            <w:shd w:val="clear" w:color="000000" w:fill="FFFFFF"/>
            <w:noWrap/>
            <w:vAlign w:val="center"/>
            <w:hideMark/>
          </w:tcPr>
          <w:p w14:paraId="3C784009" w14:textId="77777777" w:rsidR="00E449E4" w:rsidRPr="00894701" w:rsidRDefault="00E449E4" w:rsidP="00E449E4">
            <w:pPr>
              <w:spacing w:after="0" w:line="240" w:lineRule="auto"/>
              <w:rPr>
                <w:color w:val="000000"/>
                <w:kern w:val="0"/>
                <w:sz w:val="16"/>
                <w:szCs w:val="16"/>
              </w:rPr>
            </w:pPr>
            <w:r w:rsidRPr="00894701">
              <w:rPr>
                <w:color w:val="000000"/>
                <w:kern w:val="0"/>
                <w:sz w:val="16"/>
                <w:szCs w:val="16"/>
              </w:rPr>
              <w:t>Mining Sector</w:t>
            </w:r>
          </w:p>
        </w:tc>
        <w:tc>
          <w:tcPr>
            <w:tcW w:w="497" w:type="pct"/>
            <w:tcBorders>
              <w:top w:val="nil"/>
              <w:left w:val="nil"/>
              <w:bottom w:val="nil"/>
              <w:right w:val="nil"/>
            </w:tcBorders>
            <w:shd w:val="clear" w:color="000000" w:fill="FFFFFF"/>
            <w:noWrap/>
            <w:vAlign w:val="center"/>
            <w:hideMark/>
          </w:tcPr>
          <w:p w14:paraId="6C3D5E20" w14:textId="353A99C7" w:rsidR="00E449E4" w:rsidRPr="00894701" w:rsidRDefault="00E449E4" w:rsidP="00E449E4">
            <w:pPr>
              <w:spacing w:after="0" w:line="240" w:lineRule="auto"/>
              <w:jc w:val="right"/>
              <w:rPr>
                <w:color w:val="auto"/>
                <w:kern w:val="0"/>
                <w:sz w:val="16"/>
                <w:szCs w:val="16"/>
              </w:rPr>
            </w:pPr>
            <w:r w:rsidRPr="00894701">
              <w:rPr>
                <w:rFonts w:cs="Arial"/>
                <w:color w:val="000000"/>
                <w:sz w:val="16"/>
                <w:szCs w:val="16"/>
              </w:rPr>
              <w:t>821</w:t>
            </w:r>
          </w:p>
        </w:tc>
        <w:tc>
          <w:tcPr>
            <w:tcW w:w="552" w:type="pct"/>
            <w:tcBorders>
              <w:top w:val="nil"/>
              <w:left w:val="nil"/>
              <w:bottom w:val="nil"/>
              <w:right w:val="single" w:sz="8" w:space="0" w:color="FF0000"/>
            </w:tcBorders>
            <w:shd w:val="clear" w:color="000000" w:fill="FFFFFF"/>
            <w:noWrap/>
            <w:vAlign w:val="center"/>
            <w:hideMark/>
          </w:tcPr>
          <w:p w14:paraId="0950EF0F" w14:textId="242A2D0E" w:rsidR="00E449E4" w:rsidRPr="00894701" w:rsidRDefault="00E449E4" w:rsidP="00E449E4">
            <w:pPr>
              <w:spacing w:after="0" w:line="240" w:lineRule="auto"/>
              <w:jc w:val="right"/>
              <w:rPr>
                <w:color w:val="auto"/>
                <w:kern w:val="0"/>
                <w:sz w:val="16"/>
                <w:szCs w:val="16"/>
              </w:rPr>
            </w:pPr>
            <w:r w:rsidRPr="00894701">
              <w:rPr>
                <w:rFonts w:cs="Arial"/>
                <w:color w:val="000000"/>
                <w:sz w:val="16"/>
                <w:szCs w:val="16"/>
              </w:rPr>
              <w:t>43%</w:t>
            </w:r>
          </w:p>
        </w:tc>
        <w:tc>
          <w:tcPr>
            <w:tcW w:w="601" w:type="pct"/>
            <w:tcBorders>
              <w:top w:val="nil"/>
              <w:left w:val="nil"/>
              <w:bottom w:val="nil"/>
              <w:right w:val="nil"/>
            </w:tcBorders>
            <w:shd w:val="clear" w:color="000000" w:fill="FFFFFF"/>
            <w:noWrap/>
            <w:vAlign w:val="center"/>
            <w:hideMark/>
          </w:tcPr>
          <w:p w14:paraId="00EFC8A0" w14:textId="010F29B0" w:rsidR="00E449E4" w:rsidRPr="00894701" w:rsidRDefault="00E449E4" w:rsidP="00E449E4">
            <w:pPr>
              <w:spacing w:after="0" w:line="240" w:lineRule="auto"/>
              <w:jc w:val="right"/>
              <w:rPr>
                <w:color w:val="auto"/>
                <w:kern w:val="0"/>
                <w:sz w:val="16"/>
                <w:szCs w:val="16"/>
              </w:rPr>
            </w:pPr>
            <w:r w:rsidRPr="00894701">
              <w:rPr>
                <w:rFonts w:cs="Arial"/>
                <w:color w:val="000000"/>
                <w:sz w:val="16"/>
                <w:szCs w:val="16"/>
              </w:rPr>
              <w:t>920</w:t>
            </w:r>
          </w:p>
        </w:tc>
        <w:tc>
          <w:tcPr>
            <w:tcW w:w="552" w:type="pct"/>
            <w:tcBorders>
              <w:top w:val="nil"/>
              <w:left w:val="nil"/>
              <w:bottom w:val="nil"/>
              <w:right w:val="single" w:sz="8" w:space="0" w:color="FF0000"/>
            </w:tcBorders>
            <w:shd w:val="clear" w:color="000000" w:fill="FFFFFF"/>
            <w:noWrap/>
            <w:vAlign w:val="center"/>
            <w:hideMark/>
          </w:tcPr>
          <w:p w14:paraId="09F0621E" w14:textId="3DBEEFDF" w:rsidR="00E449E4" w:rsidRPr="00894701" w:rsidRDefault="00E449E4" w:rsidP="00E449E4">
            <w:pPr>
              <w:spacing w:after="0" w:line="240" w:lineRule="auto"/>
              <w:jc w:val="right"/>
              <w:rPr>
                <w:color w:val="auto"/>
                <w:kern w:val="0"/>
                <w:sz w:val="16"/>
                <w:szCs w:val="16"/>
              </w:rPr>
            </w:pPr>
            <w:r w:rsidRPr="00894701">
              <w:rPr>
                <w:rFonts w:cs="Arial"/>
                <w:color w:val="000000"/>
                <w:sz w:val="16"/>
                <w:szCs w:val="16"/>
              </w:rPr>
              <w:t>82%</w:t>
            </w:r>
          </w:p>
        </w:tc>
        <w:tc>
          <w:tcPr>
            <w:tcW w:w="600" w:type="pct"/>
            <w:tcBorders>
              <w:top w:val="nil"/>
              <w:left w:val="nil"/>
              <w:bottom w:val="nil"/>
              <w:right w:val="nil"/>
            </w:tcBorders>
            <w:shd w:val="clear" w:color="000000" w:fill="FFFFFF"/>
            <w:noWrap/>
            <w:vAlign w:val="center"/>
            <w:hideMark/>
          </w:tcPr>
          <w:p w14:paraId="65F0D105" w14:textId="61051AEC" w:rsidR="00E449E4" w:rsidRPr="00894701" w:rsidRDefault="00E449E4" w:rsidP="00E449E4">
            <w:pPr>
              <w:spacing w:after="0" w:line="240" w:lineRule="auto"/>
              <w:jc w:val="right"/>
              <w:rPr>
                <w:color w:val="auto"/>
                <w:kern w:val="0"/>
                <w:sz w:val="16"/>
                <w:szCs w:val="16"/>
              </w:rPr>
            </w:pPr>
            <w:r w:rsidRPr="00894701">
              <w:rPr>
                <w:rFonts w:cs="Arial"/>
                <w:color w:val="000000"/>
                <w:sz w:val="16"/>
                <w:szCs w:val="16"/>
              </w:rPr>
              <w:t>1,402</w:t>
            </w:r>
          </w:p>
        </w:tc>
        <w:tc>
          <w:tcPr>
            <w:tcW w:w="552" w:type="pct"/>
            <w:tcBorders>
              <w:top w:val="nil"/>
              <w:left w:val="nil"/>
              <w:bottom w:val="nil"/>
              <w:right w:val="single" w:sz="8" w:space="0" w:color="FF0000"/>
            </w:tcBorders>
            <w:shd w:val="clear" w:color="000000" w:fill="FFFFFF"/>
            <w:noWrap/>
            <w:vAlign w:val="center"/>
            <w:hideMark/>
          </w:tcPr>
          <w:p w14:paraId="628F9407" w14:textId="1BE6BE08" w:rsidR="00E449E4" w:rsidRPr="00894701" w:rsidRDefault="00E449E4" w:rsidP="00E449E4">
            <w:pPr>
              <w:spacing w:after="0" w:line="240" w:lineRule="auto"/>
              <w:jc w:val="right"/>
              <w:rPr>
                <w:color w:val="auto"/>
                <w:kern w:val="0"/>
                <w:sz w:val="16"/>
                <w:szCs w:val="16"/>
              </w:rPr>
            </w:pPr>
            <w:r w:rsidRPr="00894701">
              <w:rPr>
                <w:rFonts w:cs="Arial"/>
                <w:color w:val="000000"/>
                <w:sz w:val="16"/>
                <w:szCs w:val="16"/>
              </w:rPr>
              <w:t>89%</w:t>
            </w:r>
          </w:p>
        </w:tc>
      </w:tr>
      <w:tr w:rsidR="004C70CC" w:rsidRPr="00894701" w14:paraId="18F2BA25" w14:textId="77777777" w:rsidTr="004C70CC">
        <w:trPr>
          <w:trHeight w:val="490"/>
        </w:trPr>
        <w:tc>
          <w:tcPr>
            <w:tcW w:w="1647" w:type="pct"/>
            <w:tcBorders>
              <w:top w:val="nil"/>
              <w:left w:val="nil"/>
              <w:bottom w:val="single" w:sz="12" w:space="0" w:color="FF0000"/>
              <w:right w:val="single" w:sz="8" w:space="0" w:color="FF0000"/>
            </w:tcBorders>
            <w:shd w:val="clear" w:color="000000" w:fill="808080"/>
            <w:vAlign w:val="center"/>
            <w:hideMark/>
          </w:tcPr>
          <w:p w14:paraId="1D2ED91F" w14:textId="77777777" w:rsidR="00E449E4" w:rsidRPr="00894701" w:rsidRDefault="00E449E4" w:rsidP="00E449E4">
            <w:pPr>
              <w:spacing w:after="0" w:line="240" w:lineRule="auto"/>
              <w:rPr>
                <w:b/>
                <w:bCs/>
                <w:color w:val="auto"/>
                <w:kern w:val="0"/>
                <w:sz w:val="16"/>
                <w:szCs w:val="16"/>
              </w:rPr>
            </w:pPr>
            <w:r w:rsidRPr="00894701">
              <w:rPr>
                <w:b/>
                <w:bCs/>
                <w:color w:val="auto"/>
                <w:kern w:val="0"/>
                <w:sz w:val="16"/>
                <w:szCs w:val="16"/>
              </w:rPr>
              <w:t>Total sectors</w:t>
            </w:r>
          </w:p>
        </w:tc>
        <w:tc>
          <w:tcPr>
            <w:tcW w:w="497" w:type="pct"/>
            <w:tcBorders>
              <w:top w:val="nil"/>
              <w:left w:val="nil"/>
              <w:bottom w:val="single" w:sz="12" w:space="0" w:color="FF0000"/>
              <w:right w:val="nil"/>
            </w:tcBorders>
            <w:shd w:val="clear" w:color="000000" w:fill="808080"/>
            <w:vAlign w:val="center"/>
            <w:hideMark/>
          </w:tcPr>
          <w:p w14:paraId="294C39A7" w14:textId="7E14FAC4" w:rsidR="00E449E4" w:rsidRPr="00894701" w:rsidRDefault="00E449E4" w:rsidP="00E449E4">
            <w:pPr>
              <w:spacing w:after="0" w:line="240" w:lineRule="auto"/>
              <w:jc w:val="right"/>
              <w:rPr>
                <w:b/>
                <w:bCs/>
                <w:color w:val="auto"/>
                <w:sz w:val="16"/>
                <w:szCs w:val="16"/>
              </w:rPr>
            </w:pPr>
            <w:r w:rsidRPr="00894701">
              <w:rPr>
                <w:rFonts w:cs="Arial"/>
                <w:b/>
                <w:bCs/>
                <w:color w:val="000000"/>
                <w:sz w:val="16"/>
                <w:szCs w:val="16"/>
              </w:rPr>
              <w:t>1,897</w:t>
            </w:r>
          </w:p>
        </w:tc>
        <w:tc>
          <w:tcPr>
            <w:tcW w:w="552" w:type="pct"/>
            <w:tcBorders>
              <w:top w:val="nil"/>
              <w:left w:val="nil"/>
              <w:bottom w:val="single" w:sz="12" w:space="0" w:color="FF0000"/>
              <w:right w:val="single" w:sz="8" w:space="0" w:color="FF0000"/>
            </w:tcBorders>
            <w:shd w:val="clear" w:color="000000" w:fill="808080"/>
            <w:vAlign w:val="center"/>
            <w:hideMark/>
          </w:tcPr>
          <w:p w14:paraId="6C4C88C4" w14:textId="05E52472" w:rsidR="00E449E4" w:rsidRPr="00894701" w:rsidRDefault="00E449E4" w:rsidP="00E449E4">
            <w:pPr>
              <w:spacing w:after="0" w:line="240" w:lineRule="auto"/>
              <w:jc w:val="right"/>
              <w:rPr>
                <w:b/>
                <w:bCs/>
                <w:color w:val="auto"/>
                <w:sz w:val="16"/>
                <w:szCs w:val="16"/>
              </w:rPr>
            </w:pPr>
            <w:r w:rsidRPr="00894701">
              <w:rPr>
                <w:rFonts w:cs="Arial"/>
                <w:b/>
                <w:bCs/>
                <w:color w:val="000000"/>
                <w:sz w:val="16"/>
                <w:szCs w:val="16"/>
              </w:rPr>
              <w:t>100%</w:t>
            </w:r>
          </w:p>
        </w:tc>
        <w:tc>
          <w:tcPr>
            <w:tcW w:w="601" w:type="pct"/>
            <w:tcBorders>
              <w:top w:val="nil"/>
              <w:left w:val="nil"/>
              <w:bottom w:val="single" w:sz="12" w:space="0" w:color="FF0000"/>
              <w:right w:val="nil"/>
            </w:tcBorders>
            <w:shd w:val="clear" w:color="000000" w:fill="808080"/>
            <w:vAlign w:val="center"/>
            <w:hideMark/>
          </w:tcPr>
          <w:p w14:paraId="4F27C3E2" w14:textId="42B3EAFA" w:rsidR="00E449E4" w:rsidRPr="00894701" w:rsidRDefault="00E449E4" w:rsidP="00E449E4">
            <w:pPr>
              <w:spacing w:after="0" w:line="240" w:lineRule="auto"/>
              <w:jc w:val="right"/>
              <w:rPr>
                <w:b/>
                <w:bCs/>
                <w:color w:val="auto"/>
                <w:sz w:val="16"/>
                <w:szCs w:val="16"/>
              </w:rPr>
            </w:pPr>
            <w:r w:rsidRPr="00894701">
              <w:rPr>
                <w:rFonts w:cs="Arial"/>
                <w:b/>
                <w:bCs/>
                <w:color w:val="000000"/>
                <w:sz w:val="16"/>
                <w:szCs w:val="16"/>
              </w:rPr>
              <w:t>1,12</w:t>
            </w:r>
            <w:r w:rsidR="00F62C68" w:rsidRPr="00894701">
              <w:rPr>
                <w:rFonts w:cs="Arial"/>
                <w:b/>
                <w:bCs/>
                <w:color w:val="000000"/>
                <w:sz w:val="16"/>
                <w:szCs w:val="16"/>
              </w:rPr>
              <w:t>0</w:t>
            </w:r>
          </w:p>
        </w:tc>
        <w:tc>
          <w:tcPr>
            <w:tcW w:w="552" w:type="pct"/>
            <w:tcBorders>
              <w:top w:val="nil"/>
              <w:left w:val="nil"/>
              <w:bottom w:val="single" w:sz="12" w:space="0" w:color="FF0000"/>
              <w:right w:val="single" w:sz="8" w:space="0" w:color="FF0000"/>
            </w:tcBorders>
            <w:shd w:val="clear" w:color="000000" w:fill="808080"/>
            <w:vAlign w:val="center"/>
            <w:hideMark/>
          </w:tcPr>
          <w:p w14:paraId="43929888" w14:textId="0B4A5031" w:rsidR="00E449E4" w:rsidRPr="00894701" w:rsidRDefault="00E449E4" w:rsidP="00E449E4">
            <w:pPr>
              <w:spacing w:after="0" w:line="240" w:lineRule="auto"/>
              <w:jc w:val="right"/>
              <w:rPr>
                <w:b/>
                <w:bCs/>
                <w:color w:val="auto"/>
                <w:sz w:val="16"/>
                <w:szCs w:val="16"/>
              </w:rPr>
            </w:pPr>
            <w:r w:rsidRPr="00894701">
              <w:rPr>
                <w:rFonts w:cs="Arial"/>
                <w:b/>
                <w:bCs/>
                <w:color w:val="000000"/>
                <w:sz w:val="16"/>
                <w:szCs w:val="16"/>
              </w:rPr>
              <w:t>100%</w:t>
            </w:r>
          </w:p>
        </w:tc>
        <w:tc>
          <w:tcPr>
            <w:tcW w:w="600" w:type="pct"/>
            <w:tcBorders>
              <w:top w:val="nil"/>
              <w:left w:val="nil"/>
              <w:bottom w:val="single" w:sz="12" w:space="0" w:color="FF0000"/>
              <w:right w:val="nil"/>
            </w:tcBorders>
            <w:shd w:val="clear" w:color="000000" w:fill="808080"/>
            <w:vAlign w:val="center"/>
            <w:hideMark/>
          </w:tcPr>
          <w:p w14:paraId="69F274AB" w14:textId="3CF31356" w:rsidR="00E449E4" w:rsidRPr="00894701" w:rsidRDefault="00E449E4" w:rsidP="00E449E4">
            <w:pPr>
              <w:spacing w:after="0" w:line="240" w:lineRule="auto"/>
              <w:jc w:val="right"/>
              <w:rPr>
                <w:b/>
                <w:bCs/>
                <w:color w:val="auto"/>
                <w:sz w:val="16"/>
                <w:szCs w:val="16"/>
              </w:rPr>
            </w:pPr>
            <w:r w:rsidRPr="00894701">
              <w:rPr>
                <w:rFonts w:cs="Arial"/>
                <w:b/>
                <w:bCs/>
                <w:color w:val="000000"/>
                <w:sz w:val="16"/>
                <w:szCs w:val="16"/>
              </w:rPr>
              <w:t>1,576</w:t>
            </w:r>
          </w:p>
        </w:tc>
        <w:tc>
          <w:tcPr>
            <w:tcW w:w="552" w:type="pct"/>
            <w:tcBorders>
              <w:top w:val="nil"/>
              <w:left w:val="nil"/>
              <w:bottom w:val="single" w:sz="12" w:space="0" w:color="FF0000"/>
              <w:right w:val="single" w:sz="8" w:space="0" w:color="FF0000"/>
            </w:tcBorders>
            <w:shd w:val="clear" w:color="000000" w:fill="808080"/>
            <w:vAlign w:val="center"/>
            <w:hideMark/>
          </w:tcPr>
          <w:p w14:paraId="1572A71B" w14:textId="5439922C" w:rsidR="00E449E4" w:rsidRPr="00894701" w:rsidRDefault="00E449E4" w:rsidP="00E449E4">
            <w:pPr>
              <w:spacing w:after="0" w:line="240" w:lineRule="auto"/>
              <w:jc w:val="right"/>
              <w:rPr>
                <w:b/>
                <w:bCs/>
                <w:color w:val="auto"/>
                <w:sz w:val="16"/>
                <w:szCs w:val="16"/>
              </w:rPr>
            </w:pPr>
            <w:r w:rsidRPr="00894701">
              <w:rPr>
                <w:rFonts w:cs="Arial"/>
                <w:b/>
                <w:bCs/>
                <w:color w:val="000000"/>
                <w:sz w:val="16"/>
                <w:szCs w:val="16"/>
              </w:rPr>
              <w:t>100%</w:t>
            </w:r>
          </w:p>
        </w:tc>
      </w:tr>
    </w:tbl>
    <w:p w14:paraId="2A2609C1" w14:textId="5014800A" w:rsidR="00154EE5" w:rsidRPr="00B55953" w:rsidRDefault="00154EE5" w:rsidP="00B30F10">
      <w:pPr>
        <w:pStyle w:val="BodyTextRed"/>
        <w:contextualSpacing/>
        <w:jc w:val="both"/>
        <w:rPr>
          <w:i/>
          <w:iCs/>
          <w:color w:val="auto"/>
          <w:sz w:val="16"/>
          <w:szCs w:val="16"/>
        </w:rPr>
      </w:pPr>
      <w:r w:rsidRPr="00B55953">
        <w:rPr>
          <w:i/>
          <w:iCs/>
          <w:color w:val="auto"/>
          <w:sz w:val="16"/>
          <w:szCs w:val="16"/>
        </w:rPr>
        <w:t>Source: EITI-SR Reporting templates</w:t>
      </w:r>
    </w:p>
    <w:p w14:paraId="121609DE" w14:textId="77777777" w:rsidR="001C71E4" w:rsidRPr="00894701" w:rsidRDefault="001C71E4" w:rsidP="001C71E4">
      <w:pPr>
        <w:jc w:val="both"/>
        <w:rPr>
          <w:rFonts w:cs="Arial"/>
          <w:color w:val="auto"/>
          <w:sz w:val="20"/>
          <w:szCs w:val="22"/>
          <w:lang w:eastAsia="fr-FR"/>
        </w:rPr>
      </w:pPr>
      <w:r w:rsidRPr="00894701">
        <w:rPr>
          <w:rFonts w:cs="Arial"/>
          <w:color w:val="auto"/>
          <w:sz w:val="20"/>
          <w:szCs w:val="22"/>
          <w:lang w:eastAsia="fr-FR"/>
        </w:rPr>
        <w:t>The detail of revenues is detailed in Section 5 of this report.</w:t>
      </w:r>
    </w:p>
    <w:p w14:paraId="68A78C85" w14:textId="08497B69" w:rsidR="00757F0F" w:rsidRPr="00894701" w:rsidRDefault="00757F0F" w:rsidP="00B30F10">
      <w:pPr>
        <w:autoSpaceDE w:val="0"/>
        <w:autoSpaceDN w:val="0"/>
        <w:adjustRightInd w:val="0"/>
        <w:spacing w:before="240" w:line="240" w:lineRule="auto"/>
        <w:jc w:val="both"/>
        <w:rPr>
          <w:rFonts w:asciiTheme="minorHAnsi" w:hAnsiTheme="minorHAnsi" w:cs="Arial"/>
          <w:iCs/>
          <w:color w:val="auto"/>
          <w:sz w:val="20"/>
          <w:szCs w:val="20"/>
        </w:rPr>
      </w:pPr>
    </w:p>
    <w:p w14:paraId="4F2F008E" w14:textId="77777777" w:rsidR="004F79A9" w:rsidRPr="00894701" w:rsidRDefault="004F79A9" w:rsidP="00B30F10">
      <w:pPr>
        <w:spacing w:after="0" w:line="240" w:lineRule="auto"/>
        <w:rPr>
          <w:rFonts w:asciiTheme="majorHAnsi" w:hAnsiTheme="majorHAnsi"/>
          <w:b/>
          <w:i/>
          <w:iCs/>
          <w:sz w:val="20"/>
          <w:szCs w:val="20"/>
        </w:rPr>
      </w:pPr>
      <w:r w:rsidRPr="00894701">
        <w:rPr>
          <w:rFonts w:asciiTheme="majorHAnsi" w:hAnsiTheme="majorHAnsi"/>
          <w:b/>
          <w:i/>
          <w:iCs/>
          <w:sz w:val="20"/>
          <w:szCs w:val="20"/>
        </w:rPr>
        <w:br w:type="page"/>
      </w:r>
    </w:p>
    <w:p w14:paraId="39B61B07" w14:textId="64E84E5A" w:rsidR="00F654E9" w:rsidRPr="00894701" w:rsidRDefault="00F654E9" w:rsidP="00B30F10">
      <w:pPr>
        <w:jc w:val="center"/>
        <w:rPr>
          <w:rFonts w:asciiTheme="majorHAnsi" w:hAnsiTheme="majorHAnsi"/>
          <w:b/>
          <w:i/>
          <w:iCs/>
          <w:sz w:val="20"/>
          <w:szCs w:val="20"/>
        </w:rPr>
      </w:pPr>
      <w:bookmarkStart w:id="28" w:name="_Toc146590567"/>
      <w:r w:rsidRPr="00894701">
        <w:rPr>
          <w:rFonts w:asciiTheme="majorHAnsi" w:hAnsiTheme="majorHAnsi"/>
          <w:b/>
          <w:i/>
          <w:iCs/>
          <w:sz w:val="20"/>
          <w:szCs w:val="20"/>
        </w:rPr>
        <w:lastRenderedPageBreak/>
        <w:t xml:space="preserve">Figure </w:t>
      </w:r>
      <w:r w:rsidR="00090BCF" w:rsidRPr="00894701">
        <w:rPr>
          <w:rFonts w:asciiTheme="majorHAnsi" w:hAnsiTheme="majorHAnsi"/>
          <w:b/>
          <w:i/>
          <w:iCs/>
          <w:sz w:val="20"/>
          <w:szCs w:val="20"/>
        </w:rPr>
        <w:fldChar w:fldCharType="begin"/>
      </w:r>
      <w:r w:rsidR="00090BCF" w:rsidRPr="00894701">
        <w:rPr>
          <w:rFonts w:asciiTheme="majorHAnsi" w:hAnsiTheme="majorHAnsi"/>
          <w:b/>
          <w:i/>
          <w:iCs/>
          <w:sz w:val="20"/>
          <w:szCs w:val="20"/>
        </w:rPr>
        <w:instrText xml:space="preserve"> SEQ Figure \* ARABIC </w:instrText>
      </w:r>
      <w:r w:rsidR="00090BCF" w:rsidRPr="00894701">
        <w:rPr>
          <w:rFonts w:asciiTheme="majorHAnsi" w:hAnsiTheme="majorHAnsi"/>
          <w:b/>
          <w:i/>
          <w:iCs/>
          <w:sz w:val="20"/>
          <w:szCs w:val="20"/>
        </w:rPr>
        <w:fldChar w:fldCharType="separate"/>
      </w:r>
      <w:r w:rsidR="0035303B">
        <w:rPr>
          <w:rFonts w:asciiTheme="majorHAnsi" w:hAnsiTheme="majorHAnsi"/>
          <w:b/>
          <w:i/>
          <w:iCs/>
          <w:noProof/>
          <w:sz w:val="20"/>
          <w:szCs w:val="20"/>
        </w:rPr>
        <w:t>2</w:t>
      </w:r>
      <w:r w:rsidR="00090BCF" w:rsidRPr="00894701">
        <w:rPr>
          <w:rFonts w:asciiTheme="majorHAnsi" w:hAnsiTheme="majorHAnsi"/>
          <w:b/>
          <w:i/>
          <w:iCs/>
          <w:sz w:val="20"/>
          <w:szCs w:val="20"/>
        </w:rPr>
        <w:fldChar w:fldCharType="end"/>
      </w:r>
      <w:r w:rsidRPr="00894701">
        <w:rPr>
          <w:rFonts w:asciiTheme="majorHAnsi" w:hAnsiTheme="majorHAnsi"/>
          <w:b/>
          <w:i/>
          <w:iCs/>
          <w:sz w:val="20"/>
          <w:szCs w:val="20"/>
        </w:rPr>
        <w:t>: Structure of extractive industries revenues for the fiscal year 20</w:t>
      </w:r>
      <w:r w:rsidR="0043142E" w:rsidRPr="00894701">
        <w:rPr>
          <w:rFonts w:asciiTheme="majorHAnsi" w:hAnsiTheme="majorHAnsi"/>
          <w:b/>
          <w:i/>
          <w:iCs/>
          <w:sz w:val="20"/>
          <w:szCs w:val="20"/>
        </w:rPr>
        <w:t>18</w:t>
      </w:r>
      <w:bookmarkEnd w:id="28"/>
    </w:p>
    <w:p w14:paraId="44A4B7D7" w14:textId="2D6D782F" w:rsidR="00312877" w:rsidRPr="00894701" w:rsidRDefault="001707CE" w:rsidP="00B30F10">
      <w:pPr>
        <w:autoSpaceDE w:val="0"/>
        <w:autoSpaceDN w:val="0"/>
        <w:adjustRightInd w:val="0"/>
        <w:spacing w:before="240" w:line="240" w:lineRule="auto"/>
        <w:jc w:val="both"/>
        <w:rPr>
          <w:rFonts w:asciiTheme="minorHAnsi" w:hAnsiTheme="minorHAnsi" w:cs="Arial"/>
          <w:sz w:val="20"/>
          <w:szCs w:val="20"/>
        </w:rPr>
      </w:pPr>
      <w:r w:rsidRPr="001707CE">
        <w:rPr>
          <w:rFonts w:asciiTheme="minorHAnsi" w:hAnsiTheme="minorHAnsi" w:cs="Arial"/>
          <w:sz w:val="20"/>
          <w:szCs w:val="20"/>
        </w:rPr>
        <w:t xml:space="preserve"> </w:t>
      </w:r>
      <w:r w:rsidR="008F645A" w:rsidRPr="008F645A">
        <w:rPr>
          <w:noProof/>
          <w:lang w:val="en-US" w:eastAsia="en-US"/>
        </w:rPr>
        <w:drawing>
          <wp:inline distT="0" distB="0" distL="0" distR="0" wp14:anchorId="7EA42276" wp14:editId="1B2CA1BF">
            <wp:extent cx="5746750" cy="21012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6750" cy="2101215"/>
                    </a:xfrm>
                    <a:prstGeom prst="rect">
                      <a:avLst/>
                    </a:prstGeom>
                    <a:noFill/>
                    <a:ln>
                      <a:noFill/>
                    </a:ln>
                  </pic:spPr>
                </pic:pic>
              </a:graphicData>
            </a:graphic>
          </wp:inline>
        </w:drawing>
      </w:r>
    </w:p>
    <w:p w14:paraId="60962764" w14:textId="3A03EE2D" w:rsidR="00090BCF" w:rsidRPr="00894701" w:rsidRDefault="00090BCF" w:rsidP="00B30F10">
      <w:pPr>
        <w:jc w:val="center"/>
        <w:rPr>
          <w:rFonts w:asciiTheme="majorHAnsi" w:hAnsiTheme="majorHAnsi"/>
          <w:b/>
          <w:i/>
          <w:iCs/>
          <w:sz w:val="20"/>
          <w:szCs w:val="20"/>
        </w:rPr>
      </w:pPr>
      <w:bookmarkStart w:id="29" w:name="_Toc146590568"/>
      <w:r w:rsidRPr="00894701">
        <w:rPr>
          <w:rFonts w:asciiTheme="majorHAnsi" w:hAnsiTheme="majorHAnsi"/>
          <w:b/>
          <w:i/>
          <w:iCs/>
          <w:sz w:val="20"/>
          <w:szCs w:val="20"/>
        </w:rPr>
        <w:t xml:space="preserve">Figure </w:t>
      </w:r>
      <w:r w:rsidRPr="00894701">
        <w:rPr>
          <w:rFonts w:asciiTheme="majorHAnsi" w:hAnsiTheme="majorHAnsi"/>
          <w:b/>
          <w:i/>
          <w:iCs/>
          <w:sz w:val="20"/>
          <w:szCs w:val="20"/>
        </w:rPr>
        <w:fldChar w:fldCharType="begin"/>
      </w:r>
      <w:r w:rsidRPr="00894701">
        <w:rPr>
          <w:rFonts w:asciiTheme="majorHAnsi" w:hAnsiTheme="majorHAnsi"/>
          <w:b/>
          <w:i/>
          <w:iCs/>
          <w:sz w:val="20"/>
          <w:szCs w:val="20"/>
        </w:rPr>
        <w:instrText xml:space="preserve"> SEQ Figure \* ARABIC </w:instrText>
      </w:r>
      <w:r w:rsidRPr="00894701">
        <w:rPr>
          <w:rFonts w:asciiTheme="majorHAnsi" w:hAnsiTheme="majorHAnsi"/>
          <w:b/>
          <w:i/>
          <w:iCs/>
          <w:sz w:val="20"/>
          <w:szCs w:val="20"/>
        </w:rPr>
        <w:fldChar w:fldCharType="separate"/>
      </w:r>
      <w:r w:rsidR="0035303B">
        <w:rPr>
          <w:rFonts w:asciiTheme="majorHAnsi" w:hAnsiTheme="majorHAnsi"/>
          <w:b/>
          <w:i/>
          <w:iCs/>
          <w:noProof/>
          <w:sz w:val="20"/>
          <w:szCs w:val="20"/>
        </w:rPr>
        <w:t>3</w:t>
      </w:r>
      <w:r w:rsidRPr="00894701">
        <w:rPr>
          <w:rFonts w:asciiTheme="majorHAnsi" w:hAnsiTheme="majorHAnsi"/>
          <w:b/>
          <w:i/>
          <w:iCs/>
          <w:sz w:val="20"/>
          <w:szCs w:val="20"/>
        </w:rPr>
        <w:fldChar w:fldCharType="end"/>
      </w:r>
      <w:r w:rsidRPr="00894701">
        <w:rPr>
          <w:rFonts w:asciiTheme="majorHAnsi" w:hAnsiTheme="majorHAnsi"/>
          <w:b/>
          <w:i/>
          <w:iCs/>
          <w:sz w:val="20"/>
          <w:szCs w:val="20"/>
        </w:rPr>
        <w:t>: Structure of extractive industries revenues for the fiscal year 2019</w:t>
      </w:r>
      <w:bookmarkEnd w:id="29"/>
    </w:p>
    <w:p w14:paraId="1A7C0420" w14:textId="43489506" w:rsidR="000E78E7" w:rsidRPr="00894701" w:rsidRDefault="008F645A" w:rsidP="00B30F10">
      <w:pPr>
        <w:rPr>
          <w:rFonts w:asciiTheme="minorHAnsi" w:hAnsiTheme="minorHAnsi" w:cs="Arial"/>
          <w:sz w:val="20"/>
          <w:szCs w:val="20"/>
        </w:rPr>
      </w:pPr>
      <w:r w:rsidRPr="008F645A">
        <w:rPr>
          <w:noProof/>
          <w:lang w:eastAsia="fr-FR"/>
        </w:rPr>
        <w:t xml:space="preserve"> </w:t>
      </w:r>
      <w:r w:rsidRPr="008F645A">
        <w:rPr>
          <w:noProof/>
          <w:lang w:val="en-US" w:eastAsia="en-US"/>
        </w:rPr>
        <w:drawing>
          <wp:inline distT="0" distB="0" distL="0" distR="0" wp14:anchorId="2B330422" wp14:editId="61F470A2">
            <wp:extent cx="5746750" cy="22009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6750" cy="2200910"/>
                    </a:xfrm>
                    <a:prstGeom prst="rect">
                      <a:avLst/>
                    </a:prstGeom>
                    <a:noFill/>
                    <a:ln>
                      <a:noFill/>
                    </a:ln>
                  </pic:spPr>
                </pic:pic>
              </a:graphicData>
            </a:graphic>
          </wp:inline>
        </w:drawing>
      </w:r>
    </w:p>
    <w:p w14:paraId="5ED3CAF9" w14:textId="03782F3C" w:rsidR="00090BCF" w:rsidRPr="00894701" w:rsidRDefault="00090BCF" w:rsidP="00B30F10">
      <w:pPr>
        <w:jc w:val="center"/>
        <w:rPr>
          <w:rFonts w:asciiTheme="majorHAnsi" w:hAnsiTheme="majorHAnsi"/>
          <w:b/>
          <w:i/>
          <w:iCs/>
          <w:sz w:val="20"/>
          <w:szCs w:val="20"/>
        </w:rPr>
      </w:pPr>
      <w:bookmarkStart w:id="30" w:name="_Toc146590569"/>
      <w:r w:rsidRPr="00894701">
        <w:rPr>
          <w:rFonts w:asciiTheme="majorHAnsi" w:hAnsiTheme="majorHAnsi"/>
          <w:b/>
          <w:i/>
          <w:iCs/>
          <w:sz w:val="20"/>
          <w:szCs w:val="20"/>
        </w:rPr>
        <w:t xml:space="preserve">Figure </w:t>
      </w:r>
      <w:r w:rsidRPr="00894701">
        <w:rPr>
          <w:rFonts w:asciiTheme="majorHAnsi" w:hAnsiTheme="majorHAnsi"/>
          <w:b/>
          <w:i/>
          <w:iCs/>
          <w:sz w:val="20"/>
          <w:szCs w:val="20"/>
        </w:rPr>
        <w:fldChar w:fldCharType="begin"/>
      </w:r>
      <w:r w:rsidRPr="00894701">
        <w:rPr>
          <w:rFonts w:asciiTheme="majorHAnsi" w:hAnsiTheme="majorHAnsi"/>
          <w:b/>
          <w:i/>
          <w:iCs/>
          <w:sz w:val="20"/>
          <w:szCs w:val="20"/>
        </w:rPr>
        <w:instrText xml:space="preserve"> SEQ Figure \* ARABIC </w:instrText>
      </w:r>
      <w:r w:rsidRPr="00894701">
        <w:rPr>
          <w:rFonts w:asciiTheme="majorHAnsi" w:hAnsiTheme="majorHAnsi"/>
          <w:b/>
          <w:i/>
          <w:iCs/>
          <w:sz w:val="20"/>
          <w:szCs w:val="20"/>
        </w:rPr>
        <w:fldChar w:fldCharType="separate"/>
      </w:r>
      <w:r w:rsidR="0035303B">
        <w:rPr>
          <w:rFonts w:asciiTheme="majorHAnsi" w:hAnsiTheme="majorHAnsi"/>
          <w:b/>
          <w:i/>
          <w:iCs/>
          <w:noProof/>
          <w:sz w:val="20"/>
          <w:szCs w:val="20"/>
        </w:rPr>
        <w:t>4</w:t>
      </w:r>
      <w:r w:rsidRPr="00894701">
        <w:rPr>
          <w:rFonts w:asciiTheme="majorHAnsi" w:hAnsiTheme="majorHAnsi"/>
          <w:b/>
          <w:i/>
          <w:iCs/>
          <w:sz w:val="20"/>
          <w:szCs w:val="20"/>
        </w:rPr>
        <w:fldChar w:fldCharType="end"/>
      </w:r>
      <w:r w:rsidRPr="00894701">
        <w:rPr>
          <w:rFonts w:asciiTheme="majorHAnsi" w:hAnsiTheme="majorHAnsi"/>
          <w:b/>
          <w:i/>
          <w:iCs/>
          <w:sz w:val="20"/>
          <w:szCs w:val="20"/>
        </w:rPr>
        <w:t>: Structure of extractive industries revenues for the fiscal year 2020</w:t>
      </w:r>
      <w:bookmarkEnd w:id="30"/>
    </w:p>
    <w:p w14:paraId="230746ED" w14:textId="43BD55E1" w:rsidR="007C6848" w:rsidRPr="00894701" w:rsidRDefault="002A2998" w:rsidP="00B55953">
      <w:pPr>
        <w:ind w:left="567"/>
        <w:rPr>
          <w:rFonts w:asciiTheme="minorHAnsi" w:hAnsiTheme="minorHAnsi" w:cs="Arial"/>
          <w:sz w:val="20"/>
          <w:szCs w:val="20"/>
        </w:rPr>
      </w:pPr>
      <w:r w:rsidRPr="002A2998">
        <w:rPr>
          <w:rFonts w:asciiTheme="minorHAnsi" w:hAnsiTheme="minorHAnsi" w:cs="Arial"/>
          <w:sz w:val="20"/>
          <w:szCs w:val="20"/>
        </w:rPr>
        <w:t xml:space="preserve"> </w:t>
      </w:r>
      <w:r w:rsidR="00BD7CE6" w:rsidRPr="00BD7CE6">
        <w:rPr>
          <w:noProof/>
          <w:lang w:val="en-US" w:eastAsia="en-US"/>
        </w:rPr>
        <w:drawing>
          <wp:inline distT="0" distB="0" distL="0" distR="0" wp14:anchorId="5070AA64" wp14:editId="7550463A">
            <wp:extent cx="4987622" cy="2461846"/>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99126" cy="2467524"/>
                    </a:xfrm>
                    <a:prstGeom prst="rect">
                      <a:avLst/>
                    </a:prstGeom>
                    <a:noFill/>
                    <a:ln>
                      <a:noFill/>
                    </a:ln>
                  </pic:spPr>
                </pic:pic>
              </a:graphicData>
            </a:graphic>
          </wp:inline>
        </w:drawing>
      </w:r>
    </w:p>
    <w:p w14:paraId="256674ED" w14:textId="77777777" w:rsidR="009819F1" w:rsidRPr="00894701" w:rsidRDefault="009819F1">
      <w:pPr>
        <w:spacing w:after="0" w:line="240" w:lineRule="auto"/>
        <w:rPr>
          <w:b/>
          <w:sz w:val="28"/>
          <w:szCs w:val="28"/>
        </w:rPr>
      </w:pPr>
      <w:bookmarkStart w:id="31" w:name="_Toc104555376"/>
      <w:r w:rsidRPr="00894701">
        <w:rPr>
          <w:b/>
          <w:sz w:val="28"/>
          <w:szCs w:val="28"/>
        </w:rPr>
        <w:br w:type="page"/>
      </w:r>
    </w:p>
    <w:p w14:paraId="7B1C5AC4" w14:textId="36811A15" w:rsidR="0038288E" w:rsidRPr="00894701" w:rsidRDefault="0038288E" w:rsidP="003451D6">
      <w:pPr>
        <w:pStyle w:val="ListParagraph"/>
        <w:numPr>
          <w:ilvl w:val="1"/>
          <w:numId w:val="7"/>
        </w:numPr>
        <w:spacing w:before="240" w:after="240"/>
        <w:ind w:left="851" w:right="482" w:hanging="851"/>
        <w:outlineLvl w:val="1"/>
        <w:rPr>
          <w:b/>
          <w:sz w:val="28"/>
          <w:szCs w:val="28"/>
        </w:rPr>
      </w:pPr>
      <w:bookmarkStart w:id="32" w:name="_Toc122478833"/>
      <w:r w:rsidRPr="00894701">
        <w:rPr>
          <w:b/>
          <w:sz w:val="28"/>
          <w:szCs w:val="28"/>
        </w:rPr>
        <w:lastRenderedPageBreak/>
        <w:t xml:space="preserve">Contribution to </w:t>
      </w:r>
      <w:r w:rsidR="00E84591" w:rsidRPr="00894701">
        <w:rPr>
          <w:b/>
          <w:sz w:val="28"/>
          <w:szCs w:val="28"/>
        </w:rPr>
        <w:t>Suriname</w:t>
      </w:r>
      <w:r w:rsidRPr="00894701">
        <w:rPr>
          <w:b/>
          <w:sz w:val="28"/>
          <w:szCs w:val="28"/>
        </w:rPr>
        <w:t>’s economy</w:t>
      </w:r>
      <w:bookmarkEnd w:id="31"/>
      <w:bookmarkEnd w:id="32"/>
    </w:p>
    <w:p w14:paraId="7D8C9FC6" w14:textId="41A2C895" w:rsidR="0038288E" w:rsidRPr="00894701" w:rsidRDefault="0038288E" w:rsidP="00986C60">
      <w:pPr>
        <w:jc w:val="both"/>
        <w:rPr>
          <w:rFonts w:cs="Arial"/>
          <w:color w:val="auto"/>
          <w:sz w:val="20"/>
        </w:rPr>
      </w:pPr>
      <w:r w:rsidRPr="00894701">
        <w:rPr>
          <w:rFonts w:cs="Arial"/>
          <w:color w:val="auto"/>
          <w:sz w:val="20"/>
        </w:rPr>
        <w:t>Based on the economic data presented in Section 3.</w:t>
      </w:r>
      <w:r w:rsidR="004F79A9" w:rsidRPr="00894701">
        <w:rPr>
          <w:rFonts w:cs="Arial"/>
          <w:color w:val="auto"/>
          <w:sz w:val="20"/>
        </w:rPr>
        <w:t>20</w:t>
      </w:r>
      <w:r w:rsidRPr="00894701">
        <w:rPr>
          <w:rFonts w:cs="Arial"/>
          <w:color w:val="auto"/>
          <w:sz w:val="20"/>
        </w:rPr>
        <w:t xml:space="preserve"> of the report, the contribution of the different sectors can be summarised as follows:</w:t>
      </w:r>
    </w:p>
    <w:p w14:paraId="3129BEB8" w14:textId="5EE39916" w:rsidR="00090BCF" w:rsidRPr="00894701" w:rsidRDefault="00090BCF" w:rsidP="00BA29E5">
      <w:pPr>
        <w:pStyle w:val="Caption"/>
        <w:keepNext/>
        <w:spacing w:after="0"/>
        <w:rPr>
          <w:rFonts w:asciiTheme="majorHAnsi" w:hAnsiTheme="majorHAnsi"/>
          <w:bCs w:val="0"/>
          <w:i/>
          <w:iCs/>
          <w:color w:val="685040"/>
          <w:kern w:val="16"/>
          <w:sz w:val="20"/>
          <w:lang w:eastAsia="en-GB"/>
        </w:rPr>
      </w:pPr>
      <w:bookmarkStart w:id="33" w:name="_Toc146590570"/>
      <w:r w:rsidRPr="00894701">
        <w:rPr>
          <w:rFonts w:asciiTheme="majorHAnsi" w:hAnsiTheme="majorHAnsi"/>
          <w:bCs w:val="0"/>
          <w:i/>
          <w:iCs/>
          <w:color w:val="685040"/>
          <w:kern w:val="16"/>
          <w:sz w:val="20"/>
          <w:lang w:eastAsia="en-GB"/>
        </w:rPr>
        <w:t xml:space="preserve">Figure </w:t>
      </w:r>
      <w:r w:rsidRPr="00894701">
        <w:rPr>
          <w:rFonts w:asciiTheme="majorHAnsi" w:hAnsiTheme="majorHAnsi"/>
          <w:bCs w:val="0"/>
          <w:i/>
          <w:iCs/>
          <w:color w:val="685040"/>
          <w:kern w:val="16"/>
          <w:sz w:val="20"/>
          <w:lang w:eastAsia="en-GB"/>
        </w:rPr>
        <w:fldChar w:fldCharType="begin"/>
      </w:r>
      <w:r w:rsidRPr="00894701">
        <w:rPr>
          <w:rFonts w:asciiTheme="majorHAnsi" w:hAnsiTheme="majorHAnsi"/>
          <w:bCs w:val="0"/>
          <w:i/>
          <w:iCs/>
          <w:color w:val="685040"/>
          <w:kern w:val="16"/>
          <w:sz w:val="20"/>
          <w:lang w:eastAsia="en-GB"/>
        </w:rPr>
        <w:instrText xml:space="preserve"> SEQ Figure \* ARABIC </w:instrText>
      </w:r>
      <w:r w:rsidRPr="00894701">
        <w:rPr>
          <w:rFonts w:asciiTheme="majorHAnsi" w:hAnsiTheme="majorHAnsi"/>
          <w:bCs w:val="0"/>
          <w:i/>
          <w:iCs/>
          <w:color w:val="685040"/>
          <w:kern w:val="16"/>
          <w:sz w:val="20"/>
          <w:lang w:eastAsia="en-GB"/>
        </w:rPr>
        <w:fldChar w:fldCharType="separate"/>
      </w:r>
      <w:r w:rsidR="0035303B">
        <w:rPr>
          <w:rFonts w:asciiTheme="majorHAnsi" w:hAnsiTheme="majorHAnsi"/>
          <w:bCs w:val="0"/>
          <w:i/>
          <w:iCs/>
          <w:noProof/>
          <w:color w:val="685040"/>
          <w:kern w:val="16"/>
          <w:sz w:val="20"/>
          <w:lang w:eastAsia="en-GB"/>
        </w:rPr>
        <w:t>5</w:t>
      </w:r>
      <w:r w:rsidRPr="00894701">
        <w:rPr>
          <w:rFonts w:asciiTheme="majorHAnsi" w:hAnsiTheme="majorHAnsi"/>
          <w:bCs w:val="0"/>
          <w:i/>
          <w:iCs/>
          <w:color w:val="685040"/>
          <w:kern w:val="16"/>
          <w:sz w:val="20"/>
          <w:lang w:eastAsia="en-GB"/>
        </w:rPr>
        <w:fldChar w:fldCharType="end"/>
      </w:r>
      <w:r w:rsidR="000F0776" w:rsidRPr="00894701">
        <w:rPr>
          <w:rFonts w:asciiTheme="majorHAnsi" w:hAnsiTheme="majorHAnsi"/>
          <w:bCs w:val="0"/>
          <w:i/>
          <w:iCs/>
          <w:color w:val="685040"/>
          <w:kern w:val="16"/>
          <w:sz w:val="20"/>
          <w:lang w:eastAsia="en-GB"/>
        </w:rPr>
        <w:t>: Contribution of the extractive sectors to the economy for the fiscal year 2018</w:t>
      </w:r>
      <w:bookmarkEnd w:id="33"/>
    </w:p>
    <w:p w14:paraId="6E8103BC" w14:textId="47E45C88" w:rsidR="00053D72" w:rsidRPr="00894701" w:rsidRDefault="009819F1" w:rsidP="00053D72">
      <w:pPr>
        <w:ind w:left="-142" w:hanging="426"/>
        <w:jc w:val="center"/>
        <w:rPr>
          <w:rFonts w:asciiTheme="majorHAnsi" w:hAnsiTheme="majorHAnsi"/>
          <w:b/>
          <w:i/>
          <w:iCs/>
          <w:sz w:val="20"/>
          <w:szCs w:val="20"/>
        </w:rPr>
      </w:pPr>
      <w:r w:rsidRPr="00894701">
        <w:rPr>
          <w:noProof/>
          <w:lang w:val="en-US" w:eastAsia="en-US"/>
        </w:rPr>
        <w:drawing>
          <wp:inline distT="0" distB="0" distL="0" distR="0" wp14:anchorId="5B901492" wp14:editId="05A1D609">
            <wp:extent cx="6291755" cy="15087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98790" cy="1510447"/>
                    </a:xfrm>
                    <a:prstGeom prst="rect">
                      <a:avLst/>
                    </a:prstGeom>
                    <a:noFill/>
                    <a:ln>
                      <a:noFill/>
                    </a:ln>
                  </pic:spPr>
                </pic:pic>
              </a:graphicData>
            </a:graphic>
          </wp:inline>
        </w:drawing>
      </w:r>
    </w:p>
    <w:p w14:paraId="7CC2F4AC" w14:textId="2D8868C3" w:rsidR="007107F8" w:rsidRPr="00894701" w:rsidRDefault="007107F8" w:rsidP="00053D72">
      <w:pPr>
        <w:ind w:left="-142" w:hanging="426"/>
        <w:jc w:val="center"/>
        <w:rPr>
          <w:rFonts w:asciiTheme="majorHAnsi" w:hAnsiTheme="majorHAnsi"/>
          <w:b/>
          <w:i/>
          <w:iCs/>
          <w:sz w:val="20"/>
          <w:szCs w:val="20"/>
        </w:rPr>
      </w:pPr>
    </w:p>
    <w:p w14:paraId="57622F56" w14:textId="763E76D8" w:rsidR="00053D72" w:rsidRPr="00894701" w:rsidRDefault="000F0776" w:rsidP="00A76F93">
      <w:pPr>
        <w:pStyle w:val="Caption"/>
        <w:keepNext/>
        <w:spacing w:after="0"/>
        <w:jc w:val="center"/>
        <w:rPr>
          <w:rFonts w:asciiTheme="majorHAnsi" w:hAnsiTheme="majorHAnsi"/>
          <w:bCs w:val="0"/>
          <w:i/>
          <w:iCs/>
          <w:color w:val="685040"/>
          <w:kern w:val="16"/>
          <w:sz w:val="20"/>
          <w:lang w:eastAsia="en-GB"/>
        </w:rPr>
      </w:pPr>
      <w:bookmarkStart w:id="34" w:name="_Toc146590571"/>
      <w:r w:rsidRPr="00894701">
        <w:rPr>
          <w:rFonts w:asciiTheme="majorHAnsi" w:hAnsiTheme="majorHAnsi"/>
          <w:bCs w:val="0"/>
          <w:i/>
          <w:iCs/>
          <w:color w:val="685040"/>
          <w:kern w:val="16"/>
          <w:sz w:val="20"/>
          <w:lang w:eastAsia="en-GB"/>
        </w:rPr>
        <w:t xml:space="preserve">Figure </w:t>
      </w:r>
      <w:r w:rsidRPr="00894701">
        <w:rPr>
          <w:rFonts w:asciiTheme="majorHAnsi" w:hAnsiTheme="majorHAnsi"/>
          <w:bCs w:val="0"/>
          <w:i/>
          <w:iCs/>
          <w:color w:val="685040"/>
          <w:kern w:val="16"/>
          <w:sz w:val="20"/>
          <w:lang w:eastAsia="en-GB"/>
        </w:rPr>
        <w:fldChar w:fldCharType="begin"/>
      </w:r>
      <w:r w:rsidRPr="00894701">
        <w:rPr>
          <w:rFonts w:asciiTheme="majorHAnsi" w:hAnsiTheme="majorHAnsi"/>
          <w:bCs w:val="0"/>
          <w:i/>
          <w:iCs/>
          <w:color w:val="685040"/>
          <w:kern w:val="16"/>
          <w:sz w:val="20"/>
          <w:lang w:eastAsia="en-GB"/>
        </w:rPr>
        <w:instrText xml:space="preserve"> SEQ Figure \* ARABIC </w:instrText>
      </w:r>
      <w:r w:rsidRPr="00894701">
        <w:rPr>
          <w:rFonts w:asciiTheme="majorHAnsi" w:hAnsiTheme="majorHAnsi"/>
          <w:bCs w:val="0"/>
          <w:i/>
          <w:iCs/>
          <w:color w:val="685040"/>
          <w:kern w:val="16"/>
          <w:sz w:val="20"/>
          <w:lang w:eastAsia="en-GB"/>
        </w:rPr>
        <w:fldChar w:fldCharType="separate"/>
      </w:r>
      <w:r w:rsidR="0035303B">
        <w:rPr>
          <w:rFonts w:asciiTheme="majorHAnsi" w:hAnsiTheme="majorHAnsi"/>
          <w:bCs w:val="0"/>
          <w:i/>
          <w:iCs/>
          <w:noProof/>
          <w:color w:val="685040"/>
          <w:kern w:val="16"/>
          <w:sz w:val="20"/>
          <w:lang w:eastAsia="en-GB"/>
        </w:rPr>
        <w:t>6</w:t>
      </w:r>
      <w:r w:rsidRPr="00894701">
        <w:rPr>
          <w:rFonts w:asciiTheme="majorHAnsi" w:hAnsiTheme="majorHAnsi"/>
          <w:bCs w:val="0"/>
          <w:i/>
          <w:iCs/>
          <w:color w:val="685040"/>
          <w:kern w:val="16"/>
          <w:sz w:val="20"/>
          <w:lang w:eastAsia="en-GB"/>
        </w:rPr>
        <w:fldChar w:fldCharType="end"/>
      </w:r>
      <w:r w:rsidRPr="00894701">
        <w:rPr>
          <w:rFonts w:asciiTheme="majorHAnsi" w:hAnsiTheme="majorHAnsi"/>
          <w:bCs w:val="0"/>
          <w:i/>
          <w:iCs/>
          <w:color w:val="685040"/>
          <w:kern w:val="16"/>
          <w:sz w:val="20"/>
          <w:lang w:eastAsia="en-GB"/>
        </w:rPr>
        <w:t>: Contribution of the extractive sectors to the economy for the fiscal year 2019</w:t>
      </w:r>
      <w:bookmarkEnd w:id="34"/>
    </w:p>
    <w:p w14:paraId="4F80B20E" w14:textId="45DD895E" w:rsidR="007107F8" w:rsidRPr="00894701" w:rsidRDefault="007107F8" w:rsidP="007107F8"/>
    <w:p w14:paraId="2A4024CB" w14:textId="339FF682" w:rsidR="007107F8" w:rsidRPr="00894701" w:rsidRDefault="009819F1" w:rsidP="00B55953">
      <w:pPr>
        <w:ind w:left="-426"/>
        <w:rPr>
          <w:bCs/>
        </w:rPr>
      </w:pPr>
      <w:r w:rsidRPr="00894701">
        <w:rPr>
          <w:noProof/>
          <w:lang w:val="en-US" w:eastAsia="en-US"/>
        </w:rPr>
        <w:drawing>
          <wp:inline distT="0" distB="0" distL="0" distR="0" wp14:anchorId="63E1350E" wp14:editId="61E01293">
            <wp:extent cx="6088465" cy="146001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93107" cy="1461124"/>
                    </a:xfrm>
                    <a:prstGeom prst="rect">
                      <a:avLst/>
                    </a:prstGeom>
                    <a:noFill/>
                    <a:ln>
                      <a:noFill/>
                    </a:ln>
                  </pic:spPr>
                </pic:pic>
              </a:graphicData>
            </a:graphic>
          </wp:inline>
        </w:drawing>
      </w:r>
    </w:p>
    <w:p w14:paraId="141A0EEA" w14:textId="3D701199" w:rsidR="007107F8" w:rsidRPr="00894701" w:rsidRDefault="007107F8" w:rsidP="007107F8"/>
    <w:p w14:paraId="51F6DF69" w14:textId="49D7D4B9" w:rsidR="005569CA" w:rsidRPr="00894701" w:rsidRDefault="00887D4F" w:rsidP="00BA29E5">
      <w:pPr>
        <w:pStyle w:val="Caption"/>
        <w:keepNext/>
        <w:rPr>
          <w:rFonts w:asciiTheme="majorHAnsi" w:hAnsiTheme="majorHAnsi"/>
          <w:bCs w:val="0"/>
          <w:i/>
          <w:iCs/>
          <w:color w:val="685040"/>
          <w:kern w:val="16"/>
          <w:sz w:val="20"/>
          <w:lang w:eastAsia="en-GB"/>
        </w:rPr>
      </w:pPr>
      <w:bookmarkStart w:id="35" w:name="_Toc146590572"/>
      <w:r w:rsidRPr="00894701">
        <w:rPr>
          <w:noProof/>
          <w:lang w:val="en-US"/>
        </w:rPr>
        <w:drawing>
          <wp:anchor distT="0" distB="0" distL="114300" distR="114300" simplePos="0" relativeHeight="251658251" behindDoc="0" locked="0" layoutInCell="1" allowOverlap="1" wp14:anchorId="5BD22135" wp14:editId="36FC44D0">
            <wp:simplePos x="0" y="0"/>
            <wp:positionH relativeFrom="column">
              <wp:posOffset>-451338</wp:posOffset>
            </wp:positionH>
            <wp:positionV relativeFrom="paragraph">
              <wp:posOffset>183367</wp:posOffset>
            </wp:positionV>
            <wp:extent cx="6052122" cy="156503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59034" cy="1566818"/>
                    </a:xfrm>
                    <a:prstGeom prst="rect">
                      <a:avLst/>
                    </a:prstGeom>
                    <a:noFill/>
                    <a:ln>
                      <a:noFill/>
                    </a:ln>
                  </pic:spPr>
                </pic:pic>
              </a:graphicData>
            </a:graphic>
            <wp14:sizeRelH relativeFrom="page">
              <wp14:pctWidth>0</wp14:pctWidth>
            </wp14:sizeRelH>
            <wp14:sizeRelV relativeFrom="page">
              <wp14:pctHeight>0</wp14:pctHeight>
            </wp14:sizeRelV>
          </wp:anchor>
        </w:drawing>
      </w:r>
      <w:r w:rsidR="000F0776" w:rsidRPr="00894701">
        <w:rPr>
          <w:rFonts w:asciiTheme="majorHAnsi" w:hAnsiTheme="majorHAnsi"/>
          <w:bCs w:val="0"/>
          <w:i/>
          <w:iCs/>
          <w:color w:val="685040"/>
          <w:kern w:val="16"/>
          <w:sz w:val="20"/>
          <w:lang w:eastAsia="en-GB"/>
        </w:rPr>
        <w:t xml:space="preserve">Figure </w:t>
      </w:r>
      <w:r w:rsidR="000F0776" w:rsidRPr="00894701">
        <w:rPr>
          <w:rFonts w:asciiTheme="majorHAnsi" w:hAnsiTheme="majorHAnsi"/>
          <w:bCs w:val="0"/>
          <w:i/>
          <w:iCs/>
          <w:color w:val="685040"/>
          <w:kern w:val="16"/>
          <w:sz w:val="20"/>
          <w:lang w:eastAsia="en-GB"/>
        </w:rPr>
        <w:fldChar w:fldCharType="begin"/>
      </w:r>
      <w:r w:rsidR="000F0776" w:rsidRPr="00894701">
        <w:rPr>
          <w:rFonts w:asciiTheme="majorHAnsi" w:hAnsiTheme="majorHAnsi"/>
          <w:bCs w:val="0"/>
          <w:i/>
          <w:iCs/>
          <w:color w:val="685040"/>
          <w:kern w:val="16"/>
          <w:sz w:val="20"/>
          <w:lang w:eastAsia="en-GB"/>
        </w:rPr>
        <w:instrText xml:space="preserve"> SEQ Figure \* ARABIC </w:instrText>
      </w:r>
      <w:r w:rsidR="000F0776" w:rsidRPr="00894701">
        <w:rPr>
          <w:rFonts w:asciiTheme="majorHAnsi" w:hAnsiTheme="majorHAnsi"/>
          <w:bCs w:val="0"/>
          <w:i/>
          <w:iCs/>
          <w:color w:val="685040"/>
          <w:kern w:val="16"/>
          <w:sz w:val="20"/>
          <w:lang w:eastAsia="en-GB"/>
        </w:rPr>
        <w:fldChar w:fldCharType="separate"/>
      </w:r>
      <w:r w:rsidR="0035303B">
        <w:rPr>
          <w:rFonts w:asciiTheme="majorHAnsi" w:hAnsiTheme="majorHAnsi"/>
          <w:bCs w:val="0"/>
          <w:i/>
          <w:iCs/>
          <w:noProof/>
          <w:color w:val="685040"/>
          <w:kern w:val="16"/>
          <w:sz w:val="20"/>
          <w:lang w:eastAsia="en-GB"/>
        </w:rPr>
        <w:t>7</w:t>
      </w:r>
      <w:r w:rsidR="000F0776" w:rsidRPr="00894701">
        <w:rPr>
          <w:rFonts w:asciiTheme="majorHAnsi" w:hAnsiTheme="majorHAnsi"/>
          <w:bCs w:val="0"/>
          <w:i/>
          <w:iCs/>
          <w:color w:val="685040"/>
          <w:kern w:val="16"/>
          <w:sz w:val="20"/>
          <w:lang w:eastAsia="en-GB"/>
        </w:rPr>
        <w:fldChar w:fldCharType="end"/>
      </w:r>
      <w:r w:rsidR="000F0776" w:rsidRPr="00894701">
        <w:rPr>
          <w:rFonts w:asciiTheme="majorHAnsi" w:hAnsiTheme="majorHAnsi"/>
          <w:bCs w:val="0"/>
          <w:i/>
          <w:iCs/>
          <w:color w:val="685040"/>
          <w:kern w:val="16"/>
          <w:sz w:val="20"/>
          <w:lang w:eastAsia="en-GB"/>
        </w:rPr>
        <w:t>: Contribution of the extractive sectors to the economy for the fiscal year 2020</w:t>
      </w:r>
      <w:bookmarkEnd w:id="35"/>
    </w:p>
    <w:p w14:paraId="46950CA9" w14:textId="3931946F" w:rsidR="000F6A07" w:rsidRPr="00894701" w:rsidRDefault="000F6A07" w:rsidP="000F6A07">
      <w:pPr>
        <w:ind w:left="-426"/>
        <w:jc w:val="both"/>
        <w:rPr>
          <w:rFonts w:cs="Arial"/>
          <w:color w:val="auto"/>
          <w:sz w:val="20"/>
        </w:rPr>
      </w:pPr>
    </w:p>
    <w:p w14:paraId="5E9B4C02" w14:textId="77777777" w:rsidR="007107F8" w:rsidRPr="00894701" w:rsidRDefault="007107F8" w:rsidP="00E57266">
      <w:pPr>
        <w:jc w:val="both"/>
        <w:rPr>
          <w:rFonts w:cs="Arial"/>
          <w:color w:val="auto"/>
          <w:sz w:val="20"/>
        </w:rPr>
      </w:pPr>
    </w:p>
    <w:p w14:paraId="248AD4A7" w14:textId="77777777" w:rsidR="007107F8" w:rsidRPr="00894701" w:rsidRDefault="007107F8" w:rsidP="00E57266">
      <w:pPr>
        <w:jc w:val="both"/>
        <w:rPr>
          <w:rFonts w:cs="Arial"/>
          <w:color w:val="auto"/>
          <w:sz w:val="20"/>
        </w:rPr>
      </w:pPr>
    </w:p>
    <w:p w14:paraId="7798DD77" w14:textId="77777777" w:rsidR="007107F8" w:rsidRPr="00894701" w:rsidRDefault="007107F8" w:rsidP="00E57266">
      <w:pPr>
        <w:jc w:val="both"/>
        <w:rPr>
          <w:rFonts w:cs="Arial"/>
          <w:color w:val="auto"/>
          <w:sz w:val="20"/>
        </w:rPr>
      </w:pPr>
    </w:p>
    <w:p w14:paraId="2570091C" w14:textId="77777777" w:rsidR="007107F8" w:rsidRPr="00894701" w:rsidRDefault="007107F8" w:rsidP="00E57266">
      <w:pPr>
        <w:jc w:val="both"/>
        <w:rPr>
          <w:rFonts w:cs="Arial"/>
          <w:color w:val="auto"/>
          <w:sz w:val="20"/>
        </w:rPr>
      </w:pPr>
    </w:p>
    <w:p w14:paraId="3AEF22A9" w14:textId="77777777" w:rsidR="007107F8" w:rsidRPr="00894701" w:rsidRDefault="007107F8" w:rsidP="00E57266">
      <w:pPr>
        <w:jc w:val="both"/>
        <w:rPr>
          <w:rFonts w:cs="Arial"/>
          <w:color w:val="auto"/>
          <w:sz w:val="20"/>
        </w:rPr>
      </w:pPr>
    </w:p>
    <w:p w14:paraId="0A17CBCB" w14:textId="77777777" w:rsidR="007107F8" w:rsidRPr="00894701" w:rsidRDefault="007107F8" w:rsidP="00E57266">
      <w:pPr>
        <w:jc w:val="both"/>
        <w:rPr>
          <w:rFonts w:cs="Arial"/>
          <w:color w:val="auto"/>
          <w:sz w:val="20"/>
        </w:rPr>
      </w:pPr>
    </w:p>
    <w:p w14:paraId="15CC24F3" w14:textId="0A27FF94" w:rsidR="00E57266" w:rsidRPr="00894701" w:rsidRDefault="00E57266" w:rsidP="00E57266">
      <w:pPr>
        <w:jc w:val="both"/>
        <w:rPr>
          <w:rFonts w:cs="Arial"/>
          <w:color w:val="auto"/>
          <w:sz w:val="20"/>
        </w:rPr>
      </w:pPr>
      <w:r w:rsidRPr="00894701">
        <w:rPr>
          <w:rFonts w:cs="Arial"/>
          <w:color w:val="auto"/>
          <w:sz w:val="20"/>
        </w:rPr>
        <w:t>According to the Bureau of Statistics of Suriname the Gross Domestic Product (GDP) from</w:t>
      </w:r>
      <w:r w:rsidR="00D403A4">
        <w:rPr>
          <w:rFonts w:cs="Arial"/>
          <w:color w:val="auto"/>
          <w:sz w:val="20"/>
        </w:rPr>
        <w:t xml:space="preserve"> the</w:t>
      </w:r>
      <w:r w:rsidRPr="00894701">
        <w:rPr>
          <w:rFonts w:cs="Arial"/>
          <w:color w:val="auto"/>
          <w:sz w:val="20"/>
        </w:rPr>
        <w:t xml:space="preserve"> </w:t>
      </w:r>
      <w:r w:rsidR="00171302" w:rsidRPr="00894701">
        <w:rPr>
          <w:rFonts w:cs="Arial"/>
          <w:color w:val="auto"/>
          <w:sz w:val="20"/>
        </w:rPr>
        <w:t>min</w:t>
      </w:r>
      <w:r w:rsidR="00171302">
        <w:rPr>
          <w:rFonts w:cs="Arial"/>
          <w:color w:val="auto"/>
          <w:sz w:val="20"/>
        </w:rPr>
        <w:t>eral</w:t>
      </w:r>
      <w:r w:rsidR="00171302" w:rsidRPr="00894701">
        <w:rPr>
          <w:rFonts w:cs="Arial"/>
          <w:color w:val="auto"/>
          <w:sz w:val="20"/>
        </w:rPr>
        <w:t xml:space="preserve"> </w:t>
      </w:r>
      <w:r w:rsidRPr="00894701">
        <w:rPr>
          <w:rFonts w:cs="Arial"/>
          <w:color w:val="auto"/>
          <w:sz w:val="20"/>
        </w:rPr>
        <w:t>sector for FY 2018 amounted to SRD 1,718 million and accounted for 5.8% of total GDP. In 2019 mining sector contribution to the GDP amounted to SRD 2,165 million and accounted for 6.8% of the total GDP. In 2020, the mining sector contribution amounted to SRD 2,179 million and the GDP accounted for 5.6%</w:t>
      </w:r>
      <w:r w:rsidR="001D7DFC" w:rsidRPr="00894701">
        <w:rPr>
          <w:rFonts w:cs="Arial"/>
          <w:color w:val="auto"/>
          <w:sz w:val="20"/>
        </w:rPr>
        <w:t xml:space="preserve"> of the total GDP</w:t>
      </w:r>
      <w:r w:rsidRPr="00894701">
        <w:rPr>
          <w:rFonts w:cs="Arial"/>
          <w:color w:val="auto"/>
          <w:sz w:val="20"/>
        </w:rPr>
        <w:t>.</w:t>
      </w:r>
    </w:p>
    <w:p w14:paraId="53B23DF7" w14:textId="66DB04BF" w:rsidR="00E57266" w:rsidRPr="00894701" w:rsidRDefault="00E57266" w:rsidP="00E57266">
      <w:pPr>
        <w:jc w:val="both"/>
        <w:rPr>
          <w:rFonts w:cs="Arial"/>
          <w:color w:val="auto"/>
          <w:sz w:val="20"/>
        </w:rPr>
      </w:pPr>
      <w:r w:rsidRPr="00894701">
        <w:rPr>
          <w:rFonts w:cs="Arial"/>
          <w:color w:val="auto"/>
          <w:sz w:val="20"/>
        </w:rPr>
        <w:t xml:space="preserve">The contribution of oil and gas and mining sectors to the Government’s revenue amounted to SRD </w:t>
      </w:r>
      <w:r w:rsidR="009819F1" w:rsidRPr="00894701">
        <w:rPr>
          <w:rFonts w:cs="Arial"/>
          <w:color w:val="auto"/>
          <w:sz w:val="20"/>
        </w:rPr>
        <w:t>1,897</w:t>
      </w:r>
      <w:r w:rsidRPr="00894701">
        <w:rPr>
          <w:rFonts w:cs="Arial"/>
          <w:color w:val="auto"/>
          <w:sz w:val="20"/>
        </w:rPr>
        <w:t xml:space="preserve"> million </w:t>
      </w:r>
      <w:r w:rsidR="00545B0B" w:rsidRPr="00894701">
        <w:rPr>
          <w:rFonts w:cs="Arial"/>
          <w:color w:val="auto"/>
          <w:sz w:val="20"/>
        </w:rPr>
        <w:t>estimated</w:t>
      </w:r>
      <w:r w:rsidRPr="00894701">
        <w:rPr>
          <w:rFonts w:cs="Arial"/>
          <w:color w:val="auto"/>
          <w:sz w:val="20"/>
        </w:rPr>
        <w:t xml:space="preserve"> </w:t>
      </w:r>
      <w:r w:rsidR="00545B0B" w:rsidRPr="00894701">
        <w:rPr>
          <w:rFonts w:cs="Arial"/>
          <w:color w:val="auto"/>
          <w:sz w:val="20"/>
        </w:rPr>
        <w:t>at</w:t>
      </w:r>
      <w:r w:rsidRPr="00894701">
        <w:rPr>
          <w:rFonts w:cs="Arial"/>
          <w:color w:val="auto"/>
          <w:sz w:val="20"/>
        </w:rPr>
        <w:t xml:space="preserve"> </w:t>
      </w:r>
      <w:r w:rsidR="009819F1" w:rsidRPr="00894701">
        <w:rPr>
          <w:rFonts w:cs="Arial"/>
          <w:color w:val="auto"/>
          <w:sz w:val="20"/>
        </w:rPr>
        <w:t>14.2</w:t>
      </w:r>
      <w:r w:rsidRPr="00894701">
        <w:rPr>
          <w:rFonts w:cs="Arial"/>
          <w:color w:val="auto"/>
          <w:sz w:val="20"/>
        </w:rPr>
        <w:t xml:space="preserve">% of the total domestic revenues in the FY 2018 and </w:t>
      </w:r>
      <w:r w:rsidR="00545B0B" w:rsidRPr="00894701">
        <w:rPr>
          <w:rFonts w:cs="Arial"/>
          <w:color w:val="auto"/>
          <w:sz w:val="20"/>
        </w:rPr>
        <w:t xml:space="preserve">accounting for </w:t>
      </w:r>
      <w:r w:rsidR="00D247CC">
        <w:rPr>
          <w:rFonts w:cs="Arial"/>
          <w:color w:val="auto"/>
          <w:sz w:val="20"/>
        </w:rPr>
        <w:t xml:space="preserve">7.3% and </w:t>
      </w:r>
      <w:r w:rsidR="009819F1" w:rsidRPr="00894701">
        <w:rPr>
          <w:rFonts w:cs="Arial"/>
          <w:color w:val="auto"/>
          <w:sz w:val="20"/>
        </w:rPr>
        <w:t>11.8</w:t>
      </w:r>
      <w:r w:rsidRPr="00894701">
        <w:rPr>
          <w:rFonts w:cs="Arial"/>
          <w:color w:val="auto"/>
          <w:sz w:val="20"/>
        </w:rPr>
        <w:t xml:space="preserve">% in the FY </w:t>
      </w:r>
      <w:r w:rsidR="00D247CC">
        <w:rPr>
          <w:rFonts w:cs="Arial"/>
          <w:color w:val="auto"/>
          <w:sz w:val="20"/>
        </w:rPr>
        <w:t xml:space="preserve">2019 and </w:t>
      </w:r>
      <w:r w:rsidRPr="00894701">
        <w:rPr>
          <w:rFonts w:cs="Arial"/>
          <w:color w:val="auto"/>
          <w:sz w:val="20"/>
        </w:rPr>
        <w:t>2020</w:t>
      </w:r>
      <w:r w:rsidR="00545B0B" w:rsidRPr="00894701">
        <w:rPr>
          <w:rFonts w:cs="Arial"/>
          <w:color w:val="auto"/>
          <w:sz w:val="20"/>
        </w:rPr>
        <w:t xml:space="preserve"> total domestic revenues</w:t>
      </w:r>
      <w:r w:rsidR="00D247CC">
        <w:rPr>
          <w:rFonts w:cs="Arial"/>
          <w:color w:val="auto"/>
          <w:sz w:val="20"/>
        </w:rPr>
        <w:t xml:space="preserve"> respectively</w:t>
      </w:r>
      <w:r w:rsidRPr="00894701">
        <w:rPr>
          <w:rFonts w:cs="Arial"/>
          <w:color w:val="auto"/>
          <w:sz w:val="20"/>
        </w:rPr>
        <w:t xml:space="preserve">. </w:t>
      </w:r>
    </w:p>
    <w:p w14:paraId="780015B4" w14:textId="05906E94" w:rsidR="00E57266" w:rsidRPr="00894701" w:rsidRDefault="00E57266" w:rsidP="00E57266">
      <w:pPr>
        <w:jc w:val="both"/>
        <w:rPr>
          <w:rFonts w:cs="Arial"/>
          <w:b/>
          <w:bCs/>
          <w:color w:val="auto"/>
          <w:sz w:val="20"/>
        </w:rPr>
      </w:pPr>
      <w:r w:rsidRPr="00894701">
        <w:rPr>
          <w:rFonts w:cs="Arial"/>
          <w:color w:val="auto"/>
          <w:sz w:val="20"/>
        </w:rPr>
        <w:t xml:space="preserve">The value of exports from the extractive sectors in 2018, 2019 and 2020 respectively amounted to </w:t>
      </w:r>
      <w:r w:rsidR="005E4BB6" w:rsidRPr="00894701">
        <w:rPr>
          <w:rFonts w:cs="Arial"/>
          <w:color w:val="auto"/>
          <w:sz w:val="20"/>
        </w:rPr>
        <w:t>USD</w:t>
      </w:r>
      <w:r w:rsidRPr="00894701">
        <w:rPr>
          <w:rFonts w:cs="Arial"/>
          <w:color w:val="auto"/>
          <w:sz w:val="20"/>
        </w:rPr>
        <w:t xml:space="preserve"> </w:t>
      </w:r>
      <w:r w:rsidR="005E4BB6" w:rsidRPr="00894701">
        <w:rPr>
          <w:rFonts w:cs="Arial"/>
          <w:color w:val="auto"/>
          <w:sz w:val="20"/>
        </w:rPr>
        <w:t xml:space="preserve">344 </w:t>
      </w:r>
      <w:r w:rsidRPr="00894701">
        <w:rPr>
          <w:rFonts w:cs="Arial"/>
          <w:color w:val="auto"/>
          <w:sz w:val="20"/>
        </w:rPr>
        <w:t xml:space="preserve">million, </w:t>
      </w:r>
      <w:r w:rsidR="005E4BB6" w:rsidRPr="00894701">
        <w:rPr>
          <w:rFonts w:cs="Arial"/>
          <w:color w:val="auto"/>
          <w:sz w:val="20"/>
        </w:rPr>
        <w:t>USD</w:t>
      </w:r>
      <w:r w:rsidRPr="00894701">
        <w:rPr>
          <w:rFonts w:cs="Arial"/>
          <w:color w:val="auto"/>
          <w:sz w:val="20"/>
        </w:rPr>
        <w:t xml:space="preserve"> </w:t>
      </w:r>
      <w:r w:rsidR="005E4BB6" w:rsidRPr="00894701">
        <w:rPr>
          <w:rFonts w:cs="Arial"/>
          <w:color w:val="auto"/>
          <w:sz w:val="20"/>
        </w:rPr>
        <w:t xml:space="preserve">271 </w:t>
      </w:r>
      <w:r w:rsidRPr="00894701">
        <w:rPr>
          <w:rFonts w:cs="Arial"/>
          <w:color w:val="auto"/>
          <w:sz w:val="20"/>
        </w:rPr>
        <w:t xml:space="preserve">million and </w:t>
      </w:r>
      <w:r w:rsidR="005E4BB6" w:rsidRPr="00894701">
        <w:rPr>
          <w:rFonts w:cs="Arial"/>
          <w:color w:val="auto"/>
          <w:sz w:val="20"/>
        </w:rPr>
        <w:t>USD</w:t>
      </w:r>
      <w:r w:rsidRPr="00894701">
        <w:rPr>
          <w:rFonts w:cs="Arial"/>
          <w:color w:val="auto"/>
          <w:sz w:val="20"/>
        </w:rPr>
        <w:t xml:space="preserve"> </w:t>
      </w:r>
      <w:r w:rsidR="005E4BB6" w:rsidRPr="00894701">
        <w:rPr>
          <w:rFonts w:cs="Arial"/>
          <w:color w:val="auto"/>
          <w:sz w:val="20"/>
        </w:rPr>
        <w:t xml:space="preserve">291 </w:t>
      </w:r>
      <w:r w:rsidRPr="00894701">
        <w:rPr>
          <w:rFonts w:cs="Arial"/>
          <w:color w:val="auto"/>
          <w:sz w:val="20"/>
        </w:rPr>
        <w:t xml:space="preserve">million accounting for </w:t>
      </w:r>
      <w:r w:rsidR="005E4BB6" w:rsidRPr="00894701">
        <w:rPr>
          <w:rFonts w:cs="Arial"/>
          <w:color w:val="auto"/>
          <w:sz w:val="20"/>
        </w:rPr>
        <w:t xml:space="preserve">16.3%, 12.9% and 13.8% </w:t>
      </w:r>
      <w:r w:rsidRPr="00894701">
        <w:rPr>
          <w:rFonts w:cs="Arial"/>
          <w:color w:val="auto"/>
          <w:sz w:val="20"/>
        </w:rPr>
        <w:t>of the total exports of the country.</w:t>
      </w:r>
    </w:p>
    <w:p w14:paraId="010D6812" w14:textId="58BFFBAE" w:rsidR="0038288E" w:rsidRPr="00894701" w:rsidRDefault="00890E82" w:rsidP="00B226CF">
      <w:pPr>
        <w:spacing w:after="240"/>
        <w:jc w:val="both"/>
        <w:rPr>
          <w:rFonts w:cs="Arial"/>
          <w:color w:val="auto"/>
          <w:sz w:val="20"/>
        </w:rPr>
      </w:pPr>
      <w:r w:rsidRPr="00894701">
        <w:rPr>
          <w:rFonts w:cs="Arial"/>
          <w:color w:val="auto"/>
          <w:sz w:val="20"/>
        </w:rPr>
        <w:lastRenderedPageBreak/>
        <w:t>Companies reported</w:t>
      </w:r>
      <w:r w:rsidR="00E57266" w:rsidRPr="00894701">
        <w:rPr>
          <w:rFonts w:cs="Arial"/>
          <w:color w:val="auto"/>
          <w:sz w:val="20"/>
        </w:rPr>
        <w:t xml:space="preserve"> </w:t>
      </w:r>
      <w:r w:rsidR="0019705E" w:rsidRPr="00894701">
        <w:rPr>
          <w:rFonts w:cs="Arial"/>
          <w:color w:val="auto"/>
          <w:sz w:val="20"/>
        </w:rPr>
        <w:t>306,852 individuals</w:t>
      </w:r>
      <w:r w:rsidR="00E57266" w:rsidRPr="00894701">
        <w:rPr>
          <w:rFonts w:cs="Arial"/>
          <w:color w:val="auto"/>
          <w:sz w:val="20"/>
        </w:rPr>
        <w:t xml:space="preserve"> employed in Suriname, of whom 1,906 were employed in the mining sector, representing 0.62% of the total employment in the FY 2018. </w:t>
      </w:r>
    </w:p>
    <w:p w14:paraId="63B122D3" w14:textId="158FC7F7" w:rsidR="00890E82" w:rsidRPr="00894701" w:rsidRDefault="00FC4C5C" w:rsidP="00B226CF">
      <w:pPr>
        <w:spacing w:after="240"/>
        <w:jc w:val="both"/>
        <w:rPr>
          <w:rFonts w:cs="Arial"/>
          <w:color w:val="auto"/>
          <w:sz w:val="20"/>
        </w:rPr>
      </w:pPr>
      <w:r>
        <w:rPr>
          <w:rFonts w:cs="Arial"/>
          <w:color w:val="auto"/>
          <w:sz w:val="20"/>
        </w:rPr>
        <w:t>The d</w:t>
      </w:r>
      <w:r w:rsidR="00890E82" w:rsidRPr="00894701">
        <w:rPr>
          <w:rFonts w:cs="Arial"/>
          <w:color w:val="auto"/>
          <w:sz w:val="20"/>
        </w:rPr>
        <w:t>etailed contribution to Suriname’s economy is presented in Section 3.19 of this report.</w:t>
      </w:r>
    </w:p>
    <w:p w14:paraId="7A5E186F" w14:textId="77777777" w:rsidR="0038288E" w:rsidRPr="00894701" w:rsidRDefault="0038288E" w:rsidP="003451D6">
      <w:pPr>
        <w:pStyle w:val="ListParagraph"/>
        <w:numPr>
          <w:ilvl w:val="1"/>
          <w:numId w:val="7"/>
        </w:numPr>
        <w:spacing w:before="240" w:after="240"/>
        <w:ind w:left="851" w:right="482" w:hanging="851"/>
        <w:outlineLvl w:val="1"/>
        <w:rPr>
          <w:b/>
          <w:sz w:val="28"/>
          <w:szCs w:val="28"/>
        </w:rPr>
      </w:pPr>
      <w:bookmarkStart w:id="36" w:name="_Toc104555377"/>
      <w:bookmarkStart w:id="37" w:name="_Toc122478834"/>
      <w:r w:rsidRPr="00894701">
        <w:rPr>
          <w:b/>
          <w:sz w:val="28"/>
          <w:szCs w:val="28"/>
        </w:rPr>
        <w:t>Production data</w:t>
      </w:r>
      <w:bookmarkEnd w:id="36"/>
      <w:bookmarkEnd w:id="37"/>
    </w:p>
    <w:p w14:paraId="48F303CE" w14:textId="661CA1C9" w:rsidR="00341A7C" w:rsidRPr="00894701" w:rsidRDefault="00117257" w:rsidP="00B226CF">
      <w:pPr>
        <w:jc w:val="both"/>
        <w:rPr>
          <w:rFonts w:cs="Arial"/>
          <w:b/>
          <w:bCs/>
          <w:color w:val="ED1A3B" w:themeColor="accent1"/>
          <w:sz w:val="20"/>
          <w:u w:val="single"/>
        </w:rPr>
      </w:pPr>
      <w:r w:rsidRPr="00894701">
        <w:rPr>
          <w:rFonts w:cs="Arial"/>
          <w:b/>
          <w:bCs/>
          <w:color w:val="ED1A3B" w:themeColor="accent1"/>
          <w:sz w:val="20"/>
          <w:u w:val="single"/>
        </w:rPr>
        <w:t>Oil and gas sector</w:t>
      </w:r>
    </w:p>
    <w:p w14:paraId="53E1203A" w14:textId="10949B50" w:rsidR="000462DF" w:rsidRPr="00894701" w:rsidRDefault="000462DF" w:rsidP="000462DF">
      <w:pPr>
        <w:jc w:val="both"/>
        <w:rPr>
          <w:rFonts w:asciiTheme="majorHAnsi" w:hAnsiTheme="majorHAnsi"/>
          <w:color w:val="auto"/>
          <w:sz w:val="20"/>
          <w:szCs w:val="20"/>
        </w:rPr>
      </w:pPr>
      <w:r w:rsidRPr="00894701">
        <w:rPr>
          <w:rFonts w:asciiTheme="majorHAnsi" w:hAnsiTheme="majorHAnsi"/>
          <w:color w:val="222222"/>
          <w:sz w:val="20"/>
          <w:szCs w:val="20"/>
          <w:shd w:val="clear" w:color="auto" w:fill="FFFFFF"/>
        </w:rPr>
        <w:t>Suriname oil production is led by a State-owned entity</w:t>
      </w:r>
      <w:r w:rsidR="00A933D0">
        <w:rPr>
          <w:rFonts w:asciiTheme="majorHAnsi" w:hAnsiTheme="majorHAnsi"/>
          <w:color w:val="222222"/>
          <w:sz w:val="20"/>
          <w:szCs w:val="20"/>
          <w:shd w:val="clear" w:color="auto" w:fill="FFFFFF"/>
        </w:rPr>
        <w:t>,</w:t>
      </w:r>
      <w:r w:rsidRPr="00894701">
        <w:rPr>
          <w:rFonts w:asciiTheme="majorHAnsi" w:hAnsiTheme="majorHAnsi"/>
          <w:color w:val="222222"/>
          <w:sz w:val="20"/>
          <w:szCs w:val="20"/>
          <w:shd w:val="clear" w:color="auto" w:fill="FFFFFF"/>
        </w:rPr>
        <w:t xml:space="preserve"> Staatsolie</w:t>
      </w:r>
      <w:r w:rsidR="00A933D0">
        <w:rPr>
          <w:rFonts w:asciiTheme="majorHAnsi" w:hAnsiTheme="majorHAnsi"/>
          <w:color w:val="222222"/>
          <w:sz w:val="20"/>
          <w:szCs w:val="20"/>
          <w:shd w:val="clear" w:color="auto" w:fill="FFFFFF"/>
        </w:rPr>
        <w:t>,</w:t>
      </w:r>
      <w:r w:rsidRPr="00894701">
        <w:rPr>
          <w:rFonts w:asciiTheme="majorHAnsi" w:hAnsiTheme="majorHAnsi"/>
          <w:color w:val="auto"/>
          <w:sz w:val="20"/>
          <w:szCs w:val="20"/>
        </w:rPr>
        <w:t xml:space="preserve"> among other production companies such as Petronas Suriname Exploration &amp; production B.V., Kosmos Energy, Tullow Oil Plc, Caprico</w:t>
      </w:r>
      <w:r w:rsidR="007107F8" w:rsidRPr="00894701">
        <w:rPr>
          <w:rFonts w:asciiTheme="majorHAnsi" w:hAnsiTheme="majorHAnsi"/>
          <w:color w:val="auto"/>
          <w:sz w:val="20"/>
          <w:szCs w:val="20"/>
        </w:rPr>
        <w:t>r</w:t>
      </w:r>
      <w:r w:rsidRPr="00894701">
        <w:rPr>
          <w:rFonts w:asciiTheme="majorHAnsi" w:hAnsiTheme="majorHAnsi"/>
          <w:color w:val="auto"/>
          <w:sz w:val="20"/>
          <w:szCs w:val="20"/>
        </w:rPr>
        <w:t>n Energy Plc and Challenger Energy Group Plc. The production in volume and value of oil and gas during 2018, 2019 and 2020 is set out in the table below.</w:t>
      </w:r>
    </w:p>
    <w:p w14:paraId="2B730A59" w14:textId="690CC90B" w:rsidR="00EC45BA" w:rsidRPr="00894701" w:rsidRDefault="00EC45BA" w:rsidP="00B226CF">
      <w:pPr>
        <w:pStyle w:val="BodyTextRed"/>
        <w:jc w:val="center"/>
        <w:rPr>
          <w:b/>
          <w:bCs/>
          <w:color w:val="98002E" w:themeColor="accent3"/>
          <w:sz w:val="20"/>
          <w:szCs w:val="20"/>
        </w:rPr>
      </w:pPr>
      <w:bookmarkStart w:id="38" w:name="_Toc104557653"/>
      <w:bookmarkStart w:id="39" w:name="_Toc146590477"/>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5</w:t>
      </w:r>
      <w:r w:rsidRPr="00894701">
        <w:rPr>
          <w:b/>
          <w:bCs/>
          <w:color w:val="98002E" w:themeColor="accent3"/>
          <w:sz w:val="20"/>
          <w:szCs w:val="20"/>
        </w:rPr>
        <w:fldChar w:fldCharType="end"/>
      </w:r>
      <w:r w:rsidRPr="00894701">
        <w:rPr>
          <w:b/>
          <w:bCs/>
          <w:color w:val="98002E" w:themeColor="accent3"/>
          <w:sz w:val="20"/>
          <w:szCs w:val="20"/>
        </w:rPr>
        <w:t>: Oil production data reported for the fiscal year</w:t>
      </w:r>
      <w:r w:rsidR="00175A32" w:rsidRPr="00894701">
        <w:rPr>
          <w:b/>
          <w:bCs/>
          <w:color w:val="98002E" w:themeColor="accent3"/>
          <w:sz w:val="20"/>
          <w:szCs w:val="20"/>
        </w:rPr>
        <w:t>s</w:t>
      </w:r>
      <w:r w:rsidRPr="00894701">
        <w:rPr>
          <w:b/>
          <w:bCs/>
          <w:color w:val="98002E" w:themeColor="accent3"/>
          <w:sz w:val="20"/>
          <w:szCs w:val="20"/>
        </w:rPr>
        <w:t xml:space="preserve"> </w:t>
      </w:r>
      <w:r w:rsidR="00175A32" w:rsidRPr="00894701">
        <w:rPr>
          <w:b/>
          <w:bCs/>
          <w:color w:val="98002E" w:themeColor="accent3"/>
          <w:sz w:val="20"/>
          <w:szCs w:val="20"/>
        </w:rPr>
        <w:t xml:space="preserve">2018, </w:t>
      </w:r>
      <w:r w:rsidRPr="00894701">
        <w:rPr>
          <w:b/>
          <w:bCs/>
          <w:color w:val="98002E" w:themeColor="accent3"/>
          <w:sz w:val="20"/>
          <w:szCs w:val="20"/>
        </w:rPr>
        <w:t>2019</w:t>
      </w:r>
      <w:bookmarkEnd w:id="38"/>
      <w:r w:rsidRPr="00894701">
        <w:rPr>
          <w:b/>
          <w:bCs/>
          <w:color w:val="98002E" w:themeColor="accent3"/>
          <w:sz w:val="20"/>
          <w:szCs w:val="20"/>
        </w:rPr>
        <w:t xml:space="preserve"> </w:t>
      </w:r>
      <w:r w:rsidR="00175A32" w:rsidRPr="00894701">
        <w:rPr>
          <w:b/>
          <w:bCs/>
          <w:color w:val="98002E" w:themeColor="accent3"/>
          <w:sz w:val="20"/>
          <w:szCs w:val="20"/>
        </w:rPr>
        <w:t>and 2020</w:t>
      </w:r>
      <w:bookmarkEnd w:id="39"/>
    </w:p>
    <w:tbl>
      <w:tblPr>
        <w:tblW w:w="5000" w:type="pct"/>
        <w:tblLayout w:type="fixed"/>
        <w:tblLook w:val="04A0" w:firstRow="1" w:lastRow="0" w:firstColumn="1" w:lastColumn="0" w:noHBand="0" w:noVBand="1"/>
      </w:tblPr>
      <w:tblGrid>
        <w:gridCol w:w="1051"/>
        <w:gridCol w:w="1075"/>
        <w:gridCol w:w="1441"/>
        <w:gridCol w:w="1307"/>
        <w:gridCol w:w="1455"/>
        <w:gridCol w:w="1327"/>
        <w:gridCol w:w="1394"/>
      </w:tblGrid>
      <w:tr w:rsidR="00E205FB" w:rsidRPr="00894701" w14:paraId="10B1B85F" w14:textId="77777777" w:rsidTr="007426C6">
        <w:trPr>
          <w:trHeight w:val="270"/>
        </w:trPr>
        <w:tc>
          <w:tcPr>
            <w:tcW w:w="581" w:type="pct"/>
            <w:vMerge w:val="restart"/>
            <w:tcBorders>
              <w:top w:val="nil"/>
              <w:left w:val="nil"/>
              <w:bottom w:val="single" w:sz="12" w:space="0" w:color="FF0000"/>
              <w:right w:val="single" w:sz="8" w:space="0" w:color="FF0000"/>
            </w:tcBorders>
            <w:shd w:val="clear" w:color="000000" w:fill="7A091A"/>
            <w:noWrap/>
            <w:tcMar>
              <w:left w:w="28" w:type="dxa"/>
              <w:right w:w="28" w:type="dxa"/>
            </w:tcMar>
            <w:vAlign w:val="center"/>
            <w:hideMark/>
          </w:tcPr>
          <w:p w14:paraId="4AF56E1C" w14:textId="77777777" w:rsidR="00E205FB" w:rsidRPr="00894701" w:rsidRDefault="00E205FB" w:rsidP="00E205FB">
            <w:pPr>
              <w:spacing w:after="0" w:line="240" w:lineRule="auto"/>
              <w:rPr>
                <w:b/>
                <w:bCs/>
                <w:color w:val="FFFFFF"/>
                <w:kern w:val="0"/>
                <w:sz w:val="16"/>
                <w:szCs w:val="16"/>
              </w:rPr>
            </w:pPr>
            <w:r w:rsidRPr="00894701">
              <w:rPr>
                <w:b/>
                <w:bCs/>
                <w:color w:val="FFFFFF"/>
                <w:kern w:val="0"/>
                <w:sz w:val="16"/>
                <w:szCs w:val="16"/>
              </w:rPr>
              <w:t>Description</w:t>
            </w:r>
          </w:p>
        </w:tc>
        <w:tc>
          <w:tcPr>
            <w:tcW w:w="1390" w:type="pct"/>
            <w:gridSpan w:val="2"/>
            <w:tcBorders>
              <w:top w:val="nil"/>
              <w:left w:val="nil"/>
              <w:bottom w:val="single" w:sz="8" w:space="0" w:color="FF0000"/>
              <w:right w:val="single" w:sz="8" w:space="0" w:color="FF0000"/>
            </w:tcBorders>
            <w:shd w:val="clear" w:color="000000" w:fill="7A091A"/>
            <w:vAlign w:val="center"/>
            <w:hideMark/>
          </w:tcPr>
          <w:p w14:paraId="448DFA25" w14:textId="77777777" w:rsidR="00E205FB" w:rsidRPr="00894701" w:rsidRDefault="00E205FB" w:rsidP="00E205FB">
            <w:pPr>
              <w:spacing w:after="0" w:line="240" w:lineRule="auto"/>
              <w:jc w:val="center"/>
              <w:rPr>
                <w:b/>
                <w:bCs/>
                <w:color w:val="FFFFFF"/>
                <w:kern w:val="0"/>
                <w:sz w:val="16"/>
                <w:szCs w:val="16"/>
              </w:rPr>
            </w:pPr>
            <w:r w:rsidRPr="00894701">
              <w:rPr>
                <w:b/>
                <w:bCs/>
                <w:color w:val="FFFFFF"/>
                <w:kern w:val="0"/>
                <w:sz w:val="16"/>
                <w:szCs w:val="16"/>
              </w:rPr>
              <w:t>2018</w:t>
            </w:r>
          </w:p>
        </w:tc>
        <w:tc>
          <w:tcPr>
            <w:tcW w:w="1526" w:type="pct"/>
            <w:gridSpan w:val="2"/>
            <w:tcBorders>
              <w:top w:val="nil"/>
              <w:left w:val="nil"/>
              <w:bottom w:val="single" w:sz="8" w:space="0" w:color="FF0000"/>
              <w:right w:val="single" w:sz="8" w:space="0" w:color="FF0000"/>
            </w:tcBorders>
            <w:shd w:val="clear" w:color="000000" w:fill="7A091A"/>
            <w:vAlign w:val="center"/>
            <w:hideMark/>
          </w:tcPr>
          <w:p w14:paraId="15C22C58" w14:textId="77777777" w:rsidR="00E205FB" w:rsidRPr="00894701" w:rsidRDefault="00E205FB" w:rsidP="00E205FB">
            <w:pPr>
              <w:spacing w:after="0" w:line="240" w:lineRule="auto"/>
              <w:jc w:val="center"/>
              <w:rPr>
                <w:b/>
                <w:bCs/>
                <w:color w:val="FFFFFF"/>
                <w:kern w:val="0"/>
                <w:sz w:val="16"/>
                <w:szCs w:val="16"/>
              </w:rPr>
            </w:pPr>
            <w:r w:rsidRPr="00894701">
              <w:rPr>
                <w:b/>
                <w:bCs/>
                <w:color w:val="FFFFFF"/>
                <w:kern w:val="0"/>
                <w:sz w:val="16"/>
                <w:szCs w:val="16"/>
              </w:rPr>
              <w:t>2019</w:t>
            </w:r>
          </w:p>
        </w:tc>
        <w:tc>
          <w:tcPr>
            <w:tcW w:w="1503" w:type="pct"/>
            <w:gridSpan w:val="2"/>
            <w:tcBorders>
              <w:top w:val="nil"/>
              <w:left w:val="nil"/>
              <w:bottom w:val="single" w:sz="8" w:space="0" w:color="FF0000"/>
              <w:right w:val="nil"/>
            </w:tcBorders>
            <w:shd w:val="clear" w:color="000000" w:fill="7A091A"/>
            <w:vAlign w:val="center"/>
            <w:hideMark/>
          </w:tcPr>
          <w:p w14:paraId="552BE9B5" w14:textId="77777777" w:rsidR="00E205FB" w:rsidRPr="00894701" w:rsidRDefault="00E205FB" w:rsidP="00E205FB">
            <w:pPr>
              <w:spacing w:after="0" w:line="240" w:lineRule="auto"/>
              <w:jc w:val="center"/>
              <w:rPr>
                <w:b/>
                <w:bCs/>
                <w:color w:val="FFFFFF"/>
                <w:kern w:val="0"/>
                <w:sz w:val="16"/>
                <w:szCs w:val="16"/>
              </w:rPr>
            </w:pPr>
            <w:r w:rsidRPr="00894701">
              <w:rPr>
                <w:b/>
                <w:bCs/>
                <w:color w:val="FFFFFF"/>
                <w:kern w:val="0"/>
                <w:sz w:val="16"/>
                <w:szCs w:val="16"/>
              </w:rPr>
              <w:t>2020</w:t>
            </w:r>
          </w:p>
        </w:tc>
      </w:tr>
      <w:tr w:rsidR="00B226CF" w:rsidRPr="00894701" w14:paraId="6FCC401F" w14:textId="77777777" w:rsidTr="00B226CF">
        <w:trPr>
          <w:trHeight w:val="510"/>
        </w:trPr>
        <w:tc>
          <w:tcPr>
            <w:tcW w:w="581" w:type="pct"/>
            <w:vMerge/>
            <w:tcBorders>
              <w:top w:val="nil"/>
              <w:left w:val="nil"/>
              <w:bottom w:val="single" w:sz="12" w:space="0" w:color="FF0000"/>
              <w:right w:val="single" w:sz="8" w:space="0" w:color="FF0000"/>
            </w:tcBorders>
            <w:vAlign w:val="center"/>
            <w:hideMark/>
          </w:tcPr>
          <w:p w14:paraId="0CFAD268" w14:textId="77777777" w:rsidR="00E205FB" w:rsidRPr="00894701" w:rsidRDefault="00E205FB" w:rsidP="00E205FB">
            <w:pPr>
              <w:spacing w:after="0" w:line="240" w:lineRule="auto"/>
              <w:rPr>
                <w:b/>
                <w:bCs/>
                <w:color w:val="FFFFFF"/>
                <w:kern w:val="0"/>
                <w:sz w:val="16"/>
                <w:szCs w:val="16"/>
              </w:rPr>
            </w:pPr>
          </w:p>
        </w:tc>
        <w:tc>
          <w:tcPr>
            <w:tcW w:w="594" w:type="pct"/>
            <w:tcBorders>
              <w:top w:val="single" w:sz="8" w:space="0" w:color="FF0000"/>
              <w:left w:val="nil"/>
              <w:bottom w:val="single" w:sz="8" w:space="0" w:color="FF0000"/>
            </w:tcBorders>
            <w:shd w:val="clear" w:color="000000" w:fill="7A091A"/>
            <w:vAlign w:val="bottom"/>
            <w:hideMark/>
          </w:tcPr>
          <w:p w14:paraId="0D66949C" w14:textId="098E64AB" w:rsidR="00E205FB" w:rsidRPr="00894701" w:rsidRDefault="00E205FB" w:rsidP="00E205FB">
            <w:pPr>
              <w:spacing w:after="0" w:line="240" w:lineRule="auto"/>
              <w:jc w:val="center"/>
              <w:rPr>
                <w:b/>
                <w:bCs/>
                <w:color w:val="FFFFFF"/>
                <w:kern w:val="0"/>
                <w:sz w:val="16"/>
                <w:szCs w:val="16"/>
              </w:rPr>
            </w:pPr>
            <w:r w:rsidRPr="00894701">
              <w:rPr>
                <w:b/>
                <w:bCs/>
                <w:color w:val="FFFFFF"/>
                <w:kern w:val="0"/>
                <w:sz w:val="16"/>
                <w:szCs w:val="16"/>
              </w:rPr>
              <w:t>(In million Barrels)</w:t>
            </w:r>
            <w:r w:rsidR="000B63FB" w:rsidRPr="00894701">
              <w:rPr>
                <w:b/>
                <w:bCs/>
                <w:color w:val="FFFFFF"/>
                <w:kern w:val="0"/>
                <w:sz w:val="16"/>
                <w:szCs w:val="16"/>
              </w:rPr>
              <w:t>(</w:t>
            </w:r>
            <w:r w:rsidRPr="00894701">
              <w:rPr>
                <w:b/>
                <w:bCs/>
                <w:color w:val="FFFFFF"/>
                <w:kern w:val="0"/>
                <w:sz w:val="16"/>
                <w:szCs w:val="16"/>
              </w:rPr>
              <w:t>*</w:t>
            </w:r>
            <w:r w:rsidR="000B63FB" w:rsidRPr="00894701">
              <w:rPr>
                <w:b/>
                <w:bCs/>
                <w:color w:val="FFFFFF"/>
                <w:kern w:val="0"/>
                <w:sz w:val="16"/>
                <w:szCs w:val="16"/>
              </w:rPr>
              <w:t>)</w:t>
            </w:r>
          </w:p>
        </w:tc>
        <w:tc>
          <w:tcPr>
            <w:tcW w:w="796" w:type="pct"/>
            <w:tcBorders>
              <w:top w:val="single" w:sz="8" w:space="0" w:color="FF0000"/>
              <w:bottom w:val="single" w:sz="8" w:space="0" w:color="FF0000"/>
              <w:right w:val="single" w:sz="8" w:space="0" w:color="FF0000"/>
            </w:tcBorders>
            <w:shd w:val="clear" w:color="000000" w:fill="7A091A"/>
            <w:vAlign w:val="bottom"/>
            <w:hideMark/>
          </w:tcPr>
          <w:p w14:paraId="335FDA52" w14:textId="2800E173" w:rsidR="00E205FB" w:rsidRPr="00894701" w:rsidRDefault="00E205FB" w:rsidP="00E205FB">
            <w:pPr>
              <w:spacing w:after="0" w:line="240" w:lineRule="auto"/>
              <w:jc w:val="center"/>
              <w:rPr>
                <w:b/>
                <w:bCs/>
                <w:color w:val="FFFFFF"/>
                <w:kern w:val="0"/>
                <w:sz w:val="16"/>
                <w:szCs w:val="16"/>
              </w:rPr>
            </w:pPr>
            <w:r w:rsidRPr="00894701">
              <w:rPr>
                <w:b/>
                <w:bCs/>
                <w:color w:val="FFFFFF"/>
                <w:kern w:val="0"/>
                <w:sz w:val="16"/>
                <w:szCs w:val="16"/>
              </w:rPr>
              <w:t>Value</w:t>
            </w:r>
            <w:r w:rsidRPr="00894701">
              <w:rPr>
                <w:b/>
                <w:bCs/>
                <w:color w:val="FFFFFF"/>
                <w:kern w:val="0"/>
                <w:sz w:val="16"/>
                <w:szCs w:val="16"/>
              </w:rPr>
              <w:br/>
              <w:t xml:space="preserve">(In million </w:t>
            </w:r>
            <w:r w:rsidR="00810FE3">
              <w:rPr>
                <w:b/>
                <w:bCs/>
                <w:color w:val="FFFFFF"/>
                <w:kern w:val="0"/>
                <w:sz w:val="16"/>
                <w:szCs w:val="16"/>
              </w:rPr>
              <w:t>U</w:t>
            </w:r>
            <w:r w:rsidRPr="00894701">
              <w:rPr>
                <w:b/>
                <w:bCs/>
                <w:color w:val="FFFFFF"/>
                <w:kern w:val="0"/>
                <w:sz w:val="16"/>
                <w:szCs w:val="16"/>
              </w:rPr>
              <w:t>SD)</w:t>
            </w:r>
            <w:r w:rsidR="000B63FB" w:rsidRPr="00894701">
              <w:rPr>
                <w:b/>
                <w:bCs/>
                <w:color w:val="FFFFFF"/>
                <w:kern w:val="0"/>
                <w:sz w:val="16"/>
                <w:szCs w:val="16"/>
              </w:rPr>
              <w:t>(</w:t>
            </w:r>
            <w:r w:rsidRPr="00894701">
              <w:rPr>
                <w:b/>
                <w:bCs/>
                <w:color w:val="FFFFFF"/>
                <w:kern w:val="0"/>
                <w:sz w:val="16"/>
                <w:szCs w:val="16"/>
              </w:rPr>
              <w:t>**</w:t>
            </w:r>
            <w:r w:rsidR="000B63FB" w:rsidRPr="00894701">
              <w:rPr>
                <w:b/>
                <w:bCs/>
                <w:color w:val="FFFFFF"/>
                <w:kern w:val="0"/>
                <w:sz w:val="16"/>
                <w:szCs w:val="16"/>
              </w:rPr>
              <w:t>)</w:t>
            </w:r>
          </w:p>
        </w:tc>
        <w:tc>
          <w:tcPr>
            <w:tcW w:w="722" w:type="pct"/>
            <w:tcBorders>
              <w:top w:val="single" w:sz="8" w:space="0" w:color="FF0000"/>
              <w:left w:val="nil"/>
              <w:bottom w:val="single" w:sz="8" w:space="0" w:color="FF0000"/>
            </w:tcBorders>
            <w:shd w:val="clear" w:color="000000" w:fill="7A091A"/>
            <w:vAlign w:val="bottom"/>
            <w:hideMark/>
          </w:tcPr>
          <w:p w14:paraId="7F4757B9" w14:textId="4FA47235" w:rsidR="00E205FB" w:rsidRPr="00894701" w:rsidRDefault="00E205FB" w:rsidP="00E205FB">
            <w:pPr>
              <w:spacing w:after="0" w:line="240" w:lineRule="auto"/>
              <w:jc w:val="center"/>
              <w:rPr>
                <w:b/>
                <w:bCs/>
                <w:color w:val="FFFFFF"/>
                <w:kern w:val="0"/>
                <w:sz w:val="16"/>
                <w:szCs w:val="16"/>
              </w:rPr>
            </w:pPr>
            <w:r w:rsidRPr="00894701">
              <w:rPr>
                <w:b/>
                <w:bCs/>
                <w:color w:val="FFFFFF"/>
                <w:kern w:val="0"/>
                <w:sz w:val="16"/>
                <w:szCs w:val="16"/>
              </w:rPr>
              <w:t>(In million Barrels)</w:t>
            </w:r>
            <w:r w:rsidR="000B63FB" w:rsidRPr="00894701">
              <w:rPr>
                <w:b/>
                <w:bCs/>
                <w:color w:val="FFFFFF"/>
                <w:kern w:val="0"/>
                <w:sz w:val="16"/>
                <w:szCs w:val="16"/>
              </w:rPr>
              <w:t>(</w:t>
            </w:r>
            <w:r w:rsidRPr="00894701">
              <w:rPr>
                <w:b/>
                <w:bCs/>
                <w:color w:val="FFFFFF"/>
                <w:kern w:val="0"/>
                <w:sz w:val="16"/>
                <w:szCs w:val="16"/>
              </w:rPr>
              <w:t>*</w:t>
            </w:r>
            <w:r w:rsidR="000B63FB" w:rsidRPr="00894701">
              <w:rPr>
                <w:b/>
                <w:bCs/>
                <w:color w:val="FFFFFF"/>
                <w:kern w:val="0"/>
                <w:sz w:val="16"/>
                <w:szCs w:val="16"/>
              </w:rPr>
              <w:t>)</w:t>
            </w:r>
          </w:p>
        </w:tc>
        <w:tc>
          <w:tcPr>
            <w:tcW w:w="804" w:type="pct"/>
            <w:tcBorders>
              <w:top w:val="single" w:sz="8" w:space="0" w:color="FF0000"/>
              <w:bottom w:val="single" w:sz="8" w:space="0" w:color="FF0000"/>
              <w:right w:val="single" w:sz="8" w:space="0" w:color="FF0000"/>
            </w:tcBorders>
            <w:shd w:val="clear" w:color="000000" w:fill="7A091A"/>
            <w:vAlign w:val="bottom"/>
            <w:hideMark/>
          </w:tcPr>
          <w:p w14:paraId="6EFD4F89" w14:textId="44D5B685" w:rsidR="00E205FB" w:rsidRPr="00894701" w:rsidRDefault="00E205FB" w:rsidP="00E205FB">
            <w:pPr>
              <w:spacing w:after="0" w:line="240" w:lineRule="auto"/>
              <w:jc w:val="center"/>
              <w:rPr>
                <w:b/>
                <w:bCs/>
                <w:color w:val="FFFFFF"/>
                <w:kern w:val="0"/>
                <w:sz w:val="16"/>
                <w:szCs w:val="16"/>
              </w:rPr>
            </w:pPr>
            <w:r w:rsidRPr="00894701">
              <w:rPr>
                <w:b/>
                <w:bCs/>
                <w:color w:val="FFFFFF"/>
                <w:kern w:val="0"/>
                <w:sz w:val="16"/>
                <w:szCs w:val="16"/>
              </w:rPr>
              <w:t>Value</w:t>
            </w:r>
            <w:r w:rsidRPr="00894701">
              <w:rPr>
                <w:b/>
                <w:bCs/>
                <w:color w:val="FFFFFF"/>
                <w:kern w:val="0"/>
                <w:sz w:val="16"/>
                <w:szCs w:val="16"/>
              </w:rPr>
              <w:br/>
              <w:t xml:space="preserve">(In million </w:t>
            </w:r>
            <w:r w:rsidR="00810FE3">
              <w:rPr>
                <w:b/>
                <w:bCs/>
                <w:color w:val="FFFFFF"/>
                <w:kern w:val="0"/>
                <w:sz w:val="16"/>
                <w:szCs w:val="16"/>
              </w:rPr>
              <w:t>U</w:t>
            </w:r>
            <w:r w:rsidRPr="00894701">
              <w:rPr>
                <w:b/>
                <w:bCs/>
                <w:color w:val="FFFFFF"/>
                <w:kern w:val="0"/>
                <w:sz w:val="16"/>
                <w:szCs w:val="16"/>
              </w:rPr>
              <w:t>SD)</w:t>
            </w:r>
            <w:r w:rsidR="000B63FB" w:rsidRPr="00894701">
              <w:rPr>
                <w:b/>
                <w:bCs/>
                <w:color w:val="FFFFFF"/>
                <w:kern w:val="0"/>
                <w:sz w:val="16"/>
                <w:szCs w:val="16"/>
              </w:rPr>
              <w:t>(</w:t>
            </w:r>
            <w:r w:rsidRPr="00894701">
              <w:rPr>
                <w:b/>
                <w:bCs/>
                <w:color w:val="FFFFFF"/>
                <w:kern w:val="0"/>
                <w:sz w:val="16"/>
                <w:szCs w:val="16"/>
              </w:rPr>
              <w:t>**</w:t>
            </w:r>
            <w:r w:rsidR="000B63FB" w:rsidRPr="00894701">
              <w:rPr>
                <w:b/>
                <w:bCs/>
                <w:color w:val="FFFFFF"/>
                <w:kern w:val="0"/>
                <w:sz w:val="16"/>
                <w:szCs w:val="16"/>
              </w:rPr>
              <w:t>)</w:t>
            </w:r>
          </w:p>
        </w:tc>
        <w:tc>
          <w:tcPr>
            <w:tcW w:w="733" w:type="pct"/>
            <w:tcBorders>
              <w:top w:val="single" w:sz="8" w:space="0" w:color="FF0000"/>
              <w:left w:val="nil"/>
              <w:bottom w:val="single" w:sz="8" w:space="0" w:color="FF0000"/>
            </w:tcBorders>
            <w:shd w:val="clear" w:color="000000" w:fill="7A091A"/>
            <w:vAlign w:val="bottom"/>
            <w:hideMark/>
          </w:tcPr>
          <w:p w14:paraId="06E13A60" w14:textId="108CA530" w:rsidR="00E205FB" w:rsidRPr="00894701" w:rsidRDefault="00E205FB" w:rsidP="00E205FB">
            <w:pPr>
              <w:spacing w:after="0" w:line="240" w:lineRule="auto"/>
              <w:jc w:val="center"/>
              <w:rPr>
                <w:b/>
                <w:bCs/>
                <w:color w:val="FFFFFF"/>
                <w:kern w:val="0"/>
                <w:sz w:val="16"/>
                <w:szCs w:val="16"/>
              </w:rPr>
            </w:pPr>
            <w:r w:rsidRPr="00894701">
              <w:rPr>
                <w:b/>
                <w:bCs/>
                <w:color w:val="FFFFFF"/>
                <w:kern w:val="0"/>
                <w:sz w:val="16"/>
                <w:szCs w:val="16"/>
              </w:rPr>
              <w:t>(In million Barrels)</w:t>
            </w:r>
            <w:r w:rsidR="000B63FB" w:rsidRPr="00894701">
              <w:rPr>
                <w:b/>
                <w:bCs/>
                <w:color w:val="FFFFFF"/>
                <w:kern w:val="0"/>
                <w:sz w:val="16"/>
                <w:szCs w:val="16"/>
              </w:rPr>
              <w:t>(</w:t>
            </w:r>
            <w:r w:rsidRPr="00894701">
              <w:rPr>
                <w:b/>
                <w:bCs/>
                <w:color w:val="FFFFFF"/>
                <w:kern w:val="0"/>
                <w:sz w:val="16"/>
                <w:szCs w:val="16"/>
              </w:rPr>
              <w:t>*</w:t>
            </w:r>
            <w:r w:rsidR="000B63FB" w:rsidRPr="00894701">
              <w:rPr>
                <w:b/>
                <w:bCs/>
                <w:color w:val="FFFFFF"/>
                <w:kern w:val="0"/>
                <w:sz w:val="16"/>
                <w:szCs w:val="16"/>
              </w:rPr>
              <w:t>)</w:t>
            </w:r>
          </w:p>
        </w:tc>
        <w:tc>
          <w:tcPr>
            <w:tcW w:w="770" w:type="pct"/>
            <w:tcBorders>
              <w:top w:val="single" w:sz="8" w:space="0" w:color="FF0000"/>
              <w:bottom w:val="single" w:sz="8" w:space="0" w:color="FF0000"/>
            </w:tcBorders>
            <w:shd w:val="clear" w:color="000000" w:fill="7A091A"/>
            <w:vAlign w:val="bottom"/>
            <w:hideMark/>
          </w:tcPr>
          <w:p w14:paraId="0989353E" w14:textId="5668EDB1" w:rsidR="00E205FB" w:rsidRPr="00894701" w:rsidRDefault="00E205FB" w:rsidP="00E205FB">
            <w:pPr>
              <w:spacing w:after="0" w:line="240" w:lineRule="auto"/>
              <w:jc w:val="center"/>
              <w:rPr>
                <w:b/>
                <w:bCs/>
                <w:color w:val="FFFFFF"/>
                <w:kern w:val="0"/>
                <w:sz w:val="16"/>
                <w:szCs w:val="16"/>
              </w:rPr>
            </w:pPr>
            <w:r w:rsidRPr="00894701">
              <w:rPr>
                <w:b/>
                <w:bCs/>
                <w:color w:val="FFFFFF"/>
                <w:kern w:val="0"/>
                <w:sz w:val="16"/>
                <w:szCs w:val="16"/>
              </w:rPr>
              <w:t>Value</w:t>
            </w:r>
            <w:r w:rsidRPr="00894701">
              <w:rPr>
                <w:b/>
                <w:bCs/>
                <w:color w:val="FFFFFF"/>
                <w:kern w:val="0"/>
                <w:sz w:val="16"/>
                <w:szCs w:val="16"/>
              </w:rPr>
              <w:br/>
              <w:t>(In million SRD)</w:t>
            </w:r>
            <w:r w:rsidR="000B63FB" w:rsidRPr="00894701">
              <w:rPr>
                <w:b/>
                <w:bCs/>
                <w:color w:val="FFFFFF"/>
                <w:kern w:val="0"/>
                <w:sz w:val="16"/>
                <w:szCs w:val="16"/>
              </w:rPr>
              <w:t>(</w:t>
            </w:r>
            <w:r w:rsidRPr="00894701">
              <w:rPr>
                <w:b/>
                <w:bCs/>
                <w:color w:val="FFFFFF"/>
                <w:kern w:val="0"/>
                <w:sz w:val="16"/>
                <w:szCs w:val="16"/>
              </w:rPr>
              <w:t>**</w:t>
            </w:r>
            <w:r w:rsidR="000B63FB" w:rsidRPr="00894701">
              <w:rPr>
                <w:b/>
                <w:bCs/>
                <w:color w:val="FFFFFF"/>
                <w:kern w:val="0"/>
                <w:sz w:val="16"/>
                <w:szCs w:val="16"/>
              </w:rPr>
              <w:t>)</w:t>
            </w:r>
          </w:p>
        </w:tc>
      </w:tr>
      <w:tr w:rsidR="00B226CF" w:rsidRPr="00894701" w14:paraId="622F7A6B" w14:textId="77777777" w:rsidTr="00B226CF">
        <w:trPr>
          <w:trHeight w:val="280"/>
        </w:trPr>
        <w:tc>
          <w:tcPr>
            <w:tcW w:w="581" w:type="pct"/>
            <w:tcBorders>
              <w:top w:val="nil"/>
              <w:left w:val="nil"/>
              <w:bottom w:val="nil"/>
              <w:right w:val="single" w:sz="8" w:space="0" w:color="FF0000"/>
            </w:tcBorders>
            <w:shd w:val="clear" w:color="000000" w:fill="F7A3B0"/>
            <w:noWrap/>
            <w:vAlign w:val="center"/>
            <w:hideMark/>
          </w:tcPr>
          <w:p w14:paraId="09C4D2BC" w14:textId="77777777" w:rsidR="00E205FB" w:rsidRPr="00894701" w:rsidRDefault="00E205FB" w:rsidP="00E205FB">
            <w:pPr>
              <w:spacing w:after="0" w:line="240" w:lineRule="auto"/>
              <w:rPr>
                <w:color w:val="000000"/>
                <w:kern w:val="0"/>
                <w:sz w:val="16"/>
                <w:szCs w:val="16"/>
              </w:rPr>
            </w:pPr>
            <w:r w:rsidRPr="00894701">
              <w:rPr>
                <w:color w:val="000000"/>
                <w:kern w:val="0"/>
                <w:sz w:val="16"/>
                <w:szCs w:val="16"/>
              </w:rPr>
              <w:t xml:space="preserve">Crude oil </w:t>
            </w:r>
          </w:p>
        </w:tc>
        <w:tc>
          <w:tcPr>
            <w:tcW w:w="594" w:type="pct"/>
            <w:tcBorders>
              <w:top w:val="nil"/>
              <w:left w:val="nil"/>
              <w:bottom w:val="nil"/>
              <w:right w:val="nil"/>
            </w:tcBorders>
            <w:shd w:val="clear" w:color="000000" w:fill="F7A3B0"/>
            <w:noWrap/>
            <w:vAlign w:val="bottom"/>
            <w:hideMark/>
          </w:tcPr>
          <w:p w14:paraId="5ED5384F" w14:textId="77777777" w:rsidR="00E205FB" w:rsidRPr="00894701" w:rsidRDefault="00E205FB" w:rsidP="00E205FB">
            <w:pPr>
              <w:spacing w:after="0" w:line="240" w:lineRule="auto"/>
              <w:jc w:val="right"/>
              <w:rPr>
                <w:color w:val="000000"/>
                <w:kern w:val="0"/>
                <w:sz w:val="16"/>
                <w:szCs w:val="16"/>
              </w:rPr>
            </w:pPr>
            <w:r w:rsidRPr="00894701">
              <w:rPr>
                <w:color w:val="000000"/>
                <w:kern w:val="0"/>
                <w:sz w:val="16"/>
                <w:szCs w:val="16"/>
              </w:rPr>
              <w:t>5.98</w:t>
            </w:r>
          </w:p>
        </w:tc>
        <w:tc>
          <w:tcPr>
            <w:tcW w:w="796" w:type="pct"/>
            <w:tcBorders>
              <w:top w:val="nil"/>
              <w:left w:val="nil"/>
              <w:bottom w:val="nil"/>
              <w:right w:val="single" w:sz="8" w:space="0" w:color="FF0000"/>
            </w:tcBorders>
            <w:shd w:val="clear" w:color="000000" w:fill="F7A3B0"/>
            <w:noWrap/>
            <w:vAlign w:val="bottom"/>
            <w:hideMark/>
          </w:tcPr>
          <w:p w14:paraId="34DE0983" w14:textId="55C7D991" w:rsidR="00E205FB" w:rsidRPr="00894701" w:rsidRDefault="00E205FB" w:rsidP="00E205FB">
            <w:pPr>
              <w:spacing w:after="0" w:line="240" w:lineRule="auto"/>
              <w:jc w:val="right"/>
              <w:rPr>
                <w:color w:val="000000"/>
                <w:kern w:val="0"/>
                <w:sz w:val="16"/>
                <w:szCs w:val="16"/>
              </w:rPr>
            </w:pPr>
            <w:r w:rsidRPr="00894701">
              <w:rPr>
                <w:color w:val="000000"/>
                <w:kern w:val="0"/>
                <w:sz w:val="16"/>
                <w:szCs w:val="16"/>
              </w:rPr>
              <w:t xml:space="preserve">         </w:t>
            </w:r>
            <w:r w:rsidR="006C1E2A" w:rsidRPr="006C1E2A">
              <w:rPr>
                <w:color w:val="000000"/>
                <w:kern w:val="0"/>
                <w:sz w:val="16"/>
                <w:szCs w:val="16"/>
              </w:rPr>
              <w:t>447</w:t>
            </w:r>
          </w:p>
        </w:tc>
        <w:tc>
          <w:tcPr>
            <w:tcW w:w="722" w:type="pct"/>
            <w:tcBorders>
              <w:top w:val="nil"/>
              <w:left w:val="nil"/>
              <w:bottom w:val="nil"/>
              <w:right w:val="nil"/>
            </w:tcBorders>
            <w:shd w:val="clear" w:color="000000" w:fill="F7A3B0"/>
            <w:noWrap/>
            <w:vAlign w:val="bottom"/>
            <w:hideMark/>
          </w:tcPr>
          <w:p w14:paraId="451FC620" w14:textId="73AC82BF" w:rsidR="00E205FB" w:rsidRPr="00894701" w:rsidRDefault="00E205FB" w:rsidP="00E205FB">
            <w:pPr>
              <w:spacing w:after="0" w:line="240" w:lineRule="auto"/>
              <w:jc w:val="right"/>
              <w:rPr>
                <w:color w:val="000000"/>
                <w:kern w:val="0"/>
                <w:sz w:val="16"/>
                <w:szCs w:val="16"/>
              </w:rPr>
            </w:pPr>
            <w:r w:rsidRPr="00894701">
              <w:rPr>
                <w:color w:val="000000"/>
                <w:kern w:val="0"/>
                <w:sz w:val="16"/>
                <w:szCs w:val="16"/>
              </w:rPr>
              <w:t>6.1</w:t>
            </w:r>
            <w:r w:rsidR="00EC3AB5" w:rsidRPr="00894701">
              <w:rPr>
                <w:color w:val="000000"/>
                <w:kern w:val="0"/>
                <w:sz w:val="16"/>
                <w:szCs w:val="16"/>
              </w:rPr>
              <w:t>0</w:t>
            </w:r>
          </w:p>
        </w:tc>
        <w:tc>
          <w:tcPr>
            <w:tcW w:w="804" w:type="pct"/>
            <w:tcBorders>
              <w:top w:val="nil"/>
              <w:left w:val="nil"/>
              <w:bottom w:val="nil"/>
              <w:right w:val="single" w:sz="8" w:space="0" w:color="FF0000"/>
            </w:tcBorders>
            <w:shd w:val="clear" w:color="000000" w:fill="F7A3B0"/>
            <w:noWrap/>
            <w:vAlign w:val="bottom"/>
            <w:hideMark/>
          </w:tcPr>
          <w:p w14:paraId="6F0083CD" w14:textId="6EF273ED" w:rsidR="00E205FB" w:rsidRPr="00894701" w:rsidRDefault="00E205FB" w:rsidP="00E205FB">
            <w:pPr>
              <w:spacing w:after="0" w:line="240" w:lineRule="auto"/>
              <w:jc w:val="right"/>
              <w:rPr>
                <w:color w:val="000000"/>
                <w:kern w:val="0"/>
                <w:sz w:val="16"/>
                <w:szCs w:val="16"/>
              </w:rPr>
            </w:pPr>
            <w:r w:rsidRPr="00894701">
              <w:rPr>
                <w:color w:val="000000"/>
                <w:kern w:val="0"/>
                <w:sz w:val="16"/>
                <w:szCs w:val="16"/>
              </w:rPr>
              <w:t xml:space="preserve">            </w:t>
            </w:r>
            <w:r w:rsidR="006C1E2A" w:rsidRPr="006C1E2A">
              <w:rPr>
                <w:color w:val="000000"/>
                <w:kern w:val="0"/>
                <w:sz w:val="16"/>
                <w:szCs w:val="16"/>
              </w:rPr>
              <w:t>441</w:t>
            </w:r>
          </w:p>
        </w:tc>
        <w:tc>
          <w:tcPr>
            <w:tcW w:w="733" w:type="pct"/>
            <w:tcBorders>
              <w:top w:val="nil"/>
              <w:left w:val="nil"/>
              <w:bottom w:val="nil"/>
              <w:right w:val="nil"/>
            </w:tcBorders>
            <w:shd w:val="clear" w:color="000000" w:fill="F7A3B0"/>
            <w:noWrap/>
            <w:vAlign w:val="bottom"/>
            <w:hideMark/>
          </w:tcPr>
          <w:p w14:paraId="01CD48EF" w14:textId="6F255794" w:rsidR="00E205FB" w:rsidRPr="00894701" w:rsidRDefault="00E205FB" w:rsidP="00E205FB">
            <w:pPr>
              <w:spacing w:after="0" w:line="240" w:lineRule="auto"/>
              <w:jc w:val="right"/>
              <w:rPr>
                <w:color w:val="000000"/>
                <w:kern w:val="0"/>
                <w:sz w:val="16"/>
                <w:szCs w:val="16"/>
              </w:rPr>
            </w:pPr>
            <w:r w:rsidRPr="00894701">
              <w:rPr>
                <w:color w:val="000000"/>
                <w:kern w:val="0"/>
                <w:sz w:val="16"/>
                <w:szCs w:val="16"/>
              </w:rPr>
              <w:t xml:space="preserve">             6.00 </w:t>
            </w:r>
          </w:p>
        </w:tc>
        <w:tc>
          <w:tcPr>
            <w:tcW w:w="770" w:type="pct"/>
            <w:tcBorders>
              <w:top w:val="nil"/>
              <w:left w:val="nil"/>
              <w:bottom w:val="nil"/>
              <w:right w:val="nil"/>
            </w:tcBorders>
            <w:shd w:val="clear" w:color="000000" w:fill="F7A3B0"/>
            <w:noWrap/>
            <w:vAlign w:val="bottom"/>
            <w:hideMark/>
          </w:tcPr>
          <w:p w14:paraId="3B73BD3C" w14:textId="66564CA6" w:rsidR="00E205FB" w:rsidRPr="00894701" w:rsidRDefault="00E205FB" w:rsidP="00E205FB">
            <w:pPr>
              <w:spacing w:after="0" w:line="240" w:lineRule="auto"/>
              <w:jc w:val="right"/>
              <w:rPr>
                <w:color w:val="000000"/>
                <w:kern w:val="0"/>
                <w:sz w:val="16"/>
                <w:szCs w:val="16"/>
              </w:rPr>
            </w:pPr>
            <w:r w:rsidRPr="00894701">
              <w:rPr>
                <w:color w:val="000000"/>
                <w:kern w:val="0"/>
                <w:sz w:val="16"/>
                <w:szCs w:val="16"/>
              </w:rPr>
              <w:t xml:space="preserve">       </w:t>
            </w:r>
            <w:r w:rsidR="006C1E2A" w:rsidRPr="006C1E2A">
              <w:rPr>
                <w:color w:val="000000"/>
                <w:kern w:val="0"/>
                <w:sz w:val="16"/>
                <w:szCs w:val="16"/>
              </w:rPr>
              <w:t>311</w:t>
            </w:r>
          </w:p>
        </w:tc>
      </w:tr>
      <w:tr w:rsidR="00B226CF" w:rsidRPr="00894701" w14:paraId="3C95F94F" w14:textId="77777777" w:rsidTr="00B226CF">
        <w:trPr>
          <w:trHeight w:val="280"/>
        </w:trPr>
        <w:tc>
          <w:tcPr>
            <w:tcW w:w="581" w:type="pct"/>
            <w:tcBorders>
              <w:top w:val="nil"/>
              <w:left w:val="nil"/>
              <w:bottom w:val="nil"/>
              <w:right w:val="single" w:sz="8" w:space="0" w:color="FF0000"/>
            </w:tcBorders>
            <w:shd w:val="clear" w:color="000000" w:fill="808080"/>
            <w:noWrap/>
            <w:vAlign w:val="center"/>
            <w:hideMark/>
          </w:tcPr>
          <w:p w14:paraId="255F7E81" w14:textId="77777777" w:rsidR="00E205FB" w:rsidRPr="00894701" w:rsidRDefault="00E205FB" w:rsidP="00E205FB">
            <w:pPr>
              <w:spacing w:after="0" w:line="240" w:lineRule="auto"/>
              <w:rPr>
                <w:b/>
                <w:bCs/>
                <w:color w:val="FFFFFF"/>
                <w:kern w:val="0"/>
                <w:sz w:val="16"/>
                <w:szCs w:val="16"/>
              </w:rPr>
            </w:pPr>
            <w:r w:rsidRPr="00894701">
              <w:rPr>
                <w:b/>
                <w:bCs/>
                <w:color w:val="FFFFFF"/>
                <w:kern w:val="0"/>
                <w:sz w:val="16"/>
                <w:szCs w:val="16"/>
              </w:rPr>
              <w:t>Total</w:t>
            </w:r>
          </w:p>
        </w:tc>
        <w:tc>
          <w:tcPr>
            <w:tcW w:w="594" w:type="pct"/>
            <w:tcBorders>
              <w:top w:val="single" w:sz="12" w:space="0" w:color="FF0000"/>
              <w:left w:val="single" w:sz="8" w:space="0" w:color="FF0000"/>
              <w:bottom w:val="nil"/>
              <w:right w:val="nil"/>
            </w:tcBorders>
            <w:shd w:val="clear" w:color="000000" w:fill="808080"/>
            <w:noWrap/>
            <w:vAlign w:val="bottom"/>
            <w:hideMark/>
          </w:tcPr>
          <w:p w14:paraId="5B84DB3A" w14:textId="6DE3BE2C" w:rsidR="00E205FB" w:rsidRPr="00894701" w:rsidRDefault="00E205FB" w:rsidP="00E205FB">
            <w:pPr>
              <w:spacing w:after="0" w:line="240" w:lineRule="auto"/>
              <w:jc w:val="right"/>
              <w:rPr>
                <w:b/>
                <w:bCs/>
                <w:color w:val="FFFFFF"/>
                <w:kern w:val="0"/>
                <w:sz w:val="16"/>
                <w:szCs w:val="16"/>
              </w:rPr>
            </w:pPr>
          </w:p>
        </w:tc>
        <w:tc>
          <w:tcPr>
            <w:tcW w:w="796" w:type="pct"/>
            <w:tcBorders>
              <w:top w:val="single" w:sz="12" w:space="0" w:color="FF0000"/>
              <w:left w:val="nil"/>
              <w:bottom w:val="nil"/>
              <w:right w:val="single" w:sz="8" w:space="0" w:color="FF0000"/>
            </w:tcBorders>
            <w:shd w:val="clear" w:color="000000" w:fill="808080"/>
            <w:noWrap/>
            <w:vAlign w:val="bottom"/>
            <w:hideMark/>
          </w:tcPr>
          <w:p w14:paraId="12DB1B09" w14:textId="17C75865" w:rsidR="00E205FB" w:rsidRPr="00894701" w:rsidRDefault="006C1E2A" w:rsidP="00E205FB">
            <w:pPr>
              <w:spacing w:after="0" w:line="240" w:lineRule="auto"/>
              <w:jc w:val="right"/>
              <w:rPr>
                <w:b/>
                <w:bCs/>
                <w:color w:val="FFFFFF"/>
                <w:kern w:val="0"/>
                <w:sz w:val="16"/>
                <w:szCs w:val="16"/>
              </w:rPr>
            </w:pPr>
            <w:r w:rsidRPr="006C1E2A">
              <w:rPr>
                <w:b/>
                <w:bCs/>
                <w:color w:val="FFFFFF"/>
                <w:kern w:val="0"/>
                <w:sz w:val="16"/>
                <w:szCs w:val="16"/>
              </w:rPr>
              <w:t>447</w:t>
            </w:r>
          </w:p>
        </w:tc>
        <w:tc>
          <w:tcPr>
            <w:tcW w:w="722" w:type="pct"/>
            <w:tcBorders>
              <w:top w:val="single" w:sz="12" w:space="0" w:color="FF0000"/>
              <w:left w:val="nil"/>
              <w:bottom w:val="nil"/>
              <w:right w:val="nil"/>
            </w:tcBorders>
            <w:shd w:val="clear" w:color="000000" w:fill="808080"/>
            <w:noWrap/>
            <w:vAlign w:val="bottom"/>
            <w:hideMark/>
          </w:tcPr>
          <w:p w14:paraId="7AA8EF60" w14:textId="5503828A" w:rsidR="00E205FB" w:rsidRPr="00894701" w:rsidRDefault="00E205FB" w:rsidP="00E205FB">
            <w:pPr>
              <w:spacing w:after="0" w:line="240" w:lineRule="auto"/>
              <w:jc w:val="right"/>
              <w:rPr>
                <w:b/>
                <w:bCs/>
                <w:color w:val="FFFFFF"/>
                <w:kern w:val="0"/>
                <w:sz w:val="16"/>
                <w:szCs w:val="16"/>
              </w:rPr>
            </w:pPr>
            <w:r w:rsidRPr="00894701">
              <w:rPr>
                <w:b/>
                <w:bCs/>
                <w:color w:val="FFFFFF"/>
                <w:kern w:val="0"/>
                <w:sz w:val="16"/>
                <w:szCs w:val="16"/>
              </w:rPr>
              <w:t xml:space="preserve">              </w:t>
            </w:r>
          </w:p>
        </w:tc>
        <w:tc>
          <w:tcPr>
            <w:tcW w:w="804" w:type="pct"/>
            <w:tcBorders>
              <w:top w:val="single" w:sz="12" w:space="0" w:color="FF0000"/>
              <w:left w:val="nil"/>
              <w:bottom w:val="nil"/>
              <w:right w:val="single" w:sz="8" w:space="0" w:color="FF0000"/>
            </w:tcBorders>
            <w:shd w:val="clear" w:color="000000" w:fill="808080"/>
            <w:noWrap/>
            <w:vAlign w:val="bottom"/>
            <w:hideMark/>
          </w:tcPr>
          <w:p w14:paraId="3DF41E2D" w14:textId="5596D73C" w:rsidR="00E205FB" w:rsidRPr="00894701" w:rsidRDefault="00E205FB" w:rsidP="00E205FB">
            <w:pPr>
              <w:spacing w:after="0" w:line="240" w:lineRule="auto"/>
              <w:jc w:val="right"/>
              <w:rPr>
                <w:b/>
                <w:bCs/>
                <w:color w:val="FFFFFF"/>
                <w:kern w:val="0"/>
                <w:sz w:val="16"/>
                <w:szCs w:val="16"/>
              </w:rPr>
            </w:pPr>
            <w:r w:rsidRPr="00894701">
              <w:rPr>
                <w:b/>
                <w:bCs/>
                <w:color w:val="FFFFFF"/>
                <w:kern w:val="0"/>
                <w:sz w:val="16"/>
                <w:szCs w:val="16"/>
              </w:rPr>
              <w:t xml:space="preserve">           </w:t>
            </w:r>
            <w:r w:rsidR="006C1E2A" w:rsidRPr="006C1E2A">
              <w:rPr>
                <w:b/>
                <w:bCs/>
                <w:color w:val="FFFFFF"/>
                <w:kern w:val="0"/>
                <w:sz w:val="16"/>
                <w:szCs w:val="16"/>
              </w:rPr>
              <w:t>441</w:t>
            </w:r>
          </w:p>
        </w:tc>
        <w:tc>
          <w:tcPr>
            <w:tcW w:w="733" w:type="pct"/>
            <w:tcBorders>
              <w:top w:val="single" w:sz="12" w:space="0" w:color="FF0000"/>
              <w:left w:val="nil"/>
              <w:bottom w:val="nil"/>
              <w:right w:val="nil"/>
            </w:tcBorders>
            <w:shd w:val="clear" w:color="000000" w:fill="808080"/>
            <w:noWrap/>
            <w:vAlign w:val="bottom"/>
            <w:hideMark/>
          </w:tcPr>
          <w:p w14:paraId="59367831" w14:textId="02B3B8FC" w:rsidR="00E205FB" w:rsidRPr="00894701" w:rsidRDefault="00E205FB" w:rsidP="00E205FB">
            <w:pPr>
              <w:spacing w:after="0" w:line="240" w:lineRule="auto"/>
              <w:jc w:val="right"/>
              <w:rPr>
                <w:b/>
                <w:bCs/>
                <w:color w:val="FFFFFF"/>
                <w:kern w:val="0"/>
                <w:sz w:val="16"/>
                <w:szCs w:val="16"/>
              </w:rPr>
            </w:pPr>
            <w:r w:rsidRPr="00894701">
              <w:rPr>
                <w:b/>
                <w:bCs/>
                <w:color w:val="FFFFFF"/>
                <w:kern w:val="0"/>
                <w:sz w:val="16"/>
                <w:szCs w:val="16"/>
              </w:rPr>
              <w:t xml:space="preserve">              </w:t>
            </w:r>
          </w:p>
        </w:tc>
        <w:tc>
          <w:tcPr>
            <w:tcW w:w="770" w:type="pct"/>
            <w:tcBorders>
              <w:top w:val="single" w:sz="12" w:space="0" w:color="FF0000"/>
              <w:left w:val="nil"/>
              <w:bottom w:val="nil"/>
              <w:right w:val="nil"/>
            </w:tcBorders>
            <w:shd w:val="clear" w:color="000000" w:fill="808080"/>
            <w:noWrap/>
            <w:vAlign w:val="bottom"/>
            <w:hideMark/>
          </w:tcPr>
          <w:p w14:paraId="19ADD375" w14:textId="16CBE9A6" w:rsidR="00E205FB" w:rsidRPr="00894701" w:rsidRDefault="00E205FB" w:rsidP="00E205FB">
            <w:pPr>
              <w:spacing w:after="0" w:line="240" w:lineRule="auto"/>
              <w:jc w:val="right"/>
              <w:rPr>
                <w:b/>
                <w:bCs/>
                <w:color w:val="FFFFFF"/>
                <w:kern w:val="0"/>
                <w:sz w:val="16"/>
                <w:szCs w:val="16"/>
              </w:rPr>
            </w:pPr>
            <w:r w:rsidRPr="00894701">
              <w:rPr>
                <w:b/>
                <w:bCs/>
                <w:color w:val="FFFFFF"/>
                <w:kern w:val="0"/>
                <w:sz w:val="16"/>
                <w:szCs w:val="16"/>
              </w:rPr>
              <w:t xml:space="preserve">          </w:t>
            </w:r>
            <w:r w:rsidR="006C1E2A" w:rsidRPr="006C1E2A">
              <w:rPr>
                <w:b/>
                <w:bCs/>
                <w:color w:val="FFFFFF"/>
                <w:kern w:val="0"/>
                <w:sz w:val="16"/>
                <w:szCs w:val="16"/>
              </w:rPr>
              <w:t>311</w:t>
            </w:r>
          </w:p>
        </w:tc>
      </w:tr>
    </w:tbl>
    <w:p w14:paraId="0D29DD92" w14:textId="43CC4EA6" w:rsidR="00E205FB" w:rsidRPr="00894701" w:rsidRDefault="000B63FB" w:rsidP="00B226CF">
      <w:pPr>
        <w:pStyle w:val="BodyText"/>
        <w:spacing w:after="0" w:line="240" w:lineRule="auto"/>
        <w:contextualSpacing/>
        <w:jc w:val="both"/>
        <w:rPr>
          <w:rFonts w:asciiTheme="majorHAnsi" w:hAnsiTheme="majorHAnsi"/>
          <w:i/>
          <w:iCs/>
          <w:color w:val="auto"/>
          <w:sz w:val="16"/>
          <w:szCs w:val="16"/>
        </w:rPr>
      </w:pPr>
      <w:r w:rsidRPr="00894701">
        <w:rPr>
          <w:rFonts w:asciiTheme="majorHAnsi" w:hAnsiTheme="majorHAnsi"/>
          <w:i/>
          <w:iCs/>
          <w:color w:val="auto"/>
          <w:sz w:val="16"/>
          <w:szCs w:val="16"/>
        </w:rPr>
        <w:t xml:space="preserve">(*) </w:t>
      </w:r>
      <w:r w:rsidR="00E205FB" w:rsidRPr="00894701">
        <w:rPr>
          <w:rFonts w:asciiTheme="majorHAnsi" w:hAnsiTheme="majorHAnsi"/>
          <w:i/>
          <w:iCs/>
          <w:color w:val="auto"/>
          <w:sz w:val="16"/>
          <w:szCs w:val="16"/>
        </w:rPr>
        <w:t xml:space="preserve">CBvS </w:t>
      </w:r>
    </w:p>
    <w:p w14:paraId="3983F2EB" w14:textId="53B3C2F9" w:rsidR="00E205FB" w:rsidRPr="00894701" w:rsidRDefault="000B63FB" w:rsidP="00B226CF">
      <w:pPr>
        <w:pStyle w:val="BodyText"/>
        <w:spacing w:after="0" w:line="240" w:lineRule="auto"/>
        <w:contextualSpacing/>
        <w:jc w:val="both"/>
        <w:rPr>
          <w:rFonts w:asciiTheme="majorHAnsi" w:hAnsiTheme="majorHAnsi"/>
          <w:i/>
          <w:iCs/>
          <w:color w:val="auto"/>
          <w:sz w:val="16"/>
          <w:szCs w:val="16"/>
        </w:rPr>
      </w:pPr>
      <w:r w:rsidRPr="00894701">
        <w:rPr>
          <w:rFonts w:asciiTheme="majorHAnsi" w:hAnsiTheme="majorHAnsi"/>
          <w:i/>
          <w:iCs/>
          <w:color w:val="auto"/>
          <w:sz w:val="16"/>
          <w:szCs w:val="16"/>
        </w:rPr>
        <w:t xml:space="preserve">(**) </w:t>
      </w:r>
      <w:r w:rsidR="00810FE3">
        <w:rPr>
          <w:rFonts w:asciiTheme="majorHAnsi" w:hAnsiTheme="majorHAnsi"/>
          <w:i/>
          <w:iCs/>
          <w:color w:val="auto"/>
          <w:sz w:val="16"/>
          <w:szCs w:val="16"/>
        </w:rPr>
        <w:t xml:space="preserve">Source: </w:t>
      </w:r>
      <w:r w:rsidR="00810FE3" w:rsidRPr="00894701">
        <w:rPr>
          <w:rFonts w:asciiTheme="majorHAnsi" w:hAnsiTheme="majorHAnsi"/>
          <w:i/>
          <w:iCs/>
          <w:color w:val="auto"/>
          <w:sz w:val="16"/>
          <w:szCs w:val="16"/>
        </w:rPr>
        <w:t xml:space="preserve">Staatsolie 2020 </w:t>
      </w:r>
      <w:r w:rsidR="00810FE3">
        <w:rPr>
          <w:rFonts w:asciiTheme="majorHAnsi" w:hAnsiTheme="majorHAnsi"/>
          <w:i/>
          <w:iCs/>
          <w:color w:val="auto"/>
          <w:sz w:val="16"/>
          <w:szCs w:val="16"/>
        </w:rPr>
        <w:t xml:space="preserve">and 2019 </w:t>
      </w:r>
      <w:r w:rsidR="00810FE3" w:rsidRPr="00894701">
        <w:rPr>
          <w:rFonts w:asciiTheme="majorHAnsi" w:hAnsiTheme="majorHAnsi"/>
          <w:i/>
          <w:iCs/>
          <w:color w:val="auto"/>
          <w:sz w:val="16"/>
          <w:szCs w:val="16"/>
        </w:rPr>
        <w:t>annual report</w:t>
      </w:r>
      <w:r w:rsidR="00810FE3">
        <w:rPr>
          <w:rFonts w:asciiTheme="majorHAnsi" w:hAnsiTheme="majorHAnsi"/>
          <w:i/>
          <w:iCs/>
          <w:color w:val="auto"/>
          <w:sz w:val="16"/>
          <w:szCs w:val="16"/>
        </w:rPr>
        <w:t>s:</w:t>
      </w:r>
      <w:r w:rsidR="00810FE3" w:rsidRPr="00894701" w:rsidDel="00810FE3">
        <w:rPr>
          <w:rFonts w:asciiTheme="majorHAnsi" w:hAnsiTheme="majorHAnsi"/>
          <w:i/>
          <w:iCs/>
          <w:color w:val="auto"/>
          <w:sz w:val="16"/>
          <w:szCs w:val="16"/>
        </w:rPr>
        <w:t xml:space="preserve"> </w:t>
      </w:r>
      <w:r w:rsidR="00810FE3">
        <w:rPr>
          <w:rFonts w:asciiTheme="majorHAnsi" w:hAnsiTheme="majorHAnsi"/>
          <w:i/>
          <w:iCs/>
          <w:color w:val="auto"/>
          <w:sz w:val="16"/>
          <w:szCs w:val="16"/>
        </w:rPr>
        <w:t>G</w:t>
      </w:r>
      <w:r w:rsidR="00810FE3" w:rsidRPr="00810FE3">
        <w:rPr>
          <w:rFonts w:asciiTheme="majorHAnsi" w:hAnsiTheme="majorHAnsi"/>
          <w:i/>
          <w:iCs/>
          <w:color w:val="auto"/>
          <w:sz w:val="16"/>
          <w:szCs w:val="16"/>
        </w:rPr>
        <w:t>ross</w:t>
      </w:r>
      <w:r w:rsidR="00810FE3">
        <w:rPr>
          <w:rFonts w:asciiTheme="majorHAnsi" w:hAnsiTheme="majorHAnsi"/>
          <w:i/>
          <w:iCs/>
          <w:color w:val="auto"/>
          <w:sz w:val="16"/>
          <w:szCs w:val="16"/>
        </w:rPr>
        <w:t xml:space="preserve"> value of</w:t>
      </w:r>
      <w:r w:rsidR="00810FE3" w:rsidRPr="00810FE3">
        <w:rPr>
          <w:rFonts w:asciiTheme="majorHAnsi" w:hAnsiTheme="majorHAnsi"/>
          <w:i/>
          <w:iCs/>
          <w:color w:val="auto"/>
          <w:sz w:val="16"/>
          <w:szCs w:val="16"/>
        </w:rPr>
        <w:t xml:space="preserve"> refined products </w:t>
      </w:r>
      <w:r w:rsidR="00810FE3">
        <w:rPr>
          <w:rFonts w:asciiTheme="majorHAnsi" w:hAnsiTheme="majorHAnsi"/>
          <w:i/>
          <w:iCs/>
          <w:color w:val="auto"/>
          <w:sz w:val="16"/>
          <w:szCs w:val="16"/>
        </w:rPr>
        <w:t>was retained as estimated production value given the lack of data on the production value on the reporting templates.</w:t>
      </w:r>
    </w:p>
    <w:p w14:paraId="7377963A" w14:textId="45CED2AD" w:rsidR="0094077F" w:rsidRPr="00894701" w:rsidRDefault="0094077F" w:rsidP="007426C6">
      <w:pPr>
        <w:spacing w:after="0"/>
        <w:jc w:val="both"/>
        <w:rPr>
          <w:rFonts w:cs="Arial"/>
          <w:b/>
          <w:bCs/>
          <w:color w:val="ED1A3B" w:themeColor="accent1"/>
          <w:sz w:val="20"/>
          <w:u w:val="single"/>
        </w:rPr>
      </w:pPr>
    </w:p>
    <w:p w14:paraId="229AED50" w14:textId="77777777" w:rsidR="003C319A" w:rsidRPr="00894701" w:rsidRDefault="003C319A" w:rsidP="00B226CF">
      <w:pPr>
        <w:jc w:val="both"/>
        <w:rPr>
          <w:rFonts w:cs="Arial"/>
          <w:b/>
          <w:bCs/>
          <w:color w:val="ED1A3B" w:themeColor="accent1"/>
          <w:sz w:val="20"/>
          <w:u w:val="single"/>
        </w:rPr>
      </w:pPr>
      <w:r w:rsidRPr="00894701">
        <w:rPr>
          <w:rFonts w:cs="Arial"/>
          <w:b/>
          <w:bCs/>
          <w:color w:val="ED1A3B" w:themeColor="accent1"/>
          <w:sz w:val="20"/>
          <w:u w:val="single"/>
        </w:rPr>
        <w:t>Mining sector</w:t>
      </w:r>
    </w:p>
    <w:p w14:paraId="2C8EDE38" w14:textId="79CE6B62" w:rsidR="003C319A" w:rsidRPr="00894701" w:rsidRDefault="00C114DD" w:rsidP="00B226CF">
      <w:pPr>
        <w:jc w:val="both"/>
        <w:rPr>
          <w:rFonts w:cs="Arial"/>
          <w:color w:val="auto"/>
          <w:sz w:val="20"/>
        </w:rPr>
      </w:pPr>
      <w:r w:rsidRPr="00894701">
        <w:rPr>
          <w:rFonts w:cs="Arial"/>
          <w:color w:val="auto"/>
          <w:sz w:val="20"/>
        </w:rPr>
        <w:t xml:space="preserve">The table below sets out the </w:t>
      </w:r>
      <w:r w:rsidR="00277020">
        <w:rPr>
          <w:rFonts w:cs="Arial"/>
          <w:color w:val="auto"/>
          <w:sz w:val="20"/>
        </w:rPr>
        <w:t xml:space="preserve">gold </w:t>
      </w:r>
      <w:r w:rsidRPr="00894701">
        <w:rPr>
          <w:rFonts w:cs="Arial"/>
          <w:color w:val="auto"/>
          <w:sz w:val="20"/>
        </w:rPr>
        <w:t xml:space="preserve">production quantities and values </w:t>
      </w:r>
      <w:r w:rsidR="00F55CB4">
        <w:rPr>
          <w:rFonts w:cs="Arial"/>
          <w:color w:val="auto"/>
          <w:sz w:val="20"/>
        </w:rPr>
        <w:t xml:space="preserve">for large scale companies </w:t>
      </w:r>
      <w:r w:rsidRPr="00894701">
        <w:rPr>
          <w:rFonts w:cs="Arial"/>
          <w:color w:val="auto"/>
          <w:sz w:val="20"/>
        </w:rPr>
        <w:t>during the FYs 2018, 2019 and 2020.</w:t>
      </w:r>
    </w:p>
    <w:p w14:paraId="7FEFE11B" w14:textId="6D3E9169" w:rsidR="003C319A" w:rsidRPr="00894701" w:rsidRDefault="003C319A" w:rsidP="00B226CF">
      <w:pPr>
        <w:pStyle w:val="BodyTextRed"/>
        <w:jc w:val="center"/>
        <w:rPr>
          <w:b/>
          <w:bCs/>
          <w:color w:val="98002E" w:themeColor="accent3"/>
          <w:sz w:val="20"/>
          <w:szCs w:val="20"/>
        </w:rPr>
      </w:pPr>
      <w:bookmarkStart w:id="40" w:name="_Toc6924787"/>
      <w:bookmarkStart w:id="41" w:name="_Toc104557654"/>
      <w:bookmarkStart w:id="42" w:name="_Toc146590478"/>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6</w:t>
      </w:r>
      <w:r w:rsidRPr="00894701">
        <w:rPr>
          <w:b/>
          <w:bCs/>
          <w:color w:val="98002E" w:themeColor="accent3"/>
          <w:sz w:val="20"/>
          <w:szCs w:val="20"/>
        </w:rPr>
        <w:fldChar w:fldCharType="end"/>
      </w:r>
      <w:r w:rsidRPr="00894701">
        <w:rPr>
          <w:b/>
          <w:bCs/>
          <w:color w:val="98002E" w:themeColor="accent3"/>
          <w:sz w:val="20"/>
          <w:szCs w:val="20"/>
        </w:rPr>
        <w:t>: Production data reported for the fiscal year</w:t>
      </w:r>
      <w:r w:rsidR="000F4CBD" w:rsidRPr="00894701">
        <w:rPr>
          <w:b/>
          <w:bCs/>
          <w:color w:val="98002E" w:themeColor="accent3"/>
          <w:sz w:val="20"/>
          <w:szCs w:val="20"/>
        </w:rPr>
        <w:t>s 2018,</w:t>
      </w:r>
      <w:r w:rsidRPr="00894701">
        <w:rPr>
          <w:b/>
          <w:bCs/>
          <w:color w:val="98002E" w:themeColor="accent3"/>
          <w:sz w:val="20"/>
          <w:szCs w:val="20"/>
        </w:rPr>
        <w:t xml:space="preserve"> 2019 </w:t>
      </w:r>
      <w:r w:rsidR="000F4CBD" w:rsidRPr="00894701">
        <w:rPr>
          <w:b/>
          <w:bCs/>
          <w:color w:val="98002E" w:themeColor="accent3"/>
          <w:sz w:val="20"/>
          <w:szCs w:val="20"/>
        </w:rPr>
        <w:t xml:space="preserve">and 2020 </w:t>
      </w:r>
      <w:r w:rsidRPr="00894701">
        <w:rPr>
          <w:b/>
          <w:bCs/>
          <w:color w:val="98002E" w:themeColor="accent3"/>
          <w:sz w:val="20"/>
          <w:szCs w:val="20"/>
        </w:rPr>
        <w:t>by mineral type</w:t>
      </w:r>
      <w:bookmarkEnd w:id="40"/>
      <w:bookmarkEnd w:id="41"/>
      <w:bookmarkEnd w:id="42"/>
      <w:r w:rsidRPr="00894701">
        <w:rPr>
          <w:b/>
          <w:bCs/>
          <w:color w:val="98002E" w:themeColor="accent3"/>
          <w:sz w:val="20"/>
          <w:szCs w:val="20"/>
        </w:rPr>
        <w:t xml:space="preserve"> </w:t>
      </w:r>
    </w:p>
    <w:tbl>
      <w:tblPr>
        <w:tblW w:w="5000" w:type="pct"/>
        <w:jc w:val="right"/>
        <w:tblLayout w:type="fixed"/>
        <w:tblCellMar>
          <w:left w:w="0" w:type="dxa"/>
          <w:right w:w="0" w:type="dxa"/>
        </w:tblCellMar>
        <w:tblLook w:val="04A0" w:firstRow="1" w:lastRow="0" w:firstColumn="1" w:lastColumn="0" w:noHBand="0" w:noVBand="1"/>
      </w:tblPr>
      <w:tblGrid>
        <w:gridCol w:w="1783"/>
        <w:gridCol w:w="1146"/>
        <w:gridCol w:w="1500"/>
        <w:gridCol w:w="1104"/>
        <w:gridCol w:w="1263"/>
        <w:gridCol w:w="1108"/>
        <w:gridCol w:w="1146"/>
      </w:tblGrid>
      <w:tr w:rsidR="00CB27B1" w:rsidRPr="00894701" w14:paraId="31842F76" w14:textId="77777777" w:rsidTr="007426C6">
        <w:trPr>
          <w:trHeight w:val="294"/>
          <w:jc w:val="right"/>
        </w:trPr>
        <w:tc>
          <w:tcPr>
            <w:tcW w:w="985" w:type="pct"/>
            <w:tcBorders>
              <w:top w:val="nil"/>
              <w:left w:val="nil"/>
              <w:bottom w:val="nil"/>
              <w:right w:val="single" w:sz="8" w:space="0" w:color="FF0000"/>
            </w:tcBorders>
            <w:shd w:val="clear" w:color="auto" w:fill="730022"/>
            <w:noWrap/>
            <w:tcMar>
              <w:top w:w="15" w:type="dxa"/>
              <w:left w:w="15" w:type="dxa"/>
              <w:bottom w:w="0" w:type="dxa"/>
              <w:right w:w="15" w:type="dxa"/>
            </w:tcMar>
            <w:vAlign w:val="center"/>
            <w:hideMark/>
          </w:tcPr>
          <w:p w14:paraId="16B8606B" w14:textId="77777777" w:rsidR="00CB27B1" w:rsidRPr="00894701" w:rsidRDefault="00CB27B1">
            <w:pPr>
              <w:rPr>
                <w:b/>
                <w:bCs/>
                <w:color w:val="FFFFFF"/>
                <w:kern w:val="0"/>
                <w:sz w:val="16"/>
                <w:szCs w:val="16"/>
              </w:rPr>
            </w:pPr>
            <w:r w:rsidRPr="00894701">
              <w:rPr>
                <w:b/>
                <w:bCs/>
                <w:color w:val="FFFFFF"/>
                <w:sz w:val="16"/>
                <w:szCs w:val="16"/>
              </w:rPr>
              <w:t>Company</w:t>
            </w:r>
          </w:p>
        </w:tc>
        <w:tc>
          <w:tcPr>
            <w:tcW w:w="1462" w:type="pct"/>
            <w:gridSpan w:val="2"/>
            <w:tcBorders>
              <w:top w:val="nil"/>
              <w:left w:val="nil"/>
              <w:bottom w:val="single" w:sz="8" w:space="0" w:color="FF0000"/>
              <w:right w:val="nil"/>
            </w:tcBorders>
            <w:shd w:val="clear" w:color="auto" w:fill="730022"/>
            <w:noWrap/>
            <w:tcMar>
              <w:top w:w="15" w:type="dxa"/>
              <w:left w:w="15" w:type="dxa"/>
              <w:bottom w:w="0" w:type="dxa"/>
              <w:right w:w="15" w:type="dxa"/>
            </w:tcMar>
            <w:vAlign w:val="center"/>
            <w:hideMark/>
          </w:tcPr>
          <w:p w14:paraId="3A57A065" w14:textId="77777777" w:rsidR="00CB27B1" w:rsidRPr="00894701" w:rsidRDefault="00CB27B1">
            <w:pPr>
              <w:jc w:val="center"/>
              <w:rPr>
                <w:b/>
                <w:bCs/>
                <w:color w:val="FFFFFF"/>
                <w:sz w:val="16"/>
                <w:szCs w:val="16"/>
              </w:rPr>
            </w:pPr>
            <w:r w:rsidRPr="00894701">
              <w:rPr>
                <w:b/>
                <w:bCs/>
                <w:color w:val="FFFFFF"/>
                <w:sz w:val="16"/>
                <w:szCs w:val="16"/>
              </w:rPr>
              <w:t>2018</w:t>
            </w:r>
          </w:p>
        </w:tc>
        <w:tc>
          <w:tcPr>
            <w:tcW w:w="1308" w:type="pct"/>
            <w:gridSpan w:val="2"/>
            <w:tcBorders>
              <w:top w:val="nil"/>
              <w:left w:val="nil"/>
              <w:bottom w:val="single" w:sz="8" w:space="0" w:color="FF0000"/>
              <w:right w:val="nil"/>
            </w:tcBorders>
            <w:shd w:val="clear" w:color="auto" w:fill="730022"/>
            <w:noWrap/>
            <w:tcMar>
              <w:top w:w="15" w:type="dxa"/>
              <w:left w:w="15" w:type="dxa"/>
              <w:bottom w:w="0" w:type="dxa"/>
              <w:right w:w="15" w:type="dxa"/>
            </w:tcMar>
            <w:vAlign w:val="center"/>
            <w:hideMark/>
          </w:tcPr>
          <w:p w14:paraId="4EB10D05" w14:textId="77777777" w:rsidR="00CB27B1" w:rsidRPr="00894701" w:rsidRDefault="00CB27B1">
            <w:pPr>
              <w:jc w:val="center"/>
              <w:rPr>
                <w:b/>
                <w:bCs/>
                <w:color w:val="FFFFFF"/>
                <w:sz w:val="16"/>
                <w:szCs w:val="16"/>
              </w:rPr>
            </w:pPr>
            <w:r w:rsidRPr="00894701">
              <w:rPr>
                <w:b/>
                <w:bCs/>
                <w:color w:val="FFFFFF"/>
                <w:sz w:val="16"/>
                <w:szCs w:val="16"/>
              </w:rPr>
              <w:t>2019</w:t>
            </w:r>
          </w:p>
        </w:tc>
        <w:tc>
          <w:tcPr>
            <w:tcW w:w="1246" w:type="pct"/>
            <w:gridSpan w:val="2"/>
            <w:tcBorders>
              <w:top w:val="nil"/>
              <w:left w:val="nil"/>
              <w:bottom w:val="single" w:sz="8" w:space="0" w:color="FF0000"/>
              <w:right w:val="nil"/>
            </w:tcBorders>
            <w:shd w:val="clear" w:color="auto" w:fill="730022"/>
            <w:noWrap/>
            <w:tcMar>
              <w:top w:w="15" w:type="dxa"/>
              <w:left w:w="15" w:type="dxa"/>
              <w:bottom w:w="0" w:type="dxa"/>
              <w:right w:w="15" w:type="dxa"/>
            </w:tcMar>
            <w:vAlign w:val="center"/>
            <w:hideMark/>
          </w:tcPr>
          <w:p w14:paraId="794D59D8" w14:textId="77777777" w:rsidR="00CB27B1" w:rsidRPr="00894701" w:rsidRDefault="00CB27B1">
            <w:pPr>
              <w:jc w:val="center"/>
              <w:rPr>
                <w:b/>
                <w:bCs/>
                <w:color w:val="FFFFFF"/>
                <w:sz w:val="16"/>
                <w:szCs w:val="16"/>
              </w:rPr>
            </w:pPr>
            <w:r w:rsidRPr="00894701">
              <w:rPr>
                <w:b/>
                <w:bCs/>
                <w:color w:val="FFFFFF"/>
                <w:sz w:val="16"/>
                <w:szCs w:val="16"/>
              </w:rPr>
              <w:t>2020</w:t>
            </w:r>
          </w:p>
        </w:tc>
      </w:tr>
      <w:tr w:rsidR="005403B5" w:rsidRPr="00894701" w14:paraId="44A57E8C" w14:textId="77777777" w:rsidTr="00A96F7E">
        <w:trPr>
          <w:trHeight w:val="444"/>
          <w:jc w:val="right"/>
        </w:trPr>
        <w:tc>
          <w:tcPr>
            <w:tcW w:w="985" w:type="pct"/>
            <w:tcBorders>
              <w:top w:val="nil"/>
              <w:left w:val="nil"/>
              <w:bottom w:val="nil"/>
              <w:right w:val="single" w:sz="8" w:space="0" w:color="FF0000"/>
            </w:tcBorders>
            <w:shd w:val="clear" w:color="auto" w:fill="730022"/>
            <w:noWrap/>
            <w:tcMar>
              <w:top w:w="15" w:type="dxa"/>
              <w:left w:w="15" w:type="dxa"/>
              <w:bottom w:w="0" w:type="dxa"/>
              <w:right w:w="15" w:type="dxa"/>
            </w:tcMar>
            <w:vAlign w:val="center"/>
            <w:hideMark/>
          </w:tcPr>
          <w:p w14:paraId="0693F936" w14:textId="77777777" w:rsidR="00CB27B1" w:rsidRPr="00894701" w:rsidRDefault="00CB27B1">
            <w:pPr>
              <w:rPr>
                <w:b/>
                <w:bCs/>
                <w:color w:val="FFFFFF"/>
                <w:sz w:val="16"/>
                <w:szCs w:val="16"/>
              </w:rPr>
            </w:pPr>
            <w:r w:rsidRPr="00894701">
              <w:rPr>
                <w:b/>
                <w:bCs/>
                <w:color w:val="FFFFFF"/>
                <w:sz w:val="16"/>
                <w:szCs w:val="16"/>
              </w:rPr>
              <w:t> </w:t>
            </w:r>
          </w:p>
        </w:tc>
        <w:tc>
          <w:tcPr>
            <w:tcW w:w="633" w:type="pct"/>
            <w:shd w:val="clear" w:color="auto" w:fill="730022"/>
            <w:tcMar>
              <w:top w:w="0" w:type="dxa"/>
              <w:left w:w="15" w:type="dxa"/>
              <w:bottom w:w="0" w:type="dxa"/>
              <w:right w:w="15" w:type="dxa"/>
            </w:tcMar>
            <w:vAlign w:val="center"/>
            <w:hideMark/>
          </w:tcPr>
          <w:p w14:paraId="75CC51B3" w14:textId="77777777" w:rsidR="00CB27B1" w:rsidRPr="00894701" w:rsidRDefault="00CB27B1">
            <w:pPr>
              <w:jc w:val="center"/>
              <w:rPr>
                <w:b/>
                <w:bCs/>
                <w:color w:val="FFFFFF"/>
                <w:sz w:val="16"/>
                <w:szCs w:val="16"/>
              </w:rPr>
            </w:pPr>
            <w:r w:rsidRPr="00894701">
              <w:rPr>
                <w:b/>
                <w:bCs/>
                <w:color w:val="FFFFFF"/>
                <w:sz w:val="16"/>
                <w:szCs w:val="16"/>
              </w:rPr>
              <w:t xml:space="preserve">Volume </w:t>
            </w:r>
          </w:p>
          <w:p w14:paraId="3A672C00" w14:textId="77777777" w:rsidR="00CB27B1" w:rsidRPr="00894701" w:rsidRDefault="00CB27B1">
            <w:pPr>
              <w:jc w:val="center"/>
              <w:rPr>
                <w:b/>
                <w:bCs/>
                <w:color w:val="FFFFFF"/>
                <w:sz w:val="16"/>
                <w:szCs w:val="16"/>
              </w:rPr>
            </w:pPr>
            <w:r w:rsidRPr="00894701">
              <w:rPr>
                <w:b/>
                <w:bCs/>
                <w:color w:val="FFFFFF"/>
                <w:sz w:val="16"/>
                <w:szCs w:val="16"/>
              </w:rPr>
              <w:t>000s oz</w:t>
            </w:r>
          </w:p>
        </w:tc>
        <w:tc>
          <w:tcPr>
            <w:tcW w:w="829" w:type="pct"/>
            <w:tcBorders>
              <w:top w:val="nil"/>
              <w:left w:val="single" w:sz="8" w:space="0" w:color="FFFFFF"/>
              <w:bottom w:val="nil"/>
              <w:right w:val="single" w:sz="8" w:space="0" w:color="FF0000"/>
            </w:tcBorders>
            <w:shd w:val="clear" w:color="auto" w:fill="730022"/>
            <w:tcMar>
              <w:top w:w="15" w:type="dxa"/>
              <w:left w:w="15" w:type="dxa"/>
              <w:bottom w:w="0" w:type="dxa"/>
              <w:right w:w="15" w:type="dxa"/>
            </w:tcMar>
            <w:vAlign w:val="center"/>
            <w:hideMark/>
          </w:tcPr>
          <w:p w14:paraId="2F112672" w14:textId="77777777" w:rsidR="00CB27B1" w:rsidRPr="00894701" w:rsidRDefault="00CB27B1" w:rsidP="00CB27B1">
            <w:pPr>
              <w:jc w:val="center"/>
              <w:rPr>
                <w:b/>
                <w:bCs/>
                <w:color w:val="FFFFFF"/>
                <w:sz w:val="16"/>
                <w:szCs w:val="16"/>
              </w:rPr>
            </w:pPr>
            <w:r w:rsidRPr="00894701">
              <w:rPr>
                <w:b/>
                <w:bCs/>
                <w:color w:val="FFFFFF"/>
                <w:sz w:val="16"/>
                <w:szCs w:val="16"/>
              </w:rPr>
              <w:t xml:space="preserve">Value </w:t>
            </w:r>
          </w:p>
          <w:p w14:paraId="230FCC1A" w14:textId="7D9A99F4" w:rsidR="00CB27B1" w:rsidRPr="00894701" w:rsidRDefault="00CB27B1">
            <w:pPr>
              <w:jc w:val="center"/>
              <w:rPr>
                <w:b/>
                <w:bCs/>
                <w:color w:val="FFFFFF"/>
                <w:sz w:val="16"/>
                <w:szCs w:val="16"/>
              </w:rPr>
            </w:pPr>
            <w:r w:rsidRPr="00894701">
              <w:rPr>
                <w:b/>
                <w:bCs/>
                <w:color w:val="FFFFFF"/>
                <w:sz w:val="16"/>
                <w:szCs w:val="16"/>
              </w:rPr>
              <w:t>SRD million</w:t>
            </w:r>
          </w:p>
        </w:tc>
        <w:tc>
          <w:tcPr>
            <w:tcW w:w="610" w:type="pct"/>
            <w:shd w:val="clear" w:color="auto" w:fill="730022"/>
            <w:tcMar>
              <w:top w:w="0" w:type="dxa"/>
              <w:left w:w="15" w:type="dxa"/>
              <w:bottom w:w="0" w:type="dxa"/>
              <w:right w:w="15" w:type="dxa"/>
            </w:tcMar>
            <w:vAlign w:val="center"/>
            <w:hideMark/>
          </w:tcPr>
          <w:p w14:paraId="3015BB97" w14:textId="77777777" w:rsidR="00CB27B1" w:rsidRPr="00894701" w:rsidRDefault="00CB27B1">
            <w:pPr>
              <w:jc w:val="center"/>
              <w:rPr>
                <w:b/>
                <w:bCs/>
                <w:color w:val="FFFFFF"/>
                <w:sz w:val="16"/>
                <w:szCs w:val="16"/>
              </w:rPr>
            </w:pPr>
            <w:r w:rsidRPr="00894701">
              <w:rPr>
                <w:b/>
                <w:bCs/>
                <w:color w:val="FFFFFF"/>
                <w:sz w:val="16"/>
                <w:szCs w:val="16"/>
              </w:rPr>
              <w:t xml:space="preserve">Volume </w:t>
            </w:r>
          </w:p>
          <w:p w14:paraId="4CCA67E5" w14:textId="77777777" w:rsidR="00CB27B1" w:rsidRPr="00894701" w:rsidRDefault="00CB27B1">
            <w:pPr>
              <w:jc w:val="center"/>
              <w:rPr>
                <w:b/>
                <w:bCs/>
                <w:color w:val="FFFFFF"/>
                <w:sz w:val="16"/>
                <w:szCs w:val="16"/>
              </w:rPr>
            </w:pPr>
            <w:r w:rsidRPr="00894701">
              <w:rPr>
                <w:b/>
                <w:bCs/>
                <w:color w:val="FFFFFF"/>
                <w:sz w:val="16"/>
                <w:szCs w:val="16"/>
              </w:rPr>
              <w:t>000s oz</w:t>
            </w:r>
          </w:p>
        </w:tc>
        <w:tc>
          <w:tcPr>
            <w:tcW w:w="689" w:type="pct"/>
            <w:tcBorders>
              <w:top w:val="nil"/>
              <w:left w:val="single" w:sz="8" w:space="0" w:color="FFFFFF"/>
              <w:bottom w:val="nil"/>
              <w:right w:val="single" w:sz="8" w:space="0" w:color="FF0000"/>
            </w:tcBorders>
            <w:shd w:val="clear" w:color="auto" w:fill="730022"/>
            <w:tcMar>
              <w:top w:w="15" w:type="dxa"/>
              <w:left w:w="15" w:type="dxa"/>
              <w:bottom w:w="0" w:type="dxa"/>
              <w:right w:w="15" w:type="dxa"/>
            </w:tcMar>
            <w:vAlign w:val="center"/>
            <w:hideMark/>
          </w:tcPr>
          <w:p w14:paraId="08EC09BE" w14:textId="77777777" w:rsidR="00CB27B1" w:rsidRPr="00894701" w:rsidRDefault="00CB27B1">
            <w:pPr>
              <w:jc w:val="center"/>
              <w:rPr>
                <w:b/>
                <w:bCs/>
                <w:color w:val="FFFFFF"/>
                <w:sz w:val="16"/>
                <w:szCs w:val="16"/>
              </w:rPr>
            </w:pPr>
            <w:r w:rsidRPr="00894701">
              <w:rPr>
                <w:b/>
                <w:bCs/>
                <w:color w:val="FFFFFF"/>
                <w:sz w:val="16"/>
                <w:szCs w:val="16"/>
              </w:rPr>
              <w:t xml:space="preserve">Value </w:t>
            </w:r>
          </w:p>
          <w:p w14:paraId="0C00A671" w14:textId="6EA3471D" w:rsidR="00CB27B1" w:rsidRPr="00894701" w:rsidRDefault="00CB27B1">
            <w:pPr>
              <w:jc w:val="center"/>
              <w:rPr>
                <w:b/>
                <w:bCs/>
                <w:color w:val="FFFFFF"/>
                <w:sz w:val="16"/>
                <w:szCs w:val="16"/>
              </w:rPr>
            </w:pPr>
            <w:r w:rsidRPr="00894701">
              <w:rPr>
                <w:b/>
                <w:bCs/>
                <w:color w:val="FFFFFF"/>
                <w:sz w:val="16"/>
                <w:szCs w:val="16"/>
              </w:rPr>
              <w:t>SRD million</w:t>
            </w:r>
          </w:p>
        </w:tc>
        <w:tc>
          <w:tcPr>
            <w:tcW w:w="612" w:type="pct"/>
            <w:shd w:val="clear" w:color="auto" w:fill="730022"/>
            <w:tcMar>
              <w:top w:w="0" w:type="dxa"/>
              <w:left w:w="15" w:type="dxa"/>
              <w:bottom w:w="0" w:type="dxa"/>
              <w:right w:w="15" w:type="dxa"/>
            </w:tcMar>
            <w:vAlign w:val="center"/>
            <w:hideMark/>
          </w:tcPr>
          <w:p w14:paraId="0FFE0642" w14:textId="77777777" w:rsidR="00CB27B1" w:rsidRPr="00894701" w:rsidRDefault="00CB27B1">
            <w:pPr>
              <w:jc w:val="center"/>
              <w:rPr>
                <w:b/>
                <w:bCs/>
                <w:color w:val="FFFFFF"/>
                <w:sz w:val="16"/>
                <w:szCs w:val="16"/>
              </w:rPr>
            </w:pPr>
            <w:r w:rsidRPr="00894701">
              <w:rPr>
                <w:b/>
                <w:bCs/>
                <w:color w:val="FFFFFF"/>
                <w:sz w:val="16"/>
                <w:szCs w:val="16"/>
              </w:rPr>
              <w:t xml:space="preserve">Volume </w:t>
            </w:r>
          </w:p>
          <w:p w14:paraId="1F42D736" w14:textId="77777777" w:rsidR="00CB27B1" w:rsidRPr="00894701" w:rsidRDefault="00CB27B1">
            <w:pPr>
              <w:jc w:val="center"/>
              <w:rPr>
                <w:b/>
                <w:bCs/>
                <w:color w:val="FFFFFF"/>
                <w:sz w:val="16"/>
                <w:szCs w:val="16"/>
              </w:rPr>
            </w:pPr>
            <w:r w:rsidRPr="00894701">
              <w:rPr>
                <w:b/>
                <w:bCs/>
                <w:color w:val="FFFFFF"/>
                <w:sz w:val="16"/>
                <w:szCs w:val="16"/>
              </w:rPr>
              <w:t>000s oz</w:t>
            </w:r>
          </w:p>
        </w:tc>
        <w:tc>
          <w:tcPr>
            <w:tcW w:w="643" w:type="pct"/>
            <w:tcBorders>
              <w:top w:val="nil"/>
              <w:left w:val="single" w:sz="8" w:space="0" w:color="FFFFFF"/>
              <w:bottom w:val="nil"/>
              <w:right w:val="nil"/>
            </w:tcBorders>
            <w:shd w:val="clear" w:color="auto" w:fill="730022"/>
            <w:tcMar>
              <w:top w:w="15" w:type="dxa"/>
              <w:left w:w="15" w:type="dxa"/>
              <w:bottom w:w="0" w:type="dxa"/>
              <w:right w:w="15" w:type="dxa"/>
            </w:tcMar>
            <w:vAlign w:val="center"/>
            <w:hideMark/>
          </w:tcPr>
          <w:p w14:paraId="3AB5E1C6" w14:textId="77777777" w:rsidR="00CB27B1" w:rsidRPr="00894701" w:rsidRDefault="00CB27B1">
            <w:pPr>
              <w:jc w:val="center"/>
              <w:rPr>
                <w:b/>
                <w:bCs/>
                <w:color w:val="FFFFFF"/>
                <w:sz w:val="16"/>
                <w:szCs w:val="16"/>
              </w:rPr>
            </w:pPr>
            <w:r w:rsidRPr="00894701">
              <w:rPr>
                <w:b/>
                <w:bCs/>
                <w:color w:val="FFFFFF"/>
                <w:sz w:val="16"/>
                <w:szCs w:val="16"/>
              </w:rPr>
              <w:t xml:space="preserve">Value </w:t>
            </w:r>
          </w:p>
          <w:p w14:paraId="62470629" w14:textId="1F0916A1" w:rsidR="00CB27B1" w:rsidRPr="00894701" w:rsidRDefault="00CB27B1">
            <w:pPr>
              <w:jc w:val="center"/>
              <w:rPr>
                <w:b/>
                <w:bCs/>
                <w:color w:val="FFFFFF"/>
                <w:sz w:val="16"/>
                <w:szCs w:val="16"/>
              </w:rPr>
            </w:pPr>
            <w:r w:rsidRPr="00894701">
              <w:rPr>
                <w:b/>
                <w:bCs/>
                <w:color w:val="FFFFFF"/>
                <w:sz w:val="16"/>
                <w:szCs w:val="16"/>
              </w:rPr>
              <w:t>SRD million</w:t>
            </w:r>
          </w:p>
        </w:tc>
      </w:tr>
      <w:tr w:rsidR="007426C6" w:rsidRPr="00894701" w14:paraId="09C3A4AB" w14:textId="77777777" w:rsidTr="007426C6">
        <w:trPr>
          <w:trHeight w:val="288"/>
          <w:jc w:val="right"/>
        </w:trPr>
        <w:tc>
          <w:tcPr>
            <w:tcW w:w="985" w:type="pct"/>
            <w:tcBorders>
              <w:top w:val="nil"/>
              <w:left w:val="nil"/>
              <w:bottom w:val="nil"/>
              <w:right w:val="single" w:sz="8" w:space="0" w:color="FF0000"/>
            </w:tcBorders>
            <w:shd w:val="clear" w:color="auto" w:fill="F8A3AF"/>
            <w:noWrap/>
            <w:tcMar>
              <w:top w:w="15" w:type="dxa"/>
              <w:left w:w="15" w:type="dxa"/>
              <w:bottom w:w="0" w:type="dxa"/>
              <w:right w:w="15" w:type="dxa"/>
            </w:tcMar>
            <w:vAlign w:val="center"/>
            <w:hideMark/>
          </w:tcPr>
          <w:p w14:paraId="1B3DFA82" w14:textId="7D1CAA70" w:rsidR="00CB27B1" w:rsidRPr="00894701" w:rsidRDefault="00CB27B1">
            <w:pPr>
              <w:rPr>
                <w:color w:val="000000"/>
                <w:sz w:val="16"/>
                <w:szCs w:val="16"/>
              </w:rPr>
            </w:pPr>
            <w:r w:rsidRPr="00894701">
              <w:rPr>
                <w:color w:val="000000"/>
                <w:sz w:val="16"/>
                <w:szCs w:val="16"/>
              </w:rPr>
              <w:t>ROSEBEL MINE Production</w:t>
            </w:r>
            <w:r w:rsidR="007107F8" w:rsidRPr="00894701">
              <w:rPr>
                <w:color w:val="000000"/>
                <w:sz w:val="16"/>
                <w:szCs w:val="16"/>
              </w:rPr>
              <w:t xml:space="preserve"> </w:t>
            </w:r>
            <w:r w:rsidRPr="00894701">
              <w:rPr>
                <w:color w:val="000000"/>
                <w:sz w:val="16"/>
                <w:szCs w:val="16"/>
              </w:rPr>
              <w:t>(*)</w:t>
            </w:r>
          </w:p>
        </w:tc>
        <w:tc>
          <w:tcPr>
            <w:tcW w:w="633" w:type="pct"/>
            <w:tcBorders>
              <w:top w:val="nil"/>
              <w:left w:val="nil"/>
              <w:bottom w:val="nil"/>
              <w:right w:val="single" w:sz="8" w:space="0" w:color="FFFFFF"/>
            </w:tcBorders>
            <w:shd w:val="clear" w:color="auto" w:fill="F8A3AF"/>
            <w:noWrap/>
            <w:tcMar>
              <w:top w:w="15" w:type="dxa"/>
              <w:left w:w="15" w:type="dxa"/>
              <w:bottom w:w="0" w:type="dxa"/>
              <w:right w:w="15" w:type="dxa"/>
            </w:tcMar>
            <w:vAlign w:val="center"/>
            <w:hideMark/>
          </w:tcPr>
          <w:p w14:paraId="33BFFAEF" w14:textId="77777777" w:rsidR="00CB27B1" w:rsidRPr="00894701" w:rsidRDefault="00CB27B1">
            <w:pPr>
              <w:jc w:val="right"/>
              <w:rPr>
                <w:color w:val="000000"/>
                <w:sz w:val="16"/>
                <w:szCs w:val="16"/>
              </w:rPr>
            </w:pPr>
            <w:r w:rsidRPr="00894701">
              <w:rPr>
                <w:color w:val="000000"/>
                <w:sz w:val="16"/>
                <w:szCs w:val="16"/>
              </w:rPr>
              <w:t>302</w:t>
            </w:r>
          </w:p>
        </w:tc>
        <w:tc>
          <w:tcPr>
            <w:tcW w:w="829" w:type="pct"/>
            <w:tcBorders>
              <w:top w:val="nil"/>
              <w:left w:val="nil"/>
              <w:bottom w:val="nil"/>
              <w:right w:val="single" w:sz="8" w:space="0" w:color="FF0000"/>
            </w:tcBorders>
            <w:shd w:val="clear" w:color="auto" w:fill="F8A3AF"/>
            <w:noWrap/>
            <w:tcMar>
              <w:top w:w="15" w:type="dxa"/>
              <w:left w:w="15" w:type="dxa"/>
              <w:bottom w:w="0" w:type="dxa"/>
              <w:right w:w="15" w:type="dxa"/>
            </w:tcMar>
            <w:vAlign w:val="center"/>
            <w:hideMark/>
          </w:tcPr>
          <w:p w14:paraId="670A7505" w14:textId="77777777" w:rsidR="00CB27B1" w:rsidRPr="00894701" w:rsidRDefault="00CB27B1">
            <w:pPr>
              <w:jc w:val="right"/>
              <w:rPr>
                <w:color w:val="000000"/>
                <w:sz w:val="16"/>
                <w:szCs w:val="16"/>
              </w:rPr>
            </w:pPr>
            <w:r w:rsidRPr="00894701">
              <w:rPr>
                <w:color w:val="000000"/>
                <w:sz w:val="16"/>
                <w:szCs w:val="16"/>
              </w:rPr>
              <w:t>1,914</w:t>
            </w:r>
          </w:p>
        </w:tc>
        <w:tc>
          <w:tcPr>
            <w:tcW w:w="610" w:type="pct"/>
            <w:tcBorders>
              <w:top w:val="nil"/>
              <w:left w:val="nil"/>
              <w:bottom w:val="nil"/>
              <w:right w:val="single" w:sz="8" w:space="0" w:color="FFFFFF"/>
            </w:tcBorders>
            <w:shd w:val="clear" w:color="auto" w:fill="F8A3AF"/>
            <w:noWrap/>
            <w:tcMar>
              <w:top w:w="15" w:type="dxa"/>
              <w:left w:w="15" w:type="dxa"/>
              <w:bottom w:w="0" w:type="dxa"/>
              <w:right w:w="15" w:type="dxa"/>
            </w:tcMar>
            <w:vAlign w:val="center"/>
            <w:hideMark/>
          </w:tcPr>
          <w:p w14:paraId="173824A0" w14:textId="77777777" w:rsidR="00CB27B1" w:rsidRPr="00894701" w:rsidRDefault="00CB27B1">
            <w:pPr>
              <w:jc w:val="right"/>
              <w:rPr>
                <w:color w:val="000000"/>
                <w:sz w:val="16"/>
                <w:szCs w:val="16"/>
              </w:rPr>
            </w:pPr>
            <w:r w:rsidRPr="00894701">
              <w:rPr>
                <w:color w:val="000000"/>
                <w:sz w:val="16"/>
                <w:szCs w:val="16"/>
              </w:rPr>
              <w:t>264</w:t>
            </w:r>
          </w:p>
        </w:tc>
        <w:tc>
          <w:tcPr>
            <w:tcW w:w="689" w:type="pct"/>
            <w:tcBorders>
              <w:top w:val="nil"/>
              <w:left w:val="nil"/>
              <w:bottom w:val="nil"/>
              <w:right w:val="single" w:sz="8" w:space="0" w:color="FF0000"/>
            </w:tcBorders>
            <w:shd w:val="clear" w:color="auto" w:fill="F8A3AF"/>
            <w:noWrap/>
            <w:tcMar>
              <w:top w:w="15" w:type="dxa"/>
              <w:left w:w="15" w:type="dxa"/>
              <w:bottom w:w="0" w:type="dxa"/>
              <w:right w:w="15" w:type="dxa"/>
            </w:tcMar>
            <w:vAlign w:val="center"/>
            <w:hideMark/>
          </w:tcPr>
          <w:p w14:paraId="5FE1BF80" w14:textId="77777777" w:rsidR="00CB27B1" w:rsidRPr="00894701" w:rsidRDefault="00CB27B1">
            <w:pPr>
              <w:jc w:val="right"/>
              <w:rPr>
                <w:color w:val="000000"/>
                <w:sz w:val="16"/>
                <w:szCs w:val="16"/>
              </w:rPr>
            </w:pPr>
            <w:r w:rsidRPr="00894701">
              <w:rPr>
                <w:color w:val="000000"/>
                <w:sz w:val="16"/>
                <w:szCs w:val="16"/>
              </w:rPr>
              <w:t>1,966</w:t>
            </w:r>
          </w:p>
        </w:tc>
        <w:tc>
          <w:tcPr>
            <w:tcW w:w="612" w:type="pct"/>
            <w:tcBorders>
              <w:top w:val="nil"/>
              <w:left w:val="nil"/>
              <w:bottom w:val="nil"/>
              <w:right w:val="single" w:sz="8" w:space="0" w:color="FFFFFF"/>
            </w:tcBorders>
            <w:shd w:val="clear" w:color="auto" w:fill="F8A3AF"/>
            <w:noWrap/>
            <w:tcMar>
              <w:top w:w="15" w:type="dxa"/>
              <w:left w:w="15" w:type="dxa"/>
              <w:bottom w:w="0" w:type="dxa"/>
              <w:right w:w="15" w:type="dxa"/>
            </w:tcMar>
            <w:vAlign w:val="center"/>
            <w:hideMark/>
          </w:tcPr>
          <w:p w14:paraId="727C863C" w14:textId="77777777" w:rsidR="00CB27B1" w:rsidRPr="00894701" w:rsidRDefault="00CB27B1">
            <w:pPr>
              <w:jc w:val="right"/>
              <w:rPr>
                <w:color w:val="000000"/>
                <w:sz w:val="16"/>
                <w:szCs w:val="16"/>
              </w:rPr>
            </w:pPr>
            <w:r w:rsidRPr="00894701">
              <w:rPr>
                <w:color w:val="000000"/>
                <w:sz w:val="16"/>
                <w:szCs w:val="16"/>
              </w:rPr>
              <w:t>245</w:t>
            </w:r>
          </w:p>
        </w:tc>
        <w:tc>
          <w:tcPr>
            <w:tcW w:w="643" w:type="pct"/>
            <w:tcBorders>
              <w:top w:val="nil"/>
              <w:left w:val="nil"/>
              <w:bottom w:val="nil"/>
              <w:right w:val="single" w:sz="8" w:space="0" w:color="FFFFFF"/>
            </w:tcBorders>
            <w:shd w:val="clear" w:color="auto" w:fill="F8A3AF"/>
            <w:noWrap/>
            <w:tcMar>
              <w:top w:w="15" w:type="dxa"/>
              <w:left w:w="15" w:type="dxa"/>
              <w:bottom w:w="0" w:type="dxa"/>
              <w:right w:w="15" w:type="dxa"/>
            </w:tcMar>
            <w:vAlign w:val="center"/>
            <w:hideMark/>
          </w:tcPr>
          <w:p w14:paraId="2E36ABDA" w14:textId="77777777" w:rsidR="00CB27B1" w:rsidRPr="00894701" w:rsidRDefault="00CB27B1">
            <w:pPr>
              <w:jc w:val="right"/>
              <w:rPr>
                <w:color w:val="000000"/>
                <w:sz w:val="16"/>
                <w:szCs w:val="16"/>
              </w:rPr>
            </w:pPr>
            <w:r w:rsidRPr="00894701">
              <w:rPr>
                <w:color w:val="000000"/>
                <w:sz w:val="16"/>
                <w:szCs w:val="16"/>
              </w:rPr>
              <w:t>1,935</w:t>
            </w:r>
          </w:p>
        </w:tc>
      </w:tr>
      <w:tr w:rsidR="007426C6" w:rsidRPr="00894701" w14:paraId="2F429576" w14:textId="77777777" w:rsidTr="007426C6">
        <w:trPr>
          <w:trHeight w:val="288"/>
          <w:jc w:val="right"/>
        </w:trPr>
        <w:tc>
          <w:tcPr>
            <w:tcW w:w="985" w:type="pct"/>
            <w:tcBorders>
              <w:top w:val="nil"/>
              <w:left w:val="nil"/>
              <w:bottom w:val="nil"/>
              <w:right w:val="single" w:sz="8" w:space="0" w:color="FF0000"/>
            </w:tcBorders>
            <w:shd w:val="clear" w:color="auto" w:fill="auto"/>
            <w:noWrap/>
            <w:tcMar>
              <w:top w:w="15" w:type="dxa"/>
              <w:left w:w="15" w:type="dxa"/>
              <w:bottom w:w="0" w:type="dxa"/>
              <w:right w:w="15" w:type="dxa"/>
            </w:tcMar>
            <w:vAlign w:val="center"/>
            <w:hideMark/>
          </w:tcPr>
          <w:p w14:paraId="18E33F88" w14:textId="5ECDA618" w:rsidR="00A96F7E" w:rsidRPr="00894701" w:rsidRDefault="00A96F7E" w:rsidP="00A96F7E">
            <w:pPr>
              <w:rPr>
                <w:color w:val="000000"/>
                <w:sz w:val="16"/>
                <w:szCs w:val="16"/>
              </w:rPr>
            </w:pPr>
            <w:r w:rsidRPr="00894701">
              <w:rPr>
                <w:color w:val="000000"/>
                <w:sz w:val="16"/>
                <w:szCs w:val="16"/>
              </w:rPr>
              <w:t>Newmont</w:t>
            </w:r>
            <w:r w:rsidR="007107F8" w:rsidRPr="00894701">
              <w:rPr>
                <w:color w:val="000000"/>
                <w:sz w:val="16"/>
                <w:szCs w:val="16"/>
              </w:rPr>
              <w:t xml:space="preserve"> </w:t>
            </w:r>
            <w:r w:rsidRPr="00894701">
              <w:rPr>
                <w:color w:val="000000"/>
                <w:sz w:val="16"/>
                <w:szCs w:val="16"/>
              </w:rPr>
              <w:t>(**)</w:t>
            </w:r>
          </w:p>
        </w:tc>
        <w:tc>
          <w:tcPr>
            <w:tcW w:w="633" w:type="pct"/>
            <w:tcBorders>
              <w:top w:val="nil"/>
              <w:left w:val="nil"/>
              <w:bottom w:val="nil"/>
              <w:right w:val="single" w:sz="8" w:space="0" w:color="FFFFFF"/>
            </w:tcBorders>
            <w:shd w:val="clear" w:color="auto" w:fill="auto"/>
            <w:noWrap/>
            <w:tcMar>
              <w:top w:w="15" w:type="dxa"/>
              <w:left w:w="15" w:type="dxa"/>
              <w:bottom w:w="0" w:type="dxa"/>
              <w:right w:w="15" w:type="dxa"/>
            </w:tcMar>
            <w:vAlign w:val="center"/>
            <w:hideMark/>
          </w:tcPr>
          <w:p w14:paraId="6108FCE7" w14:textId="44F24118" w:rsidR="00A96F7E" w:rsidRPr="00894701" w:rsidRDefault="00A96F7E" w:rsidP="00A96F7E">
            <w:pPr>
              <w:jc w:val="right"/>
              <w:rPr>
                <w:color w:val="000000"/>
                <w:sz w:val="16"/>
                <w:szCs w:val="16"/>
              </w:rPr>
            </w:pPr>
            <w:r w:rsidRPr="00894701">
              <w:rPr>
                <w:rFonts w:cs="Calibri"/>
                <w:color w:val="000000"/>
                <w:sz w:val="16"/>
                <w:szCs w:val="16"/>
              </w:rPr>
              <w:t>534</w:t>
            </w:r>
          </w:p>
        </w:tc>
        <w:tc>
          <w:tcPr>
            <w:tcW w:w="829" w:type="pct"/>
            <w:tcBorders>
              <w:top w:val="nil"/>
              <w:left w:val="nil"/>
              <w:bottom w:val="nil"/>
              <w:right w:val="single" w:sz="8" w:space="0" w:color="FF0000"/>
            </w:tcBorders>
            <w:shd w:val="clear" w:color="auto" w:fill="auto"/>
            <w:noWrap/>
            <w:tcMar>
              <w:top w:w="15" w:type="dxa"/>
              <w:left w:w="15" w:type="dxa"/>
              <w:bottom w:w="0" w:type="dxa"/>
              <w:right w:w="15" w:type="dxa"/>
            </w:tcMar>
            <w:vAlign w:val="center"/>
            <w:hideMark/>
          </w:tcPr>
          <w:p w14:paraId="30DB021C" w14:textId="1CB814BB" w:rsidR="00A96F7E" w:rsidRPr="00894701" w:rsidRDefault="00A96F7E" w:rsidP="00A96F7E">
            <w:pPr>
              <w:jc w:val="right"/>
              <w:rPr>
                <w:color w:val="000000"/>
                <w:sz w:val="16"/>
                <w:szCs w:val="16"/>
              </w:rPr>
            </w:pPr>
            <w:r w:rsidRPr="00894701">
              <w:rPr>
                <w:rFonts w:asciiTheme="majorHAnsi" w:hAnsiTheme="majorHAnsi" w:cs="Calibri Light"/>
                <w:i/>
                <w:iCs/>
                <w:color w:val="auto"/>
                <w:sz w:val="16"/>
                <w:szCs w:val="16"/>
              </w:rPr>
              <w:t xml:space="preserve">(***)  </w:t>
            </w:r>
            <w:r w:rsidRPr="00894701">
              <w:rPr>
                <w:rFonts w:cs="Calibri"/>
                <w:color w:val="000000"/>
                <w:sz w:val="16"/>
                <w:szCs w:val="16"/>
              </w:rPr>
              <w:t>3,384</w:t>
            </w:r>
          </w:p>
        </w:tc>
        <w:tc>
          <w:tcPr>
            <w:tcW w:w="610" w:type="pct"/>
            <w:tcBorders>
              <w:top w:val="nil"/>
              <w:left w:val="nil"/>
              <w:bottom w:val="nil"/>
              <w:right w:val="single" w:sz="8" w:space="0" w:color="FFFFFF"/>
            </w:tcBorders>
            <w:shd w:val="clear" w:color="auto" w:fill="auto"/>
            <w:noWrap/>
            <w:tcMar>
              <w:top w:w="15" w:type="dxa"/>
              <w:left w:w="15" w:type="dxa"/>
              <w:bottom w:w="0" w:type="dxa"/>
              <w:right w:w="15" w:type="dxa"/>
            </w:tcMar>
            <w:vAlign w:val="center"/>
            <w:hideMark/>
          </w:tcPr>
          <w:p w14:paraId="5CECBDFE" w14:textId="5D0009B2" w:rsidR="00A96F7E" w:rsidRPr="00894701" w:rsidRDefault="00A96F7E" w:rsidP="00A96F7E">
            <w:pPr>
              <w:jc w:val="right"/>
              <w:rPr>
                <w:color w:val="000000"/>
                <w:sz w:val="16"/>
                <w:szCs w:val="16"/>
              </w:rPr>
            </w:pPr>
            <w:r w:rsidRPr="00894701">
              <w:rPr>
                <w:rFonts w:cs="Calibri"/>
                <w:color w:val="000000"/>
                <w:sz w:val="16"/>
                <w:szCs w:val="16"/>
              </w:rPr>
              <w:t>524</w:t>
            </w:r>
          </w:p>
        </w:tc>
        <w:tc>
          <w:tcPr>
            <w:tcW w:w="689" w:type="pct"/>
            <w:tcBorders>
              <w:top w:val="nil"/>
              <w:left w:val="nil"/>
              <w:bottom w:val="nil"/>
              <w:right w:val="single" w:sz="8" w:space="0" w:color="FF0000"/>
            </w:tcBorders>
            <w:shd w:val="clear" w:color="auto" w:fill="auto"/>
            <w:noWrap/>
            <w:tcMar>
              <w:top w:w="15" w:type="dxa"/>
              <w:left w:w="15" w:type="dxa"/>
              <w:bottom w:w="0" w:type="dxa"/>
              <w:right w:w="15" w:type="dxa"/>
            </w:tcMar>
            <w:vAlign w:val="center"/>
            <w:hideMark/>
          </w:tcPr>
          <w:p w14:paraId="0141A09B" w14:textId="6580E19B" w:rsidR="00A96F7E" w:rsidRPr="00894701" w:rsidRDefault="00A96F7E" w:rsidP="00A96F7E">
            <w:pPr>
              <w:jc w:val="right"/>
              <w:rPr>
                <w:color w:val="000000"/>
                <w:sz w:val="16"/>
                <w:szCs w:val="16"/>
              </w:rPr>
            </w:pPr>
            <w:r w:rsidRPr="00894701">
              <w:rPr>
                <w:rFonts w:asciiTheme="majorHAnsi" w:hAnsiTheme="majorHAnsi" w:cs="Calibri Light"/>
                <w:i/>
                <w:iCs/>
                <w:color w:val="auto"/>
                <w:sz w:val="16"/>
                <w:szCs w:val="16"/>
              </w:rPr>
              <w:t xml:space="preserve">(***)  </w:t>
            </w:r>
            <w:r w:rsidRPr="00894701">
              <w:rPr>
                <w:rFonts w:cs="Calibri"/>
                <w:color w:val="auto"/>
                <w:sz w:val="16"/>
                <w:szCs w:val="16"/>
              </w:rPr>
              <w:t>3,902</w:t>
            </w:r>
          </w:p>
        </w:tc>
        <w:tc>
          <w:tcPr>
            <w:tcW w:w="612" w:type="pct"/>
            <w:tcBorders>
              <w:top w:val="nil"/>
              <w:left w:val="nil"/>
              <w:bottom w:val="nil"/>
              <w:right w:val="single" w:sz="8" w:space="0" w:color="FFFFFF"/>
            </w:tcBorders>
            <w:shd w:val="clear" w:color="auto" w:fill="auto"/>
            <w:noWrap/>
            <w:tcMar>
              <w:top w:w="15" w:type="dxa"/>
              <w:left w:w="15" w:type="dxa"/>
              <w:bottom w:w="0" w:type="dxa"/>
              <w:right w:w="15" w:type="dxa"/>
            </w:tcMar>
            <w:vAlign w:val="center"/>
            <w:hideMark/>
          </w:tcPr>
          <w:p w14:paraId="4DBAF9EE" w14:textId="1C5BDF63" w:rsidR="00A96F7E" w:rsidRPr="00894701" w:rsidRDefault="00A96F7E" w:rsidP="00A96F7E">
            <w:pPr>
              <w:jc w:val="right"/>
              <w:rPr>
                <w:color w:val="000000"/>
                <w:sz w:val="16"/>
                <w:szCs w:val="16"/>
              </w:rPr>
            </w:pPr>
            <w:r w:rsidRPr="00894701">
              <w:rPr>
                <w:rFonts w:cs="Calibri"/>
                <w:color w:val="000000"/>
                <w:sz w:val="16"/>
                <w:szCs w:val="16"/>
              </w:rPr>
              <w:t>461</w:t>
            </w:r>
          </w:p>
        </w:tc>
        <w:tc>
          <w:tcPr>
            <w:tcW w:w="643" w:type="pct"/>
            <w:tcBorders>
              <w:top w:val="nil"/>
              <w:left w:val="nil"/>
              <w:bottom w:val="nil"/>
              <w:right w:val="single" w:sz="8" w:space="0" w:color="FF0000"/>
            </w:tcBorders>
            <w:shd w:val="clear" w:color="auto" w:fill="auto"/>
            <w:noWrap/>
            <w:tcMar>
              <w:top w:w="15" w:type="dxa"/>
              <w:left w:w="15" w:type="dxa"/>
              <w:bottom w:w="0" w:type="dxa"/>
              <w:right w:w="15" w:type="dxa"/>
            </w:tcMar>
            <w:vAlign w:val="center"/>
            <w:hideMark/>
          </w:tcPr>
          <w:p w14:paraId="1912EBF7" w14:textId="0B9597E8" w:rsidR="00A96F7E" w:rsidRPr="00894701" w:rsidRDefault="00A96F7E" w:rsidP="00A96F7E">
            <w:pPr>
              <w:jc w:val="right"/>
              <w:rPr>
                <w:color w:val="000000"/>
                <w:sz w:val="16"/>
                <w:szCs w:val="16"/>
              </w:rPr>
            </w:pPr>
            <w:r w:rsidRPr="00894701">
              <w:rPr>
                <w:rFonts w:asciiTheme="majorHAnsi" w:hAnsiTheme="majorHAnsi" w:cs="Calibri Light"/>
                <w:i/>
                <w:iCs/>
                <w:color w:val="auto"/>
                <w:sz w:val="16"/>
                <w:szCs w:val="16"/>
              </w:rPr>
              <w:t xml:space="preserve">(***)   </w:t>
            </w:r>
            <w:r w:rsidRPr="00894701">
              <w:rPr>
                <w:rFonts w:cs="Calibri"/>
                <w:color w:val="000000"/>
                <w:sz w:val="16"/>
                <w:szCs w:val="16"/>
              </w:rPr>
              <w:t>3,641</w:t>
            </w:r>
          </w:p>
        </w:tc>
      </w:tr>
      <w:tr w:rsidR="007426C6" w:rsidRPr="00894701" w14:paraId="6E9B0A12" w14:textId="77777777" w:rsidTr="007426C6">
        <w:trPr>
          <w:trHeight w:val="288"/>
          <w:jc w:val="right"/>
        </w:trPr>
        <w:tc>
          <w:tcPr>
            <w:tcW w:w="985" w:type="pct"/>
            <w:tcBorders>
              <w:top w:val="nil"/>
              <w:left w:val="nil"/>
              <w:bottom w:val="nil"/>
              <w:right w:val="single" w:sz="8" w:space="0" w:color="FF0000"/>
            </w:tcBorders>
            <w:shd w:val="clear" w:color="auto" w:fill="A6A6A6"/>
            <w:noWrap/>
            <w:tcMar>
              <w:top w:w="15" w:type="dxa"/>
              <w:left w:w="15" w:type="dxa"/>
              <w:bottom w:w="0" w:type="dxa"/>
              <w:right w:w="15" w:type="dxa"/>
            </w:tcMar>
            <w:vAlign w:val="center"/>
            <w:hideMark/>
          </w:tcPr>
          <w:p w14:paraId="1AED51F6" w14:textId="77777777" w:rsidR="00A96F7E" w:rsidRPr="00894701" w:rsidRDefault="00A96F7E" w:rsidP="00A96F7E">
            <w:pPr>
              <w:jc w:val="right"/>
              <w:rPr>
                <w:b/>
                <w:bCs/>
                <w:color w:val="000000"/>
                <w:sz w:val="16"/>
                <w:szCs w:val="16"/>
              </w:rPr>
            </w:pPr>
            <w:r w:rsidRPr="00894701">
              <w:rPr>
                <w:b/>
                <w:bCs/>
                <w:color w:val="000000"/>
                <w:sz w:val="16"/>
                <w:szCs w:val="16"/>
              </w:rPr>
              <w:t>Total</w:t>
            </w:r>
          </w:p>
        </w:tc>
        <w:tc>
          <w:tcPr>
            <w:tcW w:w="633" w:type="pct"/>
            <w:shd w:val="clear" w:color="auto" w:fill="A6A6A6"/>
            <w:noWrap/>
            <w:tcMar>
              <w:top w:w="0" w:type="dxa"/>
              <w:left w:w="15" w:type="dxa"/>
              <w:bottom w:w="0" w:type="dxa"/>
              <w:right w:w="15" w:type="dxa"/>
            </w:tcMar>
            <w:vAlign w:val="center"/>
            <w:hideMark/>
          </w:tcPr>
          <w:p w14:paraId="1D6DFF0B" w14:textId="04F168F1" w:rsidR="00A96F7E" w:rsidRPr="00894701" w:rsidRDefault="00A96F7E" w:rsidP="00A96F7E">
            <w:pPr>
              <w:jc w:val="right"/>
              <w:rPr>
                <w:b/>
                <w:bCs/>
                <w:color w:val="000000"/>
                <w:sz w:val="16"/>
                <w:szCs w:val="16"/>
              </w:rPr>
            </w:pPr>
            <w:r w:rsidRPr="00894701">
              <w:rPr>
                <w:rFonts w:cs="Calibri"/>
                <w:b/>
                <w:bCs/>
                <w:color w:val="000000"/>
                <w:sz w:val="16"/>
                <w:szCs w:val="16"/>
              </w:rPr>
              <w:t>836</w:t>
            </w:r>
          </w:p>
        </w:tc>
        <w:tc>
          <w:tcPr>
            <w:tcW w:w="829" w:type="pct"/>
            <w:shd w:val="clear" w:color="auto" w:fill="A6A6A6"/>
            <w:noWrap/>
            <w:tcMar>
              <w:top w:w="15" w:type="dxa"/>
              <w:left w:w="15" w:type="dxa"/>
              <w:bottom w:w="0" w:type="dxa"/>
              <w:right w:w="15" w:type="dxa"/>
            </w:tcMar>
            <w:vAlign w:val="center"/>
            <w:hideMark/>
          </w:tcPr>
          <w:p w14:paraId="1FDE1713" w14:textId="3C5387DE" w:rsidR="00A96F7E" w:rsidRPr="00894701" w:rsidRDefault="00A96F7E" w:rsidP="00A96F7E">
            <w:pPr>
              <w:jc w:val="right"/>
              <w:rPr>
                <w:b/>
                <w:bCs/>
                <w:color w:val="000000"/>
                <w:sz w:val="16"/>
                <w:szCs w:val="16"/>
              </w:rPr>
            </w:pPr>
            <w:r w:rsidRPr="00894701">
              <w:rPr>
                <w:rFonts w:cs="Calibri"/>
                <w:b/>
                <w:bCs/>
                <w:color w:val="000000"/>
                <w:sz w:val="16"/>
                <w:szCs w:val="16"/>
              </w:rPr>
              <w:t>5,298</w:t>
            </w:r>
          </w:p>
        </w:tc>
        <w:tc>
          <w:tcPr>
            <w:tcW w:w="610" w:type="pct"/>
            <w:shd w:val="clear" w:color="auto" w:fill="A6A6A6"/>
            <w:noWrap/>
            <w:tcMar>
              <w:top w:w="0" w:type="dxa"/>
              <w:left w:w="15" w:type="dxa"/>
              <w:bottom w:w="0" w:type="dxa"/>
              <w:right w:w="15" w:type="dxa"/>
            </w:tcMar>
            <w:vAlign w:val="center"/>
            <w:hideMark/>
          </w:tcPr>
          <w:p w14:paraId="2627F1B8" w14:textId="6B9030D4" w:rsidR="00A96F7E" w:rsidRPr="00894701" w:rsidRDefault="00A96F7E" w:rsidP="00A96F7E">
            <w:pPr>
              <w:jc w:val="right"/>
              <w:rPr>
                <w:b/>
                <w:bCs/>
                <w:color w:val="000000"/>
                <w:sz w:val="16"/>
                <w:szCs w:val="16"/>
              </w:rPr>
            </w:pPr>
            <w:r w:rsidRPr="00894701">
              <w:rPr>
                <w:rFonts w:cs="Calibri"/>
                <w:b/>
                <w:bCs/>
                <w:color w:val="000000"/>
                <w:sz w:val="16"/>
                <w:szCs w:val="16"/>
              </w:rPr>
              <w:t>788</w:t>
            </w:r>
          </w:p>
        </w:tc>
        <w:tc>
          <w:tcPr>
            <w:tcW w:w="689" w:type="pct"/>
            <w:shd w:val="clear" w:color="auto" w:fill="A6A6A6"/>
            <w:noWrap/>
            <w:tcMar>
              <w:top w:w="0" w:type="dxa"/>
              <w:left w:w="15" w:type="dxa"/>
              <w:bottom w:w="0" w:type="dxa"/>
              <w:right w:w="15" w:type="dxa"/>
            </w:tcMar>
            <w:vAlign w:val="center"/>
            <w:hideMark/>
          </w:tcPr>
          <w:p w14:paraId="6570F410" w14:textId="15AE2569" w:rsidR="00A96F7E" w:rsidRPr="00894701" w:rsidRDefault="00A96F7E" w:rsidP="00A96F7E">
            <w:pPr>
              <w:jc w:val="right"/>
              <w:rPr>
                <w:b/>
                <w:bCs/>
                <w:color w:val="000000"/>
                <w:sz w:val="16"/>
                <w:szCs w:val="16"/>
              </w:rPr>
            </w:pPr>
            <w:r w:rsidRPr="00894701">
              <w:rPr>
                <w:rFonts w:cs="Calibri"/>
                <w:b/>
                <w:bCs/>
                <w:color w:val="000000"/>
                <w:sz w:val="16"/>
                <w:szCs w:val="16"/>
              </w:rPr>
              <w:t>5,868</w:t>
            </w:r>
          </w:p>
        </w:tc>
        <w:tc>
          <w:tcPr>
            <w:tcW w:w="612" w:type="pct"/>
            <w:shd w:val="clear" w:color="auto" w:fill="A6A6A6"/>
            <w:noWrap/>
            <w:tcMar>
              <w:top w:w="0" w:type="dxa"/>
              <w:left w:w="15" w:type="dxa"/>
              <w:bottom w:w="0" w:type="dxa"/>
              <w:right w:w="15" w:type="dxa"/>
            </w:tcMar>
            <w:vAlign w:val="center"/>
            <w:hideMark/>
          </w:tcPr>
          <w:p w14:paraId="394FE9F2" w14:textId="54DDF24D" w:rsidR="00A96F7E" w:rsidRPr="00894701" w:rsidRDefault="00A96F7E" w:rsidP="00A96F7E">
            <w:pPr>
              <w:jc w:val="right"/>
              <w:rPr>
                <w:b/>
                <w:bCs/>
                <w:color w:val="000000"/>
                <w:sz w:val="16"/>
                <w:szCs w:val="16"/>
              </w:rPr>
            </w:pPr>
            <w:r w:rsidRPr="00894701">
              <w:rPr>
                <w:rFonts w:cs="Calibri"/>
                <w:b/>
                <w:bCs/>
                <w:color w:val="000000"/>
                <w:sz w:val="16"/>
                <w:szCs w:val="16"/>
              </w:rPr>
              <w:t>706</w:t>
            </w:r>
          </w:p>
        </w:tc>
        <w:tc>
          <w:tcPr>
            <w:tcW w:w="643" w:type="pct"/>
            <w:shd w:val="clear" w:color="auto" w:fill="A6A6A6"/>
            <w:noWrap/>
            <w:tcMar>
              <w:top w:w="0" w:type="dxa"/>
              <w:left w:w="15" w:type="dxa"/>
              <w:bottom w:w="0" w:type="dxa"/>
              <w:right w:w="15" w:type="dxa"/>
            </w:tcMar>
            <w:vAlign w:val="center"/>
            <w:hideMark/>
          </w:tcPr>
          <w:p w14:paraId="49CEC47A" w14:textId="61A566E9" w:rsidR="00A96F7E" w:rsidRPr="00894701" w:rsidRDefault="00A96F7E" w:rsidP="00A96F7E">
            <w:pPr>
              <w:jc w:val="right"/>
              <w:rPr>
                <w:b/>
                <w:bCs/>
                <w:color w:val="000000"/>
                <w:sz w:val="16"/>
                <w:szCs w:val="16"/>
              </w:rPr>
            </w:pPr>
            <w:r w:rsidRPr="00894701">
              <w:rPr>
                <w:rFonts w:cs="Calibri"/>
                <w:b/>
                <w:bCs/>
                <w:color w:val="000000"/>
                <w:sz w:val="16"/>
                <w:szCs w:val="16"/>
              </w:rPr>
              <w:t>5,576</w:t>
            </w:r>
          </w:p>
        </w:tc>
      </w:tr>
    </w:tbl>
    <w:p w14:paraId="1E5FAD63" w14:textId="545258E9" w:rsidR="00053D72" w:rsidRDefault="0027532F" w:rsidP="00771C41">
      <w:pPr>
        <w:pStyle w:val="BodyText"/>
        <w:spacing w:after="0" w:line="240" w:lineRule="auto"/>
        <w:contextualSpacing/>
        <w:rPr>
          <w:rFonts w:asciiTheme="majorHAnsi" w:hAnsiTheme="majorHAnsi" w:cs="Calibri Light"/>
          <w:i/>
          <w:iCs/>
          <w:color w:val="auto"/>
          <w:sz w:val="14"/>
          <w:szCs w:val="14"/>
        </w:rPr>
      </w:pPr>
      <w:r w:rsidRPr="00894701">
        <w:rPr>
          <w:rFonts w:asciiTheme="majorHAnsi" w:hAnsiTheme="majorHAnsi" w:cs="Calibri Light"/>
          <w:i/>
          <w:iCs/>
          <w:color w:val="FFFFFF"/>
          <w:sz w:val="14"/>
          <w:szCs w:val="14"/>
        </w:rPr>
        <w:t>(</w:t>
      </w:r>
      <w:r w:rsidRPr="00894701">
        <w:rPr>
          <w:rFonts w:asciiTheme="majorHAnsi" w:hAnsiTheme="majorHAnsi" w:cs="Calibri Light"/>
          <w:i/>
          <w:iCs/>
          <w:color w:val="auto"/>
          <w:sz w:val="14"/>
          <w:szCs w:val="14"/>
        </w:rPr>
        <w:t>(*) IAMGOLD 2021 Annual Reports</w:t>
      </w:r>
      <w:r w:rsidRPr="00894701">
        <w:rPr>
          <w:rFonts w:asciiTheme="majorHAnsi" w:hAnsiTheme="majorHAnsi" w:cs="Calibri Light"/>
          <w:i/>
          <w:iCs/>
          <w:color w:val="auto"/>
          <w:sz w:val="14"/>
          <w:szCs w:val="14"/>
        </w:rPr>
        <w:br/>
        <w:t>(**) Reporting templates</w:t>
      </w:r>
      <w:r w:rsidRPr="00894701">
        <w:rPr>
          <w:rFonts w:asciiTheme="majorHAnsi" w:hAnsiTheme="majorHAnsi" w:cs="Calibri Light"/>
          <w:i/>
          <w:iCs/>
          <w:color w:val="auto"/>
          <w:sz w:val="14"/>
          <w:szCs w:val="14"/>
        </w:rPr>
        <w:br/>
        <w:t>(***) estimated based on the average price of ounce</w:t>
      </w:r>
    </w:p>
    <w:p w14:paraId="2053E83B" w14:textId="77777777" w:rsidR="00000F5E" w:rsidRDefault="00000F5E" w:rsidP="00771C41">
      <w:pPr>
        <w:pStyle w:val="BodyText"/>
        <w:spacing w:after="0" w:line="240" w:lineRule="auto"/>
        <w:contextualSpacing/>
        <w:rPr>
          <w:rFonts w:asciiTheme="majorHAnsi" w:hAnsiTheme="majorHAnsi" w:cs="Calibri Light"/>
          <w:i/>
          <w:iCs/>
          <w:color w:val="auto"/>
          <w:sz w:val="14"/>
          <w:szCs w:val="14"/>
        </w:rPr>
      </w:pPr>
    </w:p>
    <w:p w14:paraId="396EA4C0" w14:textId="324BB874" w:rsidR="003C319A" w:rsidRPr="00860520" w:rsidRDefault="00000F5E" w:rsidP="00860520">
      <w:pPr>
        <w:jc w:val="both"/>
        <w:rPr>
          <w:rFonts w:cs="Arial"/>
          <w:color w:val="auto"/>
          <w:sz w:val="20"/>
        </w:rPr>
      </w:pPr>
      <w:r>
        <w:rPr>
          <w:rFonts w:cs="Arial"/>
          <w:color w:val="auto"/>
          <w:sz w:val="20"/>
        </w:rPr>
        <w:t xml:space="preserve">Additional data on gold production from small-scale gold mining sector is detailed in Section </w:t>
      </w:r>
      <w:r w:rsidRPr="00000F5E">
        <w:rPr>
          <w:rFonts w:cs="Arial"/>
          <w:color w:val="auto"/>
          <w:sz w:val="20"/>
        </w:rPr>
        <w:t>3.18.2</w:t>
      </w:r>
      <w:r>
        <w:rPr>
          <w:rFonts w:cs="Arial"/>
          <w:color w:val="auto"/>
          <w:sz w:val="20"/>
        </w:rPr>
        <w:t xml:space="preserve"> of this report</w:t>
      </w:r>
      <w:r w:rsidRPr="00000F5E">
        <w:rPr>
          <w:rFonts w:cs="Arial"/>
          <w:color w:val="auto"/>
          <w:sz w:val="20"/>
        </w:rPr>
        <w:t>.</w:t>
      </w:r>
    </w:p>
    <w:p w14:paraId="4C43E845" w14:textId="3FB4BC35" w:rsidR="0038359B" w:rsidRPr="00894701" w:rsidRDefault="0038359B" w:rsidP="00C436E2">
      <w:pPr>
        <w:pStyle w:val="ListParagraph"/>
        <w:numPr>
          <w:ilvl w:val="1"/>
          <w:numId w:val="7"/>
        </w:numPr>
        <w:spacing w:after="240"/>
        <w:ind w:left="851" w:right="482" w:hanging="851"/>
        <w:outlineLvl w:val="1"/>
        <w:rPr>
          <w:b/>
          <w:sz w:val="28"/>
          <w:szCs w:val="28"/>
        </w:rPr>
      </w:pPr>
      <w:bookmarkStart w:id="43" w:name="_Toc122478835"/>
      <w:bookmarkStart w:id="44" w:name="_Toc6925723"/>
      <w:bookmarkStart w:id="45" w:name="_Toc101349925"/>
      <w:bookmarkStart w:id="46" w:name="_Toc104555378"/>
      <w:r w:rsidRPr="00894701">
        <w:rPr>
          <w:b/>
          <w:sz w:val="28"/>
          <w:szCs w:val="28"/>
        </w:rPr>
        <w:t>Scope of the data collection</w:t>
      </w:r>
      <w:bookmarkEnd w:id="43"/>
      <w:r w:rsidRPr="00894701">
        <w:rPr>
          <w:b/>
          <w:sz w:val="28"/>
          <w:szCs w:val="28"/>
        </w:rPr>
        <w:t xml:space="preserve"> </w:t>
      </w:r>
      <w:bookmarkEnd w:id="44"/>
      <w:bookmarkEnd w:id="45"/>
      <w:bookmarkEnd w:id="46"/>
    </w:p>
    <w:p w14:paraId="6A84D0C6" w14:textId="5FC51565" w:rsidR="00A95833" w:rsidRPr="00894701" w:rsidRDefault="00A95833" w:rsidP="00A95833">
      <w:pPr>
        <w:pStyle w:val="BodyText"/>
        <w:spacing w:before="120"/>
        <w:rPr>
          <w:rFonts w:asciiTheme="majorHAnsi" w:eastAsiaTheme="majorEastAsia" w:hAnsiTheme="majorHAnsi" w:cstheme="majorBidi"/>
          <w:b/>
          <w:bCs/>
          <w:color w:val="98002E"/>
          <w:sz w:val="28"/>
          <w:szCs w:val="26"/>
        </w:rPr>
      </w:pPr>
      <w:r w:rsidRPr="00894701">
        <w:rPr>
          <w:rFonts w:asciiTheme="majorHAnsi" w:eastAsiaTheme="majorEastAsia" w:hAnsiTheme="majorHAnsi" w:cstheme="majorBidi"/>
          <w:b/>
          <w:bCs/>
          <w:color w:val="98002E"/>
          <w:sz w:val="28"/>
          <w:szCs w:val="26"/>
        </w:rPr>
        <w:t xml:space="preserve">EITI flexible reporting in response to the Covid-19 pandemic </w:t>
      </w:r>
    </w:p>
    <w:p w14:paraId="044A2C67" w14:textId="77777777" w:rsidR="00A95833" w:rsidRPr="00894701" w:rsidRDefault="00A95833" w:rsidP="00A95833">
      <w:pPr>
        <w:pStyle w:val="BodyText"/>
        <w:spacing w:before="120"/>
        <w:jc w:val="both"/>
        <w:rPr>
          <w:rFonts w:cs="Arial"/>
          <w:bCs/>
          <w:color w:val="000000" w:themeColor="text1"/>
          <w:sz w:val="20"/>
          <w:lang w:eastAsia="fr-FR"/>
        </w:rPr>
      </w:pPr>
      <w:r w:rsidRPr="00894701">
        <w:rPr>
          <w:rFonts w:cs="Arial"/>
          <w:bCs/>
          <w:color w:val="000000" w:themeColor="text1"/>
          <w:sz w:val="20"/>
          <w:lang w:eastAsia="fr-FR"/>
        </w:rPr>
        <w:t>Recognising the ongoing challenges associated with the COVID-19 pandemic, the EITI Board has agreed the extension of measures to provide flexibility in EITI implementation and reporting. These measures allow implementing countries to retain the momentum of the EITI process while adapting to local circumstances and urgent information needs.</w:t>
      </w:r>
    </w:p>
    <w:p w14:paraId="2C96112F" w14:textId="47F6F970" w:rsidR="00A95833" w:rsidRPr="00894701" w:rsidRDefault="00A95833" w:rsidP="00A95833">
      <w:pPr>
        <w:pStyle w:val="BodyText"/>
        <w:spacing w:before="120"/>
        <w:jc w:val="both"/>
        <w:rPr>
          <w:rFonts w:cs="Arial"/>
          <w:bCs/>
          <w:color w:val="000000" w:themeColor="text1"/>
          <w:sz w:val="20"/>
          <w:lang w:eastAsia="fr-FR"/>
        </w:rPr>
      </w:pPr>
      <w:r w:rsidRPr="00894701">
        <w:rPr>
          <w:rFonts w:cs="Arial"/>
          <w:bCs/>
          <w:color w:val="000000" w:themeColor="text1"/>
          <w:sz w:val="20"/>
          <w:lang w:eastAsia="fr-FR"/>
        </w:rPr>
        <w:t xml:space="preserve">MSGs are encouraged to use this flexibility to communicate timely data that is relevant to the situation in their country. With flexible EITI reporting, implementing countries may deviate from the </w:t>
      </w:r>
      <w:r w:rsidRPr="00894701">
        <w:rPr>
          <w:rFonts w:cs="Arial"/>
          <w:bCs/>
          <w:color w:val="000000" w:themeColor="text1"/>
          <w:sz w:val="20"/>
          <w:lang w:eastAsia="fr-FR"/>
        </w:rPr>
        <w:lastRenderedPageBreak/>
        <w:t xml:space="preserve">standard procedure for EITI reporting, including reconciliation for EITI </w:t>
      </w:r>
      <w:r w:rsidR="00AB280E">
        <w:rPr>
          <w:rFonts w:cs="Arial"/>
          <w:bCs/>
          <w:color w:val="000000" w:themeColor="text1"/>
          <w:sz w:val="20"/>
          <w:lang w:eastAsia="fr-FR"/>
        </w:rPr>
        <w:t>r</w:t>
      </w:r>
      <w:r w:rsidRPr="00894701">
        <w:rPr>
          <w:rFonts w:cs="Arial"/>
          <w:bCs/>
          <w:color w:val="000000" w:themeColor="text1"/>
          <w:sz w:val="20"/>
          <w:lang w:eastAsia="fr-FR"/>
        </w:rPr>
        <w:t xml:space="preserve">eports scheduled for publication by 31 </w:t>
      </w:r>
      <w:r w:rsidR="005C6131" w:rsidRPr="00894701">
        <w:rPr>
          <w:rFonts w:cs="Arial"/>
          <w:bCs/>
          <w:color w:val="000000" w:themeColor="text1"/>
          <w:sz w:val="20"/>
          <w:lang w:eastAsia="fr-FR"/>
        </w:rPr>
        <w:t>December</w:t>
      </w:r>
      <w:r w:rsidRPr="00894701">
        <w:rPr>
          <w:rFonts w:cs="Arial"/>
          <w:bCs/>
          <w:color w:val="000000" w:themeColor="text1"/>
          <w:sz w:val="20"/>
          <w:lang w:eastAsia="fr-FR"/>
        </w:rPr>
        <w:t xml:space="preserve"> 2022. </w:t>
      </w:r>
    </w:p>
    <w:p w14:paraId="141E0088" w14:textId="4F9FF9CB" w:rsidR="00A95833" w:rsidRPr="00894701" w:rsidRDefault="00A95833" w:rsidP="00A95833">
      <w:pPr>
        <w:pStyle w:val="BodyText"/>
        <w:spacing w:before="120"/>
        <w:jc w:val="both"/>
        <w:rPr>
          <w:rFonts w:cs="Arial"/>
          <w:bCs/>
          <w:color w:val="000000" w:themeColor="text1"/>
          <w:sz w:val="20"/>
          <w:lang w:eastAsia="fr-FR"/>
        </w:rPr>
      </w:pPr>
      <w:r w:rsidRPr="00894701">
        <w:rPr>
          <w:rFonts w:cs="Arial"/>
          <w:bCs/>
          <w:color w:val="000000" w:themeColor="text1"/>
          <w:sz w:val="20"/>
          <w:lang w:eastAsia="fr-FR"/>
        </w:rPr>
        <w:t>The EITI-SR MSG has decided to prepare the</w:t>
      </w:r>
      <w:r w:rsidR="004943F1" w:rsidRPr="00894701">
        <w:rPr>
          <w:rFonts w:cs="Arial"/>
          <w:bCs/>
          <w:color w:val="000000" w:themeColor="text1"/>
          <w:sz w:val="20"/>
          <w:lang w:eastAsia="fr-FR"/>
        </w:rPr>
        <w:t xml:space="preserve"> FYs</w:t>
      </w:r>
      <w:r w:rsidRPr="00894701">
        <w:rPr>
          <w:rFonts w:cs="Arial"/>
          <w:bCs/>
          <w:color w:val="000000" w:themeColor="text1"/>
          <w:sz w:val="20"/>
          <w:lang w:eastAsia="fr-FR"/>
        </w:rPr>
        <w:t xml:space="preserve"> 2018, 2019 and 2020 EITI-SR report by adopting the flexible EITI reporting and agreed on the following disclosures below.</w:t>
      </w:r>
    </w:p>
    <w:p w14:paraId="59F1FE5A" w14:textId="3ECC1415" w:rsidR="0038359B" w:rsidRDefault="0038359B" w:rsidP="00BA29E5">
      <w:pPr>
        <w:spacing w:after="0" w:line="240" w:lineRule="auto"/>
        <w:rPr>
          <w:rFonts w:asciiTheme="majorHAnsi" w:eastAsiaTheme="majorEastAsia" w:hAnsiTheme="majorHAnsi" w:cstheme="majorBidi"/>
          <w:b/>
          <w:bCs/>
          <w:color w:val="98002E"/>
          <w:sz w:val="28"/>
          <w:szCs w:val="26"/>
        </w:rPr>
      </w:pPr>
      <w:r w:rsidRPr="00894701">
        <w:rPr>
          <w:rFonts w:asciiTheme="majorHAnsi" w:eastAsiaTheme="majorEastAsia" w:hAnsiTheme="majorHAnsi" w:cstheme="majorBidi"/>
          <w:b/>
          <w:bCs/>
          <w:color w:val="98002E"/>
          <w:sz w:val="28"/>
          <w:szCs w:val="26"/>
        </w:rPr>
        <w:t>Unilateral disclosure for Mining Sector</w:t>
      </w:r>
    </w:p>
    <w:p w14:paraId="362B4F15" w14:textId="77777777" w:rsidR="00925908" w:rsidRPr="00894701" w:rsidRDefault="00925908" w:rsidP="00BA29E5">
      <w:pPr>
        <w:spacing w:after="0" w:line="240" w:lineRule="auto"/>
        <w:rPr>
          <w:rFonts w:asciiTheme="majorHAnsi" w:eastAsiaTheme="majorEastAsia" w:hAnsiTheme="majorHAnsi" w:cstheme="majorBidi"/>
          <w:b/>
          <w:bCs/>
          <w:color w:val="98002E"/>
          <w:sz w:val="28"/>
          <w:szCs w:val="26"/>
        </w:rPr>
      </w:pPr>
    </w:p>
    <w:p w14:paraId="33F03CF8" w14:textId="74D6DF2B" w:rsidR="005C6131" w:rsidRPr="00894701" w:rsidRDefault="00C114DD" w:rsidP="005C6131">
      <w:pPr>
        <w:jc w:val="both"/>
        <w:rPr>
          <w:rFonts w:cs="Arial"/>
          <w:bCs/>
          <w:color w:val="000000" w:themeColor="text1"/>
          <w:sz w:val="20"/>
          <w:lang w:eastAsia="fr-FR"/>
        </w:rPr>
      </w:pPr>
      <w:r w:rsidRPr="00160EF3">
        <w:rPr>
          <w:rFonts w:cs="Arial"/>
          <w:b/>
          <w:color w:val="000000" w:themeColor="text1"/>
          <w:sz w:val="20"/>
          <w:lang w:eastAsia="fr-FR"/>
        </w:rPr>
        <w:t>Large-scale mining companies:</w:t>
      </w:r>
      <w:r w:rsidRPr="00894701">
        <w:rPr>
          <w:rFonts w:cs="Arial"/>
          <w:bCs/>
          <w:color w:val="000000" w:themeColor="text1"/>
          <w:sz w:val="20"/>
          <w:lang w:eastAsia="fr-FR"/>
        </w:rPr>
        <w:t xml:space="preserve"> four (4) large-scale mining companies have been identified with operation</w:t>
      </w:r>
      <w:r w:rsidR="00AB280E">
        <w:rPr>
          <w:rFonts w:cs="Arial"/>
          <w:bCs/>
          <w:color w:val="000000" w:themeColor="text1"/>
          <w:sz w:val="20"/>
          <w:lang w:eastAsia="fr-FR"/>
        </w:rPr>
        <w:t>s</w:t>
      </w:r>
      <w:r w:rsidRPr="00894701">
        <w:rPr>
          <w:rFonts w:cs="Arial"/>
          <w:bCs/>
          <w:color w:val="000000" w:themeColor="text1"/>
          <w:sz w:val="20"/>
          <w:lang w:eastAsia="fr-FR"/>
        </w:rPr>
        <w:t xml:space="preserve"> based on mining agreement</w:t>
      </w:r>
      <w:r w:rsidR="00AB280E">
        <w:rPr>
          <w:rFonts w:cs="Arial"/>
          <w:bCs/>
          <w:color w:val="000000" w:themeColor="text1"/>
          <w:sz w:val="20"/>
          <w:lang w:eastAsia="fr-FR"/>
        </w:rPr>
        <w:t>s</w:t>
      </w:r>
      <w:r w:rsidRPr="00894701">
        <w:rPr>
          <w:rFonts w:cs="Arial"/>
          <w:bCs/>
          <w:color w:val="000000" w:themeColor="text1"/>
          <w:sz w:val="20"/>
          <w:lang w:eastAsia="fr-FR"/>
        </w:rPr>
        <w:t xml:space="preserve"> signed with the Government of Suriname as follows:</w:t>
      </w:r>
    </w:p>
    <w:p w14:paraId="225FCDE9" w14:textId="77777777" w:rsidR="005C6131" w:rsidRPr="00894701" w:rsidRDefault="005C6131" w:rsidP="00A834A8">
      <w:pPr>
        <w:pStyle w:val="ListParagraph"/>
        <w:numPr>
          <w:ilvl w:val="0"/>
          <w:numId w:val="70"/>
        </w:numPr>
        <w:jc w:val="both"/>
        <w:rPr>
          <w:rFonts w:cs="Arial"/>
          <w:bCs/>
          <w:color w:val="000000" w:themeColor="text1"/>
          <w:sz w:val="20"/>
          <w:lang w:eastAsia="fr-FR"/>
        </w:rPr>
      </w:pPr>
      <w:r w:rsidRPr="00894701">
        <w:rPr>
          <w:rFonts w:cs="Arial"/>
          <w:bCs/>
          <w:color w:val="000000" w:themeColor="text1"/>
          <w:sz w:val="20"/>
          <w:lang w:eastAsia="fr-FR"/>
        </w:rPr>
        <w:t>Rosebel Gold Mines N.V.;</w:t>
      </w:r>
    </w:p>
    <w:p w14:paraId="506B38FD" w14:textId="77777777" w:rsidR="005C6131" w:rsidRPr="00894701" w:rsidRDefault="005C6131" w:rsidP="00A834A8">
      <w:pPr>
        <w:pStyle w:val="ListParagraph"/>
        <w:numPr>
          <w:ilvl w:val="0"/>
          <w:numId w:val="70"/>
        </w:numPr>
        <w:jc w:val="both"/>
        <w:rPr>
          <w:rFonts w:cs="Arial"/>
          <w:bCs/>
          <w:color w:val="000000" w:themeColor="text1"/>
          <w:sz w:val="20"/>
          <w:lang w:eastAsia="fr-FR"/>
        </w:rPr>
      </w:pPr>
      <w:r w:rsidRPr="00894701">
        <w:rPr>
          <w:rFonts w:cs="Arial"/>
          <w:bCs/>
          <w:color w:val="000000" w:themeColor="text1"/>
          <w:sz w:val="20"/>
          <w:lang w:eastAsia="fr-FR"/>
        </w:rPr>
        <w:t xml:space="preserve">Newmont Suriname LLC; </w:t>
      </w:r>
    </w:p>
    <w:p w14:paraId="3C76177B" w14:textId="77777777" w:rsidR="005C6131" w:rsidRPr="00894701" w:rsidRDefault="005C6131" w:rsidP="00A834A8">
      <w:pPr>
        <w:pStyle w:val="ListParagraph"/>
        <w:numPr>
          <w:ilvl w:val="0"/>
          <w:numId w:val="70"/>
        </w:numPr>
        <w:jc w:val="both"/>
        <w:rPr>
          <w:rFonts w:cs="Arial"/>
          <w:bCs/>
          <w:color w:val="000000" w:themeColor="text1"/>
          <w:sz w:val="20"/>
          <w:lang w:eastAsia="fr-FR"/>
        </w:rPr>
      </w:pPr>
      <w:r w:rsidRPr="00894701">
        <w:rPr>
          <w:rFonts w:cs="Arial"/>
          <w:bCs/>
          <w:color w:val="000000" w:themeColor="text1"/>
          <w:sz w:val="20"/>
          <w:lang w:eastAsia="fr-FR"/>
        </w:rPr>
        <w:t>NV 1 (100% State-Owned Enterprise) active in 2018 and 2019 only as the company has been acquired by Staatsolie during 2020; and</w:t>
      </w:r>
    </w:p>
    <w:p w14:paraId="196F8DCC" w14:textId="77777777" w:rsidR="005C6131" w:rsidRPr="00894701" w:rsidRDefault="005C6131" w:rsidP="00A834A8">
      <w:pPr>
        <w:pStyle w:val="ListParagraph"/>
        <w:numPr>
          <w:ilvl w:val="0"/>
          <w:numId w:val="70"/>
        </w:numPr>
        <w:jc w:val="both"/>
        <w:rPr>
          <w:rFonts w:cs="Arial"/>
          <w:bCs/>
          <w:color w:val="000000" w:themeColor="text1"/>
          <w:sz w:val="20"/>
          <w:lang w:eastAsia="fr-FR"/>
        </w:rPr>
      </w:pPr>
      <w:r w:rsidRPr="00894701">
        <w:rPr>
          <w:rFonts w:cs="Arial"/>
          <w:bCs/>
          <w:color w:val="000000" w:themeColor="text1"/>
          <w:sz w:val="20"/>
          <w:lang w:eastAsia="fr-FR"/>
        </w:rPr>
        <w:t>NV Grassalco (100% State-Owned Enterprise).</w:t>
      </w:r>
    </w:p>
    <w:p w14:paraId="6C41BBCA" w14:textId="7EFA8E33" w:rsidR="00EE0114" w:rsidRPr="00894701" w:rsidRDefault="00EE0114" w:rsidP="00EE0114">
      <w:pPr>
        <w:jc w:val="both"/>
        <w:rPr>
          <w:rFonts w:cs="Arial"/>
          <w:bCs/>
          <w:color w:val="000000" w:themeColor="text1"/>
          <w:sz w:val="20"/>
          <w:lang w:eastAsia="fr-FR"/>
        </w:rPr>
      </w:pPr>
      <w:r w:rsidRPr="00160EF3">
        <w:rPr>
          <w:rFonts w:cs="Arial"/>
          <w:b/>
          <w:color w:val="000000" w:themeColor="text1"/>
          <w:sz w:val="20"/>
          <w:lang w:eastAsia="fr-FR"/>
        </w:rPr>
        <w:t>Medium and small-scale mining companies:</w:t>
      </w:r>
      <w:r w:rsidRPr="00894701">
        <w:rPr>
          <w:rFonts w:cs="Arial"/>
          <w:bCs/>
          <w:color w:val="000000" w:themeColor="text1"/>
          <w:sz w:val="20"/>
          <w:lang w:eastAsia="fr-FR"/>
        </w:rPr>
        <w:t xml:space="preserve"> The Government Agencies reported the revenues received from the other mining companies during the FYs 2018, 2019 and 2020 as detailed above. However, for the medium and small-scale mining companies, the revenue was not disaggregated by company. </w:t>
      </w:r>
    </w:p>
    <w:p w14:paraId="30CE2573" w14:textId="77777777" w:rsidR="00EE0114" w:rsidRPr="00894701" w:rsidRDefault="00EE0114" w:rsidP="00EE0114">
      <w:pPr>
        <w:jc w:val="both"/>
        <w:rPr>
          <w:rFonts w:cs="Arial"/>
          <w:bCs/>
          <w:color w:val="000000" w:themeColor="text1"/>
          <w:sz w:val="20"/>
          <w:lang w:eastAsia="fr-FR"/>
        </w:rPr>
      </w:pPr>
      <w:r w:rsidRPr="00894701">
        <w:rPr>
          <w:rFonts w:cs="Arial"/>
          <w:bCs/>
          <w:color w:val="000000" w:themeColor="text1"/>
          <w:sz w:val="20"/>
          <w:lang w:eastAsia="fr-FR"/>
        </w:rPr>
        <w:t>Given the COVID restrictions and the above limitation, the EITI-SR MSG agreed to include payments made by the mining entities during the fiscal years 2018, 2019 and 2020 through unilateral disclosure by the relevant Government Agencies without reconciliation in accordance with the EITI Flexible reporting in response to the COVID-19 pandemic.</w:t>
      </w:r>
    </w:p>
    <w:p w14:paraId="6F7F8A5C" w14:textId="77777777" w:rsidR="00EE0114" w:rsidRPr="00894701" w:rsidRDefault="00EE0114" w:rsidP="00EE0114">
      <w:pPr>
        <w:pStyle w:val="BodyText"/>
        <w:spacing w:before="120"/>
        <w:rPr>
          <w:rFonts w:asciiTheme="majorHAnsi" w:eastAsiaTheme="majorEastAsia" w:hAnsiTheme="majorHAnsi" w:cstheme="majorBidi"/>
          <w:b/>
          <w:bCs/>
          <w:color w:val="98002E"/>
          <w:sz w:val="28"/>
          <w:szCs w:val="26"/>
        </w:rPr>
      </w:pPr>
      <w:r w:rsidRPr="00894701">
        <w:rPr>
          <w:rFonts w:asciiTheme="majorHAnsi" w:eastAsiaTheme="majorEastAsia" w:hAnsiTheme="majorHAnsi" w:cstheme="majorBidi"/>
          <w:b/>
          <w:bCs/>
          <w:color w:val="98002E"/>
          <w:sz w:val="28"/>
          <w:szCs w:val="26"/>
        </w:rPr>
        <w:t>Government agencies</w:t>
      </w:r>
    </w:p>
    <w:p w14:paraId="0AEBE69C" w14:textId="77777777" w:rsidR="00EE0114" w:rsidRPr="00894701" w:rsidRDefault="00EE0114" w:rsidP="00EE0114">
      <w:pPr>
        <w:jc w:val="both"/>
        <w:rPr>
          <w:color w:val="000000"/>
          <w:sz w:val="20"/>
          <w:szCs w:val="20"/>
        </w:rPr>
      </w:pPr>
      <w:r w:rsidRPr="00894701">
        <w:rPr>
          <w:color w:val="000000"/>
          <w:sz w:val="20"/>
          <w:szCs w:val="20"/>
        </w:rPr>
        <w:t xml:space="preserve">Requirement 4.1 (b) of the EITI Standard states that: “Implementing countries must ensure that all Government Agencies receiving material revenues from oil, gas and mining companies are required to comprehensively disclose these revenues in accordance with the agreed scope. Government Agencies should only be exempted from disclosure if it can be demonstrated that their revenues are not material.” </w:t>
      </w:r>
    </w:p>
    <w:p w14:paraId="16FA9377" w14:textId="7BC30447" w:rsidR="00EE0114" w:rsidRPr="00894701" w:rsidRDefault="00EE0114" w:rsidP="00EE0114">
      <w:pPr>
        <w:jc w:val="both"/>
        <w:rPr>
          <w:color w:val="000000"/>
          <w:sz w:val="20"/>
          <w:szCs w:val="20"/>
        </w:rPr>
      </w:pPr>
      <w:r w:rsidRPr="00894701">
        <w:rPr>
          <w:color w:val="000000"/>
          <w:sz w:val="20"/>
          <w:szCs w:val="20"/>
        </w:rPr>
        <w:t>Based on the scoping study, the EITI-SR MSG</w:t>
      </w:r>
      <w:r w:rsidRPr="00894701">
        <w:rPr>
          <w:color w:val="auto"/>
          <w:sz w:val="20"/>
          <w:szCs w:val="20"/>
        </w:rPr>
        <w:t xml:space="preserve"> agreed </w:t>
      </w:r>
      <w:r w:rsidRPr="00894701">
        <w:rPr>
          <w:color w:val="000000"/>
          <w:sz w:val="20"/>
          <w:szCs w:val="20"/>
        </w:rPr>
        <w:t xml:space="preserve">that the Ministry of Finance and Planning (including </w:t>
      </w:r>
      <w:r w:rsidR="00925908">
        <w:rPr>
          <w:color w:val="000000"/>
          <w:sz w:val="20"/>
          <w:szCs w:val="20"/>
        </w:rPr>
        <w:t xml:space="preserve">the </w:t>
      </w:r>
      <w:r w:rsidRPr="00894701">
        <w:rPr>
          <w:color w:val="000000"/>
          <w:sz w:val="20"/>
          <w:szCs w:val="20"/>
        </w:rPr>
        <w:t>Taxation</w:t>
      </w:r>
      <w:r w:rsidR="00925908">
        <w:rPr>
          <w:color w:val="000000"/>
          <w:sz w:val="20"/>
          <w:szCs w:val="20"/>
        </w:rPr>
        <w:t xml:space="preserve"> </w:t>
      </w:r>
      <w:r w:rsidR="00925908" w:rsidRPr="00894701">
        <w:rPr>
          <w:color w:val="000000"/>
          <w:sz w:val="20"/>
          <w:szCs w:val="20"/>
        </w:rPr>
        <w:t>Directorate</w:t>
      </w:r>
      <w:r w:rsidRPr="00894701">
        <w:rPr>
          <w:color w:val="000000"/>
          <w:sz w:val="20"/>
          <w:szCs w:val="20"/>
        </w:rPr>
        <w:t xml:space="preserve">) is included in the reconciliation scope to report the revenues received from extractive industries for the FYs 2018, 2019 and 2020. </w:t>
      </w:r>
    </w:p>
    <w:p w14:paraId="25F7F6D4" w14:textId="2DF0B3A6" w:rsidR="00EE0114" w:rsidRPr="00894701" w:rsidRDefault="00EE0114" w:rsidP="00EE0114">
      <w:pPr>
        <w:jc w:val="both"/>
        <w:rPr>
          <w:color w:val="000000"/>
          <w:sz w:val="20"/>
          <w:szCs w:val="20"/>
        </w:rPr>
      </w:pPr>
      <w:r w:rsidRPr="00894701">
        <w:rPr>
          <w:color w:val="000000"/>
          <w:sz w:val="20"/>
          <w:szCs w:val="20"/>
        </w:rPr>
        <w:t>Even if the following Government Agencies are not required to fill in reporting templates for the reconciliation, they are still required to report on other information including the contextual data:</w:t>
      </w:r>
    </w:p>
    <w:p w14:paraId="34C4D824" w14:textId="77777777" w:rsidR="00EE0114" w:rsidRPr="00894701" w:rsidRDefault="00EE0114" w:rsidP="007426C6">
      <w:pPr>
        <w:pStyle w:val="ListParagraph"/>
        <w:numPr>
          <w:ilvl w:val="0"/>
          <w:numId w:val="71"/>
        </w:numPr>
        <w:ind w:left="426" w:hanging="357"/>
        <w:contextualSpacing w:val="0"/>
        <w:jc w:val="both"/>
        <w:rPr>
          <w:color w:val="000000"/>
          <w:sz w:val="20"/>
          <w:szCs w:val="20"/>
        </w:rPr>
      </w:pPr>
      <w:r w:rsidRPr="00894701">
        <w:rPr>
          <w:color w:val="000000"/>
          <w:sz w:val="20"/>
          <w:szCs w:val="20"/>
        </w:rPr>
        <w:t>Ministry of Natural Resources (MONR);</w:t>
      </w:r>
    </w:p>
    <w:p w14:paraId="7EA4AE99" w14:textId="77777777" w:rsidR="00EE0114" w:rsidRPr="00894701" w:rsidRDefault="00EE0114" w:rsidP="007426C6">
      <w:pPr>
        <w:pStyle w:val="ListParagraph"/>
        <w:numPr>
          <w:ilvl w:val="0"/>
          <w:numId w:val="71"/>
        </w:numPr>
        <w:ind w:left="426" w:hanging="357"/>
        <w:contextualSpacing w:val="0"/>
        <w:jc w:val="both"/>
        <w:rPr>
          <w:color w:val="000000"/>
          <w:sz w:val="20"/>
          <w:szCs w:val="20"/>
        </w:rPr>
      </w:pPr>
      <w:r w:rsidRPr="00894701">
        <w:rPr>
          <w:color w:val="000000"/>
          <w:sz w:val="20"/>
          <w:szCs w:val="20"/>
        </w:rPr>
        <w:t>Geologisch Mijnbouwkundige Dienst (GMD);</w:t>
      </w:r>
    </w:p>
    <w:p w14:paraId="0ECB1567" w14:textId="77777777" w:rsidR="00EE0114" w:rsidRPr="00894701" w:rsidRDefault="00EE0114" w:rsidP="007426C6">
      <w:pPr>
        <w:pStyle w:val="ListParagraph"/>
        <w:numPr>
          <w:ilvl w:val="0"/>
          <w:numId w:val="71"/>
        </w:numPr>
        <w:ind w:left="426" w:hanging="357"/>
        <w:contextualSpacing w:val="0"/>
        <w:jc w:val="both"/>
        <w:rPr>
          <w:color w:val="000000"/>
          <w:sz w:val="20"/>
          <w:szCs w:val="20"/>
        </w:rPr>
      </w:pPr>
      <w:r w:rsidRPr="00894701">
        <w:rPr>
          <w:color w:val="000000"/>
          <w:sz w:val="20"/>
          <w:szCs w:val="20"/>
        </w:rPr>
        <w:t>Foreign Exchange Commission;</w:t>
      </w:r>
    </w:p>
    <w:p w14:paraId="2000C099" w14:textId="3BC9E314" w:rsidR="00EE0114" w:rsidRPr="00894701" w:rsidRDefault="00EE0114" w:rsidP="007426C6">
      <w:pPr>
        <w:pStyle w:val="ListParagraph"/>
        <w:numPr>
          <w:ilvl w:val="0"/>
          <w:numId w:val="71"/>
        </w:numPr>
        <w:ind w:left="426" w:hanging="357"/>
        <w:contextualSpacing w:val="0"/>
        <w:jc w:val="both"/>
        <w:rPr>
          <w:color w:val="000000"/>
          <w:sz w:val="20"/>
          <w:szCs w:val="20"/>
        </w:rPr>
      </w:pPr>
      <w:r w:rsidRPr="00894701">
        <w:rPr>
          <w:color w:val="000000"/>
          <w:sz w:val="20"/>
          <w:szCs w:val="20"/>
        </w:rPr>
        <w:t>Pamaka Foundation; and</w:t>
      </w:r>
    </w:p>
    <w:p w14:paraId="57E97F8D" w14:textId="712A0C50" w:rsidR="007107F8" w:rsidRPr="00894701" w:rsidRDefault="00EE0114" w:rsidP="007426C6">
      <w:pPr>
        <w:pStyle w:val="ListParagraph"/>
        <w:numPr>
          <w:ilvl w:val="0"/>
          <w:numId w:val="71"/>
        </w:numPr>
        <w:ind w:left="426" w:hanging="357"/>
        <w:contextualSpacing w:val="0"/>
        <w:jc w:val="both"/>
        <w:rPr>
          <w:color w:val="000000"/>
          <w:sz w:val="20"/>
          <w:szCs w:val="20"/>
        </w:rPr>
      </w:pPr>
      <w:r w:rsidRPr="00894701">
        <w:rPr>
          <w:color w:val="000000"/>
          <w:sz w:val="20"/>
          <w:szCs w:val="20"/>
        </w:rPr>
        <w:t>Suriname Environmental and Mining Foundation (SEMiF).</w:t>
      </w:r>
    </w:p>
    <w:p w14:paraId="75275597" w14:textId="77777777" w:rsidR="007107F8" w:rsidRPr="00894701" w:rsidRDefault="007107F8">
      <w:pPr>
        <w:spacing w:after="0" w:line="240" w:lineRule="auto"/>
        <w:rPr>
          <w:color w:val="000000"/>
          <w:sz w:val="20"/>
          <w:szCs w:val="20"/>
        </w:rPr>
      </w:pPr>
      <w:r w:rsidRPr="00894701">
        <w:rPr>
          <w:color w:val="000000"/>
          <w:sz w:val="20"/>
          <w:szCs w:val="20"/>
        </w:rPr>
        <w:br w:type="page"/>
      </w:r>
    </w:p>
    <w:p w14:paraId="3E63790D" w14:textId="1534C4ED" w:rsidR="00B30F10" w:rsidRPr="00894701" w:rsidRDefault="00B30F10" w:rsidP="00B55953">
      <w:pPr>
        <w:pStyle w:val="Heading2"/>
        <w:numPr>
          <w:ilvl w:val="1"/>
          <w:numId w:val="7"/>
        </w:numPr>
        <w:spacing w:before="240" w:after="0"/>
        <w:ind w:left="0" w:right="482" w:firstLine="0"/>
        <w:rPr>
          <w:rFonts w:asciiTheme="majorHAnsi" w:hAnsiTheme="majorHAnsi"/>
          <w:sz w:val="28"/>
          <w:szCs w:val="28"/>
        </w:rPr>
      </w:pPr>
      <w:bookmarkStart w:id="47" w:name="_Toc101349926"/>
      <w:bookmarkStart w:id="48" w:name="_Toc102773121"/>
      <w:bookmarkStart w:id="49" w:name="_Toc122478836"/>
      <w:bookmarkStart w:id="50" w:name="_Toc517996475"/>
      <w:bookmarkStart w:id="51" w:name="_Toc6189165"/>
      <w:bookmarkStart w:id="52" w:name="_Toc6925724"/>
      <w:r w:rsidRPr="00894701">
        <w:rPr>
          <w:rFonts w:asciiTheme="majorHAnsi" w:hAnsiTheme="majorHAnsi"/>
          <w:sz w:val="28"/>
          <w:szCs w:val="28"/>
        </w:rPr>
        <w:lastRenderedPageBreak/>
        <w:t>Completeness and Reliability of Data</w:t>
      </w:r>
      <w:bookmarkEnd w:id="47"/>
      <w:bookmarkEnd w:id="48"/>
      <w:bookmarkEnd w:id="49"/>
    </w:p>
    <w:bookmarkEnd w:id="50"/>
    <w:bookmarkEnd w:id="51"/>
    <w:bookmarkEnd w:id="52"/>
    <w:p w14:paraId="3970FB3F" w14:textId="17ABE40B" w:rsidR="00B30F10" w:rsidRPr="00894701" w:rsidRDefault="00B30F10" w:rsidP="00EE0114">
      <w:pPr>
        <w:jc w:val="both"/>
        <w:rPr>
          <w:rFonts w:cs="Arial"/>
          <w:bCs/>
          <w:color w:val="000000" w:themeColor="text1"/>
          <w:sz w:val="20"/>
          <w:lang w:eastAsia="fr-FR"/>
        </w:rPr>
      </w:pPr>
    </w:p>
    <w:p w14:paraId="1B34FF53" w14:textId="77777777" w:rsidR="002209C2" w:rsidRPr="00894701" w:rsidRDefault="002209C2" w:rsidP="002209C2">
      <w:pPr>
        <w:pStyle w:val="BodyText"/>
        <w:spacing w:after="240"/>
        <w:rPr>
          <w:rFonts w:asciiTheme="majorHAnsi" w:eastAsiaTheme="majorEastAsia" w:hAnsiTheme="majorHAnsi" w:cstheme="majorBidi"/>
          <w:b/>
          <w:bCs/>
          <w:color w:val="98002E"/>
          <w:sz w:val="28"/>
          <w:szCs w:val="26"/>
        </w:rPr>
      </w:pPr>
      <w:r w:rsidRPr="00894701">
        <w:rPr>
          <w:rFonts w:asciiTheme="majorHAnsi" w:eastAsiaTheme="majorEastAsia" w:hAnsiTheme="majorHAnsi" w:cstheme="majorBidi"/>
          <w:b/>
          <w:bCs/>
          <w:color w:val="98002E"/>
          <w:sz w:val="28"/>
          <w:szCs w:val="26"/>
        </w:rPr>
        <w:t>Data submission</w:t>
      </w:r>
    </w:p>
    <w:p w14:paraId="5B33D78F" w14:textId="77777777" w:rsidR="002209C2" w:rsidRPr="00894701" w:rsidRDefault="002209C2" w:rsidP="002209C2">
      <w:pPr>
        <w:spacing w:after="240"/>
        <w:jc w:val="both"/>
        <w:rPr>
          <w:rFonts w:asciiTheme="majorHAnsi" w:eastAsiaTheme="majorEastAsia" w:hAnsiTheme="majorHAnsi" w:cstheme="majorBidi"/>
          <w:b/>
          <w:iCs/>
          <w:color w:val="ED1A3B" w:themeColor="accent1"/>
          <w:sz w:val="20"/>
          <w:szCs w:val="26"/>
        </w:rPr>
      </w:pPr>
      <w:r w:rsidRPr="00894701">
        <w:rPr>
          <w:rFonts w:asciiTheme="majorHAnsi" w:eastAsiaTheme="majorEastAsia" w:hAnsiTheme="majorHAnsi" w:cstheme="majorBidi"/>
          <w:b/>
          <w:iCs/>
          <w:color w:val="ED1A3B" w:themeColor="accent1"/>
          <w:sz w:val="20"/>
          <w:szCs w:val="26"/>
        </w:rPr>
        <w:t>Government Agencies</w:t>
      </w:r>
    </w:p>
    <w:p w14:paraId="57F29832" w14:textId="3B597231" w:rsidR="005B36F7" w:rsidRPr="00894701" w:rsidRDefault="004A5617" w:rsidP="000F7A2C">
      <w:pPr>
        <w:jc w:val="both"/>
        <w:rPr>
          <w:rFonts w:cs="Arial"/>
          <w:bCs/>
          <w:color w:val="auto"/>
          <w:kern w:val="0"/>
          <w:sz w:val="20"/>
          <w:szCs w:val="20"/>
          <w:lang w:eastAsia="fr-FR"/>
        </w:rPr>
      </w:pPr>
      <w:r w:rsidRPr="00894701">
        <w:rPr>
          <w:rFonts w:cs="Arial"/>
          <w:bCs/>
          <w:color w:val="auto"/>
          <w:kern w:val="0"/>
          <w:sz w:val="20"/>
          <w:szCs w:val="20"/>
          <w:lang w:eastAsia="fr-FR"/>
        </w:rPr>
        <w:t xml:space="preserve">The </w:t>
      </w:r>
      <w:r w:rsidR="002209C2" w:rsidRPr="00894701">
        <w:rPr>
          <w:rFonts w:cs="Arial"/>
          <w:bCs/>
          <w:color w:val="auto"/>
          <w:kern w:val="0"/>
          <w:sz w:val="20"/>
          <w:szCs w:val="20"/>
          <w:lang w:eastAsia="fr-FR"/>
        </w:rPr>
        <w:t>Ministry of Finance and Planning submitted reporting templates</w:t>
      </w:r>
      <w:r w:rsidR="005B36F7" w:rsidRPr="00894701">
        <w:rPr>
          <w:rFonts w:cs="Arial"/>
          <w:bCs/>
          <w:color w:val="auto"/>
          <w:kern w:val="0"/>
          <w:sz w:val="20"/>
          <w:szCs w:val="20"/>
          <w:lang w:eastAsia="fr-FR"/>
        </w:rPr>
        <w:t xml:space="preserve"> </w:t>
      </w:r>
      <w:r w:rsidRPr="00894701">
        <w:rPr>
          <w:rFonts w:cs="Arial"/>
          <w:bCs/>
          <w:color w:val="auto"/>
          <w:kern w:val="0"/>
          <w:sz w:val="20"/>
          <w:szCs w:val="20"/>
          <w:lang w:eastAsia="fr-FR"/>
        </w:rPr>
        <w:t xml:space="preserve">for </w:t>
      </w:r>
      <w:r w:rsidR="00886610" w:rsidRPr="00894701">
        <w:rPr>
          <w:rFonts w:cs="Arial"/>
          <w:bCs/>
          <w:color w:val="auto"/>
          <w:kern w:val="0"/>
          <w:sz w:val="20"/>
          <w:szCs w:val="20"/>
          <w:lang w:eastAsia="fr-FR"/>
        </w:rPr>
        <w:t xml:space="preserve">four </w:t>
      </w:r>
      <w:r w:rsidR="005B36F7" w:rsidRPr="00894701">
        <w:rPr>
          <w:rFonts w:cs="Arial"/>
          <w:bCs/>
          <w:color w:val="auto"/>
          <w:kern w:val="0"/>
          <w:sz w:val="20"/>
          <w:szCs w:val="20"/>
          <w:lang w:eastAsia="fr-FR"/>
        </w:rPr>
        <w:t>(</w:t>
      </w:r>
      <w:r w:rsidR="00886610" w:rsidRPr="00894701">
        <w:rPr>
          <w:rFonts w:cs="Arial"/>
          <w:bCs/>
          <w:color w:val="auto"/>
          <w:kern w:val="0"/>
          <w:sz w:val="20"/>
          <w:szCs w:val="20"/>
          <w:lang w:eastAsia="fr-FR"/>
        </w:rPr>
        <w:t>4</w:t>
      </w:r>
      <w:r w:rsidR="005B36F7" w:rsidRPr="00894701">
        <w:rPr>
          <w:rFonts w:cs="Arial"/>
          <w:bCs/>
          <w:color w:val="auto"/>
          <w:kern w:val="0"/>
          <w:sz w:val="20"/>
          <w:szCs w:val="20"/>
          <w:lang w:eastAsia="fr-FR"/>
        </w:rPr>
        <w:t xml:space="preserve">) of eight (8) </w:t>
      </w:r>
      <w:r w:rsidR="008E41D7" w:rsidRPr="00894701">
        <w:rPr>
          <w:rFonts w:cs="Arial"/>
          <w:bCs/>
          <w:color w:val="auto"/>
          <w:kern w:val="0"/>
          <w:sz w:val="20"/>
          <w:szCs w:val="20"/>
          <w:lang w:eastAsia="fr-FR"/>
        </w:rPr>
        <w:t>companies</w:t>
      </w:r>
      <w:r w:rsidR="008E41D7">
        <w:rPr>
          <w:rFonts w:cs="Arial"/>
          <w:bCs/>
          <w:color w:val="auto"/>
          <w:kern w:val="0"/>
          <w:sz w:val="20"/>
          <w:szCs w:val="20"/>
          <w:lang w:eastAsia="fr-FR"/>
        </w:rPr>
        <w:t xml:space="preserve"> </w:t>
      </w:r>
      <w:r w:rsidR="005B36F7" w:rsidRPr="00894701">
        <w:rPr>
          <w:rFonts w:cs="Arial"/>
          <w:bCs/>
          <w:color w:val="auto"/>
          <w:kern w:val="0"/>
          <w:sz w:val="20"/>
          <w:szCs w:val="20"/>
          <w:lang w:eastAsia="fr-FR"/>
        </w:rPr>
        <w:t>included in the reconciliation scope.</w:t>
      </w:r>
      <w:r w:rsidR="000F7A2C" w:rsidRPr="00894701">
        <w:rPr>
          <w:rFonts w:cs="Arial"/>
          <w:bCs/>
          <w:color w:val="auto"/>
          <w:kern w:val="0"/>
          <w:sz w:val="20"/>
          <w:szCs w:val="20"/>
          <w:lang w:eastAsia="fr-FR"/>
        </w:rPr>
        <w:t xml:space="preserve"> </w:t>
      </w:r>
      <w:r w:rsidR="00B92DA4" w:rsidRPr="00894701">
        <w:rPr>
          <w:rFonts w:cs="Arial"/>
          <w:bCs/>
          <w:color w:val="auto"/>
          <w:kern w:val="0"/>
          <w:sz w:val="20"/>
          <w:szCs w:val="20"/>
          <w:lang w:eastAsia="fr-FR"/>
        </w:rPr>
        <w:t xml:space="preserve">The companies for which </w:t>
      </w:r>
      <w:r w:rsidR="005B36F7" w:rsidRPr="00894701">
        <w:rPr>
          <w:rFonts w:cs="Arial"/>
          <w:bCs/>
          <w:color w:val="auto"/>
          <w:kern w:val="0"/>
          <w:sz w:val="20"/>
          <w:szCs w:val="20"/>
          <w:lang w:eastAsia="fr-FR"/>
        </w:rPr>
        <w:t xml:space="preserve">MoFP </w:t>
      </w:r>
      <w:r w:rsidR="00B92DA4" w:rsidRPr="00894701">
        <w:rPr>
          <w:rFonts w:cs="Arial"/>
          <w:bCs/>
          <w:color w:val="auto"/>
          <w:kern w:val="0"/>
          <w:sz w:val="20"/>
          <w:szCs w:val="20"/>
          <w:lang w:eastAsia="fr-FR"/>
        </w:rPr>
        <w:t xml:space="preserve">did not submit reporting templates </w:t>
      </w:r>
      <w:r w:rsidR="008E41D7">
        <w:rPr>
          <w:rFonts w:cs="Arial"/>
          <w:bCs/>
          <w:color w:val="auto"/>
          <w:kern w:val="0"/>
          <w:sz w:val="20"/>
          <w:szCs w:val="20"/>
          <w:lang w:eastAsia="fr-FR"/>
        </w:rPr>
        <w:t xml:space="preserve">for </w:t>
      </w:r>
      <w:r w:rsidR="005B36F7" w:rsidRPr="00894701">
        <w:rPr>
          <w:rFonts w:cs="Arial"/>
          <w:bCs/>
          <w:color w:val="auto"/>
          <w:kern w:val="0"/>
          <w:sz w:val="20"/>
          <w:szCs w:val="20"/>
          <w:lang w:eastAsia="fr-FR"/>
        </w:rPr>
        <w:t xml:space="preserve">are </w:t>
      </w:r>
      <w:r w:rsidR="008E41D7">
        <w:rPr>
          <w:rFonts w:cs="Arial"/>
          <w:bCs/>
          <w:color w:val="auto"/>
          <w:kern w:val="0"/>
          <w:sz w:val="20"/>
          <w:szCs w:val="20"/>
          <w:lang w:eastAsia="fr-FR"/>
        </w:rPr>
        <w:t>set out in the table below.</w:t>
      </w:r>
    </w:p>
    <w:p w14:paraId="448651C2" w14:textId="6F6B1702" w:rsidR="000F7A2C" w:rsidRPr="00894701" w:rsidRDefault="00A81581" w:rsidP="00F958E2">
      <w:pPr>
        <w:pStyle w:val="BodyTextRed"/>
        <w:jc w:val="center"/>
        <w:rPr>
          <w:b/>
          <w:bCs/>
          <w:color w:val="98002E" w:themeColor="accent3"/>
          <w:sz w:val="20"/>
          <w:szCs w:val="20"/>
        </w:rPr>
      </w:pPr>
      <w:bookmarkStart w:id="53" w:name="_Toc146590479"/>
      <w:r w:rsidRPr="00894701">
        <w:rPr>
          <w:b/>
          <w:bCs/>
          <w:color w:val="98002E"/>
          <w:sz w:val="20"/>
          <w:szCs w:val="20"/>
        </w:rPr>
        <w:t>Table</w:t>
      </w:r>
      <w:r w:rsidRPr="00894701">
        <w:rPr>
          <w:b/>
          <w:bCs/>
          <w:color w:val="98002E" w:themeColor="accent3"/>
          <w:sz w:val="20"/>
          <w:szCs w:val="20"/>
        </w:rPr>
        <w:t xml:space="preserv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7</w:t>
      </w:r>
      <w:r w:rsidRPr="00894701">
        <w:rPr>
          <w:b/>
          <w:bCs/>
          <w:color w:val="98002E" w:themeColor="accent3"/>
          <w:sz w:val="20"/>
          <w:szCs w:val="20"/>
        </w:rPr>
        <w:fldChar w:fldCharType="end"/>
      </w:r>
      <w:r w:rsidRPr="00894701">
        <w:rPr>
          <w:b/>
          <w:bCs/>
          <w:color w:val="98002E" w:themeColor="accent3"/>
          <w:sz w:val="20"/>
          <w:szCs w:val="20"/>
        </w:rPr>
        <w:t>: Reporting template not submitted by MoFP</w:t>
      </w:r>
      <w:bookmarkEnd w:id="53"/>
      <w:r w:rsidRPr="00894701">
        <w:rPr>
          <w:b/>
          <w:bCs/>
          <w:color w:val="98002E" w:themeColor="accent3"/>
          <w:sz w:val="20"/>
          <w:szCs w:val="20"/>
        </w:rPr>
        <w:t xml:space="preserve"> </w:t>
      </w:r>
    </w:p>
    <w:tbl>
      <w:tblPr>
        <w:tblStyle w:val="TableGrid"/>
        <w:tblW w:w="5000" w:type="pct"/>
        <w:tblLook w:val="04A0" w:firstRow="1" w:lastRow="0" w:firstColumn="1" w:lastColumn="0" w:noHBand="0" w:noVBand="1"/>
      </w:tblPr>
      <w:tblGrid>
        <w:gridCol w:w="1372"/>
        <w:gridCol w:w="7678"/>
      </w:tblGrid>
      <w:tr w:rsidR="000F7A2C" w:rsidRPr="00894701" w14:paraId="07DECF88" w14:textId="77777777" w:rsidTr="00136607">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758" w:type="pct"/>
            <w:shd w:val="clear" w:color="auto" w:fill="920000"/>
          </w:tcPr>
          <w:p w14:paraId="6FFB4F0C" w14:textId="77777777" w:rsidR="000F7A2C" w:rsidRPr="00894701" w:rsidRDefault="000F7A2C" w:rsidP="00136607">
            <w:pPr>
              <w:spacing w:before="0" w:after="0" w:line="240" w:lineRule="auto"/>
              <w:rPr>
                <w:b/>
                <w:bCs/>
                <w:color w:val="FFFFFF"/>
                <w:sz w:val="20"/>
              </w:rPr>
            </w:pPr>
            <w:r w:rsidRPr="00894701">
              <w:rPr>
                <w:b/>
                <w:bCs/>
                <w:color w:val="FFFFFF"/>
                <w:sz w:val="20"/>
              </w:rPr>
              <w:t>N°</w:t>
            </w:r>
          </w:p>
        </w:tc>
        <w:tc>
          <w:tcPr>
            <w:tcW w:w="4242" w:type="pct"/>
            <w:shd w:val="clear" w:color="auto" w:fill="920000"/>
          </w:tcPr>
          <w:p w14:paraId="17147BD1" w14:textId="77777777" w:rsidR="000F7A2C" w:rsidRPr="00894701" w:rsidRDefault="000F7A2C" w:rsidP="00136607">
            <w:pPr>
              <w:spacing w:before="0" w:after="0" w:line="240" w:lineRule="auto"/>
              <w:cnfStyle w:val="100000000000" w:firstRow="1" w:lastRow="0" w:firstColumn="0" w:lastColumn="0" w:oddVBand="0" w:evenVBand="0" w:oddHBand="0" w:evenHBand="0" w:firstRowFirstColumn="0" w:firstRowLastColumn="0" w:lastRowFirstColumn="0" w:lastRowLastColumn="0"/>
              <w:rPr>
                <w:b/>
                <w:bCs/>
                <w:color w:val="FFFFFF"/>
                <w:sz w:val="20"/>
              </w:rPr>
            </w:pPr>
            <w:r w:rsidRPr="00894701">
              <w:rPr>
                <w:b/>
                <w:bCs/>
                <w:color w:val="FFFFFF"/>
                <w:sz w:val="20"/>
              </w:rPr>
              <w:t>Company</w:t>
            </w:r>
          </w:p>
        </w:tc>
      </w:tr>
      <w:tr w:rsidR="00AC7654" w:rsidRPr="00894701" w14:paraId="188DE227" w14:textId="77777777" w:rsidTr="00F958E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58" w:type="pct"/>
            <w:vAlign w:val="center"/>
          </w:tcPr>
          <w:p w14:paraId="6F8B9383" w14:textId="54593365" w:rsidR="00AC7654" w:rsidRPr="00894701" w:rsidRDefault="00AC7654" w:rsidP="00F958E2">
            <w:pPr>
              <w:spacing w:after="0"/>
              <w:jc w:val="both"/>
              <w:rPr>
                <w:rFonts w:asciiTheme="minorHAnsi" w:hAnsiTheme="minorHAnsi"/>
                <w:color w:val="000000"/>
                <w:sz w:val="20"/>
              </w:rPr>
            </w:pPr>
            <w:r w:rsidRPr="00894701">
              <w:rPr>
                <w:rFonts w:asciiTheme="minorHAnsi" w:hAnsiTheme="minorHAnsi"/>
                <w:caps/>
                <w:color w:val="000000"/>
                <w:sz w:val="20"/>
              </w:rPr>
              <w:t>1</w:t>
            </w:r>
          </w:p>
        </w:tc>
        <w:tc>
          <w:tcPr>
            <w:tcW w:w="4242" w:type="pct"/>
            <w:vAlign w:val="center"/>
          </w:tcPr>
          <w:p w14:paraId="58A6F83B" w14:textId="7D159C2E" w:rsidR="00AC7654" w:rsidRPr="00894701" w:rsidRDefault="00AC7654" w:rsidP="00F958E2">
            <w:pPr>
              <w:spacing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rPr>
            </w:pPr>
            <w:r w:rsidRPr="00894701">
              <w:rPr>
                <w:rFonts w:asciiTheme="minorHAnsi" w:hAnsiTheme="minorHAnsi"/>
                <w:color w:val="000000"/>
                <w:sz w:val="20"/>
              </w:rPr>
              <w:t xml:space="preserve">Total E&amp;P Suriname B.V. </w:t>
            </w:r>
          </w:p>
        </w:tc>
      </w:tr>
      <w:tr w:rsidR="00AC7654" w:rsidRPr="00894701" w14:paraId="09DADD4A" w14:textId="77777777" w:rsidTr="00F958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58" w:type="pct"/>
            <w:shd w:val="clear" w:color="auto" w:fill="F997AB"/>
            <w:vAlign w:val="center"/>
          </w:tcPr>
          <w:p w14:paraId="1629A92B" w14:textId="41157F88" w:rsidR="00AC7654" w:rsidRPr="00894701" w:rsidRDefault="00AC7654" w:rsidP="00F958E2">
            <w:pPr>
              <w:spacing w:after="0"/>
              <w:jc w:val="both"/>
              <w:rPr>
                <w:rFonts w:asciiTheme="minorHAnsi" w:hAnsiTheme="minorHAnsi"/>
                <w:color w:val="000000"/>
                <w:sz w:val="20"/>
              </w:rPr>
            </w:pPr>
            <w:r w:rsidRPr="00894701">
              <w:rPr>
                <w:rFonts w:asciiTheme="minorHAnsi" w:hAnsiTheme="minorHAnsi"/>
                <w:color w:val="000000"/>
                <w:sz w:val="20"/>
              </w:rPr>
              <w:t>2</w:t>
            </w:r>
          </w:p>
        </w:tc>
        <w:tc>
          <w:tcPr>
            <w:tcW w:w="4242" w:type="pct"/>
            <w:shd w:val="clear" w:color="auto" w:fill="F997AB"/>
            <w:vAlign w:val="center"/>
          </w:tcPr>
          <w:p w14:paraId="574B9689" w14:textId="70CA50C1" w:rsidR="00AC7654" w:rsidRPr="00894701" w:rsidRDefault="00AC7654" w:rsidP="00F958E2">
            <w:pPr>
              <w:spacing w:after="0"/>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0"/>
              </w:rPr>
            </w:pPr>
            <w:r w:rsidRPr="00894701">
              <w:rPr>
                <w:rFonts w:asciiTheme="minorHAnsi" w:hAnsiTheme="minorHAnsi"/>
                <w:color w:val="000000"/>
                <w:sz w:val="20"/>
              </w:rPr>
              <w:t>Capricorn Energy PLC</w:t>
            </w:r>
          </w:p>
        </w:tc>
      </w:tr>
      <w:tr w:rsidR="00AC7654" w:rsidRPr="00894701" w14:paraId="3D7BC35D" w14:textId="77777777" w:rsidTr="00F958E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58" w:type="pct"/>
            <w:vAlign w:val="center"/>
          </w:tcPr>
          <w:p w14:paraId="2C68195B" w14:textId="1C88FFD7" w:rsidR="00AC7654" w:rsidRPr="00894701" w:rsidRDefault="00AC7654" w:rsidP="00F958E2">
            <w:pPr>
              <w:spacing w:after="0"/>
              <w:jc w:val="both"/>
              <w:rPr>
                <w:rFonts w:asciiTheme="minorHAnsi" w:hAnsiTheme="minorHAnsi"/>
                <w:color w:val="000000"/>
                <w:sz w:val="20"/>
              </w:rPr>
            </w:pPr>
            <w:r w:rsidRPr="00894701">
              <w:rPr>
                <w:rFonts w:asciiTheme="minorHAnsi" w:hAnsiTheme="minorHAnsi"/>
                <w:color w:val="000000"/>
                <w:sz w:val="20"/>
              </w:rPr>
              <w:t>3</w:t>
            </w:r>
          </w:p>
        </w:tc>
        <w:tc>
          <w:tcPr>
            <w:tcW w:w="4242" w:type="pct"/>
            <w:vAlign w:val="center"/>
          </w:tcPr>
          <w:p w14:paraId="30A177C0" w14:textId="4ECB9B2B" w:rsidR="00AC7654" w:rsidRPr="00894701" w:rsidRDefault="00AC7654" w:rsidP="00F958E2">
            <w:pPr>
              <w:spacing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rPr>
            </w:pPr>
            <w:r w:rsidRPr="00894701">
              <w:rPr>
                <w:rFonts w:asciiTheme="minorHAnsi" w:hAnsiTheme="minorHAnsi"/>
                <w:color w:val="000000"/>
                <w:sz w:val="20"/>
              </w:rPr>
              <w:t>Petronas Suriname Exploration &amp; production B.V.</w:t>
            </w:r>
          </w:p>
        </w:tc>
      </w:tr>
      <w:tr w:rsidR="00AC7654" w:rsidRPr="00894701" w14:paraId="0C6A59B2" w14:textId="77777777" w:rsidTr="00F958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58" w:type="pct"/>
            <w:shd w:val="clear" w:color="auto" w:fill="F997AB"/>
            <w:vAlign w:val="center"/>
          </w:tcPr>
          <w:p w14:paraId="50028C9E" w14:textId="244BFE7F" w:rsidR="00AC7654" w:rsidRPr="00894701" w:rsidRDefault="00AC7654" w:rsidP="00F958E2">
            <w:pPr>
              <w:spacing w:after="0"/>
              <w:jc w:val="both"/>
              <w:rPr>
                <w:rFonts w:asciiTheme="minorHAnsi" w:hAnsiTheme="minorHAnsi"/>
                <w:color w:val="000000"/>
                <w:sz w:val="20"/>
              </w:rPr>
            </w:pPr>
            <w:r w:rsidRPr="00894701">
              <w:rPr>
                <w:rFonts w:asciiTheme="minorHAnsi" w:hAnsiTheme="minorHAnsi"/>
                <w:color w:val="000000"/>
                <w:sz w:val="20"/>
              </w:rPr>
              <w:t>4</w:t>
            </w:r>
          </w:p>
        </w:tc>
        <w:tc>
          <w:tcPr>
            <w:tcW w:w="4242" w:type="pct"/>
            <w:shd w:val="clear" w:color="auto" w:fill="F997AB"/>
            <w:vAlign w:val="center"/>
          </w:tcPr>
          <w:p w14:paraId="0CD96E55" w14:textId="126F0EA7" w:rsidR="00AC7654" w:rsidRPr="00894701" w:rsidRDefault="00AC7654" w:rsidP="00F958E2">
            <w:pPr>
              <w:spacing w:after="0"/>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0"/>
              </w:rPr>
            </w:pPr>
            <w:r w:rsidRPr="00894701">
              <w:rPr>
                <w:rFonts w:asciiTheme="minorHAnsi" w:hAnsiTheme="minorHAnsi"/>
                <w:color w:val="000000"/>
                <w:sz w:val="20"/>
              </w:rPr>
              <w:t>Challenger Energy Group Plc</w:t>
            </w:r>
          </w:p>
        </w:tc>
      </w:tr>
    </w:tbl>
    <w:p w14:paraId="4BBA48C4" w14:textId="77777777" w:rsidR="000F7A2C" w:rsidRPr="00894701" w:rsidRDefault="000F7A2C" w:rsidP="005B36F7">
      <w:pPr>
        <w:jc w:val="both"/>
        <w:rPr>
          <w:rFonts w:cs="Arial"/>
          <w:bCs/>
          <w:color w:val="auto"/>
          <w:kern w:val="0"/>
          <w:sz w:val="20"/>
          <w:szCs w:val="20"/>
          <w:lang w:eastAsia="fr-FR"/>
        </w:rPr>
      </w:pPr>
    </w:p>
    <w:p w14:paraId="5C68D993" w14:textId="1FF39105" w:rsidR="002209C2" w:rsidRPr="00894701" w:rsidRDefault="002209C2" w:rsidP="002209C2">
      <w:pPr>
        <w:spacing w:after="240"/>
        <w:jc w:val="both"/>
        <w:rPr>
          <w:rFonts w:asciiTheme="majorHAnsi" w:eastAsiaTheme="majorEastAsia" w:hAnsiTheme="majorHAnsi" w:cstheme="majorBidi"/>
          <w:b/>
          <w:iCs/>
          <w:color w:val="ED1A3B" w:themeColor="accent1"/>
          <w:sz w:val="20"/>
          <w:szCs w:val="26"/>
        </w:rPr>
      </w:pPr>
      <w:r w:rsidRPr="00894701">
        <w:rPr>
          <w:rFonts w:asciiTheme="majorHAnsi" w:eastAsiaTheme="majorEastAsia" w:hAnsiTheme="majorHAnsi" w:cstheme="majorBidi"/>
          <w:b/>
          <w:iCs/>
          <w:color w:val="ED1A3B" w:themeColor="accent1"/>
          <w:sz w:val="20"/>
          <w:szCs w:val="26"/>
        </w:rPr>
        <w:t>Extractive companies</w:t>
      </w:r>
    </w:p>
    <w:p w14:paraId="3D6FB2A5" w14:textId="40F437E3" w:rsidR="002209C2" w:rsidRPr="00894701" w:rsidRDefault="002209C2" w:rsidP="002209C2">
      <w:pPr>
        <w:jc w:val="both"/>
        <w:rPr>
          <w:rFonts w:cs="Arial"/>
          <w:bCs/>
          <w:color w:val="auto"/>
          <w:kern w:val="0"/>
          <w:sz w:val="20"/>
          <w:szCs w:val="20"/>
          <w:lang w:eastAsia="fr-FR"/>
        </w:rPr>
      </w:pPr>
      <w:r w:rsidRPr="00894701">
        <w:rPr>
          <w:rFonts w:cs="Arial"/>
          <w:bCs/>
          <w:color w:val="auto"/>
          <w:kern w:val="0"/>
          <w:sz w:val="20"/>
          <w:szCs w:val="20"/>
          <w:lang w:eastAsia="fr-FR"/>
        </w:rPr>
        <w:t xml:space="preserve">Two (2) </w:t>
      </w:r>
      <w:r w:rsidR="005B36F7" w:rsidRPr="00894701">
        <w:rPr>
          <w:rFonts w:cs="Arial"/>
          <w:bCs/>
          <w:color w:val="auto"/>
          <w:kern w:val="0"/>
          <w:sz w:val="20"/>
          <w:szCs w:val="20"/>
          <w:lang w:eastAsia="fr-FR"/>
        </w:rPr>
        <w:t>(Tullow Oil Plc and Challenger Energy Group Plc) out of the eight (</w:t>
      </w:r>
      <w:r w:rsidRPr="00894701">
        <w:rPr>
          <w:rFonts w:cs="Arial"/>
          <w:bCs/>
          <w:color w:val="auto"/>
          <w:kern w:val="0"/>
          <w:sz w:val="20"/>
          <w:szCs w:val="20"/>
          <w:lang w:eastAsia="fr-FR"/>
        </w:rPr>
        <w:t xml:space="preserve">8) </w:t>
      </w:r>
      <w:r w:rsidR="00D40E6D">
        <w:rPr>
          <w:rFonts w:cs="Arial"/>
          <w:bCs/>
          <w:color w:val="auto"/>
          <w:kern w:val="0"/>
          <w:sz w:val="20"/>
          <w:szCs w:val="20"/>
          <w:lang w:eastAsia="fr-FR"/>
        </w:rPr>
        <w:t xml:space="preserve">companies </w:t>
      </w:r>
      <w:r w:rsidRPr="00894701">
        <w:rPr>
          <w:rFonts w:cs="Arial"/>
          <w:bCs/>
          <w:color w:val="auto"/>
          <w:kern w:val="0"/>
          <w:sz w:val="20"/>
          <w:szCs w:val="20"/>
          <w:lang w:eastAsia="fr-FR"/>
        </w:rPr>
        <w:t xml:space="preserve">included in the reconciliation scope did not submit their reporting templates. Receipts reported by Government Agencies relating to these extractive companies </w:t>
      </w:r>
      <w:r w:rsidR="005B36F7" w:rsidRPr="00894701">
        <w:rPr>
          <w:rFonts w:cs="Arial"/>
          <w:bCs/>
          <w:color w:val="auto"/>
          <w:kern w:val="0"/>
          <w:sz w:val="20"/>
          <w:szCs w:val="20"/>
          <w:lang w:eastAsia="fr-FR"/>
        </w:rPr>
        <w:t>was nil during FY 2018, 2019 and 2020.</w:t>
      </w:r>
    </w:p>
    <w:p w14:paraId="75A0A17E" w14:textId="3075E98D" w:rsidR="005B36F7" w:rsidRPr="00894701" w:rsidRDefault="00D40E6D" w:rsidP="002209C2">
      <w:pPr>
        <w:jc w:val="both"/>
        <w:rPr>
          <w:rFonts w:cs="Arial"/>
          <w:bCs/>
          <w:color w:val="auto"/>
          <w:kern w:val="0"/>
          <w:sz w:val="20"/>
          <w:szCs w:val="20"/>
          <w:lang w:eastAsia="fr-FR"/>
        </w:rPr>
      </w:pPr>
      <w:r>
        <w:rPr>
          <w:rFonts w:cs="Arial"/>
          <w:bCs/>
          <w:color w:val="auto"/>
          <w:kern w:val="0"/>
          <w:sz w:val="20"/>
          <w:szCs w:val="20"/>
          <w:lang w:eastAsia="fr-FR"/>
        </w:rPr>
        <w:t>The s</w:t>
      </w:r>
      <w:r w:rsidR="005B36F7" w:rsidRPr="00894701">
        <w:rPr>
          <w:rFonts w:cs="Arial"/>
          <w:bCs/>
          <w:color w:val="auto"/>
          <w:kern w:val="0"/>
          <w:sz w:val="20"/>
          <w:szCs w:val="20"/>
          <w:lang w:eastAsia="fr-FR"/>
        </w:rPr>
        <w:t>tatus of reporting templates submitted by extractive entities are presented in Annex 4 of this report</w:t>
      </w:r>
    </w:p>
    <w:p w14:paraId="15B52E39" w14:textId="05091095" w:rsidR="00B30F10" w:rsidRPr="00894701" w:rsidRDefault="00E62E3B" w:rsidP="005F4553">
      <w:pPr>
        <w:jc w:val="both"/>
        <w:rPr>
          <w:rFonts w:cs="Arial"/>
          <w:bCs/>
          <w:color w:val="000000" w:themeColor="text1"/>
          <w:sz w:val="20"/>
          <w:lang w:eastAsia="fr-FR"/>
        </w:rPr>
      </w:pPr>
      <w:bookmarkStart w:id="54" w:name="_Hlk146452989"/>
      <w:r w:rsidRPr="00E62E3B">
        <w:rPr>
          <w:rFonts w:cs="Arial"/>
          <w:bCs/>
          <w:color w:val="auto"/>
          <w:kern w:val="0"/>
          <w:sz w:val="20"/>
          <w:szCs w:val="20"/>
          <w:lang w:eastAsia="fr-FR"/>
        </w:rPr>
        <w:t xml:space="preserve">As a result </w:t>
      </w:r>
      <w:r w:rsidR="00186360" w:rsidRPr="00894701">
        <w:rPr>
          <w:rFonts w:cs="Arial"/>
          <w:bCs/>
          <w:color w:val="auto"/>
          <w:kern w:val="0"/>
          <w:sz w:val="20"/>
          <w:szCs w:val="20"/>
          <w:lang w:eastAsia="fr-FR"/>
        </w:rPr>
        <w:t>of the matters stated above</w:t>
      </w:r>
      <w:r w:rsidR="00B029BD" w:rsidRPr="00894701">
        <w:rPr>
          <w:rFonts w:cs="Arial"/>
          <w:bCs/>
          <w:color w:val="auto"/>
          <w:kern w:val="0"/>
          <w:sz w:val="20"/>
          <w:szCs w:val="20"/>
          <w:lang w:eastAsia="fr-FR"/>
        </w:rPr>
        <w:t>, we were unable to conclude that this report covers all significant revenues made in the Fiscal Years 2018, 2019 and 2020 by extractive companies.</w:t>
      </w:r>
      <w:bookmarkEnd w:id="54"/>
    </w:p>
    <w:p w14:paraId="6388F33D" w14:textId="77777777" w:rsidR="00B029BD" w:rsidRPr="00894701" w:rsidRDefault="00B029BD" w:rsidP="005F4553">
      <w:pPr>
        <w:pStyle w:val="BodyText"/>
        <w:tabs>
          <w:tab w:val="left" w:pos="2970"/>
        </w:tabs>
        <w:rPr>
          <w:rFonts w:asciiTheme="majorHAnsi" w:eastAsiaTheme="majorEastAsia" w:hAnsiTheme="majorHAnsi" w:cstheme="majorBidi"/>
          <w:b/>
          <w:bCs/>
          <w:color w:val="98002E"/>
          <w:sz w:val="28"/>
          <w:szCs w:val="26"/>
        </w:rPr>
      </w:pPr>
      <w:r w:rsidRPr="00894701">
        <w:rPr>
          <w:rFonts w:asciiTheme="majorHAnsi" w:eastAsiaTheme="majorEastAsia" w:hAnsiTheme="majorHAnsi" w:cstheme="majorBidi"/>
          <w:b/>
          <w:bCs/>
          <w:color w:val="98002E"/>
          <w:sz w:val="28"/>
          <w:szCs w:val="26"/>
        </w:rPr>
        <w:t>Data Reliability</w:t>
      </w:r>
    </w:p>
    <w:p w14:paraId="17E85DA7" w14:textId="77777777" w:rsidR="00B029BD" w:rsidRPr="00894701" w:rsidRDefault="00B029BD" w:rsidP="005F4553">
      <w:pPr>
        <w:jc w:val="both"/>
        <w:rPr>
          <w:rFonts w:asciiTheme="majorHAnsi" w:eastAsiaTheme="majorEastAsia" w:hAnsiTheme="majorHAnsi" w:cstheme="majorBidi"/>
          <w:b/>
          <w:iCs/>
          <w:color w:val="ED1A3B" w:themeColor="accent1"/>
          <w:sz w:val="20"/>
          <w:szCs w:val="26"/>
        </w:rPr>
      </w:pPr>
      <w:r w:rsidRPr="00894701">
        <w:rPr>
          <w:rFonts w:asciiTheme="majorHAnsi" w:eastAsiaTheme="majorEastAsia" w:hAnsiTheme="majorHAnsi" w:cstheme="majorBidi"/>
          <w:b/>
          <w:iCs/>
          <w:color w:val="ED1A3B" w:themeColor="accent1"/>
          <w:sz w:val="20"/>
          <w:szCs w:val="26"/>
        </w:rPr>
        <w:t>Government Agencies</w:t>
      </w:r>
    </w:p>
    <w:p w14:paraId="662AB869" w14:textId="43F11DA9" w:rsidR="00B029BD" w:rsidRPr="00894701" w:rsidRDefault="002B65D5" w:rsidP="00EE0114">
      <w:pPr>
        <w:jc w:val="both"/>
        <w:rPr>
          <w:rFonts w:cs="Arial"/>
          <w:bCs/>
          <w:color w:val="auto"/>
          <w:kern w:val="0"/>
          <w:sz w:val="20"/>
          <w:szCs w:val="20"/>
          <w:lang w:eastAsia="fr-FR"/>
        </w:rPr>
      </w:pPr>
      <w:r>
        <w:rPr>
          <w:rFonts w:cs="Arial"/>
          <w:bCs/>
          <w:color w:val="auto"/>
          <w:kern w:val="0"/>
          <w:sz w:val="20"/>
          <w:szCs w:val="20"/>
          <w:lang w:eastAsia="fr-FR"/>
        </w:rPr>
        <w:t xml:space="preserve">The </w:t>
      </w:r>
      <w:r w:rsidR="00B029BD" w:rsidRPr="00894701">
        <w:rPr>
          <w:rFonts w:cs="Arial"/>
          <w:bCs/>
          <w:color w:val="auto"/>
          <w:kern w:val="0"/>
          <w:sz w:val="20"/>
          <w:szCs w:val="20"/>
          <w:lang w:eastAsia="fr-FR"/>
        </w:rPr>
        <w:t xml:space="preserve">MoFP submitted signed reporting templates </w:t>
      </w:r>
      <w:r w:rsidR="00A55056" w:rsidRPr="00894701">
        <w:rPr>
          <w:rFonts w:cs="Arial"/>
          <w:bCs/>
          <w:color w:val="auto"/>
          <w:kern w:val="0"/>
          <w:sz w:val="20"/>
          <w:szCs w:val="20"/>
          <w:lang w:eastAsia="fr-FR"/>
        </w:rPr>
        <w:t>but</w:t>
      </w:r>
      <w:r>
        <w:rPr>
          <w:rFonts w:cs="Arial"/>
          <w:bCs/>
          <w:color w:val="auto"/>
          <w:kern w:val="0"/>
          <w:sz w:val="20"/>
          <w:szCs w:val="20"/>
          <w:lang w:eastAsia="fr-FR"/>
        </w:rPr>
        <w:t xml:space="preserve"> these were</w:t>
      </w:r>
      <w:r w:rsidR="00A55056" w:rsidRPr="00894701">
        <w:rPr>
          <w:rFonts w:cs="Arial"/>
          <w:bCs/>
          <w:color w:val="auto"/>
          <w:kern w:val="0"/>
          <w:sz w:val="20"/>
          <w:szCs w:val="20"/>
          <w:lang w:eastAsia="fr-FR"/>
        </w:rPr>
        <w:t xml:space="preserve"> </w:t>
      </w:r>
      <w:r w:rsidR="00B029BD" w:rsidRPr="00894701">
        <w:rPr>
          <w:rFonts w:cs="Arial"/>
          <w:bCs/>
          <w:color w:val="auto"/>
          <w:kern w:val="0"/>
          <w:sz w:val="20"/>
          <w:szCs w:val="20"/>
          <w:lang w:eastAsia="fr-FR"/>
        </w:rPr>
        <w:t xml:space="preserve">not certified by the </w:t>
      </w:r>
      <w:r w:rsidR="00341F2D" w:rsidRPr="00894701">
        <w:rPr>
          <w:rFonts w:cs="Arial"/>
          <w:bCs/>
          <w:color w:val="auto"/>
          <w:kern w:val="0"/>
          <w:sz w:val="20"/>
          <w:szCs w:val="20"/>
          <w:lang w:eastAsia="fr-FR"/>
        </w:rPr>
        <w:t>Supreme Audit</w:t>
      </w:r>
      <w:r w:rsidR="00D60D98">
        <w:rPr>
          <w:rFonts w:cs="Arial"/>
          <w:bCs/>
          <w:color w:val="auto"/>
          <w:kern w:val="0"/>
          <w:sz w:val="20"/>
          <w:szCs w:val="20"/>
          <w:lang w:eastAsia="fr-FR"/>
        </w:rPr>
        <w:t xml:space="preserve"> </w:t>
      </w:r>
      <w:r w:rsidR="00D60D98" w:rsidRPr="00D60D98">
        <w:rPr>
          <w:rFonts w:cs="Arial"/>
          <w:bCs/>
          <w:color w:val="auto"/>
          <w:kern w:val="0"/>
          <w:sz w:val="20"/>
          <w:szCs w:val="20"/>
          <w:lang w:eastAsia="fr-FR"/>
        </w:rPr>
        <w:t>Institution of Suriname</w:t>
      </w:r>
      <w:r w:rsidR="00B029BD" w:rsidRPr="00894701">
        <w:rPr>
          <w:rFonts w:cs="Arial"/>
          <w:bCs/>
          <w:color w:val="auto"/>
          <w:kern w:val="0"/>
          <w:sz w:val="20"/>
          <w:szCs w:val="20"/>
          <w:lang w:eastAsia="fr-FR"/>
        </w:rPr>
        <w:t>.</w:t>
      </w:r>
      <w:r w:rsidR="00D270F5" w:rsidRPr="00894701">
        <w:rPr>
          <w:rFonts w:cs="Arial"/>
          <w:bCs/>
          <w:color w:val="auto"/>
          <w:kern w:val="0"/>
          <w:sz w:val="20"/>
          <w:szCs w:val="20"/>
          <w:lang w:eastAsia="fr-FR"/>
        </w:rPr>
        <w:t xml:space="preserve"> </w:t>
      </w:r>
      <w:r>
        <w:rPr>
          <w:rFonts w:cs="Arial"/>
          <w:bCs/>
          <w:color w:val="auto"/>
          <w:kern w:val="0"/>
          <w:sz w:val="20"/>
          <w:szCs w:val="20"/>
          <w:lang w:eastAsia="fr-FR"/>
        </w:rPr>
        <w:t xml:space="preserve">The </w:t>
      </w:r>
      <w:r w:rsidR="00D270F5" w:rsidRPr="00894701">
        <w:rPr>
          <w:rFonts w:cs="Arial"/>
          <w:bCs/>
          <w:color w:val="auto"/>
          <w:kern w:val="0"/>
          <w:sz w:val="20"/>
          <w:szCs w:val="20"/>
          <w:lang w:eastAsia="fr-FR"/>
        </w:rPr>
        <w:t xml:space="preserve">MoFP sent a letter to </w:t>
      </w:r>
      <w:r w:rsidR="00341F2D" w:rsidRPr="00894701">
        <w:rPr>
          <w:rFonts w:cs="Arial"/>
          <w:bCs/>
          <w:color w:val="auto"/>
          <w:kern w:val="0"/>
          <w:sz w:val="20"/>
          <w:szCs w:val="20"/>
          <w:lang w:eastAsia="fr-FR"/>
        </w:rPr>
        <w:t xml:space="preserve">the </w:t>
      </w:r>
      <w:r w:rsidR="00D270F5" w:rsidRPr="00894701">
        <w:rPr>
          <w:rFonts w:cs="Arial"/>
          <w:bCs/>
          <w:color w:val="auto"/>
          <w:kern w:val="0"/>
          <w:sz w:val="20"/>
          <w:szCs w:val="20"/>
          <w:lang w:eastAsia="fr-FR"/>
        </w:rPr>
        <w:t>Supreme Audit</w:t>
      </w:r>
      <w:r w:rsidR="00341F2D" w:rsidRPr="00894701">
        <w:rPr>
          <w:rFonts w:cs="Arial"/>
          <w:bCs/>
          <w:color w:val="auto"/>
          <w:kern w:val="0"/>
          <w:sz w:val="20"/>
          <w:szCs w:val="20"/>
          <w:lang w:eastAsia="fr-FR"/>
        </w:rPr>
        <w:t xml:space="preserve"> </w:t>
      </w:r>
      <w:r w:rsidR="00D60D98" w:rsidRPr="00D60D98">
        <w:rPr>
          <w:rFonts w:cs="Arial"/>
          <w:bCs/>
          <w:color w:val="auto"/>
          <w:kern w:val="0"/>
          <w:sz w:val="20"/>
          <w:szCs w:val="20"/>
          <w:lang w:eastAsia="fr-FR"/>
        </w:rPr>
        <w:t xml:space="preserve">Institution of Suriname </w:t>
      </w:r>
      <w:r w:rsidR="00341F2D" w:rsidRPr="00894701">
        <w:rPr>
          <w:rFonts w:cs="Arial"/>
          <w:bCs/>
          <w:color w:val="auto"/>
          <w:kern w:val="0"/>
          <w:sz w:val="20"/>
          <w:szCs w:val="20"/>
          <w:lang w:eastAsia="fr-FR"/>
        </w:rPr>
        <w:t>in this regard</w:t>
      </w:r>
      <w:r w:rsidR="00D270F5" w:rsidRPr="00894701">
        <w:rPr>
          <w:rFonts w:cs="Arial"/>
          <w:bCs/>
          <w:color w:val="auto"/>
          <w:kern w:val="0"/>
          <w:sz w:val="20"/>
          <w:szCs w:val="20"/>
          <w:lang w:eastAsia="fr-FR"/>
        </w:rPr>
        <w:t>.</w:t>
      </w:r>
    </w:p>
    <w:p w14:paraId="549D1591" w14:textId="77777777" w:rsidR="00B029BD" w:rsidRPr="00894701" w:rsidRDefault="00B029BD" w:rsidP="005F4553">
      <w:pPr>
        <w:spacing w:before="240"/>
        <w:jc w:val="both"/>
        <w:rPr>
          <w:rFonts w:asciiTheme="majorHAnsi" w:eastAsiaTheme="majorEastAsia" w:hAnsiTheme="majorHAnsi" w:cstheme="majorBidi"/>
          <w:b/>
          <w:iCs/>
          <w:color w:val="ED1A3B" w:themeColor="accent1"/>
          <w:sz w:val="20"/>
          <w:szCs w:val="26"/>
        </w:rPr>
      </w:pPr>
      <w:r w:rsidRPr="00894701">
        <w:rPr>
          <w:rFonts w:asciiTheme="majorHAnsi" w:eastAsiaTheme="majorEastAsia" w:hAnsiTheme="majorHAnsi" w:cstheme="majorBidi"/>
          <w:b/>
          <w:iCs/>
          <w:color w:val="ED1A3B" w:themeColor="accent1"/>
          <w:sz w:val="20"/>
          <w:szCs w:val="26"/>
        </w:rPr>
        <w:t>Extractive companies</w:t>
      </w:r>
    </w:p>
    <w:p w14:paraId="295141BB" w14:textId="24F80B4B" w:rsidR="00B029BD" w:rsidRPr="00894701" w:rsidRDefault="001B4837" w:rsidP="00B029BD">
      <w:pPr>
        <w:jc w:val="both"/>
        <w:rPr>
          <w:rFonts w:cs="Arial"/>
          <w:bCs/>
          <w:color w:val="auto"/>
          <w:kern w:val="0"/>
          <w:sz w:val="20"/>
          <w:szCs w:val="20"/>
          <w:lang w:eastAsia="fr-FR"/>
        </w:rPr>
      </w:pPr>
      <w:r w:rsidRPr="00894701">
        <w:rPr>
          <w:rFonts w:cs="Arial"/>
          <w:bCs/>
          <w:color w:val="auto"/>
          <w:kern w:val="0"/>
          <w:sz w:val="20"/>
          <w:szCs w:val="20"/>
          <w:lang w:eastAsia="fr-FR"/>
        </w:rPr>
        <w:t xml:space="preserve">Two </w:t>
      </w:r>
      <w:r w:rsidR="00B029BD" w:rsidRPr="00894701">
        <w:rPr>
          <w:rFonts w:cs="Arial"/>
          <w:bCs/>
          <w:color w:val="auto"/>
          <w:kern w:val="0"/>
          <w:sz w:val="20"/>
          <w:szCs w:val="20"/>
          <w:lang w:eastAsia="fr-FR"/>
        </w:rPr>
        <w:t>(</w:t>
      </w:r>
      <w:r w:rsidRPr="00894701">
        <w:rPr>
          <w:rFonts w:cs="Arial"/>
          <w:bCs/>
          <w:color w:val="auto"/>
          <w:kern w:val="0"/>
          <w:sz w:val="20"/>
          <w:szCs w:val="20"/>
          <w:lang w:eastAsia="fr-FR"/>
        </w:rPr>
        <w:t>2</w:t>
      </w:r>
      <w:r w:rsidR="00B029BD" w:rsidRPr="00894701">
        <w:rPr>
          <w:rFonts w:cs="Arial"/>
          <w:bCs/>
          <w:color w:val="auto"/>
          <w:kern w:val="0"/>
          <w:sz w:val="20"/>
          <w:szCs w:val="20"/>
          <w:lang w:eastAsia="fr-FR"/>
        </w:rPr>
        <w:t xml:space="preserve">) extractive companies submitted </w:t>
      </w:r>
      <w:r w:rsidR="003F323F">
        <w:rPr>
          <w:rFonts w:cs="Arial"/>
          <w:bCs/>
          <w:color w:val="auto"/>
          <w:kern w:val="0"/>
          <w:sz w:val="20"/>
          <w:szCs w:val="20"/>
          <w:lang w:eastAsia="fr-FR"/>
        </w:rPr>
        <w:t>un</w:t>
      </w:r>
      <w:r w:rsidR="003F323F" w:rsidRPr="00356FA7">
        <w:rPr>
          <w:rFonts w:cs="Arial"/>
          <w:bCs/>
          <w:color w:val="auto"/>
          <w:kern w:val="0"/>
          <w:sz w:val="20"/>
          <w:szCs w:val="20"/>
          <w:lang w:eastAsia="fr-FR"/>
        </w:rPr>
        <w:t xml:space="preserve">signed </w:t>
      </w:r>
      <w:r w:rsidR="00B029BD" w:rsidRPr="00894701">
        <w:rPr>
          <w:rFonts w:cs="Arial"/>
          <w:bCs/>
          <w:color w:val="auto"/>
          <w:kern w:val="0"/>
          <w:sz w:val="20"/>
          <w:szCs w:val="20"/>
          <w:lang w:eastAsia="fr-FR"/>
        </w:rPr>
        <w:t xml:space="preserve">reporting templates </w:t>
      </w:r>
      <w:r w:rsidR="003F323F">
        <w:rPr>
          <w:rFonts w:cs="Arial"/>
          <w:bCs/>
          <w:color w:val="auto"/>
          <w:kern w:val="0"/>
          <w:sz w:val="20"/>
          <w:szCs w:val="20"/>
          <w:lang w:eastAsia="fr-FR"/>
        </w:rPr>
        <w:t>(</w:t>
      </w:r>
      <w:r w:rsidR="00B029BD" w:rsidRPr="00894701">
        <w:rPr>
          <w:rFonts w:cs="Arial"/>
          <w:bCs/>
          <w:color w:val="auto"/>
          <w:kern w:val="0"/>
          <w:sz w:val="20"/>
          <w:szCs w:val="20"/>
          <w:lang w:eastAsia="fr-FR"/>
        </w:rPr>
        <w:t>by authorised officers at management level</w:t>
      </w:r>
      <w:r w:rsidR="003F323F">
        <w:rPr>
          <w:rFonts w:cs="Arial"/>
          <w:bCs/>
          <w:color w:val="auto"/>
          <w:kern w:val="0"/>
          <w:sz w:val="20"/>
          <w:szCs w:val="20"/>
          <w:lang w:eastAsia="fr-FR"/>
        </w:rPr>
        <w:t>)</w:t>
      </w:r>
      <w:r w:rsidR="00B029BD" w:rsidRPr="00894701">
        <w:rPr>
          <w:rFonts w:cs="Arial"/>
          <w:bCs/>
          <w:color w:val="auto"/>
          <w:kern w:val="0"/>
          <w:sz w:val="20"/>
          <w:szCs w:val="20"/>
          <w:lang w:eastAsia="fr-FR"/>
        </w:rPr>
        <w:t xml:space="preserve">. The revenues reported by Government Agencies </w:t>
      </w:r>
      <w:r w:rsidR="000972FC" w:rsidRPr="00894701">
        <w:rPr>
          <w:rFonts w:cs="Arial"/>
          <w:bCs/>
          <w:color w:val="auto"/>
          <w:kern w:val="0"/>
          <w:sz w:val="20"/>
          <w:szCs w:val="20"/>
          <w:lang w:eastAsia="fr-FR"/>
        </w:rPr>
        <w:t xml:space="preserve">after adjustments </w:t>
      </w:r>
      <w:r w:rsidR="00B029BD" w:rsidRPr="00894701">
        <w:rPr>
          <w:rFonts w:cs="Arial"/>
          <w:bCs/>
          <w:color w:val="auto"/>
          <w:kern w:val="0"/>
          <w:sz w:val="20"/>
          <w:szCs w:val="20"/>
          <w:lang w:eastAsia="fr-FR"/>
        </w:rPr>
        <w:t xml:space="preserve">in respect of these companies </w:t>
      </w:r>
      <w:r w:rsidR="00BD2759" w:rsidRPr="00894701">
        <w:rPr>
          <w:rFonts w:cs="Arial"/>
          <w:bCs/>
          <w:color w:val="auto"/>
          <w:kern w:val="0"/>
          <w:sz w:val="20"/>
          <w:szCs w:val="20"/>
          <w:lang w:eastAsia="fr-FR"/>
        </w:rPr>
        <w:t>was nil</w:t>
      </w:r>
      <w:r w:rsidR="000972FC" w:rsidRPr="00894701">
        <w:rPr>
          <w:rFonts w:cs="Arial"/>
          <w:bCs/>
          <w:color w:val="auto"/>
          <w:kern w:val="0"/>
          <w:sz w:val="20"/>
          <w:szCs w:val="20"/>
          <w:lang w:eastAsia="fr-FR"/>
        </w:rPr>
        <w:t xml:space="preserve"> </w:t>
      </w:r>
      <w:r w:rsidR="00B029BD" w:rsidRPr="00894701">
        <w:rPr>
          <w:rFonts w:cs="Arial"/>
          <w:bCs/>
          <w:color w:val="auto"/>
          <w:kern w:val="0"/>
          <w:sz w:val="20"/>
          <w:szCs w:val="20"/>
          <w:lang w:eastAsia="fr-FR"/>
        </w:rPr>
        <w:t>as detailed in the table below</w:t>
      </w:r>
      <w:r w:rsidR="002B7E16">
        <w:rPr>
          <w:rFonts w:cs="Arial"/>
          <w:bCs/>
          <w:color w:val="auto"/>
          <w:kern w:val="0"/>
          <w:sz w:val="20"/>
          <w:szCs w:val="20"/>
          <w:lang w:eastAsia="fr-FR"/>
        </w:rPr>
        <w:t>.</w:t>
      </w:r>
    </w:p>
    <w:p w14:paraId="484FD5C2" w14:textId="425A4E4D" w:rsidR="00A81581" w:rsidRPr="00894701" w:rsidRDefault="00A81581" w:rsidP="00A81581">
      <w:pPr>
        <w:pStyle w:val="BodyTextRed"/>
        <w:jc w:val="center"/>
        <w:rPr>
          <w:b/>
          <w:bCs/>
          <w:color w:val="98002E" w:themeColor="accent3"/>
          <w:sz w:val="20"/>
          <w:szCs w:val="20"/>
        </w:rPr>
      </w:pPr>
      <w:bookmarkStart w:id="55" w:name="_Toc146590480"/>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8</w:t>
      </w:r>
      <w:r w:rsidRPr="00894701">
        <w:rPr>
          <w:b/>
          <w:bCs/>
          <w:color w:val="98002E" w:themeColor="accent3"/>
          <w:sz w:val="20"/>
          <w:szCs w:val="20"/>
        </w:rPr>
        <w:fldChar w:fldCharType="end"/>
      </w:r>
      <w:r w:rsidRPr="00894701">
        <w:rPr>
          <w:b/>
          <w:bCs/>
          <w:color w:val="98002E" w:themeColor="accent3"/>
          <w:sz w:val="20"/>
          <w:szCs w:val="20"/>
        </w:rPr>
        <w:t>: Reporting templates submitted by the extractive companies not signed by authorised officers at management level</w:t>
      </w:r>
      <w:bookmarkEnd w:id="55"/>
      <w:r w:rsidRPr="00894701">
        <w:rPr>
          <w:b/>
          <w:bCs/>
          <w:color w:val="98002E" w:themeColor="accent3"/>
          <w:sz w:val="20"/>
          <w:szCs w:val="20"/>
        </w:rPr>
        <w:t xml:space="preserve"> </w:t>
      </w:r>
    </w:p>
    <w:tbl>
      <w:tblPr>
        <w:tblW w:w="9356" w:type="dxa"/>
        <w:tblLayout w:type="fixed"/>
        <w:tblCellMar>
          <w:left w:w="70" w:type="dxa"/>
          <w:right w:w="70" w:type="dxa"/>
        </w:tblCellMar>
        <w:tblLook w:val="04A0" w:firstRow="1" w:lastRow="0" w:firstColumn="1" w:lastColumn="0" w:noHBand="0" w:noVBand="1"/>
      </w:tblPr>
      <w:tblGrid>
        <w:gridCol w:w="530"/>
        <w:gridCol w:w="3723"/>
        <w:gridCol w:w="1701"/>
        <w:gridCol w:w="1701"/>
        <w:gridCol w:w="1701"/>
      </w:tblGrid>
      <w:tr w:rsidR="00B029BD" w:rsidRPr="00894701" w14:paraId="0C88C587" w14:textId="77777777" w:rsidTr="004C70CC">
        <w:trPr>
          <w:trHeight w:val="283"/>
          <w:tblHeader/>
        </w:trPr>
        <w:tc>
          <w:tcPr>
            <w:tcW w:w="530" w:type="dxa"/>
            <w:tcBorders>
              <w:top w:val="nil"/>
              <w:left w:val="nil"/>
              <w:right w:val="nil"/>
            </w:tcBorders>
            <w:shd w:val="clear" w:color="auto" w:fill="7A091A"/>
            <w:vAlign w:val="center"/>
            <w:hideMark/>
          </w:tcPr>
          <w:p w14:paraId="5758EFB8" w14:textId="77777777" w:rsidR="00B029BD" w:rsidRPr="00894701" w:rsidRDefault="00B029BD" w:rsidP="00423C6B">
            <w:pPr>
              <w:spacing w:after="0" w:line="240" w:lineRule="auto"/>
              <w:jc w:val="center"/>
              <w:rPr>
                <w:rFonts w:asciiTheme="majorHAnsi" w:hAnsiTheme="majorHAnsi" w:cs="Arial"/>
                <w:b/>
                <w:bCs/>
                <w:color w:val="FFFFFF" w:themeColor="background1"/>
                <w:kern w:val="0"/>
                <w:szCs w:val="18"/>
                <w:lang w:val="fr-FR" w:eastAsia="fr-FR"/>
              </w:rPr>
            </w:pPr>
            <w:r w:rsidRPr="00894701">
              <w:rPr>
                <w:rFonts w:asciiTheme="majorHAnsi" w:hAnsiTheme="majorHAnsi" w:cs="Arial"/>
                <w:b/>
                <w:bCs/>
                <w:color w:val="FFFFFF" w:themeColor="background1"/>
                <w:kern w:val="0"/>
                <w:szCs w:val="18"/>
                <w:lang w:val="fr-FR" w:eastAsia="fr-FR"/>
              </w:rPr>
              <w:t>N°</w:t>
            </w:r>
          </w:p>
        </w:tc>
        <w:tc>
          <w:tcPr>
            <w:tcW w:w="3723" w:type="dxa"/>
            <w:tcBorders>
              <w:top w:val="nil"/>
              <w:left w:val="nil"/>
              <w:right w:val="nil"/>
            </w:tcBorders>
            <w:shd w:val="clear" w:color="auto" w:fill="7A091A"/>
            <w:vAlign w:val="center"/>
            <w:hideMark/>
          </w:tcPr>
          <w:p w14:paraId="09F139FE" w14:textId="77777777" w:rsidR="00B029BD" w:rsidRPr="00894701" w:rsidRDefault="00B029BD" w:rsidP="00423C6B">
            <w:pPr>
              <w:spacing w:after="0" w:line="240" w:lineRule="auto"/>
              <w:rPr>
                <w:rFonts w:asciiTheme="majorHAnsi" w:hAnsiTheme="majorHAnsi" w:cs="Arial"/>
                <w:b/>
                <w:bCs/>
                <w:color w:val="FFFFFF" w:themeColor="background1"/>
                <w:kern w:val="0"/>
                <w:szCs w:val="18"/>
                <w:lang w:val="fr-FR" w:eastAsia="fr-FR"/>
              </w:rPr>
            </w:pPr>
            <w:r w:rsidRPr="00894701">
              <w:rPr>
                <w:rFonts w:asciiTheme="majorHAnsi" w:hAnsiTheme="majorHAnsi" w:cs="Arial"/>
                <w:b/>
                <w:bCs/>
                <w:color w:val="FFFFFF" w:themeColor="background1"/>
                <w:kern w:val="0"/>
                <w:szCs w:val="18"/>
                <w:lang w:val="fr-FR" w:eastAsia="fr-FR"/>
              </w:rPr>
              <w:t>Name of company</w:t>
            </w:r>
          </w:p>
        </w:tc>
        <w:tc>
          <w:tcPr>
            <w:tcW w:w="1701" w:type="dxa"/>
            <w:tcBorders>
              <w:top w:val="nil"/>
              <w:left w:val="nil"/>
              <w:right w:val="nil"/>
            </w:tcBorders>
            <w:shd w:val="clear" w:color="auto" w:fill="7A091A"/>
            <w:vAlign w:val="center"/>
          </w:tcPr>
          <w:p w14:paraId="064A7814" w14:textId="77777777" w:rsidR="00B029BD" w:rsidRPr="00894701" w:rsidRDefault="00B029BD" w:rsidP="00423C6B">
            <w:pPr>
              <w:spacing w:after="0" w:line="240" w:lineRule="auto"/>
              <w:jc w:val="center"/>
              <w:rPr>
                <w:rFonts w:asciiTheme="majorHAnsi" w:hAnsiTheme="majorHAnsi" w:cs="Arial"/>
                <w:b/>
                <w:bCs/>
                <w:color w:val="FFFFFF" w:themeColor="background1"/>
                <w:kern w:val="0"/>
                <w:szCs w:val="18"/>
                <w:lang w:eastAsia="fr-FR"/>
              </w:rPr>
            </w:pPr>
            <w:r w:rsidRPr="00894701">
              <w:rPr>
                <w:rFonts w:asciiTheme="majorHAnsi" w:hAnsiTheme="majorHAnsi" w:cs="Arial"/>
                <w:b/>
                <w:bCs/>
                <w:color w:val="FFFFFF" w:themeColor="background1"/>
                <w:kern w:val="0"/>
                <w:szCs w:val="18"/>
                <w:lang w:eastAsia="fr-FR"/>
              </w:rPr>
              <w:t>2018</w:t>
            </w:r>
            <w:r w:rsidRPr="00894701">
              <w:rPr>
                <w:rFonts w:asciiTheme="majorHAnsi" w:hAnsiTheme="majorHAnsi" w:cs="Arial"/>
                <w:b/>
                <w:bCs/>
                <w:color w:val="FFFFFF" w:themeColor="background1"/>
                <w:kern w:val="0"/>
                <w:szCs w:val="18"/>
                <w:lang w:eastAsia="fr-FR"/>
              </w:rPr>
              <w:br/>
              <w:t>in SRD</w:t>
            </w:r>
          </w:p>
        </w:tc>
        <w:tc>
          <w:tcPr>
            <w:tcW w:w="1701" w:type="dxa"/>
            <w:tcBorders>
              <w:top w:val="nil"/>
              <w:left w:val="nil"/>
              <w:right w:val="nil"/>
            </w:tcBorders>
            <w:shd w:val="clear" w:color="auto" w:fill="7A091A"/>
            <w:vAlign w:val="center"/>
          </w:tcPr>
          <w:p w14:paraId="71ED5095" w14:textId="77777777" w:rsidR="00B029BD" w:rsidRPr="00894701" w:rsidRDefault="00B029BD" w:rsidP="00423C6B">
            <w:pPr>
              <w:spacing w:after="0" w:line="240" w:lineRule="auto"/>
              <w:jc w:val="center"/>
              <w:rPr>
                <w:rFonts w:asciiTheme="majorHAnsi" w:hAnsiTheme="majorHAnsi" w:cs="Arial"/>
                <w:b/>
                <w:bCs/>
                <w:color w:val="FFFFFF" w:themeColor="background1"/>
                <w:kern w:val="0"/>
                <w:szCs w:val="18"/>
                <w:lang w:eastAsia="fr-FR"/>
              </w:rPr>
            </w:pPr>
            <w:r w:rsidRPr="00894701">
              <w:rPr>
                <w:rFonts w:asciiTheme="majorHAnsi" w:hAnsiTheme="majorHAnsi" w:cs="Arial"/>
                <w:b/>
                <w:bCs/>
                <w:color w:val="FFFFFF" w:themeColor="background1"/>
                <w:kern w:val="0"/>
                <w:szCs w:val="18"/>
                <w:lang w:eastAsia="fr-FR"/>
              </w:rPr>
              <w:t>2019</w:t>
            </w:r>
            <w:r w:rsidRPr="00894701">
              <w:rPr>
                <w:rFonts w:asciiTheme="majorHAnsi" w:hAnsiTheme="majorHAnsi" w:cs="Arial"/>
                <w:b/>
                <w:bCs/>
                <w:color w:val="FFFFFF" w:themeColor="background1"/>
                <w:kern w:val="0"/>
                <w:szCs w:val="18"/>
                <w:lang w:eastAsia="fr-FR"/>
              </w:rPr>
              <w:br/>
              <w:t>in SRD</w:t>
            </w:r>
          </w:p>
        </w:tc>
        <w:tc>
          <w:tcPr>
            <w:tcW w:w="1701" w:type="dxa"/>
            <w:tcBorders>
              <w:top w:val="nil"/>
              <w:left w:val="nil"/>
              <w:right w:val="nil"/>
            </w:tcBorders>
            <w:shd w:val="clear" w:color="auto" w:fill="7A091A"/>
            <w:vAlign w:val="center"/>
            <w:hideMark/>
          </w:tcPr>
          <w:p w14:paraId="3839629C" w14:textId="77777777" w:rsidR="00B029BD" w:rsidRPr="00894701" w:rsidRDefault="00B029BD" w:rsidP="00423C6B">
            <w:pPr>
              <w:spacing w:after="0" w:line="240" w:lineRule="auto"/>
              <w:jc w:val="center"/>
              <w:rPr>
                <w:rFonts w:asciiTheme="majorHAnsi" w:hAnsiTheme="majorHAnsi" w:cs="Arial"/>
                <w:b/>
                <w:bCs/>
                <w:color w:val="FFFFFF" w:themeColor="background1"/>
                <w:kern w:val="0"/>
                <w:szCs w:val="18"/>
                <w:lang w:eastAsia="fr-FR"/>
              </w:rPr>
            </w:pPr>
            <w:r w:rsidRPr="00894701">
              <w:rPr>
                <w:rFonts w:asciiTheme="majorHAnsi" w:hAnsiTheme="majorHAnsi" w:cs="Arial"/>
                <w:b/>
                <w:bCs/>
                <w:color w:val="FFFFFF" w:themeColor="background1"/>
                <w:kern w:val="0"/>
                <w:szCs w:val="18"/>
                <w:lang w:eastAsia="fr-FR"/>
              </w:rPr>
              <w:t>2020</w:t>
            </w:r>
            <w:r w:rsidRPr="00894701">
              <w:rPr>
                <w:rFonts w:asciiTheme="majorHAnsi" w:hAnsiTheme="majorHAnsi" w:cs="Arial"/>
                <w:b/>
                <w:bCs/>
                <w:color w:val="FFFFFF" w:themeColor="background1"/>
                <w:kern w:val="0"/>
                <w:szCs w:val="18"/>
                <w:lang w:eastAsia="fr-FR"/>
              </w:rPr>
              <w:br/>
              <w:t>in SRD</w:t>
            </w:r>
          </w:p>
        </w:tc>
      </w:tr>
      <w:tr w:rsidR="000972FC" w:rsidRPr="00894701" w14:paraId="38FF6A5A" w14:textId="77777777" w:rsidTr="004C70CC">
        <w:trPr>
          <w:trHeight w:val="283"/>
        </w:trPr>
        <w:tc>
          <w:tcPr>
            <w:tcW w:w="530" w:type="dxa"/>
            <w:tcBorders>
              <w:left w:val="nil"/>
              <w:bottom w:val="nil"/>
              <w:right w:val="nil"/>
            </w:tcBorders>
            <w:shd w:val="clear" w:color="000000" w:fill="F7A3B0"/>
            <w:noWrap/>
            <w:vAlign w:val="center"/>
            <w:hideMark/>
          </w:tcPr>
          <w:p w14:paraId="760E9120" w14:textId="77777777" w:rsidR="000972FC" w:rsidRPr="00894701" w:rsidRDefault="000972FC" w:rsidP="000972FC">
            <w:pPr>
              <w:spacing w:after="0" w:line="240" w:lineRule="auto"/>
              <w:jc w:val="center"/>
              <w:rPr>
                <w:rFonts w:asciiTheme="majorHAnsi" w:hAnsiTheme="majorHAnsi" w:cs="Arial"/>
                <w:color w:val="000000"/>
                <w:kern w:val="0"/>
                <w:szCs w:val="18"/>
                <w:lang w:val="fr-FR" w:eastAsia="fr-FR"/>
              </w:rPr>
            </w:pPr>
            <w:r w:rsidRPr="00894701">
              <w:rPr>
                <w:rFonts w:asciiTheme="majorHAnsi" w:hAnsiTheme="majorHAnsi" w:cs="Arial"/>
                <w:color w:val="000000"/>
                <w:kern w:val="0"/>
                <w:szCs w:val="18"/>
                <w:lang w:val="fr-FR" w:eastAsia="fr-FR"/>
              </w:rPr>
              <w:t>1</w:t>
            </w:r>
          </w:p>
        </w:tc>
        <w:tc>
          <w:tcPr>
            <w:tcW w:w="3723" w:type="dxa"/>
            <w:tcBorders>
              <w:left w:val="nil"/>
              <w:bottom w:val="nil"/>
              <w:right w:val="nil"/>
            </w:tcBorders>
            <w:shd w:val="clear" w:color="000000" w:fill="F7A3B0"/>
            <w:noWrap/>
            <w:vAlign w:val="center"/>
            <w:hideMark/>
          </w:tcPr>
          <w:p w14:paraId="27E26499" w14:textId="7FB76E6A" w:rsidR="000972FC" w:rsidRPr="00894701" w:rsidRDefault="000972FC" w:rsidP="000972FC">
            <w:pPr>
              <w:spacing w:after="0" w:line="240" w:lineRule="auto"/>
              <w:rPr>
                <w:rFonts w:asciiTheme="majorHAnsi" w:hAnsiTheme="majorHAnsi" w:cs="Arial"/>
                <w:color w:val="000000"/>
                <w:kern w:val="0"/>
                <w:szCs w:val="18"/>
                <w:lang w:val="en-US" w:eastAsia="fr-FR"/>
              </w:rPr>
            </w:pPr>
            <w:r w:rsidRPr="00894701">
              <w:rPr>
                <w:rFonts w:asciiTheme="majorHAnsi" w:hAnsiTheme="majorHAnsi" w:cs="Arial"/>
                <w:color w:val="000000"/>
                <w:kern w:val="0"/>
                <w:szCs w:val="18"/>
                <w:lang w:val="en-US" w:eastAsia="fr-FR"/>
              </w:rPr>
              <w:t xml:space="preserve">Total E&amp;P Suriname B.V. </w:t>
            </w:r>
          </w:p>
        </w:tc>
        <w:tc>
          <w:tcPr>
            <w:tcW w:w="1701" w:type="dxa"/>
            <w:tcBorders>
              <w:left w:val="nil"/>
              <w:bottom w:val="nil"/>
              <w:right w:val="nil"/>
            </w:tcBorders>
            <w:shd w:val="clear" w:color="000000" w:fill="F7A3B0"/>
          </w:tcPr>
          <w:p w14:paraId="333A11AE" w14:textId="2C890B82" w:rsidR="000972FC" w:rsidRPr="00894701" w:rsidRDefault="000972FC" w:rsidP="000972FC">
            <w:pPr>
              <w:spacing w:after="0" w:line="240" w:lineRule="auto"/>
              <w:jc w:val="right"/>
              <w:rPr>
                <w:rFonts w:asciiTheme="majorHAnsi" w:hAnsiTheme="majorHAnsi" w:cs="Arial"/>
                <w:color w:val="000000"/>
                <w:kern w:val="0"/>
                <w:szCs w:val="18"/>
                <w:lang w:val="fr-FR" w:eastAsia="fr-FR"/>
              </w:rPr>
            </w:pPr>
            <w:r w:rsidRPr="00894701">
              <w:rPr>
                <w:rFonts w:cs="Calibri"/>
                <w:color w:val="000000"/>
                <w:szCs w:val="18"/>
              </w:rPr>
              <w:t xml:space="preserve">Not Applicable </w:t>
            </w:r>
          </w:p>
        </w:tc>
        <w:tc>
          <w:tcPr>
            <w:tcW w:w="1701" w:type="dxa"/>
            <w:tcBorders>
              <w:left w:val="nil"/>
              <w:bottom w:val="nil"/>
              <w:right w:val="nil"/>
            </w:tcBorders>
            <w:shd w:val="clear" w:color="000000" w:fill="F7A3B0"/>
          </w:tcPr>
          <w:p w14:paraId="55C520B8" w14:textId="3037B3A1" w:rsidR="000972FC" w:rsidRPr="00894701" w:rsidRDefault="000972FC" w:rsidP="000972FC">
            <w:pPr>
              <w:spacing w:after="0" w:line="240" w:lineRule="auto"/>
              <w:jc w:val="right"/>
              <w:rPr>
                <w:rFonts w:asciiTheme="majorHAnsi" w:hAnsiTheme="majorHAnsi" w:cs="Arial"/>
                <w:color w:val="000000"/>
                <w:kern w:val="0"/>
                <w:szCs w:val="18"/>
                <w:lang w:val="fr-FR" w:eastAsia="fr-FR"/>
              </w:rPr>
            </w:pPr>
            <w:r w:rsidRPr="00894701">
              <w:rPr>
                <w:rFonts w:cs="Calibri"/>
                <w:color w:val="000000"/>
                <w:szCs w:val="18"/>
              </w:rPr>
              <w:t xml:space="preserve">Not applicable </w:t>
            </w:r>
          </w:p>
        </w:tc>
        <w:tc>
          <w:tcPr>
            <w:tcW w:w="1701" w:type="dxa"/>
            <w:tcBorders>
              <w:left w:val="nil"/>
              <w:bottom w:val="nil"/>
              <w:right w:val="nil"/>
            </w:tcBorders>
            <w:shd w:val="clear" w:color="000000" w:fill="F7A3B0"/>
            <w:noWrap/>
          </w:tcPr>
          <w:p w14:paraId="06850AE3" w14:textId="0996D973" w:rsidR="000972FC" w:rsidRPr="00894701" w:rsidRDefault="000972FC" w:rsidP="000972FC">
            <w:pPr>
              <w:spacing w:after="0" w:line="240" w:lineRule="auto"/>
              <w:jc w:val="right"/>
              <w:rPr>
                <w:rFonts w:asciiTheme="majorHAnsi" w:hAnsiTheme="majorHAnsi" w:cs="Arial"/>
                <w:color w:val="000000"/>
                <w:kern w:val="0"/>
                <w:szCs w:val="18"/>
                <w:lang w:val="fr-FR" w:eastAsia="fr-FR"/>
              </w:rPr>
            </w:pPr>
            <w:r w:rsidRPr="00894701">
              <w:rPr>
                <w:rFonts w:cs="Calibri"/>
                <w:color w:val="000000"/>
                <w:szCs w:val="18"/>
              </w:rPr>
              <w:t xml:space="preserve">- </w:t>
            </w:r>
          </w:p>
        </w:tc>
      </w:tr>
      <w:tr w:rsidR="000972FC" w:rsidRPr="00894701" w14:paraId="46CC029B" w14:textId="77777777" w:rsidTr="004C70CC">
        <w:trPr>
          <w:trHeight w:val="283"/>
        </w:trPr>
        <w:tc>
          <w:tcPr>
            <w:tcW w:w="530" w:type="dxa"/>
            <w:tcBorders>
              <w:top w:val="nil"/>
              <w:left w:val="nil"/>
              <w:bottom w:val="nil"/>
              <w:right w:val="nil"/>
            </w:tcBorders>
            <w:shd w:val="clear" w:color="000000" w:fill="FFFFFF"/>
            <w:noWrap/>
            <w:vAlign w:val="center"/>
            <w:hideMark/>
          </w:tcPr>
          <w:p w14:paraId="399FC7E7" w14:textId="77777777" w:rsidR="000972FC" w:rsidRPr="00894701" w:rsidRDefault="000972FC" w:rsidP="000972FC">
            <w:pPr>
              <w:spacing w:after="0" w:line="240" w:lineRule="auto"/>
              <w:jc w:val="center"/>
              <w:rPr>
                <w:rFonts w:asciiTheme="majorHAnsi" w:hAnsiTheme="majorHAnsi" w:cs="Arial"/>
                <w:color w:val="000000"/>
                <w:kern w:val="0"/>
                <w:szCs w:val="18"/>
                <w:lang w:val="fr-FR" w:eastAsia="fr-FR"/>
              </w:rPr>
            </w:pPr>
            <w:r w:rsidRPr="00894701">
              <w:rPr>
                <w:rFonts w:asciiTheme="majorHAnsi" w:hAnsiTheme="majorHAnsi" w:cs="Arial"/>
                <w:color w:val="000000"/>
                <w:kern w:val="0"/>
                <w:szCs w:val="18"/>
                <w:lang w:val="fr-FR" w:eastAsia="fr-FR"/>
              </w:rPr>
              <w:t>2</w:t>
            </w:r>
          </w:p>
        </w:tc>
        <w:tc>
          <w:tcPr>
            <w:tcW w:w="3723" w:type="dxa"/>
            <w:tcBorders>
              <w:top w:val="nil"/>
              <w:left w:val="nil"/>
              <w:bottom w:val="nil"/>
              <w:right w:val="nil"/>
            </w:tcBorders>
            <w:shd w:val="clear" w:color="000000" w:fill="FFFFFF"/>
            <w:noWrap/>
            <w:vAlign w:val="center"/>
            <w:hideMark/>
          </w:tcPr>
          <w:p w14:paraId="41C4AE27" w14:textId="03762F8E" w:rsidR="000972FC" w:rsidRPr="00894701" w:rsidRDefault="000972FC" w:rsidP="000972FC">
            <w:pPr>
              <w:spacing w:after="0" w:line="240" w:lineRule="auto"/>
              <w:rPr>
                <w:rFonts w:asciiTheme="majorHAnsi" w:hAnsiTheme="majorHAnsi" w:cs="Arial"/>
                <w:color w:val="000000"/>
                <w:kern w:val="0"/>
                <w:szCs w:val="18"/>
                <w:lang w:val="fr-FR" w:eastAsia="fr-FR"/>
              </w:rPr>
            </w:pPr>
            <w:r w:rsidRPr="00894701">
              <w:rPr>
                <w:rFonts w:asciiTheme="majorHAnsi" w:hAnsiTheme="majorHAnsi" w:cs="Arial"/>
                <w:color w:val="000000"/>
                <w:kern w:val="0"/>
                <w:szCs w:val="18"/>
                <w:lang w:val="fr-FR" w:eastAsia="fr-FR"/>
              </w:rPr>
              <w:t>Capricorn Energy Plc</w:t>
            </w:r>
          </w:p>
        </w:tc>
        <w:tc>
          <w:tcPr>
            <w:tcW w:w="1701" w:type="dxa"/>
            <w:tcBorders>
              <w:top w:val="nil"/>
              <w:left w:val="nil"/>
              <w:bottom w:val="nil"/>
              <w:right w:val="nil"/>
            </w:tcBorders>
          </w:tcPr>
          <w:p w14:paraId="3159E1B7" w14:textId="1C5B767D" w:rsidR="000972FC" w:rsidRPr="00894701" w:rsidRDefault="000972FC" w:rsidP="000972FC">
            <w:pPr>
              <w:spacing w:after="0" w:line="240" w:lineRule="auto"/>
              <w:jc w:val="right"/>
              <w:rPr>
                <w:rFonts w:asciiTheme="majorHAnsi" w:hAnsiTheme="majorHAnsi" w:cs="Arial"/>
                <w:color w:val="000000"/>
                <w:kern w:val="0"/>
                <w:szCs w:val="18"/>
                <w:lang w:val="fr-FR" w:eastAsia="fr-FR"/>
              </w:rPr>
            </w:pPr>
            <w:r w:rsidRPr="00894701">
              <w:rPr>
                <w:rFonts w:cs="Calibri"/>
                <w:color w:val="000000"/>
                <w:szCs w:val="18"/>
              </w:rPr>
              <w:t xml:space="preserve">- </w:t>
            </w:r>
          </w:p>
        </w:tc>
        <w:tc>
          <w:tcPr>
            <w:tcW w:w="1701" w:type="dxa"/>
            <w:tcBorders>
              <w:top w:val="nil"/>
              <w:left w:val="nil"/>
              <w:bottom w:val="nil"/>
              <w:right w:val="nil"/>
            </w:tcBorders>
          </w:tcPr>
          <w:p w14:paraId="6034F143" w14:textId="74234EE7" w:rsidR="000972FC" w:rsidRPr="00894701" w:rsidRDefault="000972FC" w:rsidP="000972FC">
            <w:pPr>
              <w:spacing w:after="0" w:line="240" w:lineRule="auto"/>
              <w:jc w:val="right"/>
              <w:rPr>
                <w:rFonts w:asciiTheme="majorHAnsi" w:hAnsiTheme="majorHAnsi" w:cs="Arial"/>
                <w:color w:val="000000"/>
                <w:kern w:val="0"/>
                <w:szCs w:val="18"/>
                <w:lang w:val="fr-FR" w:eastAsia="fr-FR"/>
              </w:rPr>
            </w:pPr>
            <w:r w:rsidRPr="00894701">
              <w:rPr>
                <w:rFonts w:cs="Calibri"/>
                <w:color w:val="000000"/>
                <w:szCs w:val="18"/>
              </w:rPr>
              <w:t xml:space="preserve">- </w:t>
            </w:r>
          </w:p>
        </w:tc>
        <w:tc>
          <w:tcPr>
            <w:tcW w:w="1701" w:type="dxa"/>
            <w:tcBorders>
              <w:top w:val="nil"/>
              <w:left w:val="nil"/>
              <w:bottom w:val="nil"/>
              <w:right w:val="nil"/>
            </w:tcBorders>
            <w:shd w:val="clear" w:color="auto" w:fill="auto"/>
            <w:noWrap/>
          </w:tcPr>
          <w:p w14:paraId="6A1871A0" w14:textId="7B20C90C" w:rsidR="000972FC" w:rsidRPr="00894701" w:rsidRDefault="000972FC" w:rsidP="000972FC">
            <w:pPr>
              <w:spacing w:after="0" w:line="240" w:lineRule="auto"/>
              <w:jc w:val="right"/>
              <w:rPr>
                <w:rFonts w:asciiTheme="majorHAnsi" w:hAnsiTheme="majorHAnsi" w:cs="Arial"/>
                <w:color w:val="000000"/>
                <w:kern w:val="0"/>
                <w:szCs w:val="18"/>
                <w:lang w:val="fr-FR" w:eastAsia="fr-FR"/>
              </w:rPr>
            </w:pPr>
            <w:r w:rsidRPr="00894701">
              <w:rPr>
                <w:rFonts w:cs="Calibri"/>
                <w:color w:val="000000"/>
                <w:szCs w:val="18"/>
              </w:rPr>
              <w:t xml:space="preserve">- </w:t>
            </w:r>
          </w:p>
        </w:tc>
      </w:tr>
      <w:tr w:rsidR="001B4837" w:rsidRPr="00894701" w14:paraId="73FEF8AE" w14:textId="77777777" w:rsidTr="004C70CC">
        <w:trPr>
          <w:trHeight w:val="283"/>
        </w:trPr>
        <w:tc>
          <w:tcPr>
            <w:tcW w:w="530" w:type="dxa"/>
            <w:tcBorders>
              <w:top w:val="nil"/>
              <w:left w:val="nil"/>
              <w:bottom w:val="nil"/>
              <w:right w:val="nil"/>
            </w:tcBorders>
            <w:shd w:val="clear" w:color="auto" w:fill="808080"/>
            <w:noWrap/>
            <w:vAlign w:val="center"/>
          </w:tcPr>
          <w:p w14:paraId="44142524" w14:textId="77777777" w:rsidR="001B4837" w:rsidRPr="00894701" w:rsidRDefault="001B4837" w:rsidP="001B4837">
            <w:pPr>
              <w:spacing w:after="0" w:line="240" w:lineRule="auto"/>
              <w:jc w:val="center"/>
              <w:rPr>
                <w:rFonts w:asciiTheme="majorHAnsi" w:hAnsiTheme="majorHAnsi" w:cs="Arial"/>
                <w:b/>
                <w:color w:val="FFFFFF" w:themeColor="background1"/>
                <w:kern w:val="0"/>
                <w:szCs w:val="18"/>
                <w:lang w:val="fr-FR" w:eastAsia="fr-FR"/>
              </w:rPr>
            </w:pPr>
          </w:p>
        </w:tc>
        <w:tc>
          <w:tcPr>
            <w:tcW w:w="3723" w:type="dxa"/>
            <w:tcBorders>
              <w:top w:val="nil"/>
              <w:left w:val="nil"/>
              <w:bottom w:val="nil"/>
              <w:right w:val="nil"/>
            </w:tcBorders>
            <w:shd w:val="clear" w:color="auto" w:fill="808080"/>
            <w:noWrap/>
            <w:vAlign w:val="center"/>
          </w:tcPr>
          <w:p w14:paraId="53E1B2FD" w14:textId="77777777" w:rsidR="001B4837" w:rsidRPr="00894701" w:rsidRDefault="001B4837" w:rsidP="001B4837">
            <w:pPr>
              <w:spacing w:after="0" w:line="240" w:lineRule="auto"/>
              <w:rPr>
                <w:rFonts w:asciiTheme="majorHAnsi" w:hAnsiTheme="majorHAnsi" w:cs="Arial"/>
                <w:b/>
                <w:color w:val="FFFFFF" w:themeColor="background1"/>
                <w:kern w:val="0"/>
                <w:szCs w:val="18"/>
                <w:lang w:val="fr-FR" w:eastAsia="fr-FR"/>
              </w:rPr>
            </w:pPr>
            <w:r w:rsidRPr="00894701">
              <w:rPr>
                <w:rFonts w:asciiTheme="majorHAnsi" w:hAnsiTheme="majorHAnsi" w:cs="Arial"/>
                <w:b/>
                <w:color w:val="FFFFFF" w:themeColor="background1"/>
                <w:kern w:val="0"/>
                <w:szCs w:val="18"/>
                <w:lang w:val="fr-FR" w:eastAsia="fr-FR"/>
              </w:rPr>
              <w:t>Total</w:t>
            </w:r>
          </w:p>
        </w:tc>
        <w:tc>
          <w:tcPr>
            <w:tcW w:w="1701" w:type="dxa"/>
            <w:tcBorders>
              <w:top w:val="nil"/>
              <w:left w:val="nil"/>
              <w:bottom w:val="nil"/>
              <w:right w:val="nil"/>
            </w:tcBorders>
            <w:shd w:val="clear" w:color="auto" w:fill="808080"/>
          </w:tcPr>
          <w:p w14:paraId="149C76BE" w14:textId="654D9A6D" w:rsidR="001B4837" w:rsidRPr="00894701" w:rsidRDefault="001B4837" w:rsidP="001B4837">
            <w:pPr>
              <w:spacing w:after="0" w:line="240" w:lineRule="auto"/>
              <w:jc w:val="right"/>
              <w:rPr>
                <w:rFonts w:asciiTheme="majorHAnsi" w:hAnsiTheme="majorHAnsi" w:cs="Arial"/>
                <w:b/>
                <w:color w:val="FFFFFF" w:themeColor="background1"/>
                <w:kern w:val="0"/>
                <w:szCs w:val="18"/>
                <w:lang w:val="fr-FR" w:eastAsia="fr-FR"/>
              </w:rPr>
            </w:pPr>
            <w:r w:rsidRPr="00894701">
              <w:rPr>
                <w:rFonts w:cs="Calibri"/>
                <w:b/>
                <w:color w:val="FFFFFF" w:themeColor="background1"/>
                <w:szCs w:val="18"/>
              </w:rPr>
              <w:t xml:space="preserve">- </w:t>
            </w:r>
          </w:p>
        </w:tc>
        <w:tc>
          <w:tcPr>
            <w:tcW w:w="1701" w:type="dxa"/>
            <w:tcBorders>
              <w:top w:val="nil"/>
              <w:left w:val="nil"/>
              <w:bottom w:val="nil"/>
              <w:right w:val="nil"/>
            </w:tcBorders>
            <w:shd w:val="clear" w:color="auto" w:fill="808080"/>
          </w:tcPr>
          <w:p w14:paraId="518420E7" w14:textId="6D2A464D" w:rsidR="001B4837" w:rsidRPr="00894701" w:rsidRDefault="001B4837" w:rsidP="001B4837">
            <w:pPr>
              <w:spacing w:after="0" w:line="240" w:lineRule="auto"/>
              <w:jc w:val="right"/>
              <w:rPr>
                <w:rFonts w:asciiTheme="majorHAnsi" w:hAnsiTheme="majorHAnsi" w:cs="Arial"/>
                <w:b/>
                <w:color w:val="FFFFFF" w:themeColor="background1"/>
                <w:kern w:val="0"/>
                <w:szCs w:val="18"/>
                <w:lang w:val="fr-FR" w:eastAsia="fr-FR"/>
              </w:rPr>
            </w:pPr>
            <w:r w:rsidRPr="00894701">
              <w:rPr>
                <w:rFonts w:cs="Calibri"/>
                <w:b/>
                <w:color w:val="FFFFFF" w:themeColor="background1"/>
                <w:szCs w:val="18"/>
              </w:rPr>
              <w:t xml:space="preserve">- </w:t>
            </w:r>
          </w:p>
        </w:tc>
        <w:tc>
          <w:tcPr>
            <w:tcW w:w="1701" w:type="dxa"/>
            <w:tcBorders>
              <w:top w:val="nil"/>
              <w:left w:val="nil"/>
              <w:bottom w:val="nil"/>
              <w:right w:val="nil"/>
            </w:tcBorders>
            <w:shd w:val="clear" w:color="auto" w:fill="808080"/>
            <w:noWrap/>
          </w:tcPr>
          <w:p w14:paraId="54EF1B81" w14:textId="09D7D7BC" w:rsidR="001B4837" w:rsidRPr="00894701" w:rsidRDefault="001B4837" w:rsidP="001B4837">
            <w:pPr>
              <w:spacing w:after="0" w:line="240" w:lineRule="auto"/>
              <w:jc w:val="right"/>
              <w:rPr>
                <w:rFonts w:asciiTheme="majorHAnsi" w:hAnsiTheme="majorHAnsi" w:cs="Arial"/>
                <w:b/>
                <w:color w:val="FFFFFF" w:themeColor="background1"/>
                <w:kern w:val="0"/>
                <w:szCs w:val="18"/>
                <w:lang w:val="fr-FR" w:eastAsia="fr-FR"/>
              </w:rPr>
            </w:pPr>
            <w:r w:rsidRPr="00894701">
              <w:rPr>
                <w:rFonts w:cs="Calibri"/>
                <w:b/>
                <w:color w:val="FFFFFF" w:themeColor="background1"/>
                <w:szCs w:val="18"/>
              </w:rPr>
              <w:t xml:space="preserve">- </w:t>
            </w:r>
          </w:p>
        </w:tc>
      </w:tr>
      <w:tr w:rsidR="001B4837" w:rsidRPr="00894701" w14:paraId="34AAC4AD" w14:textId="77777777" w:rsidTr="004C70CC">
        <w:trPr>
          <w:trHeight w:val="283"/>
        </w:trPr>
        <w:tc>
          <w:tcPr>
            <w:tcW w:w="530" w:type="dxa"/>
            <w:tcBorders>
              <w:top w:val="nil"/>
              <w:left w:val="nil"/>
              <w:bottom w:val="nil"/>
              <w:right w:val="nil"/>
            </w:tcBorders>
            <w:shd w:val="clear" w:color="auto" w:fill="808080"/>
            <w:noWrap/>
            <w:vAlign w:val="center"/>
          </w:tcPr>
          <w:p w14:paraId="5F271FB2" w14:textId="77777777" w:rsidR="001B4837" w:rsidRPr="00894701" w:rsidRDefault="001B4837" w:rsidP="001B4837">
            <w:pPr>
              <w:spacing w:after="0" w:line="240" w:lineRule="auto"/>
              <w:jc w:val="center"/>
              <w:rPr>
                <w:rFonts w:asciiTheme="majorHAnsi" w:hAnsiTheme="majorHAnsi" w:cs="Arial"/>
                <w:b/>
                <w:color w:val="FFFFFF" w:themeColor="background1"/>
                <w:kern w:val="0"/>
                <w:szCs w:val="18"/>
                <w:lang w:val="fr-FR" w:eastAsia="fr-FR"/>
              </w:rPr>
            </w:pPr>
          </w:p>
        </w:tc>
        <w:tc>
          <w:tcPr>
            <w:tcW w:w="3723" w:type="dxa"/>
            <w:tcBorders>
              <w:top w:val="nil"/>
              <w:left w:val="nil"/>
              <w:bottom w:val="nil"/>
              <w:right w:val="nil"/>
            </w:tcBorders>
            <w:shd w:val="clear" w:color="auto" w:fill="808080"/>
            <w:noWrap/>
            <w:vAlign w:val="center"/>
          </w:tcPr>
          <w:p w14:paraId="7AF7CDEC" w14:textId="1DDABC03" w:rsidR="001B4837" w:rsidRPr="00894701" w:rsidRDefault="001B4837" w:rsidP="001B4837">
            <w:pPr>
              <w:spacing w:after="0" w:line="240" w:lineRule="auto"/>
              <w:rPr>
                <w:rFonts w:asciiTheme="majorHAnsi" w:hAnsiTheme="majorHAnsi" w:cs="Arial"/>
                <w:b/>
                <w:color w:val="FFFFFF" w:themeColor="background1"/>
                <w:kern w:val="0"/>
                <w:szCs w:val="18"/>
                <w:lang w:val="fr-FR" w:eastAsia="fr-FR"/>
              </w:rPr>
            </w:pPr>
            <w:r w:rsidRPr="00894701">
              <w:rPr>
                <w:rFonts w:asciiTheme="majorHAnsi" w:hAnsiTheme="majorHAnsi" w:cs="Arial"/>
                <w:b/>
                <w:color w:val="FFFFFF" w:themeColor="background1"/>
                <w:kern w:val="0"/>
                <w:szCs w:val="18"/>
                <w:lang w:val="fr-FR" w:eastAsia="fr-FR"/>
              </w:rPr>
              <w:t>Total reconciled revenues</w:t>
            </w:r>
          </w:p>
        </w:tc>
        <w:tc>
          <w:tcPr>
            <w:tcW w:w="1701" w:type="dxa"/>
            <w:tcBorders>
              <w:top w:val="nil"/>
              <w:left w:val="nil"/>
              <w:bottom w:val="nil"/>
              <w:right w:val="nil"/>
            </w:tcBorders>
            <w:shd w:val="clear" w:color="auto" w:fill="808080"/>
            <w:vAlign w:val="center"/>
          </w:tcPr>
          <w:p w14:paraId="0FA3C3E8" w14:textId="5E5BC7F3" w:rsidR="001B4837" w:rsidRPr="00894701" w:rsidRDefault="00AA2FE8" w:rsidP="001B4837">
            <w:pPr>
              <w:spacing w:after="0" w:line="240" w:lineRule="auto"/>
              <w:jc w:val="right"/>
              <w:rPr>
                <w:rFonts w:asciiTheme="majorHAnsi" w:hAnsiTheme="majorHAnsi" w:cs="Arial"/>
                <w:b/>
                <w:color w:val="FFFFFF" w:themeColor="background1"/>
                <w:kern w:val="0"/>
                <w:szCs w:val="18"/>
                <w:lang w:val="fr-FR" w:eastAsia="fr-FR"/>
              </w:rPr>
            </w:pPr>
            <w:r w:rsidRPr="00AA2FE8">
              <w:rPr>
                <w:rFonts w:cs="Arial"/>
                <w:b/>
                <w:bCs/>
                <w:color w:val="FFFFFF"/>
                <w:szCs w:val="18"/>
              </w:rPr>
              <w:t>276,018,706</w:t>
            </w:r>
          </w:p>
        </w:tc>
        <w:tc>
          <w:tcPr>
            <w:tcW w:w="1701" w:type="dxa"/>
            <w:tcBorders>
              <w:top w:val="nil"/>
              <w:left w:val="nil"/>
              <w:bottom w:val="nil"/>
              <w:right w:val="nil"/>
            </w:tcBorders>
            <w:shd w:val="clear" w:color="auto" w:fill="808080"/>
            <w:vAlign w:val="center"/>
          </w:tcPr>
          <w:p w14:paraId="189F67C9" w14:textId="021293D7" w:rsidR="001B4837" w:rsidRPr="00894701" w:rsidRDefault="00AA2FE8" w:rsidP="001B4837">
            <w:pPr>
              <w:spacing w:after="0" w:line="240" w:lineRule="auto"/>
              <w:jc w:val="right"/>
              <w:rPr>
                <w:rFonts w:asciiTheme="majorHAnsi" w:hAnsiTheme="majorHAnsi" w:cs="Arial"/>
                <w:b/>
                <w:color w:val="FFFFFF" w:themeColor="background1"/>
                <w:kern w:val="0"/>
                <w:szCs w:val="18"/>
                <w:lang w:val="fr-FR" w:eastAsia="fr-FR"/>
              </w:rPr>
            </w:pPr>
            <w:r w:rsidRPr="00AA2FE8">
              <w:rPr>
                <w:rFonts w:cs="Arial"/>
                <w:b/>
                <w:bCs/>
                <w:color w:val="FFFFFF"/>
                <w:szCs w:val="18"/>
              </w:rPr>
              <w:t>198,854,576</w:t>
            </w:r>
          </w:p>
        </w:tc>
        <w:tc>
          <w:tcPr>
            <w:tcW w:w="1701" w:type="dxa"/>
            <w:tcBorders>
              <w:top w:val="nil"/>
              <w:left w:val="nil"/>
              <w:bottom w:val="nil"/>
              <w:right w:val="nil"/>
            </w:tcBorders>
            <w:shd w:val="clear" w:color="auto" w:fill="808080"/>
            <w:noWrap/>
            <w:vAlign w:val="center"/>
          </w:tcPr>
          <w:p w14:paraId="365D4EF4" w14:textId="1DBE5B6D" w:rsidR="001B4837" w:rsidRPr="00894701" w:rsidRDefault="00AA2FE8" w:rsidP="001B4837">
            <w:pPr>
              <w:spacing w:after="0" w:line="240" w:lineRule="auto"/>
              <w:jc w:val="right"/>
              <w:rPr>
                <w:rFonts w:asciiTheme="majorHAnsi" w:hAnsiTheme="majorHAnsi" w:cs="Arial"/>
                <w:b/>
                <w:color w:val="FFFFFF" w:themeColor="background1"/>
                <w:kern w:val="0"/>
                <w:szCs w:val="18"/>
                <w:lang w:val="fr-FR" w:eastAsia="fr-FR"/>
              </w:rPr>
            </w:pPr>
            <w:r w:rsidRPr="00AA2FE8">
              <w:rPr>
                <w:rFonts w:cs="Arial"/>
                <w:b/>
                <w:bCs/>
                <w:color w:val="FFFFFF"/>
                <w:szCs w:val="18"/>
              </w:rPr>
              <w:t>172,787,336</w:t>
            </w:r>
          </w:p>
        </w:tc>
      </w:tr>
      <w:tr w:rsidR="00F2176F" w:rsidRPr="00894701" w14:paraId="5C0F9B5C" w14:textId="77777777" w:rsidTr="004C70CC">
        <w:trPr>
          <w:trHeight w:val="283"/>
        </w:trPr>
        <w:tc>
          <w:tcPr>
            <w:tcW w:w="530" w:type="dxa"/>
            <w:tcBorders>
              <w:top w:val="nil"/>
              <w:left w:val="nil"/>
              <w:bottom w:val="nil"/>
              <w:right w:val="nil"/>
            </w:tcBorders>
            <w:shd w:val="clear" w:color="auto" w:fill="808080"/>
            <w:noWrap/>
            <w:vAlign w:val="center"/>
          </w:tcPr>
          <w:p w14:paraId="0C602F4B" w14:textId="77777777" w:rsidR="00F2176F" w:rsidRPr="00894701" w:rsidRDefault="00F2176F" w:rsidP="00F2176F">
            <w:pPr>
              <w:spacing w:after="0" w:line="240" w:lineRule="auto"/>
              <w:jc w:val="center"/>
              <w:rPr>
                <w:rFonts w:asciiTheme="majorHAnsi" w:hAnsiTheme="majorHAnsi" w:cs="Arial"/>
                <w:b/>
                <w:color w:val="FFFFFF" w:themeColor="background1"/>
                <w:kern w:val="0"/>
                <w:szCs w:val="18"/>
                <w:lang w:val="fr-FR" w:eastAsia="fr-FR"/>
              </w:rPr>
            </w:pPr>
          </w:p>
        </w:tc>
        <w:tc>
          <w:tcPr>
            <w:tcW w:w="3723" w:type="dxa"/>
            <w:tcBorders>
              <w:top w:val="nil"/>
              <w:left w:val="nil"/>
              <w:bottom w:val="nil"/>
              <w:right w:val="nil"/>
            </w:tcBorders>
            <w:shd w:val="clear" w:color="auto" w:fill="808080"/>
            <w:noWrap/>
            <w:vAlign w:val="center"/>
          </w:tcPr>
          <w:p w14:paraId="610309F0" w14:textId="358A26CB" w:rsidR="00F2176F" w:rsidRPr="00894701" w:rsidRDefault="00F2176F" w:rsidP="00F2176F">
            <w:pPr>
              <w:spacing w:after="0" w:line="240" w:lineRule="auto"/>
              <w:rPr>
                <w:rFonts w:asciiTheme="majorHAnsi" w:hAnsiTheme="majorHAnsi" w:cs="Arial"/>
                <w:b/>
                <w:color w:val="FFFFFF" w:themeColor="background1"/>
                <w:kern w:val="0"/>
                <w:szCs w:val="18"/>
                <w:lang w:val="fr-FR" w:eastAsia="fr-FR"/>
              </w:rPr>
            </w:pPr>
            <w:r w:rsidRPr="00894701">
              <w:rPr>
                <w:rFonts w:asciiTheme="majorHAnsi" w:hAnsiTheme="majorHAnsi" w:cs="Arial"/>
                <w:b/>
                <w:color w:val="FFFFFF" w:themeColor="background1"/>
                <w:kern w:val="0"/>
                <w:szCs w:val="18"/>
                <w:lang w:val="fr-FR" w:eastAsia="fr-FR"/>
              </w:rPr>
              <w:t>% of reconciled revenues</w:t>
            </w:r>
          </w:p>
        </w:tc>
        <w:tc>
          <w:tcPr>
            <w:tcW w:w="1701" w:type="dxa"/>
            <w:tcBorders>
              <w:top w:val="nil"/>
              <w:left w:val="nil"/>
              <w:bottom w:val="nil"/>
              <w:right w:val="nil"/>
            </w:tcBorders>
            <w:shd w:val="clear" w:color="auto" w:fill="808080"/>
            <w:vAlign w:val="center"/>
          </w:tcPr>
          <w:p w14:paraId="4CA13725" w14:textId="332C6011" w:rsidR="00F2176F" w:rsidRPr="00894701" w:rsidRDefault="001B4837" w:rsidP="00F2176F">
            <w:pPr>
              <w:spacing w:after="0" w:line="240" w:lineRule="auto"/>
              <w:jc w:val="right"/>
              <w:rPr>
                <w:rFonts w:asciiTheme="majorHAnsi" w:hAnsiTheme="majorHAnsi" w:cs="Arial"/>
                <w:b/>
                <w:color w:val="FFFFFF" w:themeColor="background1"/>
                <w:kern w:val="0"/>
                <w:szCs w:val="18"/>
                <w:lang w:val="fr-FR" w:eastAsia="fr-FR"/>
              </w:rPr>
            </w:pPr>
            <w:r w:rsidRPr="00894701">
              <w:rPr>
                <w:rFonts w:cs="Arial"/>
                <w:b/>
                <w:bCs/>
                <w:color w:val="FFFFFF"/>
                <w:szCs w:val="18"/>
              </w:rPr>
              <w:t>0</w:t>
            </w:r>
            <w:r w:rsidR="00F2176F" w:rsidRPr="00894701">
              <w:rPr>
                <w:rFonts w:cs="Arial"/>
                <w:b/>
                <w:bCs/>
                <w:color w:val="FFFFFF"/>
                <w:szCs w:val="18"/>
              </w:rPr>
              <w:t>%</w:t>
            </w:r>
          </w:p>
        </w:tc>
        <w:tc>
          <w:tcPr>
            <w:tcW w:w="1701" w:type="dxa"/>
            <w:tcBorders>
              <w:top w:val="nil"/>
              <w:left w:val="nil"/>
              <w:bottom w:val="nil"/>
              <w:right w:val="nil"/>
            </w:tcBorders>
            <w:shd w:val="clear" w:color="auto" w:fill="808080"/>
            <w:vAlign w:val="center"/>
          </w:tcPr>
          <w:p w14:paraId="5FCD630D" w14:textId="486E46EA" w:rsidR="00F2176F" w:rsidRPr="00894701" w:rsidRDefault="001B4837" w:rsidP="00F2176F">
            <w:pPr>
              <w:spacing w:after="0" w:line="240" w:lineRule="auto"/>
              <w:jc w:val="right"/>
              <w:rPr>
                <w:rFonts w:asciiTheme="majorHAnsi" w:hAnsiTheme="majorHAnsi" w:cs="Arial"/>
                <w:b/>
                <w:color w:val="FFFFFF" w:themeColor="background1"/>
                <w:kern w:val="0"/>
                <w:szCs w:val="18"/>
                <w:lang w:val="fr-FR" w:eastAsia="fr-FR"/>
              </w:rPr>
            </w:pPr>
            <w:r w:rsidRPr="00894701">
              <w:rPr>
                <w:rFonts w:cs="Arial"/>
                <w:b/>
                <w:bCs/>
                <w:color w:val="FFFFFF"/>
                <w:szCs w:val="18"/>
              </w:rPr>
              <w:t>0</w:t>
            </w:r>
            <w:r w:rsidR="00F2176F" w:rsidRPr="00894701">
              <w:rPr>
                <w:rFonts w:cs="Arial"/>
                <w:b/>
                <w:bCs/>
                <w:color w:val="FFFFFF"/>
                <w:szCs w:val="18"/>
              </w:rPr>
              <w:t>%</w:t>
            </w:r>
          </w:p>
        </w:tc>
        <w:tc>
          <w:tcPr>
            <w:tcW w:w="1701" w:type="dxa"/>
            <w:tcBorders>
              <w:top w:val="nil"/>
              <w:left w:val="nil"/>
              <w:bottom w:val="nil"/>
              <w:right w:val="nil"/>
            </w:tcBorders>
            <w:shd w:val="clear" w:color="auto" w:fill="808080"/>
            <w:noWrap/>
            <w:vAlign w:val="center"/>
          </w:tcPr>
          <w:p w14:paraId="655DD70B" w14:textId="49A35793" w:rsidR="00F2176F" w:rsidRPr="00894701" w:rsidRDefault="001B4837" w:rsidP="00F2176F">
            <w:pPr>
              <w:spacing w:after="0" w:line="240" w:lineRule="auto"/>
              <w:jc w:val="right"/>
              <w:rPr>
                <w:rFonts w:asciiTheme="majorHAnsi" w:hAnsiTheme="majorHAnsi" w:cs="Arial"/>
                <w:b/>
                <w:color w:val="FFFFFF" w:themeColor="background1"/>
                <w:kern w:val="0"/>
                <w:szCs w:val="18"/>
                <w:lang w:val="fr-FR" w:eastAsia="fr-FR"/>
              </w:rPr>
            </w:pPr>
            <w:r w:rsidRPr="00894701">
              <w:rPr>
                <w:rFonts w:cs="Arial"/>
                <w:b/>
                <w:bCs/>
                <w:color w:val="FFFFFF"/>
                <w:szCs w:val="18"/>
              </w:rPr>
              <w:t>0</w:t>
            </w:r>
            <w:r w:rsidR="00F2176F" w:rsidRPr="00894701">
              <w:rPr>
                <w:rFonts w:cs="Arial"/>
                <w:b/>
                <w:bCs/>
                <w:color w:val="FFFFFF"/>
                <w:szCs w:val="18"/>
              </w:rPr>
              <w:t>%</w:t>
            </w:r>
          </w:p>
        </w:tc>
      </w:tr>
    </w:tbl>
    <w:p w14:paraId="49308E47" w14:textId="3FA20EE7" w:rsidR="00B029BD" w:rsidRPr="00894701" w:rsidRDefault="00D01A33" w:rsidP="00EE0114">
      <w:pPr>
        <w:jc w:val="both"/>
        <w:rPr>
          <w:rFonts w:cs="Arial"/>
          <w:bCs/>
          <w:color w:val="000000" w:themeColor="text1"/>
          <w:sz w:val="20"/>
          <w:lang w:eastAsia="fr-FR"/>
        </w:rPr>
      </w:pPr>
      <w:r w:rsidRPr="00894701">
        <w:rPr>
          <w:rFonts w:asciiTheme="majorHAnsi" w:hAnsiTheme="majorHAnsi" w:cs="Calibri Light"/>
          <w:i/>
          <w:iCs/>
          <w:color w:val="auto"/>
          <w:sz w:val="14"/>
          <w:szCs w:val="14"/>
        </w:rPr>
        <w:t>Source: Reporting templates</w:t>
      </w:r>
    </w:p>
    <w:p w14:paraId="6E6964DB" w14:textId="1964DFFC" w:rsidR="00A81581" w:rsidRPr="00894701" w:rsidRDefault="00D01A33" w:rsidP="00754057">
      <w:pPr>
        <w:jc w:val="both"/>
        <w:rPr>
          <w:rFonts w:cs="Arial"/>
          <w:bCs/>
          <w:color w:val="auto"/>
          <w:kern w:val="0"/>
          <w:sz w:val="20"/>
          <w:szCs w:val="20"/>
          <w:lang w:eastAsia="fr-FR"/>
        </w:rPr>
      </w:pPr>
      <w:r w:rsidRPr="00894701">
        <w:rPr>
          <w:rFonts w:cs="Arial"/>
          <w:bCs/>
          <w:color w:val="auto"/>
          <w:kern w:val="0"/>
          <w:sz w:val="20"/>
          <w:szCs w:val="20"/>
          <w:lang w:eastAsia="fr-FR"/>
        </w:rPr>
        <w:lastRenderedPageBreak/>
        <w:t>Four (4) extractive companies submitted reporting templates without their audited financial statements. The revenues reported by Government Agencies after adjustments in respect of these companies a</w:t>
      </w:r>
      <w:r w:rsidR="001E0490">
        <w:rPr>
          <w:rFonts w:cs="Arial"/>
          <w:bCs/>
          <w:color w:val="auto"/>
          <w:kern w:val="0"/>
          <w:sz w:val="20"/>
          <w:szCs w:val="20"/>
          <w:lang w:eastAsia="fr-FR"/>
        </w:rPr>
        <w:t>cc</w:t>
      </w:r>
      <w:r w:rsidRPr="00894701">
        <w:rPr>
          <w:rFonts w:cs="Arial"/>
          <w:bCs/>
          <w:color w:val="auto"/>
          <w:kern w:val="0"/>
          <w:sz w:val="20"/>
          <w:szCs w:val="20"/>
          <w:lang w:eastAsia="fr-FR"/>
        </w:rPr>
        <w:t xml:space="preserve">ounted </w:t>
      </w:r>
      <w:r w:rsidR="001E0490">
        <w:rPr>
          <w:rFonts w:cs="Arial"/>
          <w:bCs/>
          <w:color w:val="auto"/>
          <w:kern w:val="0"/>
          <w:sz w:val="20"/>
          <w:szCs w:val="20"/>
          <w:lang w:eastAsia="fr-FR"/>
        </w:rPr>
        <w:t>for</w:t>
      </w:r>
      <w:r w:rsidRPr="00894701">
        <w:rPr>
          <w:rFonts w:cs="Arial"/>
          <w:bCs/>
          <w:color w:val="auto"/>
          <w:kern w:val="0"/>
          <w:sz w:val="20"/>
          <w:szCs w:val="20"/>
          <w:lang w:eastAsia="fr-FR"/>
        </w:rPr>
        <w:t xml:space="preserve"> </w:t>
      </w:r>
      <w:r w:rsidR="00F2176F" w:rsidRPr="00894701">
        <w:rPr>
          <w:rFonts w:cs="Arial"/>
          <w:bCs/>
          <w:color w:val="auto"/>
          <w:kern w:val="0"/>
          <w:sz w:val="20"/>
          <w:szCs w:val="20"/>
          <w:lang w:eastAsia="fr-FR"/>
        </w:rPr>
        <w:t>2</w:t>
      </w:r>
      <w:r w:rsidRPr="00894701">
        <w:rPr>
          <w:rFonts w:cs="Arial"/>
          <w:bCs/>
          <w:color w:val="auto"/>
          <w:kern w:val="0"/>
          <w:sz w:val="20"/>
          <w:szCs w:val="20"/>
          <w:lang w:eastAsia="fr-FR"/>
        </w:rPr>
        <w:t xml:space="preserve">% of reconciled revenues for the FY </w:t>
      </w:r>
      <w:r w:rsidR="001E0490">
        <w:rPr>
          <w:rFonts w:cs="Arial"/>
          <w:bCs/>
          <w:color w:val="auto"/>
          <w:kern w:val="0"/>
          <w:sz w:val="20"/>
          <w:szCs w:val="20"/>
          <w:lang w:eastAsia="fr-FR"/>
        </w:rPr>
        <w:t xml:space="preserve">2018, 2019 and </w:t>
      </w:r>
      <w:r w:rsidRPr="00894701">
        <w:rPr>
          <w:rFonts w:cs="Arial"/>
          <w:bCs/>
          <w:color w:val="auto"/>
          <w:kern w:val="0"/>
          <w:sz w:val="20"/>
          <w:szCs w:val="20"/>
          <w:lang w:eastAsia="fr-FR"/>
        </w:rPr>
        <w:t>2020 as detailed in the table below:</w:t>
      </w:r>
    </w:p>
    <w:p w14:paraId="4FC50F99" w14:textId="39F41AD6" w:rsidR="00A81581" w:rsidRPr="00894701" w:rsidRDefault="00A81581" w:rsidP="00A81581">
      <w:pPr>
        <w:pStyle w:val="BodyTextRed"/>
        <w:jc w:val="center"/>
        <w:rPr>
          <w:b/>
          <w:bCs/>
          <w:color w:val="98002E" w:themeColor="accent3"/>
          <w:sz w:val="20"/>
          <w:szCs w:val="20"/>
        </w:rPr>
      </w:pPr>
      <w:bookmarkStart w:id="56" w:name="_Toc146590481"/>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9</w:t>
      </w:r>
      <w:r w:rsidRPr="00894701">
        <w:rPr>
          <w:b/>
          <w:bCs/>
          <w:color w:val="98002E" w:themeColor="accent3"/>
          <w:sz w:val="20"/>
          <w:szCs w:val="20"/>
        </w:rPr>
        <w:fldChar w:fldCharType="end"/>
      </w:r>
      <w:r w:rsidRPr="00894701">
        <w:rPr>
          <w:b/>
          <w:bCs/>
          <w:color w:val="98002E" w:themeColor="accent3"/>
          <w:sz w:val="20"/>
          <w:szCs w:val="20"/>
        </w:rPr>
        <w:t>: List of extractive companies that did not submitted audited financial statements</w:t>
      </w:r>
      <w:bookmarkEnd w:id="56"/>
      <w:r w:rsidRPr="00894701">
        <w:rPr>
          <w:b/>
          <w:bCs/>
          <w:color w:val="98002E" w:themeColor="accent3"/>
          <w:sz w:val="20"/>
          <w:szCs w:val="20"/>
        </w:rPr>
        <w:t xml:space="preserve"> </w:t>
      </w:r>
    </w:p>
    <w:tbl>
      <w:tblPr>
        <w:tblW w:w="9356" w:type="dxa"/>
        <w:tblLayout w:type="fixed"/>
        <w:tblCellMar>
          <w:left w:w="70" w:type="dxa"/>
          <w:right w:w="70" w:type="dxa"/>
        </w:tblCellMar>
        <w:tblLook w:val="04A0" w:firstRow="1" w:lastRow="0" w:firstColumn="1" w:lastColumn="0" w:noHBand="0" w:noVBand="1"/>
      </w:tblPr>
      <w:tblGrid>
        <w:gridCol w:w="530"/>
        <w:gridCol w:w="3723"/>
        <w:gridCol w:w="1701"/>
        <w:gridCol w:w="1701"/>
        <w:gridCol w:w="1701"/>
      </w:tblGrid>
      <w:tr w:rsidR="00D01A33" w:rsidRPr="00894701" w14:paraId="7E941900" w14:textId="77777777" w:rsidTr="004C70CC">
        <w:trPr>
          <w:trHeight w:val="283"/>
        </w:trPr>
        <w:tc>
          <w:tcPr>
            <w:tcW w:w="530" w:type="dxa"/>
            <w:tcBorders>
              <w:top w:val="nil"/>
              <w:left w:val="nil"/>
              <w:right w:val="nil"/>
            </w:tcBorders>
            <w:shd w:val="clear" w:color="auto" w:fill="7A091A"/>
            <w:vAlign w:val="center"/>
            <w:hideMark/>
          </w:tcPr>
          <w:p w14:paraId="42D46774" w14:textId="77777777" w:rsidR="00D01A33" w:rsidRPr="00894701" w:rsidRDefault="00D01A33" w:rsidP="00423C6B">
            <w:pPr>
              <w:spacing w:after="0" w:line="240" w:lineRule="auto"/>
              <w:jc w:val="center"/>
              <w:rPr>
                <w:rFonts w:asciiTheme="majorHAnsi" w:hAnsiTheme="majorHAnsi" w:cs="Arial"/>
                <w:b/>
                <w:bCs/>
                <w:color w:val="FFFFFF" w:themeColor="background1"/>
                <w:kern w:val="0"/>
                <w:szCs w:val="18"/>
                <w:lang w:val="fr-FR" w:eastAsia="fr-FR"/>
              </w:rPr>
            </w:pPr>
            <w:r w:rsidRPr="00894701">
              <w:rPr>
                <w:rFonts w:asciiTheme="majorHAnsi" w:hAnsiTheme="majorHAnsi" w:cs="Arial"/>
                <w:b/>
                <w:bCs/>
                <w:color w:val="FFFFFF" w:themeColor="background1"/>
                <w:kern w:val="0"/>
                <w:szCs w:val="18"/>
                <w:lang w:val="fr-FR" w:eastAsia="fr-FR"/>
              </w:rPr>
              <w:t>N°</w:t>
            </w:r>
          </w:p>
        </w:tc>
        <w:tc>
          <w:tcPr>
            <w:tcW w:w="3723" w:type="dxa"/>
            <w:tcBorders>
              <w:top w:val="nil"/>
              <w:left w:val="nil"/>
              <w:right w:val="nil"/>
            </w:tcBorders>
            <w:shd w:val="clear" w:color="auto" w:fill="7A091A"/>
            <w:vAlign w:val="center"/>
            <w:hideMark/>
          </w:tcPr>
          <w:p w14:paraId="6991B032" w14:textId="77777777" w:rsidR="00D01A33" w:rsidRPr="00894701" w:rsidRDefault="00D01A33" w:rsidP="00423C6B">
            <w:pPr>
              <w:spacing w:after="0" w:line="240" w:lineRule="auto"/>
              <w:rPr>
                <w:rFonts w:asciiTheme="majorHAnsi" w:hAnsiTheme="majorHAnsi" w:cs="Arial"/>
                <w:b/>
                <w:bCs/>
                <w:color w:val="FFFFFF" w:themeColor="background1"/>
                <w:kern w:val="0"/>
                <w:szCs w:val="18"/>
                <w:lang w:val="fr-FR" w:eastAsia="fr-FR"/>
              </w:rPr>
            </w:pPr>
            <w:r w:rsidRPr="00894701">
              <w:rPr>
                <w:rFonts w:asciiTheme="majorHAnsi" w:hAnsiTheme="majorHAnsi" w:cs="Arial"/>
                <w:b/>
                <w:bCs/>
                <w:color w:val="FFFFFF" w:themeColor="background1"/>
                <w:kern w:val="0"/>
                <w:szCs w:val="18"/>
                <w:lang w:val="fr-FR" w:eastAsia="fr-FR"/>
              </w:rPr>
              <w:t>Name of company</w:t>
            </w:r>
          </w:p>
        </w:tc>
        <w:tc>
          <w:tcPr>
            <w:tcW w:w="1701" w:type="dxa"/>
            <w:tcBorders>
              <w:top w:val="nil"/>
              <w:left w:val="nil"/>
              <w:right w:val="nil"/>
            </w:tcBorders>
            <w:shd w:val="clear" w:color="auto" w:fill="7A091A"/>
            <w:vAlign w:val="center"/>
          </w:tcPr>
          <w:p w14:paraId="15214CF4" w14:textId="77777777" w:rsidR="00D01A33" w:rsidRPr="00894701" w:rsidRDefault="00D01A33" w:rsidP="00423C6B">
            <w:pPr>
              <w:spacing w:after="0" w:line="240" w:lineRule="auto"/>
              <w:jc w:val="center"/>
              <w:rPr>
                <w:rFonts w:asciiTheme="majorHAnsi" w:hAnsiTheme="majorHAnsi" w:cs="Arial"/>
                <w:b/>
                <w:bCs/>
                <w:color w:val="FFFFFF" w:themeColor="background1"/>
                <w:kern w:val="0"/>
                <w:szCs w:val="18"/>
                <w:lang w:eastAsia="fr-FR"/>
              </w:rPr>
            </w:pPr>
            <w:r w:rsidRPr="00894701">
              <w:rPr>
                <w:rFonts w:asciiTheme="majorHAnsi" w:hAnsiTheme="majorHAnsi" w:cs="Arial"/>
                <w:b/>
                <w:bCs/>
                <w:color w:val="FFFFFF" w:themeColor="background1"/>
                <w:kern w:val="0"/>
                <w:szCs w:val="18"/>
                <w:lang w:eastAsia="fr-FR"/>
              </w:rPr>
              <w:t>2018</w:t>
            </w:r>
            <w:r w:rsidRPr="00894701">
              <w:rPr>
                <w:rFonts w:asciiTheme="majorHAnsi" w:hAnsiTheme="majorHAnsi" w:cs="Arial"/>
                <w:b/>
                <w:bCs/>
                <w:color w:val="FFFFFF" w:themeColor="background1"/>
                <w:kern w:val="0"/>
                <w:szCs w:val="18"/>
                <w:lang w:eastAsia="fr-FR"/>
              </w:rPr>
              <w:br/>
              <w:t>in SRD</w:t>
            </w:r>
          </w:p>
        </w:tc>
        <w:tc>
          <w:tcPr>
            <w:tcW w:w="1701" w:type="dxa"/>
            <w:tcBorders>
              <w:top w:val="nil"/>
              <w:left w:val="nil"/>
              <w:right w:val="nil"/>
            </w:tcBorders>
            <w:shd w:val="clear" w:color="auto" w:fill="7A091A"/>
            <w:vAlign w:val="center"/>
          </w:tcPr>
          <w:p w14:paraId="3991D780" w14:textId="77777777" w:rsidR="00D01A33" w:rsidRPr="00894701" w:rsidRDefault="00D01A33" w:rsidP="00423C6B">
            <w:pPr>
              <w:spacing w:after="0" w:line="240" w:lineRule="auto"/>
              <w:jc w:val="center"/>
              <w:rPr>
                <w:rFonts w:asciiTheme="majorHAnsi" w:hAnsiTheme="majorHAnsi" w:cs="Arial"/>
                <w:b/>
                <w:bCs/>
                <w:color w:val="FFFFFF" w:themeColor="background1"/>
                <w:kern w:val="0"/>
                <w:szCs w:val="18"/>
                <w:lang w:eastAsia="fr-FR"/>
              </w:rPr>
            </w:pPr>
            <w:r w:rsidRPr="00894701">
              <w:rPr>
                <w:rFonts w:asciiTheme="majorHAnsi" w:hAnsiTheme="majorHAnsi" w:cs="Arial"/>
                <w:b/>
                <w:bCs/>
                <w:color w:val="FFFFFF" w:themeColor="background1"/>
                <w:kern w:val="0"/>
                <w:szCs w:val="18"/>
                <w:lang w:eastAsia="fr-FR"/>
              </w:rPr>
              <w:t>2019</w:t>
            </w:r>
            <w:r w:rsidRPr="00894701">
              <w:rPr>
                <w:rFonts w:asciiTheme="majorHAnsi" w:hAnsiTheme="majorHAnsi" w:cs="Arial"/>
                <w:b/>
                <w:bCs/>
                <w:color w:val="FFFFFF" w:themeColor="background1"/>
                <w:kern w:val="0"/>
                <w:szCs w:val="18"/>
                <w:lang w:eastAsia="fr-FR"/>
              </w:rPr>
              <w:br/>
              <w:t>in SRD</w:t>
            </w:r>
          </w:p>
        </w:tc>
        <w:tc>
          <w:tcPr>
            <w:tcW w:w="1701" w:type="dxa"/>
            <w:tcBorders>
              <w:top w:val="nil"/>
              <w:left w:val="nil"/>
              <w:right w:val="nil"/>
            </w:tcBorders>
            <w:shd w:val="clear" w:color="auto" w:fill="7A091A"/>
            <w:vAlign w:val="center"/>
            <w:hideMark/>
          </w:tcPr>
          <w:p w14:paraId="2B051F72" w14:textId="77777777" w:rsidR="00D01A33" w:rsidRPr="00894701" w:rsidRDefault="00D01A33" w:rsidP="00423C6B">
            <w:pPr>
              <w:spacing w:after="0" w:line="240" w:lineRule="auto"/>
              <w:jc w:val="center"/>
              <w:rPr>
                <w:rFonts w:asciiTheme="majorHAnsi" w:hAnsiTheme="majorHAnsi" w:cs="Arial"/>
                <w:b/>
                <w:bCs/>
                <w:color w:val="FFFFFF" w:themeColor="background1"/>
                <w:kern w:val="0"/>
                <w:szCs w:val="18"/>
                <w:lang w:eastAsia="fr-FR"/>
              </w:rPr>
            </w:pPr>
            <w:r w:rsidRPr="00894701">
              <w:rPr>
                <w:rFonts w:asciiTheme="majorHAnsi" w:hAnsiTheme="majorHAnsi" w:cs="Arial"/>
                <w:b/>
                <w:bCs/>
                <w:color w:val="FFFFFF" w:themeColor="background1"/>
                <w:kern w:val="0"/>
                <w:szCs w:val="18"/>
                <w:lang w:eastAsia="fr-FR"/>
              </w:rPr>
              <w:t>2020</w:t>
            </w:r>
            <w:r w:rsidRPr="00894701">
              <w:rPr>
                <w:rFonts w:asciiTheme="majorHAnsi" w:hAnsiTheme="majorHAnsi" w:cs="Arial"/>
                <w:b/>
                <w:bCs/>
                <w:color w:val="FFFFFF" w:themeColor="background1"/>
                <w:kern w:val="0"/>
                <w:szCs w:val="18"/>
                <w:lang w:eastAsia="fr-FR"/>
              </w:rPr>
              <w:br/>
              <w:t>in SRD</w:t>
            </w:r>
          </w:p>
        </w:tc>
      </w:tr>
      <w:tr w:rsidR="00D01A33" w:rsidRPr="00894701" w14:paraId="5935A3E9" w14:textId="77777777" w:rsidTr="004C70CC">
        <w:trPr>
          <w:trHeight w:val="283"/>
        </w:trPr>
        <w:tc>
          <w:tcPr>
            <w:tcW w:w="530" w:type="dxa"/>
            <w:tcBorders>
              <w:left w:val="nil"/>
              <w:bottom w:val="nil"/>
              <w:right w:val="nil"/>
            </w:tcBorders>
            <w:shd w:val="clear" w:color="000000" w:fill="F7A3B0"/>
            <w:noWrap/>
            <w:vAlign w:val="center"/>
            <w:hideMark/>
          </w:tcPr>
          <w:p w14:paraId="129004DF" w14:textId="77777777" w:rsidR="00D01A33" w:rsidRPr="00894701" w:rsidRDefault="00D01A33" w:rsidP="00D01A33">
            <w:pPr>
              <w:spacing w:after="0" w:line="240" w:lineRule="auto"/>
              <w:jc w:val="center"/>
              <w:rPr>
                <w:rFonts w:asciiTheme="majorHAnsi" w:hAnsiTheme="majorHAnsi" w:cs="Arial"/>
                <w:color w:val="000000"/>
                <w:kern w:val="0"/>
                <w:szCs w:val="18"/>
                <w:lang w:val="fr-FR" w:eastAsia="fr-FR"/>
              </w:rPr>
            </w:pPr>
            <w:r w:rsidRPr="00894701">
              <w:rPr>
                <w:rFonts w:asciiTheme="majorHAnsi" w:hAnsiTheme="majorHAnsi" w:cs="Arial"/>
                <w:color w:val="000000"/>
                <w:kern w:val="0"/>
                <w:szCs w:val="18"/>
                <w:lang w:val="fr-FR" w:eastAsia="fr-FR"/>
              </w:rPr>
              <w:t>1</w:t>
            </w:r>
          </w:p>
        </w:tc>
        <w:tc>
          <w:tcPr>
            <w:tcW w:w="3723" w:type="dxa"/>
            <w:tcBorders>
              <w:left w:val="nil"/>
              <w:bottom w:val="nil"/>
              <w:right w:val="nil"/>
            </w:tcBorders>
            <w:shd w:val="clear" w:color="000000" w:fill="F7A3B0"/>
            <w:noWrap/>
            <w:vAlign w:val="center"/>
            <w:hideMark/>
          </w:tcPr>
          <w:p w14:paraId="3A1799D5" w14:textId="197E1297" w:rsidR="00D01A33" w:rsidRPr="00894701" w:rsidRDefault="00D01A33" w:rsidP="00D01A33">
            <w:pPr>
              <w:spacing w:after="0" w:line="240" w:lineRule="auto"/>
              <w:rPr>
                <w:rFonts w:asciiTheme="majorHAnsi" w:hAnsiTheme="majorHAnsi" w:cs="Arial"/>
                <w:color w:val="000000"/>
                <w:kern w:val="0"/>
                <w:szCs w:val="18"/>
                <w:lang w:eastAsia="fr-FR"/>
              </w:rPr>
            </w:pPr>
            <w:r w:rsidRPr="00894701">
              <w:rPr>
                <w:rFonts w:asciiTheme="majorHAnsi" w:hAnsiTheme="majorHAnsi" w:cs="Arial"/>
                <w:color w:val="000000"/>
                <w:szCs w:val="18"/>
              </w:rPr>
              <w:t>Kosmos Energy Suriname</w:t>
            </w:r>
          </w:p>
        </w:tc>
        <w:tc>
          <w:tcPr>
            <w:tcW w:w="1701" w:type="dxa"/>
            <w:tcBorders>
              <w:left w:val="nil"/>
              <w:bottom w:val="nil"/>
              <w:right w:val="nil"/>
            </w:tcBorders>
            <w:shd w:val="clear" w:color="000000" w:fill="F7A3B0"/>
          </w:tcPr>
          <w:p w14:paraId="36754A69" w14:textId="5012ABDC" w:rsidR="00D01A33" w:rsidRPr="00894701" w:rsidRDefault="009B5BF4" w:rsidP="00D01A33">
            <w:pPr>
              <w:spacing w:after="0" w:line="240" w:lineRule="auto"/>
              <w:jc w:val="right"/>
              <w:rPr>
                <w:rFonts w:asciiTheme="majorHAnsi" w:hAnsiTheme="majorHAnsi" w:cs="Arial"/>
                <w:color w:val="000000"/>
                <w:kern w:val="0"/>
                <w:szCs w:val="18"/>
                <w:lang w:val="fr-FR" w:eastAsia="fr-FR"/>
              </w:rPr>
            </w:pPr>
            <w:r w:rsidRPr="00894701">
              <w:rPr>
                <w:rFonts w:asciiTheme="majorHAnsi" w:hAnsiTheme="majorHAnsi" w:cs="Arial"/>
                <w:color w:val="000000"/>
                <w:kern w:val="0"/>
                <w:szCs w:val="18"/>
                <w:lang w:val="fr-FR" w:eastAsia="fr-FR"/>
              </w:rPr>
              <w:t>5,060,254</w:t>
            </w:r>
          </w:p>
        </w:tc>
        <w:tc>
          <w:tcPr>
            <w:tcW w:w="1701" w:type="dxa"/>
            <w:tcBorders>
              <w:left w:val="nil"/>
              <w:bottom w:val="nil"/>
              <w:right w:val="nil"/>
            </w:tcBorders>
            <w:shd w:val="clear" w:color="000000" w:fill="F7A3B0"/>
          </w:tcPr>
          <w:p w14:paraId="4CB4634E" w14:textId="6229410E" w:rsidR="00D01A33" w:rsidRPr="00894701" w:rsidRDefault="009B5BF4" w:rsidP="00D01A33">
            <w:pPr>
              <w:spacing w:after="0" w:line="240" w:lineRule="auto"/>
              <w:jc w:val="right"/>
              <w:rPr>
                <w:rFonts w:asciiTheme="majorHAnsi" w:hAnsiTheme="majorHAnsi" w:cs="Arial"/>
                <w:color w:val="000000"/>
                <w:kern w:val="0"/>
                <w:szCs w:val="18"/>
                <w:lang w:val="fr-FR" w:eastAsia="fr-FR"/>
              </w:rPr>
            </w:pPr>
            <w:r w:rsidRPr="00894701">
              <w:rPr>
                <w:rFonts w:asciiTheme="majorHAnsi" w:hAnsiTheme="majorHAnsi" w:cs="Arial"/>
                <w:color w:val="000000"/>
                <w:kern w:val="0"/>
                <w:szCs w:val="18"/>
                <w:lang w:val="fr-FR" w:eastAsia="fr-FR"/>
              </w:rPr>
              <w:t>3,652,829</w:t>
            </w:r>
          </w:p>
        </w:tc>
        <w:tc>
          <w:tcPr>
            <w:tcW w:w="1701" w:type="dxa"/>
            <w:tcBorders>
              <w:left w:val="nil"/>
              <w:bottom w:val="nil"/>
              <w:right w:val="nil"/>
            </w:tcBorders>
            <w:shd w:val="clear" w:color="000000" w:fill="F7A3B0"/>
            <w:noWrap/>
            <w:vAlign w:val="center"/>
          </w:tcPr>
          <w:p w14:paraId="3F5273EA" w14:textId="19F38948" w:rsidR="00D01A33" w:rsidRPr="00894701" w:rsidRDefault="00D01A33" w:rsidP="00D01A33">
            <w:pPr>
              <w:spacing w:after="0" w:line="240" w:lineRule="auto"/>
              <w:jc w:val="right"/>
              <w:rPr>
                <w:rFonts w:asciiTheme="majorHAnsi" w:hAnsiTheme="majorHAnsi" w:cs="Arial"/>
                <w:color w:val="000000"/>
                <w:kern w:val="0"/>
                <w:szCs w:val="18"/>
                <w:lang w:val="fr-FR" w:eastAsia="fr-FR"/>
              </w:rPr>
            </w:pPr>
            <w:r w:rsidRPr="00894701">
              <w:rPr>
                <w:rFonts w:asciiTheme="majorHAnsi" w:hAnsiTheme="majorHAnsi" w:cs="Arial"/>
                <w:color w:val="000000"/>
                <w:kern w:val="0"/>
                <w:szCs w:val="18"/>
                <w:lang w:val="fr-FR" w:eastAsia="fr-FR"/>
              </w:rPr>
              <w:t xml:space="preserve">3,669,221 </w:t>
            </w:r>
          </w:p>
        </w:tc>
      </w:tr>
      <w:tr w:rsidR="009B5BF4" w:rsidRPr="00894701" w14:paraId="6A8769E9" w14:textId="77777777" w:rsidTr="004C70CC">
        <w:trPr>
          <w:trHeight w:val="283"/>
        </w:trPr>
        <w:tc>
          <w:tcPr>
            <w:tcW w:w="530" w:type="dxa"/>
            <w:tcBorders>
              <w:top w:val="nil"/>
              <w:left w:val="nil"/>
              <w:bottom w:val="nil"/>
              <w:right w:val="nil"/>
            </w:tcBorders>
            <w:shd w:val="clear" w:color="000000" w:fill="FFFFFF"/>
            <w:noWrap/>
            <w:vAlign w:val="center"/>
            <w:hideMark/>
          </w:tcPr>
          <w:p w14:paraId="79DDFB8E" w14:textId="77777777" w:rsidR="009B5BF4" w:rsidRPr="00894701" w:rsidRDefault="009B5BF4" w:rsidP="009B5BF4">
            <w:pPr>
              <w:spacing w:after="0" w:line="240" w:lineRule="auto"/>
              <w:jc w:val="center"/>
              <w:rPr>
                <w:rFonts w:asciiTheme="majorHAnsi" w:hAnsiTheme="majorHAnsi" w:cs="Arial"/>
                <w:color w:val="000000"/>
                <w:kern w:val="0"/>
                <w:szCs w:val="18"/>
                <w:lang w:val="fr-FR" w:eastAsia="fr-FR"/>
              </w:rPr>
            </w:pPr>
            <w:r w:rsidRPr="00894701">
              <w:rPr>
                <w:rFonts w:asciiTheme="majorHAnsi" w:hAnsiTheme="majorHAnsi" w:cs="Arial"/>
                <w:color w:val="000000"/>
                <w:kern w:val="0"/>
                <w:szCs w:val="18"/>
                <w:lang w:val="fr-FR" w:eastAsia="fr-FR"/>
              </w:rPr>
              <w:t>2</w:t>
            </w:r>
          </w:p>
        </w:tc>
        <w:tc>
          <w:tcPr>
            <w:tcW w:w="3723" w:type="dxa"/>
            <w:tcBorders>
              <w:top w:val="nil"/>
              <w:left w:val="nil"/>
              <w:bottom w:val="nil"/>
              <w:right w:val="nil"/>
            </w:tcBorders>
            <w:shd w:val="clear" w:color="000000" w:fill="FFFFFF"/>
            <w:noWrap/>
            <w:vAlign w:val="center"/>
            <w:hideMark/>
          </w:tcPr>
          <w:p w14:paraId="54087597" w14:textId="3C3422F7" w:rsidR="009B5BF4" w:rsidRPr="00894701" w:rsidRDefault="009B5BF4" w:rsidP="009B5BF4">
            <w:pPr>
              <w:spacing w:after="0" w:line="240" w:lineRule="auto"/>
              <w:rPr>
                <w:rFonts w:asciiTheme="majorHAnsi" w:hAnsiTheme="majorHAnsi" w:cs="Arial"/>
                <w:color w:val="000000"/>
                <w:kern w:val="0"/>
                <w:szCs w:val="18"/>
                <w:lang w:eastAsia="fr-FR"/>
              </w:rPr>
            </w:pPr>
            <w:r w:rsidRPr="00894701">
              <w:rPr>
                <w:rFonts w:asciiTheme="majorHAnsi" w:hAnsiTheme="majorHAnsi" w:cs="Arial"/>
                <w:color w:val="000000"/>
                <w:szCs w:val="18"/>
              </w:rPr>
              <w:t xml:space="preserve">Total E&amp;P Suriname B.V. </w:t>
            </w:r>
          </w:p>
        </w:tc>
        <w:tc>
          <w:tcPr>
            <w:tcW w:w="1701" w:type="dxa"/>
            <w:tcBorders>
              <w:top w:val="nil"/>
              <w:left w:val="nil"/>
              <w:bottom w:val="nil"/>
              <w:right w:val="nil"/>
            </w:tcBorders>
          </w:tcPr>
          <w:p w14:paraId="6393F732" w14:textId="65896F7C" w:rsidR="009B5BF4" w:rsidRPr="00894701" w:rsidRDefault="009B5BF4" w:rsidP="009B5BF4">
            <w:pPr>
              <w:spacing w:after="0" w:line="240" w:lineRule="auto"/>
              <w:jc w:val="right"/>
              <w:rPr>
                <w:rFonts w:asciiTheme="majorHAnsi" w:hAnsiTheme="majorHAnsi" w:cs="Arial"/>
                <w:color w:val="000000"/>
                <w:kern w:val="0"/>
                <w:szCs w:val="18"/>
                <w:lang w:val="fr-FR" w:eastAsia="fr-FR"/>
              </w:rPr>
            </w:pPr>
            <w:r w:rsidRPr="00894701">
              <w:rPr>
                <w:rFonts w:cs="Calibri"/>
                <w:color w:val="000000"/>
                <w:szCs w:val="18"/>
              </w:rPr>
              <w:t xml:space="preserve">Not Applicable </w:t>
            </w:r>
          </w:p>
        </w:tc>
        <w:tc>
          <w:tcPr>
            <w:tcW w:w="1701" w:type="dxa"/>
            <w:tcBorders>
              <w:top w:val="nil"/>
              <w:left w:val="nil"/>
              <w:bottom w:val="nil"/>
              <w:right w:val="nil"/>
            </w:tcBorders>
          </w:tcPr>
          <w:p w14:paraId="3E7F3519" w14:textId="238373B6" w:rsidR="009B5BF4" w:rsidRPr="00894701" w:rsidRDefault="009B5BF4" w:rsidP="009B5BF4">
            <w:pPr>
              <w:spacing w:after="0" w:line="240" w:lineRule="auto"/>
              <w:jc w:val="right"/>
              <w:rPr>
                <w:rFonts w:asciiTheme="majorHAnsi" w:hAnsiTheme="majorHAnsi" w:cs="Arial"/>
                <w:color w:val="000000"/>
                <w:kern w:val="0"/>
                <w:szCs w:val="18"/>
                <w:lang w:val="fr-FR" w:eastAsia="fr-FR"/>
              </w:rPr>
            </w:pPr>
            <w:r w:rsidRPr="00894701">
              <w:rPr>
                <w:rFonts w:cs="Calibri"/>
                <w:color w:val="000000"/>
                <w:szCs w:val="18"/>
              </w:rPr>
              <w:t xml:space="preserve">Not applicable </w:t>
            </w:r>
          </w:p>
        </w:tc>
        <w:tc>
          <w:tcPr>
            <w:tcW w:w="1701" w:type="dxa"/>
            <w:tcBorders>
              <w:top w:val="nil"/>
              <w:left w:val="nil"/>
              <w:bottom w:val="nil"/>
              <w:right w:val="nil"/>
            </w:tcBorders>
            <w:shd w:val="clear" w:color="auto" w:fill="auto"/>
            <w:noWrap/>
            <w:vAlign w:val="center"/>
          </w:tcPr>
          <w:p w14:paraId="3124C431" w14:textId="07C49322" w:rsidR="009B5BF4" w:rsidRPr="00894701" w:rsidRDefault="009B5BF4" w:rsidP="009B5BF4">
            <w:pPr>
              <w:spacing w:after="0" w:line="240" w:lineRule="auto"/>
              <w:jc w:val="right"/>
              <w:rPr>
                <w:rFonts w:asciiTheme="majorHAnsi" w:hAnsiTheme="majorHAnsi" w:cs="Arial"/>
                <w:color w:val="000000"/>
                <w:kern w:val="0"/>
                <w:szCs w:val="18"/>
                <w:lang w:val="fr-FR" w:eastAsia="fr-FR"/>
              </w:rPr>
            </w:pPr>
            <w:r w:rsidRPr="00894701">
              <w:rPr>
                <w:rFonts w:asciiTheme="majorHAnsi" w:hAnsiTheme="majorHAnsi" w:cs="Arial"/>
                <w:color w:val="000000"/>
                <w:kern w:val="0"/>
                <w:szCs w:val="18"/>
                <w:lang w:val="fr-FR" w:eastAsia="fr-FR"/>
              </w:rPr>
              <w:t xml:space="preserve">                            -   </w:t>
            </w:r>
          </w:p>
        </w:tc>
      </w:tr>
      <w:tr w:rsidR="00D01A33" w:rsidRPr="00894701" w14:paraId="7B73FE23" w14:textId="77777777" w:rsidTr="004C70CC">
        <w:trPr>
          <w:trHeight w:val="283"/>
        </w:trPr>
        <w:tc>
          <w:tcPr>
            <w:tcW w:w="530" w:type="dxa"/>
            <w:tcBorders>
              <w:top w:val="nil"/>
              <w:left w:val="nil"/>
              <w:bottom w:val="nil"/>
              <w:right w:val="nil"/>
            </w:tcBorders>
            <w:shd w:val="clear" w:color="000000" w:fill="F7A3B0"/>
            <w:noWrap/>
            <w:vAlign w:val="center"/>
            <w:hideMark/>
          </w:tcPr>
          <w:p w14:paraId="67F6EEE0" w14:textId="77777777" w:rsidR="00D01A33" w:rsidRPr="00894701" w:rsidRDefault="00D01A33" w:rsidP="00D01A33">
            <w:pPr>
              <w:spacing w:after="0" w:line="240" w:lineRule="auto"/>
              <w:jc w:val="center"/>
              <w:rPr>
                <w:rFonts w:asciiTheme="majorHAnsi" w:hAnsiTheme="majorHAnsi" w:cs="Arial"/>
                <w:color w:val="000000"/>
                <w:kern w:val="0"/>
                <w:szCs w:val="18"/>
                <w:lang w:val="fr-FR" w:eastAsia="fr-FR"/>
              </w:rPr>
            </w:pPr>
            <w:r w:rsidRPr="00894701">
              <w:rPr>
                <w:rFonts w:asciiTheme="majorHAnsi" w:hAnsiTheme="majorHAnsi" w:cs="Arial"/>
                <w:color w:val="000000"/>
                <w:kern w:val="0"/>
                <w:szCs w:val="18"/>
                <w:lang w:val="fr-FR" w:eastAsia="fr-FR"/>
              </w:rPr>
              <w:t>3</w:t>
            </w:r>
          </w:p>
        </w:tc>
        <w:tc>
          <w:tcPr>
            <w:tcW w:w="3723" w:type="dxa"/>
            <w:tcBorders>
              <w:top w:val="nil"/>
              <w:left w:val="nil"/>
              <w:bottom w:val="nil"/>
              <w:right w:val="nil"/>
            </w:tcBorders>
            <w:shd w:val="clear" w:color="000000" w:fill="F7A3B0"/>
            <w:noWrap/>
            <w:vAlign w:val="center"/>
            <w:hideMark/>
          </w:tcPr>
          <w:p w14:paraId="07370269" w14:textId="7F8496D5" w:rsidR="00D01A33" w:rsidRPr="00894701" w:rsidRDefault="00D01A33" w:rsidP="00D01A33">
            <w:pPr>
              <w:spacing w:after="0" w:line="240" w:lineRule="auto"/>
              <w:rPr>
                <w:rFonts w:asciiTheme="majorHAnsi" w:hAnsiTheme="majorHAnsi" w:cs="Arial"/>
                <w:color w:val="000000"/>
                <w:kern w:val="0"/>
                <w:szCs w:val="18"/>
                <w:lang w:val="fr-FR" w:eastAsia="fr-FR"/>
              </w:rPr>
            </w:pPr>
            <w:r w:rsidRPr="00894701">
              <w:rPr>
                <w:rFonts w:asciiTheme="majorHAnsi" w:hAnsiTheme="majorHAnsi" w:cs="Arial"/>
                <w:color w:val="000000"/>
                <w:szCs w:val="18"/>
              </w:rPr>
              <w:t>Petronas Suriname Exploration &amp; production B.V.</w:t>
            </w:r>
          </w:p>
        </w:tc>
        <w:tc>
          <w:tcPr>
            <w:tcW w:w="1701" w:type="dxa"/>
            <w:tcBorders>
              <w:top w:val="nil"/>
              <w:left w:val="nil"/>
              <w:bottom w:val="nil"/>
              <w:right w:val="nil"/>
            </w:tcBorders>
            <w:shd w:val="clear" w:color="000000" w:fill="F7A3B0"/>
            <w:vAlign w:val="center"/>
          </w:tcPr>
          <w:p w14:paraId="6464335C" w14:textId="6660D9A8" w:rsidR="00D01A33" w:rsidRPr="00894701" w:rsidRDefault="009819F1" w:rsidP="00D01A33">
            <w:pPr>
              <w:spacing w:after="0" w:line="240" w:lineRule="auto"/>
              <w:jc w:val="right"/>
              <w:rPr>
                <w:rFonts w:asciiTheme="majorHAnsi" w:hAnsiTheme="majorHAnsi" w:cs="Arial"/>
                <w:color w:val="000000"/>
                <w:kern w:val="0"/>
                <w:szCs w:val="18"/>
                <w:lang w:val="fr-FR" w:eastAsia="fr-FR"/>
              </w:rPr>
            </w:pPr>
            <w:r w:rsidRPr="00894701">
              <w:rPr>
                <w:rFonts w:asciiTheme="majorHAnsi" w:hAnsiTheme="majorHAnsi" w:cs="Arial"/>
                <w:color w:val="000000"/>
                <w:kern w:val="0"/>
                <w:szCs w:val="18"/>
                <w:lang w:val="fr-FR" w:eastAsia="fr-FR"/>
              </w:rPr>
              <w:t>-</w:t>
            </w:r>
          </w:p>
        </w:tc>
        <w:tc>
          <w:tcPr>
            <w:tcW w:w="1701" w:type="dxa"/>
            <w:tcBorders>
              <w:top w:val="nil"/>
              <w:left w:val="nil"/>
              <w:bottom w:val="nil"/>
              <w:right w:val="nil"/>
            </w:tcBorders>
            <w:shd w:val="clear" w:color="000000" w:fill="F7A3B0"/>
            <w:vAlign w:val="center"/>
          </w:tcPr>
          <w:p w14:paraId="7313399E" w14:textId="2C8B005D" w:rsidR="00D01A33" w:rsidRPr="00894701" w:rsidRDefault="009819F1" w:rsidP="00D01A33">
            <w:pPr>
              <w:spacing w:after="0" w:line="240" w:lineRule="auto"/>
              <w:jc w:val="right"/>
              <w:rPr>
                <w:rFonts w:asciiTheme="majorHAnsi" w:hAnsiTheme="majorHAnsi" w:cs="Arial"/>
                <w:color w:val="000000"/>
                <w:kern w:val="0"/>
                <w:szCs w:val="18"/>
                <w:lang w:val="fr-FR" w:eastAsia="fr-FR"/>
              </w:rPr>
            </w:pPr>
            <w:r w:rsidRPr="00894701">
              <w:rPr>
                <w:rFonts w:asciiTheme="majorHAnsi" w:hAnsiTheme="majorHAnsi" w:cs="Arial"/>
                <w:color w:val="000000"/>
                <w:kern w:val="0"/>
                <w:szCs w:val="18"/>
                <w:lang w:val="fr-FR" w:eastAsia="fr-FR"/>
              </w:rPr>
              <w:t>-</w:t>
            </w:r>
          </w:p>
        </w:tc>
        <w:tc>
          <w:tcPr>
            <w:tcW w:w="1701" w:type="dxa"/>
            <w:tcBorders>
              <w:top w:val="nil"/>
              <w:left w:val="nil"/>
              <w:bottom w:val="nil"/>
              <w:right w:val="nil"/>
            </w:tcBorders>
            <w:shd w:val="clear" w:color="000000" w:fill="F7A3B0"/>
            <w:noWrap/>
            <w:vAlign w:val="center"/>
          </w:tcPr>
          <w:p w14:paraId="43966380" w14:textId="6B99ACB3" w:rsidR="00D01A33" w:rsidRPr="00894701" w:rsidRDefault="009819F1" w:rsidP="00D01A33">
            <w:pPr>
              <w:spacing w:after="0" w:line="240" w:lineRule="auto"/>
              <w:jc w:val="right"/>
              <w:rPr>
                <w:rFonts w:asciiTheme="majorHAnsi" w:hAnsiTheme="majorHAnsi" w:cs="Arial"/>
                <w:color w:val="000000"/>
                <w:kern w:val="0"/>
                <w:szCs w:val="18"/>
                <w:lang w:val="fr-FR" w:eastAsia="fr-FR"/>
              </w:rPr>
            </w:pPr>
            <w:r w:rsidRPr="00894701">
              <w:rPr>
                <w:rFonts w:asciiTheme="majorHAnsi" w:hAnsiTheme="majorHAnsi" w:cs="Arial"/>
                <w:color w:val="000000"/>
                <w:kern w:val="0"/>
                <w:szCs w:val="18"/>
                <w:lang w:val="fr-FR" w:eastAsia="fr-FR"/>
              </w:rPr>
              <w:t>-</w:t>
            </w:r>
          </w:p>
        </w:tc>
      </w:tr>
      <w:tr w:rsidR="00D01A33" w:rsidRPr="00894701" w14:paraId="7D1DE4EF" w14:textId="77777777" w:rsidTr="004C70CC">
        <w:trPr>
          <w:trHeight w:val="283"/>
        </w:trPr>
        <w:tc>
          <w:tcPr>
            <w:tcW w:w="530" w:type="dxa"/>
            <w:tcBorders>
              <w:top w:val="nil"/>
              <w:left w:val="nil"/>
              <w:bottom w:val="nil"/>
              <w:right w:val="nil"/>
            </w:tcBorders>
            <w:shd w:val="clear" w:color="000000" w:fill="FFFFFF"/>
            <w:noWrap/>
            <w:vAlign w:val="center"/>
            <w:hideMark/>
          </w:tcPr>
          <w:p w14:paraId="01879A93" w14:textId="7FFB029C" w:rsidR="00D01A33" w:rsidRPr="00894701" w:rsidRDefault="00D01A33" w:rsidP="00D01A33">
            <w:pPr>
              <w:spacing w:after="0" w:line="240" w:lineRule="auto"/>
              <w:jc w:val="center"/>
              <w:rPr>
                <w:rFonts w:asciiTheme="majorHAnsi" w:hAnsiTheme="majorHAnsi" w:cs="Arial"/>
                <w:color w:val="000000"/>
                <w:kern w:val="0"/>
                <w:szCs w:val="18"/>
                <w:lang w:val="fr-FR" w:eastAsia="fr-FR"/>
              </w:rPr>
            </w:pPr>
            <w:r w:rsidRPr="00894701">
              <w:rPr>
                <w:rFonts w:asciiTheme="majorHAnsi" w:hAnsiTheme="majorHAnsi" w:cs="Arial"/>
                <w:color w:val="000000"/>
                <w:kern w:val="0"/>
                <w:szCs w:val="18"/>
                <w:lang w:val="fr-FR" w:eastAsia="fr-FR"/>
              </w:rPr>
              <w:t>4</w:t>
            </w:r>
          </w:p>
        </w:tc>
        <w:tc>
          <w:tcPr>
            <w:tcW w:w="3723" w:type="dxa"/>
            <w:tcBorders>
              <w:top w:val="nil"/>
              <w:left w:val="nil"/>
              <w:bottom w:val="nil"/>
              <w:right w:val="nil"/>
            </w:tcBorders>
            <w:shd w:val="clear" w:color="000000" w:fill="FFFFFF"/>
            <w:noWrap/>
            <w:vAlign w:val="center"/>
            <w:hideMark/>
          </w:tcPr>
          <w:p w14:paraId="4A41A7DC" w14:textId="1208C10D" w:rsidR="00D01A33" w:rsidRPr="00894701" w:rsidRDefault="00D01A33" w:rsidP="00D01A33">
            <w:pPr>
              <w:spacing w:after="0" w:line="240" w:lineRule="auto"/>
              <w:rPr>
                <w:rFonts w:asciiTheme="majorHAnsi" w:hAnsiTheme="majorHAnsi" w:cs="Arial"/>
                <w:color w:val="000000"/>
                <w:kern w:val="0"/>
                <w:szCs w:val="18"/>
                <w:lang w:eastAsia="fr-FR"/>
              </w:rPr>
            </w:pPr>
            <w:r w:rsidRPr="00894701">
              <w:rPr>
                <w:rFonts w:asciiTheme="majorHAnsi" w:hAnsiTheme="majorHAnsi" w:cs="Arial"/>
                <w:color w:val="000000"/>
                <w:szCs w:val="18"/>
              </w:rPr>
              <w:t>ExxonMobil Exploration and Production Suriname B.V.</w:t>
            </w:r>
          </w:p>
        </w:tc>
        <w:tc>
          <w:tcPr>
            <w:tcW w:w="1701" w:type="dxa"/>
            <w:tcBorders>
              <w:top w:val="nil"/>
              <w:left w:val="nil"/>
              <w:bottom w:val="nil"/>
              <w:right w:val="nil"/>
            </w:tcBorders>
          </w:tcPr>
          <w:p w14:paraId="53D16E13" w14:textId="5F79B996" w:rsidR="00D01A33" w:rsidRPr="00894701" w:rsidRDefault="00D01A33" w:rsidP="00D01A33">
            <w:pPr>
              <w:spacing w:after="0" w:line="240" w:lineRule="auto"/>
              <w:jc w:val="right"/>
              <w:rPr>
                <w:rFonts w:asciiTheme="majorHAnsi" w:hAnsiTheme="majorHAnsi" w:cs="Arial"/>
                <w:color w:val="000000"/>
                <w:kern w:val="0"/>
                <w:szCs w:val="18"/>
                <w:lang w:val="en-US" w:eastAsia="fr-FR"/>
              </w:rPr>
            </w:pPr>
          </w:p>
        </w:tc>
        <w:tc>
          <w:tcPr>
            <w:tcW w:w="1701" w:type="dxa"/>
            <w:tcBorders>
              <w:top w:val="nil"/>
              <w:left w:val="nil"/>
              <w:bottom w:val="nil"/>
              <w:right w:val="nil"/>
            </w:tcBorders>
          </w:tcPr>
          <w:p w14:paraId="2478BB53" w14:textId="68FAF0C4" w:rsidR="00D01A33" w:rsidRPr="00894701" w:rsidRDefault="009B5BF4" w:rsidP="00D01A33">
            <w:pPr>
              <w:spacing w:after="0" w:line="240" w:lineRule="auto"/>
              <w:jc w:val="right"/>
              <w:rPr>
                <w:rFonts w:asciiTheme="majorHAnsi" w:hAnsiTheme="majorHAnsi" w:cs="Arial"/>
                <w:color w:val="000000"/>
                <w:kern w:val="0"/>
                <w:szCs w:val="18"/>
                <w:lang w:val="fr-FR" w:eastAsia="fr-FR"/>
              </w:rPr>
            </w:pPr>
            <w:r w:rsidRPr="00894701">
              <w:rPr>
                <w:rFonts w:asciiTheme="majorHAnsi" w:hAnsiTheme="majorHAnsi" w:cs="Arial"/>
                <w:color w:val="000000"/>
                <w:kern w:val="0"/>
                <w:szCs w:val="18"/>
                <w:lang w:val="fr-FR" w:eastAsia="fr-FR"/>
              </w:rPr>
              <w:t>-</w:t>
            </w:r>
          </w:p>
        </w:tc>
        <w:tc>
          <w:tcPr>
            <w:tcW w:w="1701" w:type="dxa"/>
            <w:tcBorders>
              <w:top w:val="nil"/>
              <w:left w:val="nil"/>
              <w:bottom w:val="nil"/>
              <w:right w:val="nil"/>
            </w:tcBorders>
            <w:shd w:val="clear" w:color="auto" w:fill="auto"/>
            <w:noWrap/>
            <w:vAlign w:val="center"/>
          </w:tcPr>
          <w:p w14:paraId="46B7329F" w14:textId="77CECDF8" w:rsidR="00D01A33" w:rsidRPr="00894701" w:rsidRDefault="00D01A33" w:rsidP="00D01A33">
            <w:pPr>
              <w:spacing w:after="0" w:line="240" w:lineRule="auto"/>
              <w:jc w:val="right"/>
              <w:rPr>
                <w:rFonts w:asciiTheme="majorHAnsi" w:hAnsiTheme="majorHAnsi" w:cs="Arial"/>
                <w:color w:val="000000"/>
                <w:kern w:val="0"/>
                <w:szCs w:val="18"/>
                <w:lang w:val="fr-FR" w:eastAsia="fr-FR"/>
              </w:rPr>
            </w:pPr>
            <w:r w:rsidRPr="00894701">
              <w:rPr>
                <w:rFonts w:asciiTheme="majorHAnsi" w:hAnsiTheme="majorHAnsi" w:cs="Arial"/>
                <w:color w:val="000000"/>
                <w:kern w:val="0"/>
                <w:szCs w:val="18"/>
                <w:lang w:val="fr-FR" w:eastAsia="fr-FR"/>
              </w:rPr>
              <w:t xml:space="preserve">-   </w:t>
            </w:r>
          </w:p>
        </w:tc>
      </w:tr>
      <w:tr w:rsidR="009B5BF4" w:rsidRPr="00894701" w14:paraId="51C65402" w14:textId="77777777" w:rsidTr="004C70CC">
        <w:trPr>
          <w:trHeight w:val="283"/>
        </w:trPr>
        <w:tc>
          <w:tcPr>
            <w:tcW w:w="530" w:type="dxa"/>
            <w:tcBorders>
              <w:top w:val="nil"/>
              <w:left w:val="nil"/>
              <w:bottom w:val="nil"/>
              <w:right w:val="nil"/>
            </w:tcBorders>
            <w:shd w:val="clear" w:color="auto" w:fill="808080"/>
            <w:noWrap/>
            <w:vAlign w:val="center"/>
          </w:tcPr>
          <w:p w14:paraId="2BE98059" w14:textId="77777777" w:rsidR="009B5BF4" w:rsidRPr="00894701" w:rsidRDefault="009B5BF4" w:rsidP="009B5BF4">
            <w:pPr>
              <w:spacing w:after="0" w:line="240" w:lineRule="auto"/>
              <w:jc w:val="center"/>
              <w:rPr>
                <w:rFonts w:asciiTheme="majorHAnsi" w:hAnsiTheme="majorHAnsi" w:cs="Arial"/>
                <w:b/>
                <w:color w:val="FFFFFF" w:themeColor="background1"/>
                <w:kern w:val="0"/>
                <w:szCs w:val="18"/>
                <w:lang w:val="fr-FR" w:eastAsia="fr-FR"/>
              </w:rPr>
            </w:pPr>
          </w:p>
        </w:tc>
        <w:tc>
          <w:tcPr>
            <w:tcW w:w="3723" w:type="dxa"/>
            <w:tcBorders>
              <w:top w:val="nil"/>
              <w:left w:val="nil"/>
              <w:bottom w:val="nil"/>
              <w:right w:val="nil"/>
            </w:tcBorders>
            <w:shd w:val="clear" w:color="auto" w:fill="808080"/>
            <w:noWrap/>
            <w:vAlign w:val="center"/>
          </w:tcPr>
          <w:p w14:paraId="37EDA515" w14:textId="77777777" w:rsidR="009B5BF4" w:rsidRPr="00894701" w:rsidRDefault="009B5BF4" w:rsidP="009B5BF4">
            <w:pPr>
              <w:spacing w:after="0" w:line="240" w:lineRule="auto"/>
              <w:rPr>
                <w:rFonts w:asciiTheme="majorHAnsi" w:hAnsiTheme="majorHAnsi" w:cs="Arial"/>
                <w:b/>
                <w:color w:val="FFFFFF" w:themeColor="background1"/>
                <w:kern w:val="0"/>
                <w:szCs w:val="18"/>
                <w:lang w:val="fr-FR" w:eastAsia="fr-FR"/>
              </w:rPr>
            </w:pPr>
            <w:r w:rsidRPr="00894701">
              <w:rPr>
                <w:rFonts w:asciiTheme="majorHAnsi" w:hAnsiTheme="majorHAnsi" w:cs="Arial"/>
                <w:b/>
                <w:color w:val="FFFFFF" w:themeColor="background1"/>
                <w:kern w:val="0"/>
                <w:szCs w:val="18"/>
                <w:lang w:val="fr-FR" w:eastAsia="fr-FR"/>
              </w:rPr>
              <w:t>Total</w:t>
            </w:r>
          </w:p>
        </w:tc>
        <w:tc>
          <w:tcPr>
            <w:tcW w:w="1701" w:type="dxa"/>
            <w:tcBorders>
              <w:top w:val="nil"/>
              <w:left w:val="nil"/>
              <w:bottom w:val="nil"/>
              <w:right w:val="nil"/>
            </w:tcBorders>
            <w:shd w:val="clear" w:color="auto" w:fill="808080"/>
            <w:vAlign w:val="center"/>
          </w:tcPr>
          <w:p w14:paraId="32E2ECCC" w14:textId="018342B9" w:rsidR="009B5BF4" w:rsidRPr="00894701" w:rsidRDefault="00F2176F" w:rsidP="009B5BF4">
            <w:pPr>
              <w:spacing w:after="0" w:line="240" w:lineRule="auto"/>
              <w:jc w:val="right"/>
              <w:rPr>
                <w:rFonts w:asciiTheme="majorHAnsi" w:hAnsiTheme="majorHAnsi" w:cs="Arial"/>
                <w:b/>
                <w:color w:val="FFFFFF" w:themeColor="background1"/>
                <w:kern w:val="0"/>
                <w:szCs w:val="18"/>
                <w:lang w:val="fr-FR" w:eastAsia="fr-FR"/>
              </w:rPr>
            </w:pPr>
            <w:r w:rsidRPr="00894701">
              <w:rPr>
                <w:rFonts w:cs="Calibri"/>
                <w:b/>
                <w:bCs/>
                <w:color w:val="FFFFFF"/>
                <w:szCs w:val="18"/>
              </w:rPr>
              <w:t>5,060,254</w:t>
            </w:r>
          </w:p>
        </w:tc>
        <w:tc>
          <w:tcPr>
            <w:tcW w:w="1701" w:type="dxa"/>
            <w:tcBorders>
              <w:top w:val="nil"/>
              <w:left w:val="nil"/>
              <w:bottom w:val="nil"/>
              <w:right w:val="nil"/>
            </w:tcBorders>
            <w:shd w:val="clear" w:color="auto" w:fill="808080"/>
            <w:vAlign w:val="center"/>
          </w:tcPr>
          <w:p w14:paraId="46A3239A" w14:textId="23A351B4" w:rsidR="009B5BF4" w:rsidRPr="00894701" w:rsidRDefault="00F2176F" w:rsidP="009B5BF4">
            <w:pPr>
              <w:spacing w:after="0" w:line="240" w:lineRule="auto"/>
              <w:jc w:val="right"/>
              <w:rPr>
                <w:rFonts w:asciiTheme="majorHAnsi" w:hAnsiTheme="majorHAnsi" w:cs="Arial"/>
                <w:b/>
                <w:color w:val="FFFFFF" w:themeColor="background1"/>
                <w:kern w:val="0"/>
                <w:szCs w:val="18"/>
                <w:lang w:val="fr-FR" w:eastAsia="fr-FR"/>
              </w:rPr>
            </w:pPr>
            <w:r w:rsidRPr="00894701">
              <w:rPr>
                <w:rFonts w:cs="Calibri"/>
                <w:b/>
                <w:bCs/>
                <w:color w:val="FFFFFF"/>
                <w:szCs w:val="18"/>
              </w:rPr>
              <w:t>3,652,829</w:t>
            </w:r>
          </w:p>
        </w:tc>
        <w:tc>
          <w:tcPr>
            <w:tcW w:w="1701" w:type="dxa"/>
            <w:tcBorders>
              <w:top w:val="nil"/>
              <w:left w:val="nil"/>
              <w:bottom w:val="nil"/>
              <w:right w:val="nil"/>
            </w:tcBorders>
            <w:shd w:val="clear" w:color="auto" w:fill="808080"/>
            <w:noWrap/>
            <w:vAlign w:val="center"/>
          </w:tcPr>
          <w:p w14:paraId="7B99AE72" w14:textId="4B823D75" w:rsidR="009B5BF4" w:rsidRPr="00894701" w:rsidRDefault="00F2176F" w:rsidP="009B5BF4">
            <w:pPr>
              <w:spacing w:after="0" w:line="240" w:lineRule="auto"/>
              <w:jc w:val="right"/>
              <w:rPr>
                <w:rFonts w:asciiTheme="majorHAnsi" w:hAnsiTheme="majorHAnsi" w:cs="Arial"/>
                <w:b/>
                <w:color w:val="FFFFFF" w:themeColor="background1"/>
                <w:kern w:val="0"/>
                <w:szCs w:val="18"/>
                <w:lang w:val="fr-FR" w:eastAsia="fr-FR"/>
              </w:rPr>
            </w:pPr>
            <w:r w:rsidRPr="00894701">
              <w:rPr>
                <w:rFonts w:cs="Calibri"/>
                <w:b/>
                <w:bCs/>
                <w:color w:val="FFFFFF"/>
                <w:szCs w:val="18"/>
              </w:rPr>
              <w:t>3,669,221</w:t>
            </w:r>
          </w:p>
        </w:tc>
      </w:tr>
      <w:tr w:rsidR="00AA2FE8" w:rsidRPr="00894701" w14:paraId="18311EE2" w14:textId="77777777" w:rsidTr="004C70CC">
        <w:trPr>
          <w:trHeight w:val="283"/>
        </w:trPr>
        <w:tc>
          <w:tcPr>
            <w:tcW w:w="530" w:type="dxa"/>
            <w:tcBorders>
              <w:top w:val="nil"/>
              <w:left w:val="nil"/>
              <w:bottom w:val="nil"/>
              <w:right w:val="nil"/>
            </w:tcBorders>
            <w:shd w:val="clear" w:color="auto" w:fill="808080"/>
            <w:noWrap/>
            <w:vAlign w:val="center"/>
          </w:tcPr>
          <w:p w14:paraId="4091AFA9" w14:textId="77777777" w:rsidR="00AA2FE8" w:rsidRPr="00894701" w:rsidRDefault="00AA2FE8" w:rsidP="00AA2FE8">
            <w:pPr>
              <w:spacing w:after="0" w:line="240" w:lineRule="auto"/>
              <w:jc w:val="center"/>
              <w:rPr>
                <w:rFonts w:asciiTheme="majorHAnsi" w:hAnsiTheme="majorHAnsi" w:cs="Arial"/>
                <w:b/>
                <w:color w:val="FFFFFF" w:themeColor="background1"/>
                <w:kern w:val="0"/>
                <w:szCs w:val="18"/>
                <w:lang w:val="fr-FR" w:eastAsia="fr-FR"/>
              </w:rPr>
            </w:pPr>
          </w:p>
        </w:tc>
        <w:tc>
          <w:tcPr>
            <w:tcW w:w="3723" w:type="dxa"/>
            <w:tcBorders>
              <w:top w:val="nil"/>
              <w:left w:val="nil"/>
              <w:bottom w:val="nil"/>
              <w:right w:val="nil"/>
            </w:tcBorders>
            <w:shd w:val="clear" w:color="auto" w:fill="808080"/>
            <w:noWrap/>
            <w:vAlign w:val="center"/>
          </w:tcPr>
          <w:p w14:paraId="300CC58E" w14:textId="6B6B8FA3" w:rsidR="00AA2FE8" w:rsidRPr="00894701" w:rsidRDefault="00AA2FE8" w:rsidP="00AA2FE8">
            <w:pPr>
              <w:spacing w:after="0" w:line="240" w:lineRule="auto"/>
              <w:rPr>
                <w:rFonts w:asciiTheme="majorHAnsi" w:hAnsiTheme="majorHAnsi" w:cs="Arial"/>
                <w:b/>
                <w:color w:val="FFFFFF" w:themeColor="background1"/>
                <w:kern w:val="0"/>
                <w:szCs w:val="18"/>
                <w:lang w:val="fr-FR" w:eastAsia="fr-FR"/>
              </w:rPr>
            </w:pPr>
            <w:r w:rsidRPr="00894701">
              <w:rPr>
                <w:rFonts w:asciiTheme="majorHAnsi" w:hAnsiTheme="majorHAnsi" w:cs="Arial"/>
                <w:b/>
                <w:color w:val="FFFFFF" w:themeColor="background1"/>
                <w:kern w:val="0"/>
                <w:szCs w:val="18"/>
                <w:lang w:val="fr-FR" w:eastAsia="fr-FR"/>
              </w:rPr>
              <w:t>Total reconciled revenues</w:t>
            </w:r>
          </w:p>
        </w:tc>
        <w:tc>
          <w:tcPr>
            <w:tcW w:w="1701" w:type="dxa"/>
            <w:tcBorders>
              <w:top w:val="nil"/>
              <w:left w:val="nil"/>
              <w:bottom w:val="nil"/>
              <w:right w:val="nil"/>
            </w:tcBorders>
            <w:shd w:val="clear" w:color="auto" w:fill="808080"/>
            <w:vAlign w:val="center"/>
          </w:tcPr>
          <w:p w14:paraId="7503A649" w14:textId="4DF1876F" w:rsidR="00AA2FE8" w:rsidRPr="00894701" w:rsidRDefault="00AA2FE8" w:rsidP="00AA2FE8">
            <w:pPr>
              <w:spacing w:after="0" w:line="240" w:lineRule="auto"/>
              <w:jc w:val="right"/>
              <w:rPr>
                <w:rFonts w:asciiTheme="majorHAnsi" w:hAnsiTheme="majorHAnsi" w:cs="Arial"/>
                <w:b/>
                <w:color w:val="FFFFFF" w:themeColor="background1"/>
                <w:kern w:val="0"/>
                <w:szCs w:val="18"/>
                <w:lang w:val="fr-FR" w:eastAsia="fr-FR"/>
              </w:rPr>
            </w:pPr>
            <w:r w:rsidRPr="00AA2FE8">
              <w:rPr>
                <w:rFonts w:cs="Arial"/>
                <w:b/>
                <w:bCs/>
                <w:color w:val="FFFFFF"/>
                <w:szCs w:val="18"/>
              </w:rPr>
              <w:t>276,018,706</w:t>
            </w:r>
          </w:p>
        </w:tc>
        <w:tc>
          <w:tcPr>
            <w:tcW w:w="1701" w:type="dxa"/>
            <w:tcBorders>
              <w:top w:val="nil"/>
              <w:left w:val="nil"/>
              <w:bottom w:val="nil"/>
              <w:right w:val="nil"/>
            </w:tcBorders>
            <w:shd w:val="clear" w:color="auto" w:fill="808080"/>
            <w:vAlign w:val="center"/>
          </w:tcPr>
          <w:p w14:paraId="280F2639" w14:textId="45E592B4" w:rsidR="00AA2FE8" w:rsidRPr="00894701" w:rsidRDefault="00AA2FE8" w:rsidP="00AA2FE8">
            <w:pPr>
              <w:spacing w:after="0" w:line="240" w:lineRule="auto"/>
              <w:jc w:val="right"/>
              <w:rPr>
                <w:rFonts w:asciiTheme="majorHAnsi" w:hAnsiTheme="majorHAnsi" w:cs="Arial"/>
                <w:b/>
                <w:color w:val="FFFFFF" w:themeColor="background1"/>
                <w:kern w:val="0"/>
                <w:szCs w:val="18"/>
                <w:lang w:val="fr-FR" w:eastAsia="fr-FR"/>
              </w:rPr>
            </w:pPr>
            <w:r w:rsidRPr="00AA2FE8">
              <w:rPr>
                <w:rFonts w:cs="Arial"/>
                <w:b/>
                <w:bCs/>
                <w:color w:val="FFFFFF"/>
                <w:szCs w:val="18"/>
              </w:rPr>
              <w:t>198,854,576</w:t>
            </w:r>
          </w:p>
        </w:tc>
        <w:tc>
          <w:tcPr>
            <w:tcW w:w="1701" w:type="dxa"/>
            <w:tcBorders>
              <w:top w:val="nil"/>
              <w:left w:val="nil"/>
              <w:bottom w:val="nil"/>
              <w:right w:val="nil"/>
            </w:tcBorders>
            <w:shd w:val="clear" w:color="auto" w:fill="808080"/>
            <w:noWrap/>
            <w:vAlign w:val="center"/>
          </w:tcPr>
          <w:p w14:paraId="683A1B2B" w14:textId="1339D404" w:rsidR="00AA2FE8" w:rsidRPr="00894701" w:rsidRDefault="00AA2FE8" w:rsidP="00AA2FE8">
            <w:pPr>
              <w:spacing w:after="0" w:line="240" w:lineRule="auto"/>
              <w:jc w:val="right"/>
              <w:rPr>
                <w:rFonts w:asciiTheme="majorHAnsi" w:hAnsiTheme="majorHAnsi" w:cs="Arial"/>
                <w:b/>
                <w:color w:val="FFFFFF" w:themeColor="background1"/>
                <w:kern w:val="0"/>
                <w:szCs w:val="18"/>
                <w:lang w:val="fr-FR" w:eastAsia="fr-FR"/>
              </w:rPr>
            </w:pPr>
            <w:r w:rsidRPr="00AA2FE8">
              <w:rPr>
                <w:rFonts w:cs="Arial"/>
                <w:b/>
                <w:bCs/>
                <w:color w:val="FFFFFF"/>
                <w:szCs w:val="18"/>
              </w:rPr>
              <w:t>172,787,336</w:t>
            </w:r>
          </w:p>
        </w:tc>
      </w:tr>
      <w:tr w:rsidR="00F2176F" w:rsidRPr="00894701" w14:paraId="1334C6E3" w14:textId="77777777" w:rsidTr="004C70CC">
        <w:trPr>
          <w:trHeight w:val="283"/>
        </w:trPr>
        <w:tc>
          <w:tcPr>
            <w:tcW w:w="530" w:type="dxa"/>
            <w:tcBorders>
              <w:top w:val="nil"/>
              <w:left w:val="nil"/>
              <w:bottom w:val="nil"/>
              <w:right w:val="nil"/>
            </w:tcBorders>
            <w:shd w:val="clear" w:color="auto" w:fill="808080"/>
            <w:noWrap/>
            <w:vAlign w:val="center"/>
          </w:tcPr>
          <w:p w14:paraId="2F7A8AE9" w14:textId="77777777" w:rsidR="00F2176F" w:rsidRPr="00894701" w:rsidRDefault="00F2176F" w:rsidP="00F2176F">
            <w:pPr>
              <w:spacing w:after="0" w:line="240" w:lineRule="auto"/>
              <w:jc w:val="center"/>
              <w:rPr>
                <w:rFonts w:asciiTheme="majorHAnsi" w:hAnsiTheme="majorHAnsi" w:cs="Arial"/>
                <w:b/>
                <w:color w:val="FFFFFF" w:themeColor="background1"/>
                <w:kern w:val="0"/>
                <w:szCs w:val="18"/>
                <w:lang w:val="fr-FR" w:eastAsia="fr-FR"/>
              </w:rPr>
            </w:pPr>
          </w:p>
        </w:tc>
        <w:tc>
          <w:tcPr>
            <w:tcW w:w="3723" w:type="dxa"/>
            <w:tcBorders>
              <w:top w:val="nil"/>
              <w:left w:val="nil"/>
              <w:bottom w:val="nil"/>
              <w:right w:val="nil"/>
            </w:tcBorders>
            <w:shd w:val="clear" w:color="auto" w:fill="808080"/>
            <w:noWrap/>
            <w:vAlign w:val="center"/>
          </w:tcPr>
          <w:p w14:paraId="0B2FD913" w14:textId="77777777" w:rsidR="00F2176F" w:rsidRPr="00894701" w:rsidRDefault="00F2176F" w:rsidP="00F2176F">
            <w:pPr>
              <w:spacing w:after="0" w:line="240" w:lineRule="auto"/>
              <w:rPr>
                <w:rFonts w:asciiTheme="majorHAnsi" w:hAnsiTheme="majorHAnsi" w:cs="Arial"/>
                <w:b/>
                <w:color w:val="FFFFFF" w:themeColor="background1"/>
                <w:kern w:val="0"/>
                <w:szCs w:val="18"/>
                <w:lang w:val="fr-FR" w:eastAsia="fr-FR"/>
              </w:rPr>
            </w:pPr>
            <w:r w:rsidRPr="00894701">
              <w:rPr>
                <w:rFonts w:asciiTheme="majorHAnsi" w:hAnsiTheme="majorHAnsi" w:cs="Arial"/>
                <w:b/>
                <w:color w:val="FFFFFF" w:themeColor="background1"/>
                <w:kern w:val="0"/>
                <w:szCs w:val="18"/>
                <w:lang w:val="fr-FR" w:eastAsia="fr-FR"/>
              </w:rPr>
              <w:t>% of reconciled revenues</w:t>
            </w:r>
          </w:p>
        </w:tc>
        <w:tc>
          <w:tcPr>
            <w:tcW w:w="1701" w:type="dxa"/>
            <w:tcBorders>
              <w:top w:val="nil"/>
              <w:left w:val="nil"/>
              <w:bottom w:val="nil"/>
              <w:right w:val="nil"/>
            </w:tcBorders>
            <w:shd w:val="clear" w:color="auto" w:fill="808080"/>
            <w:vAlign w:val="center"/>
          </w:tcPr>
          <w:p w14:paraId="45A76BDE" w14:textId="5688A75B" w:rsidR="00F2176F" w:rsidRPr="00894701" w:rsidRDefault="00F2176F" w:rsidP="00F2176F">
            <w:pPr>
              <w:spacing w:after="0" w:line="240" w:lineRule="auto"/>
              <w:jc w:val="right"/>
              <w:rPr>
                <w:rFonts w:asciiTheme="majorHAnsi" w:hAnsiTheme="majorHAnsi" w:cs="Arial"/>
                <w:b/>
                <w:color w:val="FFFFFF" w:themeColor="background1"/>
                <w:kern w:val="0"/>
                <w:szCs w:val="18"/>
                <w:lang w:val="fr-FR" w:eastAsia="fr-FR"/>
              </w:rPr>
            </w:pPr>
            <w:r w:rsidRPr="00894701">
              <w:rPr>
                <w:rFonts w:cs="Arial"/>
                <w:b/>
                <w:bCs/>
                <w:color w:val="FFFFFF"/>
                <w:szCs w:val="18"/>
              </w:rPr>
              <w:t>2%</w:t>
            </w:r>
          </w:p>
        </w:tc>
        <w:tc>
          <w:tcPr>
            <w:tcW w:w="1701" w:type="dxa"/>
            <w:tcBorders>
              <w:top w:val="nil"/>
              <w:left w:val="nil"/>
              <w:bottom w:val="nil"/>
              <w:right w:val="nil"/>
            </w:tcBorders>
            <w:shd w:val="clear" w:color="auto" w:fill="808080"/>
            <w:vAlign w:val="center"/>
          </w:tcPr>
          <w:p w14:paraId="42E205CE" w14:textId="534D4BE0" w:rsidR="00F2176F" w:rsidRPr="00894701" w:rsidRDefault="00F2176F" w:rsidP="00F2176F">
            <w:pPr>
              <w:spacing w:after="0" w:line="240" w:lineRule="auto"/>
              <w:jc w:val="right"/>
              <w:rPr>
                <w:rFonts w:asciiTheme="majorHAnsi" w:hAnsiTheme="majorHAnsi" w:cs="Arial"/>
                <w:b/>
                <w:color w:val="FFFFFF" w:themeColor="background1"/>
                <w:kern w:val="0"/>
                <w:szCs w:val="18"/>
                <w:lang w:val="fr-FR" w:eastAsia="fr-FR"/>
              </w:rPr>
            </w:pPr>
            <w:r w:rsidRPr="00894701">
              <w:rPr>
                <w:rFonts w:cs="Arial"/>
                <w:b/>
                <w:bCs/>
                <w:color w:val="FFFFFF"/>
                <w:szCs w:val="18"/>
              </w:rPr>
              <w:t>2%</w:t>
            </w:r>
          </w:p>
        </w:tc>
        <w:tc>
          <w:tcPr>
            <w:tcW w:w="1701" w:type="dxa"/>
            <w:tcBorders>
              <w:top w:val="nil"/>
              <w:left w:val="nil"/>
              <w:bottom w:val="nil"/>
              <w:right w:val="nil"/>
            </w:tcBorders>
            <w:shd w:val="clear" w:color="auto" w:fill="808080"/>
            <w:noWrap/>
            <w:vAlign w:val="center"/>
          </w:tcPr>
          <w:p w14:paraId="740587B9" w14:textId="5764BC58" w:rsidR="00F2176F" w:rsidRPr="00894701" w:rsidRDefault="00F2176F" w:rsidP="00F2176F">
            <w:pPr>
              <w:spacing w:after="0" w:line="240" w:lineRule="auto"/>
              <w:jc w:val="right"/>
              <w:rPr>
                <w:rFonts w:asciiTheme="majorHAnsi" w:hAnsiTheme="majorHAnsi" w:cs="Arial"/>
                <w:b/>
                <w:color w:val="FFFFFF" w:themeColor="background1"/>
                <w:kern w:val="0"/>
                <w:szCs w:val="18"/>
                <w:lang w:val="fr-FR" w:eastAsia="fr-FR"/>
              </w:rPr>
            </w:pPr>
            <w:r w:rsidRPr="00894701">
              <w:rPr>
                <w:rFonts w:cs="Arial"/>
                <w:b/>
                <w:bCs/>
                <w:color w:val="FFFFFF"/>
                <w:szCs w:val="18"/>
              </w:rPr>
              <w:t>2%</w:t>
            </w:r>
          </w:p>
        </w:tc>
      </w:tr>
    </w:tbl>
    <w:p w14:paraId="7C51F23E" w14:textId="55524DA0" w:rsidR="00B30F10" w:rsidRPr="00894701" w:rsidRDefault="009B5BF4" w:rsidP="00D01A33">
      <w:pPr>
        <w:spacing w:before="240"/>
        <w:jc w:val="both"/>
        <w:rPr>
          <w:rFonts w:cs="Arial"/>
          <w:bCs/>
          <w:color w:val="000000" w:themeColor="text1"/>
          <w:sz w:val="20"/>
          <w:lang w:eastAsia="fr-FR"/>
        </w:rPr>
      </w:pPr>
      <w:r w:rsidRPr="00894701">
        <w:rPr>
          <w:rFonts w:cs="Arial"/>
          <w:bCs/>
          <w:color w:val="auto"/>
          <w:kern w:val="0"/>
          <w:sz w:val="20"/>
          <w:szCs w:val="20"/>
          <w:lang w:eastAsia="fr-FR"/>
        </w:rPr>
        <w:t xml:space="preserve">All </w:t>
      </w:r>
      <w:r w:rsidR="00754057" w:rsidRPr="00894701">
        <w:rPr>
          <w:rFonts w:cs="Arial"/>
          <w:bCs/>
          <w:color w:val="auto"/>
          <w:kern w:val="0"/>
          <w:sz w:val="20"/>
          <w:szCs w:val="20"/>
          <w:lang w:eastAsia="fr-FR"/>
        </w:rPr>
        <w:t xml:space="preserve">reporting templates </w:t>
      </w:r>
      <w:r w:rsidRPr="00894701">
        <w:rPr>
          <w:rFonts w:cs="Arial"/>
          <w:bCs/>
          <w:color w:val="auto"/>
          <w:kern w:val="0"/>
          <w:sz w:val="20"/>
          <w:szCs w:val="20"/>
          <w:lang w:eastAsia="fr-FR"/>
        </w:rPr>
        <w:t xml:space="preserve">submitted </w:t>
      </w:r>
      <w:r w:rsidR="00754057" w:rsidRPr="00894701">
        <w:rPr>
          <w:rFonts w:cs="Arial"/>
          <w:bCs/>
          <w:color w:val="auto"/>
          <w:kern w:val="0"/>
          <w:sz w:val="20"/>
          <w:szCs w:val="20"/>
          <w:lang w:eastAsia="fr-FR"/>
        </w:rPr>
        <w:t xml:space="preserve">by extractive companies were </w:t>
      </w:r>
      <w:r w:rsidRPr="00894701">
        <w:rPr>
          <w:rFonts w:cs="Arial"/>
          <w:bCs/>
          <w:color w:val="auto"/>
          <w:kern w:val="0"/>
          <w:sz w:val="20"/>
          <w:szCs w:val="20"/>
          <w:lang w:eastAsia="fr-FR"/>
        </w:rPr>
        <w:t xml:space="preserve">not certified by an Independent Auditor. </w:t>
      </w:r>
    </w:p>
    <w:p w14:paraId="0B49090A" w14:textId="494348F7" w:rsidR="009B5BF4" w:rsidRPr="00894701" w:rsidRDefault="009B5BF4" w:rsidP="009B5BF4">
      <w:pPr>
        <w:spacing w:before="240"/>
        <w:jc w:val="both"/>
        <w:rPr>
          <w:rFonts w:cs="Arial"/>
          <w:bCs/>
          <w:color w:val="auto"/>
          <w:kern w:val="0"/>
          <w:sz w:val="20"/>
          <w:szCs w:val="20"/>
          <w:lang w:eastAsia="fr-FR"/>
        </w:rPr>
      </w:pPr>
      <w:r w:rsidRPr="00894701">
        <w:rPr>
          <w:rFonts w:cs="Arial"/>
          <w:bCs/>
          <w:color w:val="auto"/>
          <w:kern w:val="0"/>
          <w:sz w:val="20"/>
          <w:szCs w:val="20"/>
          <w:lang w:eastAsia="fr-FR"/>
        </w:rPr>
        <w:t>The status of reporting templates submitted by extractive companies are presented in Annex 4 of the report.</w:t>
      </w:r>
    </w:p>
    <w:p w14:paraId="3DD07012" w14:textId="382D2E7B" w:rsidR="00D01A33" w:rsidRPr="00894701" w:rsidRDefault="00E62E3B" w:rsidP="009B5BF4">
      <w:pPr>
        <w:spacing w:before="240"/>
        <w:jc w:val="both"/>
        <w:rPr>
          <w:rFonts w:cs="Arial"/>
          <w:bCs/>
          <w:color w:val="auto"/>
          <w:kern w:val="0"/>
          <w:sz w:val="20"/>
          <w:szCs w:val="20"/>
          <w:lang w:eastAsia="fr-FR"/>
        </w:rPr>
      </w:pPr>
      <w:r w:rsidRPr="00E62E3B">
        <w:rPr>
          <w:rFonts w:cs="Arial"/>
          <w:bCs/>
          <w:color w:val="auto"/>
          <w:kern w:val="0"/>
          <w:sz w:val="20"/>
          <w:szCs w:val="20"/>
          <w:lang w:eastAsia="fr-FR"/>
        </w:rPr>
        <w:t xml:space="preserve">As a result </w:t>
      </w:r>
      <w:r w:rsidR="009B5BF4" w:rsidRPr="00894701">
        <w:rPr>
          <w:rFonts w:cs="Arial"/>
          <w:bCs/>
          <w:color w:val="auto"/>
          <w:kern w:val="0"/>
          <w:sz w:val="20"/>
          <w:szCs w:val="20"/>
          <w:lang w:eastAsia="fr-FR"/>
        </w:rPr>
        <w:t>of the matters stated above, we were unable to conclude that the financial data submitted by reporting entities and included in this report were subject to audits which have been performed in accordance with international standards.</w:t>
      </w:r>
    </w:p>
    <w:p w14:paraId="3F03E71A" w14:textId="1F2A313E" w:rsidR="00865AE1" w:rsidRPr="00894701" w:rsidRDefault="00865AE1" w:rsidP="009B5BF4">
      <w:pPr>
        <w:pStyle w:val="Heading2"/>
        <w:numPr>
          <w:ilvl w:val="1"/>
          <w:numId w:val="7"/>
        </w:numPr>
        <w:spacing w:before="240" w:after="240"/>
        <w:ind w:left="0" w:right="482" w:firstLine="0"/>
        <w:rPr>
          <w:rFonts w:asciiTheme="majorHAnsi" w:hAnsiTheme="majorHAnsi"/>
          <w:sz w:val="28"/>
          <w:szCs w:val="28"/>
        </w:rPr>
      </w:pPr>
      <w:bookmarkStart w:id="57" w:name="_Toc6189166"/>
      <w:bookmarkStart w:id="58" w:name="_Toc6925725"/>
      <w:bookmarkStart w:id="59" w:name="_Toc101349927"/>
      <w:bookmarkStart w:id="60" w:name="_Toc102773122"/>
      <w:bookmarkStart w:id="61" w:name="_Toc122478837"/>
      <w:r w:rsidRPr="00894701">
        <w:rPr>
          <w:rFonts w:asciiTheme="majorHAnsi" w:hAnsiTheme="majorHAnsi"/>
          <w:sz w:val="28"/>
          <w:szCs w:val="28"/>
        </w:rPr>
        <w:t>Reconciliation of Cash Flows</w:t>
      </w:r>
      <w:bookmarkEnd w:id="57"/>
      <w:bookmarkEnd w:id="58"/>
      <w:bookmarkEnd w:id="59"/>
      <w:bookmarkEnd w:id="60"/>
      <w:bookmarkEnd w:id="61"/>
    </w:p>
    <w:p w14:paraId="65627F9E" w14:textId="77777777" w:rsidR="009B5BF4" w:rsidRPr="00894701" w:rsidRDefault="009B5BF4" w:rsidP="009B5BF4">
      <w:pPr>
        <w:spacing w:after="240"/>
        <w:jc w:val="both"/>
        <w:rPr>
          <w:rFonts w:cs="Arial"/>
          <w:color w:val="auto"/>
          <w:sz w:val="20"/>
          <w:szCs w:val="22"/>
        </w:rPr>
      </w:pPr>
      <w:r w:rsidRPr="00894701">
        <w:rPr>
          <w:rFonts w:cs="Arial"/>
          <w:color w:val="auto"/>
          <w:sz w:val="20"/>
          <w:szCs w:val="22"/>
        </w:rPr>
        <w:t>The purpose of reconciling payment flows is to identify any potential discrepancies in the declarations and to clarify them. The discrepancies initially identified were analysed and adjusted whenever the relevant supporting documents were made available by the reporting parties.</w:t>
      </w:r>
    </w:p>
    <w:p w14:paraId="22A9729B" w14:textId="31F94566" w:rsidR="00865AE1" w:rsidRPr="00894701" w:rsidRDefault="00E836F4" w:rsidP="009B5BF4">
      <w:pPr>
        <w:jc w:val="both"/>
        <w:rPr>
          <w:rFonts w:cs="Arial"/>
          <w:bCs/>
          <w:color w:val="000000" w:themeColor="text1"/>
          <w:sz w:val="20"/>
          <w:lang w:eastAsia="fr-FR"/>
        </w:rPr>
      </w:pPr>
      <w:r>
        <w:rPr>
          <w:rFonts w:cs="Arial"/>
          <w:bCs/>
          <w:color w:val="000000" w:themeColor="text1"/>
          <w:sz w:val="20"/>
          <w:lang w:eastAsia="fr-FR"/>
        </w:rPr>
        <w:t>Based on</w:t>
      </w:r>
      <w:r w:rsidRPr="009B5BF4">
        <w:rPr>
          <w:rFonts w:cs="Arial"/>
          <w:bCs/>
          <w:color w:val="000000" w:themeColor="text1"/>
          <w:sz w:val="20"/>
          <w:lang w:eastAsia="fr-FR"/>
        </w:rPr>
        <w:t xml:space="preserve"> </w:t>
      </w:r>
      <w:r w:rsidR="009B5BF4" w:rsidRPr="00894701">
        <w:rPr>
          <w:rFonts w:cs="Arial"/>
          <w:bCs/>
          <w:color w:val="000000" w:themeColor="text1"/>
          <w:sz w:val="20"/>
          <w:lang w:eastAsia="fr-FR"/>
        </w:rPr>
        <w:t xml:space="preserve">the data collected from companies and Government Agencies (MoFP), total revenues generated from the </w:t>
      </w:r>
      <w:r>
        <w:rPr>
          <w:rFonts w:cs="Arial"/>
          <w:bCs/>
          <w:color w:val="000000" w:themeColor="text1"/>
          <w:sz w:val="20"/>
          <w:lang w:eastAsia="fr-FR"/>
        </w:rPr>
        <w:t>extractive sector</w:t>
      </w:r>
      <w:r w:rsidRPr="009B5BF4">
        <w:rPr>
          <w:rFonts w:cs="Arial"/>
          <w:bCs/>
          <w:color w:val="000000" w:themeColor="text1"/>
          <w:sz w:val="20"/>
          <w:lang w:eastAsia="fr-FR"/>
        </w:rPr>
        <w:t xml:space="preserve"> </w:t>
      </w:r>
      <w:r w:rsidR="00907B42" w:rsidRPr="00894701">
        <w:rPr>
          <w:rFonts w:cs="Arial"/>
          <w:bCs/>
          <w:color w:val="000000" w:themeColor="text1"/>
          <w:sz w:val="20"/>
          <w:lang w:eastAsia="fr-FR"/>
        </w:rPr>
        <w:t xml:space="preserve">included in the </w:t>
      </w:r>
      <w:r w:rsidR="009B5BF4" w:rsidRPr="00894701">
        <w:rPr>
          <w:rFonts w:cs="Arial"/>
          <w:bCs/>
          <w:color w:val="000000" w:themeColor="text1"/>
          <w:sz w:val="20"/>
          <w:lang w:eastAsia="fr-FR"/>
        </w:rPr>
        <w:t>EITI</w:t>
      </w:r>
      <w:r w:rsidR="00907B42" w:rsidRPr="00894701">
        <w:rPr>
          <w:rFonts w:cs="Arial"/>
          <w:bCs/>
          <w:color w:val="000000" w:themeColor="text1"/>
          <w:sz w:val="20"/>
          <w:lang w:eastAsia="fr-FR"/>
        </w:rPr>
        <w:t>-SR</w:t>
      </w:r>
      <w:r w:rsidR="009B5BF4" w:rsidRPr="00894701">
        <w:rPr>
          <w:rFonts w:cs="Arial"/>
          <w:bCs/>
          <w:color w:val="000000" w:themeColor="text1"/>
          <w:sz w:val="20"/>
          <w:lang w:eastAsia="fr-FR"/>
        </w:rPr>
        <w:t xml:space="preserve"> report amounted to </w:t>
      </w:r>
      <w:r w:rsidR="00907B42" w:rsidRPr="00894701">
        <w:rPr>
          <w:rFonts w:cs="Arial"/>
          <w:bCs/>
          <w:color w:val="000000" w:themeColor="text1"/>
          <w:sz w:val="20"/>
          <w:lang w:eastAsia="fr-FR"/>
        </w:rPr>
        <w:t>SRD</w:t>
      </w:r>
      <w:r w:rsidR="009B5BF4" w:rsidRPr="00894701">
        <w:rPr>
          <w:rFonts w:cs="Arial"/>
          <w:bCs/>
          <w:color w:val="000000" w:themeColor="text1"/>
          <w:sz w:val="20"/>
          <w:lang w:eastAsia="fr-FR"/>
        </w:rPr>
        <w:t xml:space="preserve"> </w:t>
      </w:r>
      <w:r w:rsidR="00907B42" w:rsidRPr="00894701">
        <w:rPr>
          <w:rFonts w:cs="Arial"/>
          <w:bCs/>
          <w:color w:val="000000" w:themeColor="text1"/>
          <w:sz w:val="20"/>
          <w:lang w:eastAsia="fr-FR"/>
        </w:rPr>
        <w:t>1,89</w:t>
      </w:r>
      <w:r w:rsidR="00F2176F" w:rsidRPr="00894701">
        <w:rPr>
          <w:rFonts w:cs="Arial"/>
          <w:bCs/>
          <w:color w:val="000000" w:themeColor="text1"/>
          <w:sz w:val="20"/>
          <w:lang w:eastAsia="fr-FR"/>
        </w:rPr>
        <w:t>7</w:t>
      </w:r>
      <w:r w:rsidR="009B5BF4" w:rsidRPr="00894701">
        <w:rPr>
          <w:rFonts w:cs="Arial"/>
          <w:bCs/>
          <w:color w:val="000000" w:themeColor="text1"/>
          <w:sz w:val="20"/>
          <w:lang w:eastAsia="fr-FR"/>
        </w:rPr>
        <w:t xml:space="preserve"> million</w:t>
      </w:r>
      <w:r w:rsidR="00907B42" w:rsidRPr="00894701">
        <w:rPr>
          <w:rFonts w:cs="Arial"/>
          <w:bCs/>
          <w:color w:val="000000" w:themeColor="text1"/>
          <w:sz w:val="20"/>
          <w:lang w:eastAsia="fr-FR"/>
        </w:rPr>
        <w:t xml:space="preserve"> for 2018, SRD 1,</w:t>
      </w:r>
      <w:r w:rsidR="00F2176F" w:rsidRPr="00894701">
        <w:rPr>
          <w:rFonts w:cs="Arial"/>
          <w:bCs/>
          <w:color w:val="000000" w:themeColor="text1"/>
          <w:sz w:val="20"/>
          <w:lang w:eastAsia="fr-FR"/>
        </w:rPr>
        <w:t>12</w:t>
      </w:r>
      <w:r w:rsidR="00A25CAB">
        <w:rPr>
          <w:rFonts w:cs="Arial"/>
          <w:bCs/>
          <w:color w:val="000000" w:themeColor="text1"/>
          <w:sz w:val="20"/>
          <w:lang w:eastAsia="fr-FR"/>
        </w:rPr>
        <w:t>0</w:t>
      </w:r>
      <w:r w:rsidR="00907B42" w:rsidRPr="00894701">
        <w:rPr>
          <w:rFonts w:cs="Arial"/>
          <w:bCs/>
          <w:color w:val="000000" w:themeColor="text1"/>
          <w:sz w:val="20"/>
          <w:lang w:eastAsia="fr-FR"/>
        </w:rPr>
        <w:t xml:space="preserve"> million for 2019 and SRD 1,576 million for 2020</w:t>
      </w:r>
      <w:r w:rsidR="009B5BF4" w:rsidRPr="00894701">
        <w:rPr>
          <w:rFonts w:cs="Arial"/>
          <w:bCs/>
          <w:color w:val="000000" w:themeColor="text1"/>
          <w:sz w:val="20"/>
          <w:lang w:eastAsia="fr-FR"/>
        </w:rPr>
        <w:t>. Total revenues included in the reconciliation scope amount</w:t>
      </w:r>
      <w:r>
        <w:rPr>
          <w:rFonts w:cs="Arial"/>
          <w:bCs/>
          <w:color w:val="000000" w:themeColor="text1"/>
          <w:sz w:val="20"/>
          <w:lang w:eastAsia="fr-FR"/>
        </w:rPr>
        <w:t>ed</w:t>
      </w:r>
      <w:r w:rsidR="009B5BF4" w:rsidRPr="00894701">
        <w:rPr>
          <w:rFonts w:cs="Arial"/>
          <w:bCs/>
          <w:color w:val="000000" w:themeColor="text1"/>
          <w:sz w:val="20"/>
          <w:lang w:eastAsia="fr-FR"/>
        </w:rPr>
        <w:t xml:space="preserve"> to </w:t>
      </w:r>
      <w:r w:rsidR="00907B42" w:rsidRPr="00894701">
        <w:rPr>
          <w:rFonts w:cs="Arial"/>
          <w:bCs/>
          <w:color w:val="000000" w:themeColor="text1"/>
          <w:sz w:val="20"/>
          <w:lang w:eastAsia="fr-FR"/>
        </w:rPr>
        <w:t>SRD 27</w:t>
      </w:r>
      <w:r w:rsidR="00F2176F" w:rsidRPr="00894701">
        <w:rPr>
          <w:rFonts w:cs="Arial"/>
          <w:bCs/>
          <w:color w:val="000000" w:themeColor="text1"/>
          <w:sz w:val="20"/>
          <w:lang w:eastAsia="fr-FR"/>
        </w:rPr>
        <w:t>6</w:t>
      </w:r>
      <w:r w:rsidR="00907B42" w:rsidRPr="00894701">
        <w:rPr>
          <w:rFonts w:cs="Arial"/>
          <w:bCs/>
          <w:color w:val="000000" w:themeColor="text1"/>
          <w:sz w:val="20"/>
          <w:lang w:eastAsia="fr-FR"/>
        </w:rPr>
        <w:t xml:space="preserve"> million for 2018, SRD </w:t>
      </w:r>
      <w:r w:rsidR="00A25CAB">
        <w:rPr>
          <w:rFonts w:cs="Arial"/>
          <w:bCs/>
          <w:color w:val="000000" w:themeColor="text1"/>
          <w:sz w:val="20"/>
          <w:lang w:eastAsia="fr-FR"/>
        </w:rPr>
        <w:t>199</w:t>
      </w:r>
      <w:r w:rsidR="00A25CAB" w:rsidRPr="00894701">
        <w:rPr>
          <w:rFonts w:cs="Arial"/>
          <w:bCs/>
          <w:color w:val="000000" w:themeColor="text1"/>
          <w:sz w:val="20"/>
          <w:lang w:eastAsia="fr-FR"/>
        </w:rPr>
        <w:t xml:space="preserve"> </w:t>
      </w:r>
      <w:r w:rsidR="00907B42" w:rsidRPr="00894701">
        <w:rPr>
          <w:rFonts w:cs="Arial"/>
          <w:bCs/>
          <w:color w:val="000000" w:themeColor="text1"/>
          <w:sz w:val="20"/>
          <w:lang w:eastAsia="fr-FR"/>
        </w:rPr>
        <w:t>million for 2019 and SRD 173 million for 2020</w:t>
      </w:r>
      <w:r w:rsidR="009B5BF4" w:rsidRPr="00894701">
        <w:rPr>
          <w:rFonts w:cs="Arial"/>
          <w:bCs/>
          <w:color w:val="000000" w:themeColor="text1"/>
          <w:sz w:val="20"/>
          <w:lang w:eastAsia="fr-FR"/>
        </w:rPr>
        <w:t>.</w:t>
      </w:r>
    </w:p>
    <w:p w14:paraId="2260EC7A" w14:textId="77777777" w:rsidR="004C70CC" w:rsidRPr="00894701" w:rsidRDefault="004C70CC" w:rsidP="00907B42">
      <w:pPr>
        <w:jc w:val="both"/>
        <w:rPr>
          <w:bCs/>
          <w:color w:val="auto"/>
          <w:sz w:val="20"/>
        </w:rPr>
      </w:pPr>
      <w:r w:rsidRPr="00894701">
        <w:rPr>
          <w:bCs/>
          <w:color w:val="auto"/>
          <w:sz w:val="20"/>
        </w:rPr>
        <w:br w:type="page"/>
      </w:r>
    </w:p>
    <w:p w14:paraId="130250B6" w14:textId="5AD5F437" w:rsidR="00907B42" w:rsidRPr="00894701" w:rsidRDefault="00907B42" w:rsidP="00907B42">
      <w:pPr>
        <w:jc w:val="both"/>
        <w:rPr>
          <w:rFonts w:cs="Arial"/>
          <w:color w:val="auto"/>
          <w:sz w:val="20"/>
          <w:szCs w:val="22"/>
          <w:lang w:eastAsia="fr-FR"/>
        </w:rPr>
      </w:pPr>
      <w:r w:rsidRPr="00894701">
        <w:rPr>
          <w:bCs/>
          <w:color w:val="auto"/>
          <w:sz w:val="20"/>
        </w:rPr>
        <w:lastRenderedPageBreak/>
        <w:t>After adjustments and reconciliation work, a total positive</w:t>
      </w:r>
      <w:r w:rsidR="00125B9F">
        <w:rPr>
          <w:bCs/>
          <w:color w:val="auto"/>
          <w:sz w:val="20"/>
        </w:rPr>
        <w:t xml:space="preserve"> </w:t>
      </w:r>
      <w:r w:rsidR="00125B9F" w:rsidRPr="00894701">
        <w:rPr>
          <w:bCs/>
          <w:color w:val="auto"/>
          <w:sz w:val="20"/>
        </w:rPr>
        <w:t>difference</w:t>
      </w:r>
      <w:r w:rsidRPr="00894701">
        <w:rPr>
          <w:bCs/>
          <w:color w:val="auto"/>
          <w:sz w:val="20"/>
        </w:rPr>
        <w:t xml:space="preserve"> of SRD 2</w:t>
      </w:r>
      <w:r w:rsidR="00447D60">
        <w:rPr>
          <w:bCs/>
          <w:color w:val="auto"/>
          <w:sz w:val="20"/>
        </w:rPr>
        <w:t>4</w:t>
      </w:r>
      <w:r w:rsidRPr="00894701">
        <w:rPr>
          <w:rFonts w:cs="Arial"/>
          <w:bCs/>
          <w:color w:val="auto"/>
          <w:sz w:val="20"/>
          <w:lang w:eastAsia="fr-FR"/>
        </w:rPr>
        <w:t xml:space="preserve"> million</w:t>
      </w:r>
      <w:r w:rsidRPr="00894701">
        <w:rPr>
          <w:color w:val="auto"/>
          <w:sz w:val="20"/>
        </w:rPr>
        <w:t xml:space="preserve"> </w:t>
      </w:r>
      <w:r w:rsidRPr="00894701">
        <w:rPr>
          <w:bCs/>
          <w:color w:val="auto"/>
          <w:sz w:val="20"/>
        </w:rPr>
        <w:t>remained unreconciled</w:t>
      </w:r>
      <w:r w:rsidRPr="00894701">
        <w:rPr>
          <w:color w:val="auto"/>
          <w:sz w:val="20"/>
        </w:rPr>
        <w:t xml:space="preserve"> for the FY 2018, 2019 and 2020 and which represents </w:t>
      </w:r>
      <w:r w:rsidR="00447D60">
        <w:rPr>
          <w:bCs/>
          <w:color w:val="auto"/>
          <w:sz w:val="20"/>
        </w:rPr>
        <w:t>8</w:t>
      </w:r>
      <w:r w:rsidRPr="00894701">
        <w:rPr>
          <w:bCs/>
          <w:color w:val="auto"/>
          <w:sz w:val="20"/>
        </w:rPr>
        <w:t>.</w:t>
      </w:r>
      <w:r w:rsidR="00447D60">
        <w:rPr>
          <w:bCs/>
          <w:color w:val="auto"/>
          <w:sz w:val="20"/>
        </w:rPr>
        <w:t>7</w:t>
      </w:r>
      <w:r w:rsidR="00F2176F" w:rsidRPr="00894701">
        <w:rPr>
          <w:bCs/>
          <w:color w:val="auto"/>
          <w:sz w:val="20"/>
        </w:rPr>
        <w:t>3</w:t>
      </w:r>
      <w:r w:rsidRPr="00894701">
        <w:rPr>
          <w:bCs/>
          <w:color w:val="auto"/>
          <w:sz w:val="20"/>
        </w:rPr>
        <w:t xml:space="preserve">% of Government revenues as set out </w:t>
      </w:r>
      <w:r w:rsidR="00374B05">
        <w:rPr>
          <w:bCs/>
          <w:color w:val="auto"/>
          <w:sz w:val="20"/>
        </w:rPr>
        <w:t xml:space="preserve">in the table </w:t>
      </w:r>
      <w:r w:rsidRPr="00894701">
        <w:rPr>
          <w:bCs/>
          <w:color w:val="auto"/>
          <w:sz w:val="20"/>
        </w:rPr>
        <w:t>below</w:t>
      </w:r>
      <w:r w:rsidRPr="00894701">
        <w:rPr>
          <w:rFonts w:cs="Arial"/>
          <w:color w:val="auto"/>
          <w:sz w:val="20"/>
          <w:szCs w:val="22"/>
          <w:lang w:eastAsia="fr-FR"/>
        </w:rPr>
        <w:t>:</w:t>
      </w:r>
    </w:p>
    <w:p w14:paraId="35DA72B4" w14:textId="77777777" w:rsidR="00843A6F" w:rsidRPr="00894701" w:rsidRDefault="00843A6F" w:rsidP="00907B42">
      <w:pPr>
        <w:jc w:val="both"/>
        <w:rPr>
          <w:rFonts w:cs="Arial"/>
          <w:color w:val="auto"/>
          <w:sz w:val="20"/>
          <w:szCs w:val="22"/>
          <w:lang w:eastAsia="fr-FR"/>
        </w:rPr>
      </w:pPr>
    </w:p>
    <w:p w14:paraId="47FDA2D9" w14:textId="1A773F44" w:rsidR="00A81581" w:rsidRPr="00894701" w:rsidRDefault="00A81581" w:rsidP="00A81581">
      <w:pPr>
        <w:pStyle w:val="BodyTextRed"/>
        <w:jc w:val="center"/>
        <w:rPr>
          <w:b/>
          <w:bCs/>
          <w:color w:val="98002E" w:themeColor="accent3"/>
          <w:sz w:val="20"/>
          <w:szCs w:val="20"/>
        </w:rPr>
      </w:pPr>
      <w:bookmarkStart w:id="62" w:name="_Toc146590482"/>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10</w:t>
      </w:r>
      <w:r w:rsidRPr="00894701">
        <w:rPr>
          <w:b/>
          <w:bCs/>
          <w:color w:val="98002E" w:themeColor="accent3"/>
          <w:sz w:val="20"/>
          <w:szCs w:val="20"/>
        </w:rPr>
        <w:fldChar w:fldCharType="end"/>
      </w:r>
      <w:r w:rsidRPr="00894701">
        <w:rPr>
          <w:b/>
          <w:bCs/>
          <w:color w:val="98002E" w:themeColor="accent3"/>
          <w:sz w:val="20"/>
          <w:szCs w:val="20"/>
        </w:rPr>
        <w:t>: Cash flows reconciliation</w:t>
      </w:r>
      <w:bookmarkEnd w:id="62"/>
      <w:r w:rsidRPr="00894701">
        <w:rPr>
          <w:b/>
          <w:bCs/>
          <w:color w:val="98002E" w:themeColor="accent3"/>
          <w:sz w:val="20"/>
          <w:szCs w:val="20"/>
        </w:rPr>
        <w:t xml:space="preserve"> </w:t>
      </w:r>
    </w:p>
    <w:tbl>
      <w:tblPr>
        <w:tblW w:w="5000" w:type="pct"/>
        <w:tblCellMar>
          <w:left w:w="0" w:type="dxa"/>
          <w:right w:w="0" w:type="dxa"/>
        </w:tblCellMar>
        <w:tblLook w:val="04A0" w:firstRow="1" w:lastRow="0" w:firstColumn="1" w:lastColumn="0" w:noHBand="0" w:noVBand="1"/>
      </w:tblPr>
      <w:tblGrid>
        <w:gridCol w:w="5021"/>
        <w:gridCol w:w="1057"/>
        <w:gridCol w:w="872"/>
        <w:gridCol w:w="1119"/>
        <w:gridCol w:w="981"/>
      </w:tblGrid>
      <w:tr w:rsidR="009B5BF4" w:rsidRPr="00894701" w14:paraId="46B13ABD" w14:textId="77777777" w:rsidTr="00423C6B">
        <w:trPr>
          <w:trHeight w:val="900"/>
        </w:trPr>
        <w:tc>
          <w:tcPr>
            <w:tcW w:w="2774" w:type="pct"/>
            <w:vMerge w:val="restart"/>
            <w:tcBorders>
              <w:top w:val="nil"/>
              <w:left w:val="nil"/>
              <w:bottom w:val="single" w:sz="8" w:space="0" w:color="FF0000"/>
              <w:right w:val="nil"/>
            </w:tcBorders>
            <w:shd w:val="clear" w:color="000000" w:fill="800000"/>
            <w:vAlign w:val="center"/>
            <w:hideMark/>
          </w:tcPr>
          <w:p w14:paraId="569CD866" w14:textId="2B00ABDB" w:rsidR="009B5BF4" w:rsidRPr="00894701" w:rsidRDefault="009950B9" w:rsidP="00423C6B">
            <w:pPr>
              <w:jc w:val="center"/>
              <w:rPr>
                <w:rFonts w:cs="Arial"/>
                <w:b/>
                <w:bCs/>
                <w:color w:val="auto"/>
                <w:kern w:val="0"/>
                <w:szCs w:val="18"/>
              </w:rPr>
            </w:pPr>
            <w:r>
              <w:rPr>
                <w:rFonts w:cs="Arial"/>
                <w:b/>
                <w:bCs/>
                <w:color w:val="FFFFFF"/>
                <w:szCs w:val="18"/>
              </w:rPr>
              <w:t>Fiscal Year</w:t>
            </w:r>
          </w:p>
        </w:tc>
        <w:tc>
          <w:tcPr>
            <w:tcW w:w="584" w:type="pct"/>
            <w:vMerge w:val="restart"/>
            <w:tcBorders>
              <w:top w:val="nil"/>
              <w:left w:val="nil"/>
              <w:bottom w:val="single" w:sz="8" w:space="0" w:color="FF0000"/>
              <w:right w:val="nil"/>
            </w:tcBorders>
            <w:shd w:val="clear" w:color="000000" w:fill="800000"/>
            <w:vAlign w:val="center"/>
            <w:hideMark/>
          </w:tcPr>
          <w:p w14:paraId="5A26AED3" w14:textId="0FBBF576" w:rsidR="009B5BF4" w:rsidRPr="00894701" w:rsidRDefault="009B5BF4" w:rsidP="00423C6B">
            <w:pPr>
              <w:jc w:val="center"/>
              <w:rPr>
                <w:rFonts w:cs="Arial"/>
                <w:b/>
                <w:bCs/>
                <w:color w:val="FFFFFF"/>
                <w:szCs w:val="18"/>
              </w:rPr>
            </w:pPr>
            <w:r w:rsidRPr="00894701">
              <w:rPr>
                <w:rFonts w:cs="Arial"/>
                <w:b/>
                <w:bCs/>
                <w:color w:val="FFFFFF"/>
                <w:szCs w:val="18"/>
              </w:rPr>
              <w:t xml:space="preserve"> Extractive entity (</w:t>
            </w:r>
            <w:r w:rsidR="00907B42" w:rsidRPr="00894701">
              <w:rPr>
                <w:rFonts w:cs="Arial"/>
                <w:b/>
                <w:bCs/>
                <w:color w:val="FFFFFF"/>
                <w:szCs w:val="18"/>
              </w:rPr>
              <w:t>SRD</w:t>
            </w:r>
            <w:r w:rsidRPr="00894701">
              <w:rPr>
                <w:rFonts w:cs="Arial"/>
                <w:b/>
                <w:bCs/>
                <w:color w:val="FFFFFF"/>
                <w:szCs w:val="18"/>
              </w:rPr>
              <w:t xml:space="preserve"> million) </w:t>
            </w:r>
          </w:p>
          <w:p w14:paraId="190DB277" w14:textId="77777777" w:rsidR="009B5BF4" w:rsidRPr="00894701" w:rsidRDefault="009B5BF4" w:rsidP="00423C6B">
            <w:pPr>
              <w:jc w:val="center"/>
              <w:rPr>
                <w:rFonts w:cs="Arial"/>
                <w:b/>
                <w:bCs/>
                <w:color w:val="FFFFFF"/>
                <w:szCs w:val="18"/>
              </w:rPr>
            </w:pPr>
            <w:r w:rsidRPr="00894701">
              <w:rPr>
                <w:rFonts w:cs="Arial"/>
                <w:b/>
                <w:bCs/>
                <w:color w:val="FFFFFF"/>
                <w:szCs w:val="18"/>
              </w:rPr>
              <w:t xml:space="preserve">(a) </w:t>
            </w:r>
          </w:p>
        </w:tc>
        <w:tc>
          <w:tcPr>
            <w:tcW w:w="482" w:type="pct"/>
            <w:vMerge w:val="restart"/>
            <w:tcBorders>
              <w:top w:val="nil"/>
              <w:left w:val="nil"/>
              <w:bottom w:val="single" w:sz="8" w:space="0" w:color="FF0000"/>
              <w:right w:val="nil"/>
            </w:tcBorders>
            <w:shd w:val="clear" w:color="000000" w:fill="800000"/>
            <w:vAlign w:val="center"/>
            <w:hideMark/>
          </w:tcPr>
          <w:p w14:paraId="3D844297" w14:textId="77777777" w:rsidR="009B5BF4" w:rsidRPr="00894701" w:rsidRDefault="009B5BF4" w:rsidP="00423C6B">
            <w:pPr>
              <w:jc w:val="center"/>
              <w:rPr>
                <w:rFonts w:cs="Arial"/>
                <w:b/>
                <w:bCs/>
                <w:color w:val="FFFFFF"/>
                <w:szCs w:val="18"/>
              </w:rPr>
            </w:pPr>
            <w:r w:rsidRPr="00894701">
              <w:rPr>
                <w:rFonts w:cs="Arial"/>
                <w:b/>
                <w:bCs/>
                <w:color w:val="FFFFFF"/>
                <w:szCs w:val="18"/>
              </w:rPr>
              <w:t xml:space="preserve"> Govt </w:t>
            </w:r>
          </w:p>
          <w:p w14:paraId="15FB8003" w14:textId="01DFC042" w:rsidR="009B5BF4" w:rsidRPr="00894701" w:rsidRDefault="009B5BF4" w:rsidP="00423C6B">
            <w:pPr>
              <w:jc w:val="center"/>
              <w:rPr>
                <w:rFonts w:cs="Arial"/>
                <w:b/>
                <w:bCs/>
                <w:color w:val="FFFFFF"/>
                <w:szCs w:val="18"/>
              </w:rPr>
            </w:pPr>
            <w:r w:rsidRPr="00894701">
              <w:rPr>
                <w:rFonts w:cs="Arial"/>
                <w:b/>
                <w:bCs/>
                <w:color w:val="FFFFFF"/>
                <w:szCs w:val="18"/>
              </w:rPr>
              <w:t>(</w:t>
            </w:r>
            <w:r w:rsidR="00907B42" w:rsidRPr="00894701">
              <w:rPr>
                <w:rFonts w:cs="Arial"/>
                <w:b/>
                <w:bCs/>
                <w:color w:val="FFFFFF"/>
                <w:szCs w:val="18"/>
              </w:rPr>
              <w:t>SRD</w:t>
            </w:r>
            <w:r w:rsidRPr="00894701">
              <w:rPr>
                <w:rFonts w:cs="Arial"/>
                <w:b/>
                <w:bCs/>
                <w:color w:val="FFFFFF"/>
                <w:szCs w:val="18"/>
              </w:rPr>
              <w:t xml:space="preserve"> million) </w:t>
            </w:r>
          </w:p>
          <w:p w14:paraId="6C6AAECE" w14:textId="77777777" w:rsidR="009B5BF4" w:rsidRPr="00894701" w:rsidRDefault="009B5BF4" w:rsidP="00423C6B">
            <w:pPr>
              <w:jc w:val="center"/>
              <w:rPr>
                <w:rFonts w:cs="Arial"/>
                <w:b/>
                <w:bCs/>
                <w:color w:val="FFFFFF"/>
                <w:szCs w:val="18"/>
              </w:rPr>
            </w:pPr>
            <w:r w:rsidRPr="00894701">
              <w:rPr>
                <w:rFonts w:cs="Arial"/>
                <w:b/>
                <w:bCs/>
                <w:color w:val="FFFFFF"/>
                <w:szCs w:val="18"/>
              </w:rPr>
              <w:t xml:space="preserve">(b) </w:t>
            </w:r>
          </w:p>
        </w:tc>
        <w:tc>
          <w:tcPr>
            <w:tcW w:w="618" w:type="pct"/>
            <w:tcBorders>
              <w:top w:val="nil"/>
              <w:left w:val="nil"/>
              <w:bottom w:val="nil"/>
              <w:right w:val="nil"/>
            </w:tcBorders>
            <w:shd w:val="clear" w:color="000000" w:fill="800000"/>
            <w:vAlign w:val="center"/>
            <w:hideMark/>
          </w:tcPr>
          <w:p w14:paraId="53C10C1F" w14:textId="77777777" w:rsidR="009B5BF4" w:rsidRPr="00894701" w:rsidRDefault="009B5BF4" w:rsidP="00423C6B">
            <w:pPr>
              <w:jc w:val="center"/>
              <w:rPr>
                <w:rFonts w:cs="Arial"/>
                <w:b/>
                <w:bCs/>
                <w:color w:val="FFFFFF"/>
                <w:szCs w:val="18"/>
              </w:rPr>
            </w:pPr>
            <w:r w:rsidRPr="00894701">
              <w:rPr>
                <w:rFonts w:cs="Arial"/>
                <w:b/>
                <w:bCs/>
                <w:color w:val="FFFFFF"/>
                <w:szCs w:val="18"/>
              </w:rPr>
              <w:t xml:space="preserve"> Unreconciled Difference</w:t>
            </w:r>
          </w:p>
        </w:tc>
        <w:tc>
          <w:tcPr>
            <w:tcW w:w="542" w:type="pct"/>
            <w:vMerge w:val="restart"/>
            <w:tcBorders>
              <w:top w:val="nil"/>
              <w:left w:val="nil"/>
              <w:bottom w:val="single" w:sz="8" w:space="0" w:color="FF0000"/>
              <w:right w:val="nil"/>
            </w:tcBorders>
            <w:shd w:val="clear" w:color="000000" w:fill="800000"/>
            <w:vAlign w:val="center"/>
            <w:hideMark/>
          </w:tcPr>
          <w:p w14:paraId="2FFAE1B2" w14:textId="77777777" w:rsidR="009B5BF4" w:rsidRPr="00894701" w:rsidRDefault="009B5BF4" w:rsidP="00423C6B">
            <w:pPr>
              <w:jc w:val="center"/>
              <w:rPr>
                <w:rFonts w:cs="Arial"/>
                <w:b/>
                <w:bCs/>
                <w:color w:val="FFFFFF"/>
                <w:szCs w:val="18"/>
              </w:rPr>
            </w:pPr>
            <w:r w:rsidRPr="00894701">
              <w:rPr>
                <w:rFonts w:cs="Arial"/>
                <w:b/>
                <w:bCs/>
                <w:color w:val="FFFFFF"/>
                <w:szCs w:val="18"/>
              </w:rPr>
              <w:t xml:space="preserve"> % (d) = (c)/(b) </w:t>
            </w:r>
          </w:p>
        </w:tc>
      </w:tr>
      <w:tr w:rsidR="009B5BF4" w:rsidRPr="00894701" w14:paraId="37849DC6" w14:textId="77777777" w:rsidTr="00423C6B">
        <w:trPr>
          <w:trHeight w:val="315"/>
        </w:trPr>
        <w:tc>
          <w:tcPr>
            <w:tcW w:w="2774" w:type="pct"/>
            <w:vMerge/>
            <w:tcBorders>
              <w:top w:val="nil"/>
              <w:left w:val="nil"/>
              <w:bottom w:val="single" w:sz="8" w:space="0" w:color="FF0000"/>
              <w:right w:val="nil"/>
            </w:tcBorders>
            <w:vAlign w:val="center"/>
            <w:hideMark/>
          </w:tcPr>
          <w:p w14:paraId="18272CAB" w14:textId="77777777" w:rsidR="009B5BF4" w:rsidRPr="00894701" w:rsidRDefault="009B5BF4" w:rsidP="00423C6B">
            <w:pPr>
              <w:rPr>
                <w:rFonts w:cs="Arial"/>
                <w:b/>
                <w:bCs/>
                <w:szCs w:val="18"/>
              </w:rPr>
            </w:pPr>
          </w:p>
        </w:tc>
        <w:tc>
          <w:tcPr>
            <w:tcW w:w="584" w:type="pct"/>
            <w:vMerge/>
            <w:tcBorders>
              <w:top w:val="nil"/>
              <w:left w:val="nil"/>
              <w:bottom w:val="single" w:sz="8" w:space="0" w:color="FF0000"/>
              <w:right w:val="nil"/>
            </w:tcBorders>
            <w:vAlign w:val="center"/>
            <w:hideMark/>
          </w:tcPr>
          <w:p w14:paraId="31E964F4" w14:textId="77777777" w:rsidR="009B5BF4" w:rsidRPr="00894701" w:rsidRDefault="009B5BF4" w:rsidP="00423C6B">
            <w:pPr>
              <w:rPr>
                <w:rFonts w:cs="Arial"/>
                <w:b/>
                <w:bCs/>
                <w:color w:val="FFFFFF"/>
                <w:szCs w:val="18"/>
              </w:rPr>
            </w:pPr>
          </w:p>
        </w:tc>
        <w:tc>
          <w:tcPr>
            <w:tcW w:w="482" w:type="pct"/>
            <w:vMerge/>
            <w:tcBorders>
              <w:top w:val="nil"/>
              <w:left w:val="nil"/>
              <w:bottom w:val="single" w:sz="8" w:space="0" w:color="FF0000"/>
              <w:right w:val="nil"/>
            </w:tcBorders>
            <w:vAlign w:val="center"/>
            <w:hideMark/>
          </w:tcPr>
          <w:p w14:paraId="61D2AD65" w14:textId="77777777" w:rsidR="009B5BF4" w:rsidRPr="00894701" w:rsidRDefault="009B5BF4" w:rsidP="00423C6B">
            <w:pPr>
              <w:rPr>
                <w:rFonts w:cs="Arial"/>
                <w:b/>
                <w:bCs/>
                <w:color w:val="FFFFFF"/>
                <w:szCs w:val="18"/>
              </w:rPr>
            </w:pPr>
          </w:p>
        </w:tc>
        <w:tc>
          <w:tcPr>
            <w:tcW w:w="618" w:type="pct"/>
            <w:tcBorders>
              <w:top w:val="nil"/>
              <w:left w:val="nil"/>
              <w:bottom w:val="single" w:sz="8" w:space="0" w:color="FF0000"/>
              <w:right w:val="nil"/>
            </w:tcBorders>
            <w:shd w:val="clear" w:color="000000" w:fill="800000"/>
            <w:vAlign w:val="center"/>
            <w:hideMark/>
          </w:tcPr>
          <w:p w14:paraId="6A52E3D7" w14:textId="77777777" w:rsidR="009B5BF4" w:rsidRPr="00894701" w:rsidRDefault="009B5BF4" w:rsidP="00423C6B">
            <w:pPr>
              <w:jc w:val="center"/>
              <w:rPr>
                <w:rFonts w:cs="Arial"/>
                <w:b/>
                <w:bCs/>
                <w:color w:val="FFFFFF"/>
                <w:szCs w:val="18"/>
              </w:rPr>
            </w:pPr>
            <w:r w:rsidRPr="00894701">
              <w:rPr>
                <w:rFonts w:cs="Arial"/>
                <w:b/>
                <w:bCs/>
                <w:color w:val="FFFFFF"/>
                <w:szCs w:val="18"/>
              </w:rPr>
              <w:t xml:space="preserve">(c) = (a) - (b) </w:t>
            </w:r>
          </w:p>
        </w:tc>
        <w:tc>
          <w:tcPr>
            <w:tcW w:w="542" w:type="pct"/>
            <w:vMerge/>
            <w:tcBorders>
              <w:top w:val="nil"/>
              <w:left w:val="nil"/>
              <w:bottom w:val="single" w:sz="8" w:space="0" w:color="FF0000"/>
              <w:right w:val="nil"/>
            </w:tcBorders>
            <w:vAlign w:val="center"/>
            <w:hideMark/>
          </w:tcPr>
          <w:p w14:paraId="08FB9B61" w14:textId="77777777" w:rsidR="009B5BF4" w:rsidRPr="00894701" w:rsidRDefault="009B5BF4" w:rsidP="00423C6B">
            <w:pPr>
              <w:rPr>
                <w:rFonts w:cs="Arial"/>
                <w:b/>
                <w:bCs/>
                <w:color w:val="FFFFFF"/>
                <w:szCs w:val="18"/>
              </w:rPr>
            </w:pPr>
          </w:p>
        </w:tc>
      </w:tr>
      <w:tr w:rsidR="00F2176F" w:rsidRPr="00894701" w14:paraId="187DE2D3" w14:textId="77777777" w:rsidTr="009B5BF4">
        <w:trPr>
          <w:trHeight w:val="300"/>
        </w:trPr>
        <w:tc>
          <w:tcPr>
            <w:tcW w:w="2774" w:type="pct"/>
            <w:tcBorders>
              <w:top w:val="nil"/>
              <w:left w:val="nil"/>
              <w:bottom w:val="nil"/>
              <w:right w:val="nil"/>
            </w:tcBorders>
            <w:shd w:val="clear" w:color="000000" w:fill="F7A3B0"/>
            <w:noWrap/>
            <w:vAlign w:val="center"/>
          </w:tcPr>
          <w:p w14:paraId="75A57DFB" w14:textId="49EC68F9" w:rsidR="00F2176F" w:rsidRPr="00894701" w:rsidRDefault="00F2176F" w:rsidP="00F2176F">
            <w:pPr>
              <w:rPr>
                <w:rFonts w:cs="Arial"/>
                <w:color w:val="auto"/>
                <w:szCs w:val="18"/>
              </w:rPr>
            </w:pPr>
            <w:r w:rsidRPr="00894701">
              <w:rPr>
                <w:rFonts w:cs="Arial"/>
                <w:color w:val="auto"/>
                <w:szCs w:val="18"/>
              </w:rPr>
              <w:t>2018</w:t>
            </w:r>
          </w:p>
        </w:tc>
        <w:tc>
          <w:tcPr>
            <w:tcW w:w="584" w:type="pct"/>
            <w:tcBorders>
              <w:top w:val="nil"/>
              <w:left w:val="nil"/>
              <w:bottom w:val="nil"/>
              <w:right w:val="nil"/>
            </w:tcBorders>
            <w:shd w:val="clear" w:color="000000" w:fill="F7A3B0"/>
            <w:noWrap/>
            <w:vAlign w:val="center"/>
            <w:hideMark/>
          </w:tcPr>
          <w:p w14:paraId="68DF0A35" w14:textId="750A944E" w:rsidR="00F2176F" w:rsidRPr="00894701" w:rsidRDefault="00F2176F" w:rsidP="00F2176F">
            <w:pPr>
              <w:jc w:val="right"/>
              <w:rPr>
                <w:rFonts w:cs="Arial"/>
                <w:color w:val="auto"/>
                <w:szCs w:val="18"/>
              </w:rPr>
            </w:pPr>
            <w:r w:rsidRPr="00894701">
              <w:rPr>
                <w:rFonts w:cs="Arial"/>
                <w:color w:val="auto"/>
                <w:szCs w:val="18"/>
              </w:rPr>
              <w:t>300</w:t>
            </w:r>
          </w:p>
        </w:tc>
        <w:tc>
          <w:tcPr>
            <w:tcW w:w="482" w:type="pct"/>
            <w:tcBorders>
              <w:top w:val="nil"/>
              <w:left w:val="nil"/>
              <w:bottom w:val="nil"/>
              <w:right w:val="nil"/>
            </w:tcBorders>
            <w:shd w:val="clear" w:color="000000" w:fill="F7A3B0"/>
            <w:noWrap/>
            <w:vAlign w:val="center"/>
            <w:hideMark/>
          </w:tcPr>
          <w:p w14:paraId="4F976F31" w14:textId="31E87417" w:rsidR="00F2176F" w:rsidRPr="00894701" w:rsidRDefault="00F2176F" w:rsidP="00F2176F">
            <w:pPr>
              <w:jc w:val="right"/>
              <w:rPr>
                <w:rFonts w:cs="Arial"/>
                <w:color w:val="auto"/>
                <w:szCs w:val="18"/>
              </w:rPr>
            </w:pPr>
            <w:r w:rsidRPr="00894701">
              <w:rPr>
                <w:rFonts w:cs="Arial"/>
                <w:color w:val="auto"/>
                <w:szCs w:val="18"/>
              </w:rPr>
              <w:t>276</w:t>
            </w:r>
          </w:p>
        </w:tc>
        <w:tc>
          <w:tcPr>
            <w:tcW w:w="618" w:type="pct"/>
            <w:tcBorders>
              <w:top w:val="nil"/>
              <w:left w:val="nil"/>
              <w:bottom w:val="nil"/>
              <w:right w:val="nil"/>
            </w:tcBorders>
            <w:shd w:val="clear" w:color="000000" w:fill="F7A3B0"/>
            <w:noWrap/>
            <w:vAlign w:val="center"/>
            <w:hideMark/>
          </w:tcPr>
          <w:p w14:paraId="7F917FC4" w14:textId="3DBA64A8" w:rsidR="00F2176F" w:rsidRPr="00894701" w:rsidRDefault="00F2176F" w:rsidP="00F2176F">
            <w:pPr>
              <w:jc w:val="right"/>
              <w:rPr>
                <w:rFonts w:cs="Arial"/>
                <w:color w:val="auto"/>
                <w:szCs w:val="18"/>
              </w:rPr>
            </w:pPr>
            <w:r w:rsidRPr="00894701">
              <w:rPr>
                <w:rFonts w:cs="Arial"/>
                <w:color w:val="auto"/>
                <w:szCs w:val="18"/>
              </w:rPr>
              <w:t>24</w:t>
            </w:r>
          </w:p>
        </w:tc>
        <w:tc>
          <w:tcPr>
            <w:tcW w:w="542" w:type="pct"/>
            <w:tcBorders>
              <w:top w:val="nil"/>
              <w:left w:val="nil"/>
              <w:bottom w:val="nil"/>
              <w:right w:val="nil"/>
            </w:tcBorders>
            <w:shd w:val="clear" w:color="000000" w:fill="F7A3B0"/>
            <w:noWrap/>
            <w:vAlign w:val="center"/>
            <w:hideMark/>
          </w:tcPr>
          <w:p w14:paraId="0BDF81A9" w14:textId="32B453C1" w:rsidR="00F2176F" w:rsidRPr="00894701" w:rsidRDefault="00F2176F" w:rsidP="00F2176F">
            <w:pPr>
              <w:jc w:val="right"/>
              <w:rPr>
                <w:rFonts w:cs="Arial"/>
                <w:color w:val="auto"/>
                <w:szCs w:val="18"/>
              </w:rPr>
            </w:pPr>
            <w:r w:rsidRPr="00894701">
              <w:rPr>
                <w:rFonts w:cs="Arial"/>
                <w:color w:val="auto"/>
                <w:szCs w:val="18"/>
              </w:rPr>
              <w:t>8.73%</w:t>
            </w:r>
          </w:p>
        </w:tc>
      </w:tr>
      <w:tr w:rsidR="00F2176F" w:rsidRPr="00894701" w14:paraId="34FBF6DD" w14:textId="77777777" w:rsidTr="009B5BF4">
        <w:trPr>
          <w:trHeight w:val="300"/>
        </w:trPr>
        <w:tc>
          <w:tcPr>
            <w:tcW w:w="2774" w:type="pct"/>
            <w:tcBorders>
              <w:top w:val="nil"/>
              <w:left w:val="nil"/>
              <w:bottom w:val="nil"/>
              <w:right w:val="nil"/>
            </w:tcBorders>
            <w:shd w:val="clear" w:color="000000" w:fill="FFFFFF"/>
            <w:noWrap/>
            <w:vAlign w:val="center"/>
          </w:tcPr>
          <w:p w14:paraId="3073757F" w14:textId="31266175" w:rsidR="00F2176F" w:rsidRPr="00894701" w:rsidRDefault="00F2176F" w:rsidP="00F2176F">
            <w:pPr>
              <w:rPr>
                <w:rFonts w:cs="Arial"/>
                <w:color w:val="auto"/>
                <w:szCs w:val="18"/>
              </w:rPr>
            </w:pPr>
            <w:r w:rsidRPr="00894701">
              <w:rPr>
                <w:rFonts w:cs="Arial"/>
                <w:color w:val="auto"/>
                <w:szCs w:val="18"/>
              </w:rPr>
              <w:t>2019</w:t>
            </w:r>
          </w:p>
        </w:tc>
        <w:tc>
          <w:tcPr>
            <w:tcW w:w="584" w:type="pct"/>
            <w:tcBorders>
              <w:top w:val="nil"/>
              <w:left w:val="nil"/>
              <w:bottom w:val="nil"/>
              <w:right w:val="nil"/>
            </w:tcBorders>
            <w:shd w:val="clear" w:color="000000" w:fill="FFFFFF"/>
            <w:noWrap/>
            <w:vAlign w:val="center"/>
            <w:hideMark/>
          </w:tcPr>
          <w:p w14:paraId="586F4F7E" w14:textId="4AFDDAF8" w:rsidR="00F2176F" w:rsidRPr="00894701" w:rsidRDefault="00F2176F" w:rsidP="00F2176F">
            <w:pPr>
              <w:jc w:val="right"/>
              <w:rPr>
                <w:rFonts w:cs="Arial"/>
                <w:color w:val="auto"/>
                <w:szCs w:val="18"/>
              </w:rPr>
            </w:pPr>
            <w:r w:rsidRPr="00894701">
              <w:rPr>
                <w:rFonts w:cs="Arial"/>
                <w:color w:val="auto"/>
                <w:szCs w:val="18"/>
              </w:rPr>
              <w:t>199</w:t>
            </w:r>
          </w:p>
        </w:tc>
        <w:tc>
          <w:tcPr>
            <w:tcW w:w="482" w:type="pct"/>
            <w:tcBorders>
              <w:top w:val="nil"/>
              <w:left w:val="nil"/>
              <w:bottom w:val="nil"/>
              <w:right w:val="nil"/>
            </w:tcBorders>
            <w:shd w:val="clear" w:color="000000" w:fill="FFFFFF"/>
            <w:noWrap/>
            <w:vAlign w:val="center"/>
            <w:hideMark/>
          </w:tcPr>
          <w:p w14:paraId="4149841E" w14:textId="53CDBC16" w:rsidR="00F2176F" w:rsidRPr="00894701" w:rsidRDefault="00A25CAB" w:rsidP="00F2176F">
            <w:pPr>
              <w:jc w:val="right"/>
              <w:rPr>
                <w:rFonts w:cs="Arial"/>
                <w:color w:val="auto"/>
                <w:szCs w:val="18"/>
              </w:rPr>
            </w:pPr>
            <w:r>
              <w:rPr>
                <w:rFonts w:cs="Arial"/>
                <w:color w:val="auto"/>
                <w:szCs w:val="18"/>
              </w:rPr>
              <w:t>199</w:t>
            </w:r>
          </w:p>
        </w:tc>
        <w:tc>
          <w:tcPr>
            <w:tcW w:w="618" w:type="pct"/>
            <w:tcBorders>
              <w:top w:val="nil"/>
              <w:left w:val="nil"/>
              <w:bottom w:val="nil"/>
              <w:right w:val="nil"/>
            </w:tcBorders>
            <w:shd w:val="clear" w:color="000000" w:fill="FFFFFF"/>
            <w:noWrap/>
            <w:vAlign w:val="center"/>
            <w:hideMark/>
          </w:tcPr>
          <w:p w14:paraId="3C5E4997" w14:textId="16B5756E" w:rsidR="00F2176F" w:rsidRPr="00894701" w:rsidRDefault="00F2176F" w:rsidP="00F2176F">
            <w:pPr>
              <w:jc w:val="right"/>
              <w:rPr>
                <w:rFonts w:cs="Arial"/>
                <w:color w:val="auto"/>
                <w:szCs w:val="18"/>
              </w:rPr>
            </w:pPr>
            <w:r w:rsidRPr="00894701">
              <w:rPr>
                <w:rFonts w:cs="Arial"/>
                <w:color w:val="auto"/>
                <w:szCs w:val="18"/>
              </w:rPr>
              <w:t>(</w:t>
            </w:r>
            <w:r w:rsidR="00A25CAB">
              <w:rPr>
                <w:rFonts w:cs="Arial"/>
                <w:color w:val="auto"/>
                <w:szCs w:val="18"/>
              </w:rPr>
              <w:t>0</w:t>
            </w:r>
            <w:r w:rsidRPr="00894701">
              <w:rPr>
                <w:rFonts w:cs="Arial"/>
                <w:color w:val="auto"/>
                <w:szCs w:val="18"/>
              </w:rPr>
              <w:t>)</w:t>
            </w:r>
          </w:p>
        </w:tc>
        <w:tc>
          <w:tcPr>
            <w:tcW w:w="542" w:type="pct"/>
            <w:tcBorders>
              <w:top w:val="nil"/>
              <w:left w:val="nil"/>
              <w:bottom w:val="nil"/>
              <w:right w:val="nil"/>
            </w:tcBorders>
            <w:shd w:val="clear" w:color="000000" w:fill="FFFFFF"/>
            <w:noWrap/>
            <w:vAlign w:val="center"/>
            <w:hideMark/>
          </w:tcPr>
          <w:p w14:paraId="083A05C4" w14:textId="4A66C3D8" w:rsidR="00F2176F" w:rsidRPr="00894701" w:rsidRDefault="00F2176F" w:rsidP="00F2176F">
            <w:pPr>
              <w:jc w:val="right"/>
              <w:rPr>
                <w:rFonts w:cs="Arial"/>
                <w:color w:val="auto"/>
                <w:szCs w:val="18"/>
              </w:rPr>
            </w:pPr>
            <w:r w:rsidRPr="00894701">
              <w:rPr>
                <w:rFonts w:cs="Arial"/>
                <w:color w:val="auto"/>
                <w:szCs w:val="18"/>
              </w:rPr>
              <w:t>(0.</w:t>
            </w:r>
            <w:r w:rsidR="00A25CAB">
              <w:rPr>
                <w:rFonts w:cs="Arial"/>
                <w:color w:val="auto"/>
                <w:szCs w:val="18"/>
              </w:rPr>
              <w:t>0</w:t>
            </w:r>
            <w:r w:rsidRPr="00894701">
              <w:rPr>
                <w:rFonts w:cs="Arial"/>
                <w:color w:val="auto"/>
                <w:szCs w:val="18"/>
              </w:rPr>
              <w:t>0%)</w:t>
            </w:r>
          </w:p>
        </w:tc>
      </w:tr>
      <w:tr w:rsidR="00F2176F" w:rsidRPr="00894701" w14:paraId="078FCBEF" w14:textId="77777777" w:rsidTr="009B5BF4">
        <w:trPr>
          <w:trHeight w:val="300"/>
        </w:trPr>
        <w:tc>
          <w:tcPr>
            <w:tcW w:w="2774" w:type="pct"/>
            <w:tcBorders>
              <w:top w:val="nil"/>
              <w:left w:val="nil"/>
              <w:bottom w:val="nil"/>
              <w:right w:val="nil"/>
            </w:tcBorders>
            <w:shd w:val="clear" w:color="000000" w:fill="FFA7A7"/>
            <w:noWrap/>
            <w:vAlign w:val="center"/>
          </w:tcPr>
          <w:p w14:paraId="413A3AC7" w14:textId="5D022AC6" w:rsidR="00F2176F" w:rsidRPr="00894701" w:rsidRDefault="00F2176F" w:rsidP="00F2176F">
            <w:pPr>
              <w:rPr>
                <w:rFonts w:cs="Arial"/>
                <w:color w:val="auto"/>
                <w:szCs w:val="18"/>
              </w:rPr>
            </w:pPr>
            <w:r w:rsidRPr="00894701">
              <w:rPr>
                <w:rFonts w:cs="Arial"/>
                <w:color w:val="auto"/>
                <w:szCs w:val="18"/>
              </w:rPr>
              <w:t>2020</w:t>
            </w:r>
          </w:p>
        </w:tc>
        <w:tc>
          <w:tcPr>
            <w:tcW w:w="584" w:type="pct"/>
            <w:tcBorders>
              <w:top w:val="nil"/>
              <w:left w:val="nil"/>
              <w:bottom w:val="nil"/>
              <w:right w:val="nil"/>
            </w:tcBorders>
            <w:shd w:val="clear" w:color="000000" w:fill="FFA7A7"/>
            <w:noWrap/>
            <w:vAlign w:val="center"/>
            <w:hideMark/>
          </w:tcPr>
          <w:p w14:paraId="71EDAA80" w14:textId="45AF0558" w:rsidR="00F2176F" w:rsidRPr="00894701" w:rsidRDefault="00F2176F" w:rsidP="00F2176F">
            <w:pPr>
              <w:jc w:val="right"/>
              <w:rPr>
                <w:rFonts w:cs="Arial"/>
                <w:color w:val="auto"/>
                <w:szCs w:val="18"/>
              </w:rPr>
            </w:pPr>
            <w:r w:rsidRPr="00894701">
              <w:rPr>
                <w:rFonts w:cs="Arial"/>
                <w:color w:val="auto"/>
                <w:szCs w:val="18"/>
              </w:rPr>
              <w:t>173</w:t>
            </w:r>
          </w:p>
        </w:tc>
        <w:tc>
          <w:tcPr>
            <w:tcW w:w="482" w:type="pct"/>
            <w:tcBorders>
              <w:top w:val="nil"/>
              <w:left w:val="nil"/>
              <w:bottom w:val="nil"/>
              <w:right w:val="nil"/>
            </w:tcBorders>
            <w:shd w:val="clear" w:color="000000" w:fill="FFA7A7"/>
            <w:noWrap/>
            <w:vAlign w:val="center"/>
            <w:hideMark/>
          </w:tcPr>
          <w:p w14:paraId="45B2D1E8" w14:textId="666CC959" w:rsidR="00F2176F" w:rsidRPr="00894701" w:rsidRDefault="00F2176F" w:rsidP="00F2176F">
            <w:pPr>
              <w:jc w:val="right"/>
              <w:rPr>
                <w:rFonts w:cs="Arial"/>
                <w:color w:val="auto"/>
                <w:szCs w:val="18"/>
              </w:rPr>
            </w:pPr>
            <w:r w:rsidRPr="00894701">
              <w:rPr>
                <w:rFonts w:cs="Arial"/>
                <w:color w:val="auto"/>
                <w:szCs w:val="18"/>
              </w:rPr>
              <w:t>173</w:t>
            </w:r>
          </w:p>
        </w:tc>
        <w:tc>
          <w:tcPr>
            <w:tcW w:w="618" w:type="pct"/>
            <w:tcBorders>
              <w:top w:val="nil"/>
              <w:left w:val="nil"/>
              <w:bottom w:val="nil"/>
              <w:right w:val="nil"/>
            </w:tcBorders>
            <w:shd w:val="clear" w:color="000000" w:fill="FFA7A7"/>
            <w:noWrap/>
            <w:vAlign w:val="center"/>
            <w:hideMark/>
          </w:tcPr>
          <w:p w14:paraId="782B9036" w14:textId="068B524F" w:rsidR="00F2176F" w:rsidRPr="00894701" w:rsidRDefault="00A25CAB" w:rsidP="00F2176F">
            <w:pPr>
              <w:jc w:val="right"/>
              <w:rPr>
                <w:rFonts w:cs="Arial"/>
                <w:color w:val="auto"/>
                <w:szCs w:val="18"/>
              </w:rPr>
            </w:pPr>
            <w:r>
              <w:rPr>
                <w:rFonts w:cs="Arial"/>
                <w:color w:val="auto"/>
                <w:szCs w:val="18"/>
              </w:rPr>
              <w:t>0</w:t>
            </w:r>
          </w:p>
        </w:tc>
        <w:tc>
          <w:tcPr>
            <w:tcW w:w="542" w:type="pct"/>
            <w:tcBorders>
              <w:top w:val="nil"/>
              <w:left w:val="nil"/>
              <w:bottom w:val="nil"/>
              <w:right w:val="nil"/>
            </w:tcBorders>
            <w:shd w:val="clear" w:color="000000" w:fill="FFA7A7"/>
            <w:noWrap/>
            <w:vAlign w:val="center"/>
            <w:hideMark/>
          </w:tcPr>
          <w:p w14:paraId="3A486D24" w14:textId="3DAA1514" w:rsidR="00F2176F" w:rsidRPr="00894701" w:rsidRDefault="00F2176F" w:rsidP="00F2176F">
            <w:pPr>
              <w:jc w:val="right"/>
              <w:rPr>
                <w:rFonts w:cs="Arial"/>
                <w:color w:val="auto"/>
                <w:szCs w:val="18"/>
              </w:rPr>
            </w:pPr>
            <w:r w:rsidRPr="00894701">
              <w:rPr>
                <w:rFonts w:cs="Arial"/>
                <w:color w:val="auto"/>
                <w:szCs w:val="18"/>
              </w:rPr>
              <w:t>0.</w:t>
            </w:r>
            <w:r w:rsidR="00A25CAB">
              <w:rPr>
                <w:rFonts w:cs="Arial"/>
                <w:color w:val="auto"/>
                <w:szCs w:val="18"/>
              </w:rPr>
              <w:t>00</w:t>
            </w:r>
            <w:r w:rsidRPr="00894701">
              <w:rPr>
                <w:rFonts w:cs="Arial"/>
                <w:color w:val="auto"/>
                <w:szCs w:val="18"/>
              </w:rPr>
              <w:t>%</w:t>
            </w:r>
          </w:p>
        </w:tc>
      </w:tr>
      <w:tr w:rsidR="00F2176F" w:rsidRPr="00894701" w14:paraId="4C6CF57C" w14:textId="77777777" w:rsidTr="00423C6B">
        <w:trPr>
          <w:trHeight w:val="300"/>
        </w:trPr>
        <w:tc>
          <w:tcPr>
            <w:tcW w:w="2774" w:type="pct"/>
            <w:tcBorders>
              <w:top w:val="nil"/>
              <w:left w:val="nil"/>
              <w:bottom w:val="nil"/>
              <w:right w:val="nil"/>
            </w:tcBorders>
            <w:shd w:val="clear" w:color="000000" w:fill="4D3B30"/>
            <w:noWrap/>
            <w:vAlign w:val="center"/>
            <w:hideMark/>
          </w:tcPr>
          <w:p w14:paraId="328F38BC" w14:textId="77777777" w:rsidR="00F2176F" w:rsidRPr="00894701" w:rsidRDefault="00F2176F" w:rsidP="00F2176F">
            <w:pPr>
              <w:rPr>
                <w:rFonts w:cs="Arial"/>
                <w:b/>
                <w:bCs/>
                <w:color w:val="FFFFFF"/>
                <w:szCs w:val="18"/>
              </w:rPr>
            </w:pPr>
            <w:r w:rsidRPr="00894701">
              <w:rPr>
                <w:rFonts w:cs="Arial"/>
                <w:b/>
                <w:bCs/>
                <w:color w:val="FFFFFF"/>
                <w:szCs w:val="18"/>
              </w:rPr>
              <w:t>Reconciled Government revenues</w:t>
            </w:r>
          </w:p>
        </w:tc>
        <w:tc>
          <w:tcPr>
            <w:tcW w:w="584" w:type="pct"/>
            <w:tcBorders>
              <w:top w:val="nil"/>
              <w:left w:val="nil"/>
              <w:bottom w:val="nil"/>
              <w:right w:val="nil"/>
            </w:tcBorders>
            <w:shd w:val="clear" w:color="000000" w:fill="4D3B30"/>
            <w:noWrap/>
            <w:vAlign w:val="center"/>
            <w:hideMark/>
          </w:tcPr>
          <w:p w14:paraId="3B8064E1" w14:textId="6D673A65" w:rsidR="00F2176F" w:rsidRPr="00894701" w:rsidRDefault="00F2176F" w:rsidP="00F2176F">
            <w:pPr>
              <w:jc w:val="right"/>
              <w:rPr>
                <w:rFonts w:cs="Arial"/>
                <w:b/>
                <w:bCs/>
                <w:color w:val="FFFFFF" w:themeColor="background1"/>
                <w:szCs w:val="18"/>
              </w:rPr>
            </w:pPr>
            <w:r w:rsidRPr="00894701">
              <w:rPr>
                <w:rFonts w:cs="Arial"/>
                <w:b/>
                <w:bCs/>
                <w:color w:val="FFFFFF"/>
                <w:szCs w:val="18"/>
              </w:rPr>
              <w:t>672</w:t>
            </w:r>
          </w:p>
        </w:tc>
        <w:tc>
          <w:tcPr>
            <w:tcW w:w="482" w:type="pct"/>
            <w:tcBorders>
              <w:top w:val="nil"/>
              <w:left w:val="nil"/>
              <w:bottom w:val="nil"/>
              <w:right w:val="nil"/>
            </w:tcBorders>
            <w:shd w:val="clear" w:color="000000" w:fill="4D3B30"/>
            <w:noWrap/>
            <w:vAlign w:val="center"/>
            <w:hideMark/>
          </w:tcPr>
          <w:p w14:paraId="47AAEABF" w14:textId="710B8FDE" w:rsidR="00F2176F" w:rsidRPr="00894701" w:rsidRDefault="00F2176F" w:rsidP="00F2176F">
            <w:pPr>
              <w:jc w:val="right"/>
              <w:rPr>
                <w:rFonts w:cs="Arial"/>
                <w:b/>
                <w:bCs/>
                <w:color w:val="FFFFFF" w:themeColor="background1"/>
                <w:szCs w:val="18"/>
              </w:rPr>
            </w:pPr>
            <w:r w:rsidRPr="00894701">
              <w:rPr>
                <w:rFonts w:cs="Arial"/>
                <w:b/>
                <w:bCs/>
                <w:color w:val="FFFFFF"/>
                <w:szCs w:val="18"/>
              </w:rPr>
              <w:t>6</w:t>
            </w:r>
            <w:r w:rsidR="00A25CAB">
              <w:rPr>
                <w:rFonts w:cs="Arial"/>
                <w:b/>
                <w:bCs/>
                <w:color w:val="FFFFFF"/>
                <w:szCs w:val="18"/>
              </w:rPr>
              <w:t>48</w:t>
            </w:r>
          </w:p>
        </w:tc>
        <w:tc>
          <w:tcPr>
            <w:tcW w:w="618" w:type="pct"/>
            <w:tcBorders>
              <w:top w:val="nil"/>
              <w:left w:val="nil"/>
              <w:bottom w:val="nil"/>
              <w:right w:val="nil"/>
            </w:tcBorders>
            <w:shd w:val="clear" w:color="000000" w:fill="4D3B30"/>
            <w:noWrap/>
            <w:vAlign w:val="center"/>
            <w:hideMark/>
          </w:tcPr>
          <w:p w14:paraId="02FC8785" w14:textId="50C3C5AB" w:rsidR="00F2176F" w:rsidRPr="00894701" w:rsidRDefault="00A25CAB" w:rsidP="00F2176F">
            <w:pPr>
              <w:jc w:val="right"/>
              <w:rPr>
                <w:rFonts w:cs="Arial"/>
                <w:b/>
                <w:bCs/>
                <w:color w:val="FFFFFF" w:themeColor="background1"/>
                <w:szCs w:val="18"/>
              </w:rPr>
            </w:pPr>
            <w:r w:rsidRPr="00894701">
              <w:rPr>
                <w:rFonts w:cs="Arial"/>
                <w:b/>
                <w:bCs/>
                <w:color w:val="FFFFFF"/>
                <w:szCs w:val="18"/>
              </w:rPr>
              <w:t>2</w:t>
            </w:r>
            <w:r>
              <w:rPr>
                <w:rFonts w:cs="Arial"/>
                <w:b/>
                <w:bCs/>
                <w:color w:val="FFFFFF"/>
                <w:szCs w:val="18"/>
              </w:rPr>
              <w:t>4</w:t>
            </w:r>
          </w:p>
        </w:tc>
        <w:tc>
          <w:tcPr>
            <w:tcW w:w="542" w:type="pct"/>
            <w:tcBorders>
              <w:top w:val="nil"/>
              <w:left w:val="nil"/>
              <w:bottom w:val="nil"/>
              <w:right w:val="nil"/>
            </w:tcBorders>
            <w:shd w:val="clear" w:color="000000" w:fill="4D3B30"/>
            <w:noWrap/>
            <w:vAlign w:val="center"/>
            <w:hideMark/>
          </w:tcPr>
          <w:p w14:paraId="2CE79C89" w14:textId="1CD7DF11" w:rsidR="00F2176F" w:rsidRPr="00894701" w:rsidRDefault="00A25CAB" w:rsidP="00F2176F">
            <w:pPr>
              <w:jc w:val="right"/>
              <w:rPr>
                <w:rFonts w:cs="Arial"/>
                <w:b/>
                <w:bCs/>
                <w:color w:val="FFFFFF" w:themeColor="background1"/>
                <w:szCs w:val="18"/>
              </w:rPr>
            </w:pPr>
            <w:r>
              <w:rPr>
                <w:rFonts w:cs="Arial"/>
                <w:b/>
                <w:bCs/>
                <w:color w:val="FFFFFF"/>
                <w:szCs w:val="18"/>
              </w:rPr>
              <w:t>8</w:t>
            </w:r>
            <w:r w:rsidR="00F2176F" w:rsidRPr="00894701">
              <w:rPr>
                <w:rFonts w:cs="Arial"/>
                <w:b/>
                <w:bCs/>
                <w:color w:val="FFFFFF"/>
                <w:szCs w:val="18"/>
              </w:rPr>
              <w:t>.</w:t>
            </w:r>
            <w:r>
              <w:rPr>
                <w:rFonts w:cs="Arial"/>
                <w:b/>
                <w:bCs/>
                <w:color w:val="FFFFFF"/>
                <w:szCs w:val="18"/>
              </w:rPr>
              <w:t>7</w:t>
            </w:r>
            <w:r w:rsidR="00F2176F" w:rsidRPr="00894701">
              <w:rPr>
                <w:rFonts w:cs="Arial"/>
                <w:b/>
                <w:bCs/>
                <w:color w:val="FFFFFF"/>
                <w:szCs w:val="18"/>
              </w:rPr>
              <w:t>3%</w:t>
            </w:r>
          </w:p>
        </w:tc>
      </w:tr>
    </w:tbl>
    <w:p w14:paraId="528FE2BD" w14:textId="2E4EF1AB" w:rsidR="009B5BF4" w:rsidRPr="00894701" w:rsidRDefault="009B5BF4" w:rsidP="009B5BF4">
      <w:pPr>
        <w:jc w:val="both"/>
        <w:rPr>
          <w:rFonts w:cs="Arial"/>
          <w:bCs/>
          <w:color w:val="000000" w:themeColor="text1"/>
          <w:sz w:val="20"/>
          <w:lang w:eastAsia="fr-FR"/>
        </w:rPr>
      </w:pPr>
    </w:p>
    <w:p w14:paraId="0FE81DAE" w14:textId="04E42A8E" w:rsidR="00907B42" w:rsidRPr="00894701" w:rsidRDefault="00907B42" w:rsidP="00907B42">
      <w:pPr>
        <w:spacing w:after="240"/>
        <w:jc w:val="both"/>
        <w:rPr>
          <w:rFonts w:asciiTheme="majorHAnsi" w:hAnsiTheme="majorHAnsi"/>
          <w:color w:val="auto"/>
          <w:sz w:val="20"/>
          <w:szCs w:val="20"/>
        </w:rPr>
      </w:pPr>
      <w:r w:rsidRPr="00894701">
        <w:rPr>
          <w:bCs/>
          <w:color w:val="auto"/>
          <w:sz w:val="20"/>
        </w:rPr>
        <w:t>Details of the reconciliation exercise and adjustments made by company and by tax are set out in Section 5</w:t>
      </w:r>
      <w:r w:rsidR="00447D60">
        <w:rPr>
          <w:bCs/>
          <w:color w:val="auto"/>
          <w:sz w:val="20"/>
        </w:rPr>
        <w:t>.2</w:t>
      </w:r>
      <w:r w:rsidRPr="00894701">
        <w:rPr>
          <w:bCs/>
          <w:color w:val="auto"/>
          <w:sz w:val="20"/>
        </w:rPr>
        <w:t xml:space="preserve"> of the report, while individual reconciliation templates by company are presented in </w:t>
      </w:r>
      <w:r w:rsidRPr="00894701">
        <w:rPr>
          <w:b/>
          <w:color w:val="auto"/>
          <w:sz w:val="20"/>
        </w:rPr>
        <w:t>Annex 6</w:t>
      </w:r>
      <w:r w:rsidRPr="00894701">
        <w:rPr>
          <w:bCs/>
          <w:color w:val="auto"/>
          <w:sz w:val="20"/>
        </w:rPr>
        <w:t xml:space="preserve"> of the report.</w:t>
      </w:r>
    </w:p>
    <w:p w14:paraId="458D4DFF" w14:textId="6909C3D3" w:rsidR="00A81581" w:rsidRPr="00894701" w:rsidRDefault="00865AE1" w:rsidP="00A81581">
      <w:pPr>
        <w:pStyle w:val="Heading2"/>
        <w:numPr>
          <w:ilvl w:val="1"/>
          <w:numId w:val="7"/>
        </w:numPr>
        <w:spacing w:after="240"/>
        <w:ind w:left="0" w:right="482" w:firstLine="0"/>
        <w:rPr>
          <w:rFonts w:asciiTheme="majorHAnsi" w:hAnsiTheme="majorHAnsi"/>
          <w:sz w:val="28"/>
          <w:szCs w:val="28"/>
        </w:rPr>
      </w:pPr>
      <w:bookmarkStart w:id="63" w:name="_Toc101349928"/>
      <w:bookmarkStart w:id="64" w:name="_Toc102773123"/>
      <w:bookmarkStart w:id="65" w:name="_Toc122478838"/>
      <w:r w:rsidRPr="00894701">
        <w:rPr>
          <w:rFonts w:asciiTheme="majorHAnsi" w:hAnsiTheme="majorHAnsi"/>
          <w:sz w:val="28"/>
          <w:szCs w:val="28"/>
        </w:rPr>
        <w:t>Implementation status of EITI recommendations</w:t>
      </w:r>
      <w:bookmarkEnd w:id="63"/>
      <w:bookmarkEnd w:id="64"/>
      <w:bookmarkEnd w:id="65"/>
    </w:p>
    <w:p w14:paraId="4CD476C1" w14:textId="654BCB2A" w:rsidR="00874E5B" w:rsidRPr="000F4783" w:rsidRDefault="00874E5B" w:rsidP="000F4783">
      <w:pPr>
        <w:pStyle w:val="BodyTextRed"/>
        <w:rPr>
          <w:color w:val="auto"/>
          <w:sz w:val="20"/>
          <w:szCs w:val="20"/>
        </w:rPr>
      </w:pPr>
      <w:r w:rsidRPr="000F4783">
        <w:rPr>
          <w:color w:val="auto"/>
          <w:sz w:val="20"/>
          <w:szCs w:val="20"/>
        </w:rPr>
        <w:t xml:space="preserve">The </w:t>
      </w:r>
      <w:r w:rsidR="00E60CD1" w:rsidRPr="000F4783">
        <w:rPr>
          <w:color w:val="auto"/>
          <w:sz w:val="20"/>
          <w:szCs w:val="20"/>
        </w:rPr>
        <w:t>principal recommendations arising from our report are summarised in the table below.</w:t>
      </w:r>
    </w:p>
    <w:p w14:paraId="570E7A6F" w14:textId="78CAD6C0" w:rsidR="00A81581" w:rsidRPr="00894701" w:rsidRDefault="00A81581" w:rsidP="00A81581">
      <w:pPr>
        <w:pStyle w:val="BodyTextRed"/>
        <w:jc w:val="center"/>
        <w:rPr>
          <w:b/>
          <w:bCs/>
          <w:color w:val="98002E" w:themeColor="accent3"/>
          <w:sz w:val="20"/>
          <w:szCs w:val="20"/>
        </w:rPr>
      </w:pPr>
      <w:bookmarkStart w:id="66" w:name="_Toc146590483"/>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11</w:t>
      </w:r>
      <w:r w:rsidRPr="00894701">
        <w:rPr>
          <w:b/>
          <w:bCs/>
          <w:color w:val="98002E" w:themeColor="accent3"/>
          <w:sz w:val="20"/>
          <w:szCs w:val="20"/>
        </w:rPr>
        <w:fldChar w:fldCharType="end"/>
      </w:r>
      <w:r w:rsidRPr="00894701">
        <w:rPr>
          <w:b/>
          <w:bCs/>
          <w:color w:val="98002E" w:themeColor="accent3"/>
          <w:sz w:val="20"/>
          <w:szCs w:val="20"/>
        </w:rPr>
        <w:t>: List of recommendations</w:t>
      </w:r>
      <w:bookmarkEnd w:id="66"/>
      <w:r w:rsidRPr="00894701">
        <w:rPr>
          <w:b/>
          <w:bCs/>
          <w:color w:val="98002E" w:themeColor="accent3"/>
          <w:sz w:val="20"/>
          <w:szCs w:val="20"/>
        </w:rPr>
        <w:t xml:space="preserve"> </w:t>
      </w:r>
    </w:p>
    <w:tbl>
      <w:tblPr>
        <w:tblW w:w="5238" w:type="pct"/>
        <w:tblLayout w:type="fixed"/>
        <w:tblLook w:val="04A0" w:firstRow="1" w:lastRow="0" w:firstColumn="1" w:lastColumn="0" w:noHBand="0" w:noVBand="1"/>
      </w:tblPr>
      <w:tblGrid>
        <w:gridCol w:w="851"/>
        <w:gridCol w:w="8630"/>
      </w:tblGrid>
      <w:tr w:rsidR="002D7F0B" w:rsidRPr="00894701" w14:paraId="4B771729" w14:textId="77777777" w:rsidTr="00A81581">
        <w:trPr>
          <w:trHeight w:val="490"/>
          <w:tblHeader/>
        </w:trPr>
        <w:tc>
          <w:tcPr>
            <w:tcW w:w="449" w:type="pct"/>
            <w:tcBorders>
              <w:top w:val="nil"/>
              <w:left w:val="nil"/>
              <w:bottom w:val="single" w:sz="8" w:space="0" w:color="FF0000"/>
              <w:right w:val="nil"/>
            </w:tcBorders>
            <w:shd w:val="clear" w:color="000000" w:fill="7A091A"/>
            <w:noWrap/>
            <w:vAlign w:val="center"/>
            <w:hideMark/>
          </w:tcPr>
          <w:p w14:paraId="50626F10" w14:textId="77777777" w:rsidR="002D7F0B" w:rsidRPr="00894701" w:rsidRDefault="002D7F0B" w:rsidP="00E449E4">
            <w:pPr>
              <w:spacing w:after="0" w:line="240" w:lineRule="auto"/>
              <w:rPr>
                <w:rFonts w:asciiTheme="minorHAnsi" w:hAnsiTheme="minorHAnsi"/>
                <w:b/>
                <w:bCs/>
                <w:color w:val="FFFFFF"/>
                <w:kern w:val="0"/>
                <w:szCs w:val="18"/>
              </w:rPr>
            </w:pPr>
            <w:r w:rsidRPr="00894701">
              <w:rPr>
                <w:rFonts w:asciiTheme="minorHAnsi" w:hAnsiTheme="minorHAnsi"/>
                <w:b/>
                <w:bCs/>
                <w:color w:val="FFFFFF"/>
                <w:kern w:val="0"/>
                <w:szCs w:val="18"/>
                <w:lang w:val="en-US"/>
              </w:rPr>
              <w:t> </w:t>
            </w:r>
          </w:p>
        </w:tc>
        <w:tc>
          <w:tcPr>
            <w:tcW w:w="4551" w:type="pct"/>
            <w:tcBorders>
              <w:top w:val="nil"/>
              <w:left w:val="nil"/>
              <w:bottom w:val="single" w:sz="8" w:space="0" w:color="FF0000"/>
              <w:right w:val="nil"/>
            </w:tcBorders>
            <w:shd w:val="clear" w:color="000000" w:fill="7A091A"/>
            <w:noWrap/>
            <w:vAlign w:val="center"/>
            <w:hideMark/>
          </w:tcPr>
          <w:p w14:paraId="6B4B8696" w14:textId="77777777" w:rsidR="002D7F0B" w:rsidRPr="00894701" w:rsidRDefault="002D7F0B" w:rsidP="00E449E4">
            <w:pPr>
              <w:spacing w:after="0" w:line="240" w:lineRule="auto"/>
              <w:jc w:val="both"/>
              <w:rPr>
                <w:rFonts w:asciiTheme="minorHAnsi" w:hAnsiTheme="minorHAnsi"/>
                <w:b/>
                <w:bCs/>
                <w:color w:val="FFFFFF"/>
                <w:kern w:val="0"/>
                <w:szCs w:val="18"/>
              </w:rPr>
            </w:pPr>
            <w:r w:rsidRPr="00894701">
              <w:rPr>
                <w:rFonts w:asciiTheme="minorHAnsi" w:hAnsiTheme="minorHAnsi"/>
                <w:b/>
                <w:bCs/>
                <w:color w:val="FFFFFF"/>
                <w:kern w:val="0"/>
                <w:szCs w:val="18"/>
                <w:lang w:val="en-US"/>
              </w:rPr>
              <w:t>Recommendations</w:t>
            </w:r>
          </w:p>
        </w:tc>
      </w:tr>
      <w:tr w:rsidR="002D7F0B" w:rsidRPr="00894701" w14:paraId="19E30017" w14:textId="77777777" w:rsidTr="00A81581">
        <w:trPr>
          <w:trHeight w:val="270"/>
        </w:trPr>
        <w:tc>
          <w:tcPr>
            <w:tcW w:w="5000" w:type="pct"/>
            <w:gridSpan w:val="2"/>
            <w:tcBorders>
              <w:top w:val="nil"/>
              <w:left w:val="nil"/>
              <w:bottom w:val="nil"/>
              <w:right w:val="nil"/>
            </w:tcBorders>
            <w:shd w:val="clear" w:color="auto" w:fill="808080"/>
            <w:noWrap/>
          </w:tcPr>
          <w:p w14:paraId="32C064AD" w14:textId="77777777" w:rsidR="002D7F0B" w:rsidRPr="00894701" w:rsidRDefault="002D7F0B" w:rsidP="00E449E4">
            <w:pPr>
              <w:spacing w:after="0" w:line="240" w:lineRule="auto"/>
              <w:jc w:val="both"/>
              <w:rPr>
                <w:rFonts w:asciiTheme="minorHAnsi" w:hAnsiTheme="minorHAnsi"/>
                <w:b/>
                <w:color w:val="FFFFFF" w:themeColor="background1"/>
                <w:kern w:val="0"/>
                <w:szCs w:val="18"/>
              </w:rPr>
            </w:pPr>
            <w:r w:rsidRPr="00894701">
              <w:rPr>
                <w:b/>
                <w:color w:val="FFFFFF" w:themeColor="background1"/>
              </w:rPr>
              <w:t>Oversight by the multi-stakeholder group</w:t>
            </w:r>
          </w:p>
        </w:tc>
      </w:tr>
      <w:tr w:rsidR="002D7F0B" w:rsidRPr="00894701" w14:paraId="0010E225" w14:textId="77777777" w:rsidTr="00B55953">
        <w:trPr>
          <w:trHeight w:val="270"/>
        </w:trPr>
        <w:tc>
          <w:tcPr>
            <w:tcW w:w="449" w:type="pct"/>
            <w:tcBorders>
              <w:top w:val="nil"/>
              <w:left w:val="nil"/>
              <w:bottom w:val="nil"/>
              <w:right w:val="nil"/>
            </w:tcBorders>
            <w:shd w:val="clear" w:color="000000" w:fill="F7A3B0"/>
            <w:noWrap/>
          </w:tcPr>
          <w:p w14:paraId="34873185" w14:textId="77777777" w:rsidR="002D7F0B" w:rsidRPr="00894701" w:rsidRDefault="002D7F0B" w:rsidP="00B55953">
            <w:pPr>
              <w:spacing w:after="0" w:line="240" w:lineRule="auto"/>
              <w:jc w:val="center"/>
              <w:rPr>
                <w:rFonts w:asciiTheme="minorHAnsi" w:hAnsiTheme="minorHAnsi"/>
                <w:b/>
                <w:color w:val="auto"/>
                <w:kern w:val="0"/>
                <w:szCs w:val="18"/>
                <w:lang w:val="en-US"/>
              </w:rPr>
            </w:pPr>
            <w:r w:rsidRPr="00894701">
              <w:rPr>
                <w:rFonts w:asciiTheme="minorHAnsi" w:hAnsiTheme="minorHAnsi"/>
                <w:b/>
                <w:color w:val="auto"/>
                <w:szCs w:val="18"/>
              </w:rPr>
              <w:t>1</w:t>
            </w:r>
          </w:p>
        </w:tc>
        <w:tc>
          <w:tcPr>
            <w:tcW w:w="4551" w:type="pct"/>
            <w:tcBorders>
              <w:top w:val="nil"/>
              <w:left w:val="nil"/>
              <w:bottom w:val="nil"/>
              <w:right w:val="nil"/>
            </w:tcBorders>
            <w:shd w:val="clear" w:color="000000" w:fill="F7A3B0"/>
            <w:noWrap/>
          </w:tcPr>
          <w:p w14:paraId="418399E0" w14:textId="2A588E3A" w:rsidR="002D7F0B" w:rsidRPr="00894701" w:rsidRDefault="002D7F0B" w:rsidP="00E449E4">
            <w:pPr>
              <w:spacing w:after="0" w:line="240" w:lineRule="auto"/>
              <w:jc w:val="both"/>
              <w:rPr>
                <w:rFonts w:asciiTheme="minorHAnsi" w:hAnsiTheme="minorHAnsi"/>
                <w:color w:val="auto"/>
                <w:szCs w:val="18"/>
              </w:rPr>
            </w:pPr>
            <w:r w:rsidRPr="00894701">
              <w:rPr>
                <w:rFonts w:asciiTheme="minorHAnsi" w:hAnsiTheme="minorHAnsi"/>
                <w:color w:val="auto"/>
                <w:szCs w:val="18"/>
              </w:rPr>
              <w:t>Requirement 1.1</w:t>
            </w:r>
          </w:p>
          <w:p w14:paraId="70B3090E" w14:textId="77777777" w:rsidR="002D7F0B" w:rsidRPr="00894701" w:rsidRDefault="002D7F0B" w:rsidP="002D7F0B">
            <w:pPr>
              <w:pStyle w:val="ListParagraph"/>
              <w:numPr>
                <w:ilvl w:val="0"/>
                <w:numId w:val="83"/>
              </w:numPr>
              <w:spacing w:after="0" w:line="240" w:lineRule="auto"/>
              <w:jc w:val="both"/>
              <w:rPr>
                <w:rFonts w:asciiTheme="minorHAnsi" w:hAnsiTheme="minorHAnsi"/>
                <w:color w:val="auto"/>
                <w:szCs w:val="18"/>
              </w:rPr>
            </w:pPr>
            <w:r w:rsidRPr="00894701">
              <w:rPr>
                <w:rFonts w:asciiTheme="minorHAnsi" w:hAnsiTheme="minorHAnsi"/>
                <w:color w:val="auto"/>
                <w:szCs w:val="18"/>
              </w:rPr>
              <w:t>Actively and effectively engaged in the EITI process;</w:t>
            </w:r>
          </w:p>
          <w:p w14:paraId="1F6F4065" w14:textId="77777777" w:rsidR="002D7F0B" w:rsidRPr="00894701" w:rsidRDefault="002D7F0B" w:rsidP="002D7F0B">
            <w:pPr>
              <w:pStyle w:val="ListParagraph"/>
              <w:numPr>
                <w:ilvl w:val="0"/>
                <w:numId w:val="83"/>
              </w:numPr>
              <w:spacing w:after="0" w:line="240" w:lineRule="auto"/>
              <w:jc w:val="both"/>
              <w:rPr>
                <w:rFonts w:asciiTheme="minorHAnsi" w:hAnsiTheme="minorHAnsi"/>
                <w:color w:val="auto"/>
                <w:szCs w:val="18"/>
              </w:rPr>
            </w:pPr>
            <w:r w:rsidRPr="00894701">
              <w:rPr>
                <w:rFonts w:asciiTheme="minorHAnsi" w:hAnsiTheme="minorHAnsi"/>
                <w:color w:val="auto"/>
                <w:szCs w:val="18"/>
              </w:rPr>
              <w:t>Guarantee the participation of senior government representatives in MSG;</w:t>
            </w:r>
          </w:p>
          <w:p w14:paraId="0A062229" w14:textId="209544D4" w:rsidR="002D7F0B" w:rsidRPr="00894701" w:rsidRDefault="002D7F0B" w:rsidP="002D7F0B">
            <w:pPr>
              <w:pStyle w:val="ListParagraph"/>
              <w:numPr>
                <w:ilvl w:val="0"/>
                <w:numId w:val="83"/>
              </w:numPr>
              <w:spacing w:after="0" w:line="240" w:lineRule="auto"/>
              <w:jc w:val="both"/>
              <w:rPr>
                <w:rFonts w:asciiTheme="minorHAnsi" w:hAnsiTheme="minorHAnsi"/>
                <w:color w:val="auto"/>
                <w:szCs w:val="18"/>
              </w:rPr>
            </w:pPr>
            <w:r w:rsidRPr="00894701">
              <w:rPr>
                <w:rFonts w:asciiTheme="minorHAnsi" w:hAnsiTheme="minorHAnsi"/>
                <w:color w:val="auto"/>
                <w:szCs w:val="18"/>
              </w:rPr>
              <w:t xml:space="preserve">Required to mobilise resources for EITI implementation </w:t>
            </w:r>
            <w:r w:rsidR="00633372">
              <w:rPr>
                <w:rFonts w:asciiTheme="minorHAnsi" w:hAnsiTheme="minorHAnsi"/>
                <w:color w:val="auto"/>
                <w:szCs w:val="18"/>
              </w:rPr>
              <w:t>²</w:t>
            </w:r>
            <w:r w:rsidR="00633372" w:rsidRPr="00894701">
              <w:rPr>
                <w:rFonts w:asciiTheme="minorHAnsi" w:hAnsiTheme="minorHAnsi"/>
                <w:color w:val="auto"/>
                <w:szCs w:val="18"/>
              </w:rPr>
              <w:t xml:space="preserve"> </w:t>
            </w:r>
            <w:r w:rsidRPr="00894701">
              <w:rPr>
                <w:rFonts w:asciiTheme="minorHAnsi" w:hAnsiTheme="minorHAnsi"/>
                <w:color w:val="auto"/>
                <w:szCs w:val="18"/>
              </w:rPr>
              <w:t>EITI funding; and</w:t>
            </w:r>
          </w:p>
          <w:p w14:paraId="28592C9A" w14:textId="5498462D" w:rsidR="002D7F0B" w:rsidRPr="00894701" w:rsidRDefault="002D7F0B" w:rsidP="002D7F0B">
            <w:pPr>
              <w:pStyle w:val="ListParagraph"/>
              <w:numPr>
                <w:ilvl w:val="0"/>
                <w:numId w:val="83"/>
              </w:numPr>
              <w:spacing w:after="0" w:line="240" w:lineRule="auto"/>
              <w:jc w:val="both"/>
              <w:rPr>
                <w:rFonts w:asciiTheme="minorHAnsi" w:hAnsiTheme="minorHAnsi"/>
                <w:color w:val="auto"/>
                <w:szCs w:val="18"/>
              </w:rPr>
            </w:pPr>
            <w:r w:rsidRPr="00894701">
              <w:rPr>
                <w:rFonts w:asciiTheme="minorHAnsi" w:hAnsiTheme="minorHAnsi"/>
                <w:color w:val="auto"/>
                <w:szCs w:val="18"/>
              </w:rPr>
              <w:t>Strengthen</w:t>
            </w:r>
            <w:r w:rsidR="00F12BEE">
              <w:rPr>
                <w:rFonts w:asciiTheme="minorHAnsi" w:hAnsiTheme="minorHAnsi"/>
                <w:color w:val="auto"/>
                <w:szCs w:val="18"/>
              </w:rPr>
              <w:t xml:space="preserve"> the</w:t>
            </w:r>
            <w:r w:rsidRPr="00894701">
              <w:rPr>
                <w:rFonts w:asciiTheme="minorHAnsi" w:hAnsiTheme="minorHAnsi"/>
                <w:color w:val="auto"/>
                <w:szCs w:val="18"/>
              </w:rPr>
              <w:t xml:space="preserve"> implementation of Requirement 1.1.</w:t>
            </w:r>
          </w:p>
        </w:tc>
      </w:tr>
      <w:tr w:rsidR="002D7F0B" w:rsidRPr="00894701" w14:paraId="5AD6A206" w14:textId="77777777" w:rsidTr="00B55953">
        <w:trPr>
          <w:trHeight w:val="270"/>
        </w:trPr>
        <w:tc>
          <w:tcPr>
            <w:tcW w:w="449" w:type="pct"/>
            <w:tcBorders>
              <w:top w:val="nil"/>
              <w:left w:val="nil"/>
              <w:bottom w:val="nil"/>
              <w:right w:val="nil"/>
            </w:tcBorders>
            <w:shd w:val="clear" w:color="000000" w:fill="FFFFFF"/>
            <w:noWrap/>
            <w:hideMark/>
          </w:tcPr>
          <w:p w14:paraId="22C062E2" w14:textId="77777777" w:rsidR="002D7F0B" w:rsidRPr="00894701" w:rsidRDefault="002D7F0B" w:rsidP="00B55953">
            <w:pPr>
              <w:spacing w:after="0" w:line="240" w:lineRule="auto"/>
              <w:jc w:val="center"/>
              <w:rPr>
                <w:rFonts w:asciiTheme="minorHAnsi" w:hAnsiTheme="minorHAnsi"/>
                <w:b/>
                <w:color w:val="000000"/>
                <w:kern w:val="0"/>
                <w:szCs w:val="18"/>
              </w:rPr>
            </w:pPr>
            <w:r w:rsidRPr="00894701">
              <w:rPr>
                <w:rFonts w:asciiTheme="minorHAnsi" w:hAnsiTheme="minorHAnsi"/>
                <w:b/>
                <w:color w:val="000000"/>
                <w:kern w:val="0"/>
                <w:szCs w:val="18"/>
                <w:lang w:val="en-US"/>
              </w:rPr>
              <w:t>2</w:t>
            </w:r>
          </w:p>
        </w:tc>
        <w:tc>
          <w:tcPr>
            <w:tcW w:w="4551" w:type="pct"/>
            <w:tcBorders>
              <w:top w:val="nil"/>
              <w:left w:val="nil"/>
              <w:bottom w:val="nil"/>
              <w:right w:val="nil"/>
            </w:tcBorders>
            <w:shd w:val="clear" w:color="000000" w:fill="FFFFFF"/>
            <w:noWrap/>
            <w:vAlign w:val="center"/>
            <w:hideMark/>
          </w:tcPr>
          <w:p w14:paraId="265E60C0" w14:textId="6EF74F84" w:rsidR="002D7F0B" w:rsidRPr="00894701" w:rsidRDefault="002D7F0B" w:rsidP="002D7F0B">
            <w:pPr>
              <w:spacing w:after="0" w:line="240" w:lineRule="auto"/>
              <w:jc w:val="both"/>
              <w:rPr>
                <w:rFonts w:asciiTheme="minorHAnsi" w:hAnsiTheme="minorHAnsi"/>
                <w:color w:val="auto"/>
                <w:szCs w:val="18"/>
              </w:rPr>
            </w:pPr>
            <w:r w:rsidRPr="00894701">
              <w:rPr>
                <w:rFonts w:asciiTheme="minorHAnsi" w:hAnsiTheme="minorHAnsi"/>
                <w:color w:val="auto"/>
                <w:szCs w:val="18"/>
              </w:rPr>
              <w:t>Requirement 1.2</w:t>
            </w:r>
          </w:p>
          <w:p w14:paraId="5969ED7B" w14:textId="77777777" w:rsidR="002D7F0B" w:rsidRPr="00894701" w:rsidRDefault="002D7F0B" w:rsidP="002D7F0B">
            <w:pPr>
              <w:pStyle w:val="ListParagraph"/>
              <w:numPr>
                <w:ilvl w:val="0"/>
                <w:numId w:val="83"/>
              </w:numPr>
              <w:spacing w:after="0" w:line="240" w:lineRule="auto"/>
              <w:jc w:val="both"/>
              <w:rPr>
                <w:rFonts w:asciiTheme="minorHAnsi" w:hAnsiTheme="minorHAnsi"/>
                <w:color w:val="000000"/>
                <w:kern w:val="0"/>
                <w:szCs w:val="18"/>
              </w:rPr>
            </w:pPr>
            <w:r w:rsidRPr="00894701">
              <w:rPr>
                <w:rFonts w:asciiTheme="minorHAnsi" w:hAnsiTheme="minorHAnsi"/>
                <w:color w:val="000000"/>
                <w:kern w:val="0"/>
                <w:szCs w:val="18"/>
                <w:lang w:val="en-US"/>
              </w:rPr>
              <w:t>Demonstrate the engagement in the EITI process;</w:t>
            </w:r>
          </w:p>
          <w:p w14:paraId="4FC8639F" w14:textId="197E3A18" w:rsidR="002D7F0B" w:rsidRPr="00894701" w:rsidRDefault="002D7F0B" w:rsidP="002D7F0B">
            <w:pPr>
              <w:pStyle w:val="ListParagraph"/>
              <w:numPr>
                <w:ilvl w:val="0"/>
                <w:numId w:val="83"/>
              </w:numPr>
              <w:spacing w:after="0" w:line="240" w:lineRule="auto"/>
              <w:jc w:val="both"/>
              <w:rPr>
                <w:rFonts w:asciiTheme="minorHAnsi" w:hAnsiTheme="minorHAnsi"/>
                <w:color w:val="000000"/>
                <w:kern w:val="0"/>
                <w:szCs w:val="18"/>
              </w:rPr>
            </w:pPr>
            <w:r w:rsidRPr="00894701">
              <w:rPr>
                <w:rFonts w:asciiTheme="minorHAnsi" w:hAnsiTheme="minorHAnsi"/>
                <w:color w:val="000000"/>
                <w:kern w:val="0"/>
                <w:szCs w:val="18"/>
                <w:lang w:val="en-US"/>
              </w:rPr>
              <w:t>Review the engagement work further in EITI implementation;</w:t>
            </w:r>
          </w:p>
          <w:p w14:paraId="55A29FBB" w14:textId="12DB66DE" w:rsidR="002D7F0B" w:rsidRPr="00894701" w:rsidRDefault="002D7F0B" w:rsidP="002D7F0B">
            <w:pPr>
              <w:pStyle w:val="ListParagraph"/>
              <w:numPr>
                <w:ilvl w:val="0"/>
                <w:numId w:val="83"/>
              </w:numPr>
              <w:spacing w:after="0" w:line="240" w:lineRule="auto"/>
              <w:jc w:val="both"/>
              <w:rPr>
                <w:rFonts w:asciiTheme="minorHAnsi" w:hAnsiTheme="minorHAnsi"/>
                <w:color w:val="000000"/>
                <w:kern w:val="0"/>
                <w:szCs w:val="18"/>
              </w:rPr>
            </w:pPr>
            <w:r w:rsidRPr="00894701">
              <w:rPr>
                <w:rFonts w:asciiTheme="minorHAnsi" w:hAnsiTheme="minorHAnsi"/>
                <w:color w:val="000000"/>
                <w:kern w:val="0"/>
                <w:szCs w:val="18"/>
                <w:lang w:val="en-US"/>
              </w:rPr>
              <w:t>Formali</w:t>
            </w:r>
            <w:r w:rsidR="00F12BEE">
              <w:rPr>
                <w:rFonts w:asciiTheme="minorHAnsi" w:hAnsiTheme="minorHAnsi"/>
                <w:color w:val="000000"/>
                <w:kern w:val="0"/>
                <w:szCs w:val="18"/>
                <w:lang w:val="en-US"/>
              </w:rPr>
              <w:t>s</w:t>
            </w:r>
            <w:r w:rsidRPr="00894701">
              <w:rPr>
                <w:rFonts w:asciiTheme="minorHAnsi" w:hAnsiTheme="minorHAnsi"/>
                <w:color w:val="000000"/>
                <w:kern w:val="0"/>
                <w:szCs w:val="18"/>
                <w:lang w:val="en-US"/>
              </w:rPr>
              <w:t xml:space="preserve">e and document the constituency coordination mechanisms and guarantee regular attendance at MSG meetings. </w:t>
            </w:r>
          </w:p>
        </w:tc>
      </w:tr>
      <w:tr w:rsidR="002D7F0B" w:rsidRPr="00894701" w14:paraId="3C129CCD" w14:textId="77777777" w:rsidTr="00B55953">
        <w:trPr>
          <w:trHeight w:val="270"/>
        </w:trPr>
        <w:tc>
          <w:tcPr>
            <w:tcW w:w="449" w:type="pct"/>
            <w:tcBorders>
              <w:top w:val="nil"/>
              <w:left w:val="nil"/>
              <w:bottom w:val="nil"/>
              <w:right w:val="nil"/>
            </w:tcBorders>
            <w:shd w:val="clear" w:color="000000" w:fill="F7A3B0"/>
            <w:noWrap/>
            <w:hideMark/>
          </w:tcPr>
          <w:p w14:paraId="771298E4" w14:textId="77777777" w:rsidR="002D7F0B" w:rsidRPr="00894701" w:rsidRDefault="002D7F0B" w:rsidP="00B55953">
            <w:pPr>
              <w:spacing w:after="0" w:line="240" w:lineRule="auto"/>
              <w:jc w:val="center"/>
              <w:rPr>
                <w:rFonts w:asciiTheme="minorHAnsi" w:hAnsiTheme="minorHAnsi"/>
                <w:b/>
                <w:color w:val="000000"/>
                <w:kern w:val="0"/>
                <w:szCs w:val="18"/>
              </w:rPr>
            </w:pPr>
            <w:r w:rsidRPr="00894701">
              <w:rPr>
                <w:rFonts w:asciiTheme="minorHAnsi" w:hAnsiTheme="minorHAnsi"/>
                <w:b/>
                <w:color w:val="000000"/>
                <w:kern w:val="0"/>
                <w:szCs w:val="18"/>
                <w:lang w:val="en-US"/>
              </w:rPr>
              <w:t>3</w:t>
            </w:r>
          </w:p>
        </w:tc>
        <w:tc>
          <w:tcPr>
            <w:tcW w:w="4551" w:type="pct"/>
            <w:tcBorders>
              <w:top w:val="nil"/>
              <w:left w:val="nil"/>
              <w:bottom w:val="nil"/>
              <w:right w:val="nil"/>
            </w:tcBorders>
            <w:shd w:val="clear" w:color="000000" w:fill="F7A3B0"/>
            <w:noWrap/>
            <w:vAlign w:val="center"/>
            <w:hideMark/>
          </w:tcPr>
          <w:p w14:paraId="330A8034" w14:textId="0DDEC539" w:rsidR="002D7F0B" w:rsidRPr="00894701" w:rsidRDefault="002D7F0B" w:rsidP="002D7F0B">
            <w:pPr>
              <w:spacing w:after="0" w:line="240" w:lineRule="auto"/>
              <w:jc w:val="both"/>
              <w:rPr>
                <w:rFonts w:asciiTheme="minorHAnsi" w:hAnsiTheme="minorHAnsi"/>
                <w:color w:val="auto"/>
                <w:szCs w:val="18"/>
              </w:rPr>
            </w:pPr>
            <w:r w:rsidRPr="00894701">
              <w:rPr>
                <w:rFonts w:asciiTheme="minorHAnsi" w:hAnsiTheme="minorHAnsi"/>
                <w:color w:val="auto"/>
                <w:szCs w:val="18"/>
              </w:rPr>
              <w:t>Requirement 1</w:t>
            </w:r>
            <w:r w:rsidR="00A81581" w:rsidRPr="00894701">
              <w:rPr>
                <w:rFonts w:asciiTheme="minorHAnsi" w:hAnsiTheme="minorHAnsi"/>
                <w:color w:val="auto"/>
                <w:szCs w:val="18"/>
              </w:rPr>
              <w:t>.4</w:t>
            </w:r>
          </w:p>
          <w:p w14:paraId="1BBFF784" w14:textId="15911DA4" w:rsidR="002D7F0B" w:rsidRPr="00894701" w:rsidRDefault="002D7F0B" w:rsidP="002D7F0B">
            <w:pPr>
              <w:pStyle w:val="ListParagraph"/>
              <w:numPr>
                <w:ilvl w:val="0"/>
                <w:numId w:val="83"/>
              </w:numPr>
              <w:spacing w:after="0" w:line="240" w:lineRule="auto"/>
              <w:jc w:val="both"/>
              <w:rPr>
                <w:rFonts w:asciiTheme="minorHAnsi" w:hAnsiTheme="minorHAnsi"/>
                <w:color w:val="000000"/>
                <w:kern w:val="0"/>
                <w:szCs w:val="18"/>
              </w:rPr>
            </w:pPr>
            <w:r w:rsidRPr="00894701">
              <w:rPr>
                <w:rFonts w:asciiTheme="minorHAnsi" w:hAnsiTheme="minorHAnsi"/>
                <w:color w:val="000000"/>
                <w:kern w:val="0"/>
                <w:szCs w:val="18"/>
                <w:lang w:val="en-US"/>
              </w:rPr>
              <w:t xml:space="preserve">Ensure that the procedures for nominating </w:t>
            </w:r>
            <w:r w:rsidR="00035D57">
              <w:rPr>
                <w:rFonts w:asciiTheme="minorHAnsi" w:hAnsiTheme="minorHAnsi"/>
                <w:color w:val="000000"/>
                <w:kern w:val="0"/>
                <w:szCs w:val="18"/>
                <w:lang w:val="en-US"/>
              </w:rPr>
              <w:t>MSG</w:t>
            </w:r>
            <w:r w:rsidR="00035D57" w:rsidRPr="00894701">
              <w:rPr>
                <w:rFonts w:asciiTheme="minorHAnsi" w:hAnsiTheme="minorHAnsi"/>
                <w:color w:val="000000"/>
                <w:kern w:val="0"/>
                <w:szCs w:val="18"/>
                <w:lang w:val="en-US"/>
              </w:rPr>
              <w:t xml:space="preserve"> </w:t>
            </w:r>
            <w:r w:rsidRPr="00894701">
              <w:rPr>
                <w:rFonts w:asciiTheme="minorHAnsi" w:hAnsiTheme="minorHAnsi"/>
                <w:color w:val="000000"/>
                <w:kern w:val="0"/>
                <w:szCs w:val="18"/>
                <w:lang w:val="en-US"/>
              </w:rPr>
              <w:t xml:space="preserve">representatives are codified and documented, and establish mechanisms for liaising with </w:t>
            </w:r>
            <w:r w:rsidR="00035D57">
              <w:rPr>
                <w:rFonts w:asciiTheme="minorHAnsi" w:hAnsiTheme="minorHAnsi"/>
                <w:color w:val="000000"/>
                <w:kern w:val="0"/>
                <w:szCs w:val="18"/>
                <w:lang w:val="en-US"/>
              </w:rPr>
              <w:t>its</w:t>
            </w:r>
            <w:r w:rsidR="00035D57" w:rsidRPr="00894701">
              <w:rPr>
                <w:rFonts w:asciiTheme="minorHAnsi" w:hAnsiTheme="minorHAnsi"/>
                <w:color w:val="000000"/>
                <w:kern w:val="0"/>
                <w:szCs w:val="18"/>
                <w:lang w:val="en-US"/>
              </w:rPr>
              <w:t xml:space="preserve"> </w:t>
            </w:r>
            <w:r w:rsidRPr="00894701">
              <w:rPr>
                <w:rFonts w:asciiTheme="minorHAnsi" w:hAnsiTheme="minorHAnsi"/>
                <w:color w:val="000000"/>
                <w:kern w:val="0"/>
                <w:szCs w:val="18"/>
                <w:lang w:val="en-US"/>
              </w:rPr>
              <w:t>broader constituencies;</w:t>
            </w:r>
          </w:p>
          <w:p w14:paraId="0DF97BF4" w14:textId="33558850" w:rsidR="002D7F0B" w:rsidRPr="00B55953" w:rsidRDefault="002D7F0B" w:rsidP="00B55953">
            <w:pPr>
              <w:pStyle w:val="ListParagraph"/>
              <w:rPr>
                <w:rFonts w:asciiTheme="minorHAnsi" w:hAnsiTheme="minorHAnsi"/>
                <w:color w:val="000000"/>
                <w:kern w:val="0"/>
                <w:szCs w:val="18"/>
                <w:lang w:val="en-US"/>
              </w:rPr>
            </w:pPr>
            <w:r w:rsidRPr="00B55953">
              <w:rPr>
                <w:rFonts w:asciiTheme="minorHAnsi" w:hAnsiTheme="minorHAnsi"/>
                <w:color w:val="000000"/>
                <w:kern w:val="0"/>
                <w:szCs w:val="18"/>
                <w:lang w:val="en-US"/>
              </w:rPr>
              <w:t xml:space="preserve">Ensure that deviations from </w:t>
            </w:r>
            <w:r w:rsidR="00A732B6" w:rsidRPr="00B55953">
              <w:rPr>
                <w:rFonts w:asciiTheme="minorHAnsi" w:hAnsiTheme="minorHAnsi"/>
                <w:color w:val="000000"/>
                <w:kern w:val="0"/>
                <w:szCs w:val="18"/>
                <w:lang w:val="en-US"/>
              </w:rPr>
              <w:t xml:space="preserve">MSG </w:t>
            </w:r>
            <w:r w:rsidRPr="00B55953">
              <w:rPr>
                <w:rFonts w:asciiTheme="minorHAnsi" w:hAnsiTheme="minorHAnsi"/>
                <w:color w:val="000000"/>
                <w:kern w:val="0"/>
                <w:szCs w:val="18"/>
                <w:lang w:val="en-US"/>
              </w:rPr>
              <w:t>ToRs are recorded and transparent, and adequately and publicly codified;</w:t>
            </w:r>
            <w:r w:rsidR="00A732B6" w:rsidRPr="00B55953">
              <w:rPr>
                <w:rFonts w:asciiTheme="minorHAnsi" w:hAnsiTheme="minorHAnsi"/>
                <w:color w:val="000000"/>
                <w:kern w:val="0"/>
                <w:szCs w:val="18"/>
                <w:lang w:val="en-US"/>
              </w:rPr>
              <w:t xml:space="preserve"> </w:t>
            </w:r>
            <w:r w:rsidRPr="00B55953">
              <w:rPr>
                <w:rFonts w:asciiTheme="minorHAnsi" w:hAnsiTheme="minorHAnsi"/>
                <w:color w:val="000000"/>
                <w:kern w:val="0"/>
                <w:szCs w:val="18"/>
                <w:lang w:val="en-US"/>
              </w:rPr>
              <w:t>and</w:t>
            </w:r>
          </w:p>
          <w:p w14:paraId="371502A1" w14:textId="33197ABB" w:rsidR="002D7F0B" w:rsidRPr="00894701" w:rsidRDefault="00A81581" w:rsidP="00B55953">
            <w:pPr>
              <w:pStyle w:val="ListParagraph"/>
              <w:numPr>
                <w:ilvl w:val="0"/>
                <w:numId w:val="83"/>
              </w:numPr>
              <w:spacing w:after="0" w:line="240" w:lineRule="auto"/>
              <w:jc w:val="both"/>
              <w:rPr>
                <w:rFonts w:asciiTheme="minorHAnsi" w:hAnsiTheme="minorHAnsi"/>
                <w:color w:val="000000"/>
                <w:kern w:val="0"/>
                <w:szCs w:val="18"/>
              </w:rPr>
            </w:pPr>
            <w:r w:rsidRPr="00894701">
              <w:rPr>
                <w:rFonts w:asciiTheme="minorHAnsi" w:hAnsiTheme="minorHAnsi"/>
                <w:color w:val="000000"/>
                <w:kern w:val="0"/>
                <w:szCs w:val="18"/>
                <w:lang w:val="en-US"/>
              </w:rPr>
              <w:t>Encourage</w:t>
            </w:r>
            <w:r w:rsidR="002D7F0B" w:rsidRPr="00894701">
              <w:rPr>
                <w:rFonts w:asciiTheme="minorHAnsi" w:hAnsiTheme="minorHAnsi"/>
                <w:color w:val="000000"/>
                <w:kern w:val="0"/>
                <w:szCs w:val="18"/>
                <w:lang w:val="en-US"/>
              </w:rPr>
              <w:t xml:space="preserve"> use of subcommittees (Article 3.2 of the MSG’s ToRs) and invite key government institutions that regulate the extractive sector such as the Central Bank to participate closely in EITI debate.</w:t>
            </w:r>
          </w:p>
        </w:tc>
      </w:tr>
      <w:tr w:rsidR="002D7F0B" w:rsidRPr="00894701" w14:paraId="19E4CA72" w14:textId="77777777" w:rsidTr="00B55953">
        <w:trPr>
          <w:trHeight w:val="270"/>
        </w:trPr>
        <w:tc>
          <w:tcPr>
            <w:tcW w:w="449" w:type="pct"/>
            <w:tcBorders>
              <w:top w:val="nil"/>
              <w:left w:val="nil"/>
              <w:bottom w:val="nil"/>
              <w:right w:val="nil"/>
            </w:tcBorders>
            <w:shd w:val="clear" w:color="auto" w:fill="auto"/>
            <w:noWrap/>
            <w:hideMark/>
          </w:tcPr>
          <w:p w14:paraId="311634CC" w14:textId="77777777" w:rsidR="002D7F0B" w:rsidRPr="00894701" w:rsidRDefault="002D7F0B" w:rsidP="00B55953">
            <w:pPr>
              <w:spacing w:after="0" w:line="240" w:lineRule="auto"/>
              <w:jc w:val="center"/>
              <w:rPr>
                <w:rFonts w:asciiTheme="minorHAnsi" w:hAnsiTheme="minorHAnsi"/>
                <w:b/>
                <w:color w:val="000000"/>
                <w:kern w:val="0"/>
                <w:szCs w:val="18"/>
              </w:rPr>
            </w:pPr>
            <w:r w:rsidRPr="00894701">
              <w:rPr>
                <w:rFonts w:asciiTheme="minorHAnsi" w:hAnsiTheme="minorHAnsi"/>
                <w:b/>
                <w:color w:val="000000"/>
                <w:kern w:val="0"/>
                <w:szCs w:val="18"/>
                <w:lang w:val="en-US"/>
              </w:rPr>
              <w:t>4</w:t>
            </w:r>
          </w:p>
        </w:tc>
        <w:tc>
          <w:tcPr>
            <w:tcW w:w="4551" w:type="pct"/>
            <w:tcBorders>
              <w:top w:val="nil"/>
              <w:left w:val="nil"/>
              <w:bottom w:val="nil"/>
              <w:right w:val="nil"/>
            </w:tcBorders>
            <w:shd w:val="clear" w:color="auto" w:fill="auto"/>
            <w:noWrap/>
            <w:vAlign w:val="center"/>
            <w:hideMark/>
          </w:tcPr>
          <w:p w14:paraId="3BF44529" w14:textId="1560305D" w:rsidR="002D7F0B" w:rsidRPr="00894701" w:rsidRDefault="002D7F0B" w:rsidP="00E449E4">
            <w:pPr>
              <w:spacing w:after="0" w:line="240" w:lineRule="auto"/>
              <w:jc w:val="both"/>
              <w:rPr>
                <w:rFonts w:asciiTheme="minorHAnsi" w:hAnsiTheme="minorHAnsi"/>
                <w:color w:val="auto"/>
                <w:szCs w:val="18"/>
              </w:rPr>
            </w:pPr>
            <w:r w:rsidRPr="00894701">
              <w:rPr>
                <w:rFonts w:asciiTheme="minorHAnsi" w:hAnsiTheme="minorHAnsi"/>
                <w:color w:val="auto"/>
                <w:szCs w:val="18"/>
              </w:rPr>
              <w:t>Requirement 1.5</w:t>
            </w:r>
          </w:p>
          <w:p w14:paraId="250E0193" w14:textId="3277EF64" w:rsidR="002D7F0B" w:rsidRPr="00894701" w:rsidRDefault="007A066F" w:rsidP="002D7F0B">
            <w:pPr>
              <w:pStyle w:val="ListParagraph"/>
              <w:numPr>
                <w:ilvl w:val="0"/>
                <w:numId w:val="83"/>
              </w:numPr>
              <w:spacing w:after="0" w:line="240" w:lineRule="auto"/>
              <w:jc w:val="both"/>
              <w:rPr>
                <w:rFonts w:asciiTheme="minorHAnsi" w:hAnsiTheme="minorHAnsi"/>
                <w:color w:val="000000"/>
                <w:kern w:val="0"/>
                <w:szCs w:val="18"/>
              </w:rPr>
            </w:pPr>
            <w:r>
              <w:rPr>
                <w:rFonts w:asciiTheme="minorHAnsi" w:hAnsiTheme="minorHAnsi"/>
                <w:color w:val="000000"/>
                <w:kern w:val="0"/>
                <w:szCs w:val="18"/>
                <w:lang w:val="en-US"/>
              </w:rPr>
              <w:t>Agree o</w:t>
            </w:r>
            <w:r w:rsidR="002D7F0B" w:rsidRPr="00894701">
              <w:rPr>
                <w:rFonts w:asciiTheme="minorHAnsi" w:hAnsiTheme="minorHAnsi"/>
                <w:color w:val="000000"/>
                <w:kern w:val="0"/>
                <w:szCs w:val="18"/>
                <w:lang w:val="en-US"/>
              </w:rPr>
              <w:t>n an updated, revised and fully costed work plan which reflects wide</w:t>
            </w:r>
            <w:r w:rsidR="002F76F6">
              <w:rPr>
                <w:rFonts w:asciiTheme="minorHAnsi" w:hAnsiTheme="minorHAnsi"/>
                <w:color w:val="000000"/>
                <w:kern w:val="0"/>
                <w:szCs w:val="18"/>
                <w:lang w:val="en-US"/>
              </w:rPr>
              <w:t>r</w:t>
            </w:r>
            <w:r w:rsidR="002D7F0B" w:rsidRPr="00894701">
              <w:rPr>
                <w:rFonts w:asciiTheme="minorHAnsi" w:hAnsiTheme="minorHAnsi"/>
                <w:color w:val="000000"/>
                <w:kern w:val="0"/>
                <w:szCs w:val="18"/>
                <w:lang w:val="en-US"/>
              </w:rPr>
              <w:t xml:space="preserve"> stakeholders’ priorities</w:t>
            </w:r>
            <w:r w:rsidR="0067601E">
              <w:rPr>
                <w:rFonts w:asciiTheme="minorHAnsi" w:hAnsiTheme="minorHAnsi"/>
                <w:color w:val="000000"/>
                <w:kern w:val="0"/>
                <w:szCs w:val="18"/>
                <w:lang w:val="en-US"/>
              </w:rPr>
              <w:t>;</w:t>
            </w:r>
          </w:p>
          <w:p w14:paraId="255F296A" w14:textId="31F920A4" w:rsidR="002D7F0B" w:rsidRPr="00894701" w:rsidRDefault="002D7F0B" w:rsidP="002D7F0B">
            <w:pPr>
              <w:pStyle w:val="ListParagraph"/>
              <w:numPr>
                <w:ilvl w:val="0"/>
                <w:numId w:val="83"/>
              </w:numPr>
              <w:spacing w:after="0" w:line="240" w:lineRule="auto"/>
              <w:jc w:val="both"/>
              <w:rPr>
                <w:rFonts w:asciiTheme="minorHAnsi" w:hAnsiTheme="minorHAnsi"/>
                <w:color w:val="000000"/>
                <w:kern w:val="0"/>
                <w:szCs w:val="18"/>
              </w:rPr>
            </w:pPr>
            <w:r w:rsidRPr="00894701">
              <w:rPr>
                <w:rFonts w:asciiTheme="minorHAnsi" w:hAnsiTheme="minorHAnsi"/>
                <w:color w:val="000000"/>
                <w:kern w:val="0"/>
                <w:szCs w:val="18"/>
                <w:lang w:val="en-US"/>
              </w:rPr>
              <w:t>The work plan should address the scope of EITI disclosures and follow-up recommendations:</w:t>
            </w:r>
          </w:p>
          <w:p w14:paraId="4EC48626" w14:textId="77777777" w:rsidR="002D7F0B" w:rsidRPr="00894701" w:rsidRDefault="002D7F0B" w:rsidP="002D7F0B">
            <w:pPr>
              <w:pStyle w:val="ListParagraph"/>
              <w:numPr>
                <w:ilvl w:val="0"/>
                <w:numId w:val="83"/>
              </w:numPr>
              <w:spacing w:after="0" w:line="240" w:lineRule="auto"/>
              <w:jc w:val="both"/>
              <w:rPr>
                <w:rFonts w:asciiTheme="minorHAnsi" w:hAnsiTheme="minorHAnsi"/>
                <w:color w:val="000000"/>
                <w:kern w:val="0"/>
                <w:szCs w:val="18"/>
              </w:rPr>
            </w:pPr>
            <w:r w:rsidRPr="00894701">
              <w:rPr>
                <w:rFonts w:asciiTheme="minorHAnsi" w:hAnsiTheme="minorHAnsi"/>
                <w:color w:val="000000"/>
                <w:kern w:val="0"/>
                <w:szCs w:val="18"/>
                <w:lang w:val="en-US"/>
              </w:rPr>
              <w:t>Ensure consultation on the work plan beyond MSG members; and</w:t>
            </w:r>
          </w:p>
          <w:p w14:paraId="645B33F3" w14:textId="77777777" w:rsidR="002D7F0B" w:rsidRPr="00894701" w:rsidRDefault="002D7F0B" w:rsidP="002D7F0B">
            <w:pPr>
              <w:pStyle w:val="ListParagraph"/>
              <w:numPr>
                <w:ilvl w:val="0"/>
                <w:numId w:val="83"/>
              </w:numPr>
              <w:spacing w:after="0" w:line="240" w:lineRule="auto"/>
              <w:jc w:val="both"/>
              <w:rPr>
                <w:rFonts w:asciiTheme="minorHAnsi" w:hAnsiTheme="minorHAnsi"/>
                <w:color w:val="000000"/>
                <w:kern w:val="0"/>
                <w:szCs w:val="18"/>
              </w:rPr>
            </w:pPr>
            <w:r w:rsidRPr="00894701">
              <w:rPr>
                <w:rFonts w:asciiTheme="minorHAnsi" w:hAnsiTheme="minorHAnsi"/>
                <w:color w:val="000000"/>
                <w:kern w:val="0"/>
                <w:szCs w:val="18"/>
                <w:lang w:val="en-US"/>
              </w:rPr>
              <w:t>To consider whether the EITI process could contribute to addressing broader issues related to the extractive activities in Suriname.</w:t>
            </w:r>
          </w:p>
        </w:tc>
      </w:tr>
      <w:tr w:rsidR="002D7F0B" w:rsidRPr="00894701" w14:paraId="7C21AD9E" w14:textId="77777777" w:rsidTr="00B55953">
        <w:trPr>
          <w:trHeight w:val="270"/>
        </w:trPr>
        <w:tc>
          <w:tcPr>
            <w:tcW w:w="449" w:type="pct"/>
            <w:tcBorders>
              <w:top w:val="nil"/>
              <w:left w:val="nil"/>
              <w:bottom w:val="nil"/>
              <w:right w:val="nil"/>
            </w:tcBorders>
            <w:shd w:val="clear" w:color="000000" w:fill="F7A3B0"/>
            <w:noWrap/>
            <w:hideMark/>
          </w:tcPr>
          <w:p w14:paraId="793730BB" w14:textId="77777777" w:rsidR="002D7F0B" w:rsidRPr="00894701" w:rsidRDefault="002D7F0B" w:rsidP="00B55953">
            <w:pPr>
              <w:spacing w:after="0" w:line="240" w:lineRule="auto"/>
              <w:jc w:val="center"/>
              <w:rPr>
                <w:rFonts w:asciiTheme="minorHAnsi" w:hAnsiTheme="minorHAnsi"/>
                <w:b/>
                <w:color w:val="000000"/>
                <w:kern w:val="0"/>
                <w:szCs w:val="18"/>
              </w:rPr>
            </w:pPr>
            <w:r w:rsidRPr="00894701">
              <w:rPr>
                <w:rFonts w:asciiTheme="minorHAnsi" w:hAnsiTheme="minorHAnsi"/>
                <w:b/>
                <w:color w:val="000000"/>
                <w:kern w:val="0"/>
                <w:szCs w:val="18"/>
                <w:lang w:val="en-US"/>
              </w:rPr>
              <w:t>5</w:t>
            </w:r>
          </w:p>
        </w:tc>
        <w:tc>
          <w:tcPr>
            <w:tcW w:w="4551" w:type="pct"/>
            <w:tcBorders>
              <w:top w:val="nil"/>
              <w:left w:val="nil"/>
              <w:bottom w:val="nil"/>
              <w:right w:val="nil"/>
            </w:tcBorders>
            <w:shd w:val="clear" w:color="000000" w:fill="F7A3B0"/>
            <w:noWrap/>
            <w:vAlign w:val="center"/>
            <w:hideMark/>
          </w:tcPr>
          <w:p w14:paraId="5D216A01" w14:textId="77777777" w:rsidR="00A81581" w:rsidRPr="00894701" w:rsidRDefault="002D7F0B" w:rsidP="00A81581">
            <w:pPr>
              <w:spacing w:after="0" w:line="240" w:lineRule="auto"/>
              <w:jc w:val="both"/>
              <w:rPr>
                <w:rFonts w:asciiTheme="minorHAnsi" w:hAnsiTheme="minorHAnsi"/>
                <w:color w:val="000000"/>
                <w:kern w:val="0"/>
                <w:szCs w:val="18"/>
                <w:lang w:val="en-US"/>
              </w:rPr>
            </w:pPr>
            <w:r w:rsidRPr="00894701">
              <w:rPr>
                <w:rFonts w:asciiTheme="minorHAnsi" w:hAnsiTheme="minorHAnsi"/>
                <w:bCs/>
                <w:color w:val="000000"/>
                <w:kern w:val="0"/>
                <w:szCs w:val="18"/>
                <w:lang w:val="en-US"/>
              </w:rPr>
              <w:t>Requirement 2.2</w:t>
            </w:r>
          </w:p>
          <w:p w14:paraId="4A5FD15C" w14:textId="49E22B4A" w:rsidR="002D7F0B" w:rsidRPr="00894701" w:rsidRDefault="002D7F0B" w:rsidP="00A81581">
            <w:pPr>
              <w:pStyle w:val="ListParagraph"/>
              <w:numPr>
                <w:ilvl w:val="0"/>
                <w:numId w:val="83"/>
              </w:numPr>
              <w:spacing w:after="0" w:line="240" w:lineRule="auto"/>
              <w:jc w:val="both"/>
              <w:rPr>
                <w:rFonts w:asciiTheme="minorHAnsi" w:hAnsiTheme="minorHAnsi"/>
                <w:color w:val="000000"/>
                <w:kern w:val="0"/>
                <w:szCs w:val="18"/>
              </w:rPr>
            </w:pPr>
            <w:r w:rsidRPr="00894701">
              <w:rPr>
                <w:rFonts w:asciiTheme="minorHAnsi" w:hAnsiTheme="minorHAnsi"/>
                <w:color w:val="000000"/>
                <w:kern w:val="0"/>
                <w:szCs w:val="18"/>
                <w:lang w:val="en-US"/>
              </w:rPr>
              <w:t xml:space="preserve">Ensure that comprehensive information </w:t>
            </w:r>
            <w:r w:rsidR="003E47FF">
              <w:rPr>
                <w:rFonts w:asciiTheme="minorHAnsi" w:hAnsiTheme="minorHAnsi"/>
                <w:color w:val="000000"/>
                <w:kern w:val="0"/>
                <w:szCs w:val="18"/>
                <w:lang w:val="en-US"/>
              </w:rPr>
              <w:t>is reported</w:t>
            </w:r>
            <w:r w:rsidR="00BD3B11">
              <w:rPr>
                <w:rFonts w:asciiTheme="minorHAnsi" w:hAnsiTheme="minorHAnsi"/>
                <w:color w:val="000000"/>
                <w:kern w:val="0"/>
                <w:szCs w:val="18"/>
                <w:lang w:val="en-US"/>
              </w:rPr>
              <w:t xml:space="preserve"> </w:t>
            </w:r>
            <w:r w:rsidRPr="00894701">
              <w:rPr>
                <w:rFonts w:asciiTheme="minorHAnsi" w:hAnsiTheme="minorHAnsi"/>
                <w:color w:val="000000"/>
                <w:kern w:val="0"/>
                <w:szCs w:val="18"/>
                <w:lang w:val="en-US"/>
              </w:rPr>
              <w:t>about the recipients of mining, oil and gas licenses awarded and transferred in the year(s); and</w:t>
            </w:r>
          </w:p>
          <w:p w14:paraId="58EFA1DE" w14:textId="10346700" w:rsidR="002D7F0B" w:rsidRPr="00894701" w:rsidRDefault="000D4103" w:rsidP="002D7F0B">
            <w:pPr>
              <w:pStyle w:val="ListParagraph"/>
              <w:numPr>
                <w:ilvl w:val="0"/>
                <w:numId w:val="83"/>
              </w:numPr>
              <w:spacing w:after="0" w:line="240" w:lineRule="auto"/>
              <w:jc w:val="both"/>
              <w:rPr>
                <w:rFonts w:asciiTheme="minorHAnsi" w:hAnsiTheme="minorHAnsi"/>
                <w:color w:val="000000"/>
                <w:kern w:val="0"/>
                <w:szCs w:val="18"/>
              </w:rPr>
            </w:pPr>
            <w:r>
              <w:rPr>
                <w:rFonts w:asciiTheme="minorHAnsi" w:hAnsiTheme="minorHAnsi"/>
                <w:color w:val="000000"/>
                <w:kern w:val="0"/>
                <w:szCs w:val="18"/>
                <w:lang w:val="en-US"/>
              </w:rPr>
              <w:lastRenderedPageBreak/>
              <w:t>C</w:t>
            </w:r>
            <w:r w:rsidR="002D7F0B" w:rsidRPr="00894701">
              <w:rPr>
                <w:rFonts w:asciiTheme="minorHAnsi" w:hAnsiTheme="minorHAnsi"/>
                <w:color w:val="000000"/>
                <w:kern w:val="0"/>
                <w:szCs w:val="18"/>
                <w:lang w:val="en-US"/>
              </w:rPr>
              <w:t xml:space="preserve">omment on the efficiency of the current license allocation and transfer system as a means of clarifying procedures and curbing non-trivial deviations. </w:t>
            </w:r>
          </w:p>
        </w:tc>
      </w:tr>
      <w:tr w:rsidR="002D7F0B" w:rsidRPr="00894701" w14:paraId="5349F316" w14:textId="77777777" w:rsidTr="00B55953">
        <w:trPr>
          <w:trHeight w:val="270"/>
        </w:trPr>
        <w:tc>
          <w:tcPr>
            <w:tcW w:w="449" w:type="pct"/>
            <w:tcBorders>
              <w:top w:val="nil"/>
              <w:left w:val="nil"/>
              <w:bottom w:val="nil"/>
              <w:right w:val="nil"/>
            </w:tcBorders>
            <w:shd w:val="clear" w:color="auto" w:fill="auto"/>
            <w:noWrap/>
            <w:hideMark/>
          </w:tcPr>
          <w:p w14:paraId="330E7CC9" w14:textId="77777777" w:rsidR="002D7F0B" w:rsidRPr="00894701" w:rsidRDefault="002D7F0B" w:rsidP="00B55953">
            <w:pPr>
              <w:spacing w:after="0" w:line="240" w:lineRule="auto"/>
              <w:jc w:val="center"/>
              <w:rPr>
                <w:rFonts w:asciiTheme="minorHAnsi" w:hAnsiTheme="minorHAnsi"/>
                <w:b/>
                <w:color w:val="000000"/>
                <w:kern w:val="0"/>
                <w:szCs w:val="18"/>
              </w:rPr>
            </w:pPr>
            <w:r w:rsidRPr="00894701">
              <w:rPr>
                <w:rFonts w:asciiTheme="minorHAnsi" w:hAnsiTheme="minorHAnsi"/>
                <w:b/>
                <w:color w:val="000000"/>
                <w:kern w:val="0"/>
                <w:szCs w:val="18"/>
                <w:lang w:val="en-US"/>
              </w:rPr>
              <w:lastRenderedPageBreak/>
              <w:t>6</w:t>
            </w:r>
          </w:p>
        </w:tc>
        <w:tc>
          <w:tcPr>
            <w:tcW w:w="4551" w:type="pct"/>
            <w:tcBorders>
              <w:top w:val="nil"/>
              <w:left w:val="nil"/>
              <w:bottom w:val="nil"/>
              <w:right w:val="nil"/>
            </w:tcBorders>
            <w:shd w:val="clear" w:color="auto" w:fill="auto"/>
            <w:noWrap/>
            <w:vAlign w:val="center"/>
            <w:hideMark/>
          </w:tcPr>
          <w:p w14:paraId="62EEB8C4" w14:textId="15F1A605" w:rsidR="00A81581" w:rsidRPr="00894701" w:rsidRDefault="00A81581" w:rsidP="00A81581">
            <w:pPr>
              <w:spacing w:after="0" w:line="240" w:lineRule="auto"/>
              <w:jc w:val="both"/>
              <w:rPr>
                <w:rFonts w:asciiTheme="minorHAnsi" w:hAnsiTheme="minorHAnsi"/>
                <w:color w:val="000000"/>
                <w:kern w:val="0"/>
                <w:szCs w:val="18"/>
                <w:lang w:val="en-US"/>
              </w:rPr>
            </w:pPr>
            <w:r w:rsidRPr="00894701">
              <w:rPr>
                <w:rFonts w:asciiTheme="minorHAnsi" w:hAnsiTheme="minorHAnsi"/>
                <w:bCs/>
                <w:color w:val="000000"/>
                <w:kern w:val="0"/>
                <w:szCs w:val="18"/>
                <w:lang w:val="en-US"/>
              </w:rPr>
              <w:t>Requirement 2.3</w:t>
            </w:r>
          </w:p>
          <w:p w14:paraId="2679BE1D" w14:textId="52004ACA" w:rsidR="002D7F0B" w:rsidRPr="00894701" w:rsidRDefault="00A81581" w:rsidP="002D7F0B">
            <w:pPr>
              <w:pStyle w:val="ListParagraph"/>
              <w:numPr>
                <w:ilvl w:val="0"/>
                <w:numId w:val="83"/>
              </w:numPr>
              <w:spacing w:after="0" w:line="240" w:lineRule="auto"/>
              <w:jc w:val="both"/>
              <w:rPr>
                <w:rFonts w:asciiTheme="minorHAnsi" w:hAnsiTheme="minorHAnsi"/>
                <w:color w:val="000000"/>
                <w:kern w:val="0"/>
                <w:szCs w:val="18"/>
              </w:rPr>
            </w:pPr>
            <w:r w:rsidRPr="00894701">
              <w:rPr>
                <w:rFonts w:asciiTheme="minorHAnsi" w:hAnsiTheme="minorHAnsi"/>
                <w:color w:val="000000"/>
                <w:kern w:val="0"/>
                <w:szCs w:val="18"/>
                <w:lang w:val="en-US"/>
              </w:rPr>
              <w:t>M</w:t>
            </w:r>
            <w:r w:rsidR="002D7F0B" w:rsidRPr="00894701">
              <w:rPr>
                <w:rFonts w:asciiTheme="minorHAnsi" w:hAnsiTheme="minorHAnsi"/>
                <w:color w:val="000000"/>
                <w:kern w:val="0"/>
                <w:szCs w:val="18"/>
                <w:lang w:val="en-US"/>
              </w:rPr>
              <w:t>aintain a publicly available register or cadastre system with timely and comprehensive information on all mining, oil and gas licenses;</w:t>
            </w:r>
          </w:p>
          <w:p w14:paraId="277F220C" w14:textId="7386287B" w:rsidR="002D7F0B" w:rsidRPr="00894701" w:rsidRDefault="002D7F0B" w:rsidP="002D7F0B">
            <w:pPr>
              <w:pStyle w:val="ListParagraph"/>
              <w:numPr>
                <w:ilvl w:val="0"/>
                <w:numId w:val="83"/>
              </w:numPr>
              <w:spacing w:after="0" w:line="240" w:lineRule="auto"/>
              <w:jc w:val="both"/>
              <w:rPr>
                <w:rFonts w:asciiTheme="minorHAnsi" w:hAnsiTheme="minorHAnsi"/>
                <w:color w:val="000000"/>
                <w:kern w:val="0"/>
                <w:szCs w:val="18"/>
              </w:rPr>
            </w:pPr>
            <w:r w:rsidRPr="00894701">
              <w:rPr>
                <w:rFonts w:asciiTheme="minorHAnsi" w:hAnsiTheme="minorHAnsi"/>
                <w:color w:val="000000"/>
                <w:kern w:val="0"/>
                <w:szCs w:val="18"/>
                <w:lang w:val="en-US"/>
              </w:rPr>
              <w:t xml:space="preserve"> Work with MONR, GMD and Staatsolie to ensure all license information listed in Requirement 2.3.b is available for all extractive licenses active in the period</w:t>
            </w:r>
          </w:p>
        </w:tc>
      </w:tr>
      <w:tr w:rsidR="002D7F0B" w:rsidRPr="00894701" w14:paraId="09862233" w14:textId="77777777" w:rsidTr="00B55953">
        <w:trPr>
          <w:trHeight w:val="270"/>
        </w:trPr>
        <w:tc>
          <w:tcPr>
            <w:tcW w:w="449" w:type="pct"/>
            <w:tcBorders>
              <w:top w:val="nil"/>
              <w:left w:val="nil"/>
              <w:bottom w:val="nil"/>
              <w:right w:val="nil"/>
            </w:tcBorders>
            <w:shd w:val="clear" w:color="000000" w:fill="F7A3B0"/>
            <w:noWrap/>
            <w:hideMark/>
          </w:tcPr>
          <w:p w14:paraId="56FF6CD5" w14:textId="77777777" w:rsidR="002D7F0B" w:rsidRPr="00894701" w:rsidRDefault="002D7F0B" w:rsidP="00B55953">
            <w:pPr>
              <w:spacing w:after="0" w:line="240" w:lineRule="auto"/>
              <w:jc w:val="center"/>
              <w:rPr>
                <w:rFonts w:asciiTheme="minorHAnsi" w:hAnsiTheme="minorHAnsi"/>
                <w:b/>
                <w:color w:val="000000"/>
                <w:kern w:val="0"/>
                <w:szCs w:val="18"/>
              </w:rPr>
            </w:pPr>
            <w:r w:rsidRPr="00894701">
              <w:rPr>
                <w:rFonts w:asciiTheme="minorHAnsi" w:hAnsiTheme="minorHAnsi"/>
                <w:b/>
                <w:color w:val="000000"/>
                <w:kern w:val="0"/>
                <w:szCs w:val="18"/>
                <w:lang w:val="en-US"/>
              </w:rPr>
              <w:t>7</w:t>
            </w:r>
          </w:p>
        </w:tc>
        <w:tc>
          <w:tcPr>
            <w:tcW w:w="4551" w:type="pct"/>
            <w:tcBorders>
              <w:top w:val="nil"/>
              <w:left w:val="nil"/>
              <w:bottom w:val="nil"/>
              <w:right w:val="nil"/>
            </w:tcBorders>
            <w:shd w:val="clear" w:color="000000" w:fill="F7A3B0"/>
            <w:noWrap/>
            <w:vAlign w:val="center"/>
            <w:hideMark/>
          </w:tcPr>
          <w:p w14:paraId="221EE4E6" w14:textId="2A4FACBE" w:rsidR="00A81581" w:rsidRPr="00894701" w:rsidRDefault="00A81581" w:rsidP="00A81581">
            <w:pPr>
              <w:spacing w:after="0" w:line="240" w:lineRule="auto"/>
              <w:jc w:val="both"/>
              <w:rPr>
                <w:rFonts w:asciiTheme="minorHAnsi" w:hAnsiTheme="minorHAnsi"/>
                <w:color w:val="000000"/>
                <w:kern w:val="0"/>
                <w:szCs w:val="18"/>
                <w:lang w:val="en-US"/>
              </w:rPr>
            </w:pPr>
            <w:r w:rsidRPr="00894701">
              <w:rPr>
                <w:rFonts w:asciiTheme="minorHAnsi" w:hAnsiTheme="minorHAnsi"/>
                <w:bCs/>
                <w:color w:val="000000"/>
                <w:kern w:val="0"/>
                <w:szCs w:val="18"/>
                <w:lang w:val="en-US"/>
              </w:rPr>
              <w:t>Requirement 2.4</w:t>
            </w:r>
          </w:p>
          <w:p w14:paraId="13A5411D" w14:textId="722A50FC" w:rsidR="002D7F0B" w:rsidRPr="00894701" w:rsidRDefault="00A81581" w:rsidP="002D7F0B">
            <w:pPr>
              <w:pStyle w:val="ListParagraph"/>
              <w:numPr>
                <w:ilvl w:val="0"/>
                <w:numId w:val="83"/>
              </w:numPr>
              <w:spacing w:after="0" w:line="240" w:lineRule="auto"/>
              <w:jc w:val="both"/>
              <w:rPr>
                <w:rFonts w:asciiTheme="minorHAnsi" w:hAnsiTheme="minorHAnsi"/>
                <w:color w:val="000000"/>
                <w:kern w:val="0"/>
                <w:szCs w:val="18"/>
              </w:rPr>
            </w:pPr>
            <w:r w:rsidRPr="00894701">
              <w:rPr>
                <w:rFonts w:asciiTheme="minorHAnsi" w:hAnsiTheme="minorHAnsi"/>
                <w:color w:val="000000"/>
                <w:kern w:val="0"/>
                <w:szCs w:val="18"/>
                <w:lang w:val="en-US"/>
              </w:rPr>
              <w:t>D</w:t>
            </w:r>
            <w:r w:rsidR="002D7F0B" w:rsidRPr="00894701">
              <w:rPr>
                <w:rFonts w:asciiTheme="minorHAnsi" w:hAnsiTheme="minorHAnsi"/>
                <w:color w:val="000000"/>
                <w:kern w:val="0"/>
                <w:szCs w:val="18"/>
                <w:lang w:val="en-US"/>
              </w:rPr>
              <w:t>ocument the government’s policy on disclosure of contracts and licenses that govern the exploration and exploitation;</w:t>
            </w:r>
          </w:p>
          <w:p w14:paraId="45BFC3C3" w14:textId="320AB539" w:rsidR="002D7F0B" w:rsidRPr="00894701" w:rsidRDefault="00A81581" w:rsidP="002D7F0B">
            <w:pPr>
              <w:pStyle w:val="ListParagraph"/>
              <w:numPr>
                <w:ilvl w:val="0"/>
                <w:numId w:val="83"/>
              </w:numPr>
              <w:spacing w:after="0" w:line="240" w:lineRule="auto"/>
              <w:jc w:val="both"/>
              <w:rPr>
                <w:rFonts w:asciiTheme="minorHAnsi" w:hAnsiTheme="minorHAnsi"/>
                <w:color w:val="000000"/>
                <w:kern w:val="0"/>
                <w:szCs w:val="18"/>
              </w:rPr>
            </w:pPr>
            <w:r w:rsidRPr="00894701">
              <w:rPr>
                <w:rFonts w:asciiTheme="minorHAnsi" w:hAnsiTheme="minorHAnsi"/>
                <w:color w:val="000000"/>
                <w:kern w:val="0"/>
                <w:szCs w:val="18"/>
                <w:lang w:val="en-US"/>
              </w:rPr>
              <w:t>I</w:t>
            </w:r>
            <w:r w:rsidR="002D7F0B" w:rsidRPr="00894701">
              <w:rPr>
                <w:rFonts w:asciiTheme="minorHAnsi" w:hAnsiTheme="minorHAnsi"/>
                <w:color w:val="000000"/>
                <w:kern w:val="0"/>
                <w:szCs w:val="18"/>
                <w:lang w:val="en-US"/>
              </w:rPr>
              <w:t>nclude relevant legal provisions, actual disclosure practices and any reforms that are planned or underway;</w:t>
            </w:r>
          </w:p>
          <w:p w14:paraId="68C5DB97" w14:textId="338F850B" w:rsidR="002D7F0B" w:rsidRPr="00894701" w:rsidRDefault="00A81581" w:rsidP="002D7F0B">
            <w:pPr>
              <w:pStyle w:val="ListParagraph"/>
              <w:numPr>
                <w:ilvl w:val="0"/>
                <w:numId w:val="83"/>
              </w:numPr>
              <w:spacing w:after="0" w:line="240" w:lineRule="auto"/>
              <w:jc w:val="both"/>
              <w:rPr>
                <w:rFonts w:asciiTheme="minorHAnsi" w:hAnsiTheme="minorHAnsi"/>
                <w:color w:val="000000"/>
                <w:kern w:val="0"/>
                <w:szCs w:val="18"/>
              </w:rPr>
            </w:pPr>
            <w:r w:rsidRPr="00894701">
              <w:rPr>
                <w:rFonts w:asciiTheme="minorHAnsi" w:hAnsiTheme="minorHAnsi"/>
                <w:color w:val="000000"/>
                <w:kern w:val="0"/>
                <w:szCs w:val="18"/>
              </w:rPr>
              <w:t>E</w:t>
            </w:r>
            <w:r w:rsidRPr="00894701">
              <w:rPr>
                <w:rFonts w:asciiTheme="minorHAnsi" w:hAnsiTheme="minorHAnsi"/>
                <w:color w:val="000000"/>
                <w:kern w:val="0"/>
                <w:szCs w:val="18"/>
                <w:lang w:val="en-US"/>
              </w:rPr>
              <w:t>ncourage</w:t>
            </w:r>
            <w:r w:rsidR="002D7F0B" w:rsidRPr="00894701">
              <w:rPr>
                <w:rFonts w:asciiTheme="minorHAnsi" w:hAnsiTheme="minorHAnsi"/>
                <w:color w:val="000000"/>
                <w:kern w:val="0"/>
                <w:szCs w:val="18"/>
                <w:lang w:val="en-US"/>
              </w:rPr>
              <w:t xml:space="preserve"> PSCs currently in force </w:t>
            </w:r>
            <w:r w:rsidR="00F12BEE" w:rsidRPr="002D7F0B">
              <w:rPr>
                <w:rFonts w:asciiTheme="minorHAnsi" w:hAnsiTheme="minorHAnsi"/>
                <w:color w:val="000000"/>
                <w:kern w:val="0"/>
                <w:szCs w:val="18"/>
                <w:lang w:val="en-US"/>
              </w:rPr>
              <w:t xml:space="preserve">to </w:t>
            </w:r>
            <w:r w:rsidR="00F12BEE">
              <w:rPr>
                <w:rFonts w:asciiTheme="minorHAnsi" w:hAnsiTheme="minorHAnsi"/>
                <w:color w:val="000000"/>
                <w:kern w:val="0"/>
                <w:szCs w:val="18"/>
                <w:lang w:val="en-US"/>
              </w:rPr>
              <w:t xml:space="preserve">be </w:t>
            </w:r>
            <w:r w:rsidR="00F12BEE" w:rsidRPr="002D7F0B">
              <w:rPr>
                <w:rFonts w:asciiTheme="minorHAnsi" w:hAnsiTheme="minorHAnsi"/>
                <w:color w:val="000000"/>
                <w:kern w:val="0"/>
                <w:szCs w:val="18"/>
                <w:lang w:val="en-US"/>
              </w:rPr>
              <w:t>publish</w:t>
            </w:r>
            <w:r w:rsidR="00F12BEE">
              <w:rPr>
                <w:rFonts w:asciiTheme="minorHAnsi" w:hAnsiTheme="minorHAnsi"/>
                <w:color w:val="000000"/>
                <w:kern w:val="0"/>
                <w:szCs w:val="18"/>
                <w:lang w:val="en-US"/>
              </w:rPr>
              <w:t>ed</w:t>
            </w:r>
            <w:r w:rsidR="00F12BEE" w:rsidRPr="002D7F0B">
              <w:rPr>
                <w:rFonts w:asciiTheme="minorHAnsi" w:hAnsiTheme="minorHAnsi"/>
                <w:color w:val="000000"/>
                <w:kern w:val="0"/>
                <w:szCs w:val="18"/>
                <w:lang w:val="en-US"/>
              </w:rPr>
              <w:t xml:space="preserve"> </w:t>
            </w:r>
            <w:r w:rsidR="002D7F0B" w:rsidRPr="00894701">
              <w:rPr>
                <w:rFonts w:asciiTheme="minorHAnsi" w:hAnsiTheme="minorHAnsi"/>
                <w:color w:val="000000"/>
                <w:kern w:val="0"/>
                <w:szCs w:val="18"/>
                <w:lang w:val="en-US"/>
              </w:rPr>
              <w:t>with relevant annexes, and to undertake a review of published mining and oil contracts</w:t>
            </w:r>
            <w:r w:rsidR="00987A9B">
              <w:rPr>
                <w:rFonts w:asciiTheme="minorHAnsi" w:hAnsiTheme="minorHAnsi"/>
                <w:color w:val="000000"/>
                <w:kern w:val="0"/>
                <w:szCs w:val="18"/>
                <w:lang w:val="en-US"/>
              </w:rPr>
              <w:t xml:space="preserve"> to</w:t>
            </w:r>
            <w:r w:rsidR="002D7F0B" w:rsidRPr="00894701">
              <w:rPr>
                <w:rFonts w:asciiTheme="minorHAnsi" w:hAnsiTheme="minorHAnsi"/>
                <w:color w:val="000000"/>
                <w:kern w:val="0"/>
                <w:szCs w:val="18"/>
                <w:lang w:val="en-US"/>
              </w:rPr>
              <w:t xml:space="preserve"> </w:t>
            </w:r>
            <w:r w:rsidR="001307EB" w:rsidRPr="00894701">
              <w:rPr>
                <w:rFonts w:asciiTheme="minorHAnsi" w:hAnsiTheme="minorHAnsi"/>
                <w:color w:val="000000"/>
                <w:kern w:val="0"/>
                <w:szCs w:val="18"/>
                <w:lang w:val="en-US"/>
              </w:rPr>
              <w:t>ensu</w:t>
            </w:r>
            <w:r w:rsidR="001307EB">
              <w:rPr>
                <w:rFonts w:asciiTheme="minorHAnsi" w:hAnsiTheme="minorHAnsi"/>
                <w:color w:val="000000"/>
                <w:kern w:val="0"/>
                <w:szCs w:val="18"/>
                <w:lang w:val="en-US"/>
              </w:rPr>
              <w:t>re</w:t>
            </w:r>
            <w:r w:rsidR="002D7F0B" w:rsidRPr="00894701">
              <w:rPr>
                <w:rFonts w:asciiTheme="minorHAnsi" w:hAnsiTheme="minorHAnsi"/>
                <w:color w:val="000000"/>
                <w:kern w:val="0"/>
                <w:szCs w:val="18"/>
                <w:lang w:val="en-US"/>
              </w:rPr>
              <w:t xml:space="preserve"> that the contracts</w:t>
            </w:r>
            <w:r w:rsidR="00987A9B" w:rsidRPr="00894701">
              <w:rPr>
                <w:rFonts w:asciiTheme="minorHAnsi" w:hAnsiTheme="minorHAnsi"/>
                <w:color w:val="000000"/>
                <w:kern w:val="0"/>
                <w:szCs w:val="18"/>
                <w:lang w:val="en-US"/>
              </w:rPr>
              <w:t xml:space="preserve"> published</w:t>
            </w:r>
            <w:r w:rsidR="002D7F0B" w:rsidRPr="00894701">
              <w:rPr>
                <w:rFonts w:asciiTheme="minorHAnsi" w:hAnsiTheme="minorHAnsi"/>
                <w:color w:val="000000"/>
                <w:kern w:val="0"/>
                <w:szCs w:val="18"/>
                <w:lang w:val="en-US"/>
              </w:rPr>
              <w:t xml:space="preserve"> are available in a centralized website which should be regularly updated. </w:t>
            </w:r>
          </w:p>
        </w:tc>
      </w:tr>
      <w:tr w:rsidR="002D7F0B" w:rsidRPr="00894701" w14:paraId="0B5BF0AF" w14:textId="77777777" w:rsidTr="00B55953">
        <w:trPr>
          <w:trHeight w:val="270"/>
        </w:trPr>
        <w:tc>
          <w:tcPr>
            <w:tcW w:w="449" w:type="pct"/>
            <w:tcBorders>
              <w:top w:val="nil"/>
              <w:left w:val="nil"/>
              <w:bottom w:val="nil"/>
              <w:right w:val="nil"/>
            </w:tcBorders>
            <w:shd w:val="clear" w:color="000000" w:fill="FFFFFF"/>
            <w:noWrap/>
            <w:hideMark/>
          </w:tcPr>
          <w:p w14:paraId="79DAB90B" w14:textId="77777777" w:rsidR="002D7F0B" w:rsidRPr="00894701" w:rsidRDefault="002D7F0B" w:rsidP="00B55953">
            <w:pPr>
              <w:spacing w:after="0" w:line="240" w:lineRule="auto"/>
              <w:jc w:val="center"/>
              <w:rPr>
                <w:rFonts w:asciiTheme="minorHAnsi" w:hAnsiTheme="minorHAnsi"/>
                <w:b/>
                <w:color w:val="000000"/>
                <w:kern w:val="0"/>
                <w:szCs w:val="18"/>
              </w:rPr>
            </w:pPr>
            <w:r w:rsidRPr="00894701">
              <w:rPr>
                <w:rFonts w:asciiTheme="minorHAnsi" w:hAnsiTheme="minorHAnsi"/>
                <w:b/>
                <w:color w:val="000000"/>
                <w:kern w:val="0"/>
                <w:szCs w:val="18"/>
                <w:lang w:val="en-US"/>
              </w:rPr>
              <w:t>8</w:t>
            </w:r>
          </w:p>
        </w:tc>
        <w:tc>
          <w:tcPr>
            <w:tcW w:w="4551" w:type="pct"/>
            <w:tcBorders>
              <w:top w:val="nil"/>
              <w:left w:val="nil"/>
              <w:bottom w:val="nil"/>
              <w:right w:val="nil"/>
            </w:tcBorders>
            <w:shd w:val="clear" w:color="000000" w:fill="FFFFFF"/>
            <w:noWrap/>
            <w:vAlign w:val="center"/>
            <w:hideMark/>
          </w:tcPr>
          <w:p w14:paraId="6B2E7951" w14:textId="2D73AEB2" w:rsidR="00A81581" w:rsidRPr="00894701" w:rsidRDefault="00A81581" w:rsidP="00A81581">
            <w:pPr>
              <w:spacing w:after="0" w:line="240" w:lineRule="auto"/>
              <w:jc w:val="both"/>
              <w:rPr>
                <w:rFonts w:asciiTheme="minorHAnsi" w:hAnsiTheme="minorHAnsi"/>
                <w:color w:val="000000"/>
                <w:kern w:val="0"/>
                <w:szCs w:val="18"/>
                <w:lang w:val="en-US"/>
              </w:rPr>
            </w:pPr>
            <w:r w:rsidRPr="00894701">
              <w:rPr>
                <w:rFonts w:asciiTheme="minorHAnsi" w:hAnsiTheme="minorHAnsi"/>
                <w:bCs/>
                <w:color w:val="000000"/>
                <w:kern w:val="0"/>
                <w:szCs w:val="18"/>
                <w:lang w:val="en-US"/>
              </w:rPr>
              <w:t>Requirement 2.5</w:t>
            </w:r>
          </w:p>
          <w:p w14:paraId="498EEE62" w14:textId="752516AD" w:rsidR="002D7F0B" w:rsidRPr="00894701" w:rsidRDefault="00A81581" w:rsidP="00B55953">
            <w:pPr>
              <w:pStyle w:val="ListParagraph"/>
              <w:numPr>
                <w:ilvl w:val="0"/>
                <w:numId w:val="83"/>
              </w:numPr>
              <w:spacing w:after="0"/>
            </w:pPr>
            <w:r w:rsidRPr="00B55953">
              <w:rPr>
                <w:rFonts w:asciiTheme="minorHAnsi" w:hAnsiTheme="minorHAnsi"/>
                <w:color w:val="000000"/>
                <w:kern w:val="0"/>
                <w:szCs w:val="18"/>
                <w:lang w:val="en-US"/>
              </w:rPr>
              <w:t>D</w:t>
            </w:r>
            <w:r w:rsidR="002D7F0B" w:rsidRPr="00B55953">
              <w:rPr>
                <w:rFonts w:asciiTheme="minorHAnsi" w:hAnsiTheme="minorHAnsi"/>
                <w:color w:val="000000"/>
                <w:kern w:val="0"/>
                <w:szCs w:val="18"/>
                <w:lang w:val="en-US"/>
              </w:rPr>
              <w:t>isclose the beneficial owners of all companies holding or applying for extractive l</w:t>
            </w:r>
            <w:r w:rsidRPr="00B55953">
              <w:rPr>
                <w:rFonts w:asciiTheme="minorHAnsi" w:hAnsiTheme="minorHAnsi"/>
                <w:color w:val="000000"/>
                <w:kern w:val="0"/>
                <w:szCs w:val="18"/>
                <w:lang w:val="en-US"/>
              </w:rPr>
              <w:t xml:space="preserve">icenses by 31 December 2021. </w:t>
            </w:r>
          </w:p>
        </w:tc>
      </w:tr>
      <w:tr w:rsidR="002D7F0B" w:rsidRPr="00894701" w14:paraId="3ABFEED3" w14:textId="77777777" w:rsidTr="00B55953">
        <w:trPr>
          <w:trHeight w:val="270"/>
        </w:trPr>
        <w:tc>
          <w:tcPr>
            <w:tcW w:w="449" w:type="pct"/>
            <w:tcBorders>
              <w:top w:val="nil"/>
              <w:left w:val="nil"/>
              <w:bottom w:val="nil"/>
              <w:right w:val="nil"/>
            </w:tcBorders>
            <w:shd w:val="clear" w:color="000000" w:fill="F7A3B0"/>
            <w:noWrap/>
            <w:hideMark/>
          </w:tcPr>
          <w:p w14:paraId="612D1D33" w14:textId="77777777" w:rsidR="002D7F0B" w:rsidRPr="00894701" w:rsidRDefault="002D7F0B" w:rsidP="00B55953">
            <w:pPr>
              <w:spacing w:after="0" w:line="240" w:lineRule="auto"/>
              <w:jc w:val="center"/>
              <w:rPr>
                <w:rFonts w:asciiTheme="minorHAnsi" w:hAnsiTheme="minorHAnsi"/>
                <w:b/>
                <w:color w:val="000000"/>
                <w:kern w:val="0"/>
                <w:szCs w:val="18"/>
              </w:rPr>
            </w:pPr>
            <w:r w:rsidRPr="00894701">
              <w:rPr>
                <w:rFonts w:asciiTheme="minorHAnsi" w:hAnsiTheme="minorHAnsi"/>
                <w:b/>
                <w:color w:val="000000"/>
                <w:kern w:val="0"/>
                <w:szCs w:val="18"/>
                <w:lang w:val="en-US"/>
              </w:rPr>
              <w:t>9</w:t>
            </w:r>
          </w:p>
        </w:tc>
        <w:tc>
          <w:tcPr>
            <w:tcW w:w="4551" w:type="pct"/>
            <w:tcBorders>
              <w:top w:val="nil"/>
              <w:left w:val="nil"/>
              <w:bottom w:val="nil"/>
              <w:right w:val="nil"/>
            </w:tcBorders>
            <w:shd w:val="clear" w:color="000000" w:fill="F7A3B0"/>
            <w:noWrap/>
            <w:vAlign w:val="center"/>
            <w:hideMark/>
          </w:tcPr>
          <w:p w14:paraId="1AC60D23" w14:textId="0C192876" w:rsidR="002D7F0B" w:rsidRPr="00894701" w:rsidRDefault="00A81581" w:rsidP="00B55953">
            <w:pPr>
              <w:spacing w:after="0" w:line="240" w:lineRule="auto"/>
              <w:jc w:val="both"/>
              <w:rPr>
                <w:rFonts w:asciiTheme="minorHAnsi" w:hAnsiTheme="minorHAnsi"/>
                <w:color w:val="000000"/>
                <w:kern w:val="0"/>
                <w:szCs w:val="18"/>
                <w:lang w:val="en-US"/>
              </w:rPr>
            </w:pPr>
            <w:r w:rsidRPr="00894701">
              <w:rPr>
                <w:rFonts w:asciiTheme="minorHAnsi" w:hAnsiTheme="minorHAnsi"/>
                <w:bCs/>
                <w:color w:val="000000"/>
                <w:kern w:val="0"/>
                <w:szCs w:val="18"/>
                <w:lang w:val="en-US"/>
              </w:rPr>
              <w:t>Requirement 2.6</w:t>
            </w:r>
          </w:p>
          <w:p w14:paraId="3AF2C8DD" w14:textId="00F18F30" w:rsidR="002D7F0B" w:rsidRPr="00894701" w:rsidRDefault="002D7F0B" w:rsidP="002D7F0B">
            <w:pPr>
              <w:pStyle w:val="ListParagraph"/>
              <w:numPr>
                <w:ilvl w:val="0"/>
                <w:numId w:val="83"/>
              </w:numPr>
              <w:spacing w:after="0" w:line="240" w:lineRule="auto"/>
              <w:jc w:val="both"/>
              <w:rPr>
                <w:rFonts w:asciiTheme="minorHAnsi" w:hAnsiTheme="minorHAnsi"/>
                <w:color w:val="000000"/>
                <w:kern w:val="0"/>
                <w:szCs w:val="18"/>
              </w:rPr>
            </w:pPr>
            <w:r w:rsidRPr="00894701">
              <w:rPr>
                <w:rFonts w:asciiTheme="minorHAnsi" w:hAnsiTheme="minorHAnsi"/>
                <w:color w:val="000000"/>
                <w:kern w:val="0"/>
                <w:szCs w:val="18"/>
                <w:lang w:val="en-US"/>
              </w:rPr>
              <w:t>Ensure a comprehensive overview of Grassalco is publicly disclosed, including an explanation of the prevailing rules and practices related to Grassalco’</w:t>
            </w:r>
            <w:r w:rsidR="00F82D2E" w:rsidRPr="00894701">
              <w:rPr>
                <w:rFonts w:asciiTheme="minorHAnsi" w:hAnsiTheme="minorHAnsi"/>
                <w:color w:val="000000"/>
                <w:kern w:val="0"/>
                <w:szCs w:val="18"/>
                <w:lang w:val="en-US"/>
              </w:rPr>
              <w:t>s</w:t>
            </w:r>
            <w:r w:rsidRPr="00894701">
              <w:rPr>
                <w:rFonts w:asciiTheme="minorHAnsi" w:hAnsiTheme="minorHAnsi"/>
                <w:color w:val="000000"/>
                <w:kern w:val="0"/>
                <w:szCs w:val="18"/>
                <w:lang w:val="en-US"/>
              </w:rPr>
              <w:t xml:space="preserve"> retained earnings, reinvestment and third-party funding</w:t>
            </w:r>
            <w:r w:rsidR="00A142D5">
              <w:rPr>
                <w:rFonts w:asciiTheme="minorHAnsi" w:hAnsiTheme="minorHAnsi"/>
                <w:color w:val="000000"/>
                <w:kern w:val="0"/>
                <w:szCs w:val="18"/>
                <w:lang w:val="en-US"/>
              </w:rPr>
              <w:t>;</w:t>
            </w:r>
          </w:p>
          <w:p w14:paraId="0F109543" w14:textId="4E0EC3E8" w:rsidR="002D7F0B" w:rsidRPr="00894701" w:rsidRDefault="002D7F0B" w:rsidP="002D7F0B">
            <w:pPr>
              <w:pStyle w:val="ListParagraph"/>
              <w:numPr>
                <w:ilvl w:val="0"/>
                <w:numId w:val="83"/>
              </w:numPr>
              <w:spacing w:after="0" w:line="240" w:lineRule="auto"/>
              <w:jc w:val="both"/>
              <w:rPr>
                <w:rFonts w:asciiTheme="minorHAnsi" w:hAnsiTheme="minorHAnsi"/>
                <w:color w:val="000000"/>
                <w:kern w:val="0"/>
                <w:szCs w:val="18"/>
              </w:rPr>
            </w:pPr>
            <w:r w:rsidRPr="00894701">
              <w:rPr>
                <w:rFonts w:asciiTheme="minorHAnsi" w:hAnsiTheme="minorHAnsi"/>
                <w:color w:val="000000"/>
                <w:kern w:val="0"/>
                <w:szCs w:val="18"/>
                <w:lang w:val="en-US"/>
              </w:rPr>
              <w:t>Ensure annual disclosure of a comprehensive account of any loans or loan guarantees extended by the state or Grassalco to mining, oil, and gas companies</w:t>
            </w:r>
            <w:r w:rsidR="00A142D5">
              <w:rPr>
                <w:rFonts w:asciiTheme="minorHAnsi" w:hAnsiTheme="minorHAnsi"/>
                <w:color w:val="000000"/>
                <w:kern w:val="0"/>
                <w:szCs w:val="18"/>
                <w:lang w:val="en-US"/>
              </w:rPr>
              <w:t>;</w:t>
            </w:r>
            <w:r w:rsidR="00832A46">
              <w:rPr>
                <w:rFonts w:asciiTheme="minorHAnsi" w:hAnsiTheme="minorHAnsi"/>
                <w:color w:val="000000"/>
                <w:kern w:val="0"/>
                <w:szCs w:val="18"/>
                <w:lang w:val="en-US"/>
              </w:rPr>
              <w:t xml:space="preserve"> and</w:t>
            </w:r>
          </w:p>
          <w:p w14:paraId="1217EBDB" w14:textId="28A9D7B8" w:rsidR="002D7F0B" w:rsidRPr="00B55953" w:rsidRDefault="002D7F0B" w:rsidP="00B55953">
            <w:pPr>
              <w:pStyle w:val="ListParagraph"/>
              <w:numPr>
                <w:ilvl w:val="0"/>
                <w:numId w:val="83"/>
              </w:numPr>
              <w:spacing w:after="0" w:line="240" w:lineRule="auto"/>
              <w:jc w:val="both"/>
              <w:rPr>
                <w:rFonts w:asciiTheme="minorHAnsi" w:hAnsiTheme="minorHAnsi"/>
                <w:color w:val="000000"/>
                <w:kern w:val="0"/>
                <w:szCs w:val="18"/>
              </w:rPr>
            </w:pPr>
            <w:r w:rsidRPr="00894701">
              <w:rPr>
                <w:rFonts w:asciiTheme="minorHAnsi" w:hAnsiTheme="minorHAnsi"/>
                <w:color w:val="000000"/>
                <w:kern w:val="0"/>
                <w:szCs w:val="18"/>
                <w:lang w:val="en-US"/>
              </w:rPr>
              <w:t>The terms of Staatsolie’s participation in the Merian Gold Mine should be comprehensively disclosed</w:t>
            </w:r>
            <w:r w:rsidR="00832A46">
              <w:rPr>
                <w:rFonts w:asciiTheme="minorHAnsi" w:hAnsiTheme="minorHAnsi"/>
                <w:color w:val="000000"/>
                <w:kern w:val="0"/>
                <w:szCs w:val="18"/>
                <w:lang w:val="en-US"/>
              </w:rPr>
              <w:t>.</w:t>
            </w:r>
          </w:p>
        </w:tc>
      </w:tr>
      <w:tr w:rsidR="002D7F0B" w:rsidRPr="00894701" w14:paraId="23C36D76" w14:textId="77777777" w:rsidTr="00B55953">
        <w:trPr>
          <w:trHeight w:val="270"/>
        </w:trPr>
        <w:tc>
          <w:tcPr>
            <w:tcW w:w="449" w:type="pct"/>
            <w:tcBorders>
              <w:top w:val="nil"/>
              <w:left w:val="nil"/>
              <w:bottom w:val="nil"/>
              <w:right w:val="nil"/>
            </w:tcBorders>
            <w:shd w:val="clear" w:color="auto" w:fill="auto"/>
            <w:noWrap/>
            <w:hideMark/>
          </w:tcPr>
          <w:p w14:paraId="7039EC51" w14:textId="77777777" w:rsidR="002D7F0B" w:rsidRPr="00894701" w:rsidRDefault="002D7F0B" w:rsidP="00B55953">
            <w:pPr>
              <w:spacing w:after="0" w:line="240" w:lineRule="auto"/>
              <w:jc w:val="center"/>
              <w:rPr>
                <w:rFonts w:asciiTheme="minorHAnsi" w:hAnsiTheme="minorHAnsi"/>
                <w:b/>
                <w:color w:val="000000"/>
                <w:kern w:val="0"/>
                <w:szCs w:val="18"/>
              </w:rPr>
            </w:pPr>
            <w:r w:rsidRPr="00894701">
              <w:rPr>
                <w:rFonts w:asciiTheme="minorHAnsi" w:hAnsiTheme="minorHAnsi"/>
                <w:b/>
                <w:color w:val="000000"/>
                <w:kern w:val="0"/>
                <w:szCs w:val="18"/>
                <w:lang w:val="en-US"/>
              </w:rPr>
              <w:t>10</w:t>
            </w:r>
          </w:p>
        </w:tc>
        <w:tc>
          <w:tcPr>
            <w:tcW w:w="4551" w:type="pct"/>
            <w:tcBorders>
              <w:top w:val="nil"/>
              <w:left w:val="nil"/>
              <w:bottom w:val="nil"/>
              <w:right w:val="nil"/>
            </w:tcBorders>
            <w:shd w:val="clear" w:color="auto" w:fill="auto"/>
            <w:noWrap/>
            <w:vAlign w:val="center"/>
            <w:hideMark/>
          </w:tcPr>
          <w:p w14:paraId="65EA5583" w14:textId="6AAEDB7D" w:rsidR="00A81581" w:rsidRPr="00894701" w:rsidRDefault="00A81581" w:rsidP="00A81581">
            <w:pPr>
              <w:spacing w:after="0" w:line="240" w:lineRule="auto"/>
              <w:jc w:val="both"/>
              <w:rPr>
                <w:rFonts w:asciiTheme="minorHAnsi" w:hAnsiTheme="minorHAnsi"/>
                <w:color w:val="000000"/>
                <w:kern w:val="0"/>
                <w:szCs w:val="18"/>
                <w:lang w:val="en-US"/>
              </w:rPr>
            </w:pPr>
            <w:r w:rsidRPr="00894701">
              <w:rPr>
                <w:rFonts w:asciiTheme="minorHAnsi" w:hAnsiTheme="minorHAnsi"/>
                <w:bCs/>
                <w:color w:val="000000"/>
                <w:kern w:val="0"/>
                <w:szCs w:val="18"/>
                <w:lang w:val="en-US"/>
              </w:rPr>
              <w:t>Requirement 4.1</w:t>
            </w:r>
          </w:p>
          <w:p w14:paraId="206BD50D" w14:textId="3326466F" w:rsidR="002D7F0B" w:rsidRPr="00894701" w:rsidRDefault="002D7F0B" w:rsidP="002D7F0B">
            <w:pPr>
              <w:pStyle w:val="ListParagraph"/>
              <w:numPr>
                <w:ilvl w:val="0"/>
                <w:numId w:val="83"/>
              </w:numPr>
              <w:spacing w:after="0" w:line="240" w:lineRule="auto"/>
              <w:jc w:val="both"/>
              <w:rPr>
                <w:rFonts w:asciiTheme="minorHAnsi" w:hAnsiTheme="minorHAnsi"/>
                <w:color w:val="000000"/>
                <w:kern w:val="0"/>
                <w:szCs w:val="18"/>
              </w:rPr>
            </w:pPr>
            <w:r w:rsidRPr="00894701">
              <w:rPr>
                <w:rFonts w:asciiTheme="minorHAnsi" w:hAnsiTheme="minorHAnsi"/>
                <w:color w:val="000000"/>
                <w:kern w:val="0"/>
                <w:szCs w:val="18"/>
                <w:lang w:val="en-US"/>
              </w:rPr>
              <w:t>Demonstrate that all material payments and revenues are comprehensively</w:t>
            </w:r>
            <w:r w:rsidR="002234FE">
              <w:rPr>
                <w:rFonts w:asciiTheme="minorHAnsi" w:hAnsiTheme="minorHAnsi"/>
                <w:color w:val="000000"/>
                <w:kern w:val="0"/>
                <w:szCs w:val="18"/>
                <w:lang w:val="en-US"/>
              </w:rPr>
              <w:t xml:space="preserve"> disclosed</w:t>
            </w:r>
            <w:r w:rsidRPr="00894701">
              <w:rPr>
                <w:rFonts w:asciiTheme="minorHAnsi" w:hAnsiTheme="minorHAnsi"/>
                <w:color w:val="000000"/>
                <w:kern w:val="0"/>
                <w:szCs w:val="18"/>
                <w:lang w:val="en-US"/>
              </w:rPr>
              <w:t>;</w:t>
            </w:r>
          </w:p>
          <w:p w14:paraId="63D91E20" w14:textId="16C56C30" w:rsidR="002D7F0B" w:rsidRPr="00894701" w:rsidRDefault="002D7F0B" w:rsidP="002D7F0B">
            <w:pPr>
              <w:pStyle w:val="ListParagraph"/>
              <w:numPr>
                <w:ilvl w:val="0"/>
                <w:numId w:val="83"/>
              </w:numPr>
              <w:spacing w:after="0" w:line="240" w:lineRule="auto"/>
              <w:jc w:val="both"/>
              <w:rPr>
                <w:rFonts w:asciiTheme="minorHAnsi" w:hAnsiTheme="minorHAnsi"/>
                <w:color w:val="000000"/>
                <w:kern w:val="0"/>
                <w:szCs w:val="18"/>
              </w:rPr>
            </w:pPr>
            <w:r w:rsidRPr="00894701">
              <w:rPr>
                <w:rFonts w:asciiTheme="minorHAnsi" w:hAnsiTheme="minorHAnsi"/>
                <w:color w:val="000000"/>
                <w:kern w:val="0"/>
                <w:szCs w:val="18"/>
                <w:lang w:val="en-US"/>
              </w:rPr>
              <w:t xml:space="preserve">Guarantee that any material omissions </w:t>
            </w:r>
            <w:r w:rsidR="00C46ED8">
              <w:rPr>
                <w:rFonts w:asciiTheme="minorHAnsi" w:hAnsiTheme="minorHAnsi"/>
                <w:color w:val="000000"/>
                <w:kern w:val="0"/>
                <w:szCs w:val="18"/>
                <w:lang w:val="en-US"/>
              </w:rPr>
              <w:t>are</w:t>
            </w:r>
            <w:r w:rsidRPr="00894701">
              <w:rPr>
                <w:rFonts w:asciiTheme="minorHAnsi" w:hAnsiTheme="minorHAnsi"/>
                <w:color w:val="000000"/>
                <w:kern w:val="0"/>
                <w:szCs w:val="18"/>
                <w:lang w:val="en-US"/>
              </w:rPr>
              <w:t xml:space="preserve"> disclosed, and the non-reporting entities named; and</w:t>
            </w:r>
          </w:p>
          <w:p w14:paraId="1B6599A1" w14:textId="2ED425B6" w:rsidR="002D7F0B" w:rsidRPr="00894701" w:rsidRDefault="002D7F0B" w:rsidP="002D7F0B">
            <w:pPr>
              <w:pStyle w:val="ListParagraph"/>
              <w:numPr>
                <w:ilvl w:val="0"/>
                <w:numId w:val="83"/>
              </w:numPr>
              <w:spacing w:after="0" w:line="240" w:lineRule="auto"/>
              <w:jc w:val="both"/>
              <w:rPr>
                <w:rFonts w:asciiTheme="minorHAnsi" w:hAnsiTheme="minorHAnsi"/>
                <w:color w:val="000000"/>
                <w:kern w:val="0"/>
                <w:szCs w:val="18"/>
              </w:rPr>
            </w:pPr>
            <w:r w:rsidRPr="00894701">
              <w:rPr>
                <w:rFonts w:asciiTheme="minorHAnsi" w:hAnsiTheme="minorHAnsi"/>
                <w:color w:val="000000"/>
                <w:kern w:val="0"/>
                <w:szCs w:val="18"/>
                <w:lang w:val="en-US"/>
              </w:rPr>
              <w:t xml:space="preserve">Assess whether gold exporters </w:t>
            </w:r>
            <w:r w:rsidR="00C46ED8">
              <w:rPr>
                <w:rFonts w:asciiTheme="minorHAnsi" w:hAnsiTheme="minorHAnsi"/>
                <w:color w:val="000000"/>
                <w:kern w:val="0"/>
                <w:szCs w:val="18"/>
                <w:lang w:val="en-US"/>
              </w:rPr>
              <w:t>ar</w:t>
            </w:r>
            <w:r w:rsidRPr="00894701">
              <w:rPr>
                <w:rFonts w:asciiTheme="minorHAnsi" w:hAnsiTheme="minorHAnsi"/>
                <w:color w:val="000000"/>
                <w:kern w:val="0"/>
                <w:szCs w:val="18"/>
                <w:lang w:val="en-US"/>
              </w:rPr>
              <w:t>e considered as material companies ahead of future EITI reporting.</w:t>
            </w:r>
          </w:p>
        </w:tc>
      </w:tr>
      <w:tr w:rsidR="002D7F0B" w:rsidRPr="00894701" w14:paraId="246101A3" w14:textId="77777777" w:rsidTr="00B55953">
        <w:trPr>
          <w:trHeight w:val="270"/>
        </w:trPr>
        <w:tc>
          <w:tcPr>
            <w:tcW w:w="449" w:type="pct"/>
            <w:tcBorders>
              <w:top w:val="nil"/>
              <w:left w:val="nil"/>
              <w:bottom w:val="nil"/>
              <w:right w:val="nil"/>
            </w:tcBorders>
            <w:shd w:val="clear" w:color="000000" w:fill="F7A3B0"/>
            <w:noWrap/>
            <w:hideMark/>
          </w:tcPr>
          <w:p w14:paraId="1B4B15A5" w14:textId="77777777" w:rsidR="002D7F0B" w:rsidRPr="00894701" w:rsidRDefault="002D7F0B" w:rsidP="00B55953">
            <w:pPr>
              <w:spacing w:after="0" w:line="240" w:lineRule="auto"/>
              <w:jc w:val="center"/>
              <w:rPr>
                <w:rFonts w:asciiTheme="minorHAnsi" w:hAnsiTheme="minorHAnsi"/>
                <w:b/>
                <w:color w:val="000000"/>
                <w:kern w:val="0"/>
                <w:szCs w:val="18"/>
              </w:rPr>
            </w:pPr>
            <w:r w:rsidRPr="00894701">
              <w:rPr>
                <w:rFonts w:asciiTheme="minorHAnsi" w:hAnsiTheme="minorHAnsi"/>
                <w:b/>
                <w:color w:val="000000"/>
                <w:kern w:val="0"/>
                <w:szCs w:val="18"/>
                <w:lang w:val="en-US"/>
              </w:rPr>
              <w:t>11</w:t>
            </w:r>
          </w:p>
        </w:tc>
        <w:tc>
          <w:tcPr>
            <w:tcW w:w="4551" w:type="pct"/>
            <w:tcBorders>
              <w:top w:val="nil"/>
              <w:left w:val="nil"/>
              <w:bottom w:val="nil"/>
              <w:right w:val="nil"/>
            </w:tcBorders>
            <w:shd w:val="clear" w:color="000000" w:fill="F7A3B0"/>
            <w:noWrap/>
            <w:vAlign w:val="center"/>
            <w:hideMark/>
          </w:tcPr>
          <w:p w14:paraId="715D862B" w14:textId="0E8314EC" w:rsidR="00A81581" w:rsidRPr="00894701" w:rsidRDefault="00A81581" w:rsidP="00A81581">
            <w:pPr>
              <w:spacing w:after="0" w:line="240" w:lineRule="auto"/>
              <w:jc w:val="both"/>
              <w:rPr>
                <w:rFonts w:asciiTheme="minorHAnsi" w:hAnsiTheme="minorHAnsi"/>
                <w:color w:val="000000"/>
                <w:kern w:val="0"/>
                <w:szCs w:val="18"/>
                <w:lang w:val="en-US"/>
              </w:rPr>
            </w:pPr>
            <w:r w:rsidRPr="00894701">
              <w:rPr>
                <w:rFonts w:asciiTheme="minorHAnsi" w:hAnsiTheme="minorHAnsi"/>
                <w:bCs/>
                <w:color w:val="000000"/>
                <w:kern w:val="0"/>
                <w:szCs w:val="18"/>
                <w:lang w:val="en-US"/>
              </w:rPr>
              <w:t>Requirement 4.2</w:t>
            </w:r>
          </w:p>
          <w:p w14:paraId="422ADB7D" w14:textId="77777777" w:rsidR="002D7F0B" w:rsidRPr="00894701" w:rsidRDefault="002D7F0B" w:rsidP="002D7F0B">
            <w:pPr>
              <w:pStyle w:val="ListParagraph"/>
              <w:numPr>
                <w:ilvl w:val="0"/>
                <w:numId w:val="83"/>
              </w:numPr>
              <w:spacing w:after="0" w:line="240" w:lineRule="auto"/>
              <w:jc w:val="both"/>
              <w:rPr>
                <w:rFonts w:asciiTheme="minorHAnsi" w:hAnsiTheme="minorHAnsi"/>
                <w:color w:val="000000"/>
                <w:kern w:val="0"/>
                <w:szCs w:val="18"/>
              </w:rPr>
            </w:pPr>
            <w:r w:rsidRPr="00894701">
              <w:rPr>
                <w:rFonts w:asciiTheme="minorHAnsi" w:hAnsiTheme="minorHAnsi"/>
                <w:color w:val="000000"/>
                <w:kern w:val="0"/>
                <w:szCs w:val="18"/>
                <w:lang w:val="en-US"/>
              </w:rPr>
              <w:t>Required to disclose the volumes sold and revenues received, disaggregated by individual company and to levels commensurate with the reporting of other payments and revenue; and</w:t>
            </w:r>
          </w:p>
          <w:p w14:paraId="01333410" w14:textId="5F372B5A" w:rsidR="002D7F0B" w:rsidRPr="00894701" w:rsidRDefault="00650773" w:rsidP="002D7F0B">
            <w:pPr>
              <w:pStyle w:val="ListParagraph"/>
              <w:numPr>
                <w:ilvl w:val="0"/>
                <w:numId w:val="83"/>
              </w:numPr>
              <w:spacing w:after="0" w:line="240" w:lineRule="auto"/>
              <w:jc w:val="both"/>
              <w:rPr>
                <w:rFonts w:asciiTheme="minorHAnsi" w:hAnsiTheme="minorHAnsi"/>
                <w:color w:val="000000"/>
                <w:kern w:val="0"/>
                <w:szCs w:val="18"/>
              </w:rPr>
            </w:pPr>
            <w:r>
              <w:rPr>
                <w:rFonts w:asciiTheme="minorHAnsi" w:hAnsiTheme="minorHAnsi"/>
                <w:color w:val="000000"/>
                <w:kern w:val="0"/>
                <w:szCs w:val="18"/>
                <w:lang w:val="en-US"/>
              </w:rPr>
              <w:t>R</w:t>
            </w:r>
            <w:r w:rsidR="002D7F0B" w:rsidRPr="00894701">
              <w:rPr>
                <w:rFonts w:asciiTheme="minorHAnsi" w:hAnsiTheme="minorHAnsi"/>
                <w:color w:val="000000"/>
                <w:kern w:val="0"/>
                <w:szCs w:val="18"/>
                <w:lang w:val="en-US"/>
              </w:rPr>
              <w:t>econcil</w:t>
            </w:r>
            <w:r>
              <w:rPr>
                <w:rFonts w:asciiTheme="minorHAnsi" w:hAnsiTheme="minorHAnsi"/>
                <w:color w:val="000000"/>
                <w:kern w:val="0"/>
                <w:szCs w:val="18"/>
                <w:lang w:val="en-US"/>
              </w:rPr>
              <w:t>e</w:t>
            </w:r>
            <w:r w:rsidR="002D7F0B" w:rsidRPr="00894701">
              <w:rPr>
                <w:rFonts w:asciiTheme="minorHAnsi" w:hAnsiTheme="minorHAnsi"/>
                <w:color w:val="000000"/>
                <w:kern w:val="0"/>
                <w:szCs w:val="18"/>
                <w:lang w:val="en-US"/>
              </w:rPr>
              <w:t xml:space="preserve"> the volumes sold and revenues received by including the buying companies in the reporting process.</w:t>
            </w:r>
          </w:p>
        </w:tc>
      </w:tr>
      <w:tr w:rsidR="002D7F0B" w:rsidRPr="00894701" w14:paraId="10053F29" w14:textId="77777777" w:rsidTr="00B55953">
        <w:trPr>
          <w:trHeight w:val="270"/>
        </w:trPr>
        <w:tc>
          <w:tcPr>
            <w:tcW w:w="449" w:type="pct"/>
            <w:tcBorders>
              <w:top w:val="nil"/>
              <w:left w:val="nil"/>
              <w:bottom w:val="nil"/>
              <w:right w:val="nil"/>
            </w:tcBorders>
            <w:shd w:val="clear" w:color="auto" w:fill="auto"/>
            <w:noWrap/>
            <w:hideMark/>
          </w:tcPr>
          <w:p w14:paraId="38888A0E" w14:textId="77777777" w:rsidR="002D7F0B" w:rsidRPr="00894701" w:rsidRDefault="002D7F0B" w:rsidP="00B55953">
            <w:pPr>
              <w:spacing w:after="0" w:line="240" w:lineRule="auto"/>
              <w:jc w:val="center"/>
              <w:rPr>
                <w:rFonts w:asciiTheme="minorHAnsi" w:hAnsiTheme="minorHAnsi"/>
                <w:b/>
                <w:color w:val="000000"/>
                <w:kern w:val="0"/>
                <w:szCs w:val="18"/>
              </w:rPr>
            </w:pPr>
            <w:r w:rsidRPr="00894701">
              <w:rPr>
                <w:rFonts w:asciiTheme="minorHAnsi" w:hAnsiTheme="minorHAnsi"/>
                <w:b/>
                <w:color w:val="000000"/>
                <w:kern w:val="0"/>
                <w:szCs w:val="18"/>
                <w:lang w:val="en-US"/>
              </w:rPr>
              <w:t>12</w:t>
            </w:r>
          </w:p>
        </w:tc>
        <w:tc>
          <w:tcPr>
            <w:tcW w:w="4551" w:type="pct"/>
            <w:tcBorders>
              <w:top w:val="nil"/>
              <w:left w:val="nil"/>
              <w:bottom w:val="nil"/>
              <w:right w:val="nil"/>
            </w:tcBorders>
            <w:shd w:val="clear" w:color="auto" w:fill="auto"/>
            <w:noWrap/>
            <w:vAlign w:val="center"/>
            <w:hideMark/>
          </w:tcPr>
          <w:p w14:paraId="133D5347" w14:textId="2C01478B" w:rsidR="00A81581" w:rsidRPr="00894701" w:rsidRDefault="00A81581" w:rsidP="00A81581">
            <w:pPr>
              <w:spacing w:after="0" w:line="240" w:lineRule="auto"/>
              <w:jc w:val="both"/>
              <w:rPr>
                <w:rFonts w:asciiTheme="minorHAnsi" w:hAnsiTheme="minorHAnsi"/>
                <w:color w:val="000000"/>
                <w:kern w:val="0"/>
                <w:szCs w:val="18"/>
                <w:lang w:val="en-US"/>
              </w:rPr>
            </w:pPr>
            <w:r w:rsidRPr="00894701">
              <w:rPr>
                <w:rFonts w:asciiTheme="minorHAnsi" w:hAnsiTheme="minorHAnsi"/>
                <w:bCs/>
                <w:color w:val="000000"/>
                <w:kern w:val="0"/>
                <w:szCs w:val="18"/>
                <w:lang w:val="en-US"/>
              </w:rPr>
              <w:t>Requirement 4.5</w:t>
            </w:r>
          </w:p>
          <w:p w14:paraId="4EF565FE" w14:textId="77777777" w:rsidR="002D7F0B" w:rsidRPr="00894701" w:rsidRDefault="002D7F0B" w:rsidP="002D7F0B">
            <w:pPr>
              <w:pStyle w:val="ListParagraph"/>
              <w:numPr>
                <w:ilvl w:val="0"/>
                <w:numId w:val="83"/>
              </w:numPr>
              <w:spacing w:after="0" w:line="240" w:lineRule="auto"/>
              <w:jc w:val="both"/>
              <w:rPr>
                <w:rFonts w:asciiTheme="minorHAnsi" w:hAnsiTheme="minorHAnsi"/>
                <w:color w:val="000000"/>
                <w:kern w:val="0"/>
                <w:szCs w:val="18"/>
              </w:rPr>
            </w:pPr>
            <w:r w:rsidRPr="00894701">
              <w:rPr>
                <w:rFonts w:asciiTheme="minorHAnsi" w:hAnsiTheme="minorHAnsi"/>
                <w:color w:val="000000"/>
                <w:kern w:val="0"/>
                <w:szCs w:val="18"/>
                <w:lang w:val="en-US"/>
              </w:rPr>
              <w:t>Ensure that the EITI reporting process comprehensively includes material payments to SOEs from oil, gas and mining companies, and transfers between SOEs and other government agencies; and</w:t>
            </w:r>
          </w:p>
          <w:p w14:paraId="375697AB" w14:textId="77777777" w:rsidR="002D7F0B" w:rsidRPr="00894701" w:rsidRDefault="002D7F0B" w:rsidP="002D7F0B">
            <w:pPr>
              <w:pStyle w:val="ListParagraph"/>
              <w:numPr>
                <w:ilvl w:val="0"/>
                <w:numId w:val="83"/>
              </w:numPr>
              <w:spacing w:after="0" w:line="240" w:lineRule="auto"/>
              <w:jc w:val="both"/>
              <w:rPr>
                <w:rFonts w:asciiTheme="minorHAnsi" w:hAnsiTheme="minorHAnsi"/>
                <w:color w:val="000000"/>
                <w:kern w:val="0"/>
                <w:szCs w:val="18"/>
              </w:rPr>
            </w:pPr>
            <w:r w:rsidRPr="00894701">
              <w:rPr>
                <w:rFonts w:asciiTheme="minorHAnsi" w:hAnsiTheme="minorHAnsi"/>
                <w:color w:val="000000"/>
                <w:kern w:val="0"/>
                <w:szCs w:val="18"/>
                <w:lang w:val="en-US"/>
              </w:rPr>
              <w:t>Ensure that all material dividends collected by SOEs such as Staatsolie from extractive companies such as Surgold JV be comprehensively and reliably disclosed.</w:t>
            </w:r>
          </w:p>
        </w:tc>
      </w:tr>
      <w:tr w:rsidR="002D7F0B" w:rsidRPr="00894701" w14:paraId="5497C765" w14:textId="77777777" w:rsidTr="00B55953">
        <w:trPr>
          <w:trHeight w:val="270"/>
        </w:trPr>
        <w:tc>
          <w:tcPr>
            <w:tcW w:w="449" w:type="pct"/>
            <w:tcBorders>
              <w:top w:val="nil"/>
              <w:left w:val="nil"/>
              <w:bottom w:val="nil"/>
              <w:right w:val="nil"/>
            </w:tcBorders>
            <w:shd w:val="clear" w:color="000000" w:fill="F7A3B0"/>
            <w:noWrap/>
            <w:hideMark/>
          </w:tcPr>
          <w:p w14:paraId="3454B8AD" w14:textId="77777777" w:rsidR="002D7F0B" w:rsidRPr="00894701" w:rsidRDefault="002D7F0B" w:rsidP="00B55953">
            <w:pPr>
              <w:spacing w:after="0" w:line="240" w:lineRule="auto"/>
              <w:jc w:val="center"/>
              <w:rPr>
                <w:rFonts w:asciiTheme="minorHAnsi" w:hAnsiTheme="minorHAnsi"/>
                <w:b/>
                <w:color w:val="000000"/>
                <w:kern w:val="0"/>
                <w:szCs w:val="18"/>
              </w:rPr>
            </w:pPr>
            <w:r w:rsidRPr="00894701">
              <w:rPr>
                <w:rFonts w:asciiTheme="minorHAnsi" w:hAnsiTheme="minorHAnsi"/>
                <w:b/>
                <w:color w:val="000000"/>
                <w:kern w:val="0"/>
                <w:szCs w:val="18"/>
                <w:lang w:val="en-US"/>
              </w:rPr>
              <w:t>13</w:t>
            </w:r>
          </w:p>
        </w:tc>
        <w:tc>
          <w:tcPr>
            <w:tcW w:w="4551" w:type="pct"/>
            <w:tcBorders>
              <w:top w:val="nil"/>
              <w:left w:val="nil"/>
              <w:bottom w:val="nil"/>
              <w:right w:val="nil"/>
            </w:tcBorders>
            <w:shd w:val="clear" w:color="000000" w:fill="F7A3B0"/>
            <w:noWrap/>
            <w:vAlign w:val="center"/>
            <w:hideMark/>
          </w:tcPr>
          <w:p w14:paraId="41BCAAC6" w14:textId="0A3CBFBC" w:rsidR="00A81581" w:rsidRPr="00894701" w:rsidRDefault="00A81581" w:rsidP="00A81581">
            <w:pPr>
              <w:spacing w:after="0" w:line="240" w:lineRule="auto"/>
              <w:jc w:val="both"/>
              <w:rPr>
                <w:rFonts w:asciiTheme="minorHAnsi" w:hAnsiTheme="minorHAnsi"/>
                <w:color w:val="000000"/>
                <w:kern w:val="0"/>
                <w:szCs w:val="18"/>
                <w:lang w:val="en-US"/>
              </w:rPr>
            </w:pPr>
            <w:r w:rsidRPr="00894701">
              <w:rPr>
                <w:rFonts w:asciiTheme="minorHAnsi" w:hAnsiTheme="minorHAnsi"/>
                <w:bCs/>
                <w:color w:val="000000"/>
                <w:kern w:val="0"/>
                <w:szCs w:val="18"/>
                <w:lang w:val="en-US"/>
              </w:rPr>
              <w:t>Requirement 4.9</w:t>
            </w:r>
          </w:p>
          <w:p w14:paraId="1FAAE967" w14:textId="6286FFA6" w:rsidR="002D7F0B" w:rsidRPr="00894701" w:rsidRDefault="002D7F0B" w:rsidP="002D7F0B">
            <w:pPr>
              <w:pStyle w:val="ListParagraph"/>
              <w:numPr>
                <w:ilvl w:val="0"/>
                <w:numId w:val="83"/>
              </w:numPr>
              <w:spacing w:after="0" w:line="240" w:lineRule="auto"/>
              <w:jc w:val="both"/>
              <w:rPr>
                <w:rFonts w:asciiTheme="minorHAnsi" w:hAnsiTheme="minorHAnsi"/>
                <w:color w:val="000000"/>
                <w:kern w:val="0"/>
                <w:szCs w:val="18"/>
              </w:rPr>
            </w:pPr>
            <w:r w:rsidRPr="00894701">
              <w:rPr>
                <w:rFonts w:asciiTheme="minorHAnsi" w:hAnsiTheme="minorHAnsi"/>
                <w:color w:val="000000"/>
                <w:kern w:val="0"/>
                <w:szCs w:val="18"/>
                <w:lang w:val="en-US"/>
              </w:rPr>
              <w:t>Ensure that future EITI Reports include a clear assessment on the comprehensiveness and data reliability;</w:t>
            </w:r>
          </w:p>
          <w:p w14:paraId="7AC8D527" w14:textId="4150FD3E" w:rsidR="002D7F0B" w:rsidRPr="00894701" w:rsidRDefault="002D7F0B" w:rsidP="002D7F0B">
            <w:pPr>
              <w:pStyle w:val="ListParagraph"/>
              <w:numPr>
                <w:ilvl w:val="0"/>
                <w:numId w:val="83"/>
              </w:numPr>
              <w:spacing w:after="0" w:line="240" w:lineRule="auto"/>
              <w:jc w:val="both"/>
              <w:rPr>
                <w:rFonts w:asciiTheme="minorHAnsi" w:hAnsiTheme="minorHAnsi"/>
                <w:color w:val="000000"/>
                <w:kern w:val="0"/>
                <w:szCs w:val="18"/>
              </w:rPr>
            </w:pPr>
            <w:r w:rsidRPr="00894701">
              <w:rPr>
                <w:rFonts w:asciiTheme="minorHAnsi" w:hAnsiTheme="minorHAnsi"/>
                <w:color w:val="000000"/>
                <w:kern w:val="0"/>
                <w:szCs w:val="18"/>
                <w:lang w:val="en-US"/>
              </w:rPr>
              <w:t>Clearly agree what assurances should be provided by the MOF, and later assess the compliance with the</w:t>
            </w:r>
            <w:r w:rsidR="001311CD">
              <w:rPr>
                <w:rFonts w:asciiTheme="minorHAnsi" w:hAnsiTheme="minorHAnsi"/>
                <w:color w:val="000000"/>
                <w:kern w:val="0"/>
                <w:szCs w:val="18"/>
                <w:lang w:val="en-US"/>
              </w:rPr>
              <w:t>se agreed</w:t>
            </w:r>
            <w:r w:rsidRPr="00894701">
              <w:rPr>
                <w:rFonts w:asciiTheme="minorHAnsi" w:hAnsiTheme="minorHAnsi"/>
                <w:color w:val="000000"/>
                <w:kern w:val="0"/>
                <w:szCs w:val="18"/>
                <w:lang w:val="en-US"/>
              </w:rPr>
              <w:t xml:space="preserve"> assurance</w:t>
            </w:r>
            <w:r w:rsidR="001311CD">
              <w:rPr>
                <w:rFonts w:asciiTheme="minorHAnsi" w:hAnsiTheme="minorHAnsi"/>
                <w:color w:val="000000"/>
                <w:kern w:val="0"/>
                <w:szCs w:val="18"/>
                <w:lang w:val="en-US"/>
              </w:rPr>
              <w:t>s</w:t>
            </w:r>
            <w:r w:rsidRPr="00894701">
              <w:rPr>
                <w:rFonts w:asciiTheme="minorHAnsi" w:hAnsiTheme="minorHAnsi"/>
                <w:color w:val="000000"/>
                <w:kern w:val="0"/>
                <w:szCs w:val="18"/>
                <w:lang w:val="en-US"/>
              </w:rPr>
              <w:t>; and</w:t>
            </w:r>
          </w:p>
          <w:p w14:paraId="05A636FA" w14:textId="700A68FB" w:rsidR="002D7F0B" w:rsidRPr="00894701" w:rsidRDefault="00823790" w:rsidP="002D7F0B">
            <w:pPr>
              <w:pStyle w:val="ListParagraph"/>
              <w:numPr>
                <w:ilvl w:val="0"/>
                <w:numId w:val="83"/>
              </w:numPr>
              <w:spacing w:after="0" w:line="240" w:lineRule="auto"/>
              <w:jc w:val="both"/>
              <w:rPr>
                <w:rFonts w:asciiTheme="minorHAnsi" w:hAnsiTheme="minorHAnsi"/>
                <w:color w:val="000000"/>
                <w:kern w:val="0"/>
                <w:szCs w:val="18"/>
              </w:rPr>
            </w:pPr>
            <w:r>
              <w:rPr>
                <w:rFonts w:asciiTheme="minorHAnsi" w:hAnsiTheme="minorHAnsi"/>
                <w:color w:val="000000"/>
                <w:kern w:val="0"/>
                <w:szCs w:val="18"/>
                <w:lang w:val="en-US"/>
              </w:rPr>
              <w:t>D</w:t>
            </w:r>
            <w:r w:rsidR="002D7F0B" w:rsidRPr="00894701">
              <w:rPr>
                <w:rFonts w:asciiTheme="minorHAnsi" w:hAnsiTheme="minorHAnsi"/>
                <w:color w:val="000000"/>
                <w:kern w:val="0"/>
                <w:szCs w:val="18"/>
                <w:lang w:val="en-US"/>
              </w:rPr>
              <w:t>ocument the audit policy and practice of the MOF.</w:t>
            </w:r>
          </w:p>
        </w:tc>
      </w:tr>
      <w:tr w:rsidR="002D7F0B" w:rsidRPr="00894701" w14:paraId="1BE655D1" w14:textId="77777777" w:rsidTr="00B55953">
        <w:trPr>
          <w:trHeight w:val="270"/>
        </w:trPr>
        <w:tc>
          <w:tcPr>
            <w:tcW w:w="449" w:type="pct"/>
            <w:tcBorders>
              <w:top w:val="nil"/>
              <w:left w:val="nil"/>
              <w:bottom w:val="nil"/>
              <w:right w:val="nil"/>
            </w:tcBorders>
            <w:shd w:val="clear" w:color="000000" w:fill="FFFFFF"/>
            <w:noWrap/>
            <w:hideMark/>
          </w:tcPr>
          <w:p w14:paraId="5DC95ED5" w14:textId="77777777" w:rsidR="002D7F0B" w:rsidRPr="00894701" w:rsidRDefault="002D7F0B" w:rsidP="00B55953">
            <w:pPr>
              <w:spacing w:after="0" w:line="240" w:lineRule="auto"/>
              <w:jc w:val="center"/>
              <w:rPr>
                <w:rFonts w:asciiTheme="minorHAnsi" w:hAnsiTheme="minorHAnsi"/>
                <w:b/>
                <w:color w:val="000000"/>
                <w:kern w:val="0"/>
                <w:szCs w:val="18"/>
              </w:rPr>
            </w:pPr>
            <w:r w:rsidRPr="00894701">
              <w:rPr>
                <w:rFonts w:asciiTheme="minorHAnsi" w:hAnsiTheme="minorHAnsi"/>
                <w:b/>
                <w:color w:val="000000"/>
                <w:kern w:val="0"/>
                <w:szCs w:val="18"/>
                <w:lang w:val="en-US"/>
              </w:rPr>
              <w:t>14</w:t>
            </w:r>
          </w:p>
        </w:tc>
        <w:tc>
          <w:tcPr>
            <w:tcW w:w="4551" w:type="pct"/>
            <w:tcBorders>
              <w:top w:val="nil"/>
              <w:left w:val="nil"/>
              <w:bottom w:val="nil"/>
              <w:right w:val="nil"/>
            </w:tcBorders>
            <w:shd w:val="clear" w:color="000000" w:fill="FFFFFF"/>
            <w:noWrap/>
            <w:vAlign w:val="center"/>
            <w:hideMark/>
          </w:tcPr>
          <w:p w14:paraId="2E7EA446" w14:textId="4D11E532" w:rsidR="00A81581" w:rsidRPr="00894701" w:rsidRDefault="00A81581" w:rsidP="00A81581">
            <w:pPr>
              <w:spacing w:after="0" w:line="240" w:lineRule="auto"/>
              <w:jc w:val="both"/>
              <w:rPr>
                <w:rFonts w:asciiTheme="minorHAnsi" w:hAnsiTheme="minorHAnsi"/>
                <w:color w:val="000000"/>
                <w:kern w:val="0"/>
                <w:szCs w:val="18"/>
                <w:lang w:val="en-US"/>
              </w:rPr>
            </w:pPr>
            <w:r w:rsidRPr="00894701">
              <w:rPr>
                <w:rFonts w:asciiTheme="minorHAnsi" w:hAnsiTheme="minorHAnsi"/>
                <w:bCs/>
                <w:color w:val="000000"/>
                <w:kern w:val="0"/>
                <w:szCs w:val="18"/>
                <w:lang w:val="en-US"/>
              </w:rPr>
              <w:t>Requirement 6.1</w:t>
            </w:r>
          </w:p>
          <w:p w14:paraId="10AFC2A8" w14:textId="5B101335" w:rsidR="002D7F0B" w:rsidRPr="00894701" w:rsidRDefault="00B95775" w:rsidP="002D7F0B">
            <w:pPr>
              <w:pStyle w:val="ListParagraph"/>
              <w:numPr>
                <w:ilvl w:val="0"/>
                <w:numId w:val="83"/>
              </w:numPr>
              <w:spacing w:after="0" w:line="240" w:lineRule="auto"/>
              <w:jc w:val="both"/>
              <w:rPr>
                <w:rFonts w:asciiTheme="minorHAnsi" w:hAnsiTheme="minorHAnsi"/>
                <w:color w:val="000000"/>
                <w:kern w:val="0"/>
                <w:szCs w:val="18"/>
              </w:rPr>
            </w:pPr>
            <w:r>
              <w:rPr>
                <w:rFonts w:asciiTheme="minorHAnsi" w:hAnsiTheme="minorHAnsi"/>
                <w:color w:val="000000"/>
                <w:kern w:val="0"/>
                <w:szCs w:val="18"/>
                <w:lang w:val="en-US"/>
              </w:rPr>
              <w:t>P</w:t>
            </w:r>
            <w:r w:rsidRPr="00894701">
              <w:rPr>
                <w:rFonts w:asciiTheme="minorHAnsi" w:hAnsiTheme="minorHAnsi"/>
                <w:color w:val="000000"/>
                <w:kern w:val="0"/>
                <w:szCs w:val="18"/>
                <w:lang w:val="en-US"/>
              </w:rPr>
              <w:t>ublicly provide</w:t>
            </w:r>
            <w:r>
              <w:rPr>
                <w:rFonts w:asciiTheme="minorHAnsi" w:hAnsiTheme="minorHAnsi"/>
                <w:color w:val="000000"/>
                <w:kern w:val="0"/>
                <w:szCs w:val="18"/>
                <w:lang w:val="en-US"/>
              </w:rPr>
              <w:t xml:space="preserve"> </w:t>
            </w:r>
            <w:r w:rsidR="002D7F0B" w:rsidRPr="00894701">
              <w:rPr>
                <w:rFonts w:asciiTheme="minorHAnsi" w:hAnsiTheme="minorHAnsi"/>
                <w:color w:val="000000"/>
                <w:kern w:val="0"/>
                <w:szCs w:val="18"/>
                <w:lang w:val="en-US"/>
              </w:rPr>
              <w:t>a clear definition of any mandatory social expenditure mandated by law or contract;</w:t>
            </w:r>
          </w:p>
          <w:p w14:paraId="41CB5051" w14:textId="169EA77B" w:rsidR="002D7F0B" w:rsidRPr="00894701" w:rsidRDefault="002D7F0B" w:rsidP="002D7F0B">
            <w:pPr>
              <w:pStyle w:val="ListParagraph"/>
              <w:numPr>
                <w:ilvl w:val="0"/>
                <w:numId w:val="83"/>
              </w:numPr>
              <w:spacing w:after="0" w:line="240" w:lineRule="auto"/>
              <w:jc w:val="both"/>
              <w:rPr>
                <w:rFonts w:asciiTheme="minorHAnsi" w:hAnsiTheme="minorHAnsi"/>
                <w:color w:val="000000"/>
                <w:kern w:val="0"/>
                <w:szCs w:val="18"/>
              </w:rPr>
            </w:pPr>
            <w:r w:rsidRPr="00894701">
              <w:rPr>
                <w:rFonts w:asciiTheme="minorHAnsi" w:hAnsiTheme="minorHAnsi"/>
                <w:color w:val="000000"/>
                <w:kern w:val="0"/>
                <w:szCs w:val="18"/>
                <w:lang w:val="en-US"/>
              </w:rPr>
              <w:t>Consider the extent to which disclosure of PSCs would be necessary to provide a comprehensive overview of all mandatory social expenditure in the oil sector;</w:t>
            </w:r>
          </w:p>
          <w:p w14:paraId="2FD5107D" w14:textId="5F8BC943" w:rsidR="002D7F0B" w:rsidRPr="00894701" w:rsidRDefault="002D7F0B" w:rsidP="002D7F0B">
            <w:pPr>
              <w:pStyle w:val="ListParagraph"/>
              <w:numPr>
                <w:ilvl w:val="0"/>
                <w:numId w:val="83"/>
              </w:numPr>
              <w:spacing w:after="0" w:line="240" w:lineRule="auto"/>
              <w:jc w:val="both"/>
              <w:rPr>
                <w:rFonts w:asciiTheme="minorHAnsi" w:hAnsiTheme="minorHAnsi"/>
                <w:color w:val="000000"/>
                <w:kern w:val="0"/>
                <w:szCs w:val="18"/>
              </w:rPr>
            </w:pPr>
            <w:r w:rsidRPr="00894701">
              <w:rPr>
                <w:rFonts w:asciiTheme="minorHAnsi" w:hAnsiTheme="minorHAnsi"/>
                <w:color w:val="000000"/>
                <w:kern w:val="0"/>
                <w:szCs w:val="18"/>
                <w:lang w:val="en-US"/>
              </w:rPr>
              <w:t xml:space="preserve">Ensure that public disclosure of mandatory social expenditures </w:t>
            </w:r>
            <w:r w:rsidR="00987A9B">
              <w:rPr>
                <w:rFonts w:asciiTheme="minorHAnsi" w:hAnsiTheme="minorHAnsi"/>
                <w:color w:val="000000"/>
                <w:kern w:val="0"/>
                <w:szCs w:val="18"/>
                <w:lang w:val="en-US"/>
              </w:rPr>
              <w:t>are</w:t>
            </w:r>
            <w:r w:rsidR="00987A9B" w:rsidRPr="00894701">
              <w:rPr>
                <w:rFonts w:asciiTheme="minorHAnsi" w:hAnsiTheme="minorHAnsi"/>
                <w:color w:val="000000"/>
                <w:kern w:val="0"/>
                <w:szCs w:val="18"/>
                <w:lang w:val="en-US"/>
              </w:rPr>
              <w:t xml:space="preserve"> </w:t>
            </w:r>
            <w:r w:rsidRPr="00894701">
              <w:rPr>
                <w:rFonts w:asciiTheme="minorHAnsi" w:hAnsiTheme="minorHAnsi"/>
                <w:color w:val="000000"/>
                <w:kern w:val="0"/>
                <w:szCs w:val="18"/>
                <w:lang w:val="en-US"/>
              </w:rPr>
              <w:t>disaggregated by type of payment (distinguishing cash and in-kind) and beneficiary.</w:t>
            </w:r>
          </w:p>
        </w:tc>
      </w:tr>
      <w:tr w:rsidR="002D7F0B" w:rsidRPr="00894701" w14:paraId="217F446C" w14:textId="77777777" w:rsidTr="00B55953">
        <w:trPr>
          <w:trHeight w:val="270"/>
        </w:trPr>
        <w:tc>
          <w:tcPr>
            <w:tcW w:w="449" w:type="pct"/>
            <w:tcBorders>
              <w:top w:val="nil"/>
              <w:left w:val="nil"/>
              <w:bottom w:val="nil"/>
              <w:right w:val="nil"/>
            </w:tcBorders>
            <w:shd w:val="clear" w:color="000000" w:fill="F7A3B0"/>
            <w:noWrap/>
            <w:hideMark/>
          </w:tcPr>
          <w:p w14:paraId="6E76F48F" w14:textId="77777777" w:rsidR="002D7F0B" w:rsidRPr="00894701" w:rsidRDefault="002D7F0B" w:rsidP="00B55953">
            <w:pPr>
              <w:spacing w:after="0" w:line="240" w:lineRule="auto"/>
              <w:jc w:val="center"/>
              <w:rPr>
                <w:rFonts w:asciiTheme="minorHAnsi" w:hAnsiTheme="minorHAnsi"/>
                <w:b/>
                <w:color w:val="000000"/>
                <w:kern w:val="0"/>
                <w:szCs w:val="18"/>
              </w:rPr>
            </w:pPr>
            <w:r w:rsidRPr="00894701">
              <w:rPr>
                <w:rFonts w:asciiTheme="minorHAnsi" w:hAnsiTheme="minorHAnsi"/>
                <w:b/>
                <w:color w:val="000000"/>
                <w:kern w:val="0"/>
                <w:szCs w:val="18"/>
                <w:lang w:val="en-US"/>
              </w:rPr>
              <w:t>15</w:t>
            </w:r>
          </w:p>
        </w:tc>
        <w:tc>
          <w:tcPr>
            <w:tcW w:w="4551" w:type="pct"/>
            <w:tcBorders>
              <w:top w:val="nil"/>
              <w:left w:val="nil"/>
              <w:bottom w:val="nil"/>
              <w:right w:val="nil"/>
            </w:tcBorders>
            <w:shd w:val="clear" w:color="000000" w:fill="F7A3B0"/>
            <w:noWrap/>
            <w:vAlign w:val="center"/>
            <w:hideMark/>
          </w:tcPr>
          <w:p w14:paraId="79147F72" w14:textId="4237767C" w:rsidR="00A81581" w:rsidRPr="00894701" w:rsidRDefault="00A81581" w:rsidP="00A81581">
            <w:pPr>
              <w:spacing w:after="0" w:line="240" w:lineRule="auto"/>
              <w:jc w:val="both"/>
              <w:rPr>
                <w:rFonts w:asciiTheme="minorHAnsi" w:hAnsiTheme="minorHAnsi"/>
                <w:color w:val="000000"/>
                <w:kern w:val="0"/>
                <w:szCs w:val="18"/>
                <w:lang w:val="en-US"/>
              </w:rPr>
            </w:pPr>
            <w:r w:rsidRPr="00894701">
              <w:rPr>
                <w:rFonts w:asciiTheme="minorHAnsi" w:hAnsiTheme="minorHAnsi"/>
                <w:bCs/>
                <w:color w:val="000000"/>
                <w:kern w:val="0"/>
                <w:szCs w:val="18"/>
                <w:lang w:val="en-US"/>
              </w:rPr>
              <w:t>Requirement 6.2</w:t>
            </w:r>
          </w:p>
          <w:p w14:paraId="2D1EAC28" w14:textId="77777777" w:rsidR="002D7F0B" w:rsidRPr="00894701" w:rsidRDefault="002D7F0B" w:rsidP="002D7F0B">
            <w:pPr>
              <w:pStyle w:val="ListParagraph"/>
              <w:numPr>
                <w:ilvl w:val="0"/>
                <w:numId w:val="83"/>
              </w:numPr>
              <w:spacing w:after="0" w:line="240" w:lineRule="auto"/>
              <w:jc w:val="both"/>
              <w:rPr>
                <w:rFonts w:asciiTheme="minorHAnsi" w:hAnsiTheme="minorHAnsi"/>
                <w:color w:val="000000"/>
                <w:kern w:val="0"/>
                <w:szCs w:val="18"/>
              </w:rPr>
            </w:pPr>
            <w:r w:rsidRPr="00894701">
              <w:rPr>
                <w:rFonts w:asciiTheme="minorHAnsi" w:hAnsiTheme="minorHAnsi"/>
                <w:color w:val="000000"/>
                <w:kern w:val="0"/>
                <w:szCs w:val="18"/>
                <w:lang w:val="en-US"/>
              </w:rPr>
              <w:t>Undertake a comprehensive review of all expenditures undertaken by extractives SOEs that could be considered quasi-fiscal expenditures;</w:t>
            </w:r>
          </w:p>
          <w:p w14:paraId="0CBF49CF" w14:textId="12BDB05F" w:rsidR="002D7F0B" w:rsidRPr="00894701" w:rsidRDefault="001311CD" w:rsidP="002D7F0B">
            <w:pPr>
              <w:pStyle w:val="ListParagraph"/>
              <w:numPr>
                <w:ilvl w:val="0"/>
                <w:numId w:val="83"/>
              </w:numPr>
              <w:spacing w:after="0" w:line="240" w:lineRule="auto"/>
              <w:jc w:val="both"/>
              <w:rPr>
                <w:rFonts w:asciiTheme="minorHAnsi" w:hAnsiTheme="minorHAnsi"/>
                <w:color w:val="000000"/>
                <w:kern w:val="0"/>
                <w:szCs w:val="18"/>
              </w:rPr>
            </w:pPr>
            <w:r>
              <w:rPr>
                <w:rFonts w:asciiTheme="minorHAnsi" w:hAnsiTheme="minorHAnsi"/>
                <w:color w:val="000000"/>
                <w:kern w:val="0"/>
                <w:szCs w:val="18"/>
                <w:lang w:val="en-US"/>
              </w:rPr>
              <w:t>D</w:t>
            </w:r>
            <w:r w:rsidR="002D7F0B" w:rsidRPr="00894701">
              <w:rPr>
                <w:rFonts w:asciiTheme="minorHAnsi" w:hAnsiTheme="minorHAnsi"/>
                <w:color w:val="000000"/>
                <w:kern w:val="0"/>
                <w:szCs w:val="18"/>
                <w:lang w:val="en-US"/>
              </w:rPr>
              <w:t>evelop a reporting process for quasi-fiscal expenditures with a view to achieving a level of transparency commensurate with other payments and revenue streams.</w:t>
            </w:r>
          </w:p>
        </w:tc>
      </w:tr>
      <w:tr w:rsidR="002D7F0B" w:rsidRPr="00894701" w14:paraId="1DFC9FC0" w14:textId="77777777" w:rsidTr="00B55953">
        <w:trPr>
          <w:trHeight w:val="270"/>
        </w:trPr>
        <w:tc>
          <w:tcPr>
            <w:tcW w:w="449" w:type="pct"/>
            <w:tcBorders>
              <w:top w:val="nil"/>
              <w:left w:val="nil"/>
              <w:bottom w:val="nil"/>
              <w:right w:val="nil"/>
            </w:tcBorders>
            <w:shd w:val="clear" w:color="auto" w:fill="auto"/>
            <w:noWrap/>
            <w:hideMark/>
          </w:tcPr>
          <w:p w14:paraId="2A709BE2" w14:textId="77777777" w:rsidR="002D7F0B" w:rsidRPr="00894701" w:rsidRDefault="002D7F0B" w:rsidP="00B55953">
            <w:pPr>
              <w:spacing w:after="0" w:line="240" w:lineRule="auto"/>
              <w:jc w:val="center"/>
              <w:rPr>
                <w:rFonts w:asciiTheme="minorHAnsi" w:hAnsiTheme="minorHAnsi"/>
                <w:b/>
                <w:color w:val="000000"/>
                <w:kern w:val="0"/>
                <w:szCs w:val="18"/>
              </w:rPr>
            </w:pPr>
            <w:r w:rsidRPr="00894701">
              <w:rPr>
                <w:rFonts w:asciiTheme="minorHAnsi" w:hAnsiTheme="minorHAnsi"/>
                <w:b/>
                <w:color w:val="000000"/>
                <w:kern w:val="0"/>
                <w:szCs w:val="18"/>
                <w:lang w:val="en-US"/>
              </w:rPr>
              <w:t>16</w:t>
            </w:r>
          </w:p>
        </w:tc>
        <w:tc>
          <w:tcPr>
            <w:tcW w:w="4551" w:type="pct"/>
            <w:tcBorders>
              <w:top w:val="nil"/>
              <w:left w:val="nil"/>
              <w:bottom w:val="nil"/>
              <w:right w:val="nil"/>
            </w:tcBorders>
            <w:shd w:val="clear" w:color="auto" w:fill="auto"/>
            <w:noWrap/>
            <w:vAlign w:val="center"/>
            <w:hideMark/>
          </w:tcPr>
          <w:p w14:paraId="3EB2388F" w14:textId="1D285164" w:rsidR="00A81581" w:rsidRPr="00894701" w:rsidRDefault="00A81581" w:rsidP="00A81581">
            <w:pPr>
              <w:spacing w:after="0" w:line="240" w:lineRule="auto"/>
              <w:jc w:val="both"/>
              <w:rPr>
                <w:rFonts w:asciiTheme="minorHAnsi" w:hAnsiTheme="minorHAnsi"/>
                <w:color w:val="000000"/>
                <w:kern w:val="0"/>
                <w:szCs w:val="18"/>
                <w:lang w:val="en-US"/>
              </w:rPr>
            </w:pPr>
            <w:r w:rsidRPr="00894701">
              <w:rPr>
                <w:rFonts w:asciiTheme="minorHAnsi" w:hAnsiTheme="minorHAnsi"/>
                <w:bCs/>
                <w:color w:val="000000"/>
                <w:kern w:val="0"/>
                <w:szCs w:val="18"/>
                <w:lang w:val="en-US"/>
              </w:rPr>
              <w:t>Requirement 6.3</w:t>
            </w:r>
          </w:p>
          <w:p w14:paraId="0043CA3B" w14:textId="77777777" w:rsidR="002D7F0B" w:rsidRPr="00894701" w:rsidRDefault="002D7F0B" w:rsidP="002D7F0B">
            <w:pPr>
              <w:pStyle w:val="ListParagraph"/>
              <w:numPr>
                <w:ilvl w:val="0"/>
                <w:numId w:val="83"/>
              </w:numPr>
              <w:spacing w:after="0" w:line="240" w:lineRule="auto"/>
              <w:jc w:val="both"/>
              <w:rPr>
                <w:rFonts w:asciiTheme="minorHAnsi" w:hAnsiTheme="minorHAnsi"/>
                <w:color w:val="000000"/>
                <w:kern w:val="0"/>
                <w:szCs w:val="18"/>
              </w:rPr>
            </w:pPr>
            <w:r w:rsidRPr="00894701">
              <w:rPr>
                <w:rFonts w:asciiTheme="minorHAnsi" w:hAnsiTheme="minorHAnsi"/>
                <w:color w:val="000000"/>
                <w:kern w:val="0"/>
                <w:szCs w:val="18"/>
                <w:lang w:val="en-US"/>
              </w:rPr>
              <w:t>Disclose employment in the extractive industries in absolute terms and as a percentage of the total employment; and</w:t>
            </w:r>
          </w:p>
          <w:p w14:paraId="1F41706A" w14:textId="095964C1" w:rsidR="002D7F0B" w:rsidRPr="00B55953" w:rsidRDefault="00A81581" w:rsidP="00A81581">
            <w:pPr>
              <w:pStyle w:val="ListParagraph"/>
              <w:numPr>
                <w:ilvl w:val="0"/>
                <w:numId w:val="83"/>
              </w:numPr>
              <w:spacing w:after="0" w:line="240" w:lineRule="auto"/>
              <w:jc w:val="both"/>
              <w:rPr>
                <w:rFonts w:asciiTheme="minorHAnsi" w:hAnsiTheme="minorHAnsi"/>
                <w:color w:val="000000"/>
                <w:kern w:val="0"/>
                <w:szCs w:val="18"/>
              </w:rPr>
            </w:pPr>
            <w:r w:rsidRPr="00894701">
              <w:rPr>
                <w:rFonts w:asciiTheme="minorHAnsi" w:hAnsiTheme="minorHAnsi"/>
                <w:color w:val="000000"/>
                <w:kern w:val="0"/>
                <w:szCs w:val="18"/>
                <w:lang w:val="en-US"/>
              </w:rPr>
              <w:lastRenderedPageBreak/>
              <w:t>Provide</w:t>
            </w:r>
            <w:r w:rsidR="002D7F0B" w:rsidRPr="00894701">
              <w:rPr>
                <w:rFonts w:asciiTheme="minorHAnsi" w:hAnsiTheme="minorHAnsi"/>
                <w:color w:val="000000"/>
                <w:kern w:val="0"/>
                <w:szCs w:val="18"/>
                <w:lang w:val="en-US"/>
              </w:rPr>
              <w:t xml:space="preserve"> estimates of informal extractive activities, including artisanal and small-scale mining, in future EITI report</w:t>
            </w:r>
            <w:r w:rsidR="00987A9B">
              <w:rPr>
                <w:rFonts w:asciiTheme="minorHAnsi" w:hAnsiTheme="minorHAnsi"/>
                <w:color w:val="000000"/>
                <w:kern w:val="0"/>
                <w:szCs w:val="18"/>
                <w:lang w:val="en-US"/>
              </w:rPr>
              <w:t>s</w:t>
            </w:r>
            <w:r w:rsidR="002D7F0B" w:rsidRPr="00894701">
              <w:rPr>
                <w:rFonts w:asciiTheme="minorHAnsi" w:hAnsiTheme="minorHAnsi"/>
                <w:color w:val="000000"/>
                <w:kern w:val="0"/>
                <w:szCs w:val="18"/>
                <w:lang w:val="en-US"/>
              </w:rPr>
              <w:t>.</w:t>
            </w:r>
          </w:p>
          <w:p w14:paraId="43B1FB25" w14:textId="7D51230F" w:rsidR="00B95775" w:rsidRPr="00B55953" w:rsidRDefault="00B95775" w:rsidP="00B55953">
            <w:pPr>
              <w:spacing w:line="240" w:lineRule="auto"/>
              <w:jc w:val="both"/>
              <w:rPr>
                <w:rFonts w:asciiTheme="minorHAnsi" w:hAnsiTheme="minorHAnsi"/>
                <w:color w:val="000000"/>
                <w:kern w:val="0"/>
                <w:szCs w:val="18"/>
              </w:rPr>
            </w:pPr>
          </w:p>
        </w:tc>
      </w:tr>
      <w:tr w:rsidR="002D7F0B" w:rsidRPr="00894701" w14:paraId="4E9351D8" w14:textId="77777777" w:rsidTr="00A81581">
        <w:trPr>
          <w:trHeight w:val="270"/>
        </w:trPr>
        <w:tc>
          <w:tcPr>
            <w:tcW w:w="5000" w:type="pct"/>
            <w:gridSpan w:val="2"/>
            <w:tcBorders>
              <w:top w:val="nil"/>
              <w:left w:val="nil"/>
              <w:bottom w:val="nil"/>
              <w:right w:val="nil"/>
            </w:tcBorders>
            <w:shd w:val="clear" w:color="000000" w:fill="808080"/>
            <w:noWrap/>
            <w:vAlign w:val="center"/>
            <w:hideMark/>
          </w:tcPr>
          <w:p w14:paraId="7F893A6D" w14:textId="77777777" w:rsidR="002D7F0B" w:rsidRPr="00894701" w:rsidRDefault="002D7F0B" w:rsidP="00E449E4">
            <w:pPr>
              <w:spacing w:after="0" w:line="240" w:lineRule="auto"/>
              <w:jc w:val="both"/>
              <w:rPr>
                <w:rFonts w:asciiTheme="minorHAnsi" w:hAnsiTheme="minorHAnsi"/>
                <w:b/>
                <w:bCs/>
                <w:color w:val="FFFFFF"/>
                <w:kern w:val="0"/>
                <w:szCs w:val="18"/>
              </w:rPr>
            </w:pPr>
            <w:r w:rsidRPr="00894701">
              <w:rPr>
                <w:rFonts w:asciiTheme="minorHAnsi" w:hAnsiTheme="minorHAnsi"/>
                <w:b/>
                <w:bCs/>
                <w:color w:val="FFFFFF"/>
                <w:kern w:val="0"/>
                <w:szCs w:val="18"/>
              </w:rPr>
              <w:lastRenderedPageBreak/>
              <w:t>Outcomes and impact</w:t>
            </w:r>
          </w:p>
        </w:tc>
      </w:tr>
      <w:tr w:rsidR="002D7F0B" w:rsidRPr="00894701" w14:paraId="11C88A11" w14:textId="77777777" w:rsidTr="00B55953">
        <w:trPr>
          <w:trHeight w:val="270"/>
        </w:trPr>
        <w:tc>
          <w:tcPr>
            <w:tcW w:w="449" w:type="pct"/>
            <w:tcBorders>
              <w:top w:val="nil"/>
              <w:left w:val="nil"/>
              <w:bottom w:val="nil"/>
              <w:right w:val="nil"/>
            </w:tcBorders>
            <w:shd w:val="clear" w:color="000000" w:fill="F7A3B0"/>
            <w:noWrap/>
            <w:hideMark/>
          </w:tcPr>
          <w:p w14:paraId="04B7BB31" w14:textId="77777777" w:rsidR="002D7F0B" w:rsidRPr="00894701" w:rsidRDefault="002D7F0B" w:rsidP="00B55953">
            <w:pPr>
              <w:spacing w:after="0" w:line="240" w:lineRule="auto"/>
              <w:jc w:val="center"/>
              <w:rPr>
                <w:rFonts w:asciiTheme="minorHAnsi" w:hAnsiTheme="minorHAnsi"/>
                <w:b/>
                <w:color w:val="000000"/>
                <w:kern w:val="0"/>
                <w:szCs w:val="18"/>
              </w:rPr>
            </w:pPr>
            <w:r w:rsidRPr="00894701">
              <w:rPr>
                <w:rFonts w:asciiTheme="minorHAnsi" w:hAnsiTheme="minorHAnsi"/>
                <w:b/>
                <w:color w:val="000000"/>
                <w:kern w:val="0"/>
                <w:szCs w:val="18"/>
                <w:lang w:val="en-US"/>
              </w:rPr>
              <w:t>17</w:t>
            </w:r>
          </w:p>
        </w:tc>
        <w:tc>
          <w:tcPr>
            <w:tcW w:w="4551" w:type="pct"/>
            <w:tcBorders>
              <w:top w:val="nil"/>
              <w:left w:val="nil"/>
              <w:bottom w:val="nil"/>
              <w:right w:val="nil"/>
            </w:tcBorders>
            <w:shd w:val="clear" w:color="000000" w:fill="F7A3B0"/>
            <w:noWrap/>
            <w:vAlign w:val="center"/>
            <w:hideMark/>
          </w:tcPr>
          <w:p w14:paraId="580E7C70" w14:textId="7F008172" w:rsidR="00A81581" w:rsidRPr="00894701" w:rsidRDefault="00A81581" w:rsidP="00A81581">
            <w:pPr>
              <w:spacing w:after="0" w:line="240" w:lineRule="auto"/>
              <w:jc w:val="both"/>
              <w:rPr>
                <w:rFonts w:asciiTheme="minorHAnsi" w:hAnsiTheme="minorHAnsi"/>
                <w:color w:val="000000"/>
                <w:kern w:val="0"/>
                <w:szCs w:val="18"/>
                <w:lang w:val="en-US"/>
              </w:rPr>
            </w:pPr>
            <w:r w:rsidRPr="00894701">
              <w:rPr>
                <w:rFonts w:asciiTheme="minorHAnsi" w:hAnsiTheme="minorHAnsi"/>
                <w:bCs/>
                <w:color w:val="000000"/>
                <w:kern w:val="0"/>
                <w:szCs w:val="18"/>
                <w:lang w:val="en-US"/>
              </w:rPr>
              <w:t>Requirement 7.1</w:t>
            </w:r>
          </w:p>
          <w:p w14:paraId="485272FA" w14:textId="457AFADB" w:rsidR="002D7F0B" w:rsidRPr="00894701" w:rsidRDefault="002D7F0B" w:rsidP="002D7F0B">
            <w:pPr>
              <w:pStyle w:val="ListParagraph"/>
              <w:numPr>
                <w:ilvl w:val="0"/>
                <w:numId w:val="83"/>
              </w:numPr>
              <w:spacing w:after="0" w:line="240" w:lineRule="auto"/>
              <w:jc w:val="both"/>
              <w:rPr>
                <w:rFonts w:asciiTheme="minorHAnsi" w:hAnsiTheme="minorHAnsi"/>
                <w:color w:val="000000"/>
                <w:kern w:val="0"/>
                <w:szCs w:val="18"/>
              </w:rPr>
            </w:pPr>
            <w:r w:rsidRPr="00894701">
              <w:rPr>
                <w:rFonts w:asciiTheme="minorHAnsi" w:hAnsiTheme="minorHAnsi"/>
                <w:color w:val="000000"/>
                <w:kern w:val="0"/>
                <w:szCs w:val="18"/>
                <w:lang w:val="en-US"/>
              </w:rPr>
              <w:t>Ensure that EITI reports are actively promoted, publicly accessible and contribute to public debate;</w:t>
            </w:r>
          </w:p>
          <w:p w14:paraId="1E11A95A" w14:textId="77777777" w:rsidR="002D7F0B" w:rsidRPr="00894701" w:rsidRDefault="002D7F0B" w:rsidP="002D7F0B">
            <w:pPr>
              <w:pStyle w:val="ListParagraph"/>
              <w:numPr>
                <w:ilvl w:val="0"/>
                <w:numId w:val="83"/>
              </w:numPr>
              <w:spacing w:after="0" w:line="240" w:lineRule="auto"/>
              <w:jc w:val="both"/>
              <w:rPr>
                <w:rFonts w:asciiTheme="minorHAnsi" w:hAnsiTheme="minorHAnsi"/>
                <w:color w:val="000000"/>
                <w:kern w:val="0"/>
                <w:szCs w:val="18"/>
              </w:rPr>
            </w:pPr>
            <w:r w:rsidRPr="00894701">
              <w:rPr>
                <w:rFonts w:asciiTheme="minorHAnsi" w:hAnsiTheme="minorHAnsi"/>
                <w:color w:val="000000"/>
                <w:kern w:val="0"/>
                <w:szCs w:val="18"/>
                <w:lang w:val="en-US"/>
              </w:rPr>
              <w:t>Ensure timely communication of EITI data and findings, as well as effective outreach to key stakeholders;</w:t>
            </w:r>
          </w:p>
          <w:p w14:paraId="269AB4F1" w14:textId="17C6E18B" w:rsidR="002D7F0B" w:rsidRPr="00894701" w:rsidRDefault="00A81581" w:rsidP="002D7F0B">
            <w:pPr>
              <w:pStyle w:val="ListParagraph"/>
              <w:numPr>
                <w:ilvl w:val="0"/>
                <w:numId w:val="83"/>
              </w:numPr>
              <w:spacing w:after="0" w:line="240" w:lineRule="auto"/>
              <w:jc w:val="both"/>
              <w:rPr>
                <w:rFonts w:asciiTheme="minorHAnsi" w:hAnsiTheme="minorHAnsi"/>
                <w:color w:val="000000"/>
                <w:kern w:val="0"/>
                <w:szCs w:val="18"/>
              </w:rPr>
            </w:pPr>
            <w:r w:rsidRPr="00894701">
              <w:rPr>
                <w:rFonts w:asciiTheme="minorHAnsi" w:hAnsiTheme="minorHAnsi"/>
                <w:color w:val="000000"/>
                <w:kern w:val="0"/>
                <w:szCs w:val="18"/>
                <w:lang w:val="en-US"/>
              </w:rPr>
              <w:t>Adopt</w:t>
            </w:r>
            <w:r w:rsidR="002D7F0B" w:rsidRPr="00894701">
              <w:rPr>
                <w:rFonts w:asciiTheme="minorHAnsi" w:hAnsiTheme="minorHAnsi"/>
                <w:color w:val="000000"/>
                <w:kern w:val="0"/>
                <w:szCs w:val="18"/>
                <w:lang w:val="en-US"/>
              </w:rPr>
              <w:t xml:space="preserve"> an open data policy and ensure that EITI data is available in open format. </w:t>
            </w:r>
          </w:p>
          <w:p w14:paraId="181C53D3" w14:textId="5173B5B9" w:rsidR="002D7F0B" w:rsidRPr="00894701" w:rsidRDefault="002D7F0B" w:rsidP="002D7F0B">
            <w:pPr>
              <w:pStyle w:val="ListParagraph"/>
              <w:numPr>
                <w:ilvl w:val="0"/>
                <w:numId w:val="83"/>
              </w:numPr>
              <w:spacing w:after="0" w:line="240" w:lineRule="auto"/>
              <w:jc w:val="both"/>
              <w:rPr>
                <w:rFonts w:asciiTheme="minorHAnsi" w:hAnsiTheme="minorHAnsi"/>
                <w:color w:val="000000"/>
                <w:kern w:val="0"/>
                <w:szCs w:val="18"/>
              </w:rPr>
            </w:pPr>
            <w:r w:rsidRPr="00894701">
              <w:rPr>
                <w:rFonts w:asciiTheme="minorHAnsi" w:hAnsiTheme="minorHAnsi"/>
                <w:color w:val="000000"/>
                <w:kern w:val="0"/>
                <w:szCs w:val="18"/>
                <w:lang w:val="en-US"/>
              </w:rPr>
              <w:t>Encourage</w:t>
            </w:r>
            <w:r w:rsidR="00987A9B">
              <w:rPr>
                <w:rFonts w:asciiTheme="minorHAnsi" w:hAnsiTheme="minorHAnsi"/>
                <w:color w:val="000000"/>
                <w:kern w:val="0"/>
                <w:szCs w:val="18"/>
                <w:lang w:val="en-US"/>
              </w:rPr>
              <w:t xml:space="preserve"> and</w:t>
            </w:r>
            <w:r w:rsidRPr="00894701">
              <w:rPr>
                <w:rFonts w:asciiTheme="minorHAnsi" w:hAnsiTheme="minorHAnsi"/>
                <w:color w:val="000000"/>
                <w:kern w:val="0"/>
                <w:szCs w:val="18"/>
                <w:lang w:val="en-US"/>
              </w:rPr>
              <w:t xml:space="preserve"> explore creative ways </w:t>
            </w:r>
            <w:r w:rsidR="00987A9B">
              <w:rPr>
                <w:rFonts w:asciiTheme="minorHAnsi" w:hAnsiTheme="minorHAnsi"/>
                <w:color w:val="000000"/>
                <w:kern w:val="0"/>
                <w:szCs w:val="18"/>
                <w:lang w:val="en-US"/>
              </w:rPr>
              <w:t>of</w:t>
            </w:r>
            <w:r w:rsidRPr="00894701">
              <w:rPr>
                <w:rFonts w:asciiTheme="minorHAnsi" w:hAnsiTheme="minorHAnsi"/>
                <w:color w:val="000000"/>
                <w:kern w:val="0"/>
                <w:szCs w:val="18"/>
                <w:lang w:val="en-US"/>
              </w:rPr>
              <w:t xml:space="preserve"> strengthen EITI’s contribution to public debate and engage with communities in the hinterland where extractive activities take place.</w:t>
            </w:r>
          </w:p>
        </w:tc>
      </w:tr>
      <w:tr w:rsidR="002D7F0B" w:rsidRPr="00894701" w14:paraId="2C9D656A" w14:textId="77777777" w:rsidTr="00B55953">
        <w:trPr>
          <w:trHeight w:val="270"/>
        </w:trPr>
        <w:tc>
          <w:tcPr>
            <w:tcW w:w="449" w:type="pct"/>
            <w:tcBorders>
              <w:top w:val="nil"/>
              <w:left w:val="nil"/>
              <w:bottom w:val="nil"/>
              <w:right w:val="nil"/>
            </w:tcBorders>
            <w:shd w:val="clear" w:color="auto" w:fill="auto"/>
            <w:noWrap/>
            <w:hideMark/>
          </w:tcPr>
          <w:p w14:paraId="55655B6E" w14:textId="77777777" w:rsidR="002D7F0B" w:rsidRPr="00894701" w:rsidRDefault="002D7F0B" w:rsidP="00B55953">
            <w:pPr>
              <w:spacing w:after="0" w:line="240" w:lineRule="auto"/>
              <w:jc w:val="center"/>
              <w:rPr>
                <w:rFonts w:asciiTheme="minorHAnsi" w:hAnsiTheme="minorHAnsi"/>
                <w:b/>
                <w:color w:val="000000"/>
                <w:kern w:val="0"/>
                <w:szCs w:val="18"/>
              </w:rPr>
            </w:pPr>
            <w:r w:rsidRPr="00894701">
              <w:rPr>
                <w:rFonts w:asciiTheme="minorHAnsi" w:hAnsiTheme="minorHAnsi"/>
                <w:b/>
                <w:color w:val="000000"/>
                <w:kern w:val="0"/>
                <w:szCs w:val="18"/>
                <w:lang w:val="en-US"/>
              </w:rPr>
              <w:t>18</w:t>
            </w:r>
          </w:p>
        </w:tc>
        <w:tc>
          <w:tcPr>
            <w:tcW w:w="4551" w:type="pct"/>
            <w:tcBorders>
              <w:top w:val="nil"/>
              <w:left w:val="nil"/>
              <w:bottom w:val="nil"/>
              <w:right w:val="nil"/>
            </w:tcBorders>
            <w:shd w:val="clear" w:color="auto" w:fill="auto"/>
            <w:noWrap/>
            <w:vAlign w:val="center"/>
            <w:hideMark/>
          </w:tcPr>
          <w:p w14:paraId="15FC3451" w14:textId="27A7A80B" w:rsidR="00A81581" w:rsidRPr="00894701" w:rsidRDefault="00A81581" w:rsidP="00A81581">
            <w:pPr>
              <w:spacing w:after="0" w:line="240" w:lineRule="auto"/>
              <w:jc w:val="both"/>
              <w:rPr>
                <w:rFonts w:asciiTheme="minorHAnsi" w:hAnsiTheme="minorHAnsi"/>
                <w:color w:val="000000"/>
                <w:kern w:val="0"/>
                <w:szCs w:val="18"/>
                <w:lang w:val="en-US"/>
              </w:rPr>
            </w:pPr>
            <w:r w:rsidRPr="00894701">
              <w:rPr>
                <w:rFonts w:asciiTheme="minorHAnsi" w:hAnsiTheme="minorHAnsi"/>
                <w:bCs/>
                <w:color w:val="000000"/>
                <w:kern w:val="0"/>
                <w:szCs w:val="18"/>
                <w:lang w:val="en-US"/>
              </w:rPr>
              <w:t>Requirement 7.3</w:t>
            </w:r>
          </w:p>
          <w:p w14:paraId="194B2F13" w14:textId="0A22631A" w:rsidR="002D7F0B" w:rsidRPr="00894701" w:rsidRDefault="00A81581" w:rsidP="002D7F0B">
            <w:pPr>
              <w:pStyle w:val="ListParagraph"/>
              <w:numPr>
                <w:ilvl w:val="0"/>
                <w:numId w:val="83"/>
              </w:numPr>
              <w:spacing w:after="0" w:line="240" w:lineRule="auto"/>
              <w:jc w:val="both"/>
              <w:rPr>
                <w:rFonts w:asciiTheme="minorHAnsi" w:hAnsiTheme="minorHAnsi"/>
                <w:color w:val="000000"/>
                <w:kern w:val="0"/>
                <w:szCs w:val="18"/>
              </w:rPr>
            </w:pPr>
            <w:r w:rsidRPr="00894701">
              <w:rPr>
                <w:rFonts w:asciiTheme="minorHAnsi" w:hAnsiTheme="minorHAnsi"/>
                <w:color w:val="000000"/>
                <w:kern w:val="0"/>
                <w:szCs w:val="18"/>
                <w:lang w:val="en-US"/>
              </w:rPr>
              <w:t>T</w:t>
            </w:r>
            <w:r w:rsidR="002D7F0B" w:rsidRPr="00894701">
              <w:rPr>
                <w:rFonts w:asciiTheme="minorHAnsi" w:hAnsiTheme="minorHAnsi"/>
                <w:color w:val="000000"/>
                <w:kern w:val="0"/>
                <w:szCs w:val="18"/>
                <w:lang w:val="en-US"/>
              </w:rPr>
              <w:t>ake steps to act upon lessons learnt with a view to strengthen</w:t>
            </w:r>
            <w:r w:rsidR="00D20B3D">
              <w:rPr>
                <w:rFonts w:asciiTheme="minorHAnsi" w:hAnsiTheme="minorHAnsi"/>
                <w:color w:val="000000"/>
                <w:kern w:val="0"/>
                <w:szCs w:val="18"/>
                <w:lang w:val="en-US"/>
              </w:rPr>
              <w:t>ing</w:t>
            </w:r>
            <w:r w:rsidR="002D7F0B" w:rsidRPr="00894701">
              <w:rPr>
                <w:rFonts w:asciiTheme="minorHAnsi" w:hAnsiTheme="minorHAnsi"/>
                <w:color w:val="000000"/>
                <w:kern w:val="0"/>
                <w:szCs w:val="18"/>
                <w:lang w:val="en-US"/>
              </w:rPr>
              <w:t xml:space="preserve"> the impact of EITI implementation on natural resource governance; and</w:t>
            </w:r>
          </w:p>
          <w:p w14:paraId="74599B08" w14:textId="27AC0A99" w:rsidR="002D7F0B" w:rsidRPr="00894701" w:rsidRDefault="00A81581" w:rsidP="002D7F0B">
            <w:pPr>
              <w:pStyle w:val="ListParagraph"/>
              <w:numPr>
                <w:ilvl w:val="0"/>
                <w:numId w:val="83"/>
              </w:numPr>
              <w:spacing w:after="0" w:line="240" w:lineRule="auto"/>
              <w:jc w:val="both"/>
              <w:rPr>
                <w:rFonts w:asciiTheme="minorHAnsi" w:hAnsiTheme="minorHAnsi"/>
                <w:color w:val="000000"/>
                <w:kern w:val="0"/>
                <w:szCs w:val="18"/>
              </w:rPr>
            </w:pPr>
            <w:r w:rsidRPr="00894701">
              <w:rPr>
                <w:rFonts w:asciiTheme="minorHAnsi" w:hAnsiTheme="minorHAnsi"/>
                <w:color w:val="000000"/>
                <w:kern w:val="0"/>
                <w:szCs w:val="18"/>
              </w:rPr>
              <w:t>C</w:t>
            </w:r>
            <w:r w:rsidR="002D7F0B" w:rsidRPr="00894701">
              <w:rPr>
                <w:rFonts w:asciiTheme="minorHAnsi" w:hAnsiTheme="minorHAnsi"/>
                <w:color w:val="000000"/>
                <w:kern w:val="0"/>
                <w:szCs w:val="18"/>
                <w:lang w:val="en-US"/>
              </w:rPr>
              <w:t xml:space="preserve">onsider improving its procedures to analyse and follow-up on the recommendations resulting from EITI reporting </w:t>
            </w:r>
            <w:r w:rsidR="00987A9B">
              <w:rPr>
                <w:rFonts w:asciiTheme="minorHAnsi" w:hAnsiTheme="minorHAnsi"/>
                <w:color w:val="000000"/>
                <w:kern w:val="0"/>
                <w:szCs w:val="18"/>
                <w:lang w:val="en-US"/>
              </w:rPr>
              <w:t xml:space="preserve">while </w:t>
            </w:r>
            <w:r w:rsidR="002D7F0B" w:rsidRPr="00894701">
              <w:rPr>
                <w:rFonts w:asciiTheme="minorHAnsi" w:hAnsiTheme="minorHAnsi"/>
                <w:color w:val="000000"/>
                <w:kern w:val="0"/>
                <w:szCs w:val="18"/>
                <w:lang w:val="en-US"/>
              </w:rPr>
              <w:t>making use of tools established in its own ToRs such as the subcommittees.</w:t>
            </w:r>
          </w:p>
        </w:tc>
      </w:tr>
      <w:tr w:rsidR="002D7F0B" w:rsidRPr="00894701" w14:paraId="5B91A806" w14:textId="77777777" w:rsidTr="00B55953">
        <w:trPr>
          <w:trHeight w:val="270"/>
        </w:trPr>
        <w:tc>
          <w:tcPr>
            <w:tcW w:w="449" w:type="pct"/>
            <w:tcBorders>
              <w:top w:val="nil"/>
              <w:left w:val="nil"/>
              <w:bottom w:val="nil"/>
              <w:right w:val="nil"/>
            </w:tcBorders>
            <w:shd w:val="clear" w:color="000000" w:fill="F7A3B0"/>
            <w:noWrap/>
            <w:hideMark/>
          </w:tcPr>
          <w:p w14:paraId="2D484F61" w14:textId="77777777" w:rsidR="002D7F0B" w:rsidRPr="00894701" w:rsidRDefault="002D7F0B" w:rsidP="00B55953">
            <w:pPr>
              <w:spacing w:after="0" w:line="240" w:lineRule="auto"/>
              <w:jc w:val="center"/>
              <w:rPr>
                <w:rFonts w:asciiTheme="minorHAnsi" w:hAnsiTheme="minorHAnsi"/>
                <w:b/>
                <w:color w:val="000000"/>
                <w:kern w:val="0"/>
                <w:szCs w:val="18"/>
              </w:rPr>
            </w:pPr>
            <w:r w:rsidRPr="00894701">
              <w:rPr>
                <w:rFonts w:asciiTheme="minorHAnsi" w:hAnsiTheme="minorHAnsi"/>
                <w:b/>
                <w:color w:val="000000"/>
                <w:kern w:val="0"/>
                <w:szCs w:val="18"/>
                <w:lang w:val="en-US"/>
              </w:rPr>
              <w:t>19</w:t>
            </w:r>
          </w:p>
        </w:tc>
        <w:tc>
          <w:tcPr>
            <w:tcW w:w="4551" w:type="pct"/>
            <w:tcBorders>
              <w:top w:val="nil"/>
              <w:left w:val="nil"/>
              <w:bottom w:val="nil"/>
              <w:right w:val="nil"/>
            </w:tcBorders>
            <w:shd w:val="clear" w:color="000000" w:fill="F7A3B0"/>
            <w:noWrap/>
            <w:vAlign w:val="center"/>
            <w:hideMark/>
          </w:tcPr>
          <w:p w14:paraId="657BAFEC" w14:textId="04FBEF18" w:rsidR="00A81581" w:rsidRPr="00894701" w:rsidRDefault="00A81581" w:rsidP="00A81581">
            <w:pPr>
              <w:spacing w:after="0" w:line="240" w:lineRule="auto"/>
              <w:jc w:val="both"/>
              <w:rPr>
                <w:rFonts w:asciiTheme="minorHAnsi" w:hAnsiTheme="minorHAnsi"/>
                <w:color w:val="000000"/>
                <w:kern w:val="0"/>
                <w:szCs w:val="18"/>
                <w:lang w:val="en-US"/>
              </w:rPr>
            </w:pPr>
            <w:r w:rsidRPr="00894701">
              <w:rPr>
                <w:rFonts w:asciiTheme="minorHAnsi" w:hAnsiTheme="minorHAnsi"/>
                <w:bCs/>
                <w:color w:val="000000"/>
                <w:kern w:val="0"/>
                <w:szCs w:val="18"/>
                <w:lang w:val="en-US"/>
              </w:rPr>
              <w:t>Requirement 7.4</w:t>
            </w:r>
          </w:p>
          <w:p w14:paraId="60CEA87C" w14:textId="049D3EA2" w:rsidR="002D7F0B" w:rsidRPr="00894701" w:rsidRDefault="00A81581" w:rsidP="002D7F0B">
            <w:pPr>
              <w:pStyle w:val="ListParagraph"/>
              <w:numPr>
                <w:ilvl w:val="0"/>
                <w:numId w:val="83"/>
              </w:numPr>
              <w:spacing w:after="0" w:line="240" w:lineRule="auto"/>
              <w:jc w:val="both"/>
              <w:rPr>
                <w:rFonts w:asciiTheme="minorHAnsi" w:hAnsiTheme="minorHAnsi"/>
                <w:color w:val="000000"/>
                <w:kern w:val="0"/>
                <w:szCs w:val="18"/>
              </w:rPr>
            </w:pPr>
            <w:r w:rsidRPr="00894701">
              <w:rPr>
                <w:rFonts w:asciiTheme="minorHAnsi" w:hAnsiTheme="minorHAnsi"/>
                <w:color w:val="000000"/>
                <w:kern w:val="0"/>
                <w:szCs w:val="18"/>
                <w:lang w:val="en-US"/>
              </w:rPr>
              <w:t>R</w:t>
            </w:r>
            <w:r w:rsidR="002D7F0B" w:rsidRPr="00894701">
              <w:rPr>
                <w:rFonts w:asciiTheme="minorHAnsi" w:hAnsiTheme="minorHAnsi"/>
                <w:color w:val="000000"/>
                <w:kern w:val="0"/>
                <w:szCs w:val="18"/>
                <w:lang w:val="en-US"/>
              </w:rPr>
              <w:t>eview the outcomes and impact of EITI implementation on natural resource governance;</w:t>
            </w:r>
          </w:p>
          <w:p w14:paraId="7322953B" w14:textId="5F0F50F9" w:rsidR="002D7F0B" w:rsidRPr="00894701" w:rsidRDefault="002D7F0B" w:rsidP="002D7F0B">
            <w:pPr>
              <w:pStyle w:val="ListParagraph"/>
              <w:numPr>
                <w:ilvl w:val="0"/>
                <w:numId w:val="83"/>
              </w:numPr>
              <w:spacing w:after="0" w:line="240" w:lineRule="auto"/>
              <w:jc w:val="both"/>
              <w:rPr>
                <w:rFonts w:asciiTheme="minorHAnsi" w:hAnsiTheme="minorHAnsi"/>
                <w:color w:val="000000"/>
                <w:kern w:val="0"/>
                <w:szCs w:val="18"/>
              </w:rPr>
            </w:pPr>
            <w:r w:rsidRPr="00894701">
              <w:rPr>
                <w:rFonts w:asciiTheme="minorHAnsi" w:hAnsiTheme="minorHAnsi"/>
                <w:color w:val="000000"/>
                <w:kern w:val="0"/>
                <w:szCs w:val="18"/>
                <w:lang w:val="en-US"/>
              </w:rPr>
              <w:t>Ensure that all stakeholders are able to participate in the production of the annual progress report and review the impact of EITI implementation;</w:t>
            </w:r>
            <w:r w:rsidR="0040028B">
              <w:rPr>
                <w:rFonts w:asciiTheme="minorHAnsi" w:hAnsiTheme="minorHAnsi"/>
                <w:color w:val="000000"/>
                <w:kern w:val="0"/>
                <w:szCs w:val="18"/>
                <w:lang w:val="en-US"/>
              </w:rPr>
              <w:t xml:space="preserve"> and</w:t>
            </w:r>
          </w:p>
          <w:p w14:paraId="456C01E6" w14:textId="7E66425D" w:rsidR="002D7F0B" w:rsidRPr="00B55953" w:rsidRDefault="002D7F0B" w:rsidP="00B55953">
            <w:pPr>
              <w:pStyle w:val="ListParagraph"/>
              <w:numPr>
                <w:ilvl w:val="0"/>
                <w:numId w:val="83"/>
              </w:numPr>
              <w:spacing w:after="0" w:line="240" w:lineRule="auto"/>
              <w:jc w:val="both"/>
              <w:rPr>
                <w:rFonts w:asciiTheme="minorHAnsi" w:hAnsiTheme="minorHAnsi"/>
                <w:color w:val="000000"/>
                <w:kern w:val="0"/>
                <w:szCs w:val="18"/>
              </w:rPr>
            </w:pPr>
            <w:r w:rsidRPr="00894701">
              <w:rPr>
                <w:rFonts w:asciiTheme="minorHAnsi" w:hAnsiTheme="minorHAnsi"/>
                <w:color w:val="000000"/>
                <w:kern w:val="0"/>
                <w:szCs w:val="18"/>
                <w:lang w:val="en-US"/>
              </w:rPr>
              <w:t>Ensure that an assessment of progress with achieving the objectives set out in its work plan is carried out, including the impact and outcomes of the stated objectives</w:t>
            </w:r>
            <w:r w:rsidR="0040028B">
              <w:rPr>
                <w:rFonts w:asciiTheme="minorHAnsi" w:hAnsiTheme="minorHAnsi"/>
                <w:color w:val="000000"/>
                <w:kern w:val="0"/>
                <w:szCs w:val="18"/>
                <w:lang w:val="en-US"/>
              </w:rPr>
              <w:t>.</w:t>
            </w:r>
          </w:p>
        </w:tc>
      </w:tr>
    </w:tbl>
    <w:p w14:paraId="6FBDCCF1" w14:textId="12DEAB27" w:rsidR="00B30F10" w:rsidRDefault="00B30F10" w:rsidP="00EE0114">
      <w:pPr>
        <w:jc w:val="both"/>
        <w:rPr>
          <w:rFonts w:cs="Arial"/>
          <w:bCs/>
          <w:color w:val="000000" w:themeColor="text1"/>
          <w:sz w:val="20"/>
          <w:lang w:eastAsia="fr-FR"/>
        </w:rPr>
      </w:pPr>
    </w:p>
    <w:p w14:paraId="0358A8ED" w14:textId="7B553096" w:rsidR="00FC28C3" w:rsidRDefault="00FC28C3" w:rsidP="00EE0114">
      <w:pPr>
        <w:jc w:val="both"/>
        <w:rPr>
          <w:rFonts w:cs="Arial"/>
          <w:bCs/>
          <w:color w:val="000000" w:themeColor="text1"/>
          <w:sz w:val="20"/>
          <w:lang w:eastAsia="fr-FR"/>
        </w:rPr>
      </w:pPr>
    </w:p>
    <w:p w14:paraId="7905968F" w14:textId="7FF6B185" w:rsidR="00FC28C3" w:rsidRDefault="00FC28C3" w:rsidP="00FC28C3">
      <w:pPr>
        <w:ind w:right="-46"/>
        <w:rPr>
          <w:rFonts w:asciiTheme="majorHAnsi" w:hAnsiTheme="majorHAnsi"/>
          <w:color w:val="auto"/>
          <w:sz w:val="20"/>
          <w:szCs w:val="20"/>
        </w:rPr>
      </w:pPr>
    </w:p>
    <w:p w14:paraId="36054077" w14:textId="79C8D18A" w:rsidR="00FC28C3" w:rsidRDefault="00FC28C3" w:rsidP="00FC28C3">
      <w:pPr>
        <w:ind w:right="-46"/>
        <w:rPr>
          <w:rFonts w:asciiTheme="majorHAnsi" w:hAnsiTheme="majorHAnsi"/>
          <w:color w:val="auto"/>
          <w:sz w:val="20"/>
          <w:szCs w:val="20"/>
        </w:rPr>
      </w:pPr>
    </w:p>
    <w:p w14:paraId="18207FAD" w14:textId="7DB4EACA" w:rsidR="00197D9B" w:rsidRDefault="00197D9B" w:rsidP="00FC28C3">
      <w:pPr>
        <w:ind w:right="-46"/>
        <w:rPr>
          <w:rFonts w:asciiTheme="majorHAnsi" w:hAnsiTheme="majorHAnsi"/>
          <w:color w:val="auto"/>
          <w:sz w:val="20"/>
          <w:szCs w:val="20"/>
        </w:rPr>
      </w:pPr>
    </w:p>
    <w:p w14:paraId="3F314CB8" w14:textId="42EE6FB5" w:rsidR="00197D9B" w:rsidRPr="008F6F75" w:rsidRDefault="00197D9B" w:rsidP="00FC28C3">
      <w:pPr>
        <w:ind w:right="-46"/>
        <w:rPr>
          <w:rFonts w:asciiTheme="majorHAnsi" w:hAnsiTheme="majorHAnsi"/>
          <w:color w:val="auto"/>
          <w:sz w:val="20"/>
          <w:szCs w:val="20"/>
        </w:rPr>
      </w:pPr>
    </w:p>
    <w:p w14:paraId="666DE568" w14:textId="77777777" w:rsidR="00FC28C3" w:rsidRDefault="00FC28C3" w:rsidP="00FC28C3">
      <w:pPr>
        <w:spacing w:after="0"/>
        <w:ind w:right="480"/>
        <w:rPr>
          <w:rFonts w:asciiTheme="majorHAnsi" w:hAnsiTheme="majorHAnsi"/>
          <w:color w:val="000000" w:themeColor="text1"/>
          <w:sz w:val="20"/>
          <w:szCs w:val="20"/>
        </w:rPr>
      </w:pPr>
    </w:p>
    <w:p w14:paraId="2106B18E" w14:textId="77777777" w:rsidR="00FC28C3" w:rsidRPr="000E46FE" w:rsidRDefault="00FC28C3" w:rsidP="00FC28C3">
      <w:pPr>
        <w:spacing w:after="0"/>
        <w:ind w:right="480"/>
        <w:rPr>
          <w:rFonts w:asciiTheme="majorHAnsi" w:hAnsiTheme="majorHAnsi"/>
          <w:color w:val="000000" w:themeColor="text1"/>
          <w:sz w:val="20"/>
          <w:szCs w:val="20"/>
        </w:rPr>
      </w:pPr>
    </w:p>
    <w:tbl>
      <w:tblPr>
        <w:tblW w:w="5000" w:type="pct"/>
        <w:tblLook w:val="04A0" w:firstRow="1" w:lastRow="0" w:firstColumn="1" w:lastColumn="0" w:noHBand="0" w:noVBand="1"/>
      </w:tblPr>
      <w:tblGrid>
        <w:gridCol w:w="3024"/>
        <w:gridCol w:w="3003"/>
        <w:gridCol w:w="3023"/>
      </w:tblGrid>
      <w:tr w:rsidR="00FC28C3" w:rsidRPr="00E652A0" w14:paraId="2BFBB47A" w14:textId="77777777" w:rsidTr="00477998">
        <w:tc>
          <w:tcPr>
            <w:tcW w:w="1671" w:type="pct"/>
            <w:shd w:val="clear" w:color="auto" w:fill="auto"/>
          </w:tcPr>
          <w:p w14:paraId="76615D4B" w14:textId="77777777" w:rsidR="00197D9B" w:rsidRPr="001307EB" w:rsidRDefault="00197D9B" w:rsidP="00197D9B">
            <w:pPr>
              <w:spacing w:after="0"/>
              <w:ind w:right="480"/>
              <w:rPr>
                <w:rFonts w:asciiTheme="majorHAnsi" w:hAnsiTheme="majorHAnsi"/>
                <w:color w:val="000000" w:themeColor="text1"/>
                <w:sz w:val="20"/>
                <w:szCs w:val="20"/>
                <w:lang w:val="it-IT"/>
              </w:rPr>
            </w:pPr>
            <w:r w:rsidRPr="001307EB">
              <w:rPr>
                <w:rFonts w:asciiTheme="majorHAnsi" w:hAnsiTheme="majorHAnsi"/>
                <w:color w:val="000000" w:themeColor="text1"/>
                <w:sz w:val="20"/>
                <w:szCs w:val="20"/>
                <w:lang w:val="it-IT"/>
              </w:rPr>
              <w:t>Robin Ferrier</w:t>
            </w:r>
          </w:p>
          <w:p w14:paraId="1044F7EA" w14:textId="77777777" w:rsidR="00197D9B" w:rsidRPr="001307EB" w:rsidRDefault="00197D9B" w:rsidP="00197D9B">
            <w:pPr>
              <w:spacing w:after="0"/>
              <w:ind w:right="480"/>
              <w:rPr>
                <w:rFonts w:asciiTheme="majorHAnsi" w:hAnsiTheme="majorHAnsi"/>
                <w:color w:val="000000" w:themeColor="text1"/>
                <w:sz w:val="20"/>
                <w:szCs w:val="20"/>
                <w:lang w:val="it-IT"/>
              </w:rPr>
            </w:pPr>
            <w:r w:rsidRPr="001307EB">
              <w:rPr>
                <w:rFonts w:asciiTheme="majorHAnsi" w:hAnsiTheme="majorHAnsi"/>
                <w:color w:val="000000" w:themeColor="text1"/>
                <w:sz w:val="20"/>
                <w:szCs w:val="20"/>
                <w:lang w:val="it-IT"/>
              </w:rPr>
              <w:t>Partner</w:t>
            </w:r>
          </w:p>
          <w:p w14:paraId="40E7949D" w14:textId="77777777" w:rsidR="00197D9B" w:rsidRPr="001307EB" w:rsidRDefault="00197D9B" w:rsidP="00197D9B">
            <w:pPr>
              <w:spacing w:after="0"/>
              <w:ind w:right="480"/>
              <w:rPr>
                <w:rFonts w:asciiTheme="majorHAnsi" w:hAnsiTheme="majorHAnsi"/>
                <w:color w:val="000000" w:themeColor="text1"/>
                <w:sz w:val="20"/>
                <w:szCs w:val="20"/>
                <w:lang w:val="it-IT"/>
              </w:rPr>
            </w:pPr>
            <w:r w:rsidRPr="001307EB">
              <w:rPr>
                <w:rFonts w:asciiTheme="majorHAnsi" w:hAnsiTheme="majorHAnsi"/>
                <w:color w:val="000000" w:themeColor="text1"/>
                <w:sz w:val="20"/>
                <w:szCs w:val="20"/>
                <w:lang w:val="it-IT"/>
              </w:rPr>
              <w:t>BDO Suriname</w:t>
            </w:r>
          </w:p>
          <w:p w14:paraId="0F3D2541" w14:textId="77777777" w:rsidR="00197D9B" w:rsidRPr="001307EB" w:rsidRDefault="00197D9B" w:rsidP="00197D9B">
            <w:pPr>
              <w:spacing w:after="0"/>
              <w:ind w:right="480"/>
              <w:rPr>
                <w:rFonts w:asciiTheme="majorHAnsi" w:hAnsiTheme="majorHAnsi"/>
                <w:color w:val="000000" w:themeColor="text1"/>
                <w:sz w:val="20"/>
                <w:szCs w:val="20"/>
                <w:lang w:val="it-IT"/>
              </w:rPr>
            </w:pPr>
            <w:r w:rsidRPr="001307EB">
              <w:rPr>
                <w:rFonts w:asciiTheme="majorHAnsi" w:hAnsiTheme="majorHAnsi"/>
                <w:color w:val="000000" w:themeColor="text1"/>
                <w:sz w:val="20"/>
                <w:szCs w:val="20"/>
                <w:lang w:val="it-IT"/>
              </w:rPr>
              <w:t>Grote Combéweg 37</w:t>
            </w:r>
          </w:p>
          <w:p w14:paraId="7FD49C5D" w14:textId="37CAD667" w:rsidR="00197D9B" w:rsidRDefault="00197D9B" w:rsidP="00197D9B">
            <w:pPr>
              <w:spacing w:after="0"/>
              <w:ind w:right="480"/>
              <w:rPr>
                <w:rFonts w:asciiTheme="majorHAnsi" w:hAnsiTheme="majorHAnsi"/>
                <w:color w:val="000000" w:themeColor="text1"/>
                <w:sz w:val="20"/>
                <w:szCs w:val="20"/>
              </w:rPr>
            </w:pPr>
            <w:r w:rsidRPr="00FC28C3">
              <w:rPr>
                <w:rFonts w:asciiTheme="majorHAnsi" w:hAnsiTheme="majorHAnsi"/>
                <w:color w:val="000000" w:themeColor="text1"/>
                <w:sz w:val="20"/>
                <w:szCs w:val="20"/>
              </w:rPr>
              <w:t>Paramaribo, Suriname</w:t>
            </w:r>
          </w:p>
          <w:p w14:paraId="2945D0A0" w14:textId="77777777" w:rsidR="00197D9B" w:rsidRDefault="00197D9B" w:rsidP="00477998">
            <w:pPr>
              <w:spacing w:after="0"/>
              <w:ind w:right="480"/>
              <w:rPr>
                <w:rFonts w:asciiTheme="majorHAnsi" w:hAnsiTheme="majorHAnsi"/>
                <w:color w:val="000000" w:themeColor="text1"/>
                <w:sz w:val="20"/>
                <w:szCs w:val="20"/>
              </w:rPr>
            </w:pPr>
          </w:p>
          <w:p w14:paraId="69366487" w14:textId="0CED49A9" w:rsidR="00FC28C3" w:rsidRPr="001462BE" w:rsidRDefault="00FC28C3" w:rsidP="00FC28C3">
            <w:pPr>
              <w:spacing w:after="0"/>
              <w:ind w:right="480"/>
              <w:rPr>
                <w:rFonts w:asciiTheme="majorHAnsi" w:hAnsiTheme="majorHAnsi"/>
                <w:color w:val="000000" w:themeColor="text1"/>
                <w:sz w:val="20"/>
                <w:szCs w:val="20"/>
              </w:rPr>
            </w:pPr>
          </w:p>
        </w:tc>
        <w:tc>
          <w:tcPr>
            <w:tcW w:w="1659" w:type="pct"/>
            <w:shd w:val="clear" w:color="auto" w:fill="auto"/>
          </w:tcPr>
          <w:p w14:paraId="66BB8B0C" w14:textId="77777777" w:rsidR="00FC28C3" w:rsidRPr="001462BE" w:rsidRDefault="00FC28C3" w:rsidP="00477998">
            <w:pPr>
              <w:spacing w:after="0"/>
              <w:ind w:right="480"/>
              <w:rPr>
                <w:rFonts w:asciiTheme="majorHAnsi" w:hAnsiTheme="majorHAnsi"/>
                <w:color w:val="000000" w:themeColor="text1"/>
                <w:sz w:val="20"/>
                <w:szCs w:val="20"/>
              </w:rPr>
            </w:pPr>
          </w:p>
        </w:tc>
        <w:tc>
          <w:tcPr>
            <w:tcW w:w="1670" w:type="pct"/>
            <w:shd w:val="clear" w:color="auto" w:fill="auto"/>
          </w:tcPr>
          <w:p w14:paraId="6ACD87E5" w14:textId="77777777" w:rsidR="00197D9B" w:rsidRPr="001462BE" w:rsidRDefault="00197D9B" w:rsidP="00197D9B">
            <w:pPr>
              <w:spacing w:after="0"/>
              <w:ind w:right="480"/>
              <w:rPr>
                <w:rFonts w:asciiTheme="majorHAnsi" w:hAnsiTheme="majorHAnsi"/>
                <w:color w:val="000000" w:themeColor="text1"/>
                <w:sz w:val="20"/>
                <w:szCs w:val="20"/>
              </w:rPr>
            </w:pPr>
            <w:r>
              <w:rPr>
                <w:rFonts w:asciiTheme="majorHAnsi" w:hAnsiTheme="majorHAnsi"/>
                <w:color w:val="000000" w:themeColor="text1"/>
                <w:sz w:val="20"/>
                <w:szCs w:val="20"/>
              </w:rPr>
              <w:t>David Dicker</w:t>
            </w:r>
          </w:p>
          <w:p w14:paraId="69E34B3C" w14:textId="77777777" w:rsidR="00197D9B" w:rsidRPr="001462BE" w:rsidRDefault="00197D9B" w:rsidP="00197D9B">
            <w:pPr>
              <w:spacing w:after="0"/>
              <w:ind w:right="480"/>
              <w:rPr>
                <w:rFonts w:asciiTheme="majorHAnsi" w:hAnsiTheme="majorHAnsi"/>
                <w:color w:val="000000" w:themeColor="text1"/>
                <w:sz w:val="20"/>
                <w:szCs w:val="20"/>
              </w:rPr>
            </w:pPr>
            <w:r w:rsidRPr="001462BE">
              <w:rPr>
                <w:rFonts w:asciiTheme="majorHAnsi" w:hAnsiTheme="majorHAnsi"/>
                <w:color w:val="000000" w:themeColor="text1"/>
                <w:sz w:val="20"/>
                <w:szCs w:val="20"/>
              </w:rPr>
              <w:t>Partner</w:t>
            </w:r>
            <w:r w:rsidRPr="001462BE">
              <w:rPr>
                <w:rFonts w:asciiTheme="majorHAnsi" w:hAnsiTheme="majorHAnsi"/>
                <w:color w:val="000000" w:themeColor="text1"/>
                <w:sz w:val="20"/>
                <w:szCs w:val="20"/>
              </w:rPr>
              <w:tab/>
            </w:r>
          </w:p>
          <w:p w14:paraId="4FCA1E21" w14:textId="77777777" w:rsidR="00197D9B" w:rsidRDefault="00197D9B" w:rsidP="00197D9B">
            <w:pPr>
              <w:spacing w:after="0"/>
              <w:ind w:right="480"/>
              <w:rPr>
                <w:rFonts w:asciiTheme="majorHAnsi" w:hAnsiTheme="majorHAnsi"/>
                <w:color w:val="000000" w:themeColor="text1"/>
                <w:sz w:val="20"/>
                <w:szCs w:val="20"/>
              </w:rPr>
            </w:pPr>
            <w:r w:rsidRPr="001462BE">
              <w:rPr>
                <w:rFonts w:asciiTheme="majorHAnsi" w:hAnsiTheme="majorHAnsi"/>
                <w:color w:val="000000" w:themeColor="text1"/>
                <w:sz w:val="20"/>
                <w:szCs w:val="20"/>
              </w:rPr>
              <w:t>BDO LLP</w:t>
            </w:r>
          </w:p>
          <w:p w14:paraId="17F2AFF5" w14:textId="77777777" w:rsidR="00197D9B" w:rsidRPr="001462BE" w:rsidRDefault="00197D9B" w:rsidP="00197D9B">
            <w:pPr>
              <w:spacing w:after="0"/>
              <w:ind w:right="480"/>
              <w:rPr>
                <w:rFonts w:asciiTheme="majorHAnsi" w:hAnsiTheme="majorHAnsi"/>
                <w:color w:val="000000" w:themeColor="text1"/>
                <w:sz w:val="20"/>
                <w:szCs w:val="20"/>
              </w:rPr>
            </w:pPr>
            <w:r w:rsidRPr="001462BE">
              <w:rPr>
                <w:rFonts w:asciiTheme="majorHAnsi" w:hAnsiTheme="majorHAnsi"/>
                <w:color w:val="000000" w:themeColor="text1"/>
                <w:sz w:val="20"/>
                <w:szCs w:val="20"/>
              </w:rPr>
              <w:t>55 Baker Street</w:t>
            </w:r>
          </w:p>
          <w:p w14:paraId="55EB9535" w14:textId="77777777" w:rsidR="00FC28C3" w:rsidRDefault="00197D9B" w:rsidP="00197D9B">
            <w:pPr>
              <w:spacing w:after="0"/>
              <w:ind w:right="480"/>
              <w:rPr>
                <w:rFonts w:asciiTheme="majorHAnsi" w:hAnsiTheme="majorHAnsi"/>
                <w:color w:val="000000" w:themeColor="text1"/>
                <w:sz w:val="20"/>
                <w:szCs w:val="20"/>
              </w:rPr>
            </w:pPr>
            <w:r w:rsidRPr="001462BE">
              <w:rPr>
                <w:rFonts w:asciiTheme="majorHAnsi" w:hAnsiTheme="majorHAnsi"/>
                <w:color w:val="000000" w:themeColor="text1"/>
                <w:sz w:val="20"/>
                <w:szCs w:val="20"/>
              </w:rPr>
              <w:t>London W1U 7EU</w:t>
            </w:r>
          </w:p>
          <w:p w14:paraId="1620A1BD" w14:textId="77777777" w:rsidR="002E04D6" w:rsidRDefault="002E04D6" w:rsidP="00197D9B">
            <w:pPr>
              <w:spacing w:after="0"/>
              <w:ind w:right="480"/>
              <w:rPr>
                <w:rFonts w:asciiTheme="majorHAnsi" w:hAnsiTheme="majorHAnsi"/>
                <w:color w:val="000000" w:themeColor="text1"/>
                <w:sz w:val="20"/>
                <w:szCs w:val="20"/>
              </w:rPr>
            </w:pPr>
          </w:p>
          <w:p w14:paraId="73735E75" w14:textId="49C7EECA" w:rsidR="002E04D6" w:rsidRPr="00E652A0" w:rsidRDefault="002E04D6" w:rsidP="00197D9B">
            <w:pPr>
              <w:spacing w:after="0"/>
              <w:ind w:right="480"/>
              <w:rPr>
                <w:rFonts w:asciiTheme="majorHAnsi" w:hAnsiTheme="majorHAnsi"/>
                <w:color w:val="000000" w:themeColor="text1"/>
                <w:sz w:val="20"/>
                <w:szCs w:val="20"/>
              </w:rPr>
            </w:pPr>
          </w:p>
        </w:tc>
      </w:tr>
    </w:tbl>
    <w:p w14:paraId="0E35D5F1" w14:textId="77777777" w:rsidR="00FC28C3" w:rsidRPr="00894701" w:rsidRDefault="00FC28C3" w:rsidP="00EE0114">
      <w:pPr>
        <w:jc w:val="both"/>
        <w:rPr>
          <w:rFonts w:cs="Arial"/>
          <w:bCs/>
          <w:color w:val="000000" w:themeColor="text1"/>
          <w:sz w:val="20"/>
          <w:lang w:eastAsia="fr-FR"/>
        </w:rPr>
      </w:pPr>
    </w:p>
    <w:p w14:paraId="79DCBD85" w14:textId="682D9D51" w:rsidR="00D75D1D" w:rsidRPr="00894701" w:rsidRDefault="00E91DBD" w:rsidP="00B226CF">
      <w:pPr>
        <w:pStyle w:val="NumHeading"/>
        <w:rPr>
          <w:sz w:val="36"/>
          <w:szCs w:val="36"/>
        </w:rPr>
      </w:pPr>
      <w:bookmarkStart w:id="67" w:name="_Toc122478839"/>
      <w:r w:rsidRPr="00894701">
        <w:rPr>
          <w:caps w:val="0"/>
          <w:sz w:val="36"/>
          <w:szCs w:val="36"/>
        </w:rPr>
        <w:lastRenderedPageBreak/>
        <w:t>APPROACH AND METHODOLOGY</w:t>
      </w:r>
      <w:bookmarkEnd w:id="67"/>
    </w:p>
    <w:p w14:paraId="2F8389FC" w14:textId="306A2FD4" w:rsidR="00FF5337" w:rsidRPr="00894701" w:rsidRDefault="00FF5337" w:rsidP="00B226CF">
      <w:pPr>
        <w:pStyle w:val="NumBodyText"/>
        <w:numPr>
          <w:ilvl w:val="0"/>
          <w:numId w:val="0"/>
        </w:numPr>
        <w:jc w:val="both"/>
      </w:pPr>
    </w:p>
    <w:p w14:paraId="786B155F" w14:textId="77777777" w:rsidR="00FB375E" w:rsidRPr="00894701" w:rsidRDefault="00FB375E" w:rsidP="00B226CF">
      <w:pPr>
        <w:spacing w:after="60"/>
        <w:jc w:val="both"/>
        <w:rPr>
          <w:rFonts w:cs="Arial"/>
          <w:color w:val="auto"/>
          <w:sz w:val="20"/>
        </w:rPr>
      </w:pPr>
      <w:r w:rsidRPr="00575323">
        <w:rPr>
          <w:rFonts w:cs="Arial"/>
          <w:color w:val="auto"/>
          <w:sz w:val="20"/>
        </w:rPr>
        <w:t xml:space="preserve">The EITI </w:t>
      </w:r>
      <w:r w:rsidRPr="00575323">
        <w:rPr>
          <w:rFonts w:cs="Arial"/>
          <w:color w:val="auto"/>
          <w:sz w:val="20"/>
          <w:lang w:eastAsia="fr-FR"/>
        </w:rPr>
        <w:t>reconciliation</w:t>
      </w:r>
      <w:r w:rsidRPr="00575323">
        <w:rPr>
          <w:rFonts w:cs="Arial"/>
          <w:color w:val="auto"/>
          <w:sz w:val="20"/>
        </w:rPr>
        <w:t xml:space="preserve"> process included the following steps:</w:t>
      </w:r>
    </w:p>
    <w:p w14:paraId="3F1FE38F" w14:textId="77777777" w:rsidR="00FB375E" w:rsidRPr="00894701" w:rsidRDefault="00FB375E" w:rsidP="00A834A8">
      <w:pPr>
        <w:numPr>
          <w:ilvl w:val="0"/>
          <w:numId w:val="55"/>
        </w:numPr>
        <w:autoSpaceDE w:val="0"/>
        <w:autoSpaceDN w:val="0"/>
        <w:adjustRightInd w:val="0"/>
        <w:spacing w:after="60" w:line="240" w:lineRule="auto"/>
        <w:ind w:left="567" w:hanging="283"/>
        <w:jc w:val="both"/>
        <w:rPr>
          <w:rFonts w:cs="Arial"/>
          <w:color w:val="auto"/>
          <w:sz w:val="20"/>
        </w:rPr>
      </w:pPr>
      <w:r w:rsidRPr="00894701">
        <w:rPr>
          <w:rFonts w:cs="Arial"/>
          <w:bCs/>
          <w:color w:val="auto"/>
          <w:sz w:val="20"/>
        </w:rPr>
        <w:t>conducting a scoping study to determine the scope of the reconciliation exercise and to design the reporting templates;</w:t>
      </w:r>
    </w:p>
    <w:p w14:paraId="4569BD24" w14:textId="77777777" w:rsidR="00FB375E" w:rsidRPr="00894701" w:rsidRDefault="00FB375E" w:rsidP="00A834A8">
      <w:pPr>
        <w:numPr>
          <w:ilvl w:val="0"/>
          <w:numId w:val="55"/>
        </w:numPr>
        <w:autoSpaceDE w:val="0"/>
        <w:autoSpaceDN w:val="0"/>
        <w:adjustRightInd w:val="0"/>
        <w:spacing w:after="60" w:line="240" w:lineRule="auto"/>
        <w:ind w:left="567" w:hanging="283"/>
        <w:jc w:val="both"/>
        <w:rPr>
          <w:rFonts w:cs="Arial"/>
          <w:color w:val="auto"/>
          <w:sz w:val="20"/>
        </w:rPr>
      </w:pPr>
      <w:r w:rsidRPr="00894701">
        <w:rPr>
          <w:rFonts w:cs="Arial"/>
          <w:color w:val="auto"/>
          <w:sz w:val="20"/>
        </w:rPr>
        <w:t>the collection of payment data from Government Agencies and extractive entities, which provides the basis for the reconciliation;</w:t>
      </w:r>
    </w:p>
    <w:p w14:paraId="0489DFE7" w14:textId="77777777" w:rsidR="00FB375E" w:rsidRPr="00894701" w:rsidRDefault="00FB375E" w:rsidP="00A834A8">
      <w:pPr>
        <w:numPr>
          <w:ilvl w:val="0"/>
          <w:numId w:val="55"/>
        </w:numPr>
        <w:autoSpaceDE w:val="0"/>
        <w:autoSpaceDN w:val="0"/>
        <w:adjustRightInd w:val="0"/>
        <w:spacing w:after="60" w:line="240" w:lineRule="auto"/>
        <w:ind w:left="567" w:hanging="283"/>
        <w:jc w:val="both"/>
        <w:rPr>
          <w:rFonts w:cs="Arial"/>
          <w:color w:val="auto"/>
          <w:sz w:val="20"/>
        </w:rPr>
      </w:pPr>
      <w:r w:rsidRPr="00894701">
        <w:rPr>
          <w:rFonts w:cs="Arial"/>
          <w:color w:val="auto"/>
          <w:sz w:val="20"/>
        </w:rPr>
        <w:t>a comparison of amounts reported by Government Agencies and extractive entities to determine if there are discrepancies between the two sources of data; and</w:t>
      </w:r>
    </w:p>
    <w:p w14:paraId="385F61E2" w14:textId="77777777" w:rsidR="00FB375E" w:rsidRPr="00894701" w:rsidRDefault="00FB375E" w:rsidP="00A834A8">
      <w:pPr>
        <w:numPr>
          <w:ilvl w:val="0"/>
          <w:numId w:val="55"/>
        </w:numPr>
        <w:autoSpaceDE w:val="0"/>
        <w:autoSpaceDN w:val="0"/>
        <w:adjustRightInd w:val="0"/>
        <w:spacing w:after="240" w:line="240" w:lineRule="auto"/>
        <w:ind w:left="568" w:hanging="284"/>
        <w:jc w:val="both"/>
        <w:rPr>
          <w:rFonts w:cs="Arial"/>
          <w:bCs/>
          <w:color w:val="auto"/>
          <w:sz w:val="20"/>
        </w:rPr>
      </w:pPr>
      <w:r w:rsidRPr="00894701">
        <w:rPr>
          <w:rFonts w:cs="Arial"/>
          <w:bCs/>
          <w:color w:val="auto"/>
          <w:sz w:val="20"/>
        </w:rPr>
        <w:t>contact with Government Agencies</w:t>
      </w:r>
      <w:r w:rsidRPr="00894701">
        <w:rPr>
          <w:rFonts w:cs="Arial"/>
          <w:color w:val="auto"/>
          <w:sz w:val="20"/>
        </w:rPr>
        <w:t xml:space="preserve"> and extractive entities</w:t>
      </w:r>
      <w:r w:rsidRPr="00894701">
        <w:rPr>
          <w:rFonts w:cs="Arial"/>
          <w:bCs/>
          <w:color w:val="auto"/>
          <w:sz w:val="20"/>
        </w:rPr>
        <w:t xml:space="preserve"> to resolve the discrepancies identified.</w:t>
      </w:r>
    </w:p>
    <w:p w14:paraId="407D1614" w14:textId="77777777" w:rsidR="005C6D61" w:rsidRPr="00894701" w:rsidRDefault="005C6D61" w:rsidP="003451D6">
      <w:pPr>
        <w:pStyle w:val="ListParagraph"/>
        <w:numPr>
          <w:ilvl w:val="1"/>
          <w:numId w:val="7"/>
        </w:numPr>
        <w:spacing w:before="240" w:after="240"/>
        <w:ind w:left="851" w:right="482" w:hanging="851"/>
        <w:outlineLvl w:val="1"/>
        <w:rPr>
          <w:b/>
          <w:sz w:val="28"/>
          <w:szCs w:val="28"/>
        </w:rPr>
      </w:pPr>
      <w:bookmarkStart w:id="68" w:name="_Toc433375889"/>
      <w:bookmarkStart w:id="69" w:name="_Toc458965360"/>
      <w:bookmarkStart w:id="70" w:name="_Toc517996479"/>
      <w:bookmarkStart w:id="71" w:name="_Toc6925728"/>
      <w:bookmarkStart w:id="72" w:name="_Toc101349930"/>
      <w:bookmarkStart w:id="73" w:name="_Toc104555383"/>
      <w:bookmarkStart w:id="74" w:name="_Toc122478840"/>
      <w:r w:rsidRPr="00894701">
        <w:rPr>
          <w:b/>
          <w:sz w:val="28"/>
          <w:szCs w:val="28"/>
        </w:rPr>
        <w:t>Scoping Study</w:t>
      </w:r>
      <w:bookmarkEnd w:id="68"/>
      <w:bookmarkEnd w:id="69"/>
      <w:bookmarkEnd w:id="70"/>
      <w:bookmarkEnd w:id="71"/>
      <w:bookmarkEnd w:id="72"/>
      <w:bookmarkEnd w:id="73"/>
      <w:bookmarkEnd w:id="74"/>
    </w:p>
    <w:p w14:paraId="19C4E56B" w14:textId="1E7BDD1C" w:rsidR="005C6D61" w:rsidRPr="00894701" w:rsidRDefault="005C6D61" w:rsidP="00B226CF">
      <w:pPr>
        <w:spacing w:after="60"/>
        <w:jc w:val="both"/>
        <w:rPr>
          <w:rFonts w:cs="Arial"/>
          <w:color w:val="auto"/>
          <w:sz w:val="20"/>
          <w:lang w:eastAsia="fr-FR"/>
        </w:rPr>
      </w:pPr>
      <w:r w:rsidRPr="00894701">
        <w:rPr>
          <w:rFonts w:cs="Arial"/>
          <w:color w:val="auto"/>
          <w:sz w:val="20"/>
          <w:lang w:eastAsia="fr-FR"/>
        </w:rPr>
        <w:t xml:space="preserve">In accordance with our terms of reference, a scoping study </w:t>
      </w:r>
      <w:r w:rsidR="00E038DA">
        <w:rPr>
          <w:rFonts w:cs="Arial"/>
          <w:color w:val="auto"/>
          <w:sz w:val="20"/>
          <w:lang w:eastAsia="fr-FR"/>
        </w:rPr>
        <w:t xml:space="preserve">was </w:t>
      </w:r>
      <w:r w:rsidRPr="00894701">
        <w:rPr>
          <w:rFonts w:cs="Arial"/>
          <w:color w:val="auto"/>
          <w:sz w:val="20"/>
          <w:lang w:eastAsia="fr-FR"/>
        </w:rPr>
        <w:t>carried out and reported to the EITI</w:t>
      </w:r>
      <w:r w:rsidR="00BA093C" w:rsidRPr="00894701">
        <w:rPr>
          <w:rFonts w:cs="Arial"/>
          <w:color w:val="auto"/>
          <w:sz w:val="20"/>
          <w:lang w:eastAsia="fr-FR"/>
        </w:rPr>
        <w:t>-SR</w:t>
      </w:r>
      <w:r w:rsidRPr="00894701">
        <w:rPr>
          <w:rFonts w:cs="Arial"/>
          <w:color w:val="auto"/>
          <w:sz w:val="20"/>
          <w:lang w:eastAsia="fr-FR"/>
        </w:rPr>
        <w:t xml:space="preserve"> MSG on matters </w:t>
      </w:r>
      <w:r w:rsidR="00E038DA">
        <w:rPr>
          <w:rFonts w:cs="Arial"/>
          <w:color w:val="auto"/>
          <w:sz w:val="20"/>
          <w:lang w:eastAsia="fr-FR"/>
        </w:rPr>
        <w:t>that</w:t>
      </w:r>
      <w:r w:rsidR="00E038DA" w:rsidRPr="00894701">
        <w:rPr>
          <w:rFonts w:cs="Arial"/>
          <w:color w:val="auto"/>
          <w:sz w:val="20"/>
          <w:lang w:eastAsia="fr-FR"/>
        </w:rPr>
        <w:t xml:space="preserve"> </w:t>
      </w:r>
      <w:r w:rsidRPr="00894701">
        <w:rPr>
          <w:rFonts w:cs="Arial"/>
          <w:color w:val="auto"/>
          <w:sz w:val="20"/>
          <w:lang w:eastAsia="fr-FR"/>
        </w:rPr>
        <w:t xml:space="preserve">should be considered in determining the scope for the FY </w:t>
      </w:r>
      <w:r w:rsidR="00BA093C" w:rsidRPr="00894701">
        <w:rPr>
          <w:rFonts w:cs="Arial"/>
          <w:color w:val="auto"/>
          <w:sz w:val="20"/>
          <w:lang w:eastAsia="fr-FR"/>
        </w:rPr>
        <w:t xml:space="preserve">2018, </w:t>
      </w:r>
      <w:r w:rsidRPr="00894701">
        <w:rPr>
          <w:rFonts w:cs="Arial"/>
          <w:color w:val="auto"/>
          <w:sz w:val="20"/>
          <w:lang w:eastAsia="fr-FR"/>
        </w:rPr>
        <w:t>2019</w:t>
      </w:r>
      <w:r w:rsidR="00BA093C" w:rsidRPr="00894701">
        <w:rPr>
          <w:rFonts w:cs="Arial"/>
          <w:color w:val="auto"/>
          <w:sz w:val="20"/>
          <w:lang w:eastAsia="fr-FR"/>
        </w:rPr>
        <w:t xml:space="preserve"> and 2020</w:t>
      </w:r>
      <w:r w:rsidRPr="00894701">
        <w:rPr>
          <w:rFonts w:cs="Arial"/>
          <w:color w:val="auto"/>
          <w:sz w:val="20"/>
          <w:lang w:eastAsia="fr-FR"/>
        </w:rPr>
        <w:t xml:space="preserve"> EITI</w:t>
      </w:r>
      <w:r w:rsidR="00BA093C" w:rsidRPr="00894701">
        <w:rPr>
          <w:rFonts w:cs="Arial"/>
          <w:color w:val="auto"/>
          <w:sz w:val="20"/>
          <w:lang w:eastAsia="fr-FR"/>
        </w:rPr>
        <w:t>-SR</w:t>
      </w:r>
      <w:r w:rsidRPr="00894701">
        <w:rPr>
          <w:rFonts w:cs="Arial"/>
          <w:color w:val="auto"/>
          <w:sz w:val="20"/>
          <w:lang w:eastAsia="fr-FR"/>
        </w:rPr>
        <w:t xml:space="preserve"> report, including:</w:t>
      </w:r>
    </w:p>
    <w:p w14:paraId="31A1FFC8" w14:textId="7324FAAE" w:rsidR="005C6D61" w:rsidRPr="00894701" w:rsidRDefault="00FA7660" w:rsidP="00A834A8">
      <w:pPr>
        <w:numPr>
          <w:ilvl w:val="0"/>
          <w:numId w:val="55"/>
        </w:numPr>
        <w:autoSpaceDE w:val="0"/>
        <w:autoSpaceDN w:val="0"/>
        <w:adjustRightInd w:val="0"/>
        <w:spacing w:after="60" w:line="240" w:lineRule="auto"/>
        <w:ind w:left="567" w:hanging="283"/>
        <w:jc w:val="both"/>
        <w:rPr>
          <w:rFonts w:cs="Arial"/>
          <w:color w:val="auto"/>
          <w:sz w:val="20"/>
          <w:lang w:eastAsia="fr-FR"/>
        </w:rPr>
      </w:pPr>
      <w:r w:rsidRPr="00894701">
        <w:rPr>
          <w:rFonts w:cs="Arial"/>
          <w:color w:val="auto"/>
          <w:sz w:val="20"/>
          <w:lang w:eastAsia="fr-FR"/>
        </w:rPr>
        <w:t>t</w:t>
      </w:r>
      <w:r w:rsidR="005A1C7D" w:rsidRPr="00894701">
        <w:rPr>
          <w:rFonts w:cs="Arial"/>
          <w:color w:val="auto"/>
          <w:sz w:val="20"/>
          <w:lang w:eastAsia="fr-FR"/>
        </w:rPr>
        <w:t xml:space="preserve">he </w:t>
      </w:r>
      <w:r w:rsidR="005C6D61" w:rsidRPr="00894701">
        <w:rPr>
          <w:rFonts w:cs="Arial"/>
          <w:color w:val="auto"/>
          <w:sz w:val="20"/>
          <w:lang w:eastAsia="fr-FR"/>
        </w:rPr>
        <w:t>materiality threshold for receipts and payments;</w:t>
      </w:r>
    </w:p>
    <w:p w14:paraId="2EDE6131" w14:textId="77777777" w:rsidR="005C6D61" w:rsidRPr="00894701" w:rsidRDefault="005C6D61" w:rsidP="00A834A8">
      <w:pPr>
        <w:numPr>
          <w:ilvl w:val="0"/>
          <w:numId w:val="55"/>
        </w:numPr>
        <w:autoSpaceDE w:val="0"/>
        <w:autoSpaceDN w:val="0"/>
        <w:adjustRightInd w:val="0"/>
        <w:spacing w:after="60" w:line="240" w:lineRule="auto"/>
        <w:ind w:left="567" w:hanging="283"/>
        <w:jc w:val="both"/>
        <w:rPr>
          <w:rFonts w:cs="Arial"/>
          <w:color w:val="auto"/>
          <w:sz w:val="20"/>
          <w:lang w:eastAsia="fr-FR"/>
        </w:rPr>
      </w:pPr>
      <w:r w:rsidRPr="00894701">
        <w:rPr>
          <w:rFonts w:cs="Arial"/>
          <w:bCs/>
          <w:color w:val="auto"/>
          <w:sz w:val="20"/>
        </w:rPr>
        <w:t>taxes</w:t>
      </w:r>
      <w:r w:rsidRPr="00894701">
        <w:rPr>
          <w:rFonts w:cs="Arial"/>
          <w:color w:val="auto"/>
          <w:sz w:val="20"/>
          <w:lang w:eastAsia="fr-FR"/>
        </w:rPr>
        <w:t xml:space="preserve"> and revenues to be covered;</w:t>
      </w:r>
    </w:p>
    <w:p w14:paraId="24435DDC" w14:textId="77777777" w:rsidR="005C6D61" w:rsidRPr="00894701" w:rsidRDefault="005C6D61" w:rsidP="00A834A8">
      <w:pPr>
        <w:numPr>
          <w:ilvl w:val="0"/>
          <w:numId w:val="55"/>
        </w:numPr>
        <w:autoSpaceDE w:val="0"/>
        <w:autoSpaceDN w:val="0"/>
        <w:adjustRightInd w:val="0"/>
        <w:spacing w:after="60" w:line="240" w:lineRule="auto"/>
        <w:ind w:left="567" w:hanging="283"/>
        <w:jc w:val="both"/>
        <w:rPr>
          <w:rFonts w:cs="Arial"/>
          <w:color w:val="auto"/>
          <w:sz w:val="20"/>
          <w:lang w:eastAsia="fr-FR"/>
        </w:rPr>
      </w:pPr>
      <w:r w:rsidRPr="00894701">
        <w:rPr>
          <w:rFonts w:cs="Arial"/>
          <w:bCs/>
          <w:color w:val="auto"/>
          <w:sz w:val="20"/>
        </w:rPr>
        <w:t>extractive entities</w:t>
      </w:r>
      <w:r w:rsidRPr="00894701">
        <w:rPr>
          <w:rFonts w:cs="Arial"/>
          <w:color w:val="auto"/>
          <w:sz w:val="20"/>
          <w:lang w:eastAsia="fr-FR"/>
        </w:rPr>
        <w:t xml:space="preserve"> and Government Agencies to be included in the report;</w:t>
      </w:r>
    </w:p>
    <w:p w14:paraId="47747838" w14:textId="77777777" w:rsidR="005C6D61" w:rsidRPr="00894701" w:rsidRDefault="005C6D61" w:rsidP="00A834A8">
      <w:pPr>
        <w:numPr>
          <w:ilvl w:val="0"/>
          <w:numId w:val="55"/>
        </w:numPr>
        <w:autoSpaceDE w:val="0"/>
        <w:autoSpaceDN w:val="0"/>
        <w:adjustRightInd w:val="0"/>
        <w:spacing w:after="60" w:line="240" w:lineRule="auto"/>
        <w:ind w:left="567" w:hanging="283"/>
        <w:jc w:val="both"/>
        <w:rPr>
          <w:rFonts w:cs="Arial"/>
          <w:color w:val="auto"/>
          <w:sz w:val="20"/>
          <w:lang w:eastAsia="fr-FR"/>
        </w:rPr>
      </w:pPr>
      <w:r w:rsidRPr="00894701">
        <w:rPr>
          <w:rFonts w:cs="Arial"/>
          <w:bCs/>
          <w:color w:val="auto"/>
          <w:sz w:val="20"/>
        </w:rPr>
        <w:t>reporting</w:t>
      </w:r>
      <w:r w:rsidRPr="00894701">
        <w:rPr>
          <w:rFonts w:cs="Arial"/>
          <w:color w:val="auto"/>
          <w:sz w:val="20"/>
          <w:lang w:eastAsia="fr-FR"/>
        </w:rPr>
        <w:t xml:space="preserve"> templates to be used; and </w:t>
      </w:r>
    </w:p>
    <w:p w14:paraId="5A34D821" w14:textId="77777777" w:rsidR="005C6D61" w:rsidRPr="00894701" w:rsidRDefault="005C6D61" w:rsidP="00A834A8">
      <w:pPr>
        <w:numPr>
          <w:ilvl w:val="0"/>
          <w:numId w:val="55"/>
        </w:numPr>
        <w:autoSpaceDE w:val="0"/>
        <w:autoSpaceDN w:val="0"/>
        <w:adjustRightInd w:val="0"/>
        <w:spacing w:after="200" w:line="240" w:lineRule="auto"/>
        <w:ind w:left="568" w:hanging="284"/>
        <w:jc w:val="both"/>
        <w:rPr>
          <w:rFonts w:cs="Arial"/>
          <w:color w:val="auto"/>
          <w:sz w:val="20"/>
          <w:lang w:eastAsia="fr-FR"/>
        </w:rPr>
      </w:pPr>
      <w:r w:rsidRPr="00894701">
        <w:rPr>
          <w:rFonts w:cs="Arial"/>
          <w:color w:val="auto"/>
          <w:sz w:val="20"/>
          <w:lang w:eastAsia="fr-FR"/>
        </w:rPr>
        <w:t>assurances to be provided by reporting entities to ensure the credibility of the data made available to us.</w:t>
      </w:r>
    </w:p>
    <w:p w14:paraId="38545762" w14:textId="22C8CE1D" w:rsidR="005C6D61" w:rsidRPr="00894701" w:rsidRDefault="005C6D61" w:rsidP="00B226CF">
      <w:pPr>
        <w:spacing w:after="240"/>
        <w:jc w:val="both"/>
        <w:rPr>
          <w:rFonts w:cs="Arial"/>
          <w:color w:val="auto"/>
          <w:sz w:val="20"/>
          <w:lang w:eastAsia="fr-FR"/>
        </w:rPr>
      </w:pPr>
      <w:bookmarkStart w:id="75" w:name="_Toc433375890"/>
      <w:bookmarkStart w:id="76" w:name="_Toc458965361"/>
      <w:bookmarkStart w:id="77" w:name="_Toc517996480"/>
      <w:bookmarkStart w:id="78" w:name="_Toc6925729"/>
      <w:bookmarkStart w:id="79" w:name="_Toc101349931"/>
      <w:r w:rsidRPr="00894701">
        <w:rPr>
          <w:rFonts w:cs="Arial"/>
          <w:color w:val="auto"/>
          <w:sz w:val="20"/>
          <w:lang w:eastAsia="fr-FR"/>
        </w:rPr>
        <w:t>The results of the scoping analysis which were approved by the EITI</w:t>
      </w:r>
      <w:r w:rsidR="00BA093C" w:rsidRPr="00894701">
        <w:rPr>
          <w:rFonts w:cs="Arial"/>
          <w:color w:val="auto"/>
          <w:sz w:val="20"/>
          <w:lang w:eastAsia="fr-FR"/>
        </w:rPr>
        <w:t>-SR</w:t>
      </w:r>
      <w:r w:rsidRPr="00894701">
        <w:rPr>
          <w:rFonts w:cs="Arial"/>
          <w:color w:val="auto"/>
          <w:sz w:val="20"/>
          <w:lang w:eastAsia="fr-FR"/>
        </w:rPr>
        <w:t xml:space="preserve"> MSG can be found in Section 4 of this report</w:t>
      </w:r>
      <w:bookmarkStart w:id="80" w:name="_Toc374357832"/>
      <w:bookmarkStart w:id="81" w:name="_Toc374357969"/>
      <w:bookmarkStart w:id="82" w:name="_Toc374360205"/>
      <w:bookmarkEnd w:id="80"/>
      <w:bookmarkEnd w:id="81"/>
      <w:bookmarkEnd w:id="82"/>
      <w:r w:rsidRPr="00894701">
        <w:rPr>
          <w:rFonts w:cs="Arial"/>
          <w:color w:val="auto"/>
          <w:sz w:val="20"/>
          <w:lang w:eastAsia="fr-FR"/>
        </w:rPr>
        <w:t>.</w:t>
      </w:r>
    </w:p>
    <w:p w14:paraId="16A92BF0" w14:textId="77777777" w:rsidR="005C6D61" w:rsidRPr="00894701" w:rsidRDefault="005C6D61" w:rsidP="00BA093C">
      <w:pPr>
        <w:pStyle w:val="ListParagraph"/>
        <w:numPr>
          <w:ilvl w:val="1"/>
          <w:numId w:val="7"/>
        </w:numPr>
        <w:spacing w:before="240" w:after="240"/>
        <w:ind w:left="851" w:right="482" w:hanging="851"/>
        <w:outlineLvl w:val="1"/>
        <w:rPr>
          <w:b/>
          <w:sz w:val="28"/>
          <w:szCs w:val="28"/>
        </w:rPr>
      </w:pPr>
      <w:bookmarkStart w:id="83" w:name="_Toc104555384"/>
      <w:bookmarkStart w:id="84" w:name="_Toc122478841"/>
      <w:r w:rsidRPr="00894701">
        <w:rPr>
          <w:b/>
          <w:sz w:val="28"/>
          <w:szCs w:val="28"/>
        </w:rPr>
        <w:t>Data Collection</w:t>
      </w:r>
      <w:bookmarkEnd w:id="75"/>
      <w:bookmarkEnd w:id="76"/>
      <w:bookmarkEnd w:id="77"/>
      <w:bookmarkEnd w:id="78"/>
      <w:bookmarkEnd w:id="79"/>
      <w:bookmarkEnd w:id="83"/>
      <w:bookmarkEnd w:id="84"/>
    </w:p>
    <w:p w14:paraId="730747CA" w14:textId="77777777" w:rsidR="005C6D61" w:rsidRPr="00894701" w:rsidRDefault="005C6D61" w:rsidP="00B226CF">
      <w:pPr>
        <w:spacing w:after="180"/>
        <w:jc w:val="both"/>
        <w:rPr>
          <w:rFonts w:cs="Arial"/>
          <w:color w:val="auto"/>
          <w:sz w:val="20"/>
          <w:lang w:eastAsia="fr-FR"/>
        </w:rPr>
      </w:pPr>
      <w:r w:rsidRPr="00894701">
        <w:rPr>
          <w:rFonts w:cs="Arial"/>
          <w:color w:val="auto"/>
          <w:sz w:val="20"/>
          <w:lang w:eastAsia="fr-FR"/>
        </w:rPr>
        <w:t>Instructions have been developed, including reporting templates and reporting guidelines, requesting extractive entities and Government Agencies to report all required data.</w:t>
      </w:r>
    </w:p>
    <w:p w14:paraId="7959F3A9" w14:textId="21C3CAC6" w:rsidR="005C6D61" w:rsidRPr="00894701" w:rsidRDefault="005C6D61" w:rsidP="00B226CF">
      <w:pPr>
        <w:spacing w:after="60"/>
        <w:jc w:val="both"/>
        <w:rPr>
          <w:rFonts w:cs="Arial"/>
          <w:color w:val="auto"/>
          <w:sz w:val="20"/>
          <w:lang w:eastAsia="fr-FR"/>
        </w:rPr>
      </w:pPr>
      <w:r w:rsidRPr="00894701">
        <w:rPr>
          <w:rFonts w:cs="Arial"/>
          <w:color w:val="auto"/>
          <w:sz w:val="20"/>
          <w:lang w:eastAsia="fr-FR"/>
        </w:rPr>
        <w:t xml:space="preserve">The workshop webinars have been carried out </w:t>
      </w:r>
      <w:r w:rsidR="006E27E3" w:rsidRPr="00894701">
        <w:rPr>
          <w:rFonts w:cs="Arial"/>
          <w:color w:val="auto"/>
          <w:sz w:val="20"/>
          <w:lang w:eastAsia="fr-FR"/>
        </w:rPr>
        <w:t>in September 2022</w:t>
      </w:r>
      <w:r w:rsidRPr="00894701">
        <w:rPr>
          <w:rFonts w:cs="Arial"/>
          <w:color w:val="auto"/>
          <w:sz w:val="20"/>
          <w:lang w:eastAsia="fr-FR"/>
        </w:rPr>
        <w:t xml:space="preserve"> to present the:</w:t>
      </w:r>
    </w:p>
    <w:p w14:paraId="0AE58E2A" w14:textId="77777777" w:rsidR="005C6D61" w:rsidRPr="00894701" w:rsidRDefault="005C6D61" w:rsidP="00A834A8">
      <w:pPr>
        <w:numPr>
          <w:ilvl w:val="0"/>
          <w:numId w:val="55"/>
        </w:numPr>
        <w:autoSpaceDE w:val="0"/>
        <w:autoSpaceDN w:val="0"/>
        <w:adjustRightInd w:val="0"/>
        <w:spacing w:after="60" w:line="240" w:lineRule="auto"/>
        <w:ind w:left="567" w:hanging="283"/>
        <w:jc w:val="both"/>
        <w:rPr>
          <w:rFonts w:cs="Arial"/>
          <w:color w:val="auto"/>
          <w:sz w:val="20"/>
          <w:lang w:eastAsia="fr-FR"/>
        </w:rPr>
      </w:pPr>
      <w:r w:rsidRPr="00894701">
        <w:rPr>
          <w:rFonts w:cs="Arial"/>
          <w:color w:val="auto"/>
          <w:sz w:val="20"/>
          <w:lang w:eastAsia="fr-FR"/>
        </w:rPr>
        <w:t>reconciliation process;</w:t>
      </w:r>
    </w:p>
    <w:p w14:paraId="238B86CD" w14:textId="77777777" w:rsidR="005C6D61" w:rsidRPr="00894701" w:rsidRDefault="005C6D61" w:rsidP="00A834A8">
      <w:pPr>
        <w:numPr>
          <w:ilvl w:val="0"/>
          <w:numId w:val="55"/>
        </w:numPr>
        <w:autoSpaceDE w:val="0"/>
        <w:autoSpaceDN w:val="0"/>
        <w:adjustRightInd w:val="0"/>
        <w:spacing w:after="60" w:line="240" w:lineRule="auto"/>
        <w:ind w:left="567" w:hanging="283"/>
        <w:jc w:val="both"/>
        <w:rPr>
          <w:rFonts w:cs="Arial"/>
          <w:color w:val="auto"/>
          <w:sz w:val="20"/>
          <w:lang w:eastAsia="fr-FR"/>
        </w:rPr>
      </w:pPr>
      <w:r w:rsidRPr="00894701">
        <w:rPr>
          <w:rFonts w:cs="Arial"/>
          <w:color w:val="auto"/>
          <w:sz w:val="20"/>
          <w:lang w:eastAsia="fr-FR"/>
        </w:rPr>
        <w:t>reconciliation scope;</w:t>
      </w:r>
    </w:p>
    <w:p w14:paraId="3ABF1A06" w14:textId="77777777" w:rsidR="005C6D61" w:rsidRPr="00894701" w:rsidRDefault="005C6D61" w:rsidP="00A834A8">
      <w:pPr>
        <w:numPr>
          <w:ilvl w:val="0"/>
          <w:numId w:val="55"/>
        </w:numPr>
        <w:autoSpaceDE w:val="0"/>
        <w:autoSpaceDN w:val="0"/>
        <w:adjustRightInd w:val="0"/>
        <w:spacing w:after="60" w:line="240" w:lineRule="auto"/>
        <w:ind w:left="567" w:hanging="283"/>
        <w:jc w:val="both"/>
        <w:rPr>
          <w:rFonts w:cs="Arial"/>
          <w:color w:val="auto"/>
          <w:sz w:val="20"/>
          <w:lang w:eastAsia="fr-FR"/>
        </w:rPr>
      </w:pPr>
      <w:r w:rsidRPr="00894701">
        <w:rPr>
          <w:rFonts w:cs="Arial"/>
          <w:color w:val="auto"/>
          <w:sz w:val="20"/>
          <w:lang w:eastAsia="fr-FR"/>
        </w:rPr>
        <w:t>reporting templates and instructions;</w:t>
      </w:r>
    </w:p>
    <w:p w14:paraId="505630D2" w14:textId="77777777" w:rsidR="005C6D61" w:rsidRPr="00894701" w:rsidRDefault="005C6D61" w:rsidP="00A834A8">
      <w:pPr>
        <w:numPr>
          <w:ilvl w:val="0"/>
          <w:numId w:val="55"/>
        </w:numPr>
        <w:autoSpaceDE w:val="0"/>
        <w:autoSpaceDN w:val="0"/>
        <w:adjustRightInd w:val="0"/>
        <w:spacing w:after="60" w:line="240" w:lineRule="auto"/>
        <w:ind w:left="567" w:hanging="283"/>
        <w:jc w:val="both"/>
        <w:rPr>
          <w:rFonts w:cs="Arial"/>
          <w:color w:val="auto"/>
          <w:sz w:val="20"/>
          <w:lang w:eastAsia="fr-FR"/>
        </w:rPr>
      </w:pPr>
      <w:r w:rsidRPr="00894701">
        <w:rPr>
          <w:rFonts w:cs="Arial"/>
          <w:color w:val="auto"/>
          <w:sz w:val="20"/>
          <w:lang w:eastAsia="fr-FR"/>
        </w:rPr>
        <w:t>lessons learnt from the other reconciliation processes; and</w:t>
      </w:r>
    </w:p>
    <w:p w14:paraId="159BBD8F" w14:textId="77777777" w:rsidR="005C6D61" w:rsidRPr="00894701" w:rsidRDefault="005C6D61" w:rsidP="00A834A8">
      <w:pPr>
        <w:numPr>
          <w:ilvl w:val="0"/>
          <w:numId w:val="55"/>
        </w:numPr>
        <w:autoSpaceDE w:val="0"/>
        <w:autoSpaceDN w:val="0"/>
        <w:adjustRightInd w:val="0"/>
        <w:spacing w:after="180" w:line="240" w:lineRule="auto"/>
        <w:ind w:left="568" w:hanging="284"/>
        <w:jc w:val="both"/>
        <w:rPr>
          <w:rFonts w:cs="Arial"/>
          <w:color w:val="auto"/>
          <w:sz w:val="20"/>
          <w:lang w:eastAsia="fr-FR"/>
        </w:rPr>
      </w:pPr>
      <w:r w:rsidRPr="00894701">
        <w:rPr>
          <w:rFonts w:cs="Arial"/>
          <w:color w:val="auto"/>
          <w:sz w:val="20"/>
          <w:lang w:eastAsia="fr-FR"/>
        </w:rPr>
        <w:t>reconciliation issues.</w:t>
      </w:r>
    </w:p>
    <w:p w14:paraId="12C3E58D" w14:textId="77777777" w:rsidR="005C6D61" w:rsidRPr="00894701" w:rsidRDefault="005C6D61" w:rsidP="00B226CF">
      <w:pPr>
        <w:spacing w:after="180"/>
        <w:jc w:val="both"/>
        <w:rPr>
          <w:rFonts w:cs="Arial"/>
          <w:color w:val="auto"/>
          <w:sz w:val="20"/>
          <w:lang w:eastAsia="fr-FR"/>
        </w:rPr>
      </w:pPr>
      <w:r w:rsidRPr="00894701">
        <w:rPr>
          <w:rFonts w:cs="Arial"/>
          <w:color w:val="auto"/>
          <w:sz w:val="20"/>
          <w:lang w:eastAsia="fr-FR"/>
        </w:rPr>
        <w:t>The reporting package, including the Reporting Templates and the Instructions for its completion, was sent electronically to the stakeholders.</w:t>
      </w:r>
    </w:p>
    <w:p w14:paraId="004A1A75" w14:textId="04C7BA6E" w:rsidR="00160187" w:rsidRPr="00894701" w:rsidRDefault="005C6D61" w:rsidP="00B226CF">
      <w:pPr>
        <w:spacing w:after="240"/>
        <w:jc w:val="both"/>
        <w:rPr>
          <w:rFonts w:cs="Arial"/>
          <w:color w:val="auto"/>
          <w:sz w:val="20"/>
          <w:lang w:eastAsia="fr-FR"/>
        </w:rPr>
      </w:pPr>
      <w:r w:rsidRPr="00894701">
        <w:rPr>
          <w:rFonts w:cs="Arial"/>
          <w:color w:val="auto"/>
          <w:sz w:val="20"/>
          <w:lang w:eastAsia="fr-FR"/>
        </w:rPr>
        <w:t>Extractive entities and Government Agencies were required to report directly to the Independent Administrator (IA), to whom they were also requested to direct any queries about the reporting templates.</w:t>
      </w:r>
      <w:r w:rsidR="00160187" w:rsidRPr="00894701">
        <w:rPr>
          <w:rFonts w:cs="Arial"/>
          <w:color w:val="auto"/>
          <w:sz w:val="20"/>
          <w:lang w:eastAsia="fr-FR"/>
        </w:rPr>
        <w:br w:type="page"/>
      </w:r>
    </w:p>
    <w:p w14:paraId="7D47BE10" w14:textId="77777777" w:rsidR="005C6D61" w:rsidRPr="00894701" w:rsidRDefault="005C6D61" w:rsidP="00160187">
      <w:pPr>
        <w:jc w:val="both"/>
        <w:rPr>
          <w:rFonts w:cs="Arial"/>
          <w:color w:val="auto"/>
          <w:sz w:val="20"/>
          <w:lang w:eastAsia="fr-FR"/>
        </w:rPr>
      </w:pPr>
    </w:p>
    <w:p w14:paraId="6CDC84A2" w14:textId="77777777" w:rsidR="005C6D61" w:rsidRPr="00894701" w:rsidRDefault="005C6D61" w:rsidP="003451D6">
      <w:pPr>
        <w:pStyle w:val="ListParagraph"/>
        <w:numPr>
          <w:ilvl w:val="1"/>
          <w:numId w:val="7"/>
        </w:numPr>
        <w:spacing w:before="240" w:after="240"/>
        <w:ind w:left="851" w:right="482" w:hanging="851"/>
        <w:outlineLvl w:val="1"/>
        <w:rPr>
          <w:b/>
          <w:sz w:val="28"/>
          <w:szCs w:val="28"/>
        </w:rPr>
      </w:pPr>
      <w:bookmarkStart w:id="85" w:name="_Toc433375892"/>
      <w:bookmarkStart w:id="86" w:name="_Toc458965363"/>
      <w:bookmarkStart w:id="87" w:name="_Toc517996482"/>
      <w:bookmarkStart w:id="88" w:name="_Toc6925731"/>
      <w:bookmarkStart w:id="89" w:name="_Toc101349933"/>
      <w:bookmarkStart w:id="90" w:name="_Toc104555386"/>
      <w:bookmarkStart w:id="91" w:name="_Toc122478842"/>
      <w:r w:rsidRPr="00894701">
        <w:rPr>
          <w:b/>
          <w:sz w:val="28"/>
          <w:szCs w:val="28"/>
        </w:rPr>
        <w:t>Reliability and Credibility of Data Reported</w:t>
      </w:r>
      <w:bookmarkEnd w:id="85"/>
      <w:bookmarkEnd w:id="86"/>
      <w:bookmarkEnd w:id="87"/>
      <w:bookmarkEnd w:id="88"/>
      <w:bookmarkEnd w:id="89"/>
      <w:bookmarkEnd w:id="90"/>
      <w:bookmarkEnd w:id="91"/>
    </w:p>
    <w:p w14:paraId="233B1C35" w14:textId="77777777" w:rsidR="004231F6" w:rsidRPr="00894701" w:rsidRDefault="004231F6" w:rsidP="004231F6">
      <w:pPr>
        <w:jc w:val="both"/>
        <w:rPr>
          <w:rFonts w:cs="Arial"/>
          <w:bCs/>
          <w:color w:val="auto"/>
          <w:sz w:val="20"/>
        </w:rPr>
      </w:pPr>
      <w:r w:rsidRPr="00894701">
        <w:rPr>
          <w:rFonts w:cs="Arial"/>
          <w:bCs/>
          <w:color w:val="auto"/>
          <w:sz w:val="20"/>
        </w:rPr>
        <w:t xml:space="preserve">In order to comply with </w:t>
      </w:r>
      <w:r w:rsidRPr="00894701">
        <w:rPr>
          <w:color w:val="000000"/>
          <w:sz w:val="20"/>
        </w:rPr>
        <w:t xml:space="preserve">Requirements 4.3, 4.4, 4.6, 4.9 and 5.2.b of the 2019 EITI Standard, </w:t>
      </w:r>
      <w:r w:rsidRPr="00894701">
        <w:rPr>
          <w:rFonts w:cs="Arial"/>
          <w:bCs/>
          <w:color w:val="auto"/>
          <w:sz w:val="20"/>
        </w:rPr>
        <w:t>the EITI-SR MSG agreed on a procedure to address data quality and assurance of information submitted by reporting entities.</w:t>
      </w:r>
    </w:p>
    <w:p w14:paraId="2DB5ED6E" w14:textId="59182B47" w:rsidR="004231F6" w:rsidRPr="00894701" w:rsidRDefault="004231F6" w:rsidP="004231F6">
      <w:pPr>
        <w:jc w:val="both"/>
        <w:rPr>
          <w:rFonts w:cs="Arial"/>
          <w:bCs/>
          <w:color w:val="auto"/>
          <w:sz w:val="20"/>
        </w:rPr>
      </w:pPr>
      <w:r w:rsidRPr="00894701">
        <w:rPr>
          <w:rFonts w:cs="Arial"/>
          <w:bCs/>
          <w:color w:val="auto"/>
          <w:sz w:val="20"/>
        </w:rPr>
        <w:t xml:space="preserve">To ensure that </w:t>
      </w:r>
      <w:r w:rsidRPr="00894701">
        <w:rPr>
          <w:color w:val="000000"/>
          <w:sz w:val="20"/>
        </w:rPr>
        <w:t xml:space="preserve">EITI data submitted by reporting entities are subject to credible, independent audits, applying international auditing standards and the </w:t>
      </w:r>
      <w:r w:rsidRPr="00894701">
        <w:rPr>
          <w:rFonts w:cs="Arial"/>
          <w:bCs/>
          <w:color w:val="auto"/>
          <w:sz w:val="20"/>
        </w:rPr>
        <w:t>quality of data reported by reporting entities, we recommended the following approach with regards to the reporting process by Government Agencies and extractive companies included in the EITI-SR reporting scope:</w:t>
      </w:r>
    </w:p>
    <w:p w14:paraId="37625613" w14:textId="77777777" w:rsidR="004231F6" w:rsidRPr="00894701" w:rsidRDefault="004231F6" w:rsidP="004231F6">
      <w:pPr>
        <w:pStyle w:val="ListParagraph"/>
        <w:numPr>
          <w:ilvl w:val="0"/>
          <w:numId w:val="24"/>
        </w:numPr>
        <w:spacing w:line="240" w:lineRule="auto"/>
        <w:ind w:left="360"/>
        <w:contextualSpacing w:val="0"/>
        <w:jc w:val="both"/>
        <w:rPr>
          <w:rFonts w:cs="Arial"/>
          <w:bCs/>
          <w:color w:val="auto"/>
          <w:sz w:val="20"/>
        </w:rPr>
      </w:pPr>
      <w:r w:rsidRPr="00894701">
        <w:rPr>
          <w:rFonts w:cs="Arial"/>
          <w:bCs/>
          <w:color w:val="auto"/>
          <w:sz w:val="20"/>
        </w:rPr>
        <w:t>the declarations made by companies and Government Agencies should be signed by an authorised senior officer (at management level) and an authorised senior official respectively;</w:t>
      </w:r>
    </w:p>
    <w:p w14:paraId="528CEAD2" w14:textId="77777777" w:rsidR="004231F6" w:rsidRPr="00894701" w:rsidRDefault="004231F6" w:rsidP="004231F6">
      <w:pPr>
        <w:pStyle w:val="ListParagraph"/>
        <w:numPr>
          <w:ilvl w:val="0"/>
          <w:numId w:val="24"/>
        </w:numPr>
        <w:spacing w:line="240" w:lineRule="auto"/>
        <w:ind w:left="360"/>
        <w:contextualSpacing w:val="0"/>
        <w:jc w:val="both"/>
        <w:rPr>
          <w:rFonts w:cs="Arial"/>
          <w:bCs/>
          <w:color w:val="auto"/>
          <w:sz w:val="20"/>
        </w:rPr>
      </w:pPr>
      <w:r w:rsidRPr="00894701">
        <w:rPr>
          <w:rFonts w:cs="Arial"/>
          <w:bCs/>
          <w:color w:val="auto"/>
          <w:sz w:val="20"/>
        </w:rPr>
        <w:t xml:space="preserve">government agencies: the Auditor General must certify that the figures reported by Government Agencies are complete and agree with the audited accounts for the fiscal years 2018, 2019 and 2020; and </w:t>
      </w:r>
    </w:p>
    <w:p w14:paraId="031964EB" w14:textId="77777777" w:rsidR="004231F6" w:rsidRPr="00894701" w:rsidRDefault="004231F6" w:rsidP="004231F6">
      <w:pPr>
        <w:pStyle w:val="ListParagraph"/>
        <w:numPr>
          <w:ilvl w:val="0"/>
          <w:numId w:val="24"/>
        </w:numPr>
        <w:spacing w:line="240" w:lineRule="auto"/>
        <w:ind w:left="360"/>
        <w:contextualSpacing w:val="0"/>
        <w:jc w:val="both"/>
        <w:rPr>
          <w:rFonts w:cs="Arial"/>
          <w:bCs/>
          <w:color w:val="auto"/>
          <w:sz w:val="20"/>
        </w:rPr>
      </w:pPr>
      <w:r w:rsidRPr="00894701">
        <w:rPr>
          <w:rFonts w:cs="Arial"/>
          <w:bCs/>
          <w:color w:val="auto"/>
          <w:sz w:val="20"/>
        </w:rPr>
        <w:t>extractive entities selected in the reconciliation scope would be required to submit their audited financial statements for the fiscal years 2018, 2019 2020.</w:t>
      </w:r>
    </w:p>
    <w:p w14:paraId="00412AB2" w14:textId="77777777" w:rsidR="004231F6" w:rsidRPr="00894701" w:rsidRDefault="004231F6" w:rsidP="004231F6">
      <w:pPr>
        <w:spacing w:after="240"/>
        <w:jc w:val="both"/>
        <w:rPr>
          <w:rFonts w:asciiTheme="majorHAnsi" w:hAnsiTheme="majorHAnsi" w:cs="Arial"/>
          <w:vertAlign w:val="superscript"/>
        </w:rPr>
      </w:pPr>
      <w:r w:rsidRPr="00894701">
        <w:rPr>
          <w:rFonts w:asciiTheme="majorHAnsi" w:hAnsiTheme="majorHAnsi" w:cs="Arial"/>
          <w:bCs/>
          <w:color w:val="auto"/>
          <w:sz w:val="20"/>
        </w:rPr>
        <w:t>Any changes to the information provided in the original data collection templates, supporting documents and/or confirmation from reporting entities will have to be made available to the Independent Administrator.</w:t>
      </w:r>
    </w:p>
    <w:p w14:paraId="5F0F9F4B" w14:textId="77777777" w:rsidR="004231F6" w:rsidRPr="00894701" w:rsidRDefault="004231F6" w:rsidP="004231F6">
      <w:pPr>
        <w:pStyle w:val="ListParagraph"/>
        <w:numPr>
          <w:ilvl w:val="1"/>
          <w:numId w:val="7"/>
        </w:numPr>
        <w:spacing w:before="240" w:after="240"/>
        <w:ind w:left="851" w:right="482" w:hanging="851"/>
        <w:outlineLvl w:val="1"/>
        <w:rPr>
          <w:b/>
          <w:sz w:val="28"/>
          <w:szCs w:val="28"/>
        </w:rPr>
      </w:pPr>
      <w:bookmarkStart w:id="92" w:name="_Toc101349934"/>
      <w:bookmarkStart w:id="93" w:name="_Toc104555387"/>
      <w:bookmarkStart w:id="94" w:name="_Toc122478843"/>
      <w:r w:rsidRPr="00894701">
        <w:rPr>
          <w:b/>
          <w:sz w:val="28"/>
          <w:szCs w:val="28"/>
        </w:rPr>
        <w:t>Accounting records</w:t>
      </w:r>
      <w:bookmarkEnd w:id="92"/>
      <w:bookmarkEnd w:id="93"/>
      <w:bookmarkEnd w:id="94"/>
    </w:p>
    <w:p w14:paraId="755EECA9" w14:textId="77777777" w:rsidR="004231F6" w:rsidRPr="00894701" w:rsidRDefault="004231F6" w:rsidP="004231F6">
      <w:pPr>
        <w:spacing w:after="180"/>
        <w:jc w:val="both"/>
        <w:rPr>
          <w:rFonts w:cs="Arial"/>
          <w:bCs/>
          <w:color w:val="auto"/>
          <w:sz w:val="20"/>
        </w:rPr>
      </w:pPr>
      <w:r w:rsidRPr="00894701">
        <w:rPr>
          <w:rFonts w:cs="Arial"/>
          <w:bCs/>
          <w:color w:val="auto"/>
          <w:sz w:val="20"/>
        </w:rPr>
        <w:t>In accordance with Requirement 4.7 of the EITI Standard, data has been reported by company, by payment flow and by Government Agency. Reporting entities were asked to provide relevant details along with the reporting templates for each payment flow, as well as contextual information.</w:t>
      </w:r>
    </w:p>
    <w:p w14:paraId="55A9F8F8" w14:textId="77777777" w:rsidR="004231F6" w:rsidRPr="00894701" w:rsidRDefault="004231F6" w:rsidP="004231F6">
      <w:pPr>
        <w:spacing w:after="180"/>
        <w:jc w:val="both"/>
        <w:rPr>
          <w:rFonts w:cs="Arial"/>
          <w:bCs/>
          <w:color w:val="auto"/>
          <w:sz w:val="20"/>
        </w:rPr>
      </w:pPr>
      <w:bookmarkStart w:id="95" w:name="_Toc477130975"/>
      <w:bookmarkEnd w:id="95"/>
      <w:r w:rsidRPr="00894701">
        <w:rPr>
          <w:rFonts w:cs="Arial"/>
          <w:bCs/>
          <w:color w:val="auto"/>
          <w:sz w:val="20"/>
        </w:rPr>
        <w:t>The reconciliation has been carried out on a cash basis. Accordingly, payments made prior to 1 January for each year have been excluded. The same applies to payments made after 31 December for each year.</w:t>
      </w:r>
    </w:p>
    <w:p w14:paraId="74C11962" w14:textId="77777777" w:rsidR="004231F6" w:rsidRPr="00894701" w:rsidRDefault="004231F6" w:rsidP="004231F6">
      <w:pPr>
        <w:spacing w:after="180"/>
        <w:jc w:val="both"/>
        <w:rPr>
          <w:rFonts w:cs="Arial"/>
          <w:bCs/>
          <w:color w:val="auto"/>
          <w:sz w:val="20"/>
        </w:rPr>
      </w:pPr>
      <w:r w:rsidRPr="00894701">
        <w:rPr>
          <w:rFonts w:cs="Arial"/>
          <w:bCs/>
          <w:color w:val="auto"/>
          <w:sz w:val="20"/>
        </w:rPr>
        <w:t>For payments made in United States Dollars, the reporting entities were required to report in the currency of payment. Payments made in US Dollars have been converted to SRD at the average rate for the period per CBvS of USD 1 = 7.396.</w:t>
      </w:r>
    </w:p>
    <w:p w14:paraId="2EF7B5E5" w14:textId="01D0E3C6" w:rsidR="004231F6" w:rsidRPr="00894701" w:rsidRDefault="004231F6" w:rsidP="00A834A8">
      <w:pPr>
        <w:pStyle w:val="AltMinorHeading"/>
        <w:numPr>
          <w:ilvl w:val="2"/>
          <w:numId w:val="81"/>
        </w:numPr>
      </w:pPr>
      <w:bookmarkStart w:id="96" w:name="_Toc101349935"/>
      <w:bookmarkStart w:id="97" w:name="_Toc122478844"/>
      <w:r w:rsidRPr="00894701">
        <w:t>Extractive entities</w:t>
      </w:r>
      <w:bookmarkEnd w:id="96"/>
      <w:bookmarkEnd w:id="97"/>
    </w:p>
    <w:p w14:paraId="7009DE3E" w14:textId="0F413B48" w:rsidR="004231F6" w:rsidRPr="00894701" w:rsidRDefault="004231F6" w:rsidP="004231F6">
      <w:pPr>
        <w:spacing w:after="240"/>
        <w:jc w:val="both"/>
        <w:rPr>
          <w:rFonts w:cs="Arial"/>
          <w:color w:val="000000"/>
          <w:sz w:val="20"/>
          <w:lang w:eastAsia="fr-FR"/>
        </w:rPr>
      </w:pPr>
      <w:r w:rsidRPr="00894701">
        <w:rPr>
          <w:rFonts w:cs="Arial"/>
          <w:color w:val="000000"/>
          <w:sz w:val="20"/>
          <w:lang w:eastAsia="fr-FR"/>
        </w:rPr>
        <w:t>Extractive entities usually prepare their accounting records on the accrual basis, i.e. the tax expense is recognised at the time it is due rather than the time when it is paid. However, only amounts actually paid during the three fiscal years 2018, 2019 and 2020, i.e. from 1 January to 31 December for each year should be declared in the reporting templates.</w:t>
      </w:r>
    </w:p>
    <w:p w14:paraId="459FD860" w14:textId="77777777" w:rsidR="004231F6" w:rsidRPr="00894701" w:rsidRDefault="004231F6" w:rsidP="00A834A8">
      <w:pPr>
        <w:pStyle w:val="AltMinorHeading"/>
        <w:numPr>
          <w:ilvl w:val="2"/>
          <w:numId w:val="81"/>
        </w:numPr>
        <w:tabs>
          <w:tab w:val="num" w:pos="360"/>
        </w:tabs>
      </w:pPr>
      <w:bookmarkStart w:id="98" w:name="_Toc101349936"/>
      <w:bookmarkStart w:id="99" w:name="_Toc122478845"/>
      <w:r w:rsidRPr="00894701">
        <w:t>Government Agencies</w:t>
      </w:r>
      <w:bookmarkEnd w:id="98"/>
      <w:bookmarkEnd w:id="99"/>
    </w:p>
    <w:p w14:paraId="40BDCE84" w14:textId="3E01118B" w:rsidR="00EA6F55" w:rsidRPr="00894701" w:rsidRDefault="004231F6" w:rsidP="004231F6">
      <w:pPr>
        <w:autoSpaceDE w:val="0"/>
        <w:autoSpaceDN w:val="0"/>
        <w:adjustRightInd w:val="0"/>
        <w:spacing w:before="120" w:line="240" w:lineRule="auto"/>
        <w:ind w:right="480"/>
        <w:jc w:val="both"/>
        <w:rPr>
          <w:rFonts w:asciiTheme="majorHAnsi" w:hAnsiTheme="majorHAnsi"/>
          <w:bCs/>
          <w:color w:val="000000" w:themeColor="text1"/>
          <w:sz w:val="20"/>
          <w:szCs w:val="20"/>
          <w:lang w:eastAsia="fr-FR"/>
        </w:rPr>
      </w:pPr>
      <w:r w:rsidRPr="00894701">
        <w:rPr>
          <w:rFonts w:cs="Arial"/>
          <w:color w:val="000000"/>
          <w:sz w:val="20"/>
          <w:lang w:eastAsia="fr-FR"/>
        </w:rPr>
        <w:t>In respect of Government Agencies, care has been taken to ensure that amounts shown on the “</w:t>
      </w:r>
      <w:hyperlink r:id="rId33" w:history="1">
        <w:r w:rsidRPr="00894701">
          <w:rPr>
            <w:rFonts w:cs="Arial"/>
            <w:color w:val="000000"/>
            <w:sz w:val="20"/>
            <w:lang w:eastAsia="fr-FR"/>
          </w:rPr>
          <w:t>Payment/Receipt Report</w:t>
        </w:r>
      </w:hyperlink>
      <w:r w:rsidRPr="00894701">
        <w:rPr>
          <w:rFonts w:cs="Arial"/>
          <w:color w:val="000000"/>
          <w:sz w:val="20"/>
          <w:lang w:eastAsia="fr-FR"/>
        </w:rPr>
        <w:t>” line include all receipts in the 2018, 2019 and 2020 fiscal years, irrespective of whether the receipt was allocated in the Agency’s records against amounts due in previous or subsequent fiscal years.</w:t>
      </w:r>
    </w:p>
    <w:p w14:paraId="011DBC6D" w14:textId="5ED5A539" w:rsidR="002E42C8" w:rsidRPr="00894701" w:rsidRDefault="00FD1792" w:rsidP="00A8672F">
      <w:pPr>
        <w:pStyle w:val="NumHeading"/>
        <w:rPr>
          <w:caps w:val="0"/>
          <w:sz w:val="36"/>
          <w:szCs w:val="36"/>
        </w:rPr>
      </w:pPr>
      <w:bookmarkStart w:id="100" w:name="_Toc403983704"/>
      <w:bookmarkStart w:id="101" w:name="_Toc54273775"/>
      <w:bookmarkStart w:id="102" w:name="_Toc54273870"/>
      <w:bookmarkStart w:id="103" w:name="_Toc54273964"/>
      <w:bookmarkStart w:id="104" w:name="_Toc54297023"/>
      <w:bookmarkStart w:id="105" w:name="_Toc54273663"/>
      <w:bookmarkStart w:id="106" w:name="_Toc54273778"/>
      <w:bookmarkStart w:id="107" w:name="_Toc54273873"/>
      <w:bookmarkStart w:id="108" w:name="_Toc54273967"/>
      <w:bookmarkStart w:id="109" w:name="_Toc54297026"/>
      <w:bookmarkStart w:id="110" w:name="_Toc122478846"/>
      <w:bookmarkEnd w:id="100"/>
      <w:bookmarkEnd w:id="101"/>
      <w:bookmarkEnd w:id="102"/>
      <w:bookmarkEnd w:id="103"/>
      <w:bookmarkEnd w:id="104"/>
      <w:bookmarkEnd w:id="105"/>
      <w:bookmarkEnd w:id="106"/>
      <w:bookmarkEnd w:id="107"/>
      <w:bookmarkEnd w:id="108"/>
      <w:bookmarkEnd w:id="109"/>
      <w:r w:rsidRPr="00894701">
        <w:rPr>
          <w:caps w:val="0"/>
          <w:sz w:val="36"/>
          <w:szCs w:val="36"/>
        </w:rPr>
        <w:lastRenderedPageBreak/>
        <w:t>CONTEXTUAL INFORMATION ON THE EXTRACTIVE SECTORS</w:t>
      </w:r>
      <w:bookmarkEnd w:id="110"/>
      <w:r w:rsidR="00206BA2" w:rsidRPr="00894701">
        <w:rPr>
          <w:caps w:val="0"/>
          <w:sz w:val="36"/>
          <w:szCs w:val="36"/>
        </w:rPr>
        <w:t xml:space="preserve"> </w:t>
      </w:r>
    </w:p>
    <w:p w14:paraId="29FC2380" w14:textId="5B933FF6" w:rsidR="00946A22" w:rsidRPr="00894701" w:rsidRDefault="006A502C" w:rsidP="0063282C">
      <w:pPr>
        <w:pStyle w:val="ListParagraph"/>
        <w:numPr>
          <w:ilvl w:val="1"/>
          <w:numId w:val="7"/>
        </w:numPr>
        <w:spacing w:before="240" w:after="240"/>
        <w:ind w:left="851" w:right="482" w:hanging="851"/>
        <w:jc w:val="both"/>
        <w:outlineLvl w:val="1"/>
        <w:rPr>
          <w:b/>
          <w:sz w:val="28"/>
          <w:szCs w:val="28"/>
        </w:rPr>
      </w:pPr>
      <w:bookmarkStart w:id="111" w:name="_Toc122478847"/>
      <w:bookmarkStart w:id="112" w:name="_Hlk113871325"/>
      <w:r w:rsidRPr="00894701">
        <w:rPr>
          <w:b/>
          <w:sz w:val="28"/>
          <w:szCs w:val="28"/>
        </w:rPr>
        <w:t>Overview of the extractives industries including prospecting activities</w:t>
      </w:r>
      <w:r w:rsidR="00206BA2" w:rsidRPr="00894701">
        <w:rPr>
          <w:b/>
          <w:sz w:val="28"/>
          <w:szCs w:val="28"/>
        </w:rPr>
        <w:t xml:space="preserve"> </w:t>
      </w:r>
      <w:r w:rsidR="00AD7D98" w:rsidRPr="00894701">
        <w:rPr>
          <w:b/>
          <w:sz w:val="28"/>
          <w:szCs w:val="28"/>
        </w:rPr>
        <w:t>(EITI Requirement 3.1)</w:t>
      </w:r>
      <w:bookmarkEnd w:id="111"/>
    </w:p>
    <w:bookmarkEnd w:id="112"/>
    <w:p w14:paraId="46413F06" w14:textId="1C203BC5" w:rsidR="009971BA" w:rsidRPr="00894701" w:rsidRDefault="009971BA" w:rsidP="009971BA">
      <w:pPr>
        <w:pStyle w:val="BodyText"/>
        <w:jc w:val="both"/>
        <w:rPr>
          <w:rFonts w:asciiTheme="minorHAnsi" w:hAnsiTheme="minorHAnsi" w:cs="Arial"/>
          <w:color w:val="auto"/>
          <w:sz w:val="20"/>
        </w:rPr>
      </w:pPr>
      <w:r w:rsidRPr="00894701">
        <w:rPr>
          <w:rFonts w:asciiTheme="minorHAnsi" w:hAnsiTheme="minorHAnsi" w:cs="Arial"/>
          <w:color w:val="auto"/>
          <w:sz w:val="20"/>
        </w:rPr>
        <w:t xml:space="preserve">The Surinamese economy is dominated by natural resources: oil, gold and bauxite account representing </w:t>
      </w:r>
      <w:r w:rsidR="00414B93" w:rsidRPr="00894701">
        <w:rPr>
          <w:rFonts w:asciiTheme="minorHAnsi" w:hAnsiTheme="minorHAnsi" w:cs="Arial"/>
          <w:color w:val="auto"/>
          <w:sz w:val="20"/>
        </w:rPr>
        <w:t>14</w:t>
      </w:r>
      <w:r w:rsidRPr="00894701">
        <w:rPr>
          <w:rFonts w:asciiTheme="minorHAnsi" w:hAnsiTheme="minorHAnsi" w:cs="Arial"/>
          <w:color w:val="auto"/>
          <w:sz w:val="20"/>
        </w:rPr>
        <w:t xml:space="preserve">% of exports and </w:t>
      </w:r>
      <w:r w:rsidR="00414B93" w:rsidRPr="00894701">
        <w:rPr>
          <w:rFonts w:asciiTheme="minorHAnsi" w:hAnsiTheme="minorHAnsi" w:cs="Arial"/>
          <w:color w:val="auto"/>
          <w:sz w:val="20"/>
        </w:rPr>
        <w:t>6</w:t>
      </w:r>
      <w:r w:rsidRPr="00894701">
        <w:rPr>
          <w:rFonts w:asciiTheme="minorHAnsi" w:hAnsiTheme="minorHAnsi" w:cs="Arial"/>
          <w:color w:val="auto"/>
          <w:sz w:val="20"/>
        </w:rPr>
        <w:t>% of GDP</w:t>
      </w:r>
      <w:r w:rsidR="00414B93" w:rsidRPr="00894701">
        <w:rPr>
          <w:rFonts w:asciiTheme="minorHAnsi" w:hAnsiTheme="minorHAnsi" w:cs="Arial"/>
          <w:color w:val="auto"/>
          <w:sz w:val="20"/>
        </w:rPr>
        <w:t xml:space="preserve"> in 2020</w:t>
      </w:r>
      <w:r w:rsidR="00414B93" w:rsidRPr="00894701">
        <w:rPr>
          <w:rStyle w:val="FootnoteReference"/>
          <w:rFonts w:asciiTheme="minorHAnsi" w:hAnsiTheme="minorHAnsi" w:cs="Arial"/>
          <w:color w:val="auto"/>
          <w:sz w:val="20"/>
        </w:rPr>
        <w:footnoteReference w:id="7"/>
      </w:r>
      <w:r w:rsidRPr="00894701">
        <w:rPr>
          <w:rFonts w:asciiTheme="minorHAnsi" w:hAnsiTheme="minorHAnsi" w:cs="Arial"/>
          <w:color w:val="auto"/>
          <w:sz w:val="20"/>
        </w:rPr>
        <w:t xml:space="preserve">. </w:t>
      </w:r>
    </w:p>
    <w:p w14:paraId="50D95683" w14:textId="585BF2D9" w:rsidR="009971BA" w:rsidRPr="00894701" w:rsidRDefault="009971BA" w:rsidP="009971BA">
      <w:pPr>
        <w:pStyle w:val="BodyText"/>
        <w:jc w:val="both"/>
        <w:rPr>
          <w:rFonts w:asciiTheme="minorHAnsi" w:hAnsiTheme="minorHAnsi"/>
          <w:color w:val="auto"/>
          <w:sz w:val="20"/>
          <w:szCs w:val="20"/>
          <w:lang w:eastAsia="fr-FR"/>
        </w:rPr>
      </w:pPr>
      <w:r w:rsidRPr="00894701">
        <w:rPr>
          <w:rFonts w:asciiTheme="minorHAnsi" w:hAnsiTheme="minorHAnsi" w:cs="Arial"/>
          <w:color w:val="auto"/>
          <w:sz w:val="20"/>
        </w:rPr>
        <w:t xml:space="preserve">The natural resources available </w:t>
      </w:r>
      <w:r w:rsidR="00F4500D">
        <w:rPr>
          <w:rFonts w:asciiTheme="minorHAnsi" w:hAnsiTheme="minorHAnsi" w:cs="Arial"/>
          <w:color w:val="auto"/>
          <w:sz w:val="20"/>
        </w:rPr>
        <w:t xml:space="preserve">in the country </w:t>
      </w:r>
      <w:r w:rsidRPr="00894701">
        <w:rPr>
          <w:rFonts w:asciiTheme="minorHAnsi" w:hAnsiTheme="minorHAnsi" w:cs="Arial"/>
          <w:color w:val="auto"/>
          <w:sz w:val="20"/>
        </w:rPr>
        <w:t xml:space="preserve">form an important </w:t>
      </w:r>
      <w:r w:rsidR="00F4500D">
        <w:rPr>
          <w:rFonts w:asciiTheme="minorHAnsi" w:hAnsiTheme="minorHAnsi" w:cs="Arial"/>
          <w:color w:val="auto"/>
          <w:sz w:val="20"/>
        </w:rPr>
        <w:t>contribute</w:t>
      </w:r>
      <w:r w:rsidRPr="00894701">
        <w:rPr>
          <w:rFonts w:asciiTheme="minorHAnsi" w:hAnsiTheme="minorHAnsi" w:cs="Arial"/>
          <w:color w:val="auto"/>
          <w:sz w:val="20"/>
        </w:rPr>
        <w:t xml:space="preserve"> significant</w:t>
      </w:r>
      <w:r w:rsidR="00F4500D">
        <w:rPr>
          <w:rFonts w:asciiTheme="minorHAnsi" w:hAnsiTheme="minorHAnsi" w:cs="Arial"/>
          <w:color w:val="auto"/>
          <w:sz w:val="20"/>
        </w:rPr>
        <w:t>ly</w:t>
      </w:r>
      <w:r w:rsidRPr="00894701">
        <w:rPr>
          <w:rFonts w:asciiTheme="minorHAnsi" w:hAnsiTheme="minorHAnsi" w:cs="Arial"/>
          <w:color w:val="auto"/>
          <w:sz w:val="20"/>
        </w:rPr>
        <w:t xml:space="preserve"> to the welfare and prosperity of the Surinamese nation. The</w:t>
      </w:r>
      <w:r w:rsidR="00F4500D">
        <w:rPr>
          <w:rFonts w:asciiTheme="minorHAnsi" w:hAnsiTheme="minorHAnsi" w:cs="Arial"/>
          <w:color w:val="auto"/>
          <w:sz w:val="20"/>
        </w:rPr>
        <w:t xml:space="preserve"> government</w:t>
      </w:r>
      <w:r w:rsidRPr="00894701">
        <w:rPr>
          <w:rFonts w:asciiTheme="minorHAnsi" w:hAnsiTheme="minorHAnsi" w:cs="Arial"/>
          <w:color w:val="auto"/>
          <w:sz w:val="20"/>
        </w:rPr>
        <w:t xml:space="preserve"> policy in this context is based on the principle that all resources present in Suriname are made available to and benefit the entire Surinamese population. As a result, the Ministry of Natural Resources (MoNR) occupies an important place in national production by focusing on increasing national income. To achieve this objective</w:t>
      </w:r>
      <w:r w:rsidR="00F4500D">
        <w:rPr>
          <w:rFonts w:asciiTheme="minorHAnsi" w:hAnsiTheme="minorHAnsi" w:cs="Arial"/>
          <w:color w:val="auto"/>
          <w:sz w:val="20"/>
        </w:rPr>
        <w:t>,</w:t>
      </w:r>
      <w:r w:rsidRPr="00894701">
        <w:rPr>
          <w:rFonts w:asciiTheme="minorHAnsi" w:hAnsiTheme="minorHAnsi" w:cs="Arial"/>
          <w:color w:val="auto"/>
          <w:sz w:val="20"/>
        </w:rPr>
        <w:t xml:space="preserve"> few departments, such as Energy and Water supply and Mining, were </w:t>
      </w:r>
      <w:r w:rsidR="00F4500D">
        <w:rPr>
          <w:rFonts w:asciiTheme="minorHAnsi" w:hAnsiTheme="minorHAnsi" w:cs="Arial"/>
          <w:color w:val="auto"/>
          <w:sz w:val="20"/>
        </w:rPr>
        <w:t>created</w:t>
      </w:r>
      <w:r w:rsidR="00F4500D" w:rsidRPr="00894701">
        <w:rPr>
          <w:rFonts w:asciiTheme="minorHAnsi" w:hAnsiTheme="minorHAnsi" w:cs="Arial"/>
          <w:color w:val="auto"/>
          <w:sz w:val="20"/>
        </w:rPr>
        <w:t xml:space="preserve"> </w:t>
      </w:r>
      <w:r w:rsidRPr="00894701">
        <w:rPr>
          <w:rFonts w:asciiTheme="minorHAnsi" w:hAnsiTheme="minorHAnsi" w:cs="Arial"/>
          <w:color w:val="auto"/>
          <w:sz w:val="20"/>
        </w:rPr>
        <w:t xml:space="preserve">with specific tasks. </w:t>
      </w:r>
    </w:p>
    <w:p w14:paraId="3CD8BB9A" w14:textId="77777777" w:rsidR="009971BA" w:rsidRPr="00894701" w:rsidRDefault="009971BA" w:rsidP="00A834A8">
      <w:pPr>
        <w:pStyle w:val="AltMinorHeading"/>
        <w:numPr>
          <w:ilvl w:val="2"/>
          <w:numId w:val="58"/>
        </w:numPr>
        <w:tabs>
          <w:tab w:val="num" w:pos="360"/>
        </w:tabs>
        <w:ind w:left="0" w:firstLine="0"/>
        <w:rPr>
          <w:szCs w:val="28"/>
        </w:rPr>
      </w:pPr>
      <w:bookmarkStart w:id="113" w:name="_Toc122478848"/>
      <w:r w:rsidRPr="00894701">
        <w:rPr>
          <w:szCs w:val="28"/>
        </w:rPr>
        <w:t>Context of the mining sector</w:t>
      </w:r>
      <w:bookmarkEnd w:id="113"/>
      <w:r w:rsidRPr="00894701">
        <w:rPr>
          <w:szCs w:val="28"/>
        </w:rPr>
        <w:t xml:space="preserve"> </w:t>
      </w:r>
    </w:p>
    <w:p w14:paraId="61A1DEE1" w14:textId="77777777" w:rsidR="009971BA" w:rsidRPr="00894701" w:rsidRDefault="009971BA" w:rsidP="009971BA">
      <w:pPr>
        <w:pStyle w:val="AltMinorSubHeading"/>
        <w:spacing w:before="120" w:after="120"/>
      </w:pPr>
      <w:bookmarkStart w:id="114" w:name="_Toc101349940"/>
      <w:bookmarkStart w:id="115" w:name="_Toc122478849"/>
      <w:r w:rsidRPr="00894701">
        <w:t>3.1.1.(a) Overview of the mining sector</w:t>
      </w:r>
      <w:bookmarkEnd w:id="114"/>
      <w:bookmarkEnd w:id="115"/>
    </w:p>
    <w:p w14:paraId="6D9A8BC1" w14:textId="5AACC8CF" w:rsidR="000D7D47" w:rsidRDefault="000D7D47" w:rsidP="006F2239">
      <w:pPr>
        <w:pStyle w:val="BodyText"/>
        <w:jc w:val="both"/>
        <w:rPr>
          <w:rFonts w:asciiTheme="minorHAnsi" w:hAnsiTheme="minorHAnsi" w:cs="Arial"/>
          <w:color w:val="auto"/>
          <w:sz w:val="20"/>
        </w:rPr>
      </w:pPr>
      <w:r>
        <w:rPr>
          <w:rFonts w:asciiTheme="minorHAnsi" w:hAnsiTheme="minorHAnsi" w:cs="Arial"/>
          <w:color w:val="auto"/>
          <w:sz w:val="20"/>
        </w:rPr>
        <w:t xml:space="preserve">According to a comprehensive study of the mining sector in Suriname, conducted in 2017 by the Intergovernmental Forum on Mining, Minerals, Metals and Sustainable Development: </w:t>
      </w:r>
      <w:r w:rsidR="006F2239">
        <w:rPr>
          <w:rFonts w:asciiTheme="minorHAnsi" w:hAnsiTheme="minorHAnsi" w:cs="Arial"/>
          <w:color w:val="auto"/>
          <w:sz w:val="20"/>
        </w:rPr>
        <w:t>“</w:t>
      </w:r>
      <w:r w:rsidR="009971BA" w:rsidRPr="00A93567">
        <w:rPr>
          <w:rFonts w:asciiTheme="minorHAnsi" w:hAnsiTheme="minorHAnsi" w:cs="Arial"/>
          <w:i/>
          <w:iCs/>
          <w:color w:val="auto"/>
          <w:sz w:val="20"/>
        </w:rPr>
        <w:t>Mining has historically played a central role in Suriname’s economy. Mineral exploitation first of bauxite, then gold has underpinned the economy since its independence.</w:t>
      </w:r>
      <w:r w:rsidR="006F2239" w:rsidRPr="00A93567" w:rsidDel="006F2239">
        <w:rPr>
          <w:rFonts w:asciiTheme="minorHAnsi" w:hAnsiTheme="minorHAnsi" w:cs="Arial"/>
          <w:i/>
          <w:iCs/>
          <w:color w:val="auto"/>
          <w:sz w:val="20"/>
        </w:rPr>
        <w:t xml:space="preserve"> </w:t>
      </w:r>
      <w:r w:rsidR="009971BA" w:rsidRPr="00A93567">
        <w:rPr>
          <w:rFonts w:asciiTheme="minorHAnsi" w:hAnsiTheme="minorHAnsi" w:cs="Arial"/>
          <w:i/>
          <w:iCs/>
          <w:color w:val="auto"/>
          <w:sz w:val="20"/>
        </w:rPr>
        <w:t xml:space="preserve">Mining is central to the national economy while proportions have changed with the decline in bauxite mining in </w:t>
      </w:r>
      <w:r w:rsidR="00F4500D" w:rsidRPr="00A93567">
        <w:rPr>
          <w:rFonts w:asciiTheme="minorHAnsi" w:hAnsiTheme="minorHAnsi" w:cs="Arial"/>
          <w:i/>
          <w:iCs/>
          <w:color w:val="auto"/>
          <w:sz w:val="20"/>
        </w:rPr>
        <w:t>the recent years</w:t>
      </w:r>
      <w:r w:rsidR="009971BA" w:rsidRPr="00A93567">
        <w:rPr>
          <w:rFonts w:asciiTheme="minorHAnsi" w:hAnsiTheme="minorHAnsi" w:cs="Arial"/>
          <w:i/>
          <w:iCs/>
          <w:color w:val="auto"/>
          <w:sz w:val="20"/>
        </w:rPr>
        <w:t xml:space="preserve">. In 2007 the country’s main exports were alumina (49.2%), gold (34.6%) and oil (4.3%). These proportions have since changed with </w:t>
      </w:r>
      <w:r w:rsidR="00F4500D" w:rsidRPr="00A93567">
        <w:rPr>
          <w:rFonts w:asciiTheme="minorHAnsi" w:hAnsiTheme="minorHAnsi" w:cs="Arial"/>
          <w:i/>
          <w:iCs/>
          <w:color w:val="auto"/>
          <w:sz w:val="20"/>
        </w:rPr>
        <w:t xml:space="preserve">the </w:t>
      </w:r>
      <w:r w:rsidR="009971BA" w:rsidRPr="00A93567">
        <w:rPr>
          <w:rFonts w:asciiTheme="minorHAnsi" w:hAnsiTheme="minorHAnsi" w:cs="Arial"/>
          <w:i/>
          <w:iCs/>
          <w:color w:val="auto"/>
          <w:sz w:val="20"/>
        </w:rPr>
        <w:t xml:space="preserve">reduced bauxite </w:t>
      </w:r>
      <w:r w:rsidR="00F4500D" w:rsidRPr="00A93567">
        <w:rPr>
          <w:rFonts w:asciiTheme="minorHAnsi" w:hAnsiTheme="minorHAnsi" w:cs="Arial"/>
          <w:i/>
          <w:iCs/>
          <w:color w:val="auto"/>
          <w:sz w:val="20"/>
        </w:rPr>
        <w:t xml:space="preserve">production </w:t>
      </w:r>
      <w:r w:rsidR="009971BA" w:rsidRPr="00A93567">
        <w:rPr>
          <w:rFonts w:asciiTheme="minorHAnsi" w:hAnsiTheme="minorHAnsi" w:cs="Arial"/>
          <w:i/>
          <w:iCs/>
          <w:color w:val="auto"/>
          <w:sz w:val="20"/>
        </w:rPr>
        <w:t xml:space="preserve">and </w:t>
      </w:r>
      <w:r w:rsidR="00F4500D" w:rsidRPr="00A93567">
        <w:rPr>
          <w:rFonts w:asciiTheme="minorHAnsi" w:hAnsiTheme="minorHAnsi" w:cs="Arial"/>
          <w:i/>
          <w:iCs/>
          <w:color w:val="auto"/>
          <w:sz w:val="20"/>
        </w:rPr>
        <w:t xml:space="preserve">the </w:t>
      </w:r>
      <w:r w:rsidR="009971BA" w:rsidRPr="00A93567">
        <w:rPr>
          <w:rFonts w:asciiTheme="minorHAnsi" w:hAnsiTheme="minorHAnsi" w:cs="Arial"/>
          <w:i/>
          <w:iCs/>
          <w:color w:val="auto"/>
          <w:sz w:val="20"/>
        </w:rPr>
        <w:t>decrease in the price of gold.</w:t>
      </w:r>
      <w:r w:rsidR="006F2239" w:rsidRPr="00A93567">
        <w:rPr>
          <w:rFonts w:asciiTheme="minorHAnsi" w:hAnsiTheme="minorHAnsi" w:cs="Arial"/>
          <w:i/>
          <w:iCs/>
          <w:color w:val="auto"/>
          <w:sz w:val="20"/>
        </w:rPr>
        <w:t xml:space="preserve"> </w:t>
      </w:r>
      <w:r w:rsidR="009971BA" w:rsidRPr="00A93567">
        <w:rPr>
          <w:rFonts w:asciiTheme="minorHAnsi" w:hAnsiTheme="minorHAnsi" w:cs="Arial"/>
          <w:i/>
          <w:iCs/>
          <w:color w:val="auto"/>
          <w:sz w:val="20"/>
        </w:rPr>
        <w:t>In 2014, gold accounted for 54.5% of exports while alumina accounted for 16.5% of exports and crude oil 15.2% (CBS, 2014).</w:t>
      </w:r>
      <w:r w:rsidR="006F2239" w:rsidRPr="004227C4">
        <w:rPr>
          <w:rFonts w:asciiTheme="minorHAnsi" w:hAnsiTheme="minorHAnsi" w:cs="Arial"/>
          <w:color w:val="auto"/>
          <w:sz w:val="20"/>
        </w:rPr>
        <w:t>”</w:t>
      </w:r>
      <w:r w:rsidR="006F2239" w:rsidRPr="006F2239">
        <w:rPr>
          <w:rStyle w:val="FootnoteReference"/>
          <w:rFonts w:asciiTheme="minorHAnsi" w:hAnsiTheme="minorHAnsi" w:cs="Arial"/>
          <w:color w:val="auto"/>
          <w:sz w:val="20"/>
        </w:rPr>
        <w:t xml:space="preserve"> </w:t>
      </w:r>
      <w:r w:rsidR="006F2239">
        <w:rPr>
          <w:rStyle w:val="FootnoteReference"/>
          <w:rFonts w:asciiTheme="minorHAnsi" w:hAnsiTheme="minorHAnsi" w:cs="Arial"/>
          <w:color w:val="auto"/>
          <w:sz w:val="20"/>
        </w:rPr>
        <w:footnoteReference w:id="8"/>
      </w:r>
      <w:r w:rsidR="009971BA" w:rsidRPr="00894701">
        <w:rPr>
          <w:rFonts w:asciiTheme="minorHAnsi" w:hAnsiTheme="minorHAnsi" w:cs="Arial"/>
          <w:color w:val="auto"/>
          <w:sz w:val="20"/>
        </w:rPr>
        <w:t xml:space="preserve"> </w:t>
      </w:r>
    </w:p>
    <w:p w14:paraId="29D3A1BF" w14:textId="2815F667" w:rsidR="00C63CA9" w:rsidRPr="00894701" w:rsidRDefault="009971BA" w:rsidP="006F2239">
      <w:pPr>
        <w:pStyle w:val="BodyText"/>
        <w:jc w:val="both"/>
        <w:rPr>
          <w:rFonts w:asciiTheme="minorHAnsi" w:hAnsiTheme="minorHAnsi" w:cs="Arial"/>
          <w:color w:val="auto"/>
          <w:sz w:val="20"/>
        </w:rPr>
      </w:pPr>
      <w:r w:rsidRPr="00894701">
        <w:rPr>
          <w:rFonts w:asciiTheme="minorHAnsi" w:hAnsiTheme="minorHAnsi" w:cs="Arial"/>
          <w:color w:val="auto"/>
          <w:sz w:val="20"/>
        </w:rPr>
        <w:t xml:space="preserve">The </w:t>
      </w:r>
      <w:r w:rsidR="00F4500D">
        <w:rPr>
          <w:rFonts w:asciiTheme="minorHAnsi" w:hAnsiTheme="minorHAnsi" w:cs="Arial"/>
          <w:color w:val="auto"/>
          <w:sz w:val="20"/>
        </w:rPr>
        <w:t>map</w:t>
      </w:r>
      <w:r w:rsidR="00F4500D" w:rsidRPr="00894701">
        <w:rPr>
          <w:rFonts w:asciiTheme="minorHAnsi" w:hAnsiTheme="minorHAnsi" w:cs="Arial"/>
          <w:color w:val="auto"/>
          <w:sz w:val="20"/>
        </w:rPr>
        <w:t xml:space="preserve"> </w:t>
      </w:r>
      <w:r w:rsidR="00F4500D">
        <w:rPr>
          <w:rFonts w:asciiTheme="minorHAnsi" w:hAnsiTheme="minorHAnsi" w:cs="Arial"/>
          <w:color w:val="auto"/>
          <w:sz w:val="20"/>
        </w:rPr>
        <w:t xml:space="preserve">below </w:t>
      </w:r>
      <w:r w:rsidRPr="00894701">
        <w:rPr>
          <w:rFonts w:asciiTheme="minorHAnsi" w:hAnsiTheme="minorHAnsi" w:cs="Arial"/>
          <w:color w:val="auto"/>
          <w:sz w:val="20"/>
        </w:rPr>
        <w:t>provides an overview of minerals occurring in Suriname and their locations:</w:t>
      </w:r>
      <w:r w:rsidR="00206BA2" w:rsidRPr="00894701">
        <w:rPr>
          <w:rFonts w:asciiTheme="minorHAnsi" w:hAnsiTheme="minorHAnsi" w:cs="Arial"/>
          <w:color w:val="auto"/>
          <w:sz w:val="20"/>
        </w:rPr>
        <w:t xml:space="preserve"> </w:t>
      </w:r>
    </w:p>
    <w:p w14:paraId="5F29CED8" w14:textId="77777777" w:rsidR="004829BA" w:rsidRPr="00894701" w:rsidRDefault="004829BA">
      <w:pPr>
        <w:spacing w:after="0" w:line="240" w:lineRule="auto"/>
        <w:rPr>
          <w:rFonts w:asciiTheme="majorHAnsi" w:hAnsiTheme="majorHAnsi"/>
          <w:b/>
          <w:i/>
          <w:iCs/>
          <w:sz w:val="20"/>
          <w:szCs w:val="20"/>
        </w:rPr>
      </w:pPr>
      <w:r w:rsidRPr="00894701">
        <w:rPr>
          <w:rFonts w:asciiTheme="majorHAnsi" w:hAnsiTheme="majorHAnsi"/>
          <w:b/>
          <w:i/>
          <w:iCs/>
          <w:sz w:val="20"/>
          <w:szCs w:val="20"/>
        </w:rPr>
        <w:br w:type="page"/>
      </w:r>
    </w:p>
    <w:p w14:paraId="20F1EF88" w14:textId="132BB50A" w:rsidR="00500EF9" w:rsidRPr="00894701" w:rsidRDefault="00500EF9" w:rsidP="00312877">
      <w:pPr>
        <w:jc w:val="center"/>
        <w:rPr>
          <w:rFonts w:asciiTheme="majorHAnsi" w:hAnsiTheme="majorHAnsi"/>
          <w:b/>
          <w:i/>
          <w:iCs/>
          <w:sz w:val="20"/>
          <w:szCs w:val="20"/>
        </w:rPr>
      </w:pPr>
      <w:bookmarkStart w:id="116" w:name="_Toc146590573"/>
      <w:r w:rsidRPr="00894701">
        <w:rPr>
          <w:rFonts w:asciiTheme="majorHAnsi" w:hAnsiTheme="majorHAnsi"/>
          <w:b/>
          <w:i/>
          <w:iCs/>
          <w:sz w:val="20"/>
          <w:szCs w:val="20"/>
        </w:rPr>
        <w:lastRenderedPageBreak/>
        <w:t xml:space="preserve">Figure </w:t>
      </w:r>
      <w:r w:rsidRPr="00894701">
        <w:rPr>
          <w:rFonts w:asciiTheme="majorHAnsi" w:hAnsiTheme="majorHAnsi"/>
          <w:b/>
          <w:i/>
          <w:iCs/>
          <w:sz w:val="20"/>
          <w:szCs w:val="20"/>
        </w:rPr>
        <w:fldChar w:fldCharType="begin"/>
      </w:r>
      <w:r w:rsidRPr="00894701">
        <w:rPr>
          <w:rFonts w:asciiTheme="majorHAnsi" w:hAnsiTheme="majorHAnsi"/>
          <w:b/>
          <w:i/>
          <w:iCs/>
          <w:sz w:val="20"/>
          <w:szCs w:val="20"/>
        </w:rPr>
        <w:instrText xml:space="preserve"> SEQ Figure \* ARABIC </w:instrText>
      </w:r>
      <w:r w:rsidRPr="00894701">
        <w:rPr>
          <w:rFonts w:asciiTheme="majorHAnsi" w:hAnsiTheme="majorHAnsi"/>
          <w:b/>
          <w:i/>
          <w:iCs/>
          <w:sz w:val="20"/>
          <w:szCs w:val="20"/>
        </w:rPr>
        <w:fldChar w:fldCharType="separate"/>
      </w:r>
      <w:r w:rsidR="0035303B">
        <w:rPr>
          <w:rFonts w:asciiTheme="majorHAnsi" w:hAnsiTheme="majorHAnsi"/>
          <w:b/>
          <w:i/>
          <w:iCs/>
          <w:noProof/>
          <w:sz w:val="20"/>
          <w:szCs w:val="20"/>
        </w:rPr>
        <w:t>8</w:t>
      </w:r>
      <w:r w:rsidRPr="00894701">
        <w:rPr>
          <w:rFonts w:asciiTheme="majorHAnsi" w:hAnsiTheme="majorHAnsi"/>
          <w:b/>
          <w:i/>
          <w:iCs/>
          <w:sz w:val="20"/>
          <w:szCs w:val="20"/>
        </w:rPr>
        <w:fldChar w:fldCharType="end"/>
      </w:r>
      <w:r w:rsidRPr="00894701">
        <w:rPr>
          <w:rFonts w:asciiTheme="majorHAnsi" w:hAnsiTheme="majorHAnsi"/>
          <w:b/>
          <w:i/>
          <w:iCs/>
          <w:sz w:val="20"/>
          <w:szCs w:val="20"/>
        </w:rPr>
        <w:t>: Map Mineral sources in Suriname</w:t>
      </w:r>
      <w:bookmarkEnd w:id="116"/>
    </w:p>
    <w:p w14:paraId="4093BD7F" w14:textId="727BB134" w:rsidR="00500EF9" w:rsidRPr="00894701" w:rsidRDefault="00F15DD0" w:rsidP="00F15DD0">
      <w:pPr>
        <w:pStyle w:val="BodyText"/>
        <w:jc w:val="both"/>
        <w:rPr>
          <w:rFonts w:asciiTheme="minorHAnsi" w:hAnsiTheme="minorHAnsi"/>
          <w:color w:val="auto"/>
          <w:sz w:val="20"/>
          <w:szCs w:val="20"/>
          <w:lang w:eastAsia="fr-FR"/>
        </w:rPr>
      </w:pPr>
      <w:r w:rsidRPr="00894701">
        <w:rPr>
          <w:rFonts w:asciiTheme="majorHAnsi" w:hAnsiTheme="majorHAnsi"/>
          <w:b/>
          <w:i/>
          <w:iCs/>
          <w:sz w:val="20"/>
          <w:szCs w:val="20"/>
        </w:rPr>
        <w:t>Source: GMD</w:t>
      </w:r>
      <w:r w:rsidRPr="00894701">
        <w:rPr>
          <w:rFonts w:asciiTheme="minorHAnsi" w:hAnsiTheme="minorHAnsi"/>
          <w:noProof/>
          <w:color w:val="auto"/>
          <w:kern w:val="0"/>
          <w:sz w:val="22"/>
          <w:szCs w:val="22"/>
          <w:lang w:eastAsia="en-US"/>
        </w:rPr>
        <w:t xml:space="preserve"> </w:t>
      </w:r>
      <w:r w:rsidR="00500EF9" w:rsidRPr="00894701">
        <w:rPr>
          <w:rFonts w:asciiTheme="minorHAnsi" w:hAnsiTheme="minorHAnsi"/>
          <w:noProof/>
          <w:color w:val="auto"/>
          <w:kern w:val="0"/>
          <w:sz w:val="22"/>
          <w:szCs w:val="22"/>
          <w:lang w:val="en-US" w:eastAsia="en-US"/>
        </w:rPr>
        <w:drawing>
          <wp:anchor distT="0" distB="0" distL="114300" distR="114300" simplePos="0" relativeHeight="251658243" behindDoc="0" locked="0" layoutInCell="1" allowOverlap="1" wp14:anchorId="083A4E4B" wp14:editId="3E27C3EE">
            <wp:simplePos x="0" y="0"/>
            <wp:positionH relativeFrom="page">
              <wp:align>center</wp:align>
            </wp:positionH>
            <wp:positionV relativeFrom="paragraph">
              <wp:posOffset>127635</wp:posOffset>
            </wp:positionV>
            <wp:extent cx="5657850" cy="3536950"/>
            <wp:effectExtent l="0" t="0" r="0" b="635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5"/>
                    <pic:cNvPicPr>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657850" cy="3536950"/>
                    </a:xfrm>
                    <a:prstGeom prst="rect">
                      <a:avLst/>
                    </a:prstGeom>
                    <a:noFill/>
                  </pic:spPr>
                </pic:pic>
              </a:graphicData>
            </a:graphic>
            <wp14:sizeRelH relativeFrom="margin">
              <wp14:pctWidth>0</wp14:pctWidth>
            </wp14:sizeRelH>
            <wp14:sizeRelV relativeFrom="margin">
              <wp14:pctHeight>0</wp14:pctHeight>
            </wp14:sizeRelV>
          </wp:anchor>
        </w:drawing>
      </w:r>
    </w:p>
    <w:p w14:paraId="7767F0F6" w14:textId="38917DCC" w:rsidR="007B3614" w:rsidRPr="00894701" w:rsidRDefault="007B3614" w:rsidP="009971BA">
      <w:pPr>
        <w:spacing w:after="0" w:line="240" w:lineRule="auto"/>
        <w:jc w:val="both"/>
        <w:rPr>
          <w:rFonts w:asciiTheme="minorHAnsi" w:hAnsiTheme="minorHAnsi"/>
          <w:color w:val="auto"/>
          <w:sz w:val="20"/>
          <w:szCs w:val="20"/>
          <w:lang w:eastAsia="fr-FR"/>
        </w:rPr>
      </w:pPr>
      <w:r w:rsidRPr="00894701">
        <w:rPr>
          <w:rFonts w:asciiTheme="minorHAnsi" w:hAnsiTheme="minorHAnsi"/>
          <w:color w:val="auto"/>
          <w:sz w:val="20"/>
          <w:szCs w:val="20"/>
          <w:lang w:eastAsia="fr-FR"/>
        </w:rPr>
        <w:t>In Suriname, the mining of minerals includes:</w:t>
      </w:r>
      <w:r w:rsidR="00206BA2" w:rsidRPr="00894701">
        <w:rPr>
          <w:rFonts w:asciiTheme="minorHAnsi" w:hAnsiTheme="minorHAnsi"/>
          <w:color w:val="auto"/>
          <w:sz w:val="20"/>
          <w:szCs w:val="20"/>
          <w:lang w:eastAsia="fr-FR"/>
        </w:rPr>
        <w:t xml:space="preserve"> </w:t>
      </w:r>
    </w:p>
    <w:p w14:paraId="6D91E5F6" w14:textId="1D08B9F7" w:rsidR="007B3614" w:rsidRPr="00894701" w:rsidRDefault="007B3614" w:rsidP="009971BA">
      <w:pPr>
        <w:pStyle w:val="ListParagraph"/>
        <w:numPr>
          <w:ilvl w:val="0"/>
          <w:numId w:val="27"/>
        </w:numPr>
        <w:spacing w:after="0" w:line="240" w:lineRule="auto"/>
        <w:jc w:val="both"/>
        <w:rPr>
          <w:rFonts w:asciiTheme="minorHAnsi" w:hAnsiTheme="minorHAnsi"/>
          <w:color w:val="auto"/>
          <w:sz w:val="20"/>
          <w:szCs w:val="20"/>
          <w:lang w:eastAsia="fr-FR"/>
        </w:rPr>
      </w:pPr>
      <w:r w:rsidRPr="00894701">
        <w:rPr>
          <w:rFonts w:asciiTheme="minorHAnsi" w:hAnsiTheme="minorHAnsi"/>
          <w:color w:val="auto"/>
          <w:sz w:val="20"/>
          <w:szCs w:val="20"/>
          <w:lang w:eastAsia="fr-FR"/>
        </w:rPr>
        <w:t>Gold and silver based on the Mining Decree 1986 and Mineral Agreements between Government and mining companies;</w:t>
      </w:r>
      <w:r w:rsidR="00206BA2" w:rsidRPr="00894701">
        <w:rPr>
          <w:rFonts w:asciiTheme="minorHAnsi" w:hAnsiTheme="minorHAnsi"/>
          <w:color w:val="auto"/>
          <w:sz w:val="20"/>
          <w:szCs w:val="20"/>
          <w:lang w:eastAsia="fr-FR"/>
        </w:rPr>
        <w:t xml:space="preserve"> </w:t>
      </w:r>
    </w:p>
    <w:p w14:paraId="4450E8E2" w14:textId="2406B909" w:rsidR="007B3614" w:rsidRPr="00894701" w:rsidRDefault="007B3614" w:rsidP="009971BA">
      <w:pPr>
        <w:pStyle w:val="ListParagraph"/>
        <w:numPr>
          <w:ilvl w:val="0"/>
          <w:numId w:val="27"/>
        </w:numPr>
        <w:spacing w:after="0" w:line="240" w:lineRule="auto"/>
        <w:jc w:val="both"/>
        <w:rPr>
          <w:rFonts w:asciiTheme="minorHAnsi" w:hAnsiTheme="minorHAnsi"/>
          <w:color w:val="auto"/>
          <w:sz w:val="20"/>
          <w:szCs w:val="20"/>
          <w:lang w:eastAsia="fr-FR"/>
        </w:rPr>
      </w:pPr>
      <w:r w:rsidRPr="00894701">
        <w:rPr>
          <w:rFonts w:asciiTheme="minorHAnsi" w:hAnsiTheme="minorHAnsi"/>
          <w:color w:val="auto"/>
          <w:sz w:val="20"/>
          <w:szCs w:val="20"/>
          <w:lang w:eastAsia="fr-FR"/>
        </w:rPr>
        <w:t>Diamond mining (still in the stages of reconnaissance and therefore not commercialized yet);</w:t>
      </w:r>
      <w:r w:rsidR="00206BA2" w:rsidRPr="00894701">
        <w:rPr>
          <w:rFonts w:asciiTheme="minorHAnsi" w:hAnsiTheme="minorHAnsi"/>
          <w:color w:val="auto"/>
          <w:sz w:val="20"/>
          <w:szCs w:val="20"/>
          <w:lang w:eastAsia="fr-FR"/>
        </w:rPr>
        <w:t xml:space="preserve"> </w:t>
      </w:r>
    </w:p>
    <w:p w14:paraId="1D506412" w14:textId="73F87664" w:rsidR="007B3614" w:rsidRPr="00894701" w:rsidRDefault="007B3614" w:rsidP="009971BA">
      <w:pPr>
        <w:pStyle w:val="ListParagraph"/>
        <w:numPr>
          <w:ilvl w:val="0"/>
          <w:numId w:val="27"/>
        </w:numPr>
        <w:spacing w:after="0" w:line="240" w:lineRule="auto"/>
        <w:jc w:val="both"/>
        <w:rPr>
          <w:rFonts w:asciiTheme="minorHAnsi" w:hAnsiTheme="minorHAnsi"/>
          <w:color w:val="auto"/>
          <w:sz w:val="20"/>
          <w:szCs w:val="20"/>
          <w:lang w:eastAsia="fr-FR"/>
        </w:rPr>
      </w:pPr>
      <w:r w:rsidRPr="00894701">
        <w:rPr>
          <w:rFonts w:asciiTheme="minorHAnsi" w:hAnsiTheme="minorHAnsi"/>
          <w:color w:val="auto"/>
          <w:sz w:val="20"/>
          <w:szCs w:val="20"/>
          <w:lang w:eastAsia="fr-FR"/>
        </w:rPr>
        <w:t xml:space="preserve">Bauxite (production of bauxite ended </w:t>
      </w:r>
      <w:r w:rsidR="00B17458" w:rsidRPr="00894701">
        <w:rPr>
          <w:rFonts w:asciiTheme="minorHAnsi" w:hAnsiTheme="minorHAnsi"/>
          <w:color w:val="auto"/>
          <w:sz w:val="20"/>
          <w:szCs w:val="20"/>
          <w:lang w:eastAsia="fr-FR"/>
        </w:rPr>
        <w:t xml:space="preserve">in </w:t>
      </w:r>
      <w:r w:rsidRPr="00894701">
        <w:rPr>
          <w:rFonts w:asciiTheme="minorHAnsi" w:hAnsiTheme="minorHAnsi"/>
          <w:color w:val="auto"/>
          <w:sz w:val="20"/>
          <w:szCs w:val="20"/>
          <w:lang w:eastAsia="fr-FR"/>
        </w:rPr>
        <w:t>2015);</w:t>
      </w:r>
      <w:r w:rsidR="00206BA2" w:rsidRPr="00894701">
        <w:rPr>
          <w:rFonts w:asciiTheme="minorHAnsi" w:hAnsiTheme="minorHAnsi"/>
          <w:color w:val="auto"/>
          <w:sz w:val="20"/>
          <w:szCs w:val="20"/>
          <w:lang w:eastAsia="fr-FR"/>
        </w:rPr>
        <w:t xml:space="preserve"> </w:t>
      </w:r>
    </w:p>
    <w:p w14:paraId="052C1789" w14:textId="1DE2DD28" w:rsidR="007B3614" w:rsidRPr="00894701" w:rsidRDefault="007B3614" w:rsidP="009971BA">
      <w:pPr>
        <w:pStyle w:val="ListParagraph"/>
        <w:numPr>
          <w:ilvl w:val="0"/>
          <w:numId w:val="27"/>
        </w:numPr>
        <w:spacing w:after="0" w:line="240" w:lineRule="auto"/>
        <w:jc w:val="both"/>
        <w:rPr>
          <w:rFonts w:asciiTheme="minorHAnsi" w:hAnsiTheme="minorHAnsi"/>
          <w:color w:val="auto"/>
          <w:sz w:val="20"/>
          <w:szCs w:val="20"/>
          <w:lang w:eastAsia="fr-FR"/>
        </w:rPr>
      </w:pPr>
      <w:r w:rsidRPr="00894701">
        <w:rPr>
          <w:rFonts w:asciiTheme="minorHAnsi" w:hAnsiTheme="minorHAnsi"/>
          <w:color w:val="auto"/>
          <w:sz w:val="20"/>
          <w:szCs w:val="20"/>
          <w:lang w:eastAsia="fr-FR"/>
        </w:rPr>
        <w:t>Quarry for building purposes; and</w:t>
      </w:r>
      <w:r w:rsidR="00206BA2" w:rsidRPr="00894701">
        <w:rPr>
          <w:rFonts w:asciiTheme="minorHAnsi" w:hAnsiTheme="minorHAnsi"/>
          <w:color w:val="auto"/>
          <w:sz w:val="20"/>
          <w:szCs w:val="20"/>
          <w:lang w:eastAsia="fr-FR"/>
        </w:rPr>
        <w:t xml:space="preserve"> </w:t>
      </w:r>
    </w:p>
    <w:p w14:paraId="1CC16FE6" w14:textId="605C28AD" w:rsidR="007B3614" w:rsidRPr="00894701" w:rsidRDefault="007B3614" w:rsidP="003910C6">
      <w:pPr>
        <w:pStyle w:val="ListParagraph"/>
        <w:numPr>
          <w:ilvl w:val="0"/>
          <w:numId w:val="27"/>
        </w:numPr>
        <w:spacing w:after="0" w:line="240" w:lineRule="auto"/>
        <w:jc w:val="both"/>
        <w:rPr>
          <w:rFonts w:asciiTheme="minorHAnsi" w:hAnsiTheme="minorHAnsi"/>
          <w:color w:val="auto"/>
          <w:sz w:val="20"/>
          <w:szCs w:val="20"/>
          <w:lang w:eastAsia="fr-FR"/>
        </w:rPr>
      </w:pPr>
      <w:r w:rsidRPr="00894701">
        <w:rPr>
          <w:rFonts w:asciiTheme="minorHAnsi" w:hAnsiTheme="minorHAnsi"/>
          <w:color w:val="auto"/>
          <w:sz w:val="20"/>
          <w:szCs w:val="20"/>
          <w:lang w:eastAsia="fr-FR"/>
        </w:rPr>
        <w:t>Other ores (such as kaolin, manganese, chromium, tin, phosphate and silica sand).</w:t>
      </w:r>
      <w:r w:rsidR="00206BA2" w:rsidRPr="00894701">
        <w:rPr>
          <w:rFonts w:asciiTheme="minorHAnsi" w:hAnsiTheme="minorHAnsi"/>
          <w:color w:val="auto"/>
          <w:sz w:val="20"/>
          <w:szCs w:val="20"/>
          <w:lang w:eastAsia="fr-FR"/>
        </w:rPr>
        <w:t xml:space="preserve"> </w:t>
      </w:r>
    </w:p>
    <w:p w14:paraId="10D92CE4" w14:textId="77777777" w:rsidR="003910C6" w:rsidRPr="00894701" w:rsidRDefault="003910C6" w:rsidP="003910C6">
      <w:pPr>
        <w:pStyle w:val="BodyText"/>
        <w:spacing w:after="0"/>
        <w:jc w:val="both"/>
        <w:rPr>
          <w:rFonts w:asciiTheme="minorHAnsi" w:hAnsiTheme="minorHAnsi"/>
          <w:color w:val="auto"/>
          <w:sz w:val="20"/>
          <w:szCs w:val="20"/>
          <w:lang w:eastAsia="fr-FR"/>
        </w:rPr>
      </w:pPr>
    </w:p>
    <w:p w14:paraId="506C2AB8" w14:textId="56384E55" w:rsidR="003910C6" w:rsidRPr="00894701" w:rsidRDefault="003229E9" w:rsidP="003910C6">
      <w:pPr>
        <w:pStyle w:val="BodyText"/>
        <w:jc w:val="both"/>
        <w:rPr>
          <w:rFonts w:asciiTheme="minorHAnsi" w:hAnsiTheme="minorHAnsi"/>
          <w:color w:val="auto"/>
          <w:sz w:val="20"/>
          <w:szCs w:val="20"/>
          <w:lang w:eastAsia="fr-FR"/>
        </w:rPr>
      </w:pPr>
      <w:r w:rsidRPr="00894701">
        <w:rPr>
          <w:rFonts w:asciiTheme="minorHAnsi" w:hAnsiTheme="minorHAnsi"/>
          <w:color w:val="auto"/>
          <w:sz w:val="20"/>
          <w:szCs w:val="20"/>
          <w:lang w:eastAsia="fr-FR"/>
        </w:rPr>
        <w:t xml:space="preserve">In Suriname, </w:t>
      </w:r>
      <w:r w:rsidR="008F5D47" w:rsidRPr="008F5D47">
        <w:rPr>
          <w:rFonts w:asciiTheme="minorHAnsi" w:hAnsiTheme="minorHAnsi"/>
          <w:color w:val="auto"/>
          <w:sz w:val="20"/>
          <w:szCs w:val="20"/>
          <w:lang w:eastAsia="fr-FR"/>
        </w:rPr>
        <w:t xml:space="preserve">Newmont Suriname </w:t>
      </w:r>
      <w:r w:rsidR="008F5D47">
        <w:rPr>
          <w:rFonts w:asciiTheme="minorHAnsi" w:hAnsiTheme="minorHAnsi"/>
          <w:color w:val="auto"/>
          <w:sz w:val="20"/>
          <w:szCs w:val="20"/>
          <w:lang w:eastAsia="fr-FR"/>
        </w:rPr>
        <w:t>(</w:t>
      </w:r>
      <w:r w:rsidRPr="00894701">
        <w:rPr>
          <w:rFonts w:asciiTheme="minorHAnsi" w:hAnsiTheme="minorHAnsi"/>
          <w:color w:val="auto"/>
          <w:sz w:val="20"/>
          <w:szCs w:val="20"/>
          <w:lang w:eastAsia="fr-FR"/>
        </w:rPr>
        <w:t>NS</w:t>
      </w:r>
      <w:r w:rsidR="008F5D47">
        <w:rPr>
          <w:rFonts w:asciiTheme="minorHAnsi" w:hAnsiTheme="minorHAnsi"/>
          <w:color w:val="auto"/>
          <w:sz w:val="20"/>
          <w:szCs w:val="20"/>
          <w:lang w:eastAsia="fr-FR"/>
        </w:rPr>
        <w:t>)</w:t>
      </w:r>
      <w:r w:rsidRPr="00894701">
        <w:rPr>
          <w:rFonts w:asciiTheme="minorHAnsi" w:hAnsiTheme="minorHAnsi"/>
          <w:color w:val="auto"/>
          <w:sz w:val="20"/>
          <w:szCs w:val="20"/>
          <w:lang w:eastAsia="fr-FR"/>
        </w:rPr>
        <w:t xml:space="preserve"> continues to implement a</w:t>
      </w:r>
      <w:r w:rsidR="003910C6" w:rsidRPr="00894701">
        <w:rPr>
          <w:rFonts w:asciiTheme="minorHAnsi" w:hAnsiTheme="minorHAnsi"/>
          <w:color w:val="auto"/>
          <w:sz w:val="20"/>
          <w:szCs w:val="20"/>
          <w:lang w:eastAsia="fr-FR"/>
        </w:rPr>
        <w:t>n</w:t>
      </w:r>
      <w:r w:rsidRPr="00894701">
        <w:rPr>
          <w:rFonts w:asciiTheme="minorHAnsi" w:hAnsiTheme="minorHAnsi"/>
          <w:color w:val="auto"/>
          <w:sz w:val="20"/>
          <w:szCs w:val="20"/>
          <w:lang w:eastAsia="fr-FR"/>
        </w:rPr>
        <w:t xml:space="preserve"> artisanal and small-scale mining (ASM) strategy, which recognizes the cultural and livelihood importance of ASM to the Pamaka and Kawina communities while protecting Newmont’s assets.</w:t>
      </w:r>
    </w:p>
    <w:p w14:paraId="4A9152E2" w14:textId="1C7BB219" w:rsidR="003229E9" w:rsidRPr="00894701" w:rsidRDefault="003229E9" w:rsidP="003910C6">
      <w:pPr>
        <w:pStyle w:val="BodyText"/>
        <w:jc w:val="both"/>
        <w:rPr>
          <w:rFonts w:asciiTheme="minorHAnsi" w:hAnsiTheme="minorHAnsi"/>
          <w:color w:val="auto"/>
          <w:sz w:val="20"/>
          <w:szCs w:val="20"/>
          <w:lang w:eastAsia="fr-FR"/>
        </w:rPr>
      </w:pPr>
      <w:r w:rsidRPr="00894701">
        <w:rPr>
          <w:rFonts w:asciiTheme="minorHAnsi" w:hAnsiTheme="minorHAnsi"/>
          <w:color w:val="auto"/>
          <w:sz w:val="20"/>
          <w:szCs w:val="20"/>
          <w:lang w:eastAsia="fr-FR"/>
        </w:rPr>
        <w:t>NS has supported the ASM representative body, which consists of nine representatives from the Pamaka community, by funding the group’s efforts to form a small-scale mining cooperative and helping to build a cooperative’s management capacity so that it can gain the legal status required for Newmont to formalize an agreement with the group. This is part of promotion of a fair, inclusive and legitimate ASM policy through training, engagements and promotion of alternative livelihood. Within this strategy NS authorized by GoS, endorsed ASM on Merian Mine Right of Exploitation in a so called buffer zone, since 2017.</w:t>
      </w:r>
    </w:p>
    <w:p w14:paraId="1FF8BE0A" w14:textId="5A4940AA" w:rsidR="007B3614" w:rsidRPr="00894701" w:rsidRDefault="007B3614" w:rsidP="007B3614">
      <w:pPr>
        <w:widowControl w:val="0"/>
        <w:spacing w:before="120" w:line="240" w:lineRule="auto"/>
        <w:rPr>
          <w:rFonts w:asciiTheme="minorHAnsi" w:eastAsiaTheme="minorHAnsi" w:hAnsiTheme="minorHAnsi" w:cs="TrebuchetMS-Bold"/>
          <w:b/>
          <w:bCs/>
          <w:color w:val="ED1A3B"/>
          <w:kern w:val="0"/>
          <w:sz w:val="24"/>
          <w:lang w:eastAsia="en-US"/>
        </w:rPr>
      </w:pPr>
      <w:r w:rsidRPr="00894701">
        <w:rPr>
          <w:rFonts w:asciiTheme="minorHAnsi" w:eastAsiaTheme="minorHAnsi" w:hAnsiTheme="minorHAnsi" w:cs="TrebuchetMS-Bold"/>
          <w:b/>
          <w:bCs/>
          <w:color w:val="ED1A3B"/>
          <w:kern w:val="0"/>
          <w:sz w:val="24"/>
          <w:lang w:eastAsia="en-US"/>
        </w:rPr>
        <w:t>Bauxite mining</w:t>
      </w:r>
      <w:r w:rsidR="00206BA2" w:rsidRPr="00894701">
        <w:rPr>
          <w:rFonts w:asciiTheme="minorHAnsi" w:eastAsiaTheme="minorHAnsi" w:hAnsiTheme="minorHAnsi" w:cs="TrebuchetMS-Bold"/>
          <w:b/>
          <w:bCs/>
          <w:color w:val="ED1A3B"/>
          <w:kern w:val="0"/>
          <w:sz w:val="24"/>
          <w:lang w:eastAsia="en-US"/>
        </w:rPr>
        <w:t xml:space="preserve"> </w:t>
      </w:r>
      <w:r w:rsidRPr="00894701">
        <w:rPr>
          <w:rFonts w:asciiTheme="minorHAnsi" w:eastAsiaTheme="minorHAnsi" w:hAnsiTheme="minorHAnsi" w:cs="TrebuchetMS-Bold"/>
          <w:b/>
          <w:bCs/>
          <w:color w:val="ED1A3B"/>
          <w:kern w:val="0"/>
          <w:sz w:val="24"/>
          <w:lang w:eastAsia="en-US"/>
        </w:rPr>
        <w:t xml:space="preserve"> </w:t>
      </w:r>
    </w:p>
    <w:p w14:paraId="249F59DB" w14:textId="74698B22" w:rsidR="007B3614" w:rsidRPr="00894701" w:rsidRDefault="007B3614" w:rsidP="00EA2D5D">
      <w:pPr>
        <w:pStyle w:val="BodyText"/>
        <w:jc w:val="both"/>
        <w:rPr>
          <w:rFonts w:asciiTheme="minorHAnsi" w:hAnsiTheme="minorHAnsi" w:cs="Arial"/>
          <w:color w:val="auto"/>
          <w:sz w:val="20"/>
        </w:rPr>
      </w:pPr>
      <w:r w:rsidRPr="00894701">
        <w:rPr>
          <w:rFonts w:asciiTheme="minorHAnsi" w:hAnsiTheme="minorHAnsi" w:cs="Arial"/>
          <w:color w:val="auto"/>
          <w:sz w:val="20"/>
        </w:rPr>
        <w:t>Bauxite</w:t>
      </w:r>
      <w:r w:rsidR="00FF4268">
        <w:rPr>
          <w:rFonts w:asciiTheme="minorHAnsi" w:hAnsiTheme="minorHAnsi" w:cs="Arial"/>
          <w:color w:val="auto"/>
          <w:sz w:val="20"/>
        </w:rPr>
        <w:t xml:space="preserve"> </w:t>
      </w:r>
      <w:r w:rsidRPr="00894701">
        <w:rPr>
          <w:rFonts w:asciiTheme="minorHAnsi" w:hAnsiTheme="minorHAnsi" w:cs="Arial"/>
          <w:color w:val="auto"/>
          <w:sz w:val="20"/>
        </w:rPr>
        <w:t xml:space="preserve">has been one of the main </w:t>
      </w:r>
      <w:r w:rsidR="00FF4268">
        <w:rPr>
          <w:rFonts w:asciiTheme="minorHAnsi" w:hAnsiTheme="minorHAnsi" w:cs="Arial"/>
          <w:color w:val="auto"/>
          <w:sz w:val="20"/>
        </w:rPr>
        <w:t>components</w:t>
      </w:r>
      <w:r w:rsidR="008F5D47">
        <w:rPr>
          <w:rFonts w:asciiTheme="minorHAnsi" w:hAnsiTheme="minorHAnsi" w:cs="Arial"/>
          <w:color w:val="auto"/>
          <w:sz w:val="20"/>
        </w:rPr>
        <w:t xml:space="preserve"> of</w:t>
      </w:r>
      <w:r w:rsidRPr="00894701">
        <w:rPr>
          <w:rFonts w:asciiTheme="minorHAnsi" w:hAnsiTheme="minorHAnsi" w:cs="Arial"/>
          <w:color w:val="auto"/>
          <w:sz w:val="20"/>
        </w:rPr>
        <w:t xml:space="preserve"> Suriname </w:t>
      </w:r>
      <w:r w:rsidR="008F5D47" w:rsidRPr="00894701">
        <w:rPr>
          <w:rFonts w:asciiTheme="minorHAnsi" w:hAnsiTheme="minorHAnsi" w:cs="Arial"/>
          <w:color w:val="auto"/>
          <w:sz w:val="20"/>
        </w:rPr>
        <w:t>exports</w:t>
      </w:r>
      <w:r w:rsidR="008F5D47">
        <w:rPr>
          <w:rFonts w:asciiTheme="minorHAnsi" w:hAnsiTheme="minorHAnsi" w:cs="Arial"/>
          <w:color w:val="auto"/>
          <w:sz w:val="20"/>
        </w:rPr>
        <w:t xml:space="preserve"> </w:t>
      </w:r>
      <w:r w:rsidRPr="00894701">
        <w:rPr>
          <w:rFonts w:asciiTheme="minorHAnsi" w:hAnsiTheme="minorHAnsi" w:cs="Arial"/>
          <w:color w:val="auto"/>
          <w:sz w:val="20"/>
        </w:rPr>
        <w:t xml:space="preserve">for many years and </w:t>
      </w:r>
      <w:r w:rsidR="00FF4268">
        <w:rPr>
          <w:rFonts w:asciiTheme="minorHAnsi" w:hAnsiTheme="minorHAnsi" w:cs="Arial"/>
          <w:color w:val="auto"/>
          <w:sz w:val="20"/>
        </w:rPr>
        <w:t xml:space="preserve">its extraction </w:t>
      </w:r>
      <w:r w:rsidRPr="00894701">
        <w:rPr>
          <w:rFonts w:asciiTheme="minorHAnsi" w:hAnsiTheme="minorHAnsi" w:cs="Arial"/>
          <w:color w:val="auto"/>
          <w:sz w:val="20"/>
        </w:rPr>
        <w:t>mainly took place in the coastal plain.</w:t>
      </w:r>
      <w:r w:rsidR="00206BA2" w:rsidRPr="00894701">
        <w:rPr>
          <w:rFonts w:asciiTheme="minorHAnsi" w:hAnsiTheme="minorHAnsi" w:cs="Arial"/>
          <w:color w:val="auto"/>
          <w:sz w:val="20"/>
        </w:rPr>
        <w:t xml:space="preserve"> </w:t>
      </w:r>
      <w:r w:rsidRPr="00894701">
        <w:rPr>
          <w:rFonts w:asciiTheme="minorHAnsi" w:hAnsiTheme="minorHAnsi" w:cs="Arial"/>
          <w:color w:val="auto"/>
          <w:sz w:val="20"/>
        </w:rPr>
        <w:t xml:space="preserve">In 1916 Alcoa founded </w:t>
      </w:r>
      <w:r w:rsidR="00BB466D" w:rsidRPr="00894701">
        <w:rPr>
          <w:rFonts w:asciiTheme="minorHAnsi" w:hAnsiTheme="minorHAnsi" w:cs="Arial"/>
          <w:color w:val="auto"/>
          <w:sz w:val="20"/>
        </w:rPr>
        <w:t>the Surinaamsche Bauxiet Maatschappij (SBM) and has successfully</w:t>
      </w:r>
      <w:r w:rsidRPr="00894701">
        <w:rPr>
          <w:rFonts w:asciiTheme="minorHAnsi" w:hAnsiTheme="minorHAnsi" w:cs="Arial"/>
          <w:color w:val="auto"/>
          <w:sz w:val="20"/>
        </w:rPr>
        <w:t xml:space="preserve"> mined many bauxite reserves in Suriname. Bauxite mining started on the north</w:t>
      </w:r>
      <w:r w:rsidR="000100CD" w:rsidRPr="00894701">
        <w:rPr>
          <w:rFonts w:asciiTheme="minorHAnsi" w:hAnsiTheme="minorHAnsi" w:cs="Arial"/>
          <w:color w:val="auto"/>
          <w:sz w:val="20"/>
        </w:rPr>
        <w:t>-</w:t>
      </w:r>
      <w:r w:rsidRPr="00894701">
        <w:rPr>
          <w:rFonts w:asciiTheme="minorHAnsi" w:hAnsiTheme="minorHAnsi" w:cs="Arial"/>
          <w:color w:val="auto"/>
          <w:sz w:val="20"/>
        </w:rPr>
        <w:t xml:space="preserve">east side of Suriname, Moengo. Alcoa was the single operator in this field. </w:t>
      </w:r>
      <w:r w:rsidR="000100CD" w:rsidRPr="00894701">
        <w:rPr>
          <w:rFonts w:asciiTheme="minorHAnsi" w:hAnsiTheme="minorHAnsi" w:cs="Arial"/>
          <w:color w:val="auto"/>
          <w:sz w:val="20"/>
        </w:rPr>
        <w:t xml:space="preserve">In </w:t>
      </w:r>
      <w:r w:rsidRPr="00894701">
        <w:rPr>
          <w:rFonts w:asciiTheme="minorHAnsi" w:hAnsiTheme="minorHAnsi" w:cs="Arial"/>
          <w:color w:val="auto"/>
          <w:sz w:val="20"/>
        </w:rPr>
        <w:t xml:space="preserve">1938 a second </w:t>
      </w:r>
      <w:r w:rsidR="00BB466D" w:rsidRPr="00894701">
        <w:rPr>
          <w:rFonts w:asciiTheme="minorHAnsi" w:hAnsiTheme="minorHAnsi" w:cs="Arial"/>
          <w:color w:val="auto"/>
          <w:sz w:val="20"/>
        </w:rPr>
        <w:t>company entered</w:t>
      </w:r>
      <w:r w:rsidRPr="00894701">
        <w:rPr>
          <w:rFonts w:asciiTheme="minorHAnsi" w:hAnsiTheme="minorHAnsi" w:cs="Arial"/>
          <w:color w:val="auto"/>
          <w:sz w:val="20"/>
        </w:rPr>
        <w:t xml:space="preserve"> mining in Suriname. This was the Australian-owned BHP-Billiton who established </w:t>
      </w:r>
      <w:r w:rsidR="00BB466D" w:rsidRPr="00894701">
        <w:rPr>
          <w:rFonts w:asciiTheme="minorHAnsi" w:hAnsiTheme="minorHAnsi" w:cs="Arial"/>
          <w:color w:val="auto"/>
          <w:sz w:val="20"/>
        </w:rPr>
        <w:t>Billiton Maatschappij</w:t>
      </w:r>
      <w:r w:rsidRPr="00894701">
        <w:rPr>
          <w:rFonts w:asciiTheme="minorHAnsi" w:hAnsiTheme="minorHAnsi" w:cs="Arial"/>
          <w:color w:val="auto"/>
          <w:sz w:val="20"/>
        </w:rPr>
        <w:t xml:space="preserve"> Suriname (BMS).</w:t>
      </w:r>
      <w:r w:rsidR="00206BA2" w:rsidRPr="00894701">
        <w:rPr>
          <w:rFonts w:asciiTheme="minorHAnsi" w:hAnsiTheme="minorHAnsi" w:cs="Arial"/>
          <w:color w:val="auto"/>
          <w:sz w:val="20"/>
        </w:rPr>
        <w:t xml:space="preserve"> </w:t>
      </w:r>
    </w:p>
    <w:p w14:paraId="754021C1" w14:textId="493E87BF" w:rsidR="007B3614" w:rsidRPr="00894701" w:rsidRDefault="00BB466D" w:rsidP="00EA2D5D">
      <w:pPr>
        <w:pStyle w:val="BodyText"/>
        <w:jc w:val="both"/>
        <w:rPr>
          <w:rFonts w:asciiTheme="minorHAnsi" w:hAnsiTheme="minorHAnsi" w:cs="Arial"/>
          <w:color w:val="auto"/>
          <w:sz w:val="20"/>
        </w:rPr>
      </w:pPr>
      <w:r w:rsidRPr="00894701">
        <w:rPr>
          <w:rFonts w:asciiTheme="minorHAnsi" w:hAnsiTheme="minorHAnsi" w:cs="Arial"/>
          <w:color w:val="auto"/>
          <w:sz w:val="20"/>
        </w:rPr>
        <w:t>In 1958, the structure of the ‘Afobaka project’ was established between the Dutch Government</w:t>
      </w:r>
      <w:r w:rsidR="007B3614" w:rsidRPr="00894701">
        <w:rPr>
          <w:rFonts w:asciiTheme="minorHAnsi" w:hAnsiTheme="minorHAnsi" w:cs="Arial"/>
          <w:color w:val="auto"/>
          <w:sz w:val="20"/>
        </w:rPr>
        <w:t xml:space="preserve"> and Alcoa in the ‘Brokopondo Agreement’, for 75 years. The Surinam </w:t>
      </w:r>
      <w:r w:rsidRPr="00894701">
        <w:rPr>
          <w:rFonts w:asciiTheme="minorHAnsi" w:hAnsiTheme="minorHAnsi" w:cs="Arial"/>
          <w:color w:val="auto"/>
          <w:sz w:val="20"/>
        </w:rPr>
        <w:t>Bauxite Company</w:t>
      </w:r>
      <w:r w:rsidR="007B3614" w:rsidRPr="00894701">
        <w:rPr>
          <w:rFonts w:asciiTheme="minorHAnsi" w:hAnsiTheme="minorHAnsi" w:cs="Arial"/>
          <w:color w:val="auto"/>
          <w:sz w:val="20"/>
        </w:rPr>
        <w:t xml:space="preserve"> then became </w:t>
      </w:r>
      <w:r w:rsidR="007B3614" w:rsidRPr="00894701">
        <w:rPr>
          <w:rFonts w:asciiTheme="minorHAnsi" w:hAnsiTheme="minorHAnsi" w:cs="Arial"/>
          <w:color w:val="auto"/>
          <w:sz w:val="20"/>
        </w:rPr>
        <w:lastRenderedPageBreak/>
        <w:t xml:space="preserve">Suriname </w:t>
      </w:r>
      <w:r w:rsidRPr="00894701">
        <w:rPr>
          <w:rFonts w:asciiTheme="minorHAnsi" w:hAnsiTheme="minorHAnsi" w:cs="Arial"/>
          <w:color w:val="auto"/>
          <w:sz w:val="20"/>
        </w:rPr>
        <w:t>Aluminium</w:t>
      </w:r>
      <w:r w:rsidR="007B3614" w:rsidRPr="00894701">
        <w:rPr>
          <w:rFonts w:asciiTheme="minorHAnsi" w:hAnsiTheme="minorHAnsi" w:cs="Arial"/>
          <w:color w:val="auto"/>
          <w:sz w:val="20"/>
        </w:rPr>
        <w:t xml:space="preserve"> Company (Suralco). Alcoa took upon </w:t>
      </w:r>
      <w:r w:rsidR="00E30894" w:rsidRPr="00894701">
        <w:rPr>
          <w:rFonts w:asciiTheme="minorHAnsi" w:hAnsiTheme="minorHAnsi" w:cs="Arial"/>
          <w:color w:val="auto"/>
          <w:sz w:val="20"/>
        </w:rPr>
        <w:t xml:space="preserve">itself </w:t>
      </w:r>
      <w:r w:rsidR="007B3614" w:rsidRPr="00894701">
        <w:rPr>
          <w:rFonts w:asciiTheme="minorHAnsi" w:hAnsiTheme="minorHAnsi" w:cs="Arial"/>
          <w:color w:val="auto"/>
          <w:sz w:val="20"/>
        </w:rPr>
        <w:t xml:space="preserve">the costs of the construction of the dam. It was completed in 1964, </w:t>
      </w:r>
      <w:r w:rsidRPr="00894701">
        <w:rPr>
          <w:rFonts w:asciiTheme="minorHAnsi" w:hAnsiTheme="minorHAnsi" w:cs="Arial"/>
          <w:color w:val="auto"/>
          <w:sz w:val="20"/>
        </w:rPr>
        <w:t>and in</w:t>
      </w:r>
      <w:r w:rsidR="007B3614" w:rsidRPr="00894701">
        <w:rPr>
          <w:rFonts w:asciiTheme="minorHAnsi" w:hAnsiTheme="minorHAnsi" w:cs="Arial"/>
          <w:color w:val="auto"/>
          <w:sz w:val="20"/>
        </w:rPr>
        <w:t xml:space="preserve"> 1965 a hydroelectric power plant of 189 megawatts, an </w:t>
      </w:r>
      <w:r w:rsidRPr="00894701">
        <w:rPr>
          <w:rFonts w:asciiTheme="minorHAnsi" w:hAnsiTheme="minorHAnsi" w:cs="Arial"/>
          <w:color w:val="auto"/>
          <w:sz w:val="20"/>
        </w:rPr>
        <w:t>aluminium</w:t>
      </w:r>
      <w:r w:rsidR="007B3614" w:rsidRPr="00894701">
        <w:rPr>
          <w:rFonts w:asciiTheme="minorHAnsi" w:hAnsiTheme="minorHAnsi" w:cs="Arial"/>
          <w:color w:val="auto"/>
          <w:sz w:val="20"/>
        </w:rPr>
        <w:t xml:space="preserve"> smelter with a capacity of </w:t>
      </w:r>
      <w:r w:rsidRPr="00894701">
        <w:rPr>
          <w:rFonts w:asciiTheme="minorHAnsi" w:hAnsiTheme="minorHAnsi" w:cs="Arial"/>
          <w:color w:val="auto"/>
          <w:sz w:val="20"/>
        </w:rPr>
        <w:t>60,000 tons</w:t>
      </w:r>
      <w:r w:rsidR="007B3614" w:rsidRPr="00894701">
        <w:rPr>
          <w:rFonts w:asciiTheme="minorHAnsi" w:hAnsiTheme="minorHAnsi" w:cs="Arial"/>
          <w:color w:val="auto"/>
          <w:sz w:val="20"/>
        </w:rPr>
        <w:t xml:space="preserve"> per year and an alumina refinery with a capacity of 650,000 tons per year were completed.</w:t>
      </w:r>
      <w:r w:rsidR="00206BA2" w:rsidRPr="00894701">
        <w:rPr>
          <w:rFonts w:asciiTheme="minorHAnsi" w:hAnsiTheme="minorHAnsi" w:cs="Arial"/>
          <w:color w:val="auto"/>
          <w:sz w:val="20"/>
        </w:rPr>
        <w:t xml:space="preserve"> </w:t>
      </w:r>
      <w:r w:rsidR="007B3614" w:rsidRPr="00894701">
        <w:rPr>
          <w:rFonts w:asciiTheme="minorHAnsi" w:hAnsiTheme="minorHAnsi" w:cs="Arial"/>
          <w:color w:val="auto"/>
          <w:sz w:val="20"/>
        </w:rPr>
        <w:t>Suralco also received bauxite exploration concessions until 2032.</w:t>
      </w:r>
      <w:r w:rsidR="00206BA2" w:rsidRPr="00894701">
        <w:rPr>
          <w:rFonts w:asciiTheme="minorHAnsi" w:hAnsiTheme="minorHAnsi" w:cs="Arial"/>
          <w:color w:val="auto"/>
          <w:sz w:val="20"/>
        </w:rPr>
        <w:t xml:space="preserve"> </w:t>
      </w:r>
    </w:p>
    <w:p w14:paraId="0FDA732B" w14:textId="77777777" w:rsidR="00484A8E" w:rsidRPr="00894701" w:rsidRDefault="00484A8E" w:rsidP="00484A8E">
      <w:pPr>
        <w:pStyle w:val="BodyText"/>
        <w:jc w:val="both"/>
        <w:rPr>
          <w:rFonts w:asciiTheme="minorHAnsi" w:hAnsiTheme="minorHAnsi" w:cs="Arial"/>
          <w:color w:val="auto"/>
          <w:sz w:val="20"/>
        </w:rPr>
      </w:pPr>
      <w:r w:rsidRPr="00894701">
        <w:rPr>
          <w:rFonts w:asciiTheme="minorHAnsi" w:hAnsiTheme="minorHAnsi" w:cs="Arial"/>
          <w:color w:val="auto"/>
          <w:sz w:val="20"/>
        </w:rPr>
        <w:t xml:space="preserve">Suriname had a dominant position in the bauxite supply, especially for aluminium in World War II and after. However, since the last decades of the 20th century, the bauxite industry in Suriname faced a continuous decline in demand. This led to:  </w:t>
      </w:r>
    </w:p>
    <w:p w14:paraId="4A80E74D" w14:textId="7EEA856C" w:rsidR="00484A8E" w:rsidRPr="00894701" w:rsidRDefault="00484A8E" w:rsidP="00484A8E">
      <w:pPr>
        <w:pStyle w:val="ListParagraph"/>
        <w:numPr>
          <w:ilvl w:val="0"/>
          <w:numId w:val="28"/>
        </w:numPr>
        <w:spacing w:before="60" w:after="60" w:line="240" w:lineRule="auto"/>
        <w:jc w:val="both"/>
        <w:rPr>
          <w:rFonts w:asciiTheme="minorHAnsi" w:hAnsiTheme="minorHAnsi"/>
          <w:color w:val="auto"/>
          <w:sz w:val="20"/>
          <w:szCs w:val="20"/>
          <w:lang w:eastAsia="fr-FR"/>
        </w:rPr>
      </w:pPr>
      <w:r w:rsidRPr="00894701">
        <w:rPr>
          <w:rFonts w:asciiTheme="minorHAnsi" w:hAnsiTheme="minorHAnsi"/>
          <w:color w:val="auto"/>
          <w:sz w:val="20"/>
          <w:szCs w:val="20"/>
          <w:lang w:eastAsia="fr-FR"/>
        </w:rPr>
        <w:t xml:space="preserve">the shutdown in 1999 of the aluminium </w:t>
      </w:r>
      <w:r w:rsidR="0019705E" w:rsidRPr="00894701">
        <w:rPr>
          <w:rFonts w:asciiTheme="minorHAnsi" w:hAnsiTheme="minorHAnsi"/>
          <w:color w:val="auto"/>
          <w:sz w:val="20"/>
          <w:szCs w:val="20"/>
          <w:lang w:eastAsia="fr-FR"/>
        </w:rPr>
        <w:t>smelters</w:t>
      </w:r>
      <w:r w:rsidRPr="00894701">
        <w:rPr>
          <w:rFonts w:asciiTheme="minorHAnsi" w:hAnsiTheme="minorHAnsi"/>
          <w:color w:val="auto"/>
          <w:sz w:val="20"/>
          <w:szCs w:val="20"/>
          <w:lang w:eastAsia="fr-FR"/>
        </w:rPr>
        <w:t xml:space="preserve">; </w:t>
      </w:r>
    </w:p>
    <w:p w14:paraId="4E365508" w14:textId="004BC7F7" w:rsidR="00484A8E" w:rsidRPr="00894701" w:rsidRDefault="00484A8E" w:rsidP="00484A8E">
      <w:pPr>
        <w:pStyle w:val="ListParagraph"/>
        <w:numPr>
          <w:ilvl w:val="0"/>
          <w:numId w:val="28"/>
        </w:numPr>
        <w:spacing w:before="60" w:after="60" w:line="240" w:lineRule="auto"/>
        <w:jc w:val="both"/>
        <w:rPr>
          <w:rFonts w:asciiTheme="minorHAnsi" w:hAnsiTheme="minorHAnsi"/>
          <w:color w:val="auto"/>
          <w:sz w:val="20"/>
          <w:szCs w:val="20"/>
          <w:lang w:eastAsia="fr-FR"/>
        </w:rPr>
      </w:pPr>
      <w:r w:rsidRPr="00894701">
        <w:rPr>
          <w:rFonts w:asciiTheme="minorHAnsi" w:hAnsiTheme="minorHAnsi"/>
          <w:color w:val="auto"/>
          <w:sz w:val="20"/>
          <w:szCs w:val="20"/>
          <w:lang w:eastAsia="fr-FR"/>
        </w:rPr>
        <w:t>the forecasted depletion of two major mines in the first decennium of the 21</w:t>
      </w:r>
      <w:r w:rsidRPr="00894701">
        <w:rPr>
          <w:rFonts w:asciiTheme="minorHAnsi" w:hAnsiTheme="minorHAnsi"/>
          <w:color w:val="auto"/>
          <w:sz w:val="20"/>
          <w:szCs w:val="20"/>
          <w:vertAlign w:val="superscript"/>
          <w:lang w:eastAsia="fr-FR"/>
        </w:rPr>
        <w:t>st</w:t>
      </w:r>
      <w:r w:rsidRPr="00894701">
        <w:rPr>
          <w:rFonts w:asciiTheme="minorHAnsi" w:hAnsiTheme="minorHAnsi"/>
          <w:color w:val="auto"/>
          <w:sz w:val="20"/>
          <w:szCs w:val="20"/>
          <w:lang w:eastAsia="fr-FR"/>
        </w:rPr>
        <w:t xml:space="preserve"> century; </w:t>
      </w:r>
    </w:p>
    <w:p w14:paraId="1568E881" w14:textId="7642FF95" w:rsidR="00484A8E" w:rsidRPr="00894701" w:rsidRDefault="00484A8E" w:rsidP="00484A8E">
      <w:pPr>
        <w:pStyle w:val="ListParagraph"/>
        <w:numPr>
          <w:ilvl w:val="0"/>
          <w:numId w:val="28"/>
        </w:numPr>
        <w:spacing w:before="60" w:after="60" w:line="240" w:lineRule="auto"/>
        <w:jc w:val="both"/>
        <w:rPr>
          <w:rFonts w:asciiTheme="minorHAnsi" w:hAnsiTheme="minorHAnsi"/>
          <w:color w:val="auto"/>
          <w:sz w:val="20"/>
          <w:szCs w:val="20"/>
          <w:lang w:eastAsia="fr-FR"/>
        </w:rPr>
      </w:pPr>
      <w:r w:rsidRPr="00894701">
        <w:rPr>
          <w:rFonts w:asciiTheme="minorHAnsi" w:hAnsiTheme="minorHAnsi"/>
          <w:color w:val="auto"/>
          <w:sz w:val="20"/>
          <w:szCs w:val="20"/>
          <w:lang w:eastAsia="fr-FR"/>
        </w:rPr>
        <w:t>the termination of activities by BHP /Billiton Maatschappij Suriname; and</w:t>
      </w:r>
    </w:p>
    <w:p w14:paraId="74AC531C" w14:textId="0353E175" w:rsidR="00484A8E" w:rsidRPr="00894701" w:rsidRDefault="00484A8E" w:rsidP="00484A8E">
      <w:pPr>
        <w:pStyle w:val="ListParagraph"/>
        <w:numPr>
          <w:ilvl w:val="0"/>
          <w:numId w:val="28"/>
        </w:numPr>
        <w:spacing w:before="60" w:after="60" w:line="240" w:lineRule="auto"/>
        <w:jc w:val="both"/>
        <w:rPr>
          <w:rFonts w:asciiTheme="minorHAnsi" w:hAnsiTheme="minorHAnsi"/>
          <w:color w:val="auto"/>
          <w:sz w:val="20"/>
          <w:szCs w:val="20"/>
          <w:lang w:eastAsia="fr-FR"/>
        </w:rPr>
      </w:pPr>
      <w:r w:rsidRPr="00894701">
        <w:rPr>
          <w:rFonts w:asciiTheme="minorHAnsi" w:hAnsiTheme="minorHAnsi"/>
          <w:color w:val="auto"/>
          <w:sz w:val="20"/>
          <w:szCs w:val="20"/>
          <w:lang w:eastAsia="fr-FR"/>
        </w:rPr>
        <w:t xml:space="preserve">the announcement of Alcoa in 2015 to discontinue its operation in Suriname. </w:t>
      </w:r>
    </w:p>
    <w:p w14:paraId="6C8D8F6F" w14:textId="240F1F23" w:rsidR="00BB466D" w:rsidRPr="00894701" w:rsidRDefault="00BB466D" w:rsidP="00BB466D">
      <w:pPr>
        <w:widowControl w:val="0"/>
        <w:spacing w:before="120" w:line="240" w:lineRule="auto"/>
        <w:rPr>
          <w:rFonts w:asciiTheme="minorHAnsi" w:eastAsiaTheme="minorHAnsi" w:hAnsiTheme="minorHAnsi" w:cs="TrebuchetMS-Bold"/>
          <w:b/>
          <w:bCs/>
          <w:color w:val="ED1A3B"/>
          <w:kern w:val="0"/>
          <w:sz w:val="24"/>
          <w:lang w:eastAsia="en-US"/>
        </w:rPr>
      </w:pPr>
      <w:r w:rsidRPr="00894701">
        <w:rPr>
          <w:rFonts w:asciiTheme="minorHAnsi" w:eastAsiaTheme="minorHAnsi" w:hAnsiTheme="minorHAnsi" w:cs="TrebuchetMS-Bold"/>
          <w:b/>
          <w:bCs/>
          <w:color w:val="ED1A3B"/>
          <w:kern w:val="0"/>
          <w:sz w:val="24"/>
          <w:lang w:eastAsia="en-US"/>
        </w:rPr>
        <w:t>Gold mining</w:t>
      </w:r>
      <w:r w:rsidR="00206BA2" w:rsidRPr="00894701">
        <w:rPr>
          <w:rFonts w:asciiTheme="minorHAnsi" w:eastAsiaTheme="minorHAnsi" w:hAnsiTheme="minorHAnsi" w:cs="TrebuchetMS-Bold"/>
          <w:b/>
          <w:bCs/>
          <w:color w:val="ED1A3B"/>
          <w:kern w:val="0"/>
          <w:sz w:val="24"/>
          <w:lang w:eastAsia="en-US"/>
        </w:rPr>
        <w:t xml:space="preserve"> </w:t>
      </w:r>
      <w:r w:rsidRPr="00894701">
        <w:rPr>
          <w:rFonts w:asciiTheme="minorHAnsi" w:eastAsiaTheme="minorHAnsi" w:hAnsiTheme="minorHAnsi" w:cs="TrebuchetMS-Bold"/>
          <w:b/>
          <w:bCs/>
          <w:color w:val="ED1A3B"/>
          <w:kern w:val="0"/>
          <w:sz w:val="24"/>
          <w:lang w:eastAsia="en-US"/>
        </w:rPr>
        <w:t xml:space="preserve"> </w:t>
      </w:r>
    </w:p>
    <w:p w14:paraId="5A03B458" w14:textId="123BF0BD" w:rsidR="00A53B04" w:rsidRPr="00894701" w:rsidRDefault="00A53B04" w:rsidP="00A53B04">
      <w:pPr>
        <w:spacing w:after="0" w:line="240" w:lineRule="auto"/>
        <w:jc w:val="both"/>
        <w:rPr>
          <w:rFonts w:asciiTheme="minorHAnsi" w:hAnsiTheme="minorHAnsi"/>
          <w:color w:val="auto"/>
          <w:sz w:val="20"/>
          <w:szCs w:val="20"/>
          <w:lang w:eastAsia="fr-FR"/>
        </w:rPr>
      </w:pPr>
      <w:r w:rsidRPr="00894701">
        <w:rPr>
          <w:rFonts w:asciiTheme="minorHAnsi" w:hAnsiTheme="minorHAnsi"/>
          <w:color w:val="auto"/>
          <w:sz w:val="20"/>
          <w:szCs w:val="20"/>
          <w:lang w:eastAsia="fr-FR"/>
        </w:rPr>
        <w:t>The exploration of gold in Suriname started in the late 17</w:t>
      </w:r>
      <w:r w:rsidRPr="00894701">
        <w:rPr>
          <w:rFonts w:asciiTheme="minorHAnsi" w:hAnsiTheme="minorHAnsi"/>
          <w:color w:val="auto"/>
          <w:sz w:val="20"/>
          <w:szCs w:val="20"/>
          <w:vertAlign w:val="superscript"/>
          <w:lang w:eastAsia="fr-FR"/>
        </w:rPr>
        <w:t>th</w:t>
      </w:r>
      <w:r w:rsidRPr="00894701">
        <w:rPr>
          <w:rFonts w:asciiTheme="minorHAnsi" w:hAnsiTheme="minorHAnsi"/>
          <w:color w:val="auto"/>
          <w:sz w:val="20"/>
          <w:szCs w:val="20"/>
          <w:lang w:eastAsia="fr-FR"/>
        </w:rPr>
        <w:t xml:space="preserve"> century on a small-scale </w:t>
      </w:r>
      <w:r w:rsidR="00081962">
        <w:rPr>
          <w:rFonts w:asciiTheme="minorHAnsi" w:hAnsiTheme="minorHAnsi"/>
          <w:color w:val="auto"/>
          <w:sz w:val="20"/>
          <w:szCs w:val="20"/>
          <w:lang w:eastAsia="fr-FR"/>
        </w:rPr>
        <w:t xml:space="preserve">basis </w:t>
      </w:r>
      <w:r w:rsidRPr="00894701">
        <w:rPr>
          <w:rFonts w:asciiTheme="minorHAnsi" w:hAnsiTheme="minorHAnsi"/>
          <w:color w:val="auto"/>
          <w:sz w:val="20"/>
          <w:szCs w:val="20"/>
          <w:lang w:eastAsia="fr-FR"/>
        </w:rPr>
        <w:t xml:space="preserve">but was terminated </w:t>
      </w:r>
      <w:r w:rsidR="000D7CF6">
        <w:rPr>
          <w:rFonts w:asciiTheme="minorHAnsi" w:hAnsiTheme="minorHAnsi"/>
          <w:color w:val="auto"/>
          <w:sz w:val="20"/>
          <w:szCs w:val="20"/>
          <w:lang w:eastAsia="fr-FR"/>
        </w:rPr>
        <w:t xml:space="preserve">back then </w:t>
      </w:r>
      <w:r w:rsidRPr="00894701">
        <w:rPr>
          <w:rFonts w:asciiTheme="minorHAnsi" w:hAnsiTheme="minorHAnsi"/>
          <w:color w:val="auto"/>
          <w:sz w:val="20"/>
          <w:szCs w:val="20"/>
          <w:lang w:eastAsia="fr-FR"/>
        </w:rPr>
        <w:t>due to a lack of gold discoveries. Efforts to discover gold continued and in the 18</w:t>
      </w:r>
      <w:r w:rsidRPr="00894701">
        <w:rPr>
          <w:rFonts w:asciiTheme="minorHAnsi" w:hAnsiTheme="minorHAnsi"/>
          <w:color w:val="auto"/>
          <w:sz w:val="20"/>
          <w:szCs w:val="20"/>
          <w:vertAlign w:val="superscript"/>
          <w:lang w:eastAsia="fr-FR"/>
        </w:rPr>
        <w:t>th</w:t>
      </w:r>
      <w:r w:rsidRPr="00894701">
        <w:rPr>
          <w:rFonts w:asciiTheme="minorHAnsi" w:hAnsiTheme="minorHAnsi"/>
          <w:color w:val="auto"/>
          <w:sz w:val="20"/>
          <w:szCs w:val="20"/>
          <w:lang w:eastAsia="fr-FR"/>
        </w:rPr>
        <w:t xml:space="preserve"> century and the first gold was found leading to the establishment of gold mining companies and allocation of concessions and issuance of mining licenses. </w:t>
      </w:r>
    </w:p>
    <w:p w14:paraId="5B2A68A3" w14:textId="1915B1A4" w:rsidR="00A53B04" w:rsidRPr="00894701" w:rsidRDefault="00A53B04" w:rsidP="00A53B04">
      <w:pPr>
        <w:spacing w:before="120" w:line="240" w:lineRule="auto"/>
        <w:jc w:val="both"/>
        <w:rPr>
          <w:rFonts w:asciiTheme="minorHAnsi" w:hAnsiTheme="minorHAnsi"/>
          <w:color w:val="auto"/>
          <w:sz w:val="20"/>
          <w:szCs w:val="20"/>
          <w:lang w:eastAsia="fr-FR"/>
        </w:rPr>
      </w:pPr>
      <w:r w:rsidRPr="00894701">
        <w:rPr>
          <w:rFonts w:asciiTheme="minorHAnsi" w:hAnsiTheme="minorHAnsi"/>
          <w:color w:val="auto"/>
          <w:sz w:val="20"/>
          <w:szCs w:val="20"/>
          <w:lang w:eastAsia="fr-FR"/>
        </w:rPr>
        <w:t xml:space="preserve">In 1903 the colonial Government decided to stimulate the gold industry with the construction of a railway line from Paramaribo to the gold fields along the River Lawa via Kwakugron, Kabel and Dam on the Sarakreek. However, in 1912 the construction of that route was terminated. This was due to the declining production of gold and the results of the research in the Lawa area turned out to be disappointing. </w:t>
      </w:r>
    </w:p>
    <w:p w14:paraId="04FD18CC" w14:textId="77777777" w:rsidR="00A53B04" w:rsidRPr="00894701" w:rsidRDefault="00A53B04" w:rsidP="00A53B04">
      <w:pPr>
        <w:spacing w:before="120" w:line="240" w:lineRule="auto"/>
        <w:jc w:val="both"/>
        <w:rPr>
          <w:rFonts w:asciiTheme="minorHAnsi" w:hAnsiTheme="minorHAnsi"/>
          <w:color w:val="auto"/>
          <w:sz w:val="20"/>
          <w:szCs w:val="20"/>
          <w:lang w:eastAsia="fr-FR"/>
        </w:rPr>
      </w:pPr>
      <w:r w:rsidRPr="00894701">
        <w:rPr>
          <w:rFonts w:asciiTheme="minorHAnsi" w:hAnsiTheme="minorHAnsi"/>
          <w:color w:val="auto"/>
          <w:sz w:val="20"/>
          <w:szCs w:val="20"/>
          <w:lang w:eastAsia="fr-FR"/>
        </w:rPr>
        <w:t xml:space="preserve">Between 1974 and 1977, the Government explored the gold deposits in the Gross-Rosebel area in a joint venture relationship with the Canadian gold mining company Placer Dome. However, the results were marginal. In 1979 the State Mining Company N.V. Grassalco obtained the right to explore. A feasibility study in 1984 showed that economic exploitation of the gold deposit to a depth of ten meters was possible, but it was not possible to get this project funded. </w:t>
      </w:r>
    </w:p>
    <w:p w14:paraId="7CAD0CF1" w14:textId="77777777" w:rsidR="00A53B04" w:rsidRPr="00894701" w:rsidRDefault="00A53B04" w:rsidP="00A53B04">
      <w:pPr>
        <w:spacing w:before="120" w:line="240" w:lineRule="auto"/>
        <w:jc w:val="both"/>
        <w:rPr>
          <w:rFonts w:asciiTheme="minorHAnsi" w:hAnsiTheme="minorHAnsi"/>
          <w:color w:val="auto"/>
          <w:sz w:val="20"/>
          <w:szCs w:val="20"/>
          <w:lang w:eastAsia="fr-FR"/>
        </w:rPr>
      </w:pPr>
      <w:r w:rsidRPr="00894701">
        <w:rPr>
          <w:rFonts w:asciiTheme="minorHAnsi" w:hAnsiTheme="minorHAnsi"/>
          <w:color w:val="auto"/>
          <w:sz w:val="20"/>
          <w:szCs w:val="20"/>
          <w:lang w:eastAsia="fr-FR"/>
        </w:rPr>
        <w:t xml:space="preserve">Small-scale gold mining regained attention again in the 1980s and was seen as a possible source of employment and income for especially hinterland residents and as a catalyst for rural development. The mining law came into effect in 1986 when special regulations for small-scale gold mining were introduced. This mining law also considered the negative consequences and therefore set out a clear policy of discouragement. Small-scale gold mining could only take place in areas designated for this purpose by the Government. </w:t>
      </w:r>
    </w:p>
    <w:p w14:paraId="15D67AA8" w14:textId="648DBD41" w:rsidR="00A53B04" w:rsidRPr="00894701" w:rsidRDefault="00A53B04" w:rsidP="00A53B04">
      <w:pPr>
        <w:spacing w:before="120" w:line="240" w:lineRule="auto"/>
        <w:jc w:val="both"/>
        <w:rPr>
          <w:rFonts w:asciiTheme="minorHAnsi" w:hAnsiTheme="minorHAnsi"/>
          <w:color w:val="auto"/>
          <w:sz w:val="20"/>
          <w:szCs w:val="20"/>
          <w:lang w:eastAsia="fr-FR"/>
        </w:rPr>
      </w:pPr>
      <w:r w:rsidRPr="00894701">
        <w:rPr>
          <w:rFonts w:asciiTheme="minorHAnsi" w:hAnsiTheme="minorHAnsi"/>
          <w:color w:val="auto"/>
          <w:sz w:val="20"/>
          <w:szCs w:val="20"/>
          <w:lang w:eastAsia="fr-FR"/>
        </w:rPr>
        <w:t xml:space="preserve">A Mineral Agreement was signed in April 1994 between the government and Golden Star Resources and N.V. Grassalco (Grassalco) for the further exploration and exploitation of gold reserves in the Gross-Rosebel area. In the following period, however, the world gold market changed dramatically, and the gold price fell below the level at which the feasibility study of the project had been carried out. This led to a tightening of the conditions for financing gold projects. Therefore, the Mineral Agreement had to be amended in 2003. In May 2002, most stocks of Golden Star Resources were taken over by Cambior Inc. and in November 2006 the interest of Cambior Inc was completely taken over by IAMGOLD Corporation. The official opening took place on 14 April 2004, by the start-up of production in the Rosebel Mines and with that the large-scale industrial gold mining in Suriname also received a big boost.  </w:t>
      </w:r>
    </w:p>
    <w:p w14:paraId="602C314E" w14:textId="731136EE" w:rsidR="00A53B04" w:rsidRPr="00894701" w:rsidRDefault="00A53B04" w:rsidP="00A53B04">
      <w:pPr>
        <w:spacing w:before="120" w:line="240" w:lineRule="auto"/>
        <w:jc w:val="both"/>
        <w:rPr>
          <w:rFonts w:asciiTheme="minorHAnsi" w:hAnsiTheme="minorHAnsi"/>
          <w:color w:val="auto"/>
          <w:sz w:val="20"/>
          <w:szCs w:val="20"/>
          <w:lang w:eastAsia="fr-FR"/>
        </w:rPr>
      </w:pPr>
      <w:r w:rsidRPr="00894701">
        <w:rPr>
          <w:rFonts w:asciiTheme="minorHAnsi" w:hAnsiTheme="minorHAnsi"/>
          <w:color w:val="auto"/>
          <w:sz w:val="20"/>
          <w:szCs w:val="20"/>
          <w:lang w:eastAsia="fr-FR"/>
        </w:rPr>
        <w:t>In Suriname, manual mining has been the main technique used throughout history. In small and medium-scale gold mining this is still being applied. From the last decades of the 20</w:t>
      </w:r>
      <w:r w:rsidRPr="00894701">
        <w:rPr>
          <w:rFonts w:asciiTheme="minorHAnsi" w:hAnsiTheme="minorHAnsi"/>
          <w:color w:val="auto"/>
          <w:sz w:val="20"/>
          <w:szCs w:val="20"/>
          <w:vertAlign w:val="superscript"/>
          <w:lang w:eastAsia="fr-FR"/>
        </w:rPr>
        <w:t>th</w:t>
      </w:r>
      <w:r w:rsidRPr="00894701">
        <w:rPr>
          <w:rFonts w:asciiTheme="minorHAnsi" w:hAnsiTheme="minorHAnsi"/>
          <w:color w:val="auto"/>
          <w:sz w:val="20"/>
          <w:szCs w:val="20"/>
          <w:lang w:eastAsia="fr-FR"/>
        </w:rPr>
        <w:t xml:space="preserve"> century up to date, gold mining has been thriving and is profitable for small and medium-scale miners using mechanical methods of mining. Based on formal as well as informal mining activities, this group of gold mining in the interior of Suriname</w:t>
      </w:r>
      <w:r w:rsidR="00743B4B" w:rsidRPr="00894701">
        <w:rPr>
          <w:rFonts w:asciiTheme="minorHAnsi" w:hAnsiTheme="minorHAnsi"/>
          <w:color w:val="auto"/>
          <w:sz w:val="20"/>
          <w:szCs w:val="20"/>
          <w:lang w:eastAsia="fr-FR"/>
        </w:rPr>
        <w:t xml:space="preserve"> </w:t>
      </w:r>
      <w:r w:rsidRPr="00894701">
        <w:rPr>
          <w:rFonts w:asciiTheme="minorHAnsi" w:hAnsiTheme="minorHAnsi"/>
          <w:color w:val="auto"/>
          <w:sz w:val="20"/>
          <w:szCs w:val="20"/>
          <w:lang w:eastAsia="fr-FR"/>
        </w:rPr>
        <w:t xml:space="preserve">increased rapidly in the past two decades. </w:t>
      </w:r>
    </w:p>
    <w:p w14:paraId="1A6C78F8" w14:textId="77777777" w:rsidR="00A53B04" w:rsidRPr="00894701" w:rsidRDefault="00A53B04" w:rsidP="00A53B04">
      <w:pPr>
        <w:spacing w:before="120" w:line="240" w:lineRule="auto"/>
        <w:jc w:val="both"/>
        <w:rPr>
          <w:rFonts w:asciiTheme="minorHAnsi" w:hAnsiTheme="minorHAnsi"/>
          <w:color w:val="auto"/>
          <w:sz w:val="20"/>
          <w:szCs w:val="20"/>
          <w:lang w:eastAsia="fr-FR"/>
        </w:rPr>
      </w:pPr>
      <w:r w:rsidRPr="00894701">
        <w:rPr>
          <w:rFonts w:asciiTheme="minorHAnsi" w:hAnsiTheme="minorHAnsi"/>
          <w:color w:val="auto"/>
          <w:sz w:val="20"/>
          <w:szCs w:val="20"/>
          <w:lang w:eastAsia="fr-FR"/>
        </w:rPr>
        <w:t xml:space="preserve">There are two methods distinguished for gold mining in Suriname: </w:t>
      </w:r>
    </w:p>
    <w:p w14:paraId="4E6990B1" w14:textId="77777777" w:rsidR="00A53B04" w:rsidRPr="00894701" w:rsidRDefault="00A53B04" w:rsidP="00A834A8">
      <w:pPr>
        <w:pStyle w:val="ListParagraph"/>
        <w:numPr>
          <w:ilvl w:val="0"/>
          <w:numId w:val="56"/>
        </w:numPr>
        <w:spacing w:before="120" w:line="240" w:lineRule="auto"/>
        <w:jc w:val="both"/>
        <w:rPr>
          <w:rFonts w:asciiTheme="minorHAnsi" w:hAnsiTheme="minorHAnsi"/>
          <w:color w:val="auto"/>
          <w:sz w:val="20"/>
          <w:szCs w:val="20"/>
          <w:lang w:eastAsia="fr-FR"/>
        </w:rPr>
      </w:pPr>
      <w:r w:rsidRPr="00894701">
        <w:rPr>
          <w:rFonts w:asciiTheme="minorHAnsi" w:hAnsiTheme="minorHAnsi"/>
          <w:color w:val="auto"/>
          <w:sz w:val="20"/>
          <w:szCs w:val="20"/>
          <w:lang w:eastAsia="fr-FR"/>
        </w:rPr>
        <w:t xml:space="preserve">The artisanal and small-scale gold mining ASGM); and </w:t>
      </w:r>
    </w:p>
    <w:p w14:paraId="42E0C4E5" w14:textId="77777777" w:rsidR="00A53B04" w:rsidRPr="00894701" w:rsidRDefault="00A53B04" w:rsidP="00A834A8">
      <w:pPr>
        <w:pStyle w:val="ListParagraph"/>
        <w:numPr>
          <w:ilvl w:val="0"/>
          <w:numId w:val="56"/>
        </w:numPr>
        <w:spacing w:before="120" w:line="240" w:lineRule="auto"/>
        <w:jc w:val="both"/>
        <w:rPr>
          <w:rFonts w:asciiTheme="minorHAnsi" w:hAnsiTheme="minorHAnsi"/>
          <w:color w:val="auto"/>
          <w:sz w:val="20"/>
          <w:szCs w:val="20"/>
          <w:lang w:eastAsia="fr-FR"/>
        </w:rPr>
      </w:pPr>
      <w:r w:rsidRPr="00894701">
        <w:rPr>
          <w:rFonts w:asciiTheme="minorHAnsi" w:hAnsiTheme="minorHAnsi"/>
          <w:color w:val="auto"/>
          <w:sz w:val="20"/>
          <w:szCs w:val="20"/>
          <w:lang w:eastAsia="fr-FR"/>
        </w:rPr>
        <w:t xml:space="preserve">The industrial gold mining. </w:t>
      </w:r>
    </w:p>
    <w:p w14:paraId="499699C8" w14:textId="2488F960" w:rsidR="00D811CE" w:rsidRPr="00894701" w:rsidRDefault="00A53B04" w:rsidP="008F7932">
      <w:pPr>
        <w:spacing w:before="120" w:line="240" w:lineRule="auto"/>
        <w:jc w:val="both"/>
        <w:rPr>
          <w:rFonts w:asciiTheme="majorHAnsi" w:hAnsiTheme="majorHAnsi"/>
          <w:b/>
          <w:bCs/>
          <w:color w:val="98002E" w:themeColor="accent3"/>
          <w:sz w:val="20"/>
        </w:rPr>
      </w:pPr>
      <w:r w:rsidRPr="00894701">
        <w:rPr>
          <w:rFonts w:asciiTheme="minorHAnsi" w:hAnsiTheme="minorHAnsi"/>
          <w:color w:val="auto"/>
          <w:sz w:val="20"/>
          <w:szCs w:val="20"/>
          <w:lang w:eastAsia="fr-FR"/>
        </w:rPr>
        <w:lastRenderedPageBreak/>
        <w:t xml:space="preserve">In general, the formal small and medium-scale mining is based on licenses assigned by MONR following the Mining Decree 1986, while industrial mineral mining is based on mineral agreements between the Republic of Suriname and the Companies and approved by the National Assembly (De National Assembly (DNA)). In 2018, 2019 and 2020, </w:t>
      </w:r>
      <w:r w:rsidR="004A7263" w:rsidRPr="00894701">
        <w:rPr>
          <w:rFonts w:asciiTheme="minorHAnsi" w:hAnsiTheme="minorHAnsi"/>
          <w:color w:val="auto"/>
          <w:sz w:val="20"/>
          <w:szCs w:val="20"/>
          <w:lang w:eastAsia="fr-FR"/>
        </w:rPr>
        <w:t>two</w:t>
      </w:r>
      <w:r w:rsidRPr="00894701">
        <w:rPr>
          <w:rFonts w:asciiTheme="minorHAnsi" w:hAnsiTheme="minorHAnsi"/>
          <w:color w:val="auto"/>
          <w:sz w:val="20"/>
          <w:szCs w:val="20"/>
          <w:lang w:eastAsia="fr-FR"/>
        </w:rPr>
        <w:t xml:space="preserve"> companies operated under Mineral Agreements, </w:t>
      </w:r>
      <w:r w:rsidR="00725C00" w:rsidRPr="00894701">
        <w:rPr>
          <w:rFonts w:asciiTheme="minorHAnsi" w:hAnsiTheme="minorHAnsi"/>
          <w:color w:val="auto"/>
          <w:sz w:val="20"/>
          <w:szCs w:val="20"/>
          <w:lang w:eastAsia="fr-FR"/>
        </w:rPr>
        <w:t>GRASSALCO</w:t>
      </w:r>
      <w:r w:rsidRPr="00894701">
        <w:rPr>
          <w:rFonts w:asciiTheme="minorHAnsi" w:hAnsiTheme="minorHAnsi"/>
          <w:color w:val="auto"/>
          <w:sz w:val="20"/>
          <w:szCs w:val="20"/>
          <w:lang w:eastAsia="fr-FR"/>
        </w:rPr>
        <w:t xml:space="preserve"> </w:t>
      </w:r>
      <w:r w:rsidR="00B72312" w:rsidRPr="00894701">
        <w:rPr>
          <w:rFonts w:asciiTheme="minorHAnsi" w:hAnsiTheme="minorHAnsi"/>
          <w:color w:val="auto"/>
          <w:sz w:val="20"/>
          <w:szCs w:val="20"/>
          <w:lang w:eastAsia="fr-FR"/>
        </w:rPr>
        <w:t xml:space="preserve">in the Gross-Rosebel area </w:t>
      </w:r>
      <w:r w:rsidRPr="00894701">
        <w:rPr>
          <w:rFonts w:asciiTheme="minorHAnsi" w:hAnsiTheme="minorHAnsi"/>
          <w:color w:val="auto"/>
          <w:sz w:val="20"/>
          <w:szCs w:val="20"/>
          <w:lang w:eastAsia="fr-FR"/>
        </w:rPr>
        <w:t xml:space="preserve">and Newmont Suriname LLC (NS): </w:t>
      </w:r>
      <w:bookmarkStart w:id="117" w:name="_Toc93095203"/>
      <w:bookmarkStart w:id="118" w:name="_Toc109599077"/>
    </w:p>
    <w:p w14:paraId="2B5600DB" w14:textId="295BBACE" w:rsidR="00A53B04" w:rsidRPr="00894701" w:rsidRDefault="00A53B04" w:rsidP="00A53B04">
      <w:pPr>
        <w:pStyle w:val="BodyText"/>
        <w:jc w:val="center"/>
        <w:rPr>
          <w:rFonts w:asciiTheme="majorHAnsi" w:hAnsiTheme="majorHAnsi"/>
          <w:b/>
          <w:bCs/>
          <w:color w:val="auto"/>
          <w:sz w:val="20"/>
          <w:szCs w:val="20"/>
        </w:rPr>
      </w:pPr>
      <w:bookmarkStart w:id="119" w:name="_Toc146590484"/>
      <w:r w:rsidRPr="00894701">
        <w:rPr>
          <w:rFonts w:asciiTheme="majorHAnsi" w:hAnsiTheme="majorHAnsi"/>
          <w:b/>
          <w:bCs/>
          <w:color w:val="98002E" w:themeColor="accent3"/>
          <w:sz w:val="20"/>
        </w:rPr>
        <w:t xml:space="preserve">Table </w:t>
      </w:r>
      <w:r w:rsidRPr="00894701">
        <w:rPr>
          <w:rFonts w:asciiTheme="majorHAnsi" w:hAnsiTheme="majorHAnsi"/>
          <w:b/>
          <w:bCs/>
          <w:color w:val="98002E" w:themeColor="accent3"/>
          <w:sz w:val="20"/>
        </w:rPr>
        <w:fldChar w:fldCharType="begin"/>
      </w:r>
      <w:r w:rsidRPr="00894701">
        <w:rPr>
          <w:rFonts w:asciiTheme="majorHAnsi" w:hAnsiTheme="majorHAnsi"/>
          <w:b/>
          <w:bCs/>
          <w:color w:val="98002E" w:themeColor="accent3"/>
          <w:sz w:val="20"/>
        </w:rPr>
        <w:instrText xml:space="preserve"> SEQ Table \* ARABIC </w:instrText>
      </w:r>
      <w:r w:rsidRPr="00894701">
        <w:rPr>
          <w:rFonts w:asciiTheme="majorHAnsi" w:hAnsiTheme="majorHAnsi"/>
          <w:b/>
          <w:bCs/>
          <w:color w:val="98002E" w:themeColor="accent3"/>
          <w:sz w:val="20"/>
        </w:rPr>
        <w:fldChar w:fldCharType="separate"/>
      </w:r>
      <w:r w:rsidR="0035303B">
        <w:rPr>
          <w:rFonts w:asciiTheme="majorHAnsi" w:hAnsiTheme="majorHAnsi"/>
          <w:b/>
          <w:bCs/>
          <w:noProof/>
          <w:color w:val="98002E" w:themeColor="accent3"/>
          <w:sz w:val="20"/>
        </w:rPr>
        <w:t>12</w:t>
      </w:r>
      <w:r w:rsidRPr="00894701">
        <w:rPr>
          <w:rFonts w:asciiTheme="majorHAnsi" w:hAnsiTheme="majorHAnsi"/>
          <w:b/>
          <w:bCs/>
          <w:color w:val="98002E" w:themeColor="accent3"/>
          <w:sz w:val="20"/>
        </w:rPr>
        <w:fldChar w:fldCharType="end"/>
      </w:r>
      <w:r w:rsidRPr="00894701">
        <w:rPr>
          <w:rFonts w:asciiTheme="majorHAnsi" w:hAnsiTheme="majorHAnsi"/>
          <w:b/>
          <w:bCs/>
          <w:color w:val="98002E" w:themeColor="accent3"/>
          <w:sz w:val="20"/>
        </w:rPr>
        <w:t xml:space="preserve">: </w:t>
      </w:r>
      <w:bookmarkEnd w:id="117"/>
      <w:r w:rsidRPr="00894701">
        <w:rPr>
          <w:rFonts w:asciiTheme="minorHAnsi" w:hAnsiTheme="minorHAnsi" w:cs="TrebuchetMS-Bold"/>
          <w:b/>
          <w:bCs/>
          <w:color w:val="98002E"/>
          <w:kern w:val="0"/>
          <w:sz w:val="20"/>
          <w:szCs w:val="20"/>
          <w:lang w:eastAsia="en-US"/>
        </w:rPr>
        <w:t>Main ongoing gold mining project in Suriname</w:t>
      </w:r>
      <w:bookmarkEnd w:id="118"/>
      <w:bookmarkEnd w:id="119"/>
    </w:p>
    <w:tbl>
      <w:tblPr>
        <w:tblStyle w:val="TableGrid"/>
        <w:tblW w:w="9312" w:type="dxa"/>
        <w:tblLayout w:type="fixed"/>
        <w:tblLook w:val="04A0" w:firstRow="1" w:lastRow="0" w:firstColumn="1" w:lastColumn="0" w:noHBand="0" w:noVBand="1"/>
      </w:tblPr>
      <w:tblGrid>
        <w:gridCol w:w="236"/>
        <w:gridCol w:w="1228"/>
        <w:gridCol w:w="236"/>
        <w:gridCol w:w="1164"/>
        <w:gridCol w:w="236"/>
        <w:gridCol w:w="1228"/>
        <w:gridCol w:w="236"/>
        <w:gridCol w:w="236"/>
        <w:gridCol w:w="4272"/>
        <w:gridCol w:w="240"/>
      </w:tblGrid>
      <w:tr w:rsidR="00A53B04" w:rsidRPr="00894701" w14:paraId="1856C9BA" w14:textId="77777777" w:rsidTr="00446B8D">
        <w:trPr>
          <w:cnfStyle w:val="100000000000" w:firstRow="1" w:lastRow="0" w:firstColumn="0" w:lastColumn="0" w:oddVBand="0" w:evenVBand="0" w:oddHBand="0" w:evenHBand="0" w:firstRowFirstColumn="0" w:firstRowLastColumn="0" w:lastRowFirstColumn="0" w:lastRowLastColumn="0"/>
          <w:trHeight w:val="524"/>
          <w:tblHeader/>
        </w:trPr>
        <w:tc>
          <w:tcPr>
            <w:cnfStyle w:val="001000000000" w:firstRow="0" w:lastRow="0" w:firstColumn="1" w:lastColumn="0" w:oddVBand="0" w:evenVBand="0" w:oddHBand="0" w:evenHBand="0" w:firstRowFirstColumn="0" w:firstRowLastColumn="0" w:lastRowFirstColumn="0" w:lastRowLastColumn="0"/>
            <w:tcW w:w="1700" w:type="dxa"/>
            <w:gridSpan w:val="3"/>
            <w:shd w:val="clear" w:color="auto" w:fill="7A091A"/>
            <w:tcMar>
              <w:left w:w="28" w:type="dxa"/>
              <w:right w:w="28" w:type="dxa"/>
            </w:tcMar>
            <w:vAlign w:val="center"/>
          </w:tcPr>
          <w:p w14:paraId="1D6B9479" w14:textId="77777777" w:rsidR="00A53B04" w:rsidRPr="00894701" w:rsidRDefault="00A53B04" w:rsidP="00446B8D">
            <w:pPr>
              <w:ind w:left="88"/>
              <w:jc w:val="center"/>
              <w:rPr>
                <w:rFonts w:asciiTheme="minorHAnsi" w:hAnsiTheme="minorHAnsi"/>
                <w:color w:val="010302"/>
                <w:sz w:val="16"/>
                <w:szCs w:val="16"/>
              </w:rPr>
            </w:pPr>
            <w:r w:rsidRPr="00894701">
              <w:rPr>
                <w:rFonts w:asciiTheme="minorHAnsi" w:hAnsiTheme="minorHAnsi" w:cs="TrebuchetMS-Bold"/>
                <w:b/>
                <w:bCs/>
                <w:color w:val="FFFFFF"/>
                <w:sz w:val="16"/>
                <w:szCs w:val="16"/>
              </w:rPr>
              <w:t>Project</w:t>
            </w:r>
          </w:p>
        </w:tc>
        <w:tc>
          <w:tcPr>
            <w:tcW w:w="1164" w:type="dxa"/>
            <w:shd w:val="clear" w:color="auto" w:fill="7A091A"/>
            <w:tcMar>
              <w:left w:w="28" w:type="dxa"/>
              <w:right w:w="28" w:type="dxa"/>
            </w:tcMar>
            <w:vAlign w:val="center"/>
          </w:tcPr>
          <w:p w14:paraId="432BA14D" w14:textId="77777777" w:rsidR="00A53B04" w:rsidRPr="00894701" w:rsidRDefault="00A53B04" w:rsidP="00446B8D">
            <w:pPr>
              <w:ind w:firstLine="10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10302"/>
                <w:sz w:val="16"/>
                <w:szCs w:val="16"/>
              </w:rPr>
            </w:pPr>
            <w:r w:rsidRPr="00894701">
              <w:rPr>
                <w:rFonts w:asciiTheme="minorHAnsi" w:hAnsiTheme="minorHAnsi" w:cs="TrebuchetMS-Bold"/>
                <w:b/>
                <w:bCs/>
                <w:color w:val="FFFFFF"/>
                <w:sz w:val="16"/>
                <w:szCs w:val="16"/>
              </w:rPr>
              <w:t>Commodity</w:t>
            </w:r>
          </w:p>
        </w:tc>
        <w:tc>
          <w:tcPr>
            <w:tcW w:w="236" w:type="dxa"/>
            <w:shd w:val="clear" w:color="auto" w:fill="7A091A"/>
            <w:tcMar>
              <w:left w:w="28" w:type="dxa"/>
              <w:right w:w="28" w:type="dxa"/>
            </w:tcMar>
            <w:vAlign w:val="center"/>
          </w:tcPr>
          <w:p w14:paraId="7BD7DB6A" w14:textId="77777777" w:rsidR="00A53B04" w:rsidRPr="00894701" w:rsidRDefault="00A53B04" w:rsidP="00446B8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themeColor="text1"/>
                <w:sz w:val="16"/>
                <w:szCs w:val="16"/>
              </w:rPr>
            </w:pPr>
          </w:p>
        </w:tc>
        <w:tc>
          <w:tcPr>
            <w:tcW w:w="1228" w:type="dxa"/>
            <w:shd w:val="clear" w:color="auto" w:fill="7A091A"/>
            <w:tcMar>
              <w:left w:w="28" w:type="dxa"/>
              <w:right w:w="28" w:type="dxa"/>
            </w:tcMar>
            <w:vAlign w:val="center"/>
          </w:tcPr>
          <w:p w14:paraId="2309668C" w14:textId="77777777" w:rsidR="00A53B04" w:rsidRPr="00894701" w:rsidRDefault="00A53B04" w:rsidP="00446B8D">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olor w:val="010302"/>
                <w:sz w:val="16"/>
                <w:szCs w:val="16"/>
              </w:rPr>
            </w:pPr>
            <w:r w:rsidRPr="00894701">
              <w:rPr>
                <w:rFonts w:asciiTheme="minorHAnsi" w:hAnsiTheme="minorHAnsi" w:cs="TrebuchetMS-Bold"/>
                <w:b/>
                <w:bCs/>
                <w:color w:val="FFFFFF"/>
                <w:position w:val="10"/>
                <w:sz w:val="16"/>
                <w:szCs w:val="16"/>
              </w:rPr>
              <w:t xml:space="preserve">Mining </w:t>
            </w:r>
            <w:r w:rsidRPr="00894701">
              <w:rPr>
                <w:rFonts w:asciiTheme="minorHAnsi" w:hAnsiTheme="minorHAnsi"/>
                <w:sz w:val="16"/>
                <w:szCs w:val="16"/>
              </w:rPr>
              <w:t xml:space="preserve"> </w:t>
            </w:r>
            <w:r w:rsidRPr="00894701">
              <w:rPr>
                <w:rFonts w:asciiTheme="minorHAnsi" w:hAnsiTheme="minorHAnsi" w:cs="TrebuchetMS-Bold"/>
                <w:b/>
                <w:bCs/>
                <w:color w:val="FFFFFF"/>
                <w:position w:val="10"/>
                <w:sz w:val="16"/>
                <w:szCs w:val="16"/>
              </w:rPr>
              <w:t>company</w:t>
            </w:r>
          </w:p>
        </w:tc>
        <w:tc>
          <w:tcPr>
            <w:tcW w:w="236" w:type="dxa"/>
            <w:shd w:val="clear" w:color="auto" w:fill="7A091A"/>
            <w:tcMar>
              <w:left w:w="28" w:type="dxa"/>
              <w:right w:w="28" w:type="dxa"/>
            </w:tcMar>
            <w:vAlign w:val="center"/>
          </w:tcPr>
          <w:p w14:paraId="3AAFD836" w14:textId="77777777" w:rsidR="00A53B04" w:rsidRPr="00894701" w:rsidRDefault="00A53B04" w:rsidP="00446B8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themeColor="text1"/>
                <w:sz w:val="16"/>
                <w:szCs w:val="16"/>
              </w:rPr>
            </w:pPr>
          </w:p>
        </w:tc>
        <w:tc>
          <w:tcPr>
            <w:tcW w:w="4748" w:type="dxa"/>
            <w:gridSpan w:val="3"/>
            <w:shd w:val="clear" w:color="auto" w:fill="7A091A"/>
            <w:tcMar>
              <w:left w:w="28" w:type="dxa"/>
              <w:right w:w="28" w:type="dxa"/>
            </w:tcMar>
            <w:vAlign w:val="center"/>
          </w:tcPr>
          <w:p w14:paraId="070650CF" w14:textId="77777777" w:rsidR="00A53B04" w:rsidRPr="00894701" w:rsidRDefault="00A53B04" w:rsidP="00446B8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894701">
              <w:rPr>
                <w:rFonts w:asciiTheme="minorHAnsi" w:hAnsiTheme="minorHAnsi" w:cs="TrebuchetMS-Bold"/>
                <w:b/>
                <w:bCs/>
                <w:color w:val="FFFFFF"/>
                <w:position w:val="10"/>
                <w:sz w:val="16"/>
                <w:szCs w:val="16"/>
              </w:rPr>
              <w:t>Description</w:t>
            </w:r>
          </w:p>
        </w:tc>
      </w:tr>
      <w:tr w:rsidR="00A53B04" w:rsidRPr="00894701" w14:paraId="5DB9D56F" w14:textId="77777777" w:rsidTr="00446B8D">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236" w:type="dxa"/>
            <w:vMerge w:val="restart"/>
            <w:tcBorders>
              <w:top w:val="nil"/>
              <w:left w:val="nil"/>
              <w:bottom w:val="nil"/>
              <w:right w:val="nil"/>
            </w:tcBorders>
            <w:shd w:val="clear" w:color="auto" w:fill="F7A3B0"/>
          </w:tcPr>
          <w:p w14:paraId="5485A4B5" w14:textId="77777777" w:rsidR="00A53B04" w:rsidRPr="00894701" w:rsidRDefault="00A53B04" w:rsidP="00446B8D">
            <w:pPr>
              <w:rPr>
                <w:rFonts w:asciiTheme="minorHAnsi" w:hAnsiTheme="minorHAnsi"/>
                <w:color w:val="000000" w:themeColor="text1"/>
                <w:sz w:val="1"/>
                <w:szCs w:val="1"/>
              </w:rPr>
            </w:pPr>
          </w:p>
        </w:tc>
        <w:tc>
          <w:tcPr>
            <w:tcW w:w="1228" w:type="dxa"/>
            <w:vMerge w:val="restart"/>
            <w:tcBorders>
              <w:top w:val="nil"/>
              <w:left w:val="nil"/>
              <w:bottom w:val="nil"/>
              <w:right w:val="nil"/>
            </w:tcBorders>
            <w:shd w:val="clear" w:color="auto" w:fill="F7A3B0"/>
            <w:vAlign w:val="center"/>
          </w:tcPr>
          <w:p w14:paraId="260CA02D" w14:textId="77777777" w:rsidR="00A53B04" w:rsidRPr="00894701" w:rsidRDefault="00A53B04" w:rsidP="00446B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10302"/>
              </w:rPr>
            </w:pPr>
            <w:r w:rsidRPr="00894701">
              <w:rPr>
                <w:rFonts w:asciiTheme="minorHAnsi" w:hAnsiTheme="minorHAnsi" w:cs="TrebuchetMS-Bold"/>
                <w:b/>
                <w:bCs/>
                <w:color w:val="000000"/>
                <w:szCs w:val="18"/>
              </w:rPr>
              <w:t>Rosebel Gold</w:t>
            </w:r>
          </w:p>
        </w:tc>
        <w:tc>
          <w:tcPr>
            <w:tcW w:w="236" w:type="dxa"/>
            <w:vMerge w:val="restart"/>
            <w:tcBorders>
              <w:top w:val="nil"/>
              <w:left w:val="nil"/>
              <w:bottom w:val="nil"/>
              <w:right w:val="nil"/>
            </w:tcBorders>
            <w:shd w:val="clear" w:color="auto" w:fill="F7A3B0"/>
            <w:vAlign w:val="center"/>
          </w:tcPr>
          <w:p w14:paraId="4D69B1D1" w14:textId="77777777" w:rsidR="00A53B04" w:rsidRPr="00894701" w:rsidRDefault="00A53B04" w:rsidP="00446B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
                <w:szCs w:val="1"/>
              </w:rPr>
            </w:pPr>
          </w:p>
        </w:tc>
        <w:tc>
          <w:tcPr>
            <w:tcW w:w="1164" w:type="dxa"/>
            <w:vMerge w:val="restart"/>
            <w:tcBorders>
              <w:top w:val="nil"/>
              <w:left w:val="nil"/>
              <w:bottom w:val="nil"/>
              <w:right w:val="nil"/>
            </w:tcBorders>
            <w:shd w:val="clear" w:color="auto" w:fill="F7A3B0"/>
            <w:vAlign w:val="center"/>
          </w:tcPr>
          <w:p w14:paraId="6AD7861A" w14:textId="77777777" w:rsidR="00A53B04" w:rsidRPr="00894701" w:rsidRDefault="00A53B04" w:rsidP="00446B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Cs w:val="18"/>
              </w:rPr>
            </w:pPr>
            <w:r w:rsidRPr="00894701">
              <w:rPr>
                <w:rFonts w:asciiTheme="minorHAnsi" w:hAnsiTheme="minorHAnsi" w:cs="TrebuchetMS"/>
                <w:color w:val="000000"/>
                <w:position w:val="10"/>
                <w:szCs w:val="18"/>
              </w:rPr>
              <w:t xml:space="preserve">Gold </w:t>
            </w:r>
          </w:p>
        </w:tc>
        <w:tc>
          <w:tcPr>
            <w:tcW w:w="236" w:type="dxa"/>
            <w:vMerge w:val="restart"/>
            <w:tcBorders>
              <w:top w:val="nil"/>
              <w:left w:val="nil"/>
              <w:bottom w:val="nil"/>
              <w:right w:val="nil"/>
            </w:tcBorders>
            <w:shd w:val="clear" w:color="auto" w:fill="F7A3B0"/>
            <w:vAlign w:val="center"/>
          </w:tcPr>
          <w:p w14:paraId="694071DA" w14:textId="77777777" w:rsidR="00A53B04" w:rsidRPr="00894701" w:rsidRDefault="00A53B04" w:rsidP="00446B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
                <w:szCs w:val="1"/>
              </w:rPr>
            </w:pPr>
          </w:p>
        </w:tc>
        <w:tc>
          <w:tcPr>
            <w:tcW w:w="1228" w:type="dxa"/>
            <w:tcBorders>
              <w:top w:val="nil"/>
              <w:left w:val="nil"/>
              <w:bottom w:val="nil"/>
              <w:right w:val="nil"/>
            </w:tcBorders>
            <w:shd w:val="clear" w:color="auto" w:fill="F7A3B0"/>
            <w:vAlign w:val="center"/>
          </w:tcPr>
          <w:p w14:paraId="685CB34D" w14:textId="77777777" w:rsidR="00A53B04" w:rsidRPr="00894701" w:rsidRDefault="00A53B04" w:rsidP="00446B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
                <w:szCs w:val="1"/>
              </w:rPr>
            </w:pPr>
          </w:p>
        </w:tc>
        <w:tc>
          <w:tcPr>
            <w:tcW w:w="236" w:type="dxa"/>
            <w:vMerge w:val="restart"/>
            <w:tcBorders>
              <w:top w:val="nil"/>
              <w:left w:val="nil"/>
              <w:bottom w:val="nil"/>
              <w:right w:val="nil"/>
            </w:tcBorders>
            <w:shd w:val="clear" w:color="auto" w:fill="F7A3B0"/>
          </w:tcPr>
          <w:p w14:paraId="47577B85" w14:textId="77777777" w:rsidR="00A53B04" w:rsidRPr="00894701" w:rsidRDefault="00A53B04" w:rsidP="00446B8D">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
                <w:szCs w:val="1"/>
              </w:rPr>
            </w:pPr>
          </w:p>
        </w:tc>
        <w:tc>
          <w:tcPr>
            <w:tcW w:w="236" w:type="dxa"/>
            <w:vMerge w:val="restart"/>
            <w:tcBorders>
              <w:top w:val="nil"/>
              <w:left w:val="nil"/>
              <w:bottom w:val="nil"/>
              <w:right w:val="nil"/>
            </w:tcBorders>
            <w:shd w:val="clear" w:color="auto" w:fill="F7A3B0"/>
          </w:tcPr>
          <w:p w14:paraId="022A8266" w14:textId="77777777" w:rsidR="00A53B04" w:rsidRPr="00894701" w:rsidRDefault="00A53B04" w:rsidP="00446B8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
                <w:szCs w:val="1"/>
              </w:rPr>
            </w:pPr>
          </w:p>
        </w:tc>
        <w:tc>
          <w:tcPr>
            <w:tcW w:w="4272" w:type="dxa"/>
            <w:vMerge w:val="restart"/>
            <w:tcBorders>
              <w:top w:val="nil"/>
              <w:left w:val="nil"/>
              <w:bottom w:val="nil"/>
              <w:right w:val="nil"/>
            </w:tcBorders>
            <w:shd w:val="clear" w:color="auto" w:fill="F7A3B0"/>
          </w:tcPr>
          <w:p w14:paraId="36EBF1A9" w14:textId="31A0A696" w:rsidR="00E305F3" w:rsidRDefault="00DD0C73" w:rsidP="00FA01D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rebuchetMS"/>
                <w:color w:val="000000"/>
                <w:spacing w:val="-6"/>
                <w:szCs w:val="18"/>
              </w:rPr>
            </w:pPr>
            <w:r>
              <w:rPr>
                <w:rFonts w:asciiTheme="minorHAnsi" w:hAnsiTheme="minorHAnsi" w:cs="TrebuchetMS"/>
                <w:color w:val="000000"/>
                <w:spacing w:val="-6"/>
                <w:szCs w:val="18"/>
              </w:rPr>
              <w:t xml:space="preserve">According to the IGF 2017 report ‘Mining Policy Framework Assessment Suriname, </w:t>
            </w:r>
            <w:r w:rsidR="00FA01D4">
              <w:rPr>
                <w:rFonts w:asciiTheme="minorHAnsi" w:hAnsiTheme="minorHAnsi" w:cs="TrebuchetMS"/>
                <w:color w:val="000000"/>
                <w:spacing w:val="-6"/>
                <w:szCs w:val="18"/>
              </w:rPr>
              <w:t>“</w:t>
            </w:r>
            <w:r w:rsidR="00A53B04" w:rsidRPr="00A93567">
              <w:rPr>
                <w:rFonts w:asciiTheme="minorHAnsi" w:hAnsiTheme="minorHAnsi" w:cs="TrebuchetMS"/>
                <w:i/>
                <w:iCs/>
                <w:color w:val="000000"/>
                <w:spacing w:val="-6"/>
                <w:szCs w:val="18"/>
              </w:rPr>
              <w:t>The country’s largest gold mine is Rosebel, which is operated by IAMGOLD, a Canadian mining company. The open pit mine is located in the Brokopondo district in the northeast of the country, within part of a greenstone belt that lies about 85 kilometres from the capital, north of the Brokopondo reservoir.</w:t>
            </w:r>
            <w:r w:rsidR="00FA01D4">
              <w:rPr>
                <w:rFonts w:asciiTheme="minorHAnsi" w:hAnsiTheme="minorHAnsi" w:cs="TrebuchetMS"/>
                <w:color w:val="000000"/>
                <w:spacing w:val="-6"/>
                <w:szCs w:val="18"/>
              </w:rPr>
              <w:t>”</w:t>
            </w:r>
            <w:r w:rsidR="00FA01D4">
              <w:rPr>
                <w:rStyle w:val="FootnoteReference"/>
                <w:rFonts w:asciiTheme="minorHAnsi" w:hAnsiTheme="minorHAnsi" w:cs="Arial"/>
                <w:color w:val="auto"/>
                <w:sz w:val="20"/>
              </w:rPr>
              <w:t xml:space="preserve"> </w:t>
            </w:r>
            <w:r w:rsidR="00FA01D4">
              <w:rPr>
                <w:rStyle w:val="FootnoteReference"/>
                <w:rFonts w:asciiTheme="minorHAnsi" w:hAnsiTheme="minorHAnsi" w:cs="Arial"/>
                <w:color w:val="auto"/>
                <w:sz w:val="20"/>
              </w:rPr>
              <w:footnoteReference w:id="9"/>
            </w:r>
            <w:r w:rsidR="00A53B04" w:rsidRPr="00894701">
              <w:rPr>
                <w:rFonts w:asciiTheme="minorHAnsi" w:hAnsiTheme="minorHAnsi" w:cs="TrebuchetMS"/>
                <w:color w:val="000000"/>
                <w:spacing w:val="-6"/>
                <w:szCs w:val="18"/>
              </w:rPr>
              <w:t xml:space="preserve"> </w:t>
            </w:r>
          </w:p>
          <w:p w14:paraId="2F3EAEE2" w14:textId="7DE435AC" w:rsidR="00A53B04" w:rsidRPr="00894701" w:rsidRDefault="00A53B04" w:rsidP="00FA01D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rebuchetMS"/>
                <w:color w:val="000000"/>
                <w:spacing w:val="-6"/>
                <w:szCs w:val="18"/>
              </w:rPr>
            </w:pPr>
            <w:r w:rsidRPr="00894701">
              <w:rPr>
                <w:rFonts w:asciiTheme="minorHAnsi" w:hAnsiTheme="minorHAnsi" w:cs="TrebuchetMS"/>
                <w:color w:val="000000"/>
                <w:spacing w:val="-6"/>
                <w:szCs w:val="18"/>
              </w:rPr>
              <w:t>Rosebel Gold Mines N.V., was set up on 08 May 2002, and</w:t>
            </w:r>
            <w:r w:rsidR="006626CC" w:rsidRPr="00894701">
              <w:rPr>
                <w:rFonts w:asciiTheme="minorHAnsi" w:hAnsiTheme="minorHAnsi" w:cs="TrebuchetMS"/>
                <w:color w:val="000000"/>
                <w:spacing w:val="-6"/>
                <w:szCs w:val="18"/>
              </w:rPr>
              <w:t xml:space="preserve"> </w:t>
            </w:r>
            <w:r w:rsidRPr="00894701">
              <w:rPr>
                <w:rFonts w:asciiTheme="minorHAnsi" w:hAnsiTheme="minorHAnsi" w:cs="TrebuchetMS"/>
                <w:color w:val="000000"/>
                <w:spacing w:val="-6"/>
                <w:szCs w:val="18"/>
              </w:rPr>
              <w:t xml:space="preserve">is a subsidiary of IAMGOLD. </w:t>
            </w:r>
          </w:p>
          <w:p w14:paraId="12C7E4CD" w14:textId="21294931" w:rsidR="00A53B04" w:rsidRPr="00894701" w:rsidRDefault="00A53B04" w:rsidP="00446B8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10302"/>
              </w:rPr>
            </w:pPr>
            <w:r w:rsidRPr="00894701">
              <w:rPr>
                <w:rFonts w:asciiTheme="minorHAnsi" w:hAnsiTheme="minorHAnsi" w:cs="TrebuchetMS"/>
                <w:color w:val="000000"/>
                <w:spacing w:val="-6"/>
                <w:szCs w:val="18"/>
              </w:rPr>
              <w:t>IAMGOLD holds 95% of the share capital of Rosebel, while the Republic of Suriname owns the remaining 5%. In 2011, negotiations between IAMGOLD and the Republic of Suriname commenced on the expansion of the company’s gold production. On 06 June 2013, the parties signed the Second Amendment of the Mineral Agreement.</w:t>
            </w:r>
          </w:p>
        </w:tc>
        <w:tc>
          <w:tcPr>
            <w:tcW w:w="236" w:type="dxa"/>
            <w:vMerge w:val="restart"/>
            <w:tcBorders>
              <w:top w:val="nil"/>
              <w:left w:val="nil"/>
              <w:bottom w:val="nil"/>
              <w:right w:val="nil"/>
            </w:tcBorders>
            <w:shd w:val="clear" w:color="auto" w:fill="F7A3B0"/>
          </w:tcPr>
          <w:p w14:paraId="19A15801" w14:textId="77777777" w:rsidR="00A53B04" w:rsidRPr="00894701" w:rsidRDefault="00A53B04" w:rsidP="00446B8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
                <w:szCs w:val="1"/>
              </w:rPr>
            </w:pPr>
            <w:r w:rsidRPr="00894701">
              <w:rPr>
                <w:rFonts w:asciiTheme="minorHAnsi" w:hAnsiTheme="minorHAnsi"/>
                <w:color w:val="000000" w:themeColor="text1"/>
                <w:sz w:val="1"/>
                <w:szCs w:val="1"/>
              </w:rPr>
              <w:t xml:space="preserve"> and</w:t>
            </w:r>
          </w:p>
        </w:tc>
      </w:tr>
      <w:tr w:rsidR="00A53B04" w:rsidRPr="00894701" w14:paraId="774FEEB6" w14:textId="77777777" w:rsidTr="00446B8D">
        <w:trPr>
          <w:cnfStyle w:val="000000010000" w:firstRow="0" w:lastRow="0" w:firstColumn="0" w:lastColumn="0" w:oddVBand="0" w:evenVBand="0" w:oddHBand="0" w:evenHBand="1" w:firstRowFirstColumn="0" w:firstRowLastColumn="0" w:lastRowFirstColumn="0" w:lastRowLastColumn="0"/>
          <w:trHeight w:val="3050"/>
        </w:trPr>
        <w:tc>
          <w:tcPr>
            <w:cnfStyle w:val="001000000000" w:firstRow="0" w:lastRow="0" w:firstColumn="1" w:lastColumn="0" w:oddVBand="0" w:evenVBand="0" w:oddHBand="0" w:evenHBand="0" w:firstRowFirstColumn="0" w:firstRowLastColumn="0" w:lastRowFirstColumn="0" w:lastRowLastColumn="0"/>
            <w:tcW w:w="236" w:type="dxa"/>
            <w:vMerge/>
            <w:shd w:val="clear" w:color="auto" w:fill="F7A3B0"/>
          </w:tcPr>
          <w:p w14:paraId="3D3DF092" w14:textId="77777777" w:rsidR="00A53B04" w:rsidRPr="00894701" w:rsidRDefault="00A53B04" w:rsidP="00446B8D">
            <w:pPr>
              <w:rPr>
                <w:rFonts w:asciiTheme="minorHAnsi" w:hAnsiTheme="minorHAnsi"/>
                <w:color w:val="000000" w:themeColor="text1"/>
                <w:sz w:val="1"/>
                <w:szCs w:val="1"/>
              </w:rPr>
            </w:pPr>
          </w:p>
        </w:tc>
        <w:tc>
          <w:tcPr>
            <w:tcW w:w="1228" w:type="dxa"/>
            <w:vMerge/>
            <w:shd w:val="clear" w:color="auto" w:fill="F7A3B0"/>
            <w:vAlign w:val="center"/>
          </w:tcPr>
          <w:p w14:paraId="0C42E470" w14:textId="77777777" w:rsidR="00A53B04" w:rsidRPr="00894701" w:rsidRDefault="00A53B04" w:rsidP="00446B8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themeColor="text1"/>
                <w:sz w:val="1"/>
                <w:szCs w:val="1"/>
              </w:rPr>
            </w:pPr>
          </w:p>
        </w:tc>
        <w:tc>
          <w:tcPr>
            <w:tcW w:w="236" w:type="dxa"/>
            <w:vMerge/>
            <w:shd w:val="clear" w:color="auto" w:fill="F7A3B0"/>
            <w:vAlign w:val="center"/>
          </w:tcPr>
          <w:p w14:paraId="7D425687" w14:textId="77777777" w:rsidR="00A53B04" w:rsidRPr="00894701" w:rsidRDefault="00A53B04" w:rsidP="00446B8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themeColor="text1"/>
                <w:sz w:val="1"/>
                <w:szCs w:val="1"/>
              </w:rPr>
            </w:pPr>
          </w:p>
        </w:tc>
        <w:tc>
          <w:tcPr>
            <w:tcW w:w="1164" w:type="dxa"/>
            <w:vMerge/>
            <w:shd w:val="clear" w:color="auto" w:fill="F7A3B0"/>
            <w:vAlign w:val="center"/>
          </w:tcPr>
          <w:p w14:paraId="74FE81EF" w14:textId="77777777" w:rsidR="00A53B04" w:rsidRPr="00894701" w:rsidRDefault="00A53B04" w:rsidP="00446B8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themeColor="text1"/>
                <w:sz w:val="1"/>
                <w:szCs w:val="1"/>
              </w:rPr>
            </w:pPr>
          </w:p>
        </w:tc>
        <w:tc>
          <w:tcPr>
            <w:tcW w:w="236" w:type="dxa"/>
            <w:vMerge/>
            <w:shd w:val="clear" w:color="auto" w:fill="F7A3B0"/>
            <w:vAlign w:val="center"/>
          </w:tcPr>
          <w:p w14:paraId="62CBA8A1" w14:textId="77777777" w:rsidR="00A53B04" w:rsidRPr="00894701" w:rsidRDefault="00A53B04" w:rsidP="00446B8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themeColor="text1"/>
                <w:sz w:val="1"/>
                <w:szCs w:val="1"/>
              </w:rPr>
            </w:pPr>
          </w:p>
        </w:tc>
        <w:tc>
          <w:tcPr>
            <w:tcW w:w="1228" w:type="dxa"/>
            <w:shd w:val="clear" w:color="auto" w:fill="F7A3B0"/>
            <w:vAlign w:val="center"/>
          </w:tcPr>
          <w:p w14:paraId="3A111D9A" w14:textId="0853F7AD" w:rsidR="00A53B04" w:rsidRPr="00894701" w:rsidRDefault="004A7263" w:rsidP="00446B8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10302"/>
              </w:rPr>
            </w:pPr>
            <w:r w:rsidRPr="00894701">
              <w:rPr>
                <w:rFonts w:asciiTheme="minorHAnsi" w:hAnsiTheme="minorHAnsi" w:cs="TrebuchetMS"/>
                <w:color w:val="000000"/>
                <w:position w:val="10"/>
                <w:szCs w:val="18"/>
              </w:rPr>
              <w:t>Rosebel Gold Mines NV (RGM)</w:t>
            </w:r>
          </w:p>
        </w:tc>
        <w:tc>
          <w:tcPr>
            <w:tcW w:w="236" w:type="dxa"/>
            <w:vMerge/>
            <w:shd w:val="clear" w:color="auto" w:fill="F7A3B0"/>
          </w:tcPr>
          <w:p w14:paraId="3DA9731D" w14:textId="77777777" w:rsidR="00A53B04" w:rsidRPr="00894701" w:rsidRDefault="00A53B04" w:rsidP="00446B8D">
            <w:pP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themeColor="text1"/>
                <w:sz w:val="1"/>
                <w:szCs w:val="1"/>
              </w:rPr>
            </w:pPr>
          </w:p>
        </w:tc>
        <w:tc>
          <w:tcPr>
            <w:tcW w:w="236" w:type="dxa"/>
            <w:vMerge/>
            <w:shd w:val="clear" w:color="auto" w:fill="F7A3B0"/>
          </w:tcPr>
          <w:p w14:paraId="28B1F508" w14:textId="77777777" w:rsidR="00A53B04" w:rsidRPr="00894701" w:rsidRDefault="00A53B04" w:rsidP="00446B8D">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themeColor="text1"/>
                <w:sz w:val="1"/>
                <w:szCs w:val="1"/>
              </w:rPr>
            </w:pPr>
          </w:p>
        </w:tc>
        <w:tc>
          <w:tcPr>
            <w:tcW w:w="4272" w:type="dxa"/>
            <w:vMerge/>
            <w:shd w:val="clear" w:color="auto" w:fill="F7A3B0"/>
          </w:tcPr>
          <w:p w14:paraId="4E11F10C" w14:textId="77777777" w:rsidR="00A53B04" w:rsidRPr="00894701" w:rsidRDefault="00A53B04" w:rsidP="00446B8D">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themeColor="text1"/>
                <w:sz w:val="1"/>
                <w:szCs w:val="1"/>
              </w:rPr>
            </w:pPr>
          </w:p>
        </w:tc>
        <w:tc>
          <w:tcPr>
            <w:tcW w:w="236" w:type="dxa"/>
            <w:vMerge/>
            <w:shd w:val="clear" w:color="auto" w:fill="F7A3B0"/>
          </w:tcPr>
          <w:p w14:paraId="21593B98" w14:textId="77777777" w:rsidR="00A53B04" w:rsidRPr="00894701" w:rsidRDefault="00A53B04" w:rsidP="00446B8D">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themeColor="text1"/>
                <w:sz w:val="1"/>
                <w:szCs w:val="1"/>
              </w:rPr>
            </w:pPr>
          </w:p>
        </w:tc>
      </w:tr>
      <w:tr w:rsidR="00A53B04" w:rsidRPr="00894701" w14:paraId="0AF9F4F4" w14:textId="77777777" w:rsidTr="00446B8D">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700" w:type="dxa"/>
            <w:gridSpan w:val="3"/>
            <w:tcBorders>
              <w:top w:val="nil"/>
              <w:left w:val="nil"/>
              <w:bottom w:val="nil"/>
              <w:right w:val="nil"/>
            </w:tcBorders>
            <w:vAlign w:val="center"/>
          </w:tcPr>
          <w:p w14:paraId="5085BAAC" w14:textId="77777777" w:rsidR="00A53B04" w:rsidRPr="00894701" w:rsidRDefault="00A53B04" w:rsidP="00446B8D">
            <w:pPr>
              <w:jc w:val="center"/>
              <w:rPr>
                <w:rFonts w:asciiTheme="minorHAnsi" w:hAnsiTheme="minorHAnsi" w:cs="TrebuchetMS"/>
                <w:b/>
                <w:bCs/>
                <w:color w:val="000000"/>
                <w:position w:val="10"/>
                <w:szCs w:val="18"/>
              </w:rPr>
            </w:pPr>
            <w:r w:rsidRPr="00894701">
              <w:rPr>
                <w:rFonts w:asciiTheme="minorHAnsi" w:hAnsiTheme="minorHAnsi" w:cs="TrebuchetMS"/>
                <w:b/>
                <w:bCs/>
                <w:color w:val="000000"/>
                <w:position w:val="10"/>
                <w:szCs w:val="18"/>
              </w:rPr>
              <w:t>Merian Gold</w:t>
            </w:r>
          </w:p>
          <w:p w14:paraId="35572A62" w14:textId="77777777" w:rsidR="00A53B04" w:rsidRPr="00894701" w:rsidRDefault="00A53B04" w:rsidP="00446B8D">
            <w:pPr>
              <w:jc w:val="center"/>
              <w:rPr>
                <w:rFonts w:asciiTheme="minorHAnsi" w:hAnsiTheme="minorHAnsi" w:cs="TrebuchetMS"/>
                <w:color w:val="000000"/>
                <w:position w:val="10"/>
                <w:szCs w:val="18"/>
              </w:rPr>
            </w:pPr>
            <w:r w:rsidRPr="00894701">
              <w:rPr>
                <w:rFonts w:asciiTheme="minorHAnsi" w:hAnsiTheme="minorHAnsi" w:cs="TrebuchetMS"/>
                <w:b/>
                <w:bCs/>
                <w:color w:val="000000"/>
                <w:position w:val="10"/>
                <w:szCs w:val="18"/>
              </w:rPr>
              <w:t>project</w:t>
            </w:r>
          </w:p>
        </w:tc>
        <w:tc>
          <w:tcPr>
            <w:tcW w:w="1164" w:type="dxa"/>
            <w:tcBorders>
              <w:top w:val="nil"/>
              <w:left w:val="nil"/>
              <w:bottom w:val="nil"/>
              <w:right w:val="nil"/>
            </w:tcBorders>
            <w:vAlign w:val="center"/>
          </w:tcPr>
          <w:p w14:paraId="6C01B988" w14:textId="77777777" w:rsidR="00A53B04" w:rsidRPr="00894701" w:rsidRDefault="00A53B04" w:rsidP="00446B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rebuchetMS"/>
                <w:color w:val="000000"/>
                <w:position w:val="10"/>
                <w:szCs w:val="18"/>
              </w:rPr>
            </w:pPr>
            <w:r w:rsidRPr="00894701">
              <w:rPr>
                <w:rFonts w:asciiTheme="minorHAnsi" w:hAnsiTheme="minorHAnsi" w:cs="TrebuchetMS"/>
                <w:color w:val="000000"/>
                <w:position w:val="10"/>
                <w:szCs w:val="18"/>
              </w:rPr>
              <w:t>Gold</w:t>
            </w:r>
          </w:p>
        </w:tc>
        <w:tc>
          <w:tcPr>
            <w:tcW w:w="1700" w:type="dxa"/>
            <w:gridSpan w:val="3"/>
            <w:tcBorders>
              <w:top w:val="nil"/>
              <w:left w:val="nil"/>
              <w:bottom w:val="nil"/>
              <w:right w:val="nil"/>
            </w:tcBorders>
            <w:vAlign w:val="center"/>
          </w:tcPr>
          <w:p w14:paraId="0101D9CF" w14:textId="76CEC75B" w:rsidR="00A53B04" w:rsidRPr="00894701" w:rsidRDefault="004A7263" w:rsidP="00446B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rebuchetMS"/>
                <w:color w:val="000000"/>
                <w:position w:val="10"/>
                <w:szCs w:val="18"/>
              </w:rPr>
            </w:pPr>
            <w:r w:rsidRPr="00894701">
              <w:rPr>
                <w:rFonts w:asciiTheme="minorHAnsi" w:hAnsiTheme="minorHAnsi" w:cs="TrebuchetMS"/>
                <w:color w:val="000000"/>
                <w:position w:val="10"/>
                <w:szCs w:val="18"/>
              </w:rPr>
              <w:t>Newmont Suriname LLC (NS)</w:t>
            </w:r>
          </w:p>
        </w:tc>
        <w:tc>
          <w:tcPr>
            <w:tcW w:w="236" w:type="dxa"/>
            <w:tcBorders>
              <w:top w:val="nil"/>
              <w:left w:val="nil"/>
              <w:bottom w:val="nil"/>
              <w:right w:val="nil"/>
            </w:tcBorders>
          </w:tcPr>
          <w:p w14:paraId="3F0D7C38" w14:textId="77777777" w:rsidR="00A53B04" w:rsidRPr="00894701" w:rsidRDefault="00A53B04" w:rsidP="00446B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rebuchetMS"/>
                <w:color w:val="000000"/>
                <w:position w:val="10"/>
                <w:szCs w:val="18"/>
              </w:rPr>
            </w:pPr>
          </w:p>
        </w:tc>
        <w:tc>
          <w:tcPr>
            <w:tcW w:w="4272" w:type="dxa"/>
            <w:tcBorders>
              <w:top w:val="nil"/>
              <w:left w:val="nil"/>
              <w:bottom w:val="nil"/>
              <w:right w:val="nil"/>
            </w:tcBorders>
          </w:tcPr>
          <w:p w14:paraId="782791EC" w14:textId="4BAEE421" w:rsidR="00C96550" w:rsidRDefault="00DD0C73" w:rsidP="00446B8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rebuchetMS"/>
                <w:color w:val="000000"/>
                <w:spacing w:val="-6"/>
                <w:szCs w:val="18"/>
              </w:rPr>
            </w:pPr>
            <w:r>
              <w:rPr>
                <w:rFonts w:asciiTheme="minorHAnsi" w:hAnsiTheme="minorHAnsi" w:cs="TrebuchetMS"/>
                <w:color w:val="000000"/>
                <w:spacing w:val="-6"/>
                <w:szCs w:val="18"/>
              </w:rPr>
              <w:t xml:space="preserve">Again according to the IGF 2017 study on the Suriname mining sector: </w:t>
            </w:r>
            <w:r w:rsidR="00C96550" w:rsidRPr="00A93567">
              <w:rPr>
                <w:rFonts w:asciiTheme="minorHAnsi" w:hAnsiTheme="minorHAnsi" w:cs="TrebuchetMS"/>
                <w:i/>
                <w:iCs/>
                <w:color w:val="000000"/>
                <w:spacing w:val="-6"/>
                <w:szCs w:val="18"/>
              </w:rPr>
              <w:t>“</w:t>
            </w:r>
            <w:r w:rsidR="00A53B04" w:rsidRPr="00A93567">
              <w:rPr>
                <w:rFonts w:asciiTheme="minorHAnsi" w:hAnsiTheme="minorHAnsi" w:cs="TrebuchetMS"/>
                <w:i/>
                <w:iCs/>
                <w:color w:val="000000"/>
                <w:spacing w:val="-6"/>
                <w:szCs w:val="18"/>
              </w:rPr>
              <w:t>The second major gold project in Suriname is the Merian Gold project, which is owned and operated by Surgold, a limited liability company, in turn owned by Newmont, an American mining company based in Colorado.</w:t>
            </w:r>
            <w:r w:rsidR="00C96550" w:rsidRPr="00A93567">
              <w:rPr>
                <w:rFonts w:asciiTheme="minorHAnsi" w:hAnsiTheme="minorHAnsi" w:cs="TrebuchetMS"/>
                <w:i/>
                <w:iCs/>
                <w:color w:val="000000"/>
                <w:spacing w:val="-6"/>
                <w:szCs w:val="18"/>
              </w:rPr>
              <w:t>”</w:t>
            </w:r>
            <w:r w:rsidR="00C96550">
              <w:rPr>
                <w:rStyle w:val="FootnoteReference"/>
                <w:rFonts w:asciiTheme="minorHAnsi" w:hAnsiTheme="minorHAnsi" w:cs="TrebuchetMS"/>
                <w:color w:val="000000"/>
                <w:spacing w:val="-6"/>
                <w:szCs w:val="18"/>
              </w:rPr>
              <w:footnoteReference w:id="10"/>
            </w:r>
            <w:r w:rsidR="00A53B04" w:rsidRPr="00894701">
              <w:rPr>
                <w:rFonts w:asciiTheme="minorHAnsi" w:hAnsiTheme="minorHAnsi" w:cs="TrebuchetMS"/>
                <w:color w:val="000000"/>
                <w:spacing w:val="-6"/>
                <w:szCs w:val="18"/>
              </w:rPr>
              <w:t xml:space="preserve"> </w:t>
            </w:r>
          </w:p>
          <w:p w14:paraId="2ADBC7C6" w14:textId="32AEF6C0" w:rsidR="00C96550" w:rsidRPr="00A93567" w:rsidRDefault="00DD0C73" w:rsidP="00446B8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rebuchetMS"/>
                <w:i/>
                <w:iCs/>
                <w:color w:val="000000"/>
                <w:spacing w:val="-6"/>
                <w:szCs w:val="18"/>
              </w:rPr>
            </w:pPr>
            <w:r>
              <w:rPr>
                <w:rFonts w:asciiTheme="minorHAnsi" w:hAnsiTheme="minorHAnsi" w:cs="TrebuchetMS"/>
                <w:color w:val="000000"/>
                <w:spacing w:val="-6"/>
                <w:szCs w:val="18"/>
              </w:rPr>
              <w:t xml:space="preserve">The IGF report goes on to state that </w:t>
            </w:r>
            <w:r w:rsidRPr="00A93567">
              <w:rPr>
                <w:rFonts w:asciiTheme="minorHAnsi" w:hAnsiTheme="minorHAnsi" w:cs="TrebuchetMS"/>
                <w:i/>
                <w:iCs/>
                <w:color w:val="000000"/>
                <w:spacing w:val="-6"/>
                <w:szCs w:val="18"/>
              </w:rPr>
              <w:t>“</w:t>
            </w:r>
            <w:r w:rsidR="00A53B04" w:rsidRPr="00A93567">
              <w:rPr>
                <w:rFonts w:asciiTheme="minorHAnsi" w:hAnsiTheme="minorHAnsi" w:cs="TrebuchetMS"/>
                <w:i/>
                <w:iCs/>
                <w:color w:val="000000"/>
                <w:spacing w:val="-6"/>
                <w:szCs w:val="18"/>
              </w:rPr>
              <w:t>The Merian gold mine is located approximately 60 km south of Moengo, Suriname and is predominantly in the Pamakan area about 15 km west of the Marowijne River. The construction of Merian commenced in August 2014, and commercial production was achieved on 01 October 2016. In 2019 the Merian mine produced 393,000 attributable ounces of gold.  Newmont Suriname LLC, (previously known as Suriname Gold Company LLC), a fully owned subsidiary of Newmont Mining Corporation, operates the mine on behalf of Suriname Gold Project CV, a Suriname limited partnership (the “CV”). Newmont Suriname is the managing partner, owning 75% interest in the limited partnership, while Staatsolie Maatschappij Suriname N.V., the limited partner, owns the remaining 25%</w:t>
            </w:r>
            <w:r w:rsidRPr="00A93567">
              <w:rPr>
                <w:rFonts w:asciiTheme="minorHAnsi" w:hAnsiTheme="minorHAnsi" w:cs="TrebuchetMS"/>
                <w:i/>
                <w:iCs/>
                <w:color w:val="000000"/>
                <w:spacing w:val="-6"/>
                <w:szCs w:val="18"/>
              </w:rPr>
              <w:t xml:space="preserve"> </w:t>
            </w:r>
            <w:r w:rsidR="00A53B04" w:rsidRPr="00A93567">
              <w:rPr>
                <w:rFonts w:asciiTheme="minorHAnsi" w:hAnsiTheme="minorHAnsi" w:cs="TrebuchetMS"/>
                <w:i/>
                <w:iCs/>
                <w:color w:val="000000"/>
                <w:spacing w:val="-6"/>
                <w:szCs w:val="18"/>
              </w:rPr>
              <w:t xml:space="preserve">interest. </w:t>
            </w:r>
          </w:p>
          <w:p w14:paraId="036335A8" w14:textId="7C7EF919" w:rsidR="00A53B04" w:rsidRPr="00894701" w:rsidRDefault="00A53B04" w:rsidP="00446B8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rebuchetMS"/>
                <w:color w:val="000000"/>
                <w:position w:val="10"/>
                <w:szCs w:val="18"/>
              </w:rPr>
            </w:pPr>
            <w:r w:rsidRPr="00A93567">
              <w:rPr>
                <w:rFonts w:asciiTheme="minorHAnsi" w:hAnsiTheme="minorHAnsi" w:cs="TrebuchetMS"/>
                <w:i/>
                <w:iCs/>
                <w:color w:val="000000"/>
                <w:spacing w:val="-6"/>
                <w:szCs w:val="18"/>
              </w:rPr>
              <w:lastRenderedPageBreak/>
              <w:t>The deposit is in the east of the country. The project started in 2004, while construction began in 2014.</w:t>
            </w:r>
            <w:r w:rsidR="00DD0C73" w:rsidRPr="00A93567">
              <w:rPr>
                <w:rFonts w:asciiTheme="minorHAnsi" w:hAnsiTheme="minorHAnsi" w:cs="TrebuchetMS"/>
                <w:i/>
                <w:iCs/>
                <w:color w:val="000000"/>
                <w:spacing w:val="-6"/>
                <w:szCs w:val="18"/>
              </w:rPr>
              <w:t>”</w:t>
            </w:r>
            <w:r w:rsidRPr="00894701">
              <w:rPr>
                <w:rFonts w:asciiTheme="minorHAnsi" w:hAnsiTheme="minorHAnsi" w:cs="TrebuchetMS"/>
                <w:color w:val="000000"/>
                <w:spacing w:val="-6"/>
                <w:szCs w:val="18"/>
              </w:rPr>
              <w:t xml:space="preserve"> </w:t>
            </w:r>
            <w:r w:rsidR="00C96550">
              <w:rPr>
                <w:rStyle w:val="FootnoteReference"/>
                <w:rFonts w:asciiTheme="minorHAnsi" w:hAnsiTheme="minorHAnsi" w:cs="TrebuchetMS"/>
                <w:color w:val="000000"/>
                <w:spacing w:val="-6"/>
                <w:szCs w:val="18"/>
              </w:rPr>
              <w:footnoteReference w:id="11"/>
            </w:r>
          </w:p>
        </w:tc>
        <w:tc>
          <w:tcPr>
            <w:tcW w:w="236" w:type="dxa"/>
            <w:tcBorders>
              <w:top w:val="nil"/>
              <w:left w:val="nil"/>
              <w:bottom w:val="nil"/>
              <w:right w:val="nil"/>
            </w:tcBorders>
          </w:tcPr>
          <w:p w14:paraId="100E2DA6" w14:textId="77777777" w:rsidR="00A53B04" w:rsidRPr="00894701" w:rsidRDefault="00A53B04" w:rsidP="00446B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rebuchetMS"/>
                <w:color w:val="000000"/>
                <w:position w:val="10"/>
                <w:szCs w:val="18"/>
              </w:rPr>
            </w:pPr>
          </w:p>
        </w:tc>
      </w:tr>
      <w:tr w:rsidR="00A53B04" w:rsidRPr="00894701" w14:paraId="24B81D8A" w14:textId="77777777" w:rsidTr="00446B8D">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700" w:type="dxa"/>
            <w:gridSpan w:val="3"/>
            <w:shd w:val="clear" w:color="auto" w:fill="F7A3B0"/>
            <w:vAlign w:val="center"/>
          </w:tcPr>
          <w:p w14:paraId="3236D83C" w14:textId="77777777" w:rsidR="00A53B04" w:rsidRPr="00894701" w:rsidRDefault="00A53B04" w:rsidP="00446B8D">
            <w:pPr>
              <w:spacing w:line="205" w:lineRule="exact"/>
              <w:rPr>
                <w:rFonts w:asciiTheme="minorHAnsi" w:hAnsiTheme="minorHAnsi"/>
                <w:color w:val="010302"/>
                <w:sz w:val="22"/>
                <w:szCs w:val="22"/>
              </w:rPr>
            </w:pPr>
            <w:r w:rsidRPr="00894701">
              <w:rPr>
                <w:rFonts w:asciiTheme="minorHAnsi" w:hAnsiTheme="minorHAnsi" w:cs="TrebuchetMS-Bold"/>
                <w:b/>
                <w:bCs/>
                <w:color w:val="000000"/>
                <w:szCs w:val="18"/>
              </w:rPr>
              <w:t>Saramacca project</w:t>
            </w:r>
          </w:p>
        </w:tc>
        <w:tc>
          <w:tcPr>
            <w:tcW w:w="1164" w:type="dxa"/>
            <w:shd w:val="clear" w:color="auto" w:fill="F7A3B0"/>
            <w:vAlign w:val="center"/>
          </w:tcPr>
          <w:p w14:paraId="7D1233FC" w14:textId="77777777" w:rsidR="00A53B04" w:rsidRPr="00894701" w:rsidRDefault="00A53B04" w:rsidP="00446B8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rebuchetMS"/>
                <w:color w:val="000000"/>
                <w:position w:val="10"/>
                <w:szCs w:val="18"/>
              </w:rPr>
            </w:pPr>
            <w:r w:rsidRPr="00894701">
              <w:rPr>
                <w:rFonts w:asciiTheme="minorHAnsi" w:hAnsiTheme="minorHAnsi" w:cs="TrebuchetMS"/>
                <w:color w:val="000000"/>
                <w:position w:val="10"/>
                <w:szCs w:val="18"/>
              </w:rPr>
              <w:t>Gold</w:t>
            </w:r>
            <w:r w:rsidRPr="00894701">
              <w:rPr>
                <w:rFonts w:asciiTheme="minorHAnsi" w:hAnsiTheme="minorHAnsi" w:cs="TrebuchetMS-Bold"/>
                <w:b/>
                <w:bCs/>
                <w:color w:val="000000"/>
                <w:position w:val="10"/>
                <w:szCs w:val="18"/>
              </w:rPr>
              <w:t xml:space="preserve"> </w:t>
            </w:r>
          </w:p>
        </w:tc>
        <w:tc>
          <w:tcPr>
            <w:tcW w:w="1700" w:type="dxa"/>
            <w:gridSpan w:val="3"/>
            <w:shd w:val="clear" w:color="auto" w:fill="F7A3B0"/>
            <w:vAlign w:val="center"/>
          </w:tcPr>
          <w:p w14:paraId="3E61419C" w14:textId="77777777" w:rsidR="00A53B04" w:rsidRPr="00894701" w:rsidRDefault="00A53B04" w:rsidP="00446B8D">
            <w:pPr>
              <w:cnfStyle w:val="000000010000" w:firstRow="0" w:lastRow="0" w:firstColumn="0" w:lastColumn="0" w:oddVBand="0" w:evenVBand="0" w:oddHBand="0" w:evenHBand="1" w:firstRowFirstColumn="0" w:firstRowLastColumn="0" w:lastRowFirstColumn="0" w:lastRowLastColumn="0"/>
              <w:rPr>
                <w:rFonts w:asciiTheme="minorHAnsi" w:hAnsiTheme="minorHAnsi" w:cs="TrebuchetMS"/>
                <w:color w:val="000000"/>
                <w:position w:val="10"/>
                <w:szCs w:val="18"/>
              </w:rPr>
            </w:pPr>
            <w:r w:rsidRPr="00894701">
              <w:rPr>
                <w:rFonts w:asciiTheme="minorHAnsi" w:hAnsiTheme="minorHAnsi" w:cs="TrebuchetMS"/>
                <w:color w:val="000000"/>
                <w:position w:val="10"/>
                <w:szCs w:val="18"/>
              </w:rPr>
              <w:t xml:space="preserve">Rosebel Gold Mines N.V. </w:t>
            </w:r>
          </w:p>
        </w:tc>
        <w:tc>
          <w:tcPr>
            <w:tcW w:w="236" w:type="dxa"/>
            <w:shd w:val="clear" w:color="auto" w:fill="F7A3B0"/>
          </w:tcPr>
          <w:p w14:paraId="341EC947" w14:textId="77777777" w:rsidR="00A53B04" w:rsidRPr="00894701" w:rsidRDefault="00A53B04" w:rsidP="00446B8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rebuchetMS"/>
                <w:color w:val="000000"/>
                <w:position w:val="10"/>
                <w:szCs w:val="18"/>
              </w:rPr>
            </w:pPr>
          </w:p>
        </w:tc>
        <w:tc>
          <w:tcPr>
            <w:tcW w:w="4272" w:type="dxa"/>
            <w:shd w:val="clear" w:color="auto" w:fill="F7A3B0"/>
          </w:tcPr>
          <w:p w14:paraId="1C1C66D6" w14:textId="77D3BCC2" w:rsidR="00A53B04" w:rsidRPr="00894701" w:rsidRDefault="00A53B04" w:rsidP="00446B8D">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rebuchetMS"/>
                <w:color w:val="000000"/>
                <w:spacing w:val="-6"/>
                <w:szCs w:val="18"/>
              </w:rPr>
            </w:pPr>
            <w:r w:rsidRPr="00894701">
              <w:rPr>
                <w:rFonts w:asciiTheme="minorHAnsi" w:hAnsiTheme="minorHAnsi" w:cs="TrebuchetMS"/>
                <w:color w:val="000000"/>
                <w:spacing w:val="-6"/>
                <w:szCs w:val="18"/>
              </w:rPr>
              <w:t xml:space="preserve">Grassalco has the mining rights for exploration and exploitation of the Maripaston area and started in 2014 with processing tailings at the Maripaston site (formerly an informal small-scale mine site). The activities at this site aim to create awareness of how to extract gold without using mercury.  </w:t>
            </w:r>
          </w:p>
          <w:p w14:paraId="08A1E282" w14:textId="18C95399" w:rsidR="00A53B04" w:rsidRPr="00894701" w:rsidRDefault="00A53B04" w:rsidP="00446B8D">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rebuchetMS"/>
                <w:color w:val="000000"/>
                <w:spacing w:val="-6"/>
                <w:szCs w:val="18"/>
              </w:rPr>
            </w:pPr>
            <w:r w:rsidRPr="00894701">
              <w:rPr>
                <w:rFonts w:asciiTheme="minorHAnsi" w:hAnsiTheme="minorHAnsi" w:cs="TrebuchetMS"/>
                <w:color w:val="000000"/>
                <w:spacing w:val="-6"/>
                <w:szCs w:val="18"/>
              </w:rPr>
              <w:t xml:space="preserve">Maripaston is located 90 km southwest of Paramaribo, the capital of Suriname, in the district of Para and is easily accessible by road. The concession sits atop the Marowijne supergroup of the Greenstone Belts and consists primarily of intercalation of metavolcanic and metasedimentary rocks. Greenstone Belt rock is known for its good potential for significant gold mineralisation and several important gold mines are </w:t>
            </w:r>
            <w:r w:rsidRPr="00894701">
              <w:rPr>
                <w:rFonts w:asciiTheme="minorHAnsi" w:hAnsiTheme="minorHAnsi"/>
                <w:color w:val="auto"/>
              </w:rPr>
              <w:t>located</w:t>
            </w:r>
            <w:r w:rsidRPr="00894701">
              <w:rPr>
                <w:rFonts w:asciiTheme="minorHAnsi" w:hAnsiTheme="minorHAnsi" w:cs="TrebuchetMS"/>
                <w:color w:val="auto"/>
                <w:spacing w:val="-6"/>
                <w:szCs w:val="18"/>
              </w:rPr>
              <w:t xml:space="preserve"> </w:t>
            </w:r>
            <w:r w:rsidRPr="00894701">
              <w:rPr>
                <w:rFonts w:asciiTheme="minorHAnsi" w:hAnsiTheme="minorHAnsi" w:cs="TrebuchetMS"/>
                <w:color w:val="000000"/>
                <w:spacing w:val="-6"/>
                <w:szCs w:val="18"/>
              </w:rPr>
              <w:t xml:space="preserve">(Rosebel, Omai, Aurora) as well as world-class deposits including those in West Africa and Ghana.  As of May 2017, exploration programmes have accelerated, including diamond core drilling, mechanical trenching and auger sampling with ongoing assessment and evaluation of the exploration data. The drilling and trenching programmes have been very successful and have identified several potential sites with good potential for significant gold mineralisation. A combination of the 2017 drillings along with those from 2016 and well sampling (well walls, exposed floor and surfaces) resulted in the determination and estimate of an expected occurrence over 50,000 ounces for the Ingi Poule zone within a vertical depth of 100m. The gold mineralisation in the Ingi Poule zone is associated with huge quartz veins with deformations and boudinage. </w:t>
            </w:r>
          </w:p>
        </w:tc>
        <w:tc>
          <w:tcPr>
            <w:tcW w:w="236" w:type="dxa"/>
            <w:shd w:val="clear" w:color="auto" w:fill="F7A3B0"/>
          </w:tcPr>
          <w:p w14:paraId="457B42A2" w14:textId="77777777" w:rsidR="00A53B04" w:rsidRPr="00894701" w:rsidRDefault="00A53B04" w:rsidP="00446B8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rebuchetMS"/>
                <w:color w:val="000000"/>
                <w:position w:val="10"/>
                <w:szCs w:val="18"/>
              </w:rPr>
            </w:pPr>
          </w:p>
        </w:tc>
      </w:tr>
      <w:tr w:rsidR="00A53B04" w:rsidRPr="00894701" w14:paraId="30AC020F" w14:textId="77777777" w:rsidTr="00446B8D">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700" w:type="dxa"/>
            <w:gridSpan w:val="3"/>
            <w:tcBorders>
              <w:top w:val="nil"/>
              <w:left w:val="nil"/>
              <w:bottom w:val="single" w:sz="12" w:space="0" w:color="FF0000"/>
              <w:right w:val="nil"/>
            </w:tcBorders>
            <w:vAlign w:val="center"/>
          </w:tcPr>
          <w:p w14:paraId="4652050F" w14:textId="77777777" w:rsidR="00A53B04" w:rsidRPr="00894701" w:rsidRDefault="00A53B04" w:rsidP="00446B8D">
            <w:pPr>
              <w:spacing w:line="205" w:lineRule="exact"/>
              <w:rPr>
                <w:rFonts w:asciiTheme="minorHAnsi" w:hAnsiTheme="minorHAnsi" w:cs="TrebuchetMS-Bold"/>
                <w:b/>
                <w:bCs/>
                <w:color w:val="000000"/>
                <w:szCs w:val="18"/>
              </w:rPr>
            </w:pPr>
            <w:r w:rsidRPr="00894701">
              <w:rPr>
                <w:rFonts w:asciiTheme="minorHAnsi" w:hAnsiTheme="minorHAnsi" w:cs="TrebuchetMS-Bold"/>
                <w:b/>
                <w:bCs/>
                <w:color w:val="000000"/>
                <w:szCs w:val="18"/>
              </w:rPr>
              <w:t xml:space="preserve">Saramacca </w:t>
            </w:r>
          </w:p>
          <w:p w14:paraId="5398E6B1" w14:textId="77777777" w:rsidR="00A53B04" w:rsidRPr="00894701" w:rsidRDefault="00A53B04" w:rsidP="00446B8D">
            <w:pPr>
              <w:spacing w:line="205" w:lineRule="exact"/>
              <w:rPr>
                <w:rFonts w:asciiTheme="minorHAnsi" w:hAnsiTheme="minorHAnsi" w:cs="TrebuchetMS-Bold"/>
                <w:b/>
                <w:bCs/>
                <w:color w:val="000000"/>
                <w:szCs w:val="18"/>
              </w:rPr>
            </w:pPr>
            <w:r w:rsidRPr="00894701">
              <w:rPr>
                <w:rFonts w:asciiTheme="minorHAnsi" w:hAnsiTheme="minorHAnsi" w:cs="TrebuchetMS-Bold"/>
                <w:b/>
                <w:bCs/>
                <w:color w:val="000000"/>
                <w:szCs w:val="18"/>
              </w:rPr>
              <w:t xml:space="preserve">project </w:t>
            </w:r>
          </w:p>
        </w:tc>
        <w:tc>
          <w:tcPr>
            <w:tcW w:w="1164" w:type="dxa"/>
            <w:tcBorders>
              <w:top w:val="nil"/>
              <w:left w:val="nil"/>
              <w:bottom w:val="single" w:sz="12" w:space="0" w:color="FF0000"/>
              <w:right w:val="nil"/>
            </w:tcBorders>
            <w:vAlign w:val="center"/>
          </w:tcPr>
          <w:p w14:paraId="2BD6F0C4" w14:textId="77777777" w:rsidR="00A53B04" w:rsidRPr="00894701" w:rsidRDefault="00A53B04" w:rsidP="00446B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rebuchetMS"/>
                <w:color w:val="000000"/>
                <w:position w:val="10"/>
                <w:szCs w:val="18"/>
              </w:rPr>
            </w:pPr>
            <w:r w:rsidRPr="00894701">
              <w:rPr>
                <w:rFonts w:asciiTheme="minorHAnsi" w:hAnsiTheme="minorHAnsi" w:cs="TrebuchetMS"/>
                <w:color w:val="000000"/>
                <w:position w:val="10"/>
                <w:szCs w:val="18"/>
              </w:rPr>
              <w:t xml:space="preserve">Gold </w:t>
            </w:r>
          </w:p>
        </w:tc>
        <w:tc>
          <w:tcPr>
            <w:tcW w:w="1700" w:type="dxa"/>
            <w:gridSpan w:val="3"/>
            <w:tcBorders>
              <w:top w:val="nil"/>
              <w:left w:val="nil"/>
              <w:bottom w:val="single" w:sz="12" w:space="0" w:color="FF0000"/>
              <w:right w:val="nil"/>
            </w:tcBorders>
            <w:vAlign w:val="center"/>
          </w:tcPr>
          <w:p w14:paraId="6FDF4839" w14:textId="77777777" w:rsidR="00A53B04" w:rsidRPr="00894701" w:rsidRDefault="00A53B04" w:rsidP="00446B8D">
            <w:pPr>
              <w:cnfStyle w:val="000000100000" w:firstRow="0" w:lastRow="0" w:firstColumn="0" w:lastColumn="0" w:oddVBand="0" w:evenVBand="0" w:oddHBand="1" w:evenHBand="0" w:firstRowFirstColumn="0" w:firstRowLastColumn="0" w:lastRowFirstColumn="0" w:lastRowLastColumn="0"/>
              <w:rPr>
                <w:rFonts w:asciiTheme="minorHAnsi" w:hAnsiTheme="minorHAnsi" w:cs="TrebuchetMS"/>
                <w:color w:val="000000"/>
                <w:position w:val="10"/>
                <w:szCs w:val="18"/>
              </w:rPr>
            </w:pPr>
            <w:r w:rsidRPr="00894701">
              <w:rPr>
                <w:rFonts w:asciiTheme="minorHAnsi" w:hAnsiTheme="minorHAnsi" w:cs="TrebuchetMS"/>
                <w:color w:val="000000"/>
                <w:position w:val="10"/>
                <w:szCs w:val="18"/>
              </w:rPr>
              <w:t xml:space="preserve">Rosebel Gold Mines N.V. </w:t>
            </w:r>
          </w:p>
        </w:tc>
        <w:tc>
          <w:tcPr>
            <w:tcW w:w="236" w:type="dxa"/>
            <w:tcBorders>
              <w:top w:val="nil"/>
              <w:left w:val="nil"/>
              <w:bottom w:val="single" w:sz="12" w:space="0" w:color="FF0000"/>
              <w:right w:val="nil"/>
            </w:tcBorders>
          </w:tcPr>
          <w:p w14:paraId="63E29550" w14:textId="77777777" w:rsidR="00A53B04" w:rsidRPr="00894701" w:rsidRDefault="00A53B04" w:rsidP="00446B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rebuchetMS"/>
                <w:color w:val="000000"/>
                <w:position w:val="10"/>
                <w:szCs w:val="18"/>
              </w:rPr>
            </w:pPr>
          </w:p>
        </w:tc>
        <w:tc>
          <w:tcPr>
            <w:tcW w:w="4272" w:type="dxa"/>
            <w:tcBorders>
              <w:top w:val="nil"/>
              <w:left w:val="nil"/>
              <w:bottom w:val="single" w:sz="12" w:space="0" w:color="FF0000"/>
              <w:right w:val="nil"/>
            </w:tcBorders>
          </w:tcPr>
          <w:p w14:paraId="0686F967" w14:textId="42DA88B5" w:rsidR="00A53B04" w:rsidRPr="00894701" w:rsidRDefault="00A53B0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rebuchetMS"/>
                <w:color w:val="000000"/>
                <w:spacing w:val="-6"/>
                <w:szCs w:val="18"/>
              </w:rPr>
            </w:pPr>
            <w:r w:rsidRPr="00894701">
              <w:rPr>
                <w:rFonts w:asciiTheme="minorHAnsi" w:hAnsiTheme="minorHAnsi" w:cs="TrebuchetMS"/>
                <w:color w:val="000000"/>
                <w:spacing w:val="-6"/>
                <w:szCs w:val="18"/>
              </w:rPr>
              <w:t>A new Unincorporated Joint Venture (UJV) was created, the Pikin Saramacca project, in which the Surinamese Government holds participatin</w:t>
            </w:r>
            <w:r w:rsidR="00643416" w:rsidRPr="00894701">
              <w:rPr>
                <w:rFonts w:asciiTheme="minorHAnsi" w:hAnsiTheme="minorHAnsi" w:cs="TrebuchetMS"/>
                <w:color w:val="000000"/>
                <w:spacing w:val="-6"/>
                <w:szCs w:val="18"/>
              </w:rPr>
              <w:t>g</w:t>
            </w:r>
            <w:r w:rsidRPr="00894701">
              <w:rPr>
                <w:rFonts w:asciiTheme="minorHAnsi" w:hAnsiTheme="minorHAnsi" w:cs="TrebuchetMS"/>
                <w:color w:val="000000"/>
                <w:spacing w:val="-6"/>
                <w:szCs w:val="18"/>
              </w:rPr>
              <w:t xml:space="preserve"> </w:t>
            </w:r>
            <w:r w:rsidR="00643416" w:rsidRPr="00894701">
              <w:rPr>
                <w:rFonts w:asciiTheme="minorHAnsi" w:hAnsiTheme="minorHAnsi" w:cs="TrebuchetMS"/>
                <w:color w:val="000000"/>
                <w:spacing w:val="-6"/>
                <w:szCs w:val="18"/>
              </w:rPr>
              <w:t xml:space="preserve">interest </w:t>
            </w:r>
            <w:r w:rsidRPr="00894701">
              <w:rPr>
                <w:rFonts w:asciiTheme="minorHAnsi" w:hAnsiTheme="minorHAnsi" w:cs="TrebuchetMS"/>
                <w:color w:val="000000"/>
                <w:spacing w:val="-6"/>
                <w:szCs w:val="18"/>
              </w:rPr>
              <w:t xml:space="preserve">of 30% and Rosebel of 70%. Staatsolie Maatschappij Suriname NV was designated by the Republic of Suriname as the entity to hold its undivided 30% Participating Interest in the UJV, which was signed on 22 April 2020. With this expansion, the projected Life of Mine (LOM) was increased to 2033. </w:t>
            </w:r>
          </w:p>
        </w:tc>
        <w:tc>
          <w:tcPr>
            <w:tcW w:w="236" w:type="dxa"/>
            <w:tcBorders>
              <w:top w:val="nil"/>
              <w:left w:val="nil"/>
              <w:bottom w:val="single" w:sz="12" w:space="0" w:color="FF0000"/>
              <w:right w:val="nil"/>
            </w:tcBorders>
          </w:tcPr>
          <w:p w14:paraId="031AA802" w14:textId="77777777" w:rsidR="00A53B04" w:rsidRPr="00894701" w:rsidRDefault="00A53B04" w:rsidP="00446B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rebuchetMS"/>
                <w:color w:val="000000"/>
                <w:position w:val="10"/>
                <w:szCs w:val="18"/>
              </w:rPr>
            </w:pPr>
          </w:p>
        </w:tc>
      </w:tr>
    </w:tbl>
    <w:p w14:paraId="51D7CF2B" w14:textId="384B2A80" w:rsidR="00A53B04" w:rsidRPr="00894701" w:rsidRDefault="00A53B04" w:rsidP="00A53B04">
      <w:pPr>
        <w:spacing w:before="120" w:line="240" w:lineRule="auto"/>
        <w:jc w:val="both"/>
        <w:rPr>
          <w:rFonts w:asciiTheme="minorHAnsi" w:hAnsiTheme="minorHAnsi"/>
          <w:color w:val="auto"/>
          <w:sz w:val="20"/>
          <w:szCs w:val="20"/>
          <w:lang w:eastAsia="fr-FR"/>
        </w:rPr>
      </w:pPr>
      <w:r w:rsidRPr="00894701">
        <w:rPr>
          <w:rFonts w:asciiTheme="minorHAnsi" w:hAnsiTheme="minorHAnsi"/>
          <w:noProof/>
          <w:color w:val="auto"/>
          <w:sz w:val="20"/>
          <w:szCs w:val="20"/>
          <w:lang w:val="en-US" w:eastAsia="en-US"/>
        </w:rPr>
        <mc:AlternateContent>
          <mc:Choice Requires="wps">
            <w:drawing>
              <wp:anchor distT="0" distB="0" distL="114300" distR="114300" simplePos="0" relativeHeight="251658246" behindDoc="1" locked="0" layoutInCell="1" allowOverlap="1" wp14:anchorId="3D9A719E" wp14:editId="690588C5">
                <wp:simplePos x="0" y="0"/>
                <wp:positionH relativeFrom="page">
                  <wp:posOffset>6644640</wp:posOffset>
                </wp:positionH>
                <wp:positionV relativeFrom="paragraph">
                  <wp:posOffset>386080</wp:posOffset>
                </wp:positionV>
                <wp:extent cx="18415" cy="301625"/>
                <wp:effectExtent l="0" t="0" r="635" b="0"/>
                <wp:wrapNone/>
                <wp:docPr id="7" name="Freeform: 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301625"/>
                        </a:xfrm>
                        <a:custGeom>
                          <a:avLst/>
                          <a:gdLst/>
                          <a:ahLst/>
                          <a:cxnLst/>
                          <a:rect l="l" t="t" r="r" b="b"/>
                          <a:pathLst>
                            <a:path w="18288" h="301752">
                              <a:moveTo>
                                <a:pt x="0" y="301752"/>
                              </a:moveTo>
                              <a:lnTo>
                                <a:pt x="18288" y="301752"/>
                              </a:lnTo>
                              <a:lnTo>
                                <a:pt x="18288" y="0"/>
                              </a:lnTo>
                              <a:lnTo>
                                <a:pt x="0" y="0"/>
                              </a:lnTo>
                              <a:lnTo>
                                <a:pt x="0" y="301752"/>
                              </a:lnTo>
                              <a:close/>
                            </a:path>
                          </a:pathLst>
                        </a:custGeom>
                        <a:solidFill>
                          <a:srgbClr val="FFFFFF">
                            <a:alpha val="100000"/>
                          </a:srgbClr>
                        </a:solidFill>
                        <a:ln w="12700" cap="flat" cmpd="sng" algn="ctr">
                          <a:no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DF3B3F" id="Freeform: Shape 7" o:spid="_x0000_s1026" style="position:absolute;margin-left:523.2pt;margin-top:30.4pt;width:1.45pt;height:23.7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288,30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" path="m,301752r18288,l18288,,,,,301752xe" stroked="f" strokeweight="1pt">
                <v:path arrowok="t"/>
                <w10:wrap anchorx="page"/>
              </v:shape>
            </w:pict>
          </mc:Fallback>
        </mc:AlternateContent>
      </w:r>
      <w:r w:rsidRPr="00894701">
        <w:rPr>
          <w:rFonts w:asciiTheme="minorHAnsi" w:hAnsiTheme="minorHAnsi"/>
          <w:color w:val="auto"/>
          <w:sz w:val="20"/>
          <w:szCs w:val="20"/>
          <w:lang w:eastAsia="fr-FR"/>
        </w:rPr>
        <w:t xml:space="preserve">MONR did not report any gold mining production volumes in 2018, 2019 and 2020 during the scoping phase. </w:t>
      </w:r>
    </w:p>
    <w:p w14:paraId="5F338DAB" w14:textId="77777777" w:rsidR="00A53B04" w:rsidRPr="00894701" w:rsidRDefault="00A53B04" w:rsidP="00A53B04">
      <w:pPr>
        <w:widowControl w:val="0"/>
        <w:spacing w:before="120" w:line="240" w:lineRule="auto"/>
        <w:rPr>
          <w:rFonts w:asciiTheme="minorHAnsi" w:eastAsiaTheme="minorHAnsi" w:hAnsiTheme="minorHAnsi" w:cs="TrebuchetMS-Bold"/>
          <w:b/>
          <w:bCs/>
          <w:color w:val="ED1A3B"/>
          <w:kern w:val="0"/>
          <w:sz w:val="24"/>
          <w:lang w:eastAsia="en-US"/>
        </w:rPr>
      </w:pPr>
      <w:r w:rsidRPr="00894701">
        <w:rPr>
          <w:rFonts w:asciiTheme="minorHAnsi" w:eastAsiaTheme="minorHAnsi" w:hAnsiTheme="minorHAnsi" w:cs="TrebuchetMS-Bold"/>
          <w:b/>
          <w:bCs/>
          <w:color w:val="ED1A3B"/>
          <w:kern w:val="0"/>
          <w:sz w:val="24"/>
          <w:lang w:eastAsia="en-US"/>
        </w:rPr>
        <w:t xml:space="preserve">Diamond mining  </w:t>
      </w:r>
    </w:p>
    <w:p w14:paraId="57CECC49" w14:textId="04F14169" w:rsidR="00A53B04" w:rsidRPr="00894701" w:rsidRDefault="00A53B04" w:rsidP="00A53B04">
      <w:pPr>
        <w:spacing w:before="120" w:line="240" w:lineRule="auto"/>
        <w:jc w:val="both"/>
        <w:rPr>
          <w:rFonts w:asciiTheme="minorHAnsi" w:hAnsiTheme="minorHAnsi"/>
          <w:color w:val="auto"/>
          <w:sz w:val="20"/>
          <w:szCs w:val="20"/>
          <w:lang w:eastAsia="fr-FR"/>
        </w:rPr>
      </w:pPr>
      <w:r w:rsidRPr="00894701">
        <w:rPr>
          <w:rFonts w:asciiTheme="minorHAnsi" w:hAnsiTheme="minorHAnsi"/>
          <w:color w:val="auto"/>
          <w:sz w:val="20"/>
          <w:szCs w:val="20"/>
          <w:lang w:eastAsia="fr-FR"/>
        </w:rPr>
        <w:t xml:space="preserve">The mining of diamonds is in the reconnaissance phase. The first discovery of diamonds in Suriname dates from 1880 and was made in the Suriname River, in the area of Berg en Dal. Over time, diamonds were found mainly in the Rosebel formation, in the Rosebel area in Brokopondo. </w:t>
      </w:r>
      <w:r w:rsidR="001307EB" w:rsidRPr="00894701">
        <w:rPr>
          <w:rFonts w:asciiTheme="minorHAnsi" w:hAnsiTheme="minorHAnsi"/>
          <w:color w:val="auto"/>
          <w:sz w:val="20"/>
          <w:szCs w:val="20"/>
          <w:lang w:eastAsia="fr-FR"/>
        </w:rPr>
        <w:t>Research</w:t>
      </w:r>
      <w:r w:rsidRPr="00894701">
        <w:rPr>
          <w:rFonts w:asciiTheme="minorHAnsi" w:hAnsiTheme="minorHAnsi"/>
          <w:color w:val="auto"/>
          <w:sz w:val="20"/>
          <w:szCs w:val="20"/>
          <w:lang w:eastAsia="fr-FR"/>
        </w:rPr>
        <w:t xml:space="preserve"> ha</w:t>
      </w:r>
      <w:r w:rsidR="005559C7">
        <w:rPr>
          <w:rFonts w:asciiTheme="minorHAnsi" w:hAnsiTheme="minorHAnsi"/>
          <w:color w:val="auto"/>
          <w:sz w:val="20"/>
          <w:szCs w:val="20"/>
          <w:lang w:eastAsia="fr-FR"/>
        </w:rPr>
        <w:t>ve</w:t>
      </w:r>
      <w:r w:rsidRPr="00894701">
        <w:rPr>
          <w:rFonts w:asciiTheme="minorHAnsi" w:hAnsiTheme="minorHAnsi"/>
          <w:color w:val="auto"/>
          <w:sz w:val="20"/>
          <w:szCs w:val="20"/>
          <w:lang w:eastAsia="fr-FR"/>
        </w:rPr>
        <w:t xml:space="preserve"> also been carried out </w:t>
      </w:r>
      <w:r w:rsidR="00426C38">
        <w:rPr>
          <w:rFonts w:asciiTheme="minorHAnsi" w:hAnsiTheme="minorHAnsi"/>
          <w:color w:val="auto"/>
          <w:sz w:val="20"/>
          <w:szCs w:val="20"/>
          <w:lang w:eastAsia="fr-FR"/>
        </w:rPr>
        <w:t>on</w:t>
      </w:r>
      <w:r w:rsidR="00426C38" w:rsidRPr="00894701">
        <w:rPr>
          <w:rFonts w:asciiTheme="minorHAnsi" w:hAnsiTheme="minorHAnsi"/>
          <w:color w:val="auto"/>
          <w:sz w:val="20"/>
          <w:szCs w:val="20"/>
          <w:lang w:eastAsia="fr-FR"/>
        </w:rPr>
        <w:t xml:space="preserve"> </w:t>
      </w:r>
      <w:r w:rsidRPr="00894701">
        <w:rPr>
          <w:rFonts w:asciiTheme="minorHAnsi" w:hAnsiTheme="minorHAnsi"/>
          <w:color w:val="auto"/>
          <w:sz w:val="20"/>
          <w:szCs w:val="20"/>
          <w:lang w:eastAsia="fr-FR"/>
        </w:rPr>
        <w:t xml:space="preserve">the occurrence of diamonds in various areas along the Suriname River and the savannah area in the vicinity of Zanderij and Tafelberg. Up to the 1980s, the GMD carried out research </w:t>
      </w:r>
      <w:r w:rsidRPr="00894701">
        <w:rPr>
          <w:rFonts w:asciiTheme="minorHAnsi" w:hAnsiTheme="minorHAnsi"/>
          <w:color w:val="auto"/>
          <w:sz w:val="20"/>
          <w:szCs w:val="20"/>
          <w:lang w:eastAsia="fr-FR"/>
        </w:rPr>
        <w:lastRenderedPageBreak/>
        <w:t>in the origin of the</w:t>
      </w:r>
      <w:r w:rsidR="00F50C46">
        <w:rPr>
          <w:rFonts w:asciiTheme="minorHAnsi" w:hAnsiTheme="minorHAnsi"/>
          <w:color w:val="auto"/>
          <w:sz w:val="20"/>
          <w:szCs w:val="20"/>
          <w:lang w:eastAsia="fr-FR"/>
        </w:rPr>
        <w:t>se</w:t>
      </w:r>
      <w:r w:rsidRPr="00894701">
        <w:rPr>
          <w:rFonts w:asciiTheme="minorHAnsi" w:hAnsiTheme="minorHAnsi"/>
          <w:color w:val="auto"/>
          <w:sz w:val="20"/>
          <w:szCs w:val="20"/>
          <w:lang w:eastAsia="fr-FR"/>
        </w:rPr>
        <w:t xml:space="preserve"> diamonds but was unable to determine them. In 2012, the Canadian exploration company Canasur Gold Ltd. </w:t>
      </w:r>
      <w:r w:rsidR="000279ED">
        <w:rPr>
          <w:rFonts w:asciiTheme="minorHAnsi" w:hAnsiTheme="minorHAnsi"/>
          <w:color w:val="auto"/>
          <w:sz w:val="20"/>
          <w:szCs w:val="20"/>
          <w:lang w:eastAsia="fr-FR"/>
        </w:rPr>
        <w:t xml:space="preserve">carried out </w:t>
      </w:r>
      <w:r w:rsidRPr="00894701">
        <w:rPr>
          <w:rFonts w:asciiTheme="minorHAnsi" w:hAnsiTheme="minorHAnsi"/>
          <w:color w:val="auto"/>
          <w:sz w:val="20"/>
          <w:szCs w:val="20"/>
          <w:lang w:eastAsia="fr-FR"/>
        </w:rPr>
        <w:t xml:space="preserve">exploration activities in the Goliath Tibiti area. They provided indications that diamond-containing kimberlite pipes may be found there. </w:t>
      </w:r>
    </w:p>
    <w:p w14:paraId="337FED54" w14:textId="4EC52B76" w:rsidR="00A53B04" w:rsidRPr="00894701" w:rsidRDefault="00A53B04" w:rsidP="00A53B04">
      <w:pPr>
        <w:spacing w:before="120" w:line="240" w:lineRule="auto"/>
        <w:jc w:val="both"/>
        <w:rPr>
          <w:rFonts w:asciiTheme="minorHAnsi" w:hAnsiTheme="minorHAnsi"/>
          <w:color w:val="auto"/>
          <w:sz w:val="20"/>
          <w:szCs w:val="20"/>
          <w:lang w:eastAsia="fr-FR"/>
        </w:rPr>
      </w:pPr>
      <w:r w:rsidRPr="00894701">
        <w:rPr>
          <w:rFonts w:asciiTheme="minorHAnsi" w:hAnsiTheme="minorHAnsi"/>
          <w:color w:val="auto"/>
          <w:sz w:val="20"/>
          <w:szCs w:val="20"/>
          <w:lang w:eastAsia="fr-FR"/>
        </w:rPr>
        <w:t xml:space="preserve">In 2016, two applications for the right of reconnaissance for diamonds were assigned. Before </w:t>
      </w:r>
      <w:r w:rsidR="008E4BF4">
        <w:rPr>
          <w:rFonts w:asciiTheme="minorHAnsi" w:hAnsiTheme="minorHAnsi"/>
          <w:color w:val="auto"/>
          <w:sz w:val="20"/>
          <w:szCs w:val="20"/>
          <w:lang w:eastAsia="fr-FR"/>
        </w:rPr>
        <w:t>commencing</w:t>
      </w:r>
      <w:r w:rsidR="008E4BF4" w:rsidRPr="00894701">
        <w:rPr>
          <w:rFonts w:asciiTheme="minorHAnsi" w:hAnsiTheme="minorHAnsi"/>
          <w:color w:val="auto"/>
          <w:sz w:val="20"/>
          <w:szCs w:val="20"/>
          <w:lang w:eastAsia="fr-FR"/>
        </w:rPr>
        <w:t xml:space="preserve"> </w:t>
      </w:r>
      <w:r w:rsidRPr="00894701">
        <w:rPr>
          <w:rFonts w:asciiTheme="minorHAnsi" w:hAnsiTheme="minorHAnsi"/>
          <w:color w:val="auto"/>
          <w:sz w:val="20"/>
          <w:szCs w:val="20"/>
          <w:lang w:eastAsia="fr-FR"/>
        </w:rPr>
        <w:t xml:space="preserve">with the </w:t>
      </w:r>
      <w:r w:rsidR="008E4BF4">
        <w:rPr>
          <w:rFonts w:asciiTheme="minorHAnsi" w:hAnsiTheme="minorHAnsi"/>
          <w:color w:val="auto"/>
          <w:sz w:val="20"/>
          <w:szCs w:val="20"/>
          <w:lang w:eastAsia="fr-FR"/>
        </w:rPr>
        <w:t xml:space="preserve">exploration and </w:t>
      </w:r>
      <w:r w:rsidRPr="00894701">
        <w:rPr>
          <w:rFonts w:asciiTheme="minorHAnsi" w:hAnsiTheme="minorHAnsi"/>
          <w:color w:val="auto"/>
          <w:sz w:val="20"/>
          <w:szCs w:val="20"/>
          <w:lang w:eastAsia="fr-FR"/>
        </w:rPr>
        <w:t xml:space="preserve">exploitation of diamonds, however, Suriname needs to be certified.  </w:t>
      </w:r>
    </w:p>
    <w:p w14:paraId="5A184CC0" w14:textId="1CD319B2" w:rsidR="00A53B04" w:rsidRPr="00894701" w:rsidRDefault="00A53B04" w:rsidP="00A221DC">
      <w:pPr>
        <w:spacing w:before="120" w:line="240" w:lineRule="auto"/>
        <w:jc w:val="both"/>
        <w:rPr>
          <w:rFonts w:asciiTheme="minorHAnsi" w:hAnsiTheme="minorHAnsi"/>
          <w:color w:val="auto"/>
          <w:sz w:val="20"/>
          <w:szCs w:val="20"/>
          <w:lang w:eastAsia="fr-FR"/>
        </w:rPr>
      </w:pPr>
      <w:r w:rsidRPr="00894701">
        <w:rPr>
          <w:rFonts w:asciiTheme="minorHAnsi" w:hAnsiTheme="minorHAnsi"/>
          <w:color w:val="auto"/>
          <w:sz w:val="20"/>
          <w:szCs w:val="20"/>
          <w:lang w:eastAsia="fr-FR"/>
        </w:rPr>
        <w:t xml:space="preserve">On 09 March 2019, an important treaty, the Kimberley Process Certificate Scheme (KPCS), was approved by DNA. With the KPCS, doors were opened for Suriname on the international diamond market, which </w:t>
      </w:r>
      <w:r w:rsidR="00125044">
        <w:rPr>
          <w:rFonts w:asciiTheme="minorHAnsi" w:hAnsiTheme="minorHAnsi"/>
          <w:color w:val="auto"/>
          <w:sz w:val="20"/>
          <w:szCs w:val="20"/>
          <w:lang w:eastAsia="fr-FR"/>
        </w:rPr>
        <w:t xml:space="preserve">could lead </w:t>
      </w:r>
      <w:r w:rsidRPr="00894701">
        <w:rPr>
          <w:rFonts w:asciiTheme="minorHAnsi" w:hAnsiTheme="minorHAnsi"/>
          <w:color w:val="auto"/>
          <w:sz w:val="20"/>
          <w:szCs w:val="20"/>
          <w:lang w:eastAsia="fr-FR"/>
        </w:rPr>
        <w:t xml:space="preserve"> to significant economic benefits in the future. </w:t>
      </w:r>
    </w:p>
    <w:p w14:paraId="6C8ACEF0" w14:textId="77777777" w:rsidR="00A53B04" w:rsidRPr="00894701" w:rsidRDefault="00A53B04" w:rsidP="00A53B04">
      <w:pPr>
        <w:pStyle w:val="AltMinorSubHeading"/>
        <w:spacing w:before="0" w:after="120"/>
        <w:rPr>
          <w:color w:val="C00000"/>
        </w:rPr>
      </w:pPr>
      <w:bookmarkStart w:id="120" w:name="_Toc101349941"/>
      <w:bookmarkStart w:id="121" w:name="_Toc122478850"/>
      <w:r w:rsidRPr="00894701">
        <w:rPr>
          <w:color w:val="C00000"/>
        </w:rPr>
        <w:t>3.1.1.</w:t>
      </w:r>
      <w:bookmarkStart w:id="122" w:name="_Toc50303521"/>
      <w:bookmarkStart w:id="123" w:name="_Toc50306253"/>
      <w:bookmarkStart w:id="124" w:name="_Toc50306955"/>
      <w:r w:rsidRPr="00894701">
        <w:rPr>
          <w:color w:val="C00000"/>
        </w:rPr>
        <w:t>(b) Context of the Artisanal, Small, and Medium Scale mining</w:t>
      </w:r>
      <w:bookmarkEnd w:id="120"/>
      <w:bookmarkEnd w:id="121"/>
      <w:bookmarkEnd w:id="122"/>
      <w:bookmarkEnd w:id="123"/>
      <w:bookmarkEnd w:id="124"/>
      <w:r w:rsidRPr="00894701">
        <w:rPr>
          <w:color w:val="C00000"/>
        </w:rPr>
        <w:t xml:space="preserve"> </w:t>
      </w:r>
    </w:p>
    <w:p w14:paraId="2431BE42" w14:textId="060DA476" w:rsidR="00A53B04" w:rsidRPr="00894701" w:rsidRDefault="00DD0C73" w:rsidP="00A53B04">
      <w:pPr>
        <w:spacing w:before="120"/>
        <w:jc w:val="both"/>
        <w:rPr>
          <w:rFonts w:asciiTheme="minorHAnsi" w:hAnsiTheme="minorHAnsi"/>
          <w:color w:val="auto"/>
          <w:sz w:val="20"/>
        </w:rPr>
      </w:pPr>
      <w:r>
        <w:rPr>
          <w:rFonts w:asciiTheme="minorHAnsi" w:hAnsiTheme="minorHAnsi"/>
          <w:color w:val="auto"/>
          <w:sz w:val="20"/>
        </w:rPr>
        <w:t xml:space="preserve">As per the IGF, </w:t>
      </w:r>
      <w:r w:rsidR="00A221DC">
        <w:rPr>
          <w:rFonts w:asciiTheme="minorHAnsi" w:hAnsiTheme="minorHAnsi"/>
          <w:color w:val="auto"/>
          <w:sz w:val="20"/>
        </w:rPr>
        <w:t>“</w:t>
      </w:r>
      <w:r w:rsidR="00A53B04" w:rsidRPr="00894701">
        <w:rPr>
          <w:rFonts w:asciiTheme="minorHAnsi" w:hAnsiTheme="minorHAnsi"/>
          <w:color w:val="auto"/>
          <w:sz w:val="20"/>
        </w:rPr>
        <w:t xml:space="preserve">Artisanal and small-scale mining (ASM) has been practised for centuries in Suriname and remains a key livelihood for many in the country, particularly those living in the interior of the country. It is largely focused on the gold sector, and at times gold exports from artisanal and small-scale mining can exceed exports from large-scale mining. For example, in 2009, 16.9 tonnes of ASM gold were officially exported, representing approximately 60% of Suriname’s total gold exports (CIRDI, 2016). The number continued to grow by 2013, 22 tonnes of ASM gold were exported, representing about half of the country’s gold production (CIRDI, 2016). In addition to domestic production, </w:t>
      </w:r>
      <w:r w:rsidR="00AD791A">
        <w:rPr>
          <w:rFonts w:asciiTheme="minorHAnsi" w:hAnsiTheme="minorHAnsi"/>
          <w:color w:val="auto"/>
          <w:sz w:val="20"/>
        </w:rPr>
        <w:t xml:space="preserve">it is likely that </w:t>
      </w:r>
      <w:r w:rsidR="00A53B04" w:rsidRPr="00894701">
        <w:rPr>
          <w:rFonts w:asciiTheme="minorHAnsi" w:hAnsiTheme="minorHAnsi"/>
          <w:color w:val="auto"/>
          <w:sz w:val="20"/>
        </w:rPr>
        <w:t>a portion of these ASM gold exports is likely to have come from British and French Guyana, as a result of a much lower export royalty rate on gold in Suriname than in either country (1% in Suriname compared with 7% in Guyana, for example) (CIRDI, 2016). It is unclear how many people are employed in the domestic ASM sector, due to the widespread informal nature of the work. However, estimates put that figure at 60,000 miners. There are 17,000 officially registered ASM gold miners, of whom 11,000 are nationals (CIRDI, 2016). A large portion of the ASM workforce is made up of migrants, particularly from Brazil. In terms of processing, ASM in Suriname is mostly focused on alluvial and colluvial deposits, though the sector is increasingly mechanised, with small-scale mining operations dredging rivers, excavating with backhoes, hydraulic, and using motorised crushing (CIRDI, 2016). Mercury use remains widespread, it is cheap and easy to use, and awareness of the health impacts is often limited. Men make up the vast majority of the ASM sector, according to OGS, although women are involved indirectly.</w:t>
      </w:r>
      <w:r w:rsidR="00A221DC">
        <w:rPr>
          <w:rFonts w:asciiTheme="minorHAnsi" w:hAnsiTheme="minorHAnsi"/>
          <w:color w:val="auto"/>
          <w:sz w:val="20"/>
        </w:rPr>
        <w:t>”</w:t>
      </w:r>
      <w:r w:rsidR="00A221DC">
        <w:rPr>
          <w:rStyle w:val="FootnoteReference"/>
          <w:rFonts w:asciiTheme="minorHAnsi" w:hAnsiTheme="minorHAnsi"/>
          <w:color w:val="auto"/>
          <w:sz w:val="20"/>
        </w:rPr>
        <w:footnoteReference w:id="12"/>
      </w:r>
      <w:r w:rsidR="00A53B04" w:rsidRPr="00894701">
        <w:rPr>
          <w:rFonts w:asciiTheme="minorHAnsi" w:hAnsiTheme="minorHAnsi"/>
          <w:color w:val="auto"/>
          <w:sz w:val="20"/>
        </w:rPr>
        <w:t xml:space="preserve"> </w:t>
      </w:r>
    </w:p>
    <w:p w14:paraId="235CA133" w14:textId="0222F9BC" w:rsidR="00A53B04" w:rsidRPr="00894701" w:rsidRDefault="00A53B04" w:rsidP="00860520">
      <w:pPr>
        <w:spacing w:before="120"/>
        <w:jc w:val="both"/>
        <w:rPr>
          <w:rFonts w:asciiTheme="minorHAnsi" w:hAnsiTheme="minorHAnsi"/>
          <w:color w:val="auto"/>
          <w:sz w:val="20"/>
        </w:rPr>
      </w:pPr>
      <w:r w:rsidRPr="00894701">
        <w:rPr>
          <w:rFonts w:asciiTheme="minorHAnsi" w:hAnsiTheme="minorHAnsi"/>
          <w:color w:val="auto"/>
          <w:sz w:val="20"/>
        </w:rPr>
        <w:t xml:space="preserve">The small and medium size mining </w:t>
      </w:r>
      <w:r w:rsidR="00E21BD5" w:rsidRPr="00894701">
        <w:rPr>
          <w:rFonts w:asciiTheme="minorHAnsi" w:hAnsiTheme="minorHAnsi"/>
          <w:color w:val="auto"/>
          <w:sz w:val="20"/>
        </w:rPr>
        <w:t>r</w:t>
      </w:r>
      <w:r w:rsidR="00E21BD5">
        <w:rPr>
          <w:rFonts w:asciiTheme="minorHAnsi" w:hAnsiTheme="minorHAnsi"/>
          <w:color w:val="auto"/>
          <w:sz w:val="20"/>
        </w:rPr>
        <w:t>i</w:t>
      </w:r>
      <w:r w:rsidR="00E21BD5" w:rsidRPr="00894701">
        <w:rPr>
          <w:rFonts w:asciiTheme="minorHAnsi" w:hAnsiTheme="minorHAnsi"/>
          <w:color w:val="auto"/>
          <w:sz w:val="20"/>
        </w:rPr>
        <w:t>ght</w:t>
      </w:r>
      <w:r w:rsidRPr="00894701">
        <w:rPr>
          <w:rFonts w:asciiTheme="minorHAnsi" w:hAnsiTheme="minorHAnsi"/>
          <w:color w:val="auto"/>
          <w:sz w:val="20"/>
        </w:rPr>
        <w:t xml:space="preserve"> </w:t>
      </w:r>
      <w:r w:rsidR="00DD0C73">
        <w:rPr>
          <w:rFonts w:asciiTheme="minorHAnsi" w:hAnsiTheme="minorHAnsi"/>
          <w:color w:val="auto"/>
          <w:sz w:val="20"/>
        </w:rPr>
        <w:t>’</w:t>
      </w:r>
      <w:r w:rsidR="00E21BD5">
        <w:rPr>
          <w:rFonts w:asciiTheme="minorHAnsi" w:hAnsiTheme="minorHAnsi"/>
          <w:color w:val="auto"/>
          <w:sz w:val="20"/>
        </w:rPr>
        <w:t>h</w:t>
      </w:r>
      <w:r w:rsidRPr="00894701">
        <w:rPr>
          <w:rFonts w:asciiTheme="minorHAnsi" w:hAnsiTheme="minorHAnsi"/>
          <w:color w:val="auto"/>
          <w:sz w:val="20"/>
        </w:rPr>
        <w:t>olders operate on relatively small concessions compared to the industrial gold miners, as well as under different operating conditions, guarantees, security</w:t>
      </w:r>
      <w:r w:rsidR="00DD0C73">
        <w:rPr>
          <w:rFonts w:asciiTheme="minorHAnsi" w:hAnsiTheme="minorHAnsi"/>
          <w:color w:val="auto"/>
          <w:sz w:val="20"/>
        </w:rPr>
        <w:t>,</w:t>
      </w:r>
      <w:r w:rsidRPr="00894701">
        <w:rPr>
          <w:rFonts w:asciiTheme="minorHAnsi" w:hAnsiTheme="minorHAnsi"/>
          <w:color w:val="auto"/>
          <w:sz w:val="20"/>
        </w:rPr>
        <w:t xml:space="preserve"> etc. The small and medium-scale mining right holders do not have the equipment and know how to determine the gold reserve on their concessions along the requirements of International Standards for reporting the reserves. </w:t>
      </w:r>
    </w:p>
    <w:p w14:paraId="269A7956" w14:textId="12D3468A" w:rsidR="00E21BD5" w:rsidRDefault="00DD0C73" w:rsidP="0050738C">
      <w:pPr>
        <w:spacing w:before="120"/>
        <w:jc w:val="both"/>
        <w:rPr>
          <w:rFonts w:asciiTheme="minorHAnsi" w:hAnsiTheme="minorHAnsi"/>
          <w:color w:val="auto"/>
          <w:sz w:val="20"/>
        </w:rPr>
      </w:pPr>
      <w:r>
        <w:rPr>
          <w:rFonts w:asciiTheme="minorHAnsi" w:hAnsiTheme="minorHAnsi"/>
          <w:color w:val="auto"/>
          <w:sz w:val="20"/>
        </w:rPr>
        <w:t xml:space="preserve">The IGF 2017 Mining Policy Framework Assessment goes on to state that: </w:t>
      </w:r>
      <w:r w:rsidR="00097E71" w:rsidRPr="00A93567">
        <w:rPr>
          <w:rFonts w:asciiTheme="minorHAnsi" w:hAnsiTheme="minorHAnsi"/>
          <w:i/>
          <w:iCs/>
          <w:color w:val="auto"/>
          <w:sz w:val="20"/>
        </w:rPr>
        <w:t>“</w:t>
      </w:r>
      <w:r w:rsidR="00A53B04" w:rsidRPr="00A93567">
        <w:rPr>
          <w:rFonts w:asciiTheme="minorHAnsi" w:hAnsiTheme="minorHAnsi"/>
          <w:i/>
          <w:iCs/>
          <w:color w:val="auto"/>
          <w:sz w:val="20"/>
        </w:rPr>
        <w:t xml:space="preserve">The environmental impacts of ASM are widespread and growing. Miners working in the sector continue to use mercury for processing </w:t>
      </w:r>
      <w:r w:rsidR="00FC1FFD" w:rsidRPr="00A93567">
        <w:rPr>
          <w:rFonts w:asciiTheme="minorHAnsi" w:hAnsiTheme="minorHAnsi"/>
          <w:i/>
          <w:iCs/>
          <w:color w:val="auto"/>
          <w:sz w:val="20"/>
        </w:rPr>
        <w:t>gold although the country has ratified the Minamata Convention</w:t>
      </w:r>
      <w:r w:rsidR="0050738C" w:rsidRPr="00A93567">
        <w:rPr>
          <w:rFonts w:asciiTheme="minorHAnsi" w:hAnsiTheme="minorHAnsi"/>
          <w:i/>
          <w:iCs/>
          <w:color w:val="auto"/>
          <w:sz w:val="20"/>
        </w:rPr>
        <w:t>”</w:t>
      </w:r>
      <w:r w:rsidR="0050738C">
        <w:rPr>
          <w:rStyle w:val="FootnoteReference"/>
          <w:rFonts w:asciiTheme="minorHAnsi" w:hAnsiTheme="minorHAnsi"/>
          <w:color w:val="auto"/>
          <w:sz w:val="20"/>
        </w:rPr>
        <w:footnoteReference w:id="13"/>
      </w:r>
      <w:r w:rsidR="00A53B04" w:rsidRPr="00894701">
        <w:rPr>
          <w:rFonts w:asciiTheme="minorHAnsi" w:hAnsiTheme="minorHAnsi"/>
          <w:color w:val="auto"/>
          <w:sz w:val="20"/>
        </w:rPr>
        <w:t xml:space="preserve"> </w:t>
      </w:r>
      <w:r w:rsidR="00222E34" w:rsidRPr="00894701">
        <w:rPr>
          <w:rFonts w:asciiTheme="minorHAnsi" w:hAnsiTheme="minorHAnsi"/>
          <w:color w:val="auto"/>
          <w:sz w:val="20"/>
        </w:rPr>
        <w:t xml:space="preserve">in March 2018. </w:t>
      </w:r>
      <w:r w:rsidR="00A55056" w:rsidRPr="00894701">
        <w:rPr>
          <w:rFonts w:asciiTheme="minorHAnsi" w:hAnsiTheme="minorHAnsi"/>
          <w:color w:val="auto"/>
          <w:sz w:val="20"/>
        </w:rPr>
        <w:t>Suriname b</w:t>
      </w:r>
      <w:r w:rsidR="00527F3C" w:rsidRPr="00894701">
        <w:rPr>
          <w:rFonts w:asciiTheme="minorHAnsi" w:hAnsiTheme="minorHAnsi"/>
          <w:color w:val="auto"/>
          <w:sz w:val="20"/>
        </w:rPr>
        <w:t>e</w:t>
      </w:r>
      <w:r w:rsidR="00A55056" w:rsidRPr="00894701">
        <w:rPr>
          <w:rFonts w:asciiTheme="minorHAnsi" w:hAnsiTheme="minorHAnsi"/>
          <w:color w:val="auto"/>
          <w:sz w:val="20"/>
        </w:rPr>
        <w:t xml:space="preserve">came </w:t>
      </w:r>
      <w:r w:rsidR="00841B78" w:rsidRPr="00894701">
        <w:rPr>
          <w:rFonts w:asciiTheme="minorHAnsi" w:hAnsiTheme="minorHAnsi"/>
          <w:color w:val="auto"/>
          <w:sz w:val="20"/>
        </w:rPr>
        <w:t xml:space="preserve">a </w:t>
      </w:r>
      <w:r w:rsidR="00A55056" w:rsidRPr="00894701">
        <w:rPr>
          <w:rFonts w:asciiTheme="minorHAnsi" w:hAnsiTheme="minorHAnsi"/>
          <w:color w:val="auto"/>
          <w:sz w:val="20"/>
        </w:rPr>
        <w:t>forma</w:t>
      </w:r>
      <w:r w:rsidR="00841B78" w:rsidRPr="00894701">
        <w:rPr>
          <w:rFonts w:asciiTheme="minorHAnsi" w:hAnsiTheme="minorHAnsi"/>
          <w:color w:val="auto"/>
          <w:sz w:val="20"/>
        </w:rPr>
        <w:t>l</w:t>
      </w:r>
      <w:r w:rsidR="00A55056" w:rsidRPr="00894701">
        <w:rPr>
          <w:rFonts w:asciiTheme="minorHAnsi" w:hAnsiTheme="minorHAnsi"/>
          <w:color w:val="auto"/>
          <w:sz w:val="20"/>
        </w:rPr>
        <w:t xml:space="preserve"> part</w:t>
      </w:r>
      <w:r w:rsidR="00841B78" w:rsidRPr="00894701">
        <w:rPr>
          <w:rFonts w:asciiTheme="minorHAnsi" w:hAnsiTheme="minorHAnsi"/>
          <w:color w:val="auto"/>
          <w:sz w:val="20"/>
        </w:rPr>
        <w:t>y</w:t>
      </w:r>
      <w:r w:rsidR="00A55056" w:rsidRPr="00894701">
        <w:rPr>
          <w:rFonts w:asciiTheme="minorHAnsi" w:hAnsiTheme="minorHAnsi"/>
          <w:color w:val="auto"/>
          <w:sz w:val="20"/>
        </w:rPr>
        <w:t xml:space="preserve"> in August 2018 in the </w:t>
      </w:r>
      <w:r w:rsidR="00527F3C" w:rsidRPr="00894701">
        <w:rPr>
          <w:rFonts w:asciiTheme="minorHAnsi" w:hAnsiTheme="minorHAnsi"/>
          <w:color w:val="auto"/>
          <w:sz w:val="20"/>
        </w:rPr>
        <w:t xml:space="preserve">Minamata </w:t>
      </w:r>
      <w:r w:rsidR="00A55056" w:rsidRPr="00894701">
        <w:rPr>
          <w:rFonts w:asciiTheme="minorHAnsi" w:hAnsiTheme="minorHAnsi"/>
          <w:color w:val="auto"/>
          <w:sz w:val="20"/>
        </w:rPr>
        <w:t xml:space="preserve">Convention. </w:t>
      </w:r>
      <w:r w:rsidR="00222E34" w:rsidRPr="00894701">
        <w:rPr>
          <w:rFonts w:asciiTheme="minorHAnsi" w:hAnsiTheme="minorHAnsi"/>
          <w:color w:val="auto"/>
          <w:sz w:val="20"/>
        </w:rPr>
        <w:t>Minamata Convention entered into force in October 2018 and Suriname's first full Minamata Report, covering the period 2017 - 2020, was published in December 2021</w:t>
      </w:r>
      <w:r w:rsidR="00222E34" w:rsidRPr="00894701">
        <w:rPr>
          <w:rStyle w:val="FootnoteReference"/>
          <w:rFonts w:asciiTheme="minorHAnsi" w:hAnsiTheme="minorHAnsi"/>
          <w:color w:val="auto"/>
          <w:sz w:val="20"/>
        </w:rPr>
        <w:footnoteReference w:id="14"/>
      </w:r>
      <w:r w:rsidR="00A53B04" w:rsidRPr="00894701">
        <w:rPr>
          <w:rFonts w:asciiTheme="minorHAnsi" w:hAnsiTheme="minorHAnsi"/>
          <w:color w:val="auto"/>
          <w:sz w:val="20"/>
        </w:rPr>
        <w:t xml:space="preserve">. </w:t>
      </w:r>
      <w:r w:rsidR="00C01E10" w:rsidRPr="00894701">
        <w:rPr>
          <w:rFonts w:asciiTheme="minorHAnsi" w:hAnsiTheme="minorHAnsi"/>
          <w:color w:val="auto"/>
          <w:sz w:val="20"/>
        </w:rPr>
        <w:t>Additionally, t</w:t>
      </w:r>
      <w:r w:rsidR="003E6B5C" w:rsidRPr="00894701">
        <w:rPr>
          <w:rFonts w:asciiTheme="minorHAnsi" w:hAnsiTheme="minorHAnsi"/>
          <w:color w:val="auto"/>
          <w:sz w:val="20"/>
        </w:rPr>
        <w:t xml:space="preserve">he Government </w:t>
      </w:r>
      <w:r w:rsidR="00C01E10" w:rsidRPr="00894701">
        <w:rPr>
          <w:rFonts w:asciiTheme="minorHAnsi" w:hAnsiTheme="minorHAnsi"/>
          <w:color w:val="auto"/>
          <w:sz w:val="20"/>
        </w:rPr>
        <w:t>completed</w:t>
      </w:r>
      <w:r w:rsidR="003E6B5C" w:rsidRPr="00894701">
        <w:rPr>
          <w:rFonts w:asciiTheme="minorHAnsi" w:hAnsiTheme="minorHAnsi"/>
          <w:color w:val="auto"/>
          <w:sz w:val="20"/>
        </w:rPr>
        <w:t xml:space="preserve"> the National Inventory of Mercury Releases in Suriname 2019</w:t>
      </w:r>
      <w:r w:rsidR="00C01E10" w:rsidRPr="00894701">
        <w:rPr>
          <w:rStyle w:val="FootnoteReference"/>
          <w:rFonts w:asciiTheme="minorHAnsi" w:hAnsiTheme="minorHAnsi"/>
          <w:color w:val="auto"/>
          <w:sz w:val="20"/>
        </w:rPr>
        <w:footnoteReference w:id="15"/>
      </w:r>
      <w:r w:rsidR="00A53B04" w:rsidRPr="00894701">
        <w:rPr>
          <w:rFonts w:asciiTheme="minorHAnsi" w:hAnsiTheme="minorHAnsi"/>
          <w:color w:val="auto"/>
          <w:sz w:val="20"/>
        </w:rPr>
        <w:t xml:space="preserve">. </w:t>
      </w:r>
    </w:p>
    <w:p w14:paraId="65DBAA01" w14:textId="64C952AB" w:rsidR="0050738C" w:rsidRDefault="00E21BD5" w:rsidP="0050738C">
      <w:pPr>
        <w:spacing w:before="120"/>
        <w:jc w:val="both"/>
        <w:rPr>
          <w:rFonts w:asciiTheme="minorHAnsi" w:hAnsiTheme="minorHAnsi"/>
          <w:color w:val="auto"/>
          <w:sz w:val="20"/>
        </w:rPr>
      </w:pPr>
      <w:r>
        <w:rPr>
          <w:rFonts w:asciiTheme="minorHAnsi" w:hAnsiTheme="minorHAnsi"/>
          <w:color w:val="auto"/>
          <w:sz w:val="20"/>
        </w:rPr>
        <w:t>Furthermore</w:t>
      </w:r>
      <w:r w:rsidR="00A53B04" w:rsidRPr="00894701">
        <w:rPr>
          <w:rFonts w:asciiTheme="minorHAnsi" w:hAnsiTheme="minorHAnsi"/>
          <w:color w:val="auto"/>
          <w:sz w:val="20"/>
        </w:rPr>
        <w:t>,</w:t>
      </w:r>
      <w:r>
        <w:rPr>
          <w:rFonts w:asciiTheme="minorHAnsi" w:hAnsiTheme="minorHAnsi"/>
          <w:color w:val="auto"/>
          <w:sz w:val="20"/>
        </w:rPr>
        <w:t xml:space="preserve"> according to the IGF</w:t>
      </w:r>
      <w:r w:rsidR="00A53B04" w:rsidRPr="00894701">
        <w:rPr>
          <w:rFonts w:asciiTheme="minorHAnsi" w:hAnsiTheme="minorHAnsi"/>
          <w:color w:val="auto"/>
          <w:sz w:val="20"/>
        </w:rPr>
        <w:t xml:space="preserve"> gold buyers </w:t>
      </w:r>
      <w:r>
        <w:rPr>
          <w:rFonts w:asciiTheme="minorHAnsi" w:hAnsiTheme="minorHAnsi"/>
          <w:color w:val="auto"/>
          <w:sz w:val="20"/>
        </w:rPr>
        <w:t xml:space="preserve">typically </w:t>
      </w:r>
      <w:r w:rsidRPr="00A93567">
        <w:rPr>
          <w:rFonts w:asciiTheme="minorHAnsi" w:hAnsiTheme="minorHAnsi"/>
          <w:i/>
          <w:iCs/>
          <w:color w:val="auto"/>
          <w:sz w:val="20"/>
        </w:rPr>
        <w:t>“</w:t>
      </w:r>
      <w:r w:rsidR="00A53B04" w:rsidRPr="00A93567">
        <w:rPr>
          <w:rFonts w:asciiTheme="minorHAnsi" w:hAnsiTheme="minorHAnsi"/>
          <w:i/>
          <w:iCs/>
          <w:color w:val="auto"/>
          <w:sz w:val="20"/>
        </w:rPr>
        <w:t xml:space="preserve">burn mercury off the gold they purchase in the country’s cities, polluting urban air and threatening human health. According to consulted stakeholders, mercury concentrations in the air near gold-buying locations in Paramaribo are much higher than the minimum levels recommended by the World Health Organization. Grassalco has </w:t>
      </w:r>
      <w:r w:rsidR="00A53B04" w:rsidRPr="00A93567">
        <w:rPr>
          <w:rFonts w:asciiTheme="minorHAnsi" w:hAnsiTheme="minorHAnsi"/>
          <w:i/>
          <w:iCs/>
          <w:color w:val="auto"/>
          <w:sz w:val="20"/>
        </w:rPr>
        <w:lastRenderedPageBreak/>
        <w:t xml:space="preserve">introduced mercury-free gold mining at the Maripaston mine site and is sharing its techniques with small-scale and artisanal miners in the hopes of showing how mining can still be profitable without mercury. Additional environmental impacts from ASM include deforestation, landscape destruction, soil erosion, river siltation, and aquatic ecosystem damage from tailings and effluent dumping. According to stakeholders consulted during the assessment process, deforestation in the interior has increased (from 0.2% to 0.6%), mainly because of clearing for ASM. An estimated 54,000 ha of forest have been cleared </w:t>
      </w:r>
      <w:r w:rsidRPr="00A93567">
        <w:rPr>
          <w:rFonts w:asciiTheme="minorHAnsi" w:hAnsiTheme="minorHAnsi"/>
          <w:i/>
          <w:iCs/>
          <w:color w:val="auto"/>
          <w:sz w:val="20"/>
        </w:rPr>
        <w:t>because of</w:t>
      </w:r>
      <w:r w:rsidR="00A53B04" w:rsidRPr="00A93567">
        <w:rPr>
          <w:rFonts w:asciiTheme="minorHAnsi" w:hAnsiTheme="minorHAnsi"/>
          <w:i/>
          <w:iCs/>
          <w:color w:val="auto"/>
          <w:sz w:val="20"/>
        </w:rPr>
        <w:t xml:space="preserve"> mining operations (CIRDI, 2016). Aquatic ecosystems are changing, the quantity and quality of river fish have decreased due to increases in sedimentation and riverbed destruction relating to sand mining, threatening livelihoods and food security. Mine site rehabilitation is largely absent, which threatens the recovery of forest ecosystems (CIRDI, 2016). For many of the indigenous communities that claim economic, land and resource rights in these areas, these environmental and economic processes often result in conflict with ASM operations, as indigenous communities push back against environmental degradation, food insecurity, lost livelihoods, and encroachment. For others, a lack of economic options means there is often little choice but to abandon traditional livelihoods in favour of ASM (CIRDI, 2016).</w:t>
      </w:r>
      <w:r w:rsidR="0050738C" w:rsidRPr="00A93567">
        <w:rPr>
          <w:rFonts w:asciiTheme="minorHAnsi" w:hAnsiTheme="minorHAnsi"/>
          <w:i/>
          <w:iCs/>
          <w:color w:val="auto"/>
          <w:sz w:val="20"/>
        </w:rPr>
        <w:t>”</w:t>
      </w:r>
      <w:r w:rsidR="0050738C">
        <w:rPr>
          <w:rStyle w:val="FootnoteReference"/>
          <w:rFonts w:asciiTheme="minorHAnsi" w:hAnsiTheme="minorHAnsi"/>
          <w:color w:val="auto"/>
          <w:sz w:val="20"/>
        </w:rPr>
        <w:footnoteReference w:id="16"/>
      </w:r>
      <w:r w:rsidR="00A53B04" w:rsidRPr="00894701">
        <w:rPr>
          <w:rFonts w:asciiTheme="minorHAnsi" w:hAnsiTheme="minorHAnsi"/>
          <w:color w:val="auto"/>
          <w:sz w:val="20"/>
        </w:rPr>
        <w:t xml:space="preserve"> </w:t>
      </w:r>
    </w:p>
    <w:p w14:paraId="33A0F659" w14:textId="25E53980" w:rsidR="00A53B04" w:rsidRPr="00894701" w:rsidRDefault="00EB0ECC" w:rsidP="0050738C">
      <w:pPr>
        <w:spacing w:before="120"/>
        <w:jc w:val="both"/>
        <w:rPr>
          <w:rFonts w:asciiTheme="minorHAnsi" w:hAnsiTheme="minorHAnsi"/>
          <w:color w:val="auto"/>
          <w:sz w:val="20"/>
        </w:rPr>
      </w:pPr>
      <w:r w:rsidRPr="00894701">
        <w:rPr>
          <w:rFonts w:asciiTheme="minorHAnsi" w:hAnsiTheme="minorHAnsi"/>
          <w:color w:val="auto"/>
          <w:sz w:val="20"/>
        </w:rPr>
        <w:t>T</w:t>
      </w:r>
      <w:r w:rsidR="00D53F31" w:rsidRPr="00894701">
        <w:rPr>
          <w:rFonts w:asciiTheme="minorHAnsi" w:hAnsiTheme="minorHAnsi"/>
          <w:color w:val="auto"/>
          <w:sz w:val="20"/>
        </w:rPr>
        <w:t>he negative effects of failure to protect indigenous and tribal territorial rights connected living communities are further enhanced by a significant intensification of resource exploitation activities over the past 15 years, in the particularly large-scale and small-scale mining and logging activities. Almost all of these activities have taken place without informing the affected communities and without their participation or consent. These activities have resulted in environmental degradation; in some cases there is even serious encroachment, loss of resources for own livelihoods that in some cases have led to chronic malnutrition, destruction of sites of religious or cultural importance, serious health problems, especially malaria and sexual communicable diseases, and social problems. While some of the communities do receive income from mining and logging activities, this is generally short-lived and the drawbacks outweigh the benefits. For example, a 2001 report on water quality in Suriname concludes that because of “the mercury pollution in surface water, the water threatens to become unusable in certain areas” and that the “expansion of the gold mining industry many creeks and rivers flowing through the Indigenous people used for their water supply, has polluted.</w:t>
      </w:r>
      <w:r w:rsidR="00D53F31" w:rsidRPr="00894701">
        <w:rPr>
          <w:rStyle w:val="FootnoteReference"/>
          <w:rFonts w:asciiTheme="minorHAnsi" w:hAnsiTheme="minorHAnsi"/>
          <w:color w:val="auto"/>
          <w:sz w:val="20"/>
        </w:rPr>
        <w:footnoteReference w:id="17"/>
      </w:r>
      <w:r w:rsidR="00D53F31" w:rsidRPr="00894701">
        <w:rPr>
          <w:rFonts w:asciiTheme="minorHAnsi" w:hAnsiTheme="minorHAnsi"/>
          <w:color w:val="auto"/>
          <w:sz w:val="20"/>
        </w:rPr>
        <w:t xml:space="preserve">  </w:t>
      </w:r>
    </w:p>
    <w:p w14:paraId="41177F7C" w14:textId="526F2089" w:rsidR="00A53B04" w:rsidRPr="00894701" w:rsidRDefault="00E21BD5" w:rsidP="00A53B04">
      <w:pPr>
        <w:spacing w:before="120"/>
        <w:jc w:val="both"/>
        <w:rPr>
          <w:rFonts w:asciiTheme="minorHAnsi" w:hAnsiTheme="minorHAnsi"/>
          <w:color w:val="auto"/>
          <w:sz w:val="20"/>
        </w:rPr>
      </w:pPr>
      <w:r>
        <w:rPr>
          <w:rFonts w:asciiTheme="minorHAnsi" w:hAnsiTheme="minorHAnsi"/>
          <w:color w:val="auto"/>
          <w:sz w:val="20"/>
        </w:rPr>
        <w:t>The aforementioned IGF report goes on to state that the 1986</w:t>
      </w:r>
      <w:r w:rsidR="00A53B04" w:rsidRPr="00894701">
        <w:rPr>
          <w:rFonts w:asciiTheme="minorHAnsi" w:hAnsiTheme="minorHAnsi"/>
          <w:color w:val="auto"/>
          <w:sz w:val="20"/>
        </w:rPr>
        <w:t xml:space="preserve"> Mining Decree </w:t>
      </w:r>
      <w:r w:rsidRPr="00F72786">
        <w:rPr>
          <w:rFonts w:asciiTheme="minorHAnsi" w:hAnsiTheme="minorHAnsi"/>
          <w:i/>
          <w:iCs/>
          <w:color w:val="auto"/>
          <w:sz w:val="20"/>
        </w:rPr>
        <w:t>“</w:t>
      </w:r>
      <w:r w:rsidR="00A53B04" w:rsidRPr="00F72786">
        <w:rPr>
          <w:rFonts w:asciiTheme="minorHAnsi" w:hAnsiTheme="minorHAnsi"/>
          <w:i/>
          <w:iCs/>
          <w:color w:val="auto"/>
          <w:sz w:val="20"/>
        </w:rPr>
        <w:t xml:space="preserve">governs the ASM sector. Under that Decree, miners can apply for small- scale mining rights, which cover reconnaissance, exploration and exploitation for an area of no more than 200 hectares which are granted for two years (renewable). The obligations of right holders are laid out in the Decree and include the submission of quarterly reports detailing the amount of capital invested, operating costs, the number, age and nationalities of people working in the area covered by the permit, and the tonnage of earth moved and minerals mined, and the payment of required levies. There are no requirements for right holders to include rehabilitation plans in their permit applications, </w:t>
      </w:r>
      <w:r w:rsidR="00CA78F1" w:rsidRPr="00F72786">
        <w:rPr>
          <w:rFonts w:asciiTheme="minorHAnsi" w:hAnsiTheme="minorHAnsi"/>
          <w:i/>
          <w:iCs/>
          <w:color w:val="auto"/>
          <w:sz w:val="20"/>
        </w:rPr>
        <w:t xml:space="preserve">nor to take into account the various community rights in the licensed areas, </w:t>
      </w:r>
      <w:r w:rsidR="00A53B04" w:rsidRPr="00F72786">
        <w:rPr>
          <w:rFonts w:asciiTheme="minorHAnsi" w:hAnsiTheme="minorHAnsi"/>
          <w:i/>
          <w:iCs/>
          <w:color w:val="auto"/>
          <w:sz w:val="20"/>
        </w:rPr>
        <w:t>and nothing on the protection of occupational health and safety or the environment. As mentioned previously, in 2011 the government established the OGS to increase its control over the ASM gold mining sector. The OGS, with support from the police and the military, is working to enforce existing government regulations in the sector and mediate conflicts between mining entities and communities. It is currently building a registry of artisanal miners in the country. Those who registered with the OGS received a Gold Sector Registration Card, allowing them to work legally in the sector and eventually gain access to government facilities that will be built to support sustainable community development and offer technical services. This has led to the registration of approximately 19,000 miners active in the gold fields.</w:t>
      </w:r>
      <w:r w:rsidR="001F597A" w:rsidRPr="00F72786">
        <w:rPr>
          <w:rFonts w:asciiTheme="minorHAnsi" w:hAnsiTheme="minorHAnsi"/>
          <w:i/>
          <w:iCs/>
          <w:color w:val="auto"/>
          <w:sz w:val="20"/>
        </w:rPr>
        <w:t>”</w:t>
      </w:r>
      <w:r w:rsidR="001F597A">
        <w:rPr>
          <w:rStyle w:val="FootnoteReference"/>
          <w:rFonts w:asciiTheme="minorHAnsi" w:hAnsiTheme="minorHAnsi"/>
          <w:color w:val="auto"/>
          <w:sz w:val="20"/>
        </w:rPr>
        <w:footnoteReference w:id="18"/>
      </w:r>
      <w:r w:rsidR="00A53B04" w:rsidRPr="00894701">
        <w:rPr>
          <w:rFonts w:asciiTheme="minorHAnsi" w:hAnsiTheme="minorHAnsi"/>
          <w:color w:val="auto"/>
          <w:sz w:val="20"/>
        </w:rPr>
        <w:t xml:space="preserve">  </w:t>
      </w:r>
    </w:p>
    <w:p w14:paraId="3D829901" w14:textId="662879FC" w:rsidR="00A53B04" w:rsidRPr="00894701" w:rsidRDefault="00E21BD5" w:rsidP="00A53B04">
      <w:pPr>
        <w:spacing w:before="120"/>
        <w:jc w:val="both"/>
        <w:rPr>
          <w:rFonts w:asciiTheme="minorHAnsi" w:hAnsiTheme="minorHAnsi"/>
          <w:color w:val="auto"/>
          <w:sz w:val="20"/>
        </w:rPr>
      </w:pPr>
      <w:r>
        <w:rPr>
          <w:rFonts w:asciiTheme="minorHAnsi" w:hAnsiTheme="minorHAnsi"/>
          <w:color w:val="auto"/>
          <w:sz w:val="20"/>
        </w:rPr>
        <w:lastRenderedPageBreak/>
        <w:t xml:space="preserve">The IGF report asserts that: </w:t>
      </w:r>
      <w:r w:rsidR="00C94E04" w:rsidRPr="00F72786">
        <w:rPr>
          <w:rFonts w:asciiTheme="minorHAnsi" w:hAnsiTheme="minorHAnsi"/>
          <w:i/>
          <w:iCs/>
          <w:color w:val="auto"/>
          <w:sz w:val="20"/>
        </w:rPr>
        <w:t>“</w:t>
      </w:r>
      <w:r w:rsidR="00A53B04" w:rsidRPr="00F72786">
        <w:rPr>
          <w:rFonts w:asciiTheme="minorHAnsi" w:hAnsiTheme="minorHAnsi"/>
          <w:i/>
          <w:iCs/>
          <w:color w:val="auto"/>
          <w:sz w:val="20"/>
        </w:rPr>
        <w:t xml:space="preserve">Under Article 36.3 of the Mining Decree, the government (via GMD) is responsible for </w:t>
      </w:r>
      <w:r w:rsidR="0040009D" w:rsidRPr="00F72786">
        <w:rPr>
          <w:rFonts w:asciiTheme="minorHAnsi" w:hAnsiTheme="minorHAnsi"/>
          <w:i/>
          <w:iCs/>
          <w:color w:val="auto"/>
          <w:sz w:val="20"/>
        </w:rPr>
        <w:t xml:space="preserve">defining </w:t>
      </w:r>
      <w:r w:rsidR="00A53B04" w:rsidRPr="00F72786">
        <w:rPr>
          <w:rFonts w:asciiTheme="minorHAnsi" w:hAnsiTheme="minorHAnsi"/>
          <w:i/>
          <w:iCs/>
          <w:color w:val="auto"/>
          <w:sz w:val="20"/>
        </w:rPr>
        <w:t>areas for ASM gold mining, and the government is currently studying how to establish ASM zones. The rights of children are protected in the Constitution and in international conventions that have been ratified by the state. Similarly, the rights of workers to safe and healthy working conditions are also enshrined in the Constitution, though given the self-employed nature of many artisanal miners, these rights have limited applicability in the sector.</w:t>
      </w:r>
      <w:r w:rsidR="00C94E04" w:rsidRPr="00F72786">
        <w:rPr>
          <w:rFonts w:asciiTheme="minorHAnsi" w:hAnsiTheme="minorHAnsi"/>
          <w:i/>
          <w:iCs/>
          <w:color w:val="auto"/>
          <w:sz w:val="20"/>
        </w:rPr>
        <w:t>”</w:t>
      </w:r>
      <w:r w:rsidR="00C94E04">
        <w:rPr>
          <w:rStyle w:val="FootnoteReference"/>
          <w:rFonts w:asciiTheme="minorHAnsi" w:hAnsiTheme="minorHAnsi"/>
          <w:color w:val="auto"/>
          <w:sz w:val="20"/>
        </w:rPr>
        <w:footnoteReference w:id="19"/>
      </w:r>
      <w:r w:rsidR="00A53B04" w:rsidRPr="00894701">
        <w:rPr>
          <w:rFonts w:asciiTheme="minorHAnsi" w:hAnsiTheme="minorHAnsi"/>
          <w:color w:val="auto"/>
          <w:sz w:val="20"/>
        </w:rPr>
        <w:t xml:space="preserve">  </w:t>
      </w:r>
    </w:p>
    <w:p w14:paraId="3A8BFAB8" w14:textId="0C4006C8" w:rsidR="00A53B04" w:rsidRPr="00894701" w:rsidRDefault="00E21BD5" w:rsidP="00A53B04">
      <w:pPr>
        <w:spacing w:before="120"/>
        <w:jc w:val="both"/>
        <w:rPr>
          <w:rFonts w:asciiTheme="minorHAnsi" w:hAnsiTheme="minorHAnsi"/>
          <w:color w:val="auto"/>
          <w:sz w:val="20"/>
        </w:rPr>
      </w:pPr>
      <w:r>
        <w:rPr>
          <w:rFonts w:asciiTheme="minorHAnsi" w:hAnsiTheme="minorHAnsi"/>
          <w:color w:val="auto"/>
          <w:sz w:val="20"/>
        </w:rPr>
        <w:t xml:space="preserve">Given the predominantly informal nature of the ASM sector in Suriname, efforts to improve and extend social and environmental protections and to provide training and capacity building to stakeholders in the sector remains compromised. According to the IGF Mining Policy Framework Assessment: </w:t>
      </w:r>
      <w:r w:rsidR="004E1A45" w:rsidRPr="00F72786">
        <w:rPr>
          <w:rFonts w:asciiTheme="minorHAnsi" w:hAnsiTheme="minorHAnsi"/>
          <w:i/>
          <w:iCs/>
          <w:color w:val="auto"/>
          <w:sz w:val="20"/>
        </w:rPr>
        <w:t>“</w:t>
      </w:r>
      <w:r w:rsidR="00A53B04" w:rsidRPr="00F72786">
        <w:rPr>
          <w:rFonts w:asciiTheme="minorHAnsi" w:hAnsiTheme="minorHAnsi"/>
          <w:i/>
          <w:iCs/>
          <w:color w:val="auto"/>
          <w:sz w:val="20"/>
        </w:rPr>
        <w:t xml:space="preserve">Miners work in remote areas with limited state presence, they are mobile, and invest little in improving processing. GMD has limited capacities and resources to deal with the negative environmental and social impacts of ASM. The informal nature of ASM in Suriname and conflicting land and resource claims also result in significant tensions between ASM and largescale mining government. Gold is sold to gold shops, and a receipt is issued, but the receipt does not list the origin of the gold or the company responsible for mining it. Given the considerable size of the ASM sector nationally, stronger policies and systems for the collection, management and reinvestment of ASM revenues are needed. ASM is not addressed in the Mining Decree (1986), and legislative actions remain to be taken. In 2003, MNR and MINOS took joint responsibility for the Greenstone Belt Environmental Assessment and proposed an environmental management plan for ASM gold mining, but the results of this process have not been clearly reported (CIRDI, 2016). There remains no specific legislation governing the environmental impacts of ASM.  There is no national legislation on mercury use in the ASM sector, </w:t>
      </w:r>
      <w:r w:rsidR="00703E73" w:rsidRPr="00F72786">
        <w:rPr>
          <w:rFonts w:asciiTheme="minorHAnsi" w:hAnsiTheme="minorHAnsi"/>
          <w:i/>
          <w:iCs/>
          <w:color w:val="auto"/>
          <w:sz w:val="20"/>
        </w:rPr>
        <w:t xml:space="preserve">although </w:t>
      </w:r>
      <w:r w:rsidR="00A53B04" w:rsidRPr="00F72786">
        <w:rPr>
          <w:rFonts w:asciiTheme="minorHAnsi" w:hAnsiTheme="minorHAnsi"/>
          <w:i/>
          <w:iCs/>
          <w:color w:val="auto"/>
          <w:sz w:val="20"/>
        </w:rPr>
        <w:t>the government has ratif</w:t>
      </w:r>
      <w:r w:rsidR="00703E73" w:rsidRPr="00F72786">
        <w:rPr>
          <w:rFonts w:asciiTheme="minorHAnsi" w:hAnsiTheme="minorHAnsi"/>
          <w:i/>
          <w:iCs/>
          <w:color w:val="auto"/>
          <w:sz w:val="20"/>
        </w:rPr>
        <w:t>ied</w:t>
      </w:r>
      <w:r w:rsidR="00A53B04" w:rsidRPr="00F72786">
        <w:rPr>
          <w:rFonts w:asciiTheme="minorHAnsi" w:hAnsiTheme="minorHAnsi"/>
          <w:i/>
          <w:iCs/>
          <w:color w:val="auto"/>
          <w:sz w:val="20"/>
        </w:rPr>
        <w:t xml:space="preserve"> the Minamata Convention on Mercury. In the absence of such legislation, the ASM sector will continue to use mercury, as it is cheap and easy to use in processing and the long-term health impacts are not as pressing at the short-term livelihood benefits. The choice between immediate work and future health is, for many, an easy one. While mercury imports technically require a license, none have been granted in the past 20 years, and the substance remains highly accessible with no regulations.</w:t>
      </w:r>
      <w:r w:rsidR="00221D80" w:rsidRPr="00F72786">
        <w:rPr>
          <w:rFonts w:asciiTheme="minorHAnsi" w:hAnsiTheme="minorHAnsi"/>
          <w:i/>
          <w:iCs/>
          <w:color w:val="auto"/>
          <w:sz w:val="20"/>
        </w:rPr>
        <w:t>”</w:t>
      </w:r>
      <w:r w:rsidR="00221D80">
        <w:rPr>
          <w:rStyle w:val="FootnoteReference"/>
          <w:rFonts w:asciiTheme="minorHAnsi" w:hAnsiTheme="minorHAnsi"/>
          <w:color w:val="auto"/>
          <w:sz w:val="20"/>
        </w:rPr>
        <w:footnoteReference w:id="20"/>
      </w:r>
      <w:r w:rsidR="00A53B04" w:rsidRPr="00894701">
        <w:rPr>
          <w:rFonts w:asciiTheme="minorHAnsi" w:hAnsiTheme="minorHAnsi"/>
          <w:color w:val="auto"/>
          <w:sz w:val="20"/>
        </w:rPr>
        <w:t xml:space="preserve"> </w:t>
      </w:r>
    </w:p>
    <w:p w14:paraId="4C2FAA14" w14:textId="72F4D122" w:rsidR="00A53B04" w:rsidRPr="008F7932" w:rsidRDefault="00A53B04" w:rsidP="00682021">
      <w:pPr>
        <w:spacing w:after="0" w:line="240" w:lineRule="auto"/>
        <w:rPr>
          <w:rFonts w:asciiTheme="minorHAnsi" w:eastAsiaTheme="minorHAnsi" w:hAnsiTheme="minorHAnsi" w:cs="TrebuchetMS-Bold"/>
          <w:b/>
          <w:bCs/>
          <w:color w:val="auto"/>
          <w:kern w:val="0"/>
          <w:sz w:val="20"/>
          <w:szCs w:val="20"/>
          <w:u w:val="single"/>
          <w:lang w:eastAsia="en-US"/>
        </w:rPr>
      </w:pPr>
      <w:r w:rsidRPr="008F7932">
        <w:rPr>
          <w:rFonts w:asciiTheme="minorHAnsi" w:eastAsiaTheme="minorHAnsi" w:hAnsiTheme="minorHAnsi" w:cs="TrebuchetMS-Bold"/>
          <w:b/>
          <w:bCs/>
          <w:color w:val="auto"/>
          <w:kern w:val="0"/>
          <w:sz w:val="20"/>
          <w:szCs w:val="20"/>
          <w:u w:val="single"/>
          <w:lang w:eastAsia="en-US"/>
        </w:rPr>
        <w:t xml:space="preserve">Artisanal Gold export procedure </w:t>
      </w:r>
    </w:p>
    <w:p w14:paraId="5B9C8C44" w14:textId="336307AF" w:rsidR="00A53B04" w:rsidRPr="00894701" w:rsidRDefault="00A53B04" w:rsidP="00A53B04">
      <w:pPr>
        <w:spacing w:before="120"/>
        <w:jc w:val="both"/>
        <w:rPr>
          <w:rFonts w:asciiTheme="minorHAnsi" w:hAnsiTheme="minorHAnsi"/>
          <w:color w:val="auto"/>
          <w:sz w:val="20"/>
        </w:rPr>
      </w:pPr>
      <w:r w:rsidRPr="00894701">
        <w:rPr>
          <w:rFonts w:asciiTheme="minorHAnsi" w:hAnsiTheme="minorHAnsi"/>
          <w:color w:val="auto"/>
          <w:sz w:val="20"/>
        </w:rPr>
        <w:t xml:space="preserve">Small and medium size gold mining companies do not export their products but sell them to local buyers instead. These local buyers sell the gold bought from various local gold miners/suppliers to the licensed exporter(s) of gold. </w:t>
      </w:r>
    </w:p>
    <w:p w14:paraId="1FBE0617" w14:textId="0F50E66C" w:rsidR="00A53B04" w:rsidRPr="00894701" w:rsidRDefault="00A53B04" w:rsidP="001851B2">
      <w:pPr>
        <w:pStyle w:val="BodyText"/>
        <w:jc w:val="both"/>
      </w:pPr>
      <w:r w:rsidRPr="00894701">
        <w:rPr>
          <w:rFonts w:asciiTheme="minorHAnsi" w:hAnsiTheme="minorHAnsi"/>
          <w:color w:val="auto"/>
          <w:sz w:val="20"/>
        </w:rPr>
        <w:t>Royalty fees are collected from the exports of gold undertaken by licensed gold export companies. Small and medium size min</w:t>
      </w:r>
      <w:r w:rsidR="00E21BD5">
        <w:rPr>
          <w:rFonts w:asciiTheme="minorHAnsi" w:hAnsiTheme="minorHAnsi"/>
          <w:color w:val="auto"/>
          <w:sz w:val="20"/>
        </w:rPr>
        <w:t>ing companies</w:t>
      </w:r>
      <w:r w:rsidRPr="00894701">
        <w:rPr>
          <w:rFonts w:asciiTheme="minorHAnsi" w:hAnsiTheme="minorHAnsi"/>
          <w:color w:val="auto"/>
          <w:sz w:val="20"/>
        </w:rPr>
        <w:t xml:space="preserve"> therefore, do not pay royalty fees directly to the Government but pay these fees to the buyers. These buyers and exporter(s) are not holders of mining rights (gold miners) and therefore do not operate under the Mining Decree or a special Mining Agreement. The license granting the right to export gold is a special category license and is issued by the Foreign Exchange Commission. Royalty payments at the point of export are deposited in the bank account of the State at the Central Bank of Suriname (CBoS).</w:t>
      </w:r>
    </w:p>
    <w:p w14:paraId="57FC5DB8" w14:textId="77777777" w:rsidR="00A53B04" w:rsidRPr="00894701" w:rsidRDefault="00A53B04" w:rsidP="00A834A8">
      <w:pPr>
        <w:pStyle w:val="AltMinorHeading"/>
        <w:numPr>
          <w:ilvl w:val="2"/>
          <w:numId w:val="58"/>
        </w:numPr>
        <w:tabs>
          <w:tab w:val="num" w:pos="360"/>
        </w:tabs>
        <w:ind w:left="0" w:firstLine="0"/>
        <w:rPr>
          <w:szCs w:val="28"/>
        </w:rPr>
      </w:pPr>
      <w:bookmarkStart w:id="125" w:name="_Toc122478851"/>
      <w:r w:rsidRPr="00894701">
        <w:rPr>
          <w:szCs w:val="28"/>
        </w:rPr>
        <w:t>Context of oil &amp; gas sector</w:t>
      </w:r>
      <w:bookmarkEnd w:id="125"/>
      <w:r w:rsidRPr="00894701">
        <w:rPr>
          <w:szCs w:val="28"/>
        </w:rPr>
        <w:t xml:space="preserve"> </w:t>
      </w:r>
    </w:p>
    <w:p w14:paraId="07A452FC" w14:textId="77777777" w:rsidR="00A53B04" w:rsidRPr="00894701" w:rsidRDefault="00A53B04" w:rsidP="00A53B04">
      <w:pPr>
        <w:pStyle w:val="AltMinorSubHeading"/>
        <w:spacing w:before="0" w:after="120"/>
      </w:pPr>
      <w:bookmarkStart w:id="126" w:name="_Toc101349945"/>
      <w:bookmarkStart w:id="127" w:name="_Toc122478852"/>
      <w:r w:rsidRPr="00894701">
        <w:t xml:space="preserve">3.1.2.(a) Petroleum exploration history in </w:t>
      </w:r>
      <w:bookmarkEnd w:id="126"/>
      <w:r w:rsidRPr="00894701">
        <w:t>Suriname</w:t>
      </w:r>
      <w:bookmarkEnd w:id="127"/>
    </w:p>
    <w:p w14:paraId="461039AE" w14:textId="69FC6E49" w:rsidR="00A53B04" w:rsidRPr="00894701" w:rsidRDefault="00A53B04" w:rsidP="00A53B04">
      <w:pPr>
        <w:spacing w:before="120" w:line="240" w:lineRule="auto"/>
        <w:jc w:val="both"/>
        <w:rPr>
          <w:rFonts w:asciiTheme="minorHAnsi" w:hAnsiTheme="minorHAnsi"/>
          <w:color w:val="auto"/>
          <w:sz w:val="20"/>
          <w:szCs w:val="20"/>
          <w:lang w:eastAsia="fr-FR"/>
        </w:rPr>
      </w:pPr>
      <w:r w:rsidRPr="00894701">
        <w:rPr>
          <w:rFonts w:asciiTheme="minorHAnsi" w:hAnsiTheme="minorHAnsi"/>
          <w:color w:val="auto"/>
          <w:sz w:val="20"/>
          <w:szCs w:val="20"/>
          <w:lang w:eastAsia="fr-FR"/>
        </w:rPr>
        <w:t xml:space="preserve">The Hydrocarbon industry started in the late 1920s, when the entire coastal plain area was investigated through shallow drilling (&lt;1500 m), with the GMD, Shell and Elf as main operators. These activities did not result in a commercial discovery, although a few Hydrocarbon occurrences were found in the 1960s.  </w:t>
      </w:r>
    </w:p>
    <w:p w14:paraId="7781A186" w14:textId="77777777" w:rsidR="00A53B04" w:rsidRPr="00894701" w:rsidRDefault="00A53B04" w:rsidP="00A53B04">
      <w:pPr>
        <w:pStyle w:val="AltMinorSubHeading"/>
        <w:spacing w:before="120" w:after="120"/>
      </w:pPr>
      <w:bookmarkStart w:id="128" w:name="_Toc122478853"/>
      <w:r w:rsidRPr="00894701">
        <w:t>3.1.2.(b) Geological overview</w:t>
      </w:r>
      <w:bookmarkEnd w:id="128"/>
    </w:p>
    <w:p w14:paraId="431E7F4D" w14:textId="141FDC50" w:rsidR="00A53B04" w:rsidRPr="00894701" w:rsidRDefault="00A53B04" w:rsidP="00A53B04">
      <w:pPr>
        <w:spacing w:before="120" w:line="240" w:lineRule="auto"/>
        <w:jc w:val="both"/>
        <w:rPr>
          <w:rFonts w:asciiTheme="minorHAnsi" w:hAnsiTheme="minorHAnsi"/>
          <w:color w:val="auto"/>
          <w:sz w:val="20"/>
          <w:szCs w:val="20"/>
          <w:lang w:eastAsia="fr-FR"/>
        </w:rPr>
      </w:pPr>
      <w:r w:rsidRPr="00894701">
        <w:rPr>
          <w:rFonts w:asciiTheme="minorHAnsi" w:hAnsiTheme="minorHAnsi"/>
          <w:color w:val="auto"/>
          <w:sz w:val="20"/>
          <w:szCs w:val="20"/>
          <w:lang w:eastAsia="fr-FR"/>
        </w:rPr>
        <w:lastRenderedPageBreak/>
        <w:t xml:space="preserve">Between 1970 and 1983, some seismic surveys were executed, and 18 wells were drilled. The operators were Gulf Hydrocarbon, ExxonMobil, Shell, and Elf-Aquitaine. While most of the wells were in shallow water, and of limited penetration depth, a few very daring and costly wells were completed in this period. The ExxonMobil A-2 well was drilled in 1200m deep water to 4200m depth while North Coroni-1 set the depth record in Suriname waters at 5,406m. </w:t>
      </w:r>
    </w:p>
    <w:p w14:paraId="04067CED" w14:textId="12BA968B" w:rsidR="00A53B04" w:rsidRPr="00894701" w:rsidRDefault="00A53B04" w:rsidP="00A53B04">
      <w:pPr>
        <w:spacing w:before="120" w:line="240" w:lineRule="auto"/>
        <w:jc w:val="both"/>
        <w:rPr>
          <w:rFonts w:asciiTheme="minorHAnsi" w:hAnsiTheme="minorHAnsi"/>
          <w:color w:val="auto"/>
          <w:sz w:val="20"/>
          <w:szCs w:val="20"/>
          <w:lang w:eastAsia="fr-FR"/>
        </w:rPr>
      </w:pPr>
      <w:r w:rsidRPr="00894701">
        <w:rPr>
          <w:rFonts w:asciiTheme="minorHAnsi" w:hAnsiTheme="minorHAnsi"/>
          <w:color w:val="auto"/>
          <w:sz w:val="20"/>
          <w:szCs w:val="20"/>
          <w:lang w:eastAsia="fr-FR"/>
        </w:rPr>
        <w:t xml:space="preserve">With the establishment of Staatsolie Maatschappij Suriname NV (Staatsolie) in December 1980, a big step was made in the development of the Hydrocarbon industry. Staatsolie was to execute the new Hydrocarbon policy on behalf of the Republic of Suriname (the sole shareholder). According to the concession agreement Decree E-8B (Official Gazette 1981 no 59), Staatsolie was granted exclusive rights to hydrocarbons. This right was later confirmed in the Mining Decree (Official Gazette 1986 no 8). </w:t>
      </w:r>
    </w:p>
    <w:p w14:paraId="07F33C4F" w14:textId="77777777" w:rsidR="00A53B04" w:rsidRPr="00894701" w:rsidRDefault="00A53B04" w:rsidP="00A53B04">
      <w:pPr>
        <w:pStyle w:val="AltMinorSubHeading"/>
        <w:spacing w:before="120" w:after="120"/>
      </w:pPr>
      <w:bookmarkStart w:id="129" w:name="_Toc101349946"/>
      <w:bookmarkStart w:id="130" w:name="_Toc122478854"/>
      <w:r w:rsidRPr="00894701">
        <w:t xml:space="preserve">3.1.2.(c) The main Oil &amp; Gas exploration players in </w:t>
      </w:r>
      <w:bookmarkEnd w:id="129"/>
      <w:r w:rsidRPr="00894701">
        <w:t>Suriname</w:t>
      </w:r>
      <w:bookmarkEnd w:id="130"/>
    </w:p>
    <w:p w14:paraId="195D5C9F" w14:textId="77777777" w:rsidR="00A53B04" w:rsidRPr="00894701" w:rsidRDefault="00A53B04" w:rsidP="00A53B04">
      <w:pPr>
        <w:spacing w:before="120" w:line="240" w:lineRule="auto"/>
        <w:jc w:val="both"/>
        <w:rPr>
          <w:rFonts w:asciiTheme="minorHAnsi" w:hAnsiTheme="minorHAnsi"/>
          <w:color w:val="auto"/>
          <w:sz w:val="20"/>
          <w:szCs w:val="20"/>
          <w:lang w:eastAsia="fr-FR"/>
        </w:rPr>
      </w:pPr>
      <w:r w:rsidRPr="00894701">
        <w:rPr>
          <w:rFonts w:asciiTheme="minorHAnsi" w:hAnsiTheme="minorHAnsi"/>
          <w:color w:val="auto"/>
          <w:sz w:val="20"/>
          <w:szCs w:val="20"/>
          <w:lang w:eastAsia="fr-FR"/>
        </w:rPr>
        <w:t xml:space="preserve">Only State-owned enterprises can get the mining rights for hydrocarbons. Hydrocarbon and gas companies can operate in Suriname through a petroleum agreement with Staatsolie. </w:t>
      </w:r>
    </w:p>
    <w:p w14:paraId="2DB702E6" w14:textId="5DACCDBC" w:rsidR="00A53B04" w:rsidRPr="00894701" w:rsidRDefault="00A53B04" w:rsidP="00A53B04">
      <w:pPr>
        <w:spacing w:before="120" w:line="240" w:lineRule="auto"/>
        <w:jc w:val="both"/>
        <w:rPr>
          <w:rFonts w:asciiTheme="minorHAnsi" w:hAnsiTheme="minorHAnsi"/>
          <w:color w:val="auto"/>
          <w:sz w:val="20"/>
          <w:szCs w:val="20"/>
          <w:lang w:eastAsia="fr-FR"/>
        </w:rPr>
      </w:pPr>
      <w:r w:rsidRPr="00894701">
        <w:rPr>
          <w:rFonts w:asciiTheme="minorHAnsi" w:hAnsiTheme="minorHAnsi"/>
          <w:color w:val="auto"/>
          <w:sz w:val="20"/>
          <w:szCs w:val="20"/>
          <w:lang w:eastAsia="fr-FR"/>
        </w:rPr>
        <w:t xml:space="preserve">In 1980, to gain the necessary knowledge and experience, the first Managing Director, decided to exploit the Hydrocarbon discoveries in Saramacca. After a successful drilling campaign, the first commercial production started on 25 November1982. From then on, several milestones have been reached. Staatsolie has focused on the exploration of the nearshore blocks based on data gathered till 2015. In block 4 a geological and geophysical evaluation was carried out in 2016. Additional drilling is required before economical volumes can be realized. </w:t>
      </w:r>
    </w:p>
    <w:p w14:paraId="60F701CD" w14:textId="77777777" w:rsidR="00A53B04" w:rsidRPr="00894701" w:rsidRDefault="00A53B04" w:rsidP="00A53B04">
      <w:pPr>
        <w:spacing w:before="120" w:line="240" w:lineRule="auto"/>
        <w:jc w:val="both"/>
        <w:rPr>
          <w:rFonts w:asciiTheme="minorHAnsi" w:hAnsiTheme="minorHAnsi"/>
          <w:color w:val="auto"/>
          <w:sz w:val="20"/>
          <w:szCs w:val="20"/>
          <w:lang w:eastAsia="fr-FR"/>
        </w:rPr>
      </w:pPr>
      <w:r w:rsidRPr="00894701">
        <w:rPr>
          <w:rFonts w:asciiTheme="minorHAnsi" w:hAnsiTheme="minorHAnsi"/>
          <w:color w:val="auto"/>
          <w:sz w:val="20"/>
          <w:szCs w:val="20"/>
          <w:lang w:eastAsia="fr-FR"/>
        </w:rPr>
        <w:t xml:space="preserve">As the nearshore activities will start a close cooperation with the Maritieme Authoriteit Suriname (Maritime Authority Suriname) will be requested as well e.g. security and monitoring and technical purposes. </w:t>
      </w:r>
    </w:p>
    <w:p w14:paraId="7F0D03EA" w14:textId="77777777" w:rsidR="00A53B04" w:rsidRPr="00894701" w:rsidRDefault="00A53B04" w:rsidP="00A53B04">
      <w:pPr>
        <w:spacing w:before="120" w:line="240" w:lineRule="auto"/>
        <w:jc w:val="both"/>
        <w:rPr>
          <w:rFonts w:asciiTheme="minorHAnsi" w:hAnsiTheme="minorHAnsi"/>
          <w:color w:val="auto"/>
          <w:sz w:val="20"/>
          <w:szCs w:val="20"/>
          <w:lang w:eastAsia="fr-FR"/>
        </w:rPr>
      </w:pPr>
      <w:r w:rsidRPr="00894701">
        <w:rPr>
          <w:rFonts w:asciiTheme="minorHAnsi" w:hAnsiTheme="minorHAnsi"/>
          <w:color w:val="auto"/>
          <w:sz w:val="20"/>
          <w:szCs w:val="20"/>
          <w:lang w:eastAsia="fr-FR"/>
        </w:rPr>
        <w:t xml:space="preserve">The offshore area is demarcated into blocks. Staatsolie acts as an agent of the Republic of Suriname with respect to oversight and contracting in the petroleum industry. Staatsolie has been granted the exclusive right to explore for, develop and produce petroleum onshore and offshore.  </w:t>
      </w:r>
    </w:p>
    <w:p w14:paraId="5A9BB4BE" w14:textId="77777777" w:rsidR="00F82D2E" w:rsidRPr="00894701" w:rsidRDefault="00A53B04" w:rsidP="00A53B04">
      <w:pPr>
        <w:spacing w:before="120" w:line="240" w:lineRule="auto"/>
        <w:jc w:val="both"/>
        <w:rPr>
          <w:rFonts w:asciiTheme="minorHAnsi" w:hAnsiTheme="minorHAnsi"/>
          <w:color w:val="auto"/>
          <w:sz w:val="20"/>
          <w:szCs w:val="20"/>
          <w:lang w:eastAsia="fr-FR"/>
        </w:rPr>
      </w:pPr>
      <w:r w:rsidRPr="00894701">
        <w:rPr>
          <w:rFonts w:asciiTheme="minorHAnsi" w:hAnsiTheme="minorHAnsi"/>
          <w:color w:val="auto"/>
          <w:sz w:val="20"/>
          <w:szCs w:val="20"/>
          <w:lang w:eastAsia="fr-FR"/>
        </w:rPr>
        <w:t xml:space="preserve">O&amp;G companies interested in executing petroleum operations in Suriname can do so based on Article 5 of Petroleum Law 1990 (SB 1991/7). According to this article, Staatsolie can sign petroleum agreements with third parties after approval from the MONR. Through the petroleum agreement, Staatsolie transfers its rights to explore, develop and produce hydrocarbons in a contract area (Block) to a contractor (IOC). </w:t>
      </w:r>
    </w:p>
    <w:p w14:paraId="76516FCB" w14:textId="77777777" w:rsidR="00A53B04" w:rsidRPr="00894701" w:rsidRDefault="00A53B04" w:rsidP="00A53B04">
      <w:pPr>
        <w:pStyle w:val="AltMinorSubHeading"/>
        <w:spacing w:before="0" w:after="120"/>
      </w:pPr>
      <w:bookmarkStart w:id="131" w:name="_Toc101349947"/>
      <w:bookmarkStart w:id="132" w:name="_Toc122478855"/>
      <w:r w:rsidRPr="00894701">
        <w:t>3.1.2.(d) Prospecting licenses and blocks in the oil and gas sector</w:t>
      </w:r>
      <w:bookmarkEnd w:id="131"/>
      <w:bookmarkEnd w:id="132"/>
    </w:p>
    <w:p w14:paraId="2D3AA360" w14:textId="242524E7" w:rsidR="00A53B04" w:rsidRPr="00894701" w:rsidRDefault="00A53B04" w:rsidP="00A53B04">
      <w:pPr>
        <w:spacing w:before="120" w:line="240" w:lineRule="auto"/>
        <w:jc w:val="both"/>
        <w:rPr>
          <w:rFonts w:asciiTheme="minorHAnsi" w:hAnsiTheme="minorHAnsi"/>
          <w:color w:val="auto"/>
          <w:sz w:val="20"/>
          <w:szCs w:val="20"/>
          <w:lang w:eastAsia="fr-FR"/>
        </w:rPr>
      </w:pPr>
      <w:r w:rsidRPr="00894701">
        <w:rPr>
          <w:rFonts w:asciiTheme="minorHAnsi" w:hAnsiTheme="minorHAnsi"/>
          <w:color w:val="auto"/>
          <w:sz w:val="20"/>
          <w:szCs w:val="20"/>
          <w:lang w:eastAsia="fr-FR"/>
        </w:rPr>
        <w:t xml:space="preserve">The map below shows the active petroleum blocks by the operator in the fiscal year 2018, 2019 and 2020. </w:t>
      </w:r>
    </w:p>
    <w:p w14:paraId="73BC01AA" w14:textId="745A812B" w:rsidR="00757096" w:rsidRPr="00894701" w:rsidRDefault="00757096" w:rsidP="00312877">
      <w:pPr>
        <w:jc w:val="center"/>
        <w:rPr>
          <w:rFonts w:asciiTheme="majorHAnsi" w:hAnsiTheme="majorHAnsi"/>
          <w:b/>
          <w:i/>
          <w:iCs/>
          <w:sz w:val="20"/>
          <w:szCs w:val="20"/>
        </w:rPr>
      </w:pPr>
      <w:bookmarkStart w:id="133" w:name="_Toc146590574"/>
      <w:r w:rsidRPr="00894701">
        <w:rPr>
          <w:rFonts w:asciiTheme="majorHAnsi" w:hAnsiTheme="majorHAnsi"/>
          <w:b/>
          <w:i/>
          <w:iCs/>
          <w:sz w:val="20"/>
          <w:szCs w:val="20"/>
        </w:rPr>
        <w:t xml:space="preserve">Figure </w:t>
      </w:r>
      <w:r w:rsidRPr="00894701">
        <w:rPr>
          <w:rFonts w:asciiTheme="majorHAnsi" w:hAnsiTheme="majorHAnsi"/>
          <w:b/>
          <w:i/>
          <w:iCs/>
          <w:sz w:val="20"/>
          <w:szCs w:val="20"/>
        </w:rPr>
        <w:fldChar w:fldCharType="begin"/>
      </w:r>
      <w:r w:rsidRPr="00894701">
        <w:rPr>
          <w:rFonts w:asciiTheme="majorHAnsi" w:hAnsiTheme="majorHAnsi"/>
          <w:b/>
          <w:i/>
          <w:iCs/>
          <w:sz w:val="20"/>
          <w:szCs w:val="20"/>
        </w:rPr>
        <w:instrText xml:space="preserve"> SEQ Figure \* ARABIC </w:instrText>
      </w:r>
      <w:r w:rsidRPr="00894701">
        <w:rPr>
          <w:rFonts w:asciiTheme="majorHAnsi" w:hAnsiTheme="majorHAnsi"/>
          <w:b/>
          <w:i/>
          <w:iCs/>
          <w:sz w:val="20"/>
          <w:szCs w:val="20"/>
        </w:rPr>
        <w:fldChar w:fldCharType="separate"/>
      </w:r>
      <w:r w:rsidR="0035303B">
        <w:rPr>
          <w:rFonts w:asciiTheme="majorHAnsi" w:hAnsiTheme="majorHAnsi"/>
          <w:b/>
          <w:i/>
          <w:iCs/>
          <w:noProof/>
          <w:sz w:val="20"/>
          <w:szCs w:val="20"/>
        </w:rPr>
        <w:t>9</w:t>
      </w:r>
      <w:r w:rsidRPr="00894701">
        <w:rPr>
          <w:rFonts w:asciiTheme="majorHAnsi" w:hAnsiTheme="majorHAnsi"/>
          <w:b/>
          <w:i/>
          <w:iCs/>
          <w:sz w:val="20"/>
          <w:szCs w:val="20"/>
        </w:rPr>
        <w:fldChar w:fldCharType="end"/>
      </w:r>
      <w:r w:rsidRPr="00894701">
        <w:rPr>
          <w:rFonts w:asciiTheme="majorHAnsi" w:hAnsiTheme="majorHAnsi"/>
          <w:b/>
          <w:i/>
          <w:iCs/>
          <w:sz w:val="20"/>
          <w:szCs w:val="20"/>
        </w:rPr>
        <w:t>: Map showing the petroleum blocks in Suriname</w:t>
      </w:r>
      <w:bookmarkEnd w:id="133"/>
    </w:p>
    <w:p w14:paraId="7DC4BC1D" w14:textId="3FCEED26" w:rsidR="00D21F32" w:rsidRPr="00894701" w:rsidRDefault="004B6B07" w:rsidP="00D21F32">
      <w:pPr>
        <w:spacing w:before="120" w:line="240" w:lineRule="auto"/>
        <w:jc w:val="both"/>
        <w:rPr>
          <w:rFonts w:asciiTheme="minorHAnsi" w:hAnsiTheme="minorHAnsi"/>
          <w:color w:val="auto"/>
          <w:sz w:val="20"/>
          <w:szCs w:val="20"/>
          <w:lang w:eastAsia="fr-FR"/>
        </w:rPr>
      </w:pPr>
      <w:r w:rsidRPr="00894701">
        <w:rPr>
          <w:rFonts w:asciiTheme="minorHAnsi" w:hAnsiTheme="minorHAnsi"/>
          <w:noProof/>
          <w:lang w:val="en-US" w:eastAsia="en-US"/>
        </w:rPr>
        <w:drawing>
          <wp:inline distT="0" distB="0" distL="0" distR="0" wp14:anchorId="6F04FF41" wp14:editId="0DCF86BB">
            <wp:extent cx="4719484" cy="2710037"/>
            <wp:effectExtent l="0" t="0" r="508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0"/>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727987" cy="2714920"/>
                    </a:xfrm>
                    <a:prstGeom prst="rect">
                      <a:avLst/>
                    </a:prstGeom>
                    <a:noFill/>
                  </pic:spPr>
                </pic:pic>
              </a:graphicData>
            </a:graphic>
          </wp:inline>
        </w:drawing>
      </w:r>
    </w:p>
    <w:p w14:paraId="06E7D696" w14:textId="164EC60C" w:rsidR="00D21F32" w:rsidRPr="00894701" w:rsidRDefault="00D21F32" w:rsidP="00160187">
      <w:pPr>
        <w:spacing w:line="183" w:lineRule="exact"/>
        <w:ind w:left="142"/>
        <w:jc w:val="both"/>
        <w:rPr>
          <w:rFonts w:asciiTheme="minorHAnsi" w:hAnsiTheme="minorHAnsi"/>
          <w:color w:val="010302"/>
        </w:rPr>
      </w:pPr>
      <w:r w:rsidRPr="00894701">
        <w:rPr>
          <w:rFonts w:asciiTheme="minorHAnsi" w:hAnsiTheme="minorHAnsi" w:cs="TrebuchetMS-Italic"/>
          <w:i/>
          <w:iCs/>
          <w:color w:val="000000"/>
          <w:sz w:val="16"/>
          <w:szCs w:val="16"/>
        </w:rPr>
        <w:lastRenderedPageBreak/>
        <w:t>Source: Staatso</w:t>
      </w:r>
      <w:r w:rsidRPr="00894701">
        <w:rPr>
          <w:rFonts w:asciiTheme="minorHAnsi" w:hAnsiTheme="minorHAnsi" w:cs="TrebuchetMS-Italic"/>
          <w:i/>
          <w:iCs/>
          <w:color w:val="000000"/>
          <w:spacing w:val="-3"/>
          <w:sz w:val="16"/>
          <w:szCs w:val="16"/>
        </w:rPr>
        <w:t>l</w:t>
      </w:r>
      <w:r w:rsidRPr="00894701">
        <w:rPr>
          <w:rFonts w:asciiTheme="minorHAnsi" w:hAnsiTheme="minorHAnsi" w:cs="TrebuchetMS-Italic"/>
          <w:i/>
          <w:iCs/>
          <w:color w:val="000000"/>
          <w:sz w:val="16"/>
          <w:szCs w:val="16"/>
        </w:rPr>
        <w:t>i</w:t>
      </w:r>
      <w:r w:rsidRPr="00894701">
        <w:rPr>
          <w:rFonts w:asciiTheme="minorHAnsi" w:hAnsiTheme="minorHAnsi" w:cs="TrebuchetMS-Italic"/>
          <w:i/>
          <w:iCs/>
          <w:color w:val="000000"/>
          <w:spacing w:val="-2"/>
          <w:sz w:val="16"/>
          <w:szCs w:val="16"/>
        </w:rPr>
        <w:t>e</w:t>
      </w:r>
      <w:r w:rsidR="00206BA2" w:rsidRPr="00894701">
        <w:rPr>
          <w:rFonts w:asciiTheme="minorHAnsi" w:hAnsiTheme="minorHAnsi" w:cs="TrebuchetMS-Italic"/>
          <w:i/>
          <w:iCs/>
          <w:color w:val="000000"/>
          <w:sz w:val="16"/>
          <w:szCs w:val="16"/>
        </w:rPr>
        <w:t xml:space="preserve"> </w:t>
      </w:r>
    </w:p>
    <w:p w14:paraId="72411706" w14:textId="5EF3A125" w:rsidR="00DC3841" w:rsidRPr="00894701" w:rsidRDefault="005973BB" w:rsidP="00C31130">
      <w:pPr>
        <w:spacing w:before="120" w:line="240" w:lineRule="auto"/>
        <w:jc w:val="both"/>
        <w:rPr>
          <w:rFonts w:asciiTheme="minorHAnsi" w:hAnsiTheme="minorHAnsi" w:cs="TrebuchetMS"/>
          <w:color w:val="000000"/>
          <w:sz w:val="20"/>
          <w:szCs w:val="20"/>
        </w:rPr>
      </w:pPr>
      <w:r w:rsidRPr="00894701">
        <w:rPr>
          <w:rFonts w:asciiTheme="minorHAnsi" w:hAnsiTheme="minorHAnsi" w:cs="TrebuchetMS"/>
          <w:color w:val="000000"/>
          <w:spacing w:val="-8"/>
          <w:sz w:val="20"/>
          <w:szCs w:val="20"/>
        </w:rPr>
        <w:t xml:space="preserve"> T</w:t>
      </w:r>
      <w:r w:rsidRPr="00894701">
        <w:rPr>
          <w:rFonts w:asciiTheme="minorHAnsi" w:hAnsiTheme="minorHAnsi" w:cs="TrebuchetMS"/>
          <w:color w:val="000000"/>
          <w:sz w:val="20"/>
          <w:szCs w:val="20"/>
        </w:rPr>
        <w:t xml:space="preserve">he table below shows the crude production in barrels during the years 2018, 2019 and 2020: </w:t>
      </w:r>
      <w:r w:rsidR="00206BA2" w:rsidRPr="00894701">
        <w:rPr>
          <w:rFonts w:asciiTheme="minorHAnsi" w:hAnsiTheme="minorHAnsi" w:cs="TrebuchetMS"/>
          <w:color w:val="000000"/>
          <w:sz w:val="20"/>
          <w:szCs w:val="20"/>
        </w:rPr>
        <w:t xml:space="preserve"> </w:t>
      </w:r>
    </w:p>
    <w:p w14:paraId="47CE6BB3" w14:textId="00C26A65" w:rsidR="00C02704" w:rsidRPr="00894701" w:rsidRDefault="00C02704" w:rsidP="00160187">
      <w:pPr>
        <w:pStyle w:val="BodyText"/>
        <w:spacing w:after="0"/>
        <w:ind w:left="426"/>
        <w:jc w:val="center"/>
        <w:rPr>
          <w:rFonts w:asciiTheme="majorHAnsi" w:hAnsiTheme="majorHAnsi"/>
          <w:b/>
          <w:bCs/>
          <w:color w:val="98002E" w:themeColor="accent3"/>
          <w:sz w:val="20"/>
        </w:rPr>
      </w:pPr>
      <w:bookmarkStart w:id="134" w:name="_Toc93095204"/>
      <w:bookmarkStart w:id="135" w:name="_Toc146590485"/>
      <w:r w:rsidRPr="00894701">
        <w:rPr>
          <w:rFonts w:asciiTheme="majorHAnsi" w:hAnsiTheme="majorHAnsi"/>
          <w:b/>
          <w:bCs/>
          <w:color w:val="98002E" w:themeColor="accent3"/>
          <w:sz w:val="20"/>
        </w:rPr>
        <w:t xml:space="preserve">Table </w:t>
      </w:r>
      <w:r w:rsidRPr="00894701">
        <w:rPr>
          <w:rFonts w:asciiTheme="majorHAnsi" w:hAnsiTheme="majorHAnsi"/>
          <w:b/>
          <w:bCs/>
          <w:color w:val="98002E" w:themeColor="accent3"/>
          <w:sz w:val="20"/>
        </w:rPr>
        <w:fldChar w:fldCharType="begin"/>
      </w:r>
      <w:r w:rsidRPr="00894701">
        <w:rPr>
          <w:rFonts w:asciiTheme="majorHAnsi" w:hAnsiTheme="majorHAnsi"/>
          <w:b/>
          <w:bCs/>
          <w:color w:val="98002E" w:themeColor="accent3"/>
          <w:sz w:val="20"/>
        </w:rPr>
        <w:instrText xml:space="preserve"> SEQ Table \* ARABIC </w:instrText>
      </w:r>
      <w:r w:rsidRPr="00894701">
        <w:rPr>
          <w:rFonts w:asciiTheme="majorHAnsi" w:hAnsiTheme="majorHAnsi"/>
          <w:b/>
          <w:bCs/>
          <w:color w:val="98002E" w:themeColor="accent3"/>
          <w:sz w:val="20"/>
        </w:rPr>
        <w:fldChar w:fldCharType="separate"/>
      </w:r>
      <w:r w:rsidR="0035303B">
        <w:rPr>
          <w:rFonts w:asciiTheme="majorHAnsi" w:hAnsiTheme="majorHAnsi"/>
          <w:b/>
          <w:bCs/>
          <w:noProof/>
          <w:color w:val="98002E" w:themeColor="accent3"/>
          <w:sz w:val="20"/>
        </w:rPr>
        <w:t>13</w:t>
      </w:r>
      <w:r w:rsidRPr="00894701">
        <w:rPr>
          <w:rFonts w:asciiTheme="majorHAnsi" w:hAnsiTheme="majorHAnsi"/>
          <w:b/>
          <w:bCs/>
          <w:color w:val="98002E" w:themeColor="accent3"/>
          <w:sz w:val="20"/>
        </w:rPr>
        <w:fldChar w:fldCharType="end"/>
      </w:r>
      <w:r w:rsidRPr="00894701">
        <w:rPr>
          <w:rFonts w:asciiTheme="majorHAnsi" w:hAnsiTheme="majorHAnsi"/>
          <w:b/>
          <w:bCs/>
          <w:color w:val="98002E" w:themeColor="accent3"/>
          <w:sz w:val="20"/>
        </w:rPr>
        <w:t>:</w:t>
      </w:r>
      <w:bookmarkEnd w:id="134"/>
      <w:r w:rsidRPr="00894701">
        <w:rPr>
          <w:rFonts w:asciiTheme="majorHAnsi" w:hAnsiTheme="majorHAnsi"/>
          <w:b/>
          <w:bCs/>
          <w:color w:val="98002E" w:themeColor="accent3"/>
          <w:sz w:val="20"/>
        </w:rPr>
        <w:t xml:space="preserve"> Crude oil production period</w:t>
      </w:r>
      <w:bookmarkEnd w:id="135"/>
    </w:p>
    <w:tbl>
      <w:tblPr>
        <w:tblStyle w:val="TableGrid"/>
        <w:tblpPr w:vertAnchor="text" w:horzAnchor="margin" w:tblpXSpec="center" w:tblpY="14"/>
        <w:tblOverlap w:val="never"/>
        <w:tblW w:w="5000" w:type="pct"/>
        <w:tblLook w:val="04A0" w:firstRow="1" w:lastRow="0" w:firstColumn="1" w:lastColumn="0" w:noHBand="0" w:noVBand="1"/>
      </w:tblPr>
      <w:tblGrid>
        <w:gridCol w:w="2420"/>
        <w:gridCol w:w="6630"/>
      </w:tblGrid>
      <w:tr w:rsidR="00DC3841" w:rsidRPr="00894701" w14:paraId="7E4F9B5E" w14:textId="77777777" w:rsidTr="00160187">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337" w:type="pct"/>
            <w:tcBorders>
              <w:bottom w:val="single" w:sz="4" w:space="0" w:color="F7A3B0"/>
            </w:tcBorders>
            <w:shd w:val="clear" w:color="auto" w:fill="7A091A"/>
            <w:vAlign w:val="center"/>
          </w:tcPr>
          <w:p w14:paraId="395074A5" w14:textId="6A740207" w:rsidR="00DC3841" w:rsidRPr="00894701" w:rsidRDefault="00DC3841" w:rsidP="00160187">
            <w:pPr>
              <w:spacing w:before="0" w:after="0"/>
              <w:ind w:left="52"/>
              <w:rPr>
                <w:rFonts w:asciiTheme="minorHAnsi" w:hAnsiTheme="minorHAnsi"/>
                <w:color w:val="010302"/>
              </w:rPr>
            </w:pPr>
            <w:r w:rsidRPr="00894701">
              <w:rPr>
                <w:rFonts w:asciiTheme="minorHAnsi" w:hAnsiTheme="minorHAnsi" w:cs="TrebuchetMS-Bold"/>
                <w:b/>
                <w:bCs/>
                <w:color w:val="FFFFFF"/>
                <w:szCs w:val="18"/>
              </w:rPr>
              <w:t>Year</w:t>
            </w:r>
            <w:r w:rsidR="00206BA2" w:rsidRPr="00894701">
              <w:rPr>
                <w:rFonts w:asciiTheme="minorHAnsi" w:hAnsiTheme="minorHAnsi" w:cs="TrebuchetMS-Bold"/>
                <w:b/>
                <w:bCs/>
                <w:color w:val="FFFFFF"/>
                <w:szCs w:val="18"/>
              </w:rPr>
              <w:t xml:space="preserve"> </w:t>
            </w:r>
          </w:p>
        </w:tc>
        <w:tc>
          <w:tcPr>
            <w:tcW w:w="3663" w:type="pct"/>
            <w:tcBorders>
              <w:bottom w:val="single" w:sz="4" w:space="0" w:color="F7A3B0"/>
            </w:tcBorders>
            <w:shd w:val="clear" w:color="auto" w:fill="7A091A"/>
            <w:vAlign w:val="center"/>
          </w:tcPr>
          <w:p w14:paraId="5E97BD8C" w14:textId="3AF21DB6" w:rsidR="00DC3841" w:rsidRPr="00894701" w:rsidRDefault="00DC3841" w:rsidP="00160187">
            <w:pPr>
              <w:spacing w:before="0" w:after="0"/>
              <w:ind w:firstLine="70"/>
              <w:cnfStyle w:val="100000000000" w:firstRow="1" w:lastRow="0" w:firstColumn="0" w:lastColumn="0" w:oddVBand="0" w:evenVBand="0" w:oddHBand="0" w:evenHBand="0" w:firstRowFirstColumn="0" w:firstRowLastColumn="0" w:lastRowFirstColumn="0" w:lastRowLastColumn="0"/>
              <w:rPr>
                <w:rFonts w:asciiTheme="minorHAnsi" w:hAnsiTheme="minorHAnsi"/>
                <w:color w:val="010302"/>
              </w:rPr>
            </w:pPr>
            <w:r w:rsidRPr="00894701">
              <w:rPr>
                <w:rFonts w:asciiTheme="minorHAnsi" w:hAnsiTheme="minorHAnsi" w:cs="TrebuchetMS-Bold"/>
                <w:b/>
                <w:bCs/>
                <w:color w:val="FFFFFF"/>
                <w:szCs w:val="18"/>
              </w:rPr>
              <w:t>Total production in bbls mm</w:t>
            </w:r>
            <w:r w:rsidR="00206BA2" w:rsidRPr="00894701">
              <w:rPr>
                <w:rFonts w:asciiTheme="minorHAnsi" w:hAnsiTheme="minorHAnsi" w:cs="TrebuchetMS-Bold"/>
                <w:b/>
                <w:bCs/>
                <w:color w:val="FFFFFF"/>
                <w:szCs w:val="18"/>
              </w:rPr>
              <w:t xml:space="preserve"> </w:t>
            </w:r>
          </w:p>
        </w:tc>
      </w:tr>
      <w:tr w:rsidR="00DC3841" w:rsidRPr="00894701" w14:paraId="00895823" w14:textId="77777777" w:rsidTr="00160187">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337" w:type="pct"/>
            <w:tcBorders>
              <w:top w:val="single" w:sz="4" w:space="0" w:color="F7A3B0"/>
              <w:left w:val="nil"/>
              <w:bottom w:val="single" w:sz="4" w:space="0" w:color="F7A3B0"/>
              <w:right w:val="nil"/>
            </w:tcBorders>
            <w:shd w:val="clear" w:color="auto" w:fill="F7A3B0"/>
            <w:vAlign w:val="center"/>
          </w:tcPr>
          <w:p w14:paraId="4F085A7C" w14:textId="14B5F526" w:rsidR="00DC3841" w:rsidRPr="00894701" w:rsidRDefault="00DC3841" w:rsidP="00160187">
            <w:pPr>
              <w:spacing w:before="0" w:after="0"/>
              <w:ind w:left="52"/>
              <w:rPr>
                <w:rFonts w:asciiTheme="minorHAnsi" w:hAnsiTheme="minorHAnsi"/>
                <w:color w:val="010302"/>
              </w:rPr>
            </w:pPr>
            <w:r w:rsidRPr="00894701">
              <w:rPr>
                <w:rFonts w:asciiTheme="minorHAnsi" w:hAnsiTheme="minorHAnsi" w:cs="TrebuchetMS-Bold"/>
                <w:b/>
                <w:bCs/>
                <w:color w:val="000000"/>
                <w:szCs w:val="18"/>
              </w:rPr>
              <w:t>2018</w:t>
            </w:r>
            <w:r w:rsidR="00206BA2" w:rsidRPr="00894701">
              <w:rPr>
                <w:rFonts w:asciiTheme="minorHAnsi" w:hAnsiTheme="minorHAnsi" w:cs="TrebuchetMS-Bold"/>
                <w:b/>
                <w:bCs/>
                <w:color w:val="000000"/>
                <w:szCs w:val="18"/>
              </w:rPr>
              <w:t xml:space="preserve"> </w:t>
            </w:r>
          </w:p>
        </w:tc>
        <w:tc>
          <w:tcPr>
            <w:tcW w:w="3663" w:type="pct"/>
            <w:tcBorders>
              <w:top w:val="single" w:sz="4" w:space="0" w:color="F7A3B0"/>
              <w:left w:val="nil"/>
              <w:bottom w:val="single" w:sz="4" w:space="0" w:color="F7A3B0"/>
              <w:right w:val="nil"/>
            </w:tcBorders>
            <w:shd w:val="clear" w:color="auto" w:fill="F7A3B0"/>
            <w:vAlign w:val="center"/>
          </w:tcPr>
          <w:p w14:paraId="0E843246" w14:textId="11209735" w:rsidR="00DC3841" w:rsidRPr="00894701" w:rsidRDefault="00DC3841" w:rsidP="00160187">
            <w:pPr>
              <w:spacing w:before="0" w:after="0"/>
              <w:ind w:firstLine="881"/>
              <w:cnfStyle w:val="000000100000" w:firstRow="0" w:lastRow="0" w:firstColumn="0" w:lastColumn="0" w:oddVBand="0" w:evenVBand="0" w:oddHBand="1" w:evenHBand="0" w:firstRowFirstColumn="0" w:firstRowLastColumn="0" w:lastRowFirstColumn="0" w:lastRowLastColumn="0"/>
              <w:rPr>
                <w:rFonts w:asciiTheme="minorHAnsi" w:hAnsiTheme="minorHAnsi"/>
                <w:color w:val="010302"/>
              </w:rPr>
            </w:pPr>
            <w:r w:rsidRPr="00894701">
              <w:rPr>
                <w:rFonts w:asciiTheme="minorHAnsi" w:hAnsiTheme="minorHAnsi" w:cs="TrebuchetMS"/>
                <w:color w:val="000000"/>
                <w:szCs w:val="18"/>
              </w:rPr>
              <w:t>5,979,913</w:t>
            </w:r>
            <w:r w:rsidR="00206BA2" w:rsidRPr="00894701">
              <w:rPr>
                <w:rFonts w:asciiTheme="minorHAnsi" w:hAnsiTheme="minorHAnsi" w:cs="TrebuchetMS"/>
                <w:color w:val="000000"/>
                <w:szCs w:val="18"/>
              </w:rPr>
              <w:t xml:space="preserve"> </w:t>
            </w:r>
          </w:p>
        </w:tc>
      </w:tr>
      <w:tr w:rsidR="00DC3841" w:rsidRPr="00894701" w14:paraId="7B11B621" w14:textId="77777777" w:rsidTr="00160187">
        <w:trPr>
          <w:cnfStyle w:val="000000010000" w:firstRow="0" w:lastRow="0" w:firstColumn="0" w:lastColumn="0" w:oddVBand="0" w:evenVBand="0" w:oddHBand="0" w:evenHBand="1"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337" w:type="pct"/>
            <w:tcBorders>
              <w:top w:val="single" w:sz="4" w:space="0" w:color="F7A3B0"/>
              <w:bottom w:val="single" w:sz="4" w:space="0" w:color="F7A3B0"/>
            </w:tcBorders>
            <w:vAlign w:val="center"/>
          </w:tcPr>
          <w:p w14:paraId="3006ECBD" w14:textId="300E9835" w:rsidR="00DC3841" w:rsidRPr="00894701" w:rsidRDefault="00DC3841" w:rsidP="00160187">
            <w:pPr>
              <w:spacing w:before="0" w:after="0"/>
              <w:ind w:left="52"/>
              <w:rPr>
                <w:rFonts w:asciiTheme="minorHAnsi" w:hAnsiTheme="minorHAnsi" w:cs="TrebuchetMS-Bold"/>
                <w:b/>
                <w:bCs/>
                <w:color w:val="000000"/>
                <w:szCs w:val="18"/>
              </w:rPr>
            </w:pPr>
            <w:r w:rsidRPr="00894701">
              <w:rPr>
                <w:rFonts w:asciiTheme="minorHAnsi" w:hAnsiTheme="minorHAnsi" w:cs="TrebuchetMS-Bold"/>
                <w:b/>
                <w:bCs/>
                <w:color w:val="000000"/>
                <w:szCs w:val="18"/>
              </w:rPr>
              <w:t>2019</w:t>
            </w:r>
            <w:r w:rsidR="00206BA2" w:rsidRPr="00894701">
              <w:rPr>
                <w:rFonts w:asciiTheme="minorHAnsi" w:hAnsiTheme="minorHAnsi" w:cs="TrebuchetMS-Bold"/>
                <w:b/>
                <w:bCs/>
                <w:color w:val="000000"/>
                <w:szCs w:val="18"/>
              </w:rPr>
              <w:t xml:space="preserve"> </w:t>
            </w:r>
          </w:p>
        </w:tc>
        <w:tc>
          <w:tcPr>
            <w:tcW w:w="3663" w:type="pct"/>
            <w:tcBorders>
              <w:top w:val="single" w:sz="4" w:space="0" w:color="F7A3B0"/>
              <w:bottom w:val="single" w:sz="4" w:space="0" w:color="F7A3B0"/>
            </w:tcBorders>
            <w:vAlign w:val="center"/>
          </w:tcPr>
          <w:p w14:paraId="14B4E714" w14:textId="6E0F2830" w:rsidR="00DC3841" w:rsidRPr="00894701" w:rsidRDefault="00DC3841" w:rsidP="00160187">
            <w:pPr>
              <w:spacing w:before="0" w:after="0"/>
              <w:ind w:firstLine="881"/>
              <w:cnfStyle w:val="000000010000" w:firstRow="0" w:lastRow="0" w:firstColumn="0" w:lastColumn="0" w:oddVBand="0" w:evenVBand="0" w:oddHBand="0" w:evenHBand="1" w:firstRowFirstColumn="0" w:firstRowLastColumn="0" w:lastRowFirstColumn="0" w:lastRowLastColumn="0"/>
              <w:rPr>
                <w:rFonts w:asciiTheme="minorHAnsi" w:hAnsiTheme="minorHAnsi" w:cs="TrebuchetMS"/>
                <w:color w:val="000000"/>
                <w:szCs w:val="18"/>
              </w:rPr>
            </w:pPr>
            <w:r w:rsidRPr="00894701">
              <w:rPr>
                <w:rFonts w:asciiTheme="minorHAnsi" w:hAnsiTheme="minorHAnsi" w:cs="TrebuchetMS"/>
                <w:color w:val="000000"/>
                <w:szCs w:val="18"/>
              </w:rPr>
              <w:t>6,050,460</w:t>
            </w:r>
            <w:r w:rsidR="00206BA2" w:rsidRPr="00894701">
              <w:rPr>
                <w:rFonts w:asciiTheme="minorHAnsi" w:hAnsiTheme="minorHAnsi" w:cs="TrebuchetMS"/>
                <w:color w:val="000000"/>
                <w:szCs w:val="18"/>
              </w:rPr>
              <w:t xml:space="preserve"> </w:t>
            </w:r>
          </w:p>
        </w:tc>
      </w:tr>
      <w:tr w:rsidR="00DC3841" w:rsidRPr="00894701" w14:paraId="5DE52A52" w14:textId="77777777" w:rsidTr="00160187">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337" w:type="pct"/>
            <w:tcBorders>
              <w:top w:val="single" w:sz="4" w:space="0" w:color="F7A3B0"/>
              <w:left w:val="nil"/>
              <w:bottom w:val="nil"/>
              <w:right w:val="nil"/>
            </w:tcBorders>
            <w:shd w:val="clear" w:color="auto" w:fill="F7A3B0"/>
            <w:vAlign w:val="center"/>
          </w:tcPr>
          <w:p w14:paraId="7184F999" w14:textId="77777777" w:rsidR="00DC3841" w:rsidRPr="00894701" w:rsidRDefault="00DC3841" w:rsidP="00160187">
            <w:pPr>
              <w:spacing w:before="0" w:after="0"/>
              <w:ind w:left="52"/>
              <w:rPr>
                <w:rFonts w:asciiTheme="minorHAnsi" w:hAnsiTheme="minorHAnsi" w:cs="TrebuchetMS-Bold"/>
                <w:b/>
                <w:bCs/>
                <w:color w:val="000000"/>
                <w:szCs w:val="18"/>
              </w:rPr>
            </w:pPr>
            <w:r w:rsidRPr="00894701">
              <w:rPr>
                <w:rFonts w:asciiTheme="minorHAnsi" w:hAnsiTheme="minorHAnsi" w:cs="TrebuchetMS-Bold"/>
                <w:b/>
                <w:bCs/>
                <w:color w:val="000000"/>
                <w:szCs w:val="18"/>
              </w:rPr>
              <w:t>2020</w:t>
            </w:r>
          </w:p>
        </w:tc>
        <w:tc>
          <w:tcPr>
            <w:tcW w:w="3663" w:type="pct"/>
            <w:tcBorders>
              <w:top w:val="single" w:sz="4" w:space="0" w:color="F7A3B0"/>
              <w:left w:val="nil"/>
              <w:bottom w:val="nil"/>
              <w:right w:val="nil"/>
            </w:tcBorders>
            <w:shd w:val="clear" w:color="auto" w:fill="F7A3B0"/>
            <w:vAlign w:val="center"/>
          </w:tcPr>
          <w:p w14:paraId="15685081" w14:textId="5EAC0E50" w:rsidR="00DC3841" w:rsidRPr="00894701" w:rsidRDefault="00DC3841" w:rsidP="00160187">
            <w:pPr>
              <w:spacing w:before="0" w:after="0"/>
              <w:ind w:firstLine="881"/>
              <w:cnfStyle w:val="000000100000" w:firstRow="0" w:lastRow="0" w:firstColumn="0" w:lastColumn="0" w:oddVBand="0" w:evenVBand="0" w:oddHBand="1" w:evenHBand="0" w:firstRowFirstColumn="0" w:firstRowLastColumn="0" w:lastRowFirstColumn="0" w:lastRowLastColumn="0"/>
              <w:rPr>
                <w:rFonts w:asciiTheme="minorHAnsi" w:hAnsiTheme="minorHAnsi" w:cs="TrebuchetMS"/>
                <w:color w:val="000000"/>
                <w:szCs w:val="18"/>
              </w:rPr>
            </w:pPr>
            <w:r w:rsidRPr="00894701">
              <w:rPr>
                <w:rFonts w:asciiTheme="minorHAnsi" w:hAnsiTheme="minorHAnsi" w:cs="TrebuchetMS"/>
                <w:color w:val="000000"/>
                <w:szCs w:val="18"/>
              </w:rPr>
              <w:t>5,990,609</w:t>
            </w:r>
            <w:r w:rsidR="00206BA2" w:rsidRPr="00894701">
              <w:rPr>
                <w:rFonts w:asciiTheme="minorHAnsi" w:hAnsiTheme="minorHAnsi" w:cs="TrebuchetMS"/>
                <w:color w:val="000000"/>
                <w:szCs w:val="18"/>
              </w:rPr>
              <w:t xml:space="preserve"> </w:t>
            </w:r>
          </w:p>
        </w:tc>
      </w:tr>
    </w:tbl>
    <w:p w14:paraId="08E4CEDC" w14:textId="7E01E6BA" w:rsidR="00160187" w:rsidRPr="00894701" w:rsidRDefault="00DC3841" w:rsidP="00C31130">
      <w:pPr>
        <w:spacing w:before="120" w:line="240" w:lineRule="auto"/>
        <w:jc w:val="both"/>
        <w:rPr>
          <w:rFonts w:asciiTheme="minorHAnsi" w:hAnsiTheme="minorHAnsi" w:cs="TrebuchetMS"/>
          <w:color w:val="000000"/>
          <w:sz w:val="20"/>
          <w:szCs w:val="20"/>
        </w:rPr>
      </w:pPr>
      <w:r w:rsidRPr="00894701">
        <w:rPr>
          <w:rFonts w:asciiTheme="minorHAnsi" w:hAnsiTheme="minorHAnsi" w:cs="TrebuchetMS"/>
          <w:color w:val="000000"/>
          <w:sz w:val="20"/>
          <w:szCs w:val="20"/>
        </w:rPr>
        <w:t xml:space="preserve">The major events in </w:t>
      </w:r>
      <w:r w:rsidR="00AE699C" w:rsidRPr="00894701">
        <w:rPr>
          <w:rFonts w:asciiTheme="minorHAnsi" w:hAnsiTheme="minorHAnsi" w:cs="TrebuchetMS"/>
          <w:color w:val="000000"/>
          <w:sz w:val="20"/>
          <w:szCs w:val="20"/>
        </w:rPr>
        <w:t xml:space="preserve">the </w:t>
      </w:r>
      <w:r w:rsidRPr="00894701">
        <w:rPr>
          <w:rFonts w:asciiTheme="minorHAnsi" w:hAnsiTheme="minorHAnsi" w:cs="TrebuchetMS"/>
          <w:color w:val="000000"/>
          <w:sz w:val="20"/>
          <w:szCs w:val="20"/>
        </w:rPr>
        <w:t>Oil &amp; Gas industry in Suriname can be presented in the table below:</w:t>
      </w:r>
      <w:bookmarkStart w:id="136" w:name="_Toc93095205"/>
    </w:p>
    <w:p w14:paraId="6CDCD273" w14:textId="176C6873" w:rsidR="00C02704" w:rsidRPr="00894701" w:rsidRDefault="00160187" w:rsidP="00945A9D">
      <w:pPr>
        <w:spacing w:before="120" w:after="0" w:line="240" w:lineRule="auto"/>
        <w:jc w:val="center"/>
        <w:rPr>
          <w:rFonts w:asciiTheme="minorHAnsi" w:hAnsiTheme="minorHAnsi" w:cs="TrebuchetMS"/>
          <w:color w:val="000000"/>
          <w:sz w:val="20"/>
          <w:szCs w:val="20"/>
        </w:rPr>
      </w:pPr>
      <w:bookmarkStart w:id="137" w:name="_Toc146590486"/>
      <w:r w:rsidRPr="00894701">
        <w:rPr>
          <w:rFonts w:asciiTheme="majorHAnsi" w:hAnsiTheme="majorHAnsi"/>
          <w:b/>
          <w:bCs/>
          <w:color w:val="98002E" w:themeColor="accent3"/>
          <w:sz w:val="20"/>
        </w:rPr>
        <w:t xml:space="preserve">Table </w:t>
      </w:r>
      <w:r w:rsidRPr="00894701">
        <w:rPr>
          <w:rFonts w:asciiTheme="majorHAnsi" w:hAnsiTheme="majorHAnsi"/>
          <w:b/>
          <w:bCs/>
          <w:color w:val="98002E" w:themeColor="accent3"/>
          <w:sz w:val="20"/>
        </w:rPr>
        <w:fldChar w:fldCharType="begin"/>
      </w:r>
      <w:r w:rsidRPr="00894701">
        <w:rPr>
          <w:rFonts w:asciiTheme="majorHAnsi" w:hAnsiTheme="majorHAnsi"/>
          <w:b/>
          <w:bCs/>
          <w:color w:val="98002E" w:themeColor="accent3"/>
          <w:sz w:val="20"/>
        </w:rPr>
        <w:instrText xml:space="preserve"> SEQ Table \* ARABIC </w:instrText>
      </w:r>
      <w:r w:rsidRPr="00894701">
        <w:rPr>
          <w:rFonts w:asciiTheme="majorHAnsi" w:hAnsiTheme="majorHAnsi"/>
          <w:b/>
          <w:bCs/>
          <w:color w:val="98002E" w:themeColor="accent3"/>
          <w:sz w:val="20"/>
        </w:rPr>
        <w:fldChar w:fldCharType="separate"/>
      </w:r>
      <w:r w:rsidR="0035303B">
        <w:rPr>
          <w:rFonts w:asciiTheme="majorHAnsi" w:hAnsiTheme="majorHAnsi"/>
          <w:b/>
          <w:bCs/>
          <w:noProof/>
          <w:color w:val="98002E" w:themeColor="accent3"/>
          <w:sz w:val="20"/>
        </w:rPr>
        <w:t>14</w:t>
      </w:r>
      <w:r w:rsidRPr="00894701">
        <w:rPr>
          <w:rFonts w:asciiTheme="majorHAnsi" w:hAnsiTheme="majorHAnsi"/>
          <w:b/>
          <w:bCs/>
          <w:color w:val="98002E" w:themeColor="accent3"/>
          <w:sz w:val="20"/>
        </w:rPr>
        <w:fldChar w:fldCharType="end"/>
      </w:r>
      <w:r w:rsidRPr="00894701">
        <w:rPr>
          <w:rFonts w:asciiTheme="majorHAnsi" w:hAnsiTheme="majorHAnsi"/>
          <w:b/>
          <w:bCs/>
          <w:color w:val="98002E" w:themeColor="accent3"/>
          <w:sz w:val="20"/>
        </w:rPr>
        <w:t xml:space="preserve">: </w:t>
      </w:r>
      <w:bookmarkEnd w:id="136"/>
      <w:r w:rsidRPr="00894701">
        <w:rPr>
          <w:rFonts w:asciiTheme="majorHAnsi" w:hAnsiTheme="majorHAnsi"/>
          <w:b/>
          <w:bCs/>
          <w:color w:val="98002E" w:themeColor="accent3"/>
          <w:sz w:val="20"/>
        </w:rPr>
        <w:t>Summary of Oil &amp; Gas Major event</w:t>
      </w:r>
      <w:bookmarkEnd w:id="137"/>
    </w:p>
    <w:tbl>
      <w:tblPr>
        <w:tblW w:w="9360" w:type="dxa"/>
        <w:tblLook w:val="04A0" w:firstRow="1" w:lastRow="0" w:firstColumn="1" w:lastColumn="0" w:noHBand="0" w:noVBand="1"/>
      </w:tblPr>
      <w:tblGrid>
        <w:gridCol w:w="638"/>
        <w:gridCol w:w="8722"/>
      </w:tblGrid>
      <w:tr w:rsidR="00160187" w:rsidRPr="00894701" w14:paraId="4336ADEC" w14:textId="77777777" w:rsidTr="00160187">
        <w:trPr>
          <w:trHeight w:val="294"/>
        </w:trPr>
        <w:tc>
          <w:tcPr>
            <w:tcW w:w="638" w:type="dxa"/>
            <w:tcBorders>
              <w:top w:val="nil"/>
              <w:left w:val="nil"/>
              <w:bottom w:val="single" w:sz="8" w:space="0" w:color="F7A3B0"/>
              <w:right w:val="nil"/>
            </w:tcBorders>
            <w:shd w:val="clear" w:color="000000" w:fill="7A091A"/>
            <w:noWrap/>
            <w:vAlign w:val="center"/>
            <w:hideMark/>
          </w:tcPr>
          <w:p w14:paraId="0A02644C" w14:textId="77777777" w:rsidR="00160187" w:rsidRPr="00894701" w:rsidRDefault="00160187" w:rsidP="00160187">
            <w:pPr>
              <w:spacing w:after="0" w:line="240" w:lineRule="auto"/>
              <w:rPr>
                <w:rFonts w:cs="Calibri"/>
                <w:b/>
                <w:bCs/>
                <w:color w:val="FFFFFF"/>
                <w:kern w:val="0"/>
                <w:szCs w:val="18"/>
                <w:lang w:eastAsia="en-US"/>
              </w:rPr>
            </w:pPr>
            <w:r w:rsidRPr="00894701">
              <w:rPr>
                <w:rFonts w:cs="Calibri"/>
                <w:b/>
                <w:bCs/>
                <w:color w:val="FFFFFF"/>
                <w:kern w:val="0"/>
                <w:szCs w:val="18"/>
                <w:lang w:eastAsia="en-US"/>
              </w:rPr>
              <w:t xml:space="preserve">Year </w:t>
            </w:r>
          </w:p>
        </w:tc>
        <w:tc>
          <w:tcPr>
            <w:tcW w:w="8722" w:type="dxa"/>
            <w:tcBorders>
              <w:top w:val="nil"/>
              <w:left w:val="nil"/>
              <w:bottom w:val="single" w:sz="8" w:space="0" w:color="F7A3B0"/>
              <w:right w:val="nil"/>
            </w:tcBorders>
            <w:shd w:val="clear" w:color="000000" w:fill="7A091A"/>
            <w:noWrap/>
            <w:vAlign w:val="center"/>
            <w:hideMark/>
          </w:tcPr>
          <w:p w14:paraId="18CE73A1" w14:textId="77777777" w:rsidR="00160187" w:rsidRPr="00894701" w:rsidRDefault="00160187" w:rsidP="00160187">
            <w:pPr>
              <w:spacing w:after="0" w:line="240" w:lineRule="auto"/>
              <w:rPr>
                <w:rFonts w:cs="Calibri"/>
                <w:b/>
                <w:bCs/>
                <w:color w:val="FFFFFF"/>
                <w:kern w:val="0"/>
                <w:szCs w:val="18"/>
                <w:lang w:eastAsia="en-US"/>
              </w:rPr>
            </w:pPr>
            <w:r w:rsidRPr="00894701">
              <w:rPr>
                <w:rFonts w:cs="Calibri"/>
                <w:b/>
                <w:bCs/>
                <w:color w:val="FFFFFF"/>
                <w:kern w:val="0"/>
                <w:szCs w:val="18"/>
                <w:lang w:eastAsia="en-US"/>
              </w:rPr>
              <w:t xml:space="preserve">Major event  </w:t>
            </w:r>
          </w:p>
        </w:tc>
      </w:tr>
      <w:tr w:rsidR="00160187" w:rsidRPr="00894701" w14:paraId="5F4F7DB9" w14:textId="77777777" w:rsidTr="00160187">
        <w:trPr>
          <w:trHeight w:val="294"/>
        </w:trPr>
        <w:tc>
          <w:tcPr>
            <w:tcW w:w="638" w:type="dxa"/>
            <w:tcBorders>
              <w:top w:val="nil"/>
              <w:left w:val="nil"/>
              <w:bottom w:val="single" w:sz="8" w:space="0" w:color="F7A3B0"/>
              <w:right w:val="nil"/>
            </w:tcBorders>
            <w:shd w:val="clear" w:color="000000" w:fill="F7A3B0"/>
            <w:noWrap/>
            <w:vAlign w:val="center"/>
            <w:hideMark/>
          </w:tcPr>
          <w:p w14:paraId="23BB06AF" w14:textId="77777777" w:rsidR="00160187" w:rsidRPr="00894701" w:rsidRDefault="00160187" w:rsidP="00160187">
            <w:pPr>
              <w:spacing w:after="0" w:line="240" w:lineRule="auto"/>
              <w:jc w:val="center"/>
              <w:rPr>
                <w:rFonts w:cs="Calibri"/>
                <w:b/>
                <w:bCs/>
                <w:color w:val="000000"/>
                <w:kern w:val="0"/>
                <w:szCs w:val="18"/>
                <w:lang w:eastAsia="en-US"/>
              </w:rPr>
            </w:pPr>
            <w:r w:rsidRPr="00894701">
              <w:rPr>
                <w:rFonts w:cs="Calibri"/>
                <w:b/>
                <w:bCs/>
                <w:color w:val="000000"/>
                <w:kern w:val="0"/>
                <w:szCs w:val="18"/>
                <w:lang w:eastAsia="en-US"/>
              </w:rPr>
              <w:t>1980</w:t>
            </w:r>
          </w:p>
        </w:tc>
        <w:tc>
          <w:tcPr>
            <w:tcW w:w="8722" w:type="dxa"/>
            <w:tcBorders>
              <w:top w:val="nil"/>
              <w:left w:val="nil"/>
              <w:bottom w:val="single" w:sz="8" w:space="0" w:color="F7A3B0"/>
              <w:right w:val="nil"/>
            </w:tcBorders>
            <w:shd w:val="clear" w:color="000000" w:fill="F7A3B0"/>
            <w:noWrap/>
            <w:vAlign w:val="center"/>
            <w:hideMark/>
          </w:tcPr>
          <w:p w14:paraId="58FC3A25" w14:textId="77777777" w:rsidR="00160187" w:rsidRPr="00894701" w:rsidRDefault="00160187" w:rsidP="00160187">
            <w:pPr>
              <w:spacing w:after="0" w:line="240" w:lineRule="auto"/>
              <w:rPr>
                <w:rFonts w:cs="Calibri"/>
                <w:color w:val="000000"/>
                <w:kern w:val="0"/>
                <w:szCs w:val="18"/>
                <w:lang w:eastAsia="en-US"/>
              </w:rPr>
            </w:pPr>
            <w:r w:rsidRPr="00894701">
              <w:rPr>
                <w:rFonts w:cs="Calibri"/>
                <w:color w:val="000000"/>
                <w:kern w:val="0"/>
                <w:szCs w:val="18"/>
                <w:lang w:eastAsia="en-US"/>
              </w:rPr>
              <w:t xml:space="preserve">Staatsolie is created and incorporated as the state-owned oil company of Suriname </w:t>
            </w:r>
          </w:p>
        </w:tc>
      </w:tr>
      <w:tr w:rsidR="00160187" w:rsidRPr="00894701" w14:paraId="13E5C173" w14:textId="77777777" w:rsidTr="00160187">
        <w:trPr>
          <w:trHeight w:val="294"/>
        </w:trPr>
        <w:tc>
          <w:tcPr>
            <w:tcW w:w="638" w:type="dxa"/>
            <w:tcBorders>
              <w:top w:val="nil"/>
              <w:left w:val="nil"/>
              <w:bottom w:val="single" w:sz="8" w:space="0" w:color="F7A3B0"/>
              <w:right w:val="nil"/>
            </w:tcBorders>
            <w:shd w:val="clear" w:color="auto" w:fill="auto"/>
            <w:noWrap/>
            <w:vAlign w:val="center"/>
            <w:hideMark/>
          </w:tcPr>
          <w:p w14:paraId="07970BB6" w14:textId="77777777" w:rsidR="00160187" w:rsidRPr="00894701" w:rsidRDefault="00160187" w:rsidP="00160187">
            <w:pPr>
              <w:spacing w:after="0" w:line="240" w:lineRule="auto"/>
              <w:jc w:val="center"/>
              <w:rPr>
                <w:rFonts w:cs="Calibri"/>
                <w:b/>
                <w:bCs/>
                <w:color w:val="000000"/>
                <w:kern w:val="0"/>
                <w:szCs w:val="18"/>
                <w:lang w:eastAsia="en-US"/>
              </w:rPr>
            </w:pPr>
            <w:r w:rsidRPr="00894701">
              <w:rPr>
                <w:rFonts w:cs="Calibri"/>
                <w:b/>
                <w:bCs/>
                <w:color w:val="000000"/>
                <w:kern w:val="0"/>
                <w:szCs w:val="18"/>
                <w:lang w:eastAsia="en-US"/>
              </w:rPr>
              <w:t>1982</w:t>
            </w:r>
          </w:p>
        </w:tc>
        <w:tc>
          <w:tcPr>
            <w:tcW w:w="8722" w:type="dxa"/>
            <w:tcBorders>
              <w:top w:val="nil"/>
              <w:left w:val="nil"/>
              <w:bottom w:val="single" w:sz="8" w:space="0" w:color="F7A3B0"/>
              <w:right w:val="nil"/>
            </w:tcBorders>
            <w:shd w:val="clear" w:color="auto" w:fill="auto"/>
            <w:noWrap/>
            <w:vAlign w:val="center"/>
            <w:hideMark/>
          </w:tcPr>
          <w:p w14:paraId="48A8EF00" w14:textId="77777777" w:rsidR="00160187" w:rsidRPr="00894701" w:rsidRDefault="00160187" w:rsidP="00160187">
            <w:pPr>
              <w:spacing w:after="0" w:line="240" w:lineRule="auto"/>
              <w:jc w:val="both"/>
              <w:rPr>
                <w:rFonts w:cs="Calibri"/>
                <w:color w:val="000000"/>
                <w:kern w:val="0"/>
                <w:szCs w:val="18"/>
                <w:lang w:eastAsia="en-US"/>
              </w:rPr>
            </w:pPr>
            <w:r w:rsidRPr="00894701">
              <w:rPr>
                <w:rFonts w:cs="Calibri"/>
                <w:color w:val="000000"/>
                <w:kern w:val="0"/>
                <w:szCs w:val="18"/>
                <w:lang w:eastAsia="en-US"/>
              </w:rPr>
              <w:t xml:space="preserve">Commercial oil production begins from the Tambaredjo oilfield in Saramacca </w:t>
            </w:r>
          </w:p>
        </w:tc>
      </w:tr>
      <w:tr w:rsidR="00160187" w:rsidRPr="00894701" w14:paraId="3CE0BB90" w14:textId="77777777" w:rsidTr="00160187">
        <w:trPr>
          <w:trHeight w:val="294"/>
        </w:trPr>
        <w:tc>
          <w:tcPr>
            <w:tcW w:w="638" w:type="dxa"/>
            <w:tcBorders>
              <w:top w:val="nil"/>
              <w:left w:val="nil"/>
              <w:bottom w:val="single" w:sz="8" w:space="0" w:color="F7A3B0"/>
              <w:right w:val="nil"/>
            </w:tcBorders>
            <w:shd w:val="clear" w:color="000000" w:fill="F7A3B0"/>
            <w:noWrap/>
            <w:vAlign w:val="center"/>
            <w:hideMark/>
          </w:tcPr>
          <w:p w14:paraId="703B0236" w14:textId="77777777" w:rsidR="00160187" w:rsidRPr="00894701" w:rsidRDefault="00160187" w:rsidP="00160187">
            <w:pPr>
              <w:spacing w:after="0" w:line="240" w:lineRule="auto"/>
              <w:jc w:val="center"/>
              <w:rPr>
                <w:rFonts w:cs="Calibri"/>
                <w:b/>
                <w:bCs/>
                <w:color w:val="000000"/>
                <w:kern w:val="0"/>
                <w:szCs w:val="18"/>
                <w:lang w:eastAsia="en-US"/>
              </w:rPr>
            </w:pPr>
            <w:r w:rsidRPr="00894701">
              <w:rPr>
                <w:rFonts w:cs="Calibri"/>
                <w:b/>
                <w:bCs/>
                <w:color w:val="000000"/>
                <w:kern w:val="0"/>
                <w:szCs w:val="18"/>
                <w:lang w:eastAsia="en-US"/>
              </w:rPr>
              <w:t>1984</w:t>
            </w:r>
          </w:p>
        </w:tc>
        <w:tc>
          <w:tcPr>
            <w:tcW w:w="8722" w:type="dxa"/>
            <w:tcBorders>
              <w:top w:val="nil"/>
              <w:left w:val="nil"/>
              <w:bottom w:val="single" w:sz="8" w:space="0" w:color="F7A3B0"/>
              <w:right w:val="nil"/>
            </w:tcBorders>
            <w:shd w:val="clear" w:color="000000" w:fill="F7A3B0"/>
            <w:noWrap/>
            <w:vAlign w:val="center"/>
            <w:hideMark/>
          </w:tcPr>
          <w:p w14:paraId="22D0BC9E" w14:textId="77777777" w:rsidR="00160187" w:rsidRPr="00894701" w:rsidRDefault="00160187" w:rsidP="00160187">
            <w:pPr>
              <w:spacing w:after="0" w:line="240" w:lineRule="auto"/>
              <w:jc w:val="both"/>
              <w:rPr>
                <w:rFonts w:cs="Calibri"/>
                <w:color w:val="000000"/>
                <w:kern w:val="0"/>
                <w:szCs w:val="18"/>
                <w:lang w:eastAsia="en-US"/>
              </w:rPr>
            </w:pPr>
            <w:r w:rsidRPr="00894701">
              <w:rPr>
                <w:rFonts w:cs="Calibri"/>
                <w:color w:val="000000"/>
                <w:kern w:val="0"/>
                <w:szCs w:val="18"/>
                <w:lang w:eastAsia="en-US"/>
              </w:rPr>
              <w:t>Crude production reaches 1,000 barrels a day</w:t>
            </w:r>
          </w:p>
        </w:tc>
      </w:tr>
      <w:tr w:rsidR="00160187" w:rsidRPr="00894701" w14:paraId="10AD03B8" w14:textId="77777777" w:rsidTr="00160187">
        <w:trPr>
          <w:trHeight w:val="294"/>
        </w:trPr>
        <w:tc>
          <w:tcPr>
            <w:tcW w:w="638" w:type="dxa"/>
            <w:tcBorders>
              <w:top w:val="nil"/>
              <w:left w:val="nil"/>
              <w:bottom w:val="single" w:sz="8" w:space="0" w:color="F7A3B0"/>
              <w:right w:val="nil"/>
            </w:tcBorders>
            <w:shd w:val="clear" w:color="auto" w:fill="auto"/>
            <w:noWrap/>
            <w:vAlign w:val="center"/>
            <w:hideMark/>
          </w:tcPr>
          <w:p w14:paraId="148845B4" w14:textId="77777777" w:rsidR="00160187" w:rsidRPr="00894701" w:rsidRDefault="00160187" w:rsidP="00160187">
            <w:pPr>
              <w:spacing w:after="0" w:line="240" w:lineRule="auto"/>
              <w:jc w:val="center"/>
              <w:rPr>
                <w:rFonts w:cs="Calibri"/>
                <w:b/>
                <w:bCs/>
                <w:color w:val="000000"/>
                <w:kern w:val="0"/>
                <w:szCs w:val="18"/>
                <w:lang w:eastAsia="en-US"/>
              </w:rPr>
            </w:pPr>
            <w:r w:rsidRPr="00894701">
              <w:rPr>
                <w:rFonts w:cs="Calibri"/>
                <w:b/>
                <w:bCs/>
                <w:color w:val="000000"/>
                <w:kern w:val="0"/>
                <w:szCs w:val="18"/>
                <w:lang w:eastAsia="en-US"/>
              </w:rPr>
              <w:t>1988</w:t>
            </w:r>
          </w:p>
        </w:tc>
        <w:tc>
          <w:tcPr>
            <w:tcW w:w="8722" w:type="dxa"/>
            <w:tcBorders>
              <w:top w:val="nil"/>
              <w:left w:val="nil"/>
              <w:bottom w:val="single" w:sz="8" w:space="0" w:color="F7A3B0"/>
              <w:right w:val="nil"/>
            </w:tcBorders>
            <w:shd w:val="clear" w:color="auto" w:fill="auto"/>
            <w:noWrap/>
            <w:vAlign w:val="center"/>
            <w:hideMark/>
          </w:tcPr>
          <w:p w14:paraId="4AE6BB52" w14:textId="77777777" w:rsidR="00160187" w:rsidRPr="00894701" w:rsidRDefault="00160187" w:rsidP="00160187">
            <w:pPr>
              <w:spacing w:after="0" w:line="240" w:lineRule="auto"/>
              <w:jc w:val="both"/>
              <w:rPr>
                <w:rFonts w:cs="Calibri"/>
                <w:color w:val="000000"/>
                <w:kern w:val="0"/>
                <w:szCs w:val="18"/>
                <w:lang w:eastAsia="en-US"/>
              </w:rPr>
            </w:pPr>
            <w:r w:rsidRPr="00894701">
              <w:rPr>
                <w:rFonts w:cs="Calibri"/>
                <w:color w:val="000000"/>
                <w:kern w:val="0"/>
                <w:szCs w:val="18"/>
                <w:lang w:eastAsia="en-US"/>
              </w:rPr>
              <w:t xml:space="preserve">Staatsolie begins exporting </w:t>
            </w:r>
          </w:p>
        </w:tc>
      </w:tr>
      <w:tr w:rsidR="00160187" w:rsidRPr="00894701" w14:paraId="367D0865" w14:textId="77777777" w:rsidTr="00160187">
        <w:trPr>
          <w:trHeight w:val="474"/>
        </w:trPr>
        <w:tc>
          <w:tcPr>
            <w:tcW w:w="638" w:type="dxa"/>
            <w:tcBorders>
              <w:top w:val="nil"/>
              <w:left w:val="nil"/>
              <w:bottom w:val="single" w:sz="8" w:space="0" w:color="F7A3B0"/>
              <w:right w:val="nil"/>
            </w:tcBorders>
            <w:shd w:val="clear" w:color="000000" w:fill="F7A3B0"/>
            <w:noWrap/>
            <w:vAlign w:val="center"/>
            <w:hideMark/>
          </w:tcPr>
          <w:p w14:paraId="587475E5" w14:textId="77777777" w:rsidR="00160187" w:rsidRPr="00894701" w:rsidRDefault="00160187" w:rsidP="00160187">
            <w:pPr>
              <w:spacing w:after="0" w:line="240" w:lineRule="auto"/>
              <w:jc w:val="center"/>
              <w:rPr>
                <w:rFonts w:cs="Calibri"/>
                <w:b/>
                <w:bCs/>
                <w:color w:val="000000"/>
                <w:kern w:val="0"/>
                <w:szCs w:val="18"/>
                <w:lang w:eastAsia="en-US"/>
              </w:rPr>
            </w:pPr>
            <w:r w:rsidRPr="00894701">
              <w:rPr>
                <w:rFonts w:cs="Calibri"/>
                <w:b/>
                <w:bCs/>
                <w:color w:val="000000"/>
                <w:kern w:val="0"/>
                <w:szCs w:val="18"/>
                <w:lang w:eastAsia="en-US"/>
              </w:rPr>
              <w:t>1992</w:t>
            </w:r>
          </w:p>
        </w:tc>
        <w:tc>
          <w:tcPr>
            <w:tcW w:w="8722" w:type="dxa"/>
            <w:tcBorders>
              <w:top w:val="nil"/>
              <w:left w:val="nil"/>
              <w:bottom w:val="single" w:sz="8" w:space="0" w:color="F7A3B0"/>
              <w:right w:val="nil"/>
            </w:tcBorders>
            <w:shd w:val="clear" w:color="000000" w:fill="F7A3B0"/>
            <w:noWrap/>
            <w:vAlign w:val="center"/>
            <w:hideMark/>
          </w:tcPr>
          <w:p w14:paraId="06DBBA0C" w14:textId="77777777" w:rsidR="00160187" w:rsidRPr="00894701" w:rsidRDefault="00160187" w:rsidP="00160187">
            <w:pPr>
              <w:spacing w:after="0" w:line="240" w:lineRule="auto"/>
              <w:jc w:val="both"/>
              <w:rPr>
                <w:rFonts w:cs="Calibri"/>
                <w:color w:val="000000"/>
                <w:kern w:val="0"/>
                <w:szCs w:val="18"/>
                <w:lang w:eastAsia="en-US"/>
              </w:rPr>
            </w:pPr>
            <w:r w:rsidRPr="00894701">
              <w:rPr>
                <w:rFonts w:cs="Calibri"/>
                <w:color w:val="000000"/>
                <w:kern w:val="0"/>
                <w:szCs w:val="18"/>
                <w:lang w:eastAsia="en-US"/>
              </w:rPr>
              <w:t xml:space="preserve">55-km underground pipeline opens from Saramacca to the export terminal at Tout Lui Faut </w:t>
            </w:r>
          </w:p>
        </w:tc>
      </w:tr>
      <w:tr w:rsidR="00160187" w:rsidRPr="00894701" w14:paraId="38604B4F" w14:textId="77777777" w:rsidTr="00160187">
        <w:trPr>
          <w:trHeight w:val="294"/>
        </w:trPr>
        <w:tc>
          <w:tcPr>
            <w:tcW w:w="638" w:type="dxa"/>
            <w:tcBorders>
              <w:top w:val="nil"/>
              <w:left w:val="nil"/>
              <w:bottom w:val="single" w:sz="8" w:space="0" w:color="F7A3B0"/>
              <w:right w:val="nil"/>
            </w:tcBorders>
            <w:shd w:val="clear" w:color="auto" w:fill="auto"/>
            <w:noWrap/>
            <w:vAlign w:val="center"/>
            <w:hideMark/>
          </w:tcPr>
          <w:p w14:paraId="75B7E0B5" w14:textId="77777777" w:rsidR="00160187" w:rsidRPr="00894701" w:rsidRDefault="00160187" w:rsidP="00160187">
            <w:pPr>
              <w:spacing w:after="0" w:line="240" w:lineRule="auto"/>
              <w:jc w:val="center"/>
              <w:rPr>
                <w:rFonts w:cs="Calibri"/>
                <w:b/>
                <w:bCs/>
                <w:color w:val="000000"/>
                <w:kern w:val="0"/>
                <w:szCs w:val="18"/>
                <w:lang w:eastAsia="en-US"/>
              </w:rPr>
            </w:pPr>
            <w:r w:rsidRPr="00894701">
              <w:rPr>
                <w:rFonts w:cs="Calibri"/>
                <w:b/>
                <w:bCs/>
                <w:color w:val="000000"/>
                <w:kern w:val="0"/>
                <w:szCs w:val="18"/>
                <w:lang w:eastAsia="en-US"/>
              </w:rPr>
              <w:t>1997</w:t>
            </w:r>
          </w:p>
        </w:tc>
        <w:tc>
          <w:tcPr>
            <w:tcW w:w="8722" w:type="dxa"/>
            <w:tcBorders>
              <w:top w:val="nil"/>
              <w:left w:val="nil"/>
              <w:bottom w:val="single" w:sz="8" w:space="0" w:color="F7A3B0"/>
              <w:right w:val="nil"/>
            </w:tcBorders>
            <w:shd w:val="clear" w:color="auto" w:fill="auto"/>
            <w:noWrap/>
            <w:vAlign w:val="center"/>
            <w:hideMark/>
          </w:tcPr>
          <w:p w14:paraId="2A346DAD" w14:textId="77777777" w:rsidR="00160187" w:rsidRPr="00894701" w:rsidRDefault="00160187" w:rsidP="00160187">
            <w:pPr>
              <w:spacing w:after="0" w:line="240" w:lineRule="auto"/>
              <w:jc w:val="both"/>
              <w:rPr>
                <w:rFonts w:cs="Calibri"/>
                <w:color w:val="000000"/>
                <w:kern w:val="0"/>
                <w:szCs w:val="18"/>
                <w:lang w:eastAsia="en-US"/>
              </w:rPr>
            </w:pPr>
            <w:r w:rsidRPr="00894701">
              <w:rPr>
                <w:rFonts w:cs="Calibri"/>
                <w:color w:val="000000"/>
                <w:kern w:val="0"/>
                <w:szCs w:val="18"/>
                <w:lang w:eastAsia="en-US"/>
              </w:rPr>
              <w:t>The refinery in Tout Lui Faut opens, with a production of 8,000 barrels per day</w:t>
            </w:r>
          </w:p>
        </w:tc>
      </w:tr>
      <w:tr w:rsidR="00160187" w:rsidRPr="00894701" w14:paraId="57CB62E2" w14:textId="77777777" w:rsidTr="00160187">
        <w:trPr>
          <w:trHeight w:val="294"/>
        </w:trPr>
        <w:tc>
          <w:tcPr>
            <w:tcW w:w="638" w:type="dxa"/>
            <w:tcBorders>
              <w:top w:val="nil"/>
              <w:left w:val="nil"/>
              <w:bottom w:val="single" w:sz="8" w:space="0" w:color="F7A3B0"/>
              <w:right w:val="nil"/>
            </w:tcBorders>
            <w:shd w:val="clear" w:color="000000" w:fill="F7A3B0"/>
            <w:noWrap/>
            <w:vAlign w:val="center"/>
            <w:hideMark/>
          </w:tcPr>
          <w:p w14:paraId="6135D7C9" w14:textId="77777777" w:rsidR="00160187" w:rsidRPr="00894701" w:rsidRDefault="00160187" w:rsidP="00160187">
            <w:pPr>
              <w:spacing w:after="0" w:line="240" w:lineRule="auto"/>
              <w:jc w:val="center"/>
              <w:rPr>
                <w:rFonts w:cs="Calibri"/>
                <w:b/>
                <w:bCs/>
                <w:color w:val="000000"/>
                <w:kern w:val="0"/>
                <w:szCs w:val="18"/>
                <w:lang w:eastAsia="en-US"/>
              </w:rPr>
            </w:pPr>
            <w:r w:rsidRPr="00894701">
              <w:rPr>
                <w:rFonts w:cs="Calibri"/>
                <w:b/>
                <w:bCs/>
                <w:color w:val="000000"/>
                <w:kern w:val="0"/>
                <w:szCs w:val="18"/>
                <w:lang w:eastAsia="en-US"/>
              </w:rPr>
              <w:t>2000</w:t>
            </w:r>
          </w:p>
        </w:tc>
        <w:tc>
          <w:tcPr>
            <w:tcW w:w="8722" w:type="dxa"/>
            <w:tcBorders>
              <w:top w:val="nil"/>
              <w:left w:val="nil"/>
              <w:bottom w:val="single" w:sz="8" w:space="0" w:color="F7A3B0"/>
              <w:right w:val="nil"/>
            </w:tcBorders>
            <w:shd w:val="clear" w:color="000000" w:fill="F7A3B0"/>
            <w:noWrap/>
            <w:vAlign w:val="center"/>
            <w:hideMark/>
          </w:tcPr>
          <w:p w14:paraId="69A41BCC" w14:textId="77777777" w:rsidR="00160187" w:rsidRPr="00894701" w:rsidRDefault="00160187" w:rsidP="00160187">
            <w:pPr>
              <w:spacing w:after="0" w:line="240" w:lineRule="auto"/>
              <w:jc w:val="both"/>
              <w:rPr>
                <w:rFonts w:cs="Calibri"/>
                <w:color w:val="000000"/>
                <w:kern w:val="0"/>
                <w:szCs w:val="18"/>
                <w:lang w:eastAsia="en-US"/>
              </w:rPr>
            </w:pPr>
            <w:r w:rsidRPr="00894701">
              <w:rPr>
                <w:rFonts w:cs="Calibri"/>
                <w:color w:val="000000"/>
                <w:kern w:val="0"/>
                <w:szCs w:val="18"/>
                <w:lang w:eastAsia="en-US"/>
              </w:rPr>
              <w:t>Staatsolie builds a 22km pipeline from its refinery to its primary customer, Suralco</w:t>
            </w:r>
          </w:p>
        </w:tc>
      </w:tr>
      <w:tr w:rsidR="00160187" w:rsidRPr="00894701" w14:paraId="2B5F366C" w14:textId="77777777" w:rsidTr="00160187">
        <w:trPr>
          <w:trHeight w:val="708"/>
        </w:trPr>
        <w:tc>
          <w:tcPr>
            <w:tcW w:w="638" w:type="dxa"/>
            <w:tcBorders>
              <w:top w:val="nil"/>
              <w:left w:val="nil"/>
              <w:bottom w:val="single" w:sz="8" w:space="0" w:color="F7A3B0"/>
              <w:right w:val="nil"/>
            </w:tcBorders>
            <w:shd w:val="clear" w:color="auto" w:fill="auto"/>
            <w:noWrap/>
            <w:vAlign w:val="center"/>
            <w:hideMark/>
          </w:tcPr>
          <w:p w14:paraId="309D6905" w14:textId="77777777" w:rsidR="00160187" w:rsidRPr="00894701" w:rsidRDefault="00160187" w:rsidP="00160187">
            <w:pPr>
              <w:spacing w:after="0" w:line="240" w:lineRule="auto"/>
              <w:jc w:val="center"/>
              <w:rPr>
                <w:rFonts w:cs="Calibri"/>
                <w:b/>
                <w:bCs/>
                <w:color w:val="000000"/>
                <w:kern w:val="0"/>
                <w:szCs w:val="18"/>
                <w:lang w:eastAsia="en-US"/>
              </w:rPr>
            </w:pPr>
            <w:r w:rsidRPr="00894701">
              <w:rPr>
                <w:rFonts w:cs="Calibri"/>
                <w:b/>
                <w:bCs/>
                <w:color w:val="000000"/>
                <w:kern w:val="0"/>
                <w:szCs w:val="18"/>
                <w:lang w:eastAsia="en-US"/>
              </w:rPr>
              <w:t>2006</w:t>
            </w:r>
          </w:p>
        </w:tc>
        <w:tc>
          <w:tcPr>
            <w:tcW w:w="8722" w:type="dxa"/>
            <w:tcBorders>
              <w:top w:val="nil"/>
              <w:left w:val="nil"/>
              <w:bottom w:val="single" w:sz="8" w:space="0" w:color="F7A3B0"/>
              <w:right w:val="nil"/>
            </w:tcBorders>
            <w:shd w:val="clear" w:color="auto" w:fill="auto"/>
            <w:noWrap/>
            <w:vAlign w:val="center"/>
            <w:hideMark/>
          </w:tcPr>
          <w:p w14:paraId="21D2B464" w14:textId="3E893AB0" w:rsidR="00160187" w:rsidRPr="00894701" w:rsidRDefault="00160187" w:rsidP="00160187">
            <w:pPr>
              <w:spacing w:after="0" w:line="240" w:lineRule="auto"/>
              <w:jc w:val="both"/>
              <w:rPr>
                <w:rFonts w:cs="Calibri"/>
                <w:color w:val="000000"/>
                <w:kern w:val="0"/>
                <w:szCs w:val="18"/>
                <w:lang w:eastAsia="en-US"/>
              </w:rPr>
            </w:pPr>
            <w:r w:rsidRPr="00894701">
              <w:rPr>
                <w:rFonts w:cs="Calibri"/>
                <w:color w:val="000000"/>
                <w:kern w:val="0"/>
                <w:szCs w:val="18"/>
                <w:lang w:eastAsia="en-US"/>
              </w:rPr>
              <w:t xml:space="preserve">The Calcutta onshore oilfield goes into production and Staatsolie expands into electricity </w:t>
            </w:r>
            <w:r w:rsidRPr="00894701">
              <w:rPr>
                <w:rFonts w:cs="Calibri"/>
                <w:color w:val="auto"/>
                <w:kern w:val="0"/>
                <w:szCs w:val="18"/>
                <w:lang w:eastAsia="en-US"/>
              </w:rPr>
              <w:t>generation</w:t>
            </w:r>
            <w:r w:rsidRPr="00894701">
              <w:rPr>
                <w:rFonts w:cs="Calibri"/>
                <w:color w:val="000000"/>
                <w:kern w:val="0"/>
                <w:szCs w:val="18"/>
                <w:lang w:eastAsia="en-US"/>
              </w:rPr>
              <w:t xml:space="preserve"> with the setting up of Staatsolie Power Company Suriname N.V </w:t>
            </w:r>
          </w:p>
        </w:tc>
      </w:tr>
      <w:tr w:rsidR="00160187" w:rsidRPr="00894701" w14:paraId="65044C60" w14:textId="77777777" w:rsidTr="00160187">
        <w:trPr>
          <w:trHeight w:val="294"/>
        </w:trPr>
        <w:tc>
          <w:tcPr>
            <w:tcW w:w="638" w:type="dxa"/>
            <w:tcBorders>
              <w:top w:val="nil"/>
              <w:left w:val="nil"/>
              <w:bottom w:val="single" w:sz="8" w:space="0" w:color="F7A3B0"/>
              <w:right w:val="nil"/>
            </w:tcBorders>
            <w:shd w:val="clear" w:color="000000" w:fill="F7A3B0"/>
            <w:noWrap/>
            <w:vAlign w:val="center"/>
            <w:hideMark/>
          </w:tcPr>
          <w:p w14:paraId="7EB79BC1" w14:textId="77777777" w:rsidR="00160187" w:rsidRPr="00894701" w:rsidRDefault="00160187" w:rsidP="00160187">
            <w:pPr>
              <w:spacing w:after="0" w:line="240" w:lineRule="auto"/>
              <w:jc w:val="center"/>
              <w:rPr>
                <w:rFonts w:cs="Calibri"/>
                <w:b/>
                <w:bCs/>
                <w:color w:val="000000"/>
                <w:kern w:val="0"/>
                <w:szCs w:val="18"/>
                <w:lang w:eastAsia="en-US"/>
              </w:rPr>
            </w:pPr>
            <w:r w:rsidRPr="00894701">
              <w:rPr>
                <w:rFonts w:cs="Calibri"/>
                <w:b/>
                <w:bCs/>
                <w:color w:val="000000"/>
                <w:kern w:val="0"/>
                <w:szCs w:val="18"/>
                <w:lang w:eastAsia="en-US"/>
              </w:rPr>
              <w:t>2014</w:t>
            </w:r>
          </w:p>
        </w:tc>
        <w:tc>
          <w:tcPr>
            <w:tcW w:w="8722" w:type="dxa"/>
            <w:tcBorders>
              <w:top w:val="nil"/>
              <w:left w:val="nil"/>
              <w:bottom w:val="single" w:sz="8" w:space="0" w:color="F7A3B0"/>
              <w:right w:val="nil"/>
            </w:tcBorders>
            <w:shd w:val="clear" w:color="000000" w:fill="F7A3B0"/>
            <w:noWrap/>
            <w:vAlign w:val="center"/>
            <w:hideMark/>
          </w:tcPr>
          <w:p w14:paraId="64DF491A" w14:textId="77777777" w:rsidR="00160187" w:rsidRPr="00894701" w:rsidRDefault="00160187" w:rsidP="00160187">
            <w:pPr>
              <w:spacing w:after="0" w:line="240" w:lineRule="auto"/>
              <w:jc w:val="both"/>
              <w:rPr>
                <w:rFonts w:cs="Calibri"/>
                <w:color w:val="000000"/>
                <w:kern w:val="0"/>
                <w:szCs w:val="18"/>
                <w:lang w:eastAsia="en-US"/>
              </w:rPr>
            </w:pPr>
            <w:r w:rsidRPr="00894701">
              <w:rPr>
                <w:rFonts w:cs="Calibri"/>
                <w:color w:val="000000"/>
                <w:kern w:val="0"/>
                <w:szCs w:val="18"/>
                <w:lang w:eastAsia="en-US"/>
              </w:rPr>
              <w:t xml:space="preserve">Inauguration of expanded refinery </w:t>
            </w:r>
          </w:p>
        </w:tc>
      </w:tr>
      <w:tr w:rsidR="00160187" w:rsidRPr="00894701" w14:paraId="3CF86F00" w14:textId="77777777" w:rsidTr="00160187">
        <w:trPr>
          <w:trHeight w:val="294"/>
        </w:trPr>
        <w:tc>
          <w:tcPr>
            <w:tcW w:w="638" w:type="dxa"/>
            <w:tcBorders>
              <w:top w:val="nil"/>
              <w:left w:val="nil"/>
              <w:bottom w:val="single" w:sz="8" w:space="0" w:color="F7A3B0"/>
              <w:right w:val="nil"/>
            </w:tcBorders>
            <w:shd w:val="clear" w:color="auto" w:fill="auto"/>
            <w:noWrap/>
            <w:vAlign w:val="center"/>
            <w:hideMark/>
          </w:tcPr>
          <w:p w14:paraId="70F2E839" w14:textId="77777777" w:rsidR="00160187" w:rsidRPr="00894701" w:rsidRDefault="00160187" w:rsidP="00160187">
            <w:pPr>
              <w:spacing w:after="0" w:line="240" w:lineRule="auto"/>
              <w:jc w:val="center"/>
              <w:rPr>
                <w:rFonts w:cs="Calibri"/>
                <w:b/>
                <w:bCs/>
                <w:color w:val="000000"/>
                <w:kern w:val="0"/>
                <w:szCs w:val="18"/>
                <w:lang w:eastAsia="en-US"/>
              </w:rPr>
            </w:pPr>
            <w:r w:rsidRPr="00894701">
              <w:rPr>
                <w:rFonts w:cs="Calibri"/>
                <w:b/>
                <w:bCs/>
                <w:color w:val="000000"/>
                <w:kern w:val="0"/>
                <w:szCs w:val="18"/>
                <w:lang w:eastAsia="en-US"/>
              </w:rPr>
              <w:t>2015</w:t>
            </w:r>
          </w:p>
        </w:tc>
        <w:tc>
          <w:tcPr>
            <w:tcW w:w="8722" w:type="dxa"/>
            <w:tcBorders>
              <w:top w:val="nil"/>
              <w:left w:val="nil"/>
              <w:bottom w:val="single" w:sz="8" w:space="0" w:color="F7A3B0"/>
              <w:right w:val="nil"/>
            </w:tcBorders>
            <w:shd w:val="clear" w:color="auto" w:fill="auto"/>
            <w:noWrap/>
            <w:vAlign w:val="center"/>
            <w:hideMark/>
          </w:tcPr>
          <w:p w14:paraId="31C3BB62" w14:textId="77777777" w:rsidR="00160187" w:rsidRPr="00894701" w:rsidRDefault="00160187" w:rsidP="00160187">
            <w:pPr>
              <w:spacing w:after="0" w:line="240" w:lineRule="auto"/>
              <w:jc w:val="both"/>
              <w:rPr>
                <w:rFonts w:cs="Calibri"/>
                <w:color w:val="000000"/>
                <w:kern w:val="0"/>
                <w:szCs w:val="18"/>
                <w:lang w:eastAsia="en-US"/>
              </w:rPr>
            </w:pPr>
            <w:r w:rsidRPr="00894701">
              <w:rPr>
                <w:rFonts w:cs="Calibri"/>
                <w:color w:val="000000"/>
                <w:kern w:val="0"/>
                <w:szCs w:val="18"/>
                <w:lang w:eastAsia="en-US"/>
              </w:rPr>
              <w:t>First exploration wells were independently drilled in the nearshore acreage</w:t>
            </w:r>
          </w:p>
        </w:tc>
      </w:tr>
      <w:tr w:rsidR="00160187" w:rsidRPr="00894701" w14:paraId="16B36443" w14:textId="77777777" w:rsidTr="00160187">
        <w:trPr>
          <w:trHeight w:val="708"/>
        </w:trPr>
        <w:tc>
          <w:tcPr>
            <w:tcW w:w="638" w:type="dxa"/>
            <w:tcBorders>
              <w:top w:val="nil"/>
              <w:left w:val="nil"/>
              <w:bottom w:val="single" w:sz="8" w:space="0" w:color="F7A3B0"/>
              <w:right w:val="nil"/>
            </w:tcBorders>
            <w:shd w:val="clear" w:color="000000" w:fill="F7A3B0"/>
            <w:noWrap/>
            <w:vAlign w:val="center"/>
            <w:hideMark/>
          </w:tcPr>
          <w:p w14:paraId="21C72905" w14:textId="77777777" w:rsidR="00160187" w:rsidRPr="00894701" w:rsidRDefault="00160187" w:rsidP="00160187">
            <w:pPr>
              <w:spacing w:after="0" w:line="240" w:lineRule="auto"/>
              <w:jc w:val="center"/>
              <w:rPr>
                <w:rFonts w:cs="Calibri"/>
                <w:b/>
                <w:bCs/>
                <w:color w:val="000000"/>
                <w:kern w:val="0"/>
                <w:szCs w:val="18"/>
                <w:lang w:eastAsia="en-US"/>
              </w:rPr>
            </w:pPr>
            <w:r w:rsidRPr="00894701">
              <w:rPr>
                <w:rFonts w:cs="Calibri"/>
                <w:b/>
                <w:bCs/>
                <w:color w:val="000000"/>
                <w:kern w:val="0"/>
                <w:szCs w:val="18"/>
                <w:lang w:eastAsia="en-US"/>
              </w:rPr>
              <w:t>2020</w:t>
            </w:r>
          </w:p>
        </w:tc>
        <w:tc>
          <w:tcPr>
            <w:tcW w:w="8722" w:type="dxa"/>
            <w:tcBorders>
              <w:top w:val="nil"/>
              <w:left w:val="nil"/>
              <w:bottom w:val="single" w:sz="8" w:space="0" w:color="F7A3B0"/>
              <w:right w:val="nil"/>
            </w:tcBorders>
            <w:shd w:val="clear" w:color="000000" w:fill="F7A3B0"/>
            <w:noWrap/>
            <w:vAlign w:val="center"/>
            <w:hideMark/>
          </w:tcPr>
          <w:p w14:paraId="707D6C5F" w14:textId="77777777" w:rsidR="00160187" w:rsidRPr="00894701" w:rsidRDefault="00160187" w:rsidP="00160187">
            <w:pPr>
              <w:spacing w:after="0" w:line="240" w:lineRule="auto"/>
              <w:jc w:val="both"/>
              <w:rPr>
                <w:rFonts w:cs="Calibri"/>
                <w:color w:val="000000"/>
                <w:kern w:val="0"/>
                <w:szCs w:val="18"/>
                <w:lang w:eastAsia="en-US"/>
              </w:rPr>
            </w:pPr>
            <w:r w:rsidRPr="00894701">
              <w:rPr>
                <w:rFonts w:cs="Calibri"/>
                <w:color w:val="000000"/>
                <w:kern w:val="0"/>
                <w:szCs w:val="18"/>
                <w:lang w:eastAsia="en-US"/>
              </w:rPr>
              <w:t xml:space="preserve">IOCs Apache and Total make three consecutive major offshore oil discoveries in Block 58, and Petronas and ExxonMobil discover oil at Block 52. These finds confirm Suriname as a world-class hydrocarbon resource. </w:t>
            </w:r>
          </w:p>
        </w:tc>
      </w:tr>
    </w:tbl>
    <w:p w14:paraId="4029C2DB" w14:textId="77777777" w:rsidR="00160187" w:rsidRPr="00894701" w:rsidRDefault="00160187" w:rsidP="00C31130">
      <w:pPr>
        <w:spacing w:before="120" w:line="240" w:lineRule="auto"/>
        <w:jc w:val="both"/>
        <w:rPr>
          <w:rFonts w:asciiTheme="minorHAnsi" w:hAnsiTheme="minorHAnsi" w:cs="TrebuchetMS"/>
          <w:color w:val="000000"/>
          <w:sz w:val="20"/>
          <w:szCs w:val="20"/>
        </w:rPr>
      </w:pPr>
    </w:p>
    <w:p w14:paraId="43AAF82B" w14:textId="2236A53C" w:rsidR="00CB0BE5" w:rsidRPr="00894701" w:rsidRDefault="0088736F" w:rsidP="000721DF">
      <w:pPr>
        <w:pStyle w:val="ListParagraph"/>
        <w:numPr>
          <w:ilvl w:val="1"/>
          <w:numId w:val="7"/>
        </w:numPr>
        <w:spacing w:before="240" w:after="240"/>
        <w:ind w:left="851" w:right="482" w:hanging="851"/>
        <w:outlineLvl w:val="1"/>
        <w:rPr>
          <w:b/>
          <w:sz w:val="28"/>
          <w:szCs w:val="28"/>
        </w:rPr>
      </w:pPr>
      <w:bookmarkStart w:id="138" w:name="_Toc122478856"/>
      <w:bookmarkStart w:id="139" w:name="_Hlk113871587"/>
      <w:r w:rsidRPr="00894701">
        <w:rPr>
          <w:b/>
          <w:sz w:val="28"/>
          <w:szCs w:val="28"/>
        </w:rPr>
        <w:t>Legal and Institutional Framework (EITI Requirement 2.1)</w:t>
      </w:r>
      <w:bookmarkEnd w:id="138"/>
    </w:p>
    <w:bookmarkEnd w:id="139"/>
    <w:p w14:paraId="4F80A968" w14:textId="3CEA4D6E" w:rsidR="0088736F" w:rsidRPr="00894701" w:rsidRDefault="00A4302A" w:rsidP="00A834A8">
      <w:pPr>
        <w:pStyle w:val="AltMinorHeading"/>
        <w:numPr>
          <w:ilvl w:val="2"/>
          <w:numId w:val="59"/>
        </w:numPr>
        <w:rPr>
          <w:szCs w:val="28"/>
        </w:rPr>
      </w:pPr>
      <w:r w:rsidRPr="00894701">
        <w:rPr>
          <w:szCs w:val="28"/>
        </w:rPr>
        <w:tab/>
      </w:r>
      <w:bookmarkStart w:id="140" w:name="_Toc122478857"/>
      <w:r w:rsidRPr="00894701">
        <w:rPr>
          <w:szCs w:val="28"/>
        </w:rPr>
        <w:t xml:space="preserve">Legal and Institutional Framework </w:t>
      </w:r>
      <w:r w:rsidR="00670F09" w:rsidRPr="00894701">
        <w:rPr>
          <w:szCs w:val="28"/>
        </w:rPr>
        <w:t xml:space="preserve">in the </w:t>
      </w:r>
      <w:r w:rsidR="0088736F" w:rsidRPr="00894701">
        <w:rPr>
          <w:szCs w:val="28"/>
        </w:rPr>
        <w:t>Mining sector</w:t>
      </w:r>
      <w:bookmarkEnd w:id="140"/>
      <w:r w:rsidR="00206BA2" w:rsidRPr="00894701">
        <w:rPr>
          <w:szCs w:val="28"/>
        </w:rPr>
        <w:t xml:space="preserve"> </w:t>
      </w:r>
    </w:p>
    <w:p w14:paraId="15EFD513" w14:textId="43AC9584" w:rsidR="0088736F" w:rsidRPr="00894701" w:rsidRDefault="0088736F" w:rsidP="0088736F">
      <w:pPr>
        <w:spacing w:before="120"/>
        <w:jc w:val="both"/>
        <w:rPr>
          <w:rFonts w:asciiTheme="minorHAnsi" w:hAnsiTheme="minorHAnsi"/>
          <w:color w:val="auto"/>
          <w:sz w:val="20"/>
        </w:rPr>
      </w:pPr>
      <w:r w:rsidRPr="00894701">
        <w:rPr>
          <w:rFonts w:asciiTheme="minorHAnsi" w:hAnsiTheme="minorHAnsi"/>
          <w:color w:val="auto"/>
          <w:sz w:val="20"/>
        </w:rPr>
        <w:t xml:space="preserve">We set out below a summary description of the legal framework, institutional framework and </w:t>
      </w:r>
      <w:r w:rsidR="00466ED7" w:rsidRPr="00894701">
        <w:rPr>
          <w:rFonts w:asciiTheme="minorHAnsi" w:hAnsiTheme="minorHAnsi"/>
          <w:color w:val="auto"/>
          <w:sz w:val="20"/>
        </w:rPr>
        <w:t>fiscal</w:t>
      </w:r>
      <w:r w:rsidRPr="00894701">
        <w:rPr>
          <w:rFonts w:asciiTheme="minorHAnsi" w:hAnsiTheme="minorHAnsi"/>
          <w:color w:val="auto"/>
          <w:sz w:val="20"/>
        </w:rPr>
        <w:t xml:space="preserve"> regime governing the mining sector.</w:t>
      </w:r>
      <w:r w:rsidR="00206BA2" w:rsidRPr="00894701">
        <w:rPr>
          <w:rFonts w:asciiTheme="minorHAnsi" w:hAnsiTheme="minorHAnsi"/>
          <w:color w:val="auto"/>
          <w:sz w:val="20"/>
        </w:rPr>
        <w:t xml:space="preserve"> </w:t>
      </w:r>
    </w:p>
    <w:p w14:paraId="2CCDE8A9" w14:textId="456A3687" w:rsidR="0088736F" w:rsidRPr="00894701" w:rsidRDefault="00BB46FD" w:rsidP="009F372D">
      <w:pPr>
        <w:pStyle w:val="AltMinorSubHeading"/>
        <w:numPr>
          <w:ilvl w:val="0"/>
          <w:numId w:val="0"/>
        </w:numPr>
        <w:spacing w:before="120" w:after="120"/>
      </w:pPr>
      <w:bookmarkStart w:id="141" w:name="_Toc122478858"/>
      <w:r w:rsidRPr="00894701">
        <w:t>3</w:t>
      </w:r>
      <w:r w:rsidR="0088736F" w:rsidRPr="00894701">
        <w:t>.2.1</w:t>
      </w:r>
      <w:r w:rsidR="009F372D" w:rsidRPr="00894701">
        <w:t>.</w:t>
      </w:r>
      <w:r w:rsidR="00AE699C" w:rsidRPr="00894701">
        <w:t xml:space="preserve"> </w:t>
      </w:r>
      <w:r w:rsidR="0088736F" w:rsidRPr="00894701">
        <w:t>(a) Institutional Framework</w:t>
      </w:r>
      <w:bookmarkEnd w:id="141"/>
      <w:r w:rsidR="00206BA2" w:rsidRPr="00894701">
        <w:t xml:space="preserve"> </w:t>
      </w:r>
    </w:p>
    <w:p w14:paraId="5743760D" w14:textId="0DEFAAAB" w:rsidR="00CA282D" w:rsidRPr="00894701" w:rsidRDefault="00CA282D" w:rsidP="00CA282D">
      <w:pPr>
        <w:spacing w:before="120"/>
        <w:jc w:val="both"/>
        <w:rPr>
          <w:rFonts w:asciiTheme="minorHAnsi" w:hAnsiTheme="minorHAnsi"/>
          <w:color w:val="auto"/>
          <w:sz w:val="20"/>
        </w:rPr>
      </w:pPr>
      <w:bookmarkStart w:id="142" w:name="_Toc529916491"/>
      <w:r w:rsidRPr="00894701">
        <w:rPr>
          <w:rFonts w:asciiTheme="minorHAnsi" w:hAnsiTheme="minorHAnsi"/>
          <w:color w:val="auto"/>
          <w:sz w:val="20"/>
        </w:rPr>
        <w:t xml:space="preserve">The Ministry of Natural Resources (MONR) and the Geologisch Mijnbouwkundige Dienst (GMD) / Geological Mining Department are the main government agencies responsible for the promotion and control of exploration and mining activities in Suriname. They are also responsible for the implementation and monitoring of government policies and the development of legislative and regulatory provisions applicable to the mining sector. The key responsibilities of each government agency in managing the mining sector are summarised in the table below. </w:t>
      </w:r>
    </w:p>
    <w:p w14:paraId="5214A863" w14:textId="78B49D13" w:rsidR="00CA282D" w:rsidRPr="00894701" w:rsidRDefault="00CA282D" w:rsidP="00CA282D">
      <w:pPr>
        <w:pStyle w:val="BodyText"/>
        <w:jc w:val="center"/>
        <w:rPr>
          <w:rFonts w:asciiTheme="majorHAnsi" w:hAnsiTheme="majorHAnsi"/>
          <w:b/>
          <w:bCs/>
          <w:color w:val="98002E" w:themeColor="accent3"/>
          <w:sz w:val="20"/>
        </w:rPr>
      </w:pPr>
      <w:bookmarkStart w:id="143" w:name="_Toc93095206"/>
      <w:bookmarkStart w:id="144" w:name="_Toc109599080"/>
      <w:bookmarkStart w:id="145" w:name="_Toc146590487"/>
      <w:r w:rsidRPr="00894701">
        <w:rPr>
          <w:rFonts w:asciiTheme="majorHAnsi" w:hAnsiTheme="majorHAnsi"/>
          <w:b/>
          <w:bCs/>
          <w:color w:val="98002E" w:themeColor="accent3"/>
          <w:sz w:val="20"/>
        </w:rPr>
        <w:t xml:space="preserve">Table </w:t>
      </w:r>
      <w:r w:rsidRPr="00894701">
        <w:rPr>
          <w:rFonts w:asciiTheme="majorHAnsi" w:hAnsiTheme="majorHAnsi"/>
          <w:b/>
          <w:bCs/>
          <w:color w:val="98002E" w:themeColor="accent3"/>
          <w:sz w:val="20"/>
        </w:rPr>
        <w:fldChar w:fldCharType="begin"/>
      </w:r>
      <w:r w:rsidRPr="00894701">
        <w:rPr>
          <w:rFonts w:asciiTheme="majorHAnsi" w:hAnsiTheme="majorHAnsi"/>
          <w:b/>
          <w:bCs/>
          <w:color w:val="98002E" w:themeColor="accent3"/>
          <w:sz w:val="20"/>
        </w:rPr>
        <w:instrText xml:space="preserve"> SEQ Table \* ARABIC </w:instrText>
      </w:r>
      <w:r w:rsidRPr="00894701">
        <w:rPr>
          <w:rFonts w:asciiTheme="majorHAnsi" w:hAnsiTheme="majorHAnsi"/>
          <w:b/>
          <w:bCs/>
          <w:color w:val="98002E" w:themeColor="accent3"/>
          <w:sz w:val="20"/>
        </w:rPr>
        <w:fldChar w:fldCharType="separate"/>
      </w:r>
      <w:r w:rsidR="0035303B">
        <w:rPr>
          <w:rFonts w:asciiTheme="majorHAnsi" w:hAnsiTheme="majorHAnsi"/>
          <w:b/>
          <w:bCs/>
          <w:noProof/>
          <w:color w:val="98002E" w:themeColor="accent3"/>
          <w:sz w:val="20"/>
        </w:rPr>
        <w:t>15</w:t>
      </w:r>
      <w:r w:rsidRPr="00894701">
        <w:rPr>
          <w:rFonts w:asciiTheme="majorHAnsi" w:hAnsiTheme="majorHAnsi"/>
          <w:b/>
          <w:bCs/>
          <w:color w:val="98002E" w:themeColor="accent3"/>
          <w:sz w:val="20"/>
        </w:rPr>
        <w:fldChar w:fldCharType="end"/>
      </w:r>
      <w:r w:rsidRPr="00894701">
        <w:rPr>
          <w:rFonts w:asciiTheme="majorHAnsi" w:hAnsiTheme="majorHAnsi"/>
          <w:b/>
          <w:bCs/>
          <w:color w:val="98002E" w:themeColor="accent3"/>
          <w:sz w:val="20"/>
        </w:rPr>
        <w:t xml:space="preserve">: </w:t>
      </w:r>
      <w:bookmarkEnd w:id="143"/>
      <w:r w:rsidRPr="00894701">
        <w:rPr>
          <w:rFonts w:asciiTheme="majorHAnsi" w:hAnsiTheme="majorHAnsi"/>
          <w:b/>
          <w:bCs/>
          <w:color w:val="98002E" w:themeColor="accent3"/>
          <w:sz w:val="20"/>
        </w:rPr>
        <w:t>Summary of Government agency(ies) key responsibilities</w:t>
      </w:r>
      <w:bookmarkEnd w:id="144"/>
      <w:bookmarkEnd w:id="145"/>
      <w:r w:rsidRPr="00894701">
        <w:rPr>
          <w:rFonts w:asciiTheme="majorHAnsi" w:hAnsiTheme="majorHAnsi"/>
          <w:b/>
          <w:bCs/>
          <w:color w:val="98002E" w:themeColor="accent3"/>
          <w:sz w:val="20"/>
        </w:rPr>
        <w:t xml:space="preserve"> </w:t>
      </w:r>
    </w:p>
    <w:tbl>
      <w:tblPr>
        <w:tblStyle w:val="TableGrid"/>
        <w:tblW w:w="8711" w:type="dxa"/>
        <w:tblLayout w:type="fixed"/>
        <w:tblLook w:val="04A0" w:firstRow="1" w:lastRow="0" w:firstColumn="1" w:lastColumn="0" w:noHBand="0" w:noVBand="1"/>
      </w:tblPr>
      <w:tblGrid>
        <w:gridCol w:w="1893"/>
        <w:gridCol w:w="6818"/>
      </w:tblGrid>
      <w:tr w:rsidR="00CA282D" w:rsidRPr="00894701" w14:paraId="0ADFFA89" w14:textId="77777777" w:rsidTr="00446B8D">
        <w:trPr>
          <w:cnfStyle w:val="100000000000" w:firstRow="1" w:lastRow="0" w:firstColumn="0" w:lastColumn="0" w:oddVBand="0" w:evenVBand="0" w:oddHBand="0" w:evenHBand="0" w:firstRowFirstColumn="0" w:firstRowLastColumn="0" w:lastRowFirstColumn="0" w:lastRowLastColumn="0"/>
          <w:trHeight w:val="273"/>
          <w:tblHeader/>
        </w:trPr>
        <w:tc>
          <w:tcPr>
            <w:cnfStyle w:val="001000000000" w:firstRow="0" w:lastRow="0" w:firstColumn="1" w:lastColumn="0" w:oddVBand="0" w:evenVBand="0" w:oddHBand="0" w:evenHBand="0" w:firstRowFirstColumn="0" w:firstRowLastColumn="0" w:lastRowFirstColumn="0" w:lastRowLastColumn="0"/>
            <w:tcW w:w="1893" w:type="dxa"/>
            <w:tcBorders>
              <w:bottom w:val="single" w:sz="4" w:space="0" w:color="ED1A3B"/>
            </w:tcBorders>
            <w:shd w:val="clear" w:color="auto" w:fill="7A091A"/>
          </w:tcPr>
          <w:p w14:paraId="7D8CCBBB" w14:textId="0C9C2237" w:rsidR="00CA282D" w:rsidRPr="00894701" w:rsidRDefault="00CA282D" w:rsidP="00446B8D">
            <w:pPr>
              <w:spacing w:before="35"/>
              <w:ind w:firstLine="69"/>
              <w:rPr>
                <w:rFonts w:asciiTheme="minorHAnsi" w:hAnsiTheme="minorHAnsi"/>
                <w:color w:val="auto"/>
                <w:szCs w:val="18"/>
              </w:rPr>
            </w:pPr>
            <w:r w:rsidRPr="00894701">
              <w:rPr>
                <w:rFonts w:asciiTheme="minorHAnsi" w:hAnsiTheme="minorHAnsi" w:cs="TrebuchetMS-Bold"/>
                <w:b/>
                <w:bCs/>
                <w:color w:val="auto"/>
                <w:szCs w:val="18"/>
              </w:rPr>
              <w:t xml:space="preserve">Entity  </w:t>
            </w:r>
          </w:p>
        </w:tc>
        <w:tc>
          <w:tcPr>
            <w:tcW w:w="6818" w:type="dxa"/>
            <w:tcBorders>
              <w:bottom w:val="single" w:sz="4" w:space="0" w:color="ED1A3B"/>
            </w:tcBorders>
            <w:shd w:val="clear" w:color="auto" w:fill="7A091A"/>
          </w:tcPr>
          <w:p w14:paraId="1D70C91C" w14:textId="77777777" w:rsidR="00CA282D" w:rsidRPr="00894701" w:rsidRDefault="00CA282D" w:rsidP="00446B8D">
            <w:pPr>
              <w:spacing w:before="35"/>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Cs w:val="18"/>
              </w:rPr>
            </w:pPr>
            <w:r w:rsidRPr="00894701">
              <w:rPr>
                <w:rFonts w:asciiTheme="minorHAnsi" w:hAnsiTheme="minorHAnsi" w:cs="TrebuchetMS-Bold"/>
                <w:b/>
                <w:bCs/>
                <w:color w:val="auto"/>
                <w:spacing w:val="-9"/>
                <w:szCs w:val="18"/>
              </w:rPr>
              <w:t>F</w:t>
            </w:r>
            <w:r w:rsidRPr="00894701">
              <w:rPr>
                <w:rFonts w:asciiTheme="minorHAnsi" w:hAnsiTheme="minorHAnsi" w:cs="TrebuchetMS-Bold"/>
                <w:b/>
                <w:bCs/>
                <w:color w:val="auto"/>
                <w:szCs w:val="18"/>
              </w:rPr>
              <w:t xml:space="preserve">unctions </w:t>
            </w:r>
          </w:p>
        </w:tc>
      </w:tr>
      <w:tr w:rsidR="00CA282D" w:rsidRPr="00894701" w14:paraId="66F07445" w14:textId="77777777" w:rsidTr="00446B8D">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1893" w:type="dxa"/>
            <w:tcBorders>
              <w:top w:val="nil"/>
              <w:left w:val="nil"/>
              <w:bottom w:val="nil"/>
              <w:right w:val="nil"/>
            </w:tcBorders>
            <w:shd w:val="clear" w:color="auto" w:fill="F7A3B0"/>
          </w:tcPr>
          <w:p w14:paraId="4D9B188F" w14:textId="77777777" w:rsidR="00CA282D" w:rsidRPr="00894701" w:rsidRDefault="00CA282D" w:rsidP="00446B8D">
            <w:pPr>
              <w:rPr>
                <w:rFonts w:asciiTheme="minorHAnsi" w:hAnsiTheme="minorHAnsi"/>
                <w:color w:val="auto"/>
                <w:szCs w:val="18"/>
              </w:rPr>
            </w:pPr>
          </w:p>
        </w:tc>
        <w:tc>
          <w:tcPr>
            <w:tcW w:w="6818" w:type="dxa"/>
            <w:vMerge w:val="restart"/>
            <w:tcBorders>
              <w:top w:val="nil"/>
              <w:left w:val="nil"/>
              <w:bottom w:val="nil"/>
              <w:right w:val="nil"/>
            </w:tcBorders>
            <w:shd w:val="clear" w:color="auto" w:fill="F7A3B0"/>
          </w:tcPr>
          <w:p w14:paraId="520A0808" w14:textId="75BF602D" w:rsidR="00CA282D" w:rsidRPr="00894701" w:rsidRDefault="00CA282D" w:rsidP="00446B8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rebuchetMS"/>
                <w:color w:val="auto"/>
                <w:szCs w:val="18"/>
              </w:rPr>
            </w:pPr>
            <w:r w:rsidRPr="00894701">
              <w:rPr>
                <w:rFonts w:asciiTheme="minorHAnsi" w:hAnsiTheme="minorHAnsi" w:cs="TrebuchetMS"/>
                <w:color w:val="auto"/>
                <w:szCs w:val="18"/>
              </w:rPr>
              <w:t xml:space="preserve">MONR was set up on 26 July 1958, with the purpose of ensuring sustainable and efficient management and development of the natural resources potentially </w:t>
            </w:r>
            <w:r w:rsidRPr="00894701">
              <w:rPr>
                <w:rFonts w:asciiTheme="minorHAnsi" w:hAnsiTheme="minorHAnsi" w:cs="TrebuchetMS"/>
                <w:color w:val="auto"/>
                <w:szCs w:val="18"/>
              </w:rPr>
              <w:lastRenderedPageBreak/>
              <w:t xml:space="preserve">present in Suriname. In order to achieve the objective, the following tasks have been assigned to the Ministry: </w:t>
            </w:r>
          </w:p>
          <w:p w14:paraId="4D7E0473" w14:textId="77777777" w:rsidR="00CA282D" w:rsidRPr="00894701" w:rsidRDefault="00CA282D" w:rsidP="00CA282D">
            <w:pPr>
              <w:pStyle w:val="ListParagraph"/>
              <w:widowControl w:val="0"/>
              <w:numPr>
                <w:ilvl w:val="0"/>
                <w:numId w:val="2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rebuchetMS"/>
                <w:color w:val="auto"/>
                <w:szCs w:val="18"/>
              </w:rPr>
            </w:pPr>
            <w:r w:rsidRPr="00894701">
              <w:rPr>
                <w:rFonts w:asciiTheme="minorHAnsi" w:hAnsiTheme="minorHAnsi" w:cs="TrebuchetMS"/>
                <w:color w:val="auto"/>
                <w:szCs w:val="18"/>
              </w:rPr>
              <w:t xml:space="preserve">development and implementation of a national policy on natural resources and energy; </w:t>
            </w:r>
          </w:p>
          <w:p w14:paraId="767D80D9" w14:textId="702A3DB0" w:rsidR="00CA282D" w:rsidRPr="00894701" w:rsidRDefault="00CA282D" w:rsidP="00CA282D">
            <w:pPr>
              <w:pStyle w:val="ListParagraph"/>
              <w:widowControl w:val="0"/>
              <w:numPr>
                <w:ilvl w:val="0"/>
                <w:numId w:val="2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rebuchetMS"/>
                <w:color w:val="auto"/>
                <w:szCs w:val="18"/>
              </w:rPr>
            </w:pPr>
            <w:r w:rsidRPr="00894701">
              <w:rPr>
                <w:rFonts w:asciiTheme="minorHAnsi" w:hAnsiTheme="minorHAnsi" w:cs="TrebuchetMS"/>
                <w:color w:val="auto"/>
                <w:szCs w:val="18"/>
              </w:rPr>
              <w:t xml:space="preserve">responsible for inventory, exploration, optimal exploitation and management of minerals, water and the natural resources needed for energy; </w:t>
            </w:r>
          </w:p>
          <w:p w14:paraId="69B2DACB" w14:textId="0E573809" w:rsidR="00CA282D" w:rsidRPr="00894701" w:rsidRDefault="00CA282D" w:rsidP="00CA282D">
            <w:pPr>
              <w:pStyle w:val="ListParagraph"/>
              <w:widowControl w:val="0"/>
              <w:numPr>
                <w:ilvl w:val="0"/>
                <w:numId w:val="2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rebuchetMS"/>
                <w:color w:val="auto"/>
                <w:szCs w:val="18"/>
              </w:rPr>
            </w:pPr>
            <w:r w:rsidRPr="00894701">
              <w:rPr>
                <w:rFonts w:asciiTheme="minorHAnsi" w:hAnsiTheme="minorHAnsi" w:cs="TrebuchetMS"/>
                <w:color w:val="auto"/>
                <w:szCs w:val="18"/>
              </w:rPr>
              <w:t xml:space="preserve">data management, where necessary in an interdepartmental context; </w:t>
            </w:r>
          </w:p>
          <w:p w14:paraId="0D8093D6" w14:textId="430D5982" w:rsidR="00CA282D" w:rsidRPr="00894701" w:rsidRDefault="00CA282D" w:rsidP="00CA282D">
            <w:pPr>
              <w:pStyle w:val="ListParagraph"/>
              <w:widowControl w:val="0"/>
              <w:numPr>
                <w:ilvl w:val="0"/>
                <w:numId w:val="2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rebuchetMS"/>
                <w:color w:val="auto"/>
                <w:szCs w:val="18"/>
              </w:rPr>
            </w:pPr>
            <w:r w:rsidRPr="00894701">
              <w:rPr>
                <w:rFonts w:asciiTheme="minorHAnsi" w:hAnsiTheme="minorHAnsi" w:cs="TrebuchetMS"/>
                <w:color w:val="auto"/>
                <w:szCs w:val="18"/>
              </w:rPr>
              <w:t xml:space="preserve">the supply of drinking water; </w:t>
            </w:r>
          </w:p>
          <w:p w14:paraId="18B43669" w14:textId="722F9874" w:rsidR="00CA282D" w:rsidRPr="00894701" w:rsidRDefault="00CA282D" w:rsidP="00CA282D">
            <w:pPr>
              <w:pStyle w:val="ListParagraph"/>
              <w:widowControl w:val="0"/>
              <w:numPr>
                <w:ilvl w:val="0"/>
                <w:numId w:val="2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rebuchetMS"/>
                <w:color w:val="auto"/>
                <w:szCs w:val="18"/>
              </w:rPr>
            </w:pPr>
            <w:r w:rsidRPr="00894701">
              <w:rPr>
                <w:rFonts w:asciiTheme="minorHAnsi" w:hAnsiTheme="minorHAnsi" w:cs="TrebuchetMS"/>
                <w:color w:val="auto"/>
                <w:szCs w:val="18"/>
              </w:rPr>
              <w:t xml:space="preserve">the supply of energy; and </w:t>
            </w:r>
          </w:p>
          <w:p w14:paraId="5498206D" w14:textId="26F89E3E" w:rsidR="00CA282D" w:rsidRPr="00894701" w:rsidRDefault="00CA282D" w:rsidP="00CA282D">
            <w:pPr>
              <w:pStyle w:val="ListParagraph"/>
              <w:widowControl w:val="0"/>
              <w:numPr>
                <w:ilvl w:val="0"/>
                <w:numId w:val="2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rebuchetMS"/>
                <w:color w:val="auto"/>
                <w:szCs w:val="18"/>
              </w:rPr>
            </w:pPr>
            <w:r w:rsidRPr="00894701">
              <w:rPr>
                <w:rFonts w:asciiTheme="minorHAnsi" w:hAnsiTheme="minorHAnsi" w:cs="TrebuchetMS"/>
                <w:color w:val="auto"/>
                <w:szCs w:val="18"/>
              </w:rPr>
              <w:t xml:space="preserve">checking compliance with rules and regulations regarding minerals, water management, as well as the generation, transport and distribution of energy; and </w:t>
            </w:r>
          </w:p>
          <w:p w14:paraId="6B20DDF8" w14:textId="77777777" w:rsidR="00CA282D" w:rsidRPr="00894701" w:rsidRDefault="00CA282D" w:rsidP="00CA282D">
            <w:pPr>
              <w:pStyle w:val="ListParagraph"/>
              <w:widowControl w:val="0"/>
              <w:numPr>
                <w:ilvl w:val="0"/>
                <w:numId w:val="2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rebuchetMS"/>
                <w:color w:val="auto"/>
                <w:szCs w:val="18"/>
              </w:rPr>
            </w:pPr>
            <w:r w:rsidRPr="00894701">
              <w:rPr>
                <w:rFonts w:asciiTheme="minorHAnsi" w:hAnsiTheme="minorHAnsi" w:cs="TrebuchetMS"/>
                <w:color w:val="auto"/>
                <w:szCs w:val="18"/>
              </w:rPr>
              <w:t>checking compliance with rules and regulations regarding minerals, water management, generation, transport and distribution of energy.</w:t>
            </w:r>
          </w:p>
        </w:tc>
      </w:tr>
      <w:tr w:rsidR="00CA282D" w:rsidRPr="00894701" w14:paraId="6EB0F38A" w14:textId="77777777" w:rsidTr="00446B8D">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893" w:type="dxa"/>
            <w:tcBorders>
              <w:bottom w:val="single" w:sz="2" w:space="0" w:color="FF0000"/>
            </w:tcBorders>
            <w:shd w:val="clear" w:color="auto" w:fill="F7A3B0"/>
            <w:vAlign w:val="center"/>
          </w:tcPr>
          <w:p w14:paraId="31A95A9A" w14:textId="77777777" w:rsidR="00CA282D" w:rsidRPr="00894701" w:rsidRDefault="00CA282D" w:rsidP="00446B8D">
            <w:pPr>
              <w:rPr>
                <w:rFonts w:asciiTheme="minorHAnsi" w:hAnsiTheme="minorHAnsi"/>
                <w:b/>
                <w:bCs/>
                <w:color w:val="auto"/>
                <w:szCs w:val="18"/>
              </w:rPr>
            </w:pPr>
            <w:r w:rsidRPr="00894701">
              <w:rPr>
                <w:rFonts w:asciiTheme="minorHAnsi" w:hAnsiTheme="minorHAnsi"/>
                <w:b/>
                <w:bCs/>
                <w:color w:val="auto"/>
                <w:szCs w:val="18"/>
              </w:rPr>
              <w:t>Ministry of Natural</w:t>
            </w:r>
          </w:p>
          <w:p w14:paraId="49059020" w14:textId="77777777" w:rsidR="00CA282D" w:rsidRPr="00894701" w:rsidRDefault="00CA282D" w:rsidP="00446B8D">
            <w:pPr>
              <w:rPr>
                <w:rFonts w:asciiTheme="minorHAnsi" w:hAnsiTheme="minorHAnsi"/>
                <w:color w:val="auto"/>
                <w:szCs w:val="18"/>
              </w:rPr>
            </w:pPr>
            <w:r w:rsidRPr="00894701">
              <w:rPr>
                <w:rFonts w:asciiTheme="minorHAnsi" w:hAnsiTheme="minorHAnsi"/>
                <w:b/>
                <w:bCs/>
                <w:color w:val="auto"/>
                <w:szCs w:val="18"/>
              </w:rPr>
              <w:lastRenderedPageBreak/>
              <w:t>Resources (MONR)</w:t>
            </w:r>
          </w:p>
        </w:tc>
        <w:tc>
          <w:tcPr>
            <w:tcW w:w="6818" w:type="dxa"/>
            <w:vMerge/>
            <w:tcBorders>
              <w:bottom w:val="single" w:sz="2" w:space="0" w:color="FF0000"/>
            </w:tcBorders>
            <w:shd w:val="clear" w:color="auto" w:fill="F7A3B0"/>
          </w:tcPr>
          <w:p w14:paraId="7576EEB8" w14:textId="77777777" w:rsidR="00CA282D" w:rsidRPr="00894701" w:rsidRDefault="00CA282D" w:rsidP="00446B8D">
            <w:pP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p>
        </w:tc>
      </w:tr>
      <w:tr w:rsidR="00CA282D" w:rsidRPr="00894701" w14:paraId="605E70D1" w14:textId="77777777" w:rsidTr="00446B8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893" w:type="dxa"/>
            <w:tcBorders>
              <w:top w:val="single" w:sz="2" w:space="0" w:color="FF0000"/>
              <w:left w:val="nil"/>
              <w:bottom w:val="single" w:sz="2" w:space="0" w:color="FF0000"/>
              <w:right w:val="nil"/>
            </w:tcBorders>
            <w:vAlign w:val="center"/>
          </w:tcPr>
          <w:p w14:paraId="157BE827" w14:textId="77777777" w:rsidR="00CA282D" w:rsidRPr="00894701" w:rsidRDefault="00CA282D" w:rsidP="00446B8D">
            <w:pPr>
              <w:rPr>
                <w:rFonts w:asciiTheme="minorHAnsi" w:hAnsiTheme="minorHAnsi"/>
                <w:b/>
                <w:bCs/>
                <w:color w:val="auto"/>
                <w:szCs w:val="18"/>
                <w:lang w:val="nl-NL"/>
              </w:rPr>
            </w:pPr>
            <w:r w:rsidRPr="00894701">
              <w:rPr>
                <w:rFonts w:asciiTheme="minorHAnsi" w:hAnsiTheme="minorHAnsi"/>
                <w:b/>
                <w:bCs/>
                <w:color w:val="auto"/>
                <w:szCs w:val="18"/>
                <w:lang w:val="nl-NL"/>
              </w:rPr>
              <w:t xml:space="preserve">Geological Mining Department / </w:t>
            </w:r>
          </w:p>
          <w:p w14:paraId="4D85CCC0" w14:textId="77777777" w:rsidR="00CA282D" w:rsidRPr="00894701" w:rsidRDefault="00CA282D" w:rsidP="00446B8D">
            <w:pPr>
              <w:rPr>
                <w:rFonts w:asciiTheme="minorHAnsi" w:hAnsiTheme="minorHAnsi"/>
                <w:b/>
                <w:bCs/>
                <w:color w:val="auto"/>
                <w:szCs w:val="18"/>
                <w:lang w:val="nl-NL"/>
              </w:rPr>
            </w:pPr>
            <w:r w:rsidRPr="00894701">
              <w:rPr>
                <w:rFonts w:asciiTheme="minorHAnsi" w:hAnsiTheme="minorHAnsi"/>
                <w:b/>
                <w:bCs/>
                <w:color w:val="auto"/>
                <w:szCs w:val="18"/>
                <w:lang w:val="nl-NL"/>
              </w:rPr>
              <w:t xml:space="preserve">Geologisch </w:t>
            </w:r>
          </w:p>
          <w:p w14:paraId="210CBE83" w14:textId="77777777" w:rsidR="00CA282D" w:rsidRPr="00894701" w:rsidRDefault="00CA282D" w:rsidP="00446B8D">
            <w:pPr>
              <w:rPr>
                <w:rFonts w:asciiTheme="minorHAnsi" w:hAnsiTheme="minorHAnsi"/>
                <w:b/>
                <w:bCs/>
                <w:color w:val="auto"/>
                <w:szCs w:val="18"/>
                <w:lang w:val="nl-NL"/>
              </w:rPr>
            </w:pPr>
            <w:r w:rsidRPr="00894701">
              <w:rPr>
                <w:rFonts w:asciiTheme="minorHAnsi" w:hAnsiTheme="minorHAnsi"/>
                <w:b/>
                <w:bCs/>
                <w:color w:val="auto"/>
                <w:szCs w:val="18"/>
                <w:lang w:val="nl-NL"/>
              </w:rPr>
              <w:t xml:space="preserve">Mijnbouwkundige Dienst (GMD) </w:t>
            </w:r>
          </w:p>
        </w:tc>
        <w:tc>
          <w:tcPr>
            <w:tcW w:w="6818" w:type="dxa"/>
            <w:tcBorders>
              <w:top w:val="single" w:sz="2" w:space="0" w:color="FF0000"/>
              <w:left w:val="nil"/>
              <w:bottom w:val="single" w:sz="2" w:space="0" w:color="FF0000"/>
              <w:right w:val="nil"/>
            </w:tcBorders>
          </w:tcPr>
          <w:p w14:paraId="00F57C7D" w14:textId="7E11E6F9" w:rsidR="00CA282D" w:rsidRPr="00894701" w:rsidRDefault="00CA282D" w:rsidP="001851B2">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GMD was set up in 1949. In 1958 GMD was housed under the Ministry of National Development, the predecessor of the MONR. From its inception, GMD was assigned four tasks:  </w:t>
            </w:r>
          </w:p>
          <w:p w14:paraId="64B5732B" w14:textId="77777777" w:rsidR="00CA282D" w:rsidRPr="00894701" w:rsidRDefault="00CA282D" w:rsidP="001851B2">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Geological Mining Department / Geologisch Mijnbouwkundige Dienst (GMD) producing geological maps;  </w:t>
            </w:r>
          </w:p>
          <w:p w14:paraId="20101576" w14:textId="0FD6E5C8" w:rsidR="00CA282D" w:rsidRPr="00894701" w:rsidRDefault="00CA282D" w:rsidP="001851B2">
            <w:pPr>
              <w:pStyle w:val="ListParagraph"/>
              <w:widowControl w:val="0"/>
              <w:numPr>
                <w:ilvl w:val="0"/>
                <w:numId w:val="2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keep an inventory of minerals; </w:t>
            </w:r>
          </w:p>
          <w:p w14:paraId="241410D5" w14:textId="4239DEEE" w:rsidR="00CA282D" w:rsidRPr="00894701" w:rsidRDefault="00CA282D" w:rsidP="001851B2">
            <w:pPr>
              <w:pStyle w:val="ListParagraph"/>
              <w:widowControl w:val="0"/>
              <w:numPr>
                <w:ilvl w:val="0"/>
                <w:numId w:val="2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advise the minister on mining legislation, exploration permits and concessions;  </w:t>
            </w:r>
          </w:p>
          <w:p w14:paraId="30D6815D" w14:textId="412A2FEB" w:rsidR="00CA282D" w:rsidRPr="00894701" w:rsidRDefault="00CA282D" w:rsidP="001851B2">
            <w:pPr>
              <w:pStyle w:val="ListParagraph"/>
              <w:widowControl w:val="0"/>
              <w:numPr>
                <w:ilvl w:val="0"/>
                <w:numId w:val="2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monitor the resulting activities of third parties (mine inspection); and  </w:t>
            </w:r>
          </w:p>
          <w:p w14:paraId="302D994A" w14:textId="0A7D33F3" w:rsidR="00CA282D" w:rsidRPr="00894701" w:rsidRDefault="00CA282D" w:rsidP="001851B2">
            <w:pPr>
              <w:pStyle w:val="ListParagraph"/>
              <w:widowControl w:val="0"/>
              <w:numPr>
                <w:ilvl w:val="0"/>
                <w:numId w:val="3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provide services to third parties in the field of geological exploration and mining inventory. </w:t>
            </w:r>
          </w:p>
        </w:tc>
      </w:tr>
      <w:tr w:rsidR="00CA282D" w:rsidRPr="00894701" w14:paraId="1FAC1751" w14:textId="77777777" w:rsidTr="00446B8D">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893" w:type="dxa"/>
            <w:tcBorders>
              <w:top w:val="single" w:sz="2" w:space="0" w:color="FF0000"/>
              <w:bottom w:val="single" w:sz="2" w:space="0" w:color="FF0000"/>
            </w:tcBorders>
            <w:shd w:val="clear" w:color="auto" w:fill="F7A3B0"/>
            <w:vAlign w:val="center"/>
          </w:tcPr>
          <w:p w14:paraId="221ADFF7" w14:textId="77777777" w:rsidR="00CA282D" w:rsidRPr="00894701" w:rsidRDefault="00CA282D" w:rsidP="00446B8D">
            <w:pPr>
              <w:rPr>
                <w:rFonts w:asciiTheme="minorHAnsi" w:hAnsiTheme="minorHAnsi"/>
                <w:b/>
                <w:bCs/>
                <w:color w:val="auto"/>
                <w:szCs w:val="18"/>
              </w:rPr>
            </w:pPr>
            <w:r w:rsidRPr="00894701">
              <w:rPr>
                <w:rFonts w:asciiTheme="minorHAnsi" w:hAnsiTheme="minorHAnsi"/>
                <w:b/>
                <w:bCs/>
                <w:color w:val="auto"/>
                <w:szCs w:val="18"/>
              </w:rPr>
              <w:t xml:space="preserve">Bauxite Institute Suriname/ Bauxiet Instituut Suriname (BIS) </w:t>
            </w:r>
          </w:p>
          <w:p w14:paraId="7C0EB8A1" w14:textId="77777777" w:rsidR="00CA282D" w:rsidRPr="00894701" w:rsidRDefault="00CA282D" w:rsidP="00446B8D">
            <w:pPr>
              <w:jc w:val="center"/>
              <w:rPr>
                <w:rFonts w:asciiTheme="minorHAnsi" w:hAnsiTheme="minorHAnsi"/>
                <w:b/>
                <w:bCs/>
                <w:color w:val="auto"/>
                <w:szCs w:val="18"/>
              </w:rPr>
            </w:pPr>
          </w:p>
        </w:tc>
        <w:tc>
          <w:tcPr>
            <w:tcW w:w="6818" w:type="dxa"/>
            <w:tcBorders>
              <w:top w:val="single" w:sz="2" w:space="0" w:color="FF0000"/>
              <w:bottom w:val="single" w:sz="2" w:space="0" w:color="FF0000"/>
            </w:tcBorders>
            <w:shd w:val="clear" w:color="auto" w:fill="F7A3B0"/>
          </w:tcPr>
          <w:p w14:paraId="5BCDF7A4" w14:textId="443D44FB" w:rsidR="00CA282D" w:rsidRPr="00894701" w:rsidRDefault="00CA282D" w:rsidP="00446B8D">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The Bauxite Institute Suriname (BIS) was founded in 1981 </w:t>
            </w:r>
            <w:r w:rsidR="006D35DB">
              <w:rPr>
                <w:rFonts w:asciiTheme="minorHAnsi" w:hAnsiTheme="minorHAnsi"/>
                <w:color w:val="auto"/>
                <w:szCs w:val="18"/>
              </w:rPr>
              <w:t>w</w:t>
            </w:r>
            <w:r w:rsidRPr="00894701">
              <w:rPr>
                <w:rFonts w:asciiTheme="minorHAnsi" w:hAnsiTheme="minorHAnsi"/>
                <w:color w:val="auto"/>
                <w:szCs w:val="18"/>
              </w:rPr>
              <w:t>ith its primary objective being</w:t>
            </w:r>
            <w:r w:rsidR="007A6A9E">
              <w:rPr>
                <w:rFonts w:asciiTheme="minorHAnsi" w:hAnsiTheme="minorHAnsi"/>
                <w:color w:val="auto"/>
                <w:szCs w:val="18"/>
              </w:rPr>
              <w:t>:</w:t>
            </w:r>
          </w:p>
          <w:p w14:paraId="07A231DD" w14:textId="6B1C1A9B" w:rsidR="00CA282D" w:rsidRPr="008F7932" w:rsidRDefault="00CA282D" w:rsidP="008F7932">
            <w:pPr>
              <w:pStyle w:val="ListParagraph"/>
              <w:numPr>
                <w:ilvl w:val="0"/>
                <w:numId w:val="30"/>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F7932">
              <w:rPr>
                <w:rFonts w:asciiTheme="minorHAnsi" w:hAnsiTheme="minorHAnsi"/>
                <w:color w:val="auto"/>
                <w:szCs w:val="18"/>
              </w:rPr>
              <w:t xml:space="preserve">the preservation and expansion of the bauxite industry, to obtain a fair share of the proceeds from bauxite and its derivatives, and the acquisition of specific knowledge and expertise about this industry. When it was set up, BIS was given two main tasks: </w:t>
            </w:r>
          </w:p>
          <w:p w14:paraId="745F923F" w14:textId="32E822C7" w:rsidR="00CA282D" w:rsidRPr="00894701" w:rsidRDefault="00CA282D" w:rsidP="00CA282D">
            <w:pPr>
              <w:pStyle w:val="ListParagraph"/>
              <w:widowControl w:val="0"/>
              <w:numPr>
                <w:ilvl w:val="0"/>
                <w:numId w:val="30"/>
              </w:num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supporting the Government in bauxite policies with advice, policy preparation and cooperation in implementation; and </w:t>
            </w:r>
          </w:p>
          <w:p w14:paraId="117A661D" w14:textId="0E8AFCEB" w:rsidR="00CA282D" w:rsidRPr="00894701" w:rsidRDefault="00CA282D" w:rsidP="00CA282D">
            <w:pPr>
              <w:pStyle w:val="ListParagraph"/>
              <w:widowControl w:val="0"/>
              <w:numPr>
                <w:ilvl w:val="0"/>
                <w:numId w:val="30"/>
              </w:num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collecting and processing data about the bauxite industry. </w:t>
            </w:r>
          </w:p>
        </w:tc>
      </w:tr>
      <w:tr w:rsidR="00CA282D" w:rsidRPr="00894701" w14:paraId="5572D526" w14:textId="77777777" w:rsidTr="00446B8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893" w:type="dxa"/>
            <w:tcBorders>
              <w:top w:val="single" w:sz="2" w:space="0" w:color="FF0000"/>
              <w:left w:val="nil"/>
              <w:bottom w:val="single" w:sz="2" w:space="0" w:color="FF0000"/>
              <w:right w:val="nil"/>
            </w:tcBorders>
            <w:vAlign w:val="center"/>
          </w:tcPr>
          <w:p w14:paraId="28073B6B" w14:textId="77777777" w:rsidR="00CA282D" w:rsidRPr="00894701" w:rsidRDefault="00CA282D" w:rsidP="00446B8D">
            <w:pPr>
              <w:rPr>
                <w:rFonts w:asciiTheme="minorHAnsi" w:hAnsiTheme="minorHAnsi"/>
                <w:b/>
                <w:bCs/>
                <w:color w:val="auto"/>
                <w:szCs w:val="18"/>
              </w:rPr>
            </w:pPr>
            <w:r w:rsidRPr="00894701">
              <w:rPr>
                <w:rFonts w:asciiTheme="minorHAnsi" w:hAnsiTheme="minorHAnsi"/>
                <w:b/>
                <w:bCs/>
                <w:color w:val="auto"/>
                <w:szCs w:val="18"/>
              </w:rPr>
              <w:t xml:space="preserve">Grassalco </w:t>
            </w:r>
          </w:p>
        </w:tc>
        <w:tc>
          <w:tcPr>
            <w:tcW w:w="6818" w:type="dxa"/>
            <w:tcBorders>
              <w:top w:val="single" w:sz="2" w:space="0" w:color="FF0000"/>
              <w:left w:val="nil"/>
              <w:bottom w:val="single" w:sz="2" w:space="0" w:color="FF0000"/>
              <w:right w:val="nil"/>
            </w:tcBorders>
          </w:tcPr>
          <w:p w14:paraId="387F4C2B" w14:textId="260C9705" w:rsidR="00CA282D" w:rsidRPr="00894701" w:rsidRDefault="00CA282D" w:rsidP="00446B8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rebuchetMS"/>
                <w:color w:val="auto"/>
                <w:szCs w:val="18"/>
              </w:rPr>
            </w:pPr>
            <w:r w:rsidRPr="00894701">
              <w:rPr>
                <w:rFonts w:asciiTheme="minorHAnsi" w:hAnsiTheme="minorHAnsi"/>
                <w:color w:val="auto"/>
                <w:szCs w:val="18"/>
              </w:rPr>
              <w:t>N.V. Grassalco, a State-Owned mining company, was founded in 1971 to mine bauxite deposits discovered in the Bakhuis area in West Suriname and further develop West Suriname. The creation of the company consisted of entering into joint ventures with foreign companies to exploit bauxite reserves in the west of the country</w:t>
            </w:r>
            <w:r w:rsidRPr="00894701">
              <w:rPr>
                <w:rFonts w:asciiTheme="minorHAnsi" w:hAnsiTheme="minorHAnsi" w:cs="TrebuchetMS"/>
                <w:color w:val="auto"/>
                <w:szCs w:val="18"/>
              </w:rPr>
              <w:t>.</w:t>
            </w:r>
          </w:p>
          <w:p w14:paraId="558E76DD" w14:textId="1BD4C1A4" w:rsidR="00CA282D" w:rsidRPr="00894701" w:rsidRDefault="00F86B15" w:rsidP="00550AFE">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Pr>
                <w:rFonts w:asciiTheme="minorHAnsi" w:hAnsiTheme="minorHAnsi"/>
                <w:color w:val="auto"/>
                <w:szCs w:val="18"/>
              </w:rPr>
              <w:t xml:space="preserve">According to the IGF: </w:t>
            </w:r>
            <w:r w:rsidR="00550AFE" w:rsidRPr="004F0AEB">
              <w:rPr>
                <w:rFonts w:asciiTheme="minorHAnsi" w:hAnsiTheme="minorHAnsi"/>
                <w:i/>
                <w:iCs/>
                <w:color w:val="auto"/>
                <w:szCs w:val="18"/>
              </w:rPr>
              <w:t>“</w:t>
            </w:r>
            <w:r w:rsidR="00CA282D" w:rsidRPr="004F0AEB">
              <w:rPr>
                <w:rFonts w:asciiTheme="minorHAnsi" w:hAnsiTheme="minorHAnsi"/>
                <w:i/>
                <w:iCs/>
                <w:color w:val="auto"/>
                <w:szCs w:val="18"/>
              </w:rPr>
              <w:t>Grassalco has since expanded to cover the exploration and exploitation of other minerals and ores, including gold. The company is one of the parties to the mineral agreement governing Rosebel</w:t>
            </w:r>
            <w:r w:rsidR="00725C00" w:rsidRPr="004F0AEB">
              <w:rPr>
                <w:rFonts w:asciiTheme="minorHAnsi" w:hAnsiTheme="minorHAnsi"/>
                <w:i/>
                <w:iCs/>
                <w:color w:val="auto"/>
                <w:szCs w:val="18"/>
              </w:rPr>
              <w:t xml:space="preserve"> operations</w:t>
            </w:r>
            <w:r w:rsidR="00CA282D" w:rsidRPr="004F0AEB">
              <w:rPr>
                <w:rFonts w:asciiTheme="minorHAnsi" w:hAnsiTheme="minorHAnsi"/>
                <w:i/>
                <w:iCs/>
                <w:color w:val="auto"/>
                <w:szCs w:val="18"/>
              </w:rPr>
              <w:t>, as it held the original rights to the concession, and it receives a significant portion of its operating budget from royalties derived from the project. The company owns several other mineral concessions (Lely Hills for gold, for example) that will impact its involvement in future exploration and exploitation projects. In 2014, Grassalco began processing tailings at the Maripaston site (formerly an informal small-scale mine site) to show operators that gold can be extracted without using mercury.</w:t>
            </w:r>
            <w:r w:rsidR="004F0AEB" w:rsidRPr="004F0AEB">
              <w:rPr>
                <w:rFonts w:asciiTheme="minorHAnsi" w:hAnsiTheme="minorHAnsi"/>
                <w:i/>
                <w:iCs/>
                <w:color w:val="auto"/>
                <w:szCs w:val="18"/>
              </w:rPr>
              <w:t>”</w:t>
            </w:r>
            <w:r w:rsidR="00550AFE" w:rsidRPr="004F0AEB">
              <w:rPr>
                <w:rStyle w:val="FootnoteReference"/>
                <w:rFonts w:asciiTheme="minorHAnsi" w:hAnsiTheme="minorHAnsi"/>
                <w:i/>
                <w:iCs/>
                <w:color w:val="auto"/>
                <w:szCs w:val="18"/>
              </w:rPr>
              <w:footnoteReference w:id="21"/>
            </w:r>
            <w:r w:rsidR="00CA282D" w:rsidRPr="00894701">
              <w:rPr>
                <w:rFonts w:asciiTheme="minorHAnsi" w:hAnsiTheme="minorHAnsi"/>
                <w:color w:val="auto"/>
                <w:szCs w:val="18"/>
              </w:rPr>
              <w:t xml:space="preserve"> </w:t>
            </w:r>
          </w:p>
        </w:tc>
      </w:tr>
      <w:tr w:rsidR="00CA282D" w:rsidRPr="00894701" w14:paraId="15110F1B" w14:textId="77777777" w:rsidTr="00446B8D">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893" w:type="dxa"/>
            <w:tcBorders>
              <w:top w:val="single" w:sz="2" w:space="0" w:color="FF0000"/>
              <w:bottom w:val="single" w:sz="2" w:space="0" w:color="FF0000"/>
            </w:tcBorders>
            <w:shd w:val="clear" w:color="auto" w:fill="F7A3B0"/>
            <w:vAlign w:val="center"/>
          </w:tcPr>
          <w:p w14:paraId="3167FCFB" w14:textId="77777777" w:rsidR="00CA282D" w:rsidRPr="00894701" w:rsidRDefault="00CA282D" w:rsidP="00446B8D">
            <w:pPr>
              <w:rPr>
                <w:rFonts w:asciiTheme="minorHAnsi" w:hAnsiTheme="minorHAnsi"/>
                <w:b/>
                <w:bCs/>
                <w:color w:val="auto"/>
                <w:szCs w:val="18"/>
              </w:rPr>
            </w:pPr>
            <w:r w:rsidRPr="00894701">
              <w:rPr>
                <w:rFonts w:asciiTheme="minorHAnsi" w:hAnsiTheme="minorHAnsi"/>
                <w:b/>
                <w:bCs/>
                <w:color w:val="auto"/>
                <w:szCs w:val="18"/>
              </w:rPr>
              <w:t xml:space="preserve">The Nationaal </w:t>
            </w:r>
          </w:p>
          <w:p w14:paraId="7D60EB6B" w14:textId="77777777" w:rsidR="00CA282D" w:rsidRPr="00894701" w:rsidRDefault="00CA282D" w:rsidP="00446B8D">
            <w:pPr>
              <w:rPr>
                <w:rFonts w:asciiTheme="minorHAnsi" w:hAnsiTheme="minorHAnsi"/>
                <w:b/>
                <w:bCs/>
                <w:color w:val="auto"/>
                <w:szCs w:val="18"/>
              </w:rPr>
            </w:pPr>
            <w:r w:rsidRPr="00894701">
              <w:rPr>
                <w:rFonts w:asciiTheme="minorHAnsi" w:hAnsiTheme="minorHAnsi"/>
                <w:b/>
                <w:bCs/>
                <w:color w:val="auto"/>
                <w:szCs w:val="18"/>
              </w:rPr>
              <w:t xml:space="preserve">Instituut voor Milieu en </w:t>
            </w:r>
            <w:r w:rsidRPr="00894701">
              <w:rPr>
                <w:rFonts w:asciiTheme="minorHAnsi" w:hAnsiTheme="minorHAnsi"/>
                <w:b/>
                <w:bCs/>
                <w:color w:val="auto"/>
                <w:szCs w:val="18"/>
              </w:rPr>
              <w:lastRenderedPageBreak/>
              <w:t xml:space="preserve">Ontwikkeling in Suriname (NIMOS, National Institute for Environment and Development in Suriname) </w:t>
            </w:r>
          </w:p>
        </w:tc>
        <w:tc>
          <w:tcPr>
            <w:tcW w:w="6818" w:type="dxa"/>
            <w:tcBorders>
              <w:top w:val="single" w:sz="2" w:space="0" w:color="FF0000"/>
              <w:bottom w:val="single" w:sz="2" w:space="0" w:color="FF0000"/>
            </w:tcBorders>
            <w:shd w:val="clear" w:color="auto" w:fill="F7A3B0"/>
          </w:tcPr>
          <w:p w14:paraId="0A345798" w14:textId="1058F5D5" w:rsidR="00CA282D" w:rsidRPr="00894701" w:rsidRDefault="00CA282D" w:rsidP="00446B8D">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lastRenderedPageBreak/>
              <w:t xml:space="preserve">The Nationaal Instituut </w:t>
            </w:r>
            <w:r w:rsidR="00F82D2E" w:rsidRPr="00894701">
              <w:rPr>
                <w:rFonts w:asciiTheme="minorHAnsi" w:hAnsiTheme="minorHAnsi"/>
                <w:color w:val="auto"/>
                <w:szCs w:val="18"/>
              </w:rPr>
              <w:t>v</w:t>
            </w:r>
            <w:r w:rsidRPr="00894701">
              <w:rPr>
                <w:rFonts w:asciiTheme="minorHAnsi" w:hAnsiTheme="minorHAnsi"/>
                <w:color w:val="auto"/>
                <w:szCs w:val="18"/>
              </w:rPr>
              <w:t xml:space="preserve">oor Milieu en Ontwikkeling in Suriname (NIMOS, National Institute for Environment and Development in Suriname) is an advisory institution </w:t>
            </w:r>
            <w:r w:rsidRPr="00894701">
              <w:rPr>
                <w:rFonts w:asciiTheme="minorHAnsi" w:hAnsiTheme="minorHAnsi"/>
                <w:color w:val="auto"/>
                <w:szCs w:val="18"/>
              </w:rPr>
              <w:lastRenderedPageBreak/>
              <w:t>within the office of the President responsible for environmental monitoring and enforcement.</w:t>
            </w:r>
          </w:p>
        </w:tc>
      </w:tr>
      <w:tr w:rsidR="00CA282D" w:rsidRPr="00894701" w14:paraId="715BCABE" w14:textId="77777777" w:rsidTr="00446B8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893" w:type="dxa"/>
            <w:tcBorders>
              <w:top w:val="single" w:sz="2" w:space="0" w:color="FF0000"/>
              <w:bottom w:val="single" w:sz="2" w:space="0" w:color="FF0000"/>
            </w:tcBorders>
            <w:vAlign w:val="center"/>
          </w:tcPr>
          <w:p w14:paraId="3EDC9941" w14:textId="1DC4F337" w:rsidR="00CA282D" w:rsidRPr="00894701" w:rsidRDefault="00CA282D" w:rsidP="00446B8D">
            <w:pPr>
              <w:rPr>
                <w:rFonts w:asciiTheme="minorHAnsi" w:hAnsiTheme="minorHAnsi"/>
                <w:b/>
                <w:bCs/>
                <w:color w:val="auto"/>
                <w:szCs w:val="18"/>
              </w:rPr>
            </w:pPr>
            <w:r w:rsidRPr="00894701">
              <w:rPr>
                <w:rFonts w:asciiTheme="minorHAnsi" w:hAnsiTheme="minorHAnsi"/>
                <w:b/>
                <w:bCs/>
                <w:color w:val="auto"/>
                <w:szCs w:val="18"/>
              </w:rPr>
              <w:lastRenderedPageBreak/>
              <w:t xml:space="preserve">Ministry of Finance </w:t>
            </w:r>
            <w:r w:rsidR="00793640" w:rsidRPr="00894701">
              <w:rPr>
                <w:rFonts w:asciiTheme="minorHAnsi" w:hAnsiTheme="minorHAnsi"/>
                <w:b/>
                <w:bCs/>
                <w:color w:val="auto"/>
                <w:szCs w:val="18"/>
              </w:rPr>
              <w:t xml:space="preserve">and Planning </w:t>
            </w:r>
            <w:r w:rsidRPr="00894701">
              <w:rPr>
                <w:rFonts w:asciiTheme="minorHAnsi" w:hAnsiTheme="minorHAnsi"/>
                <w:b/>
                <w:bCs/>
                <w:color w:val="auto"/>
                <w:szCs w:val="18"/>
              </w:rPr>
              <w:t>(MOF</w:t>
            </w:r>
            <w:r w:rsidR="00793640" w:rsidRPr="00894701">
              <w:rPr>
                <w:rFonts w:asciiTheme="minorHAnsi" w:hAnsiTheme="minorHAnsi"/>
                <w:b/>
                <w:bCs/>
                <w:color w:val="auto"/>
                <w:szCs w:val="18"/>
              </w:rPr>
              <w:t>P</w:t>
            </w:r>
            <w:r w:rsidRPr="00894701">
              <w:rPr>
                <w:rFonts w:asciiTheme="minorHAnsi" w:hAnsiTheme="minorHAnsi"/>
                <w:b/>
                <w:bCs/>
                <w:color w:val="auto"/>
                <w:szCs w:val="18"/>
              </w:rPr>
              <w:t xml:space="preserve">) </w:t>
            </w:r>
          </w:p>
        </w:tc>
        <w:tc>
          <w:tcPr>
            <w:tcW w:w="6818" w:type="dxa"/>
            <w:tcBorders>
              <w:top w:val="single" w:sz="2" w:space="0" w:color="FF0000"/>
              <w:bottom w:val="single" w:sz="2" w:space="0" w:color="FF0000"/>
            </w:tcBorders>
          </w:tcPr>
          <w:p w14:paraId="2FF0263C" w14:textId="48869817" w:rsidR="00CA282D" w:rsidRPr="00894701" w:rsidRDefault="00CA282D" w:rsidP="00446B8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The Ministry of Finance </w:t>
            </w:r>
            <w:r w:rsidR="009A7527" w:rsidRPr="00894701">
              <w:rPr>
                <w:rFonts w:asciiTheme="minorHAnsi" w:hAnsiTheme="minorHAnsi"/>
                <w:color w:val="auto"/>
                <w:szCs w:val="18"/>
              </w:rPr>
              <w:t xml:space="preserve">and Planning </w:t>
            </w:r>
            <w:r w:rsidRPr="00894701">
              <w:rPr>
                <w:rFonts w:asciiTheme="minorHAnsi" w:hAnsiTheme="minorHAnsi"/>
                <w:color w:val="auto"/>
                <w:szCs w:val="18"/>
              </w:rPr>
              <w:t>(MoF</w:t>
            </w:r>
            <w:r w:rsidR="009A7527" w:rsidRPr="00894701">
              <w:rPr>
                <w:rFonts w:asciiTheme="minorHAnsi" w:hAnsiTheme="minorHAnsi"/>
                <w:color w:val="auto"/>
                <w:szCs w:val="18"/>
              </w:rPr>
              <w:t>P</w:t>
            </w:r>
            <w:r w:rsidRPr="00894701">
              <w:rPr>
                <w:rFonts w:asciiTheme="minorHAnsi" w:hAnsiTheme="minorHAnsi"/>
                <w:color w:val="auto"/>
                <w:szCs w:val="18"/>
              </w:rPr>
              <w:t xml:space="preserve">) consists of three directorates: </w:t>
            </w:r>
          </w:p>
          <w:p w14:paraId="2AF79A8C" w14:textId="77777777" w:rsidR="00CA282D" w:rsidRPr="00894701" w:rsidRDefault="00CA282D" w:rsidP="00446B8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Cs w:val="18"/>
              </w:rPr>
            </w:pPr>
            <w:r w:rsidRPr="00894701">
              <w:rPr>
                <w:rFonts w:asciiTheme="minorHAnsi" w:hAnsiTheme="minorHAnsi"/>
                <w:b/>
                <w:bCs/>
                <w:color w:val="auto"/>
                <w:szCs w:val="18"/>
              </w:rPr>
              <w:t xml:space="preserve">1-  Finance </w:t>
            </w:r>
          </w:p>
          <w:p w14:paraId="77F0C306" w14:textId="708B74FD" w:rsidR="00CA282D" w:rsidRPr="00894701" w:rsidRDefault="00CA282D" w:rsidP="00446B8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The Finance Directorate is responsible for: </w:t>
            </w:r>
          </w:p>
          <w:p w14:paraId="6A76B909" w14:textId="64B416CD" w:rsidR="00CA282D" w:rsidRPr="00894701" w:rsidRDefault="00CA282D" w:rsidP="00CA282D">
            <w:pPr>
              <w:pStyle w:val="ListParagraph"/>
              <w:widowControl w:val="0"/>
              <w:numPr>
                <w:ilvl w:val="0"/>
                <w:numId w:val="3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the general management of all government funds and supervision of their correct use. Here, the financial interests of the state and other institutions, in which the state has a financial interest, are also monitored. The representation of the state in all cases in which it participates in the share capital of financial institutions is also monitored by this directorate; </w:t>
            </w:r>
          </w:p>
          <w:p w14:paraId="67A571D9" w14:textId="6BDBA66A" w:rsidR="00CA282D" w:rsidRPr="00894701" w:rsidRDefault="00CA282D" w:rsidP="00CA282D">
            <w:pPr>
              <w:pStyle w:val="ListParagraph"/>
              <w:widowControl w:val="0"/>
              <w:numPr>
                <w:ilvl w:val="0"/>
                <w:numId w:val="3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the supervision of state banks, as well as the public credit system and pawnshops, the levying and collection of stamp duty and other legally levied duties, the postal system, and the national lotteries; </w:t>
            </w:r>
          </w:p>
          <w:p w14:paraId="510D7B08" w14:textId="6D97F181" w:rsidR="00CA282D" w:rsidRPr="00894701" w:rsidRDefault="00CA282D" w:rsidP="00CA282D">
            <w:pPr>
              <w:pStyle w:val="ListParagraph"/>
              <w:widowControl w:val="0"/>
              <w:numPr>
                <w:ilvl w:val="0"/>
                <w:numId w:val="3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all matters relating to the state budget and general budgetary policy, as well as the accountability of state funds; </w:t>
            </w:r>
          </w:p>
          <w:p w14:paraId="0D35BCA6" w14:textId="7918D8D9" w:rsidR="00CA282D" w:rsidRPr="00894701" w:rsidRDefault="00CA282D" w:rsidP="00CA282D">
            <w:pPr>
              <w:pStyle w:val="ListParagraph"/>
              <w:widowControl w:val="0"/>
              <w:numPr>
                <w:ilvl w:val="0"/>
                <w:numId w:val="3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 the general financial and monetary policies, insurance and the circulation of coins and notes; and  </w:t>
            </w:r>
          </w:p>
          <w:p w14:paraId="6192DE81" w14:textId="2238A515" w:rsidR="00CA282D" w:rsidRPr="00894701" w:rsidRDefault="00CA282D" w:rsidP="00CA282D">
            <w:pPr>
              <w:pStyle w:val="ListParagraph"/>
              <w:widowControl w:val="0"/>
              <w:numPr>
                <w:ilvl w:val="0"/>
                <w:numId w:val="3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matters of foreign exchange – policy nature, all this in cooperation with the Ministry of Trade and Industry and the supervision of compliance with the foreign exchange regime regarding licenses for import and export of goods and services. </w:t>
            </w:r>
          </w:p>
          <w:p w14:paraId="5A6EEF86" w14:textId="3EDE32CE" w:rsidR="00CA282D" w:rsidRPr="00894701" w:rsidRDefault="00CA282D" w:rsidP="00446B8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rebuchetMS"/>
                <w:color w:val="auto"/>
                <w:szCs w:val="18"/>
              </w:rPr>
            </w:pPr>
            <w:r w:rsidRPr="00894701">
              <w:rPr>
                <w:rFonts w:asciiTheme="minorHAnsi" w:hAnsiTheme="minorHAnsi" w:cs="TrebuchetMS"/>
                <w:color w:val="auto"/>
                <w:spacing w:val="-23"/>
                <w:szCs w:val="18"/>
              </w:rPr>
              <w:t>T</w:t>
            </w:r>
            <w:r w:rsidRPr="00894701">
              <w:rPr>
                <w:rFonts w:asciiTheme="minorHAnsi" w:hAnsiTheme="minorHAnsi" w:cs="TrebuchetMS"/>
                <w:color w:val="auto"/>
                <w:szCs w:val="18"/>
              </w:rPr>
              <w:t>aking</w:t>
            </w:r>
            <w:r w:rsidRPr="00894701">
              <w:rPr>
                <w:rFonts w:asciiTheme="minorHAnsi" w:hAnsiTheme="minorHAnsi" w:cs="TrebuchetMS"/>
                <w:color w:val="auto"/>
                <w:spacing w:val="13"/>
                <w:szCs w:val="18"/>
              </w:rPr>
              <w:t xml:space="preserve"> </w:t>
            </w:r>
            <w:r w:rsidRPr="00894701">
              <w:rPr>
                <w:rFonts w:asciiTheme="minorHAnsi" w:hAnsiTheme="minorHAnsi"/>
                <w:color w:val="auto"/>
                <w:szCs w:val="18"/>
              </w:rPr>
              <w:t>out</w:t>
            </w:r>
            <w:r w:rsidRPr="00894701">
              <w:rPr>
                <w:rFonts w:asciiTheme="minorHAnsi" w:hAnsiTheme="minorHAnsi" w:cs="TrebuchetMS"/>
                <w:color w:val="auto"/>
                <w:spacing w:val="12"/>
                <w:szCs w:val="18"/>
              </w:rPr>
              <w:t xml:space="preserve"> </w:t>
            </w:r>
            <w:r w:rsidRPr="00894701">
              <w:rPr>
                <w:rFonts w:asciiTheme="minorHAnsi" w:hAnsiTheme="minorHAnsi"/>
                <w:color w:val="auto"/>
                <w:szCs w:val="18"/>
              </w:rPr>
              <w:t>loans</w:t>
            </w:r>
            <w:r w:rsidRPr="00894701">
              <w:rPr>
                <w:rFonts w:asciiTheme="minorHAnsi" w:hAnsiTheme="minorHAnsi" w:cs="TrebuchetMS"/>
                <w:color w:val="auto"/>
                <w:szCs w:val="18"/>
              </w:rPr>
              <w:t>,</w:t>
            </w:r>
            <w:r w:rsidRPr="00894701">
              <w:rPr>
                <w:rFonts w:asciiTheme="minorHAnsi" w:hAnsiTheme="minorHAnsi" w:cs="TrebuchetMS"/>
                <w:color w:val="auto"/>
                <w:spacing w:val="12"/>
                <w:szCs w:val="18"/>
              </w:rPr>
              <w:t xml:space="preserve"> </w:t>
            </w:r>
            <w:r w:rsidRPr="00894701">
              <w:rPr>
                <w:rFonts w:asciiTheme="minorHAnsi" w:hAnsiTheme="minorHAnsi"/>
                <w:color w:val="auto"/>
                <w:szCs w:val="18"/>
              </w:rPr>
              <w:t>issuing</w:t>
            </w:r>
            <w:r w:rsidRPr="00894701">
              <w:rPr>
                <w:rFonts w:asciiTheme="minorHAnsi" w:hAnsiTheme="minorHAnsi" w:cs="TrebuchetMS"/>
                <w:color w:val="auto"/>
                <w:spacing w:val="12"/>
                <w:szCs w:val="18"/>
              </w:rPr>
              <w:t xml:space="preserve"> </w:t>
            </w:r>
            <w:r w:rsidRPr="00894701">
              <w:rPr>
                <w:rFonts w:asciiTheme="minorHAnsi" w:hAnsiTheme="minorHAnsi"/>
                <w:color w:val="auto"/>
                <w:szCs w:val="18"/>
              </w:rPr>
              <w:t>treasury</w:t>
            </w:r>
            <w:r w:rsidRPr="00894701">
              <w:rPr>
                <w:rFonts w:asciiTheme="minorHAnsi" w:hAnsiTheme="minorHAnsi" w:cs="TrebuchetMS"/>
                <w:color w:val="auto"/>
                <w:spacing w:val="12"/>
                <w:szCs w:val="18"/>
              </w:rPr>
              <w:t xml:space="preserve"> </w:t>
            </w:r>
            <w:r w:rsidRPr="00894701">
              <w:rPr>
                <w:rFonts w:asciiTheme="minorHAnsi" w:hAnsiTheme="minorHAnsi"/>
                <w:color w:val="auto"/>
                <w:szCs w:val="18"/>
              </w:rPr>
              <w:t>bills</w:t>
            </w:r>
            <w:r w:rsidRPr="00894701">
              <w:rPr>
                <w:rFonts w:asciiTheme="minorHAnsi" w:hAnsiTheme="minorHAnsi" w:cs="TrebuchetMS"/>
                <w:color w:val="auto"/>
                <w:szCs w:val="18"/>
              </w:rPr>
              <w:t>,</w:t>
            </w:r>
            <w:r w:rsidRPr="00894701">
              <w:rPr>
                <w:rFonts w:asciiTheme="minorHAnsi" w:hAnsiTheme="minorHAnsi" w:cs="TrebuchetMS"/>
                <w:color w:val="auto"/>
                <w:spacing w:val="12"/>
                <w:szCs w:val="18"/>
              </w:rPr>
              <w:t xml:space="preserve"> </w:t>
            </w:r>
            <w:r w:rsidRPr="00894701">
              <w:rPr>
                <w:rFonts w:asciiTheme="minorHAnsi" w:hAnsiTheme="minorHAnsi"/>
                <w:color w:val="auto"/>
                <w:szCs w:val="18"/>
              </w:rPr>
              <w:t>promissory</w:t>
            </w:r>
            <w:r w:rsidRPr="00894701">
              <w:rPr>
                <w:rFonts w:asciiTheme="minorHAnsi" w:hAnsiTheme="minorHAnsi" w:cs="TrebuchetMS"/>
                <w:color w:val="auto"/>
                <w:spacing w:val="12"/>
                <w:szCs w:val="18"/>
              </w:rPr>
              <w:t xml:space="preserve"> </w:t>
            </w:r>
            <w:r w:rsidRPr="00894701">
              <w:rPr>
                <w:rFonts w:asciiTheme="minorHAnsi" w:hAnsiTheme="minorHAnsi"/>
                <w:color w:val="auto"/>
                <w:szCs w:val="18"/>
              </w:rPr>
              <w:t>notes</w:t>
            </w:r>
            <w:r w:rsidRPr="00894701">
              <w:rPr>
                <w:rFonts w:asciiTheme="minorHAnsi" w:hAnsiTheme="minorHAnsi" w:cs="TrebuchetMS"/>
                <w:color w:val="auto"/>
                <w:szCs w:val="18"/>
              </w:rPr>
              <w:t>,</w:t>
            </w:r>
            <w:r w:rsidRPr="00894701">
              <w:rPr>
                <w:rFonts w:asciiTheme="minorHAnsi" w:hAnsiTheme="minorHAnsi" w:cs="TrebuchetMS"/>
                <w:color w:val="auto"/>
                <w:spacing w:val="12"/>
                <w:szCs w:val="18"/>
              </w:rPr>
              <w:t xml:space="preserve"> </w:t>
            </w:r>
            <w:r w:rsidRPr="00894701">
              <w:rPr>
                <w:rFonts w:asciiTheme="minorHAnsi" w:hAnsiTheme="minorHAnsi"/>
                <w:color w:val="auto"/>
                <w:szCs w:val="18"/>
              </w:rPr>
              <w:t>issuing</w:t>
            </w:r>
            <w:r w:rsidRPr="00894701">
              <w:rPr>
                <w:rFonts w:asciiTheme="minorHAnsi" w:hAnsiTheme="minorHAnsi" w:cs="TrebuchetMS"/>
                <w:color w:val="auto"/>
                <w:spacing w:val="12"/>
                <w:szCs w:val="18"/>
              </w:rPr>
              <w:t xml:space="preserve"> </w:t>
            </w:r>
            <w:r w:rsidRPr="00894701">
              <w:rPr>
                <w:rFonts w:asciiTheme="minorHAnsi" w:hAnsiTheme="minorHAnsi"/>
                <w:color w:val="auto"/>
                <w:szCs w:val="18"/>
              </w:rPr>
              <w:t>state</w:t>
            </w:r>
            <w:r w:rsidRPr="00894701">
              <w:rPr>
                <w:rFonts w:asciiTheme="minorHAnsi" w:hAnsiTheme="minorHAnsi" w:cs="TrebuchetMS"/>
                <w:color w:val="auto"/>
                <w:szCs w:val="18"/>
              </w:rPr>
              <w:t xml:space="preserve"> </w:t>
            </w:r>
            <w:r w:rsidRPr="00894701">
              <w:rPr>
                <w:rFonts w:asciiTheme="minorHAnsi" w:hAnsiTheme="minorHAnsi"/>
                <w:color w:val="auto"/>
                <w:szCs w:val="18"/>
              </w:rPr>
              <w:br w:type="textWrapping" w:clear="all"/>
            </w:r>
            <w:r w:rsidRPr="00894701">
              <w:rPr>
                <w:rFonts w:asciiTheme="minorHAnsi" w:hAnsiTheme="minorHAnsi" w:cs="TrebuchetMS"/>
                <w:color w:val="auto"/>
                <w:szCs w:val="18"/>
              </w:rPr>
              <w:t>guarantees and investing or reinvesting government fu</w:t>
            </w:r>
            <w:r w:rsidRPr="00894701">
              <w:rPr>
                <w:rFonts w:asciiTheme="minorHAnsi" w:hAnsiTheme="minorHAnsi" w:cs="TrebuchetMS"/>
                <w:color w:val="auto"/>
                <w:spacing w:val="-2"/>
                <w:szCs w:val="18"/>
              </w:rPr>
              <w:t>n</w:t>
            </w:r>
            <w:r w:rsidRPr="00894701">
              <w:rPr>
                <w:rFonts w:asciiTheme="minorHAnsi" w:hAnsiTheme="minorHAnsi" w:cs="TrebuchetMS"/>
                <w:color w:val="auto"/>
                <w:szCs w:val="18"/>
              </w:rPr>
              <w:t xml:space="preserve">ds. </w:t>
            </w:r>
          </w:p>
          <w:p w14:paraId="6CE7E0C3" w14:textId="57DFC6E5" w:rsidR="00CA282D" w:rsidRPr="00894701" w:rsidRDefault="00CA282D" w:rsidP="00BA29E5">
            <w:pPr>
              <w:spacing w:line="206"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s="TrebuchetMS-Bold"/>
                <w:b/>
                <w:bCs/>
                <w:color w:val="auto"/>
                <w:szCs w:val="18"/>
              </w:rPr>
              <w:t>2-</w:t>
            </w:r>
            <w:r w:rsidRPr="00894701">
              <w:rPr>
                <w:rFonts w:asciiTheme="minorHAnsi" w:hAnsiTheme="minorHAnsi" w:cs="Arial"/>
                <w:b/>
                <w:bCs/>
                <w:color w:val="auto"/>
                <w:spacing w:val="43"/>
                <w:szCs w:val="18"/>
              </w:rPr>
              <w:t xml:space="preserve"> </w:t>
            </w:r>
            <w:r w:rsidRPr="00894701">
              <w:rPr>
                <w:rFonts w:asciiTheme="minorHAnsi" w:hAnsiTheme="minorHAnsi" w:cs="TrebuchetMS-Bold"/>
                <w:b/>
                <w:bCs/>
                <w:color w:val="auto"/>
                <w:spacing w:val="-18"/>
                <w:szCs w:val="18"/>
              </w:rPr>
              <w:t>T</w:t>
            </w:r>
            <w:r w:rsidRPr="00894701">
              <w:rPr>
                <w:rFonts w:asciiTheme="minorHAnsi" w:hAnsiTheme="minorHAnsi" w:cs="TrebuchetMS-Bold"/>
                <w:b/>
                <w:bCs/>
                <w:color w:val="auto"/>
                <w:szCs w:val="18"/>
              </w:rPr>
              <w:t xml:space="preserve">axation </w:t>
            </w:r>
          </w:p>
          <w:p w14:paraId="16A68710" w14:textId="087C6DD7" w:rsidR="00CA282D" w:rsidRDefault="00CA282D" w:rsidP="00446B8D">
            <w:pPr>
              <w:spacing w:before="80" w:line="205"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rebuchetMS"/>
                <w:color w:val="auto"/>
                <w:szCs w:val="18"/>
              </w:rPr>
            </w:pPr>
            <w:r w:rsidRPr="00894701">
              <w:rPr>
                <w:rFonts w:asciiTheme="minorHAnsi" w:hAnsiTheme="minorHAnsi" w:cs="TrebuchetMS"/>
                <w:color w:val="auto"/>
                <w:szCs w:val="18"/>
              </w:rPr>
              <w:t>The directorate</w:t>
            </w:r>
            <w:r w:rsidRPr="00894701">
              <w:rPr>
                <w:rFonts w:asciiTheme="minorHAnsi" w:hAnsiTheme="minorHAnsi" w:cs="TrebuchetMS"/>
                <w:color w:val="auto"/>
                <w:spacing w:val="-3"/>
                <w:szCs w:val="18"/>
              </w:rPr>
              <w:t xml:space="preserve"> of </w:t>
            </w:r>
            <w:r w:rsidRPr="00894701">
              <w:rPr>
                <w:rFonts w:asciiTheme="minorHAnsi" w:hAnsiTheme="minorHAnsi" w:cs="TrebuchetMS"/>
                <w:color w:val="auto"/>
                <w:spacing w:val="-23"/>
                <w:szCs w:val="18"/>
              </w:rPr>
              <w:t>t</w:t>
            </w:r>
            <w:r w:rsidRPr="00894701">
              <w:rPr>
                <w:rFonts w:asciiTheme="minorHAnsi" w:hAnsiTheme="minorHAnsi" w:cs="TrebuchetMS"/>
                <w:color w:val="auto"/>
                <w:szCs w:val="18"/>
              </w:rPr>
              <w:t xml:space="preserve">axation is divided as </w:t>
            </w:r>
            <w:r w:rsidR="00D74381">
              <w:rPr>
                <w:rFonts w:asciiTheme="minorHAnsi" w:hAnsiTheme="minorHAnsi" w:cs="TrebuchetMS"/>
                <w:color w:val="auto"/>
                <w:szCs w:val="18"/>
              </w:rPr>
              <w:t>follows:</w:t>
            </w:r>
            <w:r w:rsidR="00D74381" w:rsidRPr="00894701">
              <w:rPr>
                <w:rFonts w:asciiTheme="minorHAnsi" w:hAnsiTheme="minorHAnsi" w:cs="TrebuchetMS"/>
                <w:color w:val="auto"/>
                <w:szCs w:val="18"/>
              </w:rPr>
              <w:t xml:space="preserve"> </w:t>
            </w:r>
            <w:r w:rsidRPr="00894701">
              <w:rPr>
                <w:rFonts w:asciiTheme="minorHAnsi" w:hAnsiTheme="minorHAnsi" w:cs="TrebuchetMS"/>
                <w:color w:val="auto"/>
                <w:szCs w:val="18"/>
              </w:rPr>
              <w:t xml:space="preserve"> </w:t>
            </w:r>
          </w:p>
          <w:p w14:paraId="7D59A03C" w14:textId="4C156F84" w:rsidR="004D0CDC" w:rsidRPr="00894701" w:rsidRDefault="004D0CDC" w:rsidP="00860520">
            <w:pPr>
              <w:spacing w:before="80" w:line="205"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rebuchetMS"/>
                <w:color w:val="auto"/>
                <w:szCs w:val="18"/>
              </w:rPr>
            </w:pPr>
            <w:bookmarkStart w:id="146" w:name="_Toc146590575"/>
            <w:r w:rsidRPr="00894701">
              <w:rPr>
                <w:rFonts w:asciiTheme="majorHAnsi" w:hAnsiTheme="majorHAnsi"/>
                <w:i/>
                <w:iCs/>
                <w:sz w:val="20"/>
              </w:rPr>
              <w:t xml:space="preserve">Figure </w:t>
            </w:r>
            <w:r w:rsidRPr="00860520">
              <w:rPr>
                <w:rFonts w:asciiTheme="majorHAnsi" w:hAnsiTheme="majorHAnsi"/>
                <w:bCs/>
                <w:sz w:val="20"/>
              </w:rPr>
              <w:fldChar w:fldCharType="begin"/>
            </w:r>
            <w:r w:rsidRPr="00860520">
              <w:rPr>
                <w:rFonts w:asciiTheme="majorHAnsi" w:hAnsiTheme="majorHAnsi"/>
                <w:sz w:val="20"/>
              </w:rPr>
              <w:instrText xml:space="preserve"> SEQ Figure \* ARABIC </w:instrText>
            </w:r>
            <w:r w:rsidRPr="00860520">
              <w:rPr>
                <w:rFonts w:asciiTheme="majorHAnsi" w:hAnsiTheme="majorHAnsi"/>
                <w:bCs/>
                <w:sz w:val="20"/>
              </w:rPr>
              <w:fldChar w:fldCharType="separate"/>
            </w:r>
            <w:r w:rsidR="0035303B">
              <w:rPr>
                <w:rFonts w:asciiTheme="majorHAnsi" w:hAnsiTheme="majorHAnsi"/>
                <w:noProof/>
                <w:sz w:val="20"/>
              </w:rPr>
              <w:t>10</w:t>
            </w:r>
            <w:r w:rsidRPr="00860520">
              <w:rPr>
                <w:rFonts w:asciiTheme="majorHAnsi" w:hAnsiTheme="majorHAnsi"/>
                <w:bCs/>
                <w:sz w:val="20"/>
              </w:rPr>
              <w:fldChar w:fldCharType="end"/>
            </w:r>
            <w:r w:rsidRPr="00894701">
              <w:rPr>
                <w:rFonts w:asciiTheme="majorHAnsi" w:hAnsiTheme="majorHAnsi"/>
                <w:i/>
                <w:iCs/>
                <w:sz w:val="20"/>
              </w:rPr>
              <w:t xml:space="preserve">: </w:t>
            </w:r>
            <w:r>
              <w:rPr>
                <w:rFonts w:asciiTheme="majorHAnsi" w:hAnsiTheme="majorHAnsi"/>
                <w:i/>
                <w:iCs/>
                <w:sz w:val="20"/>
              </w:rPr>
              <w:t xml:space="preserve">Organogram of the </w:t>
            </w:r>
            <w:r w:rsidRPr="004D0CDC">
              <w:rPr>
                <w:rFonts w:asciiTheme="majorHAnsi" w:hAnsiTheme="majorHAnsi"/>
                <w:i/>
                <w:iCs/>
                <w:sz w:val="20"/>
              </w:rPr>
              <w:t>directorate of taxation</w:t>
            </w:r>
            <w:r w:rsidRPr="00894701">
              <w:rPr>
                <w:rFonts w:asciiTheme="majorHAnsi" w:hAnsiTheme="majorHAnsi"/>
                <w:i/>
                <w:iCs/>
                <w:sz w:val="20"/>
              </w:rPr>
              <w:t xml:space="preserve"> </w:t>
            </w:r>
            <w:r w:rsidRPr="00894701">
              <w:rPr>
                <w:rFonts w:asciiTheme="minorHAnsi" w:hAnsiTheme="minorHAnsi"/>
                <w:noProof/>
                <w:color w:val="auto"/>
                <w:szCs w:val="18"/>
                <w:lang w:val="en-US" w:eastAsia="en-US"/>
              </w:rPr>
              <w:drawing>
                <wp:anchor distT="0" distB="0" distL="114300" distR="114300" simplePos="0" relativeHeight="251658250" behindDoc="0" locked="0" layoutInCell="1" allowOverlap="1" wp14:anchorId="41FEE6AB" wp14:editId="0C6E5DB5">
                  <wp:simplePos x="0" y="0"/>
                  <wp:positionH relativeFrom="column">
                    <wp:posOffset>-40640</wp:posOffset>
                  </wp:positionH>
                  <wp:positionV relativeFrom="paragraph">
                    <wp:posOffset>189230</wp:posOffset>
                  </wp:positionV>
                  <wp:extent cx="4038600" cy="1143000"/>
                  <wp:effectExtent l="0" t="0" r="0" b="0"/>
                  <wp:wrapSquare wrapText="bothSides"/>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Picture 398"/>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038600" cy="1143000"/>
                          </a:xfrm>
                          <a:prstGeom prst="rect">
                            <a:avLst/>
                          </a:prstGeom>
                          <a:noFill/>
                        </pic:spPr>
                      </pic:pic>
                    </a:graphicData>
                  </a:graphic>
                </wp:anchor>
              </w:drawing>
            </w:r>
            <w:bookmarkEnd w:id="146"/>
          </w:p>
          <w:p w14:paraId="73B11A9A" w14:textId="504C5991" w:rsidR="00710212" w:rsidRPr="00894701" w:rsidRDefault="00710212" w:rsidP="00446B8D">
            <w:pPr>
              <w:spacing w:before="80" w:line="205"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rebuchetMS"/>
                <w:color w:val="auto"/>
                <w:szCs w:val="18"/>
              </w:rPr>
            </w:pPr>
          </w:p>
          <w:p w14:paraId="03B7C2EC" w14:textId="77777777" w:rsidR="00CA282D" w:rsidRPr="00894701" w:rsidRDefault="00CA282D" w:rsidP="00446B8D">
            <w:pPr>
              <w:spacing w:line="206" w:lineRule="exact"/>
              <w:ind w:firstLine="360"/>
              <w:cnfStyle w:val="000000100000" w:firstRow="0" w:lastRow="0" w:firstColumn="0" w:lastColumn="0" w:oddVBand="0" w:evenVBand="0" w:oddHBand="1" w:evenHBand="0" w:firstRowFirstColumn="0" w:firstRowLastColumn="0" w:lastRowFirstColumn="0" w:lastRowLastColumn="0"/>
              <w:rPr>
                <w:rFonts w:asciiTheme="minorHAnsi" w:hAnsiTheme="minorHAnsi" w:cs="TrebuchetMS-Bold"/>
                <w:b/>
                <w:bCs/>
                <w:color w:val="auto"/>
                <w:szCs w:val="18"/>
              </w:rPr>
            </w:pPr>
            <w:r w:rsidRPr="00894701">
              <w:rPr>
                <w:rFonts w:asciiTheme="minorHAnsi" w:hAnsiTheme="minorHAnsi" w:cs="TrebuchetMS-Bold"/>
                <w:b/>
                <w:bCs/>
                <w:color w:val="auto"/>
                <w:szCs w:val="18"/>
              </w:rPr>
              <w:t xml:space="preserve">3- Development planning and development financing </w:t>
            </w:r>
          </w:p>
          <w:p w14:paraId="3BBD89C9" w14:textId="77777777" w:rsidR="00CA282D" w:rsidRPr="00894701" w:rsidRDefault="00CA282D" w:rsidP="00446B8D">
            <w:pPr>
              <w:spacing w:before="80" w:line="205" w:lineRule="exac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rebuchetMS"/>
                <w:color w:val="auto"/>
                <w:szCs w:val="18"/>
              </w:rPr>
            </w:pPr>
            <w:r w:rsidRPr="00894701">
              <w:rPr>
                <w:rFonts w:asciiTheme="minorHAnsi" w:hAnsiTheme="minorHAnsi" w:cs="TrebuchetMS"/>
                <w:color w:val="auto"/>
                <w:szCs w:val="18"/>
              </w:rPr>
              <w:t xml:space="preserve">Based on the ministerial decision of May 2015, the directorate ‘planning and development financing’ has been added to MoF with retroactive effect from September 2010. This department oversees medium and short-term planning as well as the recruitment and management of funds that are available for the implementation of development plans and projects through development partners and international financing institutions.  </w:t>
            </w:r>
          </w:p>
        </w:tc>
      </w:tr>
      <w:tr w:rsidR="00347610" w:rsidRPr="00894701" w14:paraId="14B32953" w14:textId="77777777" w:rsidTr="00860520">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893" w:type="dxa"/>
            <w:tcBorders>
              <w:top w:val="single" w:sz="2" w:space="0" w:color="FF0000"/>
              <w:bottom w:val="single" w:sz="2" w:space="0" w:color="FF0000"/>
            </w:tcBorders>
            <w:shd w:val="clear" w:color="auto" w:fill="F7A3B0"/>
            <w:vAlign w:val="center"/>
          </w:tcPr>
          <w:p w14:paraId="2884CC4B" w14:textId="7A16D104" w:rsidR="00347610" w:rsidRPr="00894701" w:rsidRDefault="003717C4" w:rsidP="008D0C20">
            <w:pPr>
              <w:rPr>
                <w:rFonts w:asciiTheme="minorHAnsi" w:hAnsiTheme="minorHAnsi"/>
                <w:b/>
                <w:bCs/>
                <w:color w:val="auto"/>
                <w:szCs w:val="18"/>
              </w:rPr>
            </w:pPr>
            <w:r w:rsidRPr="00894701">
              <w:rPr>
                <w:rFonts w:asciiTheme="minorHAnsi" w:hAnsiTheme="minorHAnsi"/>
                <w:b/>
                <w:bCs/>
                <w:color w:val="auto"/>
                <w:szCs w:val="18"/>
              </w:rPr>
              <w:t>Gold Sector Order (Ordening Goudsector)</w:t>
            </w:r>
            <w:r w:rsidR="008D0C20">
              <w:rPr>
                <w:rFonts w:asciiTheme="minorHAnsi" w:hAnsiTheme="minorHAnsi"/>
                <w:b/>
                <w:bCs/>
                <w:color w:val="auto"/>
                <w:szCs w:val="18"/>
              </w:rPr>
              <w:t xml:space="preserve"> (OGS)</w:t>
            </w:r>
            <w:r w:rsidRPr="00894701">
              <w:rPr>
                <w:rStyle w:val="FootnoteReference"/>
                <w:rFonts w:asciiTheme="minorHAnsi" w:hAnsiTheme="minorHAnsi"/>
                <w:b/>
                <w:bCs/>
                <w:color w:val="auto"/>
                <w:szCs w:val="18"/>
              </w:rPr>
              <w:footnoteReference w:id="22"/>
            </w:r>
          </w:p>
        </w:tc>
        <w:tc>
          <w:tcPr>
            <w:tcW w:w="6818" w:type="dxa"/>
            <w:tcBorders>
              <w:top w:val="single" w:sz="2" w:space="0" w:color="FF0000"/>
              <w:bottom w:val="single" w:sz="2" w:space="0" w:color="FF0000"/>
            </w:tcBorders>
            <w:shd w:val="clear" w:color="auto" w:fill="F7A3B0"/>
          </w:tcPr>
          <w:p w14:paraId="6F5B5311" w14:textId="29AAA701" w:rsidR="00E40F4C" w:rsidRPr="00894701" w:rsidRDefault="00E40F4C" w:rsidP="00E40F4C">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The Gold Sector Order is a committee established in 2011 under the Cabinet of the Vice-President.</w:t>
            </w:r>
          </w:p>
          <w:p w14:paraId="54FB8E15" w14:textId="77777777" w:rsidR="00A075FE" w:rsidRPr="00894701" w:rsidRDefault="00E40F4C">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The committee consists of a policy team, a council of advisors and a management team</w:t>
            </w:r>
            <w:r w:rsidR="00A075FE" w:rsidRPr="00894701">
              <w:rPr>
                <w:rFonts w:asciiTheme="minorHAnsi" w:hAnsiTheme="minorHAnsi"/>
                <w:color w:val="auto"/>
                <w:szCs w:val="18"/>
              </w:rPr>
              <w:t xml:space="preserve"> involving the Police, Army, Taxation, BOG (Bureau Public Healthcare), CIVD </w:t>
            </w:r>
            <w:r w:rsidR="00A075FE" w:rsidRPr="00894701">
              <w:rPr>
                <w:rFonts w:asciiTheme="minorHAnsi" w:hAnsiTheme="minorHAnsi"/>
                <w:color w:val="auto"/>
                <w:szCs w:val="18"/>
              </w:rPr>
              <w:lastRenderedPageBreak/>
              <w:t>Central Intelligence and Security Service, Ministry of Labour</w:t>
            </w:r>
            <w:r w:rsidR="003C5CC0" w:rsidRPr="00894701">
              <w:rPr>
                <w:rFonts w:asciiTheme="minorHAnsi" w:hAnsiTheme="minorHAnsi"/>
                <w:color w:val="auto"/>
                <w:szCs w:val="18"/>
              </w:rPr>
              <w:t xml:space="preserve"> </w:t>
            </w:r>
            <w:r w:rsidR="00A075FE" w:rsidRPr="00894701">
              <w:rPr>
                <w:rFonts w:asciiTheme="minorHAnsi" w:hAnsiTheme="minorHAnsi"/>
                <w:color w:val="auto"/>
                <w:szCs w:val="18"/>
              </w:rPr>
              <w:t>and GMD Geological and Mining Service.</w:t>
            </w:r>
          </w:p>
          <w:p w14:paraId="70CD76F6" w14:textId="77777777" w:rsidR="007638A3" w:rsidRDefault="007638A3">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The tasks of the Policy Team include carrying out extensive activities that enable an inventory of the gold sector. The necessary provisions are made for this.</w:t>
            </w:r>
          </w:p>
          <w:p w14:paraId="099E3064" w14:textId="3BFDF004" w:rsidR="008D0C20" w:rsidRPr="00894701" w:rsidRDefault="008D0C20" w:rsidP="00860520">
            <w:pP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The Gold Sector Order</w:t>
            </w:r>
            <w:r>
              <w:rPr>
                <w:rFonts w:asciiTheme="minorHAnsi" w:hAnsiTheme="minorHAnsi"/>
                <w:color w:val="auto"/>
                <w:szCs w:val="18"/>
              </w:rPr>
              <w:t xml:space="preserve"> is th</w:t>
            </w:r>
            <w:r w:rsidRPr="008D0C20">
              <w:rPr>
                <w:rFonts w:asciiTheme="minorHAnsi" w:hAnsiTheme="minorHAnsi"/>
                <w:color w:val="auto"/>
                <w:szCs w:val="18"/>
              </w:rPr>
              <w:t>e Commission for the Coordination</w:t>
            </w:r>
            <w:r>
              <w:rPr>
                <w:rFonts w:asciiTheme="minorHAnsi" w:hAnsiTheme="minorHAnsi"/>
                <w:color w:val="auto"/>
                <w:szCs w:val="18"/>
              </w:rPr>
              <w:t xml:space="preserve"> </w:t>
            </w:r>
            <w:r w:rsidRPr="008D0C20">
              <w:rPr>
                <w:rFonts w:asciiTheme="minorHAnsi" w:hAnsiTheme="minorHAnsi"/>
                <w:color w:val="auto"/>
                <w:szCs w:val="18"/>
              </w:rPr>
              <w:t>of the Small-scale Gold Mining Sector (OKGS)</w:t>
            </w:r>
            <w:r>
              <w:rPr>
                <w:rFonts w:asciiTheme="minorHAnsi" w:hAnsiTheme="minorHAnsi"/>
                <w:color w:val="auto"/>
                <w:szCs w:val="18"/>
              </w:rPr>
              <w:t>.</w:t>
            </w:r>
            <w:r>
              <w:rPr>
                <w:rStyle w:val="FootnoteReference"/>
                <w:rFonts w:asciiTheme="minorHAnsi" w:hAnsiTheme="minorHAnsi"/>
                <w:color w:val="auto"/>
                <w:szCs w:val="18"/>
              </w:rPr>
              <w:footnoteReference w:id="23"/>
            </w:r>
          </w:p>
        </w:tc>
      </w:tr>
      <w:tr w:rsidR="006272D9" w:rsidRPr="00894701" w14:paraId="652DAB00" w14:textId="77777777" w:rsidTr="00860520">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0" w:type="dxa"/>
            <w:tcBorders>
              <w:top w:val="single" w:sz="2" w:space="0" w:color="FF0000"/>
              <w:bottom w:val="single" w:sz="2" w:space="0" w:color="FF0000"/>
            </w:tcBorders>
            <w:vAlign w:val="center"/>
          </w:tcPr>
          <w:p w14:paraId="6EF3A099" w14:textId="77777777" w:rsidR="006272D9" w:rsidRPr="00894701" w:rsidRDefault="006272D9" w:rsidP="006272D9">
            <w:pPr>
              <w:spacing w:after="0" w:line="240" w:lineRule="auto"/>
              <w:rPr>
                <w:rFonts w:asciiTheme="minorHAnsi" w:hAnsiTheme="minorHAnsi" w:cs="TrebuchetMS-Bold"/>
                <w:b/>
                <w:bCs/>
                <w:color w:val="000000"/>
                <w:kern w:val="0"/>
                <w:szCs w:val="18"/>
                <w:lang w:val="nl-NL"/>
              </w:rPr>
            </w:pPr>
            <w:r w:rsidRPr="00894701">
              <w:rPr>
                <w:rFonts w:asciiTheme="minorHAnsi" w:hAnsiTheme="minorHAnsi" w:cs="TrebuchetMS-Bold"/>
                <w:b/>
                <w:bCs/>
                <w:color w:val="000000"/>
                <w:kern w:val="0"/>
                <w:szCs w:val="18"/>
                <w:lang w:val="nl-NL"/>
              </w:rPr>
              <w:lastRenderedPageBreak/>
              <w:t xml:space="preserve">Staatsolie </w:t>
            </w:r>
          </w:p>
          <w:p w14:paraId="24A37B7E" w14:textId="136500D3" w:rsidR="006272D9" w:rsidRPr="00860520" w:rsidRDefault="006272D9" w:rsidP="006272D9">
            <w:pPr>
              <w:rPr>
                <w:rFonts w:asciiTheme="minorHAnsi" w:hAnsiTheme="minorHAnsi"/>
                <w:b/>
                <w:bCs/>
                <w:color w:val="auto"/>
                <w:szCs w:val="18"/>
                <w:lang w:val="nl-NL"/>
              </w:rPr>
            </w:pPr>
            <w:r w:rsidRPr="00894701">
              <w:rPr>
                <w:rFonts w:asciiTheme="minorHAnsi" w:hAnsiTheme="minorHAnsi" w:cs="TrebuchetMS-Bold"/>
                <w:b/>
                <w:bCs/>
                <w:color w:val="000000"/>
                <w:kern w:val="0"/>
                <w:szCs w:val="18"/>
                <w:lang w:val="nl-NL"/>
              </w:rPr>
              <w:t>Maatschappij Suriname NV (Staatsolie)</w:t>
            </w:r>
          </w:p>
        </w:tc>
        <w:tc>
          <w:tcPr>
            <w:tcW w:w="0" w:type="dxa"/>
            <w:tcBorders>
              <w:top w:val="single" w:sz="2" w:space="0" w:color="FF0000"/>
              <w:bottom w:val="single" w:sz="2" w:space="0" w:color="FF0000"/>
            </w:tcBorders>
          </w:tcPr>
          <w:p w14:paraId="24DD6037" w14:textId="77777777" w:rsidR="006272D9" w:rsidRDefault="006272D9" w:rsidP="006272D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CA1B0C">
              <w:rPr>
                <w:rFonts w:asciiTheme="minorHAnsi" w:hAnsiTheme="minorHAnsi"/>
                <w:color w:val="auto"/>
                <w:szCs w:val="18"/>
              </w:rPr>
              <w:t>Staatsolie is p</w:t>
            </w:r>
            <w:r>
              <w:rPr>
                <w:rFonts w:asciiTheme="minorHAnsi" w:hAnsiTheme="minorHAnsi"/>
                <w:color w:val="auto"/>
                <w:szCs w:val="18"/>
              </w:rPr>
              <w:t xml:space="preserve">resented in Section </w:t>
            </w:r>
            <w:r w:rsidRPr="00935C34">
              <w:rPr>
                <w:rFonts w:asciiTheme="minorHAnsi" w:hAnsiTheme="minorHAnsi"/>
                <w:color w:val="auto"/>
                <w:szCs w:val="18"/>
              </w:rPr>
              <w:t>3.2.2.(a)</w:t>
            </w:r>
            <w:r>
              <w:rPr>
                <w:rFonts w:asciiTheme="minorHAnsi" w:hAnsiTheme="minorHAnsi"/>
                <w:color w:val="auto"/>
                <w:szCs w:val="18"/>
              </w:rPr>
              <w:t xml:space="preserve"> of this report.</w:t>
            </w:r>
          </w:p>
          <w:p w14:paraId="5BC0F558" w14:textId="77777777" w:rsidR="006272D9" w:rsidRDefault="006272D9" w:rsidP="006272D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935C34">
              <w:rPr>
                <w:rFonts w:asciiTheme="minorHAnsi" w:hAnsiTheme="minorHAnsi"/>
                <w:color w:val="auto"/>
                <w:szCs w:val="18"/>
              </w:rPr>
              <w:t xml:space="preserve">Section 3.6.2 of the report </w:t>
            </w:r>
            <w:r>
              <w:rPr>
                <w:rFonts w:asciiTheme="minorHAnsi" w:hAnsiTheme="minorHAnsi"/>
                <w:color w:val="auto"/>
                <w:szCs w:val="18"/>
              </w:rPr>
              <w:t>the interest that</w:t>
            </w:r>
            <w:r w:rsidRPr="00935C34">
              <w:rPr>
                <w:rFonts w:asciiTheme="minorHAnsi" w:hAnsiTheme="minorHAnsi"/>
                <w:color w:val="auto"/>
                <w:szCs w:val="18"/>
              </w:rPr>
              <w:t xml:space="preserve"> Staatsolie </w:t>
            </w:r>
            <w:r>
              <w:rPr>
                <w:rFonts w:asciiTheme="minorHAnsi" w:hAnsiTheme="minorHAnsi"/>
                <w:color w:val="auto"/>
                <w:szCs w:val="18"/>
              </w:rPr>
              <w:t xml:space="preserve">holds </w:t>
            </w:r>
            <w:r w:rsidRPr="00935C34">
              <w:rPr>
                <w:rFonts w:asciiTheme="minorHAnsi" w:hAnsiTheme="minorHAnsi"/>
                <w:color w:val="auto"/>
                <w:szCs w:val="18"/>
              </w:rPr>
              <w:t xml:space="preserve">in the mining sector </w:t>
            </w:r>
            <w:r>
              <w:rPr>
                <w:rFonts w:asciiTheme="minorHAnsi" w:hAnsiTheme="minorHAnsi"/>
                <w:color w:val="auto"/>
                <w:szCs w:val="18"/>
              </w:rPr>
              <w:t>(</w:t>
            </w:r>
            <w:r w:rsidRPr="00935C34">
              <w:rPr>
                <w:rFonts w:asciiTheme="minorHAnsi" w:hAnsiTheme="minorHAnsi"/>
                <w:color w:val="auto"/>
                <w:szCs w:val="18"/>
              </w:rPr>
              <w:t>Merian Gold Mine operated by Newmont Suriname</w:t>
            </w:r>
            <w:r>
              <w:rPr>
                <w:rFonts w:asciiTheme="minorHAnsi" w:hAnsiTheme="minorHAnsi"/>
                <w:color w:val="auto"/>
                <w:szCs w:val="18"/>
              </w:rPr>
              <w:t>)</w:t>
            </w:r>
            <w:r w:rsidRPr="00935C34">
              <w:rPr>
                <w:rFonts w:asciiTheme="minorHAnsi" w:hAnsiTheme="minorHAnsi"/>
                <w:color w:val="auto"/>
                <w:szCs w:val="18"/>
              </w:rPr>
              <w:t xml:space="preserve">. The financial relationship </w:t>
            </w:r>
            <w:r>
              <w:rPr>
                <w:rFonts w:asciiTheme="minorHAnsi" w:hAnsiTheme="minorHAnsi"/>
                <w:color w:val="auto"/>
                <w:szCs w:val="18"/>
              </w:rPr>
              <w:t>between</w:t>
            </w:r>
            <w:r w:rsidRPr="00935C34">
              <w:rPr>
                <w:rFonts w:asciiTheme="minorHAnsi" w:hAnsiTheme="minorHAnsi"/>
                <w:color w:val="auto"/>
                <w:szCs w:val="18"/>
              </w:rPr>
              <w:t xml:space="preserve"> Staatsolie with this mine </w:t>
            </w:r>
            <w:r>
              <w:rPr>
                <w:rFonts w:asciiTheme="minorHAnsi" w:hAnsiTheme="minorHAnsi"/>
                <w:color w:val="auto"/>
                <w:szCs w:val="18"/>
              </w:rPr>
              <w:t xml:space="preserve">is summarised </w:t>
            </w:r>
            <w:r w:rsidRPr="00935C34">
              <w:rPr>
                <w:rFonts w:asciiTheme="minorHAnsi" w:hAnsiTheme="minorHAnsi"/>
                <w:color w:val="auto"/>
                <w:szCs w:val="18"/>
              </w:rPr>
              <w:t>in Section 3.2.1.c as it is entitled to receive dividends from holding a fully-funded 25% equity stake in the Merian gold mine.</w:t>
            </w:r>
          </w:p>
          <w:p w14:paraId="2EC5612C" w14:textId="5C28CE0D" w:rsidR="006272D9" w:rsidRPr="00894701" w:rsidRDefault="006272D9" w:rsidP="006272D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Pr>
                <w:rFonts w:asciiTheme="minorHAnsi" w:hAnsiTheme="minorHAnsi"/>
                <w:color w:val="auto"/>
                <w:szCs w:val="18"/>
              </w:rPr>
              <w:t xml:space="preserve">Staatsolie’s relation with </w:t>
            </w:r>
            <w:r w:rsidRPr="00112C2A">
              <w:rPr>
                <w:rFonts w:asciiTheme="minorHAnsi" w:hAnsiTheme="minorHAnsi"/>
                <w:color w:val="auto"/>
                <w:szCs w:val="18"/>
              </w:rPr>
              <w:t xml:space="preserve">Rosebel Gold Mines N.V (“RGM”) </w:t>
            </w:r>
            <w:r>
              <w:rPr>
                <w:rFonts w:asciiTheme="minorHAnsi" w:hAnsiTheme="minorHAnsi"/>
                <w:color w:val="auto"/>
                <w:szCs w:val="18"/>
              </w:rPr>
              <w:t xml:space="preserve">is also disclosed on the </w:t>
            </w:r>
            <w:hyperlink r:id="rId37" w:history="1">
              <w:r w:rsidRPr="00112C2A">
                <w:rPr>
                  <w:rStyle w:val="Hyperlink"/>
                  <w:rFonts w:asciiTheme="minorHAnsi" w:hAnsiTheme="minorHAnsi"/>
                  <w:szCs w:val="18"/>
                </w:rPr>
                <w:t>firm’s website</w:t>
              </w:r>
            </w:hyperlink>
            <w:r>
              <w:rPr>
                <w:rFonts w:asciiTheme="minorHAnsi" w:hAnsiTheme="minorHAnsi"/>
                <w:color w:val="auto"/>
                <w:szCs w:val="18"/>
              </w:rPr>
              <w:t>.</w:t>
            </w:r>
          </w:p>
        </w:tc>
      </w:tr>
    </w:tbl>
    <w:p w14:paraId="44DA4778" w14:textId="77777777" w:rsidR="00CA282D" w:rsidRPr="00894701" w:rsidRDefault="00CA282D" w:rsidP="00860520">
      <w:pPr>
        <w:spacing w:before="120"/>
        <w:jc w:val="both"/>
        <w:rPr>
          <w:rFonts w:asciiTheme="minorHAnsi" w:hAnsiTheme="minorHAnsi"/>
          <w:color w:val="auto"/>
          <w:sz w:val="20"/>
        </w:rPr>
      </w:pPr>
    </w:p>
    <w:p w14:paraId="1C7B2FF4" w14:textId="1295C37A" w:rsidR="00CA282D" w:rsidRPr="00894701" w:rsidRDefault="00BB46FD" w:rsidP="008F7932">
      <w:pPr>
        <w:pStyle w:val="AltMinorSubHeading"/>
        <w:numPr>
          <w:ilvl w:val="0"/>
          <w:numId w:val="0"/>
        </w:numPr>
        <w:spacing w:before="0" w:after="120"/>
      </w:pPr>
      <w:bookmarkStart w:id="147" w:name="_Toc122478859"/>
      <w:r w:rsidRPr="00894701">
        <w:t>3</w:t>
      </w:r>
      <w:r w:rsidR="00CA282D" w:rsidRPr="00894701">
        <w:t>.2.1.(b) Legal Framework</w:t>
      </w:r>
      <w:bookmarkEnd w:id="147"/>
      <w:r w:rsidR="00CA282D" w:rsidRPr="00894701">
        <w:t xml:space="preserve"> </w:t>
      </w:r>
    </w:p>
    <w:p w14:paraId="3CEB7384" w14:textId="0A404409" w:rsidR="00CA282D" w:rsidRPr="00894701" w:rsidRDefault="00CA282D" w:rsidP="00CA282D">
      <w:pPr>
        <w:jc w:val="both"/>
        <w:rPr>
          <w:rFonts w:asciiTheme="minorHAnsi" w:hAnsiTheme="minorHAnsi"/>
          <w:color w:val="auto"/>
          <w:sz w:val="20"/>
          <w:szCs w:val="20"/>
        </w:rPr>
      </w:pPr>
      <w:r w:rsidRPr="00894701">
        <w:rPr>
          <w:rFonts w:asciiTheme="minorHAnsi" w:hAnsiTheme="minorHAnsi"/>
          <w:color w:val="auto"/>
          <w:sz w:val="20"/>
          <w:szCs w:val="20"/>
        </w:rPr>
        <w:t>The main legislation and regulations governing mining activities in Suriname</w:t>
      </w:r>
      <w:r w:rsidR="00F86B15">
        <w:rPr>
          <w:rFonts w:asciiTheme="minorHAnsi" w:hAnsiTheme="minorHAnsi"/>
          <w:color w:val="auto"/>
          <w:sz w:val="20"/>
          <w:szCs w:val="20"/>
        </w:rPr>
        <w:t>, as detailed in the aforementioned IGF report,</w:t>
      </w:r>
      <w:r w:rsidRPr="00894701">
        <w:rPr>
          <w:rFonts w:asciiTheme="minorHAnsi" w:hAnsiTheme="minorHAnsi"/>
          <w:color w:val="auto"/>
          <w:sz w:val="20"/>
          <w:szCs w:val="20"/>
        </w:rPr>
        <w:t xml:space="preserve"> are</w:t>
      </w:r>
      <w:r w:rsidR="00F86B15">
        <w:rPr>
          <w:rFonts w:asciiTheme="minorHAnsi" w:hAnsiTheme="minorHAnsi"/>
          <w:color w:val="auto"/>
          <w:sz w:val="20"/>
          <w:szCs w:val="20"/>
        </w:rPr>
        <w:t xml:space="preserve"> as follows</w:t>
      </w:r>
      <w:r w:rsidRPr="00894701">
        <w:rPr>
          <w:rFonts w:asciiTheme="minorHAnsi" w:hAnsiTheme="minorHAnsi"/>
          <w:color w:val="auto"/>
          <w:sz w:val="20"/>
          <w:szCs w:val="20"/>
        </w:rPr>
        <w:t xml:space="preserve">: </w:t>
      </w:r>
    </w:p>
    <w:p w14:paraId="2FBB5A8F" w14:textId="1A7ECE07" w:rsidR="00CA282D" w:rsidRPr="004F0AEB" w:rsidRDefault="00FA01D4" w:rsidP="00CA282D">
      <w:pPr>
        <w:jc w:val="both"/>
        <w:rPr>
          <w:rFonts w:asciiTheme="minorHAnsi" w:hAnsiTheme="minorHAnsi"/>
          <w:i/>
          <w:iCs/>
          <w:color w:val="auto"/>
          <w:sz w:val="20"/>
          <w:szCs w:val="20"/>
        </w:rPr>
      </w:pPr>
      <w:r w:rsidRPr="004F0AEB">
        <w:rPr>
          <w:rFonts w:asciiTheme="minorHAnsi" w:eastAsia="Calibri" w:hAnsiTheme="minorHAnsi"/>
          <w:i/>
          <w:iCs/>
          <w:color w:val="FF0000"/>
          <w:kern w:val="0"/>
          <w:sz w:val="20"/>
          <w:szCs w:val="20"/>
          <w:lang w:eastAsia="en-US"/>
        </w:rPr>
        <w:t>“</w:t>
      </w:r>
      <w:r w:rsidR="00CA282D" w:rsidRPr="004F0AEB">
        <w:rPr>
          <w:rFonts w:asciiTheme="minorHAnsi" w:eastAsia="Calibri" w:hAnsiTheme="minorHAnsi"/>
          <w:i/>
          <w:iCs/>
          <w:color w:val="FF0000"/>
          <w:kern w:val="0"/>
          <w:sz w:val="20"/>
          <w:szCs w:val="20"/>
          <w:lang w:eastAsia="en-US"/>
        </w:rPr>
        <w:t>- The constitution of the Republic of Suriname (1987):</w:t>
      </w:r>
      <w:r w:rsidR="00CA282D" w:rsidRPr="004F0AEB">
        <w:rPr>
          <w:rFonts w:asciiTheme="minorHAnsi" w:hAnsiTheme="minorHAnsi"/>
          <w:i/>
          <w:iCs/>
          <w:color w:val="auto"/>
          <w:sz w:val="20"/>
          <w:szCs w:val="20"/>
        </w:rPr>
        <w:t xml:space="preserve"> Suriname’s Constitution does not contain any specific language pertaining to the mining sector. However, it has many provisions that relate to mining and its governance. The Constitution proclaims that natural riches and resources are the property of the nation, and the state has the right to take possession of these natural resources to use them for the benefit of Suriname’s economic, social and cultural development. </w:t>
      </w:r>
    </w:p>
    <w:p w14:paraId="7A8A1C08" w14:textId="0EC1B718" w:rsidR="00CA282D" w:rsidRPr="00894701" w:rsidRDefault="00CA282D" w:rsidP="00FA01D4">
      <w:pPr>
        <w:jc w:val="both"/>
        <w:rPr>
          <w:rFonts w:asciiTheme="minorHAnsi" w:hAnsiTheme="minorHAnsi"/>
          <w:color w:val="auto"/>
          <w:sz w:val="20"/>
          <w:szCs w:val="20"/>
        </w:rPr>
      </w:pPr>
      <w:r w:rsidRPr="004F0AEB">
        <w:rPr>
          <w:rFonts w:asciiTheme="minorHAnsi" w:eastAsia="Calibri" w:hAnsiTheme="minorHAnsi"/>
          <w:i/>
          <w:iCs/>
          <w:color w:val="FF0000"/>
          <w:kern w:val="0"/>
          <w:sz w:val="20"/>
          <w:szCs w:val="20"/>
          <w:lang w:eastAsia="en-US"/>
        </w:rPr>
        <w:t>- The Mining decree of 8 May 1986 and its amendments:</w:t>
      </w:r>
      <w:r w:rsidRPr="004F0AEB">
        <w:rPr>
          <w:rFonts w:asciiTheme="minorHAnsi" w:hAnsiTheme="minorHAnsi"/>
          <w:i/>
          <w:iCs/>
          <w:color w:val="auto"/>
          <w:sz w:val="20"/>
          <w:szCs w:val="20"/>
        </w:rPr>
        <w:t xml:space="preserve"> The Mining Decree (1986) governs Suriname’s mining sector and contains general rules concerning the exploration and exploitation of minerals (Mining Decree). The Mining Decree also provides the basis for mineral agreements. The Mining Decree reiterates that the minerals in and on the ground in Suriname are to be considered property of the state and are separated from ownership of the land. The Decree states that mining should be carried out according to modern international techniques and methods and should be aligned with the norms tacitly assumed in the mining industry. Worker health and safety (and public health more generally) must be respected and protected by those operating in the industry, and they must follow the norms for the protection of ecological systems. Mining companies must give priority to local employment and local purchasing of goods and services when these can be obtained at comparable prices, types, variety and quantities.</w:t>
      </w:r>
      <w:r w:rsidR="00FA01D4" w:rsidRPr="004F0AEB">
        <w:rPr>
          <w:rFonts w:asciiTheme="minorHAnsi" w:eastAsia="Calibri" w:hAnsiTheme="minorHAnsi"/>
          <w:i/>
          <w:iCs/>
          <w:color w:val="FF0000"/>
          <w:kern w:val="0"/>
          <w:sz w:val="20"/>
          <w:szCs w:val="20"/>
          <w:lang w:eastAsia="en-US"/>
        </w:rPr>
        <w:t>”</w:t>
      </w:r>
      <w:r w:rsidR="00FA01D4">
        <w:rPr>
          <w:rStyle w:val="FootnoteReference"/>
          <w:rFonts w:asciiTheme="minorHAnsi" w:hAnsiTheme="minorHAnsi" w:cs="Arial"/>
          <w:color w:val="auto"/>
          <w:sz w:val="20"/>
        </w:rPr>
        <w:footnoteReference w:id="24"/>
      </w:r>
    </w:p>
    <w:p w14:paraId="1F62590B" w14:textId="77777777" w:rsidR="00CA282D" w:rsidRPr="00894701" w:rsidRDefault="00CA282D" w:rsidP="00CA282D">
      <w:pPr>
        <w:jc w:val="both"/>
        <w:rPr>
          <w:rFonts w:asciiTheme="minorHAnsi" w:hAnsiTheme="minorHAnsi"/>
          <w:color w:val="auto"/>
          <w:sz w:val="20"/>
          <w:szCs w:val="20"/>
        </w:rPr>
      </w:pPr>
      <w:r w:rsidRPr="00894701">
        <w:rPr>
          <w:rFonts w:asciiTheme="minorHAnsi" w:hAnsiTheme="minorHAnsi"/>
          <w:color w:val="auto"/>
          <w:sz w:val="20"/>
          <w:szCs w:val="20"/>
        </w:rPr>
        <w:t xml:space="preserve">According to Article 2 of the Mining Decree, all minerals existing in the Republic of Suriname and its exclusive economic zone, are the property of the Republic of Suriname, and the Republic holds exclusive sovereign rights regarding the exploration and exploitation of these resources. Petroleum resources are the property of the State. The Mining Decree (article 32) provides the Government of Suriname with an option to participate directly in any mining project. The national mineral policy is vested by the Government. The MONR is responsible for the implementation of such a policy.  </w:t>
      </w:r>
    </w:p>
    <w:p w14:paraId="1AFEB179" w14:textId="3205BB23" w:rsidR="00CA282D" w:rsidRPr="00894701" w:rsidRDefault="00F86B15" w:rsidP="00CA282D">
      <w:pPr>
        <w:jc w:val="both"/>
        <w:rPr>
          <w:rFonts w:asciiTheme="minorHAnsi" w:hAnsiTheme="minorHAnsi"/>
          <w:color w:val="auto"/>
          <w:sz w:val="20"/>
          <w:szCs w:val="20"/>
        </w:rPr>
      </w:pPr>
      <w:r>
        <w:rPr>
          <w:rFonts w:asciiTheme="minorHAnsi" w:hAnsiTheme="minorHAnsi"/>
          <w:color w:val="auto"/>
          <w:sz w:val="20"/>
          <w:szCs w:val="20"/>
        </w:rPr>
        <w:t>Five principle mineral groups are defined by Suriname’s Mining Decree, as follows:</w:t>
      </w:r>
      <w:r w:rsidR="00CA282D" w:rsidRPr="00894701">
        <w:rPr>
          <w:rFonts w:asciiTheme="minorHAnsi" w:hAnsiTheme="minorHAnsi"/>
          <w:color w:val="auto"/>
          <w:sz w:val="20"/>
          <w:szCs w:val="20"/>
        </w:rPr>
        <w:t xml:space="preserve"> </w:t>
      </w:r>
    </w:p>
    <w:p w14:paraId="37EB2475" w14:textId="77777777" w:rsidR="00CA282D" w:rsidRPr="00894701" w:rsidRDefault="00CA282D" w:rsidP="00CA282D">
      <w:pPr>
        <w:widowControl w:val="0"/>
        <w:numPr>
          <w:ilvl w:val="0"/>
          <w:numId w:val="31"/>
        </w:numPr>
        <w:spacing w:after="160" w:line="259" w:lineRule="auto"/>
        <w:contextualSpacing/>
        <w:jc w:val="both"/>
        <w:rPr>
          <w:rFonts w:asciiTheme="minorHAnsi" w:eastAsia="Calibri" w:hAnsiTheme="minorHAnsi"/>
          <w:color w:val="auto"/>
          <w:kern w:val="0"/>
          <w:sz w:val="20"/>
          <w:szCs w:val="20"/>
          <w:lang w:eastAsia="en-US"/>
        </w:rPr>
      </w:pPr>
      <w:r w:rsidRPr="00894701">
        <w:rPr>
          <w:rFonts w:asciiTheme="minorHAnsi" w:eastAsia="Calibri" w:hAnsiTheme="minorHAnsi"/>
          <w:color w:val="auto"/>
          <w:kern w:val="0"/>
          <w:sz w:val="20"/>
          <w:szCs w:val="20"/>
          <w:lang w:eastAsia="en-US"/>
        </w:rPr>
        <w:t xml:space="preserve">Bauxite; </w:t>
      </w:r>
    </w:p>
    <w:p w14:paraId="52E26A81" w14:textId="77777777" w:rsidR="00CA282D" w:rsidRPr="00894701" w:rsidRDefault="00CA282D" w:rsidP="00CA282D">
      <w:pPr>
        <w:widowControl w:val="0"/>
        <w:numPr>
          <w:ilvl w:val="0"/>
          <w:numId w:val="31"/>
        </w:numPr>
        <w:spacing w:after="160" w:line="259" w:lineRule="auto"/>
        <w:contextualSpacing/>
        <w:jc w:val="both"/>
        <w:rPr>
          <w:rFonts w:asciiTheme="minorHAnsi" w:eastAsia="Calibri" w:hAnsiTheme="minorHAnsi"/>
          <w:color w:val="auto"/>
          <w:kern w:val="0"/>
          <w:sz w:val="20"/>
          <w:szCs w:val="20"/>
          <w:lang w:eastAsia="en-US"/>
        </w:rPr>
      </w:pPr>
      <w:r w:rsidRPr="00894701">
        <w:rPr>
          <w:rFonts w:asciiTheme="minorHAnsi" w:eastAsia="Calibri" w:hAnsiTheme="minorHAnsi"/>
          <w:color w:val="auto"/>
          <w:kern w:val="0"/>
          <w:sz w:val="20"/>
          <w:szCs w:val="20"/>
          <w:lang w:eastAsia="en-US"/>
        </w:rPr>
        <w:lastRenderedPageBreak/>
        <w:t xml:space="preserve">Radioactive minerals; </w:t>
      </w:r>
    </w:p>
    <w:p w14:paraId="531CB413" w14:textId="77777777" w:rsidR="00CA282D" w:rsidRPr="00894701" w:rsidRDefault="00CA282D" w:rsidP="00CA282D">
      <w:pPr>
        <w:widowControl w:val="0"/>
        <w:numPr>
          <w:ilvl w:val="0"/>
          <w:numId w:val="31"/>
        </w:numPr>
        <w:spacing w:after="160" w:line="259" w:lineRule="auto"/>
        <w:contextualSpacing/>
        <w:jc w:val="both"/>
        <w:rPr>
          <w:rFonts w:asciiTheme="minorHAnsi" w:eastAsia="Calibri" w:hAnsiTheme="minorHAnsi"/>
          <w:color w:val="auto"/>
          <w:kern w:val="0"/>
          <w:sz w:val="20"/>
          <w:szCs w:val="20"/>
          <w:lang w:eastAsia="en-US"/>
        </w:rPr>
      </w:pPr>
      <w:r w:rsidRPr="00894701">
        <w:rPr>
          <w:rFonts w:asciiTheme="minorHAnsi" w:eastAsia="Calibri" w:hAnsiTheme="minorHAnsi"/>
          <w:color w:val="auto"/>
          <w:kern w:val="0"/>
          <w:sz w:val="20"/>
          <w:szCs w:val="20"/>
          <w:lang w:eastAsia="en-US"/>
        </w:rPr>
        <w:t xml:space="preserve">Hydrocarbons; </w:t>
      </w:r>
    </w:p>
    <w:p w14:paraId="0F35153F" w14:textId="77777777" w:rsidR="00CA282D" w:rsidRPr="00894701" w:rsidRDefault="00CA282D" w:rsidP="00CA282D">
      <w:pPr>
        <w:widowControl w:val="0"/>
        <w:numPr>
          <w:ilvl w:val="0"/>
          <w:numId w:val="31"/>
        </w:numPr>
        <w:spacing w:after="160" w:line="259" w:lineRule="auto"/>
        <w:contextualSpacing/>
        <w:jc w:val="both"/>
        <w:rPr>
          <w:rFonts w:asciiTheme="minorHAnsi" w:eastAsia="Calibri" w:hAnsiTheme="minorHAnsi"/>
          <w:color w:val="auto"/>
          <w:kern w:val="0"/>
          <w:sz w:val="20"/>
          <w:szCs w:val="20"/>
          <w:lang w:eastAsia="en-US"/>
        </w:rPr>
      </w:pPr>
      <w:r w:rsidRPr="00894701">
        <w:rPr>
          <w:rFonts w:asciiTheme="minorHAnsi" w:eastAsia="Calibri" w:hAnsiTheme="minorHAnsi"/>
          <w:color w:val="auto"/>
          <w:kern w:val="0"/>
          <w:sz w:val="20"/>
          <w:szCs w:val="20"/>
          <w:lang w:eastAsia="en-US"/>
        </w:rPr>
        <w:t xml:space="preserve">Other minerals, exclusive of building materials; and </w:t>
      </w:r>
    </w:p>
    <w:p w14:paraId="027CCB49" w14:textId="20E90F0D" w:rsidR="00CA282D" w:rsidRPr="00894701" w:rsidRDefault="00CA282D" w:rsidP="00CA282D">
      <w:pPr>
        <w:widowControl w:val="0"/>
        <w:numPr>
          <w:ilvl w:val="0"/>
          <w:numId w:val="31"/>
        </w:numPr>
        <w:spacing w:after="160" w:line="259" w:lineRule="auto"/>
        <w:contextualSpacing/>
        <w:jc w:val="both"/>
        <w:rPr>
          <w:rFonts w:asciiTheme="minorHAnsi" w:eastAsia="Calibri" w:hAnsiTheme="minorHAnsi"/>
          <w:color w:val="auto"/>
          <w:kern w:val="0"/>
          <w:sz w:val="20"/>
          <w:szCs w:val="20"/>
          <w:lang w:eastAsia="en-US"/>
        </w:rPr>
      </w:pPr>
      <w:r w:rsidRPr="00894701">
        <w:rPr>
          <w:rFonts w:asciiTheme="minorHAnsi" w:eastAsia="Calibri" w:hAnsiTheme="minorHAnsi"/>
          <w:color w:val="auto"/>
          <w:kern w:val="0"/>
          <w:sz w:val="20"/>
          <w:szCs w:val="20"/>
          <w:lang w:eastAsia="en-US"/>
        </w:rPr>
        <w:t>Building materials.</w:t>
      </w:r>
      <w:r w:rsidR="00D56779">
        <w:rPr>
          <w:rStyle w:val="FootnoteReference"/>
          <w:rFonts w:asciiTheme="minorHAnsi" w:eastAsia="Calibri" w:hAnsiTheme="minorHAnsi"/>
          <w:color w:val="auto"/>
          <w:kern w:val="0"/>
          <w:sz w:val="20"/>
          <w:szCs w:val="20"/>
          <w:lang w:eastAsia="en-US"/>
        </w:rPr>
        <w:footnoteReference w:id="25"/>
      </w:r>
    </w:p>
    <w:p w14:paraId="088F683E" w14:textId="3FDBAE77" w:rsidR="00945A9D" w:rsidRPr="00894701" w:rsidRDefault="00945A9D" w:rsidP="00CA282D">
      <w:pPr>
        <w:widowControl w:val="0"/>
        <w:spacing w:after="160" w:line="259" w:lineRule="auto"/>
        <w:ind w:left="720"/>
        <w:contextualSpacing/>
        <w:jc w:val="both"/>
        <w:rPr>
          <w:rFonts w:asciiTheme="minorHAnsi" w:eastAsia="Calibri" w:hAnsiTheme="minorHAnsi"/>
          <w:color w:val="auto"/>
          <w:kern w:val="0"/>
          <w:sz w:val="20"/>
          <w:szCs w:val="20"/>
          <w:lang w:eastAsia="en-US"/>
        </w:rPr>
      </w:pPr>
    </w:p>
    <w:p w14:paraId="009ED943" w14:textId="45D2A5DC" w:rsidR="00CA282D" w:rsidRPr="00894701" w:rsidRDefault="00CA282D" w:rsidP="00CA282D">
      <w:pPr>
        <w:jc w:val="both"/>
        <w:rPr>
          <w:rFonts w:asciiTheme="minorHAnsi" w:eastAsia="Calibri" w:hAnsiTheme="minorHAnsi"/>
          <w:color w:val="FF0000"/>
          <w:kern w:val="0"/>
          <w:sz w:val="20"/>
          <w:szCs w:val="20"/>
          <w:lang w:eastAsia="en-US"/>
        </w:rPr>
      </w:pPr>
      <w:r w:rsidRPr="00894701">
        <w:rPr>
          <w:rFonts w:asciiTheme="minorHAnsi" w:eastAsia="Calibri" w:hAnsiTheme="minorHAnsi"/>
          <w:color w:val="FF0000"/>
          <w:kern w:val="0"/>
          <w:sz w:val="20"/>
          <w:szCs w:val="20"/>
          <w:lang w:eastAsia="en-US"/>
        </w:rPr>
        <w:t>- Mining agreements</w:t>
      </w:r>
      <w:r w:rsidR="006D3FD6">
        <w:rPr>
          <w:rFonts w:asciiTheme="minorHAnsi" w:eastAsia="Calibri" w:hAnsiTheme="minorHAnsi"/>
          <w:color w:val="FF0000"/>
          <w:kern w:val="0"/>
          <w:sz w:val="20"/>
          <w:szCs w:val="20"/>
          <w:lang w:eastAsia="en-US"/>
        </w:rPr>
        <w:t>:</w:t>
      </w:r>
      <w:r w:rsidRPr="00894701">
        <w:rPr>
          <w:rFonts w:asciiTheme="minorHAnsi" w:eastAsia="Calibri" w:hAnsiTheme="minorHAnsi"/>
          <w:color w:val="FF0000"/>
          <w:kern w:val="0"/>
          <w:sz w:val="20"/>
          <w:szCs w:val="20"/>
          <w:lang w:eastAsia="en-US"/>
        </w:rPr>
        <w:t xml:space="preserve"> </w:t>
      </w:r>
    </w:p>
    <w:p w14:paraId="6901956D" w14:textId="77777777" w:rsidR="00CA282D" w:rsidRPr="00894701" w:rsidRDefault="00CA282D" w:rsidP="00CA282D">
      <w:pPr>
        <w:jc w:val="both"/>
        <w:rPr>
          <w:rFonts w:asciiTheme="minorHAnsi" w:eastAsia="Calibri" w:hAnsiTheme="minorHAnsi"/>
          <w:color w:val="auto"/>
          <w:kern w:val="0"/>
          <w:sz w:val="20"/>
          <w:szCs w:val="20"/>
          <w:lang w:eastAsia="en-US"/>
        </w:rPr>
      </w:pPr>
      <w:r w:rsidRPr="00894701">
        <w:rPr>
          <w:rFonts w:asciiTheme="minorHAnsi" w:hAnsiTheme="minorHAnsi"/>
          <w:color w:val="auto"/>
          <w:sz w:val="20"/>
          <w:szCs w:val="20"/>
        </w:rPr>
        <w:t>For</w:t>
      </w:r>
      <w:r w:rsidRPr="00894701">
        <w:rPr>
          <w:rFonts w:asciiTheme="minorHAnsi" w:eastAsia="Calibri" w:hAnsiTheme="minorHAnsi"/>
          <w:color w:val="auto"/>
          <w:kern w:val="0"/>
          <w:sz w:val="20"/>
          <w:szCs w:val="20"/>
          <w:lang w:eastAsia="en-US"/>
        </w:rPr>
        <w:t xml:space="preserve"> regulations of the gold sector, it is important to distinguish: </w:t>
      </w:r>
    </w:p>
    <w:p w14:paraId="7CCE6D16" w14:textId="02CD8003" w:rsidR="00CA282D" w:rsidRPr="00894701" w:rsidRDefault="00CA282D" w:rsidP="00CA282D">
      <w:pPr>
        <w:widowControl w:val="0"/>
        <w:numPr>
          <w:ilvl w:val="0"/>
          <w:numId w:val="31"/>
        </w:numPr>
        <w:spacing w:after="160" w:line="259" w:lineRule="auto"/>
        <w:contextualSpacing/>
        <w:jc w:val="both"/>
        <w:rPr>
          <w:rFonts w:asciiTheme="minorHAnsi" w:eastAsia="Calibri" w:hAnsiTheme="minorHAnsi"/>
          <w:color w:val="auto"/>
          <w:kern w:val="0"/>
          <w:sz w:val="20"/>
          <w:szCs w:val="20"/>
          <w:lang w:eastAsia="en-US"/>
        </w:rPr>
      </w:pPr>
      <w:r w:rsidRPr="00894701">
        <w:rPr>
          <w:rFonts w:asciiTheme="minorHAnsi" w:eastAsia="Calibri" w:hAnsiTheme="minorHAnsi"/>
          <w:color w:val="auto"/>
          <w:kern w:val="0"/>
          <w:sz w:val="20"/>
          <w:szCs w:val="20"/>
          <w:lang w:eastAsia="en-US"/>
        </w:rPr>
        <w:t xml:space="preserve">small- and medium-size companies; and </w:t>
      </w:r>
    </w:p>
    <w:p w14:paraId="163BD862" w14:textId="20B4A778" w:rsidR="00CA282D" w:rsidRPr="00894701" w:rsidRDefault="00CA282D" w:rsidP="008F7932">
      <w:pPr>
        <w:widowControl w:val="0"/>
        <w:numPr>
          <w:ilvl w:val="0"/>
          <w:numId w:val="31"/>
        </w:numPr>
        <w:spacing w:after="160" w:line="259" w:lineRule="auto"/>
        <w:ind w:left="714" w:hanging="357"/>
        <w:jc w:val="both"/>
        <w:rPr>
          <w:rFonts w:asciiTheme="minorHAnsi" w:eastAsia="Calibri" w:hAnsiTheme="minorHAnsi"/>
          <w:color w:val="auto"/>
          <w:kern w:val="0"/>
          <w:sz w:val="20"/>
          <w:szCs w:val="20"/>
          <w:lang w:eastAsia="en-US"/>
        </w:rPr>
      </w:pPr>
      <w:r w:rsidRPr="00894701">
        <w:rPr>
          <w:rFonts w:asciiTheme="minorHAnsi" w:eastAsia="Calibri" w:hAnsiTheme="minorHAnsi"/>
          <w:color w:val="auto"/>
          <w:kern w:val="0"/>
          <w:sz w:val="20"/>
          <w:szCs w:val="20"/>
          <w:lang w:eastAsia="en-US"/>
        </w:rPr>
        <w:t>large companies.</w:t>
      </w:r>
    </w:p>
    <w:p w14:paraId="10E8F6F4" w14:textId="77777777" w:rsidR="00CA282D" w:rsidRPr="00894701" w:rsidRDefault="00CA282D" w:rsidP="00CA282D">
      <w:pPr>
        <w:jc w:val="both"/>
        <w:rPr>
          <w:rFonts w:asciiTheme="minorHAnsi" w:hAnsiTheme="minorHAnsi"/>
          <w:color w:val="auto"/>
          <w:sz w:val="20"/>
          <w:szCs w:val="20"/>
        </w:rPr>
      </w:pPr>
      <w:r w:rsidRPr="00894701">
        <w:rPr>
          <w:rFonts w:asciiTheme="minorHAnsi" w:hAnsiTheme="minorHAnsi"/>
          <w:color w:val="auto"/>
          <w:sz w:val="20"/>
          <w:szCs w:val="20"/>
        </w:rPr>
        <w:t xml:space="preserve">The small- and medium-size mining companies are solely governed by the Mining Decree. These mining companies can apply for a mining concession at the MONR with input from the GMD. They are not allowed to dispose of their license to third parties. Large gold companies, namely RGM and NS, have concluded and entered into mineral agreements with the Republic of Suriname, in which specific conditions for conducting the operations are enshrined.  </w:t>
      </w:r>
    </w:p>
    <w:p w14:paraId="19E3167F" w14:textId="0224A309" w:rsidR="00CA282D" w:rsidRPr="00894701" w:rsidRDefault="00CA282D" w:rsidP="00D56779">
      <w:pPr>
        <w:jc w:val="both"/>
        <w:rPr>
          <w:rFonts w:asciiTheme="minorHAnsi" w:hAnsiTheme="minorHAnsi"/>
          <w:color w:val="auto"/>
          <w:sz w:val="20"/>
          <w:szCs w:val="20"/>
        </w:rPr>
      </w:pPr>
      <w:r w:rsidRPr="00894701">
        <w:rPr>
          <w:rFonts w:asciiTheme="minorHAnsi" w:hAnsiTheme="minorHAnsi"/>
          <w:color w:val="auto"/>
          <w:sz w:val="20"/>
          <w:szCs w:val="20"/>
        </w:rPr>
        <w:t>For bauxite, the legislation and regulations were not only controlled by the Mining Decree but also, by the Brokopondo Agreement between Alcoa and the Republic of Suriname. Bauxite production ceased in late 2015 and parties are currently negotiating the termination of the Brokopondo Agreement. Suriname has stopped the production of bauxite and is currently dismantling these operations.</w:t>
      </w:r>
    </w:p>
    <w:p w14:paraId="1CA432E8" w14:textId="5AE77418" w:rsidR="00CA282D" w:rsidRPr="008F7932" w:rsidRDefault="006D3FD6" w:rsidP="00CA282D">
      <w:pPr>
        <w:jc w:val="both"/>
        <w:rPr>
          <w:rFonts w:asciiTheme="minorHAnsi" w:eastAsia="Calibri" w:hAnsiTheme="minorHAnsi"/>
          <w:color w:val="FF0000"/>
          <w:kern w:val="0"/>
          <w:sz w:val="20"/>
          <w:szCs w:val="20"/>
          <w:lang w:eastAsia="en-US"/>
        </w:rPr>
      </w:pPr>
      <w:r>
        <w:rPr>
          <w:rFonts w:asciiTheme="minorHAnsi" w:eastAsia="Calibri" w:hAnsiTheme="minorHAnsi"/>
          <w:color w:val="FF0000"/>
          <w:kern w:val="0"/>
          <w:sz w:val="20"/>
          <w:szCs w:val="20"/>
          <w:lang w:eastAsia="en-US"/>
        </w:rPr>
        <w:t xml:space="preserve">- </w:t>
      </w:r>
      <w:r w:rsidR="00CA282D" w:rsidRPr="008F7932">
        <w:rPr>
          <w:rFonts w:asciiTheme="minorHAnsi" w:eastAsia="Calibri" w:hAnsiTheme="minorHAnsi"/>
          <w:color w:val="FF0000"/>
          <w:kern w:val="0"/>
          <w:sz w:val="20"/>
          <w:szCs w:val="20"/>
          <w:lang w:eastAsia="en-US"/>
        </w:rPr>
        <w:t xml:space="preserve">Legal reforms: </w:t>
      </w:r>
    </w:p>
    <w:p w14:paraId="6241AE6B" w14:textId="165CA708" w:rsidR="00CA282D" w:rsidRPr="00894701" w:rsidRDefault="00DB2B10" w:rsidP="00CA282D">
      <w:pPr>
        <w:jc w:val="both"/>
        <w:rPr>
          <w:rFonts w:asciiTheme="minorHAnsi" w:hAnsiTheme="minorHAnsi"/>
          <w:b/>
          <w:bCs/>
          <w:color w:val="auto"/>
          <w:sz w:val="20"/>
          <w:szCs w:val="20"/>
          <w:u w:val="single"/>
        </w:rPr>
      </w:pPr>
      <w:r w:rsidRPr="004F0AEB">
        <w:rPr>
          <w:rFonts w:asciiTheme="minorHAnsi" w:hAnsiTheme="minorHAnsi"/>
          <w:i/>
          <w:iCs/>
          <w:color w:val="auto"/>
          <w:sz w:val="20"/>
          <w:szCs w:val="20"/>
        </w:rPr>
        <w:t>“</w:t>
      </w:r>
      <w:r w:rsidR="00CA282D" w:rsidRPr="004F0AEB">
        <w:rPr>
          <w:rFonts w:asciiTheme="minorHAnsi" w:hAnsiTheme="minorHAnsi"/>
          <w:i/>
          <w:iCs/>
          <w:color w:val="auto"/>
          <w:sz w:val="20"/>
          <w:szCs w:val="20"/>
        </w:rPr>
        <w:t>Efforts have been made in the past to Mining Decree (1986). A draft was submitted to parliament in 2004, but not adopted. In June 2016, the government established the Commission for the Amendment of the Mining Law, which is mandated to review and update the 2004 draft for submission to parliament in 2017. The multistakeholder commission is made up of representatives from government, the private sector and civil society.</w:t>
      </w:r>
      <w:r w:rsidRPr="004F0AEB">
        <w:rPr>
          <w:rFonts w:asciiTheme="minorHAnsi" w:hAnsiTheme="minorHAnsi"/>
          <w:i/>
          <w:iCs/>
          <w:color w:val="auto"/>
          <w:sz w:val="20"/>
          <w:szCs w:val="20"/>
        </w:rPr>
        <w:t>”</w:t>
      </w:r>
      <w:r>
        <w:rPr>
          <w:rStyle w:val="FootnoteReference"/>
          <w:rFonts w:asciiTheme="minorHAnsi" w:hAnsiTheme="minorHAnsi"/>
          <w:color w:val="auto"/>
          <w:sz w:val="20"/>
          <w:szCs w:val="20"/>
        </w:rPr>
        <w:footnoteReference w:id="26"/>
      </w:r>
      <w:r w:rsidR="00CA282D" w:rsidRPr="00894701">
        <w:rPr>
          <w:rFonts w:asciiTheme="minorHAnsi" w:hAnsiTheme="minorHAnsi"/>
          <w:color w:val="auto"/>
          <w:sz w:val="20"/>
          <w:szCs w:val="20"/>
        </w:rPr>
        <w:t xml:space="preserve"> </w:t>
      </w:r>
    </w:p>
    <w:p w14:paraId="0CCD2B4C" w14:textId="77777777" w:rsidR="00CA282D" w:rsidRPr="00894701" w:rsidRDefault="00CA282D" w:rsidP="00CA282D">
      <w:pPr>
        <w:jc w:val="both"/>
        <w:rPr>
          <w:rFonts w:asciiTheme="minorHAnsi" w:hAnsiTheme="minorHAnsi"/>
          <w:color w:val="auto"/>
          <w:sz w:val="20"/>
          <w:szCs w:val="20"/>
        </w:rPr>
      </w:pPr>
      <w:r w:rsidRPr="00894701">
        <w:rPr>
          <w:rFonts w:asciiTheme="minorHAnsi" w:hAnsiTheme="minorHAnsi"/>
          <w:color w:val="auto"/>
          <w:sz w:val="20"/>
          <w:szCs w:val="20"/>
        </w:rPr>
        <w:t xml:space="preserve">According to the Commission for the Amendment of the Mining Law, the new legislation will aim to address a few key weaknesses in the current Mining Decree. Key changes are expected to include:  </w:t>
      </w:r>
    </w:p>
    <w:p w14:paraId="3602AFB8" w14:textId="77777777" w:rsidR="00CA282D" w:rsidRPr="00894701" w:rsidRDefault="00CA282D" w:rsidP="00CA282D">
      <w:pPr>
        <w:pStyle w:val="ListParagraph"/>
        <w:numPr>
          <w:ilvl w:val="0"/>
          <w:numId w:val="48"/>
        </w:numPr>
        <w:jc w:val="both"/>
        <w:rPr>
          <w:rFonts w:asciiTheme="minorHAnsi" w:hAnsiTheme="minorHAnsi"/>
          <w:color w:val="auto"/>
          <w:sz w:val="20"/>
          <w:szCs w:val="20"/>
        </w:rPr>
      </w:pPr>
      <w:r w:rsidRPr="00894701">
        <w:rPr>
          <w:rFonts w:asciiTheme="minorHAnsi" w:hAnsiTheme="minorHAnsi"/>
          <w:color w:val="auto"/>
          <w:sz w:val="20"/>
          <w:szCs w:val="20"/>
        </w:rPr>
        <w:t xml:space="preserve">integration of environmental and social impact assessments (ESIAs); </w:t>
      </w:r>
    </w:p>
    <w:p w14:paraId="201BE6A9" w14:textId="77777777" w:rsidR="00CA282D" w:rsidRPr="00894701" w:rsidRDefault="00CA282D" w:rsidP="00CA282D">
      <w:pPr>
        <w:pStyle w:val="ListParagraph"/>
        <w:numPr>
          <w:ilvl w:val="0"/>
          <w:numId w:val="48"/>
        </w:numPr>
        <w:jc w:val="both"/>
        <w:rPr>
          <w:rFonts w:asciiTheme="minorHAnsi" w:hAnsiTheme="minorHAnsi"/>
          <w:color w:val="auto"/>
          <w:sz w:val="20"/>
          <w:szCs w:val="20"/>
        </w:rPr>
      </w:pPr>
      <w:r w:rsidRPr="00894701">
        <w:rPr>
          <w:rFonts w:asciiTheme="minorHAnsi" w:hAnsiTheme="minorHAnsi"/>
          <w:color w:val="auto"/>
          <w:sz w:val="20"/>
          <w:szCs w:val="20"/>
        </w:rPr>
        <w:t xml:space="preserve">indigenous rights and Maroon ethnic minority rights into the new Code; </w:t>
      </w:r>
    </w:p>
    <w:p w14:paraId="696C9970" w14:textId="77777777" w:rsidR="00CA282D" w:rsidRPr="00894701" w:rsidRDefault="00CA282D" w:rsidP="00CA282D">
      <w:pPr>
        <w:pStyle w:val="ListParagraph"/>
        <w:numPr>
          <w:ilvl w:val="0"/>
          <w:numId w:val="48"/>
        </w:numPr>
        <w:jc w:val="both"/>
        <w:rPr>
          <w:rFonts w:asciiTheme="minorHAnsi" w:hAnsiTheme="minorHAnsi"/>
          <w:color w:val="auto"/>
          <w:sz w:val="20"/>
          <w:szCs w:val="20"/>
        </w:rPr>
      </w:pPr>
      <w:r w:rsidRPr="00894701">
        <w:rPr>
          <w:rFonts w:asciiTheme="minorHAnsi" w:hAnsiTheme="minorHAnsi"/>
          <w:color w:val="auto"/>
          <w:sz w:val="20"/>
          <w:szCs w:val="20"/>
        </w:rPr>
        <w:t xml:space="preserve">increases in financial penalties for non-compliance and infractions, and  </w:t>
      </w:r>
    </w:p>
    <w:p w14:paraId="064758CC" w14:textId="77777777" w:rsidR="00CA282D" w:rsidRPr="00894701" w:rsidRDefault="00CA282D" w:rsidP="00CA282D">
      <w:pPr>
        <w:pStyle w:val="ListParagraph"/>
        <w:numPr>
          <w:ilvl w:val="0"/>
          <w:numId w:val="48"/>
        </w:numPr>
        <w:jc w:val="both"/>
        <w:rPr>
          <w:rFonts w:asciiTheme="minorHAnsi" w:hAnsiTheme="minorHAnsi"/>
          <w:color w:val="auto"/>
          <w:sz w:val="20"/>
          <w:szCs w:val="20"/>
        </w:rPr>
      </w:pPr>
      <w:r w:rsidRPr="00894701">
        <w:rPr>
          <w:rFonts w:asciiTheme="minorHAnsi" w:hAnsiTheme="minorHAnsi"/>
          <w:color w:val="auto"/>
          <w:sz w:val="20"/>
          <w:szCs w:val="20"/>
        </w:rPr>
        <w:t xml:space="preserve">increased transparency requirements to help meet the country’s future Extractive Industries Transparency Initiative (EITI) obligations.  </w:t>
      </w:r>
    </w:p>
    <w:p w14:paraId="7A264E4A" w14:textId="29206F6A" w:rsidR="00CA282D" w:rsidRPr="00894701" w:rsidRDefault="00CA282D" w:rsidP="00CA282D">
      <w:pPr>
        <w:jc w:val="both"/>
        <w:rPr>
          <w:rFonts w:asciiTheme="minorHAnsi" w:hAnsiTheme="minorHAnsi"/>
          <w:color w:val="auto"/>
          <w:sz w:val="20"/>
          <w:szCs w:val="20"/>
        </w:rPr>
      </w:pPr>
      <w:r w:rsidRPr="00894701">
        <w:rPr>
          <w:rFonts w:asciiTheme="minorHAnsi" w:hAnsiTheme="minorHAnsi"/>
          <w:color w:val="auto"/>
          <w:sz w:val="20"/>
          <w:szCs w:val="20"/>
        </w:rPr>
        <w:t>The Code is being revised through a participative process with a view to legislation in neighbouring states in the region.</w:t>
      </w:r>
    </w:p>
    <w:p w14:paraId="6992E356" w14:textId="347DCACF" w:rsidR="00CA282D" w:rsidRPr="00894701" w:rsidRDefault="00BB46FD" w:rsidP="00CA282D">
      <w:pPr>
        <w:pStyle w:val="AltMinorSubHeading"/>
        <w:numPr>
          <w:ilvl w:val="0"/>
          <w:numId w:val="0"/>
        </w:numPr>
        <w:spacing w:before="120" w:after="120"/>
      </w:pPr>
      <w:bookmarkStart w:id="148" w:name="_Toc122478860"/>
      <w:r w:rsidRPr="00894701">
        <w:t>3</w:t>
      </w:r>
      <w:r w:rsidR="00CA282D" w:rsidRPr="00894701">
        <w:t>.2.1. (c) Fiscal regime</w:t>
      </w:r>
      <w:bookmarkEnd w:id="148"/>
      <w:r w:rsidR="00CA282D" w:rsidRPr="00894701">
        <w:t xml:space="preserve"> </w:t>
      </w:r>
    </w:p>
    <w:p w14:paraId="7E75F555" w14:textId="347AA5A7" w:rsidR="00CA282D" w:rsidRPr="004F0AEB" w:rsidRDefault="00F86B15" w:rsidP="00162C50">
      <w:pPr>
        <w:jc w:val="both"/>
        <w:rPr>
          <w:rFonts w:asciiTheme="minorHAnsi" w:hAnsiTheme="minorHAnsi"/>
          <w:i/>
          <w:iCs/>
          <w:color w:val="auto"/>
          <w:sz w:val="20"/>
          <w:szCs w:val="20"/>
        </w:rPr>
      </w:pPr>
      <w:r>
        <w:rPr>
          <w:rFonts w:asciiTheme="minorHAnsi" w:hAnsiTheme="minorHAnsi"/>
          <w:color w:val="auto"/>
          <w:sz w:val="20"/>
          <w:szCs w:val="20"/>
        </w:rPr>
        <w:t xml:space="preserve">The IGF report asserts that: </w:t>
      </w:r>
      <w:r w:rsidR="00162C50" w:rsidRPr="004F0AEB">
        <w:rPr>
          <w:rFonts w:asciiTheme="minorHAnsi" w:hAnsiTheme="minorHAnsi"/>
          <w:i/>
          <w:iCs/>
          <w:color w:val="auto"/>
          <w:sz w:val="20"/>
          <w:szCs w:val="20"/>
        </w:rPr>
        <w:t>“</w:t>
      </w:r>
      <w:r w:rsidR="00CA282D" w:rsidRPr="004F0AEB">
        <w:rPr>
          <w:rFonts w:asciiTheme="minorHAnsi" w:hAnsiTheme="minorHAnsi"/>
          <w:i/>
          <w:iCs/>
          <w:color w:val="auto"/>
          <w:sz w:val="20"/>
          <w:szCs w:val="20"/>
        </w:rPr>
        <w:t>The Government of Suriname generates revenue from the mining sector using a variety of mechanisms, including taxation, royalties, dividends, fees and local content. Combined, these mechanisms account for a major portion of government revenues.</w:t>
      </w:r>
      <w:r w:rsidR="00162C50" w:rsidRPr="004F0AEB">
        <w:rPr>
          <w:rFonts w:asciiTheme="minorHAnsi" w:hAnsiTheme="minorHAnsi"/>
          <w:i/>
          <w:iCs/>
          <w:color w:val="auto"/>
          <w:sz w:val="20"/>
          <w:szCs w:val="20"/>
        </w:rPr>
        <w:t xml:space="preserve"> </w:t>
      </w:r>
      <w:r w:rsidR="00CA282D" w:rsidRPr="004F0AEB">
        <w:rPr>
          <w:rFonts w:asciiTheme="minorHAnsi" w:hAnsiTheme="minorHAnsi"/>
          <w:i/>
          <w:iCs/>
          <w:color w:val="auto"/>
          <w:sz w:val="20"/>
          <w:szCs w:val="20"/>
        </w:rPr>
        <w:t>Specific royalty rates are not included in the Mining Decree. The rates are to be determined by subsequent government decree. Similarly, specific corporate tax rates are not mentioned in the Mining Decree.</w:t>
      </w:r>
      <w:r w:rsidR="00162C50" w:rsidRPr="004F0AEB">
        <w:rPr>
          <w:rFonts w:asciiTheme="minorHAnsi" w:hAnsiTheme="minorHAnsi"/>
          <w:i/>
          <w:iCs/>
          <w:color w:val="auto"/>
          <w:sz w:val="20"/>
          <w:szCs w:val="20"/>
        </w:rPr>
        <w:t>”</w:t>
      </w:r>
      <w:r w:rsidR="00162C50" w:rsidRPr="004F0AEB">
        <w:rPr>
          <w:rStyle w:val="FootnoteReference"/>
          <w:rFonts w:asciiTheme="minorHAnsi" w:hAnsiTheme="minorHAnsi"/>
          <w:i/>
          <w:iCs/>
          <w:color w:val="auto"/>
          <w:sz w:val="20"/>
          <w:szCs w:val="20"/>
        </w:rPr>
        <w:footnoteReference w:id="27"/>
      </w:r>
    </w:p>
    <w:p w14:paraId="0E51B937" w14:textId="436FB6F0" w:rsidR="00CA282D" w:rsidRPr="00894701" w:rsidRDefault="00CA282D" w:rsidP="00CA282D">
      <w:pPr>
        <w:jc w:val="both"/>
        <w:rPr>
          <w:rFonts w:asciiTheme="minorHAnsi" w:hAnsiTheme="minorHAnsi"/>
          <w:color w:val="auto"/>
          <w:sz w:val="20"/>
          <w:szCs w:val="20"/>
        </w:rPr>
      </w:pPr>
      <w:r w:rsidRPr="00894701">
        <w:rPr>
          <w:rFonts w:asciiTheme="minorHAnsi" w:hAnsiTheme="minorHAnsi"/>
          <w:color w:val="auto"/>
          <w:sz w:val="20"/>
          <w:szCs w:val="20"/>
        </w:rPr>
        <w:t xml:space="preserve">In Suriname taxes are levied based on guidelines within the law. These are contained in various tax legislations, such as Direct Taxes: Income Tax Act 1922, Wage Tax Act, Rent Value Tax Act 1955 and </w:t>
      </w:r>
      <w:r w:rsidRPr="00894701">
        <w:rPr>
          <w:rFonts w:asciiTheme="minorHAnsi" w:hAnsiTheme="minorHAnsi"/>
          <w:color w:val="auto"/>
          <w:sz w:val="20"/>
          <w:szCs w:val="20"/>
        </w:rPr>
        <w:lastRenderedPageBreak/>
        <w:t xml:space="preserve">Property Tax Act 1944, the Collection Act (The Royal Decree of April 3, 1869) and the Surinamese Code of Civil Procedure. In the case of Indirect Taxation, these include the following: Import Tariffs Act 1996, Excise duties on, among others, alcoholic and alcohol-free beverages, Consumption Tax Act and Statistics Law. The Tax and Customs Administration is responsible for the implementation of these laws and has the task of levying and collecting taxes, such as Income Tax so that the tax funds end up in the state treasury. The tax authorities also monitor compliance with the laws. </w:t>
      </w:r>
    </w:p>
    <w:p w14:paraId="703B25DB" w14:textId="370C9925" w:rsidR="00CA282D" w:rsidRPr="00894701" w:rsidRDefault="00F86B15" w:rsidP="00CA282D">
      <w:pPr>
        <w:jc w:val="both"/>
        <w:rPr>
          <w:rFonts w:asciiTheme="minorHAnsi" w:hAnsiTheme="minorHAnsi"/>
          <w:color w:val="auto"/>
          <w:sz w:val="20"/>
          <w:szCs w:val="20"/>
        </w:rPr>
      </w:pPr>
      <w:r>
        <w:rPr>
          <w:rFonts w:asciiTheme="minorHAnsi" w:hAnsiTheme="minorHAnsi"/>
          <w:color w:val="auto"/>
          <w:sz w:val="20"/>
          <w:szCs w:val="20"/>
        </w:rPr>
        <w:t xml:space="preserve">According to the IGF: </w:t>
      </w:r>
      <w:r w:rsidR="00162C50" w:rsidRPr="004F0AEB">
        <w:rPr>
          <w:rFonts w:asciiTheme="minorHAnsi" w:hAnsiTheme="minorHAnsi"/>
          <w:i/>
          <w:iCs/>
          <w:color w:val="auto"/>
          <w:sz w:val="20"/>
          <w:szCs w:val="20"/>
        </w:rPr>
        <w:t>“</w:t>
      </w:r>
      <w:r w:rsidR="00CA282D" w:rsidRPr="004F0AEB">
        <w:rPr>
          <w:rFonts w:asciiTheme="minorHAnsi" w:hAnsiTheme="minorHAnsi"/>
          <w:i/>
          <w:iCs/>
          <w:color w:val="auto"/>
          <w:sz w:val="20"/>
          <w:szCs w:val="20"/>
        </w:rPr>
        <w:t>Corporate taxes are similar to those applied to non-mining entities in the same jurisdiction unless otherwise agreed upon in mineral agreements. Exemptions (such as import duties, and fuel taxes) and accelerated depreciation are available to mine operators, particularly in the lead-up to commercial production, to improve the investment climate. Operators can also establish a reinvestment reserve, in which up to 10% of taxable profit in a given year can be deposited into the reserve prior to tax payment, provided that the funds are reinvested in Suriname within three years.</w:t>
      </w:r>
      <w:r w:rsidR="00162C50" w:rsidRPr="004F0AEB">
        <w:rPr>
          <w:rFonts w:asciiTheme="minorHAnsi" w:hAnsiTheme="minorHAnsi"/>
          <w:i/>
          <w:iCs/>
          <w:color w:val="auto"/>
          <w:sz w:val="20"/>
          <w:szCs w:val="20"/>
        </w:rPr>
        <w:t>”</w:t>
      </w:r>
      <w:r w:rsidR="00162C50">
        <w:rPr>
          <w:rStyle w:val="FootnoteReference"/>
          <w:rFonts w:asciiTheme="minorHAnsi" w:hAnsiTheme="minorHAnsi"/>
          <w:color w:val="auto"/>
          <w:sz w:val="20"/>
          <w:szCs w:val="20"/>
        </w:rPr>
        <w:footnoteReference w:id="28"/>
      </w:r>
      <w:r w:rsidR="00CA282D" w:rsidRPr="00894701">
        <w:rPr>
          <w:rFonts w:asciiTheme="minorHAnsi" w:hAnsiTheme="minorHAnsi"/>
          <w:color w:val="auto"/>
          <w:sz w:val="20"/>
          <w:szCs w:val="20"/>
        </w:rPr>
        <w:t xml:space="preserve"> </w:t>
      </w:r>
    </w:p>
    <w:p w14:paraId="28282936" w14:textId="77777777" w:rsidR="00CA282D" w:rsidRPr="00894701" w:rsidRDefault="00CA282D" w:rsidP="00CA282D">
      <w:pPr>
        <w:pStyle w:val="ListParagraph"/>
        <w:numPr>
          <w:ilvl w:val="0"/>
          <w:numId w:val="49"/>
        </w:numPr>
        <w:spacing w:before="240" w:after="240" w:line="240" w:lineRule="auto"/>
        <w:rPr>
          <w:rFonts w:asciiTheme="minorHAnsi" w:hAnsiTheme="minorHAnsi" w:cs="Arial"/>
          <w:b/>
          <w:color w:val="auto"/>
          <w:sz w:val="20"/>
          <w:szCs w:val="28"/>
        </w:rPr>
      </w:pPr>
      <w:r w:rsidRPr="00894701">
        <w:rPr>
          <w:rFonts w:asciiTheme="minorHAnsi" w:hAnsiTheme="minorHAnsi" w:cs="Arial"/>
          <w:b/>
          <w:color w:val="auto"/>
          <w:sz w:val="20"/>
          <w:szCs w:val="28"/>
        </w:rPr>
        <w:t xml:space="preserve">Common tax regime </w:t>
      </w:r>
    </w:p>
    <w:p w14:paraId="27C1D0C3" w14:textId="79519671" w:rsidR="00CA282D" w:rsidRPr="00894701" w:rsidRDefault="00CA282D" w:rsidP="00CA282D">
      <w:pPr>
        <w:jc w:val="both"/>
        <w:rPr>
          <w:rFonts w:asciiTheme="minorHAnsi" w:hAnsiTheme="minorHAnsi"/>
          <w:color w:val="auto"/>
          <w:sz w:val="20"/>
          <w:szCs w:val="20"/>
        </w:rPr>
      </w:pPr>
      <w:r w:rsidRPr="00894701">
        <w:rPr>
          <w:rFonts w:asciiTheme="minorHAnsi" w:hAnsiTheme="minorHAnsi"/>
          <w:color w:val="auto"/>
          <w:sz w:val="20"/>
          <w:szCs w:val="20"/>
        </w:rPr>
        <w:t xml:space="preserve">The fiscal laws of Suriname apply to all categories of companies ranging from a sole proprietorship to limited liability companies and foreign companies operating in Suriname. Full or partially exemption could be given to companies for certain parts of the legislation, based on special cases and, according to the Law or Ministerial Orders, for a limited or unlimited period. </w:t>
      </w:r>
    </w:p>
    <w:p w14:paraId="5172A201" w14:textId="686191AF" w:rsidR="00CA282D" w:rsidRPr="00894701" w:rsidRDefault="00CA282D" w:rsidP="00CA282D">
      <w:pPr>
        <w:jc w:val="both"/>
        <w:rPr>
          <w:rFonts w:asciiTheme="minorHAnsi" w:hAnsiTheme="minorHAnsi"/>
          <w:color w:val="auto"/>
          <w:sz w:val="20"/>
          <w:szCs w:val="20"/>
        </w:rPr>
      </w:pPr>
      <w:r w:rsidRPr="00894701">
        <w:rPr>
          <w:rFonts w:asciiTheme="minorHAnsi" w:hAnsiTheme="minorHAnsi"/>
          <w:color w:val="auto"/>
          <w:sz w:val="20"/>
          <w:szCs w:val="20"/>
        </w:rPr>
        <w:t xml:space="preserve">In the table below an overview is presented </w:t>
      </w:r>
      <w:r w:rsidR="0019705E" w:rsidRPr="00894701">
        <w:rPr>
          <w:rFonts w:asciiTheme="minorHAnsi" w:hAnsiTheme="minorHAnsi"/>
          <w:color w:val="auto"/>
          <w:sz w:val="20"/>
          <w:szCs w:val="20"/>
        </w:rPr>
        <w:t>summarising</w:t>
      </w:r>
      <w:r w:rsidRPr="00894701">
        <w:rPr>
          <w:rFonts w:asciiTheme="minorHAnsi" w:hAnsiTheme="minorHAnsi"/>
          <w:color w:val="auto"/>
          <w:sz w:val="20"/>
          <w:szCs w:val="20"/>
        </w:rPr>
        <w:t xml:space="preserve"> the fiscal and legal laws and regulations. </w:t>
      </w:r>
    </w:p>
    <w:p w14:paraId="35BDE00C" w14:textId="69F0AAEB" w:rsidR="00CA282D" w:rsidRPr="00894701" w:rsidRDefault="00CA282D" w:rsidP="00CA282D">
      <w:pPr>
        <w:spacing w:before="120"/>
        <w:jc w:val="center"/>
        <w:rPr>
          <w:rFonts w:asciiTheme="majorHAnsi" w:hAnsiTheme="majorHAnsi"/>
          <w:b/>
          <w:bCs/>
          <w:color w:val="98002E" w:themeColor="accent3"/>
          <w:sz w:val="20"/>
        </w:rPr>
      </w:pPr>
      <w:bookmarkStart w:id="149" w:name="_Toc109599081"/>
      <w:bookmarkStart w:id="150" w:name="_Toc146590488"/>
      <w:r w:rsidRPr="00894701">
        <w:rPr>
          <w:rFonts w:asciiTheme="majorHAnsi" w:hAnsiTheme="majorHAnsi"/>
          <w:b/>
          <w:bCs/>
          <w:color w:val="98002E" w:themeColor="accent3"/>
          <w:sz w:val="20"/>
        </w:rPr>
        <w:t xml:space="preserve">Table </w:t>
      </w:r>
      <w:r w:rsidRPr="00894701">
        <w:rPr>
          <w:rFonts w:asciiTheme="majorHAnsi" w:hAnsiTheme="majorHAnsi"/>
          <w:b/>
          <w:bCs/>
          <w:color w:val="98002E" w:themeColor="accent3"/>
          <w:sz w:val="20"/>
        </w:rPr>
        <w:fldChar w:fldCharType="begin"/>
      </w:r>
      <w:r w:rsidRPr="00894701">
        <w:rPr>
          <w:rFonts w:asciiTheme="majorHAnsi" w:hAnsiTheme="majorHAnsi"/>
          <w:b/>
          <w:bCs/>
          <w:color w:val="98002E" w:themeColor="accent3"/>
          <w:sz w:val="20"/>
        </w:rPr>
        <w:instrText xml:space="preserve"> SEQ Table \* ARABIC </w:instrText>
      </w:r>
      <w:r w:rsidRPr="00894701">
        <w:rPr>
          <w:rFonts w:asciiTheme="majorHAnsi" w:hAnsiTheme="majorHAnsi"/>
          <w:b/>
          <w:bCs/>
          <w:color w:val="98002E" w:themeColor="accent3"/>
          <w:sz w:val="20"/>
        </w:rPr>
        <w:fldChar w:fldCharType="separate"/>
      </w:r>
      <w:r w:rsidR="0035303B">
        <w:rPr>
          <w:rFonts w:asciiTheme="majorHAnsi" w:hAnsiTheme="majorHAnsi"/>
          <w:b/>
          <w:bCs/>
          <w:noProof/>
          <w:color w:val="98002E" w:themeColor="accent3"/>
          <w:sz w:val="20"/>
        </w:rPr>
        <w:t>16</w:t>
      </w:r>
      <w:r w:rsidRPr="00894701">
        <w:rPr>
          <w:rFonts w:asciiTheme="majorHAnsi" w:hAnsiTheme="majorHAnsi"/>
          <w:b/>
          <w:bCs/>
          <w:color w:val="98002E" w:themeColor="accent3"/>
          <w:sz w:val="20"/>
        </w:rPr>
        <w:fldChar w:fldCharType="end"/>
      </w:r>
      <w:r w:rsidRPr="00894701">
        <w:rPr>
          <w:rFonts w:asciiTheme="majorHAnsi" w:hAnsiTheme="majorHAnsi"/>
          <w:b/>
          <w:bCs/>
          <w:color w:val="98002E" w:themeColor="accent3"/>
          <w:sz w:val="20"/>
        </w:rPr>
        <w:t>: Summary of fiscal and legal laws and regulations</w:t>
      </w:r>
      <w:bookmarkEnd w:id="149"/>
      <w:bookmarkEnd w:id="150"/>
    </w:p>
    <w:tbl>
      <w:tblPr>
        <w:tblStyle w:val="TableGrid"/>
        <w:tblW w:w="0" w:type="auto"/>
        <w:tblLook w:val="04A0" w:firstRow="1" w:lastRow="0" w:firstColumn="1" w:lastColumn="0" w:noHBand="0" w:noVBand="1"/>
      </w:tblPr>
      <w:tblGrid>
        <w:gridCol w:w="2687"/>
        <w:gridCol w:w="2130"/>
        <w:gridCol w:w="4227"/>
      </w:tblGrid>
      <w:tr w:rsidR="00CA282D" w:rsidRPr="00894701" w14:paraId="289FFDEF" w14:textId="77777777" w:rsidTr="00446B8D">
        <w:trPr>
          <w:cnfStyle w:val="100000000000" w:firstRow="1" w:lastRow="0" w:firstColumn="0" w:lastColumn="0" w:oddVBand="0" w:evenVBand="0" w:oddHBand="0" w:evenHBand="0" w:firstRowFirstColumn="0" w:firstRowLastColumn="0" w:lastRowFirstColumn="0" w:lastRowLastColumn="0"/>
          <w:trHeight w:val="347"/>
          <w:tblHeader/>
        </w:trPr>
        <w:tc>
          <w:tcPr>
            <w:cnfStyle w:val="001000000000" w:firstRow="0" w:lastRow="0" w:firstColumn="1" w:lastColumn="0" w:oddVBand="0" w:evenVBand="0" w:oddHBand="0" w:evenHBand="0" w:firstRowFirstColumn="0" w:firstRowLastColumn="0" w:lastRowFirstColumn="0" w:lastRowLastColumn="0"/>
            <w:tcW w:w="268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80000"/>
            <w:vAlign w:val="center"/>
          </w:tcPr>
          <w:p w14:paraId="50490479" w14:textId="77777777" w:rsidR="00CA282D" w:rsidRPr="00894701" w:rsidRDefault="00CA282D" w:rsidP="00446B8D">
            <w:pPr>
              <w:jc w:val="center"/>
              <w:rPr>
                <w:rFonts w:asciiTheme="minorHAnsi" w:hAnsiTheme="minorHAnsi" w:cs="TrebuchetMS"/>
                <w:b/>
                <w:bCs/>
                <w:color w:val="auto"/>
                <w:szCs w:val="18"/>
              </w:rPr>
            </w:pPr>
            <w:r w:rsidRPr="00894701">
              <w:rPr>
                <w:rFonts w:asciiTheme="minorHAnsi" w:hAnsiTheme="minorHAnsi" w:cs="TrebuchetMS"/>
                <w:b/>
                <w:bCs/>
                <w:color w:val="auto"/>
                <w:szCs w:val="18"/>
              </w:rPr>
              <w:t>Law/agreements</w:t>
            </w:r>
          </w:p>
        </w:tc>
        <w:tc>
          <w:tcPr>
            <w:tcW w:w="213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80000"/>
            <w:vAlign w:val="center"/>
          </w:tcPr>
          <w:p w14:paraId="1C3D872D" w14:textId="77777777" w:rsidR="00CA282D" w:rsidRPr="00894701" w:rsidRDefault="00CA282D" w:rsidP="00446B8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rebuchetMS"/>
                <w:b/>
                <w:bCs/>
                <w:color w:val="auto"/>
                <w:szCs w:val="18"/>
              </w:rPr>
            </w:pPr>
            <w:r w:rsidRPr="00894701">
              <w:rPr>
                <w:rFonts w:asciiTheme="minorHAnsi" w:hAnsiTheme="minorHAnsi" w:cs="TrebuchetMS"/>
                <w:b/>
                <w:bCs/>
                <w:color w:val="auto"/>
                <w:szCs w:val="18"/>
              </w:rPr>
              <w:t>Validated text</w:t>
            </w:r>
          </w:p>
        </w:tc>
        <w:tc>
          <w:tcPr>
            <w:tcW w:w="422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80000"/>
            <w:vAlign w:val="center"/>
          </w:tcPr>
          <w:p w14:paraId="7F778E6E" w14:textId="77777777" w:rsidR="00CA282D" w:rsidRPr="00894701" w:rsidRDefault="00CA282D" w:rsidP="00446B8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rebuchetMS"/>
                <w:b/>
                <w:bCs/>
                <w:color w:val="auto"/>
                <w:szCs w:val="18"/>
              </w:rPr>
            </w:pPr>
            <w:r w:rsidRPr="00894701">
              <w:rPr>
                <w:rFonts w:asciiTheme="minorHAnsi" w:hAnsiTheme="minorHAnsi" w:cs="TrebuchetMS"/>
                <w:b/>
                <w:bCs/>
                <w:color w:val="auto"/>
                <w:szCs w:val="18"/>
              </w:rPr>
              <w:t>Brief content</w:t>
            </w:r>
          </w:p>
        </w:tc>
      </w:tr>
      <w:tr w:rsidR="00CA282D" w:rsidRPr="00894701" w14:paraId="3438C464" w14:textId="77777777" w:rsidTr="00446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dxa"/>
            <w:shd w:val="clear" w:color="auto" w:fill="F7A3B0"/>
            <w:vAlign w:val="center"/>
          </w:tcPr>
          <w:p w14:paraId="1CDD89ED" w14:textId="77777777" w:rsidR="00CA282D" w:rsidRPr="00894701" w:rsidRDefault="00CA282D" w:rsidP="00446B8D">
            <w:pPr>
              <w:rPr>
                <w:rFonts w:asciiTheme="minorHAnsi" w:hAnsiTheme="minorHAnsi"/>
                <w:color w:val="auto"/>
                <w:szCs w:val="18"/>
              </w:rPr>
            </w:pPr>
            <w:r w:rsidRPr="00894701">
              <w:rPr>
                <w:rFonts w:asciiTheme="minorHAnsi" w:hAnsiTheme="minorHAnsi"/>
                <w:color w:val="auto"/>
                <w:szCs w:val="18"/>
              </w:rPr>
              <w:t xml:space="preserve">Corporate Income Tax act (Wet inkomstenbelasting) </w:t>
            </w:r>
          </w:p>
        </w:tc>
        <w:tc>
          <w:tcPr>
            <w:tcW w:w="2130" w:type="dxa"/>
            <w:shd w:val="clear" w:color="auto" w:fill="F7A3B0"/>
            <w:vAlign w:val="center"/>
          </w:tcPr>
          <w:p w14:paraId="7A01033D" w14:textId="77777777" w:rsidR="00CA282D" w:rsidRPr="00894701" w:rsidRDefault="00CA282D" w:rsidP="00446B8D">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Income tax act 1922 </w:t>
            </w:r>
          </w:p>
          <w:p w14:paraId="13E63991" w14:textId="77777777" w:rsidR="00CA282D" w:rsidRPr="00894701" w:rsidRDefault="00CA282D" w:rsidP="00446B8D">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G.B. 1921 No. 112, Acting G.B. 1960, No.84, as last amended by S.B. 2016 </w:t>
            </w:r>
          </w:p>
        </w:tc>
        <w:tc>
          <w:tcPr>
            <w:tcW w:w="4227" w:type="dxa"/>
            <w:shd w:val="clear" w:color="auto" w:fill="F7A3B0"/>
          </w:tcPr>
          <w:p w14:paraId="023B33A4" w14:textId="7B67DBAE" w:rsidR="00CA282D" w:rsidRPr="00894701" w:rsidRDefault="00CA282D" w:rsidP="00446B8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The income tax is levied based on a layering system ranging from 0% to a max of 36% on an annual basis. Before final declaration companies should apply for provisional self-assessment tax declaration on a quarterly basis.</w:t>
            </w:r>
          </w:p>
        </w:tc>
      </w:tr>
      <w:tr w:rsidR="00CA282D" w:rsidRPr="00894701" w14:paraId="67876EC6" w14:textId="77777777" w:rsidTr="00446B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00D2F173" w14:textId="77777777" w:rsidR="00CA282D" w:rsidRPr="00894701" w:rsidRDefault="00CA282D" w:rsidP="00446B8D">
            <w:pPr>
              <w:rPr>
                <w:rFonts w:asciiTheme="minorHAnsi" w:hAnsiTheme="minorHAnsi"/>
                <w:color w:val="auto"/>
                <w:szCs w:val="18"/>
              </w:rPr>
            </w:pPr>
            <w:r w:rsidRPr="00894701">
              <w:rPr>
                <w:rFonts w:asciiTheme="minorHAnsi" w:hAnsiTheme="minorHAnsi"/>
                <w:color w:val="auto"/>
                <w:szCs w:val="18"/>
              </w:rPr>
              <w:t xml:space="preserve">Wage Taxes Act and Act social security  premium  (old  age provision/AOV) </w:t>
            </w:r>
          </w:p>
          <w:p w14:paraId="378566F9" w14:textId="77777777" w:rsidR="00CA282D" w:rsidRPr="00894701" w:rsidRDefault="00CA282D" w:rsidP="00446B8D">
            <w:pPr>
              <w:rPr>
                <w:rFonts w:asciiTheme="minorHAnsi" w:hAnsiTheme="minorHAnsi"/>
                <w:color w:val="auto"/>
                <w:szCs w:val="18"/>
              </w:rPr>
            </w:pPr>
            <w:r w:rsidRPr="00894701">
              <w:rPr>
                <w:rFonts w:asciiTheme="minorHAnsi" w:hAnsiTheme="minorHAnsi"/>
                <w:color w:val="auto"/>
                <w:szCs w:val="18"/>
              </w:rPr>
              <w:t xml:space="preserve">(Wet Loonbelasting &amp; AOV) </w:t>
            </w:r>
          </w:p>
        </w:tc>
        <w:tc>
          <w:tcPr>
            <w:tcW w:w="213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13CC4005" w14:textId="77777777" w:rsidR="00CA282D" w:rsidRPr="00894701" w:rsidRDefault="00CA282D" w:rsidP="00446B8D">
            <w:pP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Wage Taxes Act and Act social security  premium  (old  age provision/AOV) </w:t>
            </w:r>
          </w:p>
          <w:p w14:paraId="1DC0AB6D" w14:textId="77777777" w:rsidR="00CA282D" w:rsidRPr="00894701" w:rsidRDefault="00CA282D" w:rsidP="00446B8D">
            <w:pP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(Wet Loonbelasting &amp; AOV) </w:t>
            </w:r>
          </w:p>
        </w:tc>
        <w:tc>
          <w:tcPr>
            <w:tcW w:w="42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37D4380" w14:textId="77777777" w:rsidR="00CA282D" w:rsidRPr="00894701" w:rsidRDefault="00CA282D" w:rsidP="00446B8D">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According to the Surinamese Wage Tax Act, employment income paid by a Surinamese withholding agent (employer) to an employee is subject to withholding of wage tax. The wage tax is levied based on a layering system ranging from 0% to a max of 38%. </w:t>
            </w:r>
          </w:p>
          <w:p w14:paraId="7793433D" w14:textId="5A63A4CF" w:rsidR="00CA282D" w:rsidRPr="00894701" w:rsidRDefault="00CA282D" w:rsidP="00446B8D">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All resident individuals/ employees under the age of 60 are required to make this contribution for social security premium. The social security premium amounts to 4% of the net income/wage. Both withholding liabilities are done mostly on a monthly basis. </w:t>
            </w:r>
          </w:p>
        </w:tc>
      </w:tr>
      <w:tr w:rsidR="00CA282D" w:rsidRPr="00894701" w14:paraId="24716AD6" w14:textId="77777777" w:rsidTr="00446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dxa"/>
            <w:shd w:val="clear" w:color="auto" w:fill="F7A3B0"/>
            <w:vAlign w:val="center"/>
          </w:tcPr>
          <w:p w14:paraId="51B18642" w14:textId="77777777" w:rsidR="00CA282D" w:rsidRPr="00894701" w:rsidRDefault="00CA282D" w:rsidP="00446B8D">
            <w:pPr>
              <w:rPr>
                <w:rFonts w:asciiTheme="minorHAnsi" w:hAnsiTheme="minorHAnsi"/>
                <w:color w:val="auto"/>
                <w:szCs w:val="18"/>
              </w:rPr>
            </w:pPr>
            <w:r w:rsidRPr="00894701">
              <w:rPr>
                <w:rFonts w:asciiTheme="minorHAnsi" w:hAnsiTheme="minorHAnsi"/>
                <w:color w:val="auto"/>
                <w:szCs w:val="18"/>
              </w:rPr>
              <w:t xml:space="preserve">Dividend Tax Act (Wet Dividendbelasting)  </w:t>
            </w:r>
          </w:p>
        </w:tc>
        <w:tc>
          <w:tcPr>
            <w:tcW w:w="2130" w:type="dxa"/>
            <w:shd w:val="clear" w:color="auto" w:fill="F7A3B0"/>
            <w:vAlign w:val="center"/>
          </w:tcPr>
          <w:p w14:paraId="22787422" w14:textId="77777777" w:rsidR="00CA282D" w:rsidRPr="00894701" w:rsidRDefault="00CA282D" w:rsidP="00446B8D">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G.B. 1973 No 8 </w:t>
            </w:r>
          </w:p>
        </w:tc>
        <w:tc>
          <w:tcPr>
            <w:tcW w:w="4227" w:type="dxa"/>
            <w:shd w:val="clear" w:color="auto" w:fill="F7A3B0"/>
          </w:tcPr>
          <w:p w14:paraId="020C143F" w14:textId="77777777" w:rsidR="00CA282D" w:rsidRPr="00894701" w:rsidRDefault="00CA282D" w:rsidP="00446B8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Suriname levies a dividend withholding tax on dividends distributed by Suriname resident companies.  The dividend tax rate is 25% (if no tax treaty is applicable).  </w:t>
            </w:r>
          </w:p>
        </w:tc>
      </w:tr>
      <w:tr w:rsidR="00CA282D" w:rsidRPr="00894701" w14:paraId="3B32FEFA" w14:textId="77777777" w:rsidTr="00446B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2E1C6531" w14:textId="77777777" w:rsidR="00CA282D" w:rsidRPr="00894701" w:rsidRDefault="00CA282D" w:rsidP="00446B8D">
            <w:pPr>
              <w:rPr>
                <w:rFonts w:asciiTheme="minorHAnsi" w:hAnsiTheme="minorHAnsi"/>
                <w:color w:val="auto"/>
                <w:szCs w:val="18"/>
              </w:rPr>
            </w:pPr>
            <w:r w:rsidRPr="00894701">
              <w:rPr>
                <w:rFonts w:asciiTheme="minorHAnsi" w:hAnsiTheme="minorHAnsi"/>
                <w:color w:val="auto"/>
                <w:szCs w:val="18"/>
              </w:rPr>
              <w:t xml:space="preserve">Turnover Tax Act (Wet Omzetbelasting) </w:t>
            </w:r>
          </w:p>
        </w:tc>
        <w:tc>
          <w:tcPr>
            <w:tcW w:w="213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1262E44B" w14:textId="7F0E7B14" w:rsidR="00CA282D" w:rsidRPr="00894701" w:rsidRDefault="00CA282D" w:rsidP="00446B8D">
            <w:pP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S.B. 1997/83, as amended by S.B. 2013/117 </w:t>
            </w:r>
            <w:r w:rsidR="008A6113" w:rsidRPr="00894701">
              <w:rPr>
                <w:rFonts w:asciiTheme="minorHAnsi" w:hAnsiTheme="minorHAnsi"/>
                <w:color w:val="auto"/>
                <w:szCs w:val="18"/>
              </w:rPr>
              <w:t>a</w:t>
            </w:r>
            <w:r w:rsidR="008A6113" w:rsidRPr="00894701">
              <w:rPr>
                <w:rFonts w:asciiTheme="minorHAnsi" w:hAnsiTheme="minorHAnsi"/>
                <w:color w:val="auto"/>
              </w:rPr>
              <w:t>nd S.B. 2021/107</w:t>
            </w:r>
          </w:p>
        </w:tc>
        <w:tc>
          <w:tcPr>
            <w:tcW w:w="42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DCBC67" w14:textId="77777777" w:rsidR="00CA282D" w:rsidRPr="00894701" w:rsidRDefault="00CA282D" w:rsidP="00446B8D">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Under the name of the Turnover Tax Act 1997, tax is levied in compliance with the stipulations of this law on: </w:t>
            </w:r>
          </w:p>
          <w:p w14:paraId="0D34AD3D" w14:textId="77777777" w:rsidR="00CA282D" w:rsidRPr="00894701" w:rsidRDefault="00CA282D" w:rsidP="00CA282D">
            <w:pPr>
              <w:pStyle w:val="ListParagraph"/>
              <w:widowControl w:val="0"/>
              <w:numPr>
                <w:ilvl w:val="0"/>
                <w:numId w:val="32"/>
              </w:num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goods produced in Suriname and </w:t>
            </w:r>
            <w:r w:rsidRPr="00894701">
              <w:rPr>
                <w:rFonts w:asciiTheme="minorHAnsi" w:hAnsiTheme="minorHAnsi"/>
                <w:color w:val="auto"/>
                <w:szCs w:val="18"/>
              </w:rPr>
              <w:lastRenderedPageBreak/>
              <w:t xml:space="preserve">delivered in Suriname; </w:t>
            </w:r>
          </w:p>
          <w:p w14:paraId="38E6AD57" w14:textId="3BB68A1E" w:rsidR="00CA282D" w:rsidRPr="00894701" w:rsidRDefault="00CA282D" w:rsidP="00CA282D">
            <w:pPr>
              <w:pStyle w:val="ListParagraph"/>
              <w:widowControl w:val="0"/>
              <w:numPr>
                <w:ilvl w:val="0"/>
                <w:numId w:val="32"/>
              </w:num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services, mentioned in appendix no. 1 of  this  Law, performed  in Suriname; and</w:t>
            </w:r>
          </w:p>
          <w:p w14:paraId="0494B495" w14:textId="77777777" w:rsidR="00CA282D" w:rsidRPr="00894701" w:rsidRDefault="00CA282D" w:rsidP="00CA282D">
            <w:pPr>
              <w:pStyle w:val="ListParagraph"/>
              <w:widowControl w:val="0"/>
              <w:numPr>
                <w:ilvl w:val="0"/>
                <w:numId w:val="32"/>
              </w:num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the import of goods. </w:t>
            </w:r>
          </w:p>
          <w:p w14:paraId="57E060AA" w14:textId="77777777" w:rsidR="00CA282D" w:rsidRPr="00894701" w:rsidRDefault="00CA282D" w:rsidP="00446B8D">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Suriname does not have a value-added tax (VAT), but as mentioned above, a turnover tax (sales tax). </w:t>
            </w:r>
          </w:p>
          <w:p w14:paraId="55E93DDC" w14:textId="77777777" w:rsidR="00CA282D" w:rsidRPr="00894701" w:rsidRDefault="00CA282D" w:rsidP="00446B8D">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The rates of the turnover tax are: </w:t>
            </w:r>
          </w:p>
          <w:p w14:paraId="6FF71489" w14:textId="77777777" w:rsidR="00CA282D" w:rsidRPr="00894701" w:rsidRDefault="00CA282D" w:rsidP="00CA282D">
            <w:pPr>
              <w:pStyle w:val="ListParagraph"/>
              <w:widowControl w:val="0"/>
              <w:numPr>
                <w:ilvl w:val="0"/>
                <w:numId w:val="33"/>
              </w:num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10% for the supply of goods and on imports (25% for some imported luxury goods) </w:t>
            </w:r>
          </w:p>
          <w:p w14:paraId="74DBB005" w14:textId="77777777" w:rsidR="00CA282D" w:rsidRPr="00894701" w:rsidRDefault="00CA282D" w:rsidP="00CA282D">
            <w:pPr>
              <w:pStyle w:val="ListParagraph"/>
              <w:widowControl w:val="0"/>
              <w:numPr>
                <w:ilvl w:val="0"/>
                <w:numId w:val="33"/>
              </w:num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8% for the rendering of services which are included in the appendix to the law  </w:t>
            </w:r>
          </w:p>
          <w:p w14:paraId="5C82C221" w14:textId="77777777" w:rsidR="00F80EC8" w:rsidRPr="00894701" w:rsidRDefault="00CA282D" w:rsidP="00CA282D">
            <w:pPr>
              <w:pStyle w:val="ListParagraph"/>
              <w:widowControl w:val="0"/>
              <w:numPr>
                <w:ilvl w:val="0"/>
                <w:numId w:val="33"/>
              </w:num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 0% in the case of export of goods.</w:t>
            </w:r>
          </w:p>
          <w:p w14:paraId="2AFCB185" w14:textId="38A95E67" w:rsidR="00CA282D" w:rsidRPr="00894701" w:rsidRDefault="00F80EC8" w:rsidP="004C70CC">
            <w:pPr>
              <w:widowControl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On </w:t>
            </w:r>
            <w:r w:rsidR="00CE121E" w:rsidRPr="00894701">
              <w:rPr>
                <w:rFonts w:asciiTheme="minorHAnsi" w:hAnsiTheme="minorHAnsi"/>
                <w:color w:val="auto"/>
                <w:szCs w:val="18"/>
              </w:rPr>
              <w:t>12</w:t>
            </w:r>
            <w:r w:rsidRPr="00894701">
              <w:rPr>
                <w:rFonts w:asciiTheme="minorHAnsi" w:hAnsiTheme="minorHAnsi"/>
                <w:color w:val="auto"/>
                <w:szCs w:val="18"/>
              </w:rPr>
              <w:t xml:space="preserve"> August 2021, the turnover tax was amended to 12% for suppliers of goods, import of goods and services.</w:t>
            </w:r>
            <w:r w:rsidR="00CA282D" w:rsidRPr="00894701">
              <w:rPr>
                <w:rFonts w:asciiTheme="minorHAnsi" w:hAnsiTheme="minorHAnsi"/>
                <w:color w:val="auto"/>
                <w:szCs w:val="18"/>
              </w:rPr>
              <w:t xml:space="preserve"> </w:t>
            </w:r>
          </w:p>
        </w:tc>
      </w:tr>
      <w:tr w:rsidR="00CA282D" w:rsidRPr="00894701" w14:paraId="5192A721" w14:textId="77777777" w:rsidTr="00446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dxa"/>
            <w:shd w:val="clear" w:color="auto" w:fill="F7A3B0"/>
            <w:vAlign w:val="center"/>
          </w:tcPr>
          <w:p w14:paraId="2E6C977C" w14:textId="69C0ED02" w:rsidR="00CA282D" w:rsidRPr="00894701" w:rsidRDefault="00CA282D" w:rsidP="00446B8D">
            <w:pPr>
              <w:rPr>
                <w:rFonts w:asciiTheme="minorHAnsi" w:hAnsiTheme="minorHAnsi"/>
                <w:color w:val="auto"/>
                <w:szCs w:val="18"/>
                <w:lang w:val="nl-NL"/>
              </w:rPr>
            </w:pPr>
            <w:r w:rsidRPr="00894701">
              <w:rPr>
                <w:rFonts w:asciiTheme="minorHAnsi" w:hAnsiTheme="minorHAnsi"/>
                <w:color w:val="auto"/>
                <w:szCs w:val="18"/>
                <w:lang w:val="nl-NL"/>
              </w:rPr>
              <w:lastRenderedPageBreak/>
              <w:t xml:space="preserve">Act Tariff of Import &amp; Excise (Wet invoerrechten </w:t>
            </w:r>
            <w:r w:rsidRPr="00894701">
              <w:rPr>
                <w:rFonts w:asciiTheme="minorHAnsi" w:hAnsiTheme="minorHAnsi"/>
                <w:color w:val="auto"/>
                <w:szCs w:val="18"/>
                <w:lang w:val="nl-NL"/>
              </w:rPr>
              <w:tab/>
              <w:t xml:space="preserve">en accijnzen)  </w:t>
            </w:r>
          </w:p>
        </w:tc>
        <w:tc>
          <w:tcPr>
            <w:tcW w:w="2130" w:type="dxa"/>
            <w:shd w:val="clear" w:color="auto" w:fill="F7A3B0"/>
            <w:vAlign w:val="center"/>
          </w:tcPr>
          <w:p w14:paraId="16FC41A6" w14:textId="32FC8A6B" w:rsidR="00CA282D" w:rsidRPr="00894701" w:rsidRDefault="00CA282D" w:rsidP="00446B8D">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Act Tariff of Import Rights 1996 /S.B.  1995/111, last</w:t>
            </w:r>
          </w:p>
        </w:tc>
        <w:tc>
          <w:tcPr>
            <w:tcW w:w="4227" w:type="dxa"/>
            <w:shd w:val="clear" w:color="auto" w:fill="F7A3B0"/>
          </w:tcPr>
          <w:p w14:paraId="666F295C" w14:textId="711AE750" w:rsidR="00CA282D" w:rsidRPr="00894701" w:rsidRDefault="00CA282D" w:rsidP="00446B8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In 1995 the regime of import duties was brought into line with CARICOM arrangements. The tariffs of the import duties inserted in the Tariff Law of Import Duties vary from 0 to 40%. If one imports goods, the importer must pay import duties and turnover tax. Goods that are produced in the CARICOM are for the most part exempted from import duties.   There are also various exemptions mentioned in the Tariff Law on Import Duties.  Exemptions and special incentives on customs duties are found in different regulations, such as the Petroleum Act, which provides special incentives to oil companies, contractors and subcontractors of oil companies.  </w:t>
            </w:r>
          </w:p>
        </w:tc>
      </w:tr>
      <w:tr w:rsidR="00CA282D" w:rsidRPr="00894701" w14:paraId="4A83356C" w14:textId="77777777" w:rsidTr="00446B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02228EBC" w14:textId="3028DCE1" w:rsidR="00CA282D" w:rsidRPr="00894701" w:rsidRDefault="00CA282D" w:rsidP="00446B8D">
            <w:pPr>
              <w:rPr>
                <w:rFonts w:asciiTheme="minorHAnsi" w:hAnsiTheme="minorHAnsi"/>
                <w:color w:val="auto"/>
                <w:szCs w:val="18"/>
              </w:rPr>
            </w:pPr>
            <w:r w:rsidRPr="00894701">
              <w:rPr>
                <w:rFonts w:asciiTheme="minorHAnsi" w:hAnsiTheme="minorHAnsi"/>
                <w:color w:val="auto"/>
                <w:szCs w:val="18"/>
              </w:rPr>
              <w:t xml:space="preserve">Law on Statistics right (Wet op Statistiekrecht) </w:t>
            </w:r>
          </w:p>
        </w:tc>
        <w:tc>
          <w:tcPr>
            <w:tcW w:w="213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02CA6B70" w14:textId="77777777" w:rsidR="00CA282D" w:rsidRPr="00894701" w:rsidRDefault="00CA282D" w:rsidP="00446B8D">
            <w:pP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GB 1973/9 and amendments SB 1964/60 and SB 2008/28 </w:t>
            </w:r>
          </w:p>
        </w:tc>
        <w:tc>
          <w:tcPr>
            <w:tcW w:w="42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A885074" w14:textId="77777777" w:rsidR="00CA282D" w:rsidRPr="00894701" w:rsidRDefault="00CA282D" w:rsidP="00446B8D">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The Statistic right is to be paid on import and export of goods based on fixed rates. </w:t>
            </w:r>
          </w:p>
        </w:tc>
      </w:tr>
      <w:tr w:rsidR="00CA282D" w:rsidRPr="00894701" w14:paraId="19D1BD0D" w14:textId="77777777" w:rsidTr="00446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dxa"/>
            <w:shd w:val="clear" w:color="auto" w:fill="F7A3B0"/>
            <w:vAlign w:val="center"/>
          </w:tcPr>
          <w:p w14:paraId="26A546C7" w14:textId="77777777" w:rsidR="00CA282D" w:rsidRPr="00894701" w:rsidRDefault="00CA282D" w:rsidP="00446B8D">
            <w:pPr>
              <w:rPr>
                <w:rFonts w:asciiTheme="minorHAnsi" w:hAnsiTheme="minorHAnsi"/>
                <w:color w:val="auto"/>
                <w:szCs w:val="18"/>
              </w:rPr>
            </w:pPr>
            <w:r w:rsidRPr="00894701">
              <w:rPr>
                <w:rFonts w:asciiTheme="minorHAnsi" w:hAnsiTheme="minorHAnsi"/>
                <w:color w:val="auto"/>
                <w:szCs w:val="18"/>
              </w:rPr>
              <w:t xml:space="preserve">Service Tax </w:t>
            </w:r>
          </w:p>
        </w:tc>
        <w:tc>
          <w:tcPr>
            <w:tcW w:w="2130" w:type="dxa"/>
            <w:shd w:val="clear" w:color="auto" w:fill="F7A3B0"/>
            <w:vAlign w:val="center"/>
          </w:tcPr>
          <w:p w14:paraId="2D991244" w14:textId="2AAE5E1C" w:rsidR="00CA282D" w:rsidRPr="00894701" w:rsidRDefault="00CA282D" w:rsidP="00446B8D">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Mineral   agreement 2013, ‘Merian Gold project’ between the Republic of Suriname and Suriname Gold Company LLC (Surgold) </w:t>
            </w:r>
            <w:r w:rsidRPr="00894701">
              <w:rPr>
                <w:rFonts w:asciiTheme="minorHAnsi" w:hAnsiTheme="minorHAnsi"/>
                <w:color w:val="auto"/>
                <w:szCs w:val="18"/>
              </w:rPr>
              <w:tab/>
              <w:t xml:space="preserve">(now:   Newmont Suriname LLC/NS.) </w:t>
            </w:r>
          </w:p>
        </w:tc>
        <w:tc>
          <w:tcPr>
            <w:tcW w:w="4227" w:type="dxa"/>
            <w:shd w:val="clear" w:color="auto" w:fill="F7A3B0"/>
          </w:tcPr>
          <w:p w14:paraId="645E899A" w14:textId="7E5D1EC0" w:rsidR="00CA282D" w:rsidRPr="00894701" w:rsidRDefault="00CA282D" w:rsidP="00446B8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Service tax is a withholding tax of 15% and is payable on Service fees from the start of Commercial Production of NS This withholding tax applies to NS and all other companies involved in the project, insofar as the underlying Service fees are deducted from the levying of income tax by NS or another company involved in the project. In connection with the withholding tax, NS and all other companies involved in the Project will be responsible for withholding and paying their withholding taxes and will not be jointly or severally liable for the withholding tax obligations of another company involved in the Project. </w:t>
            </w:r>
          </w:p>
        </w:tc>
      </w:tr>
      <w:tr w:rsidR="00CA282D" w:rsidRPr="00894701" w14:paraId="35296559" w14:textId="77777777" w:rsidTr="00446B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1E4E68FA" w14:textId="77777777" w:rsidR="00CA282D" w:rsidRPr="00894701" w:rsidRDefault="00CA282D" w:rsidP="00446B8D">
            <w:pPr>
              <w:rPr>
                <w:rFonts w:asciiTheme="minorHAnsi" w:hAnsiTheme="minorHAnsi"/>
                <w:color w:val="auto"/>
                <w:szCs w:val="18"/>
              </w:rPr>
            </w:pPr>
            <w:r w:rsidRPr="00894701">
              <w:rPr>
                <w:rFonts w:asciiTheme="minorHAnsi" w:hAnsiTheme="minorHAnsi"/>
                <w:color w:val="auto"/>
                <w:szCs w:val="18"/>
              </w:rPr>
              <w:t xml:space="preserve">Fuel tax (Motor Fuel Tax Excise tax act) </w:t>
            </w:r>
          </w:p>
        </w:tc>
        <w:tc>
          <w:tcPr>
            <w:tcW w:w="213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411DFCB6" w14:textId="77777777" w:rsidR="00CA282D" w:rsidRPr="00894701" w:rsidRDefault="00CA282D" w:rsidP="00446B8D">
            <w:pP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s="TrebuchetMS"/>
                <w:color w:val="auto"/>
                <w:szCs w:val="18"/>
              </w:rPr>
              <w:t>‘</w:t>
            </w:r>
            <w:r w:rsidRPr="00894701">
              <w:rPr>
                <w:rFonts w:asciiTheme="minorHAnsi" w:hAnsiTheme="minorHAnsi" w:cs="TrebuchetMS"/>
                <w:color w:val="auto"/>
                <w:spacing w:val="-9"/>
                <w:szCs w:val="18"/>
              </w:rPr>
              <w:t>W</w:t>
            </w:r>
            <w:r w:rsidRPr="00894701">
              <w:rPr>
                <w:rFonts w:asciiTheme="minorHAnsi" w:hAnsiTheme="minorHAnsi" w:cs="TrebuchetMS"/>
                <w:color w:val="auto"/>
                <w:szCs w:val="18"/>
              </w:rPr>
              <w:t xml:space="preserve">et </w:t>
            </w:r>
            <w:r w:rsidRPr="00894701">
              <w:rPr>
                <w:rFonts w:asciiTheme="minorHAnsi" w:hAnsiTheme="minorHAnsi" w:cs="TrebuchetMS"/>
                <w:color w:val="auto"/>
                <w:spacing w:val="-12"/>
                <w:szCs w:val="18"/>
              </w:rPr>
              <w:t>V</w:t>
            </w:r>
            <w:r w:rsidRPr="00894701">
              <w:rPr>
                <w:rFonts w:asciiTheme="minorHAnsi" w:hAnsiTheme="minorHAnsi" w:cs="TrebuchetMS"/>
                <w:color w:val="auto"/>
                <w:szCs w:val="18"/>
              </w:rPr>
              <w:t>erbruiksbelasting Motorbrandstoffen</w:t>
            </w:r>
            <w:r w:rsidRPr="00894701">
              <w:rPr>
                <w:rFonts w:asciiTheme="minorHAnsi" w:hAnsiTheme="minorHAnsi" w:cs="TrebuchetMS"/>
                <w:color w:val="auto"/>
                <w:spacing w:val="-5"/>
                <w:szCs w:val="18"/>
              </w:rPr>
              <w:t>’</w:t>
            </w:r>
            <w:r w:rsidRPr="00894701">
              <w:rPr>
                <w:rFonts w:asciiTheme="minorHAnsi" w:hAnsiTheme="minorHAnsi" w:cs="TrebuchetMS"/>
                <w:color w:val="auto"/>
                <w:szCs w:val="18"/>
              </w:rPr>
              <w:t xml:space="preserve"> (</w:t>
            </w:r>
            <w:r w:rsidRPr="00894701">
              <w:rPr>
                <w:rFonts w:asciiTheme="minorHAnsi" w:hAnsiTheme="minorHAnsi" w:cs="TrebuchetMS"/>
                <w:color w:val="auto"/>
                <w:spacing w:val="-2"/>
                <w:szCs w:val="18"/>
              </w:rPr>
              <w:t>S</w:t>
            </w:r>
            <w:r w:rsidRPr="00894701">
              <w:rPr>
                <w:rFonts w:asciiTheme="minorHAnsi" w:hAnsiTheme="minorHAnsi" w:cs="TrebuchetMS"/>
                <w:color w:val="auto"/>
                <w:szCs w:val="18"/>
              </w:rPr>
              <w:t xml:space="preserve">B 1987/90), </w:t>
            </w:r>
            <w:r w:rsidRPr="00894701">
              <w:rPr>
                <w:rFonts w:asciiTheme="minorHAnsi" w:hAnsiTheme="minorHAnsi"/>
                <w:color w:val="auto"/>
                <w:szCs w:val="18"/>
              </w:rPr>
              <w:t xml:space="preserve">amended by S.B. 2004/79, in conjunction     with the Petroleum Act 1990 </w:t>
            </w:r>
          </w:p>
        </w:tc>
        <w:tc>
          <w:tcPr>
            <w:tcW w:w="42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74AD4E" w14:textId="77777777" w:rsidR="00CA282D" w:rsidRPr="00894701" w:rsidRDefault="00CA282D" w:rsidP="00446B8D">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The fuel tax levied on imported and locally produced fuels is based on the ‘Wet Verbruiksbelasting motorbrandstoffen’ (SB 1987/90), (Motor Fuel Tax Excise tax act). Various other taxes are levied on imported fuels, such as import duties, statistical- and consent fees, sales taxes, and a road tax. Import duties, statistical- </w:t>
            </w:r>
            <w:r w:rsidRPr="00894701">
              <w:rPr>
                <w:rFonts w:asciiTheme="minorHAnsi" w:hAnsiTheme="minorHAnsi"/>
                <w:color w:val="auto"/>
                <w:szCs w:val="18"/>
              </w:rPr>
              <w:lastRenderedPageBreak/>
              <w:t xml:space="preserve">and consent fees, sales taxes and road tax are all governed by proper laws. </w:t>
            </w:r>
          </w:p>
        </w:tc>
      </w:tr>
    </w:tbl>
    <w:p w14:paraId="1021E346" w14:textId="77777777" w:rsidR="00CA282D" w:rsidRPr="00894701" w:rsidRDefault="00CA282D" w:rsidP="00CA282D">
      <w:pPr>
        <w:spacing w:after="0" w:line="240" w:lineRule="auto"/>
        <w:jc w:val="both"/>
        <w:rPr>
          <w:rFonts w:asciiTheme="minorHAnsi" w:hAnsiTheme="minorHAnsi"/>
          <w:color w:val="auto"/>
          <w:sz w:val="20"/>
        </w:rPr>
      </w:pPr>
    </w:p>
    <w:p w14:paraId="7F18A308" w14:textId="77777777" w:rsidR="00CA282D" w:rsidRPr="00894701" w:rsidRDefault="00CA282D" w:rsidP="00CA282D">
      <w:pPr>
        <w:pStyle w:val="ListParagraph"/>
        <w:numPr>
          <w:ilvl w:val="0"/>
          <w:numId w:val="49"/>
        </w:numPr>
        <w:spacing w:before="240" w:after="240" w:line="240" w:lineRule="auto"/>
        <w:rPr>
          <w:rFonts w:asciiTheme="minorHAnsi" w:hAnsiTheme="minorHAnsi" w:cs="Arial"/>
          <w:b/>
          <w:color w:val="auto"/>
          <w:sz w:val="20"/>
          <w:szCs w:val="28"/>
        </w:rPr>
      </w:pPr>
      <w:r w:rsidRPr="00894701">
        <w:rPr>
          <w:rFonts w:asciiTheme="minorHAnsi" w:hAnsiTheme="minorHAnsi" w:cs="Arial"/>
          <w:b/>
          <w:color w:val="auto"/>
          <w:sz w:val="20"/>
          <w:szCs w:val="28"/>
        </w:rPr>
        <w:t xml:space="preserve">Fiscal incentive for mining operators  </w:t>
      </w:r>
    </w:p>
    <w:p w14:paraId="6F33695B" w14:textId="77777777" w:rsidR="00CA282D" w:rsidRPr="00894701" w:rsidRDefault="00CA282D" w:rsidP="00CA282D">
      <w:pPr>
        <w:jc w:val="both"/>
        <w:rPr>
          <w:rFonts w:asciiTheme="minorHAnsi" w:hAnsiTheme="minorHAnsi" w:cs="TrebuchetMS-Bold"/>
          <w:b/>
          <w:bCs/>
          <w:color w:val="ED1A3B"/>
          <w:kern w:val="0"/>
          <w:sz w:val="20"/>
          <w:szCs w:val="20"/>
          <w:lang w:eastAsia="en-US"/>
        </w:rPr>
      </w:pPr>
      <w:r w:rsidRPr="00894701">
        <w:rPr>
          <w:rFonts w:asciiTheme="minorHAnsi" w:hAnsiTheme="minorHAnsi" w:cs="TrebuchetMS-Bold"/>
          <w:b/>
          <w:bCs/>
          <w:color w:val="ED1A3B"/>
          <w:kern w:val="0"/>
          <w:sz w:val="20"/>
          <w:szCs w:val="20"/>
          <w:lang w:eastAsia="en-US"/>
        </w:rPr>
        <w:t xml:space="preserve">Exemption from import duties </w:t>
      </w:r>
    </w:p>
    <w:p w14:paraId="225DC737" w14:textId="5571AFFF" w:rsidR="00CA282D" w:rsidRPr="00894701" w:rsidRDefault="00CA282D" w:rsidP="00CA282D">
      <w:pPr>
        <w:jc w:val="both"/>
        <w:rPr>
          <w:rFonts w:asciiTheme="minorHAnsi" w:hAnsiTheme="minorHAnsi"/>
          <w:color w:val="auto"/>
          <w:sz w:val="20"/>
          <w:szCs w:val="20"/>
        </w:rPr>
      </w:pPr>
      <w:r w:rsidRPr="00894701">
        <w:rPr>
          <w:rFonts w:asciiTheme="minorHAnsi" w:hAnsiTheme="minorHAnsi"/>
          <w:color w:val="auto"/>
          <w:sz w:val="20"/>
          <w:szCs w:val="20"/>
        </w:rPr>
        <w:t xml:space="preserve">According to article 67 of the Mining decree of 8 May 1986, the Minister of Finance and Planning, can by a decision grant full or partial exemption from import duties for industrial means, materials, equipment of any kind which will be used for mining activities and which re procured up to the beginning of the commercial production.  </w:t>
      </w:r>
    </w:p>
    <w:p w14:paraId="02B045E7" w14:textId="0579BA68" w:rsidR="00CA282D" w:rsidRPr="00894701" w:rsidRDefault="00CA282D" w:rsidP="00CA282D">
      <w:pPr>
        <w:jc w:val="both"/>
        <w:rPr>
          <w:rFonts w:asciiTheme="minorHAnsi" w:hAnsiTheme="minorHAnsi"/>
          <w:color w:val="auto"/>
          <w:sz w:val="20"/>
          <w:szCs w:val="20"/>
        </w:rPr>
      </w:pPr>
      <w:r w:rsidRPr="00894701">
        <w:rPr>
          <w:rFonts w:asciiTheme="minorHAnsi" w:hAnsiTheme="minorHAnsi"/>
          <w:color w:val="auto"/>
          <w:sz w:val="20"/>
          <w:szCs w:val="20"/>
        </w:rPr>
        <w:t xml:space="preserve">The Minister of Finance and Planning, can by a decision also grant exemption from import duties mentioned in the first paragraph for the goods mentioned therein which are procured in the framework of a substantial business expansion. The petition must mention clearly that it has to do with a substantial business expansion.  </w:t>
      </w:r>
    </w:p>
    <w:p w14:paraId="3F7655E2" w14:textId="77777777" w:rsidR="00CA282D" w:rsidRPr="00894701" w:rsidRDefault="00CA282D" w:rsidP="00CA282D">
      <w:pPr>
        <w:jc w:val="both"/>
        <w:rPr>
          <w:rFonts w:asciiTheme="minorHAnsi" w:hAnsiTheme="minorHAnsi"/>
          <w:color w:val="auto"/>
          <w:sz w:val="20"/>
          <w:szCs w:val="20"/>
        </w:rPr>
      </w:pPr>
      <w:r w:rsidRPr="00894701">
        <w:rPr>
          <w:rFonts w:asciiTheme="minorHAnsi" w:hAnsiTheme="minorHAnsi"/>
          <w:color w:val="auto"/>
          <w:sz w:val="20"/>
          <w:szCs w:val="20"/>
        </w:rPr>
        <w:t xml:space="preserve">The decisions mentioned must be published in the State Gazette and conditions may be attached to the exemption. </w:t>
      </w:r>
    </w:p>
    <w:p w14:paraId="39C983F7" w14:textId="77777777" w:rsidR="00CA282D" w:rsidRPr="00894701" w:rsidRDefault="00CA282D" w:rsidP="00CA282D">
      <w:pPr>
        <w:pStyle w:val="ListParagraph"/>
        <w:numPr>
          <w:ilvl w:val="0"/>
          <w:numId w:val="49"/>
        </w:numPr>
        <w:spacing w:before="240" w:after="240" w:line="240" w:lineRule="auto"/>
        <w:rPr>
          <w:rFonts w:asciiTheme="minorHAnsi" w:hAnsiTheme="minorHAnsi" w:cs="Arial"/>
          <w:b/>
          <w:color w:val="auto"/>
          <w:sz w:val="20"/>
          <w:szCs w:val="28"/>
        </w:rPr>
      </w:pPr>
      <w:r w:rsidRPr="00894701">
        <w:rPr>
          <w:rFonts w:asciiTheme="minorHAnsi" w:hAnsiTheme="minorHAnsi" w:cs="Arial"/>
          <w:b/>
          <w:color w:val="auto"/>
          <w:sz w:val="20"/>
          <w:szCs w:val="28"/>
        </w:rPr>
        <w:t xml:space="preserve">Fiscal regime specific to the Mining sector </w:t>
      </w:r>
    </w:p>
    <w:p w14:paraId="02D86271" w14:textId="69FC8558" w:rsidR="00CA282D" w:rsidRPr="00894701" w:rsidRDefault="00CA282D" w:rsidP="00CA282D">
      <w:pPr>
        <w:jc w:val="both"/>
        <w:rPr>
          <w:rFonts w:asciiTheme="minorHAnsi" w:hAnsiTheme="minorHAnsi" w:cs="TrebuchetMS-Bold"/>
          <w:b/>
          <w:bCs/>
          <w:color w:val="ED1A3B"/>
          <w:kern w:val="0"/>
          <w:sz w:val="20"/>
          <w:szCs w:val="20"/>
          <w:lang w:eastAsia="en-US"/>
        </w:rPr>
      </w:pPr>
      <w:r w:rsidRPr="00894701">
        <w:rPr>
          <w:rFonts w:asciiTheme="minorHAnsi" w:hAnsiTheme="minorHAnsi" w:cs="TrebuchetMS-Bold"/>
          <w:b/>
          <w:bCs/>
          <w:color w:val="ED1A3B"/>
          <w:kern w:val="0"/>
          <w:sz w:val="20"/>
          <w:szCs w:val="20"/>
          <w:lang w:eastAsia="en-US"/>
        </w:rPr>
        <w:t xml:space="preserve">Area duty (Fees)  </w:t>
      </w:r>
    </w:p>
    <w:p w14:paraId="42453602" w14:textId="77777777" w:rsidR="00CA282D" w:rsidRPr="00894701" w:rsidRDefault="00CA282D" w:rsidP="00CA282D">
      <w:pPr>
        <w:jc w:val="both"/>
        <w:rPr>
          <w:rFonts w:asciiTheme="minorHAnsi" w:hAnsiTheme="minorHAnsi"/>
          <w:color w:val="auto"/>
          <w:sz w:val="20"/>
          <w:szCs w:val="20"/>
        </w:rPr>
      </w:pPr>
      <w:r w:rsidRPr="00894701">
        <w:rPr>
          <w:rFonts w:asciiTheme="minorHAnsi" w:hAnsiTheme="minorHAnsi"/>
          <w:color w:val="auto"/>
          <w:sz w:val="20"/>
          <w:szCs w:val="20"/>
        </w:rPr>
        <w:t xml:space="preserve">During the exploration and the exploitation phase, a fee must be paid by the holder of the mining right, at the beginning of each one-year. The holder of a right of small and medium-scale mining must pay a fee at the time the application for the right is submitted. If the right of small or medium-scale mining is not granted, the money shall be refunded, with the expenses deducted. The holder of a right to quarry building material must pay a fee. The amount must be paid in advance, and for the first time, at the granting of the right.  </w:t>
      </w:r>
    </w:p>
    <w:p w14:paraId="7435C3F7" w14:textId="77777777" w:rsidR="00CA282D" w:rsidRPr="00894701" w:rsidRDefault="00CA282D" w:rsidP="00CA282D">
      <w:pPr>
        <w:jc w:val="both"/>
        <w:rPr>
          <w:rFonts w:asciiTheme="minorHAnsi" w:hAnsiTheme="minorHAnsi"/>
          <w:color w:val="010302"/>
          <w:kern w:val="0"/>
          <w:sz w:val="22"/>
          <w:szCs w:val="22"/>
          <w:lang w:eastAsia="en-US"/>
        </w:rPr>
      </w:pPr>
      <w:r w:rsidRPr="00894701">
        <w:rPr>
          <w:rFonts w:asciiTheme="minorHAnsi" w:hAnsiTheme="minorHAnsi" w:cs="TrebuchetMS-Bold"/>
          <w:b/>
          <w:bCs/>
          <w:color w:val="ED1A3B"/>
          <w:kern w:val="0"/>
          <w:sz w:val="20"/>
          <w:szCs w:val="20"/>
          <w:lang w:eastAsia="en-US"/>
        </w:rPr>
        <w:t xml:space="preserve">Royalty  </w:t>
      </w:r>
    </w:p>
    <w:p w14:paraId="4DABD862" w14:textId="77777777" w:rsidR="00CA282D" w:rsidRPr="00894701" w:rsidRDefault="00CA282D" w:rsidP="00CA282D">
      <w:pPr>
        <w:jc w:val="both"/>
        <w:rPr>
          <w:rFonts w:asciiTheme="minorHAnsi" w:hAnsiTheme="minorHAnsi"/>
          <w:color w:val="auto"/>
          <w:sz w:val="20"/>
          <w:szCs w:val="20"/>
        </w:rPr>
      </w:pPr>
      <w:r w:rsidRPr="00894701">
        <w:rPr>
          <w:rFonts w:asciiTheme="minorHAnsi" w:hAnsiTheme="minorHAnsi"/>
          <w:color w:val="auto"/>
          <w:sz w:val="20"/>
          <w:szCs w:val="20"/>
        </w:rPr>
        <w:t xml:space="preserve">The holders of a right of exploitation, small and medium scale mining or quarry building material should pay royalties to the Government. The calculations of these royalties depend on the type of mineral (State decree). </w:t>
      </w:r>
    </w:p>
    <w:p w14:paraId="549918F8" w14:textId="77777777" w:rsidR="00CA282D" w:rsidRPr="00894701" w:rsidRDefault="00CA282D" w:rsidP="00CA282D">
      <w:pPr>
        <w:jc w:val="both"/>
        <w:rPr>
          <w:rFonts w:asciiTheme="minorHAnsi" w:hAnsiTheme="minorHAnsi"/>
          <w:color w:val="auto"/>
          <w:sz w:val="20"/>
          <w:szCs w:val="20"/>
        </w:rPr>
      </w:pPr>
      <w:r w:rsidRPr="00894701">
        <w:rPr>
          <w:rFonts w:asciiTheme="minorHAnsi" w:hAnsiTheme="minorHAnsi"/>
          <w:color w:val="auto"/>
          <w:sz w:val="20"/>
          <w:szCs w:val="20"/>
        </w:rPr>
        <w:t xml:space="preserve">However, the royalty contribution by the large gold mining companies is settled in their respective Mineral Agreements with the Republic of Suriname. </w:t>
      </w:r>
    </w:p>
    <w:p w14:paraId="105FB51E" w14:textId="29F0E96C" w:rsidR="00CA282D" w:rsidRPr="00894701" w:rsidRDefault="00CA282D" w:rsidP="00CA282D">
      <w:pPr>
        <w:jc w:val="both"/>
        <w:rPr>
          <w:rFonts w:asciiTheme="minorHAnsi" w:hAnsiTheme="minorHAnsi"/>
          <w:color w:val="auto"/>
          <w:sz w:val="20"/>
          <w:szCs w:val="20"/>
        </w:rPr>
      </w:pPr>
      <w:r w:rsidRPr="00894701">
        <w:rPr>
          <w:rFonts w:asciiTheme="minorHAnsi" w:hAnsiTheme="minorHAnsi"/>
          <w:color w:val="auto"/>
          <w:sz w:val="20"/>
          <w:szCs w:val="20"/>
        </w:rPr>
        <w:t xml:space="preserve">While there are no provisions in the Mining Decree outlining how the government will anticipate and respond to commodity price volatility, provisions have been included in mineral agreements, whereby a higher royalty rate is charged in times of high commodity prices, and that rate is lowered when commodity prices decline (Rosebel agreement). This provision has allowed the government to optimise the returns from mining during high price periods, to the benefit of the national budget. </w:t>
      </w:r>
    </w:p>
    <w:p w14:paraId="1B7B6C8D" w14:textId="15A2F863" w:rsidR="00D758A1" w:rsidRDefault="00F86B15" w:rsidP="00CA282D">
      <w:pPr>
        <w:jc w:val="both"/>
        <w:rPr>
          <w:rFonts w:asciiTheme="minorHAnsi" w:hAnsiTheme="minorHAnsi"/>
          <w:color w:val="auto"/>
          <w:sz w:val="20"/>
          <w:szCs w:val="20"/>
        </w:rPr>
      </w:pPr>
      <w:r>
        <w:rPr>
          <w:rFonts w:asciiTheme="minorHAnsi" w:hAnsiTheme="minorHAnsi"/>
          <w:color w:val="auto"/>
          <w:sz w:val="20"/>
          <w:szCs w:val="20"/>
        </w:rPr>
        <w:t xml:space="preserve">The aforementioned IGF report into the Suriname mining sector cites the example of the mineral agreement governing the </w:t>
      </w:r>
      <w:r w:rsidR="00CA282D" w:rsidRPr="00894701">
        <w:rPr>
          <w:rFonts w:asciiTheme="minorHAnsi" w:hAnsiTheme="minorHAnsi"/>
          <w:color w:val="auto"/>
          <w:sz w:val="20"/>
          <w:szCs w:val="20"/>
        </w:rPr>
        <w:t>Rosebel gold mine</w:t>
      </w:r>
      <w:r>
        <w:rPr>
          <w:rFonts w:asciiTheme="minorHAnsi" w:hAnsiTheme="minorHAnsi"/>
          <w:color w:val="auto"/>
          <w:sz w:val="20"/>
          <w:szCs w:val="20"/>
        </w:rPr>
        <w:t xml:space="preserve">. For this agreement, </w:t>
      </w:r>
      <w:r w:rsidRPr="009D5BAD">
        <w:rPr>
          <w:rFonts w:asciiTheme="minorHAnsi" w:hAnsiTheme="minorHAnsi"/>
          <w:i/>
          <w:iCs/>
          <w:color w:val="auto"/>
          <w:sz w:val="20"/>
          <w:szCs w:val="20"/>
        </w:rPr>
        <w:t>“</w:t>
      </w:r>
      <w:r w:rsidR="00CA282D" w:rsidRPr="009D5BAD">
        <w:rPr>
          <w:rFonts w:asciiTheme="minorHAnsi" w:hAnsiTheme="minorHAnsi"/>
          <w:i/>
          <w:iCs/>
          <w:color w:val="auto"/>
          <w:sz w:val="20"/>
          <w:szCs w:val="20"/>
        </w:rPr>
        <w:t>a royalty of 2.25% of gold production is charged to the company, provided that the price of gold is under USD 4</w:t>
      </w:r>
      <w:r w:rsidR="00B736C7" w:rsidRPr="009D5BAD">
        <w:rPr>
          <w:rFonts w:asciiTheme="minorHAnsi" w:hAnsiTheme="minorHAnsi"/>
          <w:i/>
          <w:iCs/>
          <w:color w:val="auto"/>
          <w:sz w:val="20"/>
          <w:szCs w:val="20"/>
        </w:rPr>
        <w:t>2</w:t>
      </w:r>
      <w:r w:rsidR="00CA282D" w:rsidRPr="009D5BAD">
        <w:rPr>
          <w:rFonts w:asciiTheme="minorHAnsi" w:hAnsiTheme="minorHAnsi"/>
          <w:i/>
          <w:iCs/>
          <w:color w:val="auto"/>
          <w:sz w:val="20"/>
          <w:szCs w:val="20"/>
        </w:rPr>
        <w:t xml:space="preserve">5 per ounce. The royalty is payable in gold for the life of the project and is paid quarterly. The 2.25% royalty is divided as follows: 2% goes to the state (split between Grassalco [20%] and the government [80%]), and 0.25% is transferred to the Suriname Environmental Mining Foundation. It was agreed at the signing that should the price of gold exceed USD 450 per ounce, a royalty of 6.5% is charged on all revenues earned as a result of pricing higher than USD 450. This position has resulted in very significant royalty revenues for Suriname, given the high gold prices since the agreement was originally negotiated. Similarly, on taxation, it was agreed in the amended mining agreement with </w:t>
      </w:r>
      <w:r w:rsidR="00CA282D" w:rsidRPr="009D5BAD">
        <w:rPr>
          <w:rFonts w:asciiTheme="minorHAnsi" w:hAnsiTheme="minorHAnsi"/>
          <w:i/>
          <w:iCs/>
          <w:color w:val="auto"/>
          <w:sz w:val="20"/>
          <w:szCs w:val="20"/>
        </w:rPr>
        <w:lastRenderedPageBreak/>
        <w:t>Cambior Inc. that the operating entity, during the initial 25-year term of the right of exploitation, shall pay to the state an income tax rate that is lesser than the corporate rate at the time of signing (36%) and the rate of 45% of net profit. A stabilisation clause on corporate income tax is included in the draft Mining Act.</w:t>
      </w:r>
      <w:r w:rsidR="00D758A1" w:rsidRPr="009D5BAD">
        <w:rPr>
          <w:rFonts w:asciiTheme="minorHAnsi" w:hAnsiTheme="minorHAnsi"/>
          <w:i/>
          <w:iCs/>
          <w:color w:val="auto"/>
          <w:sz w:val="20"/>
          <w:szCs w:val="20"/>
        </w:rPr>
        <w:t>”</w:t>
      </w:r>
      <w:r w:rsidR="00D758A1" w:rsidRPr="009D5BAD">
        <w:rPr>
          <w:rStyle w:val="FootnoteReference"/>
          <w:rFonts w:asciiTheme="minorHAnsi" w:hAnsiTheme="minorHAnsi"/>
          <w:i/>
          <w:iCs/>
          <w:color w:val="auto"/>
          <w:sz w:val="20"/>
          <w:szCs w:val="20"/>
        </w:rPr>
        <w:footnoteReference w:id="29"/>
      </w:r>
      <w:r w:rsidR="00A023E5" w:rsidRPr="00894701">
        <w:rPr>
          <w:rFonts w:asciiTheme="minorHAnsi" w:hAnsiTheme="minorHAnsi"/>
          <w:color w:val="auto"/>
          <w:sz w:val="20"/>
          <w:szCs w:val="20"/>
        </w:rPr>
        <w:t xml:space="preserve"> </w:t>
      </w:r>
    </w:p>
    <w:p w14:paraId="42B3FD44" w14:textId="43407954" w:rsidR="00CA282D" w:rsidRPr="00894701" w:rsidRDefault="00A023E5" w:rsidP="00CA282D">
      <w:pPr>
        <w:jc w:val="both"/>
        <w:rPr>
          <w:rFonts w:asciiTheme="minorHAnsi" w:hAnsiTheme="minorHAnsi"/>
          <w:color w:val="auto"/>
          <w:sz w:val="20"/>
          <w:szCs w:val="20"/>
        </w:rPr>
      </w:pPr>
      <w:r w:rsidRPr="00894701">
        <w:rPr>
          <w:rFonts w:asciiTheme="minorHAnsi" w:hAnsiTheme="minorHAnsi"/>
          <w:color w:val="auto"/>
          <w:sz w:val="20"/>
          <w:szCs w:val="20"/>
        </w:rPr>
        <w:t xml:space="preserve">Another example is the mineral agreement with Newmont Suriname LLC. According to this agreement NS Shall pay or arrange for the company to pay a royalty to the Republic of Suriname of </w:t>
      </w:r>
      <w:r w:rsidR="004C23BB" w:rsidRPr="00894701">
        <w:rPr>
          <w:rFonts w:asciiTheme="minorHAnsi" w:hAnsiTheme="minorHAnsi"/>
          <w:color w:val="auto"/>
          <w:sz w:val="20"/>
          <w:szCs w:val="20"/>
        </w:rPr>
        <w:t>6% on the Net Smelter Returns.</w:t>
      </w:r>
    </w:p>
    <w:p w14:paraId="0E07EA7B" w14:textId="77777777" w:rsidR="00CA282D" w:rsidRPr="00894701" w:rsidRDefault="00CA282D" w:rsidP="00CA282D">
      <w:pPr>
        <w:widowControl w:val="0"/>
        <w:spacing w:before="120" w:line="240" w:lineRule="auto"/>
        <w:rPr>
          <w:rFonts w:asciiTheme="minorHAnsi" w:hAnsiTheme="minorHAnsi"/>
          <w:color w:val="010302"/>
          <w:kern w:val="0"/>
          <w:sz w:val="22"/>
          <w:szCs w:val="22"/>
          <w:lang w:eastAsia="en-US"/>
        </w:rPr>
      </w:pPr>
      <w:r w:rsidRPr="00894701">
        <w:rPr>
          <w:rFonts w:asciiTheme="minorHAnsi" w:hAnsiTheme="minorHAnsi" w:cs="TrebuchetMS-Bold"/>
          <w:b/>
          <w:bCs/>
          <w:color w:val="ED1A3B"/>
          <w:kern w:val="0"/>
          <w:sz w:val="20"/>
          <w:szCs w:val="20"/>
          <w:lang w:eastAsia="en-US"/>
        </w:rPr>
        <w:t xml:space="preserve">Dividends </w:t>
      </w:r>
    </w:p>
    <w:p w14:paraId="311E7452" w14:textId="600E42E5" w:rsidR="00D00E88" w:rsidRPr="00894701" w:rsidRDefault="00CA282D" w:rsidP="00750310">
      <w:pPr>
        <w:jc w:val="both"/>
        <w:rPr>
          <w:rFonts w:asciiTheme="minorHAnsi" w:hAnsiTheme="minorHAnsi"/>
          <w:color w:val="auto"/>
          <w:sz w:val="20"/>
          <w:szCs w:val="20"/>
        </w:rPr>
      </w:pPr>
      <w:r w:rsidRPr="00894701">
        <w:rPr>
          <w:rFonts w:asciiTheme="minorHAnsi" w:hAnsiTheme="minorHAnsi"/>
          <w:color w:val="auto"/>
          <w:sz w:val="20"/>
          <w:szCs w:val="20"/>
        </w:rPr>
        <w:t xml:space="preserve">The government can also generate revenues through direct ownership of mining operations. For example, the government has 5% free equity participation in the Rosebel gold mine and has negotiated an option to acquire </w:t>
      </w:r>
      <w:r w:rsidR="00FC4CDC" w:rsidRPr="00894701">
        <w:rPr>
          <w:rFonts w:asciiTheme="minorHAnsi" w:hAnsiTheme="minorHAnsi"/>
          <w:color w:val="auto"/>
          <w:sz w:val="20"/>
          <w:szCs w:val="20"/>
        </w:rPr>
        <w:t>to acquire a total of 40%</w:t>
      </w:r>
      <w:r w:rsidRPr="00894701">
        <w:rPr>
          <w:rFonts w:asciiTheme="minorHAnsi" w:hAnsiTheme="minorHAnsi"/>
          <w:color w:val="auto"/>
          <w:sz w:val="20"/>
          <w:szCs w:val="20"/>
        </w:rPr>
        <w:t xml:space="preserve"> of a new joint venture with IAMGOLD to expand the mine. For Newmont, the government decided to exercise its option to participate through Staatsolie in a fully-funded 25% equity stake in the Merian gold mine. </w:t>
      </w:r>
    </w:p>
    <w:p w14:paraId="054D573F" w14:textId="4159E7CD" w:rsidR="00CA282D" w:rsidRPr="00894701" w:rsidRDefault="00CA282D" w:rsidP="00CA282D">
      <w:pPr>
        <w:jc w:val="both"/>
        <w:rPr>
          <w:rFonts w:asciiTheme="minorHAnsi" w:hAnsiTheme="minorHAnsi"/>
          <w:color w:val="auto"/>
          <w:sz w:val="20"/>
          <w:szCs w:val="20"/>
        </w:rPr>
      </w:pPr>
      <w:r w:rsidRPr="00894701">
        <w:rPr>
          <w:rFonts w:asciiTheme="minorHAnsi" w:hAnsiTheme="minorHAnsi"/>
          <w:color w:val="auto"/>
          <w:sz w:val="20"/>
          <w:szCs w:val="20"/>
        </w:rPr>
        <w:t xml:space="preserve">We present in the table below a description of the specific revenues to the mining sector collected by the Government: </w:t>
      </w:r>
    </w:p>
    <w:p w14:paraId="0318ACC9" w14:textId="28D681FF" w:rsidR="00CA282D" w:rsidRPr="00894701" w:rsidRDefault="00CA282D" w:rsidP="00CA282D">
      <w:pPr>
        <w:spacing w:before="120"/>
        <w:jc w:val="center"/>
        <w:rPr>
          <w:rFonts w:asciiTheme="minorHAnsi" w:hAnsiTheme="minorHAnsi"/>
          <w:color w:val="010302"/>
        </w:rPr>
      </w:pPr>
      <w:bookmarkStart w:id="151" w:name="_Toc93095208"/>
      <w:bookmarkStart w:id="152" w:name="_Toc109599082"/>
      <w:bookmarkStart w:id="153" w:name="_Toc146590489"/>
      <w:r w:rsidRPr="00894701">
        <w:rPr>
          <w:rFonts w:asciiTheme="majorHAnsi" w:hAnsiTheme="majorHAnsi"/>
          <w:b/>
          <w:bCs/>
          <w:color w:val="98002E" w:themeColor="accent3"/>
          <w:sz w:val="20"/>
        </w:rPr>
        <w:t xml:space="preserve">Table </w:t>
      </w:r>
      <w:r w:rsidRPr="00894701">
        <w:rPr>
          <w:rFonts w:asciiTheme="majorHAnsi" w:hAnsiTheme="majorHAnsi"/>
          <w:b/>
          <w:bCs/>
          <w:color w:val="98002E" w:themeColor="accent3"/>
          <w:sz w:val="20"/>
        </w:rPr>
        <w:fldChar w:fldCharType="begin"/>
      </w:r>
      <w:r w:rsidRPr="00894701">
        <w:rPr>
          <w:rFonts w:asciiTheme="majorHAnsi" w:hAnsiTheme="majorHAnsi"/>
          <w:b/>
          <w:bCs/>
          <w:color w:val="98002E" w:themeColor="accent3"/>
          <w:sz w:val="20"/>
        </w:rPr>
        <w:instrText xml:space="preserve"> SEQ Table \* ARABIC </w:instrText>
      </w:r>
      <w:r w:rsidRPr="00894701">
        <w:rPr>
          <w:rFonts w:asciiTheme="majorHAnsi" w:hAnsiTheme="majorHAnsi"/>
          <w:b/>
          <w:bCs/>
          <w:color w:val="98002E" w:themeColor="accent3"/>
          <w:sz w:val="20"/>
        </w:rPr>
        <w:fldChar w:fldCharType="separate"/>
      </w:r>
      <w:r w:rsidR="0035303B">
        <w:rPr>
          <w:rFonts w:asciiTheme="majorHAnsi" w:hAnsiTheme="majorHAnsi"/>
          <w:b/>
          <w:bCs/>
          <w:noProof/>
          <w:color w:val="98002E" w:themeColor="accent3"/>
          <w:sz w:val="20"/>
        </w:rPr>
        <w:t>17</w:t>
      </w:r>
      <w:r w:rsidRPr="00894701">
        <w:rPr>
          <w:rFonts w:asciiTheme="majorHAnsi" w:hAnsiTheme="majorHAnsi"/>
          <w:b/>
          <w:bCs/>
          <w:color w:val="98002E" w:themeColor="accent3"/>
          <w:sz w:val="20"/>
        </w:rPr>
        <w:fldChar w:fldCharType="end"/>
      </w:r>
      <w:r w:rsidRPr="00894701">
        <w:rPr>
          <w:rFonts w:asciiTheme="majorHAnsi" w:hAnsiTheme="majorHAnsi"/>
          <w:b/>
          <w:bCs/>
          <w:color w:val="98002E" w:themeColor="accent3"/>
          <w:sz w:val="20"/>
        </w:rPr>
        <w:t xml:space="preserve">: </w:t>
      </w:r>
      <w:bookmarkEnd w:id="151"/>
      <w:r w:rsidRPr="00894701">
        <w:rPr>
          <w:rFonts w:asciiTheme="minorHAnsi" w:hAnsiTheme="minorHAnsi" w:cs="TrebuchetMS-Bold"/>
          <w:b/>
          <w:bCs/>
          <w:color w:val="98002E"/>
          <w:sz w:val="20"/>
          <w:szCs w:val="20"/>
        </w:rPr>
        <w:t>Mining sector tax regime</w:t>
      </w:r>
      <w:bookmarkEnd w:id="152"/>
      <w:bookmarkEnd w:id="153"/>
    </w:p>
    <w:tbl>
      <w:tblPr>
        <w:tblStyle w:val="TableGrid3"/>
        <w:tblW w:w="5172" w:type="pct"/>
        <w:tblLook w:val="04A0" w:firstRow="1" w:lastRow="0" w:firstColumn="1" w:lastColumn="0" w:noHBand="0" w:noVBand="1"/>
      </w:tblPr>
      <w:tblGrid>
        <w:gridCol w:w="1561"/>
        <w:gridCol w:w="716"/>
        <w:gridCol w:w="1964"/>
        <w:gridCol w:w="105"/>
        <w:gridCol w:w="112"/>
        <w:gridCol w:w="1833"/>
        <w:gridCol w:w="107"/>
        <w:gridCol w:w="112"/>
        <w:gridCol w:w="2841"/>
      </w:tblGrid>
      <w:tr w:rsidR="00CA282D" w:rsidRPr="00894701" w14:paraId="316395BD" w14:textId="77777777" w:rsidTr="0019705E">
        <w:trPr>
          <w:trHeight w:val="132"/>
          <w:tblHeader/>
        </w:trPr>
        <w:tc>
          <w:tcPr>
            <w:tcW w:w="835" w:type="pct"/>
            <w:tcBorders>
              <w:top w:val="single" w:sz="4" w:space="0" w:color="F65275"/>
              <w:left w:val="single" w:sz="4" w:space="0" w:color="F65275"/>
              <w:bottom w:val="single" w:sz="4" w:space="0" w:color="F65275"/>
              <w:right w:val="single" w:sz="4" w:space="0" w:color="F65275"/>
            </w:tcBorders>
            <w:shd w:val="clear" w:color="auto" w:fill="7A091A"/>
          </w:tcPr>
          <w:p w14:paraId="64A94487" w14:textId="77777777" w:rsidR="00CA282D" w:rsidRPr="00894701" w:rsidRDefault="00CA282D" w:rsidP="00446B8D">
            <w:pPr>
              <w:spacing w:before="170" w:after="0" w:line="240" w:lineRule="auto"/>
              <w:ind w:left="83"/>
              <w:rPr>
                <w:rFonts w:asciiTheme="minorHAnsi" w:hAnsiTheme="minorHAnsi"/>
                <w:color w:val="010302"/>
                <w:kern w:val="0"/>
                <w:sz w:val="22"/>
                <w:lang w:val="en-GB"/>
              </w:rPr>
            </w:pPr>
            <w:r w:rsidRPr="00894701">
              <w:rPr>
                <w:rFonts w:asciiTheme="minorHAnsi" w:hAnsiTheme="minorHAnsi" w:cs="TrebuchetMS-Bold"/>
                <w:b/>
                <w:bCs/>
                <w:color w:val="FFFFFF"/>
                <w:kern w:val="0"/>
                <w:szCs w:val="18"/>
              </w:rPr>
              <w:t xml:space="preserve"> </w:t>
            </w:r>
          </w:p>
        </w:tc>
        <w:tc>
          <w:tcPr>
            <w:tcW w:w="1489" w:type="pct"/>
            <w:gridSpan w:val="3"/>
            <w:tcBorders>
              <w:top w:val="single" w:sz="4" w:space="0" w:color="F65275"/>
              <w:left w:val="single" w:sz="4" w:space="0" w:color="F65275"/>
              <w:bottom w:val="single" w:sz="4" w:space="0" w:color="F65275"/>
              <w:right w:val="single" w:sz="4" w:space="0" w:color="F65275"/>
            </w:tcBorders>
            <w:shd w:val="clear" w:color="auto" w:fill="7A091A"/>
          </w:tcPr>
          <w:p w14:paraId="4CB6E103" w14:textId="77777777" w:rsidR="00CA282D" w:rsidRPr="00894701" w:rsidRDefault="00CA282D" w:rsidP="00446B8D">
            <w:pPr>
              <w:spacing w:before="170" w:after="0" w:line="240" w:lineRule="auto"/>
              <w:ind w:firstLine="113"/>
              <w:rPr>
                <w:rFonts w:asciiTheme="minorHAnsi" w:hAnsiTheme="minorHAnsi"/>
                <w:color w:val="010302"/>
                <w:kern w:val="0"/>
                <w:sz w:val="22"/>
                <w:lang w:val="en-GB"/>
              </w:rPr>
            </w:pPr>
            <w:r w:rsidRPr="00894701">
              <w:rPr>
                <w:rFonts w:asciiTheme="minorHAnsi" w:hAnsiTheme="minorHAnsi" w:cs="TrebuchetMS-Bold"/>
                <w:b/>
                <w:bCs/>
                <w:color w:val="FFFFFF"/>
                <w:kern w:val="0"/>
                <w:szCs w:val="18"/>
              </w:rPr>
              <w:t xml:space="preserve">Law/Agreements </w:t>
            </w:r>
          </w:p>
        </w:tc>
        <w:tc>
          <w:tcPr>
            <w:tcW w:w="1097" w:type="pct"/>
            <w:gridSpan w:val="3"/>
            <w:tcBorders>
              <w:top w:val="single" w:sz="4" w:space="0" w:color="F65275"/>
              <w:left w:val="single" w:sz="4" w:space="0" w:color="F65275"/>
              <w:bottom w:val="single" w:sz="4" w:space="0" w:color="F65275"/>
              <w:right w:val="single" w:sz="4" w:space="0" w:color="F65275"/>
            </w:tcBorders>
            <w:shd w:val="clear" w:color="auto" w:fill="7A091A"/>
          </w:tcPr>
          <w:p w14:paraId="1EE30523" w14:textId="77777777" w:rsidR="00CA282D" w:rsidRPr="00894701" w:rsidRDefault="00CA282D" w:rsidP="00446B8D">
            <w:pPr>
              <w:spacing w:before="170" w:after="0" w:line="240" w:lineRule="auto"/>
              <w:ind w:firstLine="112"/>
              <w:rPr>
                <w:rFonts w:asciiTheme="minorHAnsi" w:hAnsiTheme="minorHAnsi"/>
                <w:color w:val="010302"/>
                <w:kern w:val="0"/>
                <w:sz w:val="22"/>
                <w:lang w:val="en-GB"/>
              </w:rPr>
            </w:pPr>
            <w:r w:rsidRPr="00894701">
              <w:rPr>
                <w:rFonts w:asciiTheme="minorHAnsi" w:hAnsiTheme="minorHAnsi" w:cs="TrebuchetMS-Bold"/>
                <w:b/>
                <w:bCs/>
                <w:color w:val="FFFFFF"/>
                <w:spacing w:val="-13"/>
                <w:kern w:val="0"/>
                <w:szCs w:val="18"/>
              </w:rPr>
              <w:t>V</w:t>
            </w:r>
            <w:r w:rsidRPr="00894701">
              <w:rPr>
                <w:rFonts w:asciiTheme="minorHAnsi" w:hAnsiTheme="minorHAnsi" w:cs="TrebuchetMS-Bold"/>
                <w:b/>
                <w:bCs/>
                <w:color w:val="FFFFFF"/>
                <w:kern w:val="0"/>
                <w:szCs w:val="18"/>
              </w:rPr>
              <w:t xml:space="preserve">alidated text </w:t>
            </w:r>
          </w:p>
        </w:tc>
        <w:tc>
          <w:tcPr>
            <w:tcW w:w="1579" w:type="pct"/>
            <w:gridSpan w:val="2"/>
            <w:tcBorders>
              <w:top w:val="single" w:sz="4" w:space="0" w:color="F65275"/>
              <w:left w:val="single" w:sz="4" w:space="0" w:color="F65275"/>
              <w:bottom w:val="single" w:sz="4" w:space="0" w:color="F65275"/>
              <w:right w:val="single" w:sz="4" w:space="0" w:color="F65275"/>
            </w:tcBorders>
            <w:shd w:val="clear" w:color="auto" w:fill="7A091A"/>
          </w:tcPr>
          <w:p w14:paraId="0648C96A" w14:textId="77777777" w:rsidR="00CA282D" w:rsidRPr="00894701" w:rsidRDefault="00CA282D" w:rsidP="00446B8D">
            <w:pPr>
              <w:spacing w:before="170" w:after="0" w:line="240" w:lineRule="auto"/>
              <w:ind w:firstLine="113"/>
              <w:rPr>
                <w:rFonts w:asciiTheme="minorHAnsi" w:hAnsiTheme="minorHAnsi"/>
                <w:color w:val="010302"/>
                <w:kern w:val="0"/>
                <w:sz w:val="22"/>
                <w:lang w:val="en-GB"/>
              </w:rPr>
            </w:pPr>
            <w:r w:rsidRPr="00894701">
              <w:rPr>
                <w:rFonts w:asciiTheme="minorHAnsi" w:hAnsiTheme="minorHAnsi" w:cs="TrebuchetMS-Bold"/>
                <w:b/>
                <w:bCs/>
                <w:color w:val="FFFFFF"/>
                <w:kern w:val="0"/>
                <w:szCs w:val="18"/>
              </w:rPr>
              <w:t xml:space="preserve">Brief content </w:t>
            </w:r>
          </w:p>
        </w:tc>
      </w:tr>
      <w:tr w:rsidR="00F24935" w:rsidRPr="00894701" w14:paraId="0299DB75" w14:textId="77777777" w:rsidTr="00F24935">
        <w:trPr>
          <w:trHeight w:val="230"/>
        </w:trPr>
        <w:tc>
          <w:tcPr>
            <w:tcW w:w="835" w:type="pct"/>
            <w:vMerge w:val="restart"/>
            <w:tcBorders>
              <w:top w:val="single" w:sz="4" w:space="0" w:color="F65275"/>
              <w:left w:val="single" w:sz="4" w:space="0" w:color="F65275"/>
              <w:bottom w:val="nil"/>
              <w:right w:val="single" w:sz="4" w:space="0" w:color="F65275"/>
            </w:tcBorders>
            <w:shd w:val="clear" w:color="auto" w:fill="F7A3B0"/>
          </w:tcPr>
          <w:p w14:paraId="54745045" w14:textId="77777777" w:rsidR="00F24935" w:rsidRPr="00894701" w:rsidRDefault="00F24935" w:rsidP="00446B8D">
            <w:pPr>
              <w:spacing w:before="2493" w:after="0" w:line="240" w:lineRule="auto"/>
              <w:ind w:left="83"/>
              <w:rPr>
                <w:rFonts w:asciiTheme="minorHAnsi" w:hAnsiTheme="minorHAnsi"/>
                <w:color w:val="010302"/>
                <w:kern w:val="0"/>
                <w:sz w:val="22"/>
                <w:lang w:val="en-GB"/>
              </w:rPr>
            </w:pPr>
            <w:r w:rsidRPr="00894701">
              <w:rPr>
                <w:rFonts w:asciiTheme="minorHAnsi" w:hAnsiTheme="minorHAnsi" w:cs="TrebuchetMS-Bold"/>
                <w:b/>
                <w:bCs/>
                <w:color w:val="000000"/>
                <w:kern w:val="0"/>
                <w:szCs w:val="18"/>
              </w:rPr>
              <w:t>Area Duty (</w:t>
            </w:r>
            <w:r w:rsidRPr="00894701">
              <w:rPr>
                <w:rFonts w:asciiTheme="minorHAnsi" w:hAnsiTheme="minorHAnsi" w:cs="TrebuchetMS-Bold"/>
                <w:b/>
                <w:bCs/>
                <w:color w:val="000000"/>
                <w:spacing w:val="-8"/>
                <w:kern w:val="0"/>
                <w:szCs w:val="18"/>
              </w:rPr>
              <w:t>F</w:t>
            </w:r>
            <w:r w:rsidRPr="00894701">
              <w:rPr>
                <w:rFonts w:asciiTheme="minorHAnsi" w:hAnsiTheme="minorHAnsi" w:cs="TrebuchetMS-Bold"/>
                <w:b/>
                <w:bCs/>
                <w:color w:val="000000"/>
                <w:kern w:val="0"/>
                <w:szCs w:val="18"/>
              </w:rPr>
              <w:t xml:space="preserve">ee) </w:t>
            </w:r>
          </w:p>
        </w:tc>
        <w:tc>
          <w:tcPr>
            <w:tcW w:w="383" w:type="pct"/>
            <w:vMerge w:val="restart"/>
            <w:tcBorders>
              <w:top w:val="single" w:sz="4" w:space="0" w:color="F65275"/>
              <w:left w:val="single" w:sz="4" w:space="0" w:color="F65275"/>
              <w:bottom w:val="nil"/>
              <w:right w:val="nil"/>
            </w:tcBorders>
            <w:shd w:val="clear" w:color="auto" w:fill="F7A3B0"/>
          </w:tcPr>
          <w:p w14:paraId="0D385464" w14:textId="77777777" w:rsidR="00F24935" w:rsidRPr="00894701" w:rsidRDefault="00F24935" w:rsidP="00446B8D">
            <w:pPr>
              <w:spacing w:after="0" w:line="240" w:lineRule="auto"/>
              <w:rPr>
                <w:rFonts w:asciiTheme="minorHAnsi" w:hAnsiTheme="minorHAnsi"/>
                <w:color w:val="000000"/>
                <w:kern w:val="0"/>
                <w:sz w:val="1"/>
                <w:szCs w:val="1"/>
                <w:lang w:val="en-GB"/>
              </w:rPr>
            </w:pPr>
          </w:p>
        </w:tc>
        <w:tc>
          <w:tcPr>
            <w:tcW w:w="1050" w:type="pct"/>
            <w:tcBorders>
              <w:top w:val="single" w:sz="4" w:space="0" w:color="F65275"/>
              <w:left w:val="nil"/>
              <w:bottom w:val="nil"/>
              <w:right w:val="nil"/>
            </w:tcBorders>
            <w:shd w:val="clear" w:color="auto" w:fill="F7A3B0"/>
          </w:tcPr>
          <w:p w14:paraId="450A3454" w14:textId="77777777" w:rsidR="00F24935" w:rsidRPr="00894701" w:rsidRDefault="00F24935" w:rsidP="00446B8D">
            <w:pPr>
              <w:spacing w:after="0" w:line="240" w:lineRule="auto"/>
              <w:rPr>
                <w:rFonts w:asciiTheme="minorHAnsi" w:hAnsiTheme="minorHAnsi"/>
                <w:color w:val="010302"/>
                <w:kern w:val="0"/>
                <w:sz w:val="22"/>
                <w:lang w:val="en-GB"/>
              </w:rPr>
            </w:pPr>
            <w:r w:rsidRPr="00894701">
              <w:rPr>
                <w:rFonts w:asciiTheme="minorHAnsi" w:hAnsiTheme="minorHAnsi" w:cs="TrebuchetMS"/>
                <w:color w:val="000000"/>
                <w:kern w:val="0"/>
                <w:szCs w:val="18"/>
              </w:rPr>
              <w:t xml:space="preserve">Mining Decree E-58 </w:t>
            </w:r>
          </w:p>
        </w:tc>
        <w:tc>
          <w:tcPr>
            <w:tcW w:w="56" w:type="pct"/>
            <w:vMerge w:val="restart"/>
            <w:tcBorders>
              <w:top w:val="single" w:sz="4" w:space="0" w:color="F65275"/>
              <w:left w:val="nil"/>
              <w:bottom w:val="nil"/>
              <w:right w:val="single" w:sz="4" w:space="0" w:color="F65275"/>
            </w:tcBorders>
            <w:shd w:val="clear" w:color="auto" w:fill="F7A3B0"/>
          </w:tcPr>
          <w:p w14:paraId="3386569B" w14:textId="77777777" w:rsidR="00F24935" w:rsidRPr="00894701" w:rsidRDefault="00F24935" w:rsidP="00BA29E5">
            <w:pPr>
              <w:spacing w:after="0" w:line="240" w:lineRule="auto"/>
              <w:ind w:right="78"/>
              <w:rPr>
                <w:rFonts w:asciiTheme="minorHAnsi" w:hAnsiTheme="minorHAnsi"/>
                <w:color w:val="000000"/>
                <w:kern w:val="0"/>
                <w:sz w:val="1"/>
                <w:szCs w:val="1"/>
                <w:lang w:val="en-GB"/>
              </w:rPr>
            </w:pPr>
          </w:p>
        </w:tc>
        <w:tc>
          <w:tcPr>
            <w:tcW w:w="60" w:type="pct"/>
            <w:vMerge w:val="restart"/>
            <w:tcBorders>
              <w:top w:val="single" w:sz="4" w:space="0" w:color="F65275"/>
              <w:left w:val="single" w:sz="4" w:space="0" w:color="F65275"/>
              <w:bottom w:val="nil"/>
              <w:right w:val="nil"/>
            </w:tcBorders>
            <w:shd w:val="clear" w:color="auto" w:fill="F7A3B0"/>
          </w:tcPr>
          <w:p w14:paraId="43B534DA" w14:textId="77777777" w:rsidR="00F24935" w:rsidRPr="00894701" w:rsidRDefault="00F24935" w:rsidP="00BA29E5">
            <w:pPr>
              <w:spacing w:after="0" w:line="240" w:lineRule="auto"/>
              <w:ind w:right="78"/>
              <w:rPr>
                <w:rFonts w:asciiTheme="minorHAnsi" w:hAnsiTheme="minorHAnsi"/>
                <w:color w:val="000000"/>
                <w:kern w:val="0"/>
                <w:sz w:val="1"/>
                <w:szCs w:val="1"/>
                <w:lang w:val="en-GB"/>
              </w:rPr>
            </w:pPr>
          </w:p>
        </w:tc>
        <w:tc>
          <w:tcPr>
            <w:tcW w:w="980" w:type="pct"/>
            <w:vMerge w:val="restart"/>
            <w:tcBorders>
              <w:top w:val="single" w:sz="4" w:space="0" w:color="F65275"/>
              <w:left w:val="nil"/>
              <w:bottom w:val="nil"/>
              <w:right w:val="nil"/>
            </w:tcBorders>
            <w:shd w:val="clear" w:color="auto" w:fill="F7A3B0"/>
          </w:tcPr>
          <w:p w14:paraId="19B9600C" w14:textId="77777777" w:rsidR="00F24935" w:rsidRPr="00894701" w:rsidRDefault="00F24935" w:rsidP="00BA29E5">
            <w:pPr>
              <w:spacing w:after="0" w:line="240" w:lineRule="exact"/>
              <w:ind w:right="78"/>
              <w:jc w:val="both"/>
              <w:rPr>
                <w:rFonts w:asciiTheme="minorHAnsi" w:hAnsiTheme="minorHAnsi"/>
                <w:color w:val="010302"/>
                <w:kern w:val="0"/>
                <w:sz w:val="22"/>
                <w:lang w:val="en-GB"/>
              </w:rPr>
            </w:pPr>
            <w:r w:rsidRPr="00894701">
              <w:rPr>
                <w:rFonts w:asciiTheme="minorHAnsi" w:hAnsiTheme="minorHAnsi" w:cs="TrebuchetMS"/>
                <w:color w:val="000000"/>
                <w:kern w:val="0"/>
                <w:szCs w:val="18"/>
              </w:rPr>
              <w:t xml:space="preserve">SB 1986/28 </w:t>
            </w:r>
          </w:p>
        </w:tc>
        <w:tc>
          <w:tcPr>
            <w:tcW w:w="57" w:type="pct"/>
            <w:vMerge w:val="restart"/>
            <w:tcBorders>
              <w:top w:val="single" w:sz="4" w:space="0" w:color="F65275"/>
              <w:left w:val="nil"/>
              <w:bottom w:val="nil"/>
              <w:right w:val="single" w:sz="4" w:space="0" w:color="F65275"/>
            </w:tcBorders>
            <w:shd w:val="clear" w:color="auto" w:fill="F7A3B0"/>
          </w:tcPr>
          <w:p w14:paraId="77A65F75" w14:textId="77777777" w:rsidR="00F24935" w:rsidRPr="00894701" w:rsidRDefault="00F24935" w:rsidP="00BA29E5">
            <w:pPr>
              <w:spacing w:after="0" w:line="240" w:lineRule="auto"/>
              <w:ind w:right="78"/>
              <w:rPr>
                <w:rFonts w:asciiTheme="minorHAnsi" w:hAnsiTheme="minorHAnsi"/>
                <w:color w:val="000000"/>
                <w:kern w:val="0"/>
                <w:sz w:val="1"/>
                <w:szCs w:val="1"/>
                <w:lang w:val="en-GB"/>
              </w:rPr>
            </w:pPr>
          </w:p>
        </w:tc>
        <w:tc>
          <w:tcPr>
            <w:tcW w:w="60" w:type="pct"/>
            <w:vMerge w:val="restart"/>
            <w:tcBorders>
              <w:top w:val="single" w:sz="4" w:space="0" w:color="F65275"/>
              <w:left w:val="single" w:sz="4" w:space="0" w:color="F65275"/>
              <w:bottom w:val="nil"/>
              <w:right w:val="nil"/>
            </w:tcBorders>
            <w:shd w:val="clear" w:color="auto" w:fill="F7A3B0"/>
          </w:tcPr>
          <w:p w14:paraId="44A90710" w14:textId="77777777" w:rsidR="00F24935" w:rsidRPr="00894701" w:rsidRDefault="00F24935" w:rsidP="00BA29E5">
            <w:pPr>
              <w:spacing w:after="0" w:line="240" w:lineRule="auto"/>
              <w:ind w:right="78"/>
              <w:rPr>
                <w:rFonts w:asciiTheme="minorHAnsi" w:hAnsiTheme="minorHAnsi"/>
                <w:color w:val="000000"/>
                <w:kern w:val="0"/>
                <w:sz w:val="1"/>
                <w:szCs w:val="1"/>
                <w:lang w:val="en-GB"/>
              </w:rPr>
            </w:pPr>
          </w:p>
        </w:tc>
        <w:tc>
          <w:tcPr>
            <w:tcW w:w="1519" w:type="pct"/>
            <w:vMerge w:val="restart"/>
            <w:tcBorders>
              <w:top w:val="single" w:sz="4" w:space="0" w:color="F65275"/>
              <w:left w:val="nil"/>
              <w:right w:val="single" w:sz="4" w:space="0" w:color="F65275"/>
            </w:tcBorders>
            <w:shd w:val="clear" w:color="auto" w:fill="F7A3B0"/>
          </w:tcPr>
          <w:p w14:paraId="543FD87B" w14:textId="09C3C3EA" w:rsidR="00F24935" w:rsidRPr="00894701" w:rsidRDefault="00F24935" w:rsidP="00BA29E5">
            <w:pPr>
              <w:spacing w:after="0" w:line="240" w:lineRule="auto"/>
              <w:ind w:right="78"/>
              <w:jc w:val="both"/>
              <w:rPr>
                <w:rFonts w:asciiTheme="minorHAnsi" w:hAnsiTheme="minorHAnsi"/>
                <w:color w:val="010302"/>
                <w:kern w:val="0"/>
                <w:sz w:val="22"/>
                <w:lang w:val="en-GB"/>
              </w:rPr>
            </w:pPr>
            <w:r w:rsidRPr="00894701">
              <w:rPr>
                <w:rFonts w:asciiTheme="minorHAnsi" w:hAnsiTheme="minorHAnsi" w:cs="TrebuchetMS"/>
                <w:color w:val="000000"/>
                <w:kern w:val="0"/>
                <w:szCs w:val="18"/>
              </w:rPr>
              <w:t>According</w:t>
            </w:r>
            <w:r w:rsidRPr="00894701">
              <w:rPr>
                <w:rFonts w:asciiTheme="minorHAnsi" w:hAnsiTheme="minorHAnsi" w:cs="TrebuchetMS"/>
                <w:color w:val="000000"/>
                <w:spacing w:val="20"/>
                <w:kern w:val="0"/>
                <w:szCs w:val="18"/>
              </w:rPr>
              <w:t xml:space="preserve"> to </w:t>
            </w:r>
            <w:r w:rsidRPr="00894701">
              <w:rPr>
                <w:rFonts w:asciiTheme="minorHAnsi" w:hAnsiTheme="minorHAnsi" w:cs="TrebuchetMS"/>
                <w:color w:val="000000"/>
                <w:kern w:val="0"/>
                <w:szCs w:val="18"/>
              </w:rPr>
              <w:t>art</w:t>
            </w:r>
            <w:r w:rsidRPr="00894701">
              <w:rPr>
                <w:rFonts w:asciiTheme="minorHAnsi" w:hAnsiTheme="minorHAnsi" w:cs="TrebuchetMS"/>
                <w:color w:val="000000"/>
                <w:spacing w:val="20"/>
                <w:kern w:val="0"/>
                <w:szCs w:val="18"/>
              </w:rPr>
              <w:t xml:space="preserve"> </w:t>
            </w:r>
            <w:r w:rsidRPr="00894701">
              <w:rPr>
                <w:rFonts w:asciiTheme="minorHAnsi" w:hAnsiTheme="minorHAnsi"/>
                <w:color w:val="auto"/>
                <w:kern w:val="0"/>
                <w:szCs w:val="18"/>
              </w:rPr>
              <w:t xml:space="preserve">  </w:t>
            </w:r>
            <w:r w:rsidRPr="00894701">
              <w:rPr>
                <w:rFonts w:asciiTheme="minorHAnsi" w:hAnsiTheme="minorHAnsi" w:cs="TrebuchetMS"/>
                <w:color w:val="000000"/>
                <w:kern w:val="0"/>
                <w:szCs w:val="18"/>
              </w:rPr>
              <w:t xml:space="preserve">63 </w:t>
            </w:r>
            <w:r w:rsidRPr="00894701">
              <w:rPr>
                <w:rFonts w:asciiTheme="minorHAnsi" w:hAnsiTheme="minorHAnsi" w:cs="TrebuchetMS"/>
                <w:color w:val="000000"/>
                <w:kern w:val="0"/>
                <w:szCs w:val="18"/>
              </w:rPr>
              <w:tab/>
              <w:t>the</w:t>
            </w:r>
            <w:r w:rsidRPr="00894701">
              <w:rPr>
                <w:rFonts w:asciiTheme="minorHAnsi" w:hAnsiTheme="minorHAnsi"/>
                <w:color w:val="auto"/>
                <w:kern w:val="0"/>
                <w:szCs w:val="18"/>
              </w:rPr>
              <w:t xml:space="preserve"> </w:t>
            </w:r>
            <w:r w:rsidRPr="00894701">
              <w:rPr>
                <w:rFonts w:asciiTheme="minorHAnsi" w:hAnsiTheme="minorHAnsi" w:cs="TrebuchetMS"/>
                <w:color w:val="000000"/>
                <w:kern w:val="0"/>
                <w:szCs w:val="18"/>
              </w:rPr>
              <w:t>exploration</w:t>
            </w:r>
            <w:r w:rsidRPr="00894701">
              <w:rPr>
                <w:rFonts w:asciiTheme="minorHAnsi" w:hAnsiTheme="minorHAnsi" w:cs="TrebuchetMS"/>
                <w:color w:val="000000"/>
                <w:spacing w:val="22"/>
                <w:kern w:val="0"/>
                <w:szCs w:val="18"/>
              </w:rPr>
              <w:t xml:space="preserve"> </w:t>
            </w:r>
            <w:r w:rsidRPr="00894701">
              <w:rPr>
                <w:rFonts w:asciiTheme="minorHAnsi" w:hAnsiTheme="minorHAnsi"/>
                <w:color w:val="auto"/>
                <w:kern w:val="0"/>
                <w:szCs w:val="18"/>
              </w:rPr>
              <w:t xml:space="preserve">  </w:t>
            </w:r>
            <w:r w:rsidRPr="00894701">
              <w:rPr>
                <w:rFonts w:asciiTheme="minorHAnsi" w:hAnsiTheme="minorHAnsi" w:cs="TrebuchetMS"/>
                <w:color w:val="000000"/>
                <w:kern w:val="0"/>
                <w:szCs w:val="18"/>
              </w:rPr>
              <w:t>rights</w:t>
            </w:r>
            <w:r w:rsidRPr="00894701">
              <w:rPr>
                <w:rFonts w:asciiTheme="minorHAnsi" w:hAnsiTheme="minorHAnsi" w:cs="TrebuchetMS"/>
                <w:color w:val="000000"/>
                <w:spacing w:val="22"/>
                <w:kern w:val="0"/>
                <w:szCs w:val="18"/>
              </w:rPr>
              <w:t xml:space="preserve"> </w:t>
            </w:r>
            <w:r w:rsidRPr="00894701">
              <w:rPr>
                <w:rFonts w:asciiTheme="minorHAnsi" w:hAnsiTheme="minorHAnsi"/>
                <w:color w:val="auto"/>
                <w:kern w:val="0"/>
                <w:szCs w:val="18"/>
              </w:rPr>
              <w:t xml:space="preserve">  </w:t>
            </w:r>
            <w:r w:rsidRPr="00894701">
              <w:rPr>
                <w:rFonts w:asciiTheme="minorHAnsi" w:hAnsiTheme="minorHAnsi" w:cs="TrebuchetMS"/>
                <w:color w:val="000000"/>
                <w:kern w:val="0"/>
                <w:szCs w:val="18"/>
              </w:rPr>
              <w:t>holder</w:t>
            </w:r>
            <w:r w:rsidRPr="00894701">
              <w:rPr>
                <w:rFonts w:asciiTheme="minorHAnsi" w:hAnsiTheme="minorHAnsi"/>
                <w:color w:val="auto"/>
                <w:kern w:val="0"/>
                <w:szCs w:val="18"/>
              </w:rPr>
              <w:t xml:space="preserve"> </w:t>
            </w:r>
            <w:r w:rsidRPr="00894701">
              <w:rPr>
                <w:rFonts w:asciiTheme="minorHAnsi" w:hAnsiTheme="minorHAnsi" w:cs="TrebuchetMS"/>
                <w:color w:val="000000"/>
                <w:kern w:val="0"/>
                <w:szCs w:val="18"/>
              </w:rPr>
              <w:t xml:space="preserve">shall, </w:t>
            </w:r>
            <w:r w:rsidRPr="00894701">
              <w:rPr>
                <w:rFonts w:asciiTheme="minorHAnsi" w:hAnsiTheme="minorHAnsi"/>
                <w:color w:val="auto"/>
                <w:kern w:val="0"/>
                <w:szCs w:val="18"/>
              </w:rPr>
              <w:t>at</w:t>
            </w:r>
            <w:r w:rsidRPr="00894701">
              <w:rPr>
                <w:rFonts w:asciiTheme="minorHAnsi" w:hAnsiTheme="minorHAnsi" w:cs="TrebuchetMS"/>
                <w:color w:val="000000"/>
                <w:kern w:val="0"/>
                <w:szCs w:val="18"/>
              </w:rPr>
              <w:t xml:space="preserve"> </w:t>
            </w:r>
            <w:r w:rsidRPr="00894701">
              <w:rPr>
                <w:rFonts w:asciiTheme="minorHAnsi" w:hAnsiTheme="minorHAnsi"/>
                <w:color w:val="auto"/>
                <w:kern w:val="0"/>
                <w:szCs w:val="18"/>
              </w:rPr>
              <w:t>the</w:t>
            </w:r>
            <w:r w:rsidRPr="00894701">
              <w:rPr>
                <w:rFonts w:asciiTheme="minorHAnsi" w:hAnsiTheme="minorHAnsi" w:cs="TrebuchetMS"/>
                <w:color w:val="000000"/>
                <w:spacing w:val="1"/>
                <w:kern w:val="0"/>
                <w:szCs w:val="18"/>
              </w:rPr>
              <w:t xml:space="preserve"> </w:t>
            </w:r>
            <w:r w:rsidRPr="00894701">
              <w:rPr>
                <w:rFonts w:asciiTheme="minorHAnsi" w:hAnsiTheme="minorHAnsi"/>
                <w:color w:val="auto"/>
                <w:kern w:val="0"/>
                <w:szCs w:val="18"/>
              </w:rPr>
              <w:t>beginning</w:t>
            </w:r>
            <w:r w:rsidRPr="00894701">
              <w:rPr>
                <w:rFonts w:asciiTheme="minorHAnsi" w:hAnsiTheme="minorHAnsi" w:cs="TrebuchetMS"/>
                <w:color w:val="000000"/>
                <w:kern w:val="0"/>
                <w:szCs w:val="18"/>
              </w:rPr>
              <w:t xml:space="preserve"> </w:t>
            </w:r>
            <w:r w:rsidR="001307EB">
              <w:rPr>
                <w:rFonts w:asciiTheme="minorHAnsi" w:hAnsiTheme="minorHAnsi" w:cs="TrebuchetMS"/>
                <w:color w:val="000000"/>
                <w:kern w:val="0"/>
                <w:szCs w:val="18"/>
              </w:rPr>
              <w:t>o</w:t>
            </w:r>
            <w:r w:rsidRPr="00894701">
              <w:rPr>
                <w:rFonts w:asciiTheme="minorHAnsi" w:hAnsiTheme="minorHAnsi" w:cs="TrebuchetMS"/>
                <w:color w:val="000000"/>
                <w:kern w:val="0"/>
                <w:szCs w:val="18"/>
              </w:rPr>
              <w:t>f a one-year period pay to the state, at the hands of the Direct Tax Collector or other government official designated by state decree, a sum of money calculated at the rate</w:t>
            </w:r>
            <w:r w:rsidR="00F82D2E" w:rsidRPr="00894701">
              <w:rPr>
                <w:rFonts w:asciiTheme="minorHAnsi" w:hAnsiTheme="minorHAnsi" w:cs="TrebuchetMS"/>
                <w:color w:val="000000"/>
                <w:kern w:val="0"/>
                <w:szCs w:val="18"/>
              </w:rPr>
              <w:t xml:space="preserve"> </w:t>
            </w:r>
            <w:r w:rsidRPr="00894701">
              <w:rPr>
                <w:rFonts w:asciiTheme="minorHAnsi" w:hAnsiTheme="minorHAnsi" w:cs="TrebuchetMS"/>
                <w:color w:val="000000"/>
                <w:kern w:val="0"/>
                <w:szCs w:val="18"/>
              </w:rPr>
              <w:t xml:space="preserve">of 50 cents per hectare.  </w:t>
            </w:r>
          </w:p>
          <w:p w14:paraId="0E02811C" w14:textId="77777777" w:rsidR="00F24935" w:rsidRPr="00894701" w:rsidRDefault="00F24935" w:rsidP="00BA29E5">
            <w:pPr>
              <w:spacing w:after="0" w:line="240" w:lineRule="auto"/>
              <w:ind w:right="78"/>
              <w:jc w:val="both"/>
              <w:rPr>
                <w:rFonts w:asciiTheme="minorHAnsi" w:hAnsiTheme="minorHAnsi"/>
                <w:color w:val="010302"/>
                <w:kern w:val="0"/>
                <w:sz w:val="22"/>
                <w:lang w:val="en-GB"/>
              </w:rPr>
            </w:pPr>
            <w:r w:rsidRPr="00894701">
              <w:rPr>
                <w:rFonts w:asciiTheme="minorHAnsi" w:hAnsiTheme="minorHAnsi" w:cs="TrebuchetMS"/>
                <w:color w:val="000000"/>
                <w:kern w:val="0"/>
                <w:szCs w:val="18"/>
              </w:rPr>
              <w:t>According</w:t>
            </w:r>
            <w:r w:rsidRPr="00894701">
              <w:rPr>
                <w:rFonts w:asciiTheme="minorHAnsi" w:hAnsiTheme="minorHAnsi" w:cs="TrebuchetMS"/>
                <w:color w:val="000000"/>
                <w:spacing w:val="27"/>
                <w:kern w:val="0"/>
                <w:szCs w:val="18"/>
              </w:rPr>
              <w:t xml:space="preserve"> </w:t>
            </w:r>
            <w:r w:rsidRPr="00894701">
              <w:rPr>
                <w:rFonts w:asciiTheme="minorHAnsi" w:hAnsiTheme="minorHAnsi"/>
                <w:color w:val="auto"/>
                <w:kern w:val="0"/>
                <w:szCs w:val="18"/>
              </w:rPr>
              <w:t xml:space="preserve">to </w:t>
            </w:r>
            <w:r w:rsidRPr="00894701">
              <w:rPr>
                <w:rFonts w:asciiTheme="minorHAnsi" w:hAnsiTheme="minorHAnsi" w:cs="TrebuchetMS"/>
                <w:color w:val="000000"/>
                <w:kern w:val="0"/>
                <w:szCs w:val="18"/>
              </w:rPr>
              <w:t>art.</w:t>
            </w:r>
            <w:r w:rsidRPr="00894701">
              <w:rPr>
                <w:rFonts w:asciiTheme="minorHAnsi" w:hAnsiTheme="minorHAnsi"/>
                <w:color w:val="auto"/>
                <w:kern w:val="0"/>
                <w:szCs w:val="18"/>
              </w:rPr>
              <w:t xml:space="preserve"> </w:t>
            </w:r>
            <w:r w:rsidRPr="00894701">
              <w:rPr>
                <w:rFonts w:asciiTheme="minorHAnsi" w:hAnsiTheme="minorHAnsi" w:cs="TrebuchetMS"/>
                <w:color w:val="000000"/>
                <w:kern w:val="0"/>
                <w:szCs w:val="18"/>
              </w:rPr>
              <w:t>65</w:t>
            </w:r>
            <w:r w:rsidRPr="00894701">
              <w:rPr>
                <w:rFonts w:asciiTheme="minorHAnsi" w:hAnsiTheme="minorHAnsi" w:cs="TrebuchetMS"/>
                <w:color w:val="000000"/>
                <w:spacing w:val="27"/>
                <w:kern w:val="0"/>
                <w:szCs w:val="18"/>
              </w:rPr>
              <w:t xml:space="preserve"> </w:t>
            </w:r>
            <w:r w:rsidRPr="00894701">
              <w:rPr>
                <w:rFonts w:asciiTheme="minorHAnsi" w:hAnsiTheme="minorHAnsi"/>
                <w:color w:val="auto"/>
                <w:kern w:val="0"/>
                <w:szCs w:val="18"/>
              </w:rPr>
              <w:t>the</w:t>
            </w:r>
            <w:r w:rsidRPr="00894701">
              <w:rPr>
                <w:rFonts w:asciiTheme="minorHAnsi" w:hAnsiTheme="minorHAnsi" w:cs="TrebuchetMS"/>
                <w:color w:val="000000"/>
                <w:kern w:val="0"/>
                <w:szCs w:val="18"/>
              </w:rPr>
              <w:t xml:space="preserve"> holder of exploitation rights, small-scale mining rights and building materials exploitation rights shall owe royalty which is stipulated by state decree. According to art. 66 partial exemption from royalty can be granted by a decision of the minister. </w:t>
            </w:r>
            <w:r w:rsidRPr="00894701">
              <w:rPr>
                <w:rFonts w:asciiTheme="minorHAnsi" w:hAnsiTheme="minorHAnsi"/>
                <w:color w:val="auto"/>
                <w:kern w:val="0"/>
                <w:szCs w:val="18"/>
              </w:rPr>
              <w:t xml:space="preserve"> </w:t>
            </w:r>
          </w:p>
          <w:p w14:paraId="66516A57" w14:textId="6FC43E43" w:rsidR="00F24935" w:rsidRPr="00894701" w:rsidRDefault="00F24935" w:rsidP="00BA29E5">
            <w:pPr>
              <w:spacing w:after="0" w:line="240" w:lineRule="exact"/>
              <w:ind w:right="78"/>
              <w:rPr>
                <w:rFonts w:asciiTheme="minorHAnsi" w:hAnsiTheme="minorHAnsi"/>
                <w:color w:val="010302"/>
                <w:kern w:val="0"/>
                <w:sz w:val="22"/>
                <w:lang w:val="en-GB"/>
              </w:rPr>
            </w:pPr>
            <w:r w:rsidRPr="00894701">
              <w:rPr>
                <w:rFonts w:asciiTheme="minorHAnsi" w:hAnsiTheme="minorHAnsi" w:cs="TrebuchetMS"/>
                <w:color w:val="000000"/>
                <w:kern w:val="0"/>
                <w:szCs w:val="18"/>
              </w:rPr>
              <w:t xml:space="preserve"> </w:t>
            </w:r>
          </w:p>
          <w:p w14:paraId="1C3399A4" w14:textId="1666FF5E" w:rsidR="00F24935" w:rsidRPr="00894701" w:rsidRDefault="00F24935" w:rsidP="00BA29E5">
            <w:pPr>
              <w:spacing w:after="0" w:line="240" w:lineRule="exact"/>
              <w:ind w:right="78"/>
              <w:rPr>
                <w:rFonts w:asciiTheme="minorHAnsi" w:hAnsiTheme="minorHAnsi"/>
                <w:color w:val="010302"/>
                <w:kern w:val="0"/>
                <w:sz w:val="22"/>
                <w:lang w:val="en-GB"/>
              </w:rPr>
            </w:pPr>
            <w:r w:rsidRPr="00894701">
              <w:rPr>
                <w:rFonts w:asciiTheme="minorHAnsi" w:hAnsiTheme="minorHAnsi" w:cs="TrebuchetMS"/>
                <w:color w:val="000000"/>
                <w:kern w:val="0"/>
                <w:szCs w:val="18"/>
              </w:rPr>
              <w:t xml:space="preserve"> </w:t>
            </w:r>
          </w:p>
        </w:tc>
      </w:tr>
      <w:tr w:rsidR="00F24935" w:rsidRPr="00894701" w14:paraId="4CD8EB95" w14:textId="77777777" w:rsidTr="00F24935">
        <w:trPr>
          <w:trHeight w:val="120"/>
        </w:trPr>
        <w:tc>
          <w:tcPr>
            <w:tcW w:w="835" w:type="pct"/>
            <w:vMerge/>
            <w:tcBorders>
              <w:top w:val="nil"/>
              <w:left w:val="single" w:sz="4" w:space="0" w:color="F65275"/>
              <w:bottom w:val="nil"/>
              <w:right w:val="single" w:sz="4" w:space="0" w:color="F65275"/>
            </w:tcBorders>
            <w:shd w:val="clear" w:color="auto" w:fill="F7A3B0"/>
          </w:tcPr>
          <w:p w14:paraId="6384D7CA" w14:textId="77777777" w:rsidR="00F24935" w:rsidRPr="00894701" w:rsidRDefault="00F24935" w:rsidP="00446B8D">
            <w:pPr>
              <w:spacing w:after="0" w:line="240" w:lineRule="auto"/>
              <w:rPr>
                <w:rFonts w:asciiTheme="minorHAnsi" w:hAnsiTheme="minorHAnsi"/>
                <w:color w:val="000000"/>
                <w:kern w:val="0"/>
                <w:sz w:val="1"/>
                <w:szCs w:val="1"/>
                <w:lang w:val="en-GB"/>
              </w:rPr>
            </w:pPr>
          </w:p>
        </w:tc>
        <w:tc>
          <w:tcPr>
            <w:tcW w:w="383" w:type="pct"/>
            <w:vMerge/>
            <w:tcBorders>
              <w:top w:val="nil"/>
              <w:left w:val="single" w:sz="4" w:space="0" w:color="F65275"/>
              <w:bottom w:val="nil"/>
              <w:right w:val="nil"/>
            </w:tcBorders>
            <w:shd w:val="clear" w:color="auto" w:fill="F7A3B0"/>
          </w:tcPr>
          <w:p w14:paraId="7A575ABD" w14:textId="77777777" w:rsidR="00F24935" w:rsidRPr="00894701" w:rsidRDefault="00F24935" w:rsidP="00446B8D">
            <w:pPr>
              <w:spacing w:after="0" w:line="240" w:lineRule="auto"/>
              <w:rPr>
                <w:rFonts w:asciiTheme="minorHAnsi" w:hAnsiTheme="minorHAnsi"/>
                <w:color w:val="000000"/>
                <w:kern w:val="0"/>
                <w:sz w:val="1"/>
                <w:szCs w:val="1"/>
                <w:lang w:val="en-GB"/>
              </w:rPr>
            </w:pPr>
          </w:p>
        </w:tc>
        <w:tc>
          <w:tcPr>
            <w:tcW w:w="1050" w:type="pct"/>
            <w:vMerge w:val="restart"/>
            <w:tcBorders>
              <w:top w:val="nil"/>
              <w:left w:val="nil"/>
              <w:bottom w:val="nil"/>
              <w:right w:val="nil"/>
            </w:tcBorders>
            <w:shd w:val="clear" w:color="auto" w:fill="F7A3B0"/>
          </w:tcPr>
          <w:p w14:paraId="04410D42" w14:textId="77777777" w:rsidR="00F24935" w:rsidRPr="00894701" w:rsidRDefault="00F24935" w:rsidP="00446B8D">
            <w:pPr>
              <w:spacing w:after="0" w:line="240" w:lineRule="auto"/>
              <w:rPr>
                <w:rFonts w:asciiTheme="minorHAnsi" w:hAnsiTheme="minorHAnsi"/>
                <w:color w:val="010302"/>
                <w:kern w:val="0"/>
                <w:sz w:val="22"/>
                <w:lang w:val="en-GB"/>
              </w:rPr>
            </w:pPr>
            <w:r w:rsidRPr="00894701">
              <w:rPr>
                <w:rFonts w:asciiTheme="minorHAnsi" w:hAnsiTheme="minorHAnsi" w:cs="TrebuchetMS-Italic"/>
                <w:i/>
                <w:iCs/>
                <w:color w:val="000000"/>
                <w:kern w:val="0"/>
                <w:szCs w:val="18"/>
              </w:rPr>
              <w:t xml:space="preserve">(Decreet Mijnbouw) </w:t>
            </w:r>
          </w:p>
        </w:tc>
        <w:tc>
          <w:tcPr>
            <w:tcW w:w="56" w:type="pct"/>
            <w:vMerge/>
            <w:tcBorders>
              <w:top w:val="nil"/>
              <w:left w:val="nil"/>
              <w:bottom w:val="nil"/>
              <w:right w:val="single" w:sz="4" w:space="0" w:color="F65275"/>
            </w:tcBorders>
            <w:shd w:val="clear" w:color="auto" w:fill="F7A3B0"/>
          </w:tcPr>
          <w:p w14:paraId="4EA6558C" w14:textId="77777777" w:rsidR="00F24935" w:rsidRPr="00894701" w:rsidRDefault="00F24935" w:rsidP="00BA29E5">
            <w:pPr>
              <w:spacing w:after="0" w:line="240" w:lineRule="auto"/>
              <w:ind w:right="78"/>
              <w:rPr>
                <w:rFonts w:asciiTheme="minorHAnsi" w:hAnsiTheme="minorHAnsi"/>
                <w:color w:val="000000"/>
                <w:kern w:val="0"/>
                <w:sz w:val="1"/>
                <w:szCs w:val="1"/>
                <w:lang w:val="en-GB"/>
              </w:rPr>
            </w:pPr>
          </w:p>
        </w:tc>
        <w:tc>
          <w:tcPr>
            <w:tcW w:w="60" w:type="pct"/>
            <w:vMerge/>
            <w:tcBorders>
              <w:top w:val="nil"/>
              <w:left w:val="single" w:sz="4" w:space="0" w:color="F65275"/>
              <w:bottom w:val="nil"/>
              <w:right w:val="nil"/>
            </w:tcBorders>
            <w:shd w:val="clear" w:color="auto" w:fill="F7A3B0"/>
          </w:tcPr>
          <w:p w14:paraId="5E2CBB04" w14:textId="77777777" w:rsidR="00F24935" w:rsidRPr="00894701" w:rsidRDefault="00F24935" w:rsidP="00BA29E5">
            <w:pPr>
              <w:spacing w:after="0" w:line="240" w:lineRule="auto"/>
              <w:ind w:right="78"/>
              <w:rPr>
                <w:rFonts w:asciiTheme="minorHAnsi" w:hAnsiTheme="minorHAnsi"/>
                <w:color w:val="000000"/>
                <w:kern w:val="0"/>
                <w:sz w:val="1"/>
                <w:szCs w:val="1"/>
                <w:lang w:val="en-GB"/>
              </w:rPr>
            </w:pPr>
          </w:p>
        </w:tc>
        <w:tc>
          <w:tcPr>
            <w:tcW w:w="980" w:type="pct"/>
            <w:vMerge/>
            <w:tcBorders>
              <w:top w:val="nil"/>
              <w:left w:val="nil"/>
              <w:bottom w:val="nil"/>
              <w:right w:val="nil"/>
            </w:tcBorders>
            <w:shd w:val="clear" w:color="auto" w:fill="F7A3B0"/>
          </w:tcPr>
          <w:p w14:paraId="750F7C84" w14:textId="77777777" w:rsidR="00F24935" w:rsidRPr="00894701" w:rsidRDefault="00F24935" w:rsidP="00BA29E5">
            <w:pPr>
              <w:spacing w:after="0" w:line="240" w:lineRule="auto"/>
              <w:ind w:right="78"/>
              <w:rPr>
                <w:rFonts w:asciiTheme="minorHAnsi" w:hAnsiTheme="minorHAnsi"/>
                <w:color w:val="000000"/>
                <w:kern w:val="0"/>
                <w:sz w:val="1"/>
                <w:szCs w:val="1"/>
                <w:lang w:val="en-GB"/>
              </w:rPr>
            </w:pPr>
          </w:p>
        </w:tc>
        <w:tc>
          <w:tcPr>
            <w:tcW w:w="57" w:type="pct"/>
            <w:vMerge/>
            <w:tcBorders>
              <w:top w:val="nil"/>
              <w:left w:val="nil"/>
              <w:bottom w:val="nil"/>
              <w:right w:val="single" w:sz="4" w:space="0" w:color="F65275"/>
            </w:tcBorders>
            <w:shd w:val="clear" w:color="auto" w:fill="F7A3B0"/>
          </w:tcPr>
          <w:p w14:paraId="6E28BBA7" w14:textId="77777777" w:rsidR="00F24935" w:rsidRPr="00894701" w:rsidRDefault="00F24935" w:rsidP="00BA29E5">
            <w:pPr>
              <w:spacing w:after="0" w:line="240" w:lineRule="auto"/>
              <w:ind w:right="78"/>
              <w:rPr>
                <w:rFonts w:asciiTheme="minorHAnsi" w:hAnsiTheme="minorHAnsi"/>
                <w:color w:val="000000"/>
                <w:kern w:val="0"/>
                <w:sz w:val="1"/>
                <w:szCs w:val="1"/>
                <w:lang w:val="en-GB"/>
              </w:rPr>
            </w:pPr>
          </w:p>
        </w:tc>
        <w:tc>
          <w:tcPr>
            <w:tcW w:w="60" w:type="pct"/>
            <w:vMerge/>
            <w:tcBorders>
              <w:top w:val="nil"/>
              <w:left w:val="single" w:sz="4" w:space="0" w:color="F65275"/>
              <w:bottom w:val="nil"/>
              <w:right w:val="nil"/>
            </w:tcBorders>
            <w:shd w:val="clear" w:color="auto" w:fill="F7A3B0"/>
          </w:tcPr>
          <w:p w14:paraId="2BB3DE7F" w14:textId="77777777" w:rsidR="00F24935" w:rsidRPr="00894701" w:rsidRDefault="00F24935" w:rsidP="00BA29E5">
            <w:pPr>
              <w:spacing w:after="0" w:line="240" w:lineRule="auto"/>
              <w:ind w:right="78"/>
              <w:rPr>
                <w:rFonts w:asciiTheme="minorHAnsi" w:hAnsiTheme="minorHAnsi"/>
                <w:color w:val="000000"/>
                <w:kern w:val="0"/>
                <w:sz w:val="1"/>
                <w:szCs w:val="1"/>
                <w:lang w:val="en-GB"/>
              </w:rPr>
            </w:pPr>
          </w:p>
        </w:tc>
        <w:tc>
          <w:tcPr>
            <w:tcW w:w="1519" w:type="pct"/>
            <w:vMerge/>
            <w:tcBorders>
              <w:left w:val="nil"/>
              <w:right w:val="single" w:sz="4" w:space="0" w:color="F65275"/>
            </w:tcBorders>
            <w:shd w:val="clear" w:color="auto" w:fill="F7A3B0"/>
          </w:tcPr>
          <w:p w14:paraId="69390DF2" w14:textId="7A09D586" w:rsidR="00F24935" w:rsidRPr="00894701" w:rsidRDefault="00F24935" w:rsidP="00BA29E5">
            <w:pPr>
              <w:spacing w:after="0" w:line="240" w:lineRule="exact"/>
              <w:ind w:right="78"/>
              <w:rPr>
                <w:rFonts w:asciiTheme="minorHAnsi" w:hAnsiTheme="minorHAnsi"/>
                <w:color w:val="000000"/>
                <w:kern w:val="0"/>
                <w:sz w:val="1"/>
                <w:szCs w:val="1"/>
                <w:lang w:val="en-GB"/>
              </w:rPr>
            </w:pPr>
          </w:p>
        </w:tc>
      </w:tr>
      <w:tr w:rsidR="00F24935" w:rsidRPr="00894701" w14:paraId="50065DDD" w14:textId="77777777" w:rsidTr="00F24935">
        <w:trPr>
          <w:trHeight w:val="88"/>
        </w:trPr>
        <w:tc>
          <w:tcPr>
            <w:tcW w:w="835" w:type="pct"/>
            <w:vMerge/>
            <w:tcBorders>
              <w:top w:val="nil"/>
              <w:left w:val="single" w:sz="4" w:space="0" w:color="F65275"/>
              <w:bottom w:val="nil"/>
              <w:right w:val="single" w:sz="4" w:space="0" w:color="F65275"/>
            </w:tcBorders>
            <w:shd w:val="clear" w:color="auto" w:fill="F7A3B0"/>
          </w:tcPr>
          <w:p w14:paraId="38D297D5" w14:textId="77777777" w:rsidR="00F24935" w:rsidRPr="00894701" w:rsidRDefault="00F24935" w:rsidP="00446B8D">
            <w:pPr>
              <w:spacing w:after="0" w:line="240" w:lineRule="auto"/>
              <w:rPr>
                <w:rFonts w:asciiTheme="minorHAnsi" w:hAnsiTheme="minorHAnsi"/>
                <w:color w:val="000000"/>
                <w:kern w:val="0"/>
                <w:sz w:val="1"/>
                <w:szCs w:val="1"/>
                <w:lang w:val="en-GB"/>
              </w:rPr>
            </w:pPr>
          </w:p>
        </w:tc>
        <w:tc>
          <w:tcPr>
            <w:tcW w:w="383" w:type="pct"/>
            <w:vMerge/>
            <w:tcBorders>
              <w:top w:val="nil"/>
              <w:left w:val="single" w:sz="4" w:space="0" w:color="F65275"/>
              <w:bottom w:val="nil"/>
              <w:right w:val="nil"/>
            </w:tcBorders>
            <w:shd w:val="clear" w:color="auto" w:fill="F7A3B0"/>
          </w:tcPr>
          <w:p w14:paraId="0217A504" w14:textId="77777777" w:rsidR="00F24935" w:rsidRPr="00894701" w:rsidRDefault="00F24935" w:rsidP="00446B8D">
            <w:pPr>
              <w:spacing w:after="0" w:line="240" w:lineRule="auto"/>
              <w:rPr>
                <w:rFonts w:asciiTheme="minorHAnsi" w:hAnsiTheme="minorHAnsi"/>
                <w:color w:val="000000"/>
                <w:kern w:val="0"/>
                <w:sz w:val="1"/>
                <w:szCs w:val="1"/>
                <w:lang w:val="en-GB"/>
              </w:rPr>
            </w:pPr>
          </w:p>
        </w:tc>
        <w:tc>
          <w:tcPr>
            <w:tcW w:w="1050" w:type="pct"/>
            <w:vMerge/>
            <w:tcBorders>
              <w:top w:val="nil"/>
              <w:left w:val="nil"/>
              <w:bottom w:val="nil"/>
              <w:right w:val="nil"/>
            </w:tcBorders>
            <w:shd w:val="clear" w:color="auto" w:fill="F7A3B0"/>
          </w:tcPr>
          <w:p w14:paraId="60224DBD" w14:textId="77777777" w:rsidR="00F24935" w:rsidRPr="00894701" w:rsidRDefault="00F24935" w:rsidP="00446B8D">
            <w:pPr>
              <w:spacing w:after="0" w:line="240" w:lineRule="auto"/>
              <w:rPr>
                <w:rFonts w:asciiTheme="minorHAnsi" w:hAnsiTheme="minorHAnsi"/>
                <w:color w:val="000000"/>
                <w:kern w:val="0"/>
                <w:sz w:val="1"/>
                <w:szCs w:val="1"/>
                <w:lang w:val="en-GB"/>
              </w:rPr>
            </w:pPr>
          </w:p>
        </w:tc>
        <w:tc>
          <w:tcPr>
            <w:tcW w:w="56" w:type="pct"/>
            <w:vMerge/>
            <w:tcBorders>
              <w:top w:val="nil"/>
              <w:left w:val="nil"/>
              <w:bottom w:val="nil"/>
              <w:right w:val="single" w:sz="4" w:space="0" w:color="F65275"/>
            </w:tcBorders>
            <w:shd w:val="clear" w:color="auto" w:fill="F7A3B0"/>
          </w:tcPr>
          <w:p w14:paraId="1F0D29DA" w14:textId="77777777" w:rsidR="00F24935" w:rsidRPr="00894701" w:rsidRDefault="00F24935" w:rsidP="00BA29E5">
            <w:pPr>
              <w:spacing w:after="0" w:line="240" w:lineRule="auto"/>
              <w:ind w:right="78"/>
              <w:rPr>
                <w:rFonts w:asciiTheme="minorHAnsi" w:hAnsiTheme="minorHAnsi"/>
                <w:color w:val="000000"/>
                <w:kern w:val="0"/>
                <w:sz w:val="1"/>
                <w:szCs w:val="1"/>
                <w:lang w:val="en-GB"/>
              </w:rPr>
            </w:pPr>
          </w:p>
        </w:tc>
        <w:tc>
          <w:tcPr>
            <w:tcW w:w="60" w:type="pct"/>
            <w:vMerge/>
            <w:tcBorders>
              <w:top w:val="nil"/>
              <w:left w:val="single" w:sz="4" w:space="0" w:color="F65275"/>
              <w:bottom w:val="nil"/>
              <w:right w:val="nil"/>
            </w:tcBorders>
            <w:shd w:val="clear" w:color="auto" w:fill="F7A3B0"/>
          </w:tcPr>
          <w:p w14:paraId="570B40AC" w14:textId="77777777" w:rsidR="00F24935" w:rsidRPr="00894701" w:rsidRDefault="00F24935" w:rsidP="00BA29E5">
            <w:pPr>
              <w:spacing w:after="0" w:line="240" w:lineRule="auto"/>
              <w:ind w:right="78"/>
              <w:rPr>
                <w:rFonts w:asciiTheme="minorHAnsi" w:hAnsiTheme="minorHAnsi"/>
                <w:color w:val="000000"/>
                <w:kern w:val="0"/>
                <w:sz w:val="1"/>
                <w:szCs w:val="1"/>
                <w:lang w:val="en-GB"/>
              </w:rPr>
            </w:pPr>
          </w:p>
        </w:tc>
        <w:tc>
          <w:tcPr>
            <w:tcW w:w="980" w:type="pct"/>
            <w:tcBorders>
              <w:top w:val="nil"/>
              <w:left w:val="nil"/>
              <w:bottom w:val="nil"/>
              <w:right w:val="nil"/>
            </w:tcBorders>
            <w:shd w:val="clear" w:color="auto" w:fill="F7A3B0"/>
          </w:tcPr>
          <w:p w14:paraId="65BCF454" w14:textId="77777777" w:rsidR="00F24935" w:rsidRPr="00894701" w:rsidRDefault="00F24935" w:rsidP="00BA29E5">
            <w:pPr>
              <w:spacing w:after="0" w:line="240" w:lineRule="auto"/>
              <w:ind w:right="78"/>
              <w:rPr>
                <w:rFonts w:asciiTheme="minorHAnsi" w:hAnsiTheme="minorHAnsi"/>
                <w:color w:val="000000"/>
                <w:kern w:val="0"/>
                <w:sz w:val="1"/>
                <w:szCs w:val="1"/>
                <w:lang w:val="en-GB"/>
              </w:rPr>
            </w:pPr>
          </w:p>
        </w:tc>
        <w:tc>
          <w:tcPr>
            <w:tcW w:w="57" w:type="pct"/>
            <w:vMerge/>
            <w:tcBorders>
              <w:top w:val="nil"/>
              <w:left w:val="nil"/>
              <w:bottom w:val="nil"/>
              <w:right w:val="single" w:sz="4" w:space="0" w:color="F65275"/>
            </w:tcBorders>
            <w:shd w:val="clear" w:color="auto" w:fill="F7A3B0"/>
          </w:tcPr>
          <w:p w14:paraId="1CF61F4C" w14:textId="77777777" w:rsidR="00F24935" w:rsidRPr="00894701" w:rsidRDefault="00F24935" w:rsidP="00BA29E5">
            <w:pPr>
              <w:spacing w:after="0" w:line="240" w:lineRule="auto"/>
              <w:ind w:right="78"/>
              <w:rPr>
                <w:rFonts w:asciiTheme="minorHAnsi" w:hAnsiTheme="minorHAnsi"/>
                <w:color w:val="000000"/>
                <w:kern w:val="0"/>
                <w:sz w:val="1"/>
                <w:szCs w:val="1"/>
                <w:lang w:val="en-GB"/>
              </w:rPr>
            </w:pPr>
          </w:p>
        </w:tc>
        <w:tc>
          <w:tcPr>
            <w:tcW w:w="60" w:type="pct"/>
            <w:vMerge/>
            <w:tcBorders>
              <w:top w:val="nil"/>
              <w:left w:val="single" w:sz="4" w:space="0" w:color="F65275"/>
              <w:bottom w:val="nil"/>
              <w:right w:val="nil"/>
            </w:tcBorders>
            <w:shd w:val="clear" w:color="auto" w:fill="F7A3B0"/>
          </w:tcPr>
          <w:p w14:paraId="291B65DA" w14:textId="77777777" w:rsidR="00F24935" w:rsidRPr="00894701" w:rsidRDefault="00F24935" w:rsidP="00BA29E5">
            <w:pPr>
              <w:spacing w:after="0" w:line="240" w:lineRule="auto"/>
              <w:ind w:right="78"/>
              <w:rPr>
                <w:rFonts w:asciiTheme="minorHAnsi" w:hAnsiTheme="minorHAnsi"/>
                <w:color w:val="000000"/>
                <w:kern w:val="0"/>
                <w:sz w:val="1"/>
                <w:szCs w:val="1"/>
                <w:lang w:val="en-GB"/>
              </w:rPr>
            </w:pPr>
          </w:p>
        </w:tc>
        <w:tc>
          <w:tcPr>
            <w:tcW w:w="1519" w:type="pct"/>
            <w:vMerge/>
            <w:tcBorders>
              <w:left w:val="nil"/>
              <w:right w:val="single" w:sz="4" w:space="0" w:color="F65275"/>
            </w:tcBorders>
            <w:shd w:val="clear" w:color="auto" w:fill="F7A3B0"/>
          </w:tcPr>
          <w:p w14:paraId="136976FC" w14:textId="0F100889" w:rsidR="00F24935" w:rsidRPr="00894701" w:rsidRDefault="00F24935" w:rsidP="00BA29E5">
            <w:pPr>
              <w:spacing w:after="0" w:line="240" w:lineRule="exact"/>
              <w:ind w:right="78"/>
              <w:rPr>
                <w:rFonts w:asciiTheme="minorHAnsi" w:hAnsiTheme="minorHAnsi"/>
                <w:color w:val="000000"/>
                <w:kern w:val="0"/>
                <w:sz w:val="1"/>
                <w:szCs w:val="1"/>
                <w:lang w:val="en-GB"/>
              </w:rPr>
            </w:pPr>
          </w:p>
        </w:tc>
      </w:tr>
      <w:tr w:rsidR="00F24935" w:rsidRPr="00894701" w14:paraId="4CC3A8C7" w14:textId="77777777" w:rsidTr="00F24935">
        <w:trPr>
          <w:trHeight w:val="280"/>
        </w:trPr>
        <w:tc>
          <w:tcPr>
            <w:tcW w:w="835" w:type="pct"/>
            <w:vMerge/>
            <w:tcBorders>
              <w:top w:val="nil"/>
              <w:left w:val="single" w:sz="4" w:space="0" w:color="F65275"/>
              <w:bottom w:val="nil"/>
              <w:right w:val="single" w:sz="4" w:space="0" w:color="F65275"/>
            </w:tcBorders>
            <w:shd w:val="clear" w:color="auto" w:fill="F7A3B0"/>
          </w:tcPr>
          <w:p w14:paraId="1F4BC998" w14:textId="77777777" w:rsidR="00F24935" w:rsidRPr="00894701" w:rsidRDefault="00F24935" w:rsidP="00446B8D">
            <w:pPr>
              <w:spacing w:after="0" w:line="240" w:lineRule="auto"/>
              <w:rPr>
                <w:rFonts w:asciiTheme="minorHAnsi" w:hAnsiTheme="minorHAnsi"/>
                <w:color w:val="auto"/>
                <w:kern w:val="0"/>
                <w:sz w:val="22"/>
                <w:lang w:val="en-GB"/>
              </w:rPr>
            </w:pPr>
          </w:p>
        </w:tc>
        <w:tc>
          <w:tcPr>
            <w:tcW w:w="383" w:type="pct"/>
            <w:vMerge/>
            <w:tcBorders>
              <w:top w:val="nil"/>
              <w:left w:val="single" w:sz="4" w:space="0" w:color="F65275"/>
              <w:bottom w:val="nil"/>
              <w:right w:val="nil"/>
            </w:tcBorders>
            <w:shd w:val="clear" w:color="auto" w:fill="F7A3B0"/>
          </w:tcPr>
          <w:p w14:paraId="39818BAF" w14:textId="77777777" w:rsidR="00F24935" w:rsidRPr="00894701" w:rsidRDefault="00F24935" w:rsidP="00446B8D">
            <w:pPr>
              <w:spacing w:after="0" w:line="240" w:lineRule="auto"/>
              <w:rPr>
                <w:rFonts w:asciiTheme="minorHAnsi" w:hAnsiTheme="minorHAnsi"/>
                <w:color w:val="000000"/>
                <w:kern w:val="0"/>
                <w:sz w:val="1"/>
                <w:szCs w:val="1"/>
                <w:lang w:val="en-GB"/>
              </w:rPr>
            </w:pPr>
          </w:p>
        </w:tc>
        <w:tc>
          <w:tcPr>
            <w:tcW w:w="1050" w:type="pct"/>
            <w:tcBorders>
              <w:top w:val="nil"/>
              <w:left w:val="nil"/>
              <w:bottom w:val="nil"/>
              <w:right w:val="nil"/>
            </w:tcBorders>
            <w:shd w:val="clear" w:color="auto" w:fill="F7A3B0"/>
          </w:tcPr>
          <w:p w14:paraId="39D88CA5" w14:textId="77777777" w:rsidR="00F24935" w:rsidRPr="00894701" w:rsidRDefault="00F24935" w:rsidP="00446B8D">
            <w:pPr>
              <w:spacing w:after="0" w:line="240" w:lineRule="auto"/>
              <w:rPr>
                <w:rFonts w:asciiTheme="minorHAnsi" w:hAnsiTheme="minorHAnsi"/>
                <w:color w:val="auto"/>
                <w:kern w:val="0"/>
                <w:sz w:val="22"/>
                <w:lang w:val="en-GB"/>
              </w:rPr>
            </w:pPr>
          </w:p>
        </w:tc>
        <w:tc>
          <w:tcPr>
            <w:tcW w:w="56" w:type="pct"/>
            <w:vMerge/>
            <w:tcBorders>
              <w:top w:val="nil"/>
              <w:left w:val="nil"/>
              <w:bottom w:val="nil"/>
              <w:right w:val="single" w:sz="4" w:space="0" w:color="F65275"/>
            </w:tcBorders>
            <w:shd w:val="clear" w:color="auto" w:fill="F7A3B0"/>
          </w:tcPr>
          <w:p w14:paraId="43986823" w14:textId="77777777" w:rsidR="00F24935" w:rsidRPr="00894701" w:rsidRDefault="00F24935" w:rsidP="00BA29E5">
            <w:pPr>
              <w:spacing w:after="0" w:line="240" w:lineRule="auto"/>
              <w:ind w:right="78"/>
              <w:rPr>
                <w:rFonts w:asciiTheme="minorHAnsi" w:hAnsiTheme="minorHAnsi"/>
                <w:color w:val="000000"/>
                <w:kern w:val="0"/>
                <w:sz w:val="1"/>
                <w:szCs w:val="1"/>
                <w:lang w:val="en-GB"/>
              </w:rPr>
            </w:pPr>
          </w:p>
        </w:tc>
        <w:tc>
          <w:tcPr>
            <w:tcW w:w="1097" w:type="pct"/>
            <w:gridSpan w:val="3"/>
            <w:vMerge w:val="restart"/>
            <w:tcBorders>
              <w:top w:val="nil"/>
              <w:left w:val="single" w:sz="4" w:space="0" w:color="F65275"/>
              <w:bottom w:val="nil"/>
              <w:right w:val="single" w:sz="4" w:space="0" w:color="F65275"/>
            </w:tcBorders>
            <w:shd w:val="clear" w:color="auto" w:fill="F7A3B0"/>
          </w:tcPr>
          <w:p w14:paraId="48DFEA85" w14:textId="77777777" w:rsidR="00F24935" w:rsidRPr="00894701" w:rsidRDefault="00F24935" w:rsidP="00BA29E5">
            <w:pPr>
              <w:spacing w:after="0" w:line="240" w:lineRule="auto"/>
              <w:ind w:right="78"/>
              <w:rPr>
                <w:rFonts w:asciiTheme="minorHAnsi" w:hAnsiTheme="minorHAnsi"/>
                <w:color w:val="auto"/>
                <w:kern w:val="0"/>
                <w:sz w:val="22"/>
                <w:lang w:val="en-GB"/>
              </w:rPr>
            </w:pPr>
          </w:p>
        </w:tc>
        <w:tc>
          <w:tcPr>
            <w:tcW w:w="60" w:type="pct"/>
            <w:vMerge/>
            <w:tcBorders>
              <w:top w:val="nil"/>
              <w:left w:val="single" w:sz="4" w:space="0" w:color="F65275"/>
              <w:bottom w:val="nil"/>
              <w:right w:val="nil"/>
            </w:tcBorders>
            <w:shd w:val="clear" w:color="auto" w:fill="F7A3B0"/>
          </w:tcPr>
          <w:p w14:paraId="5134C80F" w14:textId="77777777" w:rsidR="00F24935" w:rsidRPr="00894701" w:rsidRDefault="00F24935" w:rsidP="00BA29E5">
            <w:pPr>
              <w:spacing w:after="0" w:line="240" w:lineRule="auto"/>
              <w:ind w:right="78"/>
              <w:rPr>
                <w:rFonts w:asciiTheme="minorHAnsi" w:hAnsiTheme="minorHAnsi"/>
                <w:color w:val="000000"/>
                <w:kern w:val="0"/>
                <w:sz w:val="1"/>
                <w:szCs w:val="1"/>
                <w:lang w:val="en-GB"/>
              </w:rPr>
            </w:pPr>
          </w:p>
        </w:tc>
        <w:tc>
          <w:tcPr>
            <w:tcW w:w="1519" w:type="pct"/>
            <w:vMerge/>
            <w:tcBorders>
              <w:left w:val="nil"/>
              <w:right w:val="single" w:sz="4" w:space="0" w:color="F65275"/>
            </w:tcBorders>
            <w:shd w:val="clear" w:color="auto" w:fill="F7A3B0"/>
          </w:tcPr>
          <w:p w14:paraId="1DAB3958" w14:textId="539C3888" w:rsidR="00F24935" w:rsidRPr="00894701" w:rsidRDefault="00F24935" w:rsidP="00BA29E5">
            <w:pPr>
              <w:spacing w:after="0" w:line="240" w:lineRule="exact"/>
              <w:ind w:right="78"/>
              <w:rPr>
                <w:rFonts w:asciiTheme="minorHAnsi" w:hAnsiTheme="minorHAnsi"/>
                <w:color w:val="000000"/>
                <w:kern w:val="0"/>
                <w:sz w:val="1"/>
                <w:szCs w:val="1"/>
                <w:lang w:val="en-GB"/>
              </w:rPr>
            </w:pPr>
          </w:p>
        </w:tc>
      </w:tr>
      <w:tr w:rsidR="00F24935" w:rsidRPr="00894701" w14:paraId="56A687E2" w14:textId="77777777" w:rsidTr="00F24935">
        <w:trPr>
          <w:trHeight w:val="141"/>
        </w:trPr>
        <w:tc>
          <w:tcPr>
            <w:tcW w:w="835" w:type="pct"/>
            <w:vMerge/>
            <w:tcBorders>
              <w:top w:val="nil"/>
              <w:left w:val="single" w:sz="4" w:space="0" w:color="F65275"/>
              <w:bottom w:val="nil"/>
              <w:right w:val="single" w:sz="4" w:space="0" w:color="F65275"/>
            </w:tcBorders>
            <w:shd w:val="clear" w:color="auto" w:fill="F7A3B0"/>
          </w:tcPr>
          <w:p w14:paraId="092EC2E6" w14:textId="77777777" w:rsidR="00F24935" w:rsidRPr="00894701" w:rsidRDefault="00F24935" w:rsidP="00446B8D">
            <w:pPr>
              <w:spacing w:after="0" w:line="240" w:lineRule="auto"/>
              <w:rPr>
                <w:rFonts w:asciiTheme="minorHAnsi" w:hAnsiTheme="minorHAnsi"/>
                <w:color w:val="000000"/>
                <w:kern w:val="0"/>
                <w:sz w:val="1"/>
                <w:szCs w:val="1"/>
                <w:lang w:val="en-GB"/>
              </w:rPr>
            </w:pPr>
          </w:p>
        </w:tc>
        <w:tc>
          <w:tcPr>
            <w:tcW w:w="1489" w:type="pct"/>
            <w:gridSpan w:val="3"/>
            <w:vMerge w:val="restart"/>
            <w:tcBorders>
              <w:top w:val="nil"/>
              <w:left w:val="single" w:sz="4" w:space="0" w:color="F65275"/>
              <w:bottom w:val="nil"/>
              <w:right w:val="single" w:sz="4" w:space="0" w:color="F65275"/>
            </w:tcBorders>
            <w:shd w:val="clear" w:color="auto" w:fill="F7A3B0"/>
          </w:tcPr>
          <w:p w14:paraId="61F7948B" w14:textId="77777777" w:rsidR="00F24935" w:rsidRPr="00894701" w:rsidRDefault="00F24935" w:rsidP="00BA29E5">
            <w:pPr>
              <w:spacing w:after="0" w:line="240" w:lineRule="auto"/>
              <w:ind w:right="78"/>
              <w:rPr>
                <w:rFonts w:asciiTheme="minorHAnsi" w:hAnsiTheme="minorHAnsi"/>
                <w:color w:val="000000"/>
                <w:kern w:val="0"/>
                <w:sz w:val="1"/>
                <w:szCs w:val="1"/>
                <w:lang w:val="en-GB"/>
              </w:rPr>
            </w:pPr>
          </w:p>
        </w:tc>
        <w:tc>
          <w:tcPr>
            <w:tcW w:w="1097" w:type="pct"/>
            <w:gridSpan w:val="3"/>
            <w:vMerge/>
            <w:tcBorders>
              <w:top w:val="nil"/>
              <w:left w:val="single" w:sz="4" w:space="0" w:color="F65275"/>
              <w:bottom w:val="nil"/>
              <w:right w:val="single" w:sz="4" w:space="0" w:color="F65275"/>
            </w:tcBorders>
            <w:shd w:val="clear" w:color="auto" w:fill="F7A3B0"/>
          </w:tcPr>
          <w:p w14:paraId="720A9207" w14:textId="77777777" w:rsidR="00F24935" w:rsidRPr="00894701" w:rsidRDefault="00F24935" w:rsidP="00BA29E5">
            <w:pPr>
              <w:spacing w:after="0" w:line="240" w:lineRule="auto"/>
              <w:ind w:right="78"/>
              <w:rPr>
                <w:rFonts w:asciiTheme="minorHAnsi" w:hAnsiTheme="minorHAnsi"/>
                <w:color w:val="000000"/>
                <w:kern w:val="0"/>
                <w:sz w:val="1"/>
                <w:szCs w:val="1"/>
                <w:lang w:val="en-GB"/>
              </w:rPr>
            </w:pPr>
          </w:p>
        </w:tc>
        <w:tc>
          <w:tcPr>
            <w:tcW w:w="60" w:type="pct"/>
            <w:vMerge/>
            <w:tcBorders>
              <w:top w:val="nil"/>
              <w:left w:val="single" w:sz="4" w:space="0" w:color="F65275"/>
              <w:bottom w:val="single" w:sz="4" w:space="0" w:color="F65275"/>
              <w:right w:val="nil"/>
            </w:tcBorders>
            <w:shd w:val="clear" w:color="auto" w:fill="F7A3B0"/>
          </w:tcPr>
          <w:p w14:paraId="1A910836" w14:textId="77777777" w:rsidR="00F24935" w:rsidRPr="00894701" w:rsidRDefault="00F24935" w:rsidP="00BA29E5">
            <w:pPr>
              <w:spacing w:after="0" w:line="240" w:lineRule="auto"/>
              <w:ind w:right="78"/>
              <w:rPr>
                <w:rFonts w:asciiTheme="minorHAnsi" w:hAnsiTheme="minorHAnsi"/>
                <w:color w:val="000000"/>
                <w:kern w:val="0"/>
                <w:sz w:val="1"/>
                <w:szCs w:val="1"/>
                <w:lang w:val="en-GB"/>
              </w:rPr>
            </w:pPr>
          </w:p>
        </w:tc>
        <w:tc>
          <w:tcPr>
            <w:tcW w:w="1519" w:type="pct"/>
            <w:vMerge/>
            <w:tcBorders>
              <w:left w:val="nil"/>
              <w:right w:val="single" w:sz="4" w:space="0" w:color="F65275"/>
            </w:tcBorders>
            <w:shd w:val="clear" w:color="auto" w:fill="F7A3B0"/>
          </w:tcPr>
          <w:p w14:paraId="71B20CEB" w14:textId="460A64EC" w:rsidR="00F24935" w:rsidRPr="00894701" w:rsidRDefault="00F24935" w:rsidP="00BA29E5">
            <w:pPr>
              <w:spacing w:after="0" w:line="240" w:lineRule="exact"/>
              <w:ind w:right="78"/>
              <w:rPr>
                <w:rFonts w:asciiTheme="minorHAnsi" w:hAnsiTheme="minorHAnsi"/>
                <w:color w:val="000000"/>
                <w:kern w:val="0"/>
                <w:sz w:val="1"/>
                <w:szCs w:val="1"/>
                <w:lang w:val="en-GB"/>
              </w:rPr>
            </w:pPr>
          </w:p>
        </w:tc>
      </w:tr>
      <w:tr w:rsidR="00F24935" w:rsidRPr="00894701" w14:paraId="6F2C05C3" w14:textId="77777777" w:rsidTr="00F24935">
        <w:trPr>
          <w:trHeight w:val="249"/>
        </w:trPr>
        <w:tc>
          <w:tcPr>
            <w:tcW w:w="835" w:type="pct"/>
            <w:vMerge/>
            <w:tcBorders>
              <w:top w:val="nil"/>
              <w:left w:val="single" w:sz="4" w:space="0" w:color="F65275"/>
              <w:bottom w:val="single" w:sz="2" w:space="0" w:color="FF0000"/>
              <w:right w:val="single" w:sz="4" w:space="0" w:color="F65275"/>
            </w:tcBorders>
            <w:shd w:val="clear" w:color="auto" w:fill="F7A3B0"/>
          </w:tcPr>
          <w:p w14:paraId="4DB7D453" w14:textId="77777777" w:rsidR="00F24935" w:rsidRPr="00894701" w:rsidRDefault="00F24935" w:rsidP="00446B8D">
            <w:pPr>
              <w:spacing w:after="0" w:line="240" w:lineRule="auto"/>
              <w:rPr>
                <w:rFonts w:asciiTheme="minorHAnsi" w:hAnsiTheme="minorHAnsi"/>
                <w:color w:val="auto"/>
                <w:kern w:val="0"/>
                <w:sz w:val="22"/>
                <w:lang w:val="en-GB"/>
              </w:rPr>
            </w:pPr>
          </w:p>
        </w:tc>
        <w:tc>
          <w:tcPr>
            <w:tcW w:w="1489" w:type="pct"/>
            <w:gridSpan w:val="3"/>
            <w:vMerge/>
            <w:tcBorders>
              <w:top w:val="nil"/>
              <w:left w:val="single" w:sz="4" w:space="0" w:color="F65275"/>
              <w:bottom w:val="nil"/>
              <w:right w:val="single" w:sz="4" w:space="0" w:color="F65275"/>
            </w:tcBorders>
            <w:shd w:val="clear" w:color="auto" w:fill="F7A3B0"/>
          </w:tcPr>
          <w:p w14:paraId="20594B39" w14:textId="77777777" w:rsidR="00F24935" w:rsidRPr="00894701" w:rsidRDefault="00F24935" w:rsidP="00BA29E5">
            <w:pPr>
              <w:spacing w:after="0" w:line="240" w:lineRule="auto"/>
              <w:ind w:right="78"/>
              <w:rPr>
                <w:rFonts w:asciiTheme="minorHAnsi" w:hAnsiTheme="minorHAnsi"/>
                <w:color w:val="auto"/>
                <w:kern w:val="0"/>
                <w:sz w:val="22"/>
                <w:lang w:val="en-GB"/>
              </w:rPr>
            </w:pPr>
          </w:p>
        </w:tc>
        <w:tc>
          <w:tcPr>
            <w:tcW w:w="1097" w:type="pct"/>
            <w:gridSpan w:val="3"/>
            <w:vMerge/>
            <w:tcBorders>
              <w:top w:val="nil"/>
              <w:left w:val="single" w:sz="4" w:space="0" w:color="F65275"/>
              <w:bottom w:val="nil"/>
              <w:right w:val="single" w:sz="4" w:space="0" w:color="F65275"/>
            </w:tcBorders>
            <w:shd w:val="clear" w:color="auto" w:fill="F7A3B0"/>
          </w:tcPr>
          <w:p w14:paraId="1CA77FBC" w14:textId="77777777" w:rsidR="00F24935" w:rsidRPr="00894701" w:rsidRDefault="00F24935" w:rsidP="00BA29E5">
            <w:pPr>
              <w:spacing w:after="0" w:line="240" w:lineRule="auto"/>
              <w:ind w:right="78"/>
              <w:rPr>
                <w:rFonts w:asciiTheme="minorHAnsi" w:hAnsiTheme="minorHAnsi"/>
                <w:color w:val="auto"/>
                <w:kern w:val="0"/>
                <w:sz w:val="22"/>
                <w:lang w:val="en-GB"/>
              </w:rPr>
            </w:pPr>
          </w:p>
        </w:tc>
        <w:tc>
          <w:tcPr>
            <w:tcW w:w="60" w:type="pct"/>
            <w:tcBorders>
              <w:top w:val="single" w:sz="4" w:space="0" w:color="F65275"/>
              <w:left w:val="single" w:sz="4" w:space="0" w:color="F65275"/>
              <w:bottom w:val="nil"/>
              <w:right w:val="nil"/>
            </w:tcBorders>
            <w:shd w:val="clear" w:color="auto" w:fill="F7A3B0"/>
          </w:tcPr>
          <w:p w14:paraId="60DC0159" w14:textId="77777777" w:rsidR="00F24935" w:rsidRPr="00894701" w:rsidRDefault="00F24935" w:rsidP="00BA29E5">
            <w:pPr>
              <w:spacing w:after="0" w:line="240" w:lineRule="auto"/>
              <w:ind w:right="78"/>
              <w:rPr>
                <w:rFonts w:asciiTheme="minorHAnsi" w:hAnsiTheme="minorHAnsi"/>
                <w:color w:val="000000"/>
                <w:kern w:val="0"/>
                <w:sz w:val="1"/>
                <w:szCs w:val="1"/>
                <w:lang w:val="en-GB"/>
              </w:rPr>
            </w:pPr>
          </w:p>
        </w:tc>
        <w:tc>
          <w:tcPr>
            <w:tcW w:w="1519" w:type="pct"/>
            <w:vMerge/>
            <w:tcBorders>
              <w:left w:val="nil"/>
              <w:bottom w:val="nil"/>
              <w:right w:val="single" w:sz="4" w:space="0" w:color="F65275"/>
            </w:tcBorders>
            <w:shd w:val="clear" w:color="auto" w:fill="F7A3B0"/>
          </w:tcPr>
          <w:p w14:paraId="111F0C6A" w14:textId="13D65C5E" w:rsidR="00F24935" w:rsidRPr="00894701" w:rsidRDefault="00F24935" w:rsidP="00BA29E5">
            <w:pPr>
              <w:spacing w:after="0" w:line="240" w:lineRule="exact"/>
              <w:ind w:right="78"/>
              <w:rPr>
                <w:rFonts w:asciiTheme="minorHAnsi" w:hAnsiTheme="minorHAnsi"/>
                <w:color w:val="010302"/>
                <w:kern w:val="0"/>
                <w:sz w:val="22"/>
                <w:lang w:val="en-GB"/>
              </w:rPr>
            </w:pPr>
          </w:p>
        </w:tc>
      </w:tr>
      <w:tr w:rsidR="00CA282D" w:rsidRPr="00894701" w14:paraId="3415AB02" w14:textId="77777777" w:rsidTr="0019705E">
        <w:trPr>
          <w:trHeight w:val="2164"/>
        </w:trPr>
        <w:tc>
          <w:tcPr>
            <w:tcW w:w="835" w:type="pct"/>
            <w:vMerge w:val="restart"/>
            <w:tcBorders>
              <w:top w:val="single" w:sz="2" w:space="0" w:color="FF0000"/>
              <w:left w:val="single" w:sz="2" w:space="0" w:color="FF0000"/>
              <w:bottom w:val="single" w:sz="2" w:space="0" w:color="FF0000"/>
              <w:right w:val="single" w:sz="2" w:space="0" w:color="FF0000"/>
            </w:tcBorders>
          </w:tcPr>
          <w:p w14:paraId="06E60015" w14:textId="77777777" w:rsidR="00CA282D" w:rsidRPr="00894701" w:rsidRDefault="00CA282D" w:rsidP="00446B8D">
            <w:pPr>
              <w:spacing w:before="3705" w:after="0" w:line="240" w:lineRule="auto"/>
              <w:ind w:left="83"/>
              <w:rPr>
                <w:rFonts w:asciiTheme="minorHAnsi" w:hAnsiTheme="minorHAnsi"/>
                <w:color w:val="010302"/>
                <w:kern w:val="0"/>
                <w:sz w:val="22"/>
                <w:lang w:val="en-GB"/>
              </w:rPr>
            </w:pPr>
            <w:r w:rsidRPr="00894701">
              <w:rPr>
                <w:rFonts w:asciiTheme="minorHAnsi" w:hAnsiTheme="minorHAnsi" w:cs="TrebuchetMS-Bold"/>
                <w:b/>
                <w:bCs/>
                <w:color w:val="000000"/>
                <w:kern w:val="0"/>
                <w:szCs w:val="18"/>
              </w:rPr>
              <w:t xml:space="preserve">Royalty </w:t>
            </w:r>
          </w:p>
        </w:tc>
        <w:tc>
          <w:tcPr>
            <w:tcW w:w="1489" w:type="pct"/>
            <w:gridSpan w:val="3"/>
            <w:vMerge w:val="restart"/>
            <w:tcBorders>
              <w:top w:val="single" w:sz="4" w:space="0" w:color="F65275"/>
              <w:left w:val="single" w:sz="2" w:space="0" w:color="FF0000"/>
              <w:bottom w:val="nil"/>
              <w:right w:val="single" w:sz="4" w:space="0" w:color="F65275"/>
            </w:tcBorders>
          </w:tcPr>
          <w:p w14:paraId="409DCB05" w14:textId="77777777" w:rsidR="00CA282D" w:rsidRPr="00894701" w:rsidRDefault="00CA282D" w:rsidP="00BA29E5">
            <w:pPr>
              <w:spacing w:before="1470" w:after="0" w:line="229" w:lineRule="exact"/>
              <w:ind w:left="93" w:right="78"/>
              <w:rPr>
                <w:rFonts w:asciiTheme="minorHAnsi" w:hAnsiTheme="minorHAnsi"/>
                <w:color w:val="010302"/>
                <w:kern w:val="0"/>
                <w:sz w:val="22"/>
                <w:lang w:val="nl-NL"/>
              </w:rPr>
            </w:pPr>
            <w:r w:rsidRPr="00894701">
              <w:rPr>
                <w:rFonts w:asciiTheme="minorHAnsi" w:hAnsiTheme="minorHAnsi" w:cs="TrebuchetMS"/>
                <w:color w:val="000000"/>
                <w:kern w:val="0"/>
                <w:szCs w:val="18"/>
                <w:lang w:val="nl-NL"/>
              </w:rPr>
              <w:t xml:space="preserve">State decree </w:t>
            </w:r>
            <w:r w:rsidRPr="00894701">
              <w:rPr>
                <w:rFonts w:asciiTheme="minorHAnsi" w:hAnsiTheme="minorHAnsi"/>
                <w:color w:val="auto"/>
                <w:kern w:val="0"/>
                <w:sz w:val="22"/>
                <w:lang w:val="nl-NL"/>
              </w:rPr>
              <w:br w:type="textWrapping" w:clear="all"/>
            </w:r>
            <w:r w:rsidRPr="00894701">
              <w:rPr>
                <w:rFonts w:asciiTheme="minorHAnsi" w:hAnsiTheme="minorHAnsi" w:cs="TrebuchetMS-Italic"/>
                <w:i/>
                <w:iCs/>
                <w:color w:val="000000"/>
                <w:kern w:val="0"/>
                <w:szCs w:val="18"/>
                <w:lang w:val="nl-NL"/>
              </w:rPr>
              <w:t xml:space="preserve">(Staatsbesluit Royalty </w:t>
            </w:r>
            <w:r w:rsidRPr="00894701">
              <w:rPr>
                <w:rFonts w:asciiTheme="minorHAnsi" w:hAnsiTheme="minorHAnsi"/>
                <w:color w:val="auto"/>
                <w:kern w:val="0"/>
                <w:sz w:val="22"/>
                <w:lang w:val="nl-NL"/>
              </w:rPr>
              <w:br w:type="textWrapping" w:clear="all"/>
            </w:r>
            <w:r w:rsidRPr="00894701">
              <w:rPr>
                <w:rFonts w:asciiTheme="minorHAnsi" w:hAnsiTheme="minorHAnsi" w:cs="TrebuchetMS-Italic"/>
                <w:i/>
                <w:iCs/>
                <w:color w:val="000000"/>
                <w:kern w:val="0"/>
                <w:szCs w:val="18"/>
                <w:lang w:val="nl-NL"/>
              </w:rPr>
              <w:t xml:space="preserve">Kleinmijnbouw ter zake van Goud en </w:t>
            </w:r>
            <w:r w:rsidRPr="00894701">
              <w:rPr>
                <w:rFonts w:asciiTheme="minorHAnsi" w:hAnsiTheme="minorHAnsi" w:cs="TrebuchetMS-Italic"/>
                <w:i/>
                <w:iCs/>
                <w:color w:val="000000"/>
                <w:spacing w:val="-2"/>
                <w:kern w:val="0"/>
                <w:szCs w:val="18"/>
                <w:lang w:val="nl-NL"/>
              </w:rPr>
              <w:t>E</w:t>
            </w:r>
            <w:r w:rsidRPr="00894701">
              <w:rPr>
                <w:rFonts w:asciiTheme="minorHAnsi" w:hAnsiTheme="minorHAnsi" w:cs="TrebuchetMS-Italic"/>
                <w:i/>
                <w:iCs/>
                <w:color w:val="000000"/>
                <w:kern w:val="0"/>
                <w:szCs w:val="18"/>
                <w:lang w:val="nl-NL"/>
              </w:rPr>
              <w:t xml:space="preserve">xploitatie Bouwmaterialen)  </w:t>
            </w:r>
          </w:p>
        </w:tc>
        <w:tc>
          <w:tcPr>
            <w:tcW w:w="1097" w:type="pct"/>
            <w:gridSpan w:val="3"/>
            <w:tcBorders>
              <w:top w:val="single" w:sz="4" w:space="0" w:color="F65275"/>
              <w:left w:val="single" w:sz="4" w:space="0" w:color="F65275"/>
              <w:bottom w:val="single" w:sz="4" w:space="0" w:color="F65275"/>
              <w:right w:val="single" w:sz="4" w:space="0" w:color="F65275"/>
            </w:tcBorders>
          </w:tcPr>
          <w:p w14:paraId="00824ACC" w14:textId="77777777" w:rsidR="00CA282D" w:rsidRPr="00894701" w:rsidRDefault="00CA282D" w:rsidP="00BA29E5">
            <w:pPr>
              <w:spacing w:after="0" w:line="240" w:lineRule="exact"/>
              <w:ind w:left="93" w:right="78"/>
              <w:jc w:val="both"/>
              <w:rPr>
                <w:rFonts w:asciiTheme="minorHAnsi" w:hAnsiTheme="minorHAnsi"/>
                <w:color w:val="010302"/>
                <w:kern w:val="0"/>
                <w:sz w:val="22"/>
                <w:lang w:val="en-GB"/>
              </w:rPr>
            </w:pPr>
            <w:r w:rsidRPr="00894701">
              <w:rPr>
                <w:rFonts w:asciiTheme="minorHAnsi" w:hAnsiTheme="minorHAnsi" w:cs="TrebuchetMS"/>
                <w:color w:val="000000"/>
                <w:kern w:val="0"/>
                <w:szCs w:val="18"/>
              </w:rPr>
              <w:t xml:space="preserve">SB 2015/51 </w:t>
            </w:r>
          </w:p>
        </w:tc>
        <w:tc>
          <w:tcPr>
            <w:tcW w:w="1579" w:type="pct"/>
            <w:gridSpan w:val="2"/>
            <w:tcBorders>
              <w:top w:val="single" w:sz="4" w:space="0" w:color="F65275"/>
              <w:left w:val="single" w:sz="4" w:space="0" w:color="F65275"/>
              <w:bottom w:val="single" w:sz="4" w:space="0" w:color="F65275"/>
              <w:right w:val="single" w:sz="4" w:space="0" w:color="F65275"/>
            </w:tcBorders>
          </w:tcPr>
          <w:p w14:paraId="217C2EA1" w14:textId="2CD2BD82" w:rsidR="00CA282D" w:rsidRPr="00894701" w:rsidRDefault="00CA282D" w:rsidP="00BA29E5">
            <w:pPr>
              <w:tabs>
                <w:tab w:val="left" w:pos="2245"/>
              </w:tabs>
              <w:spacing w:after="0" w:line="240" w:lineRule="exact"/>
              <w:ind w:left="113" w:right="78"/>
              <w:jc w:val="both"/>
              <w:rPr>
                <w:rFonts w:asciiTheme="minorHAnsi" w:hAnsiTheme="minorHAnsi"/>
                <w:color w:val="010302"/>
                <w:kern w:val="0"/>
                <w:sz w:val="22"/>
                <w:lang w:val="en-GB"/>
              </w:rPr>
            </w:pPr>
            <w:r w:rsidRPr="00894701">
              <w:rPr>
                <w:rFonts w:asciiTheme="minorHAnsi" w:hAnsiTheme="minorHAnsi" w:cs="TrebuchetMS"/>
                <w:color w:val="000000"/>
                <w:kern w:val="0"/>
                <w:szCs w:val="18"/>
              </w:rPr>
              <w:t>According to the state decre</w:t>
            </w:r>
            <w:r w:rsidRPr="00894701">
              <w:rPr>
                <w:rFonts w:asciiTheme="minorHAnsi" w:hAnsiTheme="minorHAnsi" w:cs="TrebuchetMS"/>
                <w:color w:val="000000"/>
                <w:spacing w:val="-2"/>
                <w:kern w:val="0"/>
                <w:szCs w:val="18"/>
              </w:rPr>
              <w:t>e</w:t>
            </w:r>
            <w:r w:rsidRPr="00894701">
              <w:rPr>
                <w:rFonts w:asciiTheme="minorHAnsi" w:hAnsiTheme="minorHAnsi" w:cs="TrebuchetMS"/>
                <w:color w:val="000000"/>
                <w:kern w:val="0"/>
                <w:szCs w:val="18"/>
              </w:rPr>
              <w:t xml:space="preserve"> </w:t>
            </w:r>
            <w:r w:rsidRPr="00894701">
              <w:rPr>
                <w:rFonts w:asciiTheme="minorHAnsi" w:hAnsiTheme="minorHAnsi"/>
                <w:color w:val="auto"/>
                <w:kern w:val="0"/>
                <w:sz w:val="22"/>
              </w:rPr>
              <w:br w:type="textWrapping" w:clear="all"/>
            </w:r>
            <w:r w:rsidRPr="00894701">
              <w:rPr>
                <w:rFonts w:asciiTheme="minorHAnsi" w:hAnsiTheme="minorHAnsi" w:cs="TrebuchetMS"/>
                <w:color w:val="000000"/>
                <w:kern w:val="0"/>
                <w:szCs w:val="18"/>
              </w:rPr>
              <w:t xml:space="preserve">of 1997 the royalties for small </w:t>
            </w:r>
            <w:r w:rsidRPr="00894701">
              <w:rPr>
                <w:rFonts w:asciiTheme="minorHAnsi" w:hAnsiTheme="minorHAnsi"/>
                <w:color w:val="auto"/>
                <w:kern w:val="0"/>
                <w:sz w:val="22"/>
              </w:rPr>
              <w:br w:type="textWrapping" w:clear="all"/>
            </w:r>
            <w:r w:rsidRPr="00894701">
              <w:rPr>
                <w:rFonts w:asciiTheme="minorHAnsi" w:hAnsiTheme="minorHAnsi" w:cs="TrebuchetMS"/>
                <w:color w:val="000000"/>
                <w:kern w:val="0"/>
                <w:szCs w:val="18"/>
              </w:rPr>
              <w:t>scale</w:t>
            </w:r>
            <w:r w:rsidRPr="00894701">
              <w:rPr>
                <w:rFonts w:asciiTheme="minorHAnsi" w:hAnsiTheme="minorHAnsi" w:cs="TrebuchetMS"/>
                <w:color w:val="000000"/>
                <w:spacing w:val="34"/>
                <w:kern w:val="0"/>
                <w:szCs w:val="18"/>
              </w:rPr>
              <w:t xml:space="preserve"> </w:t>
            </w:r>
            <w:r w:rsidRPr="00894701">
              <w:rPr>
                <w:rFonts w:asciiTheme="minorHAnsi" w:hAnsiTheme="minorHAnsi" w:cs="TrebuchetMS"/>
                <w:color w:val="000000"/>
                <w:kern w:val="0"/>
                <w:szCs w:val="18"/>
              </w:rPr>
              <w:t>gold</w:t>
            </w:r>
            <w:r w:rsidRPr="00894701">
              <w:rPr>
                <w:rFonts w:asciiTheme="minorHAnsi" w:hAnsiTheme="minorHAnsi" w:cs="TrebuchetMS"/>
                <w:color w:val="000000"/>
                <w:spacing w:val="34"/>
                <w:kern w:val="0"/>
                <w:szCs w:val="18"/>
              </w:rPr>
              <w:t xml:space="preserve"> </w:t>
            </w:r>
            <w:r w:rsidRPr="00894701">
              <w:rPr>
                <w:rFonts w:asciiTheme="minorHAnsi" w:hAnsiTheme="minorHAnsi" w:cs="TrebuchetMS"/>
                <w:color w:val="000000"/>
                <w:kern w:val="0"/>
                <w:szCs w:val="18"/>
              </w:rPr>
              <w:t>mining</w:t>
            </w:r>
            <w:r w:rsidRPr="00894701">
              <w:rPr>
                <w:rFonts w:asciiTheme="minorHAnsi" w:hAnsiTheme="minorHAnsi" w:cs="TrebuchetMS"/>
                <w:color w:val="000000"/>
                <w:spacing w:val="34"/>
                <w:kern w:val="0"/>
                <w:szCs w:val="18"/>
              </w:rPr>
              <w:t xml:space="preserve"> </w:t>
            </w:r>
            <w:r w:rsidRPr="00894701">
              <w:rPr>
                <w:rFonts w:asciiTheme="minorHAnsi" w:hAnsiTheme="minorHAnsi" w:cs="TrebuchetMS"/>
                <w:color w:val="000000"/>
                <w:kern w:val="0"/>
                <w:szCs w:val="18"/>
              </w:rPr>
              <w:t>decreased</w:t>
            </w:r>
            <w:r w:rsidRPr="00894701">
              <w:rPr>
                <w:rFonts w:asciiTheme="minorHAnsi" w:hAnsiTheme="minorHAnsi" w:cs="TrebuchetMS"/>
                <w:color w:val="000000"/>
                <w:spacing w:val="34"/>
                <w:kern w:val="0"/>
                <w:szCs w:val="18"/>
              </w:rPr>
              <w:t xml:space="preserve"> </w:t>
            </w:r>
            <w:r w:rsidRPr="00894701">
              <w:rPr>
                <w:rFonts w:asciiTheme="minorHAnsi" w:hAnsiTheme="minorHAnsi" w:cs="TrebuchetMS"/>
                <w:color w:val="000000"/>
                <w:kern w:val="0"/>
                <w:szCs w:val="18"/>
              </w:rPr>
              <w:t xml:space="preserve">from </w:t>
            </w:r>
            <w:r w:rsidRPr="00894701">
              <w:rPr>
                <w:rFonts w:asciiTheme="minorHAnsi" w:hAnsiTheme="minorHAnsi"/>
                <w:color w:val="auto"/>
                <w:kern w:val="0"/>
                <w:sz w:val="22"/>
              </w:rPr>
              <w:br w:type="textWrapping" w:clear="all"/>
            </w:r>
            <w:r w:rsidRPr="00894701">
              <w:rPr>
                <w:rFonts w:asciiTheme="minorHAnsi" w:hAnsiTheme="minorHAnsi" w:cs="TrebuchetMS"/>
                <w:color w:val="000000"/>
                <w:kern w:val="0"/>
                <w:szCs w:val="18"/>
              </w:rPr>
              <w:t>3%</w:t>
            </w:r>
            <w:r w:rsidRPr="00894701">
              <w:rPr>
                <w:rFonts w:asciiTheme="minorHAnsi" w:hAnsiTheme="minorHAnsi" w:cs="TrebuchetMS"/>
                <w:color w:val="000000"/>
                <w:spacing w:val="48"/>
                <w:kern w:val="0"/>
                <w:szCs w:val="18"/>
              </w:rPr>
              <w:t xml:space="preserve"> </w:t>
            </w:r>
            <w:r w:rsidRPr="00894701">
              <w:rPr>
                <w:rFonts w:asciiTheme="minorHAnsi" w:hAnsiTheme="minorHAnsi"/>
                <w:color w:val="auto"/>
                <w:kern w:val="0"/>
                <w:szCs w:val="18"/>
              </w:rPr>
              <w:t xml:space="preserve">to </w:t>
            </w:r>
            <w:r w:rsidRPr="00894701">
              <w:rPr>
                <w:rFonts w:asciiTheme="minorHAnsi" w:hAnsiTheme="minorHAnsi" w:cs="TrebuchetMS"/>
                <w:color w:val="000000"/>
                <w:kern w:val="0"/>
                <w:szCs w:val="18"/>
              </w:rPr>
              <w:t>1%</w:t>
            </w:r>
            <w:r w:rsidRPr="00894701">
              <w:rPr>
                <w:rFonts w:asciiTheme="minorHAnsi" w:hAnsiTheme="minorHAnsi"/>
                <w:color w:val="auto"/>
                <w:kern w:val="0"/>
                <w:szCs w:val="18"/>
              </w:rPr>
              <w:t xml:space="preserve"> </w:t>
            </w:r>
            <w:r w:rsidRPr="00894701">
              <w:rPr>
                <w:rFonts w:asciiTheme="minorHAnsi" w:hAnsiTheme="minorHAnsi" w:cs="TrebuchetMS"/>
                <w:color w:val="000000"/>
                <w:kern w:val="0"/>
                <w:szCs w:val="18"/>
              </w:rPr>
              <w:t>in a bid</w:t>
            </w:r>
            <w:r w:rsidRPr="00894701">
              <w:rPr>
                <w:rFonts w:asciiTheme="minorHAnsi" w:hAnsiTheme="minorHAnsi" w:cs="TrebuchetMS"/>
                <w:color w:val="000000"/>
                <w:spacing w:val="48"/>
                <w:kern w:val="0"/>
                <w:szCs w:val="18"/>
              </w:rPr>
              <w:t xml:space="preserve"> </w:t>
            </w:r>
            <w:r w:rsidRPr="00894701">
              <w:rPr>
                <w:rFonts w:asciiTheme="minorHAnsi" w:hAnsiTheme="minorHAnsi" w:cs="TrebuchetMS"/>
                <w:color w:val="000000"/>
                <w:kern w:val="0"/>
                <w:szCs w:val="18"/>
              </w:rPr>
              <w:t>t</w:t>
            </w:r>
            <w:r w:rsidRPr="00894701">
              <w:rPr>
                <w:rFonts w:asciiTheme="minorHAnsi" w:hAnsiTheme="minorHAnsi" w:cs="TrebuchetMS"/>
                <w:color w:val="000000"/>
                <w:spacing w:val="-3"/>
                <w:kern w:val="0"/>
                <w:szCs w:val="18"/>
              </w:rPr>
              <w:t>o</w:t>
            </w:r>
            <w:r w:rsidRPr="00894701">
              <w:rPr>
                <w:rFonts w:asciiTheme="minorHAnsi" w:hAnsiTheme="minorHAnsi" w:cs="TrebuchetMS"/>
                <w:color w:val="000000"/>
                <w:kern w:val="0"/>
                <w:szCs w:val="18"/>
              </w:rPr>
              <w:t xml:space="preserve"> </w:t>
            </w:r>
            <w:r w:rsidRPr="00894701">
              <w:rPr>
                <w:rFonts w:asciiTheme="minorHAnsi" w:hAnsiTheme="minorHAnsi"/>
                <w:color w:val="auto"/>
                <w:kern w:val="0"/>
                <w:sz w:val="22"/>
              </w:rPr>
              <w:br w:type="textWrapping" w:clear="all"/>
            </w:r>
            <w:r w:rsidRPr="00894701">
              <w:rPr>
                <w:rFonts w:asciiTheme="minorHAnsi" w:hAnsiTheme="minorHAnsi" w:cs="TrebuchetMS"/>
                <w:color w:val="000000"/>
                <w:kern w:val="0"/>
                <w:szCs w:val="18"/>
              </w:rPr>
              <w:t>stimulate</w:t>
            </w:r>
            <w:r w:rsidRPr="00894701">
              <w:rPr>
                <w:rFonts w:asciiTheme="minorHAnsi" w:hAnsiTheme="minorHAnsi" w:cs="TrebuchetMS"/>
                <w:color w:val="000000"/>
                <w:spacing w:val="41"/>
                <w:kern w:val="0"/>
                <w:szCs w:val="18"/>
              </w:rPr>
              <w:t xml:space="preserve"> </w:t>
            </w:r>
            <w:r w:rsidRPr="00894701">
              <w:rPr>
                <w:rFonts w:asciiTheme="minorHAnsi" w:hAnsiTheme="minorHAnsi" w:cs="TrebuchetMS"/>
                <w:color w:val="000000"/>
                <w:kern w:val="0"/>
                <w:szCs w:val="18"/>
              </w:rPr>
              <w:t>growth</w:t>
            </w:r>
            <w:r w:rsidRPr="00894701">
              <w:rPr>
                <w:rFonts w:asciiTheme="minorHAnsi" w:hAnsiTheme="minorHAnsi" w:cs="TrebuchetMS"/>
                <w:color w:val="000000"/>
                <w:spacing w:val="41"/>
                <w:kern w:val="0"/>
                <w:szCs w:val="18"/>
              </w:rPr>
              <w:t xml:space="preserve"> </w:t>
            </w:r>
            <w:r w:rsidRPr="00894701">
              <w:rPr>
                <w:rFonts w:asciiTheme="minorHAnsi" w:hAnsiTheme="minorHAnsi" w:cs="TrebuchetMS"/>
                <w:color w:val="000000"/>
                <w:kern w:val="0"/>
                <w:szCs w:val="18"/>
              </w:rPr>
              <w:t>on</w:t>
            </w:r>
            <w:r w:rsidRPr="00894701">
              <w:rPr>
                <w:rFonts w:asciiTheme="minorHAnsi" w:hAnsiTheme="minorHAnsi" w:cs="TrebuchetMS"/>
                <w:color w:val="000000"/>
                <w:spacing w:val="41"/>
                <w:kern w:val="0"/>
                <w:szCs w:val="18"/>
              </w:rPr>
              <w:t xml:space="preserve"> </w:t>
            </w:r>
            <w:r w:rsidRPr="00894701">
              <w:rPr>
                <w:rFonts w:asciiTheme="minorHAnsi" w:hAnsiTheme="minorHAnsi" w:cs="TrebuchetMS"/>
                <w:color w:val="000000"/>
                <w:kern w:val="0"/>
                <w:szCs w:val="18"/>
              </w:rPr>
              <w:t xml:space="preserve">the </w:t>
            </w:r>
            <w:r w:rsidRPr="00894701">
              <w:rPr>
                <w:rFonts w:asciiTheme="minorHAnsi" w:hAnsiTheme="minorHAnsi"/>
                <w:color w:val="auto"/>
                <w:kern w:val="0"/>
                <w:sz w:val="22"/>
              </w:rPr>
              <w:br w:type="textWrapping" w:clear="all"/>
            </w:r>
            <w:r w:rsidRPr="00894701">
              <w:rPr>
                <w:rFonts w:asciiTheme="minorHAnsi" w:hAnsiTheme="minorHAnsi" w:cs="TrebuchetMS"/>
                <w:color w:val="000000"/>
                <w:kern w:val="0"/>
                <w:szCs w:val="18"/>
              </w:rPr>
              <w:t>sector. However, in the stat</w:t>
            </w:r>
            <w:r w:rsidRPr="00894701">
              <w:rPr>
                <w:rFonts w:asciiTheme="minorHAnsi" w:hAnsiTheme="minorHAnsi" w:cs="TrebuchetMS"/>
                <w:color w:val="000000"/>
                <w:spacing w:val="-2"/>
                <w:kern w:val="0"/>
                <w:szCs w:val="18"/>
              </w:rPr>
              <w:t>e</w:t>
            </w:r>
            <w:r w:rsidRPr="00894701">
              <w:rPr>
                <w:rFonts w:asciiTheme="minorHAnsi" w:hAnsiTheme="minorHAnsi" w:cs="TrebuchetMS"/>
                <w:color w:val="000000"/>
                <w:kern w:val="0"/>
                <w:szCs w:val="18"/>
              </w:rPr>
              <w:t xml:space="preserve"> </w:t>
            </w:r>
            <w:r w:rsidRPr="00894701">
              <w:rPr>
                <w:rFonts w:asciiTheme="minorHAnsi" w:hAnsiTheme="minorHAnsi"/>
                <w:color w:val="auto"/>
                <w:kern w:val="0"/>
                <w:sz w:val="22"/>
              </w:rPr>
              <w:br w:type="textWrapping" w:clear="all"/>
            </w:r>
            <w:r w:rsidRPr="00894701">
              <w:rPr>
                <w:rFonts w:asciiTheme="minorHAnsi" w:hAnsiTheme="minorHAnsi" w:cs="TrebuchetMS"/>
                <w:color w:val="000000"/>
                <w:kern w:val="0"/>
                <w:szCs w:val="18"/>
              </w:rPr>
              <w:t>decree</w:t>
            </w:r>
            <w:r w:rsidRPr="00894701">
              <w:rPr>
                <w:rFonts w:asciiTheme="minorHAnsi" w:hAnsiTheme="minorHAnsi" w:cs="TrebuchetMS"/>
                <w:color w:val="000000"/>
                <w:spacing w:val="5"/>
                <w:kern w:val="0"/>
                <w:szCs w:val="18"/>
              </w:rPr>
              <w:t xml:space="preserve"> </w:t>
            </w:r>
            <w:r w:rsidRPr="00894701">
              <w:rPr>
                <w:rFonts w:asciiTheme="minorHAnsi" w:hAnsiTheme="minorHAnsi"/>
                <w:color w:val="auto"/>
                <w:kern w:val="0"/>
                <w:szCs w:val="18"/>
              </w:rPr>
              <w:t xml:space="preserve">   </w:t>
            </w:r>
            <w:r w:rsidRPr="00894701">
              <w:rPr>
                <w:rFonts w:asciiTheme="minorHAnsi" w:hAnsiTheme="minorHAnsi" w:cs="TrebuchetMS"/>
                <w:color w:val="000000"/>
                <w:kern w:val="0"/>
                <w:szCs w:val="18"/>
              </w:rPr>
              <w:t>of</w:t>
            </w:r>
            <w:r w:rsidRPr="00894701">
              <w:rPr>
                <w:rFonts w:asciiTheme="minorHAnsi" w:hAnsiTheme="minorHAnsi" w:cs="TrebuchetMS"/>
                <w:color w:val="000000"/>
                <w:spacing w:val="5"/>
                <w:kern w:val="0"/>
                <w:szCs w:val="18"/>
              </w:rPr>
              <w:t xml:space="preserve"> </w:t>
            </w:r>
            <w:r w:rsidRPr="00894701">
              <w:rPr>
                <w:rFonts w:asciiTheme="minorHAnsi" w:hAnsiTheme="minorHAnsi"/>
                <w:color w:val="auto"/>
                <w:kern w:val="0"/>
                <w:szCs w:val="18"/>
              </w:rPr>
              <w:t xml:space="preserve">   </w:t>
            </w:r>
            <w:r w:rsidRPr="00894701">
              <w:rPr>
                <w:rFonts w:asciiTheme="minorHAnsi" w:hAnsiTheme="minorHAnsi" w:cs="TrebuchetMS"/>
                <w:color w:val="000000"/>
                <w:kern w:val="0"/>
                <w:szCs w:val="18"/>
              </w:rPr>
              <w:t>2015,</w:t>
            </w:r>
            <w:r w:rsidRPr="00894701">
              <w:rPr>
                <w:rFonts w:asciiTheme="minorHAnsi" w:hAnsiTheme="minorHAnsi" w:cs="TrebuchetMS"/>
                <w:color w:val="000000"/>
                <w:kern w:val="0"/>
                <w:szCs w:val="18"/>
              </w:rPr>
              <w:tab/>
              <w:t xml:space="preserve">this percentage increased from </w:t>
            </w:r>
            <w:r w:rsidRPr="00894701">
              <w:rPr>
                <w:rFonts w:asciiTheme="minorHAnsi" w:hAnsiTheme="minorHAnsi"/>
                <w:color w:val="auto"/>
                <w:kern w:val="0"/>
                <w:sz w:val="22"/>
              </w:rPr>
              <w:br w:type="textWrapping" w:clear="all"/>
            </w:r>
            <w:r w:rsidRPr="00894701">
              <w:rPr>
                <w:rFonts w:asciiTheme="minorHAnsi" w:hAnsiTheme="minorHAnsi" w:cs="TrebuchetMS"/>
                <w:color w:val="000000"/>
                <w:kern w:val="0"/>
                <w:szCs w:val="18"/>
              </w:rPr>
              <w:t xml:space="preserve">1% to 2.75%.  </w:t>
            </w:r>
          </w:p>
        </w:tc>
      </w:tr>
      <w:tr w:rsidR="00CA282D" w:rsidRPr="00894701" w14:paraId="5DF7429B" w14:textId="77777777" w:rsidTr="0019705E">
        <w:trPr>
          <w:trHeight w:val="972"/>
        </w:trPr>
        <w:tc>
          <w:tcPr>
            <w:tcW w:w="835" w:type="pct"/>
            <w:vMerge/>
            <w:tcBorders>
              <w:top w:val="single" w:sz="2" w:space="0" w:color="FF0000"/>
              <w:left w:val="single" w:sz="2" w:space="0" w:color="FF0000"/>
              <w:bottom w:val="single" w:sz="2" w:space="0" w:color="FF0000"/>
              <w:right w:val="single" w:sz="2" w:space="0" w:color="FF0000"/>
            </w:tcBorders>
          </w:tcPr>
          <w:p w14:paraId="3E4E4CDF" w14:textId="77777777" w:rsidR="00CA282D" w:rsidRPr="00894701" w:rsidRDefault="00CA282D" w:rsidP="00446B8D">
            <w:pPr>
              <w:spacing w:after="0" w:line="240" w:lineRule="auto"/>
              <w:rPr>
                <w:rFonts w:asciiTheme="minorHAnsi" w:hAnsiTheme="minorHAnsi"/>
                <w:color w:val="auto"/>
                <w:kern w:val="0"/>
                <w:sz w:val="22"/>
                <w:lang w:val="en-GB"/>
              </w:rPr>
            </w:pPr>
          </w:p>
        </w:tc>
        <w:tc>
          <w:tcPr>
            <w:tcW w:w="1489" w:type="pct"/>
            <w:gridSpan w:val="3"/>
            <w:vMerge/>
            <w:tcBorders>
              <w:top w:val="nil"/>
              <w:left w:val="single" w:sz="2" w:space="0" w:color="FF0000"/>
              <w:bottom w:val="nil"/>
              <w:right w:val="single" w:sz="4" w:space="0" w:color="F65275"/>
            </w:tcBorders>
          </w:tcPr>
          <w:p w14:paraId="5CE7E0BD" w14:textId="77777777" w:rsidR="00CA282D" w:rsidRPr="00894701" w:rsidRDefault="00CA282D" w:rsidP="00BA29E5">
            <w:pPr>
              <w:spacing w:after="0" w:line="240" w:lineRule="auto"/>
              <w:ind w:right="78"/>
              <w:rPr>
                <w:rFonts w:asciiTheme="minorHAnsi" w:hAnsiTheme="minorHAnsi"/>
                <w:color w:val="auto"/>
                <w:kern w:val="0"/>
                <w:sz w:val="22"/>
                <w:lang w:val="en-GB"/>
              </w:rPr>
            </w:pPr>
          </w:p>
        </w:tc>
        <w:tc>
          <w:tcPr>
            <w:tcW w:w="1097" w:type="pct"/>
            <w:gridSpan w:val="3"/>
            <w:tcBorders>
              <w:top w:val="single" w:sz="4" w:space="0" w:color="F65275"/>
              <w:left w:val="single" w:sz="4" w:space="0" w:color="F65275"/>
              <w:bottom w:val="single" w:sz="4" w:space="0" w:color="F65275"/>
              <w:right w:val="single" w:sz="4" w:space="0" w:color="F65275"/>
            </w:tcBorders>
          </w:tcPr>
          <w:p w14:paraId="46A58D06" w14:textId="77777777" w:rsidR="00CA282D" w:rsidRPr="00894701" w:rsidRDefault="00CA282D" w:rsidP="00BA29E5">
            <w:pPr>
              <w:spacing w:after="0" w:line="240" w:lineRule="exact"/>
              <w:ind w:left="93" w:right="78"/>
              <w:jc w:val="both"/>
              <w:rPr>
                <w:rFonts w:asciiTheme="minorHAnsi" w:hAnsiTheme="minorHAnsi"/>
                <w:color w:val="010302"/>
                <w:kern w:val="0"/>
                <w:sz w:val="22"/>
                <w:lang w:val="en-GB"/>
              </w:rPr>
            </w:pPr>
            <w:r w:rsidRPr="00894701">
              <w:rPr>
                <w:rFonts w:asciiTheme="minorHAnsi" w:hAnsiTheme="minorHAnsi" w:cs="TrebuchetMS"/>
                <w:color w:val="000000"/>
                <w:kern w:val="0"/>
                <w:szCs w:val="18"/>
              </w:rPr>
              <w:t xml:space="preserve">SB 2017/19  </w:t>
            </w:r>
          </w:p>
        </w:tc>
        <w:tc>
          <w:tcPr>
            <w:tcW w:w="1579" w:type="pct"/>
            <w:gridSpan w:val="2"/>
            <w:tcBorders>
              <w:top w:val="single" w:sz="4" w:space="0" w:color="F65275"/>
              <w:left w:val="single" w:sz="4" w:space="0" w:color="F65275"/>
              <w:bottom w:val="single" w:sz="4" w:space="0" w:color="F65275"/>
              <w:right w:val="single" w:sz="4" w:space="0" w:color="F65275"/>
            </w:tcBorders>
          </w:tcPr>
          <w:p w14:paraId="581FFB44" w14:textId="57CED6AC" w:rsidR="00CA282D" w:rsidRPr="00894701" w:rsidRDefault="00CA282D" w:rsidP="00BA29E5">
            <w:pPr>
              <w:spacing w:after="0" w:line="240" w:lineRule="exact"/>
              <w:ind w:left="113" w:right="78"/>
              <w:jc w:val="both"/>
              <w:rPr>
                <w:rFonts w:asciiTheme="minorHAnsi" w:hAnsiTheme="minorHAnsi"/>
                <w:color w:val="010302"/>
                <w:kern w:val="0"/>
                <w:sz w:val="22"/>
                <w:lang w:val="en-GB"/>
              </w:rPr>
            </w:pPr>
            <w:r w:rsidRPr="00894701">
              <w:rPr>
                <w:rFonts w:asciiTheme="minorHAnsi" w:hAnsiTheme="minorHAnsi" w:cs="TrebuchetMS"/>
                <w:color w:val="000000"/>
                <w:kern w:val="0"/>
                <w:szCs w:val="18"/>
              </w:rPr>
              <w:t>According to the state decre</w:t>
            </w:r>
            <w:r w:rsidRPr="00894701">
              <w:rPr>
                <w:rFonts w:asciiTheme="minorHAnsi" w:hAnsiTheme="minorHAnsi" w:cs="TrebuchetMS"/>
                <w:color w:val="000000"/>
                <w:spacing w:val="-2"/>
                <w:kern w:val="0"/>
                <w:szCs w:val="18"/>
              </w:rPr>
              <w:t>e</w:t>
            </w:r>
            <w:r w:rsidRPr="00894701">
              <w:rPr>
                <w:rFonts w:asciiTheme="minorHAnsi" w:hAnsiTheme="minorHAnsi" w:cs="TrebuchetMS"/>
                <w:color w:val="000000"/>
                <w:kern w:val="0"/>
                <w:szCs w:val="18"/>
              </w:rPr>
              <w:t xml:space="preserve"> </w:t>
            </w:r>
            <w:r w:rsidRPr="00894701">
              <w:rPr>
                <w:rFonts w:asciiTheme="minorHAnsi" w:hAnsiTheme="minorHAnsi"/>
                <w:color w:val="auto"/>
                <w:kern w:val="0"/>
                <w:sz w:val="22"/>
              </w:rPr>
              <w:br w:type="textWrapping" w:clear="all"/>
            </w:r>
            <w:r w:rsidRPr="00894701">
              <w:rPr>
                <w:rFonts w:asciiTheme="minorHAnsi" w:hAnsiTheme="minorHAnsi" w:cs="TrebuchetMS"/>
                <w:color w:val="000000"/>
                <w:kern w:val="0"/>
                <w:szCs w:val="18"/>
              </w:rPr>
              <w:t>of</w:t>
            </w:r>
            <w:r w:rsidRPr="00894701">
              <w:rPr>
                <w:rFonts w:asciiTheme="minorHAnsi" w:hAnsiTheme="minorHAnsi" w:cs="TrebuchetMS"/>
                <w:color w:val="000000"/>
                <w:spacing w:val="39"/>
                <w:kern w:val="0"/>
                <w:szCs w:val="18"/>
              </w:rPr>
              <w:t xml:space="preserve"> </w:t>
            </w:r>
            <w:r w:rsidRPr="00894701">
              <w:rPr>
                <w:rFonts w:asciiTheme="minorHAnsi" w:hAnsiTheme="minorHAnsi"/>
                <w:color w:val="auto"/>
                <w:kern w:val="0"/>
                <w:szCs w:val="18"/>
              </w:rPr>
              <w:t>2017</w:t>
            </w:r>
            <w:r w:rsidRPr="00894701">
              <w:rPr>
                <w:rFonts w:asciiTheme="minorHAnsi" w:hAnsiTheme="minorHAnsi" w:cs="TrebuchetMS"/>
                <w:color w:val="000000"/>
                <w:spacing w:val="39"/>
                <w:kern w:val="0"/>
                <w:szCs w:val="18"/>
              </w:rPr>
              <w:t xml:space="preserve"> </w:t>
            </w:r>
            <w:r w:rsidRPr="00894701">
              <w:rPr>
                <w:rFonts w:asciiTheme="minorHAnsi" w:hAnsiTheme="minorHAnsi" w:cs="TrebuchetMS"/>
                <w:color w:val="000000"/>
                <w:kern w:val="0"/>
                <w:szCs w:val="18"/>
              </w:rPr>
              <w:t>the</w:t>
            </w:r>
            <w:r w:rsidRPr="00894701">
              <w:rPr>
                <w:rFonts w:asciiTheme="minorHAnsi" w:hAnsiTheme="minorHAnsi"/>
                <w:color w:val="auto"/>
                <w:kern w:val="0"/>
                <w:szCs w:val="18"/>
              </w:rPr>
              <w:t xml:space="preserve"> </w:t>
            </w:r>
            <w:r w:rsidRPr="00894701">
              <w:rPr>
                <w:rFonts w:asciiTheme="minorHAnsi" w:hAnsiTheme="minorHAnsi" w:cs="TrebuchetMS"/>
                <w:color w:val="000000"/>
                <w:kern w:val="0"/>
                <w:szCs w:val="18"/>
              </w:rPr>
              <w:t>royalties</w:t>
            </w:r>
            <w:r w:rsidRPr="00894701">
              <w:rPr>
                <w:rFonts w:asciiTheme="minorHAnsi" w:hAnsiTheme="minorHAnsi" w:cs="TrebuchetMS"/>
                <w:color w:val="000000"/>
                <w:spacing w:val="41"/>
                <w:kern w:val="0"/>
                <w:szCs w:val="18"/>
              </w:rPr>
              <w:t xml:space="preserve"> </w:t>
            </w:r>
            <w:r w:rsidRPr="00894701">
              <w:rPr>
                <w:rFonts w:asciiTheme="minorHAnsi" w:hAnsiTheme="minorHAnsi" w:cs="TrebuchetMS"/>
                <w:color w:val="000000"/>
                <w:kern w:val="0"/>
                <w:szCs w:val="18"/>
              </w:rPr>
              <w:t xml:space="preserve">of </w:t>
            </w:r>
            <w:r w:rsidRPr="00894701">
              <w:rPr>
                <w:rFonts w:asciiTheme="minorHAnsi" w:hAnsiTheme="minorHAnsi"/>
                <w:color w:val="auto"/>
                <w:kern w:val="0"/>
                <w:sz w:val="22"/>
              </w:rPr>
              <w:br w:type="textWrapping" w:clear="all"/>
            </w:r>
            <w:r w:rsidRPr="00894701">
              <w:rPr>
                <w:rFonts w:asciiTheme="minorHAnsi" w:hAnsiTheme="minorHAnsi" w:cs="TrebuchetMS"/>
                <w:color w:val="000000"/>
                <w:kern w:val="0"/>
                <w:szCs w:val="18"/>
              </w:rPr>
              <w:t>building</w:t>
            </w:r>
            <w:r w:rsidRPr="00894701">
              <w:rPr>
                <w:rFonts w:asciiTheme="minorHAnsi" w:hAnsiTheme="minorHAnsi" w:cs="TrebuchetMS"/>
                <w:color w:val="000000"/>
                <w:spacing w:val="20"/>
                <w:kern w:val="0"/>
                <w:szCs w:val="18"/>
              </w:rPr>
              <w:t xml:space="preserve"> </w:t>
            </w:r>
            <w:r w:rsidRPr="00894701">
              <w:rPr>
                <w:rFonts w:asciiTheme="minorHAnsi" w:hAnsiTheme="minorHAnsi"/>
                <w:color w:val="auto"/>
                <w:kern w:val="0"/>
                <w:szCs w:val="18"/>
              </w:rPr>
              <w:t xml:space="preserve">  </w:t>
            </w:r>
            <w:r w:rsidRPr="00894701">
              <w:rPr>
                <w:rFonts w:asciiTheme="minorHAnsi" w:hAnsiTheme="minorHAnsi" w:cs="TrebuchetMS"/>
                <w:color w:val="000000"/>
                <w:kern w:val="0"/>
                <w:szCs w:val="18"/>
              </w:rPr>
              <w:t>materials</w:t>
            </w:r>
            <w:r w:rsidRPr="00894701">
              <w:rPr>
                <w:rFonts w:asciiTheme="minorHAnsi" w:hAnsiTheme="minorHAnsi" w:cs="TrebuchetMS"/>
                <w:color w:val="000000"/>
                <w:spacing w:val="20"/>
                <w:kern w:val="0"/>
                <w:szCs w:val="18"/>
              </w:rPr>
              <w:t xml:space="preserve"> </w:t>
            </w:r>
            <w:r w:rsidRPr="00894701">
              <w:rPr>
                <w:rFonts w:asciiTheme="minorHAnsi" w:hAnsiTheme="minorHAnsi"/>
                <w:color w:val="auto"/>
                <w:kern w:val="0"/>
                <w:szCs w:val="18"/>
              </w:rPr>
              <w:t xml:space="preserve">  </w:t>
            </w:r>
            <w:r w:rsidRPr="00894701">
              <w:rPr>
                <w:rFonts w:asciiTheme="minorHAnsi" w:hAnsiTheme="minorHAnsi" w:cs="TrebuchetMS"/>
                <w:color w:val="000000"/>
                <w:kern w:val="0"/>
                <w:szCs w:val="18"/>
              </w:rPr>
              <w:t xml:space="preserve">were </w:t>
            </w:r>
            <w:r w:rsidRPr="00894701">
              <w:rPr>
                <w:rFonts w:asciiTheme="minorHAnsi" w:hAnsiTheme="minorHAnsi"/>
                <w:color w:val="auto"/>
                <w:kern w:val="0"/>
                <w:sz w:val="22"/>
              </w:rPr>
              <w:br w:type="textWrapping" w:clear="all"/>
            </w:r>
            <w:r w:rsidRPr="00894701">
              <w:rPr>
                <w:rFonts w:asciiTheme="minorHAnsi" w:hAnsiTheme="minorHAnsi" w:cs="TrebuchetMS"/>
                <w:color w:val="000000"/>
                <w:kern w:val="0"/>
                <w:szCs w:val="18"/>
              </w:rPr>
              <w:t xml:space="preserve">raised. </w:t>
            </w:r>
          </w:p>
        </w:tc>
      </w:tr>
      <w:tr w:rsidR="00CA282D" w:rsidRPr="00894701" w14:paraId="65DAC226" w14:textId="77777777" w:rsidTr="0019705E">
        <w:trPr>
          <w:trHeight w:val="970"/>
        </w:trPr>
        <w:tc>
          <w:tcPr>
            <w:tcW w:w="835" w:type="pct"/>
            <w:vMerge/>
            <w:tcBorders>
              <w:top w:val="single" w:sz="2" w:space="0" w:color="FF0000"/>
              <w:left w:val="single" w:sz="2" w:space="0" w:color="FF0000"/>
              <w:bottom w:val="single" w:sz="2" w:space="0" w:color="FF0000"/>
              <w:right w:val="single" w:sz="2" w:space="0" w:color="FF0000"/>
            </w:tcBorders>
          </w:tcPr>
          <w:p w14:paraId="71C32B84" w14:textId="77777777" w:rsidR="00CA282D" w:rsidRPr="00894701" w:rsidRDefault="00CA282D" w:rsidP="00446B8D">
            <w:pPr>
              <w:spacing w:after="0" w:line="240" w:lineRule="auto"/>
              <w:rPr>
                <w:rFonts w:asciiTheme="minorHAnsi" w:hAnsiTheme="minorHAnsi"/>
                <w:color w:val="auto"/>
                <w:kern w:val="0"/>
                <w:sz w:val="22"/>
                <w:lang w:val="en-GB"/>
              </w:rPr>
            </w:pPr>
          </w:p>
        </w:tc>
        <w:tc>
          <w:tcPr>
            <w:tcW w:w="1489" w:type="pct"/>
            <w:gridSpan w:val="3"/>
            <w:vMerge/>
            <w:tcBorders>
              <w:top w:val="nil"/>
              <w:left w:val="single" w:sz="2" w:space="0" w:color="FF0000"/>
              <w:bottom w:val="single" w:sz="4" w:space="0" w:color="F65275"/>
              <w:right w:val="single" w:sz="4" w:space="0" w:color="F65275"/>
            </w:tcBorders>
          </w:tcPr>
          <w:p w14:paraId="676966C7" w14:textId="77777777" w:rsidR="00CA282D" w:rsidRPr="00894701" w:rsidRDefault="00CA282D" w:rsidP="00BA29E5">
            <w:pPr>
              <w:spacing w:after="0" w:line="240" w:lineRule="auto"/>
              <w:ind w:right="78"/>
              <w:rPr>
                <w:rFonts w:asciiTheme="minorHAnsi" w:hAnsiTheme="minorHAnsi"/>
                <w:color w:val="auto"/>
                <w:kern w:val="0"/>
                <w:sz w:val="22"/>
                <w:lang w:val="en-GB"/>
              </w:rPr>
            </w:pPr>
          </w:p>
        </w:tc>
        <w:tc>
          <w:tcPr>
            <w:tcW w:w="1097" w:type="pct"/>
            <w:gridSpan w:val="3"/>
            <w:tcBorders>
              <w:top w:val="single" w:sz="4" w:space="0" w:color="F65275"/>
              <w:left w:val="single" w:sz="4" w:space="0" w:color="F65275"/>
              <w:bottom w:val="single" w:sz="4" w:space="0" w:color="F65275"/>
              <w:right w:val="single" w:sz="4" w:space="0" w:color="F65275"/>
            </w:tcBorders>
          </w:tcPr>
          <w:p w14:paraId="5198DC00" w14:textId="07F5E2FC" w:rsidR="00CA282D" w:rsidRPr="00894701" w:rsidRDefault="00CA282D" w:rsidP="00BA29E5">
            <w:pPr>
              <w:spacing w:after="0" w:line="240" w:lineRule="exact"/>
              <w:ind w:left="93" w:right="78"/>
              <w:jc w:val="both"/>
              <w:rPr>
                <w:rFonts w:asciiTheme="minorHAnsi" w:hAnsiTheme="minorHAnsi"/>
                <w:color w:val="010302"/>
                <w:kern w:val="0"/>
                <w:sz w:val="22"/>
                <w:lang w:val="en-GB"/>
              </w:rPr>
            </w:pPr>
            <w:r w:rsidRPr="00894701">
              <w:rPr>
                <w:rFonts w:asciiTheme="minorHAnsi" w:hAnsiTheme="minorHAnsi" w:cs="TrebuchetMS"/>
                <w:color w:val="000000"/>
                <w:kern w:val="0"/>
                <w:szCs w:val="18"/>
              </w:rPr>
              <w:t>SB 2021</w:t>
            </w:r>
            <w:r w:rsidR="00CB162A" w:rsidRPr="00894701">
              <w:rPr>
                <w:rFonts w:asciiTheme="minorHAnsi" w:hAnsiTheme="minorHAnsi" w:cs="TrebuchetMS"/>
                <w:color w:val="000000"/>
                <w:kern w:val="0"/>
                <w:szCs w:val="18"/>
              </w:rPr>
              <w:t>/117</w:t>
            </w:r>
            <w:r w:rsidRPr="00894701">
              <w:rPr>
                <w:rFonts w:asciiTheme="minorHAnsi" w:hAnsiTheme="minorHAnsi" w:cs="TrebuchetMS"/>
                <w:color w:val="000000"/>
                <w:kern w:val="0"/>
                <w:szCs w:val="18"/>
              </w:rPr>
              <w:t xml:space="preserve"> </w:t>
            </w:r>
          </w:p>
        </w:tc>
        <w:tc>
          <w:tcPr>
            <w:tcW w:w="1579" w:type="pct"/>
            <w:gridSpan w:val="2"/>
            <w:tcBorders>
              <w:top w:val="single" w:sz="4" w:space="0" w:color="F65275"/>
              <w:left w:val="single" w:sz="4" w:space="0" w:color="F65275"/>
              <w:bottom w:val="single" w:sz="4" w:space="0" w:color="F65275"/>
              <w:right w:val="single" w:sz="4" w:space="0" w:color="F65275"/>
            </w:tcBorders>
          </w:tcPr>
          <w:p w14:paraId="703CC191" w14:textId="363FA05B" w:rsidR="00CA282D" w:rsidRPr="00894701" w:rsidRDefault="008A6113" w:rsidP="00BA29E5">
            <w:pPr>
              <w:spacing w:after="0" w:line="240" w:lineRule="exact"/>
              <w:ind w:left="113" w:right="78"/>
              <w:jc w:val="both"/>
              <w:rPr>
                <w:rFonts w:asciiTheme="minorHAnsi" w:hAnsiTheme="minorHAnsi"/>
                <w:color w:val="010302"/>
                <w:kern w:val="0"/>
                <w:sz w:val="22"/>
                <w:lang w:val="en-GB"/>
              </w:rPr>
            </w:pPr>
            <w:r w:rsidRPr="00894701">
              <w:rPr>
                <w:rFonts w:asciiTheme="minorHAnsi" w:hAnsiTheme="minorHAnsi" w:cs="TrebuchetMS"/>
                <w:color w:val="000000"/>
                <w:kern w:val="0"/>
                <w:szCs w:val="18"/>
              </w:rPr>
              <w:t>I</w:t>
            </w:r>
            <w:r w:rsidRPr="00894701">
              <w:rPr>
                <w:rFonts w:asciiTheme="minorHAnsi" w:hAnsiTheme="minorHAnsi" w:cs="TrebuchetMS"/>
                <w:color w:val="000000"/>
                <w:kern w:val="0"/>
              </w:rPr>
              <w:t>n accordance with t</w:t>
            </w:r>
            <w:r w:rsidR="00F80EC8" w:rsidRPr="00894701">
              <w:rPr>
                <w:rFonts w:asciiTheme="minorHAnsi" w:hAnsiTheme="minorHAnsi" w:cs="TrebuchetMS"/>
                <w:color w:val="000000"/>
                <w:kern w:val="0"/>
                <w:szCs w:val="18"/>
              </w:rPr>
              <w:t xml:space="preserve">he state decree signed </w:t>
            </w:r>
            <w:r w:rsidRPr="00894701">
              <w:rPr>
                <w:rFonts w:asciiTheme="minorHAnsi" w:hAnsiTheme="minorHAnsi" w:cs="TrebuchetMS"/>
                <w:color w:val="000000"/>
                <w:kern w:val="0"/>
                <w:szCs w:val="18"/>
              </w:rPr>
              <w:t>o</w:t>
            </w:r>
            <w:r w:rsidRPr="00894701">
              <w:rPr>
                <w:rFonts w:asciiTheme="minorHAnsi" w:hAnsiTheme="minorHAnsi" w:cs="TrebuchetMS"/>
                <w:color w:val="000000"/>
                <w:kern w:val="0"/>
              </w:rPr>
              <w:t>f</w:t>
            </w:r>
            <w:r w:rsidR="00F80EC8" w:rsidRPr="00894701">
              <w:rPr>
                <w:rFonts w:asciiTheme="minorHAnsi" w:hAnsiTheme="minorHAnsi" w:cs="TrebuchetMS"/>
                <w:color w:val="000000"/>
                <w:kern w:val="0"/>
                <w:szCs w:val="18"/>
              </w:rPr>
              <w:t xml:space="preserve"> 31 December 2021</w:t>
            </w:r>
            <w:r w:rsidRPr="00894701">
              <w:rPr>
                <w:rFonts w:asciiTheme="minorHAnsi" w:hAnsiTheme="minorHAnsi" w:cs="TrebuchetMS"/>
                <w:color w:val="000000"/>
                <w:kern w:val="0"/>
                <w:szCs w:val="18"/>
              </w:rPr>
              <w:t>,</w:t>
            </w:r>
            <w:r w:rsidR="00F80EC8" w:rsidRPr="00894701">
              <w:rPr>
                <w:rFonts w:asciiTheme="minorHAnsi" w:hAnsiTheme="minorHAnsi" w:cs="TrebuchetMS"/>
                <w:color w:val="000000"/>
                <w:kern w:val="0"/>
                <w:szCs w:val="18"/>
              </w:rPr>
              <w:t xml:space="preserve"> the royalties increased from 2.75% to 4.5% as of 1 January 2022.</w:t>
            </w:r>
            <w:r w:rsidR="00CA282D" w:rsidRPr="00894701">
              <w:rPr>
                <w:rFonts w:asciiTheme="minorHAnsi" w:hAnsiTheme="minorHAnsi" w:cs="TrebuchetMS"/>
                <w:color w:val="000000"/>
                <w:kern w:val="0"/>
                <w:szCs w:val="18"/>
              </w:rPr>
              <w:t xml:space="preserve"> </w:t>
            </w:r>
          </w:p>
        </w:tc>
      </w:tr>
      <w:tr w:rsidR="00CA282D" w:rsidRPr="00894701" w14:paraId="29334835" w14:textId="77777777" w:rsidTr="0019705E">
        <w:trPr>
          <w:trHeight w:val="132"/>
        </w:trPr>
        <w:tc>
          <w:tcPr>
            <w:tcW w:w="835" w:type="pct"/>
            <w:vMerge/>
            <w:tcBorders>
              <w:top w:val="single" w:sz="2" w:space="0" w:color="FF0000"/>
              <w:left w:val="single" w:sz="2" w:space="0" w:color="FF0000"/>
              <w:bottom w:val="single" w:sz="2" w:space="0" w:color="FF0000"/>
              <w:right w:val="single" w:sz="2" w:space="0" w:color="FF0000"/>
            </w:tcBorders>
          </w:tcPr>
          <w:p w14:paraId="145709FE" w14:textId="77777777" w:rsidR="00CA282D" w:rsidRPr="00894701" w:rsidRDefault="00CA282D" w:rsidP="00446B8D">
            <w:pPr>
              <w:spacing w:after="0" w:line="240" w:lineRule="auto"/>
              <w:rPr>
                <w:rFonts w:asciiTheme="minorHAnsi" w:hAnsiTheme="minorHAnsi"/>
                <w:color w:val="auto"/>
                <w:kern w:val="0"/>
                <w:sz w:val="22"/>
                <w:lang w:val="en-GB"/>
              </w:rPr>
            </w:pPr>
          </w:p>
        </w:tc>
        <w:tc>
          <w:tcPr>
            <w:tcW w:w="1489" w:type="pct"/>
            <w:gridSpan w:val="3"/>
            <w:tcBorders>
              <w:top w:val="single" w:sz="4" w:space="0" w:color="F65275"/>
              <w:left w:val="single" w:sz="2" w:space="0" w:color="FF0000"/>
              <w:bottom w:val="single" w:sz="4" w:space="0" w:color="F65275"/>
              <w:right w:val="single" w:sz="4" w:space="0" w:color="F65275"/>
            </w:tcBorders>
          </w:tcPr>
          <w:p w14:paraId="6A27151C" w14:textId="7D18756E" w:rsidR="00CA282D" w:rsidRPr="00894701" w:rsidRDefault="00CA282D" w:rsidP="00BA29E5">
            <w:pPr>
              <w:spacing w:after="0" w:line="240" w:lineRule="exact"/>
              <w:ind w:left="93" w:right="78"/>
              <w:rPr>
                <w:rFonts w:asciiTheme="minorHAnsi" w:hAnsiTheme="minorHAnsi"/>
                <w:color w:val="010302"/>
                <w:kern w:val="0"/>
                <w:sz w:val="22"/>
                <w:lang w:val="en-GB"/>
              </w:rPr>
            </w:pPr>
            <w:r w:rsidRPr="00894701">
              <w:rPr>
                <w:rFonts w:asciiTheme="minorHAnsi" w:hAnsiTheme="minorHAnsi" w:cs="TrebuchetMS"/>
                <w:color w:val="000000"/>
                <w:spacing w:val="-23"/>
                <w:kern w:val="0"/>
                <w:szCs w:val="18"/>
              </w:rPr>
              <w:t>T</w:t>
            </w:r>
            <w:r w:rsidRPr="00894701">
              <w:rPr>
                <w:rFonts w:asciiTheme="minorHAnsi" w:hAnsiTheme="minorHAnsi" w:cs="TrebuchetMS"/>
                <w:color w:val="000000"/>
                <w:kern w:val="0"/>
                <w:szCs w:val="18"/>
              </w:rPr>
              <w:t xml:space="preserve">ailored Mineral </w:t>
            </w:r>
            <w:r w:rsidRPr="00894701">
              <w:rPr>
                <w:rFonts w:asciiTheme="minorHAnsi" w:hAnsiTheme="minorHAnsi"/>
                <w:color w:val="auto"/>
                <w:kern w:val="0"/>
                <w:sz w:val="22"/>
              </w:rPr>
              <w:br w:type="textWrapping" w:clear="all"/>
            </w:r>
            <w:r w:rsidRPr="00894701">
              <w:rPr>
                <w:rFonts w:asciiTheme="minorHAnsi" w:hAnsiTheme="minorHAnsi" w:cs="TrebuchetMS"/>
                <w:color w:val="000000"/>
                <w:kern w:val="0"/>
                <w:szCs w:val="18"/>
              </w:rPr>
              <w:t xml:space="preserve">agreements merian </w:t>
            </w:r>
            <w:r w:rsidRPr="00894701">
              <w:rPr>
                <w:rFonts w:asciiTheme="minorHAnsi" w:hAnsiTheme="minorHAnsi"/>
                <w:color w:val="auto"/>
                <w:kern w:val="0"/>
                <w:sz w:val="22"/>
              </w:rPr>
              <w:br w:type="textWrapping" w:clear="all"/>
            </w:r>
            <w:r w:rsidRPr="00894701">
              <w:rPr>
                <w:rFonts w:asciiTheme="minorHAnsi" w:hAnsiTheme="minorHAnsi" w:cs="TrebuchetMS"/>
                <w:color w:val="000000"/>
                <w:kern w:val="0"/>
                <w:szCs w:val="18"/>
              </w:rPr>
              <w:t xml:space="preserve">project 2013 (law </w:t>
            </w:r>
            <w:r w:rsidR="00771C41" w:rsidRPr="00894701">
              <w:rPr>
                <w:rFonts w:asciiTheme="minorHAnsi" w:hAnsiTheme="minorHAnsi" w:cs="TrebuchetMS"/>
                <w:color w:val="000000"/>
                <w:kern w:val="0"/>
              </w:rPr>
              <w:t>b</w:t>
            </w:r>
            <w:r w:rsidRPr="00894701">
              <w:rPr>
                <w:rFonts w:asciiTheme="minorHAnsi" w:hAnsiTheme="minorHAnsi" w:cs="TrebuchetMS"/>
                <w:color w:val="000000"/>
                <w:kern w:val="0"/>
                <w:szCs w:val="18"/>
              </w:rPr>
              <w:t xml:space="preserve">ased) </w:t>
            </w:r>
          </w:p>
          <w:p w14:paraId="7861CA14" w14:textId="5AF743DF" w:rsidR="00CA282D" w:rsidRPr="00894701" w:rsidRDefault="00CA282D" w:rsidP="00BA29E5">
            <w:pPr>
              <w:spacing w:before="11" w:after="0" w:line="209" w:lineRule="exact"/>
              <w:ind w:left="93" w:right="78"/>
              <w:rPr>
                <w:rFonts w:asciiTheme="minorHAnsi" w:hAnsiTheme="minorHAnsi"/>
                <w:color w:val="010302"/>
                <w:kern w:val="0"/>
                <w:sz w:val="22"/>
                <w:lang w:val="nl-NL"/>
              </w:rPr>
            </w:pPr>
            <w:r w:rsidRPr="00894701">
              <w:rPr>
                <w:rFonts w:asciiTheme="minorHAnsi" w:hAnsiTheme="minorHAnsi" w:cs="TrebuchetMS-Italic"/>
                <w:i/>
                <w:iCs/>
                <w:color w:val="000000"/>
                <w:kern w:val="0"/>
                <w:szCs w:val="18"/>
                <w:lang w:val="nl-NL"/>
              </w:rPr>
              <w:t xml:space="preserve">(mijnbouw </w:t>
            </w:r>
            <w:r w:rsidRPr="00894701">
              <w:rPr>
                <w:rFonts w:asciiTheme="minorHAnsi" w:hAnsiTheme="minorHAnsi"/>
                <w:color w:val="auto"/>
                <w:kern w:val="0"/>
                <w:sz w:val="22"/>
                <w:lang w:val="nl-NL"/>
              </w:rPr>
              <w:br w:type="textWrapping" w:clear="all"/>
            </w:r>
            <w:r w:rsidRPr="00894701">
              <w:rPr>
                <w:rFonts w:asciiTheme="minorHAnsi" w:hAnsiTheme="minorHAnsi" w:cs="TrebuchetMS-Italic"/>
                <w:i/>
                <w:iCs/>
                <w:color w:val="000000"/>
                <w:kern w:val="0"/>
                <w:szCs w:val="18"/>
                <w:lang w:val="nl-NL"/>
              </w:rPr>
              <w:t>overeenkomst meriam project 2013)</w:t>
            </w:r>
            <w:r w:rsidRPr="00894701">
              <w:rPr>
                <w:rFonts w:asciiTheme="minorHAnsi" w:hAnsiTheme="minorHAnsi" w:cs="TrebuchetMS"/>
                <w:color w:val="000000"/>
                <w:kern w:val="0"/>
                <w:szCs w:val="18"/>
                <w:lang w:val="nl-NL"/>
              </w:rPr>
              <w:t xml:space="preserve"> (law based)</w:t>
            </w:r>
            <w:r w:rsidRPr="00894701">
              <w:rPr>
                <w:rFonts w:asciiTheme="minorHAnsi" w:hAnsiTheme="minorHAnsi" w:cs="TrebuchetMS-Italic"/>
                <w:i/>
                <w:iCs/>
                <w:color w:val="000000"/>
                <w:kern w:val="0"/>
                <w:szCs w:val="18"/>
                <w:lang w:val="nl-NL"/>
              </w:rPr>
              <w:t xml:space="preserve"> </w:t>
            </w:r>
          </w:p>
        </w:tc>
        <w:tc>
          <w:tcPr>
            <w:tcW w:w="1097" w:type="pct"/>
            <w:gridSpan w:val="3"/>
            <w:tcBorders>
              <w:top w:val="single" w:sz="4" w:space="0" w:color="F65275"/>
              <w:left w:val="single" w:sz="4" w:space="0" w:color="F65275"/>
              <w:bottom w:val="single" w:sz="4" w:space="0" w:color="F65275"/>
              <w:right w:val="single" w:sz="4" w:space="0" w:color="F65275"/>
            </w:tcBorders>
          </w:tcPr>
          <w:p w14:paraId="5A926B95" w14:textId="2BBCF2C1" w:rsidR="00CA282D" w:rsidRPr="00894701" w:rsidRDefault="00CA282D" w:rsidP="00BA29E5">
            <w:pPr>
              <w:tabs>
                <w:tab w:val="left" w:pos="1334"/>
              </w:tabs>
              <w:spacing w:after="0" w:line="240" w:lineRule="exact"/>
              <w:ind w:left="93" w:right="78"/>
              <w:jc w:val="both"/>
              <w:rPr>
                <w:rFonts w:asciiTheme="minorHAnsi" w:hAnsiTheme="minorHAnsi"/>
                <w:color w:val="010302"/>
                <w:kern w:val="0"/>
                <w:sz w:val="22"/>
                <w:lang w:val="en-GB"/>
              </w:rPr>
            </w:pPr>
            <w:r w:rsidRPr="00894701">
              <w:rPr>
                <w:rFonts w:asciiTheme="minorHAnsi" w:hAnsiTheme="minorHAnsi" w:cs="TrebuchetMS"/>
                <w:color w:val="000000"/>
                <w:kern w:val="0"/>
                <w:szCs w:val="18"/>
              </w:rPr>
              <w:t>Mineral</w:t>
            </w:r>
            <w:r w:rsidRPr="00894701">
              <w:rPr>
                <w:rFonts w:asciiTheme="minorHAnsi" w:hAnsiTheme="minorHAnsi" w:cs="TrebuchetMS"/>
                <w:color w:val="000000"/>
                <w:spacing w:val="3"/>
                <w:kern w:val="0"/>
                <w:szCs w:val="18"/>
              </w:rPr>
              <w:t xml:space="preserve"> </w:t>
            </w:r>
            <w:r w:rsidRPr="00894701">
              <w:rPr>
                <w:rFonts w:asciiTheme="minorHAnsi" w:hAnsiTheme="minorHAnsi"/>
                <w:color w:val="auto"/>
                <w:kern w:val="0"/>
                <w:szCs w:val="18"/>
              </w:rPr>
              <w:t xml:space="preserve">  </w:t>
            </w:r>
            <w:r w:rsidRPr="00894701">
              <w:rPr>
                <w:rFonts w:asciiTheme="minorHAnsi" w:hAnsiTheme="minorHAnsi" w:cs="TrebuchetMS"/>
                <w:color w:val="000000"/>
                <w:kern w:val="0"/>
                <w:szCs w:val="18"/>
              </w:rPr>
              <w:t>agreements ‘Merian-</w:t>
            </w:r>
            <w:r w:rsidRPr="00894701">
              <w:rPr>
                <w:rFonts w:asciiTheme="minorHAnsi" w:hAnsiTheme="minorHAnsi" w:cs="TrebuchetMS"/>
                <w:color w:val="000000"/>
                <w:kern w:val="0"/>
                <w:szCs w:val="18"/>
              </w:rPr>
              <w:tab/>
              <w:t xml:space="preserve">project 2013’/SB 2013/162 </w:t>
            </w:r>
          </w:p>
        </w:tc>
        <w:tc>
          <w:tcPr>
            <w:tcW w:w="1579" w:type="pct"/>
            <w:gridSpan w:val="2"/>
            <w:tcBorders>
              <w:top w:val="single" w:sz="4" w:space="0" w:color="F65275"/>
              <w:left w:val="single" w:sz="4" w:space="0" w:color="F65275"/>
              <w:bottom w:val="single" w:sz="4" w:space="0" w:color="F65275"/>
              <w:right w:val="single" w:sz="4" w:space="0" w:color="F65275"/>
            </w:tcBorders>
          </w:tcPr>
          <w:p w14:paraId="3C684313" w14:textId="4C5BFFFF" w:rsidR="00CA282D" w:rsidRPr="00894701" w:rsidRDefault="00CA282D" w:rsidP="00BA29E5">
            <w:pPr>
              <w:spacing w:after="0" w:line="240" w:lineRule="exact"/>
              <w:ind w:left="93" w:right="78"/>
              <w:jc w:val="both"/>
              <w:rPr>
                <w:rFonts w:asciiTheme="minorHAnsi" w:hAnsiTheme="minorHAnsi"/>
                <w:color w:val="010302"/>
                <w:kern w:val="0"/>
                <w:sz w:val="22"/>
                <w:lang w:val="en-GB"/>
              </w:rPr>
            </w:pPr>
            <w:r w:rsidRPr="00894701">
              <w:rPr>
                <w:rFonts w:asciiTheme="minorHAnsi" w:hAnsiTheme="minorHAnsi" w:cs="TrebuchetMS"/>
                <w:color w:val="000000"/>
                <w:kern w:val="0"/>
                <w:szCs w:val="18"/>
              </w:rPr>
              <w:t>According</w:t>
            </w:r>
            <w:r w:rsidRPr="00894701">
              <w:rPr>
                <w:rFonts w:asciiTheme="minorHAnsi" w:hAnsiTheme="minorHAnsi"/>
                <w:color w:val="auto"/>
                <w:kern w:val="0"/>
                <w:szCs w:val="18"/>
              </w:rPr>
              <w:t xml:space="preserve"> </w:t>
            </w:r>
            <w:r w:rsidRPr="00894701">
              <w:rPr>
                <w:rFonts w:asciiTheme="minorHAnsi" w:hAnsiTheme="minorHAnsi" w:cs="TrebuchetMS"/>
                <w:color w:val="000000"/>
                <w:kern w:val="0"/>
                <w:szCs w:val="18"/>
              </w:rPr>
              <w:t>to</w:t>
            </w:r>
            <w:r w:rsidRPr="00894701">
              <w:rPr>
                <w:rFonts w:asciiTheme="minorHAnsi" w:hAnsiTheme="minorHAnsi"/>
                <w:color w:val="auto"/>
                <w:kern w:val="0"/>
                <w:szCs w:val="18"/>
              </w:rPr>
              <w:t xml:space="preserve"> </w:t>
            </w:r>
            <w:r w:rsidRPr="00894701">
              <w:rPr>
                <w:rFonts w:asciiTheme="minorHAnsi" w:hAnsiTheme="minorHAnsi" w:cs="TrebuchetMS"/>
                <w:color w:val="000000"/>
                <w:kern w:val="0"/>
                <w:szCs w:val="18"/>
              </w:rPr>
              <w:t>the</w:t>
            </w:r>
            <w:r w:rsidRPr="00894701">
              <w:rPr>
                <w:rFonts w:asciiTheme="minorHAnsi" w:hAnsiTheme="minorHAnsi" w:cs="TrebuchetMS"/>
                <w:color w:val="000000"/>
                <w:spacing w:val="8"/>
                <w:kern w:val="0"/>
                <w:szCs w:val="18"/>
              </w:rPr>
              <w:t xml:space="preserve"> </w:t>
            </w:r>
            <w:r w:rsidRPr="00894701">
              <w:rPr>
                <w:rFonts w:asciiTheme="minorHAnsi" w:hAnsiTheme="minorHAnsi"/>
                <w:color w:val="auto"/>
                <w:kern w:val="0"/>
                <w:szCs w:val="18"/>
              </w:rPr>
              <w:t xml:space="preserve">  </w:t>
            </w:r>
            <w:r w:rsidRPr="00894701">
              <w:rPr>
                <w:rFonts w:asciiTheme="minorHAnsi" w:hAnsiTheme="minorHAnsi" w:cs="TrebuchetMS"/>
                <w:color w:val="000000"/>
                <w:kern w:val="0"/>
                <w:szCs w:val="18"/>
              </w:rPr>
              <w:t>Mineral Agreement</w:t>
            </w:r>
            <w:r w:rsidRPr="00894701">
              <w:rPr>
                <w:rFonts w:asciiTheme="minorHAnsi" w:hAnsiTheme="minorHAnsi" w:cs="TrebuchetMS"/>
                <w:color w:val="000000"/>
                <w:spacing w:val="34"/>
                <w:kern w:val="0"/>
                <w:szCs w:val="18"/>
              </w:rPr>
              <w:t xml:space="preserve"> </w:t>
            </w:r>
            <w:r w:rsidRPr="00894701">
              <w:rPr>
                <w:rFonts w:asciiTheme="minorHAnsi" w:hAnsiTheme="minorHAnsi" w:cs="TrebuchetMS"/>
                <w:color w:val="000000"/>
                <w:kern w:val="0"/>
                <w:szCs w:val="18"/>
              </w:rPr>
              <w:t>(1994),</w:t>
            </w:r>
            <w:r w:rsidRPr="00894701">
              <w:rPr>
                <w:rFonts w:asciiTheme="minorHAnsi" w:hAnsiTheme="minorHAnsi" w:cs="TrebuchetMS"/>
                <w:color w:val="000000"/>
                <w:spacing w:val="34"/>
                <w:kern w:val="0"/>
                <w:szCs w:val="18"/>
              </w:rPr>
              <w:t xml:space="preserve"> </w:t>
            </w:r>
            <w:r w:rsidRPr="00894701">
              <w:rPr>
                <w:rFonts w:asciiTheme="minorHAnsi" w:hAnsiTheme="minorHAnsi" w:cs="TrebuchetMS"/>
                <w:color w:val="000000"/>
                <w:kern w:val="0"/>
                <w:szCs w:val="18"/>
              </w:rPr>
              <w:t>betwee</w:t>
            </w:r>
            <w:r w:rsidRPr="00894701">
              <w:rPr>
                <w:rFonts w:asciiTheme="minorHAnsi" w:hAnsiTheme="minorHAnsi" w:cs="TrebuchetMS"/>
                <w:color w:val="000000"/>
                <w:spacing w:val="-2"/>
                <w:kern w:val="0"/>
                <w:szCs w:val="18"/>
              </w:rPr>
              <w:t>n</w:t>
            </w:r>
            <w:r w:rsidRPr="00894701">
              <w:rPr>
                <w:rFonts w:asciiTheme="minorHAnsi" w:hAnsiTheme="minorHAnsi" w:cs="TrebuchetMS"/>
                <w:color w:val="000000"/>
                <w:kern w:val="0"/>
                <w:szCs w:val="18"/>
              </w:rPr>
              <w:t xml:space="preserve"> the</w:t>
            </w:r>
            <w:r w:rsidRPr="00894701">
              <w:rPr>
                <w:rFonts w:asciiTheme="minorHAnsi" w:hAnsiTheme="minorHAnsi" w:cs="TrebuchetMS"/>
                <w:color w:val="000000"/>
                <w:spacing w:val="13"/>
                <w:kern w:val="0"/>
                <w:szCs w:val="18"/>
              </w:rPr>
              <w:t xml:space="preserve"> </w:t>
            </w:r>
            <w:r w:rsidRPr="00894701">
              <w:rPr>
                <w:rFonts w:asciiTheme="minorHAnsi" w:hAnsiTheme="minorHAnsi" w:cs="TrebuchetMS"/>
                <w:color w:val="000000"/>
                <w:kern w:val="0"/>
                <w:szCs w:val="18"/>
              </w:rPr>
              <w:t>Republic</w:t>
            </w:r>
            <w:r w:rsidRPr="00894701">
              <w:rPr>
                <w:rFonts w:asciiTheme="minorHAnsi" w:hAnsiTheme="minorHAnsi"/>
                <w:color w:val="auto"/>
                <w:kern w:val="0"/>
                <w:szCs w:val="18"/>
              </w:rPr>
              <w:t xml:space="preserve"> </w:t>
            </w:r>
            <w:r w:rsidRPr="00894701">
              <w:rPr>
                <w:rFonts w:asciiTheme="minorHAnsi" w:hAnsiTheme="minorHAnsi" w:cs="TrebuchetMS"/>
                <w:color w:val="000000"/>
                <w:kern w:val="0"/>
                <w:szCs w:val="18"/>
              </w:rPr>
              <w:t>of</w:t>
            </w:r>
            <w:r w:rsidRPr="00894701">
              <w:rPr>
                <w:rFonts w:asciiTheme="minorHAnsi" w:hAnsiTheme="minorHAnsi" w:cs="TrebuchetMS"/>
                <w:color w:val="000000"/>
                <w:spacing w:val="12"/>
                <w:kern w:val="0"/>
                <w:szCs w:val="18"/>
              </w:rPr>
              <w:t xml:space="preserve"> </w:t>
            </w:r>
            <w:r w:rsidRPr="00894701">
              <w:rPr>
                <w:rFonts w:asciiTheme="minorHAnsi" w:hAnsiTheme="minorHAnsi"/>
                <w:color w:val="auto"/>
                <w:kern w:val="0"/>
                <w:szCs w:val="18"/>
              </w:rPr>
              <w:t>Suriname</w:t>
            </w:r>
            <w:r w:rsidRPr="00894701">
              <w:rPr>
                <w:rFonts w:asciiTheme="minorHAnsi" w:hAnsiTheme="minorHAnsi" w:cs="TrebuchetMS"/>
                <w:color w:val="000000"/>
                <w:kern w:val="0"/>
                <w:szCs w:val="18"/>
              </w:rPr>
              <w:t>, Grassalco</w:t>
            </w:r>
            <w:r w:rsidRPr="00894701">
              <w:rPr>
                <w:rFonts w:asciiTheme="minorHAnsi" w:hAnsiTheme="minorHAnsi" w:cs="TrebuchetMS"/>
                <w:color w:val="000000"/>
                <w:spacing w:val="36"/>
                <w:kern w:val="0"/>
                <w:szCs w:val="18"/>
              </w:rPr>
              <w:t xml:space="preserve"> </w:t>
            </w:r>
            <w:r w:rsidRPr="00894701">
              <w:rPr>
                <w:rFonts w:asciiTheme="minorHAnsi" w:hAnsiTheme="minorHAnsi" w:cs="TrebuchetMS"/>
                <w:color w:val="000000"/>
                <w:kern w:val="0"/>
                <w:szCs w:val="18"/>
              </w:rPr>
              <w:t>and</w:t>
            </w:r>
            <w:r w:rsidRPr="00894701">
              <w:rPr>
                <w:rFonts w:asciiTheme="minorHAnsi" w:hAnsiTheme="minorHAnsi" w:cs="TrebuchetMS"/>
                <w:color w:val="000000"/>
                <w:spacing w:val="36"/>
                <w:kern w:val="0"/>
                <w:szCs w:val="18"/>
              </w:rPr>
              <w:t xml:space="preserve"> </w:t>
            </w:r>
            <w:r w:rsidRPr="00894701">
              <w:rPr>
                <w:rFonts w:asciiTheme="minorHAnsi" w:hAnsiTheme="minorHAnsi" w:cs="TrebuchetMS"/>
                <w:color w:val="000000"/>
                <w:kern w:val="0"/>
                <w:szCs w:val="18"/>
              </w:rPr>
              <w:t>Golde</w:t>
            </w:r>
            <w:r w:rsidRPr="00894701">
              <w:rPr>
                <w:rFonts w:asciiTheme="minorHAnsi" w:hAnsiTheme="minorHAnsi" w:cs="TrebuchetMS"/>
                <w:color w:val="000000"/>
                <w:spacing w:val="-2"/>
                <w:kern w:val="0"/>
                <w:szCs w:val="18"/>
              </w:rPr>
              <w:t>n</w:t>
            </w:r>
            <w:r w:rsidRPr="00894701">
              <w:rPr>
                <w:rFonts w:asciiTheme="minorHAnsi" w:hAnsiTheme="minorHAnsi" w:cs="TrebuchetMS"/>
                <w:color w:val="000000"/>
                <w:spacing w:val="36"/>
                <w:kern w:val="0"/>
                <w:szCs w:val="18"/>
              </w:rPr>
              <w:t xml:space="preserve"> </w:t>
            </w:r>
            <w:r w:rsidRPr="00894701">
              <w:rPr>
                <w:rFonts w:asciiTheme="minorHAnsi" w:hAnsiTheme="minorHAnsi" w:cs="TrebuchetMS"/>
                <w:color w:val="000000"/>
                <w:kern w:val="0"/>
                <w:szCs w:val="18"/>
              </w:rPr>
              <w:t xml:space="preserve">Star, RGM pays monthly: </w:t>
            </w:r>
          </w:p>
          <w:p w14:paraId="06E2021A" w14:textId="41F78D50" w:rsidR="00CA282D" w:rsidRPr="00894701" w:rsidRDefault="00CA282D" w:rsidP="00BA29E5">
            <w:pPr>
              <w:pStyle w:val="ListParagraph"/>
              <w:numPr>
                <w:ilvl w:val="0"/>
                <w:numId w:val="34"/>
              </w:numPr>
              <w:spacing w:after="0" w:line="240" w:lineRule="exact"/>
              <w:ind w:left="542" w:right="78"/>
              <w:jc w:val="both"/>
              <w:rPr>
                <w:rFonts w:asciiTheme="minorHAnsi" w:hAnsiTheme="minorHAnsi" w:cs="TrebuchetMS"/>
                <w:color w:val="000000"/>
                <w:spacing w:val="-2"/>
                <w:kern w:val="0"/>
                <w:szCs w:val="18"/>
                <w:lang w:val="en-GB"/>
              </w:rPr>
            </w:pPr>
            <w:r w:rsidRPr="00894701">
              <w:rPr>
                <w:rFonts w:asciiTheme="minorHAnsi" w:hAnsiTheme="minorHAnsi" w:cs="TrebuchetMS"/>
                <w:color w:val="000000"/>
                <w:kern w:val="0"/>
                <w:szCs w:val="18"/>
              </w:rPr>
              <w:t>Royalty fee</w:t>
            </w:r>
            <w:r w:rsidRPr="00894701">
              <w:rPr>
                <w:rFonts w:asciiTheme="minorHAnsi" w:hAnsiTheme="minorHAnsi"/>
                <w:color w:val="auto"/>
                <w:kern w:val="0"/>
                <w:szCs w:val="18"/>
              </w:rPr>
              <w:t xml:space="preserve"> </w:t>
            </w:r>
            <w:r w:rsidRPr="00894701">
              <w:rPr>
                <w:rFonts w:asciiTheme="minorHAnsi" w:hAnsiTheme="minorHAnsi" w:cs="TrebuchetMS"/>
                <w:color w:val="000000"/>
                <w:kern w:val="0"/>
                <w:szCs w:val="18"/>
              </w:rPr>
              <w:t>in</w:t>
            </w:r>
            <w:r w:rsidRPr="00894701">
              <w:rPr>
                <w:rFonts w:asciiTheme="minorHAnsi" w:hAnsiTheme="minorHAnsi"/>
                <w:color w:val="auto"/>
                <w:kern w:val="0"/>
                <w:szCs w:val="18"/>
              </w:rPr>
              <w:t xml:space="preserve"> </w:t>
            </w:r>
            <w:r w:rsidRPr="00894701">
              <w:rPr>
                <w:rFonts w:asciiTheme="minorHAnsi" w:hAnsiTheme="minorHAnsi" w:cs="TrebuchetMS"/>
                <w:color w:val="000000"/>
                <w:kern w:val="0"/>
                <w:szCs w:val="18"/>
              </w:rPr>
              <w:t>cash:</w:t>
            </w:r>
            <w:r w:rsidRPr="00894701">
              <w:rPr>
                <w:rFonts w:asciiTheme="minorHAnsi" w:hAnsiTheme="minorHAnsi" w:cs="TrebuchetMS"/>
                <w:color w:val="000000"/>
                <w:spacing w:val="3"/>
                <w:kern w:val="0"/>
                <w:szCs w:val="18"/>
              </w:rPr>
              <w:t xml:space="preserve"> </w:t>
            </w:r>
            <w:r w:rsidRPr="00894701">
              <w:rPr>
                <w:rFonts w:asciiTheme="minorHAnsi" w:hAnsiTheme="minorHAnsi"/>
                <w:color w:val="auto"/>
                <w:kern w:val="0"/>
                <w:szCs w:val="18"/>
              </w:rPr>
              <w:t xml:space="preserve"> </w:t>
            </w:r>
            <w:r w:rsidRPr="00894701">
              <w:rPr>
                <w:rFonts w:asciiTheme="minorHAnsi" w:hAnsiTheme="minorHAnsi" w:cs="TrebuchetMS"/>
                <w:color w:val="000000"/>
                <w:kern w:val="0"/>
                <w:szCs w:val="18"/>
              </w:rPr>
              <w:t>a royalty fee</w:t>
            </w:r>
            <w:r w:rsidRPr="00894701">
              <w:rPr>
                <w:rFonts w:asciiTheme="minorHAnsi" w:hAnsiTheme="minorHAnsi"/>
                <w:color w:val="auto"/>
                <w:kern w:val="0"/>
                <w:szCs w:val="18"/>
              </w:rPr>
              <w:t xml:space="preserve"> </w:t>
            </w:r>
            <w:r w:rsidRPr="00894701">
              <w:rPr>
                <w:rFonts w:asciiTheme="minorHAnsi" w:hAnsiTheme="minorHAnsi" w:cs="TrebuchetMS"/>
                <w:color w:val="000000"/>
                <w:kern w:val="0"/>
                <w:szCs w:val="18"/>
              </w:rPr>
              <w:t>of</w:t>
            </w:r>
            <w:r w:rsidRPr="00894701">
              <w:rPr>
                <w:rFonts w:asciiTheme="minorHAnsi" w:hAnsiTheme="minorHAnsi" w:cs="TrebuchetMS"/>
                <w:color w:val="000000"/>
                <w:spacing w:val="10"/>
                <w:kern w:val="0"/>
                <w:szCs w:val="18"/>
              </w:rPr>
              <w:t xml:space="preserve"> </w:t>
            </w:r>
            <w:r w:rsidRPr="00894701">
              <w:rPr>
                <w:rFonts w:asciiTheme="minorHAnsi" w:hAnsiTheme="minorHAnsi" w:cs="TrebuchetMS"/>
                <w:color w:val="000000"/>
                <w:kern w:val="0"/>
                <w:szCs w:val="18"/>
              </w:rPr>
              <w:t>6.5%</w:t>
            </w:r>
            <w:r w:rsidRPr="00894701">
              <w:rPr>
                <w:rFonts w:asciiTheme="minorHAnsi" w:hAnsiTheme="minorHAnsi" w:cs="TrebuchetMS"/>
                <w:color w:val="000000"/>
                <w:spacing w:val="10"/>
                <w:kern w:val="0"/>
                <w:szCs w:val="18"/>
              </w:rPr>
              <w:t xml:space="preserve"> </w:t>
            </w:r>
            <w:r w:rsidRPr="00894701">
              <w:rPr>
                <w:rFonts w:asciiTheme="minorHAnsi" w:hAnsiTheme="minorHAnsi"/>
                <w:color w:val="auto"/>
                <w:kern w:val="0"/>
                <w:szCs w:val="18"/>
              </w:rPr>
              <w:t>over</w:t>
            </w:r>
            <w:r w:rsidRPr="00894701">
              <w:rPr>
                <w:rFonts w:asciiTheme="minorHAnsi" w:hAnsiTheme="minorHAnsi" w:cs="TrebuchetMS"/>
                <w:color w:val="000000"/>
                <w:kern w:val="0"/>
                <w:szCs w:val="18"/>
              </w:rPr>
              <w:t xml:space="preserve"> gold price of USD 425 per troy ounce. Payment is</w:t>
            </w:r>
            <w:r w:rsidR="00055315">
              <w:rPr>
                <w:rFonts w:asciiTheme="minorHAnsi" w:hAnsiTheme="minorHAnsi" w:cs="TrebuchetMS"/>
                <w:color w:val="000000"/>
                <w:kern w:val="0"/>
                <w:szCs w:val="18"/>
              </w:rPr>
              <w:t xml:space="preserve"> </w:t>
            </w:r>
            <w:r w:rsidRPr="00894701">
              <w:rPr>
                <w:rFonts w:asciiTheme="minorHAnsi" w:hAnsiTheme="minorHAnsi" w:cs="TrebuchetMS"/>
                <w:color w:val="000000"/>
                <w:kern w:val="0"/>
                <w:szCs w:val="18"/>
              </w:rPr>
              <w:t xml:space="preserve">made every quarter. </w:t>
            </w:r>
          </w:p>
          <w:p w14:paraId="27775CE3" w14:textId="77777777" w:rsidR="00CA282D" w:rsidRPr="00894701" w:rsidRDefault="00CA282D" w:rsidP="00BA29E5">
            <w:pPr>
              <w:pStyle w:val="ListParagraph"/>
              <w:numPr>
                <w:ilvl w:val="0"/>
                <w:numId w:val="34"/>
              </w:numPr>
              <w:spacing w:after="0" w:line="240" w:lineRule="exact"/>
              <w:ind w:left="542" w:right="78"/>
              <w:jc w:val="both"/>
              <w:rPr>
                <w:rFonts w:asciiTheme="minorHAnsi" w:hAnsiTheme="minorHAnsi" w:cs="TrebuchetMS"/>
                <w:color w:val="000000"/>
                <w:spacing w:val="-2"/>
                <w:kern w:val="0"/>
                <w:szCs w:val="18"/>
                <w:lang w:val="en-GB"/>
              </w:rPr>
            </w:pPr>
            <w:r w:rsidRPr="00894701">
              <w:rPr>
                <w:rFonts w:asciiTheme="minorHAnsi" w:hAnsiTheme="minorHAnsi" w:cs="TrebuchetMS"/>
                <w:color w:val="000000"/>
                <w:kern w:val="0"/>
                <w:szCs w:val="18"/>
              </w:rPr>
              <w:t>Royalty fee in-kind (special royalty):   2% royalties in-kind of its refined production to Grassalco and the remaining 0.25% to SEMiF. Transfers are completed every month.</w:t>
            </w:r>
          </w:p>
        </w:tc>
      </w:tr>
      <w:tr w:rsidR="00CA282D" w:rsidRPr="00894701" w14:paraId="7E622DB2" w14:textId="77777777" w:rsidTr="00771C41">
        <w:trPr>
          <w:trHeight w:val="132"/>
        </w:trPr>
        <w:tc>
          <w:tcPr>
            <w:tcW w:w="835" w:type="pct"/>
            <w:tcBorders>
              <w:top w:val="single" w:sz="2" w:space="0" w:color="FF0000"/>
              <w:left w:val="single" w:sz="2" w:space="0" w:color="FF0000"/>
              <w:bottom w:val="single" w:sz="4" w:space="0" w:color="auto"/>
              <w:right w:val="single" w:sz="2" w:space="0" w:color="FF0000"/>
            </w:tcBorders>
          </w:tcPr>
          <w:p w14:paraId="2F65E7A1" w14:textId="77777777" w:rsidR="00CA282D" w:rsidRPr="00894701" w:rsidRDefault="00CA282D" w:rsidP="00446B8D">
            <w:pPr>
              <w:spacing w:after="0" w:line="240" w:lineRule="auto"/>
              <w:rPr>
                <w:rFonts w:asciiTheme="minorHAnsi" w:hAnsiTheme="minorHAnsi"/>
                <w:color w:val="auto"/>
                <w:kern w:val="0"/>
                <w:sz w:val="22"/>
                <w:lang w:val="en-GB"/>
              </w:rPr>
            </w:pPr>
          </w:p>
        </w:tc>
        <w:tc>
          <w:tcPr>
            <w:tcW w:w="1489" w:type="pct"/>
            <w:gridSpan w:val="3"/>
            <w:tcBorders>
              <w:top w:val="single" w:sz="4" w:space="0" w:color="F65275"/>
              <w:left w:val="single" w:sz="2" w:space="0" w:color="FF0000"/>
              <w:bottom w:val="single" w:sz="4" w:space="0" w:color="auto"/>
              <w:right w:val="single" w:sz="4" w:space="0" w:color="F65275"/>
            </w:tcBorders>
          </w:tcPr>
          <w:p w14:paraId="7373E52D" w14:textId="77777777" w:rsidR="00CA282D" w:rsidRPr="00894701" w:rsidRDefault="00CA282D" w:rsidP="00BA29E5">
            <w:pPr>
              <w:tabs>
                <w:tab w:val="left" w:pos="1334"/>
              </w:tabs>
              <w:spacing w:after="0" w:line="240" w:lineRule="exact"/>
              <w:ind w:left="93" w:right="78"/>
              <w:jc w:val="both"/>
              <w:rPr>
                <w:rFonts w:asciiTheme="minorHAnsi" w:hAnsiTheme="minorHAnsi" w:cs="TrebuchetMS"/>
                <w:color w:val="000000"/>
                <w:kern w:val="0"/>
                <w:szCs w:val="18"/>
                <w:lang w:val="en-GB"/>
              </w:rPr>
            </w:pPr>
            <w:r w:rsidRPr="00894701">
              <w:rPr>
                <w:rFonts w:asciiTheme="minorHAnsi" w:hAnsiTheme="minorHAnsi" w:cs="TrebuchetMS"/>
                <w:color w:val="000000"/>
                <w:kern w:val="0"/>
                <w:szCs w:val="18"/>
              </w:rPr>
              <w:t xml:space="preserve">State decree Royalty </w:t>
            </w:r>
          </w:p>
          <w:p w14:paraId="402BD972" w14:textId="77777777" w:rsidR="00CA282D" w:rsidRPr="00894701" w:rsidRDefault="00CA282D" w:rsidP="00BA29E5">
            <w:pPr>
              <w:tabs>
                <w:tab w:val="left" w:pos="1334"/>
              </w:tabs>
              <w:spacing w:after="0" w:line="240" w:lineRule="exact"/>
              <w:ind w:left="93" w:right="78"/>
              <w:jc w:val="both"/>
              <w:rPr>
                <w:rFonts w:asciiTheme="minorHAnsi" w:hAnsiTheme="minorHAnsi" w:cs="TrebuchetMS"/>
                <w:color w:val="000000"/>
                <w:spacing w:val="-23"/>
                <w:kern w:val="0"/>
                <w:szCs w:val="18"/>
                <w:lang w:val="en-GB"/>
              </w:rPr>
            </w:pPr>
            <w:r w:rsidRPr="00894701">
              <w:rPr>
                <w:rFonts w:asciiTheme="minorHAnsi" w:hAnsiTheme="minorHAnsi" w:cs="TrebuchetMS"/>
                <w:color w:val="000000"/>
                <w:kern w:val="0"/>
                <w:szCs w:val="18"/>
              </w:rPr>
              <w:t>Offshore</w:t>
            </w:r>
            <w:r w:rsidRPr="00894701">
              <w:rPr>
                <w:rFonts w:asciiTheme="minorHAnsi" w:hAnsiTheme="minorHAnsi" w:cs="TrebuchetMS"/>
                <w:color w:val="000000"/>
                <w:spacing w:val="-23"/>
                <w:kern w:val="0"/>
                <w:szCs w:val="18"/>
              </w:rPr>
              <w:t xml:space="preserve"> </w:t>
            </w:r>
          </w:p>
        </w:tc>
        <w:tc>
          <w:tcPr>
            <w:tcW w:w="1097" w:type="pct"/>
            <w:gridSpan w:val="3"/>
            <w:tcBorders>
              <w:top w:val="single" w:sz="4" w:space="0" w:color="F65275"/>
              <w:left w:val="single" w:sz="4" w:space="0" w:color="F65275"/>
              <w:bottom w:val="single" w:sz="4" w:space="0" w:color="auto"/>
              <w:right w:val="single" w:sz="4" w:space="0" w:color="F65275"/>
            </w:tcBorders>
          </w:tcPr>
          <w:p w14:paraId="6D41CC0B" w14:textId="77777777" w:rsidR="00CA282D" w:rsidRPr="00894701" w:rsidRDefault="00CA282D" w:rsidP="00BA29E5">
            <w:pPr>
              <w:tabs>
                <w:tab w:val="left" w:pos="1334"/>
              </w:tabs>
              <w:spacing w:after="0" w:line="240" w:lineRule="exact"/>
              <w:ind w:left="93" w:right="78"/>
              <w:jc w:val="both"/>
              <w:rPr>
                <w:rFonts w:asciiTheme="minorHAnsi" w:hAnsiTheme="minorHAnsi" w:cs="TrebuchetMS"/>
                <w:color w:val="000000"/>
                <w:kern w:val="0"/>
                <w:szCs w:val="18"/>
                <w:lang w:val="en-GB"/>
              </w:rPr>
            </w:pPr>
            <w:r w:rsidRPr="00894701">
              <w:rPr>
                <w:rFonts w:asciiTheme="minorHAnsi" w:hAnsiTheme="minorHAnsi" w:cs="TrebuchetMS"/>
                <w:color w:val="000000"/>
                <w:kern w:val="0"/>
                <w:szCs w:val="18"/>
              </w:rPr>
              <w:t xml:space="preserve">Mineral agreement </w:t>
            </w:r>
          </w:p>
          <w:p w14:paraId="103DB5D7" w14:textId="77777777" w:rsidR="00CA282D" w:rsidRPr="00894701" w:rsidRDefault="00CA282D" w:rsidP="00BA29E5">
            <w:pPr>
              <w:tabs>
                <w:tab w:val="left" w:pos="1334"/>
              </w:tabs>
              <w:spacing w:after="0" w:line="240" w:lineRule="exact"/>
              <w:ind w:left="93" w:right="78"/>
              <w:jc w:val="both"/>
              <w:rPr>
                <w:rFonts w:asciiTheme="minorHAnsi" w:hAnsiTheme="minorHAnsi" w:cs="TrebuchetMS"/>
                <w:color w:val="000000"/>
                <w:kern w:val="0"/>
                <w:szCs w:val="18"/>
                <w:lang w:val="en-GB"/>
              </w:rPr>
            </w:pPr>
            <w:r w:rsidRPr="00894701">
              <w:rPr>
                <w:rFonts w:asciiTheme="minorHAnsi" w:hAnsiTheme="minorHAnsi" w:cs="TrebuchetMS"/>
                <w:color w:val="000000"/>
                <w:kern w:val="0"/>
                <w:szCs w:val="18"/>
              </w:rPr>
              <w:t xml:space="preserve">1994/22 (SB 2005/52) </w:t>
            </w:r>
            <w:r w:rsidRPr="00894701">
              <w:rPr>
                <w:rFonts w:asciiTheme="minorHAnsi" w:hAnsiTheme="minorHAnsi" w:cs="TrebuchetMS"/>
                <w:color w:val="000000"/>
                <w:kern w:val="0"/>
                <w:szCs w:val="18"/>
              </w:rPr>
              <w:tab/>
              <w:t xml:space="preserve"> </w:t>
            </w:r>
          </w:p>
        </w:tc>
        <w:tc>
          <w:tcPr>
            <w:tcW w:w="1579" w:type="pct"/>
            <w:gridSpan w:val="2"/>
            <w:tcBorders>
              <w:top w:val="single" w:sz="4" w:space="0" w:color="F65275"/>
              <w:left w:val="single" w:sz="4" w:space="0" w:color="F65275"/>
              <w:bottom w:val="single" w:sz="4" w:space="0" w:color="auto"/>
              <w:right w:val="single" w:sz="4" w:space="0" w:color="F65275"/>
            </w:tcBorders>
          </w:tcPr>
          <w:p w14:paraId="2A75A5B0" w14:textId="77777777" w:rsidR="00CA282D" w:rsidRPr="00894701" w:rsidRDefault="00CA282D" w:rsidP="00BA29E5">
            <w:pPr>
              <w:spacing w:after="0" w:line="240" w:lineRule="exact"/>
              <w:ind w:left="93" w:right="78"/>
              <w:jc w:val="both"/>
              <w:rPr>
                <w:rFonts w:asciiTheme="minorHAnsi" w:hAnsiTheme="minorHAnsi" w:cs="TrebuchetMS"/>
                <w:color w:val="000000"/>
                <w:kern w:val="0"/>
                <w:szCs w:val="18"/>
                <w:lang w:val="en-GB"/>
              </w:rPr>
            </w:pPr>
            <w:r w:rsidRPr="00894701">
              <w:rPr>
                <w:rFonts w:asciiTheme="minorHAnsi" w:hAnsiTheme="minorHAnsi" w:cs="TrebuchetMS"/>
                <w:color w:val="000000"/>
                <w:kern w:val="0"/>
                <w:szCs w:val="18"/>
              </w:rPr>
              <w:t xml:space="preserve">This State Decree sets the Royalties for offshore at 6.25% of gross production among others.  </w:t>
            </w:r>
          </w:p>
        </w:tc>
      </w:tr>
    </w:tbl>
    <w:p w14:paraId="24B02FEF" w14:textId="77777777" w:rsidR="00CA282D" w:rsidRPr="00894701" w:rsidRDefault="00CA282D" w:rsidP="0055279C">
      <w:pPr>
        <w:spacing w:before="120"/>
        <w:jc w:val="both"/>
        <w:rPr>
          <w:rFonts w:asciiTheme="minorHAnsi" w:hAnsiTheme="minorHAnsi"/>
          <w:color w:val="auto"/>
          <w:sz w:val="20"/>
          <w:szCs w:val="20"/>
        </w:rPr>
      </w:pPr>
      <w:r w:rsidRPr="00894701">
        <w:rPr>
          <w:rFonts w:asciiTheme="minorHAnsi" w:hAnsiTheme="minorHAnsi"/>
          <w:color w:val="auto"/>
          <w:sz w:val="20"/>
          <w:szCs w:val="20"/>
        </w:rPr>
        <w:t xml:space="preserve">Royalty rates are fixed as follows:  </w:t>
      </w:r>
    </w:p>
    <w:p w14:paraId="162BA145" w14:textId="0965323B" w:rsidR="00CA282D" w:rsidRPr="00894701" w:rsidRDefault="00CA282D" w:rsidP="00CA282D">
      <w:pPr>
        <w:pStyle w:val="BodyText"/>
        <w:jc w:val="center"/>
        <w:rPr>
          <w:rFonts w:asciiTheme="majorHAnsi" w:hAnsiTheme="majorHAnsi"/>
          <w:b/>
          <w:bCs/>
          <w:color w:val="98002E" w:themeColor="accent3"/>
          <w:sz w:val="20"/>
        </w:rPr>
      </w:pPr>
      <w:bookmarkStart w:id="154" w:name="_Toc109599083"/>
      <w:bookmarkStart w:id="155" w:name="_Toc146590490"/>
      <w:bookmarkStart w:id="156" w:name="_Toc93095209"/>
      <w:r w:rsidRPr="00894701">
        <w:rPr>
          <w:rFonts w:asciiTheme="majorHAnsi" w:hAnsiTheme="majorHAnsi"/>
          <w:b/>
          <w:bCs/>
          <w:color w:val="98002E" w:themeColor="accent3"/>
          <w:sz w:val="20"/>
        </w:rPr>
        <w:t xml:space="preserve">Table </w:t>
      </w:r>
      <w:r w:rsidRPr="00894701">
        <w:rPr>
          <w:rFonts w:asciiTheme="majorHAnsi" w:hAnsiTheme="majorHAnsi"/>
          <w:b/>
          <w:bCs/>
          <w:color w:val="98002E" w:themeColor="accent3"/>
          <w:sz w:val="20"/>
        </w:rPr>
        <w:fldChar w:fldCharType="begin"/>
      </w:r>
      <w:r w:rsidRPr="00894701">
        <w:rPr>
          <w:rFonts w:asciiTheme="majorHAnsi" w:hAnsiTheme="majorHAnsi"/>
          <w:b/>
          <w:bCs/>
          <w:color w:val="98002E" w:themeColor="accent3"/>
          <w:sz w:val="20"/>
        </w:rPr>
        <w:instrText xml:space="preserve"> SEQ Table \* ARABIC </w:instrText>
      </w:r>
      <w:r w:rsidRPr="00894701">
        <w:rPr>
          <w:rFonts w:asciiTheme="majorHAnsi" w:hAnsiTheme="majorHAnsi"/>
          <w:b/>
          <w:bCs/>
          <w:color w:val="98002E" w:themeColor="accent3"/>
          <w:sz w:val="20"/>
        </w:rPr>
        <w:fldChar w:fldCharType="separate"/>
      </w:r>
      <w:r w:rsidR="0035303B">
        <w:rPr>
          <w:rFonts w:asciiTheme="majorHAnsi" w:hAnsiTheme="majorHAnsi"/>
          <w:b/>
          <w:bCs/>
          <w:noProof/>
          <w:color w:val="98002E" w:themeColor="accent3"/>
          <w:sz w:val="20"/>
        </w:rPr>
        <w:t>18</w:t>
      </w:r>
      <w:r w:rsidRPr="00894701">
        <w:rPr>
          <w:rFonts w:asciiTheme="majorHAnsi" w:hAnsiTheme="majorHAnsi"/>
          <w:b/>
          <w:bCs/>
          <w:color w:val="98002E" w:themeColor="accent3"/>
          <w:sz w:val="20"/>
        </w:rPr>
        <w:fldChar w:fldCharType="end"/>
      </w:r>
      <w:r w:rsidRPr="00894701">
        <w:rPr>
          <w:rFonts w:asciiTheme="majorHAnsi" w:hAnsiTheme="majorHAnsi"/>
          <w:b/>
          <w:bCs/>
          <w:color w:val="98002E" w:themeColor="accent3"/>
          <w:sz w:val="20"/>
        </w:rPr>
        <w:t>: Royalty fee rates</w:t>
      </w:r>
      <w:bookmarkEnd w:id="154"/>
      <w:bookmarkEnd w:id="155"/>
      <w:r w:rsidRPr="00894701">
        <w:rPr>
          <w:rFonts w:asciiTheme="majorHAnsi" w:hAnsiTheme="majorHAnsi"/>
          <w:b/>
          <w:bCs/>
          <w:color w:val="98002E" w:themeColor="accent3"/>
          <w:sz w:val="20"/>
        </w:rPr>
        <w:t xml:space="preserve">  </w:t>
      </w:r>
      <w:bookmarkEnd w:id="156"/>
    </w:p>
    <w:tbl>
      <w:tblPr>
        <w:tblStyle w:val="TableGrid4"/>
        <w:tblW w:w="5000" w:type="pct"/>
        <w:tblLook w:val="04A0" w:firstRow="1" w:lastRow="0" w:firstColumn="1" w:lastColumn="0" w:noHBand="0" w:noVBand="1"/>
      </w:tblPr>
      <w:tblGrid>
        <w:gridCol w:w="4488"/>
        <w:gridCol w:w="4556"/>
      </w:tblGrid>
      <w:tr w:rsidR="00CA282D" w:rsidRPr="00894701" w14:paraId="5A580312" w14:textId="77777777" w:rsidTr="00446B8D">
        <w:trPr>
          <w:trHeight w:val="294"/>
        </w:trPr>
        <w:tc>
          <w:tcPr>
            <w:tcW w:w="2481" w:type="pct"/>
            <w:tcBorders>
              <w:top w:val="single" w:sz="2" w:space="0" w:color="FF0000"/>
              <w:left w:val="single" w:sz="2" w:space="0" w:color="FF0000"/>
              <w:bottom w:val="single" w:sz="4" w:space="0" w:color="C0C0C0"/>
              <w:right w:val="nil"/>
            </w:tcBorders>
            <w:shd w:val="clear" w:color="auto" w:fill="7A091A"/>
          </w:tcPr>
          <w:p w14:paraId="22D68572" w14:textId="77777777" w:rsidR="00CA282D" w:rsidRPr="00894701" w:rsidRDefault="00CA282D" w:rsidP="00446B8D">
            <w:pPr>
              <w:spacing w:before="38" w:after="0" w:line="240" w:lineRule="auto"/>
              <w:ind w:left="40"/>
              <w:rPr>
                <w:rFonts w:asciiTheme="minorHAnsi" w:hAnsiTheme="minorHAnsi"/>
                <w:color w:val="010302"/>
                <w:kern w:val="0"/>
                <w:sz w:val="22"/>
                <w:lang w:val="en-GB"/>
              </w:rPr>
            </w:pPr>
            <w:r w:rsidRPr="00894701">
              <w:rPr>
                <w:rFonts w:asciiTheme="minorHAnsi" w:hAnsiTheme="minorHAnsi" w:cs="TrebuchetMS-Bold"/>
                <w:b/>
                <w:bCs/>
                <w:color w:val="FFFFFF"/>
                <w:kern w:val="0"/>
                <w:szCs w:val="18"/>
              </w:rPr>
              <w:t xml:space="preserve">Mining material </w:t>
            </w:r>
          </w:p>
        </w:tc>
        <w:tc>
          <w:tcPr>
            <w:tcW w:w="2519" w:type="pct"/>
            <w:tcBorders>
              <w:top w:val="single" w:sz="2" w:space="0" w:color="FF0000"/>
              <w:left w:val="nil"/>
              <w:bottom w:val="single" w:sz="4" w:space="0" w:color="C0C0C0"/>
              <w:right w:val="single" w:sz="2" w:space="0" w:color="FF0000"/>
            </w:tcBorders>
            <w:shd w:val="clear" w:color="auto" w:fill="7A091A"/>
          </w:tcPr>
          <w:p w14:paraId="1ACA34CB" w14:textId="77777777" w:rsidR="00CA282D" w:rsidRPr="00894701" w:rsidRDefault="00CA282D" w:rsidP="00446B8D">
            <w:pPr>
              <w:spacing w:before="38" w:after="0" w:line="240" w:lineRule="auto"/>
              <w:ind w:firstLine="70"/>
              <w:rPr>
                <w:rFonts w:asciiTheme="minorHAnsi" w:hAnsiTheme="minorHAnsi"/>
                <w:color w:val="010302"/>
                <w:kern w:val="0"/>
                <w:sz w:val="22"/>
                <w:lang w:val="en-GB"/>
              </w:rPr>
            </w:pPr>
            <w:r w:rsidRPr="00894701">
              <w:rPr>
                <w:rFonts w:asciiTheme="minorHAnsi" w:hAnsiTheme="minorHAnsi" w:cs="TrebuchetMS-Bold"/>
                <w:b/>
                <w:bCs/>
                <w:color w:val="FFFFFF"/>
                <w:kern w:val="0"/>
                <w:szCs w:val="18"/>
              </w:rPr>
              <w:t xml:space="preserve">Amount/ percentage of royalty  </w:t>
            </w:r>
          </w:p>
        </w:tc>
      </w:tr>
      <w:tr w:rsidR="00CA282D" w:rsidRPr="00894701" w14:paraId="674A55D8" w14:textId="77777777" w:rsidTr="00446B8D">
        <w:trPr>
          <w:trHeight w:val="263"/>
        </w:trPr>
        <w:tc>
          <w:tcPr>
            <w:tcW w:w="5000" w:type="pct"/>
            <w:gridSpan w:val="2"/>
            <w:tcBorders>
              <w:top w:val="single" w:sz="4" w:space="0" w:color="C0C0C0"/>
              <w:left w:val="single" w:sz="2" w:space="0" w:color="FF0000"/>
              <w:bottom w:val="single" w:sz="4" w:space="0" w:color="F47588"/>
              <w:right w:val="single" w:sz="2" w:space="0" w:color="FF0000"/>
            </w:tcBorders>
            <w:shd w:val="clear" w:color="auto" w:fill="C0C0C0"/>
          </w:tcPr>
          <w:p w14:paraId="7D7AB3A2" w14:textId="77777777" w:rsidR="00CA282D" w:rsidRPr="00894701" w:rsidRDefault="00CA282D" w:rsidP="00446B8D">
            <w:pPr>
              <w:spacing w:before="37" w:after="0" w:line="240" w:lineRule="auto"/>
              <w:ind w:left="40"/>
              <w:rPr>
                <w:rFonts w:asciiTheme="minorHAnsi" w:hAnsiTheme="minorHAnsi"/>
                <w:color w:val="010302"/>
                <w:kern w:val="0"/>
                <w:sz w:val="22"/>
                <w:lang w:val="en-GB"/>
              </w:rPr>
            </w:pPr>
            <w:r w:rsidRPr="00894701">
              <w:rPr>
                <w:rFonts w:asciiTheme="minorHAnsi" w:hAnsiTheme="minorHAnsi" w:cs="TrebuchetMS-Bold"/>
                <w:b/>
                <w:bCs/>
                <w:color w:val="000000"/>
                <w:kern w:val="0"/>
                <w:szCs w:val="18"/>
              </w:rPr>
              <w:t xml:space="preserve">Gold/silver large-scale mining based on Mineral Agreements </w:t>
            </w:r>
          </w:p>
        </w:tc>
      </w:tr>
      <w:tr w:rsidR="00CA282D" w:rsidRPr="00894701" w14:paraId="2A6CB0DB" w14:textId="77777777" w:rsidTr="00446B8D">
        <w:trPr>
          <w:trHeight w:val="419"/>
        </w:trPr>
        <w:tc>
          <w:tcPr>
            <w:tcW w:w="2481" w:type="pct"/>
            <w:tcBorders>
              <w:top w:val="single" w:sz="4" w:space="0" w:color="F47588"/>
              <w:left w:val="single" w:sz="2" w:space="0" w:color="FF0000"/>
              <w:bottom w:val="single" w:sz="4" w:space="0" w:color="F47588"/>
              <w:right w:val="single" w:sz="4" w:space="0" w:color="F47588"/>
            </w:tcBorders>
          </w:tcPr>
          <w:p w14:paraId="29CC3362" w14:textId="77777777" w:rsidR="00CA282D" w:rsidRPr="00894701" w:rsidRDefault="00CA282D" w:rsidP="00446B8D">
            <w:pPr>
              <w:spacing w:before="18" w:after="0" w:line="240" w:lineRule="auto"/>
              <w:ind w:left="40"/>
              <w:rPr>
                <w:rFonts w:asciiTheme="minorHAnsi" w:hAnsiTheme="minorHAnsi"/>
                <w:color w:val="010302"/>
                <w:kern w:val="0"/>
                <w:sz w:val="22"/>
                <w:lang w:val="en-GB"/>
              </w:rPr>
            </w:pPr>
            <w:r w:rsidRPr="00894701">
              <w:rPr>
                <w:rFonts w:asciiTheme="minorHAnsi" w:hAnsiTheme="minorHAnsi" w:cs="TrebuchetMS-Bold"/>
                <w:b/>
                <w:bCs/>
                <w:color w:val="000000"/>
                <w:kern w:val="0"/>
                <w:szCs w:val="18"/>
              </w:rPr>
              <w:t>RGM royalty fee to b</w:t>
            </w:r>
            <w:r w:rsidRPr="00894701">
              <w:rPr>
                <w:rFonts w:asciiTheme="minorHAnsi" w:hAnsiTheme="minorHAnsi" w:cs="TrebuchetMS-Bold"/>
                <w:b/>
                <w:bCs/>
                <w:color w:val="000000"/>
                <w:spacing w:val="-2"/>
                <w:kern w:val="0"/>
                <w:szCs w:val="18"/>
              </w:rPr>
              <w:t>e</w:t>
            </w:r>
            <w:r w:rsidRPr="00894701">
              <w:rPr>
                <w:rFonts w:asciiTheme="minorHAnsi" w:hAnsiTheme="minorHAnsi" w:cs="TrebuchetMS-Bold"/>
                <w:b/>
                <w:bCs/>
                <w:color w:val="000000"/>
                <w:kern w:val="0"/>
                <w:szCs w:val="18"/>
              </w:rPr>
              <w:t xml:space="preserve"> paid in cash </w:t>
            </w:r>
          </w:p>
        </w:tc>
        <w:tc>
          <w:tcPr>
            <w:tcW w:w="2519" w:type="pct"/>
            <w:tcBorders>
              <w:top w:val="single" w:sz="4" w:space="0" w:color="F47588"/>
              <w:left w:val="single" w:sz="4" w:space="0" w:color="F47588"/>
              <w:bottom w:val="single" w:sz="4" w:space="0" w:color="F47588"/>
              <w:right w:val="single" w:sz="2" w:space="0" w:color="FF0000"/>
            </w:tcBorders>
          </w:tcPr>
          <w:p w14:paraId="19DC105E" w14:textId="734F8AC1" w:rsidR="00CA282D" w:rsidRPr="00894701" w:rsidRDefault="00CA282D" w:rsidP="000F4783">
            <w:pPr>
              <w:spacing w:before="54" w:after="0" w:line="240" w:lineRule="auto"/>
              <w:jc w:val="both"/>
              <w:rPr>
                <w:rFonts w:asciiTheme="minorHAnsi" w:hAnsiTheme="minorHAnsi" w:cs="TrebuchetMS"/>
                <w:color w:val="000000"/>
                <w:kern w:val="0"/>
                <w:szCs w:val="18"/>
                <w:lang w:val="en-GB"/>
              </w:rPr>
            </w:pPr>
            <w:r w:rsidRPr="00894701">
              <w:rPr>
                <w:rFonts w:asciiTheme="minorHAnsi" w:hAnsiTheme="minorHAnsi" w:cs="TrebuchetMS"/>
                <w:color w:val="000000"/>
                <w:kern w:val="0"/>
                <w:szCs w:val="18"/>
              </w:rPr>
              <w:t>6.5% when the gold price is more than USD 425 per troy</w:t>
            </w:r>
            <w:r w:rsidR="0025630A" w:rsidRPr="00894701">
              <w:rPr>
                <w:rFonts w:asciiTheme="minorHAnsi" w:hAnsiTheme="minorHAnsi" w:cs="TrebuchetMS"/>
                <w:color w:val="000000"/>
                <w:kern w:val="0"/>
                <w:szCs w:val="18"/>
              </w:rPr>
              <w:t xml:space="preserve"> </w:t>
            </w:r>
            <w:r w:rsidRPr="00894701">
              <w:rPr>
                <w:rFonts w:asciiTheme="minorHAnsi" w:hAnsiTheme="minorHAnsi" w:cs="TrebuchetMS"/>
                <w:color w:val="000000"/>
                <w:kern w:val="0"/>
                <w:szCs w:val="18"/>
              </w:rPr>
              <w:t xml:space="preserve">ounce </w:t>
            </w:r>
          </w:p>
        </w:tc>
      </w:tr>
      <w:tr w:rsidR="00CA282D" w:rsidRPr="00894701" w14:paraId="1F9A5A96" w14:textId="77777777" w:rsidTr="00446B8D">
        <w:trPr>
          <w:trHeight w:val="282"/>
        </w:trPr>
        <w:tc>
          <w:tcPr>
            <w:tcW w:w="2481" w:type="pct"/>
            <w:tcBorders>
              <w:top w:val="single" w:sz="4" w:space="0" w:color="F47588"/>
              <w:left w:val="single" w:sz="2" w:space="0" w:color="FF0000"/>
              <w:bottom w:val="single" w:sz="4" w:space="0" w:color="F47588"/>
              <w:right w:val="single" w:sz="4" w:space="0" w:color="F47588"/>
            </w:tcBorders>
            <w:shd w:val="clear" w:color="auto" w:fill="F7A3B0"/>
          </w:tcPr>
          <w:p w14:paraId="26C978B5" w14:textId="77777777" w:rsidR="00CA282D" w:rsidRPr="00894701" w:rsidRDefault="00CA282D" w:rsidP="00446B8D">
            <w:pPr>
              <w:spacing w:before="54" w:after="0" w:line="240" w:lineRule="auto"/>
              <w:ind w:left="40"/>
              <w:rPr>
                <w:rFonts w:asciiTheme="minorHAnsi" w:hAnsiTheme="minorHAnsi"/>
                <w:color w:val="010302"/>
                <w:kern w:val="0"/>
                <w:sz w:val="22"/>
                <w:lang w:val="en-GB"/>
              </w:rPr>
            </w:pPr>
            <w:r w:rsidRPr="00894701">
              <w:rPr>
                <w:rFonts w:asciiTheme="minorHAnsi" w:hAnsiTheme="minorHAnsi" w:cs="TrebuchetMS-Bold"/>
                <w:b/>
                <w:bCs/>
                <w:color w:val="000000"/>
                <w:kern w:val="0"/>
                <w:szCs w:val="18"/>
              </w:rPr>
              <w:t>RGM royalty fee to b</w:t>
            </w:r>
            <w:r w:rsidRPr="00894701">
              <w:rPr>
                <w:rFonts w:asciiTheme="minorHAnsi" w:hAnsiTheme="minorHAnsi" w:cs="TrebuchetMS-Bold"/>
                <w:b/>
                <w:bCs/>
                <w:color w:val="000000"/>
                <w:spacing w:val="-2"/>
                <w:kern w:val="0"/>
                <w:szCs w:val="18"/>
              </w:rPr>
              <w:t>e</w:t>
            </w:r>
            <w:r w:rsidRPr="00894701">
              <w:rPr>
                <w:rFonts w:asciiTheme="minorHAnsi" w:hAnsiTheme="minorHAnsi" w:cs="TrebuchetMS-Bold"/>
                <w:b/>
                <w:bCs/>
                <w:color w:val="000000"/>
                <w:kern w:val="0"/>
                <w:szCs w:val="18"/>
              </w:rPr>
              <w:t xml:space="preserve"> paid in-kind </w:t>
            </w:r>
          </w:p>
        </w:tc>
        <w:tc>
          <w:tcPr>
            <w:tcW w:w="2519" w:type="pct"/>
            <w:tcBorders>
              <w:top w:val="single" w:sz="4" w:space="0" w:color="F47588"/>
              <w:left w:val="single" w:sz="4" w:space="0" w:color="F47588"/>
              <w:bottom w:val="single" w:sz="4" w:space="0" w:color="F47588"/>
              <w:right w:val="single" w:sz="2" w:space="0" w:color="FF0000"/>
            </w:tcBorders>
            <w:shd w:val="clear" w:color="auto" w:fill="F7A3B0"/>
          </w:tcPr>
          <w:p w14:paraId="1A28859B" w14:textId="77777777" w:rsidR="00CA282D" w:rsidRPr="00894701" w:rsidRDefault="00CA282D" w:rsidP="000F4783">
            <w:pPr>
              <w:spacing w:before="54" w:after="0" w:line="240" w:lineRule="auto"/>
              <w:jc w:val="both"/>
              <w:rPr>
                <w:rFonts w:asciiTheme="minorHAnsi" w:hAnsiTheme="minorHAnsi" w:cs="TrebuchetMS"/>
                <w:color w:val="000000"/>
                <w:kern w:val="0"/>
                <w:szCs w:val="18"/>
                <w:lang w:val="en-GB"/>
              </w:rPr>
            </w:pPr>
            <w:r w:rsidRPr="00894701">
              <w:rPr>
                <w:rFonts w:asciiTheme="minorHAnsi" w:hAnsiTheme="minorHAnsi" w:cs="TrebuchetMS"/>
                <w:color w:val="000000"/>
                <w:kern w:val="0"/>
                <w:szCs w:val="18"/>
              </w:rPr>
              <w:t xml:space="preserve">2.25% monthly refined production </w:t>
            </w:r>
          </w:p>
        </w:tc>
      </w:tr>
      <w:tr w:rsidR="00CA282D" w:rsidRPr="00894701" w14:paraId="6880B8C0" w14:textId="77777777" w:rsidTr="00446B8D">
        <w:trPr>
          <w:trHeight w:val="282"/>
        </w:trPr>
        <w:tc>
          <w:tcPr>
            <w:tcW w:w="2481" w:type="pct"/>
            <w:tcBorders>
              <w:top w:val="single" w:sz="4" w:space="0" w:color="F47588"/>
              <w:left w:val="single" w:sz="2" w:space="0" w:color="FF0000"/>
              <w:bottom w:val="single" w:sz="4" w:space="0" w:color="F47588"/>
              <w:right w:val="single" w:sz="4" w:space="0" w:color="F47588"/>
            </w:tcBorders>
          </w:tcPr>
          <w:p w14:paraId="7F91E6B5" w14:textId="77777777" w:rsidR="00CA282D" w:rsidRPr="00894701" w:rsidRDefault="00CA282D" w:rsidP="00446B8D">
            <w:pPr>
              <w:spacing w:after="0" w:line="240" w:lineRule="auto"/>
              <w:ind w:left="40"/>
              <w:rPr>
                <w:rFonts w:asciiTheme="minorHAnsi" w:hAnsiTheme="minorHAnsi"/>
                <w:color w:val="010302"/>
                <w:kern w:val="0"/>
                <w:sz w:val="22"/>
                <w:lang w:val="en-GB"/>
              </w:rPr>
            </w:pPr>
            <w:r w:rsidRPr="00894701">
              <w:rPr>
                <w:rFonts w:asciiTheme="minorHAnsi" w:hAnsiTheme="minorHAnsi" w:cs="TrebuchetMS-Bold"/>
                <w:b/>
                <w:bCs/>
                <w:color w:val="000000"/>
                <w:kern w:val="0"/>
                <w:szCs w:val="18"/>
              </w:rPr>
              <w:t xml:space="preserve">NS royalty fee to be paid in </w:t>
            </w:r>
            <w:r w:rsidRPr="00894701">
              <w:rPr>
                <w:rFonts w:asciiTheme="minorHAnsi" w:hAnsiTheme="minorHAnsi" w:cs="TrebuchetMS-Bold"/>
                <w:b/>
                <w:bCs/>
                <w:color w:val="000000"/>
                <w:spacing w:val="-3"/>
                <w:kern w:val="0"/>
                <w:szCs w:val="18"/>
              </w:rPr>
              <w:t>c</w:t>
            </w:r>
            <w:r w:rsidRPr="00894701">
              <w:rPr>
                <w:rFonts w:asciiTheme="minorHAnsi" w:hAnsiTheme="minorHAnsi" w:cs="TrebuchetMS-Bold"/>
                <w:b/>
                <w:bCs/>
                <w:color w:val="000000"/>
                <w:kern w:val="0"/>
                <w:szCs w:val="18"/>
              </w:rPr>
              <w:t xml:space="preserve">ash </w:t>
            </w:r>
          </w:p>
        </w:tc>
        <w:tc>
          <w:tcPr>
            <w:tcW w:w="2519" w:type="pct"/>
            <w:tcBorders>
              <w:top w:val="single" w:sz="4" w:space="0" w:color="F47588"/>
              <w:left w:val="single" w:sz="4" w:space="0" w:color="F47588"/>
              <w:bottom w:val="single" w:sz="4" w:space="0" w:color="F47588"/>
              <w:right w:val="single" w:sz="2" w:space="0" w:color="FF0000"/>
            </w:tcBorders>
          </w:tcPr>
          <w:p w14:paraId="1B4CB321" w14:textId="77777777" w:rsidR="00CA282D" w:rsidRPr="00894701" w:rsidRDefault="00CA282D" w:rsidP="000F4783">
            <w:pPr>
              <w:spacing w:before="54" w:after="0" w:line="240" w:lineRule="auto"/>
              <w:jc w:val="both"/>
              <w:rPr>
                <w:rFonts w:asciiTheme="minorHAnsi" w:hAnsiTheme="minorHAnsi" w:cs="TrebuchetMS"/>
                <w:color w:val="000000"/>
                <w:kern w:val="0"/>
                <w:szCs w:val="18"/>
                <w:lang w:val="en-GB"/>
              </w:rPr>
            </w:pPr>
            <w:r w:rsidRPr="00894701">
              <w:rPr>
                <w:rFonts w:asciiTheme="minorHAnsi" w:hAnsiTheme="minorHAnsi" w:cs="TrebuchetMS"/>
                <w:color w:val="000000"/>
                <w:kern w:val="0"/>
                <w:szCs w:val="18"/>
              </w:rPr>
              <w:t xml:space="preserve">6% over the net smelter return </w:t>
            </w:r>
          </w:p>
        </w:tc>
      </w:tr>
      <w:tr w:rsidR="00CA282D" w:rsidRPr="00894701" w14:paraId="0714A761" w14:textId="77777777" w:rsidTr="00446B8D">
        <w:trPr>
          <w:trHeight w:val="282"/>
        </w:trPr>
        <w:tc>
          <w:tcPr>
            <w:tcW w:w="5000" w:type="pct"/>
            <w:gridSpan w:val="2"/>
            <w:tcBorders>
              <w:top w:val="single" w:sz="4" w:space="0" w:color="F47588"/>
              <w:left w:val="single" w:sz="2" w:space="0" w:color="FF0000"/>
              <w:bottom w:val="single" w:sz="4" w:space="0" w:color="F47588"/>
              <w:right w:val="single" w:sz="2" w:space="0" w:color="FF0000"/>
            </w:tcBorders>
            <w:shd w:val="clear" w:color="auto" w:fill="C0C0C0"/>
          </w:tcPr>
          <w:p w14:paraId="2D3C8DB2" w14:textId="77777777" w:rsidR="00CA282D" w:rsidRPr="00894701" w:rsidRDefault="00CA282D" w:rsidP="000F4783">
            <w:pPr>
              <w:spacing w:after="0" w:line="240" w:lineRule="auto"/>
              <w:ind w:left="40"/>
              <w:jc w:val="both"/>
              <w:rPr>
                <w:rFonts w:asciiTheme="minorHAnsi" w:hAnsiTheme="minorHAnsi"/>
                <w:color w:val="010302"/>
                <w:kern w:val="0"/>
                <w:sz w:val="22"/>
                <w:lang w:val="en-GB"/>
              </w:rPr>
            </w:pPr>
            <w:r w:rsidRPr="00894701">
              <w:rPr>
                <w:rFonts w:asciiTheme="minorHAnsi" w:hAnsiTheme="minorHAnsi" w:cs="TrebuchetMS-Bold"/>
                <w:b/>
                <w:bCs/>
                <w:color w:val="000000"/>
                <w:kern w:val="0"/>
                <w:szCs w:val="18"/>
              </w:rPr>
              <w:t xml:space="preserve">Small and medium-scale mining companies based on Mining Decree </w:t>
            </w:r>
          </w:p>
        </w:tc>
      </w:tr>
      <w:tr w:rsidR="00CA282D" w:rsidRPr="00894701" w14:paraId="33A2A933" w14:textId="77777777" w:rsidTr="007426C6">
        <w:trPr>
          <w:trHeight w:val="337"/>
        </w:trPr>
        <w:tc>
          <w:tcPr>
            <w:tcW w:w="2481" w:type="pct"/>
            <w:tcBorders>
              <w:top w:val="single" w:sz="4" w:space="0" w:color="F47588"/>
              <w:left w:val="single" w:sz="2" w:space="0" w:color="FF0000"/>
              <w:bottom w:val="single" w:sz="4" w:space="0" w:color="F47588"/>
              <w:right w:val="single" w:sz="4" w:space="0" w:color="F47588"/>
            </w:tcBorders>
          </w:tcPr>
          <w:p w14:paraId="682EF55D" w14:textId="46D69F35" w:rsidR="00CA282D" w:rsidRPr="00894701" w:rsidRDefault="00CA282D" w:rsidP="00446B8D">
            <w:pPr>
              <w:spacing w:before="3" w:after="0" w:line="240" w:lineRule="auto"/>
              <w:ind w:left="40"/>
              <w:rPr>
                <w:rFonts w:asciiTheme="minorHAnsi" w:hAnsiTheme="minorHAnsi"/>
                <w:color w:val="010302"/>
                <w:kern w:val="0"/>
                <w:sz w:val="22"/>
                <w:lang w:val="en-GB"/>
              </w:rPr>
            </w:pPr>
            <w:r w:rsidRPr="00894701">
              <w:rPr>
                <w:rFonts w:asciiTheme="minorHAnsi" w:hAnsiTheme="minorHAnsi" w:cs="TrebuchetMS-Bold"/>
                <w:b/>
                <w:bCs/>
                <w:color w:val="000000"/>
                <w:kern w:val="0"/>
                <w:szCs w:val="18"/>
              </w:rPr>
              <w:t xml:space="preserve">Gold/silver small and medium scale mining </w:t>
            </w:r>
            <w:r w:rsidR="008B1A00">
              <w:rPr>
                <w:rFonts w:asciiTheme="minorHAnsi" w:hAnsiTheme="minorHAnsi" w:cs="TrebuchetMS-Bold"/>
                <w:b/>
                <w:bCs/>
                <w:color w:val="000000"/>
                <w:kern w:val="0"/>
                <w:szCs w:val="18"/>
              </w:rPr>
              <w:t>entities</w:t>
            </w:r>
            <w:r w:rsidRPr="00894701">
              <w:rPr>
                <w:rFonts w:asciiTheme="minorHAnsi" w:hAnsiTheme="minorHAnsi" w:cs="TrebuchetMS-Bold"/>
                <w:b/>
                <w:bCs/>
                <w:color w:val="000000"/>
                <w:kern w:val="0"/>
                <w:szCs w:val="18"/>
              </w:rPr>
              <w:t xml:space="preserve"> </w:t>
            </w:r>
          </w:p>
        </w:tc>
        <w:tc>
          <w:tcPr>
            <w:tcW w:w="2519" w:type="pct"/>
            <w:tcBorders>
              <w:top w:val="single" w:sz="4" w:space="0" w:color="F47588"/>
              <w:left w:val="single" w:sz="4" w:space="0" w:color="F47588"/>
              <w:bottom w:val="single" w:sz="4" w:space="0" w:color="F47588"/>
              <w:right w:val="single" w:sz="2" w:space="0" w:color="FF0000"/>
            </w:tcBorders>
          </w:tcPr>
          <w:p w14:paraId="6C87DFD4" w14:textId="77777777" w:rsidR="00CA282D" w:rsidRPr="00894701" w:rsidRDefault="00CA282D" w:rsidP="000F4783">
            <w:pPr>
              <w:spacing w:after="0" w:line="240" w:lineRule="auto"/>
              <w:jc w:val="both"/>
              <w:rPr>
                <w:rFonts w:asciiTheme="minorHAnsi" w:hAnsiTheme="minorHAnsi"/>
                <w:color w:val="auto"/>
                <w:kern w:val="0"/>
                <w:sz w:val="22"/>
                <w:lang w:val="en-GB"/>
              </w:rPr>
            </w:pPr>
          </w:p>
        </w:tc>
      </w:tr>
      <w:tr w:rsidR="007112CE" w:rsidRPr="00894701" w14:paraId="43CB9AA4" w14:textId="77777777" w:rsidTr="00296070">
        <w:trPr>
          <w:trHeight w:val="1326"/>
        </w:trPr>
        <w:tc>
          <w:tcPr>
            <w:tcW w:w="2481" w:type="pct"/>
            <w:tcBorders>
              <w:top w:val="single" w:sz="4" w:space="0" w:color="F47588"/>
              <w:left w:val="single" w:sz="2" w:space="0" w:color="FF0000"/>
              <w:bottom w:val="nil"/>
              <w:right w:val="single" w:sz="4" w:space="0" w:color="F47588"/>
            </w:tcBorders>
            <w:shd w:val="clear" w:color="auto" w:fill="F7A3B0"/>
          </w:tcPr>
          <w:p w14:paraId="0241D3A3" w14:textId="77777777" w:rsidR="007112CE" w:rsidRPr="00894701" w:rsidRDefault="007112CE" w:rsidP="00446B8D">
            <w:pPr>
              <w:spacing w:before="332" w:after="0" w:line="240" w:lineRule="auto"/>
              <w:ind w:left="40"/>
              <w:rPr>
                <w:rFonts w:asciiTheme="minorHAnsi" w:hAnsiTheme="minorHAnsi"/>
                <w:color w:val="010302"/>
                <w:kern w:val="0"/>
                <w:sz w:val="22"/>
                <w:lang w:val="en-GB"/>
              </w:rPr>
            </w:pPr>
            <w:r w:rsidRPr="00894701">
              <w:rPr>
                <w:rFonts w:asciiTheme="minorHAnsi" w:hAnsiTheme="minorHAnsi" w:cs="TrebuchetMS-Bold"/>
                <w:b/>
                <w:bCs/>
                <w:color w:val="000000"/>
                <w:kern w:val="0"/>
                <w:szCs w:val="18"/>
              </w:rPr>
              <w:t xml:space="preserve">Diamond  </w:t>
            </w:r>
          </w:p>
        </w:tc>
        <w:tc>
          <w:tcPr>
            <w:tcW w:w="2519" w:type="pct"/>
            <w:tcBorders>
              <w:top w:val="single" w:sz="4" w:space="0" w:color="F47588"/>
              <w:left w:val="single" w:sz="4" w:space="0" w:color="F47588"/>
              <w:right w:val="single" w:sz="2" w:space="0" w:color="FF0000"/>
            </w:tcBorders>
            <w:shd w:val="clear" w:color="auto" w:fill="F7A3B0"/>
          </w:tcPr>
          <w:p w14:paraId="5E935B2F" w14:textId="1147FAB8" w:rsidR="007112CE" w:rsidRDefault="007112CE" w:rsidP="007112CE">
            <w:pPr>
              <w:spacing w:before="16" w:after="0" w:line="240" w:lineRule="auto"/>
              <w:ind w:left="50"/>
              <w:jc w:val="both"/>
              <w:rPr>
                <w:rFonts w:asciiTheme="minorHAnsi" w:hAnsiTheme="minorHAnsi" w:cs="TrebuchetMS"/>
                <w:color w:val="000000"/>
                <w:kern w:val="0"/>
                <w:szCs w:val="18"/>
              </w:rPr>
            </w:pPr>
            <w:r w:rsidRPr="00894701">
              <w:rPr>
                <w:rFonts w:asciiTheme="minorHAnsi" w:hAnsiTheme="minorHAnsi" w:cs="TrebuchetMS"/>
                <w:color w:val="000000"/>
                <w:kern w:val="0"/>
                <w:szCs w:val="18"/>
              </w:rPr>
              <w:t xml:space="preserve">No specific royalty rates are known yet for large </w:t>
            </w:r>
            <w:r w:rsidRPr="007112CE">
              <w:rPr>
                <w:rFonts w:asciiTheme="minorHAnsi" w:hAnsiTheme="minorHAnsi" w:cs="TrebuchetMS"/>
                <w:color w:val="000000"/>
                <w:kern w:val="0"/>
                <w:szCs w:val="18"/>
              </w:rPr>
              <w:t>entities</w:t>
            </w:r>
            <w:r w:rsidRPr="00894701">
              <w:rPr>
                <w:rFonts w:asciiTheme="minorHAnsi" w:hAnsiTheme="minorHAnsi" w:cs="TrebuchetMS"/>
                <w:color w:val="000000"/>
                <w:kern w:val="0"/>
                <w:szCs w:val="18"/>
              </w:rPr>
              <w:t xml:space="preserve">. </w:t>
            </w:r>
          </w:p>
          <w:p w14:paraId="3260B9FB" w14:textId="116A1A0C" w:rsidR="007112CE" w:rsidRPr="00894701" w:rsidRDefault="007112CE" w:rsidP="007112CE">
            <w:pPr>
              <w:spacing w:after="0" w:line="240" w:lineRule="auto"/>
              <w:jc w:val="both"/>
              <w:rPr>
                <w:rFonts w:asciiTheme="minorHAnsi" w:hAnsiTheme="minorHAnsi"/>
                <w:color w:val="010302"/>
                <w:kern w:val="0"/>
                <w:sz w:val="22"/>
                <w:lang w:val="en-GB"/>
              </w:rPr>
            </w:pPr>
            <w:r w:rsidRPr="00894701">
              <w:rPr>
                <w:rFonts w:asciiTheme="minorHAnsi" w:hAnsiTheme="minorHAnsi" w:cs="TrebuchetMS"/>
                <w:color w:val="000000"/>
                <w:kern w:val="0"/>
                <w:szCs w:val="18"/>
              </w:rPr>
              <w:t xml:space="preserve">For </w:t>
            </w:r>
            <w:r>
              <w:rPr>
                <w:rFonts w:asciiTheme="minorHAnsi" w:hAnsiTheme="minorHAnsi" w:cs="TrebuchetMS"/>
                <w:color w:val="000000"/>
                <w:kern w:val="0"/>
                <w:szCs w:val="18"/>
              </w:rPr>
              <w:t>s</w:t>
            </w:r>
            <w:r w:rsidRPr="00894701">
              <w:rPr>
                <w:rFonts w:asciiTheme="minorHAnsi" w:hAnsiTheme="minorHAnsi" w:cs="TrebuchetMS"/>
                <w:color w:val="000000"/>
                <w:kern w:val="0"/>
                <w:szCs w:val="18"/>
              </w:rPr>
              <w:t xml:space="preserve">mall and medium-scale mining </w:t>
            </w:r>
            <w:r>
              <w:rPr>
                <w:rFonts w:asciiTheme="minorHAnsi" w:hAnsiTheme="minorHAnsi" w:cs="TrebuchetMS"/>
                <w:color w:val="000000"/>
                <w:kern w:val="0"/>
                <w:szCs w:val="18"/>
              </w:rPr>
              <w:t>entities</w:t>
            </w:r>
            <w:r w:rsidRPr="00894701">
              <w:rPr>
                <w:rFonts w:asciiTheme="minorHAnsi" w:hAnsiTheme="minorHAnsi" w:cs="TrebuchetMS"/>
                <w:color w:val="000000"/>
                <w:kern w:val="0"/>
                <w:szCs w:val="18"/>
              </w:rPr>
              <w:t xml:space="preserve"> no other royalty fee </w:t>
            </w:r>
            <w:r>
              <w:rPr>
                <w:rFonts w:asciiTheme="minorHAnsi" w:hAnsiTheme="minorHAnsi" w:cs="TrebuchetMS"/>
                <w:color w:val="000000"/>
                <w:kern w:val="0"/>
                <w:szCs w:val="18"/>
              </w:rPr>
              <w:t xml:space="preserve">is </w:t>
            </w:r>
            <w:r w:rsidRPr="00894701">
              <w:rPr>
                <w:rFonts w:asciiTheme="minorHAnsi" w:hAnsiTheme="minorHAnsi" w:cs="TrebuchetMS"/>
                <w:color w:val="000000"/>
                <w:kern w:val="0"/>
                <w:szCs w:val="18"/>
              </w:rPr>
              <w:t xml:space="preserve">known yet other than the fee for Gold.  </w:t>
            </w:r>
          </w:p>
        </w:tc>
      </w:tr>
    </w:tbl>
    <w:p w14:paraId="46244FF9" w14:textId="0F88FA6E" w:rsidR="00CA282D" w:rsidRPr="00894701" w:rsidRDefault="00670F09" w:rsidP="00A834A8">
      <w:pPr>
        <w:pStyle w:val="AltMinorHeading"/>
        <w:numPr>
          <w:ilvl w:val="2"/>
          <w:numId w:val="59"/>
        </w:numPr>
        <w:rPr>
          <w:szCs w:val="28"/>
        </w:rPr>
      </w:pPr>
      <w:bookmarkStart w:id="157" w:name="_Toc122478861"/>
      <w:r w:rsidRPr="00894701">
        <w:rPr>
          <w:szCs w:val="28"/>
        </w:rPr>
        <w:t xml:space="preserve">Legal and Institutional Framework in the </w:t>
      </w:r>
      <w:r w:rsidR="00CA282D" w:rsidRPr="00894701">
        <w:rPr>
          <w:szCs w:val="28"/>
        </w:rPr>
        <w:t>Oil and Gas sector</w:t>
      </w:r>
      <w:bookmarkEnd w:id="157"/>
      <w:r w:rsidR="00CA282D" w:rsidRPr="00894701">
        <w:rPr>
          <w:szCs w:val="28"/>
        </w:rPr>
        <w:t xml:space="preserve"> </w:t>
      </w:r>
    </w:p>
    <w:p w14:paraId="7A1CD81F" w14:textId="77777777" w:rsidR="00CA282D" w:rsidRPr="00894701" w:rsidRDefault="00CA282D" w:rsidP="00CA282D">
      <w:pPr>
        <w:pStyle w:val="AltMinorSubHeading"/>
        <w:numPr>
          <w:ilvl w:val="0"/>
          <w:numId w:val="0"/>
        </w:numPr>
        <w:spacing w:before="120" w:after="120"/>
      </w:pPr>
      <w:bookmarkStart w:id="158" w:name="_Toc122478862"/>
      <w:r w:rsidRPr="00894701">
        <w:t>3.2.2.(a) Institutional Framework</w:t>
      </w:r>
      <w:bookmarkEnd w:id="158"/>
    </w:p>
    <w:p w14:paraId="3F9C2734" w14:textId="77777777" w:rsidR="00CA282D" w:rsidRPr="00894701" w:rsidRDefault="00CA282D" w:rsidP="00CA282D">
      <w:pPr>
        <w:widowControl w:val="0"/>
        <w:spacing w:before="120" w:line="240" w:lineRule="auto"/>
        <w:rPr>
          <w:rFonts w:asciiTheme="minorHAnsi" w:eastAsiaTheme="minorHAnsi" w:hAnsiTheme="minorHAnsi" w:cs="TrebuchetMS-Bold"/>
          <w:color w:val="auto"/>
          <w:kern w:val="0"/>
          <w:sz w:val="20"/>
          <w:szCs w:val="20"/>
          <w:lang w:eastAsia="en-US"/>
        </w:rPr>
      </w:pPr>
      <w:r w:rsidRPr="00894701">
        <w:rPr>
          <w:rFonts w:asciiTheme="minorHAnsi" w:eastAsiaTheme="minorHAnsi" w:hAnsiTheme="minorHAnsi" w:cs="TrebuchetMS-Bold"/>
          <w:b/>
          <w:bCs/>
          <w:color w:val="ED1A3B"/>
          <w:kern w:val="0"/>
          <w:sz w:val="22"/>
          <w:szCs w:val="22"/>
          <w:lang w:eastAsia="en-US"/>
        </w:rPr>
        <w:t xml:space="preserve"> </w:t>
      </w:r>
      <w:r w:rsidRPr="00894701">
        <w:rPr>
          <w:rFonts w:asciiTheme="minorHAnsi" w:eastAsiaTheme="minorHAnsi" w:hAnsiTheme="minorHAnsi" w:cs="TrebuchetMS-Bold"/>
          <w:color w:val="auto"/>
          <w:kern w:val="0"/>
          <w:sz w:val="20"/>
          <w:szCs w:val="20"/>
          <w:lang w:eastAsia="en-US"/>
        </w:rPr>
        <w:t xml:space="preserve">The main Government Agencies involved in the Oil and Gas sector are listed below: </w:t>
      </w:r>
    </w:p>
    <w:p w14:paraId="6498DF2A" w14:textId="53F01D2F" w:rsidR="00CA282D" w:rsidRPr="00894701" w:rsidRDefault="00CA282D" w:rsidP="00CA282D">
      <w:pPr>
        <w:pStyle w:val="BodyText"/>
        <w:jc w:val="center"/>
        <w:rPr>
          <w:rFonts w:asciiTheme="majorHAnsi" w:hAnsiTheme="majorHAnsi"/>
          <w:b/>
          <w:bCs/>
          <w:color w:val="98002E" w:themeColor="accent3"/>
          <w:sz w:val="20"/>
        </w:rPr>
      </w:pPr>
      <w:bookmarkStart w:id="159" w:name="_Toc93095210"/>
      <w:bookmarkStart w:id="160" w:name="_Toc109599084"/>
      <w:bookmarkStart w:id="161" w:name="_Toc146590491"/>
      <w:r w:rsidRPr="00894701">
        <w:rPr>
          <w:rFonts w:asciiTheme="majorHAnsi" w:hAnsiTheme="majorHAnsi"/>
          <w:b/>
          <w:bCs/>
          <w:color w:val="98002E" w:themeColor="accent3"/>
          <w:sz w:val="20"/>
        </w:rPr>
        <w:t xml:space="preserve">Table </w:t>
      </w:r>
      <w:r w:rsidRPr="00894701">
        <w:rPr>
          <w:rFonts w:asciiTheme="majorHAnsi" w:hAnsiTheme="majorHAnsi"/>
          <w:b/>
          <w:bCs/>
          <w:color w:val="98002E" w:themeColor="accent3"/>
          <w:sz w:val="20"/>
        </w:rPr>
        <w:fldChar w:fldCharType="begin"/>
      </w:r>
      <w:r w:rsidRPr="00894701">
        <w:rPr>
          <w:rFonts w:asciiTheme="majorHAnsi" w:hAnsiTheme="majorHAnsi"/>
          <w:b/>
          <w:bCs/>
          <w:color w:val="98002E" w:themeColor="accent3"/>
          <w:sz w:val="20"/>
        </w:rPr>
        <w:instrText xml:space="preserve"> SEQ Table \* ARABIC </w:instrText>
      </w:r>
      <w:r w:rsidRPr="00894701">
        <w:rPr>
          <w:rFonts w:asciiTheme="majorHAnsi" w:hAnsiTheme="majorHAnsi"/>
          <w:b/>
          <w:bCs/>
          <w:color w:val="98002E" w:themeColor="accent3"/>
          <w:sz w:val="20"/>
        </w:rPr>
        <w:fldChar w:fldCharType="separate"/>
      </w:r>
      <w:r w:rsidR="0035303B">
        <w:rPr>
          <w:rFonts w:asciiTheme="majorHAnsi" w:hAnsiTheme="majorHAnsi"/>
          <w:b/>
          <w:bCs/>
          <w:noProof/>
          <w:color w:val="98002E" w:themeColor="accent3"/>
          <w:sz w:val="20"/>
        </w:rPr>
        <w:t>19</w:t>
      </w:r>
      <w:r w:rsidRPr="00894701">
        <w:rPr>
          <w:rFonts w:asciiTheme="majorHAnsi" w:hAnsiTheme="majorHAnsi"/>
          <w:b/>
          <w:bCs/>
          <w:color w:val="98002E" w:themeColor="accent3"/>
          <w:sz w:val="20"/>
        </w:rPr>
        <w:fldChar w:fldCharType="end"/>
      </w:r>
      <w:r w:rsidRPr="00894701">
        <w:rPr>
          <w:rFonts w:asciiTheme="majorHAnsi" w:hAnsiTheme="majorHAnsi"/>
          <w:b/>
          <w:bCs/>
          <w:color w:val="98002E" w:themeColor="accent3"/>
          <w:sz w:val="20"/>
        </w:rPr>
        <w:t>: List of Government Agencies in the Oil and Gas sector</w:t>
      </w:r>
      <w:bookmarkEnd w:id="159"/>
      <w:bookmarkEnd w:id="160"/>
      <w:bookmarkEnd w:id="161"/>
    </w:p>
    <w:tbl>
      <w:tblPr>
        <w:tblStyle w:val="TableGrid5"/>
        <w:tblW w:w="9017" w:type="dxa"/>
        <w:tblLayout w:type="fixed"/>
        <w:tblLook w:val="04A0" w:firstRow="1" w:lastRow="0" w:firstColumn="1" w:lastColumn="0" w:noHBand="0" w:noVBand="1"/>
      </w:tblPr>
      <w:tblGrid>
        <w:gridCol w:w="1913"/>
        <w:gridCol w:w="7104"/>
      </w:tblGrid>
      <w:tr w:rsidR="00CA282D" w:rsidRPr="00894701" w14:paraId="51FCEC06" w14:textId="77777777" w:rsidTr="00BA29E5">
        <w:trPr>
          <w:trHeight w:val="273"/>
          <w:tblHeader/>
        </w:trPr>
        <w:tc>
          <w:tcPr>
            <w:tcW w:w="1913" w:type="dxa"/>
            <w:tcBorders>
              <w:top w:val="nil"/>
              <w:left w:val="nil"/>
              <w:bottom w:val="single" w:sz="4" w:space="0" w:color="ED1A3B"/>
              <w:right w:val="nil"/>
            </w:tcBorders>
            <w:shd w:val="clear" w:color="auto" w:fill="7A091A"/>
          </w:tcPr>
          <w:p w14:paraId="57B62FF7" w14:textId="77777777" w:rsidR="00CA282D" w:rsidRPr="00894701" w:rsidRDefault="00CA282D" w:rsidP="00446B8D">
            <w:pPr>
              <w:spacing w:before="35" w:after="0" w:line="240" w:lineRule="auto"/>
              <w:ind w:firstLine="69"/>
              <w:rPr>
                <w:rFonts w:asciiTheme="minorHAnsi" w:hAnsiTheme="minorHAnsi"/>
                <w:color w:val="010302"/>
                <w:kern w:val="0"/>
                <w:sz w:val="22"/>
                <w:lang w:val="en-GB"/>
              </w:rPr>
            </w:pPr>
            <w:r w:rsidRPr="00894701">
              <w:rPr>
                <w:rFonts w:asciiTheme="minorHAnsi" w:hAnsiTheme="minorHAnsi" w:cs="TrebuchetMS-Bold"/>
                <w:b/>
                <w:bCs/>
                <w:color w:val="FFFFFF"/>
                <w:kern w:val="0"/>
                <w:szCs w:val="18"/>
              </w:rPr>
              <w:t xml:space="preserve">Entity  </w:t>
            </w:r>
          </w:p>
        </w:tc>
        <w:tc>
          <w:tcPr>
            <w:tcW w:w="7104" w:type="dxa"/>
            <w:tcBorders>
              <w:top w:val="nil"/>
              <w:left w:val="nil"/>
              <w:bottom w:val="single" w:sz="4" w:space="0" w:color="ED1A3B"/>
              <w:right w:val="nil"/>
            </w:tcBorders>
            <w:shd w:val="clear" w:color="auto" w:fill="7A091A"/>
          </w:tcPr>
          <w:p w14:paraId="035AEB2E" w14:textId="77777777" w:rsidR="00CA282D" w:rsidRPr="00894701" w:rsidRDefault="00CA282D" w:rsidP="00446B8D">
            <w:pPr>
              <w:spacing w:after="0" w:line="240" w:lineRule="auto"/>
              <w:ind w:firstLine="69"/>
              <w:rPr>
                <w:rFonts w:asciiTheme="minorHAnsi" w:hAnsiTheme="minorHAnsi" w:cs="TrebuchetMS-Bold"/>
                <w:b/>
                <w:bCs/>
                <w:color w:val="000000"/>
                <w:kern w:val="0"/>
                <w:szCs w:val="18"/>
                <w:lang w:val="en-GB"/>
              </w:rPr>
            </w:pPr>
            <w:r w:rsidRPr="00894701">
              <w:rPr>
                <w:rFonts w:asciiTheme="minorHAnsi" w:hAnsiTheme="minorHAnsi" w:cs="TrebuchetMS-Bold"/>
                <w:b/>
                <w:bCs/>
                <w:color w:val="FFFFFF"/>
                <w:spacing w:val="-9"/>
                <w:kern w:val="0"/>
                <w:szCs w:val="18"/>
              </w:rPr>
              <w:t>F</w:t>
            </w:r>
            <w:r w:rsidRPr="00894701">
              <w:rPr>
                <w:rFonts w:asciiTheme="minorHAnsi" w:hAnsiTheme="minorHAnsi" w:cs="TrebuchetMS-Bold"/>
                <w:b/>
                <w:bCs/>
                <w:color w:val="FFFFFF"/>
                <w:kern w:val="0"/>
                <w:szCs w:val="18"/>
              </w:rPr>
              <w:t xml:space="preserve">unctions </w:t>
            </w:r>
          </w:p>
        </w:tc>
      </w:tr>
      <w:tr w:rsidR="00CA282D" w:rsidRPr="00894701" w14:paraId="2260E154" w14:textId="77777777" w:rsidTr="00446B8D">
        <w:trPr>
          <w:trHeight w:val="208"/>
        </w:trPr>
        <w:tc>
          <w:tcPr>
            <w:tcW w:w="1913" w:type="dxa"/>
            <w:tcBorders>
              <w:top w:val="nil"/>
              <w:left w:val="nil"/>
              <w:bottom w:val="nil"/>
              <w:right w:val="nil"/>
            </w:tcBorders>
            <w:shd w:val="clear" w:color="auto" w:fill="F7A3B0"/>
          </w:tcPr>
          <w:p w14:paraId="6EF77160" w14:textId="77777777" w:rsidR="00CA282D" w:rsidRPr="00894701" w:rsidRDefault="00CA282D" w:rsidP="007112CE">
            <w:pPr>
              <w:spacing w:after="0" w:line="240" w:lineRule="auto"/>
              <w:rPr>
                <w:rFonts w:asciiTheme="minorHAnsi" w:hAnsiTheme="minorHAnsi"/>
                <w:color w:val="010302"/>
                <w:kern w:val="0"/>
                <w:sz w:val="22"/>
                <w:lang w:val="en-GB"/>
              </w:rPr>
            </w:pPr>
            <w:r w:rsidRPr="00894701">
              <w:rPr>
                <w:rFonts w:asciiTheme="minorHAnsi" w:hAnsiTheme="minorHAnsi" w:cs="TrebuchetMS-Bold"/>
                <w:b/>
                <w:bCs/>
                <w:color w:val="000000"/>
                <w:kern w:val="0"/>
                <w:szCs w:val="18"/>
              </w:rPr>
              <w:t>Ministry of Natu</w:t>
            </w:r>
            <w:r w:rsidRPr="00894701">
              <w:rPr>
                <w:rFonts w:asciiTheme="minorHAnsi" w:hAnsiTheme="minorHAnsi" w:cs="TrebuchetMS-Bold"/>
                <w:b/>
                <w:bCs/>
                <w:color w:val="000000"/>
                <w:spacing w:val="-4"/>
                <w:kern w:val="0"/>
                <w:szCs w:val="18"/>
              </w:rPr>
              <w:t>r</w:t>
            </w:r>
            <w:r w:rsidRPr="00894701">
              <w:rPr>
                <w:rFonts w:asciiTheme="minorHAnsi" w:hAnsiTheme="minorHAnsi" w:cs="TrebuchetMS-Bold"/>
                <w:b/>
                <w:bCs/>
                <w:color w:val="000000"/>
                <w:kern w:val="0"/>
                <w:szCs w:val="18"/>
              </w:rPr>
              <w:t xml:space="preserve">al Resources (MONR)  </w:t>
            </w:r>
          </w:p>
        </w:tc>
        <w:tc>
          <w:tcPr>
            <w:tcW w:w="7104" w:type="dxa"/>
            <w:tcBorders>
              <w:top w:val="nil"/>
              <w:left w:val="nil"/>
              <w:bottom w:val="nil"/>
              <w:right w:val="nil"/>
            </w:tcBorders>
            <w:shd w:val="clear" w:color="auto" w:fill="F7A3B0"/>
          </w:tcPr>
          <w:p w14:paraId="25C56FDB" w14:textId="77777777" w:rsidR="00CA282D" w:rsidRPr="00894701" w:rsidRDefault="00CA282D" w:rsidP="00446B8D">
            <w:pPr>
              <w:spacing w:before="16" w:after="0" w:line="240" w:lineRule="auto"/>
              <w:ind w:left="50"/>
              <w:rPr>
                <w:rFonts w:asciiTheme="minorHAnsi" w:hAnsiTheme="minorHAnsi" w:cs="TrebuchetMS-Bold"/>
                <w:color w:val="000000"/>
                <w:kern w:val="0"/>
                <w:szCs w:val="18"/>
                <w:lang w:val="en-GB"/>
              </w:rPr>
            </w:pPr>
            <w:r w:rsidRPr="00894701">
              <w:rPr>
                <w:rFonts w:asciiTheme="minorHAnsi" w:hAnsiTheme="minorHAnsi" w:cs="TrebuchetMS-Bold"/>
                <w:color w:val="000000"/>
                <w:kern w:val="0"/>
                <w:szCs w:val="18"/>
              </w:rPr>
              <w:t xml:space="preserve">Please see Mining sector (Sub-Section 4.2.1(a)) </w:t>
            </w:r>
          </w:p>
        </w:tc>
      </w:tr>
      <w:tr w:rsidR="00CA282D" w:rsidRPr="00894701" w14:paraId="664BDB9E" w14:textId="77777777" w:rsidTr="00446B8D">
        <w:trPr>
          <w:trHeight w:val="208"/>
        </w:trPr>
        <w:tc>
          <w:tcPr>
            <w:tcW w:w="1913" w:type="dxa"/>
            <w:tcBorders>
              <w:top w:val="nil"/>
              <w:left w:val="nil"/>
              <w:bottom w:val="single" w:sz="2" w:space="0" w:color="FF0000"/>
              <w:right w:val="nil"/>
            </w:tcBorders>
            <w:shd w:val="clear" w:color="auto" w:fill="auto"/>
          </w:tcPr>
          <w:p w14:paraId="3BDB7EAC" w14:textId="77777777" w:rsidR="00CA282D" w:rsidRPr="00894701" w:rsidRDefault="00CA282D" w:rsidP="00446B8D">
            <w:pPr>
              <w:spacing w:after="0" w:line="240" w:lineRule="auto"/>
              <w:ind w:firstLine="69"/>
              <w:rPr>
                <w:rFonts w:asciiTheme="minorHAnsi" w:hAnsiTheme="minorHAnsi" w:cs="TrebuchetMS-Bold"/>
                <w:b/>
                <w:bCs/>
                <w:color w:val="000000"/>
                <w:kern w:val="0"/>
                <w:szCs w:val="18"/>
                <w:lang w:val="nl-NL"/>
              </w:rPr>
            </w:pPr>
            <w:r w:rsidRPr="00894701">
              <w:rPr>
                <w:rFonts w:asciiTheme="minorHAnsi" w:hAnsiTheme="minorHAnsi" w:cs="TrebuchetMS-Bold"/>
                <w:b/>
                <w:bCs/>
                <w:color w:val="000000"/>
                <w:kern w:val="0"/>
                <w:szCs w:val="18"/>
                <w:lang w:val="nl-NL"/>
              </w:rPr>
              <w:t xml:space="preserve">Staatsolie </w:t>
            </w:r>
          </w:p>
          <w:p w14:paraId="6E9763A0" w14:textId="77777777" w:rsidR="00CA282D" w:rsidRPr="00894701" w:rsidRDefault="00CA282D" w:rsidP="00446B8D">
            <w:pPr>
              <w:spacing w:after="0" w:line="240" w:lineRule="auto"/>
              <w:ind w:firstLine="69"/>
              <w:rPr>
                <w:rFonts w:asciiTheme="minorHAnsi" w:hAnsiTheme="minorHAnsi" w:cs="TrebuchetMS-Bold"/>
                <w:b/>
                <w:bCs/>
                <w:color w:val="000000"/>
                <w:kern w:val="0"/>
                <w:szCs w:val="18"/>
                <w:lang w:val="nl-NL"/>
              </w:rPr>
            </w:pPr>
            <w:r w:rsidRPr="00894701">
              <w:rPr>
                <w:rFonts w:asciiTheme="minorHAnsi" w:hAnsiTheme="minorHAnsi" w:cs="TrebuchetMS-Bold"/>
                <w:b/>
                <w:bCs/>
                <w:color w:val="000000"/>
                <w:kern w:val="0"/>
                <w:szCs w:val="18"/>
                <w:lang w:val="nl-NL"/>
              </w:rPr>
              <w:lastRenderedPageBreak/>
              <w:t xml:space="preserve">Maatschappij Suriname NV (Staatsolie) </w:t>
            </w:r>
          </w:p>
        </w:tc>
        <w:tc>
          <w:tcPr>
            <w:tcW w:w="7104" w:type="dxa"/>
            <w:tcBorders>
              <w:top w:val="nil"/>
              <w:left w:val="nil"/>
              <w:bottom w:val="single" w:sz="2" w:space="0" w:color="FF0000"/>
              <w:right w:val="nil"/>
            </w:tcBorders>
            <w:shd w:val="clear" w:color="auto" w:fill="auto"/>
          </w:tcPr>
          <w:p w14:paraId="40D5D47B" w14:textId="77777777" w:rsidR="00CA282D" w:rsidRPr="00894701" w:rsidRDefault="00CA282D" w:rsidP="00446B8D">
            <w:pPr>
              <w:spacing w:before="16" w:after="0" w:line="240" w:lineRule="auto"/>
              <w:ind w:left="50"/>
              <w:jc w:val="both"/>
              <w:rPr>
                <w:rFonts w:asciiTheme="minorHAnsi" w:hAnsiTheme="minorHAnsi" w:cs="TrebuchetMS-Bold"/>
                <w:color w:val="000000"/>
                <w:kern w:val="0"/>
                <w:szCs w:val="18"/>
                <w:lang w:val="en-GB"/>
              </w:rPr>
            </w:pPr>
            <w:r w:rsidRPr="00894701">
              <w:rPr>
                <w:rFonts w:asciiTheme="minorHAnsi" w:hAnsiTheme="minorHAnsi" w:cs="TrebuchetMS-Bold"/>
                <w:color w:val="000000"/>
                <w:kern w:val="0"/>
                <w:szCs w:val="18"/>
              </w:rPr>
              <w:lastRenderedPageBreak/>
              <w:t xml:space="preserve">Staatsolie Maatschappij Suriname N.V., a 100% State-owned Entity (SOE), was </w:t>
            </w:r>
            <w:r w:rsidRPr="00894701">
              <w:rPr>
                <w:rFonts w:asciiTheme="minorHAnsi" w:hAnsiTheme="minorHAnsi" w:cs="TrebuchetMS-Bold"/>
                <w:color w:val="000000"/>
                <w:kern w:val="0"/>
                <w:szCs w:val="18"/>
              </w:rPr>
              <w:lastRenderedPageBreak/>
              <w:t xml:space="preserve">established in 1980 to regulate and supervise as a state vehicle to execute the Government’s oil policy. That policy stipulates that foreign oil companies can only explore for and eventually produce oil through service contracts with Staatsolie. </w:t>
            </w:r>
          </w:p>
          <w:p w14:paraId="66454720" w14:textId="77777777" w:rsidR="00CA282D" w:rsidRPr="00894701" w:rsidRDefault="00CA282D" w:rsidP="00446B8D">
            <w:pPr>
              <w:spacing w:before="16" w:after="0" w:line="240" w:lineRule="auto"/>
              <w:ind w:left="50"/>
              <w:jc w:val="both"/>
              <w:rPr>
                <w:rFonts w:asciiTheme="minorHAnsi" w:hAnsiTheme="minorHAnsi" w:cs="TrebuchetMS-Bold"/>
                <w:color w:val="000000"/>
                <w:kern w:val="0"/>
                <w:szCs w:val="18"/>
                <w:lang w:val="en-GB"/>
              </w:rPr>
            </w:pPr>
            <w:r w:rsidRPr="00894701">
              <w:rPr>
                <w:rFonts w:asciiTheme="minorHAnsi" w:hAnsiTheme="minorHAnsi" w:cs="TrebuchetMS-Bold"/>
                <w:color w:val="000000"/>
                <w:kern w:val="0"/>
                <w:szCs w:val="18"/>
              </w:rPr>
              <w:t xml:space="preserve">The first task was to monitor the operations of Gulf Oil which had an agreement to execute petroleum operations offshore Suriname. </w:t>
            </w:r>
          </w:p>
          <w:p w14:paraId="0AC68BAB" w14:textId="2D5EEAE9" w:rsidR="00CA282D" w:rsidRPr="00894701" w:rsidRDefault="00CA282D" w:rsidP="00446B8D">
            <w:pPr>
              <w:spacing w:before="16" w:after="0" w:line="240" w:lineRule="auto"/>
              <w:ind w:left="50"/>
              <w:jc w:val="both"/>
              <w:rPr>
                <w:rFonts w:asciiTheme="minorHAnsi" w:hAnsiTheme="minorHAnsi" w:cs="TrebuchetMS-Bold"/>
                <w:color w:val="000000"/>
                <w:kern w:val="0"/>
                <w:szCs w:val="18"/>
                <w:lang w:val="en-GB"/>
              </w:rPr>
            </w:pPr>
            <w:r w:rsidRPr="00894701">
              <w:rPr>
                <w:rFonts w:asciiTheme="minorHAnsi" w:hAnsiTheme="minorHAnsi" w:cs="TrebuchetMS-Bold"/>
                <w:color w:val="000000"/>
                <w:kern w:val="0"/>
                <w:szCs w:val="18"/>
              </w:rPr>
              <w:t xml:space="preserve">Staatsolie Maatschappij Suriname N.V., a vertically integrated state-owned company founded in 1980. It explores, drills, produces, refines, markets, sells and transports petroleum and products refined from it. It also generates electricity. With the production and supply of energy, it meets the growing energy needs for local consumption. </w:t>
            </w:r>
          </w:p>
          <w:p w14:paraId="7DE8C7F4" w14:textId="2D66BA1F" w:rsidR="00CA282D" w:rsidRPr="00894701" w:rsidRDefault="00CA282D" w:rsidP="00446B8D">
            <w:pPr>
              <w:spacing w:before="16" w:after="0" w:line="240" w:lineRule="auto"/>
              <w:ind w:left="50"/>
              <w:jc w:val="both"/>
              <w:rPr>
                <w:rFonts w:asciiTheme="minorHAnsi" w:hAnsiTheme="minorHAnsi" w:cs="TrebuchetMS-Bold"/>
                <w:b/>
                <w:bCs/>
                <w:color w:val="000000"/>
                <w:kern w:val="0"/>
                <w:szCs w:val="18"/>
                <w:lang w:val="en-GB"/>
              </w:rPr>
            </w:pPr>
            <w:r w:rsidRPr="00894701">
              <w:rPr>
                <w:rFonts w:asciiTheme="minorHAnsi" w:hAnsiTheme="minorHAnsi" w:cs="TrebuchetMS-Bold"/>
                <w:color w:val="000000"/>
                <w:kern w:val="0"/>
                <w:szCs w:val="18"/>
              </w:rPr>
              <w:t>Through the Petroleum Law 1990/ SB 1991/7, Staatsolie has been granted the exclusive mining rights to explore, develop and produce hydrocarbons onshore and offshore set in different resolutions.</w:t>
            </w:r>
            <w:r w:rsidRPr="00894701">
              <w:rPr>
                <w:rFonts w:asciiTheme="minorHAnsi" w:hAnsiTheme="minorHAnsi" w:cs="TrebuchetMS-Bold"/>
                <w:b/>
                <w:bCs/>
                <w:color w:val="000000"/>
                <w:kern w:val="0"/>
                <w:szCs w:val="18"/>
              </w:rPr>
              <w:t xml:space="preserve">  </w:t>
            </w:r>
          </w:p>
        </w:tc>
      </w:tr>
      <w:tr w:rsidR="00CA282D" w:rsidRPr="00894701" w14:paraId="31D4BFE1" w14:textId="77777777" w:rsidTr="00446B8D">
        <w:trPr>
          <w:trHeight w:val="208"/>
        </w:trPr>
        <w:tc>
          <w:tcPr>
            <w:tcW w:w="1913" w:type="dxa"/>
            <w:tcBorders>
              <w:top w:val="single" w:sz="2" w:space="0" w:color="FF0000"/>
              <w:left w:val="nil"/>
              <w:bottom w:val="single" w:sz="2" w:space="0" w:color="FF0000"/>
              <w:right w:val="nil"/>
            </w:tcBorders>
            <w:shd w:val="clear" w:color="auto" w:fill="F7A3B0"/>
          </w:tcPr>
          <w:p w14:paraId="07351F88" w14:textId="77777777" w:rsidR="00CA282D" w:rsidRPr="00894701" w:rsidRDefault="00CA282D" w:rsidP="00446B8D">
            <w:pPr>
              <w:spacing w:after="0" w:line="240" w:lineRule="auto"/>
              <w:rPr>
                <w:rFonts w:asciiTheme="minorHAnsi" w:hAnsiTheme="minorHAnsi" w:cs="TrebuchetMS-Bold"/>
                <w:b/>
                <w:bCs/>
                <w:color w:val="000000"/>
                <w:kern w:val="0"/>
                <w:szCs w:val="18"/>
                <w:lang w:val="en-GB"/>
              </w:rPr>
            </w:pPr>
            <w:r w:rsidRPr="00894701">
              <w:rPr>
                <w:rFonts w:asciiTheme="minorHAnsi" w:hAnsiTheme="minorHAnsi" w:cs="TrebuchetMS-Bold"/>
                <w:b/>
                <w:bCs/>
                <w:color w:val="000000"/>
                <w:kern w:val="0"/>
                <w:szCs w:val="18"/>
              </w:rPr>
              <w:lastRenderedPageBreak/>
              <w:t xml:space="preserve">Staatsolie- hydrocarbon-institute </w:t>
            </w:r>
          </w:p>
          <w:p w14:paraId="1C0763CC" w14:textId="77777777" w:rsidR="00CA282D" w:rsidRPr="00894701" w:rsidRDefault="00CA282D" w:rsidP="00446B8D">
            <w:pPr>
              <w:spacing w:after="0" w:line="240" w:lineRule="auto"/>
              <w:ind w:firstLine="69"/>
              <w:rPr>
                <w:rFonts w:asciiTheme="minorHAnsi" w:hAnsiTheme="minorHAnsi" w:cs="TrebuchetMS-Bold"/>
                <w:b/>
                <w:bCs/>
                <w:color w:val="000000"/>
                <w:kern w:val="0"/>
                <w:szCs w:val="18"/>
                <w:lang w:val="en-GB"/>
              </w:rPr>
            </w:pPr>
          </w:p>
        </w:tc>
        <w:tc>
          <w:tcPr>
            <w:tcW w:w="7104" w:type="dxa"/>
            <w:tcBorders>
              <w:top w:val="single" w:sz="2" w:space="0" w:color="FF0000"/>
              <w:left w:val="nil"/>
              <w:bottom w:val="single" w:sz="2" w:space="0" w:color="FF0000"/>
              <w:right w:val="nil"/>
            </w:tcBorders>
            <w:shd w:val="clear" w:color="auto" w:fill="F7A3B0"/>
          </w:tcPr>
          <w:p w14:paraId="1615C7E0" w14:textId="59EFBCCF" w:rsidR="001D7BCF" w:rsidRPr="00860520" w:rsidRDefault="00CA282D" w:rsidP="00860520">
            <w:pPr>
              <w:spacing w:before="16" w:after="0" w:line="240" w:lineRule="auto"/>
              <w:jc w:val="both"/>
              <w:rPr>
                <w:rFonts w:asciiTheme="minorHAnsi" w:hAnsiTheme="minorHAnsi" w:cs="TrebuchetMS-Bold"/>
                <w:i/>
                <w:iCs/>
                <w:color w:val="000000"/>
                <w:kern w:val="0"/>
                <w:szCs w:val="18"/>
              </w:rPr>
            </w:pPr>
            <w:r w:rsidRPr="009F5183">
              <w:rPr>
                <w:rFonts w:asciiTheme="minorHAnsi" w:hAnsiTheme="minorHAnsi" w:cs="TrebuchetMS-Bold"/>
                <w:color w:val="000000"/>
                <w:kern w:val="0"/>
                <w:szCs w:val="18"/>
              </w:rPr>
              <w:t>Staatsolie Hydrocarbon Institute N.V.</w:t>
            </w:r>
            <w:r w:rsidR="009F5183" w:rsidRPr="00860520">
              <w:rPr>
                <w:rFonts w:asciiTheme="minorHAnsi" w:hAnsiTheme="minorHAnsi" w:cs="TrebuchetMS-Bold"/>
                <w:color w:val="000000"/>
                <w:kern w:val="0"/>
                <w:szCs w:val="18"/>
              </w:rPr>
              <w:t xml:space="preserve"> is a subsidiary of Staatsolie Maatschappij Suriname NV, and it is mandated to perform the </w:t>
            </w:r>
            <w:r w:rsidR="00CE421B" w:rsidRPr="00CE421B">
              <w:rPr>
                <w:rFonts w:asciiTheme="minorHAnsi" w:hAnsiTheme="minorHAnsi" w:cs="TrebuchetMS-Bold"/>
                <w:color w:val="000000"/>
                <w:kern w:val="0"/>
                <w:szCs w:val="18"/>
              </w:rPr>
              <w:t>Regulator</w:t>
            </w:r>
            <w:r w:rsidR="009F5183" w:rsidRPr="00860520">
              <w:rPr>
                <w:rFonts w:asciiTheme="minorHAnsi" w:hAnsiTheme="minorHAnsi" w:cs="TrebuchetMS-Bold"/>
                <w:color w:val="000000"/>
                <w:kern w:val="0"/>
                <w:szCs w:val="18"/>
              </w:rPr>
              <w:t xml:space="preserve"> role </w:t>
            </w:r>
            <w:r w:rsidRPr="009F5183">
              <w:rPr>
                <w:rFonts w:asciiTheme="minorHAnsi" w:hAnsiTheme="minorHAnsi" w:cs="TrebuchetMS-Bold"/>
                <w:color w:val="000000"/>
                <w:kern w:val="0"/>
                <w:szCs w:val="18"/>
              </w:rPr>
              <w:t xml:space="preserve">of </w:t>
            </w:r>
            <w:r w:rsidR="00CE421B">
              <w:rPr>
                <w:rFonts w:asciiTheme="minorHAnsi" w:hAnsiTheme="minorHAnsi" w:cs="TrebuchetMS-Bold"/>
                <w:color w:val="000000"/>
                <w:kern w:val="0"/>
                <w:szCs w:val="18"/>
              </w:rPr>
              <w:t xml:space="preserve">its parent company </w:t>
            </w:r>
            <w:r w:rsidRPr="009F5183">
              <w:rPr>
                <w:rFonts w:asciiTheme="minorHAnsi" w:hAnsiTheme="minorHAnsi" w:cs="TrebuchetMS-Bold"/>
                <w:color w:val="000000"/>
                <w:kern w:val="0"/>
                <w:szCs w:val="18"/>
              </w:rPr>
              <w:t>Staatsolie</w:t>
            </w:r>
            <w:r w:rsidR="00DA706C">
              <w:rPr>
                <w:rFonts w:asciiTheme="minorHAnsi" w:hAnsiTheme="minorHAnsi" w:cs="TrebuchetMS-Bold"/>
                <w:color w:val="000000"/>
                <w:kern w:val="0"/>
                <w:szCs w:val="18"/>
              </w:rPr>
              <w:t xml:space="preserve">. It </w:t>
            </w:r>
            <w:r w:rsidR="00DA706C" w:rsidRPr="00DA706C">
              <w:rPr>
                <w:rFonts w:asciiTheme="minorHAnsi" w:hAnsiTheme="minorHAnsi" w:cs="TrebuchetMS-Bold"/>
                <w:color w:val="000000"/>
                <w:kern w:val="0"/>
                <w:szCs w:val="18"/>
              </w:rPr>
              <w:t>manages</w:t>
            </w:r>
            <w:r w:rsidR="00DA706C">
              <w:rPr>
                <w:rFonts w:asciiTheme="minorHAnsi" w:hAnsiTheme="minorHAnsi" w:cs="TrebuchetMS-Bold"/>
                <w:color w:val="000000"/>
                <w:kern w:val="0"/>
                <w:szCs w:val="18"/>
              </w:rPr>
              <w:t xml:space="preserve"> therefore </w:t>
            </w:r>
            <w:r w:rsidR="00DA706C" w:rsidRPr="00DA706C">
              <w:rPr>
                <w:rFonts w:asciiTheme="minorHAnsi" w:hAnsiTheme="minorHAnsi" w:cs="TrebuchetMS-Bold"/>
                <w:color w:val="000000"/>
                <w:kern w:val="0"/>
                <w:szCs w:val="18"/>
              </w:rPr>
              <w:t xml:space="preserve">the execution of the PSCs concluded </w:t>
            </w:r>
            <w:r w:rsidR="00DA706C">
              <w:rPr>
                <w:rFonts w:asciiTheme="minorHAnsi" w:hAnsiTheme="minorHAnsi" w:cs="TrebuchetMS-Bold"/>
                <w:color w:val="000000"/>
                <w:kern w:val="0"/>
                <w:szCs w:val="18"/>
              </w:rPr>
              <w:t xml:space="preserve">by </w:t>
            </w:r>
            <w:r w:rsidR="00DA706C" w:rsidRPr="00DA706C">
              <w:rPr>
                <w:rFonts w:asciiTheme="minorHAnsi" w:hAnsiTheme="minorHAnsi" w:cs="TrebuchetMS-Bold"/>
                <w:color w:val="000000"/>
                <w:kern w:val="0"/>
                <w:szCs w:val="18"/>
              </w:rPr>
              <w:t>Staatsolie</w:t>
            </w:r>
            <w:r w:rsidR="00DA706C">
              <w:rPr>
                <w:rFonts w:asciiTheme="minorHAnsi" w:hAnsiTheme="minorHAnsi" w:cs="TrebuchetMS-Bold"/>
                <w:color w:val="000000"/>
                <w:kern w:val="0"/>
                <w:szCs w:val="18"/>
              </w:rPr>
              <w:t xml:space="preserve"> including </w:t>
            </w:r>
            <w:r w:rsidR="00DA706C" w:rsidRPr="00DA706C">
              <w:rPr>
                <w:rFonts w:asciiTheme="minorHAnsi" w:hAnsiTheme="minorHAnsi" w:cs="TrebuchetMS-Bold"/>
                <w:color w:val="000000"/>
                <w:kern w:val="0"/>
                <w:szCs w:val="18"/>
              </w:rPr>
              <w:t>monitoring</w:t>
            </w:r>
            <w:r w:rsidR="00DA706C">
              <w:rPr>
                <w:rFonts w:asciiTheme="minorHAnsi" w:hAnsiTheme="minorHAnsi" w:cs="TrebuchetMS-Bold"/>
                <w:color w:val="000000"/>
                <w:kern w:val="0"/>
                <w:szCs w:val="18"/>
              </w:rPr>
              <w:t xml:space="preserve"> </w:t>
            </w:r>
            <w:r w:rsidR="00DA706C" w:rsidRPr="00DA706C">
              <w:rPr>
                <w:rFonts w:asciiTheme="minorHAnsi" w:hAnsiTheme="minorHAnsi" w:cs="TrebuchetMS-Bold"/>
                <w:color w:val="000000"/>
                <w:kern w:val="0"/>
                <w:szCs w:val="18"/>
              </w:rPr>
              <w:t>of the Social Responsibility Investments of</w:t>
            </w:r>
            <w:r w:rsidR="00DA706C">
              <w:rPr>
                <w:rFonts w:asciiTheme="minorHAnsi" w:hAnsiTheme="minorHAnsi" w:cs="TrebuchetMS-Bold"/>
                <w:color w:val="000000"/>
                <w:kern w:val="0"/>
                <w:szCs w:val="18"/>
              </w:rPr>
              <w:t xml:space="preserve"> </w:t>
            </w:r>
            <w:r w:rsidR="00DA706C" w:rsidRPr="00DA706C">
              <w:rPr>
                <w:rFonts w:asciiTheme="minorHAnsi" w:hAnsiTheme="minorHAnsi" w:cs="TrebuchetMS-Bold"/>
                <w:color w:val="000000"/>
                <w:kern w:val="0"/>
                <w:szCs w:val="18"/>
              </w:rPr>
              <w:t>the contractor</w:t>
            </w:r>
            <w:r w:rsidRPr="009F5183">
              <w:rPr>
                <w:rFonts w:asciiTheme="minorHAnsi" w:hAnsiTheme="minorHAnsi" w:cs="TrebuchetMS-Bold"/>
                <w:color w:val="000000"/>
                <w:kern w:val="0"/>
                <w:szCs w:val="18"/>
              </w:rPr>
              <w:t xml:space="preserve">, </w:t>
            </w:r>
            <w:r w:rsidR="009F5183" w:rsidRPr="00860520">
              <w:rPr>
                <w:rFonts w:asciiTheme="minorHAnsi" w:hAnsiTheme="minorHAnsi" w:cs="TrebuchetMS-Bold"/>
                <w:color w:val="000000"/>
                <w:kern w:val="0"/>
                <w:szCs w:val="18"/>
              </w:rPr>
              <w:t>“</w:t>
            </w:r>
            <w:r w:rsidRPr="00860520">
              <w:rPr>
                <w:rFonts w:asciiTheme="minorHAnsi" w:hAnsiTheme="minorHAnsi" w:cs="TrebuchetMS-Bold"/>
                <w:i/>
                <w:iCs/>
                <w:color w:val="000000"/>
                <w:kern w:val="0"/>
                <w:szCs w:val="18"/>
              </w:rPr>
              <w:t>creating the right conditions for investments and supervises the hydrocarbon activities by independent oil companies in Suriname, to optimise the value from petroleum activities for Suriname</w:t>
            </w:r>
            <w:r w:rsidR="001D7BCF">
              <w:rPr>
                <w:rFonts w:asciiTheme="minorHAnsi" w:hAnsiTheme="minorHAnsi" w:cs="TrebuchetMS-Bold"/>
                <w:i/>
                <w:iCs/>
                <w:color w:val="000000"/>
                <w:kern w:val="0"/>
                <w:szCs w:val="18"/>
              </w:rPr>
              <w:t>”</w:t>
            </w:r>
            <w:r w:rsidR="001D7BCF">
              <w:rPr>
                <w:rStyle w:val="FootnoteReference"/>
                <w:rFonts w:asciiTheme="minorHAnsi" w:hAnsiTheme="minorHAnsi" w:cs="TrebuchetMS-Bold"/>
                <w:i/>
                <w:iCs/>
                <w:color w:val="000000"/>
                <w:kern w:val="0"/>
                <w:szCs w:val="18"/>
              </w:rPr>
              <w:footnoteReference w:id="30"/>
            </w:r>
            <w:r w:rsidRPr="00860520">
              <w:rPr>
                <w:rFonts w:asciiTheme="minorHAnsi" w:hAnsiTheme="minorHAnsi" w:cs="TrebuchetMS-Bold"/>
                <w:i/>
                <w:iCs/>
                <w:color w:val="000000"/>
                <w:kern w:val="0"/>
                <w:szCs w:val="18"/>
              </w:rPr>
              <w:t xml:space="preserve">, </w:t>
            </w:r>
            <w:r w:rsidRPr="001D7BCF">
              <w:rPr>
                <w:rFonts w:asciiTheme="minorHAnsi" w:hAnsiTheme="minorHAnsi" w:cs="TrebuchetMS-Bold"/>
                <w:color w:val="000000"/>
                <w:kern w:val="0"/>
                <w:szCs w:val="18"/>
              </w:rPr>
              <w:t xml:space="preserve">maximise the economic benefit for Suriname by regulating, influencing and promoting the sustainable development of the hydrocarbon industry in adherence to </w:t>
            </w:r>
            <w:r w:rsidR="001D7BCF">
              <w:rPr>
                <w:rFonts w:asciiTheme="minorHAnsi" w:hAnsiTheme="minorHAnsi" w:cs="TrebuchetMS-Bold"/>
                <w:color w:val="000000"/>
                <w:kern w:val="0"/>
                <w:szCs w:val="18"/>
              </w:rPr>
              <w:t xml:space="preserve">international </w:t>
            </w:r>
            <w:r w:rsidRPr="001D7BCF">
              <w:rPr>
                <w:rFonts w:asciiTheme="minorHAnsi" w:hAnsiTheme="minorHAnsi" w:cs="TrebuchetMS-Bold"/>
                <w:color w:val="000000"/>
                <w:kern w:val="0"/>
                <w:szCs w:val="18"/>
              </w:rPr>
              <w:t>standards and practices.</w:t>
            </w:r>
          </w:p>
          <w:p w14:paraId="32A65341" w14:textId="6666F018" w:rsidR="00CA282D" w:rsidRPr="00894701" w:rsidRDefault="00CA282D" w:rsidP="001851B2">
            <w:pPr>
              <w:spacing w:before="16" w:after="0" w:line="240" w:lineRule="auto"/>
              <w:ind w:left="50"/>
              <w:jc w:val="both"/>
              <w:rPr>
                <w:rFonts w:asciiTheme="minorHAnsi" w:hAnsiTheme="minorHAnsi" w:cs="TrebuchetMS-Bold"/>
                <w:color w:val="000000"/>
                <w:kern w:val="0"/>
                <w:szCs w:val="18"/>
                <w:lang w:val="en-GB"/>
              </w:rPr>
            </w:pPr>
            <w:r w:rsidRPr="00894701">
              <w:rPr>
                <w:rFonts w:asciiTheme="minorHAnsi" w:hAnsiTheme="minorHAnsi" w:cs="TrebuchetMS-Bold"/>
                <w:color w:val="000000"/>
                <w:kern w:val="0"/>
                <w:szCs w:val="18"/>
              </w:rPr>
              <w:t xml:space="preserve"> </w:t>
            </w:r>
          </w:p>
        </w:tc>
      </w:tr>
      <w:tr w:rsidR="00CA282D" w:rsidRPr="00894701" w14:paraId="4E147369" w14:textId="77777777" w:rsidTr="007426C6">
        <w:trPr>
          <w:trHeight w:val="208"/>
        </w:trPr>
        <w:tc>
          <w:tcPr>
            <w:tcW w:w="1913" w:type="dxa"/>
            <w:tcBorders>
              <w:top w:val="single" w:sz="2" w:space="0" w:color="FF0000"/>
              <w:left w:val="nil"/>
              <w:bottom w:val="single" w:sz="2" w:space="0" w:color="FF0000"/>
              <w:right w:val="nil"/>
            </w:tcBorders>
            <w:shd w:val="clear" w:color="auto" w:fill="auto"/>
          </w:tcPr>
          <w:p w14:paraId="49D1D75B" w14:textId="0F161E71" w:rsidR="00CA282D" w:rsidRPr="00894701" w:rsidRDefault="00CA282D" w:rsidP="00446B8D">
            <w:pPr>
              <w:spacing w:after="0" w:line="240" w:lineRule="auto"/>
              <w:ind w:firstLine="69"/>
              <w:rPr>
                <w:rFonts w:asciiTheme="minorHAnsi" w:hAnsiTheme="minorHAnsi" w:cs="TrebuchetMS-Bold"/>
                <w:b/>
                <w:bCs/>
                <w:color w:val="000000"/>
                <w:kern w:val="0"/>
                <w:szCs w:val="18"/>
                <w:lang w:val="en-GB"/>
              </w:rPr>
            </w:pPr>
            <w:r w:rsidRPr="00894701">
              <w:rPr>
                <w:rFonts w:asciiTheme="minorHAnsi" w:hAnsiTheme="minorHAnsi" w:cs="TrebuchetMS-Bold"/>
                <w:b/>
                <w:bCs/>
                <w:color w:val="000000"/>
                <w:kern w:val="0"/>
                <w:szCs w:val="18"/>
              </w:rPr>
              <w:t xml:space="preserve">Ministry of Finance </w:t>
            </w:r>
            <w:r w:rsidR="001B18F7" w:rsidRPr="00894701">
              <w:rPr>
                <w:rFonts w:asciiTheme="minorHAnsi" w:hAnsiTheme="minorHAnsi" w:cs="TrebuchetMS-Bold"/>
                <w:b/>
                <w:bCs/>
                <w:color w:val="000000"/>
                <w:kern w:val="0"/>
                <w:szCs w:val="18"/>
              </w:rPr>
              <w:t>and Planning</w:t>
            </w:r>
            <w:r w:rsidRPr="00894701">
              <w:rPr>
                <w:rFonts w:asciiTheme="minorHAnsi" w:hAnsiTheme="minorHAnsi" w:cs="TrebuchetMS-Bold"/>
                <w:b/>
                <w:bCs/>
                <w:color w:val="000000"/>
                <w:kern w:val="0"/>
                <w:szCs w:val="18"/>
              </w:rPr>
              <w:t xml:space="preserve"> </w:t>
            </w:r>
          </w:p>
          <w:p w14:paraId="123F95E1" w14:textId="5E9A96C3" w:rsidR="00CA282D" w:rsidRPr="00894701" w:rsidRDefault="00CA282D" w:rsidP="00446B8D">
            <w:pPr>
              <w:spacing w:after="0" w:line="240" w:lineRule="auto"/>
              <w:ind w:firstLine="69"/>
              <w:rPr>
                <w:rFonts w:asciiTheme="minorHAnsi" w:hAnsiTheme="minorHAnsi" w:cs="TrebuchetMS-Bold"/>
                <w:b/>
                <w:bCs/>
                <w:color w:val="000000"/>
                <w:kern w:val="0"/>
                <w:szCs w:val="18"/>
                <w:lang w:val="en-GB"/>
              </w:rPr>
            </w:pPr>
            <w:r w:rsidRPr="00894701">
              <w:rPr>
                <w:rFonts w:asciiTheme="minorHAnsi" w:hAnsiTheme="minorHAnsi" w:cs="TrebuchetMS-Bold"/>
                <w:b/>
                <w:bCs/>
                <w:color w:val="000000"/>
                <w:kern w:val="0"/>
                <w:szCs w:val="18"/>
              </w:rPr>
              <w:t>(MoF</w:t>
            </w:r>
            <w:r w:rsidR="001B18F7" w:rsidRPr="00894701">
              <w:rPr>
                <w:rFonts w:asciiTheme="minorHAnsi" w:hAnsiTheme="minorHAnsi" w:cs="TrebuchetMS-Bold"/>
                <w:b/>
                <w:bCs/>
                <w:color w:val="000000"/>
                <w:kern w:val="0"/>
                <w:szCs w:val="18"/>
              </w:rPr>
              <w:t>P</w:t>
            </w:r>
            <w:r w:rsidRPr="00894701">
              <w:rPr>
                <w:rFonts w:asciiTheme="minorHAnsi" w:hAnsiTheme="minorHAnsi" w:cs="TrebuchetMS-Bold"/>
                <w:b/>
                <w:bCs/>
                <w:color w:val="000000"/>
                <w:kern w:val="0"/>
                <w:szCs w:val="18"/>
              </w:rPr>
              <w:t xml:space="preserve">) </w:t>
            </w:r>
          </w:p>
        </w:tc>
        <w:tc>
          <w:tcPr>
            <w:tcW w:w="7104" w:type="dxa"/>
            <w:tcBorders>
              <w:top w:val="single" w:sz="2" w:space="0" w:color="FF0000"/>
              <w:left w:val="nil"/>
              <w:bottom w:val="single" w:sz="2" w:space="0" w:color="FF0000"/>
              <w:right w:val="nil"/>
            </w:tcBorders>
            <w:shd w:val="clear" w:color="auto" w:fill="auto"/>
          </w:tcPr>
          <w:p w14:paraId="2C6587B8" w14:textId="72ED6E0C" w:rsidR="00CA282D" w:rsidRPr="00894701" w:rsidRDefault="00CA282D" w:rsidP="00446B8D">
            <w:pPr>
              <w:spacing w:before="16" w:after="0" w:line="240" w:lineRule="auto"/>
              <w:ind w:left="50"/>
              <w:rPr>
                <w:rFonts w:asciiTheme="minorHAnsi" w:hAnsiTheme="minorHAnsi" w:cs="TrebuchetMS-Bold"/>
                <w:color w:val="000000"/>
                <w:kern w:val="0"/>
                <w:szCs w:val="18"/>
                <w:lang w:val="en-GB"/>
              </w:rPr>
            </w:pPr>
            <w:r w:rsidRPr="00894701">
              <w:rPr>
                <w:rFonts w:asciiTheme="minorHAnsi" w:hAnsiTheme="minorHAnsi" w:cs="TrebuchetMS-Bold"/>
                <w:color w:val="000000"/>
                <w:kern w:val="0"/>
                <w:szCs w:val="18"/>
              </w:rPr>
              <w:t xml:space="preserve">Please refer to the Mining sector (Sub-Section 4.2.1(a)) </w:t>
            </w:r>
          </w:p>
        </w:tc>
      </w:tr>
    </w:tbl>
    <w:p w14:paraId="019C6D9F" w14:textId="77777777" w:rsidR="00CA282D" w:rsidRPr="00894701" w:rsidRDefault="00CA282D" w:rsidP="00CA282D">
      <w:pPr>
        <w:spacing w:line="227" w:lineRule="exact"/>
        <w:rPr>
          <w:rFonts w:asciiTheme="minorHAnsi" w:hAnsiTheme="minorHAnsi" w:cs="TrebuchetMS-Bold"/>
          <w:b/>
          <w:bCs/>
          <w:color w:val="ED1A3B"/>
          <w:sz w:val="20"/>
          <w:szCs w:val="20"/>
        </w:rPr>
      </w:pPr>
    </w:p>
    <w:bookmarkStart w:id="162" w:name="_Toc122478863"/>
    <w:p w14:paraId="69262482" w14:textId="77777777" w:rsidR="00CA282D" w:rsidRPr="00894701" w:rsidRDefault="00CA282D" w:rsidP="00CA282D">
      <w:pPr>
        <w:pStyle w:val="AltMinorSubHeading"/>
        <w:numPr>
          <w:ilvl w:val="0"/>
          <w:numId w:val="0"/>
        </w:numPr>
        <w:spacing w:before="120" w:after="120"/>
        <w:rPr>
          <w:rFonts w:asciiTheme="minorHAnsi" w:hAnsiTheme="minorHAnsi" w:cs="TrebuchetMS-Bold"/>
          <w:b w:val="0"/>
          <w:bCs/>
          <w:color w:val="ED1A3B"/>
          <w:szCs w:val="20"/>
        </w:rPr>
      </w:pPr>
      <w:r w:rsidRPr="00894701">
        <w:rPr>
          <w:noProof/>
          <w:lang w:val="en-US" w:eastAsia="en-US"/>
        </w:rPr>
        <mc:AlternateContent>
          <mc:Choice Requires="wps">
            <w:drawing>
              <wp:anchor distT="0" distB="0" distL="114300" distR="114300" simplePos="0" relativeHeight="251658248" behindDoc="1" locked="0" layoutInCell="1" allowOverlap="1" wp14:anchorId="7E345B2A" wp14:editId="399A6759">
                <wp:simplePos x="0" y="0"/>
                <wp:positionH relativeFrom="page">
                  <wp:posOffset>2167255</wp:posOffset>
                </wp:positionH>
                <wp:positionV relativeFrom="paragraph">
                  <wp:posOffset>-88265</wp:posOffset>
                </wp:positionV>
                <wp:extent cx="12065" cy="12065"/>
                <wp:effectExtent l="0" t="0" r="0" b="0"/>
                <wp:wrapNone/>
                <wp:docPr id="5"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custGeom>
                          <a:avLst/>
                          <a:gdLst/>
                          <a:ahLst/>
                          <a:cxnLst/>
                          <a:rect l="l" t="t" r="r" b="b"/>
                          <a:pathLst>
                            <a:path w="12192" h="12191">
                              <a:moveTo>
                                <a:pt x="0" y="12191"/>
                              </a:moveTo>
                              <a:lnTo>
                                <a:pt x="12192" y="12191"/>
                              </a:lnTo>
                              <a:lnTo>
                                <a:pt x="12192" y="0"/>
                              </a:lnTo>
                              <a:lnTo>
                                <a:pt x="0" y="0"/>
                              </a:lnTo>
                              <a:lnTo>
                                <a:pt x="0" y="12191"/>
                              </a:lnTo>
                              <a:close/>
                            </a:path>
                          </a:pathLst>
                        </a:custGeom>
                        <a:solidFill>
                          <a:srgbClr val="ED1A3B">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A66E8D" id="Freeform: Shape 5" o:spid="_x0000_s1026" style="position:absolute;margin-left:170.65pt;margin-top:-6.95pt;width:.95pt;height:.9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192,12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" path="m,12191r12192,l12192,,,,,12191xe" fillcolor="#ed1a3b" stroked="f" strokeweight="1pt">
                <v:path arrowok="t"/>
                <w10:wrap anchorx="page"/>
              </v:shape>
            </w:pict>
          </mc:Fallback>
        </mc:AlternateContent>
      </w:r>
      <w:r w:rsidRPr="00894701">
        <w:t>3.2.2. (b) Legal Framework</w:t>
      </w:r>
      <w:bookmarkEnd w:id="162"/>
      <w:r w:rsidRPr="00894701">
        <w:t xml:space="preserve"> </w:t>
      </w:r>
    </w:p>
    <w:p w14:paraId="77536E75" w14:textId="77777777" w:rsidR="00CA282D" w:rsidRPr="00894701" w:rsidRDefault="00CA282D" w:rsidP="00CA282D">
      <w:pPr>
        <w:spacing w:before="100" w:line="227" w:lineRule="exact"/>
        <w:rPr>
          <w:rFonts w:asciiTheme="minorHAnsi" w:hAnsiTheme="minorHAnsi"/>
          <w:color w:val="010302"/>
          <w:sz w:val="20"/>
          <w:szCs w:val="20"/>
        </w:rPr>
      </w:pPr>
      <w:r w:rsidRPr="00894701">
        <w:rPr>
          <w:rFonts w:asciiTheme="minorHAnsi" w:hAnsiTheme="minorHAnsi" w:cs="TrebuchetMS"/>
          <w:color w:val="000000"/>
          <w:sz w:val="20"/>
          <w:szCs w:val="20"/>
        </w:rPr>
        <w:t xml:space="preserve">The Surinamese upstream oil &amp; gas sector is regulated by the following main laws and regulations. </w:t>
      </w:r>
    </w:p>
    <w:p w14:paraId="56C18500" w14:textId="77777777" w:rsidR="00CA282D" w:rsidRPr="00894701" w:rsidRDefault="00CA282D" w:rsidP="00CA282D">
      <w:pPr>
        <w:pStyle w:val="ListParagraph"/>
        <w:numPr>
          <w:ilvl w:val="0"/>
          <w:numId w:val="35"/>
        </w:numPr>
        <w:spacing w:before="100" w:line="228" w:lineRule="exact"/>
        <w:rPr>
          <w:rFonts w:asciiTheme="minorHAnsi" w:hAnsiTheme="minorHAnsi"/>
          <w:color w:val="010302"/>
          <w:sz w:val="20"/>
          <w:szCs w:val="20"/>
        </w:rPr>
      </w:pPr>
      <w:r w:rsidRPr="00894701">
        <w:rPr>
          <w:rFonts w:asciiTheme="minorHAnsi" w:hAnsiTheme="minorHAnsi" w:cs="TrebuchetMS-Bold"/>
          <w:color w:val="000000"/>
          <w:sz w:val="20"/>
          <w:szCs w:val="20"/>
        </w:rPr>
        <w:t xml:space="preserve">Mining Decree, Decree E-58, of May 8, 1986; </w:t>
      </w:r>
    </w:p>
    <w:p w14:paraId="59182CA3" w14:textId="77777777" w:rsidR="00CA282D" w:rsidRPr="00894701" w:rsidRDefault="00CA282D" w:rsidP="00CA282D">
      <w:pPr>
        <w:pStyle w:val="ListParagraph"/>
        <w:numPr>
          <w:ilvl w:val="0"/>
          <w:numId w:val="35"/>
        </w:numPr>
        <w:spacing w:line="228" w:lineRule="exact"/>
        <w:rPr>
          <w:rFonts w:asciiTheme="minorHAnsi" w:hAnsiTheme="minorHAnsi"/>
          <w:color w:val="010302"/>
          <w:sz w:val="20"/>
          <w:szCs w:val="20"/>
        </w:rPr>
      </w:pPr>
      <w:r w:rsidRPr="00894701">
        <w:rPr>
          <w:rFonts w:asciiTheme="minorHAnsi" w:hAnsiTheme="minorHAnsi" w:cs="TrebuchetMS-Bold"/>
          <w:color w:val="000000"/>
          <w:sz w:val="20"/>
          <w:szCs w:val="20"/>
        </w:rPr>
        <w:t xml:space="preserve">Petroleum Act 1990 /SB 1991; </w:t>
      </w:r>
    </w:p>
    <w:p w14:paraId="0F7548AD" w14:textId="77777777" w:rsidR="00CA282D" w:rsidRPr="00894701" w:rsidRDefault="00CA282D" w:rsidP="00CA282D">
      <w:pPr>
        <w:pStyle w:val="ListParagraph"/>
        <w:numPr>
          <w:ilvl w:val="0"/>
          <w:numId w:val="35"/>
        </w:numPr>
        <w:spacing w:line="266" w:lineRule="exact"/>
        <w:ind w:right="794"/>
        <w:rPr>
          <w:rFonts w:asciiTheme="minorHAnsi" w:hAnsiTheme="minorHAnsi"/>
          <w:color w:val="010302"/>
          <w:sz w:val="20"/>
          <w:szCs w:val="20"/>
        </w:rPr>
      </w:pPr>
      <w:r w:rsidRPr="00894701">
        <w:rPr>
          <w:rFonts w:asciiTheme="minorHAnsi" w:hAnsiTheme="minorHAnsi" w:cs="TrebuchetMS-Bold"/>
          <w:color w:val="000000"/>
          <w:sz w:val="20"/>
          <w:szCs w:val="20"/>
        </w:rPr>
        <w:t xml:space="preserve">Staatsolie’s Concession Agreement of Staatsolie (Decree E8-B, SB 1981/59); </w:t>
      </w:r>
    </w:p>
    <w:p w14:paraId="2171D80F" w14:textId="77777777" w:rsidR="00CA282D" w:rsidRPr="00894701" w:rsidRDefault="00CA282D" w:rsidP="00CA282D">
      <w:pPr>
        <w:pStyle w:val="ListParagraph"/>
        <w:numPr>
          <w:ilvl w:val="0"/>
          <w:numId w:val="35"/>
        </w:numPr>
        <w:spacing w:line="266" w:lineRule="exact"/>
        <w:ind w:right="794"/>
        <w:rPr>
          <w:rFonts w:asciiTheme="minorHAnsi" w:hAnsiTheme="minorHAnsi"/>
          <w:color w:val="010302"/>
          <w:sz w:val="20"/>
          <w:szCs w:val="20"/>
        </w:rPr>
      </w:pPr>
      <w:r w:rsidRPr="00894701">
        <w:rPr>
          <w:rFonts w:asciiTheme="minorHAnsi" w:hAnsiTheme="minorHAnsi" w:cs="TrebuchetMS-Bold"/>
          <w:color w:val="000000"/>
          <w:sz w:val="20"/>
          <w:szCs w:val="20"/>
        </w:rPr>
        <w:t xml:space="preserve">Law of 6 March 1991; and </w:t>
      </w:r>
    </w:p>
    <w:p w14:paraId="277A8EAB" w14:textId="19A3A63E" w:rsidR="00CA282D" w:rsidRPr="00894701" w:rsidRDefault="00CA282D" w:rsidP="00CA282D">
      <w:pPr>
        <w:pStyle w:val="ListParagraph"/>
        <w:numPr>
          <w:ilvl w:val="0"/>
          <w:numId w:val="35"/>
        </w:numPr>
        <w:spacing w:line="228" w:lineRule="exact"/>
        <w:rPr>
          <w:rFonts w:asciiTheme="minorHAnsi" w:hAnsiTheme="minorHAnsi"/>
          <w:color w:val="010302"/>
          <w:sz w:val="20"/>
          <w:szCs w:val="20"/>
        </w:rPr>
      </w:pPr>
      <w:r w:rsidRPr="00894701">
        <w:rPr>
          <w:rFonts w:asciiTheme="minorHAnsi" w:hAnsiTheme="minorHAnsi" w:cs="TrebuchetMS-Bold"/>
          <w:color w:val="000000"/>
          <w:sz w:val="20"/>
          <w:szCs w:val="20"/>
        </w:rPr>
        <w:t xml:space="preserve">State Decree has been issued effective as of 08 June 2018. </w:t>
      </w:r>
    </w:p>
    <w:p w14:paraId="23BFFA15" w14:textId="77777777" w:rsidR="00CA282D" w:rsidRPr="00894701" w:rsidRDefault="00CA282D" w:rsidP="00CA282D">
      <w:pPr>
        <w:pStyle w:val="AltMinorSubHeading"/>
        <w:numPr>
          <w:ilvl w:val="0"/>
          <w:numId w:val="0"/>
        </w:numPr>
        <w:spacing w:before="120" w:after="120"/>
      </w:pPr>
      <w:bookmarkStart w:id="163" w:name="_Toc122478864"/>
      <w:r w:rsidRPr="00894701">
        <w:t>3.2.2. (c) Fiscal regime</w:t>
      </w:r>
      <w:bookmarkEnd w:id="163"/>
      <w:r w:rsidRPr="00894701">
        <w:t xml:space="preserve"> </w:t>
      </w:r>
    </w:p>
    <w:p w14:paraId="16E9C7CE" w14:textId="77777777" w:rsidR="00CA282D" w:rsidRPr="00894701" w:rsidRDefault="00CA282D" w:rsidP="00CA282D">
      <w:pPr>
        <w:pStyle w:val="ListParagraph"/>
        <w:numPr>
          <w:ilvl w:val="0"/>
          <w:numId w:val="50"/>
        </w:numPr>
        <w:spacing w:before="240" w:after="240" w:line="240" w:lineRule="auto"/>
        <w:rPr>
          <w:rFonts w:asciiTheme="minorHAnsi" w:hAnsiTheme="minorHAnsi" w:cs="Arial"/>
          <w:b/>
          <w:color w:val="auto"/>
          <w:sz w:val="20"/>
          <w:szCs w:val="28"/>
        </w:rPr>
      </w:pPr>
      <w:r w:rsidRPr="00894701">
        <w:rPr>
          <w:rFonts w:asciiTheme="minorHAnsi" w:hAnsiTheme="minorHAnsi" w:cs="Arial"/>
          <w:b/>
          <w:color w:val="auto"/>
          <w:sz w:val="20"/>
          <w:szCs w:val="28"/>
        </w:rPr>
        <w:t xml:space="preserve">Common tax regime </w:t>
      </w:r>
    </w:p>
    <w:p w14:paraId="21A2EAF3" w14:textId="54422177" w:rsidR="00CA282D" w:rsidRPr="00894701" w:rsidRDefault="00CA282D" w:rsidP="00CA282D">
      <w:pPr>
        <w:pStyle w:val="BodyText"/>
        <w:jc w:val="both"/>
        <w:rPr>
          <w:rFonts w:asciiTheme="minorHAnsi" w:hAnsiTheme="minorHAnsi"/>
          <w:color w:val="auto"/>
          <w:sz w:val="20"/>
          <w:szCs w:val="20"/>
        </w:rPr>
      </w:pPr>
      <w:r w:rsidRPr="00894701">
        <w:rPr>
          <w:rFonts w:asciiTheme="minorHAnsi" w:hAnsiTheme="minorHAnsi"/>
          <w:color w:val="auto"/>
          <w:sz w:val="20"/>
          <w:szCs w:val="20"/>
        </w:rPr>
        <w:t xml:space="preserve">See Sub-Section </w:t>
      </w:r>
      <w:r w:rsidR="008041DF">
        <w:rPr>
          <w:rFonts w:asciiTheme="minorHAnsi" w:hAnsiTheme="minorHAnsi"/>
          <w:color w:val="auto"/>
          <w:sz w:val="20"/>
          <w:szCs w:val="20"/>
        </w:rPr>
        <w:t>3</w:t>
      </w:r>
      <w:r w:rsidRPr="00894701">
        <w:rPr>
          <w:rFonts w:asciiTheme="minorHAnsi" w:hAnsiTheme="minorHAnsi"/>
          <w:color w:val="auto"/>
          <w:sz w:val="20"/>
          <w:szCs w:val="20"/>
        </w:rPr>
        <w:t xml:space="preserve">.2.1 (c) </w:t>
      </w:r>
    </w:p>
    <w:p w14:paraId="021C4033" w14:textId="77777777" w:rsidR="00CA282D" w:rsidRPr="00894701" w:rsidRDefault="00CA282D" w:rsidP="00CA282D">
      <w:pPr>
        <w:pStyle w:val="ListParagraph"/>
        <w:numPr>
          <w:ilvl w:val="0"/>
          <w:numId w:val="50"/>
        </w:numPr>
        <w:spacing w:before="240" w:after="240" w:line="240" w:lineRule="auto"/>
        <w:rPr>
          <w:rFonts w:asciiTheme="minorHAnsi" w:hAnsiTheme="minorHAnsi" w:cs="Arial"/>
          <w:b/>
          <w:color w:val="auto"/>
          <w:sz w:val="20"/>
          <w:szCs w:val="28"/>
        </w:rPr>
      </w:pPr>
      <w:r w:rsidRPr="00894701">
        <w:rPr>
          <w:rFonts w:asciiTheme="minorHAnsi" w:hAnsiTheme="minorHAnsi" w:cs="Arial"/>
          <w:b/>
          <w:color w:val="auto"/>
          <w:sz w:val="20"/>
          <w:szCs w:val="28"/>
        </w:rPr>
        <w:t xml:space="preserve">Oil &amp; sector tax regime </w:t>
      </w:r>
    </w:p>
    <w:p w14:paraId="10D7A8CA" w14:textId="77777777" w:rsidR="00CA282D" w:rsidRPr="00894701" w:rsidRDefault="00CA282D" w:rsidP="00CA282D">
      <w:pPr>
        <w:spacing w:before="100" w:line="227" w:lineRule="exact"/>
        <w:rPr>
          <w:rFonts w:asciiTheme="minorHAnsi" w:hAnsiTheme="minorHAnsi"/>
          <w:color w:val="010302"/>
          <w:sz w:val="22"/>
          <w:szCs w:val="22"/>
        </w:rPr>
      </w:pPr>
      <w:r w:rsidRPr="00894701">
        <w:rPr>
          <w:rFonts w:asciiTheme="minorHAnsi" w:hAnsiTheme="minorHAnsi" w:cs="TrebuchetMS-Bold"/>
          <w:b/>
          <w:bCs/>
          <w:color w:val="ED1A3B"/>
          <w:sz w:val="22"/>
          <w:szCs w:val="22"/>
        </w:rPr>
        <w:t xml:space="preserve">Significant development in the Oil and Gas regulations concerning taxes </w:t>
      </w:r>
    </w:p>
    <w:p w14:paraId="3C731312" w14:textId="0CF11FBC" w:rsidR="00CA282D" w:rsidRPr="00894701" w:rsidRDefault="00CA282D" w:rsidP="00CA282D">
      <w:pPr>
        <w:pStyle w:val="BodyText"/>
        <w:jc w:val="both"/>
        <w:rPr>
          <w:rFonts w:asciiTheme="minorHAnsi" w:hAnsiTheme="minorHAnsi"/>
          <w:color w:val="auto"/>
          <w:sz w:val="20"/>
          <w:szCs w:val="20"/>
        </w:rPr>
      </w:pPr>
      <w:r w:rsidRPr="00894701">
        <w:rPr>
          <w:rFonts w:asciiTheme="minorHAnsi" w:hAnsiTheme="minorHAnsi"/>
          <w:color w:val="auto"/>
          <w:sz w:val="20"/>
          <w:szCs w:val="20"/>
        </w:rPr>
        <w:t xml:space="preserve">From 22 May 2018, a State Decree has been issued effective on 08 June 2018, which clarifies the position of the Surinamese Government in relation to PSCs signed by Staatsolie Maatschappij Suriname N.V. </w:t>
      </w:r>
    </w:p>
    <w:p w14:paraId="25AF612C" w14:textId="4A5AE133" w:rsidR="00CA282D" w:rsidRPr="00894701" w:rsidRDefault="00CA282D" w:rsidP="00CA282D">
      <w:pPr>
        <w:pStyle w:val="BodyText"/>
        <w:jc w:val="both"/>
        <w:rPr>
          <w:rFonts w:asciiTheme="minorHAnsi" w:hAnsiTheme="minorHAnsi"/>
          <w:color w:val="auto"/>
          <w:sz w:val="20"/>
          <w:szCs w:val="20"/>
        </w:rPr>
      </w:pPr>
      <w:r w:rsidRPr="00894701">
        <w:rPr>
          <w:rFonts w:asciiTheme="minorHAnsi" w:hAnsiTheme="minorHAnsi"/>
          <w:color w:val="auto"/>
          <w:sz w:val="20"/>
          <w:szCs w:val="20"/>
        </w:rPr>
        <w:t xml:space="preserve">The purpose of this decree is to provide certainties to contractors and contractor parties in the oil and gas sector and to ensure that there are guarantees for the investments made by these parties. The important aspects that are mentioned in the State Decree, amongst others are the following: </w:t>
      </w:r>
    </w:p>
    <w:p w14:paraId="542FA156" w14:textId="26BE9EBD" w:rsidR="00CA282D" w:rsidRPr="00894701" w:rsidRDefault="00CA282D" w:rsidP="00CA282D">
      <w:pPr>
        <w:pStyle w:val="BodyText"/>
        <w:numPr>
          <w:ilvl w:val="0"/>
          <w:numId w:val="36"/>
        </w:numPr>
        <w:jc w:val="both"/>
        <w:rPr>
          <w:rFonts w:asciiTheme="minorHAnsi" w:hAnsiTheme="minorHAnsi"/>
          <w:color w:val="auto"/>
          <w:sz w:val="20"/>
          <w:szCs w:val="20"/>
        </w:rPr>
      </w:pPr>
      <w:r w:rsidRPr="00894701">
        <w:rPr>
          <w:rFonts w:asciiTheme="minorHAnsi" w:hAnsiTheme="minorHAnsi"/>
          <w:color w:val="auto"/>
          <w:sz w:val="20"/>
          <w:szCs w:val="20"/>
        </w:rPr>
        <w:t xml:space="preserve">the term ‘affiliated party’ is included in the State Decree. This term was not mentioned earlier in the Petroleum Act. According to the State Decree, an affiliated party means, any </w:t>
      </w:r>
      <w:r w:rsidRPr="00894701">
        <w:rPr>
          <w:rFonts w:asciiTheme="minorHAnsi" w:hAnsiTheme="minorHAnsi"/>
          <w:color w:val="auto"/>
          <w:sz w:val="20"/>
          <w:szCs w:val="20"/>
        </w:rPr>
        <w:lastRenderedPageBreak/>
        <w:t xml:space="preserve">company, organisation or entity that directly or indirectly controls, is controlled by or is under common control by a company, organization or entity;  </w:t>
      </w:r>
    </w:p>
    <w:p w14:paraId="424D3D9A" w14:textId="1AD3ADDE" w:rsidR="00CA282D" w:rsidRPr="00894701" w:rsidRDefault="00CA282D" w:rsidP="00CA282D">
      <w:pPr>
        <w:pStyle w:val="BodyText"/>
        <w:numPr>
          <w:ilvl w:val="0"/>
          <w:numId w:val="36"/>
        </w:numPr>
        <w:jc w:val="both"/>
        <w:rPr>
          <w:rFonts w:asciiTheme="minorHAnsi" w:hAnsiTheme="minorHAnsi"/>
          <w:color w:val="auto"/>
          <w:sz w:val="20"/>
          <w:szCs w:val="20"/>
        </w:rPr>
      </w:pPr>
      <w:r w:rsidRPr="00894701">
        <w:rPr>
          <w:rFonts w:asciiTheme="minorHAnsi" w:hAnsiTheme="minorHAnsi"/>
          <w:color w:val="auto"/>
          <w:sz w:val="20"/>
          <w:szCs w:val="20"/>
        </w:rPr>
        <w:t xml:space="preserve">conventions, inter-Governmental agreements or any other International and National regulations have no impact and/or influence on the rights and obligations of the contractor unless the Constitution of Suriname and/or International Law justify this; </w:t>
      </w:r>
    </w:p>
    <w:p w14:paraId="28412339" w14:textId="3B2F5FE1" w:rsidR="00CA282D" w:rsidRPr="00894701" w:rsidRDefault="00CA282D" w:rsidP="00CA282D">
      <w:pPr>
        <w:pStyle w:val="BodyText"/>
        <w:numPr>
          <w:ilvl w:val="0"/>
          <w:numId w:val="36"/>
        </w:numPr>
        <w:jc w:val="both"/>
        <w:rPr>
          <w:rFonts w:asciiTheme="minorHAnsi" w:hAnsiTheme="minorHAnsi"/>
          <w:color w:val="auto"/>
          <w:sz w:val="20"/>
          <w:szCs w:val="20"/>
        </w:rPr>
      </w:pPr>
      <w:r w:rsidRPr="00894701">
        <w:rPr>
          <w:rFonts w:asciiTheme="minorHAnsi" w:hAnsiTheme="minorHAnsi"/>
          <w:color w:val="auto"/>
          <w:sz w:val="20"/>
          <w:szCs w:val="20"/>
        </w:rPr>
        <w:t xml:space="preserve">the Government guarantees full and prompt compensation to the contractor party in case of non-compliance with a provision in the Decree; </w:t>
      </w:r>
    </w:p>
    <w:p w14:paraId="65F11939" w14:textId="357E13BC" w:rsidR="00CA282D" w:rsidRPr="00894701" w:rsidRDefault="00CA282D" w:rsidP="00CA282D">
      <w:pPr>
        <w:pStyle w:val="BodyText"/>
        <w:numPr>
          <w:ilvl w:val="0"/>
          <w:numId w:val="36"/>
        </w:numPr>
        <w:jc w:val="both"/>
        <w:rPr>
          <w:rFonts w:asciiTheme="minorHAnsi" w:hAnsiTheme="minorHAnsi"/>
          <w:color w:val="auto"/>
          <w:sz w:val="20"/>
          <w:szCs w:val="20"/>
        </w:rPr>
      </w:pPr>
      <w:r w:rsidRPr="00894701">
        <w:rPr>
          <w:rFonts w:asciiTheme="minorHAnsi" w:hAnsiTheme="minorHAnsi"/>
          <w:color w:val="auto"/>
          <w:sz w:val="20"/>
          <w:szCs w:val="20"/>
        </w:rPr>
        <w:t xml:space="preserve">for foreign-flagged vessels, there will be no legal barriers to operating in Suriname's territorial waters, when carrying out activities which are related to petroleum activities; </w:t>
      </w:r>
    </w:p>
    <w:p w14:paraId="6D617F8A" w14:textId="4E23C8F1" w:rsidR="00CA282D" w:rsidRPr="00894701" w:rsidRDefault="00CA282D" w:rsidP="00CA282D">
      <w:pPr>
        <w:pStyle w:val="BodyText"/>
        <w:numPr>
          <w:ilvl w:val="0"/>
          <w:numId w:val="36"/>
        </w:numPr>
        <w:jc w:val="both"/>
        <w:rPr>
          <w:rFonts w:asciiTheme="minorHAnsi" w:hAnsiTheme="minorHAnsi"/>
          <w:color w:val="auto"/>
          <w:sz w:val="20"/>
          <w:szCs w:val="20"/>
        </w:rPr>
      </w:pPr>
      <w:r w:rsidRPr="00894701">
        <w:rPr>
          <w:rFonts w:asciiTheme="minorHAnsi" w:hAnsiTheme="minorHAnsi"/>
          <w:color w:val="auto"/>
          <w:sz w:val="20"/>
          <w:szCs w:val="20"/>
        </w:rPr>
        <w:t xml:space="preserve">contractors will have the possibility to buy Surinamese Dollars from the CBoS or a local merchant bank at an exchange rate that accurately reflects the international market value. </w:t>
      </w:r>
      <w:r w:rsidRPr="00894701">
        <w:rPr>
          <w:rFonts w:asciiTheme="minorHAnsi" w:hAnsiTheme="minorHAnsi"/>
          <w:color w:val="auto"/>
          <w:sz w:val="20"/>
          <w:szCs w:val="20"/>
        </w:rPr>
        <w:br w:type="textWrapping" w:clear="all"/>
        <w:t xml:space="preserve">However, these Surinamese Dollars must be used only for petroleum activities; </w:t>
      </w:r>
    </w:p>
    <w:p w14:paraId="5066B72F" w14:textId="2088B73D" w:rsidR="00CA282D" w:rsidRPr="00894701" w:rsidRDefault="00CA282D" w:rsidP="00CA282D">
      <w:pPr>
        <w:pStyle w:val="BodyText"/>
        <w:numPr>
          <w:ilvl w:val="0"/>
          <w:numId w:val="36"/>
        </w:numPr>
        <w:jc w:val="both"/>
        <w:rPr>
          <w:rFonts w:asciiTheme="minorHAnsi" w:hAnsiTheme="minorHAnsi"/>
          <w:color w:val="auto"/>
          <w:sz w:val="20"/>
          <w:szCs w:val="20"/>
        </w:rPr>
      </w:pPr>
      <w:r w:rsidRPr="00894701">
        <w:rPr>
          <w:rFonts w:asciiTheme="minorHAnsi" w:hAnsiTheme="minorHAnsi"/>
          <w:color w:val="auto"/>
          <w:sz w:val="20"/>
          <w:szCs w:val="20"/>
        </w:rPr>
        <w:t xml:space="preserve">the Government will guarantee that it will provide contractors and sub-contractors with licenses, permits, approvals, customs clearance, and visa residence permits which will be necessary for carrying out petroleum activities; </w:t>
      </w:r>
    </w:p>
    <w:p w14:paraId="0F8E6F34" w14:textId="7E139D09" w:rsidR="00CA282D" w:rsidRPr="00894701" w:rsidRDefault="00CA282D" w:rsidP="00CA282D">
      <w:pPr>
        <w:pStyle w:val="BodyText"/>
        <w:numPr>
          <w:ilvl w:val="0"/>
          <w:numId w:val="36"/>
        </w:numPr>
        <w:jc w:val="both"/>
        <w:rPr>
          <w:rFonts w:asciiTheme="minorHAnsi" w:hAnsiTheme="minorHAnsi"/>
          <w:color w:val="auto"/>
          <w:sz w:val="20"/>
          <w:szCs w:val="20"/>
        </w:rPr>
      </w:pPr>
      <w:r w:rsidRPr="00894701">
        <w:rPr>
          <w:rFonts w:asciiTheme="minorHAnsi" w:hAnsiTheme="minorHAnsi"/>
          <w:color w:val="auto"/>
          <w:sz w:val="20"/>
          <w:szCs w:val="20"/>
        </w:rPr>
        <w:t xml:space="preserve">contractors shall pay all taxes in USD; </w:t>
      </w:r>
    </w:p>
    <w:p w14:paraId="664CCB4C" w14:textId="2CCC02D8" w:rsidR="00CA282D" w:rsidRPr="00894701" w:rsidRDefault="00CA282D" w:rsidP="00CA282D">
      <w:pPr>
        <w:pStyle w:val="BodyText"/>
        <w:numPr>
          <w:ilvl w:val="0"/>
          <w:numId w:val="36"/>
        </w:numPr>
        <w:jc w:val="both"/>
        <w:rPr>
          <w:rFonts w:asciiTheme="minorHAnsi" w:hAnsiTheme="minorHAnsi"/>
          <w:color w:val="auto"/>
          <w:sz w:val="20"/>
          <w:szCs w:val="20"/>
        </w:rPr>
      </w:pPr>
      <w:r w:rsidRPr="00894701">
        <w:rPr>
          <w:rFonts w:asciiTheme="minorHAnsi" w:hAnsiTheme="minorHAnsi"/>
          <w:color w:val="auto"/>
          <w:sz w:val="20"/>
          <w:szCs w:val="20"/>
        </w:rPr>
        <w:t xml:space="preserve">the Foreign Exchange Commission will grant permission to contractors to transfer capital and/or profits related to the export and/or sale of petroleum outside of Suriname; </w:t>
      </w:r>
    </w:p>
    <w:p w14:paraId="2B1FFF4C" w14:textId="46325DAE" w:rsidR="00CA282D" w:rsidRPr="00894701" w:rsidRDefault="00CA282D" w:rsidP="00CA282D">
      <w:pPr>
        <w:pStyle w:val="BodyText"/>
        <w:numPr>
          <w:ilvl w:val="0"/>
          <w:numId w:val="36"/>
        </w:numPr>
        <w:jc w:val="both"/>
        <w:rPr>
          <w:rFonts w:asciiTheme="minorHAnsi" w:hAnsiTheme="minorHAnsi"/>
          <w:color w:val="auto"/>
          <w:sz w:val="20"/>
          <w:szCs w:val="20"/>
        </w:rPr>
      </w:pPr>
      <w:r w:rsidRPr="00894701">
        <w:rPr>
          <w:rFonts w:asciiTheme="minorHAnsi" w:hAnsiTheme="minorHAnsi"/>
          <w:color w:val="auto"/>
          <w:sz w:val="20"/>
          <w:szCs w:val="20"/>
        </w:rPr>
        <w:t xml:space="preserve">contractors and their sub-contractors are exempt from the following taxes: </w:t>
      </w:r>
    </w:p>
    <w:p w14:paraId="0591D48A" w14:textId="1540C68A" w:rsidR="00CA282D" w:rsidRPr="00894701" w:rsidRDefault="00CA282D" w:rsidP="00CA282D">
      <w:pPr>
        <w:pStyle w:val="ListParagraph"/>
        <w:widowControl w:val="0"/>
        <w:numPr>
          <w:ilvl w:val="1"/>
          <w:numId w:val="37"/>
        </w:numPr>
        <w:spacing w:after="0" w:line="266" w:lineRule="exact"/>
        <w:ind w:right="783"/>
        <w:jc w:val="both"/>
        <w:rPr>
          <w:rFonts w:asciiTheme="minorHAnsi" w:hAnsiTheme="minorHAnsi" w:cs="TrebuchetMS"/>
          <w:color w:val="000000"/>
          <w:kern w:val="0"/>
          <w:sz w:val="20"/>
          <w:szCs w:val="20"/>
          <w:lang w:eastAsia="en-US"/>
        </w:rPr>
      </w:pPr>
      <w:r w:rsidRPr="00894701">
        <w:rPr>
          <w:rFonts w:asciiTheme="minorHAnsi" w:hAnsiTheme="minorHAnsi" w:cs="TrebuchetMS"/>
          <w:color w:val="000000"/>
          <w:kern w:val="0"/>
          <w:sz w:val="20"/>
          <w:szCs w:val="20"/>
          <w:lang w:eastAsia="en-US"/>
        </w:rPr>
        <w:t xml:space="preserve">Surinamese turnover tax on the purchase of goods and the delivery of services during the period of the PSC. Such services provided to contractors, which relate to oil and gas activities, will in principle no longer be subject to the Suriname turnover tax; </w:t>
      </w:r>
    </w:p>
    <w:p w14:paraId="46936203" w14:textId="25411607" w:rsidR="00CA282D" w:rsidRPr="00894701" w:rsidRDefault="00CA282D" w:rsidP="00CA282D">
      <w:pPr>
        <w:pStyle w:val="ListParagraph"/>
        <w:widowControl w:val="0"/>
        <w:numPr>
          <w:ilvl w:val="1"/>
          <w:numId w:val="37"/>
        </w:numPr>
        <w:spacing w:after="0" w:line="266" w:lineRule="exact"/>
        <w:ind w:right="783"/>
        <w:jc w:val="both"/>
        <w:rPr>
          <w:rFonts w:asciiTheme="minorHAnsi" w:hAnsiTheme="minorHAnsi" w:cs="TrebuchetMS"/>
          <w:color w:val="000000"/>
          <w:kern w:val="0"/>
          <w:sz w:val="20"/>
          <w:szCs w:val="20"/>
          <w:lang w:eastAsia="en-US"/>
        </w:rPr>
      </w:pPr>
      <w:r w:rsidRPr="00894701">
        <w:rPr>
          <w:rFonts w:asciiTheme="minorHAnsi" w:hAnsiTheme="minorHAnsi" w:cs="TrebuchetMS"/>
          <w:color w:val="000000"/>
          <w:kern w:val="0"/>
          <w:sz w:val="20"/>
          <w:szCs w:val="20"/>
          <w:lang w:eastAsia="en-US"/>
        </w:rPr>
        <w:t>taxes on</w:t>
      </w:r>
      <w:r w:rsidRPr="00894701">
        <w:rPr>
          <w:rFonts w:asciiTheme="minorHAnsi" w:hAnsiTheme="minorHAnsi" w:cs="TrebuchetMS"/>
          <w:color w:val="000000"/>
          <w:spacing w:val="-2"/>
          <w:kern w:val="0"/>
          <w:sz w:val="20"/>
          <w:szCs w:val="20"/>
          <w:lang w:eastAsia="en-US"/>
        </w:rPr>
        <w:t xml:space="preserve"> </w:t>
      </w:r>
      <w:r w:rsidRPr="00894701">
        <w:rPr>
          <w:rFonts w:asciiTheme="minorHAnsi" w:hAnsiTheme="minorHAnsi" w:cs="TrebuchetMS"/>
          <w:color w:val="000000"/>
          <w:kern w:val="0"/>
          <w:sz w:val="20"/>
          <w:szCs w:val="20"/>
          <w:lang w:eastAsia="en-US"/>
        </w:rPr>
        <w:t>dividends,</w:t>
      </w:r>
      <w:r w:rsidRPr="00894701">
        <w:rPr>
          <w:rFonts w:asciiTheme="minorHAnsi" w:hAnsiTheme="minorHAnsi" w:cs="TrebuchetMS"/>
          <w:color w:val="000000"/>
          <w:spacing w:val="-2"/>
          <w:kern w:val="0"/>
          <w:sz w:val="20"/>
          <w:szCs w:val="20"/>
          <w:lang w:eastAsia="en-US"/>
        </w:rPr>
        <w:t xml:space="preserve"> </w:t>
      </w:r>
      <w:r w:rsidRPr="00894701">
        <w:rPr>
          <w:rFonts w:asciiTheme="minorHAnsi" w:hAnsiTheme="minorHAnsi" w:cs="TrebuchetMS"/>
          <w:color w:val="000000"/>
          <w:kern w:val="0"/>
          <w:sz w:val="20"/>
          <w:szCs w:val="20"/>
          <w:lang w:eastAsia="en-US"/>
        </w:rPr>
        <w:t>paid</w:t>
      </w:r>
      <w:r w:rsidRPr="00894701">
        <w:rPr>
          <w:rFonts w:asciiTheme="minorHAnsi" w:hAnsiTheme="minorHAnsi" w:cs="TrebuchetMS"/>
          <w:color w:val="000000"/>
          <w:spacing w:val="-2"/>
          <w:kern w:val="0"/>
          <w:sz w:val="20"/>
          <w:szCs w:val="20"/>
          <w:lang w:eastAsia="en-US"/>
        </w:rPr>
        <w:t xml:space="preserve"> </w:t>
      </w:r>
      <w:r w:rsidRPr="00894701">
        <w:rPr>
          <w:rFonts w:asciiTheme="minorHAnsi" w:hAnsiTheme="minorHAnsi" w:cs="TrebuchetMS"/>
          <w:color w:val="000000"/>
          <w:kern w:val="0"/>
          <w:sz w:val="20"/>
          <w:szCs w:val="20"/>
          <w:lang w:eastAsia="en-US"/>
        </w:rPr>
        <w:t>by</w:t>
      </w:r>
      <w:r w:rsidRPr="00894701">
        <w:rPr>
          <w:rFonts w:asciiTheme="minorHAnsi" w:hAnsiTheme="minorHAnsi" w:cs="TrebuchetMS"/>
          <w:color w:val="000000"/>
          <w:spacing w:val="-2"/>
          <w:kern w:val="0"/>
          <w:sz w:val="20"/>
          <w:szCs w:val="20"/>
          <w:lang w:eastAsia="en-US"/>
        </w:rPr>
        <w:t xml:space="preserve"> </w:t>
      </w:r>
      <w:r w:rsidRPr="00894701">
        <w:rPr>
          <w:rFonts w:asciiTheme="minorHAnsi" w:hAnsiTheme="minorHAnsi" w:cs="TrebuchetMS"/>
          <w:color w:val="000000"/>
          <w:kern w:val="0"/>
          <w:sz w:val="20"/>
          <w:szCs w:val="20"/>
          <w:lang w:eastAsia="en-US"/>
        </w:rPr>
        <w:t>a</w:t>
      </w:r>
      <w:r w:rsidRPr="00894701">
        <w:rPr>
          <w:rFonts w:asciiTheme="minorHAnsi" w:hAnsiTheme="minorHAnsi" w:cs="TrebuchetMS"/>
          <w:color w:val="000000"/>
          <w:spacing w:val="-2"/>
          <w:kern w:val="0"/>
          <w:sz w:val="20"/>
          <w:szCs w:val="20"/>
          <w:lang w:eastAsia="en-US"/>
        </w:rPr>
        <w:t xml:space="preserve"> </w:t>
      </w:r>
      <w:r w:rsidRPr="00894701">
        <w:rPr>
          <w:rFonts w:asciiTheme="minorHAnsi" w:hAnsiTheme="minorHAnsi" w:cs="TrebuchetMS"/>
          <w:color w:val="000000"/>
          <w:kern w:val="0"/>
          <w:sz w:val="20"/>
          <w:szCs w:val="20"/>
          <w:lang w:eastAsia="en-US"/>
        </w:rPr>
        <w:t>contracting</w:t>
      </w:r>
      <w:r w:rsidRPr="00894701">
        <w:rPr>
          <w:rFonts w:asciiTheme="minorHAnsi" w:hAnsiTheme="minorHAnsi" w:cs="TrebuchetMS"/>
          <w:color w:val="000000"/>
          <w:spacing w:val="-2"/>
          <w:kern w:val="0"/>
          <w:sz w:val="20"/>
          <w:szCs w:val="20"/>
          <w:lang w:eastAsia="en-US"/>
        </w:rPr>
        <w:t xml:space="preserve"> </w:t>
      </w:r>
      <w:r w:rsidRPr="00894701">
        <w:rPr>
          <w:rFonts w:asciiTheme="minorHAnsi" w:hAnsiTheme="minorHAnsi" w:cs="TrebuchetMS"/>
          <w:color w:val="000000"/>
          <w:kern w:val="0"/>
          <w:sz w:val="20"/>
          <w:szCs w:val="20"/>
          <w:lang w:eastAsia="en-US"/>
        </w:rPr>
        <w:t>party to non-Surinamese</w:t>
      </w:r>
      <w:r w:rsidRPr="00894701">
        <w:rPr>
          <w:rFonts w:asciiTheme="minorHAnsi" w:hAnsiTheme="minorHAnsi" w:cs="TrebuchetMS"/>
          <w:color w:val="000000"/>
          <w:spacing w:val="-2"/>
          <w:kern w:val="0"/>
          <w:sz w:val="20"/>
          <w:szCs w:val="20"/>
          <w:lang w:eastAsia="en-US"/>
        </w:rPr>
        <w:t xml:space="preserve"> </w:t>
      </w:r>
      <w:r w:rsidRPr="00894701">
        <w:rPr>
          <w:rFonts w:asciiTheme="minorHAnsi" w:hAnsiTheme="minorHAnsi" w:cs="TrebuchetMS"/>
          <w:color w:val="000000"/>
          <w:kern w:val="0"/>
          <w:sz w:val="20"/>
          <w:szCs w:val="20"/>
          <w:lang w:eastAsia="en-US"/>
        </w:rPr>
        <w:t>shareholders,</w:t>
      </w:r>
      <w:r w:rsidRPr="00894701">
        <w:rPr>
          <w:rFonts w:asciiTheme="minorHAnsi" w:hAnsiTheme="minorHAnsi" w:cs="TrebuchetMS"/>
          <w:color w:val="000000"/>
          <w:spacing w:val="-2"/>
          <w:kern w:val="0"/>
          <w:sz w:val="20"/>
          <w:szCs w:val="20"/>
          <w:lang w:eastAsia="en-US"/>
        </w:rPr>
        <w:t xml:space="preserve"> </w:t>
      </w:r>
      <w:r w:rsidRPr="00894701">
        <w:rPr>
          <w:rFonts w:asciiTheme="minorHAnsi" w:hAnsiTheme="minorHAnsi" w:cs="TrebuchetMS"/>
          <w:color w:val="000000"/>
          <w:kern w:val="0"/>
          <w:sz w:val="20"/>
          <w:szCs w:val="20"/>
          <w:lang w:eastAsia="en-US"/>
        </w:rPr>
        <w:t>the</w:t>
      </w:r>
      <w:r w:rsidRPr="00894701">
        <w:rPr>
          <w:rFonts w:asciiTheme="minorHAnsi" w:hAnsiTheme="minorHAnsi" w:cs="TrebuchetMS"/>
          <w:color w:val="000000"/>
          <w:spacing w:val="-2"/>
          <w:kern w:val="0"/>
          <w:sz w:val="20"/>
          <w:szCs w:val="20"/>
          <w:lang w:eastAsia="en-US"/>
        </w:rPr>
        <w:t xml:space="preserve"> </w:t>
      </w:r>
      <w:r w:rsidRPr="00894701">
        <w:rPr>
          <w:rFonts w:asciiTheme="minorHAnsi" w:hAnsiTheme="minorHAnsi" w:cs="TrebuchetMS"/>
          <w:color w:val="000000"/>
          <w:kern w:val="0"/>
          <w:sz w:val="20"/>
          <w:szCs w:val="20"/>
          <w:lang w:eastAsia="en-US"/>
        </w:rPr>
        <w:t>transfer</w:t>
      </w:r>
      <w:r w:rsidRPr="00894701">
        <w:rPr>
          <w:rFonts w:asciiTheme="minorHAnsi" w:hAnsiTheme="minorHAnsi" w:cs="TrebuchetMS"/>
          <w:color w:val="000000"/>
          <w:spacing w:val="-2"/>
          <w:kern w:val="0"/>
          <w:sz w:val="20"/>
          <w:szCs w:val="20"/>
          <w:lang w:eastAsia="en-US"/>
        </w:rPr>
        <w:t xml:space="preserve"> </w:t>
      </w:r>
      <w:r w:rsidRPr="00894701">
        <w:rPr>
          <w:rFonts w:asciiTheme="minorHAnsi" w:hAnsiTheme="minorHAnsi" w:cs="TrebuchetMS"/>
          <w:color w:val="000000"/>
          <w:kern w:val="0"/>
          <w:sz w:val="20"/>
          <w:szCs w:val="20"/>
          <w:lang w:eastAsia="en-US"/>
        </w:rPr>
        <w:t xml:space="preserve">of profits to a foreign head office, or the re-transfer of dividend payments by non-Surinamese </w:t>
      </w:r>
      <w:r w:rsidRPr="00894701">
        <w:rPr>
          <w:rFonts w:asciiTheme="minorHAnsi" w:hAnsiTheme="minorHAnsi"/>
          <w:color w:val="auto"/>
          <w:kern w:val="0"/>
          <w:sz w:val="22"/>
          <w:szCs w:val="22"/>
          <w:lang w:eastAsia="en-US"/>
        </w:rPr>
        <w:br w:type="textWrapping" w:clear="all"/>
      </w:r>
      <w:r w:rsidRPr="00894701">
        <w:rPr>
          <w:rFonts w:asciiTheme="minorHAnsi" w:hAnsiTheme="minorHAnsi" w:cs="TrebuchetMS"/>
          <w:color w:val="000000"/>
          <w:kern w:val="0"/>
          <w:sz w:val="20"/>
          <w:szCs w:val="20"/>
          <w:lang w:eastAsia="en-US"/>
        </w:rPr>
        <w:t>shareholders; and</w:t>
      </w:r>
    </w:p>
    <w:p w14:paraId="1F23E98E" w14:textId="4CF6DE8A" w:rsidR="00CA282D" w:rsidRPr="00894701" w:rsidRDefault="00CA282D" w:rsidP="00CA282D">
      <w:pPr>
        <w:pStyle w:val="ListParagraph"/>
        <w:widowControl w:val="0"/>
        <w:numPr>
          <w:ilvl w:val="1"/>
          <w:numId w:val="37"/>
        </w:numPr>
        <w:spacing w:before="120" w:line="240" w:lineRule="auto"/>
        <w:ind w:left="1434" w:right="782" w:hanging="357"/>
        <w:contextualSpacing w:val="0"/>
        <w:jc w:val="both"/>
        <w:rPr>
          <w:rFonts w:asciiTheme="minorHAnsi" w:hAnsiTheme="minorHAnsi" w:cs="TrebuchetMS"/>
          <w:color w:val="000000"/>
          <w:kern w:val="0"/>
          <w:sz w:val="20"/>
          <w:szCs w:val="20"/>
          <w:lang w:eastAsia="en-US"/>
        </w:rPr>
      </w:pPr>
      <w:r w:rsidRPr="00894701">
        <w:rPr>
          <w:rFonts w:asciiTheme="minorHAnsi" w:hAnsiTheme="minorHAnsi" w:cs="TrebuchetMS"/>
          <w:color w:val="000000"/>
          <w:kern w:val="0"/>
          <w:sz w:val="20"/>
          <w:szCs w:val="20"/>
          <w:lang w:eastAsia="en-US"/>
        </w:rPr>
        <w:t>taxes</w:t>
      </w:r>
      <w:r w:rsidRPr="00894701">
        <w:rPr>
          <w:rFonts w:asciiTheme="minorHAnsi" w:hAnsiTheme="minorHAnsi" w:cs="TrebuchetMS"/>
          <w:color w:val="000000"/>
          <w:spacing w:val="24"/>
          <w:kern w:val="0"/>
          <w:sz w:val="20"/>
          <w:szCs w:val="20"/>
          <w:lang w:eastAsia="en-US"/>
        </w:rPr>
        <w:t xml:space="preserve"> </w:t>
      </w:r>
      <w:r w:rsidRPr="00894701">
        <w:rPr>
          <w:rFonts w:asciiTheme="minorHAnsi" w:hAnsiTheme="minorHAnsi" w:cs="TrebuchetMS"/>
          <w:color w:val="000000"/>
          <w:kern w:val="0"/>
          <w:sz w:val="20"/>
          <w:szCs w:val="20"/>
          <w:lang w:eastAsia="en-US"/>
        </w:rPr>
        <w:t>on</w:t>
      </w:r>
      <w:r w:rsidRPr="00894701">
        <w:rPr>
          <w:rFonts w:asciiTheme="minorHAnsi" w:hAnsiTheme="minorHAnsi" w:cs="TrebuchetMS"/>
          <w:color w:val="000000"/>
          <w:spacing w:val="23"/>
          <w:kern w:val="0"/>
          <w:sz w:val="20"/>
          <w:szCs w:val="20"/>
          <w:lang w:eastAsia="en-US"/>
        </w:rPr>
        <w:t xml:space="preserve"> </w:t>
      </w:r>
      <w:r w:rsidRPr="00894701">
        <w:rPr>
          <w:rFonts w:asciiTheme="minorHAnsi" w:hAnsiTheme="minorHAnsi" w:cs="TrebuchetMS"/>
          <w:color w:val="000000"/>
          <w:kern w:val="0"/>
          <w:sz w:val="20"/>
          <w:szCs w:val="20"/>
          <w:lang w:eastAsia="en-US"/>
        </w:rPr>
        <w:t>the</w:t>
      </w:r>
      <w:r w:rsidRPr="00894701">
        <w:rPr>
          <w:rFonts w:asciiTheme="minorHAnsi" w:hAnsiTheme="minorHAnsi" w:cs="TrebuchetMS"/>
          <w:color w:val="000000"/>
          <w:spacing w:val="23"/>
          <w:kern w:val="0"/>
          <w:sz w:val="20"/>
          <w:szCs w:val="20"/>
          <w:lang w:eastAsia="en-US"/>
        </w:rPr>
        <w:t xml:space="preserve"> </w:t>
      </w:r>
      <w:r w:rsidRPr="00894701">
        <w:rPr>
          <w:rFonts w:asciiTheme="minorHAnsi" w:hAnsiTheme="minorHAnsi" w:cs="TrebuchetMS"/>
          <w:color w:val="000000"/>
          <w:kern w:val="0"/>
          <w:sz w:val="20"/>
          <w:szCs w:val="20"/>
          <w:lang w:eastAsia="en-US"/>
        </w:rPr>
        <w:t>sale</w:t>
      </w:r>
      <w:r w:rsidRPr="00894701">
        <w:rPr>
          <w:rFonts w:asciiTheme="minorHAnsi" w:hAnsiTheme="minorHAnsi" w:cs="TrebuchetMS"/>
          <w:color w:val="000000"/>
          <w:spacing w:val="23"/>
          <w:kern w:val="0"/>
          <w:sz w:val="20"/>
          <w:szCs w:val="20"/>
          <w:lang w:eastAsia="en-US"/>
        </w:rPr>
        <w:t xml:space="preserve"> </w:t>
      </w:r>
      <w:r w:rsidRPr="00894701">
        <w:rPr>
          <w:rFonts w:asciiTheme="minorHAnsi" w:hAnsiTheme="minorHAnsi" w:cs="TrebuchetMS"/>
          <w:color w:val="000000"/>
          <w:kern w:val="0"/>
          <w:sz w:val="20"/>
          <w:szCs w:val="20"/>
          <w:lang w:eastAsia="en-US"/>
        </w:rPr>
        <w:t>of</w:t>
      </w:r>
      <w:r w:rsidRPr="00894701">
        <w:rPr>
          <w:rFonts w:asciiTheme="minorHAnsi" w:hAnsiTheme="minorHAnsi" w:cs="TrebuchetMS"/>
          <w:color w:val="000000"/>
          <w:spacing w:val="21"/>
          <w:kern w:val="0"/>
          <w:sz w:val="20"/>
          <w:szCs w:val="20"/>
          <w:lang w:eastAsia="en-US"/>
        </w:rPr>
        <w:t xml:space="preserve"> </w:t>
      </w:r>
      <w:r w:rsidRPr="00894701">
        <w:rPr>
          <w:rFonts w:asciiTheme="minorHAnsi" w:hAnsiTheme="minorHAnsi" w:cs="TrebuchetMS"/>
          <w:color w:val="000000"/>
          <w:kern w:val="0"/>
          <w:sz w:val="20"/>
          <w:szCs w:val="20"/>
          <w:lang w:eastAsia="en-US"/>
        </w:rPr>
        <w:t>an</w:t>
      </w:r>
      <w:r w:rsidRPr="00894701">
        <w:rPr>
          <w:rFonts w:asciiTheme="minorHAnsi" w:hAnsiTheme="minorHAnsi" w:cs="TrebuchetMS"/>
          <w:color w:val="000000"/>
          <w:spacing w:val="23"/>
          <w:kern w:val="0"/>
          <w:sz w:val="20"/>
          <w:szCs w:val="20"/>
          <w:lang w:eastAsia="en-US"/>
        </w:rPr>
        <w:t xml:space="preserve"> </w:t>
      </w:r>
      <w:r w:rsidRPr="00894701">
        <w:rPr>
          <w:rFonts w:asciiTheme="minorHAnsi" w:hAnsiTheme="minorHAnsi" w:cs="TrebuchetMS"/>
          <w:color w:val="000000"/>
          <w:kern w:val="0"/>
          <w:sz w:val="20"/>
          <w:szCs w:val="20"/>
          <w:lang w:eastAsia="en-US"/>
        </w:rPr>
        <w:t>interest</w:t>
      </w:r>
      <w:r w:rsidRPr="00894701">
        <w:rPr>
          <w:rFonts w:asciiTheme="minorHAnsi" w:hAnsiTheme="minorHAnsi" w:cs="TrebuchetMS"/>
          <w:color w:val="000000"/>
          <w:spacing w:val="23"/>
          <w:kern w:val="0"/>
          <w:sz w:val="20"/>
          <w:szCs w:val="20"/>
          <w:lang w:eastAsia="en-US"/>
        </w:rPr>
        <w:t xml:space="preserve"> </w:t>
      </w:r>
      <w:r w:rsidRPr="00894701">
        <w:rPr>
          <w:rFonts w:asciiTheme="minorHAnsi" w:hAnsiTheme="minorHAnsi" w:cs="TrebuchetMS"/>
          <w:color w:val="000000"/>
          <w:kern w:val="0"/>
          <w:sz w:val="20"/>
          <w:szCs w:val="20"/>
          <w:lang w:eastAsia="en-US"/>
        </w:rPr>
        <w:t>arising</w:t>
      </w:r>
      <w:r w:rsidRPr="00894701">
        <w:rPr>
          <w:rFonts w:asciiTheme="minorHAnsi" w:hAnsiTheme="minorHAnsi" w:cs="TrebuchetMS"/>
          <w:color w:val="000000"/>
          <w:spacing w:val="23"/>
          <w:kern w:val="0"/>
          <w:sz w:val="20"/>
          <w:szCs w:val="20"/>
          <w:lang w:eastAsia="en-US"/>
        </w:rPr>
        <w:t xml:space="preserve"> </w:t>
      </w:r>
      <w:r w:rsidRPr="00894701">
        <w:rPr>
          <w:rFonts w:asciiTheme="minorHAnsi" w:hAnsiTheme="minorHAnsi" w:cs="TrebuchetMS"/>
          <w:color w:val="000000"/>
          <w:kern w:val="0"/>
          <w:sz w:val="20"/>
          <w:szCs w:val="20"/>
          <w:lang w:eastAsia="en-US"/>
        </w:rPr>
        <w:t>from</w:t>
      </w:r>
      <w:r w:rsidRPr="00894701">
        <w:rPr>
          <w:rFonts w:asciiTheme="minorHAnsi" w:hAnsiTheme="minorHAnsi" w:cs="TrebuchetMS"/>
          <w:color w:val="000000"/>
          <w:spacing w:val="24"/>
          <w:kern w:val="0"/>
          <w:sz w:val="20"/>
          <w:szCs w:val="20"/>
          <w:lang w:eastAsia="en-US"/>
        </w:rPr>
        <w:t xml:space="preserve"> </w:t>
      </w:r>
      <w:r w:rsidRPr="00894701">
        <w:rPr>
          <w:rFonts w:asciiTheme="minorHAnsi" w:hAnsiTheme="minorHAnsi" w:cs="TrebuchetMS"/>
          <w:color w:val="000000"/>
          <w:kern w:val="0"/>
          <w:sz w:val="20"/>
          <w:szCs w:val="20"/>
          <w:lang w:eastAsia="en-US"/>
        </w:rPr>
        <w:t>an</w:t>
      </w:r>
      <w:r w:rsidRPr="00894701">
        <w:rPr>
          <w:rFonts w:asciiTheme="minorHAnsi" w:hAnsiTheme="minorHAnsi" w:cs="TrebuchetMS"/>
          <w:color w:val="000000"/>
          <w:spacing w:val="23"/>
          <w:kern w:val="0"/>
          <w:sz w:val="20"/>
          <w:szCs w:val="20"/>
          <w:lang w:eastAsia="en-US"/>
        </w:rPr>
        <w:t xml:space="preserve"> </w:t>
      </w:r>
      <w:r w:rsidRPr="00894701">
        <w:rPr>
          <w:rFonts w:asciiTheme="minorHAnsi" w:hAnsiTheme="minorHAnsi" w:cs="TrebuchetMS"/>
          <w:color w:val="000000"/>
          <w:kern w:val="0"/>
          <w:sz w:val="20"/>
          <w:szCs w:val="20"/>
          <w:lang w:eastAsia="en-US"/>
        </w:rPr>
        <w:t>agreement</w:t>
      </w:r>
      <w:r w:rsidRPr="00894701">
        <w:rPr>
          <w:rFonts w:asciiTheme="minorHAnsi" w:hAnsiTheme="minorHAnsi" w:cs="TrebuchetMS"/>
          <w:color w:val="000000"/>
          <w:spacing w:val="24"/>
          <w:kern w:val="0"/>
          <w:sz w:val="20"/>
          <w:szCs w:val="20"/>
          <w:lang w:eastAsia="en-US"/>
        </w:rPr>
        <w:t xml:space="preserve"> </w:t>
      </w:r>
      <w:r w:rsidRPr="00894701">
        <w:rPr>
          <w:rFonts w:asciiTheme="minorHAnsi" w:hAnsiTheme="minorHAnsi" w:cs="TrebuchetMS"/>
          <w:color w:val="000000"/>
          <w:kern w:val="0"/>
          <w:sz w:val="20"/>
          <w:szCs w:val="20"/>
          <w:lang w:eastAsia="en-US"/>
        </w:rPr>
        <w:t>or</w:t>
      </w:r>
      <w:r w:rsidRPr="00894701">
        <w:rPr>
          <w:rFonts w:asciiTheme="minorHAnsi" w:hAnsiTheme="minorHAnsi" w:cs="TrebuchetMS"/>
          <w:color w:val="000000"/>
          <w:spacing w:val="23"/>
          <w:kern w:val="0"/>
          <w:sz w:val="20"/>
          <w:szCs w:val="20"/>
          <w:lang w:eastAsia="en-US"/>
        </w:rPr>
        <w:t xml:space="preserve"> </w:t>
      </w:r>
      <w:r w:rsidRPr="00894701">
        <w:rPr>
          <w:rFonts w:asciiTheme="minorHAnsi" w:hAnsiTheme="minorHAnsi" w:cs="TrebuchetMS"/>
          <w:color w:val="000000"/>
          <w:kern w:val="0"/>
          <w:sz w:val="20"/>
          <w:szCs w:val="20"/>
          <w:lang w:eastAsia="en-US"/>
        </w:rPr>
        <w:t>the</w:t>
      </w:r>
      <w:r w:rsidRPr="00894701">
        <w:rPr>
          <w:rFonts w:asciiTheme="minorHAnsi" w:hAnsiTheme="minorHAnsi" w:cs="TrebuchetMS"/>
          <w:color w:val="000000"/>
          <w:spacing w:val="23"/>
          <w:kern w:val="0"/>
          <w:sz w:val="20"/>
          <w:szCs w:val="20"/>
          <w:lang w:eastAsia="en-US"/>
        </w:rPr>
        <w:t xml:space="preserve"> </w:t>
      </w:r>
      <w:r w:rsidRPr="00894701">
        <w:rPr>
          <w:rFonts w:asciiTheme="minorHAnsi" w:hAnsiTheme="minorHAnsi" w:cs="TrebuchetMS"/>
          <w:color w:val="000000"/>
          <w:kern w:val="0"/>
          <w:sz w:val="20"/>
          <w:szCs w:val="20"/>
          <w:lang w:eastAsia="en-US"/>
        </w:rPr>
        <w:t>sale of</w:t>
      </w:r>
      <w:r w:rsidRPr="00894701">
        <w:rPr>
          <w:rFonts w:asciiTheme="minorHAnsi" w:hAnsiTheme="minorHAnsi" w:cs="TrebuchetMS"/>
          <w:color w:val="000000"/>
          <w:spacing w:val="23"/>
          <w:kern w:val="0"/>
          <w:sz w:val="20"/>
          <w:szCs w:val="20"/>
          <w:lang w:eastAsia="en-US"/>
        </w:rPr>
        <w:t xml:space="preserve"> </w:t>
      </w:r>
      <w:r w:rsidRPr="00894701">
        <w:rPr>
          <w:rFonts w:asciiTheme="minorHAnsi" w:hAnsiTheme="minorHAnsi" w:cs="TrebuchetMS"/>
          <w:color w:val="000000"/>
          <w:kern w:val="0"/>
          <w:sz w:val="20"/>
          <w:szCs w:val="20"/>
          <w:lang w:eastAsia="en-US"/>
        </w:rPr>
        <w:t>the</w:t>
      </w:r>
      <w:r w:rsidRPr="00894701">
        <w:rPr>
          <w:rFonts w:asciiTheme="minorHAnsi" w:hAnsiTheme="minorHAnsi" w:cs="TrebuchetMS"/>
          <w:color w:val="000000"/>
          <w:spacing w:val="23"/>
          <w:kern w:val="0"/>
          <w:sz w:val="20"/>
          <w:szCs w:val="20"/>
          <w:lang w:eastAsia="en-US"/>
        </w:rPr>
        <w:t xml:space="preserve"> </w:t>
      </w:r>
      <w:r w:rsidRPr="00894701">
        <w:rPr>
          <w:rFonts w:asciiTheme="minorHAnsi" w:hAnsiTheme="minorHAnsi" w:cs="TrebuchetMS"/>
          <w:color w:val="000000"/>
          <w:kern w:val="0"/>
          <w:sz w:val="20"/>
          <w:szCs w:val="20"/>
          <w:lang w:eastAsia="en-US"/>
        </w:rPr>
        <w:t>shares</w:t>
      </w:r>
      <w:r w:rsidRPr="00894701">
        <w:rPr>
          <w:rFonts w:asciiTheme="minorHAnsi" w:hAnsiTheme="minorHAnsi" w:cs="TrebuchetMS"/>
          <w:color w:val="000000"/>
          <w:spacing w:val="24"/>
          <w:kern w:val="0"/>
          <w:sz w:val="20"/>
          <w:szCs w:val="20"/>
          <w:lang w:eastAsia="en-US"/>
        </w:rPr>
        <w:t xml:space="preserve"> </w:t>
      </w:r>
      <w:r w:rsidRPr="00894701">
        <w:rPr>
          <w:rFonts w:asciiTheme="minorHAnsi" w:hAnsiTheme="minorHAnsi" w:cs="TrebuchetMS"/>
          <w:color w:val="000000"/>
          <w:kern w:val="0"/>
          <w:sz w:val="20"/>
          <w:szCs w:val="20"/>
          <w:lang w:eastAsia="en-US"/>
        </w:rPr>
        <w:t>of</w:t>
      </w:r>
      <w:r w:rsidRPr="00894701">
        <w:rPr>
          <w:rFonts w:asciiTheme="minorHAnsi" w:hAnsiTheme="minorHAnsi" w:cs="TrebuchetMS"/>
          <w:color w:val="000000"/>
          <w:spacing w:val="21"/>
          <w:kern w:val="0"/>
          <w:sz w:val="20"/>
          <w:szCs w:val="20"/>
          <w:lang w:eastAsia="en-US"/>
        </w:rPr>
        <w:t xml:space="preserve"> </w:t>
      </w:r>
      <w:r w:rsidRPr="00894701">
        <w:rPr>
          <w:rFonts w:asciiTheme="minorHAnsi" w:hAnsiTheme="minorHAnsi" w:cs="TrebuchetMS"/>
          <w:color w:val="000000"/>
          <w:kern w:val="0"/>
          <w:sz w:val="20"/>
          <w:szCs w:val="20"/>
          <w:lang w:eastAsia="en-US"/>
        </w:rPr>
        <w:t xml:space="preserve">a contractor party by non-Surinamese shareholders, the revenues on the sale of these kinds of interests or shares and the re-transfer of these revenues following the Stamp Act. </w:t>
      </w:r>
    </w:p>
    <w:p w14:paraId="3FC3A59B" w14:textId="77777777" w:rsidR="00CA282D" w:rsidRPr="00894701" w:rsidRDefault="00CA282D" w:rsidP="00CA282D">
      <w:pPr>
        <w:pStyle w:val="BodyText"/>
        <w:jc w:val="both"/>
        <w:rPr>
          <w:rFonts w:asciiTheme="minorHAnsi" w:hAnsiTheme="minorHAnsi"/>
          <w:color w:val="010302"/>
          <w:kern w:val="0"/>
          <w:sz w:val="22"/>
          <w:szCs w:val="22"/>
          <w:lang w:eastAsia="en-US"/>
        </w:rPr>
      </w:pPr>
      <w:r w:rsidRPr="00894701">
        <w:rPr>
          <w:rFonts w:asciiTheme="minorHAnsi" w:hAnsiTheme="minorHAnsi" w:cs="TrebuchetMS"/>
          <w:color w:val="000000"/>
          <w:kern w:val="0"/>
          <w:sz w:val="20"/>
          <w:szCs w:val="20"/>
          <w:lang w:eastAsia="en-US"/>
        </w:rPr>
        <w:t>Howeve</w:t>
      </w:r>
      <w:r w:rsidRPr="00894701">
        <w:rPr>
          <w:rFonts w:asciiTheme="minorHAnsi" w:hAnsiTheme="minorHAnsi" w:cs="TrebuchetMS"/>
          <w:color w:val="000000"/>
          <w:spacing w:val="-29"/>
          <w:kern w:val="0"/>
          <w:sz w:val="20"/>
          <w:szCs w:val="20"/>
          <w:lang w:eastAsia="en-US"/>
        </w:rPr>
        <w:t>r</w:t>
      </w:r>
      <w:r w:rsidRPr="00894701">
        <w:rPr>
          <w:rFonts w:asciiTheme="minorHAnsi" w:hAnsiTheme="minorHAnsi" w:cs="TrebuchetMS"/>
          <w:color w:val="000000"/>
          <w:kern w:val="0"/>
          <w:sz w:val="20"/>
          <w:szCs w:val="20"/>
          <w:lang w:eastAsia="en-US"/>
        </w:rPr>
        <w:t xml:space="preserve">, in general contractors and sub-contractors are taxable as per the Income </w:t>
      </w:r>
      <w:r w:rsidRPr="00894701">
        <w:rPr>
          <w:rFonts w:asciiTheme="minorHAnsi" w:hAnsiTheme="minorHAnsi" w:cs="TrebuchetMS"/>
          <w:color w:val="000000"/>
          <w:spacing w:val="-24"/>
          <w:kern w:val="0"/>
          <w:sz w:val="20"/>
          <w:szCs w:val="20"/>
          <w:lang w:eastAsia="en-US"/>
        </w:rPr>
        <w:t>T</w:t>
      </w:r>
      <w:r w:rsidRPr="00894701">
        <w:rPr>
          <w:rFonts w:asciiTheme="minorHAnsi" w:hAnsiTheme="minorHAnsi" w:cs="TrebuchetMS"/>
          <w:color w:val="000000"/>
          <w:kern w:val="0"/>
          <w:sz w:val="20"/>
          <w:szCs w:val="20"/>
          <w:lang w:eastAsia="en-US"/>
        </w:rPr>
        <w:t>ax</w:t>
      </w:r>
      <w:r w:rsidRPr="00894701">
        <w:rPr>
          <w:rFonts w:asciiTheme="minorHAnsi" w:hAnsiTheme="minorHAnsi" w:cs="TrebuchetMS"/>
          <w:color w:val="000000"/>
          <w:spacing w:val="-11"/>
          <w:kern w:val="0"/>
          <w:sz w:val="20"/>
          <w:szCs w:val="20"/>
          <w:lang w:eastAsia="en-US"/>
        </w:rPr>
        <w:t xml:space="preserve"> </w:t>
      </w:r>
      <w:r w:rsidRPr="00894701">
        <w:rPr>
          <w:rFonts w:asciiTheme="minorHAnsi" w:hAnsiTheme="minorHAnsi" w:cs="TrebuchetMS"/>
          <w:color w:val="000000"/>
          <w:kern w:val="0"/>
          <w:sz w:val="20"/>
          <w:szCs w:val="20"/>
          <w:lang w:eastAsia="en-US"/>
        </w:rPr>
        <w:t xml:space="preserve">Act 1922. </w:t>
      </w:r>
    </w:p>
    <w:p w14:paraId="4FB50DEA" w14:textId="77777777" w:rsidR="00CA282D" w:rsidRPr="00894701" w:rsidRDefault="00CA282D" w:rsidP="00CA282D">
      <w:pPr>
        <w:widowControl w:val="0"/>
        <w:spacing w:before="120" w:line="240" w:lineRule="auto"/>
        <w:rPr>
          <w:rFonts w:asciiTheme="minorHAnsi" w:hAnsiTheme="minorHAnsi"/>
          <w:color w:val="010302"/>
          <w:kern w:val="0"/>
          <w:sz w:val="22"/>
          <w:szCs w:val="22"/>
          <w:lang w:eastAsia="en-US"/>
        </w:rPr>
      </w:pPr>
      <w:r w:rsidRPr="00894701">
        <w:rPr>
          <w:rFonts w:asciiTheme="minorHAnsi" w:hAnsiTheme="minorHAnsi" w:cs="TrebuchetMS-Bold"/>
          <w:b/>
          <w:bCs/>
          <w:color w:val="ED1A3B"/>
          <w:kern w:val="0"/>
          <w:sz w:val="20"/>
          <w:szCs w:val="20"/>
          <w:lang w:eastAsia="en-US"/>
        </w:rPr>
        <w:t xml:space="preserve">Fuel tax </w:t>
      </w:r>
    </w:p>
    <w:p w14:paraId="6FE3A558" w14:textId="5EE47784" w:rsidR="00CA282D" w:rsidRPr="00894701" w:rsidRDefault="00CA282D" w:rsidP="00CA282D">
      <w:pPr>
        <w:pStyle w:val="BodyText"/>
        <w:jc w:val="both"/>
        <w:rPr>
          <w:rFonts w:asciiTheme="minorHAnsi" w:hAnsiTheme="minorHAnsi"/>
          <w:color w:val="010302"/>
          <w:kern w:val="0"/>
          <w:sz w:val="22"/>
          <w:szCs w:val="22"/>
          <w:lang w:eastAsia="en-US"/>
        </w:rPr>
      </w:pPr>
      <w:r w:rsidRPr="00894701">
        <w:rPr>
          <w:rFonts w:asciiTheme="minorHAnsi" w:hAnsiTheme="minorHAnsi" w:cs="TrebuchetMS"/>
          <w:color w:val="000000"/>
          <w:kern w:val="0"/>
          <w:sz w:val="20"/>
          <w:szCs w:val="20"/>
          <w:lang w:eastAsia="en-US"/>
        </w:rPr>
        <w:t>Staatsolie,</w:t>
      </w:r>
      <w:r w:rsidRPr="00894701">
        <w:rPr>
          <w:rFonts w:asciiTheme="minorHAnsi" w:hAnsiTheme="minorHAnsi" w:cs="TrebuchetMS"/>
          <w:color w:val="000000"/>
          <w:spacing w:val="-4"/>
          <w:kern w:val="0"/>
          <w:sz w:val="20"/>
          <w:szCs w:val="20"/>
          <w:lang w:eastAsia="en-US"/>
        </w:rPr>
        <w:t xml:space="preserve"> </w:t>
      </w:r>
      <w:r w:rsidRPr="00894701">
        <w:rPr>
          <w:rFonts w:asciiTheme="minorHAnsi" w:hAnsiTheme="minorHAnsi" w:cs="TrebuchetMS"/>
          <w:color w:val="000000"/>
          <w:kern w:val="0"/>
          <w:sz w:val="20"/>
          <w:szCs w:val="20"/>
          <w:lang w:eastAsia="en-US"/>
        </w:rPr>
        <w:t>the</w:t>
      </w:r>
      <w:r w:rsidRPr="00894701">
        <w:rPr>
          <w:rFonts w:asciiTheme="minorHAnsi" w:hAnsiTheme="minorHAnsi" w:cs="TrebuchetMS"/>
          <w:color w:val="000000"/>
          <w:spacing w:val="-4"/>
          <w:kern w:val="0"/>
          <w:sz w:val="20"/>
          <w:szCs w:val="20"/>
          <w:lang w:eastAsia="en-US"/>
        </w:rPr>
        <w:t xml:space="preserve"> </w:t>
      </w:r>
      <w:r w:rsidRPr="00894701">
        <w:rPr>
          <w:rFonts w:asciiTheme="minorHAnsi" w:hAnsiTheme="minorHAnsi" w:cs="TrebuchetMS"/>
          <w:color w:val="000000"/>
          <w:kern w:val="0"/>
          <w:sz w:val="20"/>
          <w:szCs w:val="20"/>
          <w:lang w:eastAsia="en-US"/>
        </w:rPr>
        <w:t>State</w:t>
      </w:r>
      <w:r w:rsidRPr="00894701">
        <w:rPr>
          <w:rFonts w:asciiTheme="minorHAnsi" w:hAnsiTheme="minorHAnsi" w:cs="TrebuchetMS"/>
          <w:color w:val="000000"/>
          <w:spacing w:val="-4"/>
          <w:kern w:val="0"/>
          <w:sz w:val="20"/>
          <w:szCs w:val="20"/>
          <w:lang w:eastAsia="en-US"/>
        </w:rPr>
        <w:t xml:space="preserve"> </w:t>
      </w:r>
      <w:r w:rsidRPr="00894701">
        <w:rPr>
          <w:rFonts w:asciiTheme="minorHAnsi" w:hAnsiTheme="minorHAnsi" w:cs="TrebuchetMS"/>
          <w:color w:val="000000"/>
          <w:kern w:val="0"/>
          <w:sz w:val="20"/>
          <w:szCs w:val="20"/>
          <w:lang w:eastAsia="en-US"/>
        </w:rPr>
        <w:t>Oil</w:t>
      </w:r>
      <w:r w:rsidRPr="00894701">
        <w:rPr>
          <w:rFonts w:asciiTheme="minorHAnsi" w:hAnsiTheme="minorHAnsi" w:cs="TrebuchetMS"/>
          <w:color w:val="000000"/>
          <w:spacing w:val="-4"/>
          <w:kern w:val="0"/>
          <w:sz w:val="20"/>
          <w:szCs w:val="20"/>
          <w:lang w:eastAsia="en-US"/>
        </w:rPr>
        <w:t xml:space="preserve"> </w:t>
      </w:r>
      <w:r w:rsidRPr="00894701">
        <w:rPr>
          <w:rFonts w:asciiTheme="minorHAnsi" w:hAnsiTheme="minorHAnsi" w:cs="TrebuchetMS"/>
          <w:color w:val="000000"/>
          <w:kern w:val="0"/>
          <w:sz w:val="20"/>
          <w:szCs w:val="20"/>
          <w:lang w:eastAsia="en-US"/>
        </w:rPr>
        <w:t>Company,</w:t>
      </w:r>
      <w:r w:rsidRPr="00894701">
        <w:rPr>
          <w:rFonts w:asciiTheme="minorHAnsi" w:hAnsiTheme="minorHAnsi" w:cs="TrebuchetMS"/>
          <w:color w:val="000000"/>
          <w:spacing w:val="-4"/>
          <w:kern w:val="0"/>
          <w:sz w:val="20"/>
          <w:szCs w:val="20"/>
          <w:lang w:eastAsia="en-US"/>
        </w:rPr>
        <w:t xml:space="preserve"> </w:t>
      </w:r>
      <w:r w:rsidRPr="00894701">
        <w:rPr>
          <w:rFonts w:asciiTheme="minorHAnsi" w:hAnsiTheme="minorHAnsi" w:cs="TrebuchetMS"/>
          <w:color w:val="000000"/>
          <w:kern w:val="0"/>
          <w:sz w:val="20"/>
          <w:szCs w:val="20"/>
          <w:lang w:eastAsia="en-US"/>
        </w:rPr>
        <w:t>is</w:t>
      </w:r>
      <w:r w:rsidRPr="00894701">
        <w:rPr>
          <w:rFonts w:asciiTheme="minorHAnsi" w:hAnsiTheme="minorHAnsi" w:cs="TrebuchetMS"/>
          <w:color w:val="000000"/>
          <w:spacing w:val="-4"/>
          <w:kern w:val="0"/>
          <w:sz w:val="20"/>
          <w:szCs w:val="20"/>
          <w:lang w:eastAsia="en-US"/>
        </w:rPr>
        <w:t xml:space="preserve"> </w:t>
      </w:r>
      <w:r w:rsidRPr="00894701">
        <w:rPr>
          <w:rFonts w:asciiTheme="minorHAnsi" w:hAnsiTheme="minorHAnsi" w:cs="TrebuchetMS"/>
          <w:color w:val="000000"/>
          <w:kern w:val="0"/>
          <w:sz w:val="20"/>
          <w:szCs w:val="20"/>
          <w:lang w:eastAsia="en-US"/>
        </w:rPr>
        <w:t>the</w:t>
      </w:r>
      <w:r w:rsidRPr="00894701">
        <w:rPr>
          <w:rFonts w:asciiTheme="minorHAnsi" w:hAnsiTheme="minorHAnsi" w:cs="TrebuchetMS"/>
          <w:color w:val="000000"/>
          <w:spacing w:val="-5"/>
          <w:kern w:val="0"/>
          <w:sz w:val="20"/>
          <w:szCs w:val="20"/>
          <w:lang w:eastAsia="en-US"/>
        </w:rPr>
        <w:t xml:space="preserve"> </w:t>
      </w:r>
      <w:r w:rsidRPr="00894701">
        <w:rPr>
          <w:rFonts w:asciiTheme="minorHAnsi" w:hAnsiTheme="minorHAnsi" w:cs="TrebuchetMS"/>
          <w:color w:val="000000"/>
          <w:kern w:val="0"/>
          <w:sz w:val="20"/>
          <w:szCs w:val="20"/>
          <w:lang w:eastAsia="en-US"/>
        </w:rPr>
        <w:t>only</w:t>
      </w:r>
      <w:r w:rsidRPr="00894701">
        <w:rPr>
          <w:rFonts w:asciiTheme="minorHAnsi" w:hAnsiTheme="minorHAnsi" w:cs="TrebuchetMS"/>
          <w:color w:val="000000"/>
          <w:spacing w:val="-4"/>
          <w:kern w:val="0"/>
          <w:sz w:val="20"/>
          <w:szCs w:val="20"/>
          <w:lang w:eastAsia="en-US"/>
        </w:rPr>
        <w:t xml:space="preserve"> </w:t>
      </w:r>
      <w:r w:rsidRPr="00894701">
        <w:rPr>
          <w:rFonts w:asciiTheme="minorHAnsi" w:hAnsiTheme="minorHAnsi" w:cs="TrebuchetMS"/>
          <w:color w:val="000000"/>
          <w:kern w:val="0"/>
          <w:sz w:val="20"/>
          <w:szCs w:val="20"/>
          <w:lang w:eastAsia="en-US"/>
        </w:rPr>
        <w:t>source</w:t>
      </w:r>
      <w:r w:rsidRPr="00894701">
        <w:rPr>
          <w:rFonts w:asciiTheme="minorHAnsi" w:hAnsiTheme="minorHAnsi" w:cs="TrebuchetMS"/>
          <w:color w:val="000000"/>
          <w:spacing w:val="-5"/>
          <w:kern w:val="0"/>
          <w:sz w:val="20"/>
          <w:szCs w:val="20"/>
          <w:lang w:eastAsia="en-US"/>
        </w:rPr>
        <w:t xml:space="preserve"> </w:t>
      </w:r>
      <w:r w:rsidRPr="00894701">
        <w:rPr>
          <w:rFonts w:asciiTheme="minorHAnsi" w:hAnsiTheme="minorHAnsi" w:cs="TrebuchetMS"/>
          <w:color w:val="000000"/>
          <w:kern w:val="0"/>
          <w:sz w:val="20"/>
          <w:szCs w:val="20"/>
          <w:lang w:eastAsia="en-US"/>
        </w:rPr>
        <w:t>of</w:t>
      </w:r>
      <w:r w:rsidRPr="00894701">
        <w:rPr>
          <w:rFonts w:asciiTheme="minorHAnsi" w:hAnsiTheme="minorHAnsi" w:cs="TrebuchetMS"/>
          <w:color w:val="000000"/>
          <w:spacing w:val="-4"/>
          <w:kern w:val="0"/>
          <w:sz w:val="20"/>
          <w:szCs w:val="20"/>
          <w:lang w:eastAsia="en-US"/>
        </w:rPr>
        <w:t xml:space="preserve"> </w:t>
      </w:r>
      <w:r w:rsidRPr="00894701">
        <w:rPr>
          <w:rFonts w:asciiTheme="minorHAnsi" w:hAnsiTheme="minorHAnsi" w:cs="TrebuchetMS"/>
          <w:color w:val="000000"/>
          <w:kern w:val="0"/>
          <w:sz w:val="20"/>
          <w:szCs w:val="20"/>
          <w:lang w:eastAsia="en-US"/>
        </w:rPr>
        <w:t>domestically</w:t>
      </w:r>
      <w:r w:rsidRPr="00894701">
        <w:rPr>
          <w:rFonts w:asciiTheme="minorHAnsi" w:hAnsiTheme="minorHAnsi" w:cs="TrebuchetMS"/>
          <w:color w:val="000000"/>
          <w:spacing w:val="-4"/>
          <w:kern w:val="0"/>
          <w:sz w:val="20"/>
          <w:szCs w:val="20"/>
          <w:lang w:eastAsia="en-US"/>
        </w:rPr>
        <w:t xml:space="preserve"> </w:t>
      </w:r>
      <w:r w:rsidRPr="00894701">
        <w:rPr>
          <w:rFonts w:asciiTheme="minorHAnsi" w:hAnsiTheme="minorHAnsi" w:cs="TrebuchetMS"/>
          <w:color w:val="000000"/>
          <w:kern w:val="0"/>
          <w:sz w:val="20"/>
          <w:szCs w:val="20"/>
          <w:lang w:eastAsia="en-US"/>
        </w:rPr>
        <w:t>produced</w:t>
      </w:r>
      <w:r w:rsidRPr="00894701">
        <w:rPr>
          <w:rFonts w:asciiTheme="minorHAnsi" w:hAnsiTheme="minorHAnsi" w:cs="TrebuchetMS"/>
          <w:color w:val="000000"/>
          <w:spacing w:val="-5"/>
          <w:kern w:val="0"/>
          <w:sz w:val="20"/>
          <w:szCs w:val="20"/>
          <w:lang w:eastAsia="en-US"/>
        </w:rPr>
        <w:t xml:space="preserve"> </w:t>
      </w:r>
      <w:r w:rsidRPr="00894701">
        <w:rPr>
          <w:rFonts w:asciiTheme="minorHAnsi" w:hAnsiTheme="minorHAnsi" w:cs="TrebuchetMS"/>
          <w:color w:val="000000"/>
          <w:kern w:val="0"/>
          <w:sz w:val="20"/>
          <w:szCs w:val="20"/>
          <w:lang w:eastAsia="en-US"/>
        </w:rPr>
        <w:t>fuel.</w:t>
      </w:r>
      <w:r w:rsidRPr="00894701">
        <w:rPr>
          <w:rFonts w:asciiTheme="minorHAnsi" w:hAnsiTheme="minorHAnsi" w:cs="TrebuchetMS"/>
          <w:color w:val="000000"/>
          <w:spacing w:val="-4"/>
          <w:kern w:val="0"/>
          <w:sz w:val="20"/>
          <w:szCs w:val="20"/>
          <w:lang w:eastAsia="en-US"/>
        </w:rPr>
        <w:t xml:space="preserve"> </w:t>
      </w:r>
      <w:r w:rsidRPr="00894701">
        <w:rPr>
          <w:rFonts w:asciiTheme="minorHAnsi" w:hAnsiTheme="minorHAnsi" w:cs="TrebuchetMS"/>
          <w:color w:val="000000"/>
          <w:kern w:val="0"/>
          <w:sz w:val="20"/>
          <w:szCs w:val="20"/>
          <w:lang w:eastAsia="en-US"/>
        </w:rPr>
        <w:t>It</w:t>
      </w:r>
      <w:r w:rsidRPr="00894701">
        <w:rPr>
          <w:rFonts w:asciiTheme="minorHAnsi" w:hAnsiTheme="minorHAnsi" w:cs="TrebuchetMS"/>
          <w:color w:val="000000"/>
          <w:spacing w:val="-4"/>
          <w:kern w:val="0"/>
          <w:sz w:val="20"/>
          <w:szCs w:val="20"/>
          <w:lang w:eastAsia="en-US"/>
        </w:rPr>
        <w:t xml:space="preserve"> </w:t>
      </w:r>
      <w:r w:rsidRPr="00894701">
        <w:rPr>
          <w:rFonts w:asciiTheme="minorHAnsi" w:hAnsiTheme="minorHAnsi" w:cs="TrebuchetMS"/>
          <w:color w:val="000000"/>
          <w:kern w:val="0"/>
          <w:sz w:val="20"/>
          <w:szCs w:val="20"/>
          <w:lang w:eastAsia="en-US"/>
        </w:rPr>
        <w:t>opened</w:t>
      </w:r>
      <w:r w:rsidRPr="00894701">
        <w:rPr>
          <w:rFonts w:asciiTheme="minorHAnsi" w:hAnsiTheme="minorHAnsi" w:cs="TrebuchetMS"/>
          <w:color w:val="000000"/>
          <w:spacing w:val="-4"/>
          <w:kern w:val="0"/>
          <w:sz w:val="20"/>
          <w:szCs w:val="20"/>
          <w:lang w:eastAsia="en-US"/>
        </w:rPr>
        <w:t xml:space="preserve"> </w:t>
      </w:r>
      <w:r w:rsidRPr="00894701">
        <w:rPr>
          <w:rFonts w:asciiTheme="minorHAnsi" w:hAnsiTheme="minorHAnsi" w:cs="TrebuchetMS"/>
          <w:color w:val="000000"/>
          <w:kern w:val="0"/>
          <w:sz w:val="20"/>
          <w:szCs w:val="20"/>
          <w:lang w:eastAsia="en-US"/>
        </w:rPr>
        <w:t>the</w:t>
      </w:r>
      <w:r w:rsidRPr="00894701">
        <w:rPr>
          <w:rFonts w:asciiTheme="minorHAnsi" w:hAnsiTheme="minorHAnsi" w:cs="TrebuchetMS"/>
          <w:color w:val="000000"/>
          <w:spacing w:val="-5"/>
          <w:kern w:val="0"/>
          <w:sz w:val="20"/>
          <w:szCs w:val="20"/>
          <w:lang w:eastAsia="en-US"/>
        </w:rPr>
        <w:t xml:space="preserve"> </w:t>
      </w:r>
      <w:r w:rsidRPr="00894701">
        <w:rPr>
          <w:rFonts w:asciiTheme="minorHAnsi" w:hAnsiTheme="minorHAnsi" w:cs="TrebuchetMS"/>
          <w:color w:val="000000"/>
          <w:kern w:val="0"/>
          <w:sz w:val="20"/>
          <w:szCs w:val="20"/>
          <w:lang w:eastAsia="en-US"/>
        </w:rPr>
        <w:t xml:space="preserve">oil refinery end of 2015. The tax regime aligns the total taxation per litre of imported oil with that of locally produced oil.  </w:t>
      </w:r>
    </w:p>
    <w:p w14:paraId="0B4B0AEC" w14:textId="2CF447D2" w:rsidR="00CA282D" w:rsidRPr="00894701" w:rsidRDefault="00CA282D" w:rsidP="00CA282D">
      <w:pPr>
        <w:pStyle w:val="BodyText"/>
        <w:jc w:val="both"/>
        <w:rPr>
          <w:rFonts w:asciiTheme="minorHAnsi" w:hAnsiTheme="minorHAnsi"/>
          <w:color w:val="010302"/>
          <w:kern w:val="0"/>
          <w:sz w:val="22"/>
          <w:szCs w:val="22"/>
          <w:lang w:eastAsia="en-US"/>
        </w:rPr>
      </w:pPr>
      <w:r w:rsidRPr="00894701">
        <w:rPr>
          <w:rFonts w:asciiTheme="minorHAnsi" w:hAnsiTheme="minorHAnsi" w:cs="TrebuchetMS"/>
          <w:color w:val="000000"/>
          <w:kern w:val="0"/>
          <w:sz w:val="20"/>
          <w:szCs w:val="20"/>
          <w:lang w:eastAsia="en-US"/>
        </w:rPr>
        <w:t>In</w:t>
      </w:r>
      <w:r w:rsidRPr="00894701">
        <w:rPr>
          <w:rFonts w:asciiTheme="minorHAnsi" w:hAnsiTheme="minorHAnsi" w:cs="TrebuchetMS"/>
          <w:color w:val="000000"/>
          <w:spacing w:val="-9"/>
          <w:kern w:val="0"/>
          <w:sz w:val="20"/>
          <w:szCs w:val="20"/>
          <w:lang w:eastAsia="en-US"/>
        </w:rPr>
        <w:t xml:space="preserve"> </w:t>
      </w:r>
      <w:r w:rsidRPr="00894701">
        <w:rPr>
          <w:rFonts w:asciiTheme="minorHAnsi" w:hAnsiTheme="minorHAnsi" w:cs="TrebuchetMS"/>
          <w:color w:val="000000"/>
          <w:kern w:val="0"/>
          <w:sz w:val="20"/>
          <w:szCs w:val="20"/>
          <w:lang w:eastAsia="en-US"/>
        </w:rPr>
        <w:t>principle</w:t>
      </w:r>
      <w:r w:rsidRPr="00894701">
        <w:rPr>
          <w:rFonts w:asciiTheme="minorHAnsi" w:hAnsiTheme="minorHAnsi" w:cs="TrebuchetMS"/>
          <w:color w:val="000000"/>
          <w:spacing w:val="-7"/>
          <w:kern w:val="0"/>
          <w:sz w:val="20"/>
          <w:szCs w:val="20"/>
          <w:lang w:eastAsia="en-US"/>
        </w:rPr>
        <w:t xml:space="preserve"> </w:t>
      </w:r>
      <w:r w:rsidRPr="00894701">
        <w:rPr>
          <w:rFonts w:asciiTheme="minorHAnsi" w:hAnsiTheme="minorHAnsi" w:cs="TrebuchetMS"/>
          <w:color w:val="000000"/>
          <w:kern w:val="0"/>
          <w:sz w:val="20"/>
          <w:szCs w:val="20"/>
          <w:lang w:eastAsia="en-US"/>
        </w:rPr>
        <w:t>companies</w:t>
      </w:r>
      <w:r w:rsidRPr="00894701">
        <w:rPr>
          <w:rFonts w:asciiTheme="minorHAnsi" w:hAnsiTheme="minorHAnsi" w:cs="TrebuchetMS"/>
          <w:color w:val="000000"/>
          <w:spacing w:val="-9"/>
          <w:kern w:val="0"/>
          <w:sz w:val="20"/>
          <w:szCs w:val="20"/>
          <w:lang w:eastAsia="en-US"/>
        </w:rPr>
        <w:t xml:space="preserve"> </w:t>
      </w:r>
      <w:r w:rsidRPr="00894701">
        <w:rPr>
          <w:rFonts w:asciiTheme="minorHAnsi" w:hAnsiTheme="minorHAnsi" w:cs="TrebuchetMS"/>
          <w:color w:val="000000"/>
          <w:kern w:val="0"/>
          <w:sz w:val="20"/>
          <w:szCs w:val="20"/>
          <w:lang w:eastAsia="en-US"/>
        </w:rPr>
        <w:t>in</w:t>
      </w:r>
      <w:r w:rsidRPr="00894701">
        <w:rPr>
          <w:rFonts w:asciiTheme="minorHAnsi" w:hAnsiTheme="minorHAnsi" w:cs="TrebuchetMS"/>
          <w:color w:val="000000"/>
          <w:spacing w:val="-7"/>
          <w:kern w:val="0"/>
          <w:sz w:val="20"/>
          <w:szCs w:val="20"/>
          <w:lang w:eastAsia="en-US"/>
        </w:rPr>
        <w:t xml:space="preserve"> </w:t>
      </w:r>
      <w:r w:rsidRPr="00894701">
        <w:rPr>
          <w:rFonts w:asciiTheme="minorHAnsi" w:hAnsiTheme="minorHAnsi" w:cs="TrebuchetMS"/>
          <w:color w:val="000000"/>
          <w:kern w:val="0"/>
          <w:sz w:val="20"/>
          <w:szCs w:val="20"/>
          <w:lang w:eastAsia="en-US"/>
        </w:rPr>
        <w:t>the</w:t>
      </w:r>
      <w:r w:rsidRPr="00894701">
        <w:rPr>
          <w:rFonts w:asciiTheme="minorHAnsi" w:hAnsiTheme="minorHAnsi" w:cs="TrebuchetMS"/>
          <w:color w:val="000000"/>
          <w:spacing w:val="-10"/>
          <w:kern w:val="0"/>
          <w:sz w:val="20"/>
          <w:szCs w:val="20"/>
          <w:lang w:eastAsia="en-US"/>
        </w:rPr>
        <w:t xml:space="preserve"> </w:t>
      </w:r>
      <w:r w:rsidRPr="00894701">
        <w:rPr>
          <w:rFonts w:asciiTheme="minorHAnsi" w:hAnsiTheme="minorHAnsi" w:cs="TrebuchetMS"/>
          <w:color w:val="000000"/>
          <w:kern w:val="0"/>
          <w:sz w:val="20"/>
          <w:szCs w:val="20"/>
          <w:lang w:eastAsia="en-US"/>
        </w:rPr>
        <w:t>extractive</w:t>
      </w:r>
      <w:r w:rsidRPr="00894701">
        <w:rPr>
          <w:rFonts w:asciiTheme="minorHAnsi" w:hAnsiTheme="minorHAnsi" w:cs="TrebuchetMS"/>
          <w:color w:val="000000"/>
          <w:spacing w:val="-10"/>
          <w:kern w:val="0"/>
          <w:sz w:val="20"/>
          <w:szCs w:val="20"/>
          <w:lang w:eastAsia="en-US"/>
        </w:rPr>
        <w:t xml:space="preserve"> </w:t>
      </w:r>
      <w:r w:rsidRPr="00894701">
        <w:rPr>
          <w:rFonts w:asciiTheme="minorHAnsi" w:hAnsiTheme="minorHAnsi" w:cs="TrebuchetMS"/>
          <w:color w:val="000000"/>
          <w:kern w:val="0"/>
          <w:sz w:val="20"/>
          <w:szCs w:val="20"/>
          <w:lang w:eastAsia="en-US"/>
        </w:rPr>
        <w:t>industry</w:t>
      </w:r>
      <w:r w:rsidRPr="00894701">
        <w:rPr>
          <w:rFonts w:asciiTheme="minorHAnsi" w:hAnsiTheme="minorHAnsi" w:cs="TrebuchetMS"/>
          <w:color w:val="000000"/>
          <w:spacing w:val="-9"/>
          <w:kern w:val="0"/>
          <w:sz w:val="20"/>
          <w:szCs w:val="20"/>
          <w:lang w:eastAsia="en-US"/>
        </w:rPr>
        <w:t xml:space="preserve"> </w:t>
      </w:r>
      <w:r w:rsidRPr="00894701">
        <w:rPr>
          <w:rFonts w:asciiTheme="minorHAnsi" w:hAnsiTheme="minorHAnsi" w:cs="TrebuchetMS"/>
          <w:color w:val="000000"/>
          <w:kern w:val="0"/>
          <w:sz w:val="20"/>
          <w:szCs w:val="20"/>
          <w:lang w:eastAsia="en-US"/>
        </w:rPr>
        <w:t>pay</w:t>
      </w:r>
      <w:r w:rsidRPr="00894701">
        <w:rPr>
          <w:rFonts w:asciiTheme="minorHAnsi" w:hAnsiTheme="minorHAnsi" w:cs="TrebuchetMS"/>
          <w:color w:val="000000"/>
          <w:spacing w:val="-9"/>
          <w:kern w:val="0"/>
          <w:sz w:val="20"/>
          <w:szCs w:val="20"/>
          <w:lang w:eastAsia="en-US"/>
        </w:rPr>
        <w:t xml:space="preserve"> </w:t>
      </w:r>
      <w:r w:rsidRPr="00894701">
        <w:rPr>
          <w:rFonts w:asciiTheme="minorHAnsi" w:hAnsiTheme="minorHAnsi" w:cs="TrebuchetMS"/>
          <w:color w:val="000000"/>
          <w:kern w:val="0"/>
          <w:sz w:val="20"/>
          <w:szCs w:val="20"/>
          <w:lang w:eastAsia="en-US"/>
        </w:rPr>
        <w:t>fuel</w:t>
      </w:r>
      <w:r w:rsidRPr="00894701">
        <w:rPr>
          <w:rFonts w:asciiTheme="minorHAnsi" w:hAnsiTheme="minorHAnsi" w:cs="TrebuchetMS"/>
          <w:color w:val="000000"/>
          <w:spacing w:val="-9"/>
          <w:kern w:val="0"/>
          <w:sz w:val="20"/>
          <w:szCs w:val="20"/>
          <w:lang w:eastAsia="en-US"/>
        </w:rPr>
        <w:t xml:space="preserve"> </w:t>
      </w:r>
      <w:r w:rsidRPr="00894701">
        <w:rPr>
          <w:rFonts w:asciiTheme="minorHAnsi" w:hAnsiTheme="minorHAnsi" w:cs="TrebuchetMS"/>
          <w:color w:val="000000"/>
          <w:kern w:val="0"/>
          <w:sz w:val="20"/>
          <w:szCs w:val="20"/>
          <w:lang w:eastAsia="en-US"/>
        </w:rPr>
        <w:t>taxes</w:t>
      </w:r>
      <w:r w:rsidRPr="00894701">
        <w:rPr>
          <w:rFonts w:asciiTheme="minorHAnsi" w:hAnsiTheme="minorHAnsi" w:cs="TrebuchetMS"/>
          <w:color w:val="000000"/>
          <w:spacing w:val="-9"/>
          <w:kern w:val="0"/>
          <w:sz w:val="20"/>
          <w:szCs w:val="20"/>
          <w:lang w:eastAsia="en-US"/>
        </w:rPr>
        <w:t xml:space="preserve"> </w:t>
      </w:r>
      <w:r w:rsidRPr="00894701">
        <w:rPr>
          <w:rFonts w:asciiTheme="minorHAnsi" w:hAnsiTheme="minorHAnsi" w:cs="TrebuchetMS"/>
          <w:color w:val="000000"/>
          <w:kern w:val="0"/>
          <w:sz w:val="20"/>
          <w:szCs w:val="20"/>
          <w:lang w:eastAsia="en-US"/>
        </w:rPr>
        <w:t>on</w:t>
      </w:r>
      <w:r w:rsidRPr="00894701">
        <w:rPr>
          <w:rFonts w:asciiTheme="minorHAnsi" w:hAnsiTheme="minorHAnsi" w:cs="TrebuchetMS"/>
          <w:color w:val="000000"/>
          <w:spacing w:val="-9"/>
          <w:kern w:val="0"/>
          <w:sz w:val="20"/>
          <w:szCs w:val="20"/>
          <w:lang w:eastAsia="en-US"/>
        </w:rPr>
        <w:t xml:space="preserve"> </w:t>
      </w:r>
      <w:r w:rsidRPr="00894701">
        <w:rPr>
          <w:rFonts w:asciiTheme="minorHAnsi" w:hAnsiTheme="minorHAnsi" w:cs="TrebuchetMS"/>
          <w:color w:val="000000"/>
          <w:kern w:val="0"/>
          <w:sz w:val="20"/>
          <w:szCs w:val="20"/>
          <w:lang w:eastAsia="en-US"/>
        </w:rPr>
        <w:t>the</w:t>
      </w:r>
      <w:r w:rsidRPr="00894701">
        <w:rPr>
          <w:rFonts w:asciiTheme="minorHAnsi" w:hAnsiTheme="minorHAnsi" w:cs="TrebuchetMS"/>
          <w:color w:val="000000"/>
          <w:spacing w:val="-9"/>
          <w:kern w:val="0"/>
          <w:sz w:val="20"/>
          <w:szCs w:val="20"/>
          <w:lang w:eastAsia="en-US"/>
        </w:rPr>
        <w:t xml:space="preserve"> </w:t>
      </w:r>
      <w:r w:rsidRPr="00894701">
        <w:rPr>
          <w:rFonts w:asciiTheme="minorHAnsi" w:hAnsiTheme="minorHAnsi" w:cs="TrebuchetMS"/>
          <w:color w:val="000000"/>
          <w:kern w:val="0"/>
          <w:sz w:val="20"/>
          <w:szCs w:val="20"/>
          <w:lang w:eastAsia="en-US"/>
        </w:rPr>
        <w:t>fuel</w:t>
      </w:r>
      <w:r w:rsidRPr="00894701">
        <w:rPr>
          <w:rFonts w:asciiTheme="minorHAnsi" w:hAnsiTheme="minorHAnsi" w:cs="TrebuchetMS"/>
          <w:color w:val="000000"/>
          <w:spacing w:val="-9"/>
          <w:kern w:val="0"/>
          <w:sz w:val="20"/>
          <w:szCs w:val="20"/>
          <w:lang w:eastAsia="en-US"/>
        </w:rPr>
        <w:t xml:space="preserve"> </w:t>
      </w:r>
      <w:r w:rsidRPr="00894701">
        <w:rPr>
          <w:rFonts w:asciiTheme="minorHAnsi" w:hAnsiTheme="minorHAnsi" w:cs="TrebuchetMS"/>
          <w:color w:val="000000"/>
          <w:kern w:val="0"/>
          <w:sz w:val="20"/>
          <w:szCs w:val="20"/>
          <w:lang w:eastAsia="en-US"/>
        </w:rPr>
        <w:t>input</w:t>
      </w:r>
      <w:r w:rsidRPr="00894701">
        <w:rPr>
          <w:rFonts w:asciiTheme="minorHAnsi" w:hAnsiTheme="minorHAnsi" w:cs="TrebuchetMS"/>
          <w:color w:val="000000"/>
          <w:spacing w:val="-9"/>
          <w:kern w:val="0"/>
          <w:sz w:val="20"/>
          <w:szCs w:val="20"/>
          <w:lang w:eastAsia="en-US"/>
        </w:rPr>
        <w:t xml:space="preserve"> </w:t>
      </w:r>
      <w:r w:rsidRPr="00894701">
        <w:rPr>
          <w:rFonts w:asciiTheme="minorHAnsi" w:hAnsiTheme="minorHAnsi" w:cs="TrebuchetMS"/>
          <w:color w:val="000000"/>
          <w:kern w:val="0"/>
          <w:sz w:val="20"/>
          <w:szCs w:val="20"/>
          <w:lang w:eastAsia="en-US"/>
        </w:rPr>
        <w:t>(consumption) into</w:t>
      </w:r>
      <w:r w:rsidRPr="00894701">
        <w:rPr>
          <w:rFonts w:asciiTheme="minorHAnsi" w:hAnsiTheme="minorHAnsi" w:cs="TrebuchetMS"/>
          <w:color w:val="000000"/>
          <w:spacing w:val="9"/>
          <w:kern w:val="0"/>
          <w:sz w:val="20"/>
          <w:szCs w:val="20"/>
          <w:lang w:eastAsia="en-US"/>
        </w:rPr>
        <w:t xml:space="preserve"> </w:t>
      </w:r>
      <w:r w:rsidRPr="00894701">
        <w:rPr>
          <w:rFonts w:asciiTheme="minorHAnsi" w:hAnsiTheme="minorHAnsi"/>
          <w:color w:val="auto"/>
          <w:kern w:val="0"/>
          <w:sz w:val="20"/>
          <w:szCs w:val="20"/>
          <w:lang w:eastAsia="en-US"/>
        </w:rPr>
        <w:t>production</w:t>
      </w:r>
      <w:r w:rsidRPr="00894701">
        <w:rPr>
          <w:rFonts w:asciiTheme="minorHAnsi" w:hAnsiTheme="minorHAnsi" w:cs="TrebuchetMS"/>
          <w:color w:val="000000"/>
          <w:kern w:val="0"/>
          <w:sz w:val="20"/>
          <w:szCs w:val="20"/>
          <w:lang w:eastAsia="en-US"/>
        </w:rPr>
        <w:t>.</w:t>
      </w:r>
      <w:r w:rsidRPr="00894701">
        <w:rPr>
          <w:rFonts w:asciiTheme="minorHAnsi" w:hAnsiTheme="minorHAnsi" w:cs="TrebuchetMS"/>
          <w:color w:val="000000"/>
          <w:spacing w:val="11"/>
          <w:kern w:val="0"/>
          <w:sz w:val="20"/>
          <w:szCs w:val="20"/>
          <w:lang w:eastAsia="en-US"/>
        </w:rPr>
        <w:t xml:space="preserve"> </w:t>
      </w:r>
      <w:r w:rsidRPr="00894701">
        <w:rPr>
          <w:rFonts w:asciiTheme="minorHAnsi" w:hAnsiTheme="minorHAnsi" w:cs="TrebuchetMS"/>
          <w:color w:val="000000"/>
          <w:kern w:val="0"/>
          <w:sz w:val="20"/>
          <w:szCs w:val="20"/>
          <w:lang w:eastAsia="en-US"/>
        </w:rPr>
        <w:t>Exemptions</w:t>
      </w:r>
      <w:r w:rsidRPr="00894701">
        <w:rPr>
          <w:rFonts w:asciiTheme="minorHAnsi" w:hAnsiTheme="minorHAnsi" w:cs="TrebuchetMS"/>
          <w:color w:val="000000"/>
          <w:spacing w:val="9"/>
          <w:kern w:val="0"/>
          <w:sz w:val="20"/>
          <w:szCs w:val="20"/>
          <w:lang w:eastAsia="en-US"/>
        </w:rPr>
        <w:t xml:space="preserve"> </w:t>
      </w:r>
      <w:r w:rsidRPr="00894701">
        <w:rPr>
          <w:rFonts w:asciiTheme="minorHAnsi" w:hAnsiTheme="minorHAnsi"/>
          <w:color w:val="auto"/>
          <w:kern w:val="0"/>
          <w:sz w:val="20"/>
          <w:szCs w:val="20"/>
          <w:lang w:eastAsia="en-US"/>
        </w:rPr>
        <w:t>from</w:t>
      </w:r>
      <w:r w:rsidRPr="00894701">
        <w:rPr>
          <w:rFonts w:asciiTheme="minorHAnsi" w:hAnsiTheme="minorHAnsi" w:cs="TrebuchetMS"/>
          <w:color w:val="000000"/>
          <w:spacing w:val="9"/>
          <w:kern w:val="0"/>
          <w:sz w:val="20"/>
          <w:szCs w:val="20"/>
          <w:lang w:eastAsia="en-US"/>
        </w:rPr>
        <w:t xml:space="preserve"> </w:t>
      </w:r>
      <w:r w:rsidRPr="00894701">
        <w:rPr>
          <w:rFonts w:asciiTheme="minorHAnsi" w:hAnsiTheme="minorHAnsi"/>
          <w:color w:val="auto"/>
          <w:kern w:val="0"/>
          <w:sz w:val="20"/>
          <w:szCs w:val="20"/>
          <w:lang w:eastAsia="en-US"/>
        </w:rPr>
        <w:t>fuel</w:t>
      </w:r>
      <w:r w:rsidRPr="00894701">
        <w:rPr>
          <w:rFonts w:asciiTheme="minorHAnsi" w:hAnsiTheme="minorHAnsi" w:cs="TrebuchetMS"/>
          <w:color w:val="000000"/>
          <w:spacing w:val="9"/>
          <w:kern w:val="0"/>
          <w:sz w:val="20"/>
          <w:szCs w:val="20"/>
          <w:lang w:eastAsia="en-US"/>
        </w:rPr>
        <w:t xml:space="preserve"> </w:t>
      </w:r>
      <w:r w:rsidRPr="00894701">
        <w:rPr>
          <w:rFonts w:asciiTheme="minorHAnsi" w:hAnsiTheme="minorHAnsi"/>
          <w:color w:val="auto"/>
          <w:kern w:val="0"/>
          <w:sz w:val="20"/>
          <w:szCs w:val="20"/>
          <w:lang w:eastAsia="en-US"/>
        </w:rPr>
        <w:t>taxes</w:t>
      </w:r>
      <w:r w:rsidRPr="00894701">
        <w:rPr>
          <w:rFonts w:asciiTheme="minorHAnsi" w:hAnsiTheme="minorHAnsi" w:cs="TrebuchetMS"/>
          <w:color w:val="000000"/>
          <w:spacing w:val="9"/>
          <w:kern w:val="0"/>
          <w:sz w:val="20"/>
          <w:szCs w:val="20"/>
          <w:lang w:eastAsia="en-US"/>
        </w:rPr>
        <w:t xml:space="preserve"> </w:t>
      </w:r>
      <w:r w:rsidRPr="00894701">
        <w:rPr>
          <w:rFonts w:asciiTheme="minorHAnsi" w:hAnsiTheme="minorHAnsi"/>
          <w:color w:val="auto"/>
          <w:kern w:val="0"/>
          <w:sz w:val="20"/>
          <w:szCs w:val="20"/>
          <w:lang w:eastAsia="en-US"/>
        </w:rPr>
        <w:t>are</w:t>
      </w:r>
      <w:r w:rsidRPr="00894701">
        <w:rPr>
          <w:rFonts w:asciiTheme="minorHAnsi" w:hAnsiTheme="minorHAnsi" w:cs="TrebuchetMS"/>
          <w:color w:val="000000"/>
          <w:spacing w:val="8"/>
          <w:kern w:val="0"/>
          <w:sz w:val="20"/>
          <w:szCs w:val="20"/>
          <w:lang w:eastAsia="en-US"/>
        </w:rPr>
        <w:t xml:space="preserve"> </w:t>
      </w:r>
      <w:r w:rsidRPr="00894701">
        <w:rPr>
          <w:rFonts w:asciiTheme="minorHAnsi" w:hAnsiTheme="minorHAnsi"/>
          <w:color w:val="auto"/>
          <w:kern w:val="0"/>
          <w:sz w:val="20"/>
          <w:szCs w:val="20"/>
          <w:lang w:eastAsia="en-US"/>
        </w:rPr>
        <w:t>granted</w:t>
      </w:r>
      <w:r w:rsidRPr="00894701">
        <w:rPr>
          <w:rFonts w:asciiTheme="minorHAnsi" w:hAnsiTheme="minorHAnsi" w:cs="TrebuchetMS"/>
          <w:color w:val="000000"/>
          <w:spacing w:val="11"/>
          <w:kern w:val="0"/>
          <w:sz w:val="20"/>
          <w:szCs w:val="20"/>
          <w:lang w:eastAsia="en-US"/>
        </w:rPr>
        <w:t xml:space="preserve"> </w:t>
      </w:r>
      <w:r w:rsidRPr="00894701">
        <w:rPr>
          <w:rFonts w:asciiTheme="minorHAnsi" w:hAnsiTheme="minorHAnsi"/>
          <w:color w:val="auto"/>
          <w:kern w:val="0"/>
          <w:sz w:val="20"/>
          <w:szCs w:val="20"/>
          <w:lang w:eastAsia="en-US"/>
        </w:rPr>
        <w:t>by</w:t>
      </w:r>
      <w:r w:rsidRPr="00894701">
        <w:rPr>
          <w:rFonts w:asciiTheme="minorHAnsi" w:hAnsiTheme="minorHAnsi" w:cs="TrebuchetMS"/>
          <w:color w:val="000000"/>
          <w:spacing w:val="11"/>
          <w:kern w:val="0"/>
          <w:sz w:val="20"/>
          <w:szCs w:val="20"/>
          <w:lang w:eastAsia="en-US"/>
        </w:rPr>
        <w:t xml:space="preserve"> </w:t>
      </w:r>
      <w:r w:rsidRPr="00894701">
        <w:rPr>
          <w:rFonts w:asciiTheme="minorHAnsi" w:hAnsiTheme="minorHAnsi"/>
          <w:color w:val="auto"/>
          <w:kern w:val="0"/>
          <w:sz w:val="20"/>
          <w:szCs w:val="20"/>
          <w:lang w:eastAsia="en-US"/>
        </w:rPr>
        <w:t>GOS</w:t>
      </w:r>
      <w:r w:rsidRPr="00894701">
        <w:rPr>
          <w:rFonts w:asciiTheme="minorHAnsi" w:hAnsiTheme="minorHAnsi" w:cs="TrebuchetMS"/>
          <w:color w:val="000000"/>
          <w:kern w:val="0"/>
          <w:sz w:val="20"/>
          <w:szCs w:val="20"/>
          <w:lang w:eastAsia="en-US"/>
        </w:rPr>
        <w:t>,</w:t>
      </w:r>
      <w:r w:rsidRPr="00894701">
        <w:rPr>
          <w:rFonts w:asciiTheme="minorHAnsi" w:hAnsiTheme="minorHAnsi" w:cs="TrebuchetMS"/>
          <w:color w:val="000000"/>
          <w:spacing w:val="9"/>
          <w:kern w:val="0"/>
          <w:sz w:val="20"/>
          <w:szCs w:val="20"/>
          <w:lang w:eastAsia="en-US"/>
        </w:rPr>
        <w:t xml:space="preserve"> </w:t>
      </w:r>
      <w:r w:rsidRPr="00894701">
        <w:rPr>
          <w:rFonts w:asciiTheme="minorHAnsi" w:hAnsiTheme="minorHAnsi"/>
          <w:color w:val="auto"/>
          <w:kern w:val="0"/>
          <w:sz w:val="20"/>
          <w:szCs w:val="20"/>
          <w:lang w:eastAsia="en-US"/>
        </w:rPr>
        <w:t>through</w:t>
      </w:r>
      <w:r w:rsidRPr="00894701">
        <w:rPr>
          <w:rFonts w:asciiTheme="minorHAnsi" w:hAnsiTheme="minorHAnsi" w:cs="TrebuchetMS"/>
          <w:color w:val="000000"/>
          <w:spacing w:val="9"/>
          <w:kern w:val="0"/>
          <w:sz w:val="20"/>
          <w:szCs w:val="20"/>
          <w:lang w:eastAsia="en-US"/>
        </w:rPr>
        <w:t xml:space="preserve"> </w:t>
      </w:r>
      <w:r w:rsidRPr="00894701">
        <w:rPr>
          <w:rFonts w:asciiTheme="minorHAnsi" w:hAnsiTheme="minorHAnsi"/>
          <w:color w:val="auto"/>
          <w:kern w:val="0"/>
          <w:sz w:val="20"/>
          <w:szCs w:val="20"/>
          <w:lang w:eastAsia="en-US"/>
        </w:rPr>
        <w:t>the</w:t>
      </w:r>
      <w:r w:rsidRPr="00894701">
        <w:rPr>
          <w:rFonts w:asciiTheme="minorHAnsi" w:hAnsiTheme="minorHAnsi" w:cs="TrebuchetMS"/>
          <w:color w:val="000000"/>
          <w:spacing w:val="11"/>
          <w:kern w:val="0"/>
          <w:sz w:val="20"/>
          <w:szCs w:val="20"/>
          <w:lang w:eastAsia="en-US"/>
        </w:rPr>
        <w:t xml:space="preserve"> </w:t>
      </w:r>
      <w:r w:rsidRPr="00894701">
        <w:rPr>
          <w:rFonts w:asciiTheme="minorHAnsi" w:hAnsiTheme="minorHAnsi"/>
          <w:color w:val="auto"/>
          <w:kern w:val="0"/>
          <w:sz w:val="20"/>
          <w:szCs w:val="20"/>
          <w:lang w:eastAsia="en-US"/>
        </w:rPr>
        <w:t>Tax</w:t>
      </w:r>
      <w:r w:rsidRPr="00894701">
        <w:rPr>
          <w:rFonts w:asciiTheme="minorHAnsi" w:hAnsiTheme="minorHAnsi" w:cs="TrebuchetMS"/>
          <w:color w:val="000000"/>
          <w:spacing w:val="9"/>
          <w:kern w:val="0"/>
          <w:sz w:val="20"/>
          <w:szCs w:val="20"/>
          <w:lang w:eastAsia="en-US"/>
        </w:rPr>
        <w:t xml:space="preserve"> </w:t>
      </w:r>
      <w:r w:rsidRPr="00894701">
        <w:rPr>
          <w:rFonts w:asciiTheme="minorHAnsi" w:hAnsiTheme="minorHAnsi"/>
          <w:color w:val="auto"/>
          <w:kern w:val="0"/>
          <w:sz w:val="20"/>
          <w:szCs w:val="20"/>
          <w:lang w:eastAsia="en-US"/>
        </w:rPr>
        <w:t>Authority</w:t>
      </w:r>
      <w:r w:rsidRPr="00894701">
        <w:rPr>
          <w:rFonts w:asciiTheme="minorHAnsi" w:hAnsiTheme="minorHAnsi" w:cs="TrebuchetMS"/>
          <w:color w:val="000000"/>
          <w:spacing w:val="9"/>
          <w:kern w:val="0"/>
          <w:sz w:val="20"/>
          <w:szCs w:val="20"/>
          <w:lang w:eastAsia="en-US"/>
        </w:rPr>
        <w:t xml:space="preserve"> </w:t>
      </w:r>
      <w:r w:rsidRPr="00894701">
        <w:rPr>
          <w:rFonts w:asciiTheme="minorHAnsi" w:hAnsiTheme="minorHAnsi"/>
          <w:color w:val="auto"/>
          <w:kern w:val="0"/>
          <w:sz w:val="20"/>
          <w:szCs w:val="20"/>
          <w:lang w:eastAsia="en-US"/>
        </w:rPr>
        <w:t>(</w:t>
      </w:r>
      <w:r w:rsidRPr="00894701">
        <w:rPr>
          <w:rFonts w:asciiTheme="minorHAnsi" w:hAnsiTheme="minorHAnsi" w:cs="TrebuchetMS"/>
          <w:color w:val="000000"/>
          <w:kern w:val="0"/>
          <w:sz w:val="20"/>
          <w:szCs w:val="20"/>
          <w:lang w:eastAsia="en-US"/>
        </w:rPr>
        <w:t>a directorate under the Ministry of Finance</w:t>
      </w:r>
      <w:r w:rsidR="009A7527" w:rsidRPr="00894701">
        <w:rPr>
          <w:rFonts w:asciiTheme="minorHAnsi" w:hAnsiTheme="minorHAnsi" w:cs="TrebuchetMS"/>
          <w:color w:val="000000"/>
          <w:kern w:val="0"/>
          <w:sz w:val="20"/>
          <w:szCs w:val="20"/>
          <w:lang w:eastAsia="en-US"/>
        </w:rPr>
        <w:t xml:space="preserve"> and Planning</w:t>
      </w:r>
      <w:r w:rsidRPr="00894701">
        <w:rPr>
          <w:rFonts w:asciiTheme="minorHAnsi" w:hAnsiTheme="minorHAnsi" w:cs="TrebuchetMS"/>
          <w:color w:val="000000"/>
          <w:kern w:val="0"/>
          <w:sz w:val="20"/>
          <w:szCs w:val="20"/>
          <w:lang w:eastAsia="en-US"/>
        </w:rPr>
        <w:t>) and would follow the regimes on tax exemptions laid out in treaties, laws or decrees for certain kinds of organisations, such as utility companies, embassies and companies in the extractive industry (RGM and NS). Offshore oil companies are also exempted from certain</w:t>
      </w:r>
      <w:r w:rsidRPr="00894701">
        <w:rPr>
          <w:rFonts w:asciiTheme="minorHAnsi" w:hAnsiTheme="minorHAnsi" w:cs="TrebuchetMS"/>
          <w:color w:val="000000"/>
          <w:spacing w:val="40"/>
          <w:kern w:val="0"/>
          <w:sz w:val="20"/>
          <w:szCs w:val="20"/>
          <w:lang w:eastAsia="en-US"/>
        </w:rPr>
        <w:t xml:space="preserve"> </w:t>
      </w:r>
      <w:r w:rsidRPr="00894701">
        <w:rPr>
          <w:rFonts w:asciiTheme="minorHAnsi" w:hAnsiTheme="minorHAnsi" w:cs="TrebuchetMS"/>
          <w:color w:val="000000"/>
          <w:kern w:val="0"/>
          <w:sz w:val="20"/>
          <w:szCs w:val="20"/>
          <w:lang w:eastAsia="en-US"/>
        </w:rPr>
        <w:t>taxes</w:t>
      </w:r>
      <w:r w:rsidRPr="00894701">
        <w:rPr>
          <w:rFonts w:asciiTheme="minorHAnsi" w:hAnsiTheme="minorHAnsi" w:cs="TrebuchetMS"/>
          <w:color w:val="000000"/>
          <w:spacing w:val="41"/>
          <w:kern w:val="0"/>
          <w:sz w:val="20"/>
          <w:szCs w:val="20"/>
          <w:lang w:eastAsia="en-US"/>
        </w:rPr>
        <w:t xml:space="preserve"> </w:t>
      </w:r>
      <w:r w:rsidRPr="00894701">
        <w:rPr>
          <w:rFonts w:asciiTheme="minorHAnsi" w:hAnsiTheme="minorHAnsi" w:cs="TrebuchetMS"/>
          <w:color w:val="000000"/>
          <w:kern w:val="0"/>
          <w:sz w:val="20"/>
          <w:szCs w:val="20"/>
          <w:lang w:eastAsia="en-US"/>
        </w:rPr>
        <w:t>as</w:t>
      </w:r>
      <w:r w:rsidRPr="00894701">
        <w:rPr>
          <w:rFonts w:asciiTheme="minorHAnsi" w:hAnsiTheme="minorHAnsi" w:cs="TrebuchetMS"/>
          <w:color w:val="000000"/>
          <w:spacing w:val="40"/>
          <w:kern w:val="0"/>
          <w:sz w:val="20"/>
          <w:szCs w:val="20"/>
          <w:lang w:eastAsia="en-US"/>
        </w:rPr>
        <w:t xml:space="preserve"> </w:t>
      </w:r>
      <w:r w:rsidRPr="00894701">
        <w:rPr>
          <w:rFonts w:asciiTheme="minorHAnsi" w:hAnsiTheme="minorHAnsi" w:cs="TrebuchetMS"/>
          <w:color w:val="000000"/>
          <w:kern w:val="0"/>
          <w:sz w:val="20"/>
          <w:szCs w:val="20"/>
          <w:lang w:eastAsia="en-US"/>
        </w:rPr>
        <w:t>part</w:t>
      </w:r>
      <w:r w:rsidRPr="00894701">
        <w:rPr>
          <w:rFonts w:asciiTheme="minorHAnsi" w:hAnsiTheme="minorHAnsi" w:cs="TrebuchetMS"/>
          <w:color w:val="000000"/>
          <w:spacing w:val="42"/>
          <w:kern w:val="0"/>
          <w:sz w:val="20"/>
          <w:szCs w:val="20"/>
          <w:lang w:eastAsia="en-US"/>
        </w:rPr>
        <w:t xml:space="preserve"> </w:t>
      </w:r>
      <w:r w:rsidRPr="00894701">
        <w:rPr>
          <w:rFonts w:asciiTheme="minorHAnsi" w:hAnsiTheme="minorHAnsi" w:cs="TrebuchetMS"/>
          <w:color w:val="000000"/>
          <w:kern w:val="0"/>
          <w:sz w:val="20"/>
          <w:szCs w:val="20"/>
          <w:lang w:eastAsia="en-US"/>
        </w:rPr>
        <w:t>of</w:t>
      </w:r>
      <w:r w:rsidRPr="00894701">
        <w:rPr>
          <w:rFonts w:asciiTheme="minorHAnsi" w:hAnsiTheme="minorHAnsi" w:cs="TrebuchetMS"/>
          <w:color w:val="000000"/>
          <w:spacing w:val="43"/>
          <w:kern w:val="0"/>
          <w:sz w:val="20"/>
          <w:szCs w:val="20"/>
          <w:lang w:eastAsia="en-US"/>
        </w:rPr>
        <w:t xml:space="preserve"> </w:t>
      </w:r>
      <w:r w:rsidRPr="00894701">
        <w:rPr>
          <w:rFonts w:asciiTheme="minorHAnsi" w:hAnsiTheme="minorHAnsi" w:cs="TrebuchetMS"/>
          <w:color w:val="000000"/>
          <w:kern w:val="0"/>
          <w:sz w:val="20"/>
          <w:szCs w:val="20"/>
          <w:lang w:eastAsia="en-US"/>
        </w:rPr>
        <w:t>an</w:t>
      </w:r>
      <w:r w:rsidRPr="00894701">
        <w:rPr>
          <w:rFonts w:asciiTheme="minorHAnsi" w:hAnsiTheme="minorHAnsi" w:cs="TrebuchetMS"/>
          <w:color w:val="000000"/>
          <w:spacing w:val="40"/>
          <w:kern w:val="0"/>
          <w:sz w:val="20"/>
          <w:szCs w:val="20"/>
          <w:lang w:eastAsia="en-US"/>
        </w:rPr>
        <w:t xml:space="preserve"> </w:t>
      </w:r>
      <w:r w:rsidRPr="00894701">
        <w:rPr>
          <w:rFonts w:asciiTheme="minorHAnsi" w:hAnsiTheme="minorHAnsi" w:cs="TrebuchetMS"/>
          <w:color w:val="000000"/>
          <w:kern w:val="0"/>
          <w:sz w:val="20"/>
          <w:szCs w:val="20"/>
          <w:lang w:eastAsia="en-US"/>
        </w:rPr>
        <w:t>investment</w:t>
      </w:r>
      <w:r w:rsidRPr="00894701">
        <w:rPr>
          <w:rFonts w:asciiTheme="minorHAnsi" w:hAnsiTheme="minorHAnsi" w:cs="TrebuchetMS"/>
          <w:color w:val="000000"/>
          <w:spacing w:val="41"/>
          <w:kern w:val="0"/>
          <w:sz w:val="20"/>
          <w:szCs w:val="20"/>
          <w:lang w:eastAsia="en-US"/>
        </w:rPr>
        <w:t xml:space="preserve"> </w:t>
      </w:r>
      <w:r w:rsidRPr="00894701">
        <w:rPr>
          <w:rFonts w:asciiTheme="minorHAnsi" w:hAnsiTheme="minorHAnsi" w:cs="TrebuchetMS"/>
          <w:color w:val="000000"/>
          <w:kern w:val="0"/>
          <w:sz w:val="20"/>
          <w:szCs w:val="20"/>
          <w:lang w:eastAsia="en-US"/>
        </w:rPr>
        <w:t>incentive.</w:t>
      </w:r>
      <w:r w:rsidRPr="00894701">
        <w:rPr>
          <w:rFonts w:asciiTheme="minorHAnsi" w:hAnsiTheme="minorHAnsi" w:cs="TrebuchetMS"/>
          <w:color w:val="000000"/>
          <w:spacing w:val="40"/>
          <w:kern w:val="0"/>
          <w:sz w:val="20"/>
          <w:szCs w:val="20"/>
          <w:lang w:eastAsia="en-US"/>
        </w:rPr>
        <w:t xml:space="preserve"> </w:t>
      </w:r>
      <w:r w:rsidRPr="00894701">
        <w:rPr>
          <w:rFonts w:asciiTheme="minorHAnsi" w:hAnsiTheme="minorHAnsi" w:cs="TrebuchetMS"/>
          <w:color w:val="000000"/>
          <w:kern w:val="0"/>
          <w:sz w:val="20"/>
          <w:szCs w:val="20"/>
          <w:lang w:eastAsia="en-US"/>
        </w:rPr>
        <w:t>Any</w:t>
      </w:r>
      <w:r w:rsidRPr="00894701">
        <w:rPr>
          <w:rFonts w:asciiTheme="minorHAnsi" w:hAnsiTheme="minorHAnsi" w:cs="TrebuchetMS"/>
          <w:color w:val="000000"/>
          <w:spacing w:val="40"/>
          <w:kern w:val="0"/>
          <w:sz w:val="20"/>
          <w:szCs w:val="20"/>
          <w:lang w:eastAsia="en-US"/>
        </w:rPr>
        <w:t xml:space="preserve"> </w:t>
      </w:r>
      <w:r w:rsidRPr="00894701">
        <w:rPr>
          <w:rFonts w:asciiTheme="minorHAnsi" w:hAnsiTheme="minorHAnsi" w:cs="TrebuchetMS"/>
          <w:color w:val="000000"/>
          <w:kern w:val="0"/>
          <w:sz w:val="20"/>
          <w:szCs w:val="20"/>
          <w:lang w:eastAsia="en-US"/>
        </w:rPr>
        <w:t>agreement</w:t>
      </w:r>
      <w:r w:rsidRPr="00894701">
        <w:rPr>
          <w:rFonts w:asciiTheme="minorHAnsi" w:hAnsiTheme="minorHAnsi" w:cs="TrebuchetMS"/>
          <w:color w:val="000000"/>
          <w:spacing w:val="41"/>
          <w:kern w:val="0"/>
          <w:sz w:val="20"/>
          <w:szCs w:val="20"/>
          <w:lang w:eastAsia="en-US"/>
        </w:rPr>
        <w:t xml:space="preserve"> </w:t>
      </w:r>
      <w:r w:rsidRPr="00894701">
        <w:rPr>
          <w:rFonts w:asciiTheme="minorHAnsi" w:hAnsiTheme="minorHAnsi" w:cs="TrebuchetMS"/>
          <w:color w:val="000000"/>
          <w:kern w:val="0"/>
          <w:sz w:val="20"/>
          <w:szCs w:val="20"/>
          <w:lang w:eastAsia="en-US"/>
        </w:rPr>
        <w:t>to</w:t>
      </w:r>
      <w:r w:rsidRPr="00894701">
        <w:rPr>
          <w:rFonts w:asciiTheme="minorHAnsi" w:hAnsiTheme="minorHAnsi" w:cs="TrebuchetMS"/>
          <w:color w:val="000000"/>
          <w:spacing w:val="40"/>
          <w:kern w:val="0"/>
          <w:sz w:val="20"/>
          <w:szCs w:val="20"/>
          <w:lang w:eastAsia="en-US"/>
        </w:rPr>
        <w:t xml:space="preserve"> </w:t>
      </w:r>
      <w:r w:rsidRPr="00894701">
        <w:rPr>
          <w:rFonts w:asciiTheme="minorHAnsi" w:hAnsiTheme="minorHAnsi" w:cs="TrebuchetMS"/>
          <w:color w:val="000000"/>
          <w:kern w:val="0"/>
          <w:sz w:val="20"/>
          <w:szCs w:val="20"/>
          <w:lang w:eastAsia="en-US"/>
        </w:rPr>
        <w:t>exempt</w:t>
      </w:r>
      <w:r w:rsidRPr="00894701">
        <w:rPr>
          <w:rFonts w:asciiTheme="minorHAnsi" w:hAnsiTheme="minorHAnsi" w:cs="TrebuchetMS"/>
          <w:color w:val="000000"/>
          <w:spacing w:val="40"/>
          <w:kern w:val="0"/>
          <w:sz w:val="20"/>
          <w:szCs w:val="20"/>
          <w:lang w:eastAsia="en-US"/>
        </w:rPr>
        <w:t xml:space="preserve"> </w:t>
      </w:r>
      <w:r w:rsidRPr="00894701">
        <w:rPr>
          <w:rFonts w:asciiTheme="minorHAnsi" w:hAnsiTheme="minorHAnsi" w:cs="TrebuchetMS"/>
          <w:color w:val="000000"/>
          <w:kern w:val="0"/>
          <w:sz w:val="20"/>
          <w:szCs w:val="20"/>
          <w:lang w:eastAsia="en-US"/>
        </w:rPr>
        <w:t>small</w:t>
      </w:r>
      <w:r w:rsidRPr="00894701">
        <w:rPr>
          <w:rFonts w:asciiTheme="minorHAnsi" w:hAnsiTheme="minorHAnsi" w:cs="TrebuchetMS"/>
          <w:color w:val="000000"/>
          <w:spacing w:val="40"/>
          <w:kern w:val="0"/>
          <w:sz w:val="20"/>
          <w:szCs w:val="20"/>
          <w:lang w:eastAsia="en-US"/>
        </w:rPr>
        <w:t>-</w:t>
      </w:r>
      <w:r w:rsidRPr="00894701">
        <w:rPr>
          <w:rFonts w:asciiTheme="minorHAnsi" w:hAnsiTheme="minorHAnsi" w:cs="TrebuchetMS"/>
          <w:color w:val="000000"/>
          <w:kern w:val="0"/>
          <w:sz w:val="20"/>
          <w:szCs w:val="20"/>
          <w:lang w:eastAsia="en-US"/>
        </w:rPr>
        <w:t>scale</w:t>
      </w:r>
      <w:r w:rsidRPr="00894701">
        <w:rPr>
          <w:rFonts w:asciiTheme="minorHAnsi" w:hAnsiTheme="minorHAnsi" w:cs="TrebuchetMS"/>
          <w:color w:val="000000"/>
          <w:spacing w:val="40"/>
          <w:kern w:val="0"/>
          <w:sz w:val="20"/>
          <w:szCs w:val="20"/>
          <w:lang w:eastAsia="en-US"/>
        </w:rPr>
        <w:t xml:space="preserve"> </w:t>
      </w:r>
      <w:r w:rsidRPr="00894701">
        <w:rPr>
          <w:rFonts w:asciiTheme="minorHAnsi" w:hAnsiTheme="minorHAnsi" w:cs="TrebuchetMS"/>
          <w:color w:val="000000"/>
          <w:kern w:val="0"/>
          <w:sz w:val="20"/>
          <w:szCs w:val="20"/>
          <w:lang w:eastAsia="en-US"/>
        </w:rPr>
        <w:t xml:space="preserve">mining companies from fuel taxes is not known.  </w:t>
      </w:r>
    </w:p>
    <w:p w14:paraId="58EEAD37" w14:textId="77777777" w:rsidR="00CA282D" w:rsidRPr="00894701" w:rsidRDefault="00CA282D" w:rsidP="00CA282D">
      <w:pPr>
        <w:pStyle w:val="ListParagraph"/>
        <w:numPr>
          <w:ilvl w:val="0"/>
          <w:numId w:val="50"/>
        </w:numPr>
        <w:spacing w:before="240" w:after="240" w:line="240" w:lineRule="auto"/>
        <w:rPr>
          <w:rFonts w:asciiTheme="minorHAnsi" w:hAnsiTheme="minorHAnsi" w:cs="Arial"/>
          <w:b/>
          <w:color w:val="auto"/>
          <w:sz w:val="20"/>
          <w:szCs w:val="28"/>
        </w:rPr>
      </w:pPr>
      <w:r w:rsidRPr="00894701">
        <w:rPr>
          <w:rFonts w:asciiTheme="minorHAnsi" w:hAnsiTheme="minorHAnsi" w:cs="Arial"/>
          <w:b/>
          <w:color w:val="auto"/>
          <w:sz w:val="20"/>
          <w:szCs w:val="28"/>
        </w:rPr>
        <w:t xml:space="preserve">Fiscal incentive for oil &amp; gas operators </w:t>
      </w:r>
    </w:p>
    <w:p w14:paraId="5777FAA2" w14:textId="77777777" w:rsidR="00CA282D" w:rsidRPr="00894701" w:rsidRDefault="00CA282D" w:rsidP="00CA282D">
      <w:pPr>
        <w:widowControl w:val="0"/>
        <w:spacing w:before="120" w:line="240" w:lineRule="auto"/>
        <w:rPr>
          <w:rFonts w:asciiTheme="minorHAnsi" w:hAnsiTheme="minorHAnsi" w:cs="TrebuchetMS-Bold"/>
          <w:b/>
          <w:bCs/>
          <w:color w:val="ED1A3B"/>
          <w:kern w:val="0"/>
          <w:sz w:val="20"/>
          <w:szCs w:val="20"/>
          <w:lang w:eastAsia="en-US"/>
        </w:rPr>
      </w:pPr>
      <w:r w:rsidRPr="00894701">
        <w:rPr>
          <w:rFonts w:asciiTheme="minorHAnsi" w:hAnsiTheme="minorHAnsi" w:cs="TrebuchetMS-Bold"/>
          <w:b/>
          <w:bCs/>
          <w:color w:val="ED1A3B"/>
          <w:kern w:val="0"/>
          <w:sz w:val="20"/>
          <w:szCs w:val="20"/>
          <w:lang w:eastAsia="en-US"/>
        </w:rPr>
        <w:t xml:space="preserve">Exemption from import duties </w:t>
      </w:r>
    </w:p>
    <w:p w14:paraId="30D70905" w14:textId="77777777" w:rsidR="00CA282D" w:rsidRPr="00894701" w:rsidRDefault="00CA282D" w:rsidP="00CA282D">
      <w:pPr>
        <w:pStyle w:val="BodyText"/>
        <w:jc w:val="both"/>
        <w:rPr>
          <w:rFonts w:asciiTheme="minorHAnsi" w:hAnsiTheme="minorHAnsi" w:cs="TrebuchetMS"/>
          <w:color w:val="000000"/>
          <w:kern w:val="0"/>
          <w:sz w:val="20"/>
          <w:szCs w:val="20"/>
          <w:lang w:eastAsia="en-US"/>
        </w:rPr>
      </w:pPr>
      <w:r w:rsidRPr="00894701">
        <w:rPr>
          <w:rFonts w:asciiTheme="minorHAnsi" w:hAnsiTheme="minorHAnsi" w:cs="TrebuchetMS"/>
          <w:color w:val="000000"/>
          <w:kern w:val="0"/>
          <w:sz w:val="20"/>
          <w:szCs w:val="20"/>
          <w:lang w:eastAsia="en-US"/>
        </w:rPr>
        <w:lastRenderedPageBreak/>
        <w:t xml:space="preserve">State Enterprises and contractors will be exempt from import and export duties on imported and </w:t>
      </w:r>
      <w:r w:rsidRPr="00894701">
        <w:rPr>
          <w:rFonts w:asciiTheme="minorHAnsi" w:hAnsiTheme="minorHAnsi"/>
          <w:color w:val="auto"/>
          <w:sz w:val="20"/>
          <w:szCs w:val="20"/>
        </w:rPr>
        <w:t>exported</w:t>
      </w:r>
      <w:r w:rsidRPr="00894701">
        <w:rPr>
          <w:rFonts w:asciiTheme="minorHAnsi" w:hAnsiTheme="minorHAnsi" w:cs="TrebuchetMS"/>
          <w:color w:val="000000"/>
          <w:kern w:val="0"/>
          <w:sz w:val="20"/>
          <w:szCs w:val="20"/>
          <w:lang w:eastAsia="en-US"/>
        </w:rPr>
        <w:t xml:space="preserve"> industrial means, materials, goods or equipment of whatever nature, which are used for petroleum activities. If these goods are imported by the contractor, the exemption shall only be applicable if goods that are not the property of a State Enterprise, either become the property of a State Enterprise or are exported from Suriname, after the termination of the petroleum activities. </w:t>
      </w:r>
    </w:p>
    <w:p w14:paraId="4481DB6F" w14:textId="77777777" w:rsidR="00CA282D" w:rsidRPr="00894701" w:rsidRDefault="00CA282D" w:rsidP="00CA282D">
      <w:pPr>
        <w:pStyle w:val="ListParagraph"/>
        <w:numPr>
          <w:ilvl w:val="1"/>
          <w:numId w:val="7"/>
        </w:numPr>
        <w:spacing w:before="240" w:after="240"/>
        <w:ind w:left="851" w:right="482" w:hanging="851"/>
        <w:outlineLvl w:val="1"/>
        <w:rPr>
          <w:b/>
          <w:sz w:val="28"/>
          <w:szCs w:val="28"/>
        </w:rPr>
      </w:pPr>
      <w:bookmarkStart w:id="164" w:name="_Toc122478865"/>
      <w:bookmarkStart w:id="165" w:name="_Hlk113871603"/>
      <w:r w:rsidRPr="00894701">
        <w:rPr>
          <w:b/>
          <w:sz w:val="28"/>
          <w:szCs w:val="28"/>
        </w:rPr>
        <w:t>Contract and license allocations (EITI Requirement 2.2)</w:t>
      </w:r>
      <w:bookmarkEnd w:id="164"/>
      <w:r w:rsidRPr="00894701">
        <w:rPr>
          <w:b/>
          <w:sz w:val="28"/>
          <w:szCs w:val="28"/>
        </w:rPr>
        <w:t xml:space="preserve"> </w:t>
      </w:r>
    </w:p>
    <w:p w14:paraId="44CC0A44" w14:textId="69336367" w:rsidR="00CA282D" w:rsidRPr="00894701" w:rsidRDefault="00670F09" w:rsidP="00A834A8">
      <w:pPr>
        <w:pStyle w:val="AltMinorHeading"/>
        <w:numPr>
          <w:ilvl w:val="2"/>
          <w:numId w:val="60"/>
        </w:numPr>
        <w:ind w:left="142" w:hanging="180"/>
        <w:rPr>
          <w:szCs w:val="28"/>
        </w:rPr>
      </w:pPr>
      <w:bookmarkStart w:id="166" w:name="_Toc122478866"/>
      <w:bookmarkEnd w:id="165"/>
      <w:r w:rsidRPr="00894701">
        <w:rPr>
          <w:szCs w:val="28"/>
        </w:rPr>
        <w:t xml:space="preserve">Contract and license allocations in the </w:t>
      </w:r>
      <w:r w:rsidR="00CA282D" w:rsidRPr="00894701">
        <w:rPr>
          <w:szCs w:val="28"/>
        </w:rPr>
        <w:t>Mining Sector</w:t>
      </w:r>
      <w:bookmarkEnd w:id="166"/>
      <w:r w:rsidR="00CA282D" w:rsidRPr="00894701">
        <w:rPr>
          <w:szCs w:val="28"/>
        </w:rPr>
        <w:t xml:space="preserve"> </w:t>
      </w:r>
    </w:p>
    <w:p w14:paraId="62B29D7B" w14:textId="77777777" w:rsidR="00CA282D" w:rsidRPr="00894701" w:rsidRDefault="00CA282D" w:rsidP="00CA282D">
      <w:pPr>
        <w:pStyle w:val="AltMinorSubHeading"/>
        <w:numPr>
          <w:ilvl w:val="0"/>
          <w:numId w:val="0"/>
        </w:numPr>
        <w:spacing w:before="240" w:after="240"/>
        <w:rPr>
          <w:rFonts w:asciiTheme="minorHAnsi" w:hAnsiTheme="minorHAnsi"/>
          <w:color w:val="FF0000"/>
        </w:rPr>
      </w:pPr>
      <w:bookmarkStart w:id="167" w:name="_Toc122478867"/>
      <w:r w:rsidRPr="00894701">
        <w:rPr>
          <w:rFonts w:asciiTheme="minorHAnsi" w:hAnsiTheme="minorHAnsi"/>
          <w:color w:val="FF0000"/>
        </w:rPr>
        <w:t>3.3.1.(a) Types of mining licenses and permits</w:t>
      </w:r>
      <w:bookmarkEnd w:id="167"/>
      <w:r w:rsidRPr="00894701">
        <w:rPr>
          <w:rFonts w:asciiTheme="minorHAnsi" w:hAnsiTheme="minorHAnsi"/>
          <w:color w:val="FF0000"/>
        </w:rPr>
        <w:t xml:space="preserve"> </w:t>
      </w:r>
    </w:p>
    <w:p w14:paraId="79505C29" w14:textId="111024A8" w:rsidR="00750310" w:rsidRDefault="00CA282D" w:rsidP="00CA282D">
      <w:pPr>
        <w:pStyle w:val="BodyText"/>
        <w:jc w:val="both"/>
        <w:rPr>
          <w:rFonts w:asciiTheme="minorHAnsi" w:hAnsiTheme="minorHAnsi"/>
          <w:color w:val="auto"/>
          <w:sz w:val="20"/>
          <w:szCs w:val="20"/>
        </w:rPr>
      </w:pPr>
      <w:r w:rsidRPr="00894701">
        <w:rPr>
          <w:rFonts w:asciiTheme="minorHAnsi" w:hAnsiTheme="minorHAnsi"/>
          <w:color w:val="auto"/>
          <w:sz w:val="20"/>
          <w:szCs w:val="20"/>
        </w:rPr>
        <w:t xml:space="preserve">The Mining Decree (1986) allows five types of mining permits, or rights: reconnaissance, exploration, exploitation, small-scale mining, and quarrying of building materials. Permits can be obtained for bauxite, radioactive minerals, hydrocarbons, other minerals, and building materials, though radioactive minerals and hydrocarbon rights can only be granted to state enterprises.  </w:t>
      </w:r>
      <w:r w:rsidR="00750310">
        <w:rPr>
          <w:rFonts w:asciiTheme="minorHAnsi" w:hAnsiTheme="minorHAnsi"/>
          <w:color w:val="auto"/>
          <w:sz w:val="20"/>
          <w:szCs w:val="20"/>
        </w:rPr>
        <w:br w:type="page"/>
      </w:r>
    </w:p>
    <w:p w14:paraId="335AF51C" w14:textId="77777777" w:rsidR="00CA282D" w:rsidRPr="00894701" w:rsidRDefault="00CA282D" w:rsidP="00CA282D">
      <w:pPr>
        <w:pStyle w:val="BodyText"/>
        <w:jc w:val="both"/>
        <w:rPr>
          <w:rFonts w:asciiTheme="minorHAnsi" w:hAnsiTheme="minorHAnsi"/>
          <w:color w:val="auto"/>
          <w:sz w:val="20"/>
          <w:szCs w:val="20"/>
        </w:rPr>
      </w:pPr>
    </w:p>
    <w:p w14:paraId="1AEC80FD" w14:textId="4C0BA90F" w:rsidR="00CA282D" w:rsidRPr="00894701" w:rsidRDefault="00CA282D" w:rsidP="00CA282D">
      <w:pPr>
        <w:pStyle w:val="BodyText"/>
        <w:jc w:val="center"/>
        <w:rPr>
          <w:rFonts w:asciiTheme="minorHAnsi" w:hAnsiTheme="minorHAnsi"/>
          <w:b/>
          <w:bCs/>
          <w:color w:val="98002E" w:themeColor="accent3"/>
          <w:sz w:val="20"/>
        </w:rPr>
      </w:pPr>
      <w:bookmarkStart w:id="168" w:name="_Toc109599085"/>
      <w:bookmarkStart w:id="169" w:name="_Toc146590492"/>
      <w:r w:rsidRPr="00894701">
        <w:rPr>
          <w:rFonts w:asciiTheme="majorHAnsi" w:hAnsiTheme="majorHAnsi"/>
          <w:b/>
          <w:bCs/>
          <w:color w:val="98002E" w:themeColor="accent3"/>
          <w:sz w:val="20"/>
        </w:rPr>
        <w:t xml:space="preserve">Table </w:t>
      </w:r>
      <w:r w:rsidRPr="00894701">
        <w:rPr>
          <w:rFonts w:asciiTheme="majorHAnsi" w:hAnsiTheme="majorHAnsi"/>
          <w:b/>
          <w:bCs/>
          <w:color w:val="98002E" w:themeColor="accent3"/>
          <w:sz w:val="20"/>
        </w:rPr>
        <w:fldChar w:fldCharType="begin"/>
      </w:r>
      <w:r w:rsidRPr="00894701">
        <w:rPr>
          <w:rFonts w:asciiTheme="majorHAnsi" w:hAnsiTheme="majorHAnsi"/>
          <w:b/>
          <w:bCs/>
          <w:color w:val="98002E" w:themeColor="accent3"/>
          <w:sz w:val="20"/>
        </w:rPr>
        <w:instrText xml:space="preserve"> SEQ Table \* ARABIC </w:instrText>
      </w:r>
      <w:r w:rsidRPr="00894701">
        <w:rPr>
          <w:rFonts w:asciiTheme="majorHAnsi" w:hAnsiTheme="majorHAnsi"/>
          <w:b/>
          <w:bCs/>
          <w:color w:val="98002E" w:themeColor="accent3"/>
          <w:sz w:val="20"/>
        </w:rPr>
        <w:fldChar w:fldCharType="separate"/>
      </w:r>
      <w:r w:rsidR="0035303B">
        <w:rPr>
          <w:rFonts w:asciiTheme="majorHAnsi" w:hAnsiTheme="majorHAnsi"/>
          <w:b/>
          <w:bCs/>
          <w:noProof/>
          <w:color w:val="98002E" w:themeColor="accent3"/>
          <w:sz w:val="20"/>
        </w:rPr>
        <w:t>20</w:t>
      </w:r>
      <w:r w:rsidRPr="00894701">
        <w:rPr>
          <w:rFonts w:asciiTheme="majorHAnsi" w:hAnsiTheme="majorHAnsi"/>
          <w:b/>
          <w:bCs/>
          <w:color w:val="98002E" w:themeColor="accent3"/>
          <w:sz w:val="20"/>
        </w:rPr>
        <w:fldChar w:fldCharType="end"/>
      </w:r>
      <w:r w:rsidRPr="00894701">
        <w:rPr>
          <w:rFonts w:asciiTheme="majorHAnsi" w:hAnsiTheme="majorHAnsi"/>
          <w:b/>
          <w:bCs/>
          <w:color w:val="98002E" w:themeColor="accent3"/>
          <w:sz w:val="20"/>
        </w:rPr>
        <w:t xml:space="preserve">: </w:t>
      </w:r>
      <w:r w:rsidRPr="00894701">
        <w:rPr>
          <w:rFonts w:asciiTheme="minorHAnsi" w:hAnsiTheme="minorHAnsi"/>
          <w:b/>
          <w:bCs/>
          <w:color w:val="98002E" w:themeColor="accent3"/>
          <w:sz w:val="20"/>
        </w:rPr>
        <w:t>Types of mining licenses and permits.</w:t>
      </w:r>
      <w:bookmarkEnd w:id="168"/>
      <w:bookmarkEnd w:id="169"/>
    </w:p>
    <w:tbl>
      <w:tblPr>
        <w:tblStyle w:val="TableGrid"/>
        <w:tblW w:w="0" w:type="auto"/>
        <w:tblInd w:w="3" w:type="dxa"/>
        <w:tblLook w:val="04A0" w:firstRow="1" w:lastRow="0" w:firstColumn="1" w:lastColumn="0" w:noHBand="0" w:noVBand="1"/>
      </w:tblPr>
      <w:tblGrid>
        <w:gridCol w:w="1539"/>
        <w:gridCol w:w="715"/>
        <w:gridCol w:w="1224"/>
        <w:gridCol w:w="1034"/>
        <w:gridCol w:w="1503"/>
        <w:gridCol w:w="1837"/>
        <w:gridCol w:w="1195"/>
      </w:tblGrid>
      <w:tr w:rsidR="00CA282D" w:rsidRPr="00894701" w14:paraId="0AB7A481" w14:textId="77777777" w:rsidTr="00446B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06" w:type="dxa"/>
            <w:shd w:val="clear" w:color="auto" w:fill="960000"/>
          </w:tcPr>
          <w:p w14:paraId="7E1D398E" w14:textId="77777777" w:rsidR="00CA282D" w:rsidRPr="00894701" w:rsidRDefault="00CA282D" w:rsidP="00446B8D">
            <w:pPr>
              <w:pStyle w:val="BodyText"/>
              <w:jc w:val="both"/>
              <w:rPr>
                <w:rFonts w:asciiTheme="minorHAnsi" w:hAnsiTheme="minorHAnsi"/>
                <w:b/>
                <w:bCs/>
                <w:color w:val="auto"/>
                <w:szCs w:val="18"/>
              </w:rPr>
            </w:pPr>
            <w:r w:rsidRPr="00894701">
              <w:rPr>
                <w:rFonts w:asciiTheme="minorHAnsi" w:hAnsiTheme="minorHAnsi"/>
                <w:b/>
                <w:bCs/>
                <w:color w:val="auto"/>
                <w:szCs w:val="18"/>
              </w:rPr>
              <w:t xml:space="preserve">License </w:t>
            </w:r>
          </w:p>
        </w:tc>
        <w:tc>
          <w:tcPr>
            <w:tcW w:w="732" w:type="dxa"/>
            <w:shd w:val="clear" w:color="auto" w:fill="960000"/>
          </w:tcPr>
          <w:p w14:paraId="42360003" w14:textId="77777777" w:rsidR="00CA282D" w:rsidRPr="00894701" w:rsidRDefault="00CA282D" w:rsidP="00446B8D">
            <w:pPr>
              <w:pStyle w:val="BodyText"/>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bCs/>
                <w:caps w:val="0"/>
                <w:color w:val="auto"/>
                <w:szCs w:val="18"/>
              </w:rPr>
            </w:pPr>
            <w:r w:rsidRPr="00894701">
              <w:rPr>
                <w:rFonts w:asciiTheme="minorHAnsi" w:hAnsiTheme="minorHAnsi"/>
                <w:b/>
                <w:bCs/>
                <w:color w:val="auto"/>
                <w:szCs w:val="18"/>
              </w:rPr>
              <w:t xml:space="preserve">Term </w:t>
            </w:r>
          </w:p>
        </w:tc>
        <w:tc>
          <w:tcPr>
            <w:tcW w:w="1171" w:type="dxa"/>
            <w:shd w:val="clear" w:color="auto" w:fill="960000"/>
          </w:tcPr>
          <w:p w14:paraId="2CAB3DA5" w14:textId="77777777" w:rsidR="00CA282D" w:rsidRPr="00894701" w:rsidRDefault="00CA282D" w:rsidP="00446B8D">
            <w:pPr>
              <w:pStyle w:val="BodyText"/>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bCs/>
                <w:caps w:val="0"/>
                <w:color w:val="auto"/>
                <w:szCs w:val="18"/>
              </w:rPr>
            </w:pPr>
            <w:r w:rsidRPr="00894701">
              <w:rPr>
                <w:rFonts w:asciiTheme="minorHAnsi" w:hAnsiTheme="minorHAnsi"/>
                <w:b/>
                <w:bCs/>
                <w:color w:val="auto"/>
                <w:szCs w:val="18"/>
              </w:rPr>
              <w:t>Renewable</w:t>
            </w:r>
          </w:p>
        </w:tc>
        <w:tc>
          <w:tcPr>
            <w:tcW w:w="1046" w:type="dxa"/>
            <w:shd w:val="clear" w:color="auto" w:fill="960000"/>
          </w:tcPr>
          <w:p w14:paraId="4068B284" w14:textId="77777777" w:rsidR="00CA282D" w:rsidRPr="00894701" w:rsidRDefault="00CA282D" w:rsidP="00446B8D">
            <w:pPr>
              <w:pStyle w:val="BodyText"/>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auto"/>
                <w:szCs w:val="18"/>
              </w:rPr>
            </w:pPr>
            <w:r w:rsidRPr="00894701">
              <w:rPr>
                <w:rFonts w:asciiTheme="minorHAnsi" w:hAnsiTheme="minorHAnsi"/>
                <w:b/>
                <w:bCs/>
                <w:color w:val="auto"/>
                <w:szCs w:val="18"/>
              </w:rPr>
              <w:t>Maximum size</w:t>
            </w:r>
          </w:p>
        </w:tc>
        <w:tc>
          <w:tcPr>
            <w:tcW w:w="1352" w:type="dxa"/>
            <w:shd w:val="clear" w:color="auto" w:fill="960000"/>
          </w:tcPr>
          <w:p w14:paraId="0B95480D" w14:textId="77777777" w:rsidR="00CA282D" w:rsidRPr="00894701" w:rsidRDefault="00CA282D" w:rsidP="00446B8D">
            <w:pPr>
              <w:pStyle w:val="BodyText"/>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bCs/>
                <w:caps w:val="0"/>
                <w:color w:val="auto"/>
                <w:szCs w:val="18"/>
              </w:rPr>
            </w:pPr>
            <w:r w:rsidRPr="00894701">
              <w:rPr>
                <w:rFonts w:asciiTheme="minorHAnsi" w:hAnsiTheme="minorHAnsi"/>
                <w:b/>
                <w:bCs/>
                <w:color w:val="auto"/>
                <w:szCs w:val="18"/>
              </w:rPr>
              <w:t>Transferable</w:t>
            </w:r>
          </w:p>
        </w:tc>
        <w:tc>
          <w:tcPr>
            <w:tcW w:w="2036" w:type="dxa"/>
            <w:shd w:val="clear" w:color="auto" w:fill="960000"/>
          </w:tcPr>
          <w:p w14:paraId="78F9C2E2" w14:textId="77777777" w:rsidR="00CA282D" w:rsidRPr="00894701" w:rsidRDefault="00CA282D" w:rsidP="00446B8D">
            <w:pPr>
              <w:pStyle w:val="BodyText"/>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auto"/>
                <w:szCs w:val="18"/>
              </w:rPr>
            </w:pPr>
            <w:r w:rsidRPr="00894701">
              <w:rPr>
                <w:rFonts w:asciiTheme="minorHAnsi" w:hAnsiTheme="minorHAnsi"/>
                <w:b/>
                <w:bCs/>
                <w:color w:val="auto"/>
                <w:szCs w:val="18"/>
              </w:rPr>
              <w:t>Rights</w:t>
            </w:r>
          </w:p>
        </w:tc>
        <w:tc>
          <w:tcPr>
            <w:tcW w:w="1204" w:type="dxa"/>
            <w:shd w:val="clear" w:color="auto" w:fill="960000"/>
          </w:tcPr>
          <w:p w14:paraId="20B63FBB" w14:textId="77777777" w:rsidR="00CA282D" w:rsidRPr="00894701" w:rsidRDefault="00CA282D" w:rsidP="00446B8D">
            <w:pPr>
              <w:pStyle w:val="BodyText"/>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bCs/>
                <w:caps w:val="0"/>
                <w:color w:val="auto"/>
                <w:szCs w:val="18"/>
              </w:rPr>
            </w:pPr>
            <w:r w:rsidRPr="00894701">
              <w:rPr>
                <w:rFonts w:asciiTheme="minorHAnsi" w:hAnsiTheme="minorHAnsi"/>
                <w:b/>
                <w:bCs/>
                <w:color w:val="auto"/>
                <w:szCs w:val="18"/>
              </w:rPr>
              <w:t>Reference</w:t>
            </w:r>
          </w:p>
        </w:tc>
      </w:tr>
      <w:tr w:rsidR="00CA282D" w:rsidRPr="00894701" w14:paraId="762EAC9F" w14:textId="77777777" w:rsidTr="00446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vAlign w:val="center"/>
          </w:tcPr>
          <w:p w14:paraId="422EABD9" w14:textId="77777777" w:rsidR="00CA282D" w:rsidRPr="00894701" w:rsidRDefault="00CA282D" w:rsidP="00446B8D">
            <w:pPr>
              <w:pStyle w:val="BodyText"/>
              <w:jc w:val="center"/>
              <w:rPr>
                <w:rFonts w:asciiTheme="minorHAnsi" w:hAnsiTheme="minorHAnsi"/>
                <w:b/>
                <w:bCs/>
                <w:color w:val="auto"/>
                <w:szCs w:val="18"/>
              </w:rPr>
            </w:pPr>
            <w:r w:rsidRPr="00894701">
              <w:rPr>
                <w:rFonts w:asciiTheme="minorHAnsi" w:hAnsiTheme="minorHAnsi"/>
                <w:b/>
                <w:bCs/>
                <w:color w:val="auto"/>
                <w:szCs w:val="18"/>
              </w:rPr>
              <w:t>Reconnaissance</w:t>
            </w:r>
          </w:p>
        </w:tc>
        <w:tc>
          <w:tcPr>
            <w:tcW w:w="732" w:type="dxa"/>
            <w:vAlign w:val="center"/>
          </w:tcPr>
          <w:p w14:paraId="13838C83" w14:textId="0ED758F3" w:rsidR="00CA282D" w:rsidRPr="00894701" w:rsidRDefault="00A84D03" w:rsidP="00446B8D">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Pr>
                <w:rFonts w:asciiTheme="minorHAnsi" w:hAnsiTheme="minorHAnsi"/>
                <w:color w:val="auto"/>
                <w:szCs w:val="18"/>
              </w:rPr>
              <w:t xml:space="preserve">Two </w:t>
            </w:r>
            <w:r w:rsidR="00CA282D" w:rsidRPr="00894701">
              <w:rPr>
                <w:rFonts w:asciiTheme="minorHAnsi" w:hAnsiTheme="minorHAnsi"/>
                <w:color w:val="auto"/>
                <w:szCs w:val="18"/>
              </w:rPr>
              <w:t>years</w:t>
            </w:r>
          </w:p>
        </w:tc>
        <w:tc>
          <w:tcPr>
            <w:tcW w:w="1171" w:type="dxa"/>
            <w:vAlign w:val="center"/>
          </w:tcPr>
          <w:p w14:paraId="38B2278D" w14:textId="77777777" w:rsidR="00CA282D" w:rsidRPr="00894701" w:rsidRDefault="00CA282D" w:rsidP="00446B8D">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Yes, one-year extension possible</w:t>
            </w:r>
          </w:p>
        </w:tc>
        <w:tc>
          <w:tcPr>
            <w:tcW w:w="1046" w:type="dxa"/>
            <w:vAlign w:val="center"/>
          </w:tcPr>
          <w:p w14:paraId="25A41B46" w14:textId="77777777" w:rsidR="00CA282D" w:rsidRPr="00894701" w:rsidRDefault="00CA282D" w:rsidP="00446B8D">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200,000 ha</w:t>
            </w:r>
          </w:p>
        </w:tc>
        <w:tc>
          <w:tcPr>
            <w:tcW w:w="1352" w:type="dxa"/>
            <w:vAlign w:val="center"/>
          </w:tcPr>
          <w:p w14:paraId="23B7181C" w14:textId="77777777" w:rsidR="00CA282D" w:rsidRPr="00894701" w:rsidRDefault="00CA282D" w:rsidP="00446B8D">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No</w:t>
            </w:r>
          </w:p>
        </w:tc>
        <w:tc>
          <w:tcPr>
            <w:tcW w:w="2036" w:type="dxa"/>
            <w:vAlign w:val="center"/>
          </w:tcPr>
          <w:p w14:paraId="4224AF2E" w14:textId="30B44817" w:rsidR="00CA282D" w:rsidRPr="00894701" w:rsidRDefault="00CA282D" w:rsidP="00446B8D">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The holder of reconnaissance rights has exclusive rights, to carry out reconnaissance activities in or on the reconnaissance terrain with regard to the mineral(s) for which the rights have been granted.</w:t>
            </w:r>
          </w:p>
        </w:tc>
        <w:tc>
          <w:tcPr>
            <w:tcW w:w="1204" w:type="dxa"/>
            <w:vAlign w:val="center"/>
          </w:tcPr>
          <w:p w14:paraId="14615CB8" w14:textId="77777777" w:rsidR="00CA282D" w:rsidRPr="00894701" w:rsidRDefault="00CA282D" w:rsidP="00446B8D">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Chapter IV of The Mining Decree (1986)</w:t>
            </w:r>
          </w:p>
        </w:tc>
      </w:tr>
      <w:tr w:rsidR="00CA282D" w:rsidRPr="00894701" w14:paraId="7D728CEA" w14:textId="77777777" w:rsidTr="00446B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shd w:val="clear" w:color="auto" w:fill="F7A3B0"/>
            <w:vAlign w:val="center"/>
          </w:tcPr>
          <w:p w14:paraId="77A14F49" w14:textId="77777777" w:rsidR="00CA282D" w:rsidRPr="00894701" w:rsidRDefault="00CA282D" w:rsidP="00446B8D">
            <w:pPr>
              <w:pStyle w:val="BodyText"/>
              <w:jc w:val="center"/>
              <w:rPr>
                <w:rFonts w:asciiTheme="minorHAnsi" w:hAnsiTheme="minorHAnsi"/>
                <w:b/>
                <w:bCs/>
                <w:color w:val="auto"/>
                <w:szCs w:val="18"/>
              </w:rPr>
            </w:pPr>
            <w:r w:rsidRPr="00894701">
              <w:rPr>
                <w:rFonts w:asciiTheme="minorHAnsi" w:hAnsiTheme="minorHAnsi"/>
                <w:b/>
                <w:bCs/>
                <w:color w:val="auto"/>
                <w:szCs w:val="18"/>
              </w:rPr>
              <w:t xml:space="preserve">Exploration </w:t>
            </w:r>
          </w:p>
        </w:tc>
        <w:tc>
          <w:tcPr>
            <w:tcW w:w="732" w:type="dxa"/>
            <w:shd w:val="clear" w:color="auto" w:fill="F7A3B0"/>
            <w:vAlign w:val="center"/>
          </w:tcPr>
          <w:p w14:paraId="026BA9B8" w14:textId="77777777" w:rsidR="00CA282D" w:rsidRPr="00894701" w:rsidRDefault="00CA282D" w:rsidP="00446B8D">
            <w:pPr>
              <w:pStyle w:val="BodyTex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Three years </w:t>
            </w:r>
          </w:p>
        </w:tc>
        <w:tc>
          <w:tcPr>
            <w:tcW w:w="1171" w:type="dxa"/>
            <w:shd w:val="clear" w:color="auto" w:fill="F7A3B0"/>
            <w:vAlign w:val="center"/>
          </w:tcPr>
          <w:p w14:paraId="775AB79B" w14:textId="0F3E77A5" w:rsidR="00CA282D" w:rsidRPr="00894701" w:rsidRDefault="00CA282D" w:rsidP="00446B8D">
            <w:pPr>
              <w:pStyle w:val="BodyText"/>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Two-year renewals, can do twice. Area covered by the right reduced by 25% with each renewal. </w:t>
            </w:r>
          </w:p>
        </w:tc>
        <w:tc>
          <w:tcPr>
            <w:tcW w:w="1046" w:type="dxa"/>
            <w:shd w:val="clear" w:color="auto" w:fill="F7A3B0"/>
            <w:vAlign w:val="center"/>
          </w:tcPr>
          <w:p w14:paraId="6E42A540" w14:textId="77777777" w:rsidR="00CA282D" w:rsidRPr="00894701" w:rsidRDefault="00CA282D" w:rsidP="00446B8D">
            <w:pPr>
              <w:pStyle w:val="BodyTex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40,000 ha </w:t>
            </w:r>
          </w:p>
        </w:tc>
        <w:tc>
          <w:tcPr>
            <w:tcW w:w="1352" w:type="dxa"/>
            <w:shd w:val="clear" w:color="auto" w:fill="F7A3B0"/>
            <w:vAlign w:val="center"/>
          </w:tcPr>
          <w:p w14:paraId="0DCA8768" w14:textId="77777777" w:rsidR="00CA282D" w:rsidRPr="00894701" w:rsidRDefault="00CA282D" w:rsidP="00446B8D">
            <w:pPr>
              <w:pStyle w:val="BodyTex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Yes</w:t>
            </w:r>
          </w:p>
        </w:tc>
        <w:tc>
          <w:tcPr>
            <w:tcW w:w="2036" w:type="dxa"/>
            <w:shd w:val="clear" w:color="auto" w:fill="F7A3B0"/>
          </w:tcPr>
          <w:p w14:paraId="2DB95DB3" w14:textId="3337FC7E" w:rsidR="00CA282D" w:rsidRPr="00894701" w:rsidRDefault="00CA282D" w:rsidP="00446B8D">
            <w:pPr>
              <w:pStyle w:val="BodyText"/>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The holder of the exploration rights, has the right to conduct exploration activities on mineral(s) for which the rights are granted. </w:t>
            </w:r>
          </w:p>
        </w:tc>
        <w:tc>
          <w:tcPr>
            <w:tcW w:w="1204" w:type="dxa"/>
            <w:shd w:val="clear" w:color="auto" w:fill="F7A3B0"/>
          </w:tcPr>
          <w:p w14:paraId="3B4C695B" w14:textId="77777777" w:rsidR="00CA282D" w:rsidRPr="00894701" w:rsidRDefault="00CA282D" w:rsidP="00446B8D">
            <w:pPr>
              <w:pStyle w:val="BodyText"/>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Chapter V of The Mining Decree (1986)   </w:t>
            </w:r>
          </w:p>
        </w:tc>
      </w:tr>
      <w:tr w:rsidR="00CA282D" w:rsidRPr="00894701" w14:paraId="028D1F32" w14:textId="77777777" w:rsidTr="00446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vAlign w:val="center"/>
          </w:tcPr>
          <w:p w14:paraId="2E94EA70" w14:textId="5D2B30E2" w:rsidR="00CA282D" w:rsidRPr="00894701" w:rsidRDefault="00CA282D" w:rsidP="00446B8D">
            <w:pPr>
              <w:pStyle w:val="BodyText"/>
              <w:jc w:val="center"/>
              <w:rPr>
                <w:rFonts w:asciiTheme="minorHAnsi" w:hAnsiTheme="minorHAnsi"/>
                <w:b/>
                <w:bCs/>
                <w:color w:val="auto"/>
                <w:szCs w:val="18"/>
              </w:rPr>
            </w:pPr>
            <w:r w:rsidRPr="00894701">
              <w:rPr>
                <w:rFonts w:asciiTheme="minorHAnsi" w:hAnsiTheme="minorHAnsi"/>
                <w:b/>
                <w:bCs/>
                <w:color w:val="auto"/>
                <w:szCs w:val="18"/>
              </w:rPr>
              <w:t>Explo</w:t>
            </w:r>
            <w:r w:rsidR="00ED5DB1">
              <w:rPr>
                <w:rFonts w:asciiTheme="minorHAnsi" w:hAnsiTheme="minorHAnsi"/>
                <w:b/>
                <w:bCs/>
                <w:color w:val="auto"/>
                <w:szCs w:val="18"/>
              </w:rPr>
              <w:t>it</w:t>
            </w:r>
            <w:r w:rsidRPr="00894701">
              <w:rPr>
                <w:rFonts w:asciiTheme="minorHAnsi" w:hAnsiTheme="minorHAnsi"/>
                <w:b/>
                <w:bCs/>
                <w:color w:val="auto"/>
                <w:szCs w:val="18"/>
              </w:rPr>
              <w:t>ation</w:t>
            </w:r>
          </w:p>
        </w:tc>
        <w:tc>
          <w:tcPr>
            <w:tcW w:w="732" w:type="dxa"/>
            <w:vAlign w:val="center"/>
          </w:tcPr>
          <w:p w14:paraId="21F2A73A" w14:textId="61DABE26" w:rsidR="00CA282D" w:rsidRPr="00894701" w:rsidRDefault="00A84D03" w:rsidP="00446B8D">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Pr>
                <w:rFonts w:asciiTheme="minorHAnsi" w:hAnsiTheme="minorHAnsi"/>
                <w:color w:val="auto"/>
                <w:szCs w:val="18"/>
              </w:rPr>
              <w:t xml:space="preserve">Three </w:t>
            </w:r>
            <w:r w:rsidR="00CA282D" w:rsidRPr="00894701">
              <w:rPr>
                <w:rFonts w:asciiTheme="minorHAnsi" w:hAnsiTheme="minorHAnsi"/>
                <w:color w:val="auto"/>
                <w:szCs w:val="18"/>
              </w:rPr>
              <w:t>years</w:t>
            </w:r>
          </w:p>
        </w:tc>
        <w:tc>
          <w:tcPr>
            <w:tcW w:w="1171" w:type="dxa"/>
            <w:vAlign w:val="center"/>
          </w:tcPr>
          <w:p w14:paraId="75061C0E" w14:textId="77777777" w:rsidR="00CA282D" w:rsidRPr="00894701" w:rsidRDefault="00CA282D" w:rsidP="00446B8D">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Yes, can be extended for up to 25 years</w:t>
            </w:r>
          </w:p>
        </w:tc>
        <w:tc>
          <w:tcPr>
            <w:tcW w:w="1046" w:type="dxa"/>
            <w:vAlign w:val="center"/>
          </w:tcPr>
          <w:p w14:paraId="066F49F0" w14:textId="77777777" w:rsidR="00CA282D" w:rsidRPr="00894701" w:rsidRDefault="00CA282D" w:rsidP="00446B8D">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10,000 ha</w:t>
            </w:r>
          </w:p>
        </w:tc>
        <w:tc>
          <w:tcPr>
            <w:tcW w:w="1352" w:type="dxa"/>
            <w:vAlign w:val="center"/>
          </w:tcPr>
          <w:p w14:paraId="7674319C" w14:textId="77777777" w:rsidR="00CA282D" w:rsidRPr="00894701" w:rsidRDefault="00CA282D" w:rsidP="00446B8D">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Yes</w:t>
            </w:r>
          </w:p>
        </w:tc>
        <w:tc>
          <w:tcPr>
            <w:tcW w:w="2036" w:type="dxa"/>
          </w:tcPr>
          <w:p w14:paraId="62A01B11" w14:textId="77777777" w:rsidR="00CA282D" w:rsidRPr="00894701" w:rsidRDefault="00CA282D" w:rsidP="00446B8D">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The exploitation rights holder is entitled, excluding others, to exploit minerals for which his rights have been granted, considering lawful regulations and agreed with conditions.</w:t>
            </w:r>
          </w:p>
        </w:tc>
        <w:tc>
          <w:tcPr>
            <w:tcW w:w="1204" w:type="dxa"/>
          </w:tcPr>
          <w:p w14:paraId="333B3C82" w14:textId="77777777" w:rsidR="00CA282D" w:rsidRPr="00894701" w:rsidRDefault="00CA282D" w:rsidP="00446B8D">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Chapter VI of The Mining Decree (1986)   </w:t>
            </w:r>
          </w:p>
        </w:tc>
      </w:tr>
      <w:tr w:rsidR="00CA282D" w:rsidRPr="00894701" w14:paraId="22D96FFA" w14:textId="77777777" w:rsidTr="00446B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shd w:val="clear" w:color="auto" w:fill="F7A3B0"/>
            <w:vAlign w:val="center"/>
          </w:tcPr>
          <w:p w14:paraId="7AF27E14" w14:textId="77777777" w:rsidR="00CA282D" w:rsidRPr="00894701" w:rsidRDefault="00CA282D" w:rsidP="00446B8D">
            <w:pPr>
              <w:pStyle w:val="BodyText"/>
              <w:jc w:val="center"/>
              <w:rPr>
                <w:rFonts w:asciiTheme="minorHAnsi" w:hAnsiTheme="minorHAnsi"/>
                <w:b/>
                <w:bCs/>
                <w:color w:val="auto"/>
                <w:szCs w:val="18"/>
              </w:rPr>
            </w:pPr>
            <w:r w:rsidRPr="00894701">
              <w:rPr>
                <w:rFonts w:asciiTheme="minorHAnsi" w:hAnsiTheme="minorHAnsi"/>
                <w:b/>
                <w:bCs/>
                <w:color w:val="auto"/>
                <w:szCs w:val="18"/>
              </w:rPr>
              <w:t>Small-scale mining</w:t>
            </w:r>
          </w:p>
        </w:tc>
        <w:tc>
          <w:tcPr>
            <w:tcW w:w="732" w:type="dxa"/>
            <w:shd w:val="clear" w:color="auto" w:fill="F7A3B0"/>
            <w:vAlign w:val="center"/>
          </w:tcPr>
          <w:p w14:paraId="43DBB8F5" w14:textId="77777777" w:rsidR="00CA282D" w:rsidRPr="00894701" w:rsidRDefault="00CA282D" w:rsidP="00446B8D">
            <w:pPr>
              <w:pStyle w:val="BodyTex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Two years</w:t>
            </w:r>
          </w:p>
        </w:tc>
        <w:tc>
          <w:tcPr>
            <w:tcW w:w="1171" w:type="dxa"/>
            <w:shd w:val="clear" w:color="auto" w:fill="F7A3B0"/>
            <w:vAlign w:val="center"/>
          </w:tcPr>
          <w:p w14:paraId="5F536AF0" w14:textId="77777777" w:rsidR="00CA282D" w:rsidRPr="00894701" w:rsidRDefault="00CA282D" w:rsidP="00446B8D">
            <w:pPr>
              <w:pStyle w:val="BodyText"/>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Yes, renewable for two-year periods</w:t>
            </w:r>
          </w:p>
          <w:p w14:paraId="1E3A7486" w14:textId="77777777" w:rsidR="00CA282D" w:rsidRPr="00894701" w:rsidRDefault="00CA282D" w:rsidP="00446B8D">
            <w:pPr>
              <w:pStyle w:val="BodyTex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p>
        </w:tc>
        <w:tc>
          <w:tcPr>
            <w:tcW w:w="1046" w:type="dxa"/>
            <w:shd w:val="clear" w:color="auto" w:fill="F7A3B0"/>
            <w:vAlign w:val="center"/>
          </w:tcPr>
          <w:p w14:paraId="4394EB68" w14:textId="77777777" w:rsidR="00CA282D" w:rsidRPr="00894701" w:rsidRDefault="00CA282D" w:rsidP="00446B8D">
            <w:pPr>
              <w:pStyle w:val="BodyTex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200 ha</w:t>
            </w:r>
          </w:p>
        </w:tc>
        <w:tc>
          <w:tcPr>
            <w:tcW w:w="1352" w:type="dxa"/>
            <w:shd w:val="clear" w:color="auto" w:fill="F7A3B0"/>
            <w:vAlign w:val="center"/>
          </w:tcPr>
          <w:p w14:paraId="4317CD7F" w14:textId="77777777" w:rsidR="00CA282D" w:rsidRPr="00894701" w:rsidRDefault="00CA282D" w:rsidP="00446B8D">
            <w:pPr>
              <w:pStyle w:val="BodyTex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No</w:t>
            </w:r>
          </w:p>
        </w:tc>
        <w:tc>
          <w:tcPr>
            <w:tcW w:w="2036" w:type="dxa"/>
            <w:shd w:val="clear" w:color="auto" w:fill="F7A3B0"/>
          </w:tcPr>
          <w:p w14:paraId="03335D61" w14:textId="77777777" w:rsidR="00CA282D" w:rsidRPr="00894701" w:rsidRDefault="00CA282D" w:rsidP="00446B8D">
            <w:pPr>
              <w:pStyle w:val="BodyText"/>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The holder of small-scale mining rights is authorized, excluding others, to conduct reconnaissance, exploration and exploitation of the mineral(s) in or on the terrain for which the rights have been granted.  </w:t>
            </w:r>
          </w:p>
        </w:tc>
        <w:tc>
          <w:tcPr>
            <w:tcW w:w="1204" w:type="dxa"/>
            <w:shd w:val="clear" w:color="auto" w:fill="F7A3B0"/>
          </w:tcPr>
          <w:p w14:paraId="6491F65A" w14:textId="77777777" w:rsidR="00CA282D" w:rsidRPr="00894701" w:rsidRDefault="00CA282D" w:rsidP="00446B8D">
            <w:pPr>
              <w:pStyle w:val="BodyText"/>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Chapter VII of The Mining Decree (1986)   </w:t>
            </w:r>
          </w:p>
          <w:p w14:paraId="4EA4C9AA" w14:textId="77777777" w:rsidR="00CA282D" w:rsidRPr="00894701" w:rsidRDefault="00CA282D" w:rsidP="00446B8D">
            <w:pPr>
              <w:pStyle w:val="BodyText"/>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p>
        </w:tc>
      </w:tr>
      <w:tr w:rsidR="00CA282D" w:rsidRPr="00894701" w14:paraId="450DA3B6" w14:textId="77777777" w:rsidTr="00446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Borders>
              <w:bottom w:val="single" w:sz="12" w:space="0" w:color="C00000"/>
            </w:tcBorders>
            <w:vAlign w:val="center"/>
          </w:tcPr>
          <w:p w14:paraId="0AA98EE8" w14:textId="77777777" w:rsidR="00CA282D" w:rsidRPr="00894701" w:rsidRDefault="00CA282D" w:rsidP="00446B8D">
            <w:pPr>
              <w:pStyle w:val="BodyText"/>
              <w:jc w:val="center"/>
              <w:rPr>
                <w:rFonts w:asciiTheme="minorHAnsi" w:hAnsiTheme="minorHAnsi"/>
                <w:b/>
                <w:bCs/>
                <w:color w:val="auto"/>
                <w:szCs w:val="18"/>
              </w:rPr>
            </w:pPr>
            <w:r w:rsidRPr="00894701">
              <w:rPr>
                <w:rFonts w:asciiTheme="minorHAnsi" w:hAnsiTheme="minorHAnsi"/>
                <w:b/>
                <w:bCs/>
                <w:color w:val="auto"/>
                <w:szCs w:val="18"/>
              </w:rPr>
              <w:t>Building materials</w:t>
            </w:r>
          </w:p>
        </w:tc>
        <w:tc>
          <w:tcPr>
            <w:tcW w:w="732" w:type="dxa"/>
            <w:tcBorders>
              <w:bottom w:val="single" w:sz="12" w:space="0" w:color="C00000"/>
            </w:tcBorders>
            <w:vAlign w:val="center"/>
          </w:tcPr>
          <w:p w14:paraId="25DC1FE4" w14:textId="77777777" w:rsidR="00CA282D" w:rsidRPr="00894701" w:rsidRDefault="00CA282D" w:rsidP="00446B8D">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Five years</w:t>
            </w:r>
          </w:p>
        </w:tc>
        <w:tc>
          <w:tcPr>
            <w:tcW w:w="1171" w:type="dxa"/>
            <w:tcBorders>
              <w:bottom w:val="single" w:sz="12" w:space="0" w:color="C00000"/>
            </w:tcBorders>
            <w:vAlign w:val="center"/>
          </w:tcPr>
          <w:p w14:paraId="08C03DDB" w14:textId="77777777" w:rsidR="00CA282D" w:rsidRPr="00894701" w:rsidRDefault="00CA282D" w:rsidP="00446B8D">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Renewable for periods of up to five years</w:t>
            </w:r>
          </w:p>
        </w:tc>
        <w:tc>
          <w:tcPr>
            <w:tcW w:w="1046" w:type="dxa"/>
            <w:tcBorders>
              <w:bottom w:val="single" w:sz="12" w:space="0" w:color="C00000"/>
            </w:tcBorders>
            <w:vAlign w:val="center"/>
          </w:tcPr>
          <w:p w14:paraId="5211ADBC" w14:textId="77777777" w:rsidR="00CA282D" w:rsidRPr="00894701" w:rsidRDefault="00CA282D" w:rsidP="00446B8D">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400 ha</w:t>
            </w:r>
          </w:p>
        </w:tc>
        <w:tc>
          <w:tcPr>
            <w:tcW w:w="1352" w:type="dxa"/>
            <w:tcBorders>
              <w:bottom w:val="single" w:sz="12" w:space="0" w:color="C00000"/>
            </w:tcBorders>
            <w:vAlign w:val="center"/>
          </w:tcPr>
          <w:p w14:paraId="0B42E176" w14:textId="77777777" w:rsidR="00CA282D" w:rsidRPr="00894701" w:rsidRDefault="00CA282D" w:rsidP="00446B8D">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Yes</w:t>
            </w:r>
          </w:p>
        </w:tc>
        <w:tc>
          <w:tcPr>
            <w:tcW w:w="2036" w:type="dxa"/>
            <w:tcBorders>
              <w:bottom w:val="single" w:sz="12" w:space="0" w:color="C00000"/>
            </w:tcBorders>
          </w:tcPr>
          <w:p w14:paraId="1FD02F61" w14:textId="2E75F07D" w:rsidR="00CA282D" w:rsidRPr="00894701" w:rsidRDefault="002C5614" w:rsidP="00446B8D">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Pr>
                <w:rFonts w:asciiTheme="minorHAnsi" w:hAnsiTheme="minorHAnsi"/>
                <w:color w:val="auto"/>
                <w:szCs w:val="18"/>
              </w:rPr>
              <w:t>The holder of building material rights has</w:t>
            </w:r>
            <w:r w:rsidR="00CA282D" w:rsidRPr="00894701">
              <w:rPr>
                <w:rFonts w:asciiTheme="minorHAnsi" w:hAnsiTheme="minorHAnsi"/>
                <w:color w:val="auto"/>
                <w:szCs w:val="18"/>
              </w:rPr>
              <w:t xml:space="preserve"> the right, </w:t>
            </w:r>
          </w:p>
          <w:p w14:paraId="10B668F8" w14:textId="77777777" w:rsidR="00CA282D" w:rsidRPr="00894701" w:rsidRDefault="00CA282D" w:rsidP="00446B8D">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excluding others, to carry out exploration and </w:t>
            </w:r>
            <w:r w:rsidRPr="00894701">
              <w:rPr>
                <w:rFonts w:asciiTheme="minorHAnsi" w:hAnsiTheme="minorHAnsi"/>
                <w:color w:val="auto"/>
                <w:szCs w:val="18"/>
              </w:rPr>
              <w:lastRenderedPageBreak/>
              <w:t xml:space="preserve">exploitation rights with respect to the type of building material related to his rights. </w:t>
            </w:r>
          </w:p>
        </w:tc>
        <w:tc>
          <w:tcPr>
            <w:tcW w:w="1204" w:type="dxa"/>
            <w:tcBorders>
              <w:bottom w:val="single" w:sz="12" w:space="0" w:color="C00000"/>
            </w:tcBorders>
          </w:tcPr>
          <w:p w14:paraId="40E5A592" w14:textId="77777777" w:rsidR="00CA282D" w:rsidRPr="00894701" w:rsidRDefault="00CA282D" w:rsidP="00446B8D">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lastRenderedPageBreak/>
              <w:t xml:space="preserve">Chapter VIII of The Mining Decree (1986)   </w:t>
            </w:r>
          </w:p>
        </w:tc>
      </w:tr>
    </w:tbl>
    <w:p w14:paraId="33286DFB" w14:textId="77777777" w:rsidR="00CA282D" w:rsidRPr="00894701" w:rsidRDefault="00CA282D" w:rsidP="00860520">
      <w:pPr>
        <w:pStyle w:val="BodyText"/>
        <w:jc w:val="both"/>
        <w:rPr>
          <w:rFonts w:asciiTheme="minorHAnsi" w:hAnsiTheme="minorHAnsi"/>
          <w:color w:val="auto"/>
          <w:sz w:val="20"/>
          <w:szCs w:val="20"/>
        </w:rPr>
      </w:pPr>
    </w:p>
    <w:p w14:paraId="53598773" w14:textId="4EE2B2CA" w:rsidR="00CA282D" w:rsidRPr="00894701" w:rsidRDefault="005005AD" w:rsidP="008F7932">
      <w:pPr>
        <w:pStyle w:val="AltMinorSubHeading"/>
        <w:numPr>
          <w:ilvl w:val="0"/>
          <w:numId w:val="0"/>
        </w:numPr>
        <w:spacing w:before="0" w:after="240"/>
        <w:rPr>
          <w:rFonts w:asciiTheme="minorHAnsi" w:hAnsiTheme="minorHAnsi"/>
          <w:color w:val="FF0000"/>
        </w:rPr>
      </w:pPr>
      <w:bookmarkStart w:id="170" w:name="_Toc122478868"/>
      <w:r w:rsidRPr="00894701">
        <w:rPr>
          <w:rFonts w:asciiTheme="minorHAnsi" w:hAnsiTheme="minorHAnsi"/>
          <w:color w:val="FF0000"/>
        </w:rPr>
        <w:t>3</w:t>
      </w:r>
      <w:r w:rsidR="00CA282D" w:rsidRPr="00894701">
        <w:rPr>
          <w:rFonts w:asciiTheme="minorHAnsi" w:hAnsiTheme="minorHAnsi"/>
          <w:color w:val="FF0000"/>
        </w:rPr>
        <w:t>.3.1.(b) Mining contracts</w:t>
      </w:r>
      <w:bookmarkEnd w:id="170"/>
      <w:r w:rsidR="00CA282D" w:rsidRPr="00894701">
        <w:rPr>
          <w:rFonts w:asciiTheme="minorHAnsi" w:hAnsiTheme="minorHAnsi"/>
          <w:color w:val="FF0000"/>
        </w:rPr>
        <w:t xml:space="preserve"> </w:t>
      </w:r>
    </w:p>
    <w:p w14:paraId="2CAE38E5" w14:textId="05DE44FE" w:rsidR="00CA282D" w:rsidRPr="00894701" w:rsidRDefault="00CA282D" w:rsidP="00CA282D">
      <w:pPr>
        <w:jc w:val="both"/>
        <w:rPr>
          <w:rFonts w:asciiTheme="minorHAnsi" w:hAnsiTheme="minorHAnsi"/>
          <w:color w:val="auto"/>
          <w:sz w:val="20"/>
        </w:rPr>
      </w:pPr>
      <w:r w:rsidRPr="00894701">
        <w:rPr>
          <w:rFonts w:asciiTheme="minorHAnsi" w:hAnsiTheme="minorHAnsi"/>
          <w:color w:val="auto"/>
          <w:sz w:val="20"/>
        </w:rPr>
        <w:t xml:space="preserve">According to article 27-4 of the mining decree 1986, before proceeding to grant the exploration rights, the minister can agree with the applicant concerning special conditions under which the exploration rights will be granted. </w:t>
      </w:r>
    </w:p>
    <w:p w14:paraId="32C9752B" w14:textId="77BC35F8" w:rsidR="00CA282D" w:rsidRPr="00894701" w:rsidRDefault="00CA282D" w:rsidP="00CA282D">
      <w:pPr>
        <w:jc w:val="both"/>
        <w:rPr>
          <w:rFonts w:asciiTheme="minorHAnsi" w:hAnsiTheme="minorHAnsi"/>
          <w:color w:val="auto"/>
          <w:sz w:val="20"/>
        </w:rPr>
      </w:pPr>
      <w:r w:rsidRPr="00894701">
        <w:rPr>
          <w:rFonts w:asciiTheme="minorHAnsi" w:hAnsiTheme="minorHAnsi"/>
          <w:color w:val="auto"/>
          <w:sz w:val="20"/>
        </w:rPr>
        <w:t xml:space="preserve">According to Article 31, if the application referred to in Article 30 is made by the exploration rights holder who has discovered a mineral deposit of possible commercial value in the exploration terrain and has fulfilled all agreed obligations. The Minister will take steps to come to an agreement with the applicant in a short period. </w:t>
      </w:r>
    </w:p>
    <w:p w14:paraId="75A0D380" w14:textId="0A6F5293" w:rsidR="00CA282D" w:rsidRPr="00894701" w:rsidRDefault="00CA282D" w:rsidP="00CA282D">
      <w:pPr>
        <w:jc w:val="both"/>
        <w:rPr>
          <w:rFonts w:asciiTheme="minorHAnsi" w:hAnsiTheme="minorHAnsi"/>
          <w:color w:val="auto"/>
          <w:sz w:val="20"/>
        </w:rPr>
      </w:pPr>
      <w:r w:rsidRPr="00894701">
        <w:rPr>
          <w:rFonts w:asciiTheme="minorHAnsi" w:hAnsiTheme="minorHAnsi"/>
          <w:color w:val="auto"/>
          <w:sz w:val="20"/>
        </w:rPr>
        <w:t xml:space="preserve">Mining agreements are negotiated with the government and are promulgated as laws by the national assembly. Amendments and extensions to these licenses are issued as legislative amendments. Agreements can be renegotiated with the consent of both parties. </w:t>
      </w:r>
    </w:p>
    <w:p w14:paraId="35DED062" w14:textId="599988DB" w:rsidR="00CA282D" w:rsidRPr="00894701" w:rsidRDefault="00CA282D" w:rsidP="00CA282D">
      <w:pPr>
        <w:jc w:val="both"/>
        <w:rPr>
          <w:rFonts w:asciiTheme="minorHAnsi" w:hAnsiTheme="minorHAnsi"/>
          <w:color w:val="auto"/>
          <w:sz w:val="20"/>
        </w:rPr>
      </w:pPr>
      <w:r w:rsidRPr="00894701">
        <w:rPr>
          <w:rFonts w:asciiTheme="minorHAnsi" w:hAnsiTheme="minorHAnsi"/>
          <w:color w:val="auto"/>
          <w:sz w:val="20"/>
        </w:rPr>
        <w:t xml:space="preserve">There are extensive guidelines governing taxation, exemptions, payments, and royalties in the agreement. Of particular note is the royalty rate, the government negotiated a royalty rate of 2% on gold produced, payable in gold for the life of the project. However, should the price of gold exceed USD 500/ounce, the additional revenue resulting from the prices higher than USD 500/ ounce would be charged a royalty rate of 6.5%. This has resulted in significant revenues for the government, given the relatively high price of gold in the years since the signing of the agreement. </w:t>
      </w:r>
    </w:p>
    <w:p w14:paraId="3FED153F" w14:textId="20ED2C2E" w:rsidR="00CA282D" w:rsidRPr="00894701" w:rsidRDefault="00CA282D" w:rsidP="00CA282D">
      <w:pPr>
        <w:jc w:val="both"/>
        <w:rPr>
          <w:rFonts w:asciiTheme="minorHAnsi" w:hAnsiTheme="minorHAnsi"/>
          <w:color w:val="auto"/>
          <w:sz w:val="20"/>
        </w:rPr>
      </w:pPr>
      <w:r w:rsidRPr="00894701">
        <w:rPr>
          <w:rFonts w:asciiTheme="minorHAnsi" w:hAnsiTheme="minorHAnsi"/>
          <w:color w:val="auto"/>
          <w:sz w:val="20"/>
        </w:rPr>
        <w:t xml:space="preserve">We present in the table below the main active agreements on 31 December 2020: </w:t>
      </w:r>
    </w:p>
    <w:p w14:paraId="4FFADBDB" w14:textId="6243226B" w:rsidR="00CA282D" w:rsidRPr="00894701" w:rsidRDefault="00CA282D" w:rsidP="00CA282D">
      <w:pPr>
        <w:pStyle w:val="BodyText"/>
        <w:jc w:val="center"/>
        <w:rPr>
          <w:rFonts w:asciiTheme="majorHAnsi" w:hAnsiTheme="majorHAnsi"/>
          <w:b/>
          <w:bCs/>
          <w:color w:val="98002E" w:themeColor="accent3"/>
          <w:sz w:val="20"/>
        </w:rPr>
      </w:pPr>
      <w:bookmarkStart w:id="171" w:name="_Toc93095221"/>
      <w:bookmarkStart w:id="172" w:name="_Toc109599086"/>
      <w:bookmarkStart w:id="173" w:name="_Toc146590493"/>
      <w:r w:rsidRPr="00894701">
        <w:rPr>
          <w:rFonts w:asciiTheme="majorHAnsi" w:hAnsiTheme="majorHAnsi"/>
          <w:b/>
          <w:bCs/>
          <w:color w:val="98002E" w:themeColor="accent3"/>
          <w:sz w:val="20"/>
        </w:rPr>
        <w:t xml:space="preserve">Table </w:t>
      </w:r>
      <w:r w:rsidRPr="00894701">
        <w:rPr>
          <w:rFonts w:asciiTheme="majorHAnsi" w:hAnsiTheme="majorHAnsi"/>
          <w:b/>
          <w:bCs/>
          <w:color w:val="98002E" w:themeColor="accent3"/>
          <w:sz w:val="20"/>
        </w:rPr>
        <w:fldChar w:fldCharType="begin"/>
      </w:r>
      <w:r w:rsidRPr="00894701">
        <w:rPr>
          <w:rFonts w:asciiTheme="majorHAnsi" w:hAnsiTheme="majorHAnsi"/>
          <w:b/>
          <w:bCs/>
          <w:color w:val="98002E" w:themeColor="accent3"/>
          <w:sz w:val="20"/>
        </w:rPr>
        <w:instrText xml:space="preserve"> SEQ Table \* ARABIC </w:instrText>
      </w:r>
      <w:r w:rsidRPr="00894701">
        <w:rPr>
          <w:rFonts w:asciiTheme="majorHAnsi" w:hAnsiTheme="majorHAnsi"/>
          <w:b/>
          <w:bCs/>
          <w:color w:val="98002E" w:themeColor="accent3"/>
          <w:sz w:val="20"/>
        </w:rPr>
        <w:fldChar w:fldCharType="separate"/>
      </w:r>
      <w:r w:rsidR="0035303B">
        <w:rPr>
          <w:rFonts w:asciiTheme="majorHAnsi" w:hAnsiTheme="majorHAnsi"/>
          <w:b/>
          <w:bCs/>
          <w:noProof/>
          <w:color w:val="98002E" w:themeColor="accent3"/>
          <w:sz w:val="20"/>
        </w:rPr>
        <w:t>21</w:t>
      </w:r>
      <w:r w:rsidRPr="00894701">
        <w:rPr>
          <w:rFonts w:asciiTheme="majorHAnsi" w:hAnsiTheme="majorHAnsi"/>
          <w:b/>
          <w:bCs/>
          <w:color w:val="98002E" w:themeColor="accent3"/>
          <w:sz w:val="20"/>
        </w:rPr>
        <w:fldChar w:fldCharType="end"/>
      </w:r>
      <w:r w:rsidRPr="00894701">
        <w:rPr>
          <w:rFonts w:asciiTheme="majorHAnsi" w:hAnsiTheme="majorHAnsi"/>
          <w:b/>
          <w:bCs/>
          <w:color w:val="98002E" w:themeColor="accent3"/>
          <w:sz w:val="20"/>
        </w:rPr>
        <w:t xml:space="preserve">: </w:t>
      </w:r>
      <w:bookmarkEnd w:id="171"/>
      <w:r w:rsidRPr="00894701">
        <w:rPr>
          <w:rFonts w:asciiTheme="majorHAnsi" w:hAnsiTheme="majorHAnsi"/>
          <w:b/>
          <w:bCs/>
          <w:color w:val="98002E" w:themeColor="accent3"/>
          <w:sz w:val="20"/>
        </w:rPr>
        <w:t>Main active agreements in 2020</w:t>
      </w:r>
      <w:bookmarkEnd w:id="172"/>
      <w:bookmarkEnd w:id="173"/>
    </w:p>
    <w:tbl>
      <w:tblPr>
        <w:tblStyle w:val="TableGrid"/>
        <w:tblW w:w="5000" w:type="pct"/>
        <w:tblBorders>
          <w:top w:val="single" w:sz="2" w:space="0" w:color="C00000"/>
          <w:left w:val="single" w:sz="2" w:space="0" w:color="C00000"/>
          <w:bottom w:val="single" w:sz="2" w:space="0" w:color="C00000"/>
          <w:right w:val="single" w:sz="2" w:space="0" w:color="C00000"/>
          <w:insideH w:val="single" w:sz="2" w:space="0" w:color="C00000"/>
          <w:insideV w:val="single" w:sz="2" w:space="0" w:color="C00000"/>
        </w:tblBorders>
        <w:tblLook w:val="04A0" w:firstRow="1" w:lastRow="0" w:firstColumn="1" w:lastColumn="0" w:noHBand="0" w:noVBand="1"/>
      </w:tblPr>
      <w:tblGrid>
        <w:gridCol w:w="1908"/>
        <w:gridCol w:w="4151"/>
        <w:gridCol w:w="2985"/>
      </w:tblGrid>
      <w:tr w:rsidR="00CA282D" w:rsidRPr="00894701" w14:paraId="29851E3B" w14:textId="77777777" w:rsidTr="00446B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5" w:type="pct"/>
            <w:tcBorders>
              <w:right w:val="single" w:sz="2" w:space="0" w:color="FF0000"/>
            </w:tcBorders>
            <w:shd w:val="clear" w:color="auto" w:fill="7A091A"/>
          </w:tcPr>
          <w:p w14:paraId="65D14BA1" w14:textId="77777777" w:rsidR="00CA282D" w:rsidRPr="00894701" w:rsidRDefault="00CA282D" w:rsidP="00446B8D">
            <w:pPr>
              <w:jc w:val="both"/>
              <w:rPr>
                <w:rFonts w:asciiTheme="minorHAnsi" w:hAnsiTheme="minorHAnsi"/>
                <w:b/>
                <w:bCs/>
                <w:color w:val="auto"/>
                <w:szCs w:val="18"/>
              </w:rPr>
            </w:pPr>
            <w:r w:rsidRPr="00894701">
              <w:rPr>
                <w:rFonts w:asciiTheme="minorHAnsi" w:hAnsiTheme="minorHAnsi"/>
                <w:b/>
                <w:bCs/>
                <w:color w:val="auto"/>
                <w:szCs w:val="18"/>
              </w:rPr>
              <w:t xml:space="preserve">Mining companies </w:t>
            </w:r>
          </w:p>
        </w:tc>
        <w:tc>
          <w:tcPr>
            <w:tcW w:w="2295" w:type="pct"/>
            <w:tcBorders>
              <w:left w:val="single" w:sz="2" w:space="0" w:color="FF0000"/>
              <w:right w:val="single" w:sz="2" w:space="0" w:color="FF0000"/>
            </w:tcBorders>
            <w:shd w:val="clear" w:color="auto" w:fill="7A091A"/>
          </w:tcPr>
          <w:p w14:paraId="294F4EFC" w14:textId="77777777" w:rsidR="00CA282D" w:rsidRPr="00894701" w:rsidRDefault="00CA282D" w:rsidP="00446B8D">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auto"/>
                <w:szCs w:val="18"/>
              </w:rPr>
            </w:pPr>
            <w:r w:rsidRPr="00894701">
              <w:rPr>
                <w:rFonts w:asciiTheme="minorHAnsi" w:hAnsiTheme="minorHAnsi"/>
                <w:b/>
                <w:bCs/>
                <w:color w:val="auto"/>
                <w:szCs w:val="18"/>
              </w:rPr>
              <w:t xml:space="preserve">Law and regulations </w:t>
            </w:r>
          </w:p>
        </w:tc>
        <w:tc>
          <w:tcPr>
            <w:tcW w:w="1650" w:type="pct"/>
            <w:tcBorders>
              <w:left w:val="single" w:sz="2" w:space="0" w:color="FF0000"/>
            </w:tcBorders>
            <w:shd w:val="clear" w:color="auto" w:fill="7A091A"/>
          </w:tcPr>
          <w:p w14:paraId="6295D7CF" w14:textId="77777777" w:rsidR="00CA282D" w:rsidRPr="00894701" w:rsidRDefault="00CA282D" w:rsidP="00446B8D">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auto"/>
                <w:szCs w:val="18"/>
              </w:rPr>
            </w:pPr>
            <w:r w:rsidRPr="00894701">
              <w:rPr>
                <w:rFonts w:asciiTheme="minorHAnsi" w:hAnsiTheme="minorHAnsi"/>
                <w:b/>
                <w:bCs/>
                <w:color w:val="auto"/>
                <w:szCs w:val="18"/>
              </w:rPr>
              <w:t xml:space="preserve">Area of interest Dec 31, 2018 </w:t>
            </w:r>
          </w:p>
        </w:tc>
      </w:tr>
      <w:tr w:rsidR="00CA282D" w:rsidRPr="00894701" w14:paraId="3E34CE16" w14:textId="77777777" w:rsidTr="00446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5" w:type="pct"/>
            <w:tcBorders>
              <w:top w:val="nil"/>
              <w:left w:val="nil"/>
              <w:bottom w:val="single" w:sz="2" w:space="0" w:color="FF0000"/>
              <w:right w:val="single" w:sz="2" w:space="0" w:color="FF0000"/>
            </w:tcBorders>
            <w:shd w:val="clear" w:color="auto" w:fill="F997AB" w:themeFill="accent5" w:themeFillTint="99"/>
          </w:tcPr>
          <w:p w14:paraId="72E584D6" w14:textId="77777777" w:rsidR="00CA282D" w:rsidRPr="00894701" w:rsidRDefault="00CA282D" w:rsidP="00446B8D">
            <w:pPr>
              <w:jc w:val="both"/>
              <w:rPr>
                <w:rFonts w:asciiTheme="minorHAnsi" w:hAnsiTheme="minorHAnsi"/>
                <w:color w:val="auto"/>
                <w:szCs w:val="18"/>
              </w:rPr>
            </w:pPr>
            <w:r w:rsidRPr="00894701">
              <w:rPr>
                <w:rFonts w:asciiTheme="minorHAnsi" w:hAnsiTheme="minorHAnsi"/>
                <w:color w:val="auto"/>
                <w:szCs w:val="18"/>
              </w:rPr>
              <w:t xml:space="preserve">RGM </w:t>
            </w:r>
          </w:p>
        </w:tc>
        <w:tc>
          <w:tcPr>
            <w:tcW w:w="2295" w:type="pct"/>
            <w:tcBorders>
              <w:top w:val="nil"/>
              <w:left w:val="single" w:sz="2" w:space="0" w:color="FF0000"/>
              <w:bottom w:val="single" w:sz="2" w:space="0" w:color="FF0000"/>
              <w:right w:val="single" w:sz="2" w:space="0" w:color="FF0000"/>
            </w:tcBorders>
            <w:shd w:val="clear" w:color="auto" w:fill="F997AB" w:themeFill="accent5" w:themeFillTint="99"/>
          </w:tcPr>
          <w:p w14:paraId="6A2609EA" w14:textId="77777777" w:rsidR="00CA282D" w:rsidRPr="00894701" w:rsidRDefault="00CA282D" w:rsidP="00446B8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Mineral Agreement 1994/1st amendment 2003/2nd amendment 2013 </w:t>
            </w:r>
          </w:p>
        </w:tc>
        <w:tc>
          <w:tcPr>
            <w:tcW w:w="1650" w:type="pct"/>
            <w:tcBorders>
              <w:top w:val="nil"/>
              <w:left w:val="single" w:sz="2" w:space="0" w:color="FF0000"/>
              <w:bottom w:val="single" w:sz="2" w:space="0" w:color="FF0000"/>
              <w:right w:val="nil"/>
            </w:tcBorders>
            <w:shd w:val="clear" w:color="auto" w:fill="F997AB" w:themeFill="accent5" w:themeFillTint="99"/>
          </w:tcPr>
          <w:p w14:paraId="50573FBB" w14:textId="7C70B97D" w:rsidR="00230C77" w:rsidRPr="00894701" w:rsidRDefault="00230C77" w:rsidP="00446B8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Gross </w:t>
            </w:r>
            <w:r w:rsidR="00CA282D" w:rsidRPr="00894701">
              <w:rPr>
                <w:rFonts w:asciiTheme="minorHAnsi" w:hAnsiTheme="minorHAnsi"/>
                <w:color w:val="auto"/>
                <w:szCs w:val="18"/>
              </w:rPr>
              <w:t xml:space="preserve">Rosebel, </w:t>
            </w:r>
            <w:r w:rsidRPr="00894701">
              <w:rPr>
                <w:rFonts w:asciiTheme="minorHAnsi" w:hAnsiTheme="minorHAnsi"/>
                <w:color w:val="auto"/>
                <w:szCs w:val="18"/>
              </w:rPr>
              <w:t xml:space="preserve">Anjoemara, Lef, </w:t>
            </w:r>
            <w:r w:rsidR="00CA282D" w:rsidRPr="00894701">
              <w:rPr>
                <w:rFonts w:asciiTheme="minorHAnsi" w:hAnsiTheme="minorHAnsi"/>
                <w:color w:val="auto"/>
                <w:szCs w:val="18"/>
              </w:rPr>
              <w:t>Charmagne</w:t>
            </w:r>
            <w:r w:rsidRPr="00894701">
              <w:rPr>
                <w:rFonts w:asciiTheme="minorHAnsi" w:hAnsiTheme="minorHAnsi"/>
                <w:color w:val="auto"/>
                <w:szCs w:val="18"/>
              </w:rPr>
              <w:t xml:space="preserve"> 1</w:t>
            </w:r>
            <w:r w:rsidR="00CA282D" w:rsidRPr="00894701">
              <w:rPr>
                <w:rFonts w:asciiTheme="minorHAnsi" w:hAnsiTheme="minorHAnsi"/>
                <w:color w:val="auto"/>
                <w:szCs w:val="18"/>
              </w:rPr>
              <w:t xml:space="preserve">, </w:t>
            </w:r>
            <w:r w:rsidRPr="00894701">
              <w:rPr>
                <w:rFonts w:asciiTheme="minorHAnsi" w:hAnsiTheme="minorHAnsi"/>
                <w:color w:val="auto"/>
                <w:szCs w:val="18"/>
              </w:rPr>
              <w:t>Charmagne 2, Charmagne West, Headly's Reef,</w:t>
            </w:r>
            <w:r w:rsidR="00CA282D" w:rsidRPr="00894701">
              <w:rPr>
                <w:rFonts w:asciiTheme="minorHAnsi" w:hAnsiTheme="minorHAnsi"/>
                <w:color w:val="auto"/>
                <w:szCs w:val="18"/>
              </w:rPr>
              <w:t xml:space="preserve"> Thunder Mountain, Saramacca</w:t>
            </w:r>
            <w:r w:rsidRPr="00894701">
              <w:rPr>
                <w:rFonts w:asciiTheme="minorHAnsi" w:hAnsiTheme="minorHAnsi"/>
                <w:color w:val="auto"/>
                <w:szCs w:val="18"/>
              </w:rPr>
              <w:t>,</w:t>
            </w:r>
            <w:r w:rsidR="00CA282D" w:rsidRPr="00894701">
              <w:rPr>
                <w:rFonts w:asciiTheme="minorHAnsi" w:hAnsiTheme="minorHAnsi"/>
                <w:color w:val="auto"/>
                <w:szCs w:val="18"/>
              </w:rPr>
              <w:t xml:space="preserve"> </w:t>
            </w:r>
            <w:r w:rsidRPr="00894701">
              <w:rPr>
                <w:rFonts w:asciiTheme="minorHAnsi" w:hAnsiTheme="minorHAnsi"/>
                <w:color w:val="auto"/>
                <w:szCs w:val="18"/>
              </w:rPr>
              <w:t>Brokolonko, Moeroekreek.</w:t>
            </w:r>
          </w:p>
        </w:tc>
      </w:tr>
      <w:tr w:rsidR="00CA282D" w:rsidRPr="00894701" w14:paraId="58640510" w14:textId="77777777" w:rsidTr="00446B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5" w:type="pct"/>
            <w:tcBorders>
              <w:top w:val="single" w:sz="2" w:space="0" w:color="FF0000"/>
              <w:bottom w:val="single" w:sz="2" w:space="0" w:color="FF0000"/>
              <w:right w:val="single" w:sz="2" w:space="0" w:color="FF0000"/>
            </w:tcBorders>
          </w:tcPr>
          <w:p w14:paraId="0AD30414" w14:textId="77777777" w:rsidR="00CA282D" w:rsidRPr="00894701" w:rsidRDefault="00CA282D" w:rsidP="00446B8D">
            <w:pPr>
              <w:jc w:val="both"/>
              <w:rPr>
                <w:rFonts w:asciiTheme="minorHAnsi" w:hAnsiTheme="minorHAnsi"/>
                <w:color w:val="auto"/>
                <w:szCs w:val="18"/>
              </w:rPr>
            </w:pPr>
            <w:r w:rsidRPr="00894701">
              <w:rPr>
                <w:rFonts w:asciiTheme="minorHAnsi" w:hAnsiTheme="minorHAnsi"/>
                <w:color w:val="auto"/>
                <w:szCs w:val="18"/>
              </w:rPr>
              <w:t xml:space="preserve">NS </w:t>
            </w:r>
          </w:p>
        </w:tc>
        <w:tc>
          <w:tcPr>
            <w:tcW w:w="2295" w:type="pct"/>
            <w:tcBorders>
              <w:top w:val="single" w:sz="2" w:space="0" w:color="FF0000"/>
              <w:left w:val="single" w:sz="2" w:space="0" w:color="FF0000"/>
              <w:bottom w:val="single" w:sz="2" w:space="0" w:color="FF0000"/>
              <w:right w:val="single" w:sz="2" w:space="0" w:color="FF0000"/>
            </w:tcBorders>
          </w:tcPr>
          <w:p w14:paraId="5C501DD3" w14:textId="77777777" w:rsidR="00CA282D" w:rsidRPr="00894701" w:rsidRDefault="00CA282D" w:rsidP="00446B8D">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Mineral Agreement ‘Merian Gold Project”/ 2013 </w:t>
            </w:r>
          </w:p>
        </w:tc>
        <w:tc>
          <w:tcPr>
            <w:tcW w:w="1650" w:type="pct"/>
            <w:tcBorders>
              <w:top w:val="single" w:sz="2" w:space="0" w:color="FF0000"/>
              <w:left w:val="single" w:sz="2" w:space="0" w:color="FF0000"/>
              <w:bottom w:val="single" w:sz="2" w:space="0" w:color="FF0000"/>
            </w:tcBorders>
          </w:tcPr>
          <w:p w14:paraId="08950817" w14:textId="77777777" w:rsidR="00CA282D" w:rsidRPr="00894701" w:rsidRDefault="00CA282D" w:rsidP="00446B8D">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Merian, Amazonia, Hill 1627 </w:t>
            </w:r>
          </w:p>
        </w:tc>
      </w:tr>
    </w:tbl>
    <w:p w14:paraId="1023252F" w14:textId="3F7CE814" w:rsidR="0055279C" w:rsidRPr="00894701" w:rsidRDefault="0055279C" w:rsidP="00CA282D">
      <w:pPr>
        <w:jc w:val="both"/>
        <w:rPr>
          <w:rFonts w:asciiTheme="minorHAnsi" w:hAnsiTheme="minorHAnsi"/>
          <w:color w:val="auto"/>
          <w:sz w:val="20"/>
        </w:rPr>
      </w:pPr>
      <w:r w:rsidRPr="00894701">
        <w:rPr>
          <w:rFonts w:asciiTheme="minorHAnsi" w:hAnsiTheme="minorHAnsi"/>
          <w:color w:val="auto"/>
          <w:sz w:val="20"/>
        </w:rPr>
        <w:br w:type="page"/>
      </w:r>
    </w:p>
    <w:p w14:paraId="2F5644E8" w14:textId="0B88DAF6" w:rsidR="00CA282D" w:rsidRPr="00894701" w:rsidRDefault="005005AD" w:rsidP="0055279C">
      <w:pPr>
        <w:pStyle w:val="AltMinorSubHeading"/>
        <w:numPr>
          <w:ilvl w:val="0"/>
          <w:numId w:val="0"/>
        </w:numPr>
        <w:spacing w:before="0" w:after="240"/>
        <w:rPr>
          <w:rFonts w:asciiTheme="minorHAnsi" w:hAnsiTheme="minorHAnsi"/>
          <w:color w:val="FF0000"/>
        </w:rPr>
      </w:pPr>
      <w:bookmarkStart w:id="174" w:name="_Toc122478869"/>
      <w:r w:rsidRPr="00894701">
        <w:rPr>
          <w:rFonts w:asciiTheme="minorHAnsi" w:hAnsiTheme="minorHAnsi"/>
          <w:color w:val="FF0000"/>
        </w:rPr>
        <w:lastRenderedPageBreak/>
        <w:t>3</w:t>
      </w:r>
      <w:r w:rsidR="00CA282D" w:rsidRPr="00894701">
        <w:rPr>
          <w:rFonts w:asciiTheme="minorHAnsi" w:hAnsiTheme="minorHAnsi"/>
          <w:color w:val="FF0000"/>
        </w:rPr>
        <w:t>.3.1. (c) mining licenses and mining contracts allocation</w:t>
      </w:r>
      <w:bookmarkEnd w:id="174"/>
      <w:r w:rsidR="00CA282D" w:rsidRPr="00894701">
        <w:rPr>
          <w:rFonts w:asciiTheme="minorHAnsi" w:hAnsiTheme="minorHAnsi"/>
          <w:color w:val="FF0000"/>
        </w:rPr>
        <w:t xml:space="preserve"> </w:t>
      </w:r>
    </w:p>
    <w:p w14:paraId="1B9E410A" w14:textId="2604D29B" w:rsidR="00CA282D" w:rsidRPr="00894701" w:rsidRDefault="00CA282D" w:rsidP="00CA282D">
      <w:pPr>
        <w:widowControl w:val="0"/>
        <w:spacing w:before="100" w:after="0" w:line="227" w:lineRule="exact"/>
        <w:rPr>
          <w:rFonts w:asciiTheme="minorHAnsi" w:hAnsiTheme="minorHAnsi"/>
          <w:color w:val="010302"/>
          <w:kern w:val="0"/>
          <w:sz w:val="22"/>
          <w:szCs w:val="22"/>
          <w:lang w:eastAsia="en-US"/>
        </w:rPr>
      </w:pPr>
      <w:r w:rsidRPr="00894701">
        <w:rPr>
          <w:rFonts w:asciiTheme="minorHAnsi" w:hAnsiTheme="minorHAnsi" w:cs="TrebuchetMS"/>
          <w:color w:val="000000"/>
          <w:kern w:val="0"/>
          <w:sz w:val="20"/>
          <w:szCs w:val="20"/>
          <w:lang w:eastAsia="en-US"/>
        </w:rPr>
        <w:t xml:space="preserve">In Suriname there are two main methods of mining:  </w:t>
      </w:r>
    </w:p>
    <w:p w14:paraId="2131DE6C" w14:textId="77777777" w:rsidR="00CA282D" w:rsidRPr="00894701" w:rsidRDefault="00CA282D" w:rsidP="00CA282D">
      <w:pPr>
        <w:pStyle w:val="ListParagraph"/>
        <w:widowControl w:val="0"/>
        <w:numPr>
          <w:ilvl w:val="0"/>
          <w:numId w:val="38"/>
        </w:numPr>
        <w:spacing w:after="0" w:line="386" w:lineRule="exact"/>
        <w:ind w:left="993" w:right="2152"/>
        <w:rPr>
          <w:rFonts w:asciiTheme="minorHAnsi" w:hAnsiTheme="minorHAnsi"/>
          <w:color w:val="010302"/>
          <w:kern w:val="0"/>
          <w:sz w:val="22"/>
          <w:szCs w:val="22"/>
          <w:lang w:eastAsia="en-US"/>
        </w:rPr>
      </w:pPr>
      <w:r w:rsidRPr="00894701">
        <w:rPr>
          <w:rFonts w:asciiTheme="minorHAnsi" w:hAnsiTheme="minorHAnsi" w:cs="TrebuchetMS"/>
          <w:color w:val="000000"/>
          <w:kern w:val="0"/>
          <w:sz w:val="20"/>
          <w:szCs w:val="20"/>
          <w:lang w:eastAsia="en-US"/>
        </w:rPr>
        <w:t xml:space="preserve">The medium and small-scale mining; and  </w:t>
      </w:r>
    </w:p>
    <w:p w14:paraId="112E9B25" w14:textId="4BE04C92" w:rsidR="00CA282D" w:rsidRPr="00894701" w:rsidRDefault="00CA282D" w:rsidP="00CA282D">
      <w:pPr>
        <w:pStyle w:val="ListParagraph"/>
        <w:widowControl w:val="0"/>
        <w:numPr>
          <w:ilvl w:val="0"/>
          <w:numId w:val="38"/>
        </w:numPr>
        <w:spacing w:after="0" w:line="386" w:lineRule="exact"/>
        <w:ind w:left="993" w:right="2152"/>
        <w:rPr>
          <w:rFonts w:asciiTheme="minorHAnsi" w:hAnsiTheme="minorHAnsi"/>
          <w:color w:val="010302"/>
          <w:kern w:val="0"/>
          <w:sz w:val="22"/>
          <w:szCs w:val="22"/>
          <w:lang w:eastAsia="en-US"/>
        </w:rPr>
      </w:pPr>
      <w:r w:rsidRPr="00894701">
        <w:rPr>
          <w:rFonts w:asciiTheme="minorHAnsi" w:hAnsiTheme="minorHAnsi" w:cs="TrebuchetMS"/>
          <w:color w:val="000000"/>
          <w:kern w:val="0"/>
          <w:sz w:val="20"/>
          <w:szCs w:val="20"/>
          <w:lang w:eastAsia="en-US"/>
        </w:rPr>
        <w:t xml:space="preserve">Large-scale mining. </w:t>
      </w:r>
    </w:p>
    <w:p w14:paraId="76E65441" w14:textId="77777777" w:rsidR="00771C41" w:rsidRPr="00860520" w:rsidRDefault="00771C41" w:rsidP="00860520">
      <w:pPr>
        <w:widowControl w:val="0"/>
        <w:spacing w:after="0" w:line="386" w:lineRule="exact"/>
        <w:ind w:left="633" w:right="2152"/>
        <w:rPr>
          <w:rFonts w:asciiTheme="minorHAnsi" w:hAnsiTheme="minorHAnsi"/>
          <w:color w:val="010302"/>
          <w:kern w:val="0"/>
          <w:sz w:val="22"/>
          <w:szCs w:val="22"/>
          <w:lang w:eastAsia="en-US"/>
        </w:rPr>
      </w:pPr>
    </w:p>
    <w:p w14:paraId="44029FFA" w14:textId="2210462C" w:rsidR="00CA282D" w:rsidRPr="00894701" w:rsidRDefault="00CA282D" w:rsidP="00CA282D">
      <w:pPr>
        <w:pStyle w:val="BodyText"/>
        <w:jc w:val="both"/>
        <w:rPr>
          <w:rFonts w:asciiTheme="minorHAnsi" w:hAnsiTheme="minorHAnsi"/>
          <w:b/>
          <w:bCs/>
          <w:color w:val="auto"/>
          <w:sz w:val="20"/>
          <w:szCs w:val="20"/>
        </w:rPr>
      </w:pPr>
      <w:r w:rsidRPr="00894701">
        <w:rPr>
          <w:rFonts w:asciiTheme="minorHAnsi" w:hAnsiTheme="minorHAnsi"/>
          <w:b/>
          <w:bCs/>
          <w:color w:val="auto"/>
          <w:sz w:val="20"/>
          <w:szCs w:val="20"/>
        </w:rPr>
        <w:t xml:space="preserve">We present in the table below the licenses and contracts allocation for each method: </w:t>
      </w:r>
    </w:p>
    <w:p w14:paraId="33C002E0" w14:textId="7342454A" w:rsidR="00CA282D" w:rsidRPr="00894701" w:rsidRDefault="00CA282D" w:rsidP="00CA282D">
      <w:pPr>
        <w:pStyle w:val="BodyText"/>
        <w:jc w:val="center"/>
        <w:rPr>
          <w:rFonts w:asciiTheme="majorHAnsi" w:hAnsiTheme="majorHAnsi"/>
          <w:b/>
          <w:bCs/>
          <w:color w:val="auto"/>
          <w:sz w:val="20"/>
          <w:szCs w:val="20"/>
        </w:rPr>
      </w:pPr>
      <w:bookmarkStart w:id="175" w:name="_Toc109599087"/>
      <w:bookmarkStart w:id="176" w:name="_Toc146590494"/>
      <w:bookmarkStart w:id="177" w:name="_Toc93095212"/>
      <w:r w:rsidRPr="00894701">
        <w:rPr>
          <w:rFonts w:asciiTheme="majorHAnsi" w:hAnsiTheme="majorHAnsi"/>
          <w:b/>
          <w:bCs/>
          <w:color w:val="98002E" w:themeColor="accent3"/>
          <w:sz w:val="20"/>
        </w:rPr>
        <w:t xml:space="preserve">Table </w:t>
      </w:r>
      <w:r w:rsidRPr="00894701">
        <w:rPr>
          <w:rFonts w:asciiTheme="majorHAnsi" w:hAnsiTheme="majorHAnsi"/>
          <w:b/>
          <w:bCs/>
          <w:color w:val="98002E" w:themeColor="accent3"/>
          <w:sz w:val="20"/>
        </w:rPr>
        <w:fldChar w:fldCharType="begin"/>
      </w:r>
      <w:r w:rsidRPr="00894701">
        <w:rPr>
          <w:rFonts w:asciiTheme="majorHAnsi" w:hAnsiTheme="majorHAnsi"/>
          <w:b/>
          <w:bCs/>
          <w:color w:val="98002E" w:themeColor="accent3"/>
          <w:sz w:val="20"/>
        </w:rPr>
        <w:instrText xml:space="preserve"> SEQ Table \* ARABIC </w:instrText>
      </w:r>
      <w:r w:rsidRPr="00894701">
        <w:rPr>
          <w:rFonts w:asciiTheme="majorHAnsi" w:hAnsiTheme="majorHAnsi"/>
          <w:b/>
          <w:bCs/>
          <w:color w:val="98002E" w:themeColor="accent3"/>
          <w:sz w:val="20"/>
        </w:rPr>
        <w:fldChar w:fldCharType="separate"/>
      </w:r>
      <w:r w:rsidR="0035303B">
        <w:rPr>
          <w:rFonts w:asciiTheme="majorHAnsi" w:hAnsiTheme="majorHAnsi"/>
          <w:b/>
          <w:bCs/>
          <w:noProof/>
          <w:color w:val="98002E" w:themeColor="accent3"/>
          <w:sz w:val="20"/>
        </w:rPr>
        <w:t>22</w:t>
      </w:r>
      <w:r w:rsidRPr="00894701">
        <w:rPr>
          <w:rFonts w:asciiTheme="majorHAnsi" w:hAnsiTheme="majorHAnsi"/>
          <w:b/>
          <w:bCs/>
          <w:color w:val="98002E" w:themeColor="accent3"/>
          <w:sz w:val="20"/>
        </w:rPr>
        <w:fldChar w:fldCharType="end"/>
      </w:r>
      <w:r w:rsidRPr="00894701">
        <w:rPr>
          <w:rFonts w:asciiTheme="majorHAnsi" w:hAnsiTheme="majorHAnsi"/>
          <w:b/>
          <w:bCs/>
          <w:color w:val="98002E" w:themeColor="accent3"/>
          <w:sz w:val="20"/>
        </w:rPr>
        <w:t>: Licenses and contracts allocation method</w:t>
      </w:r>
      <w:bookmarkEnd w:id="175"/>
      <w:bookmarkEnd w:id="176"/>
      <w:r w:rsidRPr="00894701">
        <w:rPr>
          <w:rFonts w:asciiTheme="majorHAnsi" w:hAnsiTheme="majorHAnsi"/>
          <w:b/>
          <w:bCs/>
          <w:color w:val="98002E" w:themeColor="accent3"/>
          <w:sz w:val="20"/>
        </w:rPr>
        <w:t xml:space="preserve"> </w:t>
      </w:r>
      <w:bookmarkEnd w:id="177"/>
      <w:r w:rsidRPr="00894701">
        <w:rPr>
          <w:rFonts w:asciiTheme="majorHAnsi" w:hAnsiTheme="majorHAnsi"/>
          <w:b/>
          <w:bCs/>
          <w:color w:val="auto"/>
          <w:sz w:val="20"/>
          <w:szCs w:val="20"/>
        </w:rPr>
        <w:t xml:space="preserve"> </w:t>
      </w:r>
    </w:p>
    <w:tbl>
      <w:tblPr>
        <w:tblStyle w:val="TableGrid"/>
        <w:tblW w:w="9012" w:type="dxa"/>
        <w:tblLayout w:type="fixed"/>
        <w:tblLook w:val="04A0" w:firstRow="1" w:lastRow="0" w:firstColumn="1" w:lastColumn="0" w:noHBand="0" w:noVBand="1"/>
      </w:tblPr>
      <w:tblGrid>
        <w:gridCol w:w="237"/>
        <w:gridCol w:w="1738"/>
        <w:gridCol w:w="236"/>
        <w:gridCol w:w="236"/>
        <w:gridCol w:w="2660"/>
        <w:gridCol w:w="236"/>
        <w:gridCol w:w="236"/>
        <w:gridCol w:w="3197"/>
        <w:gridCol w:w="236"/>
      </w:tblGrid>
      <w:tr w:rsidR="002E04D6" w:rsidRPr="00894701" w14:paraId="014D674D" w14:textId="77777777" w:rsidTr="00446B8D">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37" w:type="dxa"/>
            <w:tcBorders>
              <w:left w:val="single" w:sz="4" w:space="0" w:color="F65275"/>
            </w:tcBorders>
            <w:shd w:val="clear" w:color="auto" w:fill="7A091A"/>
          </w:tcPr>
          <w:p w14:paraId="683B2909" w14:textId="77777777" w:rsidR="00CA282D" w:rsidRPr="00894701" w:rsidRDefault="00CA282D" w:rsidP="00446B8D">
            <w:pPr>
              <w:rPr>
                <w:rFonts w:asciiTheme="minorHAnsi" w:hAnsiTheme="minorHAnsi"/>
                <w:color w:val="000000" w:themeColor="text1"/>
                <w:sz w:val="1"/>
                <w:szCs w:val="1"/>
              </w:rPr>
            </w:pPr>
          </w:p>
        </w:tc>
        <w:tc>
          <w:tcPr>
            <w:tcW w:w="1738" w:type="dxa"/>
            <w:shd w:val="clear" w:color="auto" w:fill="7A091A"/>
          </w:tcPr>
          <w:p w14:paraId="40A21A0F" w14:textId="77777777" w:rsidR="00CA282D" w:rsidRPr="00894701" w:rsidRDefault="00CA282D" w:rsidP="00446B8D">
            <w:pPr>
              <w:cnfStyle w:val="100000000000" w:firstRow="1" w:lastRow="0" w:firstColumn="0" w:lastColumn="0" w:oddVBand="0" w:evenVBand="0" w:oddHBand="0" w:evenHBand="0" w:firstRowFirstColumn="0" w:firstRowLastColumn="0" w:lastRowFirstColumn="0" w:lastRowLastColumn="0"/>
              <w:rPr>
                <w:rFonts w:asciiTheme="minorHAnsi" w:hAnsiTheme="minorHAnsi"/>
                <w:b/>
                <w:bCs/>
              </w:rPr>
            </w:pPr>
          </w:p>
        </w:tc>
        <w:tc>
          <w:tcPr>
            <w:tcW w:w="236" w:type="dxa"/>
            <w:tcBorders>
              <w:right w:val="single" w:sz="4" w:space="0" w:color="F65275"/>
            </w:tcBorders>
            <w:shd w:val="clear" w:color="auto" w:fill="7A091A"/>
          </w:tcPr>
          <w:p w14:paraId="25CE787C" w14:textId="77777777" w:rsidR="00CA282D" w:rsidRPr="00894701" w:rsidRDefault="00CA282D" w:rsidP="00446B8D">
            <w:pPr>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000000" w:themeColor="text1"/>
                <w:sz w:val="1"/>
                <w:szCs w:val="1"/>
              </w:rPr>
            </w:pPr>
          </w:p>
        </w:tc>
        <w:tc>
          <w:tcPr>
            <w:tcW w:w="236" w:type="dxa"/>
            <w:tcBorders>
              <w:left w:val="single" w:sz="4" w:space="0" w:color="F65275"/>
            </w:tcBorders>
            <w:shd w:val="clear" w:color="auto" w:fill="7A091A"/>
          </w:tcPr>
          <w:p w14:paraId="7CF0E803" w14:textId="77777777" w:rsidR="00CA282D" w:rsidRPr="00894701" w:rsidRDefault="00CA282D" w:rsidP="00446B8D">
            <w:pPr>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000000" w:themeColor="text1"/>
                <w:sz w:val="1"/>
                <w:szCs w:val="1"/>
              </w:rPr>
            </w:pPr>
          </w:p>
        </w:tc>
        <w:tc>
          <w:tcPr>
            <w:tcW w:w="2660" w:type="dxa"/>
            <w:shd w:val="clear" w:color="auto" w:fill="7A091A"/>
          </w:tcPr>
          <w:p w14:paraId="4101B96B" w14:textId="77777777" w:rsidR="00CA282D" w:rsidRPr="00894701" w:rsidRDefault="00CA282D" w:rsidP="00446B8D">
            <w:pPr>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010302"/>
              </w:rPr>
            </w:pPr>
            <w:r w:rsidRPr="00894701">
              <w:rPr>
                <w:rFonts w:asciiTheme="minorHAnsi" w:hAnsiTheme="minorHAnsi" w:cs="TrebuchetMS"/>
                <w:b/>
                <w:bCs/>
                <w:color w:val="FFFFFF"/>
                <w:szCs w:val="18"/>
              </w:rPr>
              <w:t xml:space="preserve">Medium and small-scale mining </w:t>
            </w:r>
          </w:p>
        </w:tc>
        <w:tc>
          <w:tcPr>
            <w:tcW w:w="236" w:type="dxa"/>
            <w:tcBorders>
              <w:right w:val="single" w:sz="4" w:space="0" w:color="F65275"/>
            </w:tcBorders>
            <w:shd w:val="clear" w:color="auto" w:fill="7A091A"/>
          </w:tcPr>
          <w:p w14:paraId="7A33214C" w14:textId="77777777" w:rsidR="00CA282D" w:rsidRPr="00894701" w:rsidRDefault="00CA282D" w:rsidP="00446B8D">
            <w:pPr>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000000" w:themeColor="text1"/>
                <w:sz w:val="1"/>
                <w:szCs w:val="1"/>
              </w:rPr>
            </w:pPr>
          </w:p>
        </w:tc>
        <w:tc>
          <w:tcPr>
            <w:tcW w:w="236" w:type="dxa"/>
            <w:tcBorders>
              <w:left w:val="single" w:sz="4" w:space="0" w:color="F65275"/>
            </w:tcBorders>
            <w:shd w:val="clear" w:color="auto" w:fill="7A091A"/>
          </w:tcPr>
          <w:p w14:paraId="1691623D" w14:textId="77777777" w:rsidR="00CA282D" w:rsidRPr="00894701" w:rsidRDefault="00CA282D" w:rsidP="00446B8D">
            <w:pPr>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000000" w:themeColor="text1"/>
                <w:sz w:val="1"/>
                <w:szCs w:val="1"/>
              </w:rPr>
            </w:pPr>
          </w:p>
        </w:tc>
        <w:tc>
          <w:tcPr>
            <w:tcW w:w="3197" w:type="dxa"/>
            <w:shd w:val="clear" w:color="auto" w:fill="7A091A"/>
          </w:tcPr>
          <w:p w14:paraId="62727AED" w14:textId="77777777" w:rsidR="00CA282D" w:rsidRPr="00894701" w:rsidRDefault="00CA282D" w:rsidP="00446B8D">
            <w:pPr>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010302"/>
              </w:rPr>
            </w:pPr>
            <w:r w:rsidRPr="00894701">
              <w:rPr>
                <w:rFonts w:asciiTheme="minorHAnsi" w:hAnsiTheme="minorHAnsi" w:cs="TrebuchetMS"/>
                <w:b/>
                <w:bCs/>
                <w:color w:val="FFFFFF"/>
                <w:szCs w:val="18"/>
              </w:rPr>
              <w:t xml:space="preserve">Large-scale mining </w:t>
            </w:r>
          </w:p>
        </w:tc>
        <w:tc>
          <w:tcPr>
            <w:tcW w:w="236" w:type="dxa"/>
            <w:tcBorders>
              <w:right w:val="single" w:sz="4" w:space="0" w:color="F65275"/>
            </w:tcBorders>
            <w:shd w:val="clear" w:color="auto" w:fill="7A091A"/>
          </w:tcPr>
          <w:p w14:paraId="5CE2BBD9" w14:textId="77777777" w:rsidR="00CA282D" w:rsidRPr="00894701" w:rsidRDefault="00CA282D" w:rsidP="00446B8D">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themeColor="text1"/>
                <w:sz w:val="1"/>
                <w:szCs w:val="1"/>
              </w:rPr>
            </w:pPr>
          </w:p>
        </w:tc>
      </w:tr>
      <w:tr w:rsidR="00CA282D" w:rsidRPr="00894701" w14:paraId="52C9E077" w14:textId="77777777" w:rsidTr="00446B8D">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211" w:type="dxa"/>
            <w:gridSpan w:val="3"/>
            <w:tcBorders>
              <w:top w:val="single" w:sz="4" w:space="0" w:color="F65275"/>
              <w:left w:val="single" w:sz="4" w:space="0" w:color="F65275"/>
              <w:bottom w:val="single" w:sz="4" w:space="0" w:color="F65275"/>
              <w:right w:val="single" w:sz="4" w:space="0" w:color="F65275"/>
            </w:tcBorders>
            <w:shd w:val="clear" w:color="auto" w:fill="F7A3B0"/>
          </w:tcPr>
          <w:p w14:paraId="1180A4EE" w14:textId="77777777" w:rsidR="00CA282D" w:rsidRPr="00894701" w:rsidRDefault="00CA282D" w:rsidP="00446B8D">
            <w:pPr>
              <w:spacing w:before="251"/>
              <w:ind w:left="83"/>
              <w:rPr>
                <w:rFonts w:asciiTheme="minorHAnsi" w:hAnsiTheme="minorHAnsi"/>
                <w:color w:val="010302"/>
              </w:rPr>
            </w:pPr>
            <w:r w:rsidRPr="00894701">
              <w:rPr>
                <w:rFonts w:asciiTheme="minorHAnsi" w:hAnsiTheme="minorHAnsi" w:cs="TrebuchetMS"/>
                <w:color w:val="000000"/>
                <w:szCs w:val="18"/>
              </w:rPr>
              <w:t xml:space="preserve">Operation based on </w:t>
            </w:r>
          </w:p>
        </w:tc>
        <w:tc>
          <w:tcPr>
            <w:tcW w:w="3132" w:type="dxa"/>
            <w:gridSpan w:val="3"/>
            <w:tcBorders>
              <w:top w:val="single" w:sz="4" w:space="0" w:color="F65275"/>
              <w:left w:val="single" w:sz="4" w:space="0" w:color="F65275"/>
              <w:bottom w:val="single" w:sz="4" w:space="0" w:color="F65275"/>
              <w:right w:val="single" w:sz="4" w:space="0" w:color="F65275"/>
            </w:tcBorders>
            <w:shd w:val="clear" w:color="auto" w:fill="F7A3B0"/>
          </w:tcPr>
          <w:p w14:paraId="0F43FB88" w14:textId="77777777" w:rsidR="00CA282D" w:rsidRPr="00894701" w:rsidRDefault="00CA282D" w:rsidP="001851B2">
            <w:pPr>
              <w:spacing w:line="240" w:lineRule="exact"/>
              <w:ind w:left="93" w:right="66"/>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rebuchetMS"/>
                <w:color w:val="000000"/>
                <w:szCs w:val="18"/>
              </w:rPr>
            </w:pPr>
            <w:r w:rsidRPr="00894701">
              <w:rPr>
                <w:rFonts w:asciiTheme="minorHAnsi" w:hAnsiTheme="minorHAnsi" w:cs="TrebuchetMS"/>
                <w:color w:val="000000"/>
                <w:szCs w:val="18"/>
              </w:rPr>
              <w:t xml:space="preserve">Mining Decree 1986 as the main reference </w:t>
            </w:r>
          </w:p>
        </w:tc>
        <w:tc>
          <w:tcPr>
            <w:tcW w:w="3669" w:type="dxa"/>
            <w:gridSpan w:val="3"/>
            <w:tcBorders>
              <w:top w:val="single" w:sz="4" w:space="0" w:color="F65275"/>
              <w:left w:val="single" w:sz="4" w:space="0" w:color="F65275"/>
              <w:bottom w:val="single" w:sz="4" w:space="0" w:color="F65275"/>
              <w:right w:val="single" w:sz="4" w:space="0" w:color="F65275"/>
            </w:tcBorders>
            <w:shd w:val="clear" w:color="auto" w:fill="F7A3B0"/>
          </w:tcPr>
          <w:p w14:paraId="3E1550CF" w14:textId="0BFA8176" w:rsidR="00CA282D" w:rsidRPr="00894701" w:rsidRDefault="00CA282D" w:rsidP="00446B8D">
            <w:pPr>
              <w:spacing w:line="241" w:lineRule="exact"/>
              <w:ind w:left="93" w:right="-29"/>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10302"/>
              </w:rPr>
            </w:pPr>
            <w:r w:rsidRPr="00894701">
              <w:rPr>
                <w:rFonts w:asciiTheme="minorHAnsi" w:hAnsiTheme="minorHAnsi" w:cs="TrebuchetMS"/>
                <w:color w:val="000000"/>
                <w:szCs w:val="18"/>
              </w:rPr>
              <w:t>Mineral</w:t>
            </w:r>
            <w:r w:rsidRPr="00894701">
              <w:rPr>
                <w:rFonts w:asciiTheme="minorHAnsi" w:hAnsiTheme="minorHAnsi" w:cs="TrebuchetMS"/>
                <w:color w:val="000000"/>
                <w:spacing w:val="31"/>
                <w:szCs w:val="18"/>
              </w:rPr>
              <w:t xml:space="preserve"> </w:t>
            </w:r>
            <w:r w:rsidRPr="00894701">
              <w:rPr>
                <w:rFonts w:asciiTheme="minorHAnsi" w:hAnsiTheme="minorHAnsi" w:cs="TrebuchetMS"/>
                <w:color w:val="000000"/>
                <w:szCs w:val="18"/>
              </w:rPr>
              <w:t>agreements</w:t>
            </w:r>
            <w:r w:rsidRPr="00894701">
              <w:rPr>
                <w:rFonts w:asciiTheme="minorHAnsi" w:hAnsiTheme="minorHAnsi" w:cs="TrebuchetMS"/>
                <w:color w:val="000000"/>
                <w:spacing w:val="32"/>
                <w:szCs w:val="18"/>
              </w:rPr>
              <w:t xml:space="preserve"> </w:t>
            </w:r>
            <w:r w:rsidRPr="00894701">
              <w:rPr>
                <w:rFonts w:asciiTheme="minorHAnsi" w:hAnsiTheme="minorHAnsi" w:cs="TrebuchetMS"/>
                <w:color w:val="000000"/>
                <w:szCs w:val="18"/>
              </w:rPr>
              <w:t>between</w:t>
            </w:r>
            <w:r w:rsidRPr="00894701">
              <w:rPr>
                <w:rFonts w:asciiTheme="minorHAnsi" w:hAnsiTheme="minorHAnsi" w:cs="TrebuchetMS"/>
                <w:color w:val="000000"/>
                <w:spacing w:val="32"/>
                <w:szCs w:val="18"/>
              </w:rPr>
              <w:t xml:space="preserve"> </w:t>
            </w:r>
            <w:r w:rsidRPr="00894701">
              <w:rPr>
                <w:rFonts w:asciiTheme="minorHAnsi" w:hAnsiTheme="minorHAnsi" w:cs="TrebuchetMS"/>
                <w:color w:val="000000"/>
                <w:szCs w:val="18"/>
              </w:rPr>
              <w:t>the</w:t>
            </w:r>
            <w:r w:rsidRPr="00894701">
              <w:rPr>
                <w:rFonts w:asciiTheme="minorHAnsi" w:hAnsiTheme="minorHAnsi" w:cs="TrebuchetMS"/>
                <w:color w:val="000000"/>
                <w:spacing w:val="32"/>
                <w:szCs w:val="18"/>
              </w:rPr>
              <w:t xml:space="preserve"> </w:t>
            </w:r>
            <w:r w:rsidRPr="00894701">
              <w:rPr>
                <w:rFonts w:asciiTheme="minorHAnsi" w:hAnsiTheme="minorHAnsi" w:cs="TrebuchetMS"/>
                <w:color w:val="000000"/>
                <w:szCs w:val="18"/>
              </w:rPr>
              <w:t>R</w:t>
            </w:r>
            <w:r w:rsidRPr="00894701">
              <w:rPr>
                <w:rFonts w:asciiTheme="minorHAnsi" w:hAnsiTheme="minorHAnsi" w:cs="TrebuchetMS"/>
                <w:color w:val="000000"/>
                <w:spacing w:val="-2"/>
                <w:szCs w:val="18"/>
              </w:rPr>
              <w:t>e</w:t>
            </w:r>
            <w:r w:rsidRPr="00894701">
              <w:rPr>
                <w:rFonts w:asciiTheme="minorHAnsi" w:hAnsiTheme="minorHAnsi" w:cs="TrebuchetMS"/>
                <w:color w:val="000000"/>
                <w:szCs w:val="18"/>
              </w:rPr>
              <w:t>public of</w:t>
            </w:r>
            <w:r w:rsidRPr="00894701">
              <w:rPr>
                <w:rFonts w:asciiTheme="minorHAnsi" w:hAnsiTheme="minorHAnsi" w:cs="TrebuchetMS"/>
                <w:color w:val="000000"/>
                <w:spacing w:val="22"/>
                <w:szCs w:val="18"/>
              </w:rPr>
              <w:t xml:space="preserve"> </w:t>
            </w:r>
            <w:r w:rsidRPr="00894701">
              <w:rPr>
                <w:rFonts w:asciiTheme="minorHAnsi" w:hAnsiTheme="minorHAnsi" w:cs="TrebuchetMS"/>
                <w:color w:val="000000"/>
                <w:szCs w:val="18"/>
              </w:rPr>
              <w:t>Suriname</w:t>
            </w:r>
            <w:r w:rsidRPr="00894701">
              <w:rPr>
                <w:rFonts w:asciiTheme="minorHAnsi" w:hAnsiTheme="minorHAnsi" w:cs="TrebuchetMS"/>
                <w:color w:val="000000"/>
                <w:spacing w:val="25"/>
                <w:szCs w:val="18"/>
              </w:rPr>
              <w:t xml:space="preserve"> </w:t>
            </w:r>
            <w:r w:rsidRPr="00894701">
              <w:rPr>
                <w:rFonts w:asciiTheme="minorHAnsi" w:hAnsiTheme="minorHAnsi" w:cs="TrebuchetMS"/>
                <w:color w:val="000000"/>
                <w:szCs w:val="18"/>
              </w:rPr>
              <w:t>and</w:t>
            </w:r>
            <w:r w:rsidRPr="00894701">
              <w:rPr>
                <w:rFonts w:asciiTheme="minorHAnsi" w:hAnsiTheme="minorHAnsi" w:cs="TrebuchetMS"/>
                <w:color w:val="000000"/>
                <w:spacing w:val="22"/>
                <w:szCs w:val="18"/>
              </w:rPr>
              <w:t xml:space="preserve"> </w:t>
            </w:r>
            <w:r w:rsidRPr="00894701">
              <w:rPr>
                <w:rFonts w:asciiTheme="minorHAnsi" w:hAnsiTheme="minorHAnsi" w:cs="TrebuchetMS"/>
                <w:color w:val="000000"/>
                <w:szCs w:val="18"/>
              </w:rPr>
              <w:t>Companies,</w:t>
            </w:r>
            <w:r w:rsidRPr="00894701">
              <w:rPr>
                <w:rFonts w:asciiTheme="minorHAnsi" w:hAnsiTheme="minorHAnsi" w:cs="TrebuchetMS"/>
                <w:color w:val="000000"/>
                <w:spacing w:val="22"/>
                <w:szCs w:val="18"/>
              </w:rPr>
              <w:t xml:space="preserve"> </w:t>
            </w:r>
            <w:r w:rsidRPr="00894701">
              <w:rPr>
                <w:rFonts w:asciiTheme="minorHAnsi" w:hAnsiTheme="minorHAnsi" w:cs="TrebuchetMS"/>
                <w:color w:val="000000"/>
                <w:szCs w:val="18"/>
              </w:rPr>
              <w:t>approved by DNA, and the Mining Decr</w:t>
            </w:r>
            <w:r w:rsidRPr="00894701">
              <w:rPr>
                <w:rFonts w:asciiTheme="minorHAnsi" w:hAnsiTheme="minorHAnsi" w:cs="TrebuchetMS"/>
                <w:color w:val="000000"/>
                <w:spacing w:val="-2"/>
                <w:szCs w:val="18"/>
              </w:rPr>
              <w:t>e</w:t>
            </w:r>
            <w:r w:rsidRPr="00894701">
              <w:rPr>
                <w:rFonts w:asciiTheme="minorHAnsi" w:hAnsiTheme="minorHAnsi" w:cs="TrebuchetMS"/>
                <w:color w:val="000000"/>
                <w:szCs w:val="18"/>
              </w:rPr>
              <w:t xml:space="preserve">e 1986 </w:t>
            </w:r>
          </w:p>
        </w:tc>
      </w:tr>
      <w:tr w:rsidR="00CA282D" w:rsidRPr="00894701" w14:paraId="051002B3" w14:textId="77777777" w:rsidTr="00446B8D">
        <w:trPr>
          <w:cnfStyle w:val="000000010000" w:firstRow="0" w:lastRow="0" w:firstColumn="0" w:lastColumn="0" w:oddVBand="0" w:evenVBand="0" w:oddHBand="0" w:evenHBand="1"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211" w:type="dxa"/>
            <w:gridSpan w:val="3"/>
            <w:tcBorders>
              <w:top w:val="single" w:sz="4" w:space="0" w:color="F65275"/>
              <w:left w:val="single" w:sz="4" w:space="0" w:color="F65275"/>
              <w:bottom w:val="single" w:sz="4" w:space="0" w:color="F65275"/>
              <w:right w:val="single" w:sz="4" w:space="0" w:color="F65275"/>
            </w:tcBorders>
          </w:tcPr>
          <w:p w14:paraId="25B50D7F" w14:textId="77777777" w:rsidR="00CA282D" w:rsidRPr="00894701" w:rsidRDefault="00CA282D" w:rsidP="00446B8D">
            <w:pPr>
              <w:spacing w:line="240" w:lineRule="exact"/>
              <w:ind w:left="83" w:right="395"/>
              <w:rPr>
                <w:rFonts w:asciiTheme="minorHAnsi" w:hAnsiTheme="minorHAnsi"/>
                <w:color w:val="010302"/>
              </w:rPr>
            </w:pPr>
            <w:r w:rsidRPr="00894701">
              <w:rPr>
                <w:rFonts w:asciiTheme="minorHAnsi" w:hAnsiTheme="minorHAnsi" w:cs="TrebuchetMS"/>
                <w:color w:val="000000"/>
                <w:szCs w:val="18"/>
              </w:rPr>
              <w:t xml:space="preserve">Area of operations based on </w:t>
            </w:r>
          </w:p>
        </w:tc>
        <w:tc>
          <w:tcPr>
            <w:tcW w:w="3132" w:type="dxa"/>
            <w:gridSpan w:val="3"/>
            <w:tcBorders>
              <w:top w:val="single" w:sz="4" w:space="0" w:color="F65275"/>
              <w:left w:val="single" w:sz="4" w:space="0" w:color="F65275"/>
              <w:bottom w:val="single" w:sz="4" w:space="0" w:color="F65275"/>
              <w:right w:val="single" w:sz="4" w:space="0" w:color="F65275"/>
            </w:tcBorders>
          </w:tcPr>
          <w:p w14:paraId="2DD399EE" w14:textId="24453FA5" w:rsidR="00CA282D" w:rsidRPr="00894701" w:rsidRDefault="00CA282D" w:rsidP="001851B2">
            <w:pPr>
              <w:spacing w:line="240" w:lineRule="exact"/>
              <w:ind w:left="93" w:right="66"/>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010302"/>
              </w:rPr>
            </w:pPr>
            <w:r w:rsidRPr="00894701">
              <w:rPr>
                <w:rFonts w:asciiTheme="minorHAnsi" w:hAnsiTheme="minorHAnsi" w:cs="TrebuchetMS"/>
                <w:color w:val="000000"/>
                <w:szCs w:val="18"/>
              </w:rPr>
              <w:t xml:space="preserve">License per area and authorised by the Minister of National Resources </w:t>
            </w:r>
          </w:p>
        </w:tc>
        <w:tc>
          <w:tcPr>
            <w:tcW w:w="3669" w:type="dxa"/>
            <w:gridSpan w:val="3"/>
            <w:tcBorders>
              <w:top w:val="single" w:sz="4" w:space="0" w:color="F65275"/>
              <w:left w:val="single" w:sz="4" w:space="0" w:color="F65275"/>
              <w:bottom w:val="single" w:sz="4" w:space="0" w:color="F65275"/>
              <w:right w:val="single" w:sz="4" w:space="0" w:color="F65275"/>
            </w:tcBorders>
          </w:tcPr>
          <w:p w14:paraId="29C4FC4E" w14:textId="0FA76420" w:rsidR="00CA282D" w:rsidRPr="00894701" w:rsidRDefault="00CA282D" w:rsidP="00446B8D">
            <w:pPr>
              <w:spacing w:line="240" w:lineRule="exact"/>
              <w:ind w:left="93" w:right="-28"/>
              <w:cnfStyle w:val="000000010000" w:firstRow="0" w:lastRow="0" w:firstColumn="0" w:lastColumn="0" w:oddVBand="0" w:evenVBand="0" w:oddHBand="0" w:evenHBand="1" w:firstRowFirstColumn="0" w:firstRowLastColumn="0" w:lastRowFirstColumn="0" w:lastRowLastColumn="0"/>
              <w:rPr>
                <w:rFonts w:asciiTheme="minorHAnsi" w:hAnsiTheme="minorHAnsi"/>
                <w:color w:val="010302"/>
              </w:rPr>
            </w:pPr>
            <w:r w:rsidRPr="00894701">
              <w:rPr>
                <w:rFonts w:asciiTheme="minorHAnsi" w:hAnsiTheme="minorHAnsi" w:cs="TrebuchetMS"/>
                <w:color w:val="000000"/>
                <w:szCs w:val="18"/>
              </w:rPr>
              <w:t>License</w:t>
            </w:r>
            <w:r w:rsidRPr="00894701">
              <w:rPr>
                <w:rFonts w:asciiTheme="minorHAnsi" w:hAnsiTheme="minorHAnsi" w:cs="TrebuchetMS"/>
                <w:color w:val="000000"/>
                <w:spacing w:val="15"/>
                <w:szCs w:val="18"/>
              </w:rPr>
              <w:t xml:space="preserve"> </w:t>
            </w:r>
            <w:r w:rsidRPr="00894701">
              <w:rPr>
                <w:rFonts w:asciiTheme="minorHAnsi" w:hAnsiTheme="minorHAnsi"/>
                <w:szCs w:val="18"/>
              </w:rPr>
              <w:t>per</w:t>
            </w:r>
            <w:r w:rsidRPr="00894701">
              <w:rPr>
                <w:rFonts w:asciiTheme="minorHAnsi" w:hAnsiTheme="minorHAnsi" w:cs="TrebuchetMS"/>
                <w:color w:val="000000"/>
                <w:spacing w:val="15"/>
                <w:szCs w:val="18"/>
              </w:rPr>
              <w:t xml:space="preserve"> </w:t>
            </w:r>
            <w:r w:rsidRPr="00894701">
              <w:rPr>
                <w:rFonts w:asciiTheme="minorHAnsi" w:hAnsiTheme="minorHAnsi" w:cs="TrebuchetMS"/>
                <w:color w:val="000000"/>
                <w:szCs w:val="18"/>
              </w:rPr>
              <w:t>area</w:t>
            </w:r>
            <w:r w:rsidRPr="00894701">
              <w:rPr>
                <w:rFonts w:asciiTheme="minorHAnsi" w:hAnsiTheme="minorHAnsi" w:cs="TrebuchetMS"/>
                <w:color w:val="000000"/>
                <w:spacing w:val="15"/>
                <w:szCs w:val="18"/>
              </w:rPr>
              <w:t xml:space="preserve"> </w:t>
            </w:r>
            <w:r w:rsidRPr="00894701">
              <w:rPr>
                <w:rFonts w:asciiTheme="minorHAnsi" w:hAnsiTheme="minorHAnsi"/>
                <w:szCs w:val="18"/>
              </w:rPr>
              <w:t>and</w:t>
            </w:r>
            <w:r w:rsidRPr="00894701">
              <w:rPr>
                <w:rFonts w:asciiTheme="minorHAnsi" w:hAnsiTheme="minorHAnsi" w:cs="TrebuchetMS"/>
                <w:color w:val="000000"/>
                <w:spacing w:val="15"/>
                <w:szCs w:val="18"/>
              </w:rPr>
              <w:t xml:space="preserve"> </w:t>
            </w:r>
            <w:r w:rsidRPr="00894701">
              <w:rPr>
                <w:rFonts w:asciiTheme="minorHAnsi" w:hAnsiTheme="minorHAnsi" w:cs="TrebuchetMS"/>
                <w:color w:val="000000"/>
                <w:szCs w:val="18"/>
              </w:rPr>
              <w:t>authorised</w:t>
            </w:r>
            <w:r w:rsidRPr="00894701">
              <w:rPr>
                <w:rFonts w:asciiTheme="minorHAnsi" w:hAnsiTheme="minorHAnsi" w:cs="TrebuchetMS"/>
                <w:color w:val="000000"/>
                <w:spacing w:val="15"/>
                <w:szCs w:val="18"/>
              </w:rPr>
              <w:t xml:space="preserve"> </w:t>
            </w:r>
            <w:r w:rsidRPr="00894701">
              <w:rPr>
                <w:rFonts w:asciiTheme="minorHAnsi" w:hAnsiTheme="minorHAnsi" w:cs="TrebuchetMS"/>
                <w:color w:val="000000"/>
                <w:szCs w:val="18"/>
              </w:rPr>
              <w:t>by</w:t>
            </w:r>
            <w:r w:rsidRPr="00894701">
              <w:rPr>
                <w:rFonts w:asciiTheme="minorHAnsi" w:hAnsiTheme="minorHAnsi" w:cs="TrebuchetMS"/>
                <w:color w:val="000000"/>
                <w:spacing w:val="15"/>
                <w:szCs w:val="18"/>
              </w:rPr>
              <w:t xml:space="preserve"> </w:t>
            </w:r>
            <w:r w:rsidRPr="00894701">
              <w:rPr>
                <w:rFonts w:asciiTheme="minorHAnsi" w:hAnsiTheme="minorHAnsi" w:cs="TrebuchetMS"/>
                <w:color w:val="000000"/>
                <w:szCs w:val="18"/>
              </w:rPr>
              <w:t>t</w:t>
            </w:r>
            <w:r w:rsidRPr="00894701">
              <w:rPr>
                <w:rFonts w:asciiTheme="minorHAnsi" w:hAnsiTheme="minorHAnsi" w:cs="TrebuchetMS"/>
                <w:color w:val="000000"/>
                <w:spacing w:val="-2"/>
                <w:szCs w:val="18"/>
              </w:rPr>
              <w:t>h</w:t>
            </w:r>
            <w:r w:rsidRPr="00894701">
              <w:rPr>
                <w:rFonts w:asciiTheme="minorHAnsi" w:hAnsiTheme="minorHAnsi" w:cs="TrebuchetMS"/>
                <w:color w:val="000000"/>
                <w:szCs w:val="18"/>
              </w:rPr>
              <w:t xml:space="preserve">e Minister of National Resources </w:t>
            </w:r>
          </w:p>
        </w:tc>
      </w:tr>
    </w:tbl>
    <w:p w14:paraId="52442FA5" w14:textId="77777777" w:rsidR="00CA282D" w:rsidRDefault="00CA282D" w:rsidP="00CA282D">
      <w:pPr>
        <w:spacing w:line="227" w:lineRule="exact"/>
        <w:jc w:val="both"/>
        <w:rPr>
          <w:rFonts w:asciiTheme="minorHAnsi" w:hAnsiTheme="minorHAnsi" w:cs="TrebuchetMS"/>
          <w:color w:val="000000"/>
          <w:sz w:val="20"/>
          <w:szCs w:val="20"/>
        </w:rPr>
      </w:pPr>
    </w:p>
    <w:p w14:paraId="21ABEAE5" w14:textId="77777777" w:rsidR="00C35CE8" w:rsidRPr="00894701" w:rsidRDefault="00C35CE8" w:rsidP="00CA282D">
      <w:pPr>
        <w:spacing w:line="227" w:lineRule="exact"/>
        <w:jc w:val="both"/>
        <w:rPr>
          <w:rFonts w:asciiTheme="minorHAnsi" w:hAnsiTheme="minorHAnsi" w:cs="TrebuchetMS"/>
          <w:color w:val="000000"/>
          <w:sz w:val="20"/>
          <w:szCs w:val="20"/>
        </w:rPr>
      </w:pPr>
    </w:p>
    <w:p w14:paraId="3420F161" w14:textId="27660F74" w:rsidR="00C35CE8" w:rsidRDefault="00C35CE8" w:rsidP="00CA282D">
      <w:pPr>
        <w:spacing w:line="227" w:lineRule="exact"/>
        <w:jc w:val="both"/>
        <w:rPr>
          <w:rFonts w:asciiTheme="minorHAnsi" w:hAnsiTheme="minorHAnsi" w:cs="TrebuchetMS"/>
          <w:color w:val="000000"/>
          <w:sz w:val="20"/>
          <w:szCs w:val="20"/>
        </w:rPr>
      </w:pPr>
      <w:r>
        <w:rPr>
          <w:rFonts w:asciiTheme="minorHAnsi" w:hAnsiTheme="minorHAnsi" w:cs="TrebuchetMS"/>
          <w:color w:val="000000"/>
          <w:sz w:val="20"/>
          <w:szCs w:val="20"/>
        </w:rPr>
        <w:t xml:space="preserve">This section presents the criteria that the government require from the applicants before granting the mining right. </w:t>
      </w:r>
      <w:r w:rsidRPr="00894701">
        <w:rPr>
          <w:rFonts w:asciiTheme="minorHAnsi" w:hAnsiTheme="minorHAnsi"/>
          <w:color w:val="auto"/>
          <w:sz w:val="20"/>
          <w:szCs w:val="20"/>
        </w:rPr>
        <w:t>MONR</w:t>
      </w:r>
      <w:r>
        <w:rPr>
          <w:rFonts w:asciiTheme="minorHAnsi" w:hAnsiTheme="minorHAnsi"/>
          <w:color w:val="auto"/>
          <w:sz w:val="20"/>
          <w:szCs w:val="20"/>
        </w:rPr>
        <w:t xml:space="preserve"> and GMD do not have to implement any</w:t>
      </w:r>
      <w:r>
        <w:rPr>
          <w:rFonts w:asciiTheme="minorHAnsi" w:hAnsiTheme="minorHAnsi" w:cs="TrebuchetMS"/>
          <w:color w:val="000000"/>
          <w:sz w:val="20"/>
          <w:szCs w:val="20"/>
        </w:rPr>
        <w:t xml:space="preserve"> weighting of technical or financial criteria. </w:t>
      </w:r>
    </w:p>
    <w:p w14:paraId="6A0C3498" w14:textId="77777777" w:rsidR="00C35CE8" w:rsidRDefault="00C35CE8" w:rsidP="00CA282D">
      <w:pPr>
        <w:spacing w:line="227" w:lineRule="exact"/>
        <w:jc w:val="both"/>
        <w:rPr>
          <w:rFonts w:asciiTheme="minorHAnsi" w:hAnsiTheme="minorHAnsi" w:cs="TrebuchetMS"/>
          <w:color w:val="000000"/>
          <w:sz w:val="20"/>
          <w:szCs w:val="20"/>
        </w:rPr>
      </w:pPr>
    </w:p>
    <w:p w14:paraId="1CE4A3A3" w14:textId="157B3EB2" w:rsidR="00CA282D" w:rsidRPr="00894701" w:rsidRDefault="00CA282D" w:rsidP="00CA282D">
      <w:pPr>
        <w:spacing w:line="227" w:lineRule="exact"/>
        <w:jc w:val="both"/>
        <w:rPr>
          <w:rFonts w:asciiTheme="minorHAnsi" w:hAnsiTheme="minorHAnsi"/>
          <w:color w:val="010302"/>
        </w:rPr>
      </w:pPr>
      <w:r w:rsidRPr="00894701">
        <w:rPr>
          <w:rFonts w:asciiTheme="minorHAnsi" w:hAnsiTheme="minorHAnsi" w:cs="TrebuchetMS"/>
          <w:color w:val="000000"/>
          <w:sz w:val="20"/>
          <w:szCs w:val="20"/>
        </w:rPr>
        <w:t xml:space="preserve">Mining rights can be obtained by:  </w:t>
      </w:r>
    </w:p>
    <w:p w14:paraId="0A665DC3" w14:textId="77777777" w:rsidR="00CA282D" w:rsidRPr="00894701" w:rsidRDefault="00CA282D" w:rsidP="00CA282D">
      <w:pPr>
        <w:pStyle w:val="ListParagraph"/>
        <w:numPr>
          <w:ilvl w:val="0"/>
          <w:numId w:val="39"/>
        </w:numPr>
        <w:spacing w:before="100" w:line="243" w:lineRule="exact"/>
        <w:jc w:val="both"/>
        <w:rPr>
          <w:rFonts w:asciiTheme="minorHAnsi" w:hAnsiTheme="minorHAnsi"/>
          <w:color w:val="010302"/>
          <w:kern w:val="0"/>
          <w:sz w:val="22"/>
          <w:szCs w:val="22"/>
          <w:lang w:eastAsia="en-US"/>
        </w:rPr>
      </w:pPr>
      <w:r w:rsidRPr="00894701">
        <w:rPr>
          <w:rFonts w:asciiTheme="minorHAnsi" w:hAnsiTheme="minorHAnsi" w:cs="TrebuchetMS"/>
          <w:color w:val="000000"/>
          <w:kern w:val="0"/>
          <w:sz w:val="20"/>
          <w:szCs w:val="20"/>
          <w:lang w:eastAsia="en-US"/>
        </w:rPr>
        <w:t xml:space="preserve">State enterprises for radioactive minerals and hydrocarbons; </w:t>
      </w:r>
    </w:p>
    <w:p w14:paraId="1427C880" w14:textId="77777777" w:rsidR="00CA282D" w:rsidRPr="00894701" w:rsidRDefault="00CA282D" w:rsidP="00CA282D">
      <w:pPr>
        <w:pStyle w:val="ListParagraph"/>
        <w:widowControl w:val="0"/>
        <w:numPr>
          <w:ilvl w:val="0"/>
          <w:numId w:val="39"/>
        </w:numPr>
        <w:spacing w:before="26" w:after="0" w:line="326" w:lineRule="exact"/>
        <w:ind w:right="786"/>
        <w:jc w:val="both"/>
        <w:rPr>
          <w:rFonts w:asciiTheme="minorHAnsi" w:hAnsiTheme="minorHAnsi"/>
          <w:color w:val="010302"/>
          <w:kern w:val="0"/>
          <w:sz w:val="22"/>
          <w:szCs w:val="22"/>
          <w:lang w:eastAsia="en-US"/>
        </w:rPr>
      </w:pPr>
      <w:r w:rsidRPr="00894701">
        <w:rPr>
          <w:rFonts w:asciiTheme="minorHAnsi" w:hAnsiTheme="minorHAnsi" w:cs="TrebuchetMS"/>
          <w:color w:val="000000"/>
          <w:kern w:val="0"/>
          <w:sz w:val="20"/>
          <w:szCs w:val="20"/>
          <w:lang w:eastAsia="en-US"/>
        </w:rPr>
        <w:t>State and private enterprises for bauxite; and</w:t>
      </w:r>
    </w:p>
    <w:p w14:paraId="554394FD" w14:textId="07BD7922" w:rsidR="00CA282D" w:rsidRPr="00894701" w:rsidRDefault="00CA282D" w:rsidP="00CA282D">
      <w:pPr>
        <w:pStyle w:val="ListParagraph"/>
        <w:widowControl w:val="0"/>
        <w:numPr>
          <w:ilvl w:val="0"/>
          <w:numId w:val="39"/>
        </w:numPr>
        <w:spacing w:before="26" w:line="326" w:lineRule="exact"/>
        <w:ind w:right="786"/>
        <w:jc w:val="both"/>
        <w:rPr>
          <w:rFonts w:asciiTheme="minorHAnsi" w:hAnsiTheme="minorHAnsi"/>
          <w:color w:val="010302"/>
          <w:kern w:val="0"/>
          <w:sz w:val="22"/>
          <w:szCs w:val="22"/>
          <w:lang w:eastAsia="en-US"/>
        </w:rPr>
      </w:pPr>
      <w:r w:rsidRPr="00894701">
        <w:rPr>
          <w:rFonts w:asciiTheme="minorHAnsi" w:hAnsiTheme="minorHAnsi"/>
          <w:noProof/>
          <w:lang w:val="en-US" w:eastAsia="en-US"/>
        </w:rPr>
        <mc:AlternateContent>
          <mc:Choice Requires="wps">
            <w:drawing>
              <wp:anchor distT="0" distB="0" distL="114300" distR="114300" simplePos="0" relativeHeight="251658249" behindDoc="1" locked="0" layoutInCell="1" allowOverlap="1" wp14:anchorId="737B9C5E" wp14:editId="682AB696">
                <wp:simplePos x="0" y="0"/>
                <wp:positionH relativeFrom="page">
                  <wp:posOffset>896620</wp:posOffset>
                </wp:positionH>
                <wp:positionV relativeFrom="paragraph">
                  <wp:posOffset>316865</wp:posOffset>
                </wp:positionV>
                <wp:extent cx="5784215" cy="168910"/>
                <wp:effectExtent l="0" t="0" r="0" b="0"/>
                <wp:wrapNone/>
                <wp:docPr id="4"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215" cy="168910"/>
                        </a:xfrm>
                        <a:custGeom>
                          <a:avLst/>
                          <a:gdLst/>
                          <a:ahLst/>
                          <a:cxnLst/>
                          <a:rect l="l" t="t" r="r" b="b"/>
                          <a:pathLst>
                            <a:path w="5784469" h="169164">
                              <a:moveTo>
                                <a:pt x="0" y="169164"/>
                              </a:moveTo>
                              <a:lnTo>
                                <a:pt x="5784469" y="169164"/>
                              </a:lnTo>
                              <a:lnTo>
                                <a:pt x="5784469" y="0"/>
                              </a:lnTo>
                              <a:lnTo>
                                <a:pt x="0" y="0"/>
                              </a:lnTo>
                              <a:lnTo>
                                <a:pt x="0" y="169164"/>
                              </a:lnTo>
                              <a:close/>
                            </a:path>
                          </a:pathLst>
                        </a:custGeom>
                        <a:solidFill>
                          <a:srgbClr val="FFFFFF">
                            <a:alpha val="100000"/>
                          </a:srgbClr>
                        </a:solidFill>
                        <a:ln w="12700" cap="flat" cmpd="sng" algn="ctr">
                          <a:no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A8AF3F" id="Freeform: Shape 4" o:spid="_x0000_s1026" style="position:absolute;margin-left:70.6pt;margin-top:24.95pt;width:455.45pt;height:13.3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84469,169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" path="m,169164r5784469,l5784469,,,,,169164xe" stroked="f" strokeweight="1pt">
                <v:path arrowok="t"/>
                <w10:wrap anchorx="page"/>
              </v:shape>
            </w:pict>
          </mc:Fallback>
        </mc:AlternateContent>
      </w:r>
      <w:r w:rsidRPr="00894701">
        <w:rPr>
          <w:rFonts w:asciiTheme="minorHAnsi" w:hAnsiTheme="minorHAnsi" w:cs="TrebuchetMS"/>
          <w:color w:val="000000"/>
          <w:kern w:val="0"/>
          <w:sz w:val="20"/>
          <w:szCs w:val="20"/>
          <w:lang w:eastAsia="en-US"/>
        </w:rPr>
        <w:t xml:space="preserve">State enterprises, private enterprises and individuals for other minerals and building materials. </w:t>
      </w:r>
    </w:p>
    <w:p w14:paraId="1CB79A7C" w14:textId="6F18B874" w:rsidR="00CA282D" w:rsidRPr="00894701" w:rsidRDefault="00CA282D" w:rsidP="00CA282D">
      <w:pPr>
        <w:pStyle w:val="BodyText"/>
        <w:jc w:val="both"/>
        <w:rPr>
          <w:rFonts w:asciiTheme="minorHAnsi" w:hAnsiTheme="minorHAnsi"/>
          <w:color w:val="auto"/>
          <w:sz w:val="20"/>
          <w:szCs w:val="20"/>
        </w:rPr>
      </w:pPr>
      <w:r w:rsidRPr="00894701">
        <w:rPr>
          <w:rFonts w:asciiTheme="minorHAnsi" w:hAnsiTheme="minorHAnsi"/>
          <w:color w:val="auto"/>
          <w:sz w:val="20"/>
          <w:szCs w:val="20"/>
        </w:rPr>
        <w:t xml:space="preserve">Mining rights, except for oil should be applied for at MONR. Mining rights are granted by the MONR minister provided that all conditions and requirements are met.  </w:t>
      </w:r>
    </w:p>
    <w:p w14:paraId="4AAE4217" w14:textId="77777777" w:rsidR="00CA282D" w:rsidRPr="00894701" w:rsidRDefault="00CA282D" w:rsidP="00CA282D">
      <w:pPr>
        <w:pStyle w:val="BodyText"/>
        <w:jc w:val="both"/>
        <w:rPr>
          <w:rFonts w:asciiTheme="minorHAnsi" w:hAnsiTheme="minorHAnsi"/>
          <w:color w:val="auto"/>
          <w:sz w:val="20"/>
          <w:szCs w:val="20"/>
        </w:rPr>
      </w:pPr>
      <w:r w:rsidRPr="00894701">
        <w:rPr>
          <w:rFonts w:asciiTheme="minorHAnsi" w:hAnsiTheme="minorHAnsi"/>
          <w:color w:val="auto"/>
          <w:sz w:val="20"/>
          <w:szCs w:val="20"/>
        </w:rPr>
        <w:t xml:space="preserve">The mining license states the business activities that the license holder is entitled to exercise and the associated rights and obligations. The rights and obligations of the license holder include the rights to sell the extracted minerals and the duty to pay royalties. </w:t>
      </w:r>
    </w:p>
    <w:p w14:paraId="1A2A4B4B" w14:textId="77777777" w:rsidR="00CA282D" w:rsidRPr="00894701" w:rsidRDefault="00CA282D" w:rsidP="00CA282D">
      <w:pPr>
        <w:pStyle w:val="BodyText"/>
        <w:jc w:val="both"/>
        <w:rPr>
          <w:rFonts w:asciiTheme="minorHAnsi" w:hAnsiTheme="minorHAnsi"/>
          <w:color w:val="auto"/>
          <w:sz w:val="20"/>
          <w:szCs w:val="20"/>
        </w:rPr>
      </w:pPr>
      <w:r w:rsidRPr="00894701">
        <w:rPr>
          <w:rFonts w:asciiTheme="minorHAnsi" w:hAnsiTheme="minorHAnsi"/>
          <w:color w:val="auto"/>
          <w:sz w:val="20"/>
          <w:szCs w:val="20"/>
        </w:rPr>
        <w:t xml:space="preserve">The licenses for minerals, gold and other minerals, are generally edited in a standard format and are made specific were necessary, among other, the type of mining right, the location, the coordinates and the commissioner of the district where the mining right will be executed. </w:t>
      </w:r>
    </w:p>
    <w:p w14:paraId="6397350A" w14:textId="77777777" w:rsidR="00CA282D" w:rsidRPr="00894701" w:rsidRDefault="00CA282D" w:rsidP="00CA282D">
      <w:pPr>
        <w:pStyle w:val="BodyText"/>
        <w:jc w:val="both"/>
        <w:rPr>
          <w:rFonts w:asciiTheme="minorHAnsi" w:hAnsiTheme="minorHAnsi"/>
          <w:color w:val="auto"/>
          <w:sz w:val="20"/>
          <w:szCs w:val="20"/>
        </w:rPr>
      </w:pPr>
      <w:r w:rsidRPr="00894701">
        <w:rPr>
          <w:rFonts w:asciiTheme="minorHAnsi" w:hAnsiTheme="minorHAnsi"/>
          <w:color w:val="auto"/>
          <w:sz w:val="20"/>
          <w:szCs w:val="20"/>
        </w:rPr>
        <w:t xml:space="preserve">Article 10-1 of the Mining Decree 1986 states the application for mining rights should be prepared in writing in the Dutch language and sent to the minister in triplicate. All records should be furnished with a date and signature, indicating the capacity of the signer. </w:t>
      </w:r>
    </w:p>
    <w:p w14:paraId="3ADAB4B3" w14:textId="77777777" w:rsidR="00CA282D" w:rsidRPr="00894701" w:rsidRDefault="00CA282D" w:rsidP="00CA282D">
      <w:pPr>
        <w:pStyle w:val="BodyText"/>
        <w:jc w:val="both"/>
        <w:rPr>
          <w:rFonts w:asciiTheme="minorHAnsi" w:hAnsiTheme="minorHAnsi"/>
          <w:color w:val="auto"/>
          <w:sz w:val="20"/>
          <w:szCs w:val="20"/>
        </w:rPr>
      </w:pPr>
      <w:r w:rsidRPr="00894701">
        <w:rPr>
          <w:rFonts w:asciiTheme="minorHAnsi" w:hAnsiTheme="minorHAnsi"/>
          <w:color w:val="auto"/>
          <w:sz w:val="20"/>
          <w:szCs w:val="20"/>
        </w:rPr>
        <w:t xml:space="preserve">The same article states that the application should mention all necessary data from the applicant, in any case:  </w:t>
      </w:r>
    </w:p>
    <w:p w14:paraId="7352F85D" w14:textId="22693B52" w:rsidR="00CA282D" w:rsidRPr="00894701" w:rsidRDefault="00CA282D" w:rsidP="00CA282D">
      <w:pPr>
        <w:pStyle w:val="BodyText"/>
        <w:numPr>
          <w:ilvl w:val="0"/>
          <w:numId w:val="51"/>
        </w:numPr>
        <w:jc w:val="both"/>
        <w:rPr>
          <w:rFonts w:asciiTheme="minorHAnsi" w:hAnsiTheme="minorHAnsi"/>
          <w:color w:val="auto"/>
          <w:sz w:val="20"/>
          <w:szCs w:val="20"/>
        </w:rPr>
      </w:pPr>
      <w:r w:rsidRPr="00894701">
        <w:rPr>
          <w:rFonts w:asciiTheme="minorHAnsi" w:hAnsiTheme="minorHAnsi"/>
          <w:color w:val="auto"/>
          <w:sz w:val="20"/>
          <w:szCs w:val="20"/>
        </w:rPr>
        <w:t xml:space="preserve">with regard to natural persons: name and given name, date and place of birth, nationality, residence in Suriname and address;  </w:t>
      </w:r>
    </w:p>
    <w:p w14:paraId="510EF09C" w14:textId="3A1571F6" w:rsidR="00CA282D" w:rsidRPr="00894701" w:rsidRDefault="00CA282D" w:rsidP="00CA282D">
      <w:pPr>
        <w:pStyle w:val="BodyText"/>
        <w:numPr>
          <w:ilvl w:val="0"/>
          <w:numId w:val="51"/>
        </w:numPr>
        <w:jc w:val="both"/>
        <w:rPr>
          <w:rFonts w:asciiTheme="minorHAnsi" w:hAnsiTheme="minorHAnsi"/>
          <w:color w:val="auto"/>
          <w:sz w:val="20"/>
          <w:szCs w:val="20"/>
        </w:rPr>
      </w:pPr>
      <w:r w:rsidRPr="00894701">
        <w:rPr>
          <w:rFonts w:asciiTheme="minorHAnsi" w:hAnsiTheme="minorHAnsi"/>
          <w:color w:val="auto"/>
          <w:sz w:val="20"/>
          <w:szCs w:val="20"/>
        </w:rPr>
        <w:lastRenderedPageBreak/>
        <w:t xml:space="preserve">with regard to a corporate body or partnership: name, type of corporate body or partnership, the rights suitable for it, place of founding and establishment, name and address of a representative in Suriname, the nominal capital, subscribed capital, pail-in capital as well as </w:t>
      </w:r>
      <w:r w:rsidRPr="00894701">
        <w:rPr>
          <w:rFonts w:asciiTheme="minorHAnsi" w:hAnsiTheme="minorHAnsi"/>
          <w:color w:val="auto"/>
          <w:sz w:val="20"/>
          <w:szCs w:val="20"/>
        </w:rPr>
        <w:br w:type="textWrapping" w:clear="all"/>
        <w:t>names and addresses of managers and those who may establish contacts between the corporate body or partnership and a third party; and</w:t>
      </w:r>
    </w:p>
    <w:p w14:paraId="45316F02" w14:textId="6579B05D" w:rsidR="00CA282D" w:rsidRPr="00894701" w:rsidRDefault="00CA282D" w:rsidP="00CA282D">
      <w:pPr>
        <w:pStyle w:val="BodyText"/>
        <w:numPr>
          <w:ilvl w:val="0"/>
          <w:numId w:val="51"/>
        </w:numPr>
        <w:jc w:val="both"/>
        <w:rPr>
          <w:rFonts w:asciiTheme="minorHAnsi" w:hAnsiTheme="minorHAnsi"/>
          <w:color w:val="auto"/>
          <w:sz w:val="20"/>
          <w:szCs w:val="20"/>
        </w:rPr>
      </w:pPr>
      <w:r w:rsidRPr="00894701">
        <w:rPr>
          <w:rFonts w:asciiTheme="minorHAnsi" w:hAnsiTheme="minorHAnsi"/>
          <w:color w:val="auto"/>
          <w:sz w:val="20"/>
          <w:szCs w:val="20"/>
        </w:rPr>
        <w:t xml:space="preserve">with regard to corporate bodies and partnerships: - a certified copy of statues, a transcript of the latest published balance sheet with exploitation accounts, profit and loss account, reports from the accountant and the Board of Directors or a similar organ, and approval of </w:t>
      </w:r>
      <w:r w:rsidRPr="00894701">
        <w:rPr>
          <w:rFonts w:asciiTheme="minorHAnsi" w:hAnsiTheme="minorHAnsi"/>
          <w:color w:val="auto"/>
          <w:sz w:val="20"/>
          <w:szCs w:val="20"/>
        </w:rPr>
        <w:br w:type="textWrapping" w:clear="all"/>
        <w:t xml:space="preserve">the annual account by the general meeting of shareholders or a similar organ; - a list </w:t>
      </w:r>
      <w:r w:rsidR="00F24935" w:rsidRPr="00894701">
        <w:rPr>
          <w:rFonts w:asciiTheme="minorHAnsi" w:hAnsiTheme="minorHAnsi"/>
          <w:color w:val="auto"/>
          <w:sz w:val="20"/>
          <w:szCs w:val="20"/>
        </w:rPr>
        <w:t>of</w:t>
      </w:r>
      <w:r w:rsidRPr="00894701">
        <w:rPr>
          <w:rFonts w:asciiTheme="minorHAnsi" w:hAnsiTheme="minorHAnsi"/>
          <w:color w:val="auto"/>
          <w:sz w:val="20"/>
          <w:szCs w:val="20"/>
        </w:rPr>
        <w:t xml:space="preserve"> names, given names, nationalities, occupations and addresses of the chairman and members of the Board of Directors or a similar organ, the credentials of the signers. </w:t>
      </w:r>
    </w:p>
    <w:p w14:paraId="147C6D81" w14:textId="3746FCD9" w:rsidR="00CA282D" w:rsidRPr="00894701" w:rsidRDefault="00CA282D" w:rsidP="00CA282D">
      <w:pPr>
        <w:pStyle w:val="BodyText"/>
        <w:jc w:val="both"/>
        <w:rPr>
          <w:rFonts w:asciiTheme="minorHAnsi" w:hAnsiTheme="minorHAnsi"/>
          <w:color w:val="auto"/>
          <w:sz w:val="20"/>
          <w:szCs w:val="20"/>
        </w:rPr>
      </w:pPr>
      <w:r w:rsidRPr="00894701">
        <w:rPr>
          <w:rFonts w:asciiTheme="minorHAnsi" w:hAnsiTheme="minorHAnsi"/>
          <w:color w:val="auto"/>
          <w:sz w:val="20"/>
          <w:szCs w:val="20"/>
        </w:rPr>
        <w:t xml:space="preserve">GMD oversees the mining license application for mining minerals except for Oil.  The licensing process can be described as follows: </w:t>
      </w:r>
    </w:p>
    <w:p w14:paraId="0481B62C" w14:textId="395EE6A0" w:rsidR="00CA282D" w:rsidRPr="00894701" w:rsidRDefault="00CA282D" w:rsidP="00CA282D">
      <w:pPr>
        <w:pStyle w:val="BodyText"/>
        <w:numPr>
          <w:ilvl w:val="0"/>
          <w:numId w:val="51"/>
        </w:numPr>
        <w:jc w:val="both"/>
        <w:rPr>
          <w:rFonts w:asciiTheme="minorHAnsi" w:hAnsiTheme="minorHAnsi"/>
          <w:color w:val="auto"/>
          <w:sz w:val="20"/>
          <w:szCs w:val="20"/>
        </w:rPr>
      </w:pPr>
      <w:r w:rsidRPr="00894701">
        <w:rPr>
          <w:rFonts w:asciiTheme="minorHAnsi" w:hAnsiTheme="minorHAnsi"/>
          <w:color w:val="auto"/>
          <w:sz w:val="20"/>
          <w:szCs w:val="20"/>
        </w:rPr>
        <w:t xml:space="preserve">the permit applicant should personally provide the map indicating the desired location of operation. GMD verifies whether the aforementioned location is vacant; </w:t>
      </w:r>
    </w:p>
    <w:p w14:paraId="7F367452" w14:textId="08C26125" w:rsidR="00CA282D" w:rsidRPr="00894701" w:rsidRDefault="00CA282D" w:rsidP="00CA282D">
      <w:pPr>
        <w:pStyle w:val="BodyText"/>
        <w:numPr>
          <w:ilvl w:val="0"/>
          <w:numId w:val="51"/>
        </w:numPr>
        <w:jc w:val="both"/>
        <w:rPr>
          <w:rFonts w:asciiTheme="minorHAnsi" w:hAnsiTheme="minorHAnsi"/>
          <w:color w:val="auto"/>
          <w:sz w:val="20"/>
          <w:szCs w:val="20"/>
        </w:rPr>
      </w:pPr>
      <w:r w:rsidRPr="00894701">
        <w:rPr>
          <w:rFonts w:asciiTheme="minorHAnsi" w:hAnsiTheme="minorHAnsi"/>
          <w:color w:val="auto"/>
          <w:sz w:val="20"/>
          <w:szCs w:val="20"/>
        </w:rPr>
        <w:t>if the location is available, the application for the permit will commence;</w:t>
      </w:r>
    </w:p>
    <w:p w14:paraId="671972C9" w14:textId="241573D4" w:rsidR="00CA282D" w:rsidRPr="00894701" w:rsidRDefault="00CA282D" w:rsidP="00CA282D">
      <w:pPr>
        <w:pStyle w:val="BodyText"/>
        <w:numPr>
          <w:ilvl w:val="0"/>
          <w:numId w:val="51"/>
        </w:numPr>
        <w:jc w:val="both"/>
        <w:rPr>
          <w:rFonts w:asciiTheme="minorHAnsi" w:hAnsiTheme="minorHAnsi"/>
          <w:color w:val="auto"/>
          <w:sz w:val="20"/>
          <w:szCs w:val="20"/>
        </w:rPr>
      </w:pPr>
      <w:r w:rsidRPr="00894701">
        <w:rPr>
          <w:rFonts w:asciiTheme="minorHAnsi" w:hAnsiTheme="minorHAnsi"/>
          <w:color w:val="auto"/>
          <w:sz w:val="20"/>
          <w:szCs w:val="20"/>
        </w:rPr>
        <w:t>during the processing of the application, GMD will seek advice from the Ministry of Spatial Planning, Land and Forest Management and the Commissioner of the district of the requested location of operation;</w:t>
      </w:r>
    </w:p>
    <w:p w14:paraId="565572BE" w14:textId="0CCFAB33" w:rsidR="00CA282D" w:rsidRPr="00894701" w:rsidRDefault="00CA282D" w:rsidP="00CA282D">
      <w:pPr>
        <w:pStyle w:val="BodyText"/>
        <w:numPr>
          <w:ilvl w:val="0"/>
          <w:numId w:val="51"/>
        </w:numPr>
        <w:jc w:val="both"/>
        <w:rPr>
          <w:rFonts w:asciiTheme="minorHAnsi" w:hAnsiTheme="minorHAnsi"/>
          <w:color w:val="auto"/>
          <w:sz w:val="20"/>
          <w:szCs w:val="20"/>
        </w:rPr>
      </w:pPr>
      <w:r w:rsidRPr="00894701">
        <w:rPr>
          <w:rFonts w:asciiTheme="minorHAnsi" w:hAnsiTheme="minorHAnsi"/>
          <w:color w:val="auto"/>
          <w:sz w:val="20"/>
          <w:szCs w:val="20"/>
        </w:rPr>
        <w:t xml:space="preserve">after positive advice from these Government Agencies, a decision from GMD will be issued to the Minister of MONR. </w:t>
      </w:r>
    </w:p>
    <w:p w14:paraId="271FC82E" w14:textId="69BF2AB3" w:rsidR="00CA282D" w:rsidRPr="00894701" w:rsidRDefault="00CA282D" w:rsidP="00CA282D">
      <w:pPr>
        <w:pStyle w:val="BodyText"/>
        <w:jc w:val="both"/>
        <w:rPr>
          <w:rFonts w:asciiTheme="minorHAnsi" w:hAnsiTheme="minorHAnsi"/>
          <w:color w:val="auto"/>
          <w:sz w:val="20"/>
          <w:szCs w:val="20"/>
        </w:rPr>
      </w:pPr>
      <w:r w:rsidRPr="00894701">
        <w:rPr>
          <w:rFonts w:asciiTheme="minorHAnsi" w:hAnsiTheme="minorHAnsi"/>
          <w:color w:val="auto"/>
          <w:sz w:val="20"/>
          <w:szCs w:val="20"/>
        </w:rPr>
        <w:t xml:space="preserve">The Minister of MONR, based on the advice of GMD, approves the requested Mining rights with references to the:  </w:t>
      </w:r>
    </w:p>
    <w:p w14:paraId="094F486F" w14:textId="77777777" w:rsidR="00CA282D" w:rsidRPr="00894701" w:rsidRDefault="00CA282D" w:rsidP="00CA282D">
      <w:pPr>
        <w:pStyle w:val="BodyText"/>
        <w:jc w:val="both"/>
        <w:rPr>
          <w:rFonts w:asciiTheme="minorHAnsi" w:hAnsiTheme="minorHAnsi"/>
          <w:color w:val="auto"/>
          <w:sz w:val="20"/>
          <w:szCs w:val="20"/>
        </w:rPr>
      </w:pPr>
      <w:r w:rsidRPr="00894701">
        <w:rPr>
          <w:rFonts w:asciiTheme="minorHAnsi" w:hAnsiTheme="minorHAnsi"/>
          <w:color w:val="auto"/>
          <w:sz w:val="20"/>
          <w:szCs w:val="20"/>
        </w:rPr>
        <w:t xml:space="preserve">1.  "Mining Decree" E-58 (S.B. 1986 no. 28), containing general regulations concerning the exploration and extraction of minerals; and  </w:t>
      </w:r>
    </w:p>
    <w:p w14:paraId="419A74E2" w14:textId="65D607AA" w:rsidR="00CA282D" w:rsidRPr="00894701" w:rsidRDefault="00CA282D" w:rsidP="00CA282D">
      <w:pPr>
        <w:pStyle w:val="BodyText"/>
        <w:jc w:val="both"/>
        <w:rPr>
          <w:rFonts w:asciiTheme="minorHAnsi" w:hAnsiTheme="minorHAnsi"/>
          <w:color w:val="auto"/>
          <w:sz w:val="20"/>
          <w:szCs w:val="20"/>
        </w:rPr>
      </w:pPr>
      <w:r w:rsidRPr="00894701">
        <w:rPr>
          <w:rFonts w:asciiTheme="minorHAnsi" w:hAnsiTheme="minorHAnsi"/>
          <w:color w:val="auto"/>
          <w:sz w:val="20"/>
          <w:szCs w:val="20"/>
        </w:rPr>
        <w:t xml:space="preserve">2.  State Decree of May 11, 1989 (S.B 1989 No. 39).  </w:t>
      </w:r>
    </w:p>
    <w:p w14:paraId="5D82E288" w14:textId="5EF10183" w:rsidR="00CA282D" w:rsidRPr="00894701" w:rsidRDefault="00CA282D" w:rsidP="00CA282D">
      <w:pPr>
        <w:pStyle w:val="BodyText"/>
        <w:jc w:val="both"/>
        <w:rPr>
          <w:rFonts w:asciiTheme="minorHAnsi" w:hAnsiTheme="minorHAnsi"/>
          <w:color w:val="010302"/>
          <w:kern w:val="0"/>
          <w:sz w:val="22"/>
          <w:szCs w:val="22"/>
          <w:lang w:eastAsia="en-US"/>
        </w:rPr>
      </w:pPr>
      <w:r w:rsidRPr="00894701">
        <w:rPr>
          <w:rFonts w:asciiTheme="minorHAnsi" w:hAnsiTheme="minorHAnsi"/>
          <w:color w:val="auto"/>
          <w:sz w:val="20"/>
          <w:szCs w:val="20"/>
        </w:rPr>
        <w:t>We present in the table below the required documents for application for ea</w:t>
      </w:r>
      <w:r w:rsidRPr="00894701">
        <w:rPr>
          <w:rFonts w:asciiTheme="minorHAnsi" w:hAnsiTheme="minorHAnsi" w:cs="TrebuchetMS"/>
          <w:color w:val="000000"/>
          <w:kern w:val="0"/>
          <w:sz w:val="20"/>
          <w:szCs w:val="20"/>
          <w:lang w:eastAsia="en-US"/>
        </w:rPr>
        <w:t>ch</w:t>
      </w:r>
      <w:r w:rsidRPr="00894701">
        <w:rPr>
          <w:rFonts w:asciiTheme="minorHAnsi" w:hAnsiTheme="minorHAnsi" w:cs="TrebuchetMS"/>
          <w:color w:val="000000"/>
          <w:spacing w:val="-11"/>
          <w:kern w:val="0"/>
          <w:sz w:val="20"/>
          <w:szCs w:val="20"/>
          <w:lang w:eastAsia="en-US"/>
        </w:rPr>
        <w:t xml:space="preserve"> </w:t>
      </w:r>
      <w:r w:rsidRPr="00894701">
        <w:rPr>
          <w:rFonts w:asciiTheme="minorHAnsi" w:hAnsiTheme="minorHAnsi" w:cs="TrebuchetMS"/>
          <w:color w:val="000000"/>
          <w:kern w:val="0"/>
          <w:sz w:val="20"/>
          <w:szCs w:val="20"/>
          <w:lang w:eastAsia="en-US"/>
        </w:rPr>
        <w:t>type</w:t>
      </w:r>
      <w:r w:rsidRPr="00894701">
        <w:rPr>
          <w:rFonts w:asciiTheme="minorHAnsi" w:hAnsiTheme="minorHAnsi" w:cs="TrebuchetMS"/>
          <w:color w:val="000000"/>
          <w:spacing w:val="-11"/>
          <w:kern w:val="0"/>
          <w:sz w:val="20"/>
          <w:szCs w:val="20"/>
          <w:lang w:eastAsia="en-US"/>
        </w:rPr>
        <w:t xml:space="preserve"> </w:t>
      </w:r>
      <w:r w:rsidRPr="00894701">
        <w:rPr>
          <w:rFonts w:asciiTheme="minorHAnsi" w:hAnsiTheme="minorHAnsi" w:cs="TrebuchetMS"/>
          <w:color w:val="000000"/>
          <w:kern w:val="0"/>
          <w:sz w:val="20"/>
          <w:szCs w:val="20"/>
          <w:lang w:eastAsia="en-US"/>
        </w:rPr>
        <w:t>of</w:t>
      </w:r>
      <w:r w:rsidRPr="00894701">
        <w:rPr>
          <w:rFonts w:asciiTheme="minorHAnsi" w:hAnsiTheme="minorHAnsi" w:cs="TrebuchetMS"/>
          <w:color w:val="000000"/>
          <w:spacing w:val="-11"/>
          <w:kern w:val="0"/>
          <w:sz w:val="20"/>
          <w:szCs w:val="20"/>
          <w:lang w:eastAsia="en-US"/>
        </w:rPr>
        <w:t xml:space="preserve"> </w:t>
      </w:r>
      <w:r w:rsidRPr="00894701">
        <w:rPr>
          <w:rFonts w:asciiTheme="minorHAnsi" w:hAnsiTheme="minorHAnsi" w:cs="TrebuchetMS"/>
          <w:color w:val="000000"/>
          <w:kern w:val="0"/>
          <w:sz w:val="20"/>
          <w:szCs w:val="20"/>
          <w:lang w:eastAsia="en-US"/>
        </w:rPr>
        <w:t>mining</w:t>
      </w:r>
      <w:r w:rsidRPr="00894701">
        <w:rPr>
          <w:rFonts w:asciiTheme="minorHAnsi" w:hAnsiTheme="minorHAnsi" w:cs="TrebuchetMS"/>
          <w:color w:val="000000"/>
          <w:spacing w:val="-11"/>
          <w:kern w:val="0"/>
          <w:sz w:val="20"/>
          <w:szCs w:val="20"/>
          <w:lang w:eastAsia="en-US"/>
        </w:rPr>
        <w:t xml:space="preserve"> </w:t>
      </w:r>
      <w:r w:rsidRPr="00894701">
        <w:rPr>
          <w:rFonts w:asciiTheme="minorHAnsi" w:hAnsiTheme="minorHAnsi" w:cs="TrebuchetMS"/>
          <w:color w:val="000000"/>
          <w:kern w:val="0"/>
          <w:sz w:val="20"/>
          <w:szCs w:val="20"/>
          <w:lang w:eastAsia="en-US"/>
        </w:rPr>
        <w:t xml:space="preserve">license. </w:t>
      </w:r>
    </w:p>
    <w:p w14:paraId="013972D9" w14:textId="58838261" w:rsidR="00CA282D" w:rsidRPr="00894701" w:rsidRDefault="00CA282D" w:rsidP="00CA282D">
      <w:pPr>
        <w:pStyle w:val="BodyText"/>
        <w:jc w:val="center"/>
        <w:rPr>
          <w:rFonts w:asciiTheme="majorHAnsi" w:hAnsiTheme="majorHAnsi"/>
          <w:b/>
          <w:bCs/>
          <w:color w:val="98002E" w:themeColor="accent3"/>
          <w:sz w:val="20"/>
        </w:rPr>
      </w:pPr>
      <w:bookmarkStart w:id="178" w:name="_Toc109599088"/>
      <w:bookmarkStart w:id="179" w:name="_Toc146590495"/>
      <w:bookmarkStart w:id="180" w:name="_Toc93095213"/>
      <w:r w:rsidRPr="00894701">
        <w:rPr>
          <w:rFonts w:asciiTheme="majorHAnsi" w:hAnsiTheme="majorHAnsi"/>
          <w:b/>
          <w:bCs/>
          <w:color w:val="98002E" w:themeColor="accent3"/>
          <w:sz w:val="20"/>
        </w:rPr>
        <w:t xml:space="preserve">Table </w:t>
      </w:r>
      <w:r w:rsidRPr="00894701">
        <w:rPr>
          <w:rFonts w:asciiTheme="majorHAnsi" w:hAnsiTheme="majorHAnsi"/>
          <w:b/>
          <w:bCs/>
          <w:color w:val="98002E" w:themeColor="accent3"/>
          <w:sz w:val="20"/>
        </w:rPr>
        <w:fldChar w:fldCharType="begin"/>
      </w:r>
      <w:r w:rsidRPr="00894701">
        <w:rPr>
          <w:rFonts w:asciiTheme="majorHAnsi" w:hAnsiTheme="majorHAnsi"/>
          <w:b/>
          <w:bCs/>
          <w:color w:val="98002E" w:themeColor="accent3"/>
          <w:sz w:val="20"/>
        </w:rPr>
        <w:instrText xml:space="preserve"> SEQ Table \* ARABIC </w:instrText>
      </w:r>
      <w:r w:rsidRPr="00894701">
        <w:rPr>
          <w:rFonts w:asciiTheme="majorHAnsi" w:hAnsiTheme="majorHAnsi"/>
          <w:b/>
          <w:bCs/>
          <w:color w:val="98002E" w:themeColor="accent3"/>
          <w:sz w:val="20"/>
        </w:rPr>
        <w:fldChar w:fldCharType="separate"/>
      </w:r>
      <w:r w:rsidR="0035303B">
        <w:rPr>
          <w:rFonts w:asciiTheme="majorHAnsi" w:hAnsiTheme="majorHAnsi"/>
          <w:b/>
          <w:bCs/>
          <w:noProof/>
          <w:color w:val="98002E" w:themeColor="accent3"/>
          <w:sz w:val="20"/>
        </w:rPr>
        <w:t>23</w:t>
      </w:r>
      <w:r w:rsidRPr="00894701">
        <w:rPr>
          <w:rFonts w:asciiTheme="majorHAnsi" w:hAnsiTheme="majorHAnsi"/>
          <w:b/>
          <w:bCs/>
          <w:color w:val="98002E" w:themeColor="accent3"/>
          <w:sz w:val="20"/>
        </w:rPr>
        <w:fldChar w:fldCharType="end"/>
      </w:r>
      <w:r w:rsidRPr="00894701">
        <w:rPr>
          <w:rFonts w:asciiTheme="majorHAnsi" w:hAnsiTheme="majorHAnsi"/>
          <w:b/>
          <w:bCs/>
          <w:color w:val="98002E" w:themeColor="accent3"/>
          <w:sz w:val="20"/>
        </w:rPr>
        <w:t>: List of documents for application for the type of mining license</w:t>
      </w:r>
      <w:bookmarkEnd w:id="178"/>
      <w:bookmarkEnd w:id="179"/>
      <w:r w:rsidRPr="00894701">
        <w:rPr>
          <w:rFonts w:asciiTheme="majorHAnsi" w:hAnsiTheme="majorHAnsi"/>
          <w:b/>
          <w:bCs/>
          <w:color w:val="98002E" w:themeColor="accent3"/>
          <w:sz w:val="20"/>
        </w:rPr>
        <w:t xml:space="preserve"> </w:t>
      </w:r>
      <w:bookmarkEnd w:id="180"/>
    </w:p>
    <w:tbl>
      <w:tblPr>
        <w:tblStyle w:val="TableGrid"/>
        <w:tblW w:w="0" w:type="auto"/>
        <w:tblLook w:val="04A0" w:firstRow="1" w:lastRow="0" w:firstColumn="1" w:lastColumn="0" w:noHBand="0" w:noVBand="1"/>
      </w:tblPr>
      <w:tblGrid>
        <w:gridCol w:w="1663"/>
        <w:gridCol w:w="7387"/>
      </w:tblGrid>
      <w:tr w:rsidR="00CA282D" w:rsidRPr="00894701" w14:paraId="1B6E6128" w14:textId="77777777" w:rsidTr="00446B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50"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10022" w:themeFill="accent3" w:themeFillShade="BF"/>
          </w:tcPr>
          <w:p w14:paraId="13F7907A" w14:textId="77777777" w:rsidR="00CA282D" w:rsidRPr="00894701" w:rsidRDefault="00CA282D" w:rsidP="00446B8D">
            <w:pPr>
              <w:pStyle w:val="BodyText"/>
              <w:jc w:val="both"/>
              <w:rPr>
                <w:rFonts w:asciiTheme="minorHAnsi" w:hAnsiTheme="minorHAnsi"/>
                <w:b/>
                <w:bCs/>
                <w:color w:val="auto"/>
                <w:szCs w:val="18"/>
              </w:rPr>
            </w:pPr>
            <w:r w:rsidRPr="00894701">
              <w:rPr>
                <w:rFonts w:asciiTheme="minorHAnsi" w:hAnsiTheme="minorHAnsi"/>
                <w:b/>
                <w:bCs/>
                <w:color w:val="auto"/>
                <w:szCs w:val="18"/>
              </w:rPr>
              <w:t>License</w:t>
            </w:r>
          </w:p>
        </w:tc>
      </w:tr>
      <w:tr w:rsidR="00CA282D" w:rsidRPr="00894701" w14:paraId="5EDDDEA0" w14:textId="77777777" w:rsidTr="00446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3" w:type="dxa"/>
          </w:tcPr>
          <w:p w14:paraId="7491E96C" w14:textId="77777777" w:rsidR="00CA282D" w:rsidRPr="00894701" w:rsidRDefault="00CA282D" w:rsidP="00446B8D">
            <w:pPr>
              <w:pStyle w:val="BodyText"/>
              <w:jc w:val="both"/>
              <w:rPr>
                <w:rFonts w:asciiTheme="minorHAnsi" w:hAnsiTheme="minorHAnsi"/>
                <w:color w:val="auto"/>
                <w:szCs w:val="18"/>
              </w:rPr>
            </w:pPr>
            <w:r w:rsidRPr="00894701">
              <w:rPr>
                <w:rFonts w:asciiTheme="minorHAnsi" w:hAnsiTheme="minorHAnsi"/>
                <w:color w:val="auto"/>
                <w:szCs w:val="18"/>
              </w:rPr>
              <w:t xml:space="preserve">Reconnaissance </w:t>
            </w:r>
          </w:p>
        </w:tc>
        <w:tc>
          <w:tcPr>
            <w:tcW w:w="7387" w:type="dxa"/>
          </w:tcPr>
          <w:p w14:paraId="1CB4CB09" w14:textId="14F1A291" w:rsidR="00CA282D" w:rsidRPr="00894701" w:rsidRDefault="00CA282D" w:rsidP="00446B8D">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The work programme according to which the applicant plans to carry out activities, including schedule(s), outlines of expenses to be paid, and materials and labour to be put in.</w:t>
            </w:r>
          </w:p>
        </w:tc>
      </w:tr>
      <w:tr w:rsidR="00CA282D" w:rsidRPr="00894701" w14:paraId="16158B16" w14:textId="77777777" w:rsidTr="00446B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3" w:type="dxa"/>
            <w:shd w:val="clear" w:color="auto" w:fill="F997AB" w:themeFill="accent5" w:themeFillTint="99"/>
          </w:tcPr>
          <w:p w14:paraId="00B28F79" w14:textId="77777777" w:rsidR="00CA282D" w:rsidRPr="00894701" w:rsidRDefault="00CA282D" w:rsidP="00446B8D">
            <w:pPr>
              <w:pStyle w:val="BodyText"/>
              <w:jc w:val="both"/>
              <w:rPr>
                <w:rFonts w:asciiTheme="minorHAnsi" w:hAnsiTheme="minorHAnsi"/>
                <w:color w:val="auto"/>
                <w:szCs w:val="18"/>
              </w:rPr>
            </w:pPr>
            <w:r w:rsidRPr="00894701">
              <w:rPr>
                <w:rFonts w:asciiTheme="minorHAnsi" w:hAnsiTheme="minorHAnsi"/>
                <w:color w:val="auto"/>
                <w:szCs w:val="18"/>
              </w:rPr>
              <w:t xml:space="preserve">Exploration </w:t>
            </w:r>
          </w:p>
        </w:tc>
        <w:tc>
          <w:tcPr>
            <w:tcW w:w="7387" w:type="dxa"/>
            <w:shd w:val="clear" w:color="auto" w:fill="F997AB" w:themeFill="accent5" w:themeFillTint="99"/>
          </w:tcPr>
          <w:p w14:paraId="5D36C549" w14:textId="14F6460C" w:rsidR="00CA282D" w:rsidRPr="00894701" w:rsidRDefault="00CA282D" w:rsidP="00446B8D">
            <w:pPr>
              <w:pStyle w:val="BodyText"/>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General work programme according to which the applicant intends to carry out activities during the term of the exploration rights to be granted as well as a detailed work programme relating to the first 12 months, enclosing schedule(s), the cost of the project and personnel and materials to be put in, a statement in which the applicant commits himself to spend a certain minimum sum of money during the first period of the exploration rights to be granted referred to in the first paragraph of Article 27. </w:t>
            </w:r>
          </w:p>
          <w:p w14:paraId="193B616E" w14:textId="1914F84E" w:rsidR="00CA282D" w:rsidRPr="00894701" w:rsidRDefault="00CA282D" w:rsidP="00446B8D">
            <w:pPr>
              <w:pStyle w:val="BodyText"/>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The minister can require from the applicant either proof of a bank deposit or bank guarantee form a banking institution in Suriname, covering a sum that in his judgement is desired regarding the statement mentioned in the first paragraph, item etc. </w:t>
            </w:r>
          </w:p>
        </w:tc>
      </w:tr>
      <w:tr w:rsidR="00CA282D" w:rsidRPr="00894701" w14:paraId="65F355AD" w14:textId="77777777" w:rsidTr="00446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3" w:type="dxa"/>
          </w:tcPr>
          <w:p w14:paraId="53858177" w14:textId="548699DB" w:rsidR="00CA282D" w:rsidRPr="00894701" w:rsidRDefault="00CA282D" w:rsidP="00446B8D">
            <w:pPr>
              <w:pStyle w:val="BodyText"/>
              <w:jc w:val="both"/>
              <w:rPr>
                <w:rFonts w:asciiTheme="minorHAnsi" w:hAnsiTheme="minorHAnsi"/>
                <w:color w:val="auto"/>
                <w:szCs w:val="18"/>
              </w:rPr>
            </w:pPr>
            <w:r w:rsidRPr="00894701">
              <w:rPr>
                <w:rFonts w:asciiTheme="minorHAnsi" w:hAnsiTheme="minorHAnsi"/>
                <w:color w:val="auto"/>
                <w:szCs w:val="18"/>
              </w:rPr>
              <w:t xml:space="preserve">Exploitation </w:t>
            </w:r>
          </w:p>
        </w:tc>
        <w:tc>
          <w:tcPr>
            <w:tcW w:w="7387" w:type="dxa"/>
          </w:tcPr>
          <w:p w14:paraId="43C48E18" w14:textId="77777777" w:rsidR="00CA282D" w:rsidRPr="00894701" w:rsidRDefault="00CA282D" w:rsidP="00446B8D">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The application for exploitation rights, in consideration of Article 10, should be made no longer than six months before the termination of the exploration rights. The application should provide: </w:t>
            </w:r>
          </w:p>
          <w:p w14:paraId="668BFCB8" w14:textId="29503158" w:rsidR="00CA282D" w:rsidRPr="00894701" w:rsidRDefault="00CA282D" w:rsidP="00CA282D">
            <w:pPr>
              <w:pStyle w:val="BodyText"/>
              <w:numPr>
                <w:ilvl w:val="0"/>
                <w:numId w:val="40"/>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particulars of the mineral deposit with an extensive report in line with acceptable international norms as well as a technological report of mining and handling possibilities; </w:t>
            </w:r>
          </w:p>
          <w:p w14:paraId="236AFC0E" w14:textId="77777777" w:rsidR="00CA282D" w:rsidRPr="00894701" w:rsidRDefault="00CA282D" w:rsidP="00CA282D">
            <w:pPr>
              <w:pStyle w:val="BodyText"/>
              <w:numPr>
                <w:ilvl w:val="0"/>
                <w:numId w:val="40"/>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lastRenderedPageBreak/>
              <w:t xml:space="preserve">particulars of all shown minerals, proven, estimated and probable reserves; </w:t>
            </w:r>
          </w:p>
          <w:p w14:paraId="5A547D6D" w14:textId="77777777" w:rsidR="00CA282D" w:rsidRPr="00894701" w:rsidRDefault="00CA282D" w:rsidP="00CA282D">
            <w:pPr>
              <w:pStyle w:val="BodyText"/>
              <w:numPr>
                <w:ilvl w:val="0"/>
                <w:numId w:val="40"/>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a programme on the basis of which the applicant intends to carry out mining activities with the related time schedule; </w:t>
            </w:r>
          </w:p>
          <w:p w14:paraId="765C9E5A" w14:textId="77777777" w:rsidR="00CA282D" w:rsidRPr="00894701" w:rsidRDefault="00CA282D" w:rsidP="00CA282D">
            <w:pPr>
              <w:pStyle w:val="BodyText"/>
              <w:numPr>
                <w:ilvl w:val="0"/>
                <w:numId w:val="40"/>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the production capacity to be installed and estimated total proceeds from the mineral deposit; </w:t>
            </w:r>
          </w:p>
          <w:p w14:paraId="5A33E824" w14:textId="77777777" w:rsidR="00CA282D" w:rsidRPr="00894701" w:rsidRDefault="00CA282D" w:rsidP="00CA282D">
            <w:pPr>
              <w:pStyle w:val="BodyText"/>
              <w:numPr>
                <w:ilvl w:val="0"/>
                <w:numId w:val="40"/>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a prediction of the capital to be invested, exploitation costs and sale proceeds as well as the intended method of financing; and </w:t>
            </w:r>
          </w:p>
          <w:p w14:paraId="145D9A40" w14:textId="77777777" w:rsidR="00CA282D" w:rsidRPr="00894701" w:rsidRDefault="00CA282D" w:rsidP="00CA282D">
            <w:pPr>
              <w:pStyle w:val="BodyText"/>
              <w:numPr>
                <w:ilvl w:val="0"/>
                <w:numId w:val="40"/>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a plan for the training of and transfer of know-how to Surinamese citizens.  </w:t>
            </w:r>
          </w:p>
        </w:tc>
      </w:tr>
      <w:tr w:rsidR="00CA282D" w:rsidRPr="00894701" w14:paraId="6AF10EC0" w14:textId="77777777" w:rsidTr="00446B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3" w:type="dxa"/>
            <w:shd w:val="clear" w:color="auto" w:fill="F997AB" w:themeFill="accent5" w:themeFillTint="99"/>
          </w:tcPr>
          <w:p w14:paraId="432AB22D" w14:textId="4369FD32" w:rsidR="00CA282D" w:rsidRPr="00894701" w:rsidRDefault="001A4301" w:rsidP="00446B8D">
            <w:pPr>
              <w:pStyle w:val="BodyText"/>
              <w:jc w:val="both"/>
              <w:rPr>
                <w:rFonts w:asciiTheme="minorHAnsi" w:hAnsiTheme="minorHAnsi"/>
                <w:color w:val="auto"/>
                <w:szCs w:val="18"/>
              </w:rPr>
            </w:pPr>
            <w:r w:rsidRPr="00894701">
              <w:rPr>
                <w:rFonts w:asciiTheme="minorHAnsi" w:hAnsiTheme="minorHAnsi"/>
                <w:color w:val="auto"/>
                <w:szCs w:val="18"/>
              </w:rPr>
              <w:lastRenderedPageBreak/>
              <w:t xml:space="preserve">Small scale mining  </w:t>
            </w:r>
          </w:p>
        </w:tc>
        <w:tc>
          <w:tcPr>
            <w:tcW w:w="7387" w:type="dxa"/>
            <w:shd w:val="clear" w:color="auto" w:fill="F997AB" w:themeFill="accent5" w:themeFillTint="99"/>
          </w:tcPr>
          <w:p w14:paraId="58024A81" w14:textId="77777777" w:rsidR="00CA282D" w:rsidRPr="00894701" w:rsidRDefault="00CA282D" w:rsidP="00446B8D">
            <w:pPr>
              <w:pStyle w:val="BodyText"/>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how the applicant intends to carry out the activities related to the exercise of his rights. </w:t>
            </w:r>
          </w:p>
        </w:tc>
      </w:tr>
      <w:tr w:rsidR="00CA282D" w:rsidRPr="00894701" w14:paraId="1246882D" w14:textId="77777777" w:rsidTr="008605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bottom w:val="single" w:sz="12" w:space="0" w:color="C00000"/>
            </w:tcBorders>
          </w:tcPr>
          <w:p w14:paraId="11057E0F" w14:textId="0481C7FA" w:rsidR="00CA282D" w:rsidRPr="00894701" w:rsidRDefault="00CA282D" w:rsidP="00446B8D">
            <w:pPr>
              <w:pStyle w:val="BodyText"/>
              <w:jc w:val="both"/>
              <w:rPr>
                <w:rFonts w:asciiTheme="minorHAnsi" w:hAnsiTheme="minorHAnsi"/>
                <w:color w:val="auto"/>
                <w:szCs w:val="18"/>
              </w:rPr>
            </w:pPr>
            <w:r w:rsidRPr="00894701">
              <w:rPr>
                <w:rFonts w:asciiTheme="minorHAnsi" w:hAnsiTheme="minorHAnsi"/>
                <w:color w:val="auto"/>
                <w:szCs w:val="18"/>
              </w:rPr>
              <w:t xml:space="preserve">Building materials  </w:t>
            </w:r>
          </w:p>
        </w:tc>
        <w:tc>
          <w:tcPr>
            <w:tcW w:w="0" w:type="dxa"/>
            <w:tcBorders>
              <w:bottom w:val="single" w:sz="12" w:space="0" w:color="C00000"/>
            </w:tcBorders>
          </w:tcPr>
          <w:p w14:paraId="1AC1D015" w14:textId="77777777" w:rsidR="00CA282D" w:rsidRPr="00894701" w:rsidRDefault="00CA282D" w:rsidP="00446B8D">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Intended manner and estimated duration of exploration activities, or the quantity of material to be mined annually as well as the manner of mining. </w:t>
            </w:r>
          </w:p>
          <w:p w14:paraId="185865D0" w14:textId="77777777" w:rsidR="00CA282D" w:rsidRPr="00894701" w:rsidRDefault="00CA282D" w:rsidP="00446B8D">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His intended plan for making the terrain usable again after the exploitation.</w:t>
            </w:r>
          </w:p>
        </w:tc>
      </w:tr>
    </w:tbl>
    <w:p w14:paraId="36E2CEE2" w14:textId="77777777" w:rsidR="00CA282D" w:rsidRPr="00894701" w:rsidRDefault="00CA282D" w:rsidP="00CA282D">
      <w:pPr>
        <w:pStyle w:val="ListParagraph"/>
        <w:numPr>
          <w:ilvl w:val="0"/>
          <w:numId w:val="52"/>
        </w:numPr>
        <w:spacing w:before="240" w:after="240" w:line="240" w:lineRule="auto"/>
        <w:rPr>
          <w:rFonts w:asciiTheme="minorHAnsi" w:hAnsiTheme="minorHAnsi" w:cs="Arial"/>
          <w:b/>
          <w:color w:val="auto"/>
          <w:sz w:val="20"/>
          <w:szCs w:val="28"/>
        </w:rPr>
      </w:pPr>
      <w:r w:rsidRPr="00894701">
        <w:rPr>
          <w:rFonts w:asciiTheme="minorHAnsi" w:hAnsiTheme="minorHAnsi" w:cs="Arial"/>
          <w:b/>
          <w:color w:val="auto"/>
          <w:sz w:val="20"/>
          <w:szCs w:val="28"/>
        </w:rPr>
        <w:t xml:space="preserve">Technical and financial capacities </w:t>
      </w:r>
    </w:p>
    <w:p w14:paraId="36279835" w14:textId="01E16E7B" w:rsidR="00CA282D" w:rsidRPr="00894701" w:rsidRDefault="00CA282D" w:rsidP="00CA282D">
      <w:pPr>
        <w:widowControl w:val="0"/>
        <w:spacing w:before="76" w:after="0" w:line="255" w:lineRule="exact"/>
        <w:ind w:right="210"/>
        <w:jc w:val="both"/>
        <w:rPr>
          <w:rFonts w:asciiTheme="minorHAnsi" w:hAnsiTheme="minorHAnsi"/>
          <w:color w:val="010302"/>
          <w:kern w:val="0"/>
          <w:sz w:val="22"/>
          <w:szCs w:val="22"/>
          <w:lang w:eastAsia="en-US"/>
        </w:rPr>
      </w:pPr>
      <w:r w:rsidRPr="00894701">
        <w:rPr>
          <w:rFonts w:asciiTheme="minorHAnsi" w:hAnsiTheme="minorHAnsi" w:cs="TrebuchetMS"/>
          <w:color w:val="000000"/>
          <w:kern w:val="0"/>
          <w:sz w:val="20"/>
          <w:szCs w:val="20"/>
          <w:lang w:eastAsia="en-US"/>
        </w:rPr>
        <w:t>Article</w:t>
      </w:r>
      <w:r w:rsidRPr="00894701">
        <w:rPr>
          <w:rFonts w:asciiTheme="minorHAnsi" w:hAnsiTheme="minorHAnsi" w:cs="TrebuchetMS"/>
          <w:color w:val="000000"/>
          <w:spacing w:val="32"/>
          <w:kern w:val="0"/>
          <w:sz w:val="20"/>
          <w:szCs w:val="20"/>
          <w:lang w:eastAsia="en-US"/>
        </w:rPr>
        <w:t xml:space="preserve"> </w:t>
      </w:r>
      <w:r w:rsidRPr="00894701">
        <w:rPr>
          <w:rFonts w:asciiTheme="minorHAnsi" w:hAnsiTheme="minorHAnsi" w:cs="TrebuchetMS"/>
          <w:color w:val="000000"/>
          <w:kern w:val="0"/>
          <w:sz w:val="20"/>
          <w:szCs w:val="20"/>
          <w:lang w:eastAsia="en-US"/>
        </w:rPr>
        <w:t>9</w:t>
      </w:r>
      <w:r w:rsidRPr="00894701">
        <w:rPr>
          <w:rFonts w:asciiTheme="minorHAnsi" w:hAnsiTheme="minorHAnsi" w:cs="TrebuchetMS"/>
          <w:color w:val="000000"/>
          <w:spacing w:val="33"/>
          <w:kern w:val="0"/>
          <w:sz w:val="20"/>
          <w:szCs w:val="20"/>
          <w:lang w:eastAsia="en-US"/>
        </w:rPr>
        <w:t xml:space="preserve"> </w:t>
      </w:r>
      <w:r w:rsidRPr="00894701">
        <w:rPr>
          <w:rFonts w:asciiTheme="minorHAnsi" w:hAnsiTheme="minorHAnsi" w:cs="TrebuchetMS"/>
          <w:color w:val="000000"/>
          <w:kern w:val="0"/>
          <w:sz w:val="20"/>
          <w:szCs w:val="20"/>
          <w:lang w:eastAsia="en-US"/>
        </w:rPr>
        <w:t>of</w:t>
      </w:r>
      <w:r w:rsidRPr="00894701">
        <w:rPr>
          <w:rFonts w:asciiTheme="minorHAnsi" w:hAnsiTheme="minorHAnsi" w:cs="TrebuchetMS"/>
          <w:color w:val="000000"/>
          <w:spacing w:val="33"/>
          <w:kern w:val="0"/>
          <w:sz w:val="20"/>
          <w:szCs w:val="20"/>
          <w:lang w:eastAsia="en-US"/>
        </w:rPr>
        <w:t xml:space="preserve"> </w:t>
      </w:r>
      <w:r w:rsidRPr="00894701">
        <w:rPr>
          <w:rFonts w:asciiTheme="minorHAnsi" w:hAnsiTheme="minorHAnsi" w:cs="TrebuchetMS"/>
          <w:color w:val="000000"/>
          <w:kern w:val="0"/>
          <w:sz w:val="20"/>
          <w:szCs w:val="20"/>
          <w:lang w:eastAsia="en-US"/>
        </w:rPr>
        <w:t>the</w:t>
      </w:r>
      <w:r w:rsidRPr="00894701">
        <w:rPr>
          <w:rFonts w:asciiTheme="minorHAnsi" w:hAnsiTheme="minorHAnsi" w:cs="TrebuchetMS"/>
          <w:color w:val="000000"/>
          <w:spacing w:val="35"/>
          <w:kern w:val="0"/>
          <w:sz w:val="20"/>
          <w:szCs w:val="20"/>
          <w:lang w:eastAsia="en-US"/>
        </w:rPr>
        <w:t xml:space="preserve"> </w:t>
      </w:r>
      <w:r w:rsidRPr="00894701">
        <w:rPr>
          <w:rFonts w:asciiTheme="minorHAnsi" w:hAnsiTheme="minorHAnsi" w:cs="TrebuchetMS"/>
          <w:color w:val="000000"/>
          <w:kern w:val="0"/>
          <w:sz w:val="20"/>
          <w:szCs w:val="20"/>
          <w:lang w:eastAsia="en-US"/>
        </w:rPr>
        <w:t>Mining</w:t>
      </w:r>
      <w:r w:rsidRPr="00894701">
        <w:rPr>
          <w:rFonts w:asciiTheme="minorHAnsi" w:hAnsiTheme="minorHAnsi" w:cs="TrebuchetMS"/>
          <w:color w:val="000000"/>
          <w:spacing w:val="35"/>
          <w:kern w:val="0"/>
          <w:sz w:val="20"/>
          <w:szCs w:val="20"/>
          <w:lang w:eastAsia="en-US"/>
        </w:rPr>
        <w:t xml:space="preserve"> </w:t>
      </w:r>
      <w:r w:rsidRPr="00894701">
        <w:rPr>
          <w:rFonts w:asciiTheme="minorHAnsi" w:hAnsiTheme="minorHAnsi" w:cs="TrebuchetMS"/>
          <w:color w:val="000000"/>
          <w:kern w:val="0"/>
          <w:sz w:val="20"/>
          <w:szCs w:val="20"/>
          <w:lang w:eastAsia="en-US"/>
        </w:rPr>
        <w:t>decree</w:t>
      </w:r>
      <w:r w:rsidRPr="00894701">
        <w:rPr>
          <w:rFonts w:asciiTheme="minorHAnsi" w:hAnsiTheme="minorHAnsi" w:cs="TrebuchetMS"/>
          <w:color w:val="000000"/>
          <w:spacing w:val="32"/>
          <w:kern w:val="0"/>
          <w:sz w:val="20"/>
          <w:szCs w:val="20"/>
          <w:lang w:eastAsia="en-US"/>
        </w:rPr>
        <w:t xml:space="preserve"> </w:t>
      </w:r>
      <w:r w:rsidRPr="00894701">
        <w:rPr>
          <w:rFonts w:asciiTheme="minorHAnsi" w:hAnsiTheme="minorHAnsi" w:cs="TrebuchetMS"/>
          <w:color w:val="000000"/>
          <w:kern w:val="0"/>
          <w:sz w:val="20"/>
          <w:szCs w:val="20"/>
          <w:lang w:eastAsia="en-US"/>
        </w:rPr>
        <w:t>1986</w:t>
      </w:r>
      <w:r w:rsidRPr="00894701">
        <w:rPr>
          <w:rFonts w:asciiTheme="minorHAnsi" w:hAnsiTheme="minorHAnsi" w:cs="TrebuchetMS"/>
          <w:color w:val="000000"/>
          <w:spacing w:val="33"/>
          <w:kern w:val="0"/>
          <w:sz w:val="20"/>
          <w:szCs w:val="20"/>
          <w:lang w:eastAsia="en-US"/>
        </w:rPr>
        <w:t xml:space="preserve"> </w:t>
      </w:r>
      <w:r w:rsidRPr="00894701">
        <w:rPr>
          <w:rFonts w:asciiTheme="minorHAnsi" w:hAnsiTheme="minorHAnsi" w:cs="TrebuchetMS"/>
          <w:color w:val="000000"/>
          <w:kern w:val="0"/>
          <w:sz w:val="20"/>
          <w:szCs w:val="20"/>
          <w:lang w:eastAsia="en-US"/>
        </w:rPr>
        <w:t>stipulates</w:t>
      </w:r>
      <w:r w:rsidRPr="00894701">
        <w:rPr>
          <w:rFonts w:asciiTheme="minorHAnsi" w:hAnsiTheme="minorHAnsi" w:cs="TrebuchetMS"/>
          <w:color w:val="000000"/>
          <w:spacing w:val="33"/>
          <w:kern w:val="0"/>
          <w:sz w:val="20"/>
          <w:szCs w:val="20"/>
          <w:lang w:eastAsia="en-US"/>
        </w:rPr>
        <w:t xml:space="preserve"> </w:t>
      </w:r>
      <w:r w:rsidRPr="00894701">
        <w:rPr>
          <w:rFonts w:asciiTheme="minorHAnsi" w:hAnsiTheme="minorHAnsi" w:cs="TrebuchetMS"/>
          <w:color w:val="000000"/>
          <w:kern w:val="0"/>
          <w:sz w:val="20"/>
          <w:szCs w:val="20"/>
          <w:lang w:eastAsia="en-US"/>
        </w:rPr>
        <w:t>that</w:t>
      </w:r>
      <w:r w:rsidRPr="00894701">
        <w:rPr>
          <w:rFonts w:asciiTheme="minorHAnsi" w:hAnsiTheme="minorHAnsi" w:cs="TrebuchetMS"/>
          <w:color w:val="000000"/>
          <w:spacing w:val="35"/>
          <w:kern w:val="0"/>
          <w:sz w:val="20"/>
          <w:szCs w:val="20"/>
          <w:lang w:eastAsia="en-US"/>
        </w:rPr>
        <w:t xml:space="preserve"> </w:t>
      </w:r>
      <w:r w:rsidRPr="00894701">
        <w:rPr>
          <w:rFonts w:asciiTheme="minorHAnsi" w:hAnsiTheme="minorHAnsi" w:cs="TrebuchetMS"/>
          <w:color w:val="000000"/>
          <w:kern w:val="0"/>
          <w:sz w:val="20"/>
          <w:szCs w:val="20"/>
          <w:lang w:eastAsia="en-US"/>
        </w:rPr>
        <w:t>the</w:t>
      </w:r>
      <w:r w:rsidRPr="00894701">
        <w:rPr>
          <w:rFonts w:asciiTheme="minorHAnsi" w:hAnsiTheme="minorHAnsi" w:cs="TrebuchetMS"/>
          <w:color w:val="000000"/>
          <w:spacing w:val="35"/>
          <w:kern w:val="0"/>
          <w:sz w:val="20"/>
          <w:szCs w:val="20"/>
          <w:lang w:eastAsia="en-US"/>
        </w:rPr>
        <w:t xml:space="preserve"> </w:t>
      </w:r>
      <w:r w:rsidRPr="00894701">
        <w:rPr>
          <w:rFonts w:asciiTheme="minorHAnsi" w:hAnsiTheme="minorHAnsi" w:cs="TrebuchetMS"/>
          <w:color w:val="000000"/>
          <w:kern w:val="0"/>
          <w:sz w:val="20"/>
          <w:szCs w:val="20"/>
          <w:lang w:eastAsia="en-US"/>
        </w:rPr>
        <w:t>Mining</w:t>
      </w:r>
      <w:r w:rsidRPr="00894701">
        <w:rPr>
          <w:rFonts w:asciiTheme="minorHAnsi" w:hAnsiTheme="minorHAnsi" w:cs="TrebuchetMS"/>
          <w:color w:val="000000"/>
          <w:spacing w:val="35"/>
          <w:kern w:val="0"/>
          <w:sz w:val="20"/>
          <w:szCs w:val="20"/>
          <w:lang w:eastAsia="en-US"/>
        </w:rPr>
        <w:t xml:space="preserve"> </w:t>
      </w:r>
      <w:r w:rsidRPr="00894701">
        <w:rPr>
          <w:rFonts w:asciiTheme="minorHAnsi" w:hAnsiTheme="minorHAnsi" w:cs="TrebuchetMS"/>
          <w:color w:val="000000"/>
          <w:kern w:val="0"/>
          <w:sz w:val="20"/>
          <w:szCs w:val="20"/>
          <w:lang w:eastAsia="en-US"/>
        </w:rPr>
        <w:t>rights</w:t>
      </w:r>
      <w:r w:rsidRPr="00894701">
        <w:rPr>
          <w:rFonts w:asciiTheme="minorHAnsi" w:hAnsiTheme="minorHAnsi" w:cs="TrebuchetMS"/>
          <w:color w:val="000000"/>
          <w:spacing w:val="33"/>
          <w:kern w:val="0"/>
          <w:sz w:val="20"/>
          <w:szCs w:val="20"/>
          <w:lang w:eastAsia="en-US"/>
        </w:rPr>
        <w:t xml:space="preserve"> </w:t>
      </w:r>
      <w:r w:rsidRPr="00894701">
        <w:rPr>
          <w:rFonts w:asciiTheme="minorHAnsi" w:hAnsiTheme="minorHAnsi" w:cs="TrebuchetMS"/>
          <w:color w:val="000000"/>
          <w:kern w:val="0"/>
          <w:sz w:val="20"/>
          <w:szCs w:val="20"/>
          <w:lang w:eastAsia="en-US"/>
        </w:rPr>
        <w:t>can</w:t>
      </w:r>
      <w:r w:rsidRPr="00894701">
        <w:rPr>
          <w:rFonts w:asciiTheme="minorHAnsi" w:hAnsiTheme="minorHAnsi" w:cs="TrebuchetMS"/>
          <w:color w:val="000000"/>
          <w:spacing w:val="33"/>
          <w:kern w:val="0"/>
          <w:sz w:val="20"/>
          <w:szCs w:val="20"/>
          <w:lang w:eastAsia="en-US"/>
        </w:rPr>
        <w:t xml:space="preserve"> </w:t>
      </w:r>
      <w:r w:rsidRPr="00894701">
        <w:rPr>
          <w:rFonts w:asciiTheme="minorHAnsi" w:hAnsiTheme="minorHAnsi" w:cs="TrebuchetMS"/>
          <w:color w:val="000000"/>
          <w:kern w:val="0"/>
          <w:sz w:val="20"/>
          <w:szCs w:val="20"/>
          <w:lang w:eastAsia="en-US"/>
        </w:rPr>
        <w:t>only</w:t>
      </w:r>
      <w:r w:rsidRPr="00894701">
        <w:rPr>
          <w:rFonts w:asciiTheme="minorHAnsi" w:hAnsiTheme="minorHAnsi" w:cs="TrebuchetMS"/>
          <w:color w:val="000000"/>
          <w:spacing w:val="33"/>
          <w:kern w:val="0"/>
          <w:sz w:val="20"/>
          <w:szCs w:val="20"/>
          <w:lang w:eastAsia="en-US"/>
        </w:rPr>
        <w:t xml:space="preserve"> </w:t>
      </w:r>
      <w:r w:rsidRPr="00894701">
        <w:rPr>
          <w:rFonts w:asciiTheme="minorHAnsi" w:hAnsiTheme="minorHAnsi" w:cs="TrebuchetMS"/>
          <w:color w:val="000000"/>
          <w:kern w:val="0"/>
          <w:sz w:val="20"/>
          <w:szCs w:val="20"/>
          <w:lang w:eastAsia="en-US"/>
        </w:rPr>
        <w:t>be</w:t>
      </w:r>
      <w:r w:rsidRPr="00894701">
        <w:rPr>
          <w:rFonts w:asciiTheme="minorHAnsi" w:hAnsiTheme="minorHAnsi" w:cs="TrebuchetMS"/>
          <w:color w:val="000000"/>
          <w:spacing w:val="33"/>
          <w:kern w:val="0"/>
          <w:sz w:val="20"/>
          <w:szCs w:val="20"/>
          <w:lang w:eastAsia="en-US"/>
        </w:rPr>
        <w:t xml:space="preserve"> </w:t>
      </w:r>
      <w:r w:rsidRPr="00894701">
        <w:rPr>
          <w:rFonts w:asciiTheme="minorHAnsi" w:hAnsiTheme="minorHAnsi" w:cs="TrebuchetMS"/>
          <w:color w:val="000000"/>
          <w:kern w:val="0"/>
          <w:sz w:val="20"/>
          <w:szCs w:val="20"/>
          <w:lang w:eastAsia="en-US"/>
        </w:rPr>
        <w:t>granted</w:t>
      </w:r>
      <w:r w:rsidRPr="00894701">
        <w:rPr>
          <w:rFonts w:asciiTheme="minorHAnsi" w:hAnsiTheme="minorHAnsi" w:cs="TrebuchetMS"/>
          <w:color w:val="000000"/>
          <w:spacing w:val="33"/>
          <w:kern w:val="0"/>
          <w:sz w:val="20"/>
          <w:szCs w:val="20"/>
          <w:lang w:eastAsia="en-US"/>
        </w:rPr>
        <w:t xml:space="preserve"> </w:t>
      </w:r>
      <w:r w:rsidRPr="00894701">
        <w:rPr>
          <w:rFonts w:asciiTheme="minorHAnsi" w:hAnsiTheme="minorHAnsi" w:cs="TrebuchetMS"/>
          <w:color w:val="000000"/>
          <w:kern w:val="0"/>
          <w:sz w:val="20"/>
          <w:szCs w:val="20"/>
          <w:lang w:eastAsia="en-US"/>
        </w:rPr>
        <w:t>if</w:t>
      </w:r>
      <w:r w:rsidRPr="00894701">
        <w:rPr>
          <w:rFonts w:asciiTheme="minorHAnsi" w:hAnsiTheme="minorHAnsi" w:cs="TrebuchetMS"/>
          <w:color w:val="000000"/>
          <w:spacing w:val="33"/>
          <w:kern w:val="0"/>
          <w:sz w:val="20"/>
          <w:szCs w:val="20"/>
          <w:lang w:eastAsia="en-US"/>
        </w:rPr>
        <w:t xml:space="preserve"> </w:t>
      </w:r>
      <w:r w:rsidRPr="00894701">
        <w:rPr>
          <w:rFonts w:asciiTheme="minorHAnsi" w:hAnsiTheme="minorHAnsi" w:cs="TrebuchetMS"/>
          <w:color w:val="000000"/>
          <w:kern w:val="0"/>
          <w:sz w:val="20"/>
          <w:szCs w:val="20"/>
          <w:lang w:eastAsia="en-US"/>
        </w:rPr>
        <w:t>the applicant has proved to the satisfaction of the ministe</w:t>
      </w:r>
      <w:r w:rsidRPr="00894701">
        <w:rPr>
          <w:rFonts w:asciiTheme="minorHAnsi" w:hAnsiTheme="minorHAnsi" w:cs="TrebuchetMS"/>
          <w:color w:val="000000"/>
          <w:spacing w:val="-27"/>
          <w:kern w:val="0"/>
          <w:sz w:val="20"/>
          <w:szCs w:val="20"/>
          <w:lang w:eastAsia="en-US"/>
        </w:rPr>
        <w:t>r</w:t>
      </w:r>
      <w:r w:rsidRPr="00894701">
        <w:rPr>
          <w:rFonts w:asciiTheme="minorHAnsi" w:hAnsiTheme="minorHAnsi" w:cs="TrebuchetMS"/>
          <w:color w:val="000000"/>
          <w:kern w:val="0"/>
          <w:sz w:val="20"/>
          <w:szCs w:val="20"/>
          <w:lang w:eastAsia="en-US"/>
        </w:rPr>
        <w:t>, among other things: his financial position, technical capacit</w:t>
      </w:r>
      <w:r w:rsidRPr="00894701">
        <w:rPr>
          <w:rFonts w:asciiTheme="minorHAnsi" w:hAnsiTheme="minorHAnsi" w:cs="TrebuchetMS"/>
          <w:color w:val="000000"/>
          <w:spacing w:val="-21"/>
          <w:kern w:val="0"/>
          <w:sz w:val="20"/>
          <w:szCs w:val="20"/>
          <w:lang w:eastAsia="en-US"/>
        </w:rPr>
        <w:t>y</w:t>
      </w:r>
      <w:r w:rsidRPr="00894701">
        <w:rPr>
          <w:rFonts w:asciiTheme="minorHAnsi" w:hAnsiTheme="minorHAnsi" w:cs="TrebuchetMS"/>
          <w:color w:val="000000"/>
          <w:kern w:val="0"/>
          <w:sz w:val="20"/>
          <w:szCs w:val="20"/>
          <w:lang w:eastAsia="en-US"/>
        </w:rPr>
        <w:t xml:space="preserve">, organisational capability and experience with regard to the mineral(s) for which mining rights are requested.  </w:t>
      </w:r>
    </w:p>
    <w:p w14:paraId="2806F682" w14:textId="4058220D" w:rsidR="00CA282D" w:rsidRDefault="00CA282D" w:rsidP="00CA282D">
      <w:pPr>
        <w:widowControl w:val="0"/>
        <w:spacing w:before="74" w:after="0" w:line="257" w:lineRule="exact"/>
        <w:ind w:right="210"/>
        <w:jc w:val="both"/>
        <w:rPr>
          <w:rFonts w:asciiTheme="minorHAnsi" w:hAnsiTheme="minorHAnsi" w:cs="TrebuchetMS"/>
          <w:color w:val="000000"/>
          <w:kern w:val="0"/>
          <w:sz w:val="20"/>
          <w:szCs w:val="20"/>
          <w:lang w:eastAsia="en-US"/>
        </w:rPr>
      </w:pPr>
      <w:r w:rsidRPr="00894701">
        <w:rPr>
          <w:rFonts w:asciiTheme="minorHAnsi" w:hAnsiTheme="minorHAnsi" w:cs="TrebuchetMS"/>
          <w:color w:val="000000"/>
          <w:kern w:val="0"/>
          <w:sz w:val="20"/>
          <w:szCs w:val="20"/>
          <w:lang w:eastAsia="en-US"/>
        </w:rPr>
        <w:t>Rights</w:t>
      </w:r>
      <w:r w:rsidRPr="00894701">
        <w:rPr>
          <w:rFonts w:asciiTheme="minorHAnsi" w:hAnsiTheme="minorHAnsi" w:cs="TrebuchetMS"/>
          <w:color w:val="000000"/>
          <w:spacing w:val="4"/>
          <w:kern w:val="0"/>
          <w:sz w:val="20"/>
          <w:szCs w:val="20"/>
          <w:lang w:eastAsia="en-US"/>
        </w:rPr>
        <w:t xml:space="preserve"> </w:t>
      </w:r>
      <w:r w:rsidRPr="00894701">
        <w:rPr>
          <w:rFonts w:asciiTheme="minorHAnsi" w:hAnsiTheme="minorHAnsi" w:cs="TrebuchetMS"/>
          <w:color w:val="000000"/>
          <w:kern w:val="0"/>
          <w:sz w:val="20"/>
          <w:szCs w:val="20"/>
          <w:lang w:eastAsia="en-US"/>
        </w:rPr>
        <w:t>are</w:t>
      </w:r>
      <w:r w:rsidRPr="00894701">
        <w:rPr>
          <w:rFonts w:asciiTheme="minorHAnsi" w:hAnsiTheme="minorHAnsi" w:cs="TrebuchetMS"/>
          <w:color w:val="000000"/>
          <w:spacing w:val="3"/>
          <w:kern w:val="0"/>
          <w:sz w:val="20"/>
          <w:szCs w:val="20"/>
          <w:lang w:eastAsia="en-US"/>
        </w:rPr>
        <w:t xml:space="preserve"> </w:t>
      </w:r>
      <w:r w:rsidRPr="00894701">
        <w:rPr>
          <w:rFonts w:asciiTheme="minorHAnsi" w:hAnsiTheme="minorHAnsi" w:cs="TrebuchetMS"/>
          <w:color w:val="000000"/>
          <w:kern w:val="0"/>
          <w:sz w:val="20"/>
          <w:szCs w:val="20"/>
          <w:lang w:eastAsia="en-US"/>
        </w:rPr>
        <w:t>only</w:t>
      </w:r>
      <w:r w:rsidRPr="00894701">
        <w:rPr>
          <w:rFonts w:asciiTheme="minorHAnsi" w:hAnsiTheme="minorHAnsi" w:cs="TrebuchetMS"/>
          <w:color w:val="000000"/>
          <w:spacing w:val="4"/>
          <w:kern w:val="0"/>
          <w:sz w:val="20"/>
          <w:szCs w:val="20"/>
          <w:lang w:eastAsia="en-US"/>
        </w:rPr>
        <w:t xml:space="preserve"> </w:t>
      </w:r>
      <w:r w:rsidRPr="00894701">
        <w:rPr>
          <w:rFonts w:asciiTheme="minorHAnsi" w:hAnsiTheme="minorHAnsi" w:cs="TrebuchetMS"/>
          <w:color w:val="000000"/>
          <w:kern w:val="0"/>
          <w:sz w:val="20"/>
          <w:szCs w:val="20"/>
          <w:lang w:eastAsia="en-US"/>
        </w:rPr>
        <w:t>granted</w:t>
      </w:r>
      <w:r w:rsidRPr="00894701">
        <w:rPr>
          <w:rFonts w:asciiTheme="minorHAnsi" w:hAnsiTheme="minorHAnsi" w:cs="TrebuchetMS"/>
          <w:color w:val="000000"/>
          <w:spacing w:val="3"/>
          <w:kern w:val="0"/>
          <w:sz w:val="20"/>
          <w:szCs w:val="20"/>
          <w:lang w:eastAsia="en-US"/>
        </w:rPr>
        <w:t xml:space="preserve"> </w:t>
      </w:r>
      <w:r w:rsidRPr="00894701">
        <w:rPr>
          <w:rFonts w:asciiTheme="minorHAnsi" w:hAnsiTheme="minorHAnsi" w:cs="TrebuchetMS"/>
          <w:color w:val="000000"/>
          <w:kern w:val="0"/>
          <w:sz w:val="20"/>
          <w:szCs w:val="20"/>
          <w:lang w:eastAsia="en-US"/>
        </w:rPr>
        <w:t>to</w:t>
      </w:r>
      <w:r w:rsidRPr="00894701">
        <w:rPr>
          <w:rFonts w:asciiTheme="minorHAnsi" w:hAnsiTheme="minorHAnsi" w:cs="TrebuchetMS"/>
          <w:color w:val="000000"/>
          <w:spacing w:val="4"/>
          <w:kern w:val="0"/>
          <w:sz w:val="20"/>
          <w:szCs w:val="20"/>
          <w:lang w:eastAsia="en-US"/>
        </w:rPr>
        <w:t xml:space="preserve"> </w:t>
      </w:r>
      <w:r w:rsidRPr="00894701">
        <w:rPr>
          <w:rFonts w:asciiTheme="minorHAnsi" w:hAnsiTheme="minorHAnsi" w:cs="TrebuchetMS"/>
          <w:color w:val="000000"/>
          <w:kern w:val="0"/>
          <w:sz w:val="20"/>
          <w:szCs w:val="20"/>
          <w:lang w:eastAsia="en-US"/>
        </w:rPr>
        <w:t>those</w:t>
      </w:r>
      <w:r w:rsidRPr="00894701">
        <w:rPr>
          <w:rFonts w:asciiTheme="minorHAnsi" w:hAnsiTheme="minorHAnsi" w:cs="TrebuchetMS"/>
          <w:color w:val="000000"/>
          <w:spacing w:val="3"/>
          <w:kern w:val="0"/>
          <w:sz w:val="20"/>
          <w:szCs w:val="20"/>
          <w:lang w:eastAsia="en-US"/>
        </w:rPr>
        <w:t xml:space="preserve"> </w:t>
      </w:r>
      <w:r w:rsidRPr="00894701">
        <w:rPr>
          <w:rFonts w:asciiTheme="minorHAnsi" w:hAnsiTheme="minorHAnsi" w:cs="TrebuchetMS"/>
          <w:color w:val="000000"/>
          <w:kern w:val="0"/>
          <w:sz w:val="20"/>
          <w:szCs w:val="20"/>
          <w:lang w:eastAsia="en-US"/>
        </w:rPr>
        <w:t>entities</w:t>
      </w:r>
      <w:r w:rsidRPr="00894701">
        <w:rPr>
          <w:rFonts w:asciiTheme="minorHAnsi" w:hAnsiTheme="minorHAnsi" w:cs="TrebuchetMS"/>
          <w:color w:val="000000"/>
          <w:spacing w:val="4"/>
          <w:kern w:val="0"/>
          <w:sz w:val="20"/>
          <w:szCs w:val="20"/>
          <w:lang w:eastAsia="en-US"/>
        </w:rPr>
        <w:t xml:space="preserve"> </w:t>
      </w:r>
      <w:r w:rsidRPr="00894701">
        <w:rPr>
          <w:rFonts w:asciiTheme="minorHAnsi" w:hAnsiTheme="minorHAnsi" w:cs="TrebuchetMS"/>
          <w:color w:val="000000"/>
          <w:kern w:val="0"/>
          <w:sz w:val="20"/>
          <w:szCs w:val="20"/>
          <w:lang w:eastAsia="en-US"/>
        </w:rPr>
        <w:t>that</w:t>
      </w:r>
      <w:r w:rsidRPr="00894701">
        <w:rPr>
          <w:rFonts w:asciiTheme="minorHAnsi" w:hAnsiTheme="minorHAnsi" w:cs="TrebuchetMS"/>
          <w:color w:val="000000"/>
          <w:spacing w:val="4"/>
          <w:kern w:val="0"/>
          <w:sz w:val="20"/>
          <w:szCs w:val="20"/>
          <w:lang w:eastAsia="en-US"/>
        </w:rPr>
        <w:t xml:space="preserve"> </w:t>
      </w:r>
      <w:r w:rsidRPr="00894701">
        <w:rPr>
          <w:rFonts w:asciiTheme="minorHAnsi" w:hAnsiTheme="minorHAnsi" w:cs="TrebuchetMS"/>
          <w:color w:val="000000"/>
          <w:kern w:val="0"/>
          <w:sz w:val="20"/>
          <w:szCs w:val="20"/>
          <w:lang w:eastAsia="en-US"/>
        </w:rPr>
        <w:t>have</w:t>
      </w:r>
      <w:r w:rsidRPr="00894701">
        <w:rPr>
          <w:rFonts w:asciiTheme="minorHAnsi" w:hAnsiTheme="minorHAnsi" w:cs="TrebuchetMS"/>
          <w:color w:val="000000"/>
          <w:spacing w:val="3"/>
          <w:kern w:val="0"/>
          <w:sz w:val="20"/>
          <w:szCs w:val="20"/>
          <w:lang w:eastAsia="en-US"/>
        </w:rPr>
        <w:t xml:space="preserve"> </w:t>
      </w:r>
      <w:r w:rsidRPr="00894701">
        <w:rPr>
          <w:rFonts w:asciiTheme="minorHAnsi" w:hAnsiTheme="minorHAnsi"/>
          <w:color w:val="auto"/>
          <w:kern w:val="0"/>
          <w:sz w:val="20"/>
          <w:szCs w:val="20"/>
          <w:lang w:eastAsia="en-US"/>
        </w:rPr>
        <w:t>a</w:t>
      </w:r>
      <w:r w:rsidRPr="00894701">
        <w:rPr>
          <w:rFonts w:asciiTheme="minorHAnsi" w:hAnsiTheme="minorHAnsi" w:cs="TrebuchetMS"/>
          <w:color w:val="000000"/>
          <w:spacing w:val="4"/>
          <w:kern w:val="0"/>
          <w:sz w:val="20"/>
          <w:szCs w:val="20"/>
          <w:lang w:eastAsia="en-US"/>
        </w:rPr>
        <w:t xml:space="preserve"> </w:t>
      </w:r>
      <w:r w:rsidRPr="00894701">
        <w:rPr>
          <w:rFonts w:asciiTheme="minorHAnsi" w:hAnsiTheme="minorHAnsi" w:cs="TrebuchetMS"/>
          <w:color w:val="000000"/>
          <w:kern w:val="0"/>
          <w:sz w:val="20"/>
          <w:szCs w:val="20"/>
          <w:lang w:eastAsia="en-US"/>
        </w:rPr>
        <w:t>proven</w:t>
      </w:r>
      <w:r w:rsidRPr="00894701">
        <w:rPr>
          <w:rFonts w:asciiTheme="minorHAnsi" w:hAnsiTheme="minorHAnsi"/>
          <w:color w:val="auto"/>
          <w:kern w:val="0"/>
          <w:sz w:val="20"/>
          <w:szCs w:val="20"/>
          <w:lang w:eastAsia="en-US"/>
        </w:rPr>
        <w:t xml:space="preserve"> </w:t>
      </w:r>
      <w:r w:rsidRPr="00894701">
        <w:rPr>
          <w:rFonts w:asciiTheme="minorHAnsi" w:hAnsiTheme="minorHAnsi" w:cs="TrebuchetMS"/>
          <w:color w:val="000000"/>
          <w:kern w:val="0"/>
          <w:sz w:val="20"/>
          <w:szCs w:val="20"/>
          <w:lang w:eastAsia="en-US"/>
        </w:rPr>
        <w:t>financial</w:t>
      </w:r>
      <w:r w:rsidRPr="00894701">
        <w:rPr>
          <w:rFonts w:asciiTheme="minorHAnsi" w:hAnsiTheme="minorHAnsi"/>
          <w:color w:val="auto"/>
          <w:kern w:val="0"/>
          <w:sz w:val="20"/>
          <w:szCs w:val="20"/>
          <w:lang w:eastAsia="en-US"/>
        </w:rPr>
        <w:t xml:space="preserve"> </w:t>
      </w:r>
      <w:r w:rsidRPr="00894701">
        <w:rPr>
          <w:rFonts w:asciiTheme="minorHAnsi" w:hAnsiTheme="minorHAnsi" w:cs="TrebuchetMS"/>
          <w:color w:val="000000"/>
          <w:kern w:val="0"/>
          <w:sz w:val="20"/>
          <w:szCs w:val="20"/>
          <w:lang w:eastAsia="en-US"/>
        </w:rPr>
        <w:t>position,</w:t>
      </w:r>
      <w:r w:rsidRPr="00894701">
        <w:rPr>
          <w:rFonts w:asciiTheme="minorHAnsi" w:hAnsiTheme="minorHAnsi" w:cs="TrebuchetMS"/>
          <w:color w:val="000000"/>
          <w:spacing w:val="4"/>
          <w:kern w:val="0"/>
          <w:sz w:val="20"/>
          <w:szCs w:val="20"/>
          <w:lang w:eastAsia="en-US"/>
        </w:rPr>
        <w:t xml:space="preserve"> </w:t>
      </w:r>
      <w:r w:rsidRPr="00894701">
        <w:rPr>
          <w:rFonts w:asciiTheme="minorHAnsi" w:hAnsiTheme="minorHAnsi" w:cs="TrebuchetMS"/>
          <w:color w:val="000000"/>
          <w:kern w:val="0"/>
          <w:sz w:val="20"/>
          <w:szCs w:val="20"/>
          <w:lang w:eastAsia="en-US"/>
        </w:rPr>
        <w:t>technical</w:t>
      </w:r>
      <w:r w:rsidRPr="00894701">
        <w:rPr>
          <w:rFonts w:asciiTheme="minorHAnsi" w:hAnsiTheme="minorHAnsi" w:cs="TrebuchetMS"/>
          <w:color w:val="000000"/>
          <w:spacing w:val="4"/>
          <w:kern w:val="0"/>
          <w:sz w:val="20"/>
          <w:szCs w:val="20"/>
          <w:lang w:eastAsia="en-US"/>
        </w:rPr>
        <w:t xml:space="preserve"> </w:t>
      </w:r>
      <w:r w:rsidRPr="00894701">
        <w:rPr>
          <w:rFonts w:asciiTheme="minorHAnsi" w:hAnsiTheme="minorHAnsi" w:cs="TrebuchetMS"/>
          <w:color w:val="000000"/>
          <w:kern w:val="0"/>
          <w:sz w:val="20"/>
          <w:szCs w:val="20"/>
          <w:lang w:eastAsia="en-US"/>
        </w:rPr>
        <w:t>and organisational</w:t>
      </w:r>
      <w:r w:rsidRPr="00894701">
        <w:rPr>
          <w:rFonts w:asciiTheme="minorHAnsi" w:hAnsiTheme="minorHAnsi" w:cs="TrebuchetMS"/>
          <w:color w:val="000000"/>
          <w:spacing w:val="-7"/>
          <w:kern w:val="0"/>
          <w:sz w:val="20"/>
          <w:szCs w:val="20"/>
          <w:lang w:eastAsia="en-US"/>
        </w:rPr>
        <w:t xml:space="preserve"> </w:t>
      </w:r>
      <w:r w:rsidRPr="00894701">
        <w:rPr>
          <w:rFonts w:asciiTheme="minorHAnsi" w:hAnsiTheme="minorHAnsi" w:cs="TrebuchetMS"/>
          <w:color w:val="000000"/>
          <w:kern w:val="0"/>
          <w:sz w:val="20"/>
          <w:szCs w:val="20"/>
          <w:lang w:eastAsia="en-US"/>
        </w:rPr>
        <w:t>competence,</w:t>
      </w:r>
      <w:r w:rsidRPr="00894701">
        <w:rPr>
          <w:rFonts w:asciiTheme="minorHAnsi" w:hAnsiTheme="minorHAnsi" w:cs="TrebuchetMS"/>
          <w:color w:val="000000"/>
          <w:spacing w:val="-7"/>
          <w:kern w:val="0"/>
          <w:sz w:val="20"/>
          <w:szCs w:val="20"/>
          <w:lang w:eastAsia="en-US"/>
        </w:rPr>
        <w:t xml:space="preserve"> </w:t>
      </w:r>
      <w:r w:rsidRPr="00894701">
        <w:rPr>
          <w:rFonts w:asciiTheme="minorHAnsi" w:hAnsiTheme="minorHAnsi" w:cs="TrebuchetMS"/>
          <w:color w:val="000000"/>
          <w:kern w:val="0"/>
          <w:sz w:val="20"/>
          <w:szCs w:val="20"/>
          <w:lang w:eastAsia="en-US"/>
        </w:rPr>
        <w:t>and</w:t>
      </w:r>
      <w:r w:rsidRPr="00894701">
        <w:rPr>
          <w:rFonts w:asciiTheme="minorHAnsi" w:hAnsiTheme="minorHAnsi" w:cs="TrebuchetMS"/>
          <w:color w:val="000000"/>
          <w:spacing w:val="-7"/>
          <w:kern w:val="0"/>
          <w:sz w:val="20"/>
          <w:szCs w:val="20"/>
          <w:lang w:eastAsia="en-US"/>
        </w:rPr>
        <w:t xml:space="preserve"> </w:t>
      </w:r>
      <w:r w:rsidRPr="00894701">
        <w:rPr>
          <w:rFonts w:asciiTheme="minorHAnsi" w:hAnsiTheme="minorHAnsi" w:cs="TrebuchetMS"/>
          <w:color w:val="000000"/>
          <w:kern w:val="0"/>
          <w:sz w:val="20"/>
          <w:szCs w:val="20"/>
          <w:lang w:eastAsia="en-US"/>
        </w:rPr>
        <w:t>experience</w:t>
      </w:r>
      <w:r w:rsidRPr="00894701">
        <w:rPr>
          <w:rFonts w:asciiTheme="minorHAnsi" w:hAnsiTheme="minorHAnsi" w:cs="TrebuchetMS"/>
          <w:color w:val="000000"/>
          <w:spacing w:val="-7"/>
          <w:kern w:val="0"/>
          <w:sz w:val="20"/>
          <w:szCs w:val="20"/>
          <w:lang w:eastAsia="en-US"/>
        </w:rPr>
        <w:t xml:space="preserve"> </w:t>
      </w:r>
      <w:r w:rsidRPr="00894701">
        <w:rPr>
          <w:rFonts w:asciiTheme="minorHAnsi" w:hAnsiTheme="minorHAnsi" w:cs="TrebuchetMS"/>
          <w:color w:val="000000"/>
          <w:kern w:val="0"/>
          <w:sz w:val="20"/>
          <w:szCs w:val="20"/>
          <w:lang w:eastAsia="en-US"/>
        </w:rPr>
        <w:t>with</w:t>
      </w:r>
      <w:r w:rsidRPr="00894701">
        <w:rPr>
          <w:rFonts w:asciiTheme="minorHAnsi" w:hAnsiTheme="minorHAnsi" w:cs="TrebuchetMS"/>
          <w:color w:val="000000"/>
          <w:spacing w:val="-7"/>
          <w:kern w:val="0"/>
          <w:sz w:val="20"/>
          <w:szCs w:val="20"/>
          <w:lang w:eastAsia="en-US"/>
        </w:rPr>
        <w:t xml:space="preserve"> </w:t>
      </w:r>
      <w:r w:rsidRPr="00894701">
        <w:rPr>
          <w:rFonts w:asciiTheme="minorHAnsi" w:hAnsiTheme="minorHAnsi" w:cs="TrebuchetMS"/>
          <w:color w:val="000000"/>
          <w:kern w:val="0"/>
          <w:sz w:val="20"/>
          <w:szCs w:val="20"/>
          <w:lang w:eastAsia="en-US"/>
        </w:rPr>
        <w:t>regard</w:t>
      </w:r>
      <w:r w:rsidRPr="00894701">
        <w:rPr>
          <w:rFonts w:asciiTheme="minorHAnsi" w:hAnsiTheme="minorHAnsi" w:cs="TrebuchetMS"/>
          <w:color w:val="000000"/>
          <w:spacing w:val="-7"/>
          <w:kern w:val="0"/>
          <w:sz w:val="20"/>
          <w:szCs w:val="20"/>
          <w:lang w:eastAsia="en-US"/>
        </w:rPr>
        <w:t xml:space="preserve"> </w:t>
      </w:r>
      <w:r w:rsidRPr="00894701">
        <w:rPr>
          <w:rFonts w:asciiTheme="minorHAnsi" w:hAnsiTheme="minorHAnsi" w:cs="TrebuchetMS"/>
          <w:color w:val="000000"/>
          <w:kern w:val="0"/>
          <w:sz w:val="20"/>
          <w:szCs w:val="20"/>
          <w:lang w:eastAsia="en-US"/>
        </w:rPr>
        <w:t>to</w:t>
      </w:r>
      <w:r w:rsidRPr="00894701">
        <w:rPr>
          <w:rFonts w:asciiTheme="minorHAnsi" w:hAnsiTheme="minorHAnsi" w:cs="TrebuchetMS"/>
          <w:color w:val="000000"/>
          <w:spacing w:val="-7"/>
          <w:kern w:val="0"/>
          <w:sz w:val="20"/>
          <w:szCs w:val="20"/>
          <w:lang w:eastAsia="en-US"/>
        </w:rPr>
        <w:t xml:space="preserve"> </w:t>
      </w:r>
      <w:r w:rsidRPr="00894701">
        <w:rPr>
          <w:rFonts w:asciiTheme="minorHAnsi" w:hAnsiTheme="minorHAnsi" w:cs="TrebuchetMS"/>
          <w:color w:val="000000"/>
          <w:kern w:val="0"/>
          <w:sz w:val="20"/>
          <w:szCs w:val="20"/>
          <w:lang w:eastAsia="en-US"/>
        </w:rPr>
        <w:t>the</w:t>
      </w:r>
      <w:r w:rsidRPr="00894701">
        <w:rPr>
          <w:rFonts w:asciiTheme="minorHAnsi" w:hAnsiTheme="minorHAnsi" w:cs="TrebuchetMS"/>
          <w:color w:val="000000"/>
          <w:spacing w:val="-7"/>
          <w:kern w:val="0"/>
          <w:sz w:val="20"/>
          <w:szCs w:val="20"/>
          <w:lang w:eastAsia="en-US"/>
        </w:rPr>
        <w:t xml:space="preserve"> </w:t>
      </w:r>
      <w:r w:rsidRPr="00894701">
        <w:rPr>
          <w:rFonts w:asciiTheme="minorHAnsi" w:hAnsiTheme="minorHAnsi" w:cs="TrebuchetMS"/>
          <w:color w:val="000000"/>
          <w:kern w:val="0"/>
          <w:sz w:val="20"/>
          <w:szCs w:val="20"/>
          <w:lang w:eastAsia="en-US"/>
        </w:rPr>
        <w:t>mineral</w:t>
      </w:r>
      <w:r w:rsidRPr="00894701">
        <w:rPr>
          <w:rFonts w:asciiTheme="minorHAnsi" w:hAnsiTheme="minorHAnsi" w:cs="TrebuchetMS"/>
          <w:color w:val="000000"/>
          <w:spacing w:val="-7"/>
          <w:kern w:val="0"/>
          <w:sz w:val="20"/>
          <w:szCs w:val="20"/>
          <w:lang w:eastAsia="en-US"/>
        </w:rPr>
        <w:t xml:space="preserve"> </w:t>
      </w:r>
      <w:r w:rsidRPr="00894701">
        <w:rPr>
          <w:rFonts w:asciiTheme="minorHAnsi" w:hAnsiTheme="minorHAnsi" w:cs="TrebuchetMS"/>
          <w:color w:val="000000"/>
          <w:kern w:val="0"/>
          <w:sz w:val="20"/>
          <w:szCs w:val="20"/>
          <w:lang w:eastAsia="en-US"/>
        </w:rPr>
        <w:t>in</w:t>
      </w:r>
      <w:r w:rsidRPr="00894701">
        <w:rPr>
          <w:rFonts w:asciiTheme="minorHAnsi" w:hAnsiTheme="minorHAnsi" w:cs="TrebuchetMS"/>
          <w:color w:val="000000"/>
          <w:spacing w:val="-7"/>
          <w:kern w:val="0"/>
          <w:sz w:val="20"/>
          <w:szCs w:val="20"/>
          <w:lang w:eastAsia="en-US"/>
        </w:rPr>
        <w:t xml:space="preserve"> </w:t>
      </w:r>
      <w:r w:rsidRPr="00894701">
        <w:rPr>
          <w:rFonts w:asciiTheme="minorHAnsi" w:hAnsiTheme="minorHAnsi" w:cs="TrebuchetMS"/>
          <w:color w:val="000000"/>
          <w:kern w:val="0"/>
          <w:sz w:val="20"/>
          <w:szCs w:val="20"/>
          <w:lang w:eastAsia="en-US"/>
        </w:rPr>
        <w:t>question.</w:t>
      </w:r>
      <w:r w:rsidRPr="00894701">
        <w:rPr>
          <w:rFonts w:asciiTheme="minorHAnsi" w:hAnsiTheme="minorHAnsi" w:cs="TrebuchetMS"/>
          <w:color w:val="000000"/>
          <w:spacing w:val="-7"/>
          <w:kern w:val="0"/>
          <w:sz w:val="20"/>
          <w:szCs w:val="20"/>
          <w:lang w:eastAsia="en-US"/>
        </w:rPr>
        <w:t xml:space="preserve"> </w:t>
      </w:r>
      <w:r w:rsidRPr="00894701">
        <w:rPr>
          <w:rFonts w:asciiTheme="minorHAnsi" w:hAnsiTheme="minorHAnsi" w:cs="TrebuchetMS"/>
          <w:color w:val="000000"/>
          <w:kern w:val="0"/>
          <w:sz w:val="20"/>
          <w:szCs w:val="20"/>
          <w:lang w:eastAsia="en-US"/>
        </w:rPr>
        <w:t>Upon termination of the right, the holder must, to the satisfaction of the Ministe</w:t>
      </w:r>
      <w:r w:rsidRPr="00894701">
        <w:rPr>
          <w:rFonts w:asciiTheme="minorHAnsi" w:hAnsiTheme="minorHAnsi" w:cs="TrebuchetMS"/>
          <w:color w:val="000000"/>
          <w:spacing w:val="-27"/>
          <w:kern w:val="0"/>
          <w:sz w:val="20"/>
          <w:szCs w:val="20"/>
          <w:lang w:eastAsia="en-US"/>
        </w:rPr>
        <w:t>r</w:t>
      </w:r>
      <w:r w:rsidRPr="00894701">
        <w:rPr>
          <w:rFonts w:asciiTheme="minorHAnsi" w:hAnsiTheme="minorHAnsi" w:cs="TrebuchetMS"/>
          <w:color w:val="000000"/>
          <w:kern w:val="0"/>
          <w:sz w:val="20"/>
          <w:szCs w:val="20"/>
          <w:lang w:eastAsia="en-US"/>
        </w:rPr>
        <w:t>, take the necessary steps to respect public safet</w:t>
      </w:r>
      <w:r w:rsidRPr="00894701">
        <w:rPr>
          <w:rFonts w:asciiTheme="minorHAnsi" w:hAnsiTheme="minorHAnsi" w:cs="TrebuchetMS"/>
          <w:color w:val="000000"/>
          <w:spacing w:val="-24"/>
          <w:kern w:val="0"/>
          <w:sz w:val="20"/>
          <w:szCs w:val="20"/>
          <w:lang w:eastAsia="en-US"/>
        </w:rPr>
        <w:t>y</w:t>
      </w:r>
      <w:r w:rsidRPr="00894701">
        <w:rPr>
          <w:rFonts w:asciiTheme="minorHAnsi" w:hAnsiTheme="minorHAnsi" w:cs="TrebuchetMS"/>
          <w:color w:val="000000"/>
          <w:kern w:val="0"/>
          <w:sz w:val="20"/>
          <w:szCs w:val="20"/>
          <w:lang w:eastAsia="en-US"/>
        </w:rPr>
        <w:t xml:space="preserve">, conserve the deposit, rehabilitate the area and protect the environment. </w:t>
      </w:r>
    </w:p>
    <w:p w14:paraId="54C73688" w14:textId="2CC37EEE" w:rsidR="00A91C98" w:rsidRPr="00860520" w:rsidRDefault="00A91C98" w:rsidP="00A95549">
      <w:pPr>
        <w:widowControl w:val="0"/>
        <w:spacing w:before="74" w:after="0" w:line="257" w:lineRule="exact"/>
        <w:ind w:right="210"/>
        <w:jc w:val="both"/>
        <w:rPr>
          <w:rFonts w:asciiTheme="minorHAnsi" w:hAnsiTheme="minorHAnsi"/>
          <w:color w:val="010302"/>
          <w:kern w:val="0"/>
          <w:sz w:val="20"/>
          <w:szCs w:val="20"/>
          <w:lang w:eastAsia="en-US"/>
        </w:rPr>
      </w:pPr>
      <w:r w:rsidRPr="00860520">
        <w:rPr>
          <w:rFonts w:asciiTheme="minorHAnsi" w:hAnsiTheme="minorHAnsi"/>
          <w:color w:val="010302"/>
          <w:kern w:val="0"/>
          <w:sz w:val="20"/>
          <w:szCs w:val="20"/>
          <w:lang w:eastAsia="en-US"/>
        </w:rPr>
        <w:t xml:space="preserve">Exploration licenses and exploitation licenses may be wholly or partially transferred to persons or enterprises that meet the requirements applicable to an applicant of the rights </w:t>
      </w:r>
      <w:r w:rsidR="00A95549" w:rsidRPr="00860520">
        <w:rPr>
          <w:rFonts w:asciiTheme="minorHAnsi" w:hAnsiTheme="minorHAnsi"/>
          <w:color w:val="010302"/>
          <w:kern w:val="0"/>
          <w:sz w:val="20"/>
          <w:szCs w:val="20"/>
          <w:lang w:eastAsia="en-US"/>
        </w:rPr>
        <w:t xml:space="preserve">as detailed above in this Section </w:t>
      </w:r>
      <w:r w:rsidRPr="00860520">
        <w:rPr>
          <w:rFonts w:asciiTheme="minorHAnsi" w:hAnsiTheme="minorHAnsi"/>
          <w:color w:val="010302"/>
          <w:kern w:val="0"/>
          <w:sz w:val="20"/>
          <w:szCs w:val="20"/>
          <w:lang w:eastAsia="en-US"/>
        </w:rPr>
        <w:t>and only with written approval from GMD</w:t>
      </w:r>
      <w:r w:rsidR="00845F3D" w:rsidRPr="00860520">
        <w:rPr>
          <w:rFonts w:asciiTheme="minorHAnsi" w:hAnsiTheme="minorHAnsi"/>
          <w:color w:val="010302"/>
          <w:kern w:val="0"/>
          <w:sz w:val="20"/>
          <w:szCs w:val="20"/>
          <w:lang w:eastAsia="en-US"/>
        </w:rPr>
        <w:t>.</w:t>
      </w:r>
      <w:r w:rsidR="00A95549" w:rsidRPr="00860520">
        <w:rPr>
          <w:rStyle w:val="FootnoteReference"/>
          <w:rFonts w:asciiTheme="minorHAnsi" w:hAnsiTheme="minorHAnsi"/>
          <w:color w:val="010302"/>
          <w:kern w:val="0"/>
          <w:sz w:val="20"/>
          <w:szCs w:val="20"/>
          <w:lang w:eastAsia="en-US"/>
        </w:rPr>
        <w:footnoteReference w:id="31"/>
      </w:r>
    </w:p>
    <w:p w14:paraId="1B6E6902" w14:textId="6A2516A4" w:rsidR="00CA282D" w:rsidRPr="00894701" w:rsidRDefault="00CA282D" w:rsidP="00CA282D">
      <w:pPr>
        <w:pStyle w:val="BodyText"/>
        <w:spacing w:line="240" w:lineRule="auto"/>
        <w:jc w:val="center"/>
        <w:rPr>
          <w:rFonts w:asciiTheme="majorHAnsi" w:hAnsiTheme="majorHAnsi"/>
          <w:b/>
          <w:bCs/>
          <w:color w:val="98002E" w:themeColor="accent3"/>
          <w:sz w:val="20"/>
        </w:rPr>
      </w:pPr>
      <w:r w:rsidRPr="00894701">
        <w:rPr>
          <w:rFonts w:asciiTheme="minorHAnsi" w:hAnsiTheme="minorHAnsi" w:cs="TrebuchetMS"/>
          <w:color w:val="000000"/>
          <w:kern w:val="0"/>
          <w:sz w:val="20"/>
          <w:szCs w:val="20"/>
          <w:lang w:eastAsia="en-US"/>
        </w:rPr>
        <w:t xml:space="preserve">The number of active medium and small-scale mining licenses on 31 December 2020 can be presented in the table below. </w:t>
      </w:r>
      <w:bookmarkStart w:id="181" w:name="_Toc93095214"/>
      <w:bookmarkStart w:id="182" w:name="_Toc109599089"/>
      <w:bookmarkStart w:id="183" w:name="_Toc146590496"/>
      <w:r w:rsidRPr="00894701">
        <w:rPr>
          <w:rFonts w:asciiTheme="majorHAnsi" w:hAnsiTheme="majorHAnsi"/>
          <w:b/>
          <w:color w:val="98002E" w:themeColor="accent3"/>
        </w:rPr>
        <w:t xml:space="preserve">Table </w:t>
      </w:r>
      <w:r w:rsidRPr="00894701">
        <w:rPr>
          <w:rFonts w:asciiTheme="majorHAnsi" w:hAnsiTheme="majorHAnsi"/>
          <w:b/>
          <w:bCs/>
          <w:color w:val="98002E" w:themeColor="accent3"/>
        </w:rPr>
        <w:fldChar w:fldCharType="begin"/>
      </w:r>
      <w:r w:rsidRPr="00894701">
        <w:rPr>
          <w:rFonts w:asciiTheme="majorHAnsi" w:hAnsiTheme="majorHAnsi"/>
          <w:b/>
          <w:color w:val="98002E" w:themeColor="accent3"/>
        </w:rPr>
        <w:instrText xml:space="preserve"> SEQ Table \* ARABIC </w:instrText>
      </w:r>
      <w:r w:rsidRPr="00894701">
        <w:rPr>
          <w:rFonts w:asciiTheme="majorHAnsi" w:hAnsiTheme="majorHAnsi"/>
          <w:b/>
          <w:bCs/>
          <w:color w:val="98002E" w:themeColor="accent3"/>
        </w:rPr>
        <w:fldChar w:fldCharType="separate"/>
      </w:r>
      <w:r w:rsidR="0035303B">
        <w:rPr>
          <w:rFonts w:asciiTheme="majorHAnsi" w:hAnsiTheme="majorHAnsi"/>
          <w:b/>
          <w:noProof/>
          <w:color w:val="98002E" w:themeColor="accent3"/>
        </w:rPr>
        <w:t>24</w:t>
      </w:r>
      <w:r w:rsidRPr="00894701">
        <w:rPr>
          <w:rFonts w:asciiTheme="majorHAnsi" w:hAnsiTheme="majorHAnsi"/>
          <w:b/>
          <w:bCs/>
          <w:color w:val="98002E" w:themeColor="accent3"/>
        </w:rPr>
        <w:fldChar w:fldCharType="end"/>
      </w:r>
      <w:r w:rsidRPr="00894701">
        <w:rPr>
          <w:rFonts w:asciiTheme="majorHAnsi" w:hAnsiTheme="majorHAnsi"/>
          <w:b/>
          <w:color w:val="98002E" w:themeColor="accent3"/>
        </w:rPr>
        <w:t xml:space="preserve">: </w:t>
      </w:r>
      <w:r w:rsidRPr="00894701">
        <w:rPr>
          <w:rFonts w:asciiTheme="majorHAnsi" w:hAnsiTheme="majorHAnsi"/>
          <w:b/>
          <w:bCs/>
          <w:color w:val="98002E" w:themeColor="accent3"/>
          <w:sz w:val="20"/>
        </w:rPr>
        <w:t xml:space="preserve">Summary of active medium and small-scale mining licenses </w:t>
      </w:r>
      <w:bookmarkEnd w:id="181"/>
      <w:r w:rsidRPr="00894701">
        <w:rPr>
          <w:rFonts w:asciiTheme="majorHAnsi" w:hAnsiTheme="majorHAnsi"/>
          <w:b/>
          <w:bCs/>
          <w:color w:val="98002E" w:themeColor="accent3"/>
          <w:sz w:val="20"/>
        </w:rPr>
        <w:t>in 2020</w:t>
      </w:r>
      <w:bookmarkEnd w:id="182"/>
      <w:bookmarkEnd w:id="183"/>
    </w:p>
    <w:tbl>
      <w:tblPr>
        <w:tblStyle w:val="TableGrid"/>
        <w:tblW w:w="5000" w:type="pct"/>
        <w:jc w:val="center"/>
        <w:tblLook w:val="04A0" w:firstRow="1" w:lastRow="0" w:firstColumn="1" w:lastColumn="0" w:noHBand="0" w:noVBand="1"/>
      </w:tblPr>
      <w:tblGrid>
        <w:gridCol w:w="5951"/>
        <w:gridCol w:w="3099"/>
      </w:tblGrid>
      <w:tr w:rsidR="00CA282D" w:rsidRPr="00894701" w14:paraId="3CDFBBCA" w14:textId="77777777" w:rsidTr="00446B8D">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3288" w:type="pct"/>
            <w:shd w:val="clear" w:color="auto" w:fill="7A091A"/>
          </w:tcPr>
          <w:p w14:paraId="75BF274C" w14:textId="77777777" w:rsidR="00CA282D" w:rsidRPr="00894701" w:rsidRDefault="00CA282D" w:rsidP="00446B8D">
            <w:pPr>
              <w:widowControl w:val="0"/>
              <w:spacing w:before="0" w:after="0" w:line="240" w:lineRule="auto"/>
              <w:ind w:right="210"/>
              <w:jc w:val="both"/>
              <w:rPr>
                <w:rFonts w:asciiTheme="minorHAnsi" w:hAnsiTheme="minorHAnsi"/>
                <w:b/>
                <w:bCs/>
                <w:color w:val="FFFFFF" w:themeColor="background1"/>
                <w:kern w:val="0"/>
                <w:szCs w:val="18"/>
                <w:lang w:eastAsia="en-US"/>
              </w:rPr>
            </w:pPr>
            <w:r w:rsidRPr="00894701">
              <w:rPr>
                <w:rFonts w:asciiTheme="minorHAnsi" w:hAnsiTheme="minorHAnsi"/>
                <w:b/>
                <w:bCs/>
                <w:color w:val="FFFFFF" w:themeColor="background1"/>
                <w:kern w:val="0"/>
                <w:szCs w:val="18"/>
                <w:lang w:eastAsia="en-US"/>
              </w:rPr>
              <w:t xml:space="preserve">Type of licenses </w:t>
            </w:r>
          </w:p>
        </w:tc>
        <w:tc>
          <w:tcPr>
            <w:tcW w:w="1712" w:type="pct"/>
            <w:shd w:val="clear" w:color="auto" w:fill="7A091A"/>
          </w:tcPr>
          <w:p w14:paraId="415389F1" w14:textId="77777777" w:rsidR="00CA282D" w:rsidRPr="00894701" w:rsidRDefault="00CA282D" w:rsidP="001851B2">
            <w:pPr>
              <w:widowControl w:val="0"/>
              <w:spacing w:before="0" w:after="0" w:line="240" w:lineRule="auto"/>
              <w:ind w:right="210"/>
              <w:jc w:val="right"/>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FFFFFF" w:themeColor="background1"/>
                <w:kern w:val="0"/>
                <w:szCs w:val="18"/>
                <w:lang w:eastAsia="en-US"/>
              </w:rPr>
            </w:pPr>
            <w:r w:rsidRPr="00894701">
              <w:rPr>
                <w:rFonts w:asciiTheme="minorHAnsi" w:hAnsiTheme="minorHAnsi"/>
                <w:b/>
                <w:bCs/>
                <w:color w:val="FFFFFF" w:themeColor="background1"/>
                <w:kern w:val="0"/>
                <w:szCs w:val="18"/>
                <w:lang w:eastAsia="en-US"/>
              </w:rPr>
              <w:t>2020</w:t>
            </w:r>
          </w:p>
        </w:tc>
      </w:tr>
      <w:tr w:rsidR="00CA282D" w:rsidRPr="00894701" w14:paraId="2DC38802" w14:textId="77777777" w:rsidTr="00446B8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3288" w:type="pct"/>
          </w:tcPr>
          <w:p w14:paraId="6E341B08" w14:textId="77777777" w:rsidR="00CA282D" w:rsidRPr="00894701" w:rsidRDefault="00CA282D" w:rsidP="00446B8D">
            <w:pPr>
              <w:widowControl w:val="0"/>
              <w:spacing w:before="0" w:after="0" w:line="240" w:lineRule="auto"/>
              <w:ind w:right="210"/>
              <w:jc w:val="both"/>
              <w:rPr>
                <w:rFonts w:asciiTheme="minorHAnsi" w:hAnsiTheme="minorHAnsi"/>
                <w:color w:val="auto"/>
                <w:kern w:val="0"/>
                <w:szCs w:val="18"/>
                <w:lang w:eastAsia="en-US"/>
              </w:rPr>
            </w:pPr>
            <w:r w:rsidRPr="00894701">
              <w:rPr>
                <w:rFonts w:asciiTheme="minorHAnsi" w:hAnsiTheme="minorHAnsi"/>
                <w:color w:val="auto"/>
                <w:szCs w:val="18"/>
              </w:rPr>
              <w:t xml:space="preserve">Building materials </w:t>
            </w:r>
          </w:p>
        </w:tc>
        <w:tc>
          <w:tcPr>
            <w:tcW w:w="1712" w:type="pct"/>
          </w:tcPr>
          <w:p w14:paraId="5FFDFC43" w14:textId="2BE287F7" w:rsidR="00CA282D" w:rsidRPr="00894701" w:rsidRDefault="00CA282D" w:rsidP="00446B8D">
            <w:pPr>
              <w:widowControl w:val="0"/>
              <w:spacing w:before="0" w:after="0" w:line="240" w:lineRule="auto"/>
              <w:ind w:right="21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kern w:val="0"/>
                <w:szCs w:val="18"/>
                <w:lang w:eastAsia="en-US"/>
              </w:rPr>
            </w:pPr>
            <w:r w:rsidRPr="00894701">
              <w:rPr>
                <w:rFonts w:asciiTheme="minorHAnsi" w:hAnsiTheme="minorHAnsi"/>
                <w:color w:val="auto"/>
                <w:szCs w:val="18"/>
              </w:rPr>
              <w:t>9</w:t>
            </w:r>
            <w:r w:rsidR="009556A2">
              <w:rPr>
                <w:rFonts w:asciiTheme="minorHAnsi" w:hAnsiTheme="minorHAnsi"/>
                <w:color w:val="auto"/>
                <w:szCs w:val="18"/>
              </w:rPr>
              <w:t>9</w:t>
            </w:r>
            <w:r w:rsidRPr="00894701">
              <w:rPr>
                <w:rFonts w:asciiTheme="minorHAnsi" w:hAnsiTheme="minorHAnsi"/>
                <w:color w:val="auto"/>
                <w:szCs w:val="18"/>
              </w:rPr>
              <w:t xml:space="preserve"> </w:t>
            </w:r>
          </w:p>
        </w:tc>
      </w:tr>
      <w:tr w:rsidR="00CA282D" w:rsidRPr="00894701" w14:paraId="2157FCFB" w14:textId="77777777" w:rsidTr="00446B8D">
        <w:trPr>
          <w:cnfStyle w:val="000000010000" w:firstRow="0" w:lastRow="0" w:firstColumn="0" w:lastColumn="0" w:oddVBand="0" w:evenVBand="0" w:oddHBand="0" w:evenHBand="1"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3288" w:type="pct"/>
            <w:shd w:val="clear" w:color="auto" w:fill="F997AB" w:themeFill="accent5" w:themeFillTint="99"/>
          </w:tcPr>
          <w:p w14:paraId="41457D42" w14:textId="2C86E845" w:rsidR="00CA282D" w:rsidRPr="00894701" w:rsidRDefault="00CA282D" w:rsidP="00446B8D">
            <w:pPr>
              <w:widowControl w:val="0"/>
              <w:spacing w:before="0" w:after="0" w:line="240" w:lineRule="auto"/>
              <w:ind w:right="210"/>
              <w:jc w:val="both"/>
              <w:rPr>
                <w:rFonts w:asciiTheme="minorHAnsi" w:hAnsiTheme="minorHAnsi"/>
                <w:color w:val="auto"/>
                <w:kern w:val="0"/>
                <w:szCs w:val="18"/>
                <w:lang w:eastAsia="en-US"/>
              </w:rPr>
            </w:pPr>
            <w:r w:rsidRPr="00894701">
              <w:rPr>
                <w:rFonts w:asciiTheme="minorHAnsi" w:hAnsiTheme="minorHAnsi"/>
                <w:color w:val="auto"/>
                <w:szCs w:val="18"/>
              </w:rPr>
              <w:t>Explo</w:t>
            </w:r>
            <w:r w:rsidR="009556A2">
              <w:rPr>
                <w:rFonts w:asciiTheme="minorHAnsi" w:hAnsiTheme="minorHAnsi"/>
                <w:color w:val="auto"/>
                <w:szCs w:val="18"/>
              </w:rPr>
              <w:t>it</w:t>
            </w:r>
            <w:r w:rsidRPr="00894701">
              <w:rPr>
                <w:rFonts w:asciiTheme="minorHAnsi" w:hAnsiTheme="minorHAnsi"/>
                <w:color w:val="auto"/>
                <w:szCs w:val="18"/>
              </w:rPr>
              <w:t xml:space="preserve">ation </w:t>
            </w:r>
          </w:p>
        </w:tc>
        <w:tc>
          <w:tcPr>
            <w:tcW w:w="1712" w:type="pct"/>
            <w:shd w:val="clear" w:color="auto" w:fill="F997AB" w:themeFill="accent5" w:themeFillTint="99"/>
          </w:tcPr>
          <w:p w14:paraId="21E32039" w14:textId="4E897B3A" w:rsidR="00CA282D" w:rsidRPr="00894701" w:rsidRDefault="00CA282D" w:rsidP="00446B8D">
            <w:pPr>
              <w:widowControl w:val="0"/>
              <w:spacing w:before="0" w:after="0" w:line="240" w:lineRule="auto"/>
              <w:ind w:right="21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kern w:val="0"/>
                <w:szCs w:val="18"/>
                <w:lang w:eastAsia="en-US"/>
              </w:rPr>
            </w:pPr>
            <w:r w:rsidRPr="00894701">
              <w:rPr>
                <w:rFonts w:asciiTheme="minorHAnsi" w:hAnsiTheme="minorHAnsi"/>
                <w:color w:val="auto"/>
                <w:szCs w:val="18"/>
              </w:rPr>
              <w:t>1</w:t>
            </w:r>
            <w:r w:rsidR="009556A2">
              <w:rPr>
                <w:rFonts w:asciiTheme="minorHAnsi" w:hAnsiTheme="minorHAnsi"/>
                <w:color w:val="auto"/>
                <w:szCs w:val="18"/>
              </w:rPr>
              <w:t>4</w:t>
            </w:r>
            <w:r w:rsidRPr="00894701">
              <w:rPr>
                <w:rFonts w:asciiTheme="minorHAnsi" w:hAnsiTheme="minorHAnsi"/>
                <w:color w:val="auto"/>
                <w:szCs w:val="18"/>
              </w:rPr>
              <w:t xml:space="preserve"> </w:t>
            </w:r>
          </w:p>
        </w:tc>
      </w:tr>
      <w:tr w:rsidR="00CA282D" w:rsidRPr="00894701" w14:paraId="42BB0DDB" w14:textId="77777777" w:rsidTr="00446B8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3288" w:type="pct"/>
          </w:tcPr>
          <w:p w14:paraId="4790ED98" w14:textId="0B4949F3" w:rsidR="00CA282D" w:rsidRPr="00894701" w:rsidRDefault="00CA282D" w:rsidP="00446B8D">
            <w:pPr>
              <w:widowControl w:val="0"/>
              <w:spacing w:before="0" w:after="0" w:line="240" w:lineRule="auto"/>
              <w:ind w:right="210"/>
              <w:jc w:val="both"/>
              <w:rPr>
                <w:rFonts w:asciiTheme="minorHAnsi" w:hAnsiTheme="minorHAnsi"/>
                <w:color w:val="auto"/>
                <w:kern w:val="0"/>
                <w:szCs w:val="18"/>
                <w:lang w:eastAsia="en-US"/>
              </w:rPr>
            </w:pPr>
            <w:r w:rsidRPr="00894701">
              <w:rPr>
                <w:rFonts w:asciiTheme="minorHAnsi" w:hAnsiTheme="minorHAnsi"/>
                <w:color w:val="auto"/>
                <w:szCs w:val="18"/>
              </w:rPr>
              <w:t>Explo</w:t>
            </w:r>
            <w:r w:rsidR="009556A2">
              <w:rPr>
                <w:rFonts w:asciiTheme="minorHAnsi" w:hAnsiTheme="minorHAnsi"/>
                <w:color w:val="auto"/>
                <w:szCs w:val="18"/>
              </w:rPr>
              <w:t>r</w:t>
            </w:r>
            <w:r w:rsidRPr="00894701">
              <w:rPr>
                <w:rFonts w:asciiTheme="minorHAnsi" w:hAnsiTheme="minorHAnsi"/>
                <w:color w:val="auto"/>
                <w:szCs w:val="18"/>
              </w:rPr>
              <w:t xml:space="preserve">ation </w:t>
            </w:r>
          </w:p>
        </w:tc>
        <w:tc>
          <w:tcPr>
            <w:tcW w:w="1712" w:type="pct"/>
          </w:tcPr>
          <w:p w14:paraId="1DF7B3D7" w14:textId="77777777" w:rsidR="00CA282D" w:rsidRPr="00894701" w:rsidRDefault="00CA282D" w:rsidP="00446B8D">
            <w:pPr>
              <w:widowControl w:val="0"/>
              <w:spacing w:before="0" w:after="0" w:line="240" w:lineRule="auto"/>
              <w:ind w:right="21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kern w:val="0"/>
                <w:szCs w:val="18"/>
                <w:lang w:eastAsia="en-US"/>
              </w:rPr>
            </w:pPr>
            <w:r w:rsidRPr="00894701">
              <w:rPr>
                <w:rFonts w:asciiTheme="minorHAnsi" w:hAnsiTheme="minorHAnsi"/>
                <w:color w:val="auto"/>
                <w:szCs w:val="18"/>
              </w:rPr>
              <w:t xml:space="preserve">88 </w:t>
            </w:r>
          </w:p>
        </w:tc>
      </w:tr>
      <w:tr w:rsidR="00CA282D" w:rsidRPr="00894701" w14:paraId="4EA96A51" w14:textId="77777777" w:rsidTr="00446B8D">
        <w:trPr>
          <w:cnfStyle w:val="000000010000" w:firstRow="0" w:lastRow="0" w:firstColumn="0" w:lastColumn="0" w:oddVBand="0" w:evenVBand="0" w:oddHBand="0" w:evenHBand="1"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3288" w:type="pct"/>
            <w:shd w:val="clear" w:color="auto" w:fill="F997AB" w:themeFill="accent5" w:themeFillTint="99"/>
          </w:tcPr>
          <w:p w14:paraId="1D0F60BB" w14:textId="77777777" w:rsidR="00CA282D" w:rsidRPr="00894701" w:rsidRDefault="00CA282D" w:rsidP="00446B8D">
            <w:pPr>
              <w:widowControl w:val="0"/>
              <w:spacing w:after="0" w:line="240" w:lineRule="auto"/>
              <w:ind w:right="210"/>
              <w:jc w:val="both"/>
              <w:rPr>
                <w:rFonts w:asciiTheme="minorHAnsi" w:hAnsiTheme="minorHAnsi"/>
                <w:color w:val="auto"/>
                <w:szCs w:val="18"/>
              </w:rPr>
            </w:pPr>
            <w:r w:rsidRPr="00894701">
              <w:rPr>
                <w:rFonts w:asciiTheme="minorHAnsi" w:hAnsiTheme="minorHAnsi"/>
                <w:color w:val="auto"/>
                <w:szCs w:val="18"/>
              </w:rPr>
              <w:t xml:space="preserve">Small scale mining </w:t>
            </w:r>
          </w:p>
        </w:tc>
        <w:tc>
          <w:tcPr>
            <w:tcW w:w="1712" w:type="pct"/>
            <w:shd w:val="clear" w:color="auto" w:fill="F997AB" w:themeFill="accent5" w:themeFillTint="99"/>
          </w:tcPr>
          <w:p w14:paraId="71FE9510" w14:textId="15A695A5" w:rsidR="00CA282D" w:rsidRPr="00894701" w:rsidRDefault="00CA282D" w:rsidP="00446B8D">
            <w:pPr>
              <w:widowControl w:val="0"/>
              <w:spacing w:after="0" w:line="240" w:lineRule="auto"/>
              <w:ind w:right="21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kern w:val="0"/>
                <w:szCs w:val="18"/>
                <w:lang w:eastAsia="en-US"/>
              </w:rPr>
            </w:pPr>
            <w:r w:rsidRPr="00894701">
              <w:rPr>
                <w:rFonts w:asciiTheme="minorHAnsi" w:hAnsiTheme="minorHAnsi"/>
                <w:color w:val="auto"/>
                <w:szCs w:val="18"/>
              </w:rPr>
              <w:t>2</w:t>
            </w:r>
            <w:r w:rsidR="009556A2">
              <w:rPr>
                <w:rFonts w:asciiTheme="minorHAnsi" w:hAnsiTheme="minorHAnsi"/>
                <w:color w:val="auto"/>
                <w:szCs w:val="18"/>
              </w:rPr>
              <w:t>3</w:t>
            </w:r>
            <w:r w:rsidRPr="00894701">
              <w:rPr>
                <w:rFonts w:asciiTheme="minorHAnsi" w:hAnsiTheme="minorHAnsi"/>
                <w:color w:val="auto"/>
                <w:szCs w:val="18"/>
              </w:rPr>
              <w:t xml:space="preserve"> </w:t>
            </w:r>
          </w:p>
        </w:tc>
      </w:tr>
      <w:tr w:rsidR="00CA282D" w:rsidRPr="00894701" w14:paraId="5A180104" w14:textId="77777777" w:rsidTr="00446B8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3288" w:type="pct"/>
            <w:tcBorders>
              <w:bottom w:val="single" w:sz="8" w:space="0" w:color="C00000"/>
            </w:tcBorders>
          </w:tcPr>
          <w:p w14:paraId="546087A8" w14:textId="77777777" w:rsidR="00CA282D" w:rsidRPr="00894701" w:rsidRDefault="00CA282D" w:rsidP="00446B8D">
            <w:pPr>
              <w:widowControl w:val="0"/>
              <w:spacing w:before="0" w:after="0" w:line="240" w:lineRule="auto"/>
              <w:ind w:right="210"/>
              <w:jc w:val="both"/>
              <w:rPr>
                <w:rFonts w:asciiTheme="minorHAnsi" w:hAnsiTheme="minorHAnsi"/>
                <w:color w:val="auto"/>
                <w:kern w:val="0"/>
                <w:szCs w:val="18"/>
                <w:lang w:eastAsia="en-US"/>
              </w:rPr>
            </w:pPr>
            <w:r w:rsidRPr="00894701">
              <w:rPr>
                <w:rFonts w:asciiTheme="minorHAnsi" w:hAnsiTheme="minorHAnsi"/>
                <w:color w:val="auto"/>
                <w:kern w:val="0"/>
                <w:szCs w:val="18"/>
                <w:lang w:eastAsia="en-US"/>
              </w:rPr>
              <w:t>Total</w:t>
            </w:r>
          </w:p>
        </w:tc>
        <w:tc>
          <w:tcPr>
            <w:tcW w:w="1712" w:type="pct"/>
            <w:tcBorders>
              <w:bottom w:val="single" w:sz="8" w:space="0" w:color="C00000"/>
            </w:tcBorders>
          </w:tcPr>
          <w:p w14:paraId="164116E5" w14:textId="32C78E6B" w:rsidR="00CA282D" w:rsidRPr="00894701" w:rsidRDefault="00CA282D" w:rsidP="00446B8D">
            <w:pPr>
              <w:widowControl w:val="0"/>
              <w:spacing w:before="0" w:after="0" w:line="240" w:lineRule="auto"/>
              <w:ind w:right="21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kern w:val="0"/>
                <w:szCs w:val="18"/>
                <w:lang w:eastAsia="en-US"/>
              </w:rPr>
            </w:pPr>
            <w:r w:rsidRPr="00894701">
              <w:rPr>
                <w:rFonts w:asciiTheme="minorHAnsi" w:hAnsiTheme="minorHAnsi"/>
                <w:color w:val="auto"/>
                <w:kern w:val="0"/>
                <w:szCs w:val="18"/>
                <w:lang w:eastAsia="en-US"/>
              </w:rPr>
              <w:t>22</w:t>
            </w:r>
            <w:r w:rsidR="009556A2">
              <w:rPr>
                <w:rFonts w:asciiTheme="minorHAnsi" w:hAnsiTheme="minorHAnsi"/>
                <w:color w:val="auto"/>
                <w:kern w:val="0"/>
                <w:szCs w:val="18"/>
                <w:lang w:eastAsia="en-US"/>
              </w:rPr>
              <w:t>4</w:t>
            </w:r>
            <w:r w:rsidRPr="00894701">
              <w:rPr>
                <w:rFonts w:asciiTheme="minorHAnsi" w:hAnsiTheme="minorHAnsi"/>
                <w:color w:val="auto"/>
                <w:kern w:val="0"/>
                <w:szCs w:val="18"/>
                <w:lang w:eastAsia="en-US"/>
              </w:rPr>
              <w:t xml:space="preserve"> </w:t>
            </w:r>
          </w:p>
        </w:tc>
      </w:tr>
    </w:tbl>
    <w:p w14:paraId="08A0724C" w14:textId="77777777" w:rsidR="00AF5372" w:rsidRDefault="009556A2" w:rsidP="00A52653">
      <w:pPr>
        <w:widowControl w:val="0"/>
        <w:spacing w:before="66" w:after="0" w:line="266" w:lineRule="exact"/>
        <w:ind w:right="210"/>
        <w:jc w:val="both"/>
        <w:rPr>
          <w:rFonts w:asciiTheme="minorHAnsi" w:hAnsiTheme="minorHAnsi"/>
          <w:color w:val="010302"/>
          <w:kern w:val="0"/>
          <w:sz w:val="20"/>
          <w:szCs w:val="20"/>
          <w:lang w:eastAsia="en-US"/>
        </w:rPr>
      </w:pPr>
      <w:r w:rsidRPr="00860520">
        <w:rPr>
          <w:rFonts w:asciiTheme="minorHAnsi" w:hAnsiTheme="minorHAnsi"/>
          <w:color w:val="010302"/>
          <w:kern w:val="0"/>
          <w:sz w:val="20"/>
          <w:szCs w:val="20"/>
          <w:lang w:eastAsia="en-US"/>
        </w:rPr>
        <w:t>The detailed list of active mining licenses is presented in Annex 1 of this report. It also presents the details of</w:t>
      </w:r>
      <w:r w:rsidR="00AF5372">
        <w:rPr>
          <w:rFonts w:asciiTheme="minorHAnsi" w:hAnsiTheme="minorHAnsi"/>
          <w:color w:val="010302"/>
          <w:kern w:val="0"/>
          <w:sz w:val="20"/>
          <w:szCs w:val="20"/>
          <w:lang w:eastAsia="en-US"/>
        </w:rPr>
        <w:t>:</w:t>
      </w:r>
    </w:p>
    <w:p w14:paraId="600EB557" w14:textId="25E23EAF" w:rsidR="00AF5372" w:rsidRDefault="009556A2" w:rsidP="00AF5372">
      <w:pPr>
        <w:pStyle w:val="ListParagraph"/>
        <w:widowControl w:val="0"/>
        <w:numPr>
          <w:ilvl w:val="0"/>
          <w:numId w:val="40"/>
        </w:numPr>
        <w:spacing w:before="66" w:after="0" w:line="266" w:lineRule="exact"/>
        <w:ind w:right="210"/>
        <w:jc w:val="both"/>
        <w:rPr>
          <w:rFonts w:asciiTheme="minorHAnsi" w:hAnsiTheme="minorHAnsi"/>
          <w:color w:val="010302"/>
          <w:kern w:val="0"/>
          <w:sz w:val="20"/>
          <w:szCs w:val="20"/>
          <w:lang w:eastAsia="en-US"/>
        </w:rPr>
      </w:pPr>
      <w:r w:rsidRPr="00860520">
        <w:rPr>
          <w:rFonts w:asciiTheme="minorHAnsi" w:hAnsiTheme="minorHAnsi"/>
          <w:color w:val="010302"/>
          <w:kern w:val="0"/>
          <w:sz w:val="20"/>
          <w:szCs w:val="20"/>
          <w:lang w:eastAsia="en-US"/>
        </w:rPr>
        <w:t xml:space="preserve"> the three (3) </w:t>
      </w:r>
      <w:r w:rsidR="00AF5372" w:rsidRPr="00AF5372">
        <w:rPr>
          <w:rFonts w:asciiTheme="minorHAnsi" w:hAnsiTheme="minorHAnsi"/>
          <w:color w:val="010302"/>
          <w:kern w:val="0"/>
          <w:sz w:val="20"/>
          <w:szCs w:val="20"/>
          <w:lang w:eastAsia="en-US"/>
        </w:rPr>
        <w:t>Small scale mining</w:t>
      </w:r>
      <w:r w:rsidR="00AF5372" w:rsidRPr="00860520">
        <w:rPr>
          <w:rFonts w:asciiTheme="minorHAnsi" w:hAnsiTheme="minorHAnsi"/>
          <w:color w:val="010302"/>
          <w:kern w:val="0"/>
          <w:sz w:val="20"/>
          <w:szCs w:val="20"/>
          <w:lang w:eastAsia="en-US"/>
        </w:rPr>
        <w:t xml:space="preserve"> </w:t>
      </w:r>
      <w:r w:rsidRPr="00860520">
        <w:rPr>
          <w:rFonts w:asciiTheme="minorHAnsi" w:hAnsiTheme="minorHAnsi"/>
          <w:color w:val="010302"/>
          <w:kern w:val="0"/>
          <w:sz w:val="20"/>
          <w:szCs w:val="20"/>
          <w:lang w:eastAsia="en-US"/>
        </w:rPr>
        <w:t>licenses awarded in 2018</w:t>
      </w:r>
      <w:r w:rsidR="00AF5372">
        <w:rPr>
          <w:rFonts w:asciiTheme="minorHAnsi" w:hAnsiTheme="minorHAnsi"/>
          <w:color w:val="010302"/>
          <w:kern w:val="0"/>
          <w:sz w:val="20"/>
          <w:szCs w:val="20"/>
          <w:lang w:eastAsia="en-US"/>
        </w:rPr>
        <w:t>;</w:t>
      </w:r>
      <w:r w:rsidRPr="00860520">
        <w:rPr>
          <w:rFonts w:asciiTheme="minorHAnsi" w:hAnsiTheme="minorHAnsi"/>
          <w:color w:val="010302"/>
          <w:kern w:val="0"/>
          <w:sz w:val="20"/>
          <w:szCs w:val="20"/>
          <w:lang w:eastAsia="en-US"/>
        </w:rPr>
        <w:t xml:space="preserve"> </w:t>
      </w:r>
    </w:p>
    <w:p w14:paraId="0B2A7E1F" w14:textId="77777777" w:rsidR="00AF5372" w:rsidRDefault="00AF5372" w:rsidP="00AF5372">
      <w:pPr>
        <w:pStyle w:val="ListParagraph"/>
        <w:widowControl w:val="0"/>
        <w:numPr>
          <w:ilvl w:val="0"/>
          <w:numId w:val="40"/>
        </w:numPr>
        <w:spacing w:before="66" w:after="0" w:line="266" w:lineRule="exact"/>
        <w:ind w:right="210"/>
        <w:jc w:val="both"/>
        <w:rPr>
          <w:rFonts w:asciiTheme="minorHAnsi" w:hAnsiTheme="minorHAnsi"/>
          <w:color w:val="010302"/>
          <w:kern w:val="0"/>
          <w:sz w:val="20"/>
          <w:szCs w:val="20"/>
          <w:lang w:eastAsia="en-US"/>
        </w:rPr>
      </w:pPr>
      <w:r>
        <w:rPr>
          <w:rFonts w:asciiTheme="minorHAnsi" w:hAnsiTheme="minorHAnsi"/>
          <w:color w:val="010302"/>
          <w:kern w:val="0"/>
          <w:sz w:val="20"/>
          <w:szCs w:val="20"/>
          <w:lang w:eastAsia="en-US"/>
        </w:rPr>
        <w:t>Five</w:t>
      </w:r>
      <w:r w:rsidR="009556A2" w:rsidRPr="00860520">
        <w:rPr>
          <w:rFonts w:asciiTheme="minorHAnsi" w:hAnsiTheme="minorHAnsi"/>
          <w:color w:val="010302"/>
          <w:kern w:val="0"/>
          <w:sz w:val="20"/>
          <w:szCs w:val="20"/>
          <w:lang w:eastAsia="en-US"/>
        </w:rPr>
        <w:t xml:space="preserve"> (</w:t>
      </w:r>
      <w:r>
        <w:rPr>
          <w:rFonts w:asciiTheme="minorHAnsi" w:hAnsiTheme="minorHAnsi"/>
          <w:color w:val="010302"/>
          <w:kern w:val="0"/>
          <w:sz w:val="20"/>
          <w:szCs w:val="20"/>
          <w:lang w:eastAsia="en-US"/>
        </w:rPr>
        <w:t>5</w:t>
      </w:r>
      <w:r w:rsidR="009556A2" w:rsidRPr="00860520">
        <w:rPr>
          <w:rFonts w:asciiTheme="minorHAnsi" w:hAnsiTheme="minorHAnsi"/>
          <w:color w:val="010302"/>
          <w:kern w:val="0"/>
          <w:sz w:val="20"/>
          <w:szCs w:val="20"/>
          <w:lang w:eastAsia="en-US"/>
        </w:rPr>
        <w:t xml:space="preserve">) </w:t>
      </w:r>
      <w:r w:rsidR="00ED5DB1" w:rsidRPr="00860520">
        <w:rPr>
          <w:rFonts w:asciiTheme="minorHAnsi" w:hAnsiTheme="minorHAnsi"/>
          <w:color w:val="010302"/>
          <w:kern w:val="0"/>
          <w:sz w:val="20"/>
          <w:szCs w:val="20"/>
          <w:lang w:eastAsia="en-US"/>
        </w:rPr>
        <w:t xml:space="preserve">exploitation </w:t>
      </w:r>
      <w:r>
        <w:rPr>
          <w:rFonts w:asciiTheme="minorHAnsi" w:hAnsiTheme="minorHAnsi"/>
          <w:color w:val="010302"/>
          <w:kern w:val="0"/>
          <w:sz w:val="20"/>
          <w:szCs w:val="20"/>
          <w:lang w:eastAsia="en-US"/>
        </w:rPr>
        <w:t xml:space="preserve">licenses </w:t>
      </w:r>
      <w:r w:rsidR="00ED5DB1" w:rsidRPr="00860520">
        <w:rPr>
          <w:rFonts w:asciiTheme="minorHAnsi" w:hAnsiTheme="minorHAnsi"/>
          <w:color w:val="010302"/>
          <w:kern w:val="0"/>
          <w:sz w:val="20"/>
          <w:szCs w:val="20"/>
          <w:lang w:eastAsia="en-US"/>
        </w:rPr>
        <w:t xml:space="preserve">and </w:t>
      </w:r>
      <w:r>
        <w:rPr>
          <w:rFonts w:asciiTheme="minorHAnsi" w:hAnsiTheme="minorHAnsi"/>
          <w:color w:val="010302"/>
          <w:kern w:val="0"/>
          <w:sz w:val="20"/>
          <w:szCs w:val="20"/>
          <w:lang w:eastAsia="en-US"/>
        </w:rPr>
        <w:t xml:space="preserve">five (5) </w:t>
      </w:r>
      <w:r w:rsidRPr="00AF5372">
        <w:rPr>
          <w:rFonts w:asciiTheme="minorHAnsi" w:hAnsiTheme="minorHAnsi"/>
          <w:color w:val="010302"/>
          <w:kern w:val="0"/>
          <w:sz w:val="20"/>
          <w:szCs w:val="20"/>
          <w:lang w:eastAsia="en-US"/>
        </w:rPr>
        <w:t xml:space="preserve">Small scale </w:t>
      </w:r>
      <w:r w:rsidR="009556A2" w:rsidRPr="00860520">
        <w:rPr>
          <w:rFonts w:asciiTheme="minorHAnsi" w:hAnsiTheme="minorHAnsi"/>
          <w:color w:val="010302"/>
          <w:kern w:val="0"/>
          <w:sz w:val="20"/>
          <w:szCs w:val="20"/>
          <w:lang w:eastAsia="en-US"/>
        </w:rPr>
        <w:t>mining licenses awarded in 2019</w:t>
      </w:r>
      <w:r>
        <w:rPr>
          <w:rFonts w:asciiTheme="minorHAnsi" w:hAnsiTheme="minorHAnsi"/>
          <w:color w:val="010302"/>
          <w:kern w:val="0"/>
          <w:sz w:val="20"/>
          <w:szCs w:val="20"/>
          <w:lang w:eastAsia="en-US"/>
        </w:rPr>
        <w:t>;</w:t>
      </w:r>
      <w:r w:rsidR="009556A2" w:rsidRPr="00860520">
        <w:rPr>
          <w:rFonts w:asciiTheme="minorHAnsi" w:hAnsiTheme="minorHAnsi"/>
          <w:color w:val="010302"/>
          <w:kern w:val="0"/>
          <w:sz w:val="20"/>
          <w:szCs w:val="20"/>
          <w:lang w:eastAsia="en-US"/>
        </w:rPr>
        <w:t xml:space="preserve"> and</w:t>
      </w:r>
    </w:p>
    <w:p w14:paraId="65EBEEA3" w14:textId="2CAF708B" w:rsidR="00CA282D" w:rsidRPr="00860520" w:rsidRDefault="00AF5372" w:rsidP="00AF5372">
      <w:pPr>
        <w:pStyle w:val="ListParagraph"/>
        <w:widowControl w:val="0"/>
        <w:numPr>
          <w:ilvl w:val="0"/>
          <w:numId w:val="40"/>
        </w:numPr>
        <w:spacing w:before="66" w:after="0" w:line="266" w:lineRule="exact"/>
        <w:ind w:right="210"/>
        <w:jc w:val="both"/>
        <w:rPr>
          <w:rFonts w:asciiTheme="minorHAnsi" w:hAnsiTheme="minorHAnsi"/>
          <w:color w:val="010302"/>
          <w:kern w:val="0"/>
          <w:sz w:val="20"/>
          <w:szCs w:val="20"/>
          <w:lang w:eastAsia="en-US"/>
        </w:rPr>
      </w:pPr>
      <w:r>
        <w:rPr>
          <w:rFonts w:asciiTheme="minorHAnsi" w:hAnsiTheme="minorHAnsi"/>
          <w:color w:val="010302"/>
          <w:kern w:val="0"/>
          <w:sz w:val="20"/>
          <w:szCs w:val="20"/>
          <w:lang w:eastAsia="en-US"/>
        </w:rPr>
        <w:t>five</w:t>
      </w:r>
      <w:r w:rsidR="009556A2" w:rsidRPr="00860520">
        <w:rPr>
          <w:rFonts w:asciiTheme="minorHAnsi" w:hAnsiTheme="minorHAnsi"/>
          <w:color w:val="010302"/>
          <w:kern w:val="0"/>
          <w:sz w:val="20"/>
          <w:szCs w:val="20"/>
          <w:lang w:eastAsia="en-US"/>
        </w:rPr>
        <w:t xml:space="preserve"> (</w:t>
      </w:r>
      <w:r>
        <w:rPr>
          <w:rFonts w:asciiTheme="minorHAnsi" w:hAnsiTheme="minorHAnsi"/>
          <w:color w:val="010302"/>
          <w:kern w:val="0"/>
          <w:sz w:val="20"/>
          <w:szCs w:val="20"/>
          <w:lang w:eastAsia="en-US"/>
        </w:rPr>
        <w:t>5</w:t>
      </w:r>
      <w:r w:rsidR="009556A2" w:rsidRPr="00860520">
        <w:rPr>
          <w:rFonts w:asciiTheme="minorHAnsi" w:hAnsiTheme="minorHAnsi"/>
          <w:color w:val="010302"/>
          <w:kern w:val="0"/>
          <w:sz w:val="20"/>
          <w:szCs w:val="20"/>
          <w:lang w:eastAsia="en-US"/>
        </w:rPr>
        <w:t xml:space="preserve">) </w:t>
      </w:r>
      <w:r w:rsidR="00ED5DB1" w:rsidRPr="00860520">
        <w:rPr>
          <w:rFonts w:asciiTheme="minorHAnsi" w:hAnsiTheme="minorHAnsi"/>
          <w:color w:val="010302"/>
          <w:kern w:val="0"/>
          <w:sz w:val="20"/>
          <w:szCs w:val="20"/>
          <w:lang w:eastAsia="en-US"/>
        </w:rPr>
        <w:t xml:space="preserve">exploitation </w:t>
      </w:r>
      <w:r>
        <w:rPr>
          <w:rFonts w:asciiTheme="minorHAnsi" w:hAnsiTheme="minorHAnsi"/>
          <w:color w:val="010302"/>
          <w:kern w:val="0"/>
          <w:sz w:val="20"/>
          <w:szCs w:val="20"/>
          <w:lang w:eastAsia="en-US"/>
        </w:rPr>
        <w:t>licenses</w:t>
      </w:r>
      <w:r w:rsidRPr="00AF5372">
        <w:rPr>
          <w:rFonts w:asciiTheme="minorHAnsi" w:hAnsiTheme="minorHAnsi"/>
          <w:color w:val="010302"/>
          <w:kern w:val="0"/>
          <w:sz w:val="20"/>
          <w:szCs w:val="20"/>
          <w:lang w:eastAsia="en-US"/>
        </w:rPr>
        <w:t xml:space="preserve"> </w:t>
      </w:r>
      <w:r w:rsidR="00ED5DB1" w:rsidRPr="00860520">
        <w:rPr>
          <w:rFonts w:asciiTheme="minorHAnsi" w:hAnsiTheme="minorHAnsi"/>
          <w:color w:val="010302"/>
          <w:kern w:val="0"/>
          <w:sz w:val="20"/>
          <w:szCs w:val="20"/>
          <w:lang w:eastAsia="en-US"/>
        </w:rPr>
        <w:t xml:space="preserve">and </w:t>
      </w:r>
      <w:r>
        <w:rPr>
          <w:rFonts w:asciiTheme="minorHAnsi" w:hAnsiTheme="minorHAnsi"/>
          <w:color w:val="010302"/>
          <w:kern w:val="0"/>
          <w:sz w:val="20"/>
          <w:szCs w:val="20"/>
          <w:lang w:eastAsia="en-US"/>
        </w:rPr>
        <w:t xml:space="preserve">six (6) </w:t>
      </w:r>
      <w:r w:rsidRPr="00AF5372">
        <w:rPr>
          <w:rFonts w:asciiTheme="minorHAnsi" w:hAnsiTheme="minorHAnsi"/>
          <w:color w:val="010302"/>
          <w:kern w:val="0"/>
          <w:sz w:val="20"/>
          <w:szCs w:val="20"/>
          <w:lang w:eastAsia="en-US"/>
        </w:rPr>
        <w:t xml:space="preserve">Small scale </w:t>
      </w:r>
      <w:r w:rsidR="009556A2" w:rsidRPr="00860520">
        <w:rPr>
          <w:rFonts w:asciiTheme="minorHAnsi" w:hAnsiTheme="minorHAnsi"/>
          <w:color w:val="010302"/>
          <w:kern w:val="0"/>
          <w:sz w:val="20"/>
          <w:szCs w:val="20"/>
          <w:lang w:eastAsia="en-US"/>
        </w:rPr>
        <w:t>mining licenses awarded in 2020.</w:t>
      </w:r>
    </w:p>
    <w:p w14:paraId="747F0D2A" w14:textId="6069372D" w:rsidR="00CA282D" w:rsidRPr="00894701" w:rsidRDefault="00670F09" w:rsidP="00A834A8">
      <w:pPr>
        <w:pStyle w:val="AltMinorHeading"/>
        <w:numPr>
          <w:ilvl w:val="2"/>
          <w:numId w:val="60"/>
        </w:numPr>
        <w:ind w:left="142" w:hanging="180"/>
        <w:rPr>
          <w:szCs w:val="28"/>
        </w:rPr>
      </w:pPr>
      <w:bookmarkStart w:id="184" w:name="_Toc122478870"/>
      <w:r w:rsidRPr="00894701">
        <w:rPr>
          <w:szCs w:val="28"/>
        </w:rPr>
        <w:lastRenderedPageBreak/>
        <w:t xml:space="preserve">Contract and license allocations in the </w:t>
      </w:r>
      <w:r w:rsidR="00CA282D" w:rsidRPr="00894701">
        <w:rPr>
          <w:szCs w:val="28"/>
        </w:rPr>
        <w:t>Oil and Gas Sector</w:t>
      </w:r>
      <w:bookmarkEnd w:id="184"/>
      <w:r w:rsidR="00CA282D" w:rsidRPr="00894701">
        <w:rPr>
          <w:szCs w:val="28"/>
        </w:rPr>
        <w:t xml:space="preserve"> </w:t>
      </w:r>
    </w:p>
    <w:p w14:paraId="4928EEBB" w14:textId="77777777" w:rsidR="00CA282D" w:rsidRPr="00894701" w:rsidRDefault="00CA282D" w:rsidP="00CA282D">
      <w:pPr>
        <w:pStyle w:val="AltMinorSubHeading"/>
        <w:numPr>
          <w:ilvl w:val="0"/>
          <w:numId w:val="0"/>
        </w:numPr>
        <w:spacing w:before="240" w:after="240"/>
        <w:rPr>
          <w:rFonts w:asciiTheme="minorHAnsi" w:hAnsiTheme="minorHAnsi"/>
          <w:color w:val="FF0000"/>
        </w:rPr>
      </w:pPr>
      <w:bookmarkStart w:id="185" w:name="_Toc122478871"/>
      <w:r w:rsidRPr="00894701">
        <w:rPr>
          <w:rFonts w:asciiTheme="minorHAnsi" w:hAnsiTheme="minorHAnsi"/>
          <w:color w:val="FF0000"/>
        </w:rPr>
        <w:t>3.3.2.(a) Procedure for the award of Oil and Gas blocks</w:t>
      </w:r>
      <w:bookmarkEnd w:id="185"/>
      <w:r w:rsidRPr="00894701">
        <w:rPr>
          <w:rFonts w:asciiTheme="minorHAnsi" w:hAnsiTheme="minorHAnsi"/>
          <w:color w:val="FF0000"/>
        </w:rPr>
        <w:t xml:space="preserve"> </w:t>
      </w:r>
    </w:p>
    <w:p w14:paraId="425B5A1E" w14:textId="77777777" w:rsidR="00CA282D" w:rsidRPr="00894701" w:rsidRDefault="00CA282D" w:rsidP="00CA282D">
      <w:pPr>
        <w:widowControl w:val="0"/>
        <w:spacing w:before="76" w:after="0" w:line="255" w:lineRule="exact"/>
        <w:ind w:right="210"/>
        <w:jc w:val="both"/>
        <w:rPr>
          <w:rFonts w:asciiTheme="minorHAnsi" w:hAnsiTheme="minorHAnsi" w:cs="TrebuchetMS"/>
          <w:color w:val="000000"/>
          <w:kern w:val="0"/>
          <w:sz w:val="20"/>
          <w:szCs w:val="20"/>
          <w:lang w:eastAsia="en-US"/>
        </w:rPr>
      </w:pPr>
      <w:r w:rsidRPr="00894701">
        <w:rPr>
          <w:rFonts w:asciiTheme="minorHAnsi" w:hAnsiTheme="minorHAnsi" w:cs="TrebuchetMS"/>
          <w:color w:val="000000"/>
          <w:kern w:val="0"/>
          <w:sz w:val="20"/>
          <w:szCs w:val="20"/>
          <w:lang w:eastAsia="en-US"/>
        </w:rPr>
        <w:t xml:space="preserve">Staatsolie as the state-owned oil company of Suriname holds all oil &amp; gas rights, both onshore as well as offshore. Staatsolie has its onshore operations and for offshore activities, Staatsolie enters into agreements with IOCs. </w:t>
      </w:r>
    </w:p>
    <w:p w14:paraId="459D171A" w14:textId="77777777" w:rsidR="00CA282D" w:rsidRPr="00894701" w:rsidRDefault="00CA282D" w:rsidP="00CA282D">
      <w:pPr>
        <w:widowControl w:val="0"/>
        <w:spacing w:before="76" w:after="0" w:line="255" w:lineRule="exact"/>
        <w:ind w:right="210"/>
        <w:jc w:val="both"/>
        <w:rPr>
          <w:rFonts w:asciiTheme="minorHAnsi" w:hAnsiTheme="minorHAnsi" w:cs="TrebuchetMS"/>
          <w:color w:val="000000"/>
          <w:kern w:val="0"/>
          <w:sz w:val="20"/>
          <w:szCs w:val="20"/>
          <w:lang w:eastAsia="en-US"/>
        </w:rPr>
      </w:pPr>
      <w:r w:rsidRPr="00894701">
        <w:rPr>
          <w:rFonts w:asciiTheme="minorHAnsi" w:hAnsiTheme="minorHAnsi" w:cs="TrebuchetMS"/>
          <w:color w:val="000000"/>
          <w:kern w:val="0"/>
          <w:sz w:val="20"/>
          <w:szCs w:val="20"/>
          <w:lang w:eastAsia="en-US"/>
        </w:rPr>
        <w:t xml:space="preserve">To apply for an oil concession Staatsolie states a written request provided with a map and a description of why the area or an extension thereof is needed. Several authorities and departments within the Government such as GMD provide their advice after which the Minister of MONR approves the application. There is no formal procedure or law as such for application for oil concessions. </w:t>
      </w:r>
    </w:p>
    <w:p w14:paraId="3674C43B" w14:textId="15CD39DC" w:rsidR="00CA282D" w:rsidRPr="00894701" w:rsidRDefault="00CA282D" w:rsidP="00CA282D">
      <w:pPr>
        <w:widowControl w:val="0"/>
        <w:spacing w:before="76" w:after="0" w:line="255" w:lineRule="exact"/>
        <w:ind w:right="210"/>
        <w:jc w:val="both"/>
        <w:rPr>
          <w:rFonts w:asciiTheme="minorHAnsi" w:hAnsiTheme="minorHAnsi" w:cs="TrebuchetMS"/>
          <w:color w:val="000000"/>
          <w:kern w:val="0"/>
          <w:sz w:val="20"/>
          <w:szCs w:val="20"/>
          <w:lang w:eastAsia="en-US"/>
        </w:rPr>
      </w:pPr>
      <w:r w:rsidRPr="00894701">
        <w:rPr>
          <w:rFonts w:asciiTheme="minorHAnsi" w:hAnsiTheme="minorHAnsi" w:cs="TrebuchetMS"/>
          <w:color w:val="000000"/>
          <w:kern w:val="0"/>
          <w:sz w:val="20"/>
          <w:szCs w:val="20"/>
          <w:lang w:eastAsia="en-US"/>
        </w:rPr>
        <w:t xml:space="preserve">According to the Petroleum Act, State Owned Enterprises with petroleum concession rights are authorised to enter into petroleum agreements with other established petroleum companies. After a bidding round or via direct negotiations, petroleum agreements or PSCs are signed with Staatsolie. </w:t>
      </w:r>
    </w:p>
    <w:p w14:paraId="4BDBF56B" w14:textId="7B26F6E0" w:rsidR="00A52653" w:rsidRDefault="00CA282D" w:rsidP="00CA282D">
      <w:pPr>
        <w:widowControl w:val="0"/>
        <w:spacing w:before="76" w:after="0" w:line="255" w:lineRule="exact"/>
        <w:ind w:right="210"/>
        <w:jc w:val="both"/>
        <w:rPr>
          <w:rFonts w:asciiTheme="minorHAnsi" w:hAnsiTheme="minorHAnsi" w:cs="TrebuchetMS"/>
          <w:color w:val="000000"/>
          <w:kern w:val="0"/>
          <w:sz w:val="20"/>
          <w:szCs w:val="20"/>
          <w:lang w:eastAsia="en-US"/>
        </w:rPr>
      </w:pPr>
      <w:r w:rsidRPr="00894701">
        <w:rPr>
          <w:rFonts w:asciiTheme="minorHAnsi" w:hAnsiTheme="minorHAnsi" w:cs="TrebuchetMS"/>
          <w:color w:val="000000"/>
          <w:kern w:val="0"/>
          <w:sz w:val="20"/>
          <w:szCs w:val="20"/>
          <w:lang w:eastAsia="en-US"/>
        </w:rPr>
        <w:t xml:space="preserve">Since 1980 Staatsolie has negotiated petroleum agreements with several International Oil Companies (IOCs) which resulted in the signing of several PSCs. The specific individual agreements are based on the Staatsolie PSC Model, </w:t>
      </w:r>
      <w:r w:rsidRPr="00894701">
        <w:rPr>
          <w:rFonts w:asciiTheme="minorHAnsi" w:hAnsiTheme="minorHAnsi" w:cs="TrebuchetMS"/>
          <w:color w:val="000000"/>
          <w:kern w:val="0"/>
          <w:sz w:val="20"/>
          <w:szCs w:val="20"/>
          <w:lang w:eastAsia="en-US"/>
        </w:rPr>
        <w:tab/>
        <w:t xml:space="preserve">as disclosed on the Staatsolie website: </w:t>
      </w:r>
      <w:hyperlink r:id="rId38" w:history="1">
        <w:r w:rsidRPr="00894701">
          <w:rPr>
            <w:rFonts w:asciiTheme="minorHAnsi" w:hAnsiTheme="minorHAnsi" w:cs="TrebuchetMS"/>
            <w:color w:val="000000"/>
            <w:kern w:val="0"/>
            <w:sz w:val="20"/>
            <w:szCs w:val="20"/>
            <w:lang w:eastAsia="en-US"/>
          </w:rPr>
          <w:t>https://www.staatsolie.com/media/tuvjyme3/model-psc.pdf</w:t>
        </w:r>
      </w:hyperlink>
    </w:p>
    <w:p w14:paraId="01BDB37F" w14:textId="77777777" w:rsidR="00A52653" w:rsidRPr="00894701" w:rsidRDefault="00A52653" w:rsidP="00CA282D">
      <w:pPr>
        <w:widowControl w:val="0"/>
        <w:spacing w:before="76" w:after="0" w:line="255" w:lineRule="exact"/>
        <w:ind w:right="210"/>
        <w:jc w:val="both"/>
        <w:rPr>
          <w:rFonts w:asciiTheme="minorHAnsi" w:hAnsiTheme="minorHAnsi" w:cs="TrebuchetMS"/>
          <w:color w:val="000000"/>
          <w:kern w:val="0"/>
          <w:sz w:val="20"/>
          <w:szCs w:val="20"/>
          <w:lang w:eastAsia="en-US"/>
        </w:rPr>
      </w:pPr>
    </w:p>
    <w:p w14:paraId="58A6EDE2" w14:textId="283F7BBC" w:rsidR="00CA282D" w:rsidRPr="00894701" w:rsidRDefault="00CA282D" w:rsidP="00CA282D">
      <w:pPr>
        <w:widowControl w:val="0"/>
        <w:spacing w:before="76" w:after="0" w:line="255" w:lineRule="exact"/>
        <w:ind w:right="210"/>
        <w:jc w:val="both"/>
        <w:rPr>
          <w:rFonts w:asciiTheme="minorHAnsi" w:hAnsiTheme="minorHAnsi" w:cs="TrebuchetMS"/>
          <w:color w:val="000000"/>
          <w:kern w:val="0"/>
          <w:sz w:val="20"/>
          <w:szCs w:val="20"/>
          <w:lang w:eastAsia="en-US"/>
        </w:rPr>
      </w:pPr>
      <w:r w:rsidRPr="00894701">
        <w:rPr>
          <w:rFonts w:asciiTheme="minorHAnsi" w:hAnsiTheme="minorHAnsi" w:cs="TrebuchetMS"/>
          <w:color w:val="000000"/>
          <w:kern w:val="0"/>
          <w:sz w:val="20"/>
          <w:szCs w:val="20"/>
          <w:lang w:eastAsia="en-US"/>
        </w:rPr>
        <w:t xml:space="preserve">In 2016 Staatsolie promoted offshore Suriname through the “Open Door Invitation”. Closed on 07 September 2016, this process encouraged several international oil companies to bid on Suriname’s open offshore blocks. For 90 calendar days, other Oil &amp; Gas Companies (O&amp;GCs) would be aware of the proposal and could submit another proposal for the same acreage. If after ninety (90) calendar days Staatsolie has not received another proposal for the acreage, Staatsolie could start negotiations with the O&amp;GC that submitted a proposal. If within the 90 calendar days Staatsolie received another proposal it would select the best proposal based on the work programme submitted. The process is also presented in the following pictorial below.  </w:t>
      </w:r>
    </w:p>
    <w:p w14:paraId="1700D18B" w14:textId="77777777" w:rsidR="00CA282D" w:rsidRPr="00894701" w:rsidRDefault="00CA282D" w:rsidP="00CA282D">
      <w:pPr>
        <w:widowControl w:val="0"/>
        <w:spacing w:before="76" w:after="0" w:line="255" w:lineRule="exact"/>
        <w:ind w:right="210"/>
        <w:jc w:val="both"/>
        <w:rPr>
          <w:rFonts w:asciiTheme="minorHAnsi" w:hAnsiTheme="minorHAnsi" w:cs="TrebuchetMS"/>
          <w:color w:val="000000"/>
          <w:kern w:val="0"/>
          <w:sz w:val="20"/>
          <w:szCs w:val="20"/>
          <w:lang w:eastAsia="en-US"/>
        </w:rPr>
      </w:pPr>
    </w:p>
    <w:p w14:paraId="15737E31" w14:textId="21879BB1" w:rsidR="00CA282D" w:rsidRPr="00894701" w:rsidRDefault="00CA282D" w:rsidP="00CA282D">
      <w:pPr>
        <w:spacing w:after="160" w:line="259" w:lineRule="auto"/>
        <w:jc w:val="center"/>
        <w:rPr>
          <w:rFonts w:asciiTheme="minorHAnsi" w:eastAsia="Calibri" w:hAnsiTheme="minorHAnsi"/>
          <w:b/>
          <w:bCs/>
          <w:color w:val="auto"/>
          <w:kern w:val="0"/>
          <w:sz w:val="22"/>
          <w:szCs w:val="22"/>
          <w:u w:val="single"/>
          <w:lang w:eastAsia="en-US"/>
        </w:rPr>
      </w:pPr>
      <w:bookmarkStart w:id="186" w:name="_Toc146590576"/>
      <w:r w:rsidRPr="00860520">
        <w:rPr>
          <w:rFonts w:asciiTheme="majorHAnsi" w:hAnsiTheme="majorHAnsi"/>
          <w:b/>
          <w:i/>
          <w:iCs/>
          <w:sz w:val="20"/>
          <w:szCs w:val="20"/>
        </w:rPr>
        <w:t xml:space="preserve">Figure </w:t>
      </w:r>
      <w:r w:rsidR="0014087C" w:rsidRPr="00894701">
        <w:rPr>
          <w:rFonts w:asciiTheme="majorHAnsi" w:hAnsiTheme="majorHAnsi"/>
          <w:b/>
          <w:i/>
          <w:iCs/>
          <w:sz w:val="20"/>
          <w:szCs w:val="20"/>
        </w:rPr>
        <w:fldChar w:fldCharType="begin"/>
      </w:r>
      <w:r w:rsidR="0014087C" w:rsidRPr="00894701">
        <w:rPr>
          <w:rFonts w:asciiTheme="majorHAnsi" w:hAnsiTheme="majorHAnsi"/>
          <w:b/>
          <w:i/>
          <w:iCs/>
          <w:sz w:val="20"/>
          <w:szCs w:val="20"/>
        </w:rPr>
        <w:instrText xml:space="preserve"> SEQ Figure \* ARABIC </w:instrText>
      </w:r>
      <w:r w:rsidR="0014087C" w:rsidRPr="00894701">
        <w:rPr>
          <w:rFonts w:asciiTheme="majorHAnsi" w:hAnsiTheme="majorHAnsi"/>
          <w:b/>
          <w:i/>
          <w:iCs/>
          <w:sz w:val="20"/>
          <w:szCs w:val="20"/>
        </w:rPr>
        <w:fldChar w:fldCharType="separate"/>
      </w:r>
      <w:r w:rsidR="0035303B">
        <w:rPr>
          <w:rFonts w:asciiTheme="majorHAnsi" w:hAnsiTheme="majorHAnsi"/>
          <w:b/>
          <w:i/>
          <w:iCs/>
          <w:noProof/>
          <w:sz w:val="20"/>
          <w:szCs w:val="20"/>
        </w:rPr>
        <w:t>11</w:t>
      </w:r>
      <w:r w:rsidR="0014087C" w:rsidRPr="00894701">
        <w:rPr>
          <w:rFonts w:asciiTheme="majorHAnsi" w:hAnsiTheme="majorHAnsi"/>
          <w:b/>
          <w:i/>
          <w:iCs/>
          <w:sz w:val="20"/>
          <w:szCs w:val="20"/>
        </w:rPr>
        <w:fldChar w:fldCharType="end"/>
      </w:r>
      <w:r w:rsidRPr="00860520">
        <w:rPr>
          <w:rFonts w:asciiTheme="majorHAnsi" w:hAnsiTheme="majorHAnsi"/>
          <w:b/>
          <w:bCs/>
          <w:i/>
          <w:iCs/>
          <w:sz w:val="20"/>
          <w:szCs w:val="20"/>
        </w:rPr>
        <w:t>:</w:t>
      </w:r>
      <w:r w:rsidRPr="00860520">
        <w:rPr>
          <w:rFonts w:asciiTheme="majorHAnsi" w:hAnsiTheme="majorHAnsi"/>
          <w:b/>
          <w:i/>
          <w:iCs/>
          <w:sz w:val="20"/>
          <w:szCs w:val="20"/>
        </w:rPr>
        <w:t xml:space="preserve"> Process Open Door Invitation</w:t>
      </w:r>
      <w:bookmarkEnd w:id="186"/>
    </w:p>
    <w:p w14:paraId="0ABCD63A" w14:textId="77777777" w:rsidR="00CA282D" w:rsidRPr="00894701" w:rsidRDefault="00CA282D" w:rsidP="00CA282D">
      <w:pPr>
        <w:spacing w:after="160" w:line="259" w:lineRule="auto"/>
        <w:jc w:val="center"/>
        <w:rPr>
          <w:rFonts w:asciiTheme="minorHAnsi" w:eastAsia="Calibri" w:hAnsiTheme="minorHAnsi"/>
          <w:b/>
          <w:bCs/>
          <w:color w:val="auto"/>
          <w:kern w:val="0"/>
          <w:sz w:val="22"/>
          <w:szCs w:val="22"/>
          <w:u w:val="single"/>
          <w:lang w:eastAsia="en-US"/>
        </w:rPr>
      </w:pPr>
      <w:r w:rsidRPr="00894701">
        <w:rPr>
          <w:rFonts w:asciiTheme="minorHAnsi" w:hAnsiTheme="minorHAnsi"/>
          <w:noProof/>
          <w:lang w:val="en-US" w:eastAsia="en-US"/>
        </w:rPr>
        <w:drawing>
          <wp:anchor distT="0" distB="0" distL="114300" distR="114300" simplePos="0" relativeHeight="251658247" behindDoc="0" locked="0" layoutInCell="1" allowOverlap="1" wp14:anchorId="49AB7CD2" wp14:editId="52E06672">
            <wp:simplePos x="0" y="0"/>
            <wp:positionH relativeFrom="page">
              <wp:posOffset>1343025</wp:posOffset>
            </wp:positionH>
            <wp:positionV relativeFrom="paragraph">
              <wp:posOffset>161290</wp:posOffset>
            </wp:positionV>
            <wp:extent cx="4872354" cy="2633979"/>
            <wp:effectExtent l="0" t="0" r="0" b="0"/>
            <wp:wrapNone/>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Picture 918"/>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872354" cy="2633979"/>
                    </a:xfrm>
                    <a:prstGeom prst="rect">
                      <a:avLst/>
                    </a:prstGeom>
                    <a:noFill/>
                  </pic:spPr>
                </pic:pic>
              </a:graphicData>
            </a:graphic>
          </wp:anchor>
        </w:drawing>
      </w:r>
    </w:p>
    <w:p w14:paraId="097319EF" w14:textId="77777777" w:rsidR="00CA282D" w:rsidRPr="00894701" w:rsidRDefault="00CA282D" w:rsidP="00CA282D">
      <w:pPr>
        <w:spacing w:after="160" w:line="259" w:lineRule="auto"/>
        <w:jc w:val="center"/>
        <w:rPr>
          <w:rFonts w:asciiTheme="minorHAnsi" w:eastAsia="Calibri" w:hAnsiTheme="minorHAnsi"/>
          <w:b/>
          <w:bCs/>
          <w:color w:val="auto"/>
          <w:kern w:val="0"/>
          <w:sz w:val="22"/>
          <w:szCs w:val="22"/>
          <w:u w:val="single"/>
          <w:lang w:eastAsia="en-US"/>
        </w:rPr>
      </w:pPr>
    </w:p>
    <w:p w14:paraId="1FB69568" w14:textId="77777777" w:rsidR="00CA282D" w:rsidRPr="00894701" w:rsidRDefault="00CA282D" w:rsidP="00CA282D">
      <w:pPr>
        <w:spacing w:after="160" w:line="259" w:lineRule="auto"/>
        <w:jc w:val="center"/>
        <w:rPr>
          <w:rFonts w:asciiTheme="minorHAnsi" w:eastAsia="Calibri" w:hAnsiTheme="minorHAnsi"/>
          <w:b/>
          <w:bCs/>
          <w:color w:val="auto"/>
          <w:kern w:val="0"/>
          <w:sz w:val="22"/>
          <w:szCs w:val="22"/>
          <w:u w:val="single"/>
          <w:lang w:eastAsia="en-US"/>
        </w:rPr>
      </w:pPr>
    </w:p>
    <w:p w14:paraId="3A8E775F" w14:textId="77777777" w:rsidR="00CA282D" w:rsidRPr="00894701" w:rsidRDefault="00CA282D" w:rsidP="00CA282D">
      <w:pPr>
        <w:spacing w:after="160" w:line="259" w:lineRule="auto"/>
        <w:jc w:val="center"/>
        <w:rPr>
          <w:rFonts w:asciiTheme="minorHAnsi" w:eastAsia="Calibri" w:hAnsiTheme="minorHAnsi"/>
          <w:b/>
          <w:bCs/>
          <w:color w:val="auto"/>
          <w:kern w:val="0"/>
          <w:sz w:val="22"/>
          <w:szCs w:val="22"/>
          <w:u w:val="single"/>
          <w:lang w:eastAsia="en-US"/>
        </w:rPr>
      </w:pPr>
    </w:p>
    <w:p w14:paraId="06864105" w14:textId="77777777" w:rsidR="00CA282D" w:rsidRPr="00894701" w:rsidRDefault="00CA282D" w:rsidP="00CA282D">
      <w:pPr>
        <w:spacing w:after="160" w:line="259" w:lineRule="auto"/>
        <w:jc w:val="center"/>
        <w:rPr>
          <w:rFonts w:asciiTheme="minorHAnsi" w:eastAsia="Calibri" w:hAnsiTheme="minorHAnsi"/>
          <w:b/>
          <w:bCs/>
          <w:color w:val="auto"/>
          <w:kern w:val="0"/>
          <w:sz w:val="22"/>
          <w:szCs w:val="22"/>
          <w:u w:val="single"/>
          <w:lang w:eastAsia="en-US"/>
        </w:rPr>
      </w:pPr>
    </w:p>
    <w:p w14:paraId="6779178F" w14:textId="77777777" w:rsidR="00CA282D" w:rsidRPr="00894701" w:rsidRDefault="00CA282D" w:rsidP="00CA282D">
      <w:pPr>
        <w:spacing w:after="160" w:line="259" w:lineRule="auto"/>
        <w:jc w:val="center"/>
        <w:rPr>
          <w:rFonts w:asciiTheme="minorHAnsi" w:eastAsia="Calibri" w:hAnsiTheme="minorHAnsi"/>
          <w:b/>
          <w:bCs/>
          <w:color w:val="auto"/>
          <w:kern w:val="0"/>
          <w:sz w:val="22"/>
          <w:szCs w:val="22"/>
          <w:u w:val="single"/>
          <w:lang w:eastAsia="en-US"/>
        </w:rPr>
      </w:pPr>
    </w:p>
    <w:p w14:paraId="2B89B260" w14:textId="77777777" w:rsidR="00CA282D" w:rsidRPr="00894701" w:rsidRDefault="00CA282D" w:rsidP="00CA282D">
      <w:pPr>
        <w:spacing w:after="160" w:line="259" w:lineRule="auto"/>
        <w:jc w:val="center"/>
        <w:rPr>
          <w:rFonts w:asciiTheme="minorHAnsi" w:eastAsia="Calibri" w:hAnsiTheme="minorHAnsi"/>
          <w:b/>
          <w:bCs/>
          <w:color w:val="auto"/>
          <w:kern w:val="0"/>
          <w:sz w:val="22"/>
          <w:szCs w:val="22"/>
          <w:u w:val="single"/>
          <w:lang w:eastAsia="en-US"/>
        </w:rPr>
      </w:pPr>
    </w:p>
    <w:p w14:paraId="5C8CD627" w14:textId="77777777" w:rsidR="00CA282D" w:rsidRPr="00894701" w:rsidRDefault="00CA282D" w:rsidP="00CA282D">
      <w:pPr>
        <w:spacing w:after="160" w:line="259" w:lineRule="auto"/>
        <w:jc w:val="center"/>
        <w:rPr>
          <w:rFonts w:asciiTheme="minorHAnsi" w:eastAsia="Calibri" w:hAnsiTheme="minorHAnsi"/>
          <w:b/>
          <w:bCs/>
          <w:color w:val="auto"/>
          <w:kern w:val="0"/>
          <w:sz w:val="22"/>
          <w:szCs w:val="22"/>
          <w:u w:val="single"/>
          <w:lang w:eastAsia="en-US"/>
        </w:rPr>
      </w:pPr>
    </w:p>
    <w:p w14:paraId="220088BC" w14:textId="77777777" w:rsidR="00CA282D" w:rsidRPr="00894701" w:rsidRDefault="00CA282D" w:rsidP="00CA282D">
      <w:pPr>
        <w:spacing w:after="160" w:line="259" w:lineRule="auto"/>
        <w:jc w:val="both"/>
        <w:rPr>
          <w:rFonts w:asciiTheme="minorHAnsi" w:eastAsia="Calibri" w:hAnsiTheme="minorHAnsi"/>
          <w:color w:val="auto"/>
          <w:kern w:val="0"/>
          <w:sz w:val="22"/>
          <w:szCs w:val="22"/>
          <w:lang w:eastAsia="en-US"/>
        </w:rPr>
      </w:pPr>
    </w:p>
    <w:p w14:paraId="098A63B9" w14:textId="77777777" w:rsidR="00CA282D" w:rsidRPr="00894701" w:rsidRDefault="00CA282D" w:rsidP="00CA282D">
      <w:pPr>
        <w:spacing w:after="160" w:line="259" w:lineRule="auto"/>
        <w:jc w:val="both"/>
        <w:rPr>
          <w:rFonts w:asciiTheme="minorHAnsi" w:eastAsia="Calibri" w:hAnsiTheme="minorHAnsi"/>
          <w:color w:val="auto"/>
          <w:kern w:val="0"/>
          <w:sz w:val="22"/>
          <w:szCs w:val="22"/>
          <w:lang w:eastAsia="en-US"/>
        </w:rPr>
      </w:pPr>
    </w:p>
    <w:p w14:paraId="1D20785E" w14:textId="77777777" w:rsidR="00CA282D" w:rsidRPr="00894701" w:rsidRDefault="00CA282D" w:rsidP="00CA282D">
      <w:pPr>
        <w:spacing w:after="160" w:line="259" w:lineRule="auto"/>
        <w:jc w:val="both"/>
        <w:rPr>
          <w:rFonts w:asciiTheme="minorHAnsi" w:eastAsia="Calibri" w:hAnsiTheme="minorHAnsi"/>
          <w:color w:val="auto"/>
          <w:kern w:val="0"/>
          <w:sz w:val="22"/>
          <w:szCs w:val="22"/>
          <w:lang w:eastAsia="en-US"/>
        </w:rPr>
      </w:pPr>
    </w:p>
    <w:p w14:paraId="01B65E8E" w14:textId="60AF3C5D" w:rsidR="009342C0" w:rsidRDefault="00CA282D" w:rsidP="00CA282D">
      <w:pPr>
        <w:spacing w:after="160" w:line="259" w:lineRule="auto"/>
        <w:jc w:val="both"/>
        <w:rPr>
          <w:rFonts w:asciiTheme="minorHAnsi" w:eastAsia="Calibri" w:hAnsiTheme="minorHAnsi"/>
          <w:color w:val="auto"/>
          <w:kern w:val="0"/>
          <w:sz w:val="20"/>
          <w:szCs w:val="20"/>
          <w:lang w:eastAsia="en-US"/>
        </w:rPr>
      </w:pPr>
      <w:r w:rsidRPr="00894701">
        <w:rPr>
          <w:rFonts w:asciiTheme="minorHAnsi" w:eastAsia="Calibri" w:hAnsiTheme="minorHAnsi"/>
          <w:color w:val="auto"/>
          <w:kern w:val="0"/>
          <w:sz w:val="20"/>
          <w:szCs w:val="20"/>
          <w:lang w:eastAsia="en-US"/>
        </w:rPr>
        <w:t xml:space="preserve">The Explanatory Memorandum of the Petroleum legislation stipulates that, this law is regarded as a “lex specialis” while the Mining Decree is regarded as a “lex generals”. The petroleum legislation specifies that Staatsolie can sign petroleum agreements with third parties to explore, develop and produce hydrocarbons. It gives instructions to Staatsolie regarding the negotiations (article 6) and </w:t>
      </w:r>
      <w:r w:rsidRPr="00894701">
        <w:rPr>
          <w:rFonts w:asciiTheme="minorHAnsi" w:eastAsia="Calibri" w:hAnsiTheme="minorHAnsi"/>
          <w:color w:val="auto"/>
          <w:kern w:val="0"/>
          <w:sz w:val="20"/>
          <w:szCs w:val="20"/>
          <w:lang w:eastAsia="en-US"/>
        </w:rPr>
        <w:lastRenderedPageBreak/>
        <w:t xml:space="preserve">contents (chapter IV) of the petroleum agreement. It also specifies the rights and obligations of the parties (Chapter III). </w:t>
      </w:r>
      <w:r w:rsidR="009342C0">
        <w:rPr>
          <w:rFonts w:asciiTheme="minorHAnsi" w:eastAsia="Calibri" w:hAnsiTheme="minorHAnsi"/>
          <w:color w:val="auto"/>
          <w:kern w:val="0"/>
          <w:sz w:val="20"/>
          <w:szCs w:val="20"/>
          <w:lang w:eastAsia="en-US"/>
        </w:rPr>
        <w:br w:type="page"/>
      </w:r>
    </w:p>
    <w:p w14:paraId="30439150" w14:textId="6EC2D846" w:rsidR="009342C0" w:rsidRDefault="00E4295E" w:rsidP="00395F8C">
      <w:pPr>
        <w:spacing w:after="160" w:line="259" w:lineRule="auto"/>
        <w:jc w:val="both"/>
        <w:rPr>
          <w:rFonts w:asciiTheme="minorHAnsi" w:eastAsia="Calibri" w:hAnsiTheme="minorHAnsi"/>
          <w:color w:val="auto"/>
          <w:kern w:val="0"/>
          <w:sz w:val="20"/>
          <w:szCs w:val="20"/>
          <w:lang w:eastAsia="en-US"/>
        </w:rPr>
      </w:pPr>
      <w:r>
        <w:rPr>
          <w:rFonts w:asciiTheme="minorHAnsi" w:eastAsia="Calibri" w:hAnsiTheme="minorHAnsi"/>
          <w:color w:val="auto"/>
          <w:kern w:val="0"/>
          <w:sz w:val="20"/>
          <w:szCs w:val="20"/>
          <w:lang w:eastAsia="en-US"/>
        </w:rPr>
        <w:lastRenderedPageBreak/>
        <w:t xml:space="preserve">In accordance with the </w:t>
      </w:r>
      <w:hyperlink r:id="rId40" w:history="1">
        <w:r w:rsidRPr="00E4295E">
          <w:rPr>
            <w:rStyle w:val="Hyperlink"/>
            <w:rFonts w:asciiTheme="minorHAnsi" w:eastAsia="Calibri" w:hAnsiTheme="minorHAnsi"/>
            <w:kern w:val="0"/>
            <w:sz w:val="20"/>
            <w:szCs w:val="20"/>
            <w:lang w:eastAsia="en-US"/>
          </w:rPr>
          <w:t>Instructions for Suriname Shallow Offshore Bid Round</w:t>
        </w:r>
      </w:hyperlink>
      <w:r>
        <w:rPr>
          <w:rFonts w:asciiTheme="minorHAnsi" w:eastAsia="Calibri" w:hAnsiTheme="minorHAnsi"/>
          <w:color w:val="auto"/>
          <w:kern w:val="0"/>
          <w:sz w:val="20"/>
          <w:szCs w:val="20"/>
          <w:lang w:eastAsia="en-US"/>
        </w:rPr>
        <w:t xml:space="preserve"> published by Staatsolie, the technical and financial criteria to be used for evaluation under section </w:t>
      </w:r>
      <w:r w:rsidR="00950C40">
        <w:rPr>
          <w:rFonts w:asciiTheme="minorHAnsi" w:eastAsia="Calibri" w:hAnsiTheme="minorHAnsi"/>
          <w:color w:val="auto"/>
          <w:kern w:val="0"/>
          <w:sz w:val="20"/>
          <w:szCs w:val="20"/>
          <w:lang w:eastAsia="en-US"/>
        </w:rPr>
        <w:t>“5.3 Qualification and Evaluation Criteria”</w:t>
      </w:r>
      <w:r w:rsidR="00F64D73">
        <w:rPr>
          <w:rFonts w:asciiTheme="minorHAnsi" w:eastAsia="Calibri" w:hAnsiTheme="minorHAnsi"/>
          <w:color w:val="auto"/>
          <w:kern w:val="0"/>
          <w:sz w:val="20"/>
          <w:szCs w:val="20"/>
          <w:lang w:eastAsia="en-US"/>
        </w:rPr>
        <w:t xml:space="preserve">, including </w:t>
      </w:r>
      <w:r w:rsidR="009342C0">
        <w:rPr>
          <w:rFonts w:asciiTheme="minorHAnsi" w:eastAsia="Calibri" w:hAnsiTheme="minorHAnsi"/>
          <w:color w:val="auto"/>
          <w:kern w:val="0"/>
          <w:sz w:val="20"/>
          <w:szCs w:val="20"/>
          <w:lang w:eastAsia="en-US"/>
        </w:rPr>
        <w:t>bid weighting</w:t>
      </w:r>
      <w:r w:rsidR="00F64D73">
        <w:rPr>
          <w:rFonts w:asciiTheme="minorHAnsi" w:eastAsia="Calibri" w:hAnsiTheme="minorHAnsi"/>
          <w:color w:val="auto"/>
          <w:kern w:val="0"/>
          <w:sz w:val="20"/>
          <w:szCs w:val="20"/>
          <w:lang w:eastAsia="en-US"/>
        </w:rPr>
        <w:t xml:space="preserve">, are </w:t>
      </w:r>
      <w:r w:rsidR="009342C0">
        <w:rPr>
          <w:rFonts w:asciiTheme="minorHAnsi" w:eastAsia="Calibri" w:hAnsiTheme="minorHAnsi"/>
          <w:color w:val="auto"/>
          <w:kern w:val="0"/>
          <w:sz w:val="20"/>
          <w:szCs w:val="20"/>
          <w:lang w:eastAsia="en-US"/>
        </w:rPr>
        <w:t>as follows:</w:t>
      </w:r>
    </w:p>
    <w:p w14:paraId="26B9BF5F" w14:textId="0C1B8200" w:rsidR="009342C0" w:rsidRDefault="009342C0" w:rsidP="00860520">
      <w:pPr>
        <w:spacing w:after="160" w:line="259" w:lineRule="auto"/>
        <w:jc w:val="center"/>
        <w:rPr>
          <w:rFonts w:asciiTheme="minorHAnsi" w:eastAsia="Calibri" w:hAnsiTheme="minorHAnsi"/>
          <w:color w:val="auto"/>
          <w:kern w:val="0"/>
          <w:sz w:val="20"/>
          <w:szCs w:val="20"/>
          <w:lang w:eastAsia="en-US"/>
        </w:rPr>
      </w:pPr>
      <w:bookmarkStart w:id="187" w:name="_Toc146590497"/>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25</w:t>
      </w:r>
      <w:r w:rsidRPr="00894701">
        <w:rPr>
          <w:b/>
          <w:bCs/>
          <w:color w:val="98002E" w:themeColor="accent3"/>
          <w:sz w:val="20"/>
          <w:szCs w:val="20"/>
        </w:rPr>
        <w:fldChar w:fldCharType="end"/>
      </w:r>
      <w:r w:rsidRPr="00894701">
        <w:rPr>
          <w:b/>
          <w:bCs/>
          <w:color w:val="98002E" w:themeColor="accent3"/>
          <w:sz w:val="20"/>
          <w:szCs w:val="20"/>
        </w:rPr>
        <w:t xml:space="preserve">: </w:t>
      </w:r>
      <w:r>
        <w:rPr>
          <w:b/>
          <w:bCs/>
          <w:color w:val="98002E" w:themeColor="accent3"/>
          <w:sz w:val="20"/>
          <w:szCs w:val="20"/>
        </w:rPr>
        <w:t xml:space="preserve">Summary of the </w:t>
      </w:r>
      <w:r w:rsidRPr="009342C0">
        <w:rPr>
          <w:b/>
          <w:bCs/>
          <w:color w:val="98002E" w:themeColor="accent3"/>
          <w:sz w:val="20"/>
          <w:szCs w:val="20"/>
        </w:rPr>
        <w:t>bid weighting</w:t>
      </w:r>
      <w:r>
        <w:rPr>
          <w:rStyle w:val="FootnoteReference"/>
          <w:b/>
          <w:bCs/>
          <w:color w:val="98002E" w:themeColor="accent3"/>
          <w:sz w:val="20"/>
          <w:szCs w:val="20"/>
        </w:rPr>
        <w:footnoteReference w:id="32"/>
      </w:r>
      <w:bookmarkEnd w:id="187"/>
    </w:p>
    <w:p w14:paraId="01785045" w14:textId="0D51C84B" w:rsidR="00F82D2E" w:rsidRPr="00894701" w:rsidRDefault="009342C0" w:rsidP="00395F8C">
      <w:pPr>
        <w:spacing w:after="160" w:line="259" w:lineRule="auto"/>
        <w:jc w:val="both"/>
        <w:rPr>
          <w:rFonts w:asciiTheme="minorHAnsi" w:eastAsia="Calibri" w:hAnsiTheme="minorHAnsi"/>
          <w:color w:val="auto"/>
          <w:kern w:val="0"/>
          <w:sz w:val="20"/>
          <w:szCs w:val="20"/>
          <w:lang w:eastAsia="en-US"/>
        </w:rPr>
      </w:pPr>
      <w:r>
        <w:rPr>
          <w:rFonts w:asciiTheme="minorHAnsi" w:eastAsia="Calibri" w:hAnsiTheme="minorHAnsi"/>
          <w:noProof/>
          <w:color w:val="auto"/>
          <w:kern w:val="0"/>
          <w:sz w:val="20"/>
          <w:szCs w:val="20"/>
          <w:lang w:val="en-US" w:eastAsia="en-US"/>
        </w:rPr>
        <w:drawing>
          <wp:inline distT="0" distB="0" distL="0" distR="0" wp14:anchorId="65AAAC94" wp14:editId="4FB1754A">
            <wp:extent cx="5745480" cy="1028700"/>
            <wp:effectExtent l="0" t="0" r="7620" b="0"/>
            <wp:docPr id="1280589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5480" cy="1028700"/>
                    </a:xfrm>
                    <a:prstGeom prst="rect">
                      <a:avLst/>
                    </a:prstGeom>
                    <a:noFill/>
                    <a:ln>
                      <a:noFill/>
                    </a:ln>
                  </pic:spPr>
                </pic:pic>
              </a:graphicData>
            </a:graphic>
          </wp:inline>
        </w:drawing>
      </w:r>
      <w:r w:rsidR="00E4295E">
        <w:rPr>
          <w:rFonts w:asciiTheme="minorHAnsi" w:eastAsia="Calibri" w:hAnsiTheme="minorHAnsi"/>
          <w:color w:val="auto"/>
          <w:kern w:val="0"/>
          <w:sz w:val="20"/>
          <w:szCs w:val="20"/>
          <w:lang w:eastAsia="en-US"/>
        </w:rPr>
        <w:t xml:space="preserve"> </w:t>
      </w:r>
    </w:p>
    <w:p w14:paraId="4C562E19" w14:textId="43EFE73F" w:rsidR="00CA282D" w:rsidRPr="00894701" w:rsidRDefault="00CA282D" w:rsidP="00CA282D">
      <w:pPr>
        <w:pStyle w:val="AltMinorSubHeading"/>
        <w:numPr>
          <w:ilvl w:val="0"/>
          <w:numId w:val="0"/>
        </w:numPr>
        <w:spacing w:before="240" w:after="240"/>
        <w:rPr>
          <w:rFonts w:asciiTheme="minorHAnsi" w:hAnsiTheme="minorHAnsi"/>
          <w:color w:val="FF0000"/>
        </w:rPr>
      </w:pPr>
      <w:bookmarkStart w:id="188" w:name="_Toc122478872"/>
      <w:r w:rsidRPr="00894701">
        <w:rPr>
          <w:rFonts w:asciiTheme="minorHAnsi" w:hAnsiTheme="minorHAnsi"/>
          <w:color w:val="FF0000"/>
        </w:rPr>
        <w:t>3.3.</w:t>
      </w:r>
      <w:r w:rsidR="009E63E7">
        <w:rPr>
          <w:rFonts w:asciiTheme="minorHAnsi" w:hAnsiTheme="minorHAnsi"/>
          <w:color w:val="FF0000"/>
        </w:rPr>
        <w:t>2</w:t>
      </w:r>
      <w:r w:rsidRPr="00894701">
        <w:rPr>
          <w:rFonts w:asciiTheme="minorHAnsi" w:hAnsiTheme="minorHAnsi"/>
          <w:color w:val="FF0000"/>
        </w:rPr>
        <w:t>.(b) Production Sharing Contracts</w:t>
      </w:r>
      <w:bookmarkEnd w:id="188"/>
    </w:p>
    <w:p w14:paraId="21335DFC" w14:textId="3829EC9C" w:rsidR="00CA282D" w:rsidRPr="00894701" w:rsidRDefault="00CA282D" w:rsidP="00CA282D">
      <w:pPr>
        <w:spacing w:before="100" w:line="227" w:lineRule="exact"/>
        <w:jc w:val="both"/>
        <w:rPr>
          <w:rFonts w:asciiTheme="minorHAnsi" w:hAnsiTheme="minorHAnsi" w:cs="TrebuchetMS"/>
          <w:color w:val="auto"/>
          <w:sz w:val="20"/>
          <w:szCs w:val="20"/>
        </w:rPr>
      </w:pPr>
      <w:r w:rsidRPr="00894701">
        <w:rPr>
          <w:rFonts w:asciiTheme="minorHAnsi" w:hAnsiTheme="minorHAnsi" w:cs="TrebuchetMS"/>
          <w:color w:val="000000"/>
          <w:sz w:val="20"/>
          <w:szCs w:val="20"/>
        </w:rPr>
        <w:t xml:space="preserve">According to article 5 of the Mining decree 1986, State Enterprises shall be entitled to, upon the approval of the Minister, conclude agreements with third parties as referred to in </w:t>
      </w:r>
      <w:r w:rsidR="00DA41CF" w:rsidRPr="00894701">
        <w:rPr>
          <w:rFonts w:asciiTheme="minorHAnsi" w:hAnsiTheme="minorHAnsi" w:cs="TrebuchetMS"/>
          <w:color w:val="000000"/>
          <w:sz w:val="20"/>
          <w:szCs w:val="20"/>
        </w:rPr>
        <w:t>‘</w:t>
      </w:r>
      <w:r w:rsidRPr="00894701">
        <w:rPr>
          <w:rFonts w:asciiTheme="minorHAnsi" w:hAnsiTheme="minorHAnsi" w:cs="TrebuchetMS"/>
          <w:color w:val="000000"/>
          <w:sz w:val="20"/>
          <w:szCs w:val="20"/>
        </w:rPr>
        <w:t>Article 1 sub g</w:t>
      </w:r>
      <w:r w:rsidR="00DA41CF" w:rsidRPr="00894701">
        <w:rPr>
          <w:rFonts w:asciiTheme="minorHAnsi" w:hAnsiTheme="minorHAnsi" w:cs="TrebuchetMS"/>
          <w:color w:val="000000"/>
          <w:sz w:val="20"/>
          <w:szCs w:val="20"/>
        </w:rPr>
        <w:t>’</w:t>
      </w:r>
      <w:r w:rsidRPr="00894701">
        <w:rPr>
          <w:rFonts w:asciiTheme="minorHAnsi" w:hAnsiTheme="minorHAnsi" w:cs="TrebuchetMS"/>
          <w:color w:val="000000"/>
          <w:sz w:val="20"/>
          <w:szCs w:val="20"/>
        </w:rPr>
        <w:t xml:space="preserve"> of this Law. The Minister shall only give his approval after having received permission to do so from the </w:t>
      </w:r>
      <w:r w:rsidRPr="00894701">
        <w:rPr>
          <w:rFonts w:asciiTheme="minorHAnsi" w:hAnsiTheme="minorHAnsi" w:cs="TrebuchetMS"/>
          <w:color w:val="auto"/>
          <w:sz w:val="20"/>
          <w:szCs w:val="20"/>
        </w:rPr>
        <w:t xml:space="preserve">Government. </w:t>
      </w:r>
    </w:p>
    <w:p w14:paraId="4AA9626A" w14:textId="7545D134" w:rsidR="00CA282D" w:rsidRPr="00894701" w:rsidRDefault="00CA282D" w:rsidP="00CA282D">
      <w:pPr>
        <w:spacing w:before="100" w:line="227" w:lineRule="exact"/>
        <w:jc w:val="both"/>
        <w:rPr>
          <w:rFonts w:asciiTheme="minorHAnsi" w:hAnsiTheme="minorHAnsi" w:cs="TrebuchetMS"/>
          <w:color w:val="auto"/>
          <w:sz w:val="20"/>
          <w:szCs w:val="20"/>
        </w:rPr>
      </w:pPr>
      <w:r w:rsidRPr="00894701">
        <w:rPr>
          <w:rFonts w:asciiTheme="minorHAnsi" w:hAnsiTheme="minorHAnsi" w:cs="TrebuchetMS"/>
          <w:color w:val="auto"/>
          <w:sz w:val="20"/>
          <w:szCs w:val="20"/>
        </w:rPr>
        <w:t xml:space="preserve">According to the same article, State Enterprises should, among other things when concluding petroleum agreements with third parties:  </w:t>
      </w:r>
    </w:p>
    <w:p w14:paraId="5F315C7D" w14:textId="77777777" w:rsidR="00CA282D" w:rsidRPr="00894701" w:rsidRDefault="00CA282D" w:rsidP="00CA282D">
      <w:pPr>
        <w:pStyle w:val="ListParagraph"/>
        <w:numPr>
          <w:ilvl w:val="0"/>
          <w:numId w:val="53"/>
        </w:numPr>
        <w:spacing w:before="100" w:line="227" w:lineRule="exact"/>
        <w:jc w:val="both"/>
        <w:rPr>
          <w:rFonts w:asciiTheme="minorHAnsi" w:hAnsiTheme="minorHAnsi" w:cs="TrebuchetMS"/>
          <w:color w:val="auto"/>
          <w:sz w:val="20"/>
          <w:szCs w:val="20"/>
        </w:rPr>
      </w:pPr>
      <w:r w:rsidRPr="00894701">
        <w:rPr>
          <w:rFonts w:asciiTheme="minorHAnsi" w:hAnsiTheme="minorHAnsi" w:cs="TrebuchetMS"/>
          <w:color w:val="auto"/>
          <w:sz w:val="20"/>
          <w:szCs w:val="20"/>
        </w:rPr>
        <w:t xml:space="preserve">encourage the exploration and rational development of the petroleum occurrences in Suriname in the most efficient manner and in accordance with the best international techniques and practices;  </w:t>
      </w:r>
    </w:p>
    <w:p w14:paraId="03B61B67" w14:textId="77777777" w:rsidR="00CA282D" w:rsidRPr="00894701" w:rsidRDefault="00CA282D" w:rsidP="00CA282D">
      <w:pPr>
        <w:pStyle w:val="ListParagraph"/>
        <w:numPr>
          <w:ilvl w:val="0"/>
          <w:numId w:val="53"/>
        </w:numPr>
        <w:spacing w:before="100" w:line="227" w:lineRule="exact"/>
        <w:jc w:val="both"/>
        <w:rPr>
          <w:rFonts w:asciiTheme="minorHAnsi" w:hAnsiTheme="minorHAnsi" w:cs="TrebuchetMS"/>
          <w:color w:val="auto"/>
          <w:sz w:val="20"/>
          <w:szCs w:val="20"/>
        </w:rPr>
      </w:pPr>
      <w:r w:rsidRPr="00894701">
        <w:rPr>
          <w:rFonts w:asciiTheme="minorHAnsi" w:hAnsiTheme="minorHAnsi" w:cs="TrebuchetMS"/>
          <w:color w:val="auto"/>
          <w:sz w:val="20"/>
          <w:szCs w:val="20"/>
        </w:rPr>
        <w:t xml:space="preserve">encourage that the State has the best possible advantages from the development of its </w:t>
      </w:r>
      <w:r w:rsidRPr="00894701">
        <w:rPr>
          <w:rFonts w:asciiTheme="minorHAnsi" w:hAnsiTheme="minorHAnsi" w:cs="TrebuchetMS"/>
          <w:color w:val="auto"/>
          <w:sz w:val="20"/>
          <w:szCs w:val="20"/>
        </w:rPr>
        <w:br w:type="textWrapping" w:clear="all"/>
        <w:t xml:space="preserve">petroleum occurrences; </w:t>
      </w:r>
    </w:p>
    <w:p w14:paraId="7C45F8C9" w14:textId="77777777" w:rsidR="00CA282D" w:rsidRPr="00894701" w:rsidRDefault="00CA282D" w:rsidP="00CA282D">
      <w:pPr>
        <w:pStyle w:val="ListParagraph"/>
        <w:numPr>
          <w:ilvl w:val="0"/>
          <w:numId w:val="53"/>
        </w:numPr>
        <w:spacing w:before="100" w:line="227" w:lineRule="exact"/>
        <w:jc w:val="both"/>
        <w:rPr>
          <w:rFonts w:asciiTheme="minorHAnsi" w:hAnsiTheme="minorHAnsi" w:cs="TrebuchetMS"/>
          <w:color w:val="auto"/>
          <w:sz w:val="20"/>
          <w:szCs w:val="20"/>
        </w:rPr>
      </w:pPr>
      <w:r w:rsidRPr="00894701">
        <w:rPr>
          <w:rFonts w:asciiTheme="minorHAnsi" w:hAnsiTheme="minorHAnsi" w:cs="TrebuchetMS"/>
          <w:color w:val="auto"/>
          <w:sz w:val="20"/>
          <w:szCs w:val="20"/>
        </w:rPr>
        <w:t xml:space="preserve">encourage the transfer of petroleum-related technology to Suriname;  </w:t>
      </w:r>
    </w:p>
    <w:p w14:paraId="236623F8" w14:textId="77777777" w:rsidR="00CA282D" w:rsidRPr="00894701" w:rsidRDefault="00CA282D" w:rsidP="00CA282D">
      <w:pPr>
        <w:pStyle w:val="ListParagraph"/>
        <w:numPr>
          <w:ilvl w:val="0"/>
          <w:numId w:val="53"/>
        </w:numPr>
        <w:spacing w:before="100" w:line="227" w:lineRule="exact"/>
        <w:jc w:val="both"/>
        <w:rPr>
          <w:rFonts w:asciiTheme="minorHAnsi" w:hAnsiTheme="minorHAnsi" w:cs="TrebuchetMS"/>
          <w:color w:val="auto"/>
          <w:sz w:val="20"/>
          <w:szCs w:val="20"/>
        </w:rPr>
      </w:pPr>
      <w:r w:rsidRPr="00894701">
        <w:rPr>
          <w:rFonts w:asciiTheme="minorHAnsi" w:hAnsiTheme="minorHAnsi" w:cs="TrebuchetMS"/>
          <w:color w:val="auto"/>
          <w:sz w:val="20"/>
          <w:szCs w:val="20"/>
        </w:rPr>
        <w:t xml:space="preserve">encourage the training of Surinamese experts in petroleum activities; and  </w:t>
      </w:r>
    </w:p>
    <w:p w14:paraId="207E98C5" w14:textId="1277A5BD" w:rsidR="00CA282D" w:rsidRPr="00894701" w:rsidRDefault="00CA282D" w:rsidP="00CA282D">
      <w:pPr>
        <w:pStyle w:val="ListParagraph"/>
        <w:numPr>
          <w:ilvl w:val="0"/>
          <w:numId w:val="53"/>
        </w:numPr>
        <w:spacing w:before="100" w:line="227" w:lineRule="exact"/>
        <w:jc w:val="both"/>
        <w:rPr>
          <w:rFonts w:asciiTheme="minorHAnsi" w:hAnsiTheme="minorHAnsi"/>
          <w:color w:val="auto"/>
        </w:rPr>
      </w:pPr>
      <w:r w:rsidRPr="00894701">
        <w:rPr>
          <w:rFonts w:asciiTheme="minorHAnsi" w:hAnsiTheme="minorHAnsi" w:cs="TrebuchetMS"/>
          <w:color w:val="auto"/>
          <w:sz w:val="20"/>
          <w:szCs w:val="20"/>
        </w:rPr>
        <w:t xml:space="preserve">ensure that petroleum activities are performed in such a manner as to prevent adverse consequences for the environment and natural resources. </w:t>
      </w:r>
    </w:p>
    <w:p w14:paraId="33B76F78" w14:textId="5CCDC54B" w:rsidR="00CA282D" w:rsidRPr="00894701" w:rsidRDefault="00CA282D" w:rsidP="00CA282D">
      <w:pPr>
        <w:spacing w:before="100" w:line="227" w:lineRule="exact"/>
        <w:jc w:val="both"/>
        <w:rPr>
          <w:rFonts w:asciiTheme="minorHAnsi" w:hAnsiTheme="minorHAnsi"/>
          <w:color w:val="auto"/>
        </w:rPr>
      </w:pPr>
      <w:r w:rsidRPr="00894701">
        <w:rPr>
          <w:rFonts w:asciiTheme="minorHAnsi" w:hAnsiTheme="minorHAnsi" w:cs="TrebuchetMS"/>
          <w:color w:val="auto"/>
          <w:sz w:val="20"/>
          <w:szCs w:val="20"/>
        </w:rPr>
        <w:t>According to article 12 of the Mining decree 1986,</w:t>
      </w:r>
      <w:r w:rsidRPr="00894701">
        <w:rPr>
          <w:rFonts w:asciiTheme="minorHAnsi" w:hAnsiTheme="minorHAnsi" w:cs="TrebuchetMS"/>
          <w:color w:val="auto"/>
          <w:spacing w:val="21"/>
          <w:sz w:val="20"/>
          <w:szCs w:val="20"/>
        </w:rPr>
        <w:t xml:space="preserve"> </w:t>
      </w:r>
      <w:r w:rsidRPr="00894701">
        <w:rPr>
          <w:rFonts w:asciiTheme="minorHAnsi" w:hAnsiTheme="minorHAnsi" w:cs="TrebuchetMS"/>
          <w:color w:val="auto"/>
          <w:spacing w:val="-10"/>
          <w:sz w:val="20"/>
          <w:szCs w:val="20"/>
        </w:rPr>
        <w:t>P</w:t>
      </w:r>
      <w:r w:rsidRPr="00894701">
        <w:rPr>
          <w:rFonts w:asciiTheme="minorHAnsi" w:hAnsiTheme="minorHAnsi" w:cs="TrebuchetMS"/>
          <w:color w:val="auto"/>
          <w:sz w:val="20"/>
          <w:szCs w:val="20"/>
        </w:rPr>
        <w:t>etroleum agreements shall contain provisions regarding</w:t>
      </w:r>
      <w:r w:rsidRPr="00894701">
        <w:rPr>
          <w:rFonts w:asciiTheme="minorHAnsi" w:hAnsiTheme="minorHAnsi" w:cs="TrebuchetMS"/>
          <w:color w:val="auto"/>
          <w:spacing w:val="43"/>
          <w:sz w:val="20"/>
          <w:szCs w:val="20"/>
        </w:rPr>
        <w:t xml:space="preserve"> the </w:t>
      </w:r>
      <w:r w:rsidRPr="00894701">
        <w:rPr>
          <w:rFonts w:asciiTheme="minorHAnsi" w:hAnsiTheme="minorHAnsi" w:cs="TrebuchetMS"/>
          <w:color w:val="auto"/>
          <w:sz w:val="20"/>
          <w:szCs w:val="20"/>
        </w:rPr>
        <w:t>acquisition</w:t>
      </w:r>
      <w:r w:rsidRPr="00894701">
        <w:rPr>
          <w:rFonts w:asciiTheme="minorHAnsi" w:hAnsiTheme="minorHAnsi" w:cs="TrebuchetMS"/>
          <w:color w:val="auto"/>
          <w:spacing w:val="43"/>
          <w:sz w:val="20"/>
          <w:szCs w:val="20"/>
        </w:rPr>
        <w:t xml:space="preserve"> </w:t>
      </w:r>
      <w:r w:rsidRPr="00894701">
        <w:rPr>
          <w:rFonts w:asciiTheme="minorHAnsi" w:hAnsiTheme="minorHAnsi" w:cs="TrebuchetMS"/>
          <w:color w:val="auto"/>
          <w:sz w:val="20"/>
          <w:szCs w:val="20"/>
        </w:rPr>
        <w:t>of</w:t>
      </w:r>
      <w:r w:rsidRPr="00894701">
        <w:rPr>
          <w:rFonts w:asciiTheme="minorHAnsi" w:hAnsiTheme="minorHAnsi" w:cs="TrebuchetMS"/>
          <w:color w:val="auto"/>
          <w:spacing w:val="43"/>
          <w:sz w:val="20"/>
          <w:szCs w:val="20"/>
        </w:rPr>
        <w:t xml:space="preserve"> </w:t>
      </w:r>
      <w:r w:rsidRPr="00894701">
        <w:rPr>
          <w:rFonts w:asciiTheme="minorHAnsi" w:hAnsiTheme="minorHAnsi" w:cs="TrebuchetMS"/>
          <w:color w:val="auto"/>
          <w:sz w:val="20"/>
          <w:szCs w:val="20"/>
        </w:rPr>
        <w:t>ownership</w:t>
      </w:r>
      <w:r w:rsidRPr="00894701">
        <w:rPr>
          <w:rFonts w:asciiTheme="minorHAnsi" w:hAnsiTheme="minorHAnsi" w:cs="TrebuchetMS"/>
          <w:color w:val="auto"/>
          <w:spacing w:val="42"/>
          <w:sz w:val="20"/>
          <w:szCs w:val="20"/>
        </w:rPr>
        <w:t xml:space="preserve"> </w:t>
      </w:r>
      <w:r w:rsidRPr="00894701">
        <w:rPr>
          <w:rFonts w:asciiTheme="minorHAnsi" w:hAnsiTheme="minorHAnsi" w:cs="TrebuchetMS"/>
          <w:color w:val="auto"/>
          <w:sz w:val="20"/>
          <w:szCs w:val="20"/>
        </w:rPr>
        <w:t>by</w:t>
      </w:r>
      <w:r w:rsidRPr="00894701">
        <w:rPr>
          <w:rFonts w:asciiTheme="minorHAnsi" w:hAnsiTheme="minorHAnsi" w:cs="TrebuchetMS"/>
          <w:color w:val="auto"/>
          <w:spacing w:val="42"/>
          <w:sz w:val="20"/>
          <w:szCs w:val="20"/>
        </w:rPr>
        <w:t xml:space="preserve"> </w:t>
      </w:r>
      <w:r w:rsidRPr="00894701">
        <w:rPr>
          <w:rFonts w:asciiTheme="minorHAnsi" w:hAnsiTheme="minorHAnsi" w:cs="TrebuchetMS"/>
          <w:color w:val="auto"/>
          <w:sz w:val="20"/>
          <w:szCs w:val="20"/>
        </w:rPr>
        <w:t>State</w:t>
      </w:r>
      <w:r w:rsidRPr="00894701">
        <w:rPr>
          <w:rFonts w:asciiTheme="minorHAnsi" w:hAnsiTheme="minorHAnsi" w:cs="TrebuchetMS"/>
          <w:color w:val="auto"/>
          <w:spacing w:val="42"/>
          <w:sz w:val="20"/>
          <w:szCs w:val="20"/>
        </w:rPr>
        <w:t xml:space="preserve"> </w:t>
      </w:r>
      <w:r w:rsidRPr="00894701">
        <w:rPr>
          <w:rFonts w:asciiTheme="minorHAnsi" w:hAnsiTheme="minorHAnsi" w:cs="TrebuchetMS"/>
          <w:color w:val="auto"/>
          <w:sz w:val="20"/>
          <w:szCs w:val="20"/>
        </w:rPr>
        <w:t>Enterprises</w:t>
      </w:r>
      <w:r w:rsidRPr="00894701">
        <w:rPr>
          <w:rFonts w:asciiTheme="minorHAnsi" w:hAnsiTheme="minorHAnsi" w:cs="TrebuchetMS"/>
          <w:color w:val="auto"/>
          <w:spacing w:val="43"/>
          <w:sz w:val="20"/>
          <w:szCs w:val="20"/>
        </w:rPr>
        <w:t xml:space="preserve"> </w:t>
      </w:r>
      <w:r w:rsidRPr="00894701">
        <w:rPr>
          <w:rFonts w:asciiTheme="minorHAnsi" w:hAnsiTheme="minorHAnsi" w:cs="TrebuchetMS"/>
          <w:color w:val="auto"/>
          <w:sz w:val="20"/>
          <w:szCs w:val="20"/>
        </w:rPr>
        <w:t>and</w:t>
      </w:r>
      <w:r w:rsidRPr="00894701">
        <w:rPr>
          <w:rFonts w:asciiTheme="minorHAnsi" w:hAnsiTheme="minorHAnsi" w:cs="TrebuchetMS"/>
          <w:color w:val="auto"/>
          <w:spacing w:val="42"/>
          <w:sz w:val="20"/>
          <w:szCs w:val="20"/>
        </w:rPr>
        <w:t xml:space="preserve"> </w:t>
      </w:r>
      <w:r w:rsidRPr="00894701">
        <w:rPr>
          <w:rFonts w:asciiTheme="minorHAnsi" w:hAnsiTheme="minorHAnsi" w:cs="TrebuchetMS"/>
          <w:color w:val="auto"/>
          <w:sz w:val="20"/>
          <w:szCs w:val="20"/>
        </w:rPr>
        <w:t>secrecy</w:t>
      </w:r>
      <w:r w:rsidRPr="00894701">
        <w:rPr>
          <w:rFonts w:asciiTheme="minorHAnsi" w:hAnsiTheme="minorHAnsi" w:cs="TrebuchetMS"/>
          <w:color w:val="auto"/>
          <w:spacing w:val="43"/>
          <w:sz w:val="20"/>
          <w:szCs w:val="20"/>
        </w:rPr>
        <w:t xml:space="preserve"> </w:t>
      </w:r>
      <w:r w:rsidRPr="00894701">
        <w:rPr>
          <w:rFonts w:asciiTheme="minorHAnsi" w:hAnsiTheme="minorHAnsi" w:cs="TrebuchetMS"/>
          <w:color w:val="auto"/>
          <w:sz w:val="20"/>
          <w:szCs w:val="20"/>
        </w:rPr>
        <w:t>to</w:t>
      </w:r>
      <w:r w:rsidRPr="00894701">
        <w:rPr>
          <w:rFonts w:asciiTheme="minorHAnsi" w:hAnsiTheme="minorHAnsi" w:cs="TrebuchetMS"/>
          <w:color w:val="auto"/>
          <w:spacing w:val="45"/>
          <w:sz w:val="20"/>
          <w:szCs w:val="20"/>
        </w:rPr>
        <w:t xml:space="preserve"> </w:t>
      </w:r>
      <w:r w:rsidRPr="00894701">
        <w:rPr>
          <w:rFonts w:asciiTheme="minorHAnsi" w:hAnsiTheme="minorHAnsi" w:cs="TrebuchetMS"/>
          <w:color w:val="auto"/>
          <w:sz w:val="20"/>
          <w:szCs w:val="20"/>
        </w:rPr>
        <w:t>be</w:t>
      </w:r>
      <w:r w:rsidRPr="00894701">
        <w:rPr>
          <w:rFonts w:asciiTheme="minorHAnsi" w:hAnsiTheme="minorHAnsi" w:cs="TrebuchetMS"/>
          <w:color w:val="auto"/>
          <w:spacing w:val="45"/>
          <w:sz w:val="20"/>
          <w:szCs w:val="20"/>
        </w:rPr>
        <w:t xml:space="preserve"> </w:t>
      </w:r>
      <w:r w:rsidRPr="00894701">
        <w:rPr>
          <w:rFonts w:asciiTheme="minorHAnsi" w:hAnsiTheme="minorHAnsi" w:cs="TrebuchetMS"/>
          <w:color w:val="auto"/>
          <w:sz w:val="20"/>
          <w:szCs w:val="20"/>
        </w:rPr>
        <w:t>maintained</w:t>
      </w:r>
      <w:r w:rsidRPr="00894701">
        <w:rPr>
          <w:rFonts w:asciiTheme="minorHAnsi" w:hAnsiTheme="minorHAnsi" w:cs="TrebuchetMS"/>
          <w:color w:val="auto"/>
          <w:spacing w:val="45"/>
          <w:sz w:val="20"/>
          <w:szCs w:val="20"/>
        </w:rPr>
        <w:t xml:space="preserve"> </w:t>
      </w:r>
      <w:r w:rsidRPr="00894701">
        <w:rPr>
          <w:rFonts w:asciiTheme="minorHAnsi" w:hAnsiTheme="minorHAnsi" w:cs="TrebuchetMS"/>
          <w:color w:val="auto"/>
          <w:sz w:val="20"/>
          <w:szCs w:val="20"/>
        </w:rPr>
        <w:t>by</w:t>
      </w:r>
      <w:r w:rsidRPr="00894701">
        <w:rPr>
          <w:rFonts w:asciiTheme="minorHAnsi" w:hAnsiTheme="minorHAnsi" w:cs="TrebuchetMS"/>
          <w:color w:val="auto"/>
          <w:spacing w:val="42"/>
          <w:sz w:val="20"/>
          <w:szCs w:val="20"/>
        </w:rPr>
        <w:t xml:space="preserve"> </w:t>
      </w:r>
      <w:r w:rsidRPr="00894701">
        <w:rPr>
          <w:rFonts w:asciiTheme="minorHAnsi" w:hAnsiTheme="minorHAnsi" w:cs="TrebuchetMS"/>
          <w:color w:val="auto"/>
          <w:sz w:val="20"/>
          <w:szCs w:val="20"/>
        </w:rPr>
        <w:t>State Enterprises</w:t>
      </w:r>
      <w:r w:rsidRPr="00894701">
        <w:rPr>
          <w:rFonts w:asciiTheme="minorHAnsi" w:hAnsiTheme="minorHAnsi" w:cs="TrebuchetMS"/>
          <w:color w:val="auto"/>
          <w:spacing w:val="-11"/>
          <w:sz w:val="20"/>
          <w:szCs w:val="20"/>
        </w:rPr>
        <w:t xml:space="preserve"> </w:t>
      </w:r>
      <w:r w:rsidRPr="00894701">
        <w:rPr>
          <w:rFonts w:asciiTheme="minorHAnsi" w:hAnsiTheme="minorHAnsi" w:cs="TrebuchetMS"/>
          <w:color w:val="auto"/>
          <w:sz w:val="20"/>
          <w:szCs w:val="20"/>
        </w:rPr>
        <w:t>and</w:t>
      </w:r>
      <w:r w:rsidRPr="00894701">
        <w:rPr>
          <w:rFonts w:asciiTheme="minorHAnsi" w:hAnsiTheme="minorHAnsi" w:cs="TrebuchetMS"/>
          <w:color w:val="auto"/>
          <w:spacing w:val="-10"/>
          <w:sz w:val="20"/>
          <w:szCs w:val="20"/>
        </w:rPr>
        <w:t xml:space="preserve"> </w:t>
      </w:r>
      <w:r w:rsidRPr="00894701">
        <w:rPr>
          <w:rFonts w:asciiTheme="minorHAnsi" w:hAnsiTheme="minorHAnsi" w:cs="TrebuchetMS"/>
          <w:color w:val="auto"/>
          <w:sz w:val="20"/>
          <w:szCs w:val="20"/>
        </w:rPr>
        <w:t>contractors</w:t>
      </w:r>
      <w:r w:rsidRPr="00894701">
        <w:rPr>
          <w:rFonts w:asciiTheme="minorHAnsi" w:hAnsiTheme="minorHAnsi" w:cs="TrebuchetMS"/>
          <w:color w:val="auto"/>
          <w:spacing w:val="-11"/>
          <w:sz w:val="20"/>
          <w:szCs w:val="20"/>
        </w:rPr>
        <w:t xml:space="preserve"> </w:t>
      </w:r>
      <w:r w:rsidRPr="00894701">
        <w:rPr>
          <w:rFonts w:asciiTheme="minorHAnsi" w:hAnsiTheme="minorHAnsi" w:cs="TrebuchetMS"/>
          <w:color w:val="auto"/>
          <w:sz w:val="20"/>
          <w:szCs w:val="20"/>
        </w:rPr>
        <w:t>of</w:t>
      </w:r>
      <w:r w:rsidRPr="00894701">
        <w:rPr>
          <w:rFonts w:asciiTheme="minorHAnsi" w:hAnsiTheme="minorHAnsi" w:cs="TrebuchetMS"/>
          <w:color w:val="auto"/>
          <w:spacing w:val="-11"/>
          <w:sz w:val="20"/>
          <w:szCs w:val="20"/>
        </w:rPr>
        <w:t xml:space="preserve"> </w:t>
      </w:r>
      <w:r w:rsidRPr="00894701">
        <w:rPr>
          <w:rFonts w:asciiTheme="minorHAnsi" w:hAnsiTheme="minorHAnsi" w:cs="TrebuchetMS"/>
          <w:color w:val="auto"/>
          <w:sz w:val="20"/>
          <w:szCs w:val="20"/>
        </w:rPr>
        <w:t>technical,</w:t>
      </w:r>
      <w:r w:rsidRPr="00894701">
        <w:rPr>
          <w:rFonts w:asciiTheme="minorHAnsi" w:hAnsiTheme="minorHAnsi" w:cs="TrebuchetMS"/>
          <w:color w:val="auto"/>
          <w:spacing w:val="-11"/>
          <w:sz w:val="20"/>
          <w:szCs w:val="20"/>
        </w:rPr>
        <w:t xml:space="preserve"> </w:t>
      </w:r>
      <w:r w:rsidRPr="00894701">
        <w:rPr>
          <w:rFonts w:asciiTheme="minorHAnsi" w:hAnsiTheme="minorHAnsi" w:cs="TrebuchetMS"/>
          <w:color w:val="auto"/>
          <w:sz w:val="20"/>
          <w:szCs w:val="20"/>
        </w:rPr>
        <w:t>financial</w:t>
      </w:r>
      <w:r w:rsidRPr="00894701">
        <w:rPr>
          <w:rFonts w:asciiTheme="minorHAnsi" w:hAnsiTheme="minorHAnsi" w:cs="TrebuchetMS"/>
          <w:color w:val="auto"/>
          <w:spacing w:val="-11"/>
          <w:sz w:val="20"/>
          <w:szCs w:val="20"/>
        </w:rPr>
        <w:t xml:space="preserve"> </w:t>
      </w:r>
      <w:r w:rsidRPr="00894701">
        <w:rPr>
          <w:rFonts w:asciiTheme="minorHAnsi" w:hAnsiTheme="minorHAnsi" w:cs="TrebuchetMS"/>
          <w:color w:val="auto"/>
          <w:sz w:val="20"/>
          <w:szCs w:val="20"/>
        </w:rPr>
        <w:t>and</w:t>
      </w:r>
      <w:r w:rsidRPr="00894701">
        <w:rPr>
          <w:rFonts w:asciiTheme="minorHAnsi" w:hAnsiTheme="minorHAnsi" w:cs="TrebuchetMS"/>
          <w:color w:val="auto"/>
          <w:spacing w:val="-10"/>
          <w:sz w:val="20"/>
          <w:szCs w:val="20"/>
        </w:rPr>
        <w:t xml:space="preserve"> </w:t>
      </w:r>
      <w:r w:rsidRPr="00894701">
        <w:rPr>
          <w:rFonts w:asciiTheme="minorHAnsi" w:hAnsiTheme="minorHAnsi" w:cs="TrebuchetMS"/>
          <w:color w:val="auto"/>
          <w:sz w:val="20"/>
          <w:szCs w:val="20"/>
        </w:rPr>
        <w:t>economic</w:t>
      </w:r>
      <w:r w:rsidRPr="00894701">
        <w:rPr>
          <w:rFonts w:asciiTheme="minorHAnsi" w:hAnsiTheme="minorHAnsi" w:cs="TrebuchetMS"/>
          <w:color w:val="auto"/>
          <w:spacing w:val="-12"/>
          <w:sz w:val="20"/>
          <w:szCs w:val="20"/>
        </w:rPr>
        <w:t xml:space="preserve"> </w:t>
      </w:r>
      <w:r w:rsidRPr="00894701">
        <w:rPr>
          <w:rFonts w:asciiTheme="minorHAnsi" w:hAnsiTheme="minorHAnsi" w:cs="TrebuchetMS"/>
          <w:color w:val="auto"/>
          <w:sz w:val="20"/>
          <w:szCs w:val="20"/>
        </w:rPr>
        <w:t>data,</w:t>
      </w:r>
      <w:r w:rsidRPr="00894701">
        <w:rPr>
          <w:rFonts w:asciiTheme="minorHAnsi" w:hAnsiTheme="minorHAnsi" w:cs="TrebuchetMS"/>
          <w:color w:val="auto"/>
          <w:spacing w:val="-11"/>
          <w:sz w:val="20"/>
          <w:szCs w:val="20"/>
        </w:rPr>
        <w:t xml:space="preserve"> </w:t>
      </w:r>
      <w:r w:rsidRPr="00894701">
        <w:rPr>
          <w:rFonts w:asciiTheme="minorHAnsi" w:hAnsiTheme="minorHAnsi" w:cs="TrebuchetMS"/>
          <w:color w:val="auto"/>
          <w:sz w:val="20"/>
          <w:szCs w:val="20"/>
        </w:rPr>
        <w:t>obtained</w:t>
      </w:r>
      <w:r w:rsidRPr="00894701">
        <w:rPr>
          <w:rFonts w:asciiTheme="minorHAnsi" w:hAnsiTheme="minorHAnsi" w:cs="TrebuchetMS"/>
          <w:color w:val="auto"/>
          <w:spacing w:val="-12"/>
          <w:sz w:val="20"/>
          <w:szCs w:val="20"/>
        </w:rPr>
        <w:t xml:space="preserve"> </w:t>
      </w:r>
      <w:r w:rsidRPr="00894701">
        <w:rPr>
          <w:rFonts w:asciiTheme="minorHAnsi" w:hAnsiTheme="minorHAnsi" w:cs="TrebuchetMS"/>
          <w:color w:val="auto"/>
          <w:sz w:val="20"/>
          <w:szCs w:val="20"/>
        </w:rPr>
        <w:t>within</w:t>
      </w:r>
      <w:r w:rsidRPr="00894701">
        <w:rPr>
          <w:rFonts w:asciiTheme="minorHAnsi" w:hAnsiTheme="minorHAnsi" w:cs="TrebuchetMS"/>
          <w:color w:val="auto"/>
          <w:spacing w:val="-12"/>
          <w:sz w:val="20"/>
          <w:szCs w:val="20"/>
        </w:rPr>
        <w:t xml:space="preserve"> </w:t>
      </w:r>
      <w:r w:rsidRPr="00894701">
        <w:rPr>
          <w:rFonts w:asciiTheme="minorHAnsi" w:hAnsiTheme="minorHAnsi" w:cs="TrebuchetMS"/>
          <w:color w:val="auto"/>
          <w:sz w:val="20"/>
          <w:szCs w:val="20"/>
        </w:rPr>
        <w:t>the</w:t>
      </w:r>
      <w:r w:rsidRPr="00894701">
        <w:rPr>
          <w:rFonts w:asciiTheme="minorHAnsi" w:hAnsiTheme="minorHAnsi" w:cs="TrebuchetMS"/>
          <w:color w:val="auto"/>
          <w:spacing w:val="-12"/>
          <w:sz w:val="20"/>
          <w:szCs w:val="20"/>
        </w:rPr>
        <w:t xml:space="preserve"> </w:t>
      </w:r>
      <w:r w:rsidRPr="00894701">
        <w:rPr>
          <w:rFonts w:asciiTheme="minorHAnsi" w:hAnsiTheme="minorHAnsi" w:cs="TrebuchetMS"/>
          <w:color w:val="auto"/>
          <w:sz w:val="20"/>
          <w:szCs w:val="20"/>
        </w:rPr>
        <w:t xml:space="preserve">framework of a petroleum agreement. </w:t>
      </w:r>
    </w:p>
    <w:p w14:paraId="1F3C2763" w14:textId="4B37EEC6" w:rsidR="00CA282D" w:rsidRPr="00894701" w:rsidRDefault="00CA282D" w:rsidP="00CA282D">
      <w:pPr>
        <w:spacing w:after="160" w:line="259" w:lineRule="auto"/>
        <w:jc w:val="both"/>
        <w:rPr>
          <w:rFonts w:asciiTheme="minorHAnsi" w:eastAsia="Calibri" w:hAnsiTheme="minorHAnsi"/>
          <w:color w:val="auto"/>
          <w:kern w:val="0"/>
          <w:sz w:val="20"/>
          <w:szCs w:val="20"/>
          <w:lang w:eastAsia="en-US"/>
        </w:rPr>
      </w:pPr>
      <w:r w:rsidRPr="00894701">
        <w:rPr>
          <w:rFonts w:asciiTheme="minorHAnsi" w:eastAsia="Calibri" w:hAnsiTheme="minorHAnsi"/>
          <w:color w:val="auto"/>
          <w:kern w:val="0"/>
          <w:sz w:val="20"/>
          <w:szCs w:val="20"/>
          <w:lang w:eastAsia="en-US"/>
        </w:rPr>
        <w:t xml:space="preserve">A signed PSC can remain in force for 30 contract years from the effective date and may be extended upon mutual agreement of the parties involved. </w:t>
      </w:r>
    </w:p>
    <w:p w14:paraId="61BFBDCE" w14:textId="77777777" w:rsidR="00CA282D" w:rsidRPr="00894701" w:rsidRDefault="00CA282D" w:rsidP="00CA282D">
      <w:pPr>
        <w:spacing w:after="160" w:line="259" w:lineRule="auto"/>
        <w:jc w:val="both"/>
        <w:rPr>
          <w:rFonts w:asciiTheme="minorHAnsi" w:eastAsia="Calibri" w:hAnsiTheme="minorHAnsi"/>
          <w:color w:val="auto"/>
          <w:kern w:val="0"/>
          <w:sz w:val="20"/>
          <w:szCs w:val="20"/>
          <w:lang w:eastAsia="en-US"/>
        </w:rPr>
      </w:pPr>
      <w:r w:rsidRPr="00894701">
        <w:rPr>
          <w:rFonts w:asciiTheme="minorHAnsi" w:eastAsia="Calibri" w:hAnsiTheme="minorHAnsi"/>
          <w:color w:val="auto"/>
          <w:kern w:val="0"/>
          <w:sz w:val="20"/>
          <w:szCs w:val="20"/>
          <w:lang w:eastAsia="en-US"/>
        </w:rPr>
        <w:t xml:space="preserve">The term of a PSC is divided into the following two stages:  </w:t>
      </w:r>
    </w:p>
    <w:p w14:paraId="13E1748F" w14:textId="3BCFFACC" w:rsidR="00CA282D" w:rsidRPr="00894701" w:rsidRDefault="00CA282D" w:rsidP="00CA282D">
      <w:pPr>
        <w:spacing w:after="160" w:line="259" w:lineRule="auto"/>
        <w:jc w:val="both"/>
        <w:rPr>
          <w:rFonts w:asciiTheme="minorHAnsi" w:eastAsia="Calibri" w:hAnsiTheme="minorHAnsi"/>
          <w:color w:val="auto"/>
          <w:kern w:val="0"/>
          <w:sz w:val="20"/>
          <w:szCs w:val="20"/>
          <w:lang w:eastAsia="en-US"/>
        </w:rPr>
      </w:pPr>
      <w:r w:rsidRPr="00894701">
        <w:rPr>
          <w:rFonts w:asciiTheme="minorHAnsi" w:eastAsia="Calibri" w:hAnsiTheme="minorHAnsi"/>
          <w:color w:val="auto"/>
          <w:kern w:val="0"/>
          <w:sz w:val="20"/>
          <w:szCs w:val="20"/>
          <w:lang w:eastAsia="en-US"/>
        </w:rPr>
        <w:t xml:space="preserve">-   exploration; and </w:t>
      </w:r>
    </w:p>
    <w:p w14:paraId="4B415AEE" w14:textId="77777777" w:rsidR="00CA282D" w:rsidRPr="00894701" w:rsidRDefault="00CA282D" w:rsidP="00CA282D">
      <w:pPr>
        <w:spacing w:after="160" w:line="259" w:lineRule="auto"/>
        <w:jc w:val="both"/>
        <w:rPr>
          <w:rFonts w:asciiTheme="minorHAnsi" w:eastAsia="Calibri" w:hAnsiTheme="minorHAnsi"/>
          <w:color w:val="auto"/>
          <w:kern w:val="0"/>
          <w:sz w:val="20"/>
          <w:szCs w:val="20"/>
          <w:lang w:eastAsia="en-US"/>
        </w:rPr>
      </w:pPr>
      <w:r w:rsidRPr="00894701">
        <w:rPr>
          <w:rFonts w:asciiTheme="minorHAnsi" w:eastAsia="Calibri" w:hAnsiTheme="minorHAnsi"/>
          <w:color w:val="auto"/>
          <w:kern w:val="0"/>
          <w:sz w:val="20"/>
          <w:szCs w:val="20"/>
          <w:lang w:eastAsia="en-US"/>
        </w:rPr>
        <w:t xml:space="preserve">-   development and production. </w:t>
      </w:r>
    </w:p>
    <w:p w14:paraId="254A3328" w14:textId="77777777" w:rsidR="00CA282D" w:rsidRPr="00894701" w:rsidRDefault="00CA282D" w:rsidP="00CA282D">
      <w:pPr>
        <w:spacing w:after="160" w:line="259" w:lineRule="auto"/>
        <w:jc w:val="both"/>
        <w:rPr>
          <w:rFonts w:asciiTheme="minorHAnsi" w:eastAsia="Calibri" w:hAnsiTheme="minorHAnsi"/>
          <w:color w:val="auto"/>
          <w:kern w:val="0"/>
          <w:sz w:val="20"/>
          <w:szCs w:val="20"/>
          <w:lang w:eastAsia="en-US"/>
        </w:rPr>
      </w:pPr>
      <w:r w:rsidRPr="00894701">
        <w:rPr>
          <w:rFonts w:asciiTheme="minorHAnsi" w:eastAsia="Calibri" w:hAnsiTheme="minorHAnsi"/>
          <w:color w:val="auto"/>
          <w:kern w:val="0"/>
          <w:sz w:val="20"/>
          <w:szCs w:val="20"/>
          <w:lang w:eastAsia="en-US"/>
        </w:rPr>
        <w:t xml:space="preserve">The exploration period is approximately 9 years and is divided into 2 or 3 phases of various durations, dependent upon the committed work programme for each phase. Parties can decide to extend each phase of the exploration period and the contractor can withdraw at the end of each phase of the exploration period. For any discovery made at any point during this period in any phase, the contractor has the right to retain such discovery and its resulting discovery area to appraise and submit a development plan. </w:t>
      </w:r>
    </w:p>
    <w:p w14:paraId="2A993F14" w14:textId="7E81E91E" w:rsidR="00CA282D" w:rsidRPr="00894701" w:rsidRDefault="00CA282D" w:rsidP="00CA282D">
      <w:pPr>
        <w:spacing w:after="160" w:line="259" w:lineRule="auto"/>
        <w:jc w:val="both"/>
        <w:rPr>
          <w:rFonts w:asciiTheme="minorHAnsi" w:eastAsia="Calibri" w:hAnsiTheme="minorHAnsi"/>
          <w:color w:val="auto"/>
          <w:kern w:val="0"/>
          <w:sz w:val="20"/>
          <w:szCs w:val="20"/>
          <w:lang w:eastAsia="en-US"/>
        </w:rPr>
      </w:pPr>
      <w:r w:rsidRPr="00894701">
        <w:rPr>
          <w:rFonts w:asciiTheme="minorHAnsi" w:eastAsia="Calibri" w:hAnsiTheme="minorHAnsi"/>
          <w:color w:val="auto"/>
          <w:kern w:val="0"/>
          <w:sz w:val="20"/>
          <w:szCs w:val="20"/>
          <w:lang w:eastAsia="en-US"/>
        </w:rPr>
        <w:t xml:space="preserve">The list of active PSCs on 31 December 2020, is presented in the table below. </w:t>
      </w:r>
    </w:p>
    <w:p w14:paraId="5415A8EC" w14:textId="6587326D" w:rsidR="00CA282D" w:rsidRPr="00894701" w:rsidRDefault="00CA282D" w:rsidP="00CA282D">
      <w:pPr>
        <w:pStyle w:val="BodyText"/>
        <w:jc w:val="center"/>
        <w:rPr>
          <w:rFonts w:asciiTheme="minorHAnsi" w:hAnsiTheme="minorHAnsi"/>
          <w:b/>
          <w:bCs/>
          <w:color w:val="C00000"/>
          <w:sz w:val="20"/>
          <w:szCs w:val="20"/>
        </w:rPr>
      </w:pPr>
      <w:bookmarkStart w:id="189" w:name="_Toc109599091"/>
      <w:bookmarkStart w:id="190" w:name="_Toc146590498"/>
      <w:bookmarkStart w:id="191" w:name="_Toc93095216"/>
      <w:r w:rsidRPr="00894701">
        <w:rPr>
          <w:rFonts w:asciiTheme="majorHAnsi" w:hAnsiTheme="majorHAnsi"/>
          <w:b/>
          <w:bCs/>
          <w:color w:val="98002E" w:themeColor="accent3"/>
          <w:sz w:val="20"/>
        </w:rPr>
        <w:t xml:space="preserve">Table </w:t>
      </w:r>
      <w:r w:rsidRPr="00894701">
        <w:rPr>
          <w:rFonts w:asciiTheme="majorHAnsi" w:hAnsiTheme="majorHAnsi"/>
          <w:b/>
          <w:bCs/>
          <w:color w:val="98002E" w:themeColor="accent3"/>
          <w:sz w:val="20"/>
        </w:rPr>
        <w:fldChar w:fldCharType="begin"/>
      </w:r>
      <w:r w:rsidRPr="00894701">
        <w:rPr>
          <w:rFonts w:asciiTheme="majorHAnsi" w:hAnsiTheme="majorHAnsi"/>
          <w:b/>
          <w:bCs/>
          <w:color w:val="98002E" w:themeColor="accent3"/>
          <w:sz w:val="20"/>
        </w:rPr>
        <w:instrText xml:space="preserve"> SEQ Table \* ARABIC </w:instrText>
      </w:r>
      <w:r w:rsidRPr="00894701">
        <w:rPr>
          <w:rFonts w:asciiTheme="majorHAnsi" w:hAnsiTheme="majorHAnsi"/>
          <w:b/>
          <w:bCs/>
          <w:color w:val="98002E" w:themeColor="accent3"/>
          <w:sz w:val="20"/>
        </w:rPr>
        <w:fldChar w:fldCharType="separate"/>
      </w:r>
      <w:r w:rsidR="0035303B">
        <w:rPr>
          <w:rFonts w:asciiTheme="majorHAnsi" w:hAnsiTheme="majorHAnsi"/>
          <w:b/>
          <w:bCs/>
          <w:noProof/>
          <w:color w:val="98002E" w:themeColor="accent3"/>
          <w:sz w:val="20"/>
        </w:rPr>
        <w:t>26</w:t>
      </w:r>
      <w:r w:rsidRPr="00894701">
        <w:rPr>
          <w:rFonts w:asciiTheme="majorHAnsi" w:hAnsiTheme="majorHAnsi"/>
          <w:b/>
          <w:bCs/>
          <w:color w:val="98002E" w:themeColor="accent3"/>
          <w:sz w:val="20"/>
        </w:rPr>
        <w:fldChar w:fldCharType="end"/>
      </w:r>
      <w:r w:rsidRPr="00894701">
        <w:rPr>
          <w:rFonts w:asciiTheme="majorHAnsi" w:hAnsiTheme="majorHAnsi"/>
          <w:b/>
          <w:bCs/>
          <w:color w:val="98002E" w:themeColor="accent3"/>
          <w:sz w:val="20"/>
        </w:rPr>
        <w:t>: Active Oil &amp; Gas Agreements</w:t>
      </w:r>
      <w:bookmarkEnd w:id="189"/>
      <w:bookmarkEnd w:id="190"/>
      <w:r w:rsidRPr="00894701">
        <w:rPr>
          <w:rFonts w:asciiTheme="majorHAnsi" w:hAnsiTheme="majorHAnsi"/>
          <w:b/>
          <w:bCs/>
          <w:color w:val="98002E" w:themeColor="accent3"/>
          <w:sz w:val="20"/>
        </w:rPr>
        <w:t xml:space="preserve"> </w:t>
      </w:r>
      <w:bookmarkEnd w:id="191"/>
    </w:p>
    <w:tbl>
      <w:tblPr>
        <w:tblStyle w:val="TableGrid"/>
        <w:tblW w:w="0" w:type="auto"/>
        <w:tblLook w:val="04A0" w:firstRow="1" w:lastRow="0" w:firstColumn="1" w:lastColumn="0" w:noHBand="0" w:noVBand="1"/>
      </w:tblPr>
      <w:tblGrid>
        <w:gridCol w:w="1346"/>
        <w:gridCol w:w="3228"/>
        <w:gridCol w:w="917"/>
        <w:gridCol w:w="1762"/>
        <w:gridCol w:w="1797"/>
      </w:tblGrid>
      <w:tr w:rsidR="007426C6" w:rsidRPr="00894701" w14:paraId="34120F4A" w14:textId="77777777" w:rsidTr="007426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46" w:type="dxa"/>
            <w:tcBorders>
              <w:bottom w:val="single" w:sz="12" w:space="0" w:color="C00000"/>
            </w:tcBorders>
            <w:shd w:val="clear" w:color="auto" w:fill="7A091A"/>
          </w:tcPr>
          <w:p w14:paraId="5DFE4A96" w14:textId="77777777" w:rsidR="00CA282D" w:rsidRPr="00894701" w:rsidRDefault="00CA282D" w:rsidP="00446B8D">
            <w:pPr>
              <w:pStyle w:val="BodyText"/>
              <w:jc w:val="center"/>
              <w:rPr>
                <w:rFonts w:asciiTheme="minorHAnsi" w:hAnsiTheme="minorHAnsi"/>
                <w:b/>
                <w:bCs/>
                <w:color w:val="auto"/>
                <w:szCs w:val="18"/>
              </w:rPr>
            </w:pPr>
            <w:r w:rsidRPr="00894701">
              <w:rPr>
                <w:rFonts w:asciiTheme="minorHAnsi" w:hAnsiTheme="minorHAnsi"/>
                <w:b/>
                <w:bCs/>
                <w:color w:val="auto"/>
                <w:szCs w:val="18"/>
              </w:rPr>
              <w:lastRenderedPageBreak/>
              <w:t xml:space="preserve">Area </w:t>
            </w:r>
          </w:p>
        </w:tc>
        <w:tc>
          <w:tcPr>
            <w:tcW w:w="3228" w:type="dxa"/>
            <w:tcBorders>
              <w:bottom w:val="single" w:sz="12" w:space="0" w:color="C00000"/>
            </w:tcBorders>
            <w:shd w:val="clear" w:color="auto" w:fill="7A091A"/>
          </w:tcPr>
          <w:p w14:paraId="7F80490F" w14:textId="77777777" w:rsidR="00CA282D" w:rsidRPr="00894701" w:rsidRDefault="00CA282D" w:rsidP="00446B8D">
            <w:pPr>
              <w:pStyle w:val="BodyT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auto"/>
                <w:szCs w:val="18"/>
              </w:rPr>
            </w:pPr>
            <w:r w:rsidRPr="00894701">
              <w:rPr>
                <w:rFonts w:asciiTheme="minorHAnsi" w:hAnsiTheme="minorHAnsi"/>
                <w:b/>
                <w:bCs/>
                <w:color w:val="auto"/>
                <w:szCs w:val="18"/>
              </w:rPr>
              <w:t xml:space="preserve">Operator </w:t>
            </w:r>
          </w:p>
        </w:tc>
        <w:tc>
          <w:tcPr>
            <w:tcW w:w="917" w:type="dxa"/>
            <w:tcBorders>
              <w:bottom w:val="single" w:sz="12" w:space="0" w:color="C00000"/>
            </w:tcBorders>
            <w:shd w:val="clear" w:color="auto" w:fill="7A091A"/>
          </w:tcPr>
          <w:p w14:paraId="777FCC37" w14:textId="77777777" w:rsidR="00CA282D" w:rsidRPr="00894701" w:rsidRDefault="00CA282D" w:rsidP="00446B8D">
            <w:pPr>
              <w:pStyle w:val="BodyT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auto"/>
                <w:szCs w:val="18"/>
              </w:rPr>
            </w:pPr>
            <w:r w:rsidRPr="00894701">
              <w:rPr>
                <w:rFonts w:asciiTheme="minorHAnsi" w:hAnsiTheme="minorHAnsi"/>
                <w:b/>
                <w:bCs/>
                <w:color w:val="auto"/>
                <w:szCs w:val="18"/>
              </w:rPr>
              <w:t xml:space="preserve">Block </w:t>
            </w:r>
          </w:p>
        </w:tc>
        <w:tc>
          <w:tcPr>
            <w:tcW w:w="1762" w:type="dxa"/>
            <w:tcBorders>
              <w:bottom w:val="single" w:sz="12" w:space="0" w:color="C00000"/>
            </w:tcBorders>
            <w:shd w:val="clear" w:color="auto" w:fill="7A091A"/>
          </w:tcPr>
          <w:p w14:paraId="7CCA5F46" w14:textId="57EBDC40" w:rsidR="00CA282D" w:rsidRPr="00894701" w:rsidRDefault="00CA282D" w:rsidP="00446B8D">
            <w:pPr>
              <w:pStyle w:val="BodyT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auto"/>
                <w:szCs w:val="18"/>
              </w:rPr>
            </w:pPr>
            <w:r w:rsidRPr="00894701">
              <w:rPr>
                <w:rFonts w:asciiTheme="minorHAnsi" w:hAnsiTheme="minorHAnsi"/>
                <w:b/>
                <w:bCs/>
                <w:color w:val="auto"/>
                <w:szCs w:val="18"/>
              </w:rPr>
              <w:t>P</w:t>
            </w:r>
            <w:r w:rsidR="00F24935" w:rsidRPr="00894701">
              <w:rPr>
                <w:rFonts w:asciiTheme="minorHAnsi" w:hAnsiTheme="minorHAnsi"/>
                <w:b/>
                <w:bCs/>
                <w:caps w:val="0"/>
                <w:color w:val="auto"/>
                <w:szCs w:val="18"/>
              </w:rPr>
              <w:t>SC</w:t>
            </w:r>
            <w:r w:rsidRPr="00894701">
              <w:rPr>
                <w:rFonts w:asciiTheme="minorHAnsi" w:hAnsiTheme="minorHAnsi"/>
                <w:b/>
                <w:bCs/>
                <w:color w:val="auto"/>
                <w:szCs w:val="18"/>
              </w:rPr>
              <w:t xml:space="preserve"> status </w:t>
            </w:r>
          </w:p>
        </w:tc>
        <w:tc>
          <w:tcPr>
            <w:tcW w:w="1797" w:type="dxa"/>
            <w:tcBorders>
              <w:bottom w:val="single" w:sz="12" w:space="0" w:color="C00000"/>
            </w:tcBorders>
            <w:shd w:val="clear" w:color="auto" w:fill="7A091A"/>
          </w:tcPr>
          <w:p w14:paraId="7AB60606" w14:textId="5A27B417" w:rsidR="00CA282D" w:rsidRPr="00894701" w:rsidRDefault="00F24935" w:rsidP="00446B8D">
            <w:pPr>
              <w:pStyle w:val="BodyT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auto"/>
                <w:szCs w:val="18"/>
              </w:rPr>
            </w:pPr>
            <w:r w:rsidRPr="00894701">
              <w:rPr>
                <w:rFonts w:asciiTheme="minorHAnsi" w:hAnsiTheme="minorHAnsi"/>
                <w:b/>
                <w:bCs/>
                <w:caps w:val="0"/>
                <w:color w:val="auto"/>
                <w:szCs w:val="18"/>
              </w:rPr>
              <w:t>PSC</w:t>
            </w:r>
            <w:r w:rsidR="00CA282D" w:rsidRPr="00894701">
              <w:rPr>
                <w:rFonts w:asciiTheme="minorHAnsi" w:hAnsiTheme="minorHAnsi"/>
                <w:b/>
                <w:bCs/>
                <w:color w:val="auto"/>
                <w:szCs w:val="18"/>
              </w:rPr>
              <w:t xml:space="preserve"> effective date </w:t>
            </w:r>
          </w:p>
        </w:tc>
      </w:tr>
      <w:tr w:rsidR="007426C6" w:rsidRPr="00894701" w14:paraId="37F3DE38" w14:textId="77777777" w:rsidTr="007426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dxa"/>
            <w:tcBorders>
              <w:top w:val="single" w:sz="12" w:space="0" w:color="C00000"/>
            </w:tcBorders>
            <w:shd w:val="clear" w:color="auto" w:fill="F997AB" w:themeFill="accent5" w:themeFillTint="99"/>
          </w:tcPr>
          <w:p w14:paraId="33E14E25" w14:textId="77777777" w:rsidR="00CA282D" w:rsidRPr="00894701" w:rsidRDefault="00CA282D" w:rsidP="00446B8D">
            <w:pPr>
              <w:pStyle w:val="BodyText"/>
              <w:jc w:val="center"/>
              <w:rPr>
                <w:rFonts w:asciiTheme="minorHAnsi" w:hAnsiTheme="minorHAnsi"/>
                <w:color w:val="auto"/>
                <w:szCs w:val="18"/>
              </w:rPr>
            </w:pPr>
            <w:r w:rsidRPr="00894701">
              <w:rPr>
                <w:rFonts w:asciiTheme="minorHAnsi" w:hAnsiTheme="minorHAnsi"/>
                <w:color w:val="auto"/>
                <w:szCs w:val="18"/>
              </w:rPr>
              <w:t xml:space="preserve">Offshore  </w:t>
            </w:r>
          </w:p>
        </w:tc>
        <w:tc>
          <w:tcPr>
            <w:tcW w:w="3228" w:type="dxa"/>
            <w:tcBorders>
              <w:top w:val="single" w:sz="12" w:space="0" w:color="C00000"/>
            </w:tcBorders>
            <w:shd w:val="clear" w:color="auto" w:fill="F997AB" w:themeFill="accent5" w:themeFillTint="99"/>
          </w:tcPr>
          <w:p w14:paraId="657FA71F" w14:textId="77777777" w:rsidR="00CA282D" w:rsidRPr="00894701" w:rsidRDefault="00CA282D" w:rsidP="00446B8D">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Tullow Oil Suriname B.V. </w:t>
            </w:r>
          </w:p>
        </w:tc>
        <w:tc>
          <w:tcPr>
            <w:tcW w:w="917" w:type="dxa"/>
            <w:tcBorders>
              <w:top w:val="single" w:sz="12" w:space="0" w:color="C00000"/>
            </w:tcBorders>
            <w:shd w:val="clear" w:color="auto" w:fill="F997AB" w:themeFill="accent5" w:themeFillTint="99"/>
          </w:tcPr>
          <w:p w14:paraId="6D3B4D9D" w14:textId="77777777" w:rsidR="00CA282D" w:rsidRPr="00894701" w:rsidRDefault="00CA282D" w:rsidP="00446B8D">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47 </w:t>
            </w:r>
          </w:p>
        </w:tc>
        <w:tc>
          <w:tcPr>
            <w:tcW w:w="1762" w:type="dxa"/>
            <w:tcBorders>
              <w:top w:val="single" w:sz="12" w:space="0" w:color="C00000"/>
            </w:tcBorders>
            <w:shd w:val="clear" w:color="auto" w:fill="F997AB" w:themeFill="accent5" w:themeFillTint="99"/>
          </w:tcPr>
          <w:p w14:paraId="171D7BD2" w14:textId="77777777" w:rsidR="00CA282D" w:rsidRPr="00894701" w:rsidRDefault="00CA282D" w:rsidP="00446B8D">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Active </w:t>
            </w:r>
          </w:p>
        </w:tc>
        <w:tc>
          <w:tcPr>
            <w:tcW w:w="1797" w:type="dxa"/>
            <w:tcBorders>
              <w:top w:val="single" w:sz="12" w:space="0" w:color="C00000"/>
            </w:tcBorders>
            <w:shd w:val="clear" w:color="auto" w:fill="F997AB" w:themeFill="accent5" w:themeFillTint="99"/>
          </w:tcPr>
          <w:p w14:paraId="6123DD76" w14:textId="72242FDE" w:rsidR="00CA282D" w:rsidRPr="00894701" w:rsidRDefault="00CA282D" w:rsidP="00446B8D">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30</w:t>
            </w:r>
            <w:r w:rsidR="00F82D2E" w:rsidRPr="00894701">
              <w:rPr>
                <w:rFonts w:asciiTheme="minorHAnsi" w:hAnsiTheme="minorHAnsi"/>
                <w:color w:val="auto"/>
                <w:szCs w:val="18"/>
              </w:rPr>
              <w:t xml:space="preserve"> Sep </w:t>
            </w:r>
            <w:r w:rsidRPr="00894701">
              <w:rPr>
                <w:rFonts w:asciiTheme="minorHAnsi" w:hAnsiTheme="minorHAnsi"/>
                <w:color w:val="auto"/>
                <w:szCs w:val="18"/>
              </w:rPr>
              <w:t xml:space="preserve">2010 </w:t>
            </w:r>
          </w:p>
        </w:tc>
      </w:tr>
      <w:tr w:rsidR="00CA282D" w:rsidRPr="00894701" w14:paraId="4FBCC3E8" w14:textId="77777777" w:rsidTr="007426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dxa"/>
          </w:tcPr>
          <w:p w14:paraId="21A0E8D5" w14:textId="77777777" w:rsidR="00CA282D" w:rsidRPr="00894701" w:rsidRDefault="00CA282D" w:rsidP="00446B8D">
            <w:pPr>
              <w:pStyle w:val="BodyText"/>
              <w:spacing w:before="0" w:after="0" w:line="240" w:lineRule="auto"/>
              <w:jc w:val="center"/>
              <w:rPr>
                <w:rFonts w:asciiTheme="minorHAnsi" w:hAnsiTheme="minorHAnsi"/>
                <w:color w:val="auto"/>
                <w:szCs w:val="18"/>
              </w:rPr>
            </w:pPr>
            <w:r w:rsidRPr="00894701">
              <w:rPr>
                <w:rFonts w:asciiTheme="minorHAnsi" w:hAnsiTheme="minorHAnsi"/>
                <w:color w:val="auto"/>
                <w:szCs w:val="18"/>
              </w:rPr>
              <w:t xml:space="preserve">Offshore  </w:t>
            </w:r>
          </w:p>
          <w:p w14:paraId="3510E8BB" w14:textId="77777777" w:rsidR="00CA282D" w:rsidRPr="00894701" w:rsidRDefault="00CA282D" w:rsidP="00446B8D">
            <w:pPr>
              <w:pStyle w:val="BodyText"/>
              <w:spacing w:before="0" w:after="0" w:line="240" w:lineRule="auto"/>
              <w:jc w:val="center"/>
              <w:rPr>
                <w:rFonts w:asciiTheme="minorHAnsi" w:hAnsiTheme="minorHAnsi"/>
                <w:color w:val="auto"/>
                <w:szCs w:val="18"/>
              </w:rPr>
            </w:pPr>
            <w:r w:rsidRPr="00894701">
              <w:rPr>
                <w:rFonts w:asciiTheme="minorHAnsi" w:hAnsiTheme="minorHAnsi"/>
                <w:color w:val="auto"/>
                <w:szCs w:val="18"/>
              </w:rPr>
              <w:t>Offshore</w:t>
            </w:r>
          </w:p>
          <w:p w14:paraId="64BD0DFF" w14:textId="77777777" w:rsidR="00CA282D" w:rsidRPr="00894701" w:rsidRDefault="00CA282D" w:rsidP="00446B8D">
            <w:pPr>
              <w:pStyle w:val="BodyText"/>
              <w:spacing w:before="0" w:after="0" w:line="240" w:lineRule="auto"/>
              <w:jc w:val="center"/>
              <w:rPr>
                <w:rFonts w:asciiTheme="minorHAnsi" w:hAnsiTheme="minorHAnsi"/>
                <w:color w:val="auto"/>
                <w:szCs w:val="18"/>
              </w:rPr>
            </w:pPr>
            <w:r w:rsidRPr="00894701">
              <w:rPr>
                <w:rFonts w:asciiTheme="minorHAnsi" w:hAnsiTheme="minorHAnsi"/>
                <w:color w:val="auto"/>
                <w:szCs w:val="18"/>
              </w:rPr>
              <w:t>Offshore</w:t>
            </w:r>
          </w:p>
        </w:tc>
        <w:tc>
          <w:tcPr>
            <w:tcW w:w="3228" w:type="dxa"/>
          </w:tcPr>
          <w:p w14:paraId="43CED517" w14:textId="77777777" w:rsidR="00CA282D" w:rsidRPr="00894701" w:rsidRDefault="00CA282D" w:rsidP="00446B8D">
            <w:pPr>
              <w:pStyle w:val="BodyTex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lang w:val="nl-NL"/>
              </w:rPr>
            </w:pPr>
            <w:r w:rsidRPr="00894701">
              <w:rPr>
                <w:rFonts w:asciiTheme="minorHAnsi" w:hAnsiTheme="minorHAnsi"/>
                <w:color w:val="auto"/>
                <w:szCs w:val="18"/>
                <w:lang w:val="nl-NL"/>
              </w:rPr>
              <w:t>B.V. Dordtsche Petroleum Maatschappij (“Shell”)</w:t>
            </w:r>
          </w:p>
          <w:p w14:paraId="70D1AAF2" w14:textId="77777777" w:rsidR="00CA282D" w:rsidRPr="00894701" w:rsidRDefault="00CA282D" w:rsidP="00446B8D">
            <w:pPr>
              <w:pStyle w:val="BodyTex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Petronas Suriname E&amp;P B.V.</w:t>
            </w:r>
          </w:p>
          <w:p w14:paraId="3697ECB7" w14:textId="77777777" w:rsidR="00CA282D" w:rsidRPr="00894701" w:rsidRDefault="00CA282D" w:rsidP="00446B8D">
            <w:pPr>
              <w:pStyle w:val="BodyTex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Petronas Suriname E&amp;P B.V.</w:t>
            </w:r>
          </w:p>
        </w:tc>
        <w:tc>
          <w:tcPr>
            <w:tcW w:w="917" w:type="dxa"/>
          </w:tcPr>
          <w:p w14:paraId="7D610A69" w14:textId="77777777" w:rsidR="00CA282D" w:rsidRPr="00894701" w:rsidRDefault="00CA282D" w:rsidP="00446B8D">
            <w:pPr>
              <w:pStyle w:val="BodyTex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rPr>
              <w:t>42</w:t>
            </w:r>
          </w:p>
          <w:p w14:paraId="0ED9477F" w14:textId="77777777" w:rsidR="00CA282D" w:rsidRPr="00894701" w:rsidRDefault="00CA282D" w:rsidP="00446B8D">
            <w:pPr>
              <w:pStyle w:val="BodyTex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48</w:t>
            </w:r>
          </w:p>
          <w:p w14:paraId="40989599" w14:textId="77777777" w:rsidR="00CA282D" w:rsidRPr="00894701" w:rsidRDefault="00CA282D" w:rsidP="00446B8D">
            <w:pPr>
              <w:pStyle w:val="BodyTex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52 </w:t>
            </w:r>
          </w:p>
        </w:tc>
        <w:tc>
          <w:tcPr>
            <w:tcW w:w="1762" w:type="dxa"/>
          </w:tcPr>
          <w:p w14:paraId="38AFECD8" w14:textId="77777777" w:rsidR="00CA282D" w:rsidRPr="00894701" w:rsidRDefault="00CA282D" w:rsidP="00446B8D">
            <w:pPr>
              <w:pStyle w:val="BodyTex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rPr>
              <w:t>Active</w:t>
            </w:r>
          </w:p>
          <w:p w14:paraId="501DE146" w14:textId="77777777" w:rsidR="00CA282D" w:rsidRPr="00894701" w:rsidRDefault="00CA282D" w:rsidP="00446B8D">
            <w:pPr>
              <w:pStyle w:val="BodyTex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Active </w:t>
            </w:r>
          </w:p>
          <w:p w14:paraId="25582D39" w14:textId="77777777" w:rsidR="00CA282D" w:rsidRPr="00894701" w:rsidRDefault="00CA282D" w:rsidP="00446B8D">
            <w:pPr>
              <w:pStyle w:val="BodyTex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Active</w:t>
            </w:r>
          </w:p>
        </w:tc>
        <w:tc>
          <w:tcPr>
            <w:tcW w:w="1797" w:type="dxa"/>
          </w:tcPr>
          <w:p w14:paraId="42CBA1AC" w14:textId="77777777" w:rsidR="00CA282D" w:rsidRPr="00894701" w:rsidRDefault="00CA282D" w:rsidP="00446B8D">
            <w:pPr>
              <w:pStyle w:val="BodyTex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rPr>
              <w:t xml:space="preserve">13 Dec 2011 </w:t>
            </w:r>
          </w:p>
          <w:p w14:paraId="190625A5" w14:textId="714D5094" w:rsidR="00CA282D" w:rsidRPr="00894701" w:rsidRDefault="00CA282D" w:rsidP="00446B8D">
            <w:pPr>
              <w:pStyle w:val="BodyTex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18</w:t>
            </w:r>
            <w:r w:rsidR="00F82D2E" w:rsidRPr="00894701">
              <w:rPr>
                <w:rFonts w:asciiTheme="minorHAnsi" w:hAnsiTheme="minorHAnsi"/>
                <w:color w:val="auto"/>
                <w:szCs w:val="18"/>
              </w:rPr>
              <w:t xml:space="preserve"> Jan</w:t>
            </w:r>
            <w:r w:rsidRPr="00894701">
              <w:rPr>
                <w:rFonts w:asciiTheme="minorHAnsi" w:hAnsiTheme="minorHAnsi"/>
                <w:color w:val="auto"/>
                <w:szCs w:val="18"/>
              </w:rPr>
              <w:t xml:space="preserve">2012 </w:t>
            </w:r>
          </w:p>
          <w:p w14:paraId="1BDEDC79" w14:textId="77777777" w:rsidR="00CA282D" w:rsidRPr="00894701" w:rsidRDefault="00CA282D" w:rsidP="00446B8D">
            <w:pPr>
              <w:pStyle w:val="BodyTex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26 Apr 2013 </w:t>
            </w:r>
          </w:p>
        </w:tc>
      </w:tr>
      <w:tr w:rsidR="00CA282D" w:rsidRPr="00894701" w14:paraId="110D2AF2" w14:textId="77777777" w:rsidTr="007426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dxa"/>
            <w:shd w:val="clear" w:color="auto" w:fill="F997AB" w:themeFill="accent5" w:themeFillTint="99"/>
          </w:tcPr>
          <w:p w14:paraId="17B46CBB" w14:textId="77777777" w:rsidR="00CA282D" w:rsidRPr="00894701" w:rsidRDefault="00CA282D" w:rsidP="00446B8D">
            <w:pPr>
              <w:pStyle w:val="BodyText"/>
              <w:jc w:val="center"/>
              <w:rPr>
                <w:rFonts w:asciiTheme="minorHAnsi" w:hAnsiTheme="minorHAnsi"/>
                <w:color w:val="auto"/>
                <w:szCs w:val="18"/>
              </w:rPr>
            </w:pPr>
            <w:r w:rsidRPr="00894701">
              <w:rPr>
                <w:rFonts w:asciiTheme="minorHAnsi" w:hAnsiTheme="minorHAnsi"/>
                <w:color w:val="auto"/>
              </w:rPr>
              <w:t xml:space="preserve">Offshore </w:t>
            </w:r>
          </w:p>
        </w:tc>
        <w:tc>
          <w:tcPr>
            <w:tcW w:w="3228" w:type="dxa"/>
            <w:shd w:val="clear" w:color="auto" w:fill="F997AB" w:themeFill="accent5" w:themeFillTint="99"/>
          </w:tcPr>
          <w:p w14:paraId="7FBC066A" w14:textId="77777777" w:rsidR="00CA282D" w:rsidRPr="00894701" w:rsidRDefault="00CA282D" w:rsidP="00446B8D">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APA Suriname Corporation LDC</w:t>
            </w:r>
          </w:p>
        </w:tc>
        <w:tc>
          <w:tcPr>
            <w:tcW w:w="917" w:type="dxa"/>
            <w:shd w:val="clear" w:color="auto" w:fill="F997AB" w:themeFill="accent5" w:themeFillTint="99"/>
          </w:tcPr>
          <w:p w14:paraId="6B4F1175" w14:textId="77777777" w:rsidR="00CA282D" w:rsidRPr="00894701" w:rsidRDefault="00CA282D" w:rsidP="00446B8D">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rPr>
              <w:t>53</w:t>
            </w:r>
          </w:p>
        </w:tc>
        <w:tc>
          <w:tcPr>
            <w:tcW w:w="1762" w:type="dxa"/>
            <w:shd w:val="clear" w:color="auto" w:fill="F997AB" w:themeFill="accent5" w:themeFillTint="99"/>
          </w:tcPr>
          <w:p w14:paraId="535DA692" w14:textId="77777777" w:rsidR="00CA282D" w:rsidRPr="00894701" w:rsidRDefault="00CA282D" w:rsidP="00446B8D">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Active</w:t>
            </w:r>
          </w:p>
        </w:tc>
        <w:tc>
          <w:tcPr>
            <w:tcW w:w="1797" w:type="dxa"/>
            <w:shd w:val="clear" w:color="auto" w:fill="F997AB" w:themeFill="accent5" w:themeFillTint="99"/>
          </w:tcPr>
          <w:p w14:paraId="4ACC0CA0" w14:textId="77777777" w:rsidR="00CA282D" w:rsidRPr="00894701" w:rsidRDefault="00CA282D" w:rsidP="00446B8D">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1 Apr 2013 </w:t>
            </w:r>
          </w:p>
        </w:tc>
      </w:tr>
      <w:tr w:rsidR="00CA282D" w:rsidRPr="00894701" w14:paraId="15FA1D05" w14:textId="77777777" w:rsidTr="007426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dxa"/>
          </w:tcPr>
          <w:p w14:paraId="41355111" w14:textId="77777777" w:rsidR="00CA282D" w:rsidRPr="00894701" w:rsidRDefault="00CA282D" w:rsidP="00446B8D">
            <w:pPr>
              <w:pStyle w:val="BodyText"/>
              <w:jc w:val="center"/>
              <w:rPr>
                <w:rFonts w:asciiTheme="minorHAnsi" w:hAnsiTheme="minorHAnsi"/>
                <w:color w:val="auto"/>
                <w:szCs w:val="18"/>
              </w:rPr>
            </w:pPr>
            <w:r w:rsidRPr="00894701">
              <w:rPr>
                <w:rFonts w:asciiTheme="minorHAnsi" w:hAnsiTheme="minorHAnsi"/>
                <w:color w:val="auto"/>
              </w:rPr>
              <w:t xml:space="preserve">Offshore  </w:t>
            </w:r>
          </w:p>
        </w:tc>
        <w:tc>
          <w:tcPr>
            <w:tcW w:w="3228" w:type="dxa"/>
          </w:tcPr>
          <w:p w14:paraId="3573DA22" w14:textId="77777777" w:rsidR="00CA282D" w:rsidRPr="00894701" w:rsidRDefault="00CA282D" w:rsidP="00446B8D">
            <w:pPr>
              <w:pStyle w:val="BodyTex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rPr>
              <w:t>Tullow Oil Suriname B.V.</w:t>
            </w:r>
          </w:p>
        </w:tc>
        <w:tc>
          <w:tcPr>
            <w:tcW w:w="917" w:type="dxa"/>
          </w:tcPr>
          <w:p w14:paraId="388425D7" w14:textId="77777777" w:rsidR="00CA282D" w:rsidRPr="00894701" w:rsidRDefault="00CA282D" w:rsidP="00446B8D">
            <w:pPr>
              <w:pStyle w:val="BodyTex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rPr>
              <w:t>54</w:t>
            </w:r>
          </w:p>
        </w:tc>
        <w:tc>
          <w:tcPr>
            <w:tcW w:w="1762" w:type="dxa"/>
          </w:tcPr>
          <w:p w14:paraId="40AC7AA1" w14:textId="77777777" w:rsidR="00CA282D" w:rsidRPr="00894701" w:rsidRDefault="00CA282D" w:rsidP="00446B8D">
            <w:pPr>
              <w:pStyle w:val="BodyTex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Active</w:t>
            </w:r>
          </w:p>
        </w:tc>
        <w:tc>
          <w:tcPr>
            <w:tcW w:w="1797" w:type="dxa"/>
          </w:tcPr>
          <w:p w14:paraId="33E93DF1" w14:textId="77777777" w:rsidR="00CA282D" w:rsidRPr="00894701" w:rsidRDefault="00CA282D" w:rsidP="00446B8D">
            <w:pPr>
              <w:pStyle w:val="BodyTex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14 Feb 2014 </w:t>
            </w:r>
          </w:p>
        </w:tc>
      </w:tr>
      <w:tr w:rsidR="00CA282D" w:rsidRPr="00894701" w14:paraId="5B28F4D2" w14:textId="77777777" w:rsidTr="007426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dxa"/>
            <w:shd w:val="clear" w:color="auto" w:fill="F997AB" w:themeFill="accent5" w:themeFillTint="99"/>
          </w:tcPr>
          <w:p w14:paraId="373813D2" w14:textId="77777777" w:rsidR="00CA282D" w:rsidRPr="00894701" w:rsidRDefault="00CA282D" w:rsidP="00446B8D">
            <w:pPr>
              <w:pStyle w:val="BodyText"/>
              <w:jc w:val="center"/>
              <w:rPr>
                <w:rFonts w:asciiTheme="minorHAnsi" w:hAnsiTheme="minorHAnsi"/>
                <w:color w:val="auto"/>
                <w:szCs w:val="18"/>
              </w:rPr>
            </w:pPr>
            <w:r w:rsidRPr="00894701">
              <w:rPr>
                <w:rFonts w:asciiTheme="minorHAnsi" w:hAnsiTheme="minorHAnsi"/>
                <w:color w:val="auto"/>
              </w:rPr>
              <w:t xml:space="preserve">Offshore </w:t>
            </w:r>
          </w:p>
        </w:tc>
        <w:tc>
          <w:tcPr>
            <w:tcW w:w="3228" w:type="dxa"/>
            <w:shd w:val="clear" w:color="auto" w:fill="F997AB" w:themeFill="accent5" w:themeFillTint="99"/>
          </w:tcPr>
          <w:p w14:paraId="7D5D324E" w14:textId="77777777" w:rsidR="00CA282D" w:rsidRPr="00894701" w:rsidRDefault="00CA282D" w:rsidP="00446B8D">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rPr>
              <w:t>Total E&amp;P Suriname B.V.</w:t>
            </w:r>
          </w:p>
        </w:tc>
        <w:tc>
          <w:tcPr>
            <w:tcW w:w="917" w:type="dxa"/>
            <w:shd w:val="clear" w:color="auto" w:fill="F997AB" w:themeFill="accent5" w:themeFillTint="99"/>
          </w:tcPr>
          <w:p w14:paraId="7B5FE46D" w14:textId="77777777" w:rsidR="00CA282D" w:rsidRPr="00894701" w:rsidRDefault="00CA282D" w:rsidP="00446B8D">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rPr>
              <w:t xml:space="preserve">58 </w:t>
            </w:r>
          </w:p>
        </w:tc>
        <w:tc>
          <w:tcPr>
            <w:tcW w:w="1762" w:type="dxa"/>
            <w:shd w:val="clear" w:color="auto" w:fill="F997AB" w:themeFill="accent5" w:themeFillTint="99"/>
          </w:tcPr>
          <w:p w14:paraId="28CB20CF" w14:textId="77777777" w:rsidR="00CA282D" w:rsidRPr="00894701" w:rsidRDefault="00CA282D" w:rsidP="00446B8D">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rPr>
              <w:t xml:space="preserve">Active </w:t>
            </w:r>
          </w:p>
        </w:tc>
        <w:tc>
          <w:tcPr>
            <w:tcW w:w="1797" w:type="dxa"/>
            <w:shd w:val="clear" w:color="auto" w:fill="F997AB" w:themeFill="accent5" w:themeFillTint="99"/>
          </w:tcPr>
          <w:p w14:paraId="13B67EBE" w14:textId="77777777" w:rsidR="00CA282D" w:rsidRPr="00894701" w:rsidRDefault="00CA282D" w:rsidP="00446B8D">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1 Jul 2015 </w:t>
            </w:r>
          </w:p>
        </w:tc>
      </w:tr>
      <w:tr w:rsidR="00CA282D" w:rsidRPr="00894701" w14:paraId="2A24656D" w14:textId="77777777" w:rsidTr="007426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dxa"/>
          </w:tcPr>
          <w:p w14:paraId="4D45062A" w14:textId="77777777" w:rsidR="00CA282D" w:rsidRPr="00894701" w:rsidRDefault="00CA282D" w:rsidP="00446B8D">
            <w:pPr>
              <w:pStyle w:val="BodyText"/>
              <w:jc w:val="center"/>
              <w:rPr>
                <w:rFonts w:asciiTheme="minorHAnsi" w:hAnsiTheme="minorHAnsi"/>
                <w:color w:val="auto"/>
                <w:szCs w:val="18"/>
              </w:rPr>
            </w:pPr>
            <w:r w:rsidRPr="00894701">
              <w:rPr>
                <w:rFonts w:asciiTheme="minorHAnsi" w:hAnsiTheme="minorHAnsi"/>
                <w:color w:val="auto"/>
                <w:szCs w:val="18"/>
              </w:rPr>
              <w:t xml:space="preserve">Offshore  </w:t>
            </w:r>
          </w:p>
        </w:tc>
        <w:tc>
          <w:tcPr>
            <w:tcW w:w="3228" w:type="dxa"/>
          </w:tcPr>
          <w:p w14:paraId="6C0A45FB" w14:textId="77777777" w:rsidR="00CA282D" w:rsidRPr="00894701" w:rsidRDefault="00CA282D" w:rsidP="00446B8D">
            <w:pPr>
              <w:pStyle w:val="BodyTex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ExxonMobil Exploration and Production Suriname B.V.</w:t>
            </w:r>
          </w:p>
        </w:tc>
        <w:tc>
          <w:tcPr>
            <w:tcW w:w="917" w:type="dxa"/>
          </w:tcPr>
          <w:p w14:paraId="612BAE62" w14:textId="77777777" w:rsidR="00CA282D" w:rsidRPr="00894701" w:rsidRDefault="00CA282D" w:rsidP="00446B8D">
            <w:pPr>
              <w:pStyle w:val="BodyTex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59</w:t>
            </w:r>
          </w:p>
        </w:tc>
        <w:tc>
          <w:tcPr>
            <w:tcW w:w="1762" w:type="dxa"/>
          </w:tcPr>
          <w:p w14:paraId="63CDDDB6" w14:textId="77777777" w:rsidR="00CA282D" w:rsidRPr="00894701" w:rsidRDefault="00CA282D" w:rsidP="00446B8D">
            <w:pPr>
              <w:pStyle w:val="BodyTex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rPr>
              <w:t xml:space="preserve">Active </w:t>
            </w:r>
          </w:p>
        </w:tc>
        <w:tc>
          <w:tcPr>
            <w:tcW w:w="1797" w:type="dxa"/>
          </w:tcPr>
          <w:p w14:paraId="6BBF6F79" w14:textId="77777777" w:rsidR="00CA282D" w:rsidRPr="00894701" w:rsidRDefault="00CA282D" w:rsidP="00446B8D">
            <w:pPr>
              <w:pStyle w:val="BodyTex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9 Jul 2018 </w:t>
            </w:r>
          </w:p>
        </w:tc>
      </w:tr>
      <w:tr w:rsidR="00CA282D" w:rsidRPr="00894701" w14:paraId="44416BB8" w14:textId="77777777" w:rsidTr="007426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dxa"/>
            <w:shd w:val="clear" w:color="auto" w:fill="F997AB" w:themeFill="accent5" w:themeFillTint="99"/>
          </w:tcPr>
          <w:p w14:paraId="5153D2CD" w14:textId="77777777" w:rsidR="00CA282D" w:rsidRPr="00894701" w:rsidRDefault="00CA282D" w:rsidP="00446B8D">
            <w:pPr>
              <w:pStyle w:val="BodyText"/>
              <w:jc w:val="center"/>
              <w:rPr>
                <w:rFonts w:asciiTheme="minorHAnsi" w:hAnsiTheme="minorHAnsi"/>
                <w:color w:val="auto"/>
                <w:szCs w:val="18"/>
              </w:rPr>
            </w:pPr>
            <w:r w:rsidRPr="00894701">
              <w:rPr>
                <w:rFonts w:asciiTheme="minorHAnsi" w:hAnsiTheme="minorHAnsi"/>
                <w:color w:val="auto"/>
                <w:szCs w:val="18"/>
              </w:rPr>
              <w:t xml:space="preserve">Offshore  </w:t>
            </w:r>
          </w:p>
        </w:tc>
        <w:tc>
          <w:tcPr>
            <w:tcW w:w="3228" w:type="dxa"/>
            <w:shd w:val="clear" w:color="auto" w:fill="F997AB" w:themeFill="accent5" w:themeFillTint="99"/>
          </w:tcPr>
          <w:p w14:paraId="17CAD1E6" w14:textId="77777777" w:rsidR="00CA282D" w:rsidRPr="00894701" w:rsidRDefault="00CA282D" w:rsidP="00446B8D">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Capricorn Suriname B.V.</w:t>
            </w:r>
          </w:p>
        </w:tc>
        <w:tc>
          <w:tcPr>
            <w:tcW w:w="917" w:type="dxa"/>
            <w:shd w:val="clear" w:color="auto" w:fill="F997AB" w:themeFill="accent5" w:themeFillTint="99"/>
          </w:tcPr>
          <w:p w14:paraId="5AE32CB6" w14:textId="77777777" w:rsidR="00CA282D" w:rsidRPr="00894701" w:rsidRDefault="00CA282D" w:rsidP="00446B8D">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61</w:t>
            </w:r>
          </w:p>
        </w:tc>
        <w:tc>
          <w:tcPr>
            <w:tcW w:w="1762" w:type="dxa"/>
            <w:shd w:val="clear" w:color="auto" w:fill="F997AB" w:themeFill="accent5" w:themeFillTint="99"/>
          </w:tcPr>
          <w:p w14:paraId="583718E2" w14:textId="77777777" w:rsidR="00CA282D" w:rsidRPr="00894701" w:rsidRDefault="00CA282D" w:rsidP="00446B8D">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Active</w:t>
            </w:r>
          </w:p>
        </w:tc>
        <w:tc>
          <w:tcPr>
            <w:tcW w:w="1797" w:type="dxa"/>
            <w:shd w:val="clear" w:color="auto" w:fill="F997AB" w:themeFill="accent5" w:themeFillTint="99"/>
          </w:tcPr>
          <w:p w14:paraId="54C27CFA" w14:textId="77777777" w:rsidR="00CA282D" w:rsidRPr="00894701" w:rsidRDefault="00CA282D" w:rsidP="00446B8D">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26 Jun 2018 </w:t>
            </w:r>
          </w:p>
        </w:tc>
      </w:tr>
      <w:tr w:rsidR="00CA282D" w:rsidRPr="00894701" w14:paraId="649643CB" w14:textId="77777777" w:rsidTr="007426C6">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346" w:type="dxa"/>
          </w:tcPr>
          <w:p w14:paraId="1CCE5713" w14:textId="77777777" w:rsidR="00CA282D" w:rsidRPr="00894701" w:rsidRDefault="00CA282D" w:rsidP="00446B8D">
            <w:pPr>
              <w:pStyle w:val="BodyText"/>
              <w:jc w:val="center"/>
              <w:rPr>
                <w:rFonts w:asciiTheme="minorHAnsi" w:hAnsiTheme="minorHAnsi"/>
                <w:color w:val="auto"/>
                <w:szCs w:val="18"/>
              </w:rPr>
            </w:pPr>
            <w:r w:rsidRPr="00894701">
              <w:rPr>
                <w:rFonts w:asciiTheme="minorHAnsi" w:hAnsiTheme="minorHAnsi"/>
                <w:color w:val="auto"/>
              </w:rPr>
              <w:t xml:space="preserve">Onshore </w:t>
            </w:r>
          </w:p>
        </w:tc>
        <w:tc>
          <w:tcPr>
            <w:tcW w:w="3228" w:type="dxa"/>
          </w:tcPr>
          <w:p w14:paraId="32EF3697" w14:textId="77777777" w:rsidR="00CA282D" w:rsidRPr="00894701" w:rsidRDefault="00CA282D" w:rsidP="00446B8D">
            <w:pPr>
              <w:pStyle w:val="BodyTex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rPr>
              <w:t xml:space="preserve">Decker Petroleum and Marketing Co. Ltd. </w:t>
            </w:r>
          </w:p>
        </w:tc>
        <w:tc>
          <w:tcPr>
            <w:tcW w:w="917" w:type="dxa"/>
          </w:tcPr>
          <w:p w14:paraId="1E0E0BA9" w14:textId="77777777" w:rsidR="00CA282D" w:rsidRPr="00894701" w:rsidRDefault="00CA282D" w:rsidP="00446B8D">
            <w:pPr>
              <w:pStyle w:val="BodyTex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Nickerie  </w:t>
            </w:r>
          </w:p>
        </w:tc>
        <w:tc>
          <w:tcPr>
            <w:tcW w:w="1762" w:type="dxa"/>
          </w:tcPr>
          <w:p w14:paraId="1BE20CD7" w14:textId="77777777" w:rsidR="00CA282D" w:rsidRPr="00894701" w:rsidRDefault="00CA282D" w:rsidP="00446B8D">
            <w:pPr>
              <w:pStyle w:val="BodyTex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rPr>
              <w:t xml:space="preserve">Active </w:t>
            </w:r>
          </w:p>
        </w:tc>
        <w:tc>
          <w:tcPr>
            <w:tcW w:w="1797" w:type="dxa"/>
          </w:tcPr>
          <w:p w14:paraId="4A1361A8" w14:textId="3E194490" w:rsidR="00CA282D" w:rsidRPr="00894701" w:rsidRDefault="00CA282D" w:rsidP="00446B8D">
            <w:pPr>
              <w:pStyle w:val="BodyTex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Cs w:val="18"/>
              </w:rPr>
            </w:pPr>
            <w:r w:rsidRPr="00894701">
              <w:rPr>
                <w:rFonts w:asciiTheme="minorHAnsi" w:hAnsiTheme="minorHAnsi"/>
                <w:color w:val="auto"/>
              </w:rPr>
              <w:t>01</w:t>
            </w:r>
            <w:r w:rsidR="00F82D2E" w:rsidRPr="00894701">
              <w:rPr>
                <w:rFonts w:asciiTheme="minorHAnsi" w:hAnsiTheme="minorHAnsi"/>
                <w:color w:val="auto"/>
              </w:rPr>
              <w:t xml:space="preserve"> Oct </w:t>
            </w:r>
            <w:r w:rsidRPr="00894701">
              <w:rPr>
                <w:rFonts w:asciiTheme="minorHAnsi" w:hAnsiTheme="minorHAnsi"/>
                <w:color w:val="auto"/>
              </w:rPr>
              <w:t xml:space="preserve">2019 </w:t>
            </w:r>
          </w:p>
        </w:tc>
      </w:tr>
      <w:tr w:rsidR="00CA282D" w:rsidRPr="00894701" w14:paraId="116B18DF" w14:textId="77777777" w:rsidTr="007426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dxa"/>
            <w:shd w:val="clear" w:color="auto" w:fill="F997AB" w:themeFill="accent5" w:themeFillTint="99"/>
          </w:tcPr>
          <w:p w14:paraId="73B3B3CF" w14:textId="77777777" w:rsidR="00CA282D" w:rsidRPr="00894701" w:rsidRDefault="00CA282D" w:rsidP="00446B8D">
            <w:pPr>
              <w:pStyle w:val="BodyText"/>
              <w:jc w:val="center"/>
              <w:rPr>
                <w:rFonts w:asciiTheme="minorHAnsi" w:hAnsiTheme="minorHAnsi"/>
                <w:color w:val="auto"/>
                <w:szCs w:val="18"/>
              </w:rPr>
            </w:pPr>
            <w:r w:rsidRPr="00894701">
              <w:rPr>
                <w:rFonts w:asciiTheme="minorHAnsi" w:hAnsiTheme="minorHAnsi"/>
                <w:color w:val="auto"/>
                <w:szCs w:val="18"/>
              </w:rPr>
              <w:t>Onshore</w:t>
            </w:r>
          </w:p>
        </w:tc>
        <w:tc>
          <w:tcPr>
            <w:tcW w:w="3228" w:type="dxa"/>
            <w:shd w:val="clear" w:color="auto" w:fill="F997AB" w:themeFill="accent5" w:themeFillTint="99"/>
          </w:tcPr>
          <w:p w14:paraId="50061013" w14:textId="77777777" w:rsidR="00CA282D" w:rsidRPr="00894701" w:rsidRDefault="00CA282D" w:rsidP="00446B8D">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Challenger Energy Group PLC</w:t>
            </w:r>
          </w:p>
        </w:tc>
        <w:tc>
          <w:tcPr>
            <w:tcW w:w="917" w:type="dxa"/>
            <w:shd w:val="clear" w:color="auto" w:fill="F997AB" w:themeFill="accent5" w:themeFillTint="99"/>
          </w:tcPr>
          <w:p w14:paraId="13A376C2" w14:textId="77777777" w:rsidR="00CA282D" w:rsidRPr="00894701" w:rsidRDefault="00CA282D" w:rsidP="00446B8D">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szCs w:val="18"/>
              </w:rPr>
              <w:t xml:space="preserve">WnZ </w:t>
            </w:r>
          </w:p>
        </w:tc>
        <w:tc>
          <w:tcPr>
            <w:tcW w:w="1762" w:type="dxa"/>
            <w:shd w:val="clear" w:color="auto" w:fill="F997AB" w:themeFill="accent5" w:themeFillTint="99"/>
          </w:tcPr>
          <w:p w14:paraId="010F9964" w14:textId="77777777" w:rsidR="00CA282D" w:rsidRPr="00894701" w:rsidRDefault="00CA282D" w:rsidP="00446B8D">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rPr>
              <w:t xml:space="preserve"> Active </w:t>
            </w:r>
          </w:p>
        </w:tc>
        <w:tc>
          <w:tcPr>
            <w:tcW w:w="1797" w:type="dxa"/>
            <w:shd w:val="clear" w:color="auto" w:fill="F997AB" w:themeFill="accent5" w:themeFillTint="99"/>
          </w:tcPr>
          <w:p w14:paraId="4E7C4B8C" w14:textId="6A681975" w:rsidR="00CA282D" w:rsidRPr="00894701" w:rsidRDefault="00CA282D" w:rsidP="00446B8D">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8"/>
              </w:rPr>
            </w:pPr>
            <w:r w:rsidRPr="00894701">
              <w:rPr>
                <w:rFonts w:asciiTheme="minorHAnsi" w:hAnsiTheme="minorHAnsi"/>
                <w:color w:val="auto"/>
              </w:rPr>
              <w:t>03</w:t>
            </w:r>
            <w:r w:rsidR="00F82D2E" w:rsidRPr="00894701">
              <w:rPr>
                <w:rFonts w:asciiTheme="minorHAnsi" w:hAnsiTheme="minorHAnsi"/>
                <w:color w:val="auto"/>
              </w:rPr>
              <w:t xml:space="preserve"> Oct </w:t>
            </w:r>
            <w:r w:rsidRPr="00894701">
              <w:rPr>
                <w:rFonts w:asciiTheme="minorHAnsi" w:hAnsiTheme="minorHAnsi"/>
                <w:color w:val="auto"/>
              </w:rPr>
              <w:t xml:space="preserve">2019 </w:t>
            </w:r>
          </w:p>
        </w:tc>
      </w:tr>
    </w:tbl>
    <w:p w14:paraId="28861BE6" w14:textId="0FD4579F" w:rsidR="00CA282D" w:rsidRPr="00894701" w:rsidRDefault="00CA282D" w:rsidP="00CA282D">
      <w:pPr>
        <w:pStyle w:val="BodyText"/>
        <w:jc w:val="center"/>
        <w:rPr>
          <w:rFonts w:asciiTheme="minorHAnsi" w:hAnsiTheme="minorHAnsi"/>
          <w:b/>
          <w:bCs/>
          <w:color w:val="C00000"/>
          <w:sz w:val="20"/>
          <w:szCs w:val="20"/>
        </w:rPr>
      </w:pPr>
    </w:p>
    <w:p w14:paraId="75E09EA6" w14:textId="0EA677F0" w:rsidR="00CA282D" w:rsidRPr="00894701" w:rsidRDefault="00CA282D" w:rsidP="007D5D07">
      <w:pPr>
        <w:pStyle w:val="AltMinorSubHeading"/>
        <w:numPr>
          <w:ilvl w:val="0"/>
          <w:numId w:val="0"/>
        </w:numPr>
        <w:spacing w:before="0" w:after="240"/>
        <w:rPr>
          <w:rFonts w:asciiTheme="minorHAnsi" w:hAnsiTheme="minorHAnsi"/>
          <w:b w:val="0"/>
          <w:color w:val="FF0000"/>
        </w:rPr>
      </w:pPr>
      <w:bookmarkStart w:id="192" w:name="_Toc122478873"/>
      <w:r w:rsidRPr="00894701">
        <w:rPr>
          <w:rFonts w:asciiTheme="minorHAnsi" w:hAnsiTheme="minorHAnsi"/>
          <w:color w:val="FF0000"/>
        </w:rPr>
        <w:t>3.3.</w:t>
      </w:r>
      <w:r w:rsidR="009E63E7">
        <w:rPr>
          <w:rFonts w:asciiTheme="minorHAnsi" w:hAnsiTheme="minorHAnsi"/>
          <w:color w:val="FF0000"/>
        </w:rPr>
        <w:t>2</w:t>
      </w:r>
      <w:r w:rsidRPr="00894701">
        <w:rPr>
          <w:rFonts w:asciiTheme="minorHAnsi" w:hAnsiTheme="minorHAnsi"/>
          <w:color w:val="FF0000"/>
        </w:rPr>
        <w:t>.(c) Petroleum licenses and permits awarded and transferred in 2018, 2019 and 2020</w:t>
      </w:r>
      <w:bookmarkEnd w:id="192"/>
    </w:p>
    <w:p w14:paraId="5BD2A890" w14:textId="77777777" w:rsidR="00DA41CF" w:rsidRPr="00894701" w:rsidRDefault="00DA41CF" w:rsidP="00DA41CF">
      <w:pPr>
        <w:jc w:val="both"/>
        <w:rPr>
          <w:rFonts w:asciiTheme="minorHAnsi" w:hAnsiTheme="minorHAnsi" w:cs="Arial"/>
          <w:color w:val="auto"/>
          <w:sz w:val="20"/>
        </w:rPr>
      </w:pPr>
      <w:r w:rsidRPr="00894701">
        <w:rPr>
          <w:rFonts w:asciiTheme="minorHAnsi" w:hAnsiTheme="minorHAnsi" w:cs="Arial"/>
          <w:color w:val="auto"/>
          <w:sz w:val="20"/>
        </w:rPr>
        <w:t xml:space="preserve">The EITI Standard requires implementing countries to maintain a publicly available register or cadastre system which must be kept up to date with comprehensive information regarding each of the licenses pertaining to companies covered in the EITI Report: </w:t>
      </w:r>
    </w:p>
    <w:p w14:paraId="3B998404" w14:textId="77777777" w:rsidR="00DA41CF" w:rsidRPr="00894701" w:rsidRDefault="00DA41CF" w:rsidP="00DA41CF">
      <w:pPr>
        <w:pStyle w:val="ListParagraph"/>
        <w:numPr>
          <w:ilvl w:val="0"/>
          <w:numId w:val="41"/>
        </w:numPr>
        <w:jc w:val="both"/>
        <w:rPr>
          <w:rFonts w:asciiTheme="minorHAnsi" w:hAnsiTheme="minorHAnsi" w:cs="Arial"/>
          <w:color w:val="auto"/>
          <w:sz w:val="20"/>
        </w:rPr>
      </w:pPr>
      <w:r w:rsidRPr="00894701">
        <w:rPr>
          <w:rFonts w:asciiTheme="minorHAnsi" w:hAnsiTheme="minorHAnsi" w:cs="Arial"/>
          <w:color w:val="auto"/>
          <w:sz w:val="20"/>
        </w:rPr>
        <w:t xml:space="preserve">Name(s) of license holder(s); </w:t>
      </w:r>
    </w:p>
    <w:p w14:paraId="0B6A4FEB" w14:textId="77777777" w:rsidR="00DA41CF" w:rsidRPr="00894701" w:rsidRDefault="00DA41CF" w:rsidP="00DA41CF">
      <w:pPr>
        <w:pStyle w:val="ListParagraph"/>
        <w:numPr>
          <w:ilvl w:val="0"/>
          <w:numId w:val="41"/>
        </w:numPr>
        <w:jc w:val="both"/>
        <w:rPr>
          <w:rFonts w:asciiTheme="minorHAnsi" w:hAnsiTheme="minorHAnsi" w:cs="Arial"/>
          <w:color w:val="auto"/>
          <w:sz w:val="20"/>
        </w:rPr>
      </w:pPr>
      <w:r w:rsidRPr="00894701">
        <w:rPr>
          <w:rFonts w:asciiTheme="minorHAnsi" w:hAnsiTheme="minorHAnsi" w:cs="Arial"/>
          <w:color w:val="auto"/>
          <w:sz w:val="20"/>
        </w:rPr>
        <w:t xml:space="preserve">Coordinates of the licensed area; </w:t>
      </w:r>
    </w:p>
    <w:p w14:paraId="36475FAF" w14:textId="77777777" w:rsidR="00DA41CF" w:rsidRPr="00894701" w:rsidRDefault="00DA41CF" w:rsidP="00DA41CF">
      <w:pPr>
        <w:pStyle w:val="ListParagraph"/>
        <w:numPr>
          <w:ilvl w:val="0"/>
          <w:numId w:val="41"/>
        </w:numPr>
        <w:jc w:val="both"/>
        <w:rPr>
          <w:rFonts w:asciiTheme="minorHAnsi" w:hAnsiTheme="minorHAnsi" w:cs="Arial"/>
          <w:color w:val="auto"/>
          <w:sz w:val="20"/>
        </w:rPr>
      </w:pPr>
      <w:r w:rsidRPr="00894701">
        <w:rPr>
          <w:rFonts w:asciiTheme="minorHAnsi" w:hAnsiTheme="minorHAnsi" w:cs="Arial"/>
          <w:color w:val="auto"/>
          <w:sz w:val="20"/>
        </w:rPr>
        <w:t xml:space="preserve">Date of application, date of award and duration of the license; and </w:t>
      </w:r>
    </w:p>
    <w:p w14:paraId="4E883E81" w14:textId="26944F9C" w:rsidR="00DA41CF" w:rsidRPr="00894701" w:rsidRDefault="00DA41CF" w:rsidP="00DA41CF">
      <w:pPr>
        <w:pStyle w:val="ListParagraph"/>
        <w:numPr>
          <w:ilvl w:val="0"/>
          <w:numId w:val="41"/>
        </w:numPr>
        <w:spacing w:after="240"/>
        <w:ind w:left="714" w:hanging="357"/>
        <w:contextualSpacing w:val="0"/>
        <w:jc w:val="both"/>
        <w:rPr>
          <w:rFonts w:asciiTheme="minorHAnsi" w:hAnsiTheme="minorHAnsi" w:cs="Arial"/>
          <w:color w:val="auto"/>
          <w:sz w:val="20"/>
        </w:rPr>
      </w:pPr>
      <w:r w:rsidRPr="00894701">
        <w:rPr>
          <w:rFonts w:asciiTheme="minorHAnsi" w:hAnsiTheme="minorHAnsi" w:cs="Arial"/>
          <w:color w:val="auto"/>
          <w:sz w:val="20"/>
        </w:rPr>
        <w:t>In the case of production licenses, the commodity being produced.</w:t>
      </w:r>
    </w:p>
    <w:p w14:paraId="5A784DFC" w14:textId="04419652" w:rsidR="00102C9F" w:rsidRDefault="00102C9F" w:rsidP="0078236D">
      <w:pPr>
        <w:spacing w:after="160" w:line="259" w:lineRule="auto"/>
        <w:jc w:val="both"/>
        <w:rPr>
          <w:rFonts w:asciiTheme="minorHAnsi" w:hAnsiTheme="minorHAnsi" w:cs="Arial"/>
          <w:color w:val="auto"/>
          <w:sz w:val="20"/>
        </w:rPr>
      </w:pPr>
      <w:r>
        <w:rPr>
          <w:rFonts w:asciiTheme="minorHAnsi" w:hAnsiTheme="minorHAnsi" w:cs="Arial"/>
          <w:color w:val="auto"/>
          <w:sz w:val="20"/>
        </w:rPr>
        <w:t xml:space="preserve">Three (3) PSCs were awarded in 2018, two PSCs awarded in 2019 and none awarded in 2020 in accordance with Staatsolie’s published </w:t>
      </w:r>
      <w:hyperlink r:id="rId42" w:history="1">
        <w:r w:rsidRPr="00102C9F">
          <w:rPr>
            <w:rStyle w:val="Hyperlink"/>
            <w:rFonts w:asciiTheme="minorHAnsi" w:hAnsiTheme="minorHAnsi" w:cs="Arial"/>
            <w:sz w:val="20"/>
          </w:rPr>
          <w:t>overview of PSCs</w:t>
        </w:r>
      </w:hyperlink>
      <w:r>
        <w:rPr>
          <w:rFonts w:asciiTheme="minorHAnsi" w:hAnsiTheme="minorHAnsi" w:cs="Arial"/>
          <w:color w:val="auto"/>
          <w:sz w:val="20"/>
        </w:rPr>
        <w:t>.</w:t>
      </w:r>
    </w:p>
    <w:p w14:paraId="358AFF0E" w14:textId="7B828D6B" w:rsidR="000B025A" w:rsidRPr="00894701" w:rsidRDefault="000B025A" w:rsidP="0078236D">
      <w:pPr>
        <w:spacing w:after="160" w:line="259" w:lineRule="auto"/>
        <w:jc w:val="both"/>
        <w:rPr>
          <w:rFonts w:asciiTheme="minorHAnsi" w:eastAsia="Calibri" w:hAnsiTheme="minorHAnsi"/>
          <w:color w:val="auto"/>
          <w:kern w:val="0"/>
          <w:sz w:val="20"/>
          <w:szCs w:val="20"/>
          <w:lang w:eastAsia="en-US"/>
        </w:rPr>
      </w:pPr>
      <w:r>
        <w:rPr>
          <w:rFonts w:asciiTheme="minorHAnsi" w:hAnsiTheme="minorHAnsi" w:cs="Arial"/>
          <w:color w:val="auto"/>
          <w:sz w:val="20"/>
        </w:rPr>
        <w:t>Staatsolie confirmed that PSCs are transferred through public bidding process. The bidding process including the technical and financial criteria are set out in Section 3.3.2.a of this report.</w:t>
      </w:r>
    </w:p>
    <w:p w14:paraId="214035A8" w14:textId="5D1F8380" w:rsidR="00A73C6A" w:rsidRPr="00A73C6A" w:rsidRDefault="005D2B44" w:rsidP="00860520">
      <w:pPr>
        <w:spacing w:after="240"/>
        <w:jc w:val="both"/>
        <w:rPr>
          <w:rFonts w:asciiTheme="minorHAnsi" w:hAnsiTheme="minorHAnsi" w:cs="Arial"/>
          <w:color w:val="auto"/>
          <w:sz w:val="20"/>
        </w:rPr>
      </w:pPr>
      <w:r>
        <w:rPr>
          <w:rFonts w:asciiTheme="minorHAnsi" w:hAnsiTheme="minorHAnsi" w:cs="Arial"/>
          <w:color w:val="auto"/>
          <w:sz w:val="20"/>
        </w:rPr>
        <w:t>Staatsolie confirmed that a</w:t>
      </w:r>
      <w:r w:rsidRPr="005D2B44">
        <w:rPr>
          <w:rFonts w:asciiTheme="minorHAnsi" w:hAnsiTheme="minorHAnsi" w:cs="Arial"/>
          <w:color w:val="auto"/>
          <w:sz w:val="20"/>
        </w:rPr>
        <w:t xml:space="preserve">pplication files </w:t>
      </w:r>
      <w:r>
        <w:rPr>
          <w:rFonts w:asciiTheme="minorHAnsi" w:hAnsiTheme="minorHAnsi" w:cs="Arial"/>
          <w:color w:val="auto"/>
          <w:sz w:val="20"/>
        </w:rPr>
        <w:t>for</w:t>
      </w:r>
      <w:r w:rsidRPr="005D2B44">
        <w:rPr>
          <w:rFonts w:asciiTheme="minorHAnsi" w:hAnsiTheme="minorHAnsi" w:cs="Arial"/>
          <w:color w:val="auto"/>
          <w:sz w:val="20"/>
        </w:rPr>
        <w:t xml:space="preserve"> all licenses </w:t>
      </w:r>
      <w:r>
        <w:rPr>
          <w:rFonts w:asciiTheme="minorHAnsi" w:hAnsiTheme="minorHAnsi" w:cs="Arial"/>
          <w:color w:val="auto"/>
          <w:sz w:val="20"/>
        </w:rPr>
        <w:t xml:space="preserve">and PSCs </w:t>
      </w:r>
      <w:r w:rsidRPr="005D2B44">
        <w:rPr>
          <w:rFonts w:asciiTheme="minorHAnsi" w:hAnsiTheme="minorHAnsi" w:cs="Arial"/>
          <w:color w:val="auto"/>
          <w:sz w:val="20"/>
        </w:rPr>
        <w:t>awarded or transferred during 2018, 2019 and 2020</w:t>
      </w:r>
      <w:r>
        <w:rPr>
          <w:rFonts w:asciiTheme="minorHAnsi" w:hAnsiTheme="minorHAnsi" w:cs="Arial"/>
          <w:color w:val="auto"/>
          <w:sz w:val="20"/>
        </w:rPr>
        <w:t xml:space="preserve"> are not published because of </w:t>
      </w:r>
      <w:r w:rsidRPr="005D2B44">
        <w:rPr>
          <w:rFonts w:asciiTheme="minorHAnsi" w:hAnsiTheme="minorHAnsi" w:cs="Arial"/>
          <w:color w:val="auto"/>
          <w:sz w:val="20"/>
        </w:rPr>
        <w:t>commercial sensitivity.</w:t>
      </w:r>
      <w:r w:rsidR="00A73C6A">
        <w:rPr>
          <w:rFonts w:asciiTheme="minorHAnsi" w:hAnsiTheme="minorHAnsi" w:cs="Arial"/>
          <w:color w:val="auto"/>
          <w:sz w:val="20"/>
        </w:rPr>
        <w:t xml:space="preserve"> So </w:t>
      </w:r>
      <w:r w:rsidR="00A73C6A" w:rsidRPr="00A73C6A">
        <w:rPr>
          <w:rFonts w:asciiTheme="minorHAnsi" w:hAnsiTheme="minorHAnsi" w:cs="Arial"/>
          <w:color w:val="auto"/>
          <w:sz w:val="20"/>
        </w:rPr>
        <w:t>deviations from the applicable legal and regulatory</w:t>
      </w:r>
      <w:r w:rsidR="00A73C6A">
        <w:rPr>
          <w:rFonts w:asciiTheme="minorHAnsi" w:hAnsiTheme="minorHAnsi" w:cs="Arial"/>
          <w:color w:val="auto"/>
          <w:sz w:val="20"/>
        </w:rPr>
        <w:t xml:space="preserve"> </w:t>
      </w:r>
      <w:r w:rsidR="00F20531">
        <w:rPr>
          <w:rFonts w:asciiTheme="minorHAnsi" w:hAnsiTheme="minorHAnsi" w:cs="Arial"/>
          <w:color w:val="auto"/>
          <w:sz w:val="20"/>
        </w:rPr>
        <w:t xml:space="preserve">requirements </w:t>
      </w:r>
      <w:r w:rsidR="00A73C6A">
        <w:rPr>
          <w:rFonts w:asciiTheme="minorHAnsi" w:hAnsiTheme="minorHAnsi" w:cs="Arial"/>
          <w:color w:val="auto"/>
          <w:sz w:val="20"/>
        </w:rPr>
        <w:t>could not be assessed.</w:t>
      </w:r>
    </w:p>
    <w:p w14:paraId="7BA9E2BA" w14:textId="48DCA844" w:rsidR="0078236D" w:rsidRDefault="0078236D">
      <w:pPr>
        <w:spacing w:after="0" w:line="240" w:lineRule="auto"/>
        <w:rPr>
          <w:rFonts w:asciiTheme="minorHAnsi" w:hAnsiTheme="minorHAnsi" w:cs="Arial"/>
          <w:color w:val="auto"/>
          <w:sz w:val="20"/>
        </w:rPr>
      </w:pPr>
      <w:r>
        <w:rPr>
          <w:rFonts w:asciiTheme="minorHAnsi" w:hAnsiTheme="minorHAnsi" w:cs="Arial"/>
          <w:color w:val="auto"/>
          <w:sz w:val="20"/>
        </w:rPr>
        <w:br w:type="page"/>
      </w:r>
    </w:p>
    <w:p w14:paraId="5BCE536B" w14:textId="77777777" w:rsidR="00CA282D" w:rsidRPr="00894701" w:rsidRDefault="00CA282D" w:rsidP="00CA282D">
      <w:pPr>
        <w:pStyle w:val="ListParagraph"/>
        <w:numPr>
          <w:ilvl w:val="1"/>
          <w:numId w:val="7"/>
        </w:numPr>
        <w:spacing w:before="240" w:after="240"/>
        <w:ind w:left="851" w:right="482" w:hanging="851"/>
        <w:outlineLvl w:val="1"/>
        <w:rPr>
          <w:b/>
          <w:sz w:val="28"/>
          <w:szCs w:val="28"/>
        </w:rPr>
      </w:pPr>
      <w:bookmarkStart w:id="193" w:name="_Toc93014844"/>
      <w:bookmarkStart w:id="194" w:name="_Toc93014957"/>
      <w:bookmarkStart w:id="195" w:name="_Toc93018351"/>
      <w:bookmarkStart w:id="196" w:name="_Toc93069996"/>
      <w:bookmarkStart w:id="197" w:name="_Toc93095166"/>
      <w:bookmarkStart w:id="198" w:name="_Toc93014845"/>
      <w:bookmarkStart w:id="199" w:name="_Toc93014958"/>
      <w:bookmarkStart w:id="200" w:name="_Toc93018352"/>
      <w:bookmarkStart w:id="201" w:name="_Toc93069997"/>
      <w:bookmarkStart w:id="202" w:name="_Toc93095167"/>
      <w:bookmarkStart w:id="203" w:name="_Toc93014846"/>
      <w:bookmarkStart w:id="204" w:name="_Toc93014959"/>
      <w:bookmarkStart w:id="205" w:name="_Toc93018353"/>
      <w:bookmarkStart w:id="206" w:name="_Toc93069998"/>
      <w:bookmarkStart w:id="207" w:name="_Toc93095168"/>
      <w:bookmarkStart w:id="208" w:name="_Toc93014847"/>
      <w:bookmarkStart w:id="209" w:name="_Toc93014960"/>
      <w:bookmarkStart w:id="210" w:name="_Toc93018354"/>
      <w:bookmarkStart w:id="211" w:name="_Toc93069999"/>
      <w:bookmarkStart w:id="212" w:name="_Toc93095169"/>
      <w:bookmarkStart w:id="213" w:name="_Toc93014849"/>
      <w:bookmarkStart w:id="214" w:name="_Toc93014962"/>
      <w:bookmarkStart w:id="215" w:name="_Toc93018356"/>
      <w:bookmarkStart w:id="216" w:name="_Toc93070001"/>
      <w:bookmarkStart w:id="217" w:name="_Toc93095171"/>
      <w:bookmarkStart w:id="218" w:name="_Toc122478874"/>
      <w:bookmarkStart w:id="219" w:name="_Hlk113871647"/>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r w:rsidRPr="00894701">
        <w:rPr>
          <w:b/>
          <w:sz w:val="28"/>
          <w:szCs w:val="28"/>
        </w:rPr>
        <w:lastRenderedPageBreak/>
        <w:t>Register of licenses and permits / Public register/ Cadastre (EITI Requirement 2.3)</w:t>
      </w:r>
      <w:bookmarkEnd w:id="218"/>
    </w:p>
    <w:p w14:paraId="2FAD6ED8" w14:textId="69E8C57F" w:rsidR="00CA282D" w:rsidRPr="00894701" w:rsidRDefault="00670F09" w:rsidP="00A834A8">
      <w:pPr>
        <w:pStyle w:val="AltMinorHeading"/>
        <w:numPr>
          <w:ilvl w:val="2"/>
          <w:numId w:val="61"/>
        </w:numPr>
        <w:ind w:left="142" w:hanging="180"/>
        <w:rPr>
          <w:szCs w:val="28"/>
        </w:rPr>
      </w:pPr>
      <w:bookmarkStart w:id="220" w:name="_Toc122478875"/>
      <w:bookmarkStart w:id="221" w:name="_Hlk113872082"/>
      <w:bookmarkEnd w:id="219"/>
      <w:r w:rsidRPr="00894701">
        <w:rPr>
          <w:szCs w:val="28"/>
        </w:rPr>
        <w:t xml:space="preserve">Register of licenses in the </w:t>
      </w:r>
      <w:r w:rsidR="00CA282D" w:rsidRPr="00894701">
        <w:rPr>
          <w:szCs w:val="28"/>
        </w:rPr>
        <w:t>Mining sector</w:t>
      </w:r>
      <w:bookmarkEnd w:id="220"/>
    </w:p>
    <w:bookmarkEnd w:id="221"/>
    <w:p w14:paraId="2B821C1A" w14:textId="7744565D" w:rsidR="00CA282D" w:rsidRPr="00894701" w:rsidRDefault="00CA282D" w:rsidP="00CA282D">
      <w:pPr>
        <w:jc w:val="both"/>
        <w:rPr>
          <w:rFonts w:asciiTheme="minorHAnsi" w:hAnsiTheme="minorHAnsi" w:cs="Arial"/>
          <w:color w:val="auto"/>
          <w:sz w:val="20"/>
        </w:rPr>
      </w:pPr>
      <w:r w:rsidRPr="00894701">
        <w:rPr>
          <w:rFonts w:asciiTheme="minorHAnsi" w:hAnsiTheme="minorHAnsi" w:cs="Arial"/>
          <w:color w:val="auto"/>
          <w:sz w:val="20"/>
        </w:rPr>
        <w:t xml:space="preserve">According to article 13-1 of the Mining decree 1986, the registration at the mortgage office is governed by the State decree on the mining rights mentioned in that decree. The register set up in the state decree will be public and thereupon the negative registration system will be applicable. Granting, transfer of or objection to mining rights come into force due to their entry in the register mentioned in the first paragraph of this article. </w:t>
      </w:r>
    </w:p>
    <w:p w14:paraId="397CDDCC" w14:textId="53608F1E" w:rsidR="00CA282D" w:rsidRPr="00894701" w:rsidRDefault="00CA282D" w:rsidP="00CA282D">
      <w:pPr>
        <w:jc w:val="both"/>
        <w:rPr>
          <w:rFonts w:asciiTheme="minorHAnsi" w:hAnsiTheme="minorHAnsi" w:cs="Arial"/>
          <w:color w:val="auto"/>
          <w:sz w:val="20"/>
        </w:rPr>
      </w:pPr>
      <w:r w:rsidRPr="00894701">
        <w:rPr>
          <w:rFonts w:asciiTheme="minorHAnsi" w:hAnsiTheme="minorHAnsi" w:cs="Arial"/>
          <w:color w:val="auto"/>
          <w:sz w:val="20"/>
        </w:rPr>
        <w:t xml:space="preserve">At GMD all the requests for mining rights are registered and those applications that are approved by the Minister of MONR are recorded by GMD which is accessible on their website at: </w:t>
      </w:r>
      <w:r w:rsidR="004B4DE1" w:rsidRPr="00894701">
        <w:rPr>
          <w:rFonts w:asciiTheme="minorHAnsi" w:hAnsiTheme="minorHAnsi" w:cs="Arial"/>
          <w:color w:val="auto"/>
          <w:sz w:val="20"/>
        </w:rPr>
        <w:t>(</w:t>
      </w:r>
      <w:hyperlink r:id="rId43" w:history="1">
        <w:r w:rsidR="004B4DE1" w:rsidRPr="00894701">
          <w:rPr>
            <w:rStyle w:val="Hyperlink"/>
            <w:rFonts w:asciiTheme="minorHAnsi" w:hAnsiTheme="minorHAnsi" w:cs="Arial"/>
            <w:sz w:val="20"/>
          </w:rPr>
          <w:t>https://geologymining-sr.maps.arcgis.com/home/index.html</w:t>
        </w:r>
      </w:hyperlink>
      <w:r w:rsidR="004B4DE1" w:rsidRPr="00894701">
        <w:rPr>
          <w:rFonts w:asciiTheme="minorHAnsi" w:hAnsiTheme="minorHAnsi" w:cs="Arial"/>
          <w:color w:val="auto"/>
          <w:sz w:val="20"/>
        </w:rPr>
        <w:t>)</w:t>
      </w:r>
      <w:r w:rsidRPr="00894701">
        <w:rPr>
          <w:rFonts w:asciiTheme="minorHAnsi" w:hAnsiTheme="minorHAnsi" w:cs="Arial"/>
          <w:color w:val="auto"/>
          <w:sz w:val="20"/>
        </w:rPr>
        <w:t xml:space="preserve">. However, it is not an indication of how to gain access to the public register on-site in the GMD offices or how to sign in on their website as the sign-in is required. </w:t>
      </w:r>
    </w:p>
    <w:p w14:paraId="0655B879" w14:textId="68EC5B3A" w:rsidR="00CA282D" w:rsidRPr="00894701" w:rsidRDefault="00CA282D" w:rsidP="00CA282D">
      <w:pPr>
        <w:jc w:val="both"/>
        <w:rPr>
          <w:rFonts w:asciiTheme="minorHAnsi" w:hAnsiTheme="minorHAnsi" w:cs="Arial"/>
          <w:color w:val="auto"/>
          <w:sz w:val="20"/>
        </w:rPr>
      </w:pPr>
      <w:r w:rsidRPr="00894701">
        <w:rPr>
          <w:rFonts w:asciiTheme="minorHAnsi" w:hAnsiTheme="minorHAnsi" w:cs="Arial"/>
          <w:color w:val="auto"/>
          <w:sz w:val="20"/>
        </w:rPr>
        <w:t xml:space="preserve">There is no </w:t>
      </w:r>
      <w:r w:rsidR="004B4DE1" w:rsidRPr="00894701">
        <w:rPr>
          <w:rFonts w:asciiTheme="minorHAnsi" w:hAnsiTheme="minorHAnsi" w:cs="Arial"/>
          <w:color w:val="auto"/>
          <w:sz w:val="20"/>
        </w:rPr>
        <w:t xml:space="preserve">publicly available </w:t>
      </w:r>
      <w:r w:rsidRPr="00894701">
        <w:rPr>
          <w:rFonts w:asciiTheme="minorHAnsi" w:hAnsiTheme="minorHAnsi" w:cs="Arial"/>
          <w:color w:val="auto"/>
          <w:sz w:val="20"/>
        </w:rPr>
        <w:t xml:space="preserve">register currently at GMD, nor at MONR, that systematically displays the incoming and outgoing flow of applications, the status, the outcome of the application, nor acknowledgement by the parties of the receipt of application respectively the provision of the ministerial order to the beneficiary/applicant. </w:t>
      </w:r>
    </w:p>
    <w:p w14:paraId="2192B9E0" w14:textId="1C44CE3C" w:rsidR="00CA282D" w:rsidRPr="00894701" w:rsidRDefault="004B4DE1" w:rsidP="00CA282D">
      <w:pPr>
        <w:jc w:val="both"/>
        <w:rPr>
          <w:rFonts w:asciiTheme="minorHAnsi" w:hAnsiTheme="minorHAnsi"/>
          <w:color w:val="auto"/>
          <w:sz w:val="20"/>
          <w:szCs w:val="20"/>
        </w:rPr>
      </w:pPr>
      <w:r w:rsidRPr="00894701">
        <w:rPr>
          <w:rFonts w:asciiTheme="minorHAnsi" w:hAnsiTheme="minorHAnsi" w:cs="Arial"/>
          <w:color w:val="auto"/>
          <w:sz w:val="20"/>
        </w:rPr>
        <w:t>Nevertheless, GMD provided the list of licenses active during FYs 2018, 2019 and 2020 as detailed in Annex 1 of this report</w:t>
      </w:r>
      <w:r w:rsidR="00CA282D" w:rsidRPr="00894701">
        <w:rPr>
          <w:rFonts w:asciiTheme="minorHAnsi" w:hAnsiTheme="minorHAnsi" w:cs="Arial"/>
          <w:color w:val="auto"/>
          <w:sz w:val="20"/>
        </w:rPr>
        <w:t xml:space="preserve">.  </w:t>
      </w:r>
    </w:p>
    <w:p w14:paraId="14F17788" w14:textId="7B0FBC5F" w:rsidR="00CA282D" w:rsidRPr="00894701" w:rsidRDefault="00670F09" w:rsidP="00A834A8">
      <w:pPr>
        <w:pStyle w:val="AltMinorHeading"/>
        <w:numPr>
          <w:ilvl w:val="2"/>
          <w:numId w:val="61"/>
        </w:numPr>
        <w:ind w:left="142" w:hanging="180"/>
        <w:rPr>
          <w:szCs w:val="28"/>
        </w:rPr>
      </w:pPr>
      <w:bookmarkStart w:id="222" w:name="_Toc122478876"/>
      <w:r w:rsidRPr="00894701">
        <w:rPr>
          <w:szCs w:val="28"/>
        </w:rPr>
        <w:t xml:space="preserve">Register of licenses in the </w:t>
      </w:r>
      <w:r w:rsidR="00CA282D" w:rsidRPr="00894701">
        <w:rPr>
          <w:szCs w:val="28"/>
        </w:rPr>
        <w:t>Oil and Gas sector</w:t>
      </w:r>
      <w:bookmarkEnd w:id="222"/>
    </w:p>
    <w:p w14:paraId="0E8355E1" w14:textId="78E8B54A" w:rsidR="00CA282D" w:rsidRPr="00894701" w:rsidRDefault="00CA282D" w:rsidP="00CA282D">
      <w:pPr>
        <w:jc w:val="both"/>
        <w:rPr>
          <w:rFonts w:asciiTheme="minorHAnsi" w:hAnsiTheme="minorHAnsi" w:cs="Arial"/>
          <w:color w:val="auto"/>
          <w:sz w:val="20"/>
          <w:szCs w:val="20"/>
        </w:rPr>
      </w:pPr>
      <w:r w:rsidRPr="00894701">
        <w:rPr>
          <w:rFonts w:asciiTheme="minorHAnsi" w:hAnsiTheme="minorHAnsi" w:cs="Arial"/>
          <w:color w:val="auto"/>
          <w:sz w:val="20"/>
          <w:szCs w:val="20"/>
        </w:rPr>
        <w:t xml:space="preserve">Staatsolie keeps track of all the issued concessions and monitors closely the extensions of these oil concessions. </w:t>
      </w:r>
      <w:r w:rsidR="00E42D4A" w:rsidRPr="00894701">
        <w:rPr>
          <w:rFonts w:asciiTheme="minorHAnsi" w:hAnsiTheme="minorHAnsi" w:cs="Arial"/>
          <w:color w:val="auto"/>
          <w:sz w:val="20"/>
          <w:szCs w:val="20"/>
        </w:rPr>
        <w:t>It also keeps</w:t>
      </w:r>
      <w:r w:rsidRPr="00894701">
        <w:rPr>
          <w:rFonts w:asciiTheme="minorHAnsi" w:hAnsiTheme="minorHAnsi" w:cs="Arial"/>
          <w:color w:val="auto"/>
          <w:sz w:val="20"/>
          <w:szCs w:val="20"/>
        </w:rPr>
        <w:t xml:space="preserve"> </w:t>
      </w:r>
      <w:r w:rsidR="00E42D4A" w:rsidRPr="00894701">
        <w:rPr>
          <w:rFonts w:asciiTheme="minorHAnsi" w:hAnsiTheme="minorHAnsi" w:cs="Arial"/>
          <w:color w:val="auto"/>
          <w:sz w:val="20"/>
          <w:szCs w:val="20"/>
        </w:rPr>
        <w:t xml:space="preserve">a </w:t>
      </w:r>
      <w:r w:rsidRPr="00894701">
        <w:rPr>
          <w:rFonts w:asciiTheme="minorHAnsi" w:hAnsiTheme="minorHAnsi" w:cs="Arial"/>
          <w:color w:val="auto"/>
          <w:sz w:val="20"/>
          <w:szCs w:val="20"/>
        </w:rPr>
        <w:t>public register for oil and gas concessions and contracts</w:t>
      </w:r>
      <w:r w:rsidR="00E42D4A" w:rsidRPr="00894701">
        <w:rPr>
          <w:rFonts w:asciiTheme="minorHAnsi" w:hAnsiTheme="minorHAnsi" w:cs="Arial"/>
          <w:color w:val="auto"/>
          <w:sz w:val="20"/>
          <w:szCs w:val="20"/>
        </w:rPr>
        <w:t xml:space="preserve"> in the following link: </w:t>
      </w:r>
      <w:hyperlink r:id="rId44" w:history="1">
        <w:r w:rsidR="00E42D4A" w:rsidRPr="00894701">
          <w:rPr>
            <w:rStyle w:val="Hyperlink"/>
            <w:rFonts w:asciiTheme="minorHAnsi" w:hAnsiTheme="minorHAnsi" w:cs="Arial"/>
            <w:sz w:val="20"/>
            <w:szCs w:val="20"/>
          </w:rPr>
          <w:t>https://www.staatsolie.com/en/staatsolie-hydrocarbon-institute/</w:t>
        </w:r>
      </w:hyperlink>
      <w:r w:rsidR="00E42D4A" w:rsidRPr="00894701">
        <w:rPr>
          <w:rFonts w:asciiTheme="minorHAnsi" w:hAnsiTheme="minorHAnsi" w:cs="Arial"/>
          <w:color w:val="auto"/>
          <w:sz w:val="20"/>
          <w:szCs w:val="20"/>
        </w:rPr>
        <w:t xml:space="preserve"> </w:t>
      </w:r>
    </w:p>
    <w:p w14:paraId="5F82586D" w14:textId="77777777" w:rsidR="00CA282D" w:rsidRPr="00894701" w:rsidRDefault="00CA282D" w:rsidP="00CA282D">
      <w:pPr>
        <w:pStyle w:val="ListParagraph"/>
        <w:numPr>
          <w:ilvl w:val="1"/>
          <w:numId w:val="7"/>
        </w:numPr>
        <w:spacing w:before="240" w:after="240"/>
        <w:ind w:left="851" w:right="482" w:hanging="851"/>
        <w:outlineLvl w:val="1"/>
        <w:rPr>
          <w:b/>
          <w:sz w:val="28"/>
          <w:szCs w:val="28"/>
        </w:rPr>
      </w:pPr>
      <w:bookmarkStart w:id="223" w:name="_Toc122478877"/>
      <w:bookmarkStart w:id="224" w:name="_Hlk113871700"/>
      <w:r w:rsidRPr="00894701">
        <w:rPr>
          <w:b/>
          <w:sz w:val="28"/>
          <w:szCs w:val="28"/>
        </w:rPr>
        <w:t>Disclosure of licenses and contracts (EITI requirement 2.4)</w:t>
      </w:r>
      <w:bookmarkEnd w:id="223"/>
      <w:r w:rsidRPr="00894701">
        <w:rPr>
          <w:b/>
          <w:sz w:val="28"/>
          <w:szCs w:val="28"/>
        </w:rPr>
        <w:t xml:space="preserve"> </w:t>
      </w:r>
    </w:p>
    <w:bookmarkEnd w:id="224"/>
    <w:p w14:paraId="26873693" w14:textId="77777777" w:rsidR="00CA282D" w:rsidRPr="00894701" w:rsidRDefault="00CA282D" w:rsidP="00CA282D">
      <w:pPr>
        <w:spacing w:before="100" w:line="227" w:lineRule="exact"/>
        <w:jc w:val="both"/>
        <w:rPr>
          <w:rFonts w:asciiTheme="minorHAnsi" w:hAnsiTheme="minorHAnsi" w:cs="TrebuchetMS"/>
          <w:color w:val="auto"/>
          <w:sz w:val="20"/>
          <w:szCs w:val="20"/>
        </w:rPr>
      </w:pPr>
      <w:r w:rsidRPr="00894701">
        <w:rPr>
          <w:rFonts w:asciiTheme="minorHAnsi" w:hAnsiTheme="minorHAnsi" w:cs="TrebuchetMS"/>
          <w:color w:val="auto"/>
          <w:sz w:val="20"/>
          <w:szCs w:val="20"/>
        </w:rPr>
        <w:t xml:space="preserve">In accordance with Requirement 2.4 of the EITI Standard, implementing countries are encouraged to publicly disclose any contracts and licenses that provide the terms attached to the exploitation of minerals. </w:t>
      </w:r>
    </w:p>
    <w:p w14:paraId="2C456B3D" w14:textId="77777777" w:rsidR="00CA282D" w:rsidRPr="00894701" w:rsidRDefault="00CA282D" w:rsidP="00CA282D">
      <w:pPr>
        <w:spacing w:before="100" w:line="227" w:lineRule="exact"/>
        <w:jc w:val="both"/>
        <w:rPr>
          <w:rFonts w:asciiTheme="minorHAnsi" w:hAnsiTheme="minorHAnsi" w:cs="TrebuchetMS"/>
          <w:color w:val="auto"/>
          <w:sz w:val="20"/>
          <w:szCs w:val="20"/>
        </w:rPr>
      </w:pPr>
      <w:r w:rsidRPr="00894701">
        <w:rPr>
          <w:rFonts w:asciiTheme="minorHAnsi" w:hAnsiTheme="minorHAnsi" w:cs="TrebuchetMS"/>
          <w:color w:val="auto"/>
          <w:sz w:val="20"/>
          <w:szCs w:val="20"/>
        </w:rPr>
        <w:t xml:space="preserve">The Surinamese Mining Legislation does not prohibit the disclosure of license information required by the EITI Standard.  </w:t>
      </w:r>
    </w:p>
    <w:p w14:paraId="7E2FC1B9" w14:textId="77777777" w:rsidR="00CA282D" w:rsidRPr="00894701" w:rsidRDefault="00CA282D" w:rsidP="00CA282D">
      <w:pPr>
        <w:spacing w:before="100" w:line="227" w:lineRule="exact"/>
        <w:jc w:val="both"/>
        <w:rPr>
          <w:rFonts w:asciiTheme="minorHAnsi" w:hAnsiTheme="minorHAnsi" w:cs="TrebuchetMS"/>
          <w:color w:val="auto"/>
          <w:sz w:val="20"/>
          <w:szCs w:val="20"/>
        </w:rPr>
      </w:pPr>
      <w:r w:rsidRPr="00894701">
        <w:rPr>
          <w:rFonts w:asciiTheme="minorHAnsi" w:hAnsiTheme="minorHAnsi" w:cs="TrebuchetMS"/>
          <w:color w:val="auto"/>
          <w:sz w:val="20"/>
          <w:szCs w:val="20"/>
        </w:rPr>
        <w:t xml:space="preserve">The Mining Decree (1986) and the Petroleum Act 1990 /SB 1991 do not include any express restrictions on the public disclosure of mineral agreements and petroleum agreements by the government and there is no obligation for public access to the full text of any mining and Oil &amp; Gas contract, concession, production agreement or other agreement granted. </w:t>
      </w:r>
    </w:p>
    <w:p w14:paraId="0927C9C0" w14:textId="77777777" w:rsidR="00CA282D" w:rsidRPr="00894701" w:rsidRDefault="00CA282D" w:rsidP="00CA282D">
      <w:pPr>
        <w:spacing w:before="100" w:line="227" w:lineRule="exact"/>
        <w:jc w:val="both"/>
        <w:rPr>
          <w:rFonts w:asciiTheme="minorHAnsi" w:hAnsiTheme="minorHAnsi" w:cs="TrebuchetMS"/>
          <w:color w:val="auto"/>
          <w:sz w:val="20"/>
          <w:szCs w:val="20"/>
        </w:rPr>
      </w:pPr>
      <w:r w:rsidRPr="00894701">
        <w:rPr>
          <w:rFonts w:asciiTheme="minorHAnsi" w:hAnsiTheme="minorHAnsi" w:cs="TrebuchetMS"/>
          <w:color w:val="auto"/>
          <w:sz w:val="20"/>
          <w:szCs w:val="20"/>
        </w:rPr>
        <w:t xml:space="preserve">There are no Government rules that regulate the transparency of the mining and Oil &amp; Gas contracts in general nor in the context of SR-EITI reporting yet. </w:t>
      </w:r>
    </w:p>
    <w:p w14:paraId="567381D2" w14:textId="77777777" w:rsidR="00CA282D" w:rsidRPr="00894701" w:rsidRDefault="00CA282D" w:rsidP="00CA282D">
      <w:pPr>
        <w:spacing w:before="100" w:line="227" w:lineRule="exact"/>
        <w:jc w:val="both"/>
        <w:rPr>
          <w:rFonts w:asciiTheme="minorHAnsi" w:hAnsiTheme="minorHAnsi" w:cs="TrebuchetMS"/>
          <w:color w:val="auto"/>
          <w:sz w:val="20"/>
          <w:szCs w:val="20"/>
        </w:rPr>
      </w:pPr>
      <w:r w:rsidRPr="00894701">
        <w:rPr>
          <w:rFonts w:asciiTheme="minorHAnsi" w:hAnsiTheme="minorHAnsi" w:cs="TrebuchetMS"/>
          <w:color w:val="auto"/>
          <w:sz w:val="20"/>
          <w:szCs w:val="20"/>
        </w:rPr>
        <w:t xml:space="preserve">Currently, </w:t>
      </w:r>
      <w:bookmarkStart w:id="225" w:name="_Hlk146449629"/>
      <w:r w:rsidRPr="00894701">
        <w:rPr>
          <w:rFonts w:asciiTheme="minorHAnsi" w:hAnsiTheme="minorHAnsi" w:cs="TrebuchetMS"/>
          <w:color w:val="auto"/>
          <w:sz w:val="20"/>
          <w:szCs w:val="20"/>
        </w:rPr>
        <w:t>there are no mining and Oil &amp; Gas agreements available</w:t>
      </w:r>
      <w:bookmarkEnd w:id="225"/>
      <w:r w:rsidRPr="00894701">
        <w:rPr>
          <w:rFonts w:asciiTheme="minorHAnsi" w:hAnsiTheme="minorHAnsi" w:cs="TrebuchetMS"/>
          <w:color w:val="auto"/>
          <w:sz w:val="20"/>
          <w:szCs w:val="20"/>
        </w:rPr>
        <w:t xml:space="preserve"> online. </w:t>
      </w:r>
    </w:p>
    <w:p w14:paraId="28484289" w14:textId="77777777" w:rsidR="00CA282D" w:rsidRPr="00894701" w:rsidRDefault="00CA282D" w:rsidP="00CA282D">
      <w:pPr>
        <w:pStyle w:val="ListParagraph"/>
        <w:numPr>
          <w:ilvl w:val="1"/>
          <w:numId w:val="7"/>
        </w:numPr>
        <w:spacing w:before="240" w:after="240"/>
        <w:ind w:left="851" w:right="482" w:hanging="851"/>
        <w:outlineLvl w:val="1"/>
        <w:rPr>
          <w:b/>
          <w:sz w:val="28"/>
          <w:szCs w:val="28"/>
        </w:rPr>
      </w:pPr>
      <w:bookmarkStart w:id="226" w:name="_Toc122478878"/>
      <w:bookmarkStart w:id="227" w:name="_Hlk113872358"/>
      <w:r w:rsidRPr="00894701">
        <w:rPr>
          <w:b/>
          <w:sz w:val="28"/>
          <w:szCs w:val="28"/>
        </w:rPr>
        <w:t>State participation (EITI Requirement 2.6)</w:t>
      </w:r>
      <w:bookmarkEnd w:id="226"/>
      <w:r w:rsidRPr="00894701">
        <w:rPr>
          <w:b/>
          <w:sz w:val="28"/>
          <w:szCs w:val="28"/>
        </w:rPr>
        <w:t xml:space="preserve"> </w:t>
      </w:r>
    </w:p>
    <w:bookmarkEnd w:id="227"/>
    <w:p w14:paraId="772D5529" w14:textId="77777777" w:rsidR="00CA282D" w:rsidRPr="00894701" w:rsidRDefault="00CA282D" w:rsidP="00CA282D">
      <w:pPr>
        <w:spacing w:before="120" w:line="260" w:lineRule="exact"/>
        <w:jc w:val="both"/>
        <w:rPr>
          <w:rFonts w:asciiTheme="minorHAnsi" w:hAnsiTheme="minorHAnsi" w:cs="TrebuchetMS"/>
          <w:color w:val="auto"/>
          <w:sz w:val="20"/>
          <w:szCs w:val="20"/>
        </w:rPr>
      </w:pPr>
      <w:r w:rsidRPr="00894701">
        <w:rPr>
          <w:rFonts w:asciiTheme="minorHAnsi" w:hAnsiTheme="minorHAnsi" w:cs="TrebuchetMS"/>
          <w:color w:val="auto"/>
          <w:sz w:val="20"/>
          <w:szCs w:val="20"/>
        </w:rPr>
        <w:t>Requirement 2.6 of the EITI Standard requires the government and state-owned enterprises to disclose their shareholding in oil, gas and mining companies operating within the country, and any changes in the shareholding during the accounting period covered by the EITI Report.</w:t>
      </w:r>
    </w:p>
    <w:p w14:paraId="21290C78" w14:textId="62EA810B" w:rsidR="00CA282D" w:rsidRPr="00894701" w:rsidRDefault="00670F09" w:rsidP="00A834A8">
      <w:pPr>
        <w:pStyle w:val="AltMinorHeading"/>
        <w:numPr>
          <w:ilvl w:val="2"/>
          <w:numId w:val="62"/>
        </w:numPr>
        <w:ind w:left="142" w:hanging="180"/>
        <w:rPr>
          <w:szCs w:val="28"/>
        </w:rPr>
      </w:pPr>
      <w:bookmarkStart w:id="228" w:name="_Toc122478879"/>
      <w:r w:rsidRPr="00894701">
        <w:rPr>
          <w:szCs w:val="28"/>
        </w:rPr>
        <w:lastRenderedPageBreak/>
        <w:t xml:space="preserve">State participation in the </w:t>
      </w:r>
      <w:r w:rsidR="00CA282D" w:rsidRPr="00894701">
        <w:rPr>
          <w:szCs w:val="28"/>
        </w:rPr>
        <w:t>Mining Sector</w:t>
      </w:r>
      <w:bookmarkEnd w:id="228"/>
      <w:r w:rsidR="00CA282D" w:rsidRPr="00894701">
        <w:rPr>
          <w:szCs w:val="28"/>
        </w:rPr>
        <w:t xml:space="preserve"> </w:t>
      </w:r>
    </w:p>
    <w:p w14:paraId="3ED013C3" w14:textId="39C8CC32" w:rsidR="00CA282D" w:rsidRPr="00894701" w:rsidRDefault="00CA282D" w:rsidP="008F7932">
      <w:pPr>
        <w:spacing w:before="120" w:after="0" w:line="260" w:lineRule="exact"/>
        <w:jc w:val="both"/>
        <w:rPr>
          <w:rFonts w:asciiTheme="minorHAnsi" w:hAnsiTheme="minorHAnsi" w:cs="TrebuchetMS"/>
          <w:color w:val="auto"/>
          <w:sz w:val="20"/>
          <w:szCs w:val="20"/>
        </w:rPr>
      </w:pPr>
      <w:r w:rsidRPr="00894701">
        <w:rPr>
          <w:rFonts w:asciiTheme="minorHAnsi" w:hAnsiTheme="minorHAnsi" w:cs="TrebuchetMS"/>
          <w:color w:val="auto"/>
          <w:sz w:val="20"/>
          <w:szCs w:val="20"/>
        </w:rPr>
        <w:t xml:space="preserve">According to article 32 of the Mining Decree (1986), the State has the option to participate in the exploitation. If the State intends to exercise the option, the minister will within 2 months after receiving the application for exploitation rights, notify the applicant about this intention. The Government participation in the mining sector in 2018, 2019 and 2020 is presented in the table below. </w:t>
      </w:r>
    </w:p>
    <w:p w14:paraId="6744BECC" w14:textId="080AB13E" w:rsidR="00F82D2E" w:rsidRPr="00894701" w:rsidRDefault="00F82D2E">
      <w:pPr>
        <w:spacing w:after="0" w:line="240" w:lineRule="auto"/>
        <w:rPr>
          <w:rFonts w:asciiTheme="majorHAnsi" w:hAnsiTheme="majorHAnsi"/>
          <w:b/>
          <w:bCs/>
          <w:color w:val="98002E" w:themeColor="accent3"/>
          <w:sz w:val="20"/>
        </w:rPr>
      </w:pPr>
      <w:bookmarkStart w:id="229" w:name="_Toc93095222"/>
      <w:bookmarkStart w:id="230" w:name="_Toc109599092"/>
    </w:p>
    <w:p w14:paraId="4F92F435" w14:textId="2353DABA" w:rsidR="00CA282D" w:rsidRPr="00894701" w:rsidRDefault="00CA282D" w:rsidP="00CA282D">
      <w:pPr>
        <w:jc w:val="center"/>
        <w:rPr>
          <w:rFonts w:asciiTheme="majorHAnsi" w:hAnsiTheme="majorHAnsi"/>
          <w:b/>
          <w:bCs/>
          <w:color w:val="98002E" w:themeColor="accent3"/>
          <w:sz w:val="20"/>
        </w:rPr>
      </w:pPr>
      <w:bookmarkStart w:id="231" w:name="_Toc146590499"/>
      <w:r w:rsidRPr="00894701">
        <w:rPr>
          <w:rFonts w:asciiTheme="majorHAnsi" w:hAnsiTheme="majorHAnsi"/>
          <w:b/>
          <w:bCs/>
          <w:color w:val="98002E" w:themeColor="accent3"/>
          <w:sz w:val="20"/>
        </w:rPr>
        <w:t xml:space="preserve">Table </w:t>
      </w:r>
      <w:r w:rsidRPr="00894701">
        <w:rPr>
          <w:rFonts w:asciiTheme="majorHAnsi" w:hAnsiTheme="majorHAnsi"/>
          <w:b/>
          <w:bCs/>
          <w:color w:val="98002E" w:themeColor="accent3"/>
          <w:sz w:val="20"/>
        </w:rPr>
        <w:fldChar w:fldCharType="begin"/>
      </w:r>
      <w:r w:rsidRPr="00894701">
        <w:rPr>
          <w:rFonts w:asciiTheme="majorHAnsi" w:hAnsiTheme="majorHAnsi"/>
          <w:b/>
          <w:bCs/>
          <w:color w:val="98002E" w:themeColor="accent3"/>
          <w:sz w:val="20"/>
        </w:rPr>
        <w:instrText xml:space="preserve"> SEQ Table \* ARABIC </w:instrText>
      </w:r>
      <w:r w:rsidRPr="00894701">
        <w:rPr>
          <w:rFonts w:asciiTheme="majorHAnsi" w:hAnsiTheme="majorHAnsi"/>
          <w:b/>
          <w:bCs/>
          <w:color w:val="98002E" w:themeColor="accent3"/>
          <w:sz w:val="20"/>
        </w:rPr>
        <w:fldChar w:fldCharType="separate"/>
      </w:r>
      <w:r w:rsidR="0035303B">
        <w:rPr>
          <w:rFonts w:asciiTheme="majorHAnsi" w:hAnsiTheme="majorHAnsi"/>
          <w:b/>
          <w:bCs/>
          <w:noProof/>
          <w:color w:val="98002E" w:themeColor="accent3"/>
          <w:sz w:val="20"/>
        </w:rPr>
        <w:t>27</w:t>
      </w:r>
      <w:r w:rsidRPr="00894701">
        <w:rPr>
          <w:rFonts w:asciiTheme="majorHAnsi" w:hAnsiTheme="majorHAnsi"/>
          <w:b/>
          <w:bCs/>
          <w:color w:val="98002E" w:themeColor="accent3"/>
          <w:sz w:val="20"/>
        </w:rPr>
        <w:fldChar w:fldCharType="end"/>
      </w:r>
      <w:r w:rsidRPr="00894701">
        <w:rPr>
          <w:rFonts w:asciiTheme="majorHAnsi" w:hAnsiTheme="majorHAnsi"/>
          <w:b/>
          <w:bCs/>
          <w:color w:val="98002E" w:themeColor="accent3"/>
          <w:sz w:val="20"/>
        </w:rPr>
        <w:t xml:space="preserve">: </w:t>
      </w:r>
      <w:bookmarkEnd w:id="229"/>
      <w:r w:rsidRPr="00894701">
        <w:rPr>
          <w:rFonts w:asciiTheme="minorHAnsi" w:hAnsiTheme="minorHAnsi" w:cs="TrebuchetMS-Bold"/>
          <w:b/>
          <w:bCs/>
          <w:color w:val="98002E"/>
          <w:kern w:val="0"/>
          <w:sz w:val="20"/>
          <w:szCs w:val="20"/>
          <w:lang w:eastAsia="en-US"/>
        </w:rPr>
        <w:t>Overview of state participation in the mining sector</w:t>
      </w:r>
      <w:bookmarkEnd w:id="230"/>
      <w:bookmarkEnd w:id="231"/>
    </w:p>
    <w:tbl>
      <w:tblPr>
        <w:tblStyle w:val="TableGrid6"/>
        <w:tblpPr w:vertAnchor="text" w:horzAnchor="margin" w:tblpY="-64"/>
        <w:tblOverlap w:val="never"/>
        <w:tblW w:w="9012" w:type="dxa"/>
        <w:tblLayout w:type="fixed"/>
        <w:tblLook w:val="04A0" w:firstRow="1" w:lastRow="0" w:firstColumn="1" w:lastColumn="0" w:noHBand="0" w:noVBand="1"/>
      </w:tblPr>
      <w:tblGrid>
        <w:gridCol w:w="2813"/>
        <w:gridCol w:w="112"/>
        <w:gridCol w:w="5983"/>
        <w:gridCol w:w="104"/>
      </w:tblGrid>
      <w:tr w:rsidR="00CA282D" w:rsidRPr="00894701" w14:paraId="38C32D33" w14:textId="77777777" w:rsidTr="00446B8D">
        <w:trPr>
          <w:trHeight w:val="640"/>
          <w:tblHeader/>
        </w:trPr>
        <w:tc>
          <w:tcPr>
            <w:tcW w:w="2813" w:type="dxa"/>
            <w:tcBorders>
              <w:top w:val="single" w:sz="4" w:space="0" w:color="F65275"/>
              <w:left w:val="single" w:sz="4" w:space="0" w:color="F65275"/>
              <w:bottom w:val="single" w:sz="4" w:space="0" w:color="F65275"/>
              <w:right w:val="single" w:sz="4" w:space="0" w:color="F65275"/>
            </w:tcBorders>
            <w:shd w:val="clear" w:color="auto" w:fill="7A091A"/>
          </w:tcPr>
          <w:p w14:paraId="53AF8353" w14:textId="77777777" w:rsidR="00CA282D" w:rsidRPr="00894701" w:rsidRDefault="00CA282D" w:rsidP="00446B8D">
            <w:pPr>
              <w:spacing w:before="208" w:after="0" w:line="240" w:lineRule="auto"/>
              <w:ind w:left="83"/>
              <w:rPr>
                <w:rFonts w:asciiTheme="minorHAnsi" w:hAnsiTheme="minorHAnsi"/>
                <w:color w:val="010302"/>
                <w:kern w:val="0"/>
                <w:szCs w:val="18"/>
                <w:lang w:val="en-GB"/>
              </w:rPr>
            </w:pPr>
            <w:r w:rsidRPr="00894701">
              <w:rPr>
                <w:rFonts w:asciiTheme="minorHAnsi" w:hAnsiTheme="minorHAnsi" w:cs="TrebuchetMS-Bold"/>
                <w:b/>
                <w:bCs/>
                <w:color w:val="FFFFFF"/>
                <w:kern w:val="0"/>
                <w:szCs w:val="18"/>
              </w:rPr>
              <w:t xml:space="preserve">Company / mining project </w:t>
            </w:r>
          </w:p>
        </w:tc>
        <w:tc>
          <w:tcPr>
            <w:tcW w:w="6199" w:type="dxa"/>
            <w:gridSpan w:val="3"/>
            <w:tcBorders>
              <w:top w:val="single" w:sz="4" w:space="0" w:color="F65275"/>
              <w:left w:val="single" w:sz="4" w:space="0" w:color="F65275"/>
              <w:bottom w:val="single" w:sz="4" w:space="0" w:color="F65275"/>
              <w:right w:val="single" w:sz="4" w:space="0" w:color="F65275"/>
            </w:tcBorders>
            <w:shd w:val="clear" w:color="auto" w:fill="7A091A"/>
          </w:tcPr>
          <w:p w14:paraId="0F4DDA7A" w14:textId="77777777" w:rsidR="00CA282D" w:rsidRPr="00894701" w:rsidRDefault="00CA282D" w:rsidP="00446B8D">
            <w:pPr>
              <w:spacing w:before="208" w:after="0" w:line="240" w:lineRule="auto"/>
              <w:ind w:firstLine="113"/>
              <w:rPr>
                <w:rFonts w:asciiTheme="minorHAnsi" w:hAnsiTheme="minorHAnsi"/>
                <w:color w:val="010302"/>
                <w:kern w:val="0"/>
                <w:szCs w:val="18"/>
                <w:lang w:val="en-GB"/>
              </w:rPr>
            </w:pPr>
            <w:r w:rsidRPr="00894701">
              <w:rPr>
                <w:rFonts w:asciiTheme="minorHAnsi" w:hAnsiTheme="minorHAnsi" w:cs="TrebuchetMS-Bold"/>
                <w:b/>
                <w:bCs/>
                <w:color w:val="FFFFFF"/>
                <w:kern w:val="0"/>
                <w:szCs w:val="18"/>
              </w:rPr>
              <w:t xml:space="preserve">Share </w:t>
            </w:r>
          </w:p>
        </w:tc>
      </w:tr>
      <w:tr w:rsidR="00CA282D" w:rsidRPr="00894701" w14:paraId="2285FEF7" w14:textId="77777777" w:rsidTr="00446B8D">
        <w:trPr>
          <w:trHeight w:val="397"/>
        </w:trPr>
        <w:tc>
          <w:tcPr>
            <w:tcW w:w="2813" w:type="dxa"/>
            <w:tcBorders>
              <w:top w:val="single" w:sz="4" w:space="0" w:color="F65275"/>
              <w:left w:val="single" w:sz="4" w:space="0" w:color="F65275"/>
              <w:bottom w:val="single" w:sz="4" w:space="0" w:color="F65275"/>
              <w:right w:val="single" w:sz="4" w:space="0" w:color="F65275"/>
            </w:tcBorders>
            <w:shd w:val="clear" w:color="auto" w:fill="F7A3B0"/>
            <w:vAlign w:val="center"/>
          </w:tcPr>
          <w:p w14:paraId="32A9BDD1" w14:textId="77777777" w:rsidR="00CA282D" w:rsidRPr="00894701" w:rsidRDefault="00CA282D" w:rsidP="00446B8D">
            <w:pPr>
              <w:spacing w:after="0" w:line="240" w:lineRule="auto"/>
              <w:ind w:left="83"/>
              <w:rPr>
                <w:rFonts w:asciiTheme="minorHAnsi" w:hAnsiTheme="minorHAnsi"/>
                <w:color w:val="010302"/>
                <w:kern w:val="0"/>
                <w:szCs w:val="18"/>
                <w:lang w:val="en-GB"/>
              </w:rPr>
            </w:pPr>
            <w:r w:rsidRPr="00894701">
              <w:rPr>
                <w:rFonts w:asciiTheme="minorHAnsi" w:hAnsiTheme="minorHAnsi" w:cs="TrebuchetMS-Bold"/>
                <w:b/>
                <w:bCs/>
                <w:color w:val="000000"/>
                <w:kern w:val="0"/>
                <w:szCs w:val="18"/>
              </w:rPr>
              <w:t>G</w:t>
            </w:r>
            <w:r w:rsidRPr="00894701">
              <w:rPr>
                <w:rFonts w:asciiTheme="minorHAnsi" w:hAnsiTheme="minorHAnsi" w:cs="TrebuchetMS-Bold"/>
                <w:b/>
                <w:bCs/>
                <w:color w:val="000000"/>
                <w:spacing w:val="-4"/>
                <w:kern w:val="0"/>
                <w:szCs w:val="18"/>
              </w:rPr>
              <w:t>r</w:t>
            </w:r>
            <w:r w:rsidRPr="00894701">
              <w:rPr>
                <w:rFonts w:asciiTheme="minorHAnsi" w:hAnsiTheme="minorHAnsi" w:cs="TrebuchetMS-Bold"/>
                <w:b/>
                <w:bCs/>
                <w:color w:val="000000"/>
                <w:kern w:val="0"/>
                <w:szCs w:val="18"/>
              </w:rPr>
              <w:t xml:space="preserve">assalco </w:t>
            </w:r>
          </w:p>
        </w:tc>
        <w:tc>
          <w:tcPr>
            <w:tcW w:w="6199" w:type="dxa"/>
            <w:gridSpan w:val="3"/>
            <w:tcBorders>
              <w:top w:val="single" w:sz="4" w:space="0" w:color="F65275"/>
              <w:left w:val="single" w:sz="4" w:space="0" w:color="F65275"/>
              <w:bottom w:val="single" w:sz="4" w:space="0" w:color="F65275"/>
              <w:right w:val="single" w:sz="4" w:space="0" w:color="F65275"/>
            </w:tcBorders>
            <w:shd w:val="clear" w:color="auto" w:fill="F7A3B0"/>
          </w:tcPr>
          <w:p w14:paraId="34E3CEEC" w14:textId="77777777" w:rsidR="00CA282D" w:rsidRPr="00894701" w:rsidRDefault="00CA282D" w:rsidP="00446B8D">
            <w:pPr>
              <w:spacing w:after="0" w:line="240" w:lineRule="auto"/>
              <w:ind w:firstLine="113"/>
              <w:jc w:val="both"/>
              <w:rPr>
                <w:rFonts w:asciiTheme="minorHAnsi" w:hAnsiTheme="minorHAnsi"/>
                <w:color w:val="010302"/>
                <w:kern w:val="0"/>
                <w:szCs w:val="18"/>
                <w:lang w:val="en-GB"/>
              </w:rPr>
            </w:pPr>
            <w:r w:rsidRPr="00894701">
              <w:rPr>
                <w:rFonts w:asciiTheme="minorHAnsi" w:hAnsiTheme="minorHAnsi" w:cs="TrebuchetMS"/>
                <w:color w:val="000000"/>
                <w:kern w:val="0"/>
                <w:szCs w:val="18"/>
              </w:rPr>
              <w:t xml:space="preserve">100% share /Wholly equity base State-owned entity </w:t>
            </w:r>
          </w:p>
        </w:tc>
      </w:tr>
      <w:tr w:rsidR="00CA282D" w:rsidRPr="00894701" w14:paraId="4E6E3FEE" w14:textId="77777777" w:rsidTr="00446B8D">
        <w:trPr>
          <w:trHeight w:val="232"/>
        </w:trPr>
        <w:tc>
          <w:tcPr>
            <w:tcW w:w="2813" w:type="dxa"/>
            <w:tcBorders>
              <w:top w:val="single" w:sz="4" w:space="0" w:color="F65275"/>
              <w:left w:val="single" w:sz="4" w:space="0" w:color="F65275"/>
              <w:bottom w:val="single" w:sz="4" w:space="0" w:color="F65275"/>
              <w:right w:val="single" w:sz="4" w:space="0" w:color="F65275"/>
            </w:tcBorders>
            <w:vAlign w:val="center"/>
          </w:tcPr>
          <w:p w14:paraId="09930B4C" w14:textId="77777777" w:rsidR="00CA282D" w:rsidRPr="00894701" w:rsidRDefault="00CA282D" w:rsidP="00446B8D">
            <w:pPr>
              <w:spacing w:after="0" w:line="240" w:lineRule="auto"/>
              <w:ind w:left="83"/>
              <w:rPr>
                <w:rFonts w:asciiTheme="minorHAnsi" w:hAnsiTheme="minorHAnsi"/>
                <w:color w:val="010302"/>
                <w:kern w:val="0"/>
                <w:szCs w:val="18"/>
                <w:lang w:val="en-GB"/>
              </w:rPr>
            </w:pPr>
            <w:r w:rsidRPr="00894701">
              <w:rPr>
                <w:rFonts w:asciiTheme="minorHAnsi" w:hAnsiTheme="minorHAnsi" w:cs="TrebuchetMS-Bold"/>
                <w:b/>
                <w:bCs/>
                <w:color w:val="000000"/>
                <w:kern w:val="0"/>
                <w:szCs w:val="18"/>
              </w:rPr>
              <w:t xml:space="preserve">Rosebel Gold Mines N.V. </w:t>
            </w:r>
          </w:p>
        </w:tc>
        <w:tc>
          <w:tcPr>
            <w:tcW w:w="6199" w:type="dxa"/>
            <w:gridSpan w:val="3"/>
            <w:tcBorders>
              <w:top w:val="single" w:sz="4" w:space="0" w:color="F65275"/>
              <w:left w:val="single" w:sz="4" w:space="0" w:color="F65275"/>
              <w:bottom w:val="single" w:sz="4" w:space="0" w:color="F65275"/>
              <w:right w:val="single" w:sz="4" w:space="0" w:color="F65275"/>
            </w:tcBorders>
          </w:tcPr>
          <w:p w14:paraId="6925139C" w14:textId="77777777" w:rsidR="00CA282D" w:rsidRPr="00894701" w:rsidRDefault="00CA282D" w:rsidP="00446B8D">
            <w:pPr>
              <w:spacing w:after="0" w:line="240" w:lineRule="auto"/>
              <w:ind w:firstLine="113"/>
              <w:jc w:val="both"/>
              <w:rPr>
                <w:rFonts w:asciiTheme="minorHAnsi" w:hAnsiTheme="minorHAnsi"/>
                <w:color w:val="010302"/>
                <w:kern w:val="0"/>
                <w:szCs w:val="18"/>
                <w:lang w:val="en-GB"/>
              </w:rPr>
            </w:pPr>
            <w:r w:rsidRPr="00894701">
              <w:rPr>
                <w:rFonts w:asciiTheme="minorHAnsi" w:hAnsiTheme="minorHAnsi" w:cs="TrebuchetMS"/>
                <w:color w:val="000000"/>
                <w:spacing w:val="-10"/>
                <w:kern w:val="0"/>
                <w:szCs w:val="18"/>
              </w:rPr>
              <w:t>A</w:t>
            </w:r>
            <w:r w:rsidRPr="00894701">
              <w:rPr>
                <w:rFonts w:asciiTheme="minorHAnsi" w:hAnsiTheme="minorHAnsi" w:cs="TrebuchetMS"/>
                <w:color w:val="000000"/>
                <w:kern w:val="0"/>
                <w:szCs w:val="18"/>
              </w:rPr>
              <w:t xml:space="preserve"> 5% non-paid shareholding in Rosebel Gold Mines N.V. </w:t>
            </w:r>
          </w:p>
        </w:tc>
      </w:tr>
      <w:tr w:rsidR="00CA282D" w:rsidRPr="00894701" w14:paraId="246BB531" w14:textId="77777777" w:rsidTr="00446B8D">
        <w:trPr>
          <w:trHeight w:val="328"/>
        </w:trPr>
        <w:tc>
          <w:tcPr>
            <w:tcW w:w="2813" w:type="dxa"/>
            <w:tcBorders>
              <w:top w:val="single" w:sz="4" w:space="0" w:color="F65275"/>
              <w:left w:val="single" w:sz="4" w:space="0" w:color="F65275"/>
              <w:bottom w:val="nil"/>
              <w:right w:val="single" w:sz="4" w:space="0" w:color="F65275"/>
            </w:tcBorders>
            <w:shd w:val="clear" w:color="auto" w:fill="F7A3B0"/>
            <w:vAlign w:val="center"/>
          </w:tcPr>
          <w:p w14:paraId="76977BC1" w14:textId="77777777" w:rsidR="00CA282D" w:rsidRPr="00894701" w:rsidRDefault="00CA282D" w:rsidP="00446B8D">
            <w:pPr>
              <w:spacing w:after="0" w:line="240" w:lineRule="auto"/>
              <w:rPr>
                <w:rFonts w:asciiTheme="minorHAnsi" w:hAnsiTheme="minorHAnsi"/>
                <w:b/>
                <w:bCs/>
                <w:color w:val="auto"/>
                <w:kern w:val="0"/>
                <w:szCs w:val="18"/>
                <w:lang w:val="en-GB"/>
              </w:rPr>
            </w:pPr>
            <w:r w:rsidRPr="00894701">
              <w:rPr>
                <w:rFonts w:asciiTheme="minorHAnsi" w:hAnsiTheme="minorHAnsi"/>
                <w:b/>
                <w:bCs/>
                <w:color w:val="auto"/>
                <w:kern w:val="0"/>
                <w:szCs w:val="18"/>
              </w:rPr>
              <w:t xml:space="preserve">Suriname Gold Project CV </w:t>
            </w:r>
          </w:p>
        </w:tc>
        <w:tc>
          <w:tcPr>
            <w:tcW w:w="112" w:type="dxa"/>
            <w:tcBorders>
              <w:top w:val="single" w:sz="4" w:space="0" w:color="F65275"/>
              <w:left w:val="single" w:sz="4" w:space="0" w:color="F65275"/>
              <w:bottom w:val="nil"/>
              <w:right w:val="nil"/>
            </w:tcBorders>
            <w:shd w:val="clear" w:color="auto" w:fill="F7A3B0"/>
          </w:tcPr>
          <w:p w14:paraId="2C738357" w14:textId="77777777" w:rsidR="00CA282D" w:rsidRPr="00894701" w:rsidRDefault="00CA282D" w:rsidP="00446B8D">
            <w:pPr>
              <w:spacing w:after="0" w:line="240" w:lineRule="auto"/>
              <w:rPr>
                <w:rFonts w:asciiTheme="minorHAnsi" w:hAnsiTheme="minorHAnsi"/>
                <w:color w:val="000000"/>
                <w:kern w:val="0"/>
                <w:szCs w:val="18"/>
                <w:lang w:val="en-GB"/>
              </w:rPr>
            </w:pPr>
          </w:p>
        </w:tc>
        <w:tc>
          <w:tcPr>
            <w:tcW w:w="5983" w:type="dxa"/>
            <w:tcBorders>
              <w:top w:val="single" w:sz="4" w:space="0" w:color="F65275"/>
              <w:left w:val="nil"/>
              <w:bottom w:val="nil"/>
              <w:right w:val="nil"/>
            </w:tcBorders>
            <w:shd w:val="clear" w:color="auto" w:fill="F7A3B0"/>
          </w:tcPr>
          <w:p w14:paraId="66826D8E" w14:textId="0887D096" w:rsidR="00CA282D" w:rsidRPr="00894701" w:rsidRDefault="00CA282D" w:rsidP="00446B8D">
            <w:pPr>
              <w:spacing w:before="126" w:after="0" w:line="240" w:lineRule="auto"/>
              <w:jc w:val="both"/>
              <w:rPr>
                <w:rFonts w:asciiTheme="minorHAnsi" w:hAnsiTheme="minorHAnsi"/>
                <w:color w:val="010302"/>
                <w:kern w:val="0"/>
                <w:szCs w:val="18"/>
                <w:lang w:val="en-GB"/>
              </w:rPr>
            </w:pPr>
            <w:r w:rsidRPr="00894701">
              <w:rPr>
                <w:rFonts w:asciiTheme="minorHAnsi" w:hAnsiTheme="minorHAnsi"/>
                <w:color w:val="010302"/>
                <w:kern w:val="0"/>
                <w:szCs w:val="18"/>
              </w:rPr>
              <w:t xml:space="preserve">Newmont Suriname LLC, (previously known as Suriname Gold Company LLC), a fully- owned subsidiary of Newmont Mining Corporation, operates the mine on behalf of Suriname Gold Project CV, a Suriname limited partnership (the “CV”). Newmont Suriname is the managing partner, owning 75% interest in the limited partnership, and Staatsolie Maatschappij Suriname N.V., the limited partner, owns the remaining 25% interest. </w:t>
            </w:r>
          </w:p>
        </w:tc>
        <w:tc>
          <w:tcPr>
            <w:tcW w:w="104" w:type="dxa"/>
            <w:tcBorders>
              <w:top w:val="single" w:sz="4" w:space="0" w:color="F65275"/>
              <w:left w:val="nil"/>
              <w:bottom w:val="nil"/>
              <w:right w:val="single" w:sz="4" w:space="0" w:color="F65275"/>
            </w:tcBorders>
            <w:shd w:val="clear" w:color="auto" w:fill="F7A3B0"/>
          </w:tcPr>
          <w:p w14:paraId="34B1CF55" w14:textId="77777777" w:rsidR="00CA282D" w:rsidRPr="00894701" w:rsidRDefault="00CA282D" w:rsidP="00446B8D">
            <w:pPr>
              <w:spacing w:before="126" w:after="0" w:line="208" w:lineRule="exact"/>
              <w:ind w:right="-26"/>
              <w:rPr>
                <w:rFonts w:asciiTheme="minorHAnsi" w:hAnsiTheme="minorHAnsi"/>
                <w:color w:val="010302"/>
                <w:kern w:val="0"/>
                <w:szCs w:val="18"/>
                <w:lang w:val="en-GB"/>
              </w:rPr>
            </w:pPr>
            <w:r w:rsidRPr="00894701">
              <w:rPr>
                <w:rFonts w:asciiTheme="minorHAnsi" w:hAnsiTheme="minorHAnsi" w:cs="TrebuchetMS"/>
                <w:color w:val="000000"/>
                <w:kern w:val="0"/>
                <w:szCs w:val="18"/>
              </w:rPr>
              <w:t xml:space="preserve"> </w:t>
            </w:r>
            <w:r w:rsidRPr="00894701">
              <w:rPr>
                <w:rFonts w:asciiTheme="minorHAnsi" w:hAnsiTheme="minorHAnsi"/>
                <w:color w:val="auto"/>
                <w:kern w:val="0"/>
                <w:szCs w:val="18"/>
              </w:rPr>
              <w:br w:type="textWrapping" w:clear="all"/>
            </w:r>
            <w:r w:rsidRPr="00894701">
              <w:rPr>
                <w:rFonts w:asciiTheme="minorHAnsi" w:hAnsiTheme="minorHAnsi" w:cs="TrebuchetMS"/>
                <w:color w:val="000000"/>
                <w:kern w:val="0"/>
                <w:szCs w:val="18"/>
              </w:rPr>
              <w:t xml:space="preserve"> </w:t>
            </w:r>
            <w:r w:rsidRPr="00894701">
              <w:rPr>
                <w:rFonts w:asciiTheme="minorHAnsi" w:hAnsiTheme="minorHAnsi"/>
                <w:color w:val="auto"/>
                <w:kern w:val="0"/>
                <w:szCs w:val="18"/>
              </w:rPr>
              <w:br w:type="textWrapping" w:clear="all"/>
            </w:r>
            <w:r w:rsidRPr="00894701">
              <w:rPr>
                <w:rFonts w:asciiTheme="minorHAnsi" w:hAnsiTheme="minorHAnsi" w:cs="TrebuchetMS"/>
                <w:color w:val="000000"/>
                <w:kern w:val="0"/>
                <w:szCs w:val="18"/>
              </w:rPr>
              <w:t xml:space="preserve"> </w:t>
            </w:r>
            <w:r w:rsidRPr="00894701">
              <w:rPr>
                <w:rFonts w:asciiTheme="minorHAnsi" w:hAnsiTheme="minorHAnsi"/>
                <w:color w:val="auto"/>
                <w:kern w:val="0"/>
                <w:szCs w:val="18"/>
              </w:rPr>
              <w:br w:type="textWrapping" w:clear="all"/>
            </w:r>
            <w:r w:rsidRPr="00894701">
              <w:rPr>
                <w:rFonts w:asciiTheme="minorHAnsi" w:hAnsiTheme="minorHAnsi" w:cs="TrebuchetMS"/>
                <w:color w:val="000000"/>
                <w:kern w:val="0"/>
                <w:szCs w:val="18"/>
              </w:rPr>
              <w:t xml:space="preserve"> </w:t>
            </w:r>
            <w:r w:rsidRPr="00894701">
              <w:rPr>
                <w:rFonts w:asciiTheme="minorHAnsi" w:hAnsiTheme="minorHAnsi"/>
                <w:color w:val="auto"/>
                <w:kern w:val="0"/>
                <w:szCs w:val="18"/>
              </w:rPr>
              <w:br w:type="textWrapping" w:clear="all"/>
            </w:r>
            <w:r w:rsidRPr="00894701">
              <w:rPr>
                <w:rFonts w:asciiTheme="minorHAnsi" w:hAnsiTheme="minorHAnsi" w:cs="TrebuchetMS"/>
                <w:color w:val="000000"/>
                <w:kern w:val="0"/>
                <w:szCs w:val="18"/>
              </w:rPr>
              <w:t xml:space="preserve"> </w:t>
            </w:r>
            <w:r w:rsidRPr="00894701">
              <w:rPr>
                <w:rFonts w:asciiTheme="minorHAnsi" w:hAnsiTheme="minorHAnsi"/>
                <w:color w:val="auto"/>
                <w:kern w:val="0"/>
                <w:szCs w:val="18"/>
              </w:rPr>
              <w:br w:type="textWrapping" w:clear="all"/>
            </w:r>
            <w:r w:rsidRPr="00894701">
              <w:rPr>
                <w:rFonts w:asciiTheme="minorHAnsi" w:hAnsiTheme="minorHAnsi" w:cs="TrebuchetMS"/>
                <w:color w:val="000000"/>
                <w:kern w:val="0"/>
                <w:szCs w:val="18"/>
              </w:rPr>
              <w:t xml:space="preserve"> </w:t>
            </w:r>
          </w:p>
        </w:tc>
      </w:tr>
      <w:tr w:rsidR="00CA282D" w:rsidRPr="00894701" w14:paraId="522A3F67" w14:textId="77777777" w:rsidTr="00446B8D">
        <w:trPr>
          <w:trHeight w:val="239"/>
        </w:trPr>
        <w:tc>
          <w:tcPr>
            <w:tcW w:w="2813" w:type="dxa"/>
            <w:tcBorders>
              <w:top w:val="single" w:sz="4" w:space="0" w:color="F65275"/>
              <w:left w:val="single" w:sz="4" w:space="0" w:color="F65275"/>
              <w:bottom w:val="nil"/>
              <w:right w:val="single" w:sz="4" w:space="0" w:color="F65275"/>
            </w:tcBorders>
            <w:shd w:val="clear" w:color="auto" w:fill="auto"/>
            <w:vAlign w:val="center"/>
          </w:tcPr>
          <w:p w14:paraId="7EA190E4" w14:textId="77777777" w:rsidR="00CA282D" w:rsidRPr="00894701" w:rsidRDefault="00CA282D" w:rsidP="00446B8D">
            <w:pPr>
              <w:spacing w:before="9" w:after="0" w:line="120" w:lineRule="exact"/>
              <w:ind w:left="83"/>
              <w:rPr>
                <w:rFonts w:asciiTheme="minorHAnsi" w:hAnsiTheme="minorHAnsi"/>
                <w:color w:val="010302"/>
                <w:kern w:val="0"/>
                <w:szCs w:val="18"/>
                <w:lang w:val="en-GB"/>
              </w:rPr>
            </w:pPr>
            <w:r w:rsidRPr="00894701">
              <w:rPr>
                <w:rFonts w:asciiTheme="minorHAnsi" w:hAnsiTheme="minorHAnsi" w:cs="TrebuchetMS-Bold"/>
                <w:b/>
                <w:bCs/>
                <w:color w:val="000000"/>
                <w:kern w:val="0"/>
                <w:szCs w:val="18"/>
              </w:rPr>
              <w:t>N.</w:t>
            </w:r>
            <w:r w:rsidRPr="00894701">
              <w:rPr>
                <w:rFonts w:asciiTheme="minorHAnsi" w:hAnsiTheme="minorHAnsi" w:cs="TrebuchetMS-Bold"/>
                <w:b/>
                <w:bCs/>
                <w:color w:val="000000"/>
                <w:spacing w:val="-16"/>
                <w:kern w:val="0"/>
                <w:szCs w:val="18"/>
              </w:rPr>
              <w:t>V</w:t>
            </w:r>
            <w:r w:rsidRPr="00894701">
              <w:rPr>
                <w:rFonts w:asciiTheme="minorHAnsi" w:hAnsiTheme="minorHAnsi" w:cs="TrebuchetMS-Bold"/>
                <w:b/>
                <w:bCs/>
                <w:color w:val="000000"/>
                <w:kern w:val="0"/>
                <w:szCs w:val="18"/>
              </w:rPr>
              <w:t>. 1</w:t>
            </w:r>
            <w:r w:rsidRPr="00894701">
              <w:rPr>
                <w:rFonts w:asciiTheme="minorHAnsi" w:hAnsiTheme="minorHAnsi" w:cs="Trebuchet-BoldItalic"/>
                <w:b/>
                <w:bCs/>
                <w:i/>
                <w:iCs/>
                <w:color w:val="000000"/>
                <w:kern w:val="0"/>
                <w:szCs w:val="18"/>
              </w:rPr>
              <w:t xml:space="preserve"> </w:t>
            </w:r>
          </w:p>
        </w:tc>
        <w:tc>
          <w:tcPr>
            <w:tcW w:w="112" w:type="dxa"/>
            <w:tcBorders>
              <w:top w:val="single" w:sz="4" w:space="0" w:color="F65275"/>
              <w:left w:val="single" w:sz="4" w:space="0" w:color="F65275"/>
              <w:bottom w:val="nil"/>
              <w:right w:val="nil"/>
            </w:tcBorders>
            <w:shd w:val="clear" w:color="auto" w:fill="auto"/>
          </w:tcPr>
          <w:p w14:paraId="17406C92" w14:textId="77777777" w:rsidR="00CA282D" w:rsidRPr="00894701" w:rsidRDefault="00CA282D" w:rsidP="00446B8D">
            <w:pPr>
              <w:spacing w:after="0" w:line="240" w:lineRule="auto"/>
              <w:rPr>
                <w:rFonts w:asciiTheme="minorHAnsi" w:hAnsiTheme="minorHAnsi"/>
                <w:color w:val="000000"/>
                <w:kern w:val="0"/>
                <w:szCs w:val="18"/>
                <w:lang w:val="en-GB"/>
              </w:rPr>
            </w:pPr>
          </w:p>
        </w:tc>
        <w:tc>
          <w:tcPr>
            <w:tcW w:w="5983" w:type="dxa"/>
            <w:tcBorders>
              <w:top w:val="single" w:sz="4" w:space="0" w:color="F65275"/>
              <w:left w:val="nil"/>
              <w:bottom w:val="nil"/>
              <w:right w:val="nil"/>
            </w:tcBorders>
            <w:shd w:val="clear" w:color="auto" w:fill="auto"/>
          </w:tcPr>
          <w:p w14:paraId="1D91ECB1" w14:textId="77777777" w:rsidR="00CA282D" w:rsidRPr="00894701" w:rsidRDefault="00CA282D" w:rsidP="00446B8D">
            <w:pPr>
              <w:spacing w:before="9" w:after="0" w:line="240" w:lineRule="auto"/>
              <w:jc w:val="both"/>
              <w:rPr>
                <w:rFonts w:asciiTheme="minorHAnsi" w:hAnsiTheme="minorHAnsi"/>
                <w:color w:val="010302"/>
                <w:kern w:val="0"/>
                <w:szCs w:val="18"/>
                <w:lang w:val="en-GB"/>
              </w:rPr>
            </w:pPr>
            <w:r w:rsidRPr="00894701">
              <w:rPr>
                <w:rFonts w:asciiTheme="minorHAnsi" w:hAnsiTheme="minorHAnsi"/>
                <w:color w:val="010302"/>
                <w:kern w:val="0"/>
                <w:szCs w:val="18"/>
              </w:rPr>
              <w:t>98% directly State-owned and 2% through Nationale Ontwikkelingsbank (NOB/National Development Bank) which is a state-owned bank as well.</w:t>
            </w:r>
          </w:p>
        </w:tc>
        <w:tc>
          <w:tcPr>
            <w:tcW w:w="104" w:type="dxa"/>
            <w:tcBorders>
              <w:top w:val="single" w:sz="4" w:space="0" w:color="F65275"/>
              <w:left w:val="nil"/>
              <w:bottom w:val="nil"/>
              <w:right w:val="single" w:sz="4" w:space="0" w:color="F65275"/>
            </w:tcBorders>
            <w:shd w:val="clear" w:color="auto" w:fill="auto"/>
          </w:tcPr>
          <w:p w14:paraId="0231F901" w14:textId="77777777" w:rsidR="00CA282D" w:rsidRPr="00894701" w:rsidRDefault="00CA282D" w:rsidP="00446B8D">
            <w:pPr>
              <w:spacing w:before="9" w:after="0" w:line="120" w:lineRule="exact"/>
              <w:rPr>
                <w:rFonts w:asciiTheme="minorHAnsi" w:hAnsiTheme="minorHAnsi"/>
                <w:color w:val="010302"/>
                <w:kern w:val="0"/>
                <w:szCs w:val="18"/>
                <w:lang w:val="en-GB"/>
              </w:rPr>
            </w:pPr>
            <w:r w:rsidRPr="00894701">
              <w:rPr>
                <w:rFonts w:asciiTheme="minorHAnsi" w:hAnsiTheme="minorHAnsi" w:cs="TrebuchetMS"/>
                <w:color w:val="000000"/>
                <w:kern w:val="0"/>
                <w:position w:val="12"/>
                <w:szCs w:val="18"/>
              </w:rPr>
              <w:t xml:space="preserve"> </w:t>
            </w:r>
          </w:p>
        </w:tc>
      </w:tr>
      <w:tr w:rsidR="00CA282D" w:rsidRPr="00894701" w14:paraId="43E611B5" w14:textId="77777777" w:rsidTr="00446B8D">
        <w:trPr>
          <w:trHeight w:val="239"/>
        </w:trPr>
        <w:tc>
          <w:tcPr>
            <w:tcW w:w="2813" w:type="dxa"/>
            <w:vMerge w:val="restart"/>
            <w:tcBorders>
              <w:top w:val="single" w:sz="4" w:space="0" w:color="F65275"/>
              <w:left w:val="single" w:sz="4" w:space="0" w:color="F65275"/>
              <w:bottom w:val="nil"/>
              <w:right w:val="single" w:sz="4" w:space="0" w:color="F65275"/>
            </w:tcBorders>
            <w:shd w:val="clear" w:color="auto" w:fill="F7A3B0"/>
            <w:vAlign w:val="center"/>
          </w:tcPr>
          <w:p w14:paraId="39CF3A6C" w14:textId="77777777" w:rsidR="00CA282D" w:rsidRPr="00894701" w:rsidRDefault="00CA282D" w:rsidP="00446B8D">
            <w:pPr>
              <w:spacing w:before="9" w:after="0" w:line="120" w:lineRule="exact"/>
              <w:ind w:left="83"/>
              <w:rPr>
                <w:rFonts w:asciiTheme="minorHAnsi" w:hAnsiTheme="minorHAnsi"/>
                <w:color w:val="auto"/>
                <w:kern w:val="0"/>
                <w:szCs w:val="18"/>
                <w:lang w:val="en-GB"/>
              </w:rPr>
            </w:pPr>
            <w:r w:rsidRPr="00894701">
              <w:rPr>
                <w:rFonts w:asciiTheme="minorHAnsi" w:hAnsiTheme="minorHAnsi" w:cs="TrebuchetMS-Bold"/>
                <w:b/>
                <w:bCs/>
                <w:color w:val="000000"/>
                <w:kern w:val="0"/>
                <w:szCs w:val="18"/>
              </w:rPr>
              <w:t>Saramacca project</w:t>
            </w:r>
            <w:r w:rsidRPr="00894701">
              <w:rPr>
                <w:rFonts w:asciiTheme="minorHAnsi" w:hAnsiTheme="minorHAnsi"/>
                <w:color w:val="auto"/>
                <w:kern w:val="0"/>
                <w:szCs w:val="18"/>
              </w:rPr>
              <w:t xml:space="preserve"> </w:t>
            </w:r>
          </w:p>
        </w:tc>
        <w:tc>
          <w:tcPr>
            <w:tcW w:w="112" w:type="dxa"/>
            <w:vMerge w:val="restart"/>
            <w:tcBorders>
              <w:top w:val="single" w:sz="4" w:space="0" w:color="F65275"/>
              <w:left w:val="single" w:sz="4" w:space="0" w:color="F65275"/>
              <w:bottom w:val="nil"/>
              <w:right w:val="nil"/>
            </w:tcBorders>
            <w:shd w:val="clear" w:color="auto" w:fill="F7A3B0"/>
          </w:tcPr>
          <w:p w14:paraId="5E011035" w14:textId="77777777" w:rsidR="00CA282D" w:rsidRPr="00894701" w:rsidRDefault="00CA282D" w:rsidP="00446B8D">
            <w:pPr>
              <w:spacing w:after="0" w:line="240" w:lineRule="auto"/>
              <w:rPr>
                <w:rFonts w:asciiTheme="minorHAnsi" w:hAnsiTheme="minorHAnsi"/>
                <w:color w:val="000000"/>
                <w:kern w:val="0"/>
                <w:szCs w:val="18"/>
                <w:lang w:val="en-GB"/>
              </w:rPr>
            </w:pPr>
          </w:p>
        </w:tc>
        <w:tc>
          <w:tcPr>
            <w:tcW w:w="5983" w:type="dxa"/>
            <w:tcBorders>
              <w:top w:val="single" w:sz="4" w:space="0" w:color="F65275"/>
              <w:left w:val="nil"/>
              <w:bottom w:val="nil"/>
              <w:right w:val="nil"/>
            </w:tcBorders>
            <w:shd w:val="clear" w:color="auto" w:fill="F7A3B0"/>
          </w:tcPr>
          <w:p w14:paraId="69D7AC53" w14:textId="4F3B69E4" w:rsidR="00CA282D" w:rsidRPr="00894701" w:rsidRDefault="00CA282D" w:rsidP="00446B8D">
            <w:pPr>
              <w:spacing w:after="0" w:line="240" w:lineRule="auto"/>
              <w:jc w:val="both"/>
              <w:rPr>
                <w:rFonts w:asciiTheme="minorHAnsi" w:hAnsiTheme="minorHAnsi"/>
                <w:color w:val="010302"/>
                <w:kern w:val="0"/>
                <w:szCs w:val="18"/>
                <w:lang w:val="en-GB"/>
              </w:rPr>
            </w:pPr>
            <w:r w:rsidRPr="00894701">
              <w:rPr>
                <w:rFonts w:asciiTheme="minorHAnsi" w:hAnsiTheme="minorHAnsi"/>
                <w:color w:val="010302"/>
                <w:kern w:val="0"/>
                <w:szCs w:val="18"/>
              </w:rPr>
              <w:t>A new Unincorporated Joint Venture (UJV) was created, the Pikin Saramacca project, in which the Surinamese Government holds a</w:t>
            </w:r>
            <w:r w:rsidR="00AB6CFA" w:rsidRPr="00894701">
              <w:rPr>
                <w:rFonts w:asciiTheme="minorHAnsi" w:hAnsiTheme="minorHAnsi"/>
                <w:color w:val="010302"/>
                <w:kern w:val="0"/>
                <w:szCs w:val="18"/>
              </w:rPr>
              <w:t xml:space="preserve"> </w:t>
            </w:r>
            <w:r w:rsidRPr="00894701">
              <w:rPr>
                <w:rFonts w:asciiTheme="minorHAnsi" w:hAnsiTheme="minorHAnsi"/>
                <w:color w:val="010302"/>
                <w:kern w:val="0"/>
                <w:szCs w:val="18"/>
              </w:rPr>
              <w:t>participatin</w:t>
            </w:r>
            <w:r w:rsidR="00680A13" w:rsidRPr="00894701">
              <w:rPr>
                <w:rFonts w:asciiTheme="minorHAnsi" w:hAnsiTheme="minorHAnsi"/>
                <w:color w:val="010302"/>
                <w:kern w:val="0"/>
                <w:szCs w:val="18"/>
              </w:rPr>
              <w:t>g</w:t>
            </w:r>
            <w:r w:rsidRPr="00894701">
              <w:rPr>
                <w:rFonts w:asciiTheme="minorHAnsi" w:hAnsiTheme="minorHAnsi"/>
                <w:color w:val="010302"/>
                <w:kern w:val="0"/>
                <w:szCs w:val="18"/>
              </w:rPr>
              <w:t xml:space="preserve"> </w:t>
            </w:r>
            <w:r w:rsidR="00AB6CFA" w:rsidRPr="00894701">
              <w:rPr>
                <w:rFonts w:asciiTheme="minorHAnsi" w:hAnsiTheme="minorHAnsi"/>
                <w:color w:val="010302"/>
                <w:kern w:val="0"/>
                <w:szCs w:val="18"/>
              </w:rPr>
              <w:t xml:space="preserve">interest </w:t>
            </w:r>
            <w:r w:rsidRPr="00894701">
              <w:rPr>
                <w:rFonts w:asciiTheme="minorHAnsi" w:hAnsiTheme="minorHAnsi"/>
                <w:color w:val="010302"/>
                <w:kern w:val="0"/>
                <w:szCs w:val="18"/>
              </w:rPr>
              <w:t>of 30% and Rosebel 70%. Staatsolie Maatschappij Suriname NV was designated by the Republic of Suriname as the entity to hold its undivided 30% Participating Interest in the UJV, which was signed on 22 April 2020.</w:t>
            </w:r>
          </w:p>
          <w:p w14:paraId="11FADBA6" w14:textId="77777777" w:rsidR="00CA282D" w:rsidRPr="00894701" w:rsidRDefault="00CA282D" w:rsidP="00446B8D">
            <w:pPr>
              <w:spacing w:after="0" w:line="240" w:lineRule="auto"/>
              <w:jc w:val="both"/>
              <w:rPr>
                <w:rFonts w:asciiTheme="minorHAnsi" w:hAnsiTheme="minorHAnsi"/>
                <w:color w:val="010302"/>
                <w:kern w:val="0"/>
                <w:szCs w:val="18"/>
                <w:lang w:val="en-GB"/>
              </w:rPr>
            </w:pPr>
            <w:r w:rsidRPr="00894701">
              <w:rPr>
                <w:rFonts w:asciiTheme="minorHAnsi" w:hAnsiTheme="minorHAnsi"/>
                <w:color w:val="010302"/>
                <w:kern w:val="0"/>
                <w:szCs w:val="18"/>
              </w:rPr>
              <w:t xml:space="preserve">With this expansion, the projected Life of Mine (LOM) has been increased to 2033. </w:t>
            </w:r>
          </w:p>
        </w:tc>
        <w:tc>
          <w:tcPr>
            <w:tcW w:w="104" w:type="dxa"/>
            <w:vMerge w:val="restart"/>
            <w:tcBorders>
              <w:top w:val="single" w:sz="4" w:space="0" w:color="F65275"/>
              <w:left w:val="nil"/>
              <w:bottom w:val="nil"/>
              <w:right w:val="single" w:sz="4" w:space="0" w:color="F65275"/>
            </w:tcBorders>
            <w:shd w:val="clear" w:color="auto" w:fill="F7A3B0"/>
          </w:tcPr>
          <w:p w14:paraId="5FC92D92" w14:textId="77777777" w:rsidR="00CA282D" w:rsidRPr="00894701" w:rsidRDefault="00CA282D" w:rsidP="00446B8D">
            <w:pPr>
              <w:spacing w:after="0" w:line="240" w:lineRule="exact"/>
              <w:ind w:right="-28"/>
              <w:rPr>
                <w:rFonts w:asciiTheme="minorHAnsi" w:hAnsiTheme="minorHAnsi"/>
                <w:color w:val="010302"/>
                <w:kern w:val="0"/>
                <w:szCs w:val="18"/>
                <w:lang w:val="en-GB"/>
              </w:rPr>
            </w:pPr>
            <w:r w:rsidRPr="00894701">
              <w:rPr>
                <w:rFonts w:asciiTheme="minorHAnsi" w:hAnsiTheme="minorHAnsi" w:cs="TrebuchetMS"/>
                <w:color w:val="000000"/>
                <w:kern w:val="0"/>
                <w:szCs w:val="18"/>
              </w:rPr>
              <w:t xml:space="preserve"> </w:t>
            </w:r>
            <w:r w:rsidRPr="00894701">
              <w:rPr>
                <w:rFonts w:asciiTheme="minorHAnsi" w:hAnsiTheme="minorHAnsi"/>
                <w:color w:val="auto"/>
                <w:kern w:val="0"/>
                <w:szCs w:val="18"/>
              </w:rPr>
              <w:br w:type="textWrapping" w:clear="all"/>
            </w:r>
            <w:r w:rsidRPr="00894701">
              <w:rPr>
                <w:rFonts w:asciiTheme="minorHAnsi" w:hAnsiTheme="minorHAnsi" w:cs="TrebuchetMS"/>
                <w:color w:val="000000"/>
                <w:kern w:val="0"/>
                <w:szCs w:val="18"/>
              </w:rPr>
              <w:t xml:space="preserve"> </w:t>
            </w:r>
            <w:r w:rsidRPr="00894701">
              <w:rPr>
                <w:rFonts w:asciiTheme="minorHAnsi" w:hAnsiTheme="minorHAnsi"/>
                <w:color w:val="auto"/>
                <w:kern w:val="0"/>
                <w:szCs w:val="18"/>
              </w:rPr>
              <w:br w:type="textWrapping" w:clear="all"/>
            </w:r>
            <w:r w:rsidRPr="00894701">
              <w:rPr>
                <w:rFonts w:asciiTheme="minorHAnsi" w:hAnsiTheme="minorHAnsi" w:cs="TrebuchetMS"/>
                <w:color w:val="000000"/>
                <w:kern w:val="0"/>
                <w:szCs w:val="18"/>
              </w:rPr>
              <w:t xml:space="preserve"> </w:t>
            </w:r>
            <w:r w:rsidRPr="00894701">
              <w:rPr>
                <w:rFonts w:asciiTheme="minorHAnsi" w:hAnsiTheme="minorHAnsi"/>
                <w:color w:val="auto"/>
                <w:kern w:val="0"/>
                <w:szCs w:val="18"/>
              </w:rPr>
              <w:br w:type="textWrapping" w:clear="all"/>
            </w:r>
            <w:r w:rsidRPr="00894701">
              <w:rPr>
                <w:rFonts w:asciiTheme="minorHAnsi" w:hAnsiTheme="minorHAnsi" w:cs="TrebuchetMS"/>
                <w:color w:val="000000"/>
                <w:kern w:val="0"/>
                <w:szCs w:val="18"/>
              </w:rPr>
              <w:t xml:space="preserve"> </w:t>
            </w:r>
            <w:r w:rsidRPr="00894701">
              <w:rPr>
                <w:rFonts w:asciiTheme="minorHAnsi" w:hAnsiTheme="minorHAnsi"/>
                <w:color w:val="auto"/>
                <w:kern w:val="0"/>
                <w:szCs w:val="18"/>
              </w:rPr>
              <w:br w:type="textWrapping" w:clear="all"/>
            </w:r>
            <w:r w:rsidRPr="00894701">
              <w:rPr>
                <w:rFonts w:asciiTheme="minorHAnsi" w:hAnsiTheme="minorHAnsi" w:cs="TrebuchetMS"/>
                <w:color w:val="000000"/>
                <w:kern w:val="0"/>
                <w:szCs w:val="18"/>
              </w:rPr>
              <w:t xml:space="preserve"> </w:t>
            </w:r>
            <w:r w:rsidRPr="00894701">
              <w:rPr>
                <w:rFonts w:asciiTheme="minorHAnsi" w:hAnsiTheme="minorHAnsi"/>
                <w:color w:val="auto"/>
                <w:kern w:val="0"/>
                <w:szCs w:val="18"/>
              </w:rPr>
              <w:br w:type="textWrapping" w:clear="all"/>
            </w:r>
            <w:r w:rsidRPr="00894701">
              <w:rPr>
                <w:rFonts w:asciiTheme="minorHAnsi" w:hAnsiTheme="minorHAnsi" w:cs="TrebuchetMS"/>
                <w:color w:val="000000"/>
                <w:kern w:val="0"/>
                <w:szCs w:val="18"/>
              </w:rPr>
              <w:t xml:space="preserve"> </w:t>
            </w:r>
          </w:p>
        </w:tc>
      </w:tr>
      <w:tr w:rsidR="00CA282D" w:rsidRPr="00894701" w14:paraId="204E042C" w14:textId="77777777" w:rsidTr="00446B8D">
        <w:trPr>
          <w:trHeight w:val="240"/>
        </w:trPr>
        <w:tc>
          <w:tcPr>
            <w:tcW w:w="2813" w:type="dxa"/>
            <w:vMerge/>
            <w:tcBorders>
              <w:top w:val="nil"/>
              <w:left w:val="single" w:sz="4" w:space="0" w:color="F65275"/>
              <w:bottom w:val="nil"/>
              <w:right w:val="single" w:sz="4" w:space="0" w:color="F65275"/>
            </w:tcBorders>
            <w:shd w:val="clear" w:color="auto" w:fill="F7A3B0"/>
          </w:tcPr>
          <w:p w14:paraId="6C421428" w14:textId="77777777" w:rsidR="00CA282D" w:rsidRPr="00894701" w:rsidRDefault="00CA282D" w:rsidP="00446B8D">
            <w:pPr>
              <w:spacing w:after="0" w:line="240" w:lineRule="auto"/>
              <w:rPr>
                <w:rFonts w:asciiTheme="minorHAnsi" w:hAnsiTheme="minorHAnsi"/>
                <w:color w:val="auto"/>
                <w:kern w:val="0"/>
                <w:szCs w:val="18"/>
                <w:lang w:val="en-GB"/>
              </w:rPr>
            </w:pPr>
          </w:p>
        </w:tc>
        <w:tc>
          <w:tcPr>
            <w:tcW w:w="112" w:type="dxa"/>
            <w:vMerge/>
            <w:tcBorders>
              <w:top w:val="nil"/>
              <w:left w:val="single" w:sz="4" w:space="0" w:color="F65275"/>
              <w:bottom w:val="nil"/>
              <w:right w:val="nil"/>
            </w:tcBorders>
            <w:shd w:val="clear" w:color="auto" w:fill="F7A3B0"/>
          </w:tcPr>
          <w:p w14:paraId="3E0C46B5" w14:textId="77777777" w:rsidR="00CA282D" w:rsidRPr="00894701" w:rsidRDefault="00CA282D" w:rsidP="00446B8D">
            <w:pPr>
              <w:spacing w:after="0" w:line="240" w:lineRule="auto"/>
              <w:rPr>
                <w:rFonts w:asciiTheme="minorHAnsi" w:hAnsiTheme="minorHAnsi"/>
                <w:color w:val="000000"/>
                <w:kern w:val="0"/>
                <w:szCs w:val="18"/>
                <w:lang w:val="en-GB"/>
              </w:rPr>
            </w:pPr>
          </w:p>
        </w:tc>
        <w:tc>
          <w:tcPr>
            <w:tcW w:w="5983" w:type="dxa"/>
            <w:tcBorders>
              <w:top w:val="nil"/>
              <w:left w:val="nil"/>
              <w:bottom w:val="nil"/>
              <w:right w:val="nil"/>
            </w:tcBorders>
            <w:shd w:val="clear" w:color="auto" w:fill="F7A3B0"/>
          </w:tcPr>
          <w:p w14:paraId="7801511D" w14:textId="77777777" w:rsidR="00CA282D" w:rsidRPr="00894701" w:rsidRDefault="00CA282D" w:rsidP="00446B8D">
            <w:pPr>
              <w:spacing w:after="0" w:line="240" w:lineRule="auto"/>
              <w:jc w:val="both"/>
              <w:rPr>
                <w:rFonts w:asciiTheme="minorHAnsi" w:hAnsiTheme="minorHAnsi"/>
                <w:color w:val="010302"/>
                <w:kern w:val="0"/>
                <w:szCs w:val="18"/>
                <w:lang w:val="en-GB"/>
              </w:rPr>
            </w:pPr>
          </w:p>
        </w:tc>
        <w:tc>
          <w:tcPr>
            <w:tcW w:w="104" w:type="dxa"/>
            <w:vMerge/>
            <w:tcBorders>
              <w:top w:val="nil"/>
              <w:left w:val="nil"/>
              <w:bottom w:val="nil"/>
              <w:right w:val="single" w:sz="4" w:space="0" w:color="F65275"/>
            </w:tcBorders>
            <w:shd w:val="clear" w:color="auto" w:fill="F7A3B0"/>
          </w:tcPr>
          <w:p w14:paraId="6591AAB0" w14:textId="77777777" w:rsidR="00CA282D" w:rsidRPr="00894701" w:rsidRDefault="00CA282D" w:rsidP="00446B8D">
            <w:pPr>
              <w:spacing w:after="0" w:line="240" w:lineRule="auto"/>
              <w:rPr>
                <w:rFonts w:asciiTheme="minorHAnsi" w:hAnsiTheme="minorHAnsi"/>
                <w:color w:val="000000"/>
                <w:kern w:val="0"/>
                <w:szCs w:val="18"/>
                <w:lang w:val="en-GB"/>
              </w:rPr>
            </w:pPr>
          </w:p>
        </w:tc>
      </w:tr>
    </w:tbl>
    <w:p w14:paraId="6C02C47A" w14:textId="77777777" w:rsidR="00CA282D" w:rsidRPr="00894701" w:rsidRDefault="00CA282D" w:rsidP="008F7932">
      <w:pPr>
        <w:spacing w:before="120" w:after="0" w:line="260" w:lineRule="exact"/>
        <w:jc w:val="both"/>
        <w:rPr>
          <w:rFonts w:asciiTheme="minorHAnsi" w:hAnsiTheme="minorHAnsi" w:cs="TrebuchetMS"/>
          <w:color w:val="auto"/>
          <w:sz w:val="20"/>
          <w:szCs w:val="20"/>
        </w:rPr>
      </w:pPr>
    </w:p>
    <w:p w14:paraId="41387AE0" w14:textId="1D3E574A" w:rsidR="00CA282D" w:rsidRPr="00894701" w:rsidRDefault="00CA282D" w:rsidP="008F7932">
      <w:pPr>
        <w:spacing w:line="260" w:lineRule="exact"/>
        <w:jc w:val="both"/>
        <w:rPr>
          <w:rFonts w:asciiTheme="minorHAnsi" w:hAnsiTheme="minorHAnsi" w:cs="TrebuchetMS"/>
          <w:color w:val="auto"/>
          <w:sz w:val="20"/>
          <w:szCs w:val="20"/>
        </w:rPr>
      </w:pPr>
      <w:r w:rsidRPr="00894701">
        <w:rPr>
          <w:rFonts w:asciiTheme="minorHAnsi" w:hAnsiTheme="minorHAnsi" w:cs="TrebuchetMS"/>
          <w:color w:val="auto"/>
          <w:sz w:val="20"/>
          <w:szCs w:val="20"/>
        </w:rPr>
        <w:t>All listed companies mentioned above operate under the</w:t>
      </w:r>
      <w:r w:rsidR="00DC55CA">
        <w:rPr>
          <w:rFonts w:asciiTheme="minorHAnsi" w:hAnsiTheme="minorHAnsi" w:cs="TrebuchetMS"/>
          <w:color w:val="auto"/>
          <w:sz w:val="20"/>
          <w:szCs w:val="20"/>
        </w:rPr>
        <w:t xml:space="preserve"> common</w:t>
      </w:r>
      <w:r w:rsidRPr="00894701">
        <w:rPr>
          <w:rFonts w:asciiTheme="minorHAnsi" w:hAnsiTheme="minorHAnsi" w:cs="TrebuchetMS"/>
          <w:color w:val="auto"/>
          <w:sz w:val="20"/>
          <w:szCs w:val="20"/>
        </w:rPr>
        <w:t xml:space="preserve"> legal and fiscal framework that applies to all companies. The above companies have a supervisory board, and the supervisory board of the State-owned company are mostly appointees of the Government.  </w:t>
      </w:r>
    </w:p>
    <w:p w14:paraId="2ECEB546" w14:textId="4246A998" w:rsidR="00CA282D" w:rsidRPr="00894701" w:rsidRDefault="00CA282D" w:rsidP="00CA282D">
      <w:pPr>
        <w:widowControl w:val="0"/>
        <w:spacing w:before="100" w:after="0" w:line="227" w:lineRule="exact"/>
        <w:rPr>
          <w:rFonts w:asciiTheme="minorHAnsi" w:eastAsiaTheme="minorHAnsi" w:hAnsiTheme="minorHAnsi" w:cs="TrebuchetMS-Bold"/>
          <w:b/>
          <w:bCs/>
          <w:color w:val="ED1A3B"/>
          <w:kern w:val="0"/>
          <w:sz w:val="20"/>
          <w:szCs w:val="20"/>
          <w:lang w:eastAsia="en-US"/>
        </w:rPr>
      </w:pPr>
      <w:r w:rsidRPr="00894701">
        <w:rPr>
          <w:rFonts w:asciiTheme="minorHAnsi" w:eastAsiaTheme="minorHAnsi" w:hAnsiTheme="minorHAnsi" w:cs="TrebuchetMS-Bold"/>
          <w:b/>
          <w:bCs/>
          <w:color w:val="ED1A3B"/>
          <w:kern w:val="0"/>
          <w:sz w:val="20"/>
          <w:szCs w:val="20"/>
          <w:lang w:eastAsia="en-US"/>
        </w:rPr>
        <w:t xml:space="preserve">Grassalco – The State-Owned </w:t>
      </w:r>
      <w:r w:rsidR="00F24935" w:rsidRPr="00894701">
        <w:rPr>
          <w:rFonts w:asciiTheme="minorHAnsi" w:eastAsiaTheme="minorHAnsi" w:hAnsiTheme="minorHAnsi" w:cs="TrebuchetMS-Bold"/>
          <w:b/>
          <w:bCs/>
          <w:color w:val="ED1A3B"/>
          <w:kern w:val="0"/>
          <w:sz w:val="20"/>
          <w:szCs w:val="20"/>
          <w:lang w:eastAsia="en-US"/>
        </w:rPr>
        <w:t>Enterprise</w:t>
      </w:r>
      <w:r w:rsidRPr="00894701">
        <w:rPr>
          <w:rFonts w:asciiTheme="minorHAnsi" w:eastAsiaTheme="minorHAnsi" w:hAnsiTheme="minorHAnsi" w:cs="TrebuchetMS-Bold"/>
          <w:b/>
          <w:bCs/>
          <w:color w:val="ED1A3B"/>
          <w:kern w:val="0"/>
          <w:sz w:val="20"/>
          <w:szCs w:val="20"/>
          <w:lang w:eastAsia="en-US"/>
        </w:rPr>
        <w:t xml:space="preserve"> in the mining sector </w:t>
      </w:r>
    </w:p>
    <w:p w14:paraId="4B0D065C" w14:textId="77777777" w:rsidR="00CA282D" w:rsidRPr="00894701" w:rsidRDefault="00CA282D" w:rsidP="00CA282D">
      <w:pPr>
        <w:spacing w:before="120" w:line="260" w:lineRule="exact"/>
        <w:jc w:val="both"/>
        <w:rPr>
          <w:rFonts w:asciiTheme="minorHAnsi" w:hAnsiTheme="minorHAnsi" w:cs="TrebuchetMS"/>
          <w:color w:val="auto"/>
          <w:sz w:val="20"/>
          <w:szCs w:val="20"/>
        </w:rPr>
      </w:pPr>
      <w:r w:rsidRPr="00894701">
        <w:rPr>
          <w:rFonts w:asciiTheme="minorHAnsi" w:hAnsiTheme="minorHAnsi" w:cs="TrebuchetMS"/>
          <w:color w:val="auto"/>
          <w:sz w:val="20"/>
          <w:szCs w:val="20"/>
        </w:rPr>
        <w:t xml:space="preserve">N.V. Grassalco, a State-Owned mining company, was founded in 1971 to mine bauxite deposits discovered in the Bakhuis area in West Suriname and further develop West Suriname. </w:t>
      </w:r>
    </w:p>
    <w:p w14:paraId="4DB9DFA6" w14:textId="77777777" w:rsidR="00CA282D" w:rsidRPr="00894701" w:rsidRDefault="00CA282D" w:rsidP="00CA282D">
      <w:pPr>
        <w:spacing w:before="120" w:line="260" w:lineRule="exact"/>
        <w:jc w:val="both"/>
        <w:rPr>
          <w:rFonts w:asciiTheme="minorHAnsi" w:hAnsiTheme="minorHAnsi" w:cs="TrebuchetMS"/>
          <w:color w:val="auto"/>
          <w:sz w:val="20"/>
          <w:szCs w:val="20"/>
        </w:rPr>
      </w:pPr>
      <w:r w:rsidRPr="00894701">
        <w:rPr>
          <w:rFonts w:asciiTheme="minorHAnsi" w:hAnsiTheme="minorHAnsi" w:cs="TrebuchetMS"/>
          <w:color w:val="auto"/>
          <w:sz w:val="20"/>
          <w:szCs w:val="20"/>
        </w:rPr>
        <w:t xml:space="preserve">The original aim of the company upon its establishment in 1971 was to enter into joint ventures with foreign companies to exploit bauxite reserves in the west of the country. Grassalco has since expanded to cover the exploration and exploitation of other minerals and ores, including gold.  </w:t>
      </w:r>
    </w:p>
    <w:p w14:paraId="6EC5B02E" w14:textId="3A908EF9" w:rsidR="00CA282D" w:rsidRDefault="00CA282D" w:rsidP="00CA282D">
      <w:pPr>
        <w:spacing w:before="120" w:line="260" w:lineRule="exact"/>
        <w:jc w:val="both"/>
        <w:rPr>
          <w:rFonts w:asciiTheme="minorHAnsi" w:hAnsiTheme="minorHAnsi" w:cs="TrebuchetMS"/>
          <w:color w:val="auto"/>
          <w:sz w:val="20"/>
          <w:szCs w:val="20"/>
        </w:rPr>
      </w:pPr>
      <w:r w:rsidRPr="00894701">
        <w:rPr>
          <w:rFonts w:asciiTheme="minorHAnsi" w:hAnsiTheme="minorHAnsi" w:cs="TrebuchetMS"/>
          <w:color w:val="auto"/>
          <w:sz w:val="20"/>
          <w:szCs w:val="20"/>
        </w:rPr>
        <w:t xml:space="preserve">The company is one of the parties to the mineral agreement governing Rosebel, as it held the original rights to the concession, and it received a significant portion of its operating budget from royalties derived from the project. The company owns several other mineral concessions (Lely Hills for gold, for example) that impacted its involvement in future exploration and exploitation projects. In 2014, Grassalco began processing tailings at the Maripaston site (formerly an informal small-scale mine site) in an attempt to show operators that gold can be extracted without using mercury. </w:t>
      </w:r>
    </w:p>
    <w:p w14:paraId="55350DD1" w14:textId="7F3C319A" w:rsidR="00BE6008" w:rsidRDefault="00BE6008" w:rsidP="00BE6008">
      <w:pPr>
        <w:spacing w:before="120" w:line="260" w:lineRule="exact"/>
        <w:jc w:val="both"/>
        <w:rPr>
          <w:rFonts w:asciiTheme="minorHAnsi" w:hAnsiTheme="minorHAnsi" w:cs="TrebuchetMS"/>
          <w:color w:val="auto"/>
          <w:sz w:val="20"/>
          <w:szCs w:val="20"/>
        </w:rPr>
      </w:pPr>
      <w:bookmarkStart w:id="232" w:name="_Hlk146366997"/>
      <w:r w:rsidRPr="00BE6008">
        <w:rPr>
          <w:rFonts w:asciiTheme="minorHAnsi" w:hAnsiTheme="minorHAnsi" w:cs="TrebuchetMS"/>
          <w:color w:val="auto"/>
          <w:sz w:val="20"/>
          <w:szCs w:val="20"/>
        </w:rPr>
        <w:t xml:space="preserve">Grassalco </w:t>
      </w:r>
      <w:r>
        <w:rPr>
          <w:rFonts w:asciiTheme="minorHAnsi" w:hAnsiTheme="minorHAnsi" w:cs="TrebuchetMS"/>
          <w:color w:val="auto"/>
          <w:sz w:val="20"/>
          <w:szCs w:val="20"/>
        </w:rPr>
        <w:t xml:space="preserve">was not included </w:t>
      </w:r>
      <w:r w:rsidRPr="00BE6008">
        <w:rPr>
          <w:rFonts w:asciiTheme="minorHAnsi" w:hAnsiTheme="minorHAnsi" w:cs="TrebuchetMS"/>
          <w:color w:val="auto"/>
          <w:sz w:val="20"/>
          <w:szCs w:val="20"/>
        </w:rPr>
        <w:t xml:space="preserve">in the EITI reporting scope </w:t>
      </w:r>
      <w:r>
        <w:rPr>
          <w:rFonts w:asciiTheme="minorHAnsi" w:hAnsiTheme="minorHAnsi" w:cs="TrebuchetMS"/>
          <w:color w:val="auto"/>
          <w:sz w:val="20"/>
          <w:szCs w:val="20"/>
        </w:rPr>
        <w:t>and</w:t>
      </w:r>
      <w:r w:rsidRPr="00BE6008">
        <w:rPr>
          <w:rFonts w:asciiTheme="minorHAnsi" w:hAnsiTheme="minorHAnsi" w:cs="TrebuchetMS"/>
          <w:color w:val="auto"/>
          <w:sz w:val="20"/>
          <w:szCs w:val="20"/>
        </w:rPr>
        <w:t xml:space="preserve"> </w:t>
      </w:r>
      <w:r>
        <w:rPr>
          <w:rFonts w:asciiTheme="minorHAnsi" w:hAnsiTheme="minorHAnsi" w:cs="TrebuchetMS"/>
          <w:color w:val="auto"/>
          <w:sz w:val="20"/>
          <w:szCs w:val="20"/>
        </w:rPr>
        <w:t>all</w:t>
      </w:r>
      <w:r w:rsidRPr="00BE6008">
        <w:rPr>
          <w:rFonts w:asciiTheme="minorHAnsi" w:hAnsiTheme="minorHAnsi" w:cs="TrebuchetMS"/>
          <w:color w:val="auto"/>
          <w:sz w:val="20"/>
          <w:szCs w:val="20"/>
        </w:rPr>
        <w:t xml:space="preserve"> </w:t>
      </w:r>
      <w:r>
        <w:rPr>
          <w:rFonts w:asciiTheme="minorHAnsi" w:hAnsiTheme="minorHAnsi" w:cs="TrebuchetMS"/>
          <w:color w:val="auto"/>
          <w:sz w:val="20"/>
          <w:szCs w:val="20"/>
        </w:rPr>
        <w:t xml:space="preserve">Government </w:t>
      </w:r>
      <w:r w:rsidRPr="00BE6008">
        <w:rPr>
          <w:rFonts w:asciiTheme="minorHAnsi" w:hAnsiTheme="minorHAnsi" w:cs="TrebuchetMS"/>
          <w:color w:val="auto"/>
          <w:sz w:val="20"/>
          <w:szCs w:val="20"/>
        </w:rPr>
        <w:t xml:space="preserve">revenues </w:t>
      </w:r>
      <w:r>
        <w:rPr>
          <w:rFonts w:asciiTheme="minorHAnsi" w:hAnsiTheme="minorHAnsi" w:cs="TrebuchetMS"/>
          <w:color w:val="auto"/>
          <w:sz w:val="20"/>
          <w:szCs w:val="20"/>
        </w:rPr>
        <w:t xml:space="preserve">from the mining sector </w:t>
      </w:r>
      <w:r w:rsidRPr="00BE6008">
        <w:rPr>
          <w:rFonts w:asciiTheme="minorHAnsi" w:hAnsiTheme="minorHAnsi" w:cs="TrebuchetMS"/>
          <w:color w:val="auto"/>
          <w:sz w:val="20"/>
          <w:szCs w:val="20"/>
        </w:rPr>
        <w:t xml:space="preserve">were included </w:t>
      </w:r>
      <w:r>
        <w:rPr>
          <w:rFonts w:asciiTheme="minorHAnsi" w:hAnsiTheme="minorHAnsi" w:cs="TrebuchetMS"/>
          <w:color w:val="auto"/>
          <w:sz w:val="20"/>
          <w:szCs w:val="20"/>
        </w:rPr>
        <w:t xml:space="preserve">through </w:t>
      </w:r>
      <w:r w:rsidRPr="00BE6008">
        <w:rPr>
          <w:rFonts w:asciiTheme="minorHAnsi" w:hAnsiTheme="minorHAnsi" w:cs="TrebuchetMS"/>
          <w:color w:val="auto"/>
          <w:sz w:val="20"/>
          <w:szCs w:val="20"/>
        </w:rPr>
        <w:t>unilatera</w:t>
      </w:r>
      <w:r>
        <w:rPr>
          <w:rFonts w:asciiTheme="minorHAnsi" w:hAnsiTheme="minorHAnsi" w:cs="TrebuchetMS"/>
          <w:color w:val="auto"/>
          <w:sz w:val="20"/>
          <w:szCs w:val="20"/>
        </w:rPr>
        <w:t>l</w:t>
      </w:r>
      <w:r w:rsidRPr="00BE6008">
        <w:rPr>
          <w:rFonts w:asciiTheme="minorHAnsi" w:hAnsiTheme="minorHAnsi" w:cs="TrebuchetMS"/>
          <w:color w:val="auto"/>
          <w:sz w:val="20"/>
          <w:szCs w:val="20"/>
        </w:rPr>
        <w:t xml:space="preserve"> disclosure</w:t>
      </w:r>
      <w:r>
        <w:rPr>
          <w:rFonts w:asciiTheme="minorHAnsi" w:hAnsiTheme="minorHAnsi" w:cs="TrebuchetMS"/>
          <w:color w:val="auto"/>
          <w:sz w:val="20"/>
          <w:szCs w:val="20"/>
        </w:rPr>
        <w:t xml:space="preserve"> by Government agencies in accordance with the scope agreed by Suriname MSG detailed in Section 4 of this report</w:t>
      </w:r>
      <w:r w:rsidRPr="00BE6008">
        <w:rPr>
          <w:rFonts w:asciiTheme="minorHAnsi" w:hAnsiTheme="minorHAnsi" w:cs="TrebuchetMS"/>
          <w:color w:val="auto"/>
          <w:sz w:val="20"/>
          <w:szCs w:val="20"/>
        </w:rPr>
        <w:t>.</w:t>
      </w:r>
    </w:p>
    <w:p w14:paraId="230FCE67" w14:textId="6E0384E4" w:rsidR="00870A9F" w:rsidRPr="00894701" w:rsidRDefault="00870A9F" w:rsidP="00870A9F">
      <w:pPr>
        <w:spacing w:before="120" w:line="260" w:lineRule="exact"/>
        <w:jc w:val="both"/>
        <w:rPr>
          <w:rFonts w:asciiTheme="minorHAnsi" w:hAnsiTheme="minorHAnsi" w:cs="TrebuchetMS"/>
          <w:color w:val="auto"/>
          <w:sz w:val="20"/>
          <w:szCs w:val="20"/>
        </w:rPr>
      </w:pPr>
      <w:r w:rsidRPr="00870A9F">
        <w:rPr>
          <w:rFonts w:asciiTheme="minorHAnsi" w:hAnsiTheme="minorHAnsi" w:cs="TrebuchetMS"/>
          <w:color w:val="auto"/>
          <w:sz w:val="20"/>
          <w:szCs w:val="20"/>
        </w:rPr>
        <w:t xml:space="preserve">Grassalco’s financial records are publicly available as part of the </w:t>
      </w:r>
      <w:hyperlink r:id="rId45" w:history="1">
        <w:r w:rsidRPr="00870A9F">
          <w:rPr>
            <w:rStyle w:val="Hyperlink"/>
            <w:rFonts w:asciiTheme="minorHAnsi" w:hAnsiTheme="minorHAnsi" w:cs="TrebuchetMS"/>
            <w:sz w:val="20"/>
            <w:szCs w:val="20"/>
          </w:rPr>
          <w:t>audited consolidated financial statements of Staatsolie</w:t>
        </w:r>
      </w:hyperlink>
      <w:r>
        <w:rPr>
          <w:rFonts w:asciiTheme="minorHAnsi" w:hAnsiTheme="minorHAnsi" w:cs="TrebuchetMS"/>
          <w:color w:val="auto"/>
          <w:sz w:val="20"/>
          <w:szCs w:val="20"/>
        </w:rPr>
        <w:t>.</w:t>
      </w:r>
    </w:p>
    <w:p w14:paraId="3104BC7D" w14:textId="60651D52" w:rsidR="00CA282D" w:rsidRPr="00894701" w:rsidRDefault="00670F09" w:rsidP="00A834A8">
      <w:pPr>
        <w:pStyle w:val="AltMinorHeading"/>
        <w:numPr>
          <w:ilvl w:val="2"/>
          <w:numId w:val="62"/>
        </w:numPr>
        <w:ind w:left="142" w:hanging="180"/>
        <w:rPr>
          <w:szCs w:val="28"/>
        </w:rPr>
      </w:pPr>
      <w:bookmarkStart w:id="233" w:name="_Toc122478880"/>
      <w:bookmarkEnd w:id="232"/>
      <w:r w:rsidRPr="00894701">
        <w:rPr>
          <w:szCs w:val="28"/>
        </w:rPr>
        <w:lastRenderedPageBreak/>
        <w:t xml:space="preserve">State participation in the </w:t>
      </w:r>
      <w:r w:rsidR="00CA282D" w:rsidRPr="00894701">
        <w:rPr>
          <w:szCs w:val="28"/>
        </w:rPr>
        <w:t>Oil and Gas sector</w:t>
      </w:r>
      <w:bookmarkEnd w:id="233"/>
      <w:r w:rsidR="00CA282D" w:rsidRPr="00894701">
        <w:rPr>
          <w:szCs w:val="28"/>
        </w:rPr>
        <w:t xml:space="preserve"> </w:t>
      </w:r>
    </w:p>
    <w:p w14:paraId="1DBFD0EB" w14:textId="09579F75" w:rsidR="00CA282D" w:rsidRPr="00894701" w:rsidRDefault="00CA282D" w:rsidP="00CA282D">
      <w:pPr>
        <w:widowControl w:val="0"/>
        <w:spacing w:before="100" w:after="0" w:line="227" w:lineRule="exact"/>
        <w:rPr>
          <w:rFonts w:asciiTheme="minorHAnsi" w:eastAsiaTheme="minorHAnsi" w:hAnsiTheme="minorHAnsi" w:cs="TrebuchetMS-Bold"/>
          <w:b/>
          <w:bCs/>
          <w:color w:val="ED1A3B"/>
          <w:kern w:val="0"/>
          <w:sz w:val="20"/>
          <w:szCs w:val="20"/>
          <w:lang w:eastAsia="en-US"/>
        </w:rPr>
      </w:pPr>
      <w:r w:rsidRPr="00894701">
        <w:rPr>
          <w:rFonts w:asciiTheme="minorHAnsi" w:eastAsiaTheme="minorHAnsi" w:hAnsiTheme="minorHAnsi" w:cs="TrebuchetMS-Bold"/>
          <w:b/>
          <w:bCs/>
          <w:color w:val="ED1A3B"/>
          <w:kern w:val="0"/>
          <w:sz w:val="20"/>
          <w:szCs w:val="20"/>
          <w:lang w:eastAsia="en-US"/>
        </w:rPr>
        <w:t xml:space="preserve">Staatsolie - The State-Owned </w:t>
      </w:r>
      <w:r w:rsidR="00F24935" w:rsidRPr="00894701">
        <w:rPr>
          <w:rFonts w:asciiTheme="minorHAnsi" w:eastAsiaTheme="minorHAnsi" w:hAnsiTheme="minorHAnsi" w:cs="TrebuchetMS-Bold"/>
          <w:b/>
          <w:bCs/>
          <w:color w:val="ED1A3B"/>
          <w:kern w:val="0"/>
          <w:sz w:val="20"/>
          <w:szCs w:val="20"/>
          <w:lang w:eastAsia="en-US"/>
        </w:rPr>
        <w:t>Enterprises</w:t>
      </w:r>
      <w:r w:rsidRPr="00894701">
        <w:rPr>
          <w:rFonts w:asciiTheme="minorHAnsi" w:eastAsiaTheme="minorHAnsi" w:hAnsiTheme="minorHAnsi" w:cs="TrebuchetMS-Bold"/>
          <w:b/>
          <w:bCs/>
          <w:color w:val="ED1A3B"/>
          <w:kern w:val="0"/>
          <w:sz w:val="20"/>
          <w:szCs w:val="20"/>
          <w:lang w:eastAsia="en-US"/>
        </w:rPr>
        <w:t xml:space="preserve"> in the Oil &amp; Gas sector </w:t>
      </w:r>
    </w:p>
    <w:p w14:paraId="62BE821D" w14:textId="77777777" w:rsidR="00CA282D" w:rsidRPr="00894701" w:rsidRDefault="00CA282D" w:rsidP="00CA282D">
      <w:pPr>
        <w:spacing w:before="120" w:line="260" w:lineRule="exact"/>
        <w:jc w:val="both"/>
        <w:rPr>
          <w:rFonts w:asciiTheme="minorHAnsi" w:hAnsiTheme="minorHAnsi" w:cs="TrebuchetMS"/>
          <w:color w:val="auto"/>
          <w:sz w:val="20"/>
          <w:szCs w:val="20"/>
        </w:rPr>
      </w:pPr>
      <w:r w:rsidRPr="00894701">
        <w:rPr>
          <w:rFonts w:asciiTheme="minorHAnsi" w:hAnsiTheme="minorHAnsi" w:cs="TrebuchetMS"/>
          <w:color w:val="auto"/>
          <w:sz w:val="20"/>
          <w:szCs w:val="20"/>
        </w:rPr>
        <w:t xml:space="preserve">Staatsolie, as an oil company 100% owned by the State of Suriname, owns all mining rights, both onshore as well as offshore. Staatsolie has its onshore operations and for offshore activities, Staatsolie enters into agreements with IOCs. </w:t>
      </w:r>
    </w:p>
    <w:p w14:paraId="41927BF6" w14:textId="3C505A0D" w:rsidR="00CA282D" w:rsidRPr="00894701" w:rsidRDefault="00CA282D" w:rsidP="00CA282D">
      <w:pPr>
        <w:spacing w:before="120" w:line="260" w:lineRule="exact"/>
        <w:jc w:val="both"/>
        <w:rPr>
          <w:rFonts w:asciiTheme="minorHAnsi" w:hAnsiTheme="minorHAnsi"/>
          <w:color w:val="010302"/>
          <w:kern w:val="0"/>
          <w:sz w:val="22"/>
          <w:szCs w:val="22"/>
          <w:lang w:eastAsia="en-US"/>
        </w:rPr>
      </w:pPr>
      <w:r w:rsidRPr="00894701">
        <w:rPr>
          <w:rFonts w:asciiTheme="minorHAnsi" w:hAnsiTheme="minorHAnsi" w:cs="TrebuchetMS"/>
          <w:color w:val="auto"/>
          <w:sz w:val="20"/>
          <w:szCs w:val="20"/>
        </w:rPr>
        <w:t>Staatsolie has been granted exclusive rights to explore, develop and produce petroleum onshore and offshore. The exploration of the oil sector is monitored by Staatsolie. O&amp;G companies interested in executing petroleum operations in Suriname can</w:t>
      </w:r>
      <w:r w:rsidRPr="00894701">
        <w:rPr>
          <w:rFonts w:asciiTheme="minorHAnsi" w:hAnsiTheme="minorHAnsi" w:cs="TrebuchetMS"/>
          <w:color w:val="000000"/>
          <w:kern w:val="0"/>
          <w:sz w:val="20"/>
          <w:szCs w:val="20"/>
          <w:lang w:eastAsia="en-US"/>
        </w:rPr>
        <w:t xml:space="preserve"> do so by virtue of</w:t>
      </w:r>
      <w:r w:rsidRPr="00894701">
        <w:rPr>
          <w:rFonts w:asciiTheme="minorHAnsi" w:hAnsiTheme="minorHAnsi" w:cs="TrebuchetMS"/>
          <w:color w:val="000000"/>
          <w:spacing w:val="-4"/>
          <w:kern w:val="0"/>
          <w:sz w:val="20"/>
          <w:szCs w:val="20"/>
          <w:lang w:eastAsia="en-US"/>
        </w:rPr>
        <w:t xml:space="preserve"> </w:t>
      </w:r>
      <w:r w:rsidRPr="00894701">
        <w:rPr>
          <w:rFonts w:asciiTheme="minorHAnsi" w:hAnsiTheme="minorHAnsi" w:cs="TrebuchetMS"/>
          <w:color w:val="000000"/>
          <w:kern w:val="0"/>
          <w:sz w:val="20"/>
          <w:szCs w:val="20"/>
          <w:lang w:eastAsia="en-US"/>
        </w:rPr>
        <w:t xml:space="preserve">Article 5 of </w:t>
      </w:r>
      <w:r w:rsidRPr="00894701">
        <w:rPr>
          <w:rFonts w:asciiTheme="minorHAnsi" w:hAnsiTheme="minorHAnsi" w:cs="TrebuchetMS"/>
          <w:color w:val="000000"/>
          <w:spacing w:val="-10"/>
          <w:kern w:val="0"/>
          <w:sz w:val="20"/>
          <w:szCs w:val="20"/>
          <w:lang w:eastAsia="en-US"/>
        </w:rPr>
        <w:t>P</w:t>
      </w:r>
      <w:r w:rsidRPr="00894701">
        <w:rPr>
          <w:rFonts w:asciiTheme="minorHAnsi" w:hAnsiTheme="minorHAnsi" w:cs="TrebuchetMS"/>
          <w:color w:val="000000"/>
          <w:kern w:val="0"/>
          <w:sz w:val="20"/>
          <w:szCs w:val="20"/>
          <w:lang w:eastAsia="en-US"/>
        </w:rPr>
        <w:t>etroleum Law 1990 (SB</w:t>
      </w:r>
      <w:r w:rsidRPr="00894701">
        <w:rPr>
          <w:rFonts w:asciiTheme="minorHAnsi" w:hAnsiTheme="minorHAnsi" w:cs="TrebuchetMS"/>
          <w:color w:val="000000"/>
          <w:spacing w:val="21"/>
          <w:kern w:val="0"/>
          <w:sz w:val="20"/>
          <w:szCs w:val="20"/>
          <w:lang w:eastAsia="en-US"/>
        </w:rPr>
        <w:t xml:space="preserve"> </w:t>
      </w:r>
      <w:r w:rsidRPr="00894701">
        <w:rPr>
          <w:rFonts w:asciiTheme="minorHAnsi" w:hAnsiTheme="minorHAnsi" w:cs="TrebuchetMS"/>
          <w:color w:val="000000"/>
          <w:kern w:val="0"/>
          <w:sz w:val="20"/>
          <w:szCs w:val="20"/>
          <w:lang w:eastAsia="en-US"/>
        </w:rPr>
        <w:t>1991/7). According</w:t>
      </w:r>
      <w:r w:rsidRPr="00894701">
        <w:rPr>
          <w:rFonts w:asciiTheme="minorHAnsi" w:hAnsiTheme="minorHAnsi" w:cs="TrebuchetMS"/>
          <w:color w:val="000000"/>
          <w:spacing w:val="21"/>
          <w:kern w:val="0"/>
          <w:sz w:val="20"/>
          <w:szCs w:val="20"/>
          <w:lang w:eastAsia="en-US"/>
        </w:rPr>
        <w:t xml:space="preserve"> </w:t>
      </w:r>
      <w:r w:rsidRPr="00894701">
        <w:rPr>
          <w:rFonts w:asciiTheme="minorHAnsi" w:hAnsiTheme="minorHAnsi" w:cs="TrebuchetMS"/>
          <w:color w:val="000000"/>
          <w:kern w:val="0"/>
          <w:sz w:val="20"/>
          <w:szCs w:val="20"/>
          <w:lang w:eastAsia="en-US"/>
        </w:rPr>
        <w:t>to</w:t>
      </w:r>
      <w:r w:rsidRPr="00894701">
        <w:rPr>
          <w:rFonts w:asciiTheme="minorHAnsi" w:hAnsiTheme="minorHAnsi" w:cs="TrebuchetMS"/>
          <w:color w:val="000000"/>
          <w:spacing w:val="23"/>
          <w:kern w:val="0"/>
          <w:sz w:val="20"/>
          <w:szCs w:val="20"/>
          <w:lang w:eastAsia="en-US"/>
        </w:rPr>
        <w:t xml:space="preserve"> </w:t>
      </w:r>
      <w:r w:rsidRPr="00894701">
        <w:rPr>
          <w:rFonts w:asciiTheme="minorHAnsi" w:hAnsiTheme="minorHAnsi" w:cs="TrebuchetMS"/>
          <w:color w:val="000000"/>
          <w:kern w:val="0"/>
          <w:sz w:val="20"/>
          <w:szCs w:val="20"/>
          <w:lang w:eastAsia="en-US"/>
        </w:rPr>
        <w:t>this</w:t>
      </w:r>
      <w:r w:rsidRPr="00894701">
        <w:rPr>
          <w:rFonts w:asciiTheme="minorHAnsi" w:hAnsiTheme="minorHAnsi" w:cs="TrebuchetMS"/>
          <w:color w:val="000000"/>
          <w:spacing w:val="21"/>
          <w:kern w:val="0"/>
          <w:sz w:val="20"/>
          <w:szCs w:val="20"/>
          <w:lang w:eastAsia="en-US"/>
        </w:rPr>
        <w:t xml:space="preserve"> </w:t>
      </w:r>
      <w:r w:rsidRPr="00894701">
        <w:rPr>
          <w:rFonts w:asciiTheme="minorHAnsi" w:hAnsiTheme="minorHAnsi" w:cs="TrebuchetMS"/>
          <w:color w:val="000000"/>
          <w:kern w:val="0"/>
          <w:sz w:val="20"/>
          <w:szCs w:val="20"/>
          <w:lang w:eastAsia="en-US"/>
        </w:rPr>
        <w:t>article,</w:t>
      </w:r>
      <w:r w:rsidRPr="00894701">
        <w:rPr>
          <w:rFonts w:asciiTheme="minorHAnsi" w:hAnsiTheme="minorHAnsi" w:cs="TrebuchetMS"/>
          <w:color w:val="000000"/>
          <w:spacing w:val="21"/>
          <w:kern w:val="0"/>
          <w:sz w:val="20"/>
          <w:szCs w:val="20"/>
          <w:lang w:eastAsia="en-US"/>
        </w:rPr>
        <w:t xml:space="preserve"> </w:t>
      </w:r>
      <w:r w:rsidRPr="00894701">
        <w:rPr>
          <w:rFonts w:asciiTheme="minorHAnsi" w:hAnsiTheme="minorHAnsi" w:cs="TrebuchetMS"/>
          <w:color w:val="000000"/>
          <w:kern w:val="0"/>
          <w:sz w:val="20"/>
          <w:szCs w:val="20"/>
          <w:lang w:eastAsia="en-US"/>
        </w:rPr>
        <w:t>Staatsolie</w:t>
      </w:r>
      <w:r w:rsidRPr="00894701">
        <w:rPr>
          <w:rFonts w:asciiTheme="minorHAnsi" w:hAnsiTheme="minorHAnsi" w:cs="TrebuchetMS"/>
          <w:color w:val="000000"/>
          <w:spacing w:val="20"/>
          <w:kern w:val="0"/>
          <w:sz w:val="20"/>
          <w:szCs w:val="20"/>
          <w:lang w:eastAsia="en-US"/>
        </w:rPr>
        <w:t xml:space="preserve"> </w:t>
      </w:r>
      <w:r w:rsidRPr="00894701">
        <w:rPr>
          <w:rFonts w:asciiTheme="minorHAnsi" w:hAnsiTheme="minorHAnsi" w:cs="TrebuchetMS"/>
          <w:color w:val="000000"/>
          <w:kern w:val="0"/>
          <w:sz w:val="20"/>
          <w:szCs w:val="20"/>
          <w:lang w:eastAsia="en-US"/>
        </w:rPr>
        <w:t>can</w:t>
      </w:r>
      <w:r w:rsidRPr="00894701">
        <w:rPr>
          <w:rFonts w:asciiTheme="minorHAnsi" w:hAnsiTheme="minorHAnsi" w:cs="TrebuchetMS"/>
          <w:color w:val="000000"/>
          <w:spacing w:val="23"/>
          <w:kern w:val="0"/>
          <w:sz w:val="20"/>
          <w:szCs w:val="20"/>
          <w:lang w:eastAsia="en-US"/>
        </w:rPr>
        <w:t xml:space="preserve"> </w:t>
      </w:r>
      <w:r w:rsidRPr="00894701">
        <w:rPr>
          <w:rFonts w:asciiTheme="minorHAnsi" w:hAnsiTheme="minorHAnsi" w:cs="TrebuchetMS"/>
          <w:color w:val="000000"/>
          <w:kern w:val="0"/>
          <w:sz w:val="20"/>
          <w:szCs w:val="20"/>
          <w:lang w:eastAsia="en-US"/>
        </w:rPr>
        <w:t>sign</w:t>
      </w:r>
      <w:r w:rsidRPr="00894701">
        <w:rPr>
          <w:rFonts w:asciiTheme="minorHAnsi" w:hAnsiTheme="minorHAnsi" w:cs="TrebuchetMS"/>
          <w:color w:val="000000"/>
          <w:spacing w:val="21"/>
          <w:kern w:val="0"/>
          <w:sz w:val="20"/>
          <w:szCs w:val="20"/>
          <w:lang w:eastAsia="en-US"/>
        </w:rPr>
        <w:t xml:space="preserve"> </w:t>
      </w:r>
      <w:r w:rsidRPr="00894701">
        <w:rPr>
          <w:rFonts w:asciiTheme="minorHAnsi" w:hAnsiTheme="minorHAnsi" w:cs="TrebuchetMS"/>
          <w:color w:val="000000"/>
          <w:kern w:val="0"/>
          <w:sz w:val="20"/>
          <w:szCs w:val="20"/>
          <w:lang w:eastAsia="en-US"/>
        </w:rPr>
        <w:t>petroleum</w:t>
      </w:r>
      <w:r w:rsidRPr="00894701">
        <w:rPr>
          <w:rFonts w:asciiTheme="minorHAnsi" w:hAnsiTheme="minorHAnsi" w:cs="TrebuchetMS"/>
          <w:color w:val="000000"/>
          <w:spacing w:val="21"/>
          <w:kern w:val="0"/>
          <w:sz w:val="20"/>
          <w:szCs w:val="20"/>
          <w:lang w:eastAsia="en-US"/>
        </w:rPr>
        <w:t xml:space="preserve"> </w:t>
      </w:r>
      <w:r w:rsidRPr="00894701">
        <w:rPr>
          <w:rFonts w:asciiTheme="minorHAnsi" w:hAnsiTheme="minorHAnsi" w:cs="TrebuchetMS"/>
          <w:color w:val="000000"/>
          <w:kern w:val="0"/>
          <w:sz w:val="20"/>
          <w:szCs w:val="20"/>
          <w:lang w:eastAsia="en-US"/>
        </w:rPr>
        <w:t>agreements</w:t>
      </w:r>
      <w:r w:rsidRPr="00894701">
        <w:rPr>
          <w:rFonts w:asciiTheme="minorHAnsi" w:hAnsiTheme="minorHAnsi" w:cs="TrebuchetMS"/>
          <w:color w:val="000000"/>
          <w:spacing w:val="21"/>
          <w:kern w:val="0"/>
          <w:sz w:val="20"/>
          <w:szCs w:val="20"/>
          <w:lang w:eastAsia="en-US"/>
        </w:rPr>
        <w:t xml:space="preserve"> </w:t>
      </w:r>
      <w:r w:rsidRPr="00894701">
        <w:rPr>
          <w:rFonts w:asciiTheme="minorHAnsi" w:hAnsiTheme="minorHAnsi" w:cs="TrebuchetMS"/>
          <w:color w:val="000000"/>
          <w:kern w:val="0"/>
          <w:sz w:val="20"/>
          <w:szCs w:val="20"/>
          <w:lang w:eastAsia="en-US"/>
        </w:rPr>
        <w:t>with</w:t>
      </w:r>
      <w:r w:rsidRPr="00894701">
        <w:rPr>
          <w:rFonts w:asciiTheme="minorHAnsi" w:hAnsiTheme="minorHAnsi" w:cs="TrebuchetMS"/>
          <w:color w:val="000000"/>
          <w:spacing w:val="20"/>
          <w:kern w:val="0"/>
          <w:sz w:val="20"/>
          <w:szCs w:val="20"/>
          <w:lang w:eastAsia="en-US"/>
        </w:rPr>
        <w:t xml:space="preserve"> </w:t>
      </w:r>
      <w:r w:rsidRPr="00894701">
        <w:rPr>
          <w:rFonts w:asciiTheme="minorHAnsi" w:hAnsiTheme="minorHAnsi" w:cs="TrebuchetMS"/>
          <w:color w:val="000000"/>
          <w:kern w:val="0"/>
          <w:sz w:val="20"/>
          <w:szCs w:val="20"/>
          <w:lang w:eastAsia="en-US"/>
        </w:rPr>
        <w:t>third</w:t>
      </w:r>
      <w:r w:rsidRPr="00894701">
        <w:rPr>
          <w:rFonts w:asciiTheme="minorHAnsi" w:hAnsiTheme="minorHAnsi" w:cs="TrebuchetMS"/>
          <w:color w:val="000000"/>
          <w:spacing w:val="21"/>
          <w:kern w:val="0"/>
          <w:sz w:val="20"/>
          <w:szCs w:val="20"/>
          <w:lang w:eastAsia="en-US"/>
        </w:rPr>
        <w:t xml:space="preserve"> </w:t>
      </w:r>
      <w:r w:rsidRPr="00894701">
        <w:rPr>
          <w:rFonts w:asciiTheme="minorHAnsi" w:hAnsiTheme="minorHAnsi" w:cs="TrebuchetMS"/>
          <w:color w:val="000000"/>
          <w:kern w:val="0"/>
          <w:sz w:val="20"/>
          <w:szCs w:val="20"/>
          <w:lang w:eastAsia="en-US"/>
        </w:rPr>
        <w:t>parties after</w:t>
      </w:r>
      <w:r w:rsidRPr="00894701">
        <w:rPr>
          <w:rFonts w:asciiTheme="minorHAnsi" w:hAnsiTheme="minorHAnsi" w:cs="TrebuchetMS"/>
          <w:color w:val="000000"/>
          <w:spacing w:val="21"/>
          <w:kern w:val="0"/>
          <w:sz w:val="20"/>
          <w:szCs w:val="20"/>
          <w:lang w:eastAsia="en-US"/>
        </w:rPr>
        <w:t xml:space="preserve"> the </w:t>
      </w:r>
      <w:r w:rsidRPr="00894701">
        <w:rPr>
          <w:rFonts w:asciiTheme="minorHAnsi" w:hAnsiTheme="minorHAnsi" w:cs="TrebuchetMS"/>
          <w:color w:val="000000"/>
          <w:kern w:val="0"/>
          <w:sz w:val="20"/>
          <w:szCs w:val="20"/>
          <w:lang w:eastAsia="en-US"/>
        </w:rPr>
        <w:t>approval</w:t>
      </w:r>
      <w:r w:rsidRPr="00894701">
        <w:rPr>
          <w:rFonts w:asciiTheme="minorHAnsi" w:hAnsiTheme="minorHAnsi" w:cs="TrebuchetMS"/>
          <w:color w:val="000000"/>
          <w:spacing w:val="21"/>
          <w:kern w:val="0"/>
          <w:sz w:val="20"/>
          <w:szCs w:val="20"/>
          <w:lang w:eastAsia="en-US"/>
        </w:rPr>
        <w:t xml:space="preserve"> </w:t>
      </w:r>
      <w:r w:rsidRPr="00894701">
        <w:rPr>
          <w:rFonts w:asciiTheme="minorHAnsi" w:hAnsiTheme="minorHAnsi" w:cs="TrebuchetMS"/>
          <w:color w:val="000000"/>
          <w:kern w:val="0"/>
          <w:sz w:val="20"/>
          <w:szCs w:val="20"/>
          <w:lang w:eastAsia="en-US"/>
        </w:rPr>
        <w:t>of</w:t>
      </w:r>
      <w:r w:rsidRPr="00894701">
        <w:rPr>
          <w:rFonts w:asciiTheme="minorHAnsi" w:hAnsiTheme="minorHAnsi" w:cs="TrebuchetMS"/>
          <w:color w:val="000000"/>
          <w:spacing w:val="21"/>
          <w:kern w:val="0"/>
          <w:sz w:val="20"/>
          <w:szCs w:val="20"/>
          <w:lang w:eastAsia="en-US"/>
        </w:rPr>
        <w:t xml:space="preserve"> </w:t>
      </w:r>
      <w:r w:rsidRPr="00894701">
        <w:rPr>
          <w:rFonts w:asciiTheme="minorHAnsi" w:hAnsiTheme="minorHAnsi" w:cs="TrebuchetMS"/>
          <w:color w:val="000000"/>
          <w:kern w:val="0"/>
          <w:sz w:val="20"/>
          <w:szCs w:val="20"/>
          <w:lang w:eastAsia="en-US"/>
        </w:rPr>
        <w:t>the</w:t>
      </w:r>
      <w:r w:rsidRPr="00894701">
        <w:rPr>
          <w:rFonts w:asciiTheme="minorHAnsi" w:hAnsiTheme="minorHAnsi" w:cs="TrebuchetMS"/>
          <w:color w:val="000000"/>
          <w:spacing w:val="21"/>
          <w:kern w:val="0"/>
          <w:sz w:val="20"/>
          <w:szCs w:val="20"/>
          <w:lang w:eastAsia="en-US"/>
        </w:rPr>
        <w:t xml:space="preserve"> </w:t>
      </w:r>
      <w:r w:rsidRPr="00894701">
        <w:rPr>
          <w:rFonts w:asciiTheme="minorHAnsi" w:hAnsiTheme="minorHAnsi" w:cs="TrebuchetMS"/>
          <w:color w:val="000000"/>
          <w:kern w:val="0"/>
          <w:sz w:val="20"/>
          <w:szCs w:val="20"/>
          <w:lang w:eastAsia="en-US"/>
        </w:rPr>
        <w:t>Minister</w:t>
      </w:r>
      <w:r w:rsidRPr="00894701">
        <w:rPr>
          <w:rFonts w:asciiTheme="minorHAnsi" w:hAnsiTheme="minorHAnsi" w:cs="TrebuchetMS"/>
          <w:color w:val="000000"/>
          <w:spacing w:val="21"/>
          <w:kern w:val="0"/>
          <w:sz w:val="20"/>
          <w:szCs w:val="20"/>
          <w:lang w:eastAsia="en-US"/>
        </w:rPr>
        <w:t xml:space="preserve"> </w:t>
      </w:r>
      <w:r w:rsidRPr="00894701">
        <w:rPr>
          <w:rFonts w:asciiTheme="minorHAnsi" w:hAnsiTheme="minorHAnsi" w:cs="TrebuchetMS"/>
          <w:color w:val="000000"/>
          <w:kern w:val="0"/>
          <w:sz w:val="20"/>
          <w:szCs w:val="20"/>
          <w:lang w:eastAsia="en-US"/>
        </w:rPr>
        <w:t>of</w:t>
      </w:r>
      <w:r w:rsidRPr="00894701">
        <w:rPr>
          <w:rFonts w:asciiTheme="minorHAnsi" w:hAnsiTheme="minorHAnsi" w:cs="TrebuchetMS"/>
          <w:color w:val="000000"/>
          <w:spacing w:val="21"/>
          <w:kern w:val="0"/>
          <w:sz w:val="20"/>
          <w:szCs w:val="20"/>
          <w:lang w:eastAsia="en-US"/>
        </w:rPr>
        <w:t xml:space="preserve"> </w:t>
      </w:r>
      <w:r w:rsidRPr="00894701">
        <w:rPr>
          <w:rFonts w:asciiTheme="minorHAnsi" w:hAnsiTheme="minorHAnsi" w:cs="TrebuchetMS"/>
          <w:color w:val="000000"/>
          <w:kern w:val="0"/>
          <w:sz w:val="20"/>
          <w:szCs w:val="20"/>
          <w:lang w:eastAsia="en-US"/>
        </w:rPr>
        <w:t>Natural</w:t>
      </w:r>
      <w:r w:rsidRPr="00894701">
        <w:rPr>
          <w:rFonts w:asciiTheme="minorHAnsi" w:hAnsiTheme="minorHAnsi" w:cs="TrebuchetMS"/>
          <w:color w:val="000000"/>
          <w:spacing w:val="21"/>
          <w:kern w:val="0"/>
          <w:sz w:val="20"/>
          <w:szCs w:val="20"/>
          <w:lang w:eastAsia="en-US"/>
        </w:rPr>
        <w:t xml:space="preserve"> </w:t>
      </w:r>
      <w:r w:rsidRPr="00894701">
        <w:rPr>
          <w:rFonts w:asciiTheme="minorHAnsi" w:hAnsiTheme="minorHAnsi" w:cs="TrebuchetMS"/>
          <w:color w:val="000000"/>
          <w:spacing w:val="-7"/>
          <w:kern w:val="0"/>
          <w:sz w:val="20"/>
          <w:szCs w:val="20"/>
          <w:lang w:eastAsia="en-US"/>
        </w:rPr>
        <w:t>R</w:t>
      </w:r>
      <w:r w:rsidRPr="00894701">
        <w:rPr>
          <w:rFonts w:asciiTheme="minorHAnsi" w:hAnsiTheme="minorHAnsi" w:cs="TrebuchetMS"/>
          <w:color w:val="000000"/>
          <w:kern w:val="0"/>
          <w:sz w:val="20"/>
          <w:szCs w:val="20"/>
          <w:lang w:eastAsia="en-US"/>
        </w:rPr>
        <w:t>esources. Through</w:t>
      </w:r>
      <w:r w:rsidRPr="00894701">
        <w:rPr>
          <w:rFonts w:asciiTheme="minorHAnsi" w:hAnsiTheme="minorHAnsi" w:cs="TrebuchetMS"/>
          <w:color w:val="000000"/>
          <w:spacing w:val="21"/>
          <w:kern w:val="0"/>
          <w:sz w:val="20"/>
          <w:szCs w:val="20"/>
          <w:lang w:eastAsia="en-US"/>
        </w:rPr>
        <w:t xml:space="preserve"> </w:t>
      </w:r>
      <w:r w:rsidRPr="00894701">
        <w:rPr>
          <w:rFonts w:asciiTheme="minorHAnsi" w:hAnsiTheme="minorHAnsi" w:cs="TrebuchetMS"/>
          <w:color w:val="000000"/>
          <w:kern w:val="0"/>
          <w:sz w:val="20"/>
          <w:szCs w:val="20"/>
          <w:lang w:eastAsia="en-US"/>
        </w:rPr>
        <w:t>the</w:t>
      </w:r>
      <w:r w:rsidRPr="00894701">
        <w:rPr>
          <w:rFonts w:asciiTheme="minorHAnsi" w:hAnsiTheme="minorHAnsi" w:cs="TrebuchetMS"/>
          <w:color w:val="000000"/>
          <w:spacing w:val="23"/>
          <w:kern w:val="0"/>
          <w:sz w:val="20"/>
          <w:szCs w:val="20"/>
          <w:lang w:eastAsia="en-US"/>
        </w:rPr>
        <w:t xml:space="preserve"> </w:t>
      </w:r>
      <w:r w:rsidRPr="00894701">
        <w:rPr>
          <w:rFonts w:asciiTheme="minorHAnsi" w:hAnsiTheme="minorHAnsi" w:cs="TrebuchetMS"/>
          <w:color w:val="000000"/>
          <w:kern w:val="0"/>
          <w:sz w:val="20"/>
          <w:szCs w:val="20"/>
          <w:lang w:eastAsia="en-US"/>
        </w:rPr>
        <w:t>petroleum</w:t>
      </w:r>
      <w:r w:rsidRPr="00894701">
        <w:rPr>
          <w:rFonts w:asciiTheme="minorHAnsi" w:hAnsiTheme="minorHAnsi" w:cs="TrebuchetMS"/>
          <w:color w:val="000000"/>
          <w:spacing w:val="21"/>
          <w:kern w:val="0"/>
          <w:sz w:val="20"/>
          <w:szCs w:val="20"/>
          <w:lang w:eastAsia="en-US"/>
        </w:rPr>
        <w:t xml:space="preserve"> </w:t>
      </w:r>
      <w:r w:rsidRPr="00894701">
        <w:rPr>
          <w:rFonts w:asciiTheme="minorHAnsi" w:hAnsiTheme="minorHAnsi" w:cs="TrebuchetMS"/>
          <w:color w:val="000000"/>
          <w:kern w:val="0"/>
          <w:sz w:val="20"/>
          <w:szCs w:val="20"/>
          <w:lang w:eastAsia="en-US"/>
        </w:rPr>
        <w:t>agreement,</w:t>
      </w:r>
      <w:r w:rsidRPr="00894701">
        <w:rPr>
          <w:rFonts w:asciiTheme="minorHAnsi" w:hAnsiTheme="minorHAnsi" w:cs="TrebuchetMS"/>
          <w:color w:val="000000"/>
          <w:spacing w:val="21"/>
          <w:kern w:val="0"/>
          <w:sz w:val="20"/>
          <w:szCs w:val="20"/>
          <w:lang w:eastAsia="en-US"/>
        </w:rPr>
        <w:t xml:space="preserve"> </w:t>
      </w:r>
      <w:r w:rsidRPr="00894701">
        <w:rPr>
          <w:rFonts w:asciiTheme="minorHAnsi" w:hAnsiTheme="minorHAnsi" w:cs="TrebuchetMS"/>
          <w:color w:val="000000"/>
          <w:kern w:val="0"/>
          <w:sz w:val="20"/>
          <w:szCs w:val="20"/>
          <w:lang w:eastAsia="en-US"/>
        </w:rPr>
        <w:t>Staatsolie transfers</w:t>
      </w:r>
      <w:r w:rsidRPr="00894701">
        <w:rPr>
          <w:rFonts w:asciiTheme="minorHAnsi" w:hAnsiTheme="minorHAnsi" w:cs="TrebuchetMS"/>
          <w:color w:val="000000"/>
          <w:spacing w:val="26"/>
          <w:kern w:val="0"/>
          <w:sz w:val="20"/>
          <w:szCs w:val="20"/>
          <w:lang w:eastAsia="en-US"/>
        </w:rPr>
        <w:t xml:space="preserve"> </w:t>
      </w:r>
      <w:r w:rsidRPr="00894701">
        <w:rPr>
          <w:rFonts w:asciiTheme="minorHAnsi" w:hAnsiTheme="minorHAnsi" w:cs="TrebuchetMS"/>
          <w:color w:val="000000"/>
          <w:kern w:val="0"/>
          <w:sz w:val="20"/>
          <w:szCs w:val="20"/>
          <w:lang w:eastAsia="en-US"/>
        </w:rPr>
        <w:t>its</w:t>
      </w:r>
      <w:r w:rsidRPr="00894701">
        <w:rPr>
          <w:rFonts w:asciiTheme="minorHAnsi" w:hAnsiTheme="minorHAnsi" w:cs="TrebuchetMS"/>
          <w:color w:val="000000"/>
          <w:spacing w:val="26"/>
          <w:kern w:val="0"/>
          <w:sz w:val="20"/>
          <w:szCs w:val="20"/>
          <w:lang w:eastAsia="en-US"/>
        </w:rPr>
        <w:t xml:space="preserve"> </w:t>
      </w:r>
      <w:r w:rsidRPr="00894701">
        <w:rPr>
          <w:rFonts w:asciiTheme="minorHAnsi" w:hAnsiTheme="minorHAnsi" w:cs="TrebuchetMS"/>
          <w:color w:val="000000"/>
          <w:kern w:val="0"/>
          <w:sz w:val="20"/>
          <w:szCs w:val="20"/>
          <w:lang w:eastAsia="en-US"/>
        </w:rPr>
        <w:t>rights</w:t>
      </w:r>
      <w:r w:rsidRPr="00894701">
        <w:rPr>
          <w:rFonts w:asciiTheme="minorHAnsi" w:hAnsiTheme="minorHAnsi" w:cs="TrebuchetMS"/>
          <w:color w:val="000000"/>
          <w:spacing w:val="26"/>
          <w:kern w:val="0"/>
          <w:sz w:val="20"/>
          <w:szCs w:val="20"/>
          <w:lang w:eastAsia="en-US"/>
        </w:rPr>
        <w:t xml:space="preserve"> </w:t>
      </w:r>
      <w:r w:rsidRPr="00894701">
        <w:rPr>
          <w:rFonts w:asciiTheme="minorHAnsi" w:hAnsiTheme="minorHAnsi" w:cs="TrebuchetMS"/>
          <w:color w:val="000000"/>
          <w:kern w:val="0"/>
          <w:sz w:val="20"/>
          <w:szCs w:val="20"/>
          <w:lang w:eastAsia="en-US"/>
        </w:rPr>
        <w:t>to</w:t>
      </w:r>
      <w:r w:rsidRPr="00894701">
        <w:rPr>
          <w:rFonts w:asciiTheme="minorHAnsi" w:hAnsiTheme="minorHAnsi" w:cs="TrebuchetMS"/>
          <w:color w:val="000000"/>
          <w:spacing w:val="26"/>
          <w:kern w:val="0"/>
          <w:sz w:val="20"/>
          <w:szCs w:val="20"/>
          <w:lang w:eastAsia="en-US"/>
        </w:rPr>
        <w:t xml:space="preserve"> </w:t>
      </w:r>
      <w:r w:rsidRPr="00894701">
        <w:rPr>
          <w:rFonts w:asciiTheme="minorHAnsi" w:hAnsiTheme="minorHAnsi" w:cs="TrebuchetMS"/>
          <w:color w:val="000000"/>
          <w:kern w:val="0"/>
          <w:sz w:val="20"/>
          <w:szCs w:val="20"/>
          <w:lang w:eastAsia="en-US"/>
        </w:rPr>
        <w:t>explore,</w:t>
      </w:r>
      <w:r w:rsidRPr="00894701">
        <w:rPr>
          <w:rFonts w:asciiTheme="minorHAnsi" w:hAnsiTheme="minorHAnsi" w:cs="TrebuchetMS"/>
          <w:color w:val="000000"/>
          <w:spacing w:val="28"/>
          <w:kern w:val="0"/>
          <w:sz w:val="20"/>
          <w:szCs w:val="20"/>
          <w:lang w:eastAsia="en-US"/>
        </w:rPr>
        <w:t xml:space="preserve"> </w:t>
      </w:r>
      <w:r w:rsidRPr="00894701">
        <w:rPr>
          <w:rFonts w:asciiTheme="minorHAnsi" w:hAnsiTheme="minorHAnsi" w:cs="TrebuchetMS"/>
          <w:color w:val="000000"/>
          <w:kern w:val="0"/>
          <w:sz w:val="20"/>
          <w:szCs w:val="20"/>
          <w:lang w:eastAsia="en-US"/>
        </w:rPr>
        <w:t>develop</w:t>
      </w:r>
      <w:r w:rsidRPr="00894701">
        <w:rPr>
          <w:rFonts w:asciiTheme="minorHAnsi" w:hAnsiTheme="minorHAnsi" w:cs="TrebuchetMS"/>
          <w:color w:val="000000"/>
          <w:spacing w:val="26"/>
          <w:kern w:val="0"/>
          <w:sz w:val="20"/>
          <w:szCs w:val="20"/>
          <w:lang w:eastAsia="en-US"/>
        </w:rPr>
        <w:t xml:space="preserve"> </w:t>
      </w:r>
      <w:r w:rsidRPr="00894701">
        <w:rPr>
          <w:rFonts w:asciiTheme="minorHAnsi" w:hAnsiTheme="minorHAnsi" w:cs="TrebuchetMS"/>
          <w:color w:val="000000"/>
          <w:kern w:val="0"/>
          <w:sz w:val="20"/>
          <w:szCs w:val="20"/>
          <w:lang w:eastAsia="en-US"/>
        </w:rPr>
        <w:t>and</w:t>
      </w:r>
      <w:r w:rsidRPr="00894701">
        <w:rPr>
          <w:rFonts w:asciiTheme="minorHAnsi" w:hAnsiTheme="minorHAnsi" w:cs="TrebuchetMS"/>
          <w:color w:val="000000"/>
          <w:spacing w:val="26"/>
          <w:kern w:val="0"/>
          <w:sz w:val="20"/>
          <w:szCs w:val="20"/>
          <w:lang w:eastAsia="en-US"/>
        </w:rPr>
        <w:t xml:space="preserve"> </w:t>
      </w:r>
      <w:r w:rsidRPr="00894701">
        <w:rPr>
          <w:rFonts w:asciiTheme="minorHAnsi" w:hAnsiTheme="minorHAnsi" w:cs="TrebuchetMS"/>
          <w:color w:val="000000"/>
          <w:kern w:val="0"/>
          <w:sz w:val="20"/>
          <w:szCs w:val="20"/>
          <w:lang w:eastAsia="en-US"/>
        </w:rPr>
        <w:t>produce</w:t>
      </w:r>
      <w:r w:rsidRPr="00894701">
        <w:rPr>
          <w:rFonts w:asciiTheme="minorHAnsi" w:hAnsiTheme="minorHAnsi" w:cs="TrebuchetMS"/>
          <w:color w:val="000000"/>
          <w:spacing w:val="26"/>
          <w:kern w:val="0"/>
          <w:sz w:val="20"/>
          <w:szCs w:val="20"/>
          <w:lang w:eastAsia="en-US"/>
        </w:rPr>
        <w:t xml:space="preserve"> </w:t>
      </w:r>
      <w:r w:rsidRPr="00894701">
        <w:rPr>
          <w:rFonts w:asciiTheme="minorHAnsi" w:hAnsiTheme="minorHAnsi" w:cs="TrebuchetMS"/>
          <w:color w:val="000000"/>
          <w:kern w:val="0"/>
          <w:sz w:val="20"/>
          <w:szCs w:val="20"/>
          <w:lang w:eastAsia="en-US"/>
        </w:rPr>
        <w:t>hydrocarbons</w:t>
      </w:r>
      <w:r w:rsidRPr="00894701">
        <w:rPr>
          <w:rFonts w:asciiTheme="minorHAnsi" w:hAnsiTheme="minorHAnsi" w:cs="TrebuchetMS"/>
          <w:color w:val="000000"/>
          <w:spacing w:val="26"/>
          <w:kern w:val="0"/>
          <w:sz w:val="20"/>
          <w:szCs w:val="20"/>
          <w:lang w:eastAsia="en-US"/>
        </w:rPr>
        <w:t xml:space="preserve"> </w:t>
      </w:r>
      <w:r w:rsidRPr="00894701">
        <w:rPr>
          <w:rFonts w:asciiTheme="minorHAnsi" w:hAnsiTheme="minorHAnsi" w:cs="TrebuchetMS"/>
          <w:color w:val="000000"/>
          <w:kern w:val="0"/>
          <w:sz w:val="20"/>
          <w:szCs w:val="20"/>
          <w:lang w:eastAsia="en-US"/>
        </w:rPr>
        <w:t>in</w:t>
      </w:r>
      <w:r w:rsidRPr="00894701">
        <w:rPr>
          <w:rFonts w:asciiTheme="minorHAnsi" w:hAnsiTheme="minorHAnsi" w:cs="TrebuchetMS"/>
          <w:color w:val="000000"/>
          <w:spacing w:val="26"/>
          <w:kern w:val="0"/>
          <w:sz w:val="20"/>
          <w:szCs w:val="20"/>
          <w:lang w:eastAsia="en-US"/>
        </w:rPr>
        <w:t xml:space="preserve"> </w:t>
      </w:r>
      <w:r w:rsidRPr="00894701">
        <w:rPr>
          <w:rFonts w:asciiTheme="minorHAnsi" w:hAnsiTheme="minorHAnsi" w:cs="TrebuchetMS"/>
          <w:color w:val="000000"/>
          <w:kern w:val="0"/>
          <w:sz w:val="20"/>
          <w:szCs w:val="20"/>
          <w:lang w:eastAsia="en-US"/>
        </w:rPr>
        <w:t>a</w:t>
      </w:r>
      <w:r w:rsidRPr="00894701">
        <w:rPr>
          <w:rFonts w:asciiTheme="minorHAnsi" w:hAnsiTheme="minorHAnsi" w:cs="TrebuchetMS"/>
          <w:color w:val="000000"/>
          <w:spacing w:val="28"/>
          <w:kern w:val="0"/>
          <w:sz w:val="20"/>
          <w:szCs w:val="20"/>
          <w:lang w:eastAsia="en-US"/>
        </w:rPr>
        <w:t xml:space="preserve"> </w:t>
      </w:r>
      <w:r w:rsidRPr="00894701">
        <w:rPr>
          <w:rFonts w:asciiTheme="minorHAnsi" w:hAnsiTheme="minorHAnsi" w:cs="TrebuchetMS"/>
          <w:color w:val="000000"/>
          <w:kern w:val="0"/>
          <w:sz w:val="20"/>
          <w:szCs w:val="20"/>
          <w:lang w:eastAsia="en-US"/>
        </w:rPr>
        <w:t>contract</w:t>
      </w:r>
      <w:r w:rsidRPr="00894701">
        <w:rPr>
          <w:rFonts w:asciiTheme="minorHAnsi" w:hAnsiTheme="minorHAnsi" w:cs="TrebuchetMS"/>
          <w:color w:val="000000"/>
          <w:spacing w:val="26"/>
          <w:kern w:val="0"/>
          <w:sz w:val="20"/>
          <w:szCs w:val="20"/>
          <w:lang w:eastAsia="en-US"/>
        </w:rPr>
        <w:t xml:space="preserve"> </w:t>
      </w:r>
      <w:r w:rsidRPr="00894701">
        <w:rPr>
          <w:rFonts w:asciiTheme="minorHAnsi" w:hAnsiTheme="minorHAnsi" w:cs="TrebuchetMS"/>
          <w:color w:val="000000"/>
          <w:kern w:val="0"/>
          <w:sz w:val="20"/>
          <w:szCs w:val="20"/>
          <w:lang w:eastAsia="en-US"/>
        </w:rPr>
        <w:t>area</w:t>
      </w:r>
      <w:r w:rsidRPr="00894701">
        <w:rPr>
          <w:rFonts w:asciiTheme="minorHAnsi" w:hAnsiTheme="minorHAnsi" w:cs="TrebuchetMS"/>
          <w:color w:val="000000"/>
          <w:spacing w:val="29"/>
          <w:kern w:val="0"/>
          <w:sz w:val="20"/>
          <w:szCs w:val="20"/>
          <w:lang w:eastAsia="en-US"/>
        </w:rPr>
        <w:t xml:space="preserve"> </w:t>
      </w:r>
      <w:r w:rsidRPr="00894701">
        <w:rPr>
          <w:rFonts w:asciiTheme="minorHAnsi" w:hAnsiTheme="minorHAnsi" w:cs="TrebuchetMS"/>
          <w:color w:val="000000"/>
          <w:kern w:val="0"/>
          <w:sz w:val="20"/>
          <w:szCs w:val="20"/>
          <w:lang w:eastAsia="en-US"/>
        </w:rPr>
        <w:t>(Block)</w:t>
      </w:r>
      <w:r w:rsidRPr="00894701">
        <w:rPr>
          <w:rFonts w:asciiTheme="minorHAnsi" w:hAnsiTheme="minorHAnsi" w:cs="TrebuchetMS"/>
          <w:color w:val="000000"/>
          <w:spacing w:val="26"/>
          <w:kern w:val="0"/>
          <w:sz w:val="20"/>
          <w:szCs w:val="20"/>
          <w:lang w:eastAsia="en-US"/>
        </w:rPr>
        <w:t xml:space="preserve"> </w:t>
      </w:r>
      <w:r w:rsidRPr="00894701">
        <w:rPr>
          <w:rFonts w:asciiTheme="minorHAnsi" w:hAnsiTheme="minorHAnsi" w:cs="TrebuchetMS"/>
          <w:color w:val="000000"/>
          <w:kern w:val="0"/>
          <w:sz w:val="20"/>
          <w:szCs w:val="20"/>
          <w:lang w:eastAsia="en-US"/>
        </w:rPr>
        <w:t>to</w:t>
      </w:r>
      <w:r w:rsidRPr="00894701">
        <w:rPr>
          <w:rFonts w:asciiTheme="minorHAnsi" w:hAnsiTheme="minorHAnsi" w:cs="TrebuchetMS"/>
          <w:color w:val="000000"/>
          <w:spacing w:val="26"/>
          <w:kern w:val="0"/>
          <w:sz w:val="20"/>
          <w:szCs w:val="20"/>
          <w:lang w:eastAsia="en-US"/>
        </w:rPr>
        <w:t xml:space="preserve"> </w:t>
      </w:r>
      <w:r w:rsidRPr="00894701">
        <w:rPr>
          <w:rFonts w:asciiTheme="minorHAnsi" w:hAnsiTheme="minorHAnsi" w:cs="TrebuchetMS"/>
          <w:color w:val="000000"/>
          <w:kern w:val="0"/>
          <w:sz w:val="20"/>
          <w:szCs w:val="20"/>
          <w:lang w:eastAsia="en-US"/>
        </w:rPr>
        <w:t>a contractor (IOC).</w:t>
      </w:r>
      <w:r w:rsidRPr="00894701">
        <w:rPr>
          <w:rFonts w:asciiTheme="minorHAnsi" w:hAnsiTheme="minorHAnsi" w:cs="TrebuchetMS"/>
          <w:color w:val="000000"/>
          <w:spacing w:val="-2"/>
          <w:kern w:val="0"/>
          <w:sz w:val="20"/>
          <w:szCs w:val="20"/>
          <w:lang w:eastAsia="en-US"/>
        </w:rPr>
        <w:t xml:space="preserve"> </w:t>
      </w:r>
      <w:r w:rsidRPr="00894701">
        <w:rPr>
          <w:rFonts w:asciiTheme="minorHAnsi" w:hAnsiTheme="minorHAnsi" w:cs="TrebuchetMS"/>
          <w:color w:val="000000"/>
          <w:kern w:val="0"/>
          <w:sz w:val="20"/>
          <w:szCs w:val="20"/>
          <w:lang w:eastAsia="en-US"/>
        </w:rPr>
        <w:t xml:space="preserve">The offshore area is demarcated into blocks. </w:t>
      </w:r>
    </w:p>
    <w:p w14:paraId="2BAA55A6" w14:textId="77777777" w:rsidR="00CA282D" w:rsidRPr="00894701" w:rsidRDefault="00CA282D" w:rsidP="00CA282D">
      <w:pPr>
        <w:spacing w:before="120" w:line="260" w:lineRule="exact"/>
        <w:jc w:val="both"/>
        <w:rPr>
          <w:rFonts w:asciiTheme="minorHAnsi" w:hAnsiTheme="minorHAnsi" w:cs="TrebuchetMS"/>
          <w:color w:val="000000"/>
          <w:kern w:val="0"/>
          <w:sz w:val="20"/>
          <w:szCs w:val="20"/>
          <w:lang w:eastAsia="en-US"/>
        </w:rPr>
      </w:pPr>
      <w:r w:rsidRPr="00894701">
        <w:rPr>
          <w:rFonts w:asciiTheme="minorHAnsi" w:hAnsiTheme="minorHAnsi" w:cs="TrebuchetMS"/>
          <w:color w:val="000000"/>
          <w:kern w:val="0"/>
          <w:sz w:val="20"/>
          <w:szCs w:val="20"/>
          <w:lang w:eastAsia="en-US"/>
        </w:rPr>
        <w:t xml:space="preserve">Staatsolie’s operations, from its beginning up to today, onshore upstream activities and from 1997 to date, also downstream activities. Is a vertically integrated energy company with four subsidiaries and a 25% capital investment in the gold mining industry, Suriname Gold Project CV (SGP). </w:t>
      </w:r>
    </w:p>
    <w:p w14:paraId="40A48D82" w14:textId="77777777" w:rsidR="00CA282D" w:rsidRPr="00894701" w:rsidRDefault="00CA282D" w:rsidP="00CA282D">
      <w:pPr>
        <w:spacing w:before="120" w:line="260" w:lineRule="exact"/>
        <w:jc w:val="both"/>
        <w:rPr>
          <w:rFonts w:asciiTheme="minorHAnsi" w:hAnsiTheme="minorHAnsi"/>
          <w:color w:val="010302"/>
          <w:kern w:val="0"/>
          <w:sz w:val="22"/>
          <w:szCs w:val="22"/>
          <w:lang w:eastAsia="en-US"/>
        </w:rPr>
      </w:pPr>
      <w:r w:rsidRPr="00894701">
        <w:rPr>
          <w:rFonts w:asciiTheme="minorHAnsi" w:hAnsiTheme="minorHAnsi" w:cs="TrebuchetMS"/>
          <w:color w:val="000000"/>
          <w:kern w:val="0"/>
          <w:sz w:val="20"/>
          <w:szCs w:val="20"/>
          <w:lang w:eastAsia="en-US"/>
        </w:rPr>
        <w:t xml:space="preserve">Staatsolie is a vertically integrated energy company which has 4 subsidiaries and has invested in the gold mining industry: </w:t>
      </w:r>
    </w:p>
    <w:p w14:paraId="03D583A8" w14:textId="77777777" w:rsidR="00CA282D" w:rsidRPr="00894701" w:rsidRDefault="00CA282D" w:rsidP="00241564">
      <w:pPr>
        <w:pStyle w:val="ListParagraph"/>
        <w:widowControl w:val="0"/>
        <w:numPr>
          <w:ilvl w:val="0"/>
          <w:numId w:val="36"/>
        </w:numPr>
        <w:spacing w:after="0" w:line="352" w:lineRule="exact"/>
        <w:ind w:right="784"/>
        <w:jc w:val="both"/>
        <w:rPr>
          <w:rFonts w:asciiTheme="minorHAnsi" w:hAnsiTheme="minorHAnsi" w:cs="SymbolMT"/>
          <w:color w:val="000000"/>
          <w:kern w:val="0"/>
          <w:sz w:val="20"/>
          <w:szCs w:val="20"/>
          <w:lang w:eastAsia="en-US"/>
        </w:rPr>
      </w:pPr>
      <w:r w:rsidRPr="00894701">
        <w:rPr>
          <w:rFonts w:asciiTheme="minorHAnsi" w:hAnsiTheme="minorHAnsi" w:cs="SymbolMT"/>
          <w:color w:val="000000"/>
          <w:kern w:val="0"/>
          <w:sz w:val="20"/>
          <w:szCs w:val="20"/>
          <w:lang w:eastAsia="en-US"/>
        </w:rPr>
        <w:t xml:space="preserve">Ventrin Petroleum Company Limited, a Trinidad-based bunkering company (sole owner); </w:t>
      </w:r>
    </w:p>
    <w:p w14:paraId="312865D3" w14:textId="77777777" w:rsidR="00CA282D" w:rsidRPr="00894701" w:rsidRDefault="00CA282D" w:rsidP="00CA282D">
      <w:pPr>
        <w:pStyle w:val="ListParagraph"/>
        <w:widowControl w:val="0"/>
        <w:numPr>
          <w:ilvl w:val="0"/>
          <w:numId w:val="36"/>
        </w:numPr>
        <w:spacing w:after="0" w:line="352" w:lineRule="exact"/>
        <w:ind w:right="784"/>
        <w:jc w:val="both"/>
        <w:rPr>
          <w:rFonts w:asciiTheme="minorHAnsi" w:hAnsiTheme="minorHAnsi" w:cs="SymbolMT"/>
          <w:color w:val="000000"/>
          <w:kern w:val="0"/>
          <w:sz w:val="20"/>
          <w:szCs w:val="20"/>
          <w:lang w:eastAsia="en-US"/>
        </w:rPr>
      </w:pPr>
      <w:r w:rsidRPr="00894701">
        <w:rPr>
          <w:rFonts w:asciiTheme="minorHAnsi" w:hAnsiTheme="minorHAnsi" w:cs="SymbolMT"/>
          <w:color w:val="000000"/>
          <w:kern w:val="0"/>
          <w:sz w:val="20"/>
          <w:szCs w:val="20"/>
          <w:lang w:eastAsia="en-US"/>
        </w:rPr>
        <w:t xml:space="preserve">GOw2 Energy Suriname N.V., a subsidiary through which Staatsolie entered the retail market in 2011 (sole owner); </w:t>
      </w:r>
    </w:p>
    <w:p w14:paraId="59E9BDBF" w14:textId="547C40E4" w:rsidR="00CA282D" w:rsidRPr="00894701" w:rsidRDefault="00CA282D" w:rsidP="00446B8D">
      <w:pPr>
        <w:pStyle w:val="ListParagraph"/>
        <w:widowControl w:val="0"/>
        <w:numPr>
          <w:ilvl w:val="0"/>
          <w:numId w:val="42"/>
        </w:numPr>
        <w:spacing w:after="0" w:line="352" w:lineRule="exact"/>
        <w:ind w:right="784"/>
        <w:jc w:val="both"/>
        <w:rPr>
          <w:rFonts w:asciiTheme="minorHAnsi" w:hAnsiTheme="minorHAnsi" w:cs="SymbolMT"/>
          <w:color w:val="000000"/>
          <w:kern w:val="0"/>
          <w:sz w:val="20"/>
          <w:szCs w:val="20"/>
          <w:lang w:eastAsia="en-US"/>
        </w:rPr>
      </w:pPr>
      <w:r w:rsidRPr="00894701">
        <w:rPr>
          <w:rFonts w:asciiTheme="minorHAnsi" w:hAnsiTheme="minorHAnsi" w:cs="SymbolMT"/>
          <w:color w:val="000000"/>
          <w:kern w:val="0"/>
          <w:sz w:val="20"/>
          <w:szCs w:val="20"/>
          <w:lang w:eastAsia="en-US"/>
        </w:rPr>
        <w:t xml:space="preserve">Paradise Hydrocarbon Company N.V., a company for carrying out exploration and production activities in cooperation with third parties (sole owner); </w:t>
      </w:r>
    </w:p>
    <w:p w14:paraId="7721315C" w14:textId="77777777" w:rsidR="00CA282D" w:rsidRPr="00894701" w:rsidRDefault="00CA282D" w:rsidP="00CA282D">
      <w:pPr>
        <w:pStyle w:val="ListParagraph"/>
        <w:widowControl w:val="0"/>
        <w:numPr>
          <w:ilvl w:val="0"/>
          <w:numId w:val="36"/>
        </w:numPr>
        <w:spacing w:after="0" w:line="352" w:lineRule="exact"/>
        <w:ind w:right="784"/>
        <w:jc w:val="both"/>
        <w:rPr>
          <w:rFonts w:asciiTheme="minorHAnsi" w:hAnsiTheme="minorHAnsi" w:cs="SymbolMT"/>
          <w:color w:val="000000"/>
          <w:kern w:val="0"/>
          <w:sz w:val="20"/>
          <w:szCs w:val="20"/>
          <w:lang w:eastAsia="en-US"/>
        </w:rPr>
      </w:pPr>
      <w:r w:rsidRPr="00894701">
        <w:rPr>
          <w:rFonts w:asciiTheme="minorHAnsi" w:hAnsiTheme="minorHAnsi" w:cs="SymbolMT"/>
          <w:color w:val="000000"/>
          <w:kern w:val="0"/>
          <w:sz w:val="20"/>
          <w:szCs w:val="20"/>
          <w:lang w:eastAsia="en-US"/>
        </w:rPr>
        <w:t>Staatsolie Power Company Suriname N.V. (SPCS), a thermal plant (sole owner); and</w:t>
      </w:r>
    </w:p>
    <w:p w14:paraId="4F6F829E" w14:textId="310B7E71" w:rsidR="00CA282D" w:rsidRPr="00894701" w:rsidRDefault="00CA282D" w:rsidP="00CA282D">
      <w:pPr>
        <w:pStyle w:val="ListParagraph"/>
        <w:widowControl w:val="0"/>
        <w:numPr>
          <w:ilvl w:val="0"/>
          <w:numId w:val="36"/>
        </w:numPr>
        <w:spacing w:after="0" w:line="352" w:lineRule="exact"/>
        <w:ind w:right="784"/>
        <w:jc w:val="both"/>
        <w:rPr>
          <w:rFonts w:asciiTheme="minorHAnsi" w:hAnsiTheme="minorHAnsi"/>
          <w:color w:val="010302"/>
          <w:kern w:val="0"/>
          <w:sz w:val="22"/>
          <w:szCs w:val="22"/>
          <w:lang w:eastAsia="en-US"/>
        </w:rPr>
      </w:pPr>
      <w:r w:rsidRPr="00894701">
        <w:rPr>
          <w:rFonts w:asciiTheme="minorHAnsi" w:hAnsiTheme="minorHAnsi" w:cs="SymbolMT"/>
          <w:color w:val="000000"/>
          <w:kern w:val="0"/>
          <w:sz w:val="20"/>
          <w:szCs w:val="20"/>
          <w:lang w:eastAsia="en-US"/>
        </w:rPr>
        <w:t xml:space="preserve">a 25% interest in Merian Gold Mine operated by Newmont Suriname. </w:t>
      </w:r>
    </w:p>
    <w:p w14:paraId="12F14AF2" w14:textId="3650EC59" w:rsidR="00C43AC0" w:rsidRDefault="00C43AC0" w:rsidP="00241564">
      <w:pPr>
        <w:widowControl w:val="0"/>
        <w:spacing w:after="0" w:line="352" w:lineRule="exact"/>
        <w:ind w:right="784"/>
        <w:jc w:val="both"/>
        <w:rPr>
          <w:rFonts w:asciiTheme="minorHAnsi" w:hAnsiTheme="minorHAnsi" w:cs="SymbolMT"/>
          <w:color w:val="000000"/>
          <w:kern w:val="0"/>
          <w:sz w:val="20"/>
          <w:szCs w:val="20"/>
          <w:lang w:eastAsia="en-US"/>
        </w:rPr>
      </w:pPr>
      <w:r>
        <w:rPr>
          <w:rFonts w:asciiTheme="minorHAnsi" w:hAnsiTheme="minorHAnsi" w:cs="SymbolMT"/>
          <w:color w:val="000000"/>
          <w:kern w:val="0"/>
          <w:sz w:val="20"/>
          <w:szCs w:val="20"/>
          <w:lang w:eastAsia="en-US"/>
        </w:rPr>
        <w:br w:type="page"/>
      </w:r>
    </w:p>
    <w:p w14:paraId="5987DEC2" w14:textId="77777777" w:rsidR="00241564" w:rsidRPr="00894701" w:rsidRDefault="00241564" w:rsidP="00241564">
      <w:pPr>
        <w:widowControl w:val="0"/>
        <w:spacing w:after="0" w:line="352" w:lineRule="exact"/>
        <w:ind w:right="784"/>
        <w:jc w:val="both"/>
        <w:rPr>
          <w:rFonts w:asciiTheme="minorHAnsi" w:hAnsiTheme="minorHAnsi" w:cs="SymbolMT"/>
          <w:color w:val="000000"/>
          <w:kern w:val="0"/>
          <w:sz w:val="20"/>
          <w:szCs w:val="20"/>
          <w:lang w:eastAsia="en-US"/>
        </w:rPr>
      </w:pPr>
    </w:p>
    <w:p w14:paraId="14957FB2" w14:textId="20FE8A06" w:rsidR="00CA282D" w:rsidRPr="00894701" w:rsidRDefault="00CA282D" w:rsidP="00241564">
      <w:pPr>
        <w:widowControl w:val="0"/>
        <w:spacing w:after="0" w:line="352" w:lineRule="exact"/>
        <w:ind w:right="784"/>
        <w:jc w:val="both"/>
        <w:rPr>
          <w:rFonts w:asciiTheme="minorHAnsi" w:hAnsiTheme="minorHAnsi" w:cs="TrebuchetMS"/>
          <w:color w:val="000000"/>
          <w:kern w:val="0"/>
          <w:sz w:val="20"/>
          <w:szCs w:val="20"/>
          <w:lang w:eastAsia="en-US"/>
        </w:rPr>
      </w:pPr>
      <w:r w:rsidRPr="00894701">
        <w:rPr>
          <w:rFonts w:asciiTheme="minorHAnsi" w:hAnsiTheme="minorHAnsi" w:cs="SymbolMT"/>
          <w:color w:val="000000"/>
          <w:kern w:val="0"/>
          <w:sz w:val="20"/>
          <w:szCs w:val="20"/>
          <w:lang w:eastAsia="en-US"/>
        </w:rPr>
        <w:t>The table below is an overview of Staatsolie subsidiaries.</w:t>
      </w:r>
      <w:r w:rsidRPr="00894701">
        <w:rPr>
          <w:rFonts w:asciiTheme="minorHAnsi" w:hAnsiTheme="minorHAnsi" w:cs="TrebuchetMS"/>
          <w:color w:val="000000"/>
          <w:kern w:val="0"/>
          <w:sz w:val="20"/>
          <w:szCs w:val="20"/>
          <w:lang w:eastAsia="en-US"/>
        </w:rPr>
        <w:t xml:space="preserve"> </w:t>
      </w:r>
    </w:p>
    <w:p w14:paraId="46508696" w14:textId="77777777" w:rsidR="00CA282D" w:rsidRPr="00894701" w:rsidRDefault="00CA282D" w:rsidP="00CA282D">
      <w:pPr>
        <w:jc w:val="both"/>
        <w:rPr>
          <w:rFonts w:asciiTheme="majorHAnsi" w:hAnsiTheme="majorHAnsi" w:cs="Arial"/>
          <w:color w:val="auto"/>
          <w:sz w:val="20"/>
        </w:rPr>
      </w:pPr>
    </w:p>
    <w:p w14:paraId="1A4807CE" w14:textId="62FACF4F" w:rsidR="00CA282D" w:rsidRPr="00894701" w:rsidRDefault="00CA282D" w:rsidP="00CA282D">
      <w:pPr>
        <w:jc w:val="center"/>
        <w:rPr>
          <w:rFonts w:asciiTheme="minorHAnsi" w:hAnsiTheme="minorHAnsi"/>
          <w:color w:val="010302"/>
        </w:rPr>
      </w:pPr>
      <w:bookmarkStart w:id="234" w:name="_Toc93095223"/>
      <w:bookmarkStart w:id="235" w:name="_Toc109599093"/>
      <w:bookmarkStart w:id="236" w:name="_Toc146590500"/>
      <w:r w:rsidRPr="00894701">
        <w:rPr>
          <w:rFonts w:asciiTheme="majorHAnsi" w:hAnsiTheme="majorHAnsi"/>
          <w:b/>
          <w:bCs/>
          <w:color w:val="98002E" w:themeColor="accent3"/>
          <w:sz w:val="20"/>
        </w:rPr>
        <w:t xml:space="preserve">Table </w:t>
      </w:r>
      <w:r w:rsidRPr="00894701">
        <w:rPr>
          <w:rFonts w:asciiTheme="majorHAnsi" w:hAnsiTheme="majorHAnsi"/>
          <w:b/>
          <w:bCs/>
          <w:color w:val="98002E" w:themeColor="accent3"/>
          <w:sz w:val="20"/>
        </w:rPr>
        <w:fldChar w:fldCharType="begin"/>
      </w:r>
      <w:r w:rsidRPr="00894701">
        <w:rPr>
          <w:rFonts w:asciiTheme="majorHAnsi" w:hAnsiTheme="majorHAnsi"/>
          <w:b/>
          <w:bCs/>
          <w:color w:val="98002E" w:themeColor="accent3"/>
          <w:sz w:val="20"/>
        </w:rPr>
        <w:instrText xml:space="preserve"> SEQ Table \* ARABIC </w:instrText>
      </w:r>
      <w:r w:rsidRPr="00894701">
        <w:rPr>
          <w:rFonts w:asciiTheme="majorHAnsi" w:hAnsiTheme="majorHAnsi"/>
          <w:b/>
          <w:bCs/>
          <w:color w:val="98002E" w:themeColor="accent3"/>
          <w:sz w:val="20"/>
        </w:rPr>
        <w:fldChar w:fldCharType="separate"/>
      </w:r>
      <w:r w:rsidR="0035303B">
        <w:rPr>
          <w:rFonts w:asciiTheme="majorHAnsi" w:hAnsiTheme="majorHAnsi"/>
          <w:b/>
          <w:bCs/>
          <w:noProof/>
          <w:color w:val="98002E" w:themeColor="accent3"/>
          <w:sz w:val="20"/>
        </w:rPr>
        <w:t>28</w:t>
      </w:r>
      <w:r w:rsidRPr="00894701">
        <w:rPr>
          <w:rFonts w:asciiTheme="majorHAnsi" w:hAnsiTheme="majorHAnsi"/>
          <w:b/>
          <w:bCs/>
          <w:color w:val="98002E" w:themeColor="accent3"/>
          <w:sz w:val="20"/>
        </w:rPr>
        <w:fldChar w:fldCharType="end"/>
      </w:r>
      <w:r w:rsidRPr="00894701">
        <w:rPr>
          <w:rFonts w:asciiTheme="majorHAnsi" w:hAnsiTheme="majorHAnsi"/>
          <w:b/>
          <w:bCs/>
          <w:color w:val="98002E" w:themeColor="accent3"/>
          <w:sz w:val="20"/>
        </w:rPr>
        <w:t xml:space="preserve">: </w:t>
      </w:r>
      <w:bookmarkEnd w:id="234"/>
      <w:r w:rsidRPr="00894701">
        <w:rPr>
          <w:rFonts w:asciiTheme="minorHAnsi" w:hAnsiTheme="minorHAnsi" w:cs="TrebuchetMS-Bold"/>
          <w:b/>
          <w:bCs/>
          <w:color w:val="98002E"/>
          <w:sz w:val="20"/>
          <w:szCs w:val="20"/>
        </w:rPr>
        <w:t>Overview Staatsolie</w:t>
      </w:r>
      <w:r w:rsidRPr="00894701">
        <w:rPr>
          <w:rFonts w:asciiTheme="minorHAnsi" w:hAnsiTheme="minorHAnsi" w:cs="TrebuchetMS-Bold"/>
          <w:b/>
          <w:bCs/>
          <w:color w:val="98002E"/>
          <w:spacing w:val="-13"/>
          <w:sz w:val="20"/>
          <w:szCs w:val="20"/>
        </w:rPr>
        <w:t>’</w:t>
      </w:r>
      <w:r w:rsidRPr="00894701">
        <w:rPr>
          <w:rFonts w:asciiTheme="minorHAnsi" w:hAnsiTheme="minorHAnsi" w:cs="TrebuchetMS-Bold"/>
          <w:b/>
          <w:bCs/>
          <w:color w:val="98002E"/>
          <w:sz w:val="20"/>
          <w:szCs w:val="20"/>
        </w:rPr>
        <w:t>s subsidiaries</w:t>
      </w:r>
      <w:bookmarkEnd w:id="235"/>
      <w:bookmarkEnd w:id="236"/>
    </w:p>
    <w:p w14:paraId="58601F1C" w14:textId="77777777" w:rsidR="00CA282D" w:rsidRPr="00894701" w:rsidRDefault="00CA282D" w:rsidP="00CA282D">
      <w:pPr>
        <w:spacing w:before="120" w:line="260" w:lineRule="exact"/>
        <w:jc w:val="both"/>
        <w:rPr>
          <w:rFonts w:asciiTheme="minorHAnsi" w:hAnsiTheme="minorHAnsi" w:cs="TrebuchetMS"/>
          <w:color w:val="auto"/>
          <w:sz w:val="20"/>
          <w:szCs w:val="20"/>
        </w:rPr>
      </w:pPr>
    </w:p>
    <w:tbl>
      <w:tblPr>
        <w:tblStyle w:val="TableGrid"/>
        <w:tblpPr w:vertAnchor="text" w:horzAnchor="page" w:tblpX="1440" w:tblpY="-270"/>
        <w:tblOverlap w:val="never"/>
        <w:tblW w:w="9012" w:type="dxa"/>
        <w:tblLayout w:type="fixed"/>
        <w:tblLook w:val="04A0" w:firstRow="1" w:lastRow="0" w:firstColumn="1" w:lastColumn="0" w:noHBand="0" w:noVBand="1"/>
      </w:tblPr>
      <w:tblGrid>
        <w:gridCol w:w="236"/>
        <w:gridCol w:w="4275"/>
        <w:gridCol w:w="236"/>
        <w:gridCol w:w="236"/>
        <w:gridCol w:w="1608"/>
        <w:gridCol w:w="236"/>
        <w:gridCol w:w="236"/>
        <w:gridCol w:w="1713"/>
        <w:gridCol w:w="236"/>
      </w:tblGrid>
      <w:tr w:rsidR="002E04D6" w:rsidRPr="00894701" w14:paraId="625705DF" w14:textId="77777777" w:rsidTr="00446B8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6" w:type="dxa"/>
            <w:tcBorders>
              <w:top w:val="single" w:sz="4" w:space="0" w:color="F65275"/>
              <w:left w:val="single" w:sz="4" w:space="0" w:color="F65275"/>
              <w:bottom w:val="single" w:sz="4" w:space="0" w:color="F65275"/>
            </w:tcBorders>
            <w:shd w:val="clear" w:color="auto" w:fill="7A091A"/>
            <w:vAlign w:val="center"/>
          </w:tcPr>
          <w:p w14:paraId="7A9654A1" w14:textId="77777777" w:rsidR="00CA282D" w:rsidRPr="00894701" w:rsidRDefault="00CA282D" w:rsidP="00446B8D">
            <w:pPr>
              <w:rPr>
                <w:rFonts w:asciiTheme="minorHAnsi" w:hAnsiTheme="minorHAnsi"/>
                <w:color w:val="000000" w:themeColor="text1"/>
                <w:sz w:val="1"/>
                <w:szCs w:val="1"/>
              </w:rPr>
            </w:pPr>
          </w:p>
        </w:tc>
        <w:tc>
          <w:tcPr>
            <w:tcW w:w="4275" w:type="dxa"/>
            <w:tcBorders>
              <w:top w:val="single" w:sz="4" w:space="0" w:color="F65275"/>
              <w:bottom w:val="single" w:sz="4" w:space="0" w:color="F65275"/>
            </w:tcBorders>
            <w:shd w:val="clear" w:color="auto" w:fill="7A091A"/>
            <w:vAlign w:val="center"/>
          </w:tcPr>
          <w:p w14:paraId="74398E0F" w14:textId="77777777" w:rsidR="00CA282D" w:rsidRPr="00894701" w:rsidRDefault="00CA282D" w:rsidP="00446B8D">
            <w:pPr>
              <w:spacing w:before="124"/>
              <w:cnfStyle w:val="100000000000" w:firstRow="1" w:lastRow="0" w:firstColumn="0" w:lastColumn="0" w:oddVBand="0" w:evenVBand="0" w:oddHBand="0" w:evenHBand="0" w:firstRowFirstColumn="0" w:firstRowLastColumn="0" w:lastRowFirstColumn="0" w:lastRowLastColumn="0"/>
              <w:rPr>
                <w:rFonts w:asciiTheme="minorHAnsi" w:hAnsiTheme="minorHAnsi"/>
                <w:color w:val="010302"/>
              </w:rPr>
            </w:pPr>
            <w:r w:rsidRPr="00894701">
              <w:rPr>
                <w:rFonts w:asciiTheme="minorHAnsi" w:hAnsiTheme="minorHAnsi" w:cs="TrebuchetMS-Bold"/>
                <w:b/>
                <w:bCs/>
                <w:color w:val="FFFFFF"/>
                <w:szCs w:val="18"/>
              </w:rPr>
              <w:t xml:space="preserve">Subsidiaries </w:t>
            </w:r>
          </w:p>
        </w:tc>
        <w:tc>
          <w:tcPr>
            <w:tcW w:w="236" w:type="dxa"/>
            <w:tcBorders>
              <w:top w:val="single" w:sz="4" w:space="0" w:color="F65275"/>
              <w:bottom w:val="single" w:sz="4" w:space="0" w:color="F65275"/>
              <w:right w:val="single" w:sz="4" w:space="0" w:color="F65275"/>
            </w:tcBorders>
            <w:shd w:val="clear" w:color="auto" w:fill="7A091A"/>
            <w:vAlign w:val="center"/>
          </w:tcPr>
          <w:p w14:paraId="5F0BD31A" w14:textId="77777777" w:rsidR="00CA282D" w:rsidRPr="00894701" w:rsidRDefault="00CA282D" w:rsidP="00446B8D">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themeColor="text1"/>
                <w:sz w:val="1"/>
                <w:szCs w:val="1"/>
              </w:rPr>
            </w:pPr>
          </w:p>
        </w:tc>
        <w:tc>
          <w:tcPr>
            <w:tcW w:w="236" w:type="dxa"/>
            <w:tcBorders>
              <w:top w:val="single" w:sz="4" w:space="0" w:color="F65275"/>
              <w:left w:val="single" w:sz="4" w:space="0" w:color="F65275"/>
              <w:bottom w:val="single" w:sz="4" w:space="0" w:color="F65275"/>
            </w:tcBorders>
            <w:shd w:val="clear" w:color="auto" w:fill="7A091A"/>
            <w:vAlign w:val="center"/>
          </w:tcPr>
          <w:p w14:paraId="63AE7DCF" w14:textId="77777777" w:rsidR="00CA282D" w:rsidRPr="00894701" w:rsidRDefault="00CA282D" w:rsidP="00446B8D">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themeColor="text1"/>
                <w:sz w:val="1"/>
                <w:szCs w:val="1"/>
              </w:rPr>
            </w:pPr>
          </w:p>
        </w:tc>
        <w:tc>
          <w:tcPr>
            <w:tcW w:w="1608" w:type="dxa"/>
            <w:tcBorders>
              <w:top w:val="single" w:sz="4" w:space="0" w:color="F65275"/>
              <w:bottom w:val="single" w:sz="4" w:space="0" w:color="F65275"/>
            </w:tcBorders>
            <w:shd w:val="clear" w:color="auto" w:fill="7A091A"/>
            <w:vAlign w:val="center"/>
          </w:tcPr>
          <w:p w14:paraId="381D6795" w14:textId="77777777" w:rsidR="00CA282D" w:rsidRPr="00894701" w:rsidRDefault="00CA282D" w:rsidP="00446B8D">
            <w:pPr>
              <w:spacing w:before="124"/>
              <w:cnfStyle w:val="100000000000" w:firstRow="1" w:lastRow="0" w:firstColumn="0" w:lastColumn="0" w:oddVBand="0" w:evenVBand="0" w:oddHBand="0" w:evenHBand="0" w:firstRowFirstColumn="0" w:firstRowLastColumn="0" w:lastRowFirstColumn="0" w:lastRowLastColumn="0"/>
              <w:rPr>
                <w:rFonts w:asciiTheme="minorHAnsi" w:hAnsiTheme="minorHAnsi"/>
                <w:color w:val="010302"/>
              </w:rPr>
            </w:pPr>
            <w:r w:rsidRPr="00894701">
              <w:rPr>
                <w:rFonts w:asciiTheme="minorHAnsi" w:hAnsiTheme="minorHAnsi" w:cs="TrebuchetMS-Bold"/>
                <w:b/>
                <w:bCs/>
                <w:color w:val="FFFFFF"/>
                <w:szCs w:val="18"/>
              </w:rPr>
              <w:t xml:space="preserve">Activity </w:t>
            </w:r>
          </w:p>
        </w:tc>
        <w:tc>
          <w:tcPr>
            <w:tcW w:w="236" w:type="dxa"/>
            <w:tcBorders>
              <w:top w:val="single" w:sz="4" w:space="0" w:color="F65275"/>
              <w:bottom w:val="single" w:sz="4" w:space="0" w:color="F65275"/>
              <w:right w:val="single" w:sz="4" w:space="0" w:color="F65275"/>
            </w:tcBorders>
            <w:shd w:val="clear" w:color="auto" w:fill="7A091A"/>
            <w:vAlign w:val="center"/>
          </w:tcPr>
          <w:p w14:paraId="5B1BA2DB" w14:textId="77777777" w:rsidR="00CA282D" w:rsidRPr="00894701" w:rsidRDefault="00CA282D" w:rsidP="00446B8D">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themeColor="text1"/>
                <w:sz w:val="1"/>
                <w:szCs w:val="1"/>
              </w:rPr>
            </w:pPr>
          </w:p>
        </w:tc>
        <w:tc>
          <w:tcPr>
            <w:tcW w:w="236" w:type="dxa"/>
            <w:tcBorders>
              <w:top w:val="single" w:sz="4" w:space="0" w:color="F65275"/>
              <w:left w:val="single" w:sz="4" w:space="0" w:color="F65275"/>
              <w:bottom w:val="single" w:sz="4" w:space="0" w:color="F65275"/>
            </w:tcBorders>
            <w:shd w:val="clear" w:color="auto" w:fill="7A091A"/>
            <w:vAlign w:val="center"/>
          </w:tcPr>
          <w:p w14:paraId="4E43A2B2" w14:textId="77777777" w:rsidR="00CA282D" w:rsidRPr="00894701" w:rsidRDefault="00CA282D" w:rsidP="00446B8D">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themeColor="text1"/>
                <w:sz w:val="1"/>
                <w:szCs w:val="1"/>
              </w:rPr>
            </w:pPr>
          </w:p>
        </w:tc>
        <w:tc>
          <w:tcPr>
            <w:tcW w:w="1713" w:type="dxa"/>
            <w:tcBorders>
              <w:top w:val="single" w:sz="4" w:space="0" w:color="F65275"/>
              <w:bottom w:val="single" w:sz="4" w:space="0" w:color="F65275"/>
            </w:tcBorders>
            <w:shd w:val="clear" w:color="auto" w:fill="7A091A"/>
            <w:vAlign w:val="center"/>
          </w:tcPr>
          <w:p w14:paraId="13C5592A" w14:textId="77777777" w:rsidR="00CA282D" w:rsidRPr="00894701" w:rsidRDefault="00CA282D" w:rsidP="00446B8D">
            <w:pPr>
              <w:spacing w:before="124"/>
              <w:cnfStyle w:val="100000000000" w:firstRow="1" w:lastRow="0" w:firstColumn="0" w:lastColumn="0" w:oddVBand="0" w:evenVBand="0" w:oddHBand="0" w:evenHBand="0" w:firstRowFirstColumn="0" w:firstRowLastColumn="0" w:lastRowFirstColumn="0" w:lastRowLastColumn="0"/>
              <w:rPr>
                <w:rFonts w:asciiTheme="minorHAnsi" w:hAnsiTheme="minorHAnsi"/>
                <w:color w:val="010302"/>
              </w:rPr>
            </w:pPr>
            <w:r w:rsidRPr="00894701">
              <w:rPr>
                <w:rFonts w:asciiTheme="minorHAnsi" w:hAnsiTheme="minorHAnsi" w:cs="TrebuchetMS-Bold"/>
                <w:b/>
                <w:bCs/>
                <w:color w:val="FFFFFF"/>
                <w:spacing w:val="-7"/>
                <w:szCs w:val="18"/>
              </w:rPr>
              <w:t>P</w:t>
            </w:r>
            <w:r w:rsidRPr="00894701">
              <w:rPr>
                <w:rFonts w:asciiTheme="minorHAnsi" w:hAnsiTheme="minorHAnsi" w:cs="TrebuchetMS-Bold"/>
                <w:b/>
                <w:bCs/>
                <w:color w:val="FFFFFF"/>
                <w:szCs w:val="18"/>
              </w:rPr>
              <w:t>ercentage ownership</w:t>
            </w:r>
            <w:r w:rsidRPr="00894701">
              <w:rPr>
                <w:rFonts w:asciiTheme="minorHAnsi" w:hAnsiTheme="minorHAnsi"/>
                <w:szCs w:val="18"/>
              </w:rPr>
              <w:t xml:space="preserve"> </w:t>
            </w:r>
          </w:p>
        </w:tc>
        <w:tc>
          <w:tcPr>
            <w:tcW w:w="236" w:type="dxa"/>
            <w:tcBorders>
              <w:top w:val="single" w:sz="4" w:space="0" w:color="F65275"/>
              <w:bottom w:val="single" w:sz="4" w:space="0" w:color="F65275"/>
              <w:right w:val="single" w:sz="4" w:space="0" w:color="F65275"/>
            </w:tcBorders>
            <w:shd w:val="clear" w:color="auto" w:fill="7A091A"/>
            <w:vAlign w:val="center"/>
          </w:tcPr>
          <w:p w14:paraId="14FA5336" w14:textId="77777777" w:rsidR="00CA282D" w:rsidRPr="00894701" w:rsidRDefault="00CA282D" w:rsidP="00446B8D">
            <w:pPr>
              <w:spacing w:before="124"/>
              <w:cnfStyle w:val="100000000000" w:firstRow="1" w:lastRow="0" w:firstColumn="0" w:lastColumn="0" w:oddVBand="0" w:evenVBand="0" w:oddHBand="0" w:evenHBand="0" w:firstRowFirstColumn="0" w:firstRowLastColumn="0" w:lastRowFirstColumn="0" w:lastRowLastColumn="0"/>
              <w:rPr>
                <w:rFonts w:asciiTheme="minorHAnsi" w:hAnsiTheme="minorHAnsi"/>
                <w:color w:val="010302"/>
              </w:rPr>
            </w:pPr>
            <w:r w:rsidRPr="00894701">
              <w:rPr>
                <w:rFonts w:asciiTheme="minorHAnsi" w:hAnsiTheme="minorHAnsi" w:cs="TrebuchetMS-Bold"/>
                <w:b/>
                <w:bCs/>
                <w:color w:val="FFFFFF"/>
                <w:szCs w:val="18"/>
              </w:rPr>
              <w:t xml:space="preserve"> </w:t>
            </w:r>
          </w:p>
        </w:tc>
      </w:tr>
      <w:tr w:rsidR="001E79AF" w:rsidRPr="00894701" w14:paraId="0D4D284E" w14:textId="77777777" w:rsidTr="0097333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6" w:type="dxa"/>
            <w:tcBorders>
              <w:top w:val="single" w:sz="4" w:space="0" w:color="F65275"/>
              <w:left w:val="single" w:sz="4" w:space="0" w:color="F65275"/>
              <w:bottom w:val="single" w:sz="4" w:space="0" w:color="F65275"/>
              <w:right w:val="nil"/>
            </w:tcBorders>
            <w:shd w:val="clear" w:color="auto" w:fill="F7A3B0"/>
            <w:vAlign w:val="center"/>
          </w:tcPr>
          <w:p w14:paraId="3F893240" w14:textId="77777777" w:rsidR="00CA282D" w:rsidRPr="00894701" w:rsidRDefault="00CA282D" w:rsidP="00446B8D">
            <w:pPr>
              <w:rPr>
                <w:rFonts w:asciiTheme="minorHAnsi" w:hAnsiTheme="minorHAnsi"/>
                <w:color w:val="000000" w:themeColor="text1"/>
                <w:sz w:val="1"/>
                <w:szCs w:val="1"/>
              </w:rPr>
            </w:pPr>
          </w:p>
        </w:tc>
        <w:tc>
          <w:tcPr>
            <w:tcW w:w="4275" w:type="dxa"/>
            <w:tcBorders>
              <w:top w:val="single" w:sz="4" w:space="0" w:color="F65275"/>
              <w:left w:val="nil"/>
              <w:bottom w:val="single" w:sz="4" w:space="0" w:color="F65275"/>
              <w:right w:val="nil"/>
            </w:tcBorders>
            <w:shd w:val="clear" w:color="auto" w:fill="F7A3B0"/>
            <w:vAlign w:val="center"/>
          </w:tcPr>
          <w:p w14:paraId="0D598CDB" w14:textId="77777777" w:rsidR="00CA282D" w:rsidRPr="00894701" w:rsidRDefault="00CA282D" w:rsidP="00241564">
            <w:pPr>
              <w:spacing w:before="128"/>
              <w:cnfStyle w:val="000000100000" w:firstRow="0" w:lastRow="0" w:firstColumn="0" w:lastColumn="0" w:oddVBand="0" w:evenVBand="0" w:oddHBand="1" w:evenHBand="0" w:firstRowFirstColumn="0" w:firstRowLastColumn="0" w:lastRowFirstColumn="0" w:lastRowLastColumn="0"/>
              <w:rPr>
                <w:rFonts w:asciiTheme="minorHAnsi" w:hAnsiTheme="minorHAnsi" w:cs="TrebuchetMS"/>
                <w:color w:val="000000"/>
                <w:spacing w:val="-12"/>
                <w:szCs w:val="18"/>
              </w:rPr>
            </w:pPr>
            <w:r w:rsidRPr="00894701">
              <w:rPr>
                <w:rFonts w:asciiTheme="minorHAnsi" w:hAnsiTheme="minorHAnsi" w:cs="TrebuchetMS"/>
                <w:color w:val="000000"/>
                <w:spacing w:val="-12"/>
                <w:szCs w:val="18"/>
              </w:rPr>
              <w:t xml:space="preserve">GOw2 Energy Suriname N.V. (local) </w:t>
            </w:r>
          </w:p>
        </w:tc>
        <w:tc>
          <w:tcPr>
            <w:tcW w:w="236" w:type="dxa"/>
            <w:tcBorders>
              <w:top w:val="single" w:sz="4" w:space="0" w:color="F65275"/>
              <w:left w:val="nil"/>
              <w:bottom w:val="single" w:sz="4" w:space="0" w:color="F65275"/>
              <w:right w:val="single" w:sz="4" w:space="0" w:color="F65275"/>
            </w:tcBorders>
            <w:shd w:val="clear" w:color="auto" w:fill="F7A3B0"/>
            <w:vAlign w:val="center"/>
          </w:tcPr>
          <w:p w14:paraId="3F7D6B99" w14:textId="77777777" w:rsidR="00CA282D" w:rsidRPr="00894701" w:rsidRDefault="00CA282D" w:rsidP="00446B8D">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
                <w:szCs w:val="1"/>
              </w:rPr>
            </w:pPr>
          </w:p>
        </w:tc>
        <w:tc>
          <w:tcPr>
            <w:tcW w:w="236" w:type="dxa"/>
            <w:tcBorders>
              <w:top w:val="single" w:sz="4" w:space="0" w:color="F65275"/>
              <w:left w:val="single" w:sz="4" w:space="0" w:color="F65275"/>
              <w:bottom w:val="single" w:sz="4" w:space="0" w:color="F65275"/>
              <w:right w:val="nil"/>
            </w:tcBorders>
            <w:shd w:val="clear" w:color="auto" w:fill="F7A3B0"/>
            <w:vAlign w:val="center"/>
          </w:tcPr>
          <w:p w14:paraId="4995B5B5" w14:textId="77777777" w:rsidR="00CA282D" w:rsidRPr="00894701" w:rsidRDefault="00CA282D" w:rsidP="00446B8D">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
                <w:szCs w:val="1"/>
              </w:rPr>
            </w:pPr>
          </w:p>
        </w:tc>
        <w:tc>
          <w:tcPr>
            <w:tcW w:w="1608" w:type="dxa"/>
            <w:tcBorders>
              <w:top w:val="single" w:sz="4" w:space="0" w:color="F65275"/>
              <w:left w:val="nil"/>
              <w:bottom w:val="single" w:sz="4" w:space="0" w:color="F65275"/>
              <w:right w:val="nil"/>
            </w:tcBorders>
            <w:shd w:val="clear" w:color="auto" w:fill="F7A3B0"/>
            <w:vAlign w:val="center"/>
          </w:tcPr>
          <w:p w14:paraId="0F68B487" w14:textId="77777777" w:rsidR="00CA282D" w:rsidRPr="00894701" w:rsidRDefault="00CA282D" w:rsidP="00446B8D">
            <w:pPr>
              <w:spacing w:before="12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10302"/>
              </w:rPr>
            </w:pPr>
            <w:r w:rsidRPr="00894701">
              <w:rPr>
                <w:rFonts w:asciiTheme="minorHAnsi" w:hAnsiTheme="minorHAnsi" w:cs="TrebuchetMS"/>
                <w:color w:val="000000"/>
                <w:szCs w:val="18"/>
              </w:rPr>
              <w:t>Down stream</w:t>
            </w:r>
          </w:p>
        </w:tc>
        <w:tc>
          <w:tcPr>
            <w:tcW w:w="236" w:type="dxa"/>
            <w:tcBorders>
              <w:top w:val="single" w:sz="4" w:space="0" w:color="F65275"/>
              <w:left w:val="nil"/>
              <w:bottom w:val="single" w:sz="4" w:space="0" w:color="F65275"/>
              <w:right w:val="single" w:sz="4" w:space="0" w:color="F65275"/>
            </w:tcBorders>
            <w:shd w:val="clear" w:color="auto" w:fill="F7A3B0"/>
            <w:vAlign w:val="center"/>
          </w:tcPr>
          <w:p w14:paraId="3EE2555E" w14:textId="77777777" w:rsidR="00CA282D" w:rsidRPr="00894701" w:rsidRDefault="00CA282D" w:rsidP="00446B8D">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
                <w:szCs w:val="1"/>
              </w:rPr>
            </w:pPr>
          </w:p>
        </w:tc>
        <w:tc>
          <w:tcPr>
            <w:tcW w:w="236" w:type="dxa"/>
            <w:tcBorders>
              <w:top w:val="single" w:sz="4" w:space="0" w:color="F65275"/>
              <w:left w:val="single" w:sz="4" w:space="0" w:color="F65275"/>
              <w:bottom w:val="single" w:sz="4" w:space="0" w:color="F65275"/>
              <w:right w:val="nil"/>
            </w:tcBorders>
            <w:shd w:val="clear" w:color="auto" w:fill="F7A3B0"/>
            <w:vAlign w:val="center"/>
          </w:tcPr>
          <w:p w14:paraId="0BF1C514" w14:textId="77777777" w:rsidR="00CA282D" w:rsidRPr="00894701" w:rsidRDefault="00CA282D" w:rsidP="00446B8D">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
                <w:szCs w:val="1"/>
              </w:rPr>
            </w:pPr>
          </w:p>
        </w:tc>
        <w:tc>
          <w:tcPr>
            <w:tcW w:w="1713" w:type="dxa"/>
            <w:tcBorders>
              <w:top w:val="single" w:sz="4" w:space="0" w:color="F65275"/>
              <w:left w:val="nil"/>
              <w:bottom w:val="single" w:sz="4" w:space="0" w:color="F65275"/>
              <w:right w:val="nil"/>
            </w:tcBorders>
            <w:shd w:val="clear" w:color="auto" w:fill="F7A3B0"/>
            <w:vAlign w:val="center"/>
          </w:tcPr>
          <w:p w14:paraId="55224025" w14:textId="77777777" w:rsidR="00CA282D" w:rsidRPr="00894701" w:rsidRDefault="00CA282D" w:rsidP="00446B8D">
            <w:pPr>
              <w:spacing w:before="128"/>
              <w:cnfStyle w:val="000000100000" w:firstRow="0" w:lastRow="0" w:firstColumn="0" w:lastColumn="0" w:oddVBand="0" w:evenVBand="0" w:oddHBand="1" w:evenHBand="0" w:firstRowFirstColumn="0" w:firstRowLastColumn="0" w:lastRowFirstColumn="0" w:lastRowLastColumn="0"/>
              <w:rPr>
                <w:rFonts w:asciiTheme="minorHAnsi" w:hAnsiTheme="minorHAnsi"/>
                <w:color w:val="010302"/>
              </w:rPr>
            </w:pPr>
            <w:r w:rsidRPr="00894701">
              <w:rPr>
                <w:rFonts w:asciiTheme="minorHAnsi" w:hAnsiTheme="minorHAnsi" w:cs="TrebuchetMS"/>
                <w:color w:val="000000"/>
                <w:szCs w:val="18"/>
              </w:rPr>
              <w:t xml:space="preserve">100% equity owned </w:t>
            </w:r>
          </w:p>
        </w:tc>
        <w:tc>
          <w:tcPr>
            <w:tcW w:w="236" w:type="dxa"/>
            <w:tcBorders>
              <w:top w:val="single" w:sz="4" w:space="0" w:color="F65275"/>
              <w:left w:val="nil"/>
              <w:bottom w:val="single" w:sz="4" w:space="0" w:color="F65275"/>
              <w:right w:val="single" w:sz="4" w:space="0" w:color="F65275"/>
            </w:tcBorders>
            <w:shd w:val="clear" w:color="auto" w:fill="F7A3B0"/>
            <w:vAlign w:val="center"/>
          </w:tcPr>
          <w:p w14:paraId="1E03A7E8" w14:textId="77777777" w:rsidR="00CA282D" w:rsidRPr="00894701" w:rsidRDefault="00CA282D" w:rsidP="00446B8D">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
                <w:szCs w:val="1"/>
              </w:rPr>
            </w:pPr>
          </w:p>
        </w:tc>
      </w:tr>
      <w:tr w:rsidR="00CA282D" w:rsidRPr="00894701" w14:paraId="5907FE63" w14:textId="77777777" w:rsidTr="00446B8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747" w:type="dxa"/>
            <w:gridSpan w:val="3"/>
            <w:tcBorders>
              <w:top w:val="single" w:sz="4" w:space="0" w:color="F65275"/>
              <w:left w:val="single" w:sz="4" w:space="0" w:color="F65275"/>
              <w:bottom w:val="single" w:sz="4" w:space="0" w:color="F65275"/>
              <w:right w:val="single" w:sz="4" w:space="0" w:color="F65275"/>
            </w:tcBorders>
            <w:vAlign w:val="center"/>
          </w:tcPr>
          <w:p w14:paraId="640FF494" w14:textId="77777777" w:rsidR="00CA282D" w:rsidRPr="00894701" w:rsidRDefault="00CA282D" w:rsidP="00446B8D">
            <w:pPr>
              <w:spacing w:before="128"/>
              <w:ind w:left="83"/>
              <w:rPr>
                <w:rFonts w:asciiTheme="minorHAnsi" w:hAnsiTheme="minorHAnsi" w:cs="TrebuchetMS"/>
                <w:color w:val="000000"/>
                <w:spacing w:val="-12"/>
                <w:szCs w:val="18"/>
              </w:rPr>
            </w:pPr>
            <w:r w:rsidRPr="00894701">
              <w:rPr>
                <w:rFonts w:asciiTheme="minorHAnsi" w:hAnsiTheme="minorHAnsi" w:cs="TrebuchetMS"/>
                <w:color w:val="000000"/>
                <w:spacing w:val="-12"/>
                <w:szCs w:val="18"/>
              </w:rPr>
              <w:t xml:space="preserve">Ventrin Petroleum Company Limited (Trinidad &amp; Tobago) </w:t>
            </w:r>
          </w:p>
        </w:tc>
        <w:tc>
          <w:tcPr>
            <w:tcW w:w="2080" w:type="dxa"/>
            <w:gridSpan w:val="3"/>
            <w:tcBorders>
              <w:top w:val="single" w:sz="4" w:space="0" w:color="F65275"/>
              <w:left w:val="single" w:sz="4" w:space="0" w:color="F65275"/>
              <w:bottom w:val="single" w:sz="4" w:space="0" w:color="F65275"/>
              <w:right w:val="single" w:sz="4" w:space="0" w:color="F65275"/>
            </w:tcBorders>
            <w:vAlign w:val="center"/>
          </w:tcPr>
          <w:p w14:paraId="5326AD1A" w14:textId="77777777" w:rsidR="00CA282D" w:rsidRPr="00894701" w:rsidRDefault="00CA282D" w:rsidP="00446B8D">
            <w:pPr>
              <w:spacing w:before="128"/>
              <w:ind w:firstLine="113"/>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10302"/>
              </w:rPr>
            </w:pPr>
            <w:r w:rsidRPr="00894701">
              <w:rPr>
                <w:rFonts w:asciiTheme="minorHAnsi" w:hAnsiTheme="minorHAnsi" w:cs="TrebuchetMS"/>
                <w:color w:val="000000"/>
                <w:szCs w:val="18"/>
              </w:rPr>
              <w:t>Bunkering</w:t>
            </w:r>
          </w:p>
        </w:tc>
        <w:tc>
          <w:tcPr>
            <w:tcW w:w="2185" w:type="dxa"/>
            <w:gridSpan w:val="3"/>
            <w:tcBorders>
              <w:top w:val="single" w:sz="4" w:space="0" w:color="F65275"/>
              <w:left w:val="single" w:sz="4" w:space="0" w:color="F65275"/>
              <w:bottom w:val="single" w:sz="4" w:space="0" w:color="F65275"/>
              <w:right w:val="single" w:sz="4" w:space="0" w:color="F65275"/>
            </w:tcBorders>
            <w:vAlign w:val="center"/>
          </w:tcPr>
          <w:p w14:paraId="0DCBA866" w14:textId="77777777" w:rsidR="00CA282D" w:rsidRPr="00894701" w:rsidRDefault="00CA282D" w:rsidP="00446B8D">
            <w:pPr>
              <w:spacing w:before="128"/>
              <w:ind w:firstLine="112"/>
              <w:cnfStyle w:val="000000010000" w:firstRow="0" w:lastRow="0" w:firstColumn="0" w:lastColumn="0" w:oddVBand="0" w:evenVBand="0" w:oddHBand="0" w:evenHBand="1" w:firstRowFirstColumn="0" w:firstRowLastColumn="0" w:lastRowFirstColumn="0" w:lastRowLastColumn="0"/>
              <w:rPr>
                <w:rFonts w:asciiTheme="minorHAnsi" w:hAnsiTheme="minorHAnsi"/>
                <w:color w:val="010302"/>
              </w:rPr>
            </w:pPr>
            <w:r w:rsidRPr="00894701">
              <w:rPr>
                <w:rFonts w:asciiTheme="minorHAnsi" w:hAnsiTheme="minorHAnsi" w:cs="TrebuchetMS"/>
                <w:color w:val="000000"/>
                <w:szCs w:val="18"/>
              </w:rPr>
              <w:t xml:space="preserve">100% equity owned </w:t>
            </w:r>
          </w:p>
        </w:tc>
      </w:tr>
      <w:tr w:rsidR="001E79AF" w:rsidRPr="00894701" w14:paraId="5787BC1D" w14:textId="77777777" w:rsidTr="0097333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6" w:type="dxa"/>
            <w:tcBorders>
              <w:top w:val="single" w:sz="4" w:space="0" w:color="F65275"/>
              <w:left w:val="single" w:sz="4" w:space="0" w:color="F65275"/>
              <w:bottom w:val="single" w:sz="4" w:space="0" w:color="F65275"/>
              <w:right w:val="nil"/>
            </w:tcBorders>
            <w:shd w:val="clear" w:color="auto" w:fill="F7A3B0"/>
            <w:vAlign w:val="center"/>
          </w:tcPr>
          <w:p w14:paraId="22B6F1AF" w14:textId="77777777" w:rsidR="00CA282D" w:rsidRPr="00894701" w:rsidRDefault="00CA282D" w:rsidP="00446B8D">
            <w:pPr>
              <w:rPr>
                <w:rFonts w:asciiTheme="minorHAnsi" w:hAnsiTheme="minorHAnsi"/>
                <w:color w:val="000000" w:themeColor="text1"/>
                <w:sz w:val="1"/>
                <w:szCs w:val="1"/>
              </w:rPr>
            </w:pPr>
          </w:p>
        </w:tc>
        <w:tc>
          <w:tcPr>
            <w:tcW w:w="4275" w:type="dxa"/>
            <w:tcBorders>
              <w:top w:val="single" w:sz="4" w:space="0" w:color="F65275"/>
              <w:left w:val="nil"/>
              <w:bottom w:val="single" w:sz="4" w:space="0" w:color="F65275"/>
              <w:right w:val="nil"/>
            </w:tcBorders>
            <w:shd w:val="clear" w:color="auto" w:fill="F7A3B0"/>
            <w:vAlign w:val="center"/>
          </w:tcPr>
          <w:p w14:paraId="5F62989E" w14:textId="77777777" w:rsidR="00CA282D" w:rsidRPr="00894701" w:rsidRDefault="00CA282D" w:rsidP="00241564">
            <w:pPr>
              <w:spacing w:before="128"/>
              <w:ind w:left="-67"/>
              <w:cnfStyle w:val="000000100000" w:firstRow="0" w:lastRow="0" w:firstColumn="0" w:lastColumn="0" w:oddVBand="0" w:evenVBand="0" w:oddHBand="1" w:evenHBand="0" w:firstRowFirstColumn="0" w:firstRowLastColumn="0" w:lastRowFirstColumn="0" w:lastRowLastColumn="0"/>
              <w:rPr>
                <w:rFonts w:asciiTheme="minorHAnsi" w:hAnsiTheme="minorHAnsi" w:cs="TrebuchetMS"/>
                <w:color w:val="000000"/>
                <w:spacing w:val="-12"/>
                <w:szCs w:val="18"/>
              </w:rPr>
            </w:pPr>
            <w:r w:rsidRPr="00894701">
              <w:rPr>
                <w:rFonts w:asciiTheme="minorHAnsi" w:hAnsiTheme="minorHAnsi" w:cs="TrebuchetMS"/>
                <w:color w:val="000000"/>
                <w:spacing w:val="-12"/>
                <w:szCs w:val="18"/>
              </w:rPr>
              <w:t xml:space="preserve">Staatsolie Power Company Suriname N.V </w:t>
            </w:r>
            <w:r w:rsidRPr="00894701">
              <w:rPr>
                <w:rFonts w:cs="TrebuchetMS"/>
                <w:color w:val="000000"/>
                <w:spacing w:val="-12"/>
                <w:szCs w:val="18"/>
              </w:rPr>
              <w:footnoteReference w:id="33"/>
            </w:r>
          </w:p>
        </w:tc>
        <w:tc>
          <w:tcPr>
            <w:tcW w:w="236" w:type="dxa"/>
            <w:tcBorders>
              <w:top w:val="single" w:sz="4" w:space="0" w:color="F65275"/>
              <w:left w:val="nil"/>
              <w:bottom w:val="single" w:sz="4" w:space="0" w:color="F65275"/>
              <w:right w:val="single" w:sz="4" w:space="0" w:color="F65275"/>
            </w:tcBorders>
            <w:shd w:val="clear" w:color="auto" w:fill="F7A3B0"/>
            <w:vAlign w:val="center"/>
          </w:tcPr>
          <w:p w14:paraId="6485E1A1" w14:textId="77777777" w:rsidR="00CA282D" w:rsidRPr="00894701" w:rsidRDefault="00CA282D" w:rsidP="00446B8D">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
                <w:szCs w:val="1"/>
              </w:rPr>
            </w:pPr>
          </w:p>
        </w:tc>
        <w:tc>
          <w:tcPr>
            <w:tcW w:w="236" w:type="dxa"/>
            <w:tcBorders>
              <w:top w:val="single" w:sz="4" w:space="0" w:color="F65275"/>
              <w:left w:val="single" w:sz="4" w:space="0" w:color="F65275"/>
              <w:bottom w:val="single" w:sz="4" w:space="0" w:color="F65275"/>
              <w:right w:val="nil"/>
            </w:tcBorders>
            <w:shd w:val="clear" w:color="auto" w:fill="F7A3B0"/>
            <w:vAlign w:val="center"/>
          </w:tcPr>
          <w:p w14:paraId="7F2DBD78" w14:textId="77777777" w:rsidR="00CA282D" w:rsidRPr="00894701" w:rsidRDefault="00CA282D" w:rsidP="00446B8D">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
                <w:szCs w:val="1"/>
              </w:rPr>
            </w:pPr>
          </w:p>
        </w:tc>
        <w:tc>
          <w:tcPr>
            <w:tcW w:w="1608" w:type="dxa"/>
            <w:tcBorders>
              <w:top w:val="single" w:sz="4" w:space="0" w:color="F65275"/>
              <w:left w:val="nil"/>
              <w:bottom w:val="single" w:sz="4" w:space="0" w:color="F65275"/>
              <w:right w:val="nil"/>
            </w:tcBorders>
            <w:shd w:val="clear" w:color="auto" w:fill="F7A3B0"/>
            <w:vAlign w:val="center"/>
          </w:tcPr>
          <w:p w14:paraId="18CA9896" w14:textId="77777777" w:rsidR="00CA282D" w:rsidRPr="00894701" w:rsidRDefault="00CA282D" w:rsidP="00446B8D">
            <w:pPr>
              <w:spacing w:before="12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10302"/>
              </w:rPr>
            </w:pPr>
            <w:r w:rsidRPr="00894701">
              <w:rPr>
                <w:rFonts w:asciiTheme="minorHAnsi" w:hAnsiTheme="minorHAnsi" w:cs="TrebuchetMS"/>
                <w:color w:val="000000"/>
                <w:szCs w:val="18"/>
              </w:rPr>
              <w:t>Electricity power</w:t>
            </w:r>
          </w:p>
        </w:tc>
        <w:tc>
          <w:tcPr>
            <w:tcW w:w="236" w:type="dxa"/>
            <w:tcBorders>
              <w:top w:val="single" w:sz="4" w:space="0" w:color="F65275"/>
              <w:left w:val="nil"/>
              <w:bottom w:val="single" w:sz="4" w:space="0" w:color="F65275"/>
              <w:right w:val="single" w:sz="4" w:space="0" w:color="F65275"/>
            </w:tcBorders>
            <w:shd w:val="clear" w:color="auto" w:fill="F7A3B0"/>
            <w:vAlign w:val="center"/>
          </w:tcPr>
          <w:p w14:paraId="2F4C6CDD" w14:textId="77777777" w:rsidR="00CA282D" w:rsidRPr="00894701" w:rsidRDefault="00CA282D" w:rsidP="00446B8D">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
                <w:szCs w:val="1"/>
              </w:rPr>
            </w:pPr>
          </w:p>
        </w:tc>
        <w:tc>
          <w:tcPr>
            <w:tcW w:w="236" w:type="dxa"/>
            <w:tcBorders>
              <w:top w:val="single" w:sz="4" w:space="0" w:color="F65275"/>
              <w:left w:val="single" w:sz="4" w:space="0" w:color="F65275"/>
              <w:bottom w:val="single" w:sz="4" w:space="0" w:color="F65275"/>
              <w:right w:val="nil"/>
            </w:tcBorders>
            <w:shd w:val="clear" w:color="auto" w:fill="F7A3B0"/>
            <w:vAlign w:val="center"/>
          </w:tcPr>
          <w:p w14:paraId="21F920DF" w14:textId="77777777" w:rsidR="00CA282D" w:rsidRPr="00894701" w:rsidRDefault="00CA282D" w:rsidP="00446B8D">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
                <w:szCs w:val="1"/>
              </w:rPr>
            </w:pPr>
          </w:p>
        </w:tc>
        <w:tc>
          <w:tcPr>
            <w:tcW w:w="1713" w:type="dxa"/>
            <w:tcBorders>
              <w:top w:val="single" w:sz="4" w:space="0" w:color="F65275"/>
              <w:left w:val="nil"/>
              <w:bottom w:val="single" w:sz="4" w:space="0" w:color="F65275"/>
              <w:right w:val="nil"/>
            </w:tcBorders>
            <w:shd w:val="clear" w:color="auto" w:fill="F7A3B0"/>
            <w:vAlign w:val="center"/>
          </w:tcPr>
          <w:p w14:paraId="6D6EC288" w14:textId="77777777" w:rsidR="00CA282D" w:rsidRPr="00894701" w:rsidRDefault="00CA282D" w:rsidP="00446B8D">
            <w:pPr>
              <w:spacing w:before="125"/>
              <w:cnfStyle w:val="000000100000" w:firstRow="0" w:lastRow="0" w:firstColumn="0" w:lastColumn="0" w:oddVBand="0" w:evenVBand="0" w:oddHBand="1" w:evenHBand="0" w:firstRowFirstColumn="0" w:firstRowLastColumn="0" w:lastRowFirstColumn="0" w:lastRowLastColumn="0"/>
              <w:rPr>
                <w:rFonts w:asciiTheme="minorHAnsi" w:hAnsiTheme="minorHAnsi"/>
                <w:color w:val="010302"/>
              </w:rPr>
            </w:pPr>
            <w:r w:rsidRPr="00894701">
              <w:rPr>
                <w:rFonts w:asciiTheme="minorHAnsi" w:hAnsiTheme="minorHAnsi" w:cs="TrebuchetMS"/>
                <w:color w:val="000000"/>
                <w:szCs w:val="18"/>
              </w:rPr>
              <w:t xml:space="preserve">100% equity owned </w:t>
            </w:r>
          </w:p>
        </w:tc>
        <w:tc>
          <w:tcPr>
            <w:tcW w:w="236" w:type="dxa"/>
            <w:tcBorders>
              <w:top w:val="single" w:sz="4" w:space="0" w:color="F65275"/>
              <w:left w:val="nil"/>
              <w:bottom w:val="single" w:sz="4" w:space="0" w:color="F65275"/>
              <w:right w:val="single" w:sz="4" w:space="0" w:color="F65275"/>
            </w:tcBorders>
            <w:shd w:val="clear" w:color="auto" w:fill="F7A3B0"/>
            <w:vAlign w:val="center"/>
          </w:tcPr>
          <w:p w14:paraId="4D29CC19" w14:textId="77777777" w:rsidR="00CA282D" w:rsidRPr="00894701" w:rsidRDefault="00CA282D" w:rsidP="00446B8D">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
                <w:szCs w:val="1"/>
              </w:rPr>
            </w:pPr>
          </w:p>
        </w:tc>
      </w:tr>
      <w:tr w:rsidR="00CA282D" w:rsidRPr="00894701" w14:paraId="5FBABACB" w14:textId="77777777" w:rsidTr="00446B8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747" w:type="dxa"/>
            <w:gridSpan w:val="3"/>
            <w:tcBorders>
              <w:top w:val="single" w:sz="4" w:space="0" w:color="F65275"/>
              <w:left w:val="single" w:sz="4" w:space="0" w:color="F65275"/>
              <w:bottom w:val="single" w:sz="4" w:space="0" w:color="F65275"/>
              <w:right w:val="single" w:sz="4" w:space="0" w:color="F65275"/>
            </w:tcBorders>
            <w:vAlign w:val="center"/>
          </w:tcPr>
          <w:p w14:paraId="0D4886FF" w14:textId="77777777" w:rsidR="00CA282D" w:rsidRPr="00894701" w:rsidRDefault="00CA282D" w:rsidP="00241564">
            <w:pPr>
              <w:spacing w:before="128"/>
              <w:ind w:left="83"/>
              <w:rPr>
                <w:rFonts w:asciiTheme="minorHAnsi" w:hAnsiTheme="minorHAnsi" w:cs="TrebuchetMS"/>
                <w:color w:val="000000"/>
                <w:spacing w:val="-12"/>
                <w:szCs w:val="18"/>
              </w:rPr>
            </w:pPr>
            <w:r w:rsidRPr="00894701">
              <w:rPr>
                <w:rFonts w:asciiTheme="minorHAnsi" w:hAnsiTheme="minorHAnsi" w:cs="TrebuchetMS"/>
                <w:color w:val="000000"/>
                <w:spacing w:val="-12"/>
                <w:szCs w:val="18"/>
              </w:rPr>
              <w:t xml:space="preserve">Paradise Oil Company N.V. </w:t>
            </w:r>
          </w:p>
        </w:tc>
        <w:tc>
          <w:tcPr>
            <w:tcW w:w="2080" w:type="dxa"/>
            <w:gridSpan w:val="3"/>
            <w:tcBorders>
              <w:top w:val="single" w:sz="4" w:space="0" w:color="F65275"/>
              <w:left w:val="single" w:sz="4" w:space="0" w:color="F65275"/>
              <w:bottom w:val="single" w:sz="4" w:space="0" w:color="F65275"/>
              <w:right w:val="single" w:sz="4" w:space="0" w:color="F65275"/>
            </w:tcBorders>
            <w:vAlign w:val="center"/>
          </w:tcPr>
          <w:p w14:paraId="326F8BAD" w14:textId="77777777" w:rsidR="00CA282D" w:rsidRPr="00894701" w:rsidRDefault="00CA282D" w:rsidP="00446B8D">
            <w:pPr>
              <w:spacing w:before="129"/>
              <w:ind w:firstLine="113"/>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10302"/>
              </w:rPr>
            </w:pPr>
            <w:r w:rsidRPr="00894701">
              <w:rPr>
                <w:rFonts w:asciiTheme="minorHAnsi" w:hAnsiTheme="minorHAnsi" w:cs="TrebuchetMS"/>
                <w:color w:val="000000"/>
                <w:szCs w:val="18"/>
              </w:rPr>
              <w:t>Upstream</w:t>
            </w:r>
          </w:p>
        </w:tc>
        <w:tc>
          <w:tcPr>
            <w:tcW w:w="2185" w:type="dxa"/>
            <w:gridSpan w:val="3"/>
            <w:tcBorders>
              <w:top w:val="single" w:sz="4" w:space="0" w:color="F65275"/>
              <w:left w:val="single" w:sz="4" w:space="0" w:color="F65275"/>
              <w:bottom w:val="single" w:sz="4" w:space="0" w:color="F65275"/>
              <w:right w:val="single" w:sz="4" w:space="0" w:color="F65275"/>
            </w:tcBorders>
            <w:vAlign w:val="center"/>
          </w:tcPr>
          <w:p w14:paraId="7C4E37AC" w14:textId="77777777" w:rsidR="00CA282D" w:rsidRPr="00894701" w:rsidRDefault="00CA282D" w:rsidP="00446B8D">
            <w:pPr>
              <w:spacing w:before="129"/>
              <w:ind w:firstLine="112"/>
              <w:cnfStyle w:val="000000010000" w:firstRow="0" w:lastRow="0" w:firstColumn="0" w:lastColumn="0" w:oddVBand="0" w:evenVBand="0" w:oddHBand="0" w:evenHBand="1" w:firstRowFirstColumn="0" w:firstRowLastColumn="0" w:lastRowFirstColumn="0" w:lastRowLastColumn="0"/>
              <w:rPr>
                <w:rFonts w:asciiTheme="minorHAnsi" w:hAnsiTheme="minorHAnsi"/>
                <w:color w:val="010302"/>
              </w:rPr>
            </w:pPr>
            <w:r w:rsidRPr="00894701">
              <w:rPr>
                <w:rFonts w:asciiTheme="minorHAnsi" w:hAnsiTheme="minorHAnsi" w:cs="TrebuchetMS"/>
                <w:color w:val="000000"/>
                <w:szCs w:val="18"/>
              </w:rPr>
              <w:t xml:space="preserve">100% </w:t>
            </w:r>
          </w:p>
        </w:tc>
      </w:tr>
      <w:tr w:rsidR="001E79AF" w:rsidRPr="00894701" w14:paraId="4A973C57" w14:textId="77777777" w:rsidTr="0097333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6" w:type="dxa"/>
            <w:tcBorders>
              <w:top w:val="single" w:sz="4" w:space="0" w:color="F65275"/>
              <w:left w:val="single" w:sz="4" w:space="0" w:color="F65275"/>
              <w:bottom w:val="single" w:sz="4" w:space="0" w:color="F65275"/>
              <w:right w:val="nil"/>
            </w:tcBorders>
            <w:shd w:val="clear" w:color="auto" w:fill="F7A3B0"/>
            <w:vAlign w:val="center"/>
          </w:tcPr>
          <w:p w14:paraId="199CDA96" w14:textId="77777777" w:rsidR="00CA282D" w:rsidRPr="00894701" w:rsidRDefault="00CA282D" w:rsidP="00446B8D">
            <w:pPr>
              <w:rPr>
                <w:rFonts w:asciiTheme="minorHAnsi" w:hAnsiTheme="minorHAnsi"/>
                <w:color w:val="000000" w:themeColor="text1"/>
                <w:sz w:val="1"/>
                <w:szCs w:val="1"/>
              </w:rPr>
            </w:pPr>
          </w:p>
        </w:tc>
        <w:tc>
          <w:tcPr>
            <w:tcW w:w="4275" w:type="dxa"/>
            <w:tcBorders>
              <w:top w:val="single" w:sz="4" w:space="0" w:color="F65275"/>
              <w:left w:val="nil"/>
              <w:bottom w:val="single" w:sz="4" w:space="0" w:color="F65275"/>
              <w:right w:val="nil"/>
            </w:tcBorders>
            <w:shd w:val="clear" w:color="auto" w:fill="F7A3B0"/>
            <w:vAlign w:val="center"/>
          </w:tcPr>
          <w:p w14:paraId="317A61FE" w14:textId="77777777" w:rsidR="00CA282D" w:rsidRPr="00894701" w:rsidRDefault="00CA282D" w:rsidP="00241564">
            <w:pPr>
              <w:spacing w:before="128"/>
              <w:ind w:left="-67"/>
              <w:cnfStyle w:val="000000100000" w:firstRow="0" w:lastRow="0" w:firstColumn="0" w:lastColumn="0" w:oddVBand="0" w:evenVBand="0" w:oddHBand="1" w:evenHBand="0" w:firstRowFirstColumn="0" w:firstRowLastColumn="0" w:lastRowFirstColumn="0" w:lastRowLastColumn="0"/>
              <w:rPr>
                <w:rFonts w:asciiTheme="minorHAnsi" w:hAnsiTheme="minorHAnsi" w:cs="TrebuchetMS"/>
                <w:color w:val="000000"/>
                <w:spacing w:val="-12"/>
                <w:szCs w:val="18"/>
              </w:rPr>
            </w:pPr>
            <w:r w:rsidRPr="00894701">
              <w:rPr>
                <w:rFonts w:asciiTheme="minorHAnsi" w:hAnsiTheme="minorHAnsi" w:cs="TrebuchetMS"/>
                <w:color w:val="000000"/>
                <w:spacing w:val="-12"/>
                <w:szCs w:val="18"/>
              </w:rPr>
              <w:t xml:space="preserve">Suriname Gold Project C.V. </w:t>
            </w:r>
          </w:p>
        </w:tc>
        <w:tc>
          <w:tcPr>
            <w:tcW w:w="236" w:type="dxa"/>
            <w:tcBorders>
              <w:top w:val="single" w:sz="4" w:space="0" w:color="F65275"/>
              <w:left w:val="nil"/>
              <w:bottom w:val="single" w:sz="4" w:space="0" w:color="F65275"/>
              <w:right w:val="single" w:sz="4" w:space="0" w:color="F65275"/>
            </w:tcBorders>
            <w:shd w:val="clear" w:color="auto" w:fill="F7A3B0"/>
            <w:vAlign w:val="center"/>
          </w:tcPr>
          <w:p w14:paraId="3F0E1B46" w14:textId="77777777" w:rsidR="00CA282D" w:rsidRPr="00894701" w:rsidRDefault="00CA282D" w:rsidP="00446B8D">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
                <w:szCs w:val="1"/>
              </w:rPr>
            </w:pPr>
          </w:p>
        </w:tc>
        <w:tc>
          <w:tcPr>
            <w:tcW w:w="236" w:type="dxa"/>
            <w:tcBorders>
              <w:top w:val="single" w:sz="4" w:space="0" w:color="F65275"/>
              <w:left w:val="single" w:sz="4" w:space="0" w:color="F65275"/>
              <w:bottom w:val="single" w:sz="4" w:space="0" w:color="F65275"/>
              <w:right w:val="nil"/>
            </w:tcBorders>
            <w:shd w:val="clear" w:color="auto" w:fill="F7A3B0"/>
            <w:vAlign w:val="center"/>
          </w:tcPr>
          <w:p w14:paraId="1B3929A5" w14:textId="77777777" w:rsidR="00CA282D" w:rsidRPr="00894701" w:rsidRDefault="00CA282D" w:rsidP="00446B8D">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
                <w:szCs w:val="1"/>
              </w:rPr>
            </w:pPr>
          </w:p>
        </w:tc>
        <w:tc>
          <w:tcPr>
            <w:tcW w:w="1608" w:type="dxa"/>
            <w:tcBorders>
              <w:top w:val="single" w:sz="4" w:space="0" w:color="F65275"/>
              <w:left w:val="nil"/>
              <w:bottom w:val="single" w:sz="4" w:space="0" w:color="F65275"/>
              <w:right w:val="nil"/>
            </w:tcBorders>
            <w:shd w:val="clear" w:color="auto" w:fill="F7A3B0"/>
            <w:vAlign w:val="center"/>
          </w:tcPr>
          <w:p w14:paraId="7AFF50EA" w14:textId="77777777" w:rsidR="00CA282D" w:rsidRPr="00894701" w:rsidRDefault="00CA282D" w:rsidP="00446B8D">
            <w:pPr>
              <w:spacing w:before="12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10302"/>
              </w:rPr>
            </w:pPr>
            <w:r w:rsidRPr="00894701">
              <w:rPr>
                <w:rFonts w:asciiTheme="minorHAnsi" w:hAnsiTheme="minorHAnsi" w:cs="TrebuchetMS"/>
                <w:color w:val="000000"/>
                <w:szCs w:val="18"/>
              </w:rPr>
              <w:t>Gold mining</w:t>
            </w:r>
          </w:p>
        </w:tc>
        <w:tc>
          <w:tcPr>
            <w:tcW w:w="236" w:type="dxa"/>
            <w:tcBorders>
              <w:top w:val="single" w:sz="4" w:space="0" w:color="F65275"/>
              <w:left w:val="nil"/>
              <w:bottom w:val="single" w:sz="4" w:space="0" w:color="F65275"/>
              <w:right w:val="single" w:sz="4" w:space="0" w:color="F65275"/>
            </w:tcBorders>
            <w:shd w:val="clear" w:color="auto" w:fill="F7A3B0"/>
            <w:vAlign w:val="center"/>
          </w:tcPr>
          <w:p w14:paraId="2FD02721" w14:textId="77777777" w:rsidR="00CA282D" w:rsidRPr="00894701" w:rsidRDefault="00CA282D" w:rsidP="00446B8D">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
                <w:szCs w:val="1"/>
              </w:rPr>
            </w:pPr>
          </w:p>
        </w:tc>
        <w:tc>
          <w:tcPr>
            <w:tcW w:w="236" w:type="dxa"/>
            <w:tcBorders>
              <w:top w:val="single" w:sz="4" w:space="0" w:color="F65275"/>
              <w:left w:val="single" w:sz="4" w:space="0" w:color="F65275"/>
              <w:bottom w:val="single" w:sz="4" w:space="0" w:color="F65275"/>
              <w:right w:val="nil"/>
            </w:tcBorders>
            <w:shd w:val="clear" w:color="auto" w:fill="F7A3B0"/>
            <w:vAlign w:val="center"/>
          </w:tcPr>
          <w:p w14:paraId="5F79FC38" w14:textId="77777777" w:rsidR="00CA282D" w:rsidRPr="00894701" w:rsidRDefault="00CA282D" w:rsidP="00446B8D">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
                <w:szCs w:val="1"/>
              </w:rPr>
            </w:pPr>
          </w:p>
        </w:tc>
        <w:tc>
          <w:tcPr>
            <w:tcW w:w="1713" w:type="dxa"/>
            <w:tcBorders>
              <w:top w:val="single" w:sz="4" w:space="0" w:color="F65275"/>
              <w:left w:val="nil"/>
              <w:bottom w:val="single" w:sz="4" w:space="0" w:color="F65275"/>
              <w:right w:val="nil"/>
            </w:tcBorders>
            <w:shd w:val="clear" w:color="auto" w:fill="F7A3B0"/>
            <w:vAlign w:val="center"/>
          </w:tcPr>
          <w:p w14:paraId="65CDEB60" w14:textId="77777777" w:rsidR="00CA282D" w:rsidRPr="00894701" w:rsidRDefault="00CA282D" w:rsidP="00446B8D">
            <w:pPr>
              <w:spacing w:before="128"/>
              <w:cnfStyle w:val="000000100000" w:firstRow="0" w:lastRow="0" w:firstColumn="0" w:lastColumn="0" w:oddVBand="0" w:evenVBand="0" w:oddHBand="1" w:evenHBand="0" w:firstRowFirstColumn="0" w:firstRowLastColumn="0" w:lastRowFirstColumn="0" w:lastRowLastColumn="0"/>
              <w:rPr>
                <w:rFonts w:asciiTheme="minorHAnsi" w:hAnsiTheme="minorHAnsi"/>
                <w:color w:val="010302"/>
              </w:rPr>
            </w:pPr>
            <w:r w:rsidRPr="00894701">
              <w:rPr>
                <w:rFonts w:asciiTheme="minorHAnsi" w:hAnsiTheme="minorHAnsi" w:cs="TrebuchetMS"/>
                <w:color w:val="000000"/>
                <w:szCs w:val="18"/>
              </w:rPr>
              <w:t xml:space="preserve">25% share in the UJV </w:t>
            </w:r>
          </w:p>
        </w:tc>
        <w:tc>
          <w:tcPr>
            <w:tcW w:w="236" w:type="dxa"/>
            <w:tcBorders>
              <w:top w:val="single" w:sz="4" w:space="0" w:color="F65275"/>
              <w:left w:val="nil"/>
              <w:bottom w:val="single" w:sz="4" w:space="0" w:color="F65275"/>
              <w:right w:val="single" w:sz="4" w:space="0" w:color="F65275"/>
            </w:tcBorders>
            <w:shd w:val="clear" w:color="auto" w:fill="F7A3B0"/>
            <w:vAlign w:val="center"/>
          </w:tcPr>
          <w:p w14:paraId="27CBA575" w14:textId="77777777" w:rsidR="00CA282D" w:rsidRPr="00894701" w:rsidRDefault="00CA282D" w:rsidP="00446B8D">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
                <w:szCs w:val="1"/>
              </w:rPr>
            </w:pPr>
          </w:p>
        </w:tc>
      </w:tr>
    </w:tbl>
    <w:p w14:paraId="26F2B058" w14:textId="7BA77B76" w:rsidR="00CA282D" w:rsidRPr="00894701" w:rsidRDefault="00CA282D" w:rsidP="00CA282D">
      <w:pPr>
        <w:widowControl w:val="0"/>
        <w:spacing w:before="100" w:after="0" w:line="227" w:lineRule="exact"/>
        <w:rPr>
          <w:rFonts w:asciiTheme="minorHAnsi" w:eastAsiaTheme="minorHAnsi" w:hAnsiTheme="minorHAnsi" w:cs="TrebuchetMS-Bold"/>
          <w:b/>
          <w:bCs/>
          <w:color w:val="ED1A3B"/>
          <w:kern w:val="0"/>
          <w:sz w:val="20"/>
          <w:szCs w:val="20"/>
          <w:lang w:eastAsia="en-US"/>
        </w:rPr>
      </w:pPr>
      <w:r w:rsidRPr="00894701">
        <w:rPr>
          <w:rFonts w:asciiTheme="minorHAnsi" w:eastAsiaTheme="minorHAnsi" w:hAnsiTheme="minorHAnsi" w:cs="TrebuchetMS-Bold"/>
          <w:b/>
          <w:bCs/>
          <w:color w:val="ED1A3B"/>
          <w:kern w:val="0"/>
          <w:sz w:val="20"/>
          <w:szCs w:val="20"/>
          <w:lang w:eastAsia="en-US"/>
        </w:rPr>
        <w:t xml:space="preserve">Public disclosure of audited Financial Statements </w:t>
      </w:r>
    </w:p>
    <w:p w14:paraId="4763F889" w14:textId="519CB618" w:rsidR="00CA282D" w:rsidRDefault="00CA282D" w:rsidP="00CA282D">
      <w:pPr>
        <w:spacing w:before="120" w:line="260" w:lineRule="exact"/>
        <w:jc w:val="both"/>
        <w:rPr>
          <w:rFonts w:asciiTheme="minorHAnsi" w:hAnsiTheme="minorHAnsi" w:cs="TrebuchetMS"/>
          <w:color w:val="000000"/>
          <w:kern w:val="0"/>
          <w:sz w:val="20"/>
          <w:szCs w:val="20"/>
          <w:lang w:eastAsia="en-US"/>
        </w:rPr>
      </w:pPr>
      <w:r w:rsidRPr="00894701">
        <w:rPr>
          <w:rFonts w:asciiTheme="minorHAnsi" w:hAnsiTheme="minorHAnsi" w:cs="TrebuchetMS"/>
          <w:color w:val="000000"/>
          <w:kern w:val="0"/>
          <w:sz w:val="20"/>
          <w:szCs w:val="20"/>
          <w:lang w:eastAsia="en-US"/>
        </w:rPr>
        <w:t>The</w:t>
      </w:r>
      <w:r w:rsidRPr="00894701">
        <w:rPr>
          <w:rFonts w:asciiTheme="minorHAnsi" w:hAnsiTheme="minorHAnsi" w:cs="TrebuchetMS"/>
          <w:color w:val="000000"/>
          <w:spacing w:val="31"/>
          <w:kern w:val="0"/>
          <w:sz w:val="20"/>
          <w:szCs w:val="20"/>
          <w:lang w:eastAsia="en-US"/>
        </w:rPr>
        <w:t xml:space="preserve"> </w:t>
      </w:r>
      <w:r w:rsidRPr="00894701">
        <w:rPr>
          <w:rFonts w:asciiTheme="minorHAnsi" w:hAnsiTheme="minorHAnsi" w:cs="TrebuchetMS"/>
          <w:color w:val="000000"/>
          <w:kern w:val="0"/>
          <w:sz w:val="20"/>
          <w:szCs w:val="20"/>
          <w:lang w:eastAsia="en-US"/>
        </w:rPr>
        <w:t>audited</w:t>
      </w:r>
      <w:r w:rsidRPr="00894701">
        <w:rPr>
          <w:rFonts w:asciiTheme="minorHAnsi" w:hAnsiTheme="minorHAnsi" w:cs="TrebuchetMS"/>
          <w:color w:val="000000"/>
          <w:spacing w:val="32"/>
          <w:kern w:val="0"/>
          <w:sz w:val="20"/>
          <w:szCs w:val="20"/>
          <w:lang w:eastAsia="en-US"/>
        </w:rPr>
        <w:t xml:space="preserve"> </w:t>
      </w:r>
      <w:r w:rsidRPr="00894701">
        <w:rPr>
          <w:rFonts w:asciiTheme="minorHAnsi" w:hAnsiTheme="minorHAnsi" w:cs="TrebuchetMS"/>
          <w:color w:val="000000"/>
          <w:kern w:val="0"/>
          <w:sz w:val="20"/>
          <w:szCs w:val="20"/>
          <w:lang w:eastAsia="en-US"/>
        </w:rPr>
        <w:t>Financial</w:t>
      </w:r>
      <w:r w:rsidRPr="00894701">
        <w:rPr>
          <w:rFonts w:asciiTheme="minorHAnsi" w:hAnsiTheme="minorHAnsi" w:cs="TrebuchetMS"/>
          <w:color w:val="000000"/>
          <w:spacing w:val="31"/>
          <w:kern w:val="0"/>
          <w:sz w:val="20"/>
          <w:szCs w:val="20"/>
          <w:lang w:eastAsia="en-US"/>
        </w:rPr>
        <w:t xml:space="preserve"> </w:t>
      </w:r>
      <w:r w:rsidRPr="00894701">
        <w:rPr>
          <w:rFonts w:asciiTheme="minorHAnsi" w:hAnsiTheme="minorHAnsi" w:cs="TrebuchetMS"/>
          <w:color w:val="000000"/>
          <w:kern w:val="0"/>
          <w:sz w:val="20"/>
          <w:szCs w:val="20"/>
          <w:lang w:eastAsia="en-US"/>
        </w:rPr>
        <w:t>Statements</w:t>
      </w:r>
      <w:r w:rsidRPr="00894701">
        <w:rPr>
          <w:rFonts w:asciiTheme="minorHAnsi" w:hAnsiTheme="minorHAnsi" w:cs="TrebuchetMS"/>
          <w:color w:val="000000"/>
          <w:spacing w:val="31"/>
          <w:kern w:val="0"/>
          <w:sz w:val="20"/>
          <w:szCs w:val="20"/>
          <w:lang w:eastAsia="en-US"/>
        </w:rPr>
        <w:t xml:space="preserve"> </w:t>
      </w:r>
      <w:r w:rsidRPr="00894701">
        <w:rPr>
          <w:rFonts w:asciiTheme="minorHAnsi" w:hAnsiTheme="minorHAnsi" w:cs="TrebuchetMS"/>
          <w:color w:val="000000"/>
          <w:kern w:val="0"/>
          <w:sz w:val="20"/>
          <w:szCs w:val="20"/>
          <w:lang w:eastAsia="en-US"/>
        </w:rPr>
        <w:t>of</w:t>
      </w:r>
      <w:r w:rsidRPr="00894701">
        <w:rPr>
          <w:rFonts w:asciiTheme="minorHAnsi" w:hAnsiTheme="minorHAnsi" w:cs="TrebuchetMS"/>
          <w:color w:val="000000"/>
          <w:spacing w:val="31"/>
          <w:kern w:val="0"/>
          <w:sz w:val="20"/>
          <w:szCs w:val="20"/>
          <w:lang w:eastAsia="en-US"/>
        </w:rPr>
        <w:t xml:space="preserve"> </w:t>
      </w:r>
      <w:r w:rsidRPr="00894701">
        <w:rPr>
          <w:rFonts w:asciiTheme="minorHAnsi" w:hAnsiTheme="minorHAnsi" w:cs="TrebuchetMS"/>
          <w:color w:val="000000"/>
          <w:kern w:val="0"/>
          <w:sz w:val="20"/>
          <w:szCs w:val="20"/>
          <w:lang w:eastAsia="en-US"/>
        </w:rPr>
        <w:t>Staatsolie</w:t>
      </w:r>
      <w:r w:rsidRPr="00894701">
        <w:rPr>
          <w:rFonts w:asciiTheme="minorHAnsi" w:hAnsiTheme="minorHAnsi" w:cs="TrebuchetMS"/>
          <w:color w:val="000000"/>
          <w:spacing w:val="30"/>
          <w:kern w:val="0"/>
          <w:sz w:val="20"/>
          <w:szCs w:val="20"/>
          <w:lang w:eastAsia="en-US"/>
        </w:rPr>
        <w:t xml:space="preserve"> </w:t>
      </w:r>
      <w:r w:rsidRPr="00894701">
        <w:rPr>
          <w:rFonts w:asciiTheme="minorHAnsi" w:hAnsiTheme="minorHAnsi" w:cs="TrebuchetMS"/>
          <w:color w:val="000000"/>
          <w:kern w:val="0"/>
          <w:sz w:val="20"/>
          <w:szCs w:val="20"/>
          <w:lang w:eastAsia="en-US"/>
        </w:rPr>
        <w:t>are</w:t>
      </w:r>
      <w:r w:rsidRPr="00894701">
        <w:rPr>
          <w:rFonts w:asciiTheme="minorHAnsi" w:hAnsiTheme="minorHAnsi" w:cs="TrebuchetMS"/>
          <w:color w:val="000000"/>
          <w:spacing w:val="36"/>
          <w:kern w:val="0"/>
          <w:sz w:val="20"/>
          <w:szCs w:val="20"/>
          <w:lang w:eastAsia="en-US"/>
        </w:rPr>
        <w:t xml:space="preserve"> </w:t>
      </w:r>
      <w:r w:rsidRPr="00894701">
        <w:rPr>
          <w:rFonts w:asciiTheme="minorHAnsi" w:hAnsiTheme="minorHAnsi" w:cs="TrebuchetMS"/>
          <w:color w:val="000000"/>
          <w:kern w:val="0"/>
          <w:sz w:val="20"/>
          <w:szCs w:val="20"/>
          <w:lang w:eastAsia="en-US"/>
        </w:rPr>
        <w:t>publicly</w:t>
      </w:r>
      <w:r w:rsidRPr="00894701">
        <w:rPr>
          <w:rFonts w:asciiTheme="minorHAnsi" w:hAnsiTheme="minorHAnsi" w:cs="TrebuchetMS"/>
          <w:color w:val="000000"/>
          <w:spacing w:val="31"/>
          <w:kern w:val="0"/>
          <w:sz w:val="20"/>
          <w:szCs w:val="20"/>
          <w:lang w:eastAsia="en-US"/>
        </w:rPr>
        <w:t xml:space="preserve"> </w:t>
      </w:r>
      <w:r w:rsidRPr="00894701">
        <w:rPr>
          <w:rFonts w:asciiTheme="minorHAnsi" w:hAnsiTheme="minorHAnsi" w:cs="TrebuchetMS"/>
          <w:color w:val="000000"/>
          <w:kern w:val="0"/>
          <w:sz w:val="20"/>
          <w:szCs w:val="20"/>
          <w:lang w:eastAsia="en-US"/>
        </w:rPr>
        <w:t>disclosed</w:t>
      </w:r>
      <w:r w:rsidRPr="00894701">
        <w:rPr>
          <w:rFonts w:asciiTheme="minorHAnsi" w:hAnsiTheme="minorHAnsi" w:cs="TrebuchetMS"/>
          <w:color w:val="000000"/>
          <w:spacing w:val="31"/>
          <w:kern w:val="0"/>
          <w:sz w:val="20"/>
          <w:szCs w:val="20"/>
          <w:lang w:eastAsia="en-US"/>
        </w:rPr>
        <w:t xml:space="preserve"> </w:t>
      </w:r>
      <w:r w:rsidRPr="00894701">
        <w:rPr>
          <w:rFonts w:asciiTheme="minorHAnsi" w:hAnsiTheme="minorHAnsi" w:cs="TrebuchetMS"/>
          <w:color w:val="000000"/>
          <w:kern w:val="0"/>
          <w:sz w:val="20"/>
          <w:szCs w:val="20"/>
          <w:lang w:eastAsia="en-US"/>
        </w:rPr>
        <w:t>on</w:t>
      </w:r>
      <w:r w:rsidRPr="00894701">
        <w:rPr>
          <w:rFonts w:asciiTheme="minorHAnsi" w:hAnsiTheme="minorHAnsi" w:cs="TrebuchetMS"/>
          <w:color w:val="000000"/>
          <w:spacing w:val="32"/>
          <w:kern w:val="0"/>
          <w:sz w:val="20"/>
          <w:szCs w:val="20"/>
          <w:lang w:eastAsia="en-US"/>
        </w:rPr>
        <w:t xml:space="preserve"> </w:t>
      </w:r>
      <w:r w:rsidRPr="00894701">
        <w:rPr>
          <w:rFonts w:asciiTheme="minorHAnsi" w:hAnsiTheme="minorHAnsi" w:cs="TrebuchetMS"/>
          <w:color w:val="000000"/>
          <w:kern w:val="0"/>
          <w:sz w:val="20"/>
          <w:szCs w:val="20"/>
          <w:lang w:eastAsia="en-US"/>
        </w:rPr>
        <w:t>its</w:t>
      </w:r>
      <w:r w:rsidRPr="00894701">
        <w:rPr>
          <w:rFonts w:asciiTheme="minorHAnsi" w:hAnsiTheme="minorHAnsi" w:cs="TrebuchetMS"/>
          <w:color w:val="000000"/>
          <w:spacing w:val="31"/>
          <w:kern w:val="0"/>
          <w:sz w:val="20"/>
          <w:szCs w:val="20"/>
          <w:lang w:eastAsia="en-US"/>
        </w:rPr>
        <w:t xml:space="preserve"> </w:t>
      </w:r>
      <w:r w:rsidRPr="00894701">
        <w:rPr>
          <w:rFonts w:asciiTheme="minorHAnsi" w:hAnsiTheme="minorHAnsi" w:cs="TrebuchetMS"/>
          <w:color w:val="000000"/>
          <w:kern w:val="0"/>
          <w:sz w:val="20"/>
          <w:szCs w:val="20"/>
          <w:lang w:eastAsia="en-US"/>
        </w:rPr>
        <w:t xml:space="preserve">website at: </w:t>
      </w:r>
      <w:hyperlink r:id="rId46" w:history="1">
        <w:r w:rsidRPr="00894701">
          <w:rPr>
            <w:rFonts w:asciiTheme="minorHAnsi" w:hAnsiTheme="minorHAnsi" w:cs="TrebuchetMS"/>
            <w:color w:val="000000"/>
            <w:kern w:val="0"/>
            <w:sz w:val="20"/>
            <w:szCs w:val="20"/>
            <w:lang w:eastAsia="en-US"/>
          </w:rPr>
          <w:t>https://</w:t>
        </w:r>
        <w:r w:rsidRPr="00894701">
          <w:rPr>
            <w:rFonts w:asciiTheme="minorHAnsi" w:hAnsiTheme="minorHAnsi" w:cs="TrebuchetMS"/>
            <w:color w:val="auto"/>
            <w:sz w:val="20"/>
            <w:szCs w:val="20"/>
          </w:rPr>
          <w:t>ww</w:t>
        </w:r>
        <w:r w:rsidRPr="00894701">
          <w:rPr>
            <w:rFonts w:asciiTheme="minorHAnsi" w:hAnsiTheme="minorHAnsi" w:cs="TrebuchetMS"/>
            <w:color w:val="auto"/>
            <w:spacing w:val="-20"/>
            <w:sz w:val="20"/>
            <w:szCs w:val="20"/>
          </w:rPr>
          <w:t>w</w:t>
        </w:r>
        <w:r w:rsidRPr="00894701">
          <w:rPr>
            <w:rFonts w:asciiTheme="minorHAnsi" w:hAnsiTheme="minorHAnsi" w:cs="TrebuchetMS"/>
            <w:color w:val="000000"/>
            <w:kern w:val="0"/>
            <w:sz w:val="20"/>
            <w:szCs w:val="20"/>
            <w:lang w:eastAsia="en-US"/>
          </w:rPr>
          <w:t>.staatsolie.com/en/media-center/</w:t>
        </w:r>
      </w:hyperlink>
      <w:r w:rsidRPr="00894701">
        <w:rPr>
          <w:rFonts w:asciiTheme="minorHAnsi" w:hAnsiTheme="minorHAnsi" w:cs="TrebuchetMS"/>
          <w:color w:val="000000"/>
          <w:kern w:val="0"/>
          <w:sz w:val="20"/>
          <w:szCs w:val="20"/>
          <w:lang w:eastAsia="en-US"/>
        </w:rPr>
        <w:t xml:space="preserve"> </w:t>
      </w:r>
    </w:p>
    <w:p w14:paraId="53B65CE9" w14:textId="72A141E9" w:rsidR="0083379A" w:rsidRPr="00894701" w:rsidRDefault="00511B60" w:rsidP="00CA282D">
      <w:pPr>
        <w:spacing w:before="120" w:line="260" w:lineRule="exact"/>
        <w:jc w:val="both"/>
        <w:rPr>
          <w:rFonts w:asciiTheme="minorHAnsi" w:hAnsiTheme="minorHAnsi"/>
          <w:color w:val="010302"/>
          <w:kern w:val="0"/>
          <w:sz w:val="20"/>
          <w:szCs w:val="20"/>
          <w:lang w:eastAsia="en-US"/>
        </w:rPr>
      </w:pPr>
      <w:hyperlink r:id="rId47" w:history="1">
        <w:r w:rsidR="0083379A" w:rsidRPr="0083379A">
          <w:rPr>
            <w:rStyle w:val="Hyperlink"/>
            <w:rFonts w:asciiTheme="minorHAnsi" w:hAnsiTheme="minorHAnsi"/>
            <w:kern w:val="0"/>
            <w:sz w:val="20"/>
            <w:szCs w:val="20"/>
            <w:lang w:eastAsia="en-US"/>
          </w:rPr>
          <w:t>Staatsolie's annual report</w:t>
        </w:r>
      </w:hyperlink>
      <w:r w:rsidR="0083379A" w:rsidRPr="0083379A">
        <w:rPr>
          <w:rFonts w:asciiTheme="minorHAnsi" w:hAnsiTheme="minorHAnsi"/>
          <w:color w:val="010302"/>
          <w:kern w:val="0"/>
          <w:sz w:val="20"/>
          <w:szCs w:val="20"/>
          <w:lang w:eastAsia="en-US"/>
        </w:rPr>
        <w:t xml:space="preserve"> provides all the detail on the financial transactions between </w:t>
      </w:r>
      <w:r w:rsidR="0083379A">
        <w:rPr>
          <w:rFonts w:asciiTheme="minorHAnsi" w:hAnsiTheme="minorHAnsi"/>
          <w:color w:val="010302"/>
          <w:kern w:val="0"/>
          <w:sz w:val="20"/>
          <w:szCs w:val="20"/>
          <w:lang w:eastAsia="en-US"/>
        </w:rPr>
        <w:t>Staatsolie</w:t>
      </w:r>
      <w:r w:rsidR="0083379A" w:rsidRPr="0083379A">
        <w:rPr>
          <w:rFonts w:asciiTheme="minorHAnsi" w:hAnsiTheme="minorHAnsi"/>
          <w:color w:val="010302"/>
          <w:kern w:val="0"/>
          <w:sz w:val="20"/>
          <w:szCs w:val="20"/>
          <w:lang w:eastAsia="en-US"/>
        </w:rPr>
        <w:t xml:space="preserve"> and the government as well as all transactions with </w:t>
      </w:r>
      <w:r w:rsidR="0083379A">
        <w:rPr>
          <w:rFonts w:asciiTheme="minorHAnsi" w:hAnsiTheme="minorHAnsi"/>
          <w:color w:val="010302"/>
          <w:kern w:val="0"/>
          <w:sz w:val="20"/>
          <w:szCs w:val="20"/>
          <w:lang w:eastAsia="en-US"/>
        </w:rPr>
        <w:t xml:space="preserve">its </w:t>
      </w:r>
      <w:r w:rsidR="0083379A" w:rsidRPr="0083379A">
        <w:rPr>
          <w:rFonts w:asciiTheme="minorHAnsi" w:hAnsiTheme="minorHAnsi"/>
          <w:color w:val="010302"/>
          <w:kern w:val="0"/>
          <w:sz w:val="20"/>
          <w:szCs w:val="20"/>
          <w:lang w:eastAsia="en-US"/>
        </w:rPr>
        <w:t xml:space="preserve">related parties including </w:t>
      </w:r>
      <w:r w:rsidR="00796B83">
        <w:rPr>
          <w:rFonts w:asciiTheme="minorHAnsi" w:hAnsiTheme="minorHAnsi"/>
          <w:color w:val="010302"/>
          <w:kern w:val="0"/>
          <w:sz w:val="20"/>
          <w:szCs w:val="20"/>
          <w:lang w:eastAsia="en-US"/>
        </w:rPr>
        <w:t>subsidiaries</w:t>
      </w:r>
      <w:r w:rsidR="0083379A" w:rsidRPr="0083379A">
        <w:rPr>
          <w:rFonts w:asciiTheme="minorHAnsi" w:hAnsiTheme="minorHAnsi"/>
          <w:color w:val="010302"/>
          <w:kern w:val="0"/>
          <w:sz w:val="20"/>
          <w:szCs w:val="20"/>
          <w:lang w:eastAsia="en-US"/>
        </w:rPr>
        <w:t>.</w:t>
      </w:r>
    </w:p>
    <w:p w14:paraId="61426E11" w14:textId="77777777" w:rsidR="00CA282D" w:rsidRPr="00894701" w:rsidRDefault="00CA282D" w:rsidP="00CA282D">
      <w:pPr>
        <w:widowControl w:val="0"/>
        <w:spacing w:before="100" w:after="0" w:line="227" w:lineRule="exact"/>
        <w:rPr>
          <w:rFonts w:asciiTheme="minorHAnsi" w:eastAsiaTheme="minorHAnsi" w:hAnsiTheme="minorHAnsi" w:cs="TrebuchetMS-Bold"/>
          <w:b/>
          <w:bCs/>
          <w:color w:val="ED1A3B"/>
          <w:kern w:val="0"/>
          <w:sz w:val="20"/>
          <w:szCs w:val="20"/>
          <w:lang w:eastAsia="en-US"/>
        </w:rPr>
      </w:pPr>
      <w:r w:rsidRPr="00894701">
        <w:rPr>
          <w:rFonts w:asciiTheme="minorHAnsi" w:eastAsiaTheme="minorHAnsi" w:hAnsiTheme="minorHAnsi" w:cs="TrebuchetMS-Bold"/>
          <w:b/>
          <w:bCs/>
          <w:color w:val="ED1A3B"/>
          <w:kern w:val="0"/>
          <w:sz w:val="20"/>
          <w:szCs w:val="20"/>
          <w:lang w:eastAsia="en-US"/>
        </w:rPr>
        <w:t xml:space="preserve">Financial Relationship with the Government of Suriname </w:t>
      </w:r>
    </w:p>
    <w:p w14:paraId="4C857B42" w14:textId="520A2557" w:rsidR="00CA282D" w:rsidRPr="00894701" w:rsidRDefault="00CA282D" w:rsidP="00CA282D">
      <w:pPr>
        <w:spacing w:before="120" w:line="260" w:lineRule="exact"/>
        <w:jc w:val="both"/>
        <w:rPr>
          <w:rFonts w:asciiTheme="minorHAnsi" w:hAnsiTheme="minorHAnsi" w:cs="TrebuchetMS"/>
          <w:color w:val="auto"/>
          <w:sz w:val="20"/>
          <w:szCs w:val="20"/>
        </w:rPr>
      </w:pPr>
      <w:r w:rsidRPr="00894701">
        <w:rPr>
          <w:rFonts w:asciiTheme="minorHAnsi" w:hAnsiTheme="minorHAnsi" w:cs="TrebuchetMS"/>
          <w:color w:val="auto"/>
          <w:sz w:val="20"/>
          <w:szCs w:val="20"/>
        </w:rPr>
        <w:t>The loan from Government: Two terms of interest payment regarding a loan</w:t>
      </w:r>
      <w:r w:rsidR="00281F6E">
        <w:rPr>
          <w:rFonts w:asciiTheme="minorHAnsi" w:hAnsiTheme="minorHAnsi" w:cs="TrebuchetMS"/>
          <w:color w:val="auto"/>
          <w:sz w:val="20"/>
          <w:szCs w:val="20"/>
        </w:rPr>
        <w:t xml:space="preserve"> of USD 600 million</w:t>
      </w:r>
      <w:r w:rsidRPr="00894701">
        <w:rPr>
          <w:rFonts w:asciiTheme="minorHAnsi" w:hAnsiTheme="minorHAnsi" w:cs="TrebuchetMS"/>
          <w:color w:val="auto"/>
          <w:sz w:val="20"/>
          <w:szCs w:val="20"/>
        </w:rPr>
        <w:t xml:space="preserve"> from the Government in November 2016</w:t>
      </w:r>
      <w:r w:rsidR="00C253EE">
        <w:rPr>
          <w:rFonts w:asciiTheme="minorHAnsi" w:hAnsiTheme="minorHAnsi" w:cs="TrebuchetMS"/>
          <w:color w:val="auto"/>
          <w:sz w:val="20"/>
          <w:szCs w:val="20"/>
        </w:rPr>
        <w:t xml:space="preserve"> as detailed in its  </w:t>
      </w:r>
      <w:hyperlink r:id="rId48" w:history="1">
        <w:r w:rsidR="00C253EE" w:rsidRPr="0016053D">
          <w:rPr>
            <w:rStyle w:val="Hyperlink"/>
            <w:rFonts w:asciiTheme="minorHAnsi" w:hAnsiTheme="minorHAnsi" w:cs="TrebuchetMS"/>
            <w:sz w:val="20"/>
            <w:szCs w:val="20"/>
          </w:rPr>
          <w:t>financial statements</w:t>
        </w:r>
      </w:hyperlink>
      <w:r w:rsidR="00C253EE">
        <w:rPr>
          <w:rFonts w:asciiTheme="minorHAnsi" w:hAnsiTheme="minorHAnsi" w:cs="TrebuchetMS"/>
          <w:color w:val="auto"/>
          <w:sz w:val="20"/>
          <w:szCs w:val="20"/>
        </w:rPr>
        <w:t xml:space="preserve"> for 2016</w:t>
      </w:r>
      <w:r w:rsidRPr="00894701">
        <w:rPr>
          <w:rFonts w:asciiTheme="minorHAnsi" w:hAnsiTheme="minorHAnsi" w:cs="TrebuchetMS"/>
          <w:color w:val="auto"/>
          <w:sz w:val="20"/>
          <w:szCs w:val="20"/>
        </w:rPr>
        <w:t xml:space="preserve">. Staatsolie has refinanced its secured long-term bank loan with an unsecured loan from the Government of Suriname. The loan provided by the Government to Staatsolie in 2016 amounts to USD 261 million and bears 9.25% interest and a bullet repayment in November 2026. Staatsolie reported that in 2018 the loan was fully redeemed through the payment made to GOS. In 2017, two payments of interest to the Government for a total consideration of USD 24 million are reported by both, MoF and Staatsolie. </w:t>
      </w:r>
    </w:p>
    <w:p w14:paraId="2D46FDB7" w14:textId="473C77D4" w:rsidR="00281F6E" w:rsidRDefault="00281F6E" w:rsidP="00C253EE">
      <w:pPr>
        <w:spacing w:before="120" w:line="260" w:lineRule="exact"/>
        <w:jc w:val="both"/>
        <w:rPr>
          <w:rFonts w:asciiTheme="minorHAnsi" w:hAnsiTheme="minorHAnsi" w:cs="TrebuchetMS"/>
          <w:color w:val="auto"/>
          <w:sz w:val="20"/>
          <w:szCs w:val="20"/>
        </w:rPr>
      </w:pPr>
      <w:r>
        <w:rPr>
          <w:rFonts w:asciiTheme="minorHAnsi" w:hAnsiTheme="minorHAnsi" w:cs="TrebuchetMS"/>
          <w:color w:val="auto"/>
          <w:sz w:val="20"/>
          <w:szCs w:val="20"/>
        </w:rPr>
        <w:t xml:space="preserve">All </w:t>
      </w:r>
      <w:r w:rsidRPr="00281F6E">
        <w:rPr>
          <w:rFonts w:asciiTheme="minorHAnsi" w:hAnsiTheme="minorHAnsi" w:cs="TrebuchetMS"/>
          <w:color w:val="auto"/>
          <w:sz w:val="20"/>
          <w:szCs w:val="20"/>
        </w:rPr>
        <w:t>details on</w:t>
      </w:r>
      <w:r>
        <w:rPr>
          <w:rFonts w:asciiTheme="minorHAnsi" w:hAnsiTheme="minorHAnsi" w:cs="TrebuchetMS"/>
          <w:color w:val="auto"/>
          <w:sz w:val="20"/>
          <w:szCs w:val="20"/>
        </w:rPr>
        <w:t xml:space="preserve"> </w:t>
      </w:r>
      <w:r w:rsidR="00C253EE">
        <w:rPr>
          <w:rFonts w:asciiTheme="minorHAnsi" w:hAnsiTheme="minorHAnsi" w:cs="TrebuchetMS"/>
          <w:color w:val="auto"/>
          <w:sz w:val="20"/>
          <w:szCs w:val="20"/>
        </w:rPr>
        <w:t>all</w:t>
      </w:r>
      <w:r w:rsidRPr="00281F6E">
        <w:rPr>
          <w:rFonts w:asciiTheme="minorHAnsi" w:hAnsiTheme="minorHAnsi" w:cs="TrebuchetMS"/>
          <w:color w:val="auto"/>
          <w:sz w:val="20"/>
          <w:szCs w:val="20"/>
        </w:rPr>
        <w:t xml:space="preserve"> </w:t>
      </w:r>
      <w:r>
        <w:rPr>
          <w:rFonts w:asciiTheme="minorHAnsi" w:hAnsiTheme="minorHAnsi" w:cs="TrebuchetMS"/>
          <w:color w:val="auto"/>
          <w:sz w:val="20"/>
          <w:szCs w:val="20"/>
        </w:rPr>
        <w:t>loans</w:t>
      </w:r>
      <w:r w:rsidRPr="00860520">
        <w:rPr>
          <w:rFonts w:asciiTheme="minorHAnsi" w:hAnsiTheme="minorHAnsi" w:cs="TrebuchetMS"/>
          <w:color w:val="auto"/>
          <w:sz w:val="20"/>
          <w:szCs w:val="20"/>
        </w:rPr>
        <w:t xml:space="preserve"> that Staatsolie has received from the government</w:t>
      </w:r>
      <w:r w:rsidRPr="00281F6E">
        <w:rPr>
          <w:rFonts w:asciiTheme="minorHAnsi" w:hAnsiTheme="minorHAnsi" w:cs="TrebuchetMS"/>
          <w:color w:val="auto"/>
          <w:sz w:val="20"/>
          <w:szCs w:val="20"/>
        </w:rPr>
        <w:t xml:space="preserve"> including loan terms</w:t>
      </w:r>
      <w:r>
        <w:rPr>
          <w:rFonts w:asciiTheme="minorHAnsi" w:hAnsiTheme="minorHAnsi" w:cs="TrebuchetMS"/>
          <w:color w:val="auto"/>
          <w:sz w:val="20"/>
          <w:szCs w:val="20"/>
        </w:rPr>
        <w:t xml:space="preserve"> </w:t>
      </w:r>
      <w:r w:rsidRPr="00281F6E">
        <w:rPr>
          <w:rFonts w:asciiTheme="minorHAnsi" w:hAnsiTheme="minorHAnsi" w:cs="TrebuchetMS"/>
          <w:color w:val="auto"/>
          <w:sz w:val="20"/>
          <w:szCs w:val="20"/>
        </w:rPr>
        <w:t>(i.e. repayment schedule and interest rate)</w:t>
      </w:r>
      <w:r>
        <w:rPr>
          <w:rFonts w:asciiTheme="minorHAnsi" w:hAnsiTheme="minorHAnsi" w:cs="TrebuchetMS"/>
          <w:color w:val="auto"/>
          <w:sz w:val="20"/>
          <w:szCs w:val="20"/>
        </w:rPr>
        <w:t xml:space="preserve"> are</w:t>
      </w:r>
      <w:r w:rsidRPr="00281F6E">
        <w:rPr>
          <w:rFonts w:asciiTheme="minorHAnsi" w:hAnsiTheme="minorHAnsi" w:cs="TrebuchetMS"/>
          <w:color w:val="auto"/>
          <w:sz w:val="20"/>
          <w:szCs w:val="20"/>
        </w:rPr>
        <w:t xml:space="preserve"> </w:t>
      </w:r>
      <w:r>
        <w:rPr>
          <w:rFonts w:asciiTheme="minorHAnsi" w:hAnsiTheme="minorHAnsi" w:cs="TrebuchetMS"/>
          <w:color w:val="auto"/>
          <w:sz w:val="20"/>
          <w:szCs w:val="20"/>
        </w:rPr>
        <w:t xml:space="preserve">publicly available </w:t>
      </w:r>
      <w:r w:rsidR="0016053D">
        <w:rPr>
          <w:rFonts w:asciiTheme="minorHAnsi" w:hAnsiTheme="minorHAnsi" w:cs="TrebuchetMS"/>
          <w:color w:val="auto"/>
          <w:sz w:val="20"/>
          <w:szCs w:val="20"/>
        </w:rPr>
        <w:t>in its</w:t>
      </w:r>
      <w:r w:rsidR="00C253EE">
        <w:rPr>
          <w:rFonts w:asciiTheme="minorHAnsi" w:hAnsiTheme="minorHAnsi" w:cs="TrebuchetMS"/>
          <w:color w:val="auto"/>
          <w:sz w:val="20"/>
          <w:szCs w:val="20"/>
        </w:rPr>
        <w:t xml:space="preserve"> </w:t>
      </w:r>
      <w:hyperlink r:id="rId49" w:history="1">
        <w:r w:rsidR="00C253EE" w:rsidRPr="00C253EE">
          <w:rPr>
            <w:rStyle w:val="Hyperlink"/>
            <w:rFonts w:asciiTheme="minorHAnsi" w:hAnsiTheme="minorHAnsi" w:cs="TrebuchetMS"/>
            <w:sz w:val="20"/>
            <w:szCs w:val="20"/>
          </w:rPr>
          <w:t>annual reports</w:t>
        </w:r>
      </w:hyperlink>
      <w:r>
        <w:rPr>
          <w:rFonts w:asciiTheme="minorHAnsi" w:hAnsiTheme="minorHAnsi" w:cs="TrebuchetMS"/>
          <w:color w:val="auto"/>
          <w:sz w:val="20"/>
          <w:szCs w:val="20"/>
        </w:rPr>
        <w:t>.</w:t>
      </w:r>
    </w:p>
    <w:p w14:paraId="37D68132" w14:textId="25E069C9" w:rsidR="00CA282D" w:rsidRPr="00894701" w:rsidRDefault="00CA282D" w:rsidP="00CA282D">
      <w:pPr>
        <w:spacing w:before="120" w:line="260" w:lineRule="exact"/>
        <w:jc w:val="both"/>
        <w:rPr>
          <w:rFonts w:asciiTheme="minorHAnsi" w:hAnsiTheme="minorHAnsi" w:cs="TrebuchetMS"/>
          <w:color w:val="auto"/>
          <w:sz w:val="20"/>
          <w:szCs w:val="20"/>
        </w:rPr>
      </w:pPr>
      <w:r w:rsidRPr="00894701">
        <w:rPr>
          <w:rFonts w:asciiTheme="minorHAnsi" w:hAnsiTheme="minorHAnsi" w:cs="TrebuchetMS"/>
          <w:color w:val="auto"/>
          <w:sz w:val="20"/>
          <w:szCs w:val="20"/>
        </w:rPr>
        <w:t>We understand that there is a tripartite agreement between Staatsolie, Electricity company and GOS regarding the payment of electricity company’s debt. As we did not receive a copy of the agreement, we were unable to reflect the effect of this agreement in this report especially the Financial Relationship with the Government of Suriname.</w:t>
      </w:r>
    </w:p>
    <w:p w14:paraId="3B273C6C" w14:textId="77777777" w:rsidR="00CA282D" w:rsidRPr="00894701" w:rsidRDefault="00CA282D" w:rsidP="00CA282D">
      <w:pPr>
        <w:pStyle w:val="ListParagraph"/>
        <w:numPr>
          <w:ilvl w:val="1"/>
          <w:numId w:val="7"/>
        </w:numPr>
        <w:spacing w:before="240" w:after="240"/>
        <w:ind w:left="851" w:right="482" w:hanging="851"/>
        <w:outlineLvl w:val="1"/>
        <w:rPr>
          <w:b/>
          <w:sz w:val="28"/>
          <w:szCs w:val="28"/>
        </w:rPr>
      </w:pPr>
      <w:bookmarkStart w:id="237" w:name="_Toc122478881"/>
      <w:r w:rsidRPr="00894701">
        <w:rPr>
          <w:b/>
          <w:sz w:val="28"/>
          <w:szCs w:val="28"/>
        </w:rPr>
        <w:t>In-Kind payment (EITI Requirement 4.2)</w:t>
      </w:r>
      <w:bookmarkEnd w:id="237"/>
    </w:p>
    <w:p w14:paraId="6B45CC3B" w14:textId="0E4D82F6" w:rsidR="00CA282D" w:rsidRPr="00894701" w:rsidRDefault="00CA282D" w:rsidP="00CA282D">
      <w:pPr>
        <w:spacing w:before="120"/>
        <w:jc w:val="both"/>
        <w:rPr>
          <w:rFonts w:asciiTheme="minorHAnsi" w:hAnsiTheme="minorHAnsi"/>
          <w:color w:val="auto"/>
          <w:sz w:val="20"/>
        </w:rPr>
      </w:pPr>
      <w:r w:rsidRPr="00894701">
        <w:rPr>
          <w:rFonts w:asciiTheme="minorHAnsi" w:hAnsiTheme="minorHAnsi"/>
          <w:color w:val="auto"/>
          <w:sz w:val="20"/>
        </w:rPr>
        <w:t xml:space="preserve">In accordance with Requirement 4.2 of the 2019 EITI Standard, where the sale of the state’s share of production of oil, gas and/or mineral resources or other revenues collected in kind is material, the government, including state-owned enterprises, are required to disclose the volumes received and </w:t>
      </w:r>
      <w:r w:rsidRPr="00894701">
        <w:rPr>
          <w:rFonts w:asciiTheme="minorHAnsi" w:hAnsiTheme="minorHAnsi"/>
          <w:color w:val="auto"/>
          <w:sz w:val="20"/>
        </w:rPr>
        <w:lastRenderedPageBreak/>
        <w:t>sold by the state (or third parties appointed by the state to sell on their behalf), the revenues received from the sale, and the revenues transferred to the state from the proceeds of oil, gas and minerals sold. Where applicable, this should include payments (in cash or in-kind) related to swapping agreements and resource-backed loans.</w:t>
      </w:r>
    </w:p>
    <w:p w14:paraId="6FB8DAD5" w14:textId="20434E67" w:rsidR="00CA282D" w:rsidRPr="00894701" w:rsidRDefault="00670F09" w:rsidP="00A834A8">
      <w:pPr>
        <w:pStyle w:val="AltMinorHeading"/>
        <w:numPr>
          <w:ilvl w:val="2"/>
          <w:numId w:val="63"/>
        </w:numPr>
        <w:ind w:left="426" w:hanging="360"/>
        <w:rPr>
          <w:rStyle w:val="Emphasis"/>
          <w:i w:val="0"/>
          <w:iCs w:val="0"/>
          <w:szCs w:val="28"/>
        </w:rPr>
      </w:pPr>
      <w:bookmarkStart w:id="238" w:name="_Toc122478882"/>
      <w:r w:rsidRPr="00894701">
        <w:rPr>
          <w:szCs w:val="28"/>
        </w:rPr>
        <w:t xml:space="preserve">In-Kind payment in the </w:t>
      </w:r>
      <w:r w:rsidR="00CA282D" w:rsidRPr="00894701">
        <w:rPr>
          <w:szCs w:val="28"/>
        </w:rPr>
        <w:t>Mining sector</w:t>
      </w:r>
      <w:bookmarkEnd w:id="238"/>
      <w:r w:rsidR="00CA282D" w:rsidRPr="00894701">
        <w:rPr>
          <w:rStyle w:val="Emphasis"/>
          <w:i w:val="0"/>
          <w:szCs w:val="28"/>
        </w:rPr>
        <w:t xml:space="preserve"> </w:t>
      </w:r>
    </w:p>
    <w:p w14:paraId="21B010B2" w14:textId="2906E5F1" w:rsidR="00CA282D" w:rsidRPr="00894701" w:rsidRDefault="00CA282D" w:rsidP="00CA282D">
      <w:pPr>
        <w:spacing w:before="120"/>
        <w:jc w:val="both"/>
        <w:rPr>
          <w:rFonts w:asciiTheme="minorHAnsi" w:hAnsiTheme="minorHAnsi"/>
          <w:color w:val="auto"/>
          <w:sz w:val="20"/>
        </w:rPr>
      </w:pPr>
      <w:r w:rsidRPr="00894701">
        <w:rPr>
          <w:rFonts w:asciiTheme="minorHAnsi" w:hAnsiTheme="minorHAnsi"/>
          <w:color w:val="auto"/>
          <w:sz w:val="20"/>
        </w:rPr>
        <w:t xml:space="preserve">We understand that since 2004, RGM pays the equivalent to the value of 2% of its monthly refined production of gold and silver, as special royalty to the SOE Grassalco in accordance with Article 20.13 of the Mineral Agreement of 1994. Grassalco subsequently sells part of its in-kind holdings and transfers part of its proceeds to the Central Government. </w:t>
      </w:r>
    </w:p>
    <w:p w14:paraId="7A7D451E" w14:textId="178DF258" w:rsidR="00CA282D" w:rsidRPr="00894701" w:rsidRDefault="00670F09" w:rsidP="00A834A8">
      <w:pPr>
        <w:pStyle w:val="AltMinorHeading"/>
        <w:numPr>
          <w:ilvl w:val="2"/>
          <w:numId w:val="63"/>
        </w:numPr>
        <w:ind w:left="426" w:hanging="360"/>
        <w:rPr>
          <w:szCs w:val="28"/>
        </w:rPr>
      </w:pPr>
      <w:bookmarkStart w:id="239" w:name="_Toc122478883"/>
      <w:r w:rsidRPr="00894701">
        <w:rPr>
          <w:szCs w:val="28"/>
        </w:rPr>
        <w:t xml:space="preserve">In-Kind payment in the </w:t>
      </w:r>
      <w:r w:rsidR="00CA282D" w:rsidRPr="00894701">
        <w:rPr>
          <w:szCs w:val="28"/>
        </w:rPr>
        <w:t>Oil and Gas sector</w:t>
      </w:r>
      <w:bookmarkEnd w:id="239"/>
      <w:r w:rsidR="00CA282D" w:rsidRPr="00894701">
        <w:rPr>
          <w:szCs w:val="28"/>
        </w:rPr>
        <w:t xml:space="preserve"> </w:t>
      </w:r>
    </w:p>
    <w:p w14:paraId="32D1828A" w14:textId="3608B497" w:rsidR="00CA282D" w:rsidRPr="00894701" w:rsidRDefault="00CA282D" w:rsidP="00CA282D">
      <w:pPr>
        <w:spacing w:before="120"/>
        <w:jc w:val="both"/>
        <w:rPr>
          <w:rFonts w:asciiTheme="minorHAnsi" w:hAnsiTheme="minorHAnsi"/>
          <w:color w:val="auto"/>
          <w:sz w:val="20"/>
        </w:rPr>
      </w:pPr>
      <w:r w:rsidRPr="00894701">
        <w:rPr>
          <w:rFonts w:asciiTheme="minorHAnsi" w:hAnsiTheme="minorHAnsi"/>
          <w:color w:val="auto"/>
          <w:sz w:val="20"/>
        </w:rPr>
        <w:t xml:space="preserve">Staatsolie has </w:t>
      </w:r>
      <w:r w:rsidR="0018602D" w:rsidRPr="00894701">
        <w:rPr>
          <w:rFonts w:asciiTheme="minorHAnsi" w:hAnsiTheme="minorHAnsi"/>
          <w:color w:val="auto"/>
          <w:sz w:val="20"/>
        </w:rPr>
        <w:t>entered</w:t>
      </w:r>
      <w:r w:rsidRPr="00894701">
        <w:rPr>
          <w:rFonts w:asciiTheme="minorHAnsi" w:hAnsiTheme="minorHAnsi"/>
          <w:color w:val="auto"/>
          <w:sz w:val="20"/>
        </w:rPr>
        <w:t xml:space="preserve"> a trading deal with a Trading agent in Petroleum products on behalf of the Government. Staatsolie transferred the proceeds of the sales of these petroleum products to the Government after deduction of sales commission.  </w:t>
      </w:r>
    </w:p>
    <w:p w14:paraId="2A89BEAD" w14:textId="28B46039" w:rsidR="00CA282D" w:rsidRPr="00894701" w:rsidRDefault="00CA282D" w:rsidP="00CA282D">
      <w:pPr>
        <w:pStyle w:val="ListParagraph"/>
        <w:numPr>
          <w:ilvl w:val="1"/>
          <w:numId w:val="7"/>
        </w:numPr>
        <w:spacing w:before="240" w:after="240"/>
        <w:ind w:left="851" w:right="482" w:hanging="851"/>
        <w:outlineLvl w:val="1"/>
        <w:rPr>
          <w:b/>
          <w:sz w:val="28"/>
          <w:szCs w:val="28"/>
        </w:rPr>
      </w:pPr>
      <w:bookmarkStart w:id="240" w:name="_Toc122478884"/>
      <w:bookmarkStart w:id="241" w:name="_Hlk113872982"/>
      <w:r w:rsidRPr="00894701">
        <w:rPr>
          <w:b/>
          <w:sz w:val="28"/>
          <w:szCs w:val="28"/>
        </w:rPr>
        <w:t xml:space="preserve">Infrastructure </w:t>
      </w:r>
      <w:r w:rsidR="004D3534" w:rsidRPr="00894701">
        <w:rPr>
          <w:b/>
          <w:sz w:val="28"/>
          <w:szCs w:val="28"/>
        </w:rPr>
        <w:t xml:space="preserve">provision </w:t>
      </w:r>
      <w:r w:rsidRPr="00894701">
        <w:rPr>
          <w:b/>
          <w:sz w:val="28"/>
          <w:szCs w:val="28"/>
        </w:rPr>
        <w:t>and barter arrangements in the Extractive Sector (EITI Requirement 4.3)</w:t>
      </w:r>
      <w:bookmarkEnd w:id="240"/>
      <w:r w:rsidRPr="00894701">
        <w:rPr>
          <w:b/>
          <w:sz w:val="28"/>
          <w:szCs w:val="28"/>
        </w:rPr>
        <w:t xml:space="preserve"> </w:t>
      </w:r>
    </w:p>
    <w:bookmarkEnd w:id="241"/>
    <w:p w14:paraId="0164C4D3" w14:textId="77777777" w:rsidR="00CA282D" w:rsidRPr="00894701" w:rsidRDefault="00CA282D" w:rsidP="00CA282D">
      <w:pPr>
        <w:spacing w:before="120"/>
        <w:jc w:val="both"/>
        <w:rPr>
          <w:rFonts w:asciiTheme="minorHAnsi" w:hAnsiTheme="minorHAnsi"/>
          <w:color w:val="auto"/>
          <w:sz w:val="20"/>
        </w:rPr>
      </w:pPr>
      <w:r w:rsidRPr="00894701">
        <w:rPr>
          <w:rFonts w:asciiTheme="minorHAnsi" w:hAnsiTheme="minorHAnsi"/>
          <w:color w:val="auto"/>
          <w:sz w:val="20"/>
        </w:rPr>
        <w:t xml:space="preserve">EITI Requirement 4.3 states that it should be considered whether there are any agreements or sets of agreements involving the provision of goods and services (including loans, grants and infrastructure works), in full or partial exchange for oil, gas or mining exploration or production concessions or physical delivery of such commodities. </w:t>
      </w:r>
    </w:p>
    <w:p w14:paraId="11DF7B31" w14:textId="3B63A6D1" w:rsidR="00CA282D" w:rsidRPr="00894701" w:rsidRDefault="004D3534" w:rsidP="00CA282D">
      <w:pPr>
        <w:spacing w:before="120"/>
        <w:jc w:val="both"/>
        <w:rPr>
          <w:rFonts w:asciiTheme="minorHAnsi" w:hAnsiTheme="minorHAnsi"/>
          <w:color w:val="auto"/>
          <w:sz w:val="20"/>
        </w:rPr>
      </w:pPr>
      <w:r w:rsidRPr="00894701">
        <w:rPr>
          <w:rFonts w:asciiTheme="minorHAnsi" w:hAnsiTheme="minorHAnsi"/>
          <w:color w:val="auto"/>
          <w:sz w:val="20"/>
        </w:rPr>
        <w:t>None of</w:t>
      </w:r>
      <w:r w:rsidR="0012228F" w:rsidRPr="00894701">
        <w:rPr>
          <w:rFonts w:asciiTheme="minorHAnsi" w:hAnsiTheme="minorHAnsi"/>
          <w:color w:val="auto"/>
          <w:sz w:val="20"/>
        </w:rPr>
        <w:t xml:space="preserve"> the </w:t>
      </w:r>
      <w:r w:rsidRPr="00894701">
        <w:rPr>
          <w:rFonts w:asciiTheme="minorHAnsi" w:hAnsiTheme="minorHAnsi"/>
          <w:color w:val="auto"/>
          <w:sz w:val="20"/>
        </w:rPr>
        <w:t>reporting entities reported any</w:t>
      </w:r>
      <w:r w:rsidR="0012228F" w:rsidRPr="00894701">
        <w:rPr>
          <w:rFonts w:asciiTheme="minorHAnsi" w:hAnsiTheme="minorHAnsi"/>
          <w:color w:val="auto"/>
          <w:sz w:val="20"/>
        </w:rPr>
        <w:t xml:space="preserve"> </w:t>
      </w:r>
      <w:r w:rsidRPr="00894701">
        <w:rPr>
          <w:rFonts w:asciiTheme="minorHAnsi" w:hAnsiTheme="minorHAnsi"/>
          <w:color w:val="auto"/>
          <w:sz w:val="20"/>
        </w:rPr>
        <w:t xml:space="preserve">Infrastructure provision and barter arrangements </w:t>
      </w:r>
      <w:r w:rsidR="0012228F" w:rsidRPr="00894701">
        <w:rPr>
          <w:rFonts w:asciiTheme="minorHAnsi" w:hAnsiTheme="minorHAnsi"/>
          <w:color w:val="auto"/>
          <w:sz w:val="20"/>
        </w:rPr>
        <w:t xml:space="preserve">during the </w:t>
      </w:r>
      <w:r w:rsidRPr="00894701">
        <w:rPr>
          <w:rFonts w:asciiTheme="minorHAnsi" w:hAnsiTheme="minorHAnsi"/>
          <w:color w:val="auto"/>
          <w:sz w:val="20"/>
        </w:rPr>
        <w:t>FYs 2018, 2019 and 2020.</w:t>
      </w:r>
      <w:r w:rsidR="0012228F" w:rsidRPr="00894701">
        <w:rPr>
          <w:rFonts w:asciiTheme="minorHAnsi" w:hAnsiTheme="minorHAnsi"/>
          <w:color w:val="auto"/>
          <w:sz w:val="20"/>
        </w:rPr>
        <w:t xml:space="preserve"> </w:t>
      </w:r>
      <w:r w:rsidRPr="00894701">
        <w:rPr>
          <w:rFonts w:asciiTheme="minorHAnsi" w:hAnsiTheme="minorHAnsi"/>
          <w:color w:val="auto"/>
          <w:sz w:val="20"/>
        </w:rPr>
        <w:t>W</w:t>
      </w:r>
      <w:r w:rsidR="0012228F" w:rsidRPr="00894701">
        <w:rPr>
          <w:rFonts w:asciiTheme="minorHAnsi" w:hAnsiTheme="minorHAnsi"/>
          <w:color w:val="auto"/>
          <w:sz w:val="20"/>
        </w:rPr>
        <w:t>e understand that infrastructure provisions and barter arrangements are not applicable in the extractive sector in Suriname.</w:t>
      </w:r>
      <w:r w:rsidR="00CA282D" w:rsidRPr="00894701">
        <w:rPr>
          <w:rFonts w:asciiTheme="minorHAnsi" w:hAnsiTheme="minorHAnsi"/>
          <w:color w:val="auto"/>
          <w:sz w:val="20"/>
        </w:rPr>
        <w:t xml:space="preserve"> </w:t>
      </w:r>
    </w:p>
    <w:p w14:paraId="4585C48B" w14:textId="77777777" w:rsidR="00CA282D" w:rsidRPr="00894701" w:rsidRDefault="00CA282D" w:rsidP="00CA282D">
      <w:pPr>
        <w:pStyle w:val="ListParagraph"/>
        <w:numPr>
          <w:ilvl w:val="1"/>
          <w:numId w:val="7"/>
        </w:numPr>
        <w:spacing w:before="240" w:after="240"/>
        <w:ind w:left="851" w:right="482" w:hanging="851"/>
        <w:outlineLvl w:val="1"/>
        <w:rPr>
          <w:b/>
          <w:sz w:val="28"/>
          <w:szCs w:val="28"/>
        </w:rPr>
      </w:pPr>
      <w:bookmarkStart w:id="242" w:name="_Hlk113873226"/>
      <w:r w:rsidRPr="00894701">
        <w:rPr>
          <w:b/>
          <w:sz w:val="28"/>
          <w:szCs w:val="28"/>
        </w:rPr>
        <w:t xml:space="preserve"> </w:t>
      </w:r>
      <w:bookmarkStart w:id="243" w:name="_Toc122478885"/>
      <w:r w:rsidRPr="00894701">
        <w:rPr>
          <w:b/>
          <w:sz w:val="28"/>
          <w:szCs w:val="28"/>
        </w:rPr>
        <w:t>Transport of minerals (EITI Requirement 4.4)</w:t>
      </w:r>
      <w:bookmarkEnd w:id="243"/>
      <w:r w:rsidRPr="00894701">
        <w:rPr>
          <w:b/>
          <w:sz w:val="28"/>
          <w:szCs w:val="28"/>
        </w:rPr>
        <w:t xml:space="preserve"> </w:t>
      </w:r>
    </w:p>
    <w:bookmarkEnd w:id="242"/>
    <w:p w14:paraId="37D1E140" w14:textId="77777777" w:rsidR="00CA282D" w:rsidRPr="00894701" w:rsidRDefault="00CA282D" w:rsidP="00CA282D">
      <w:pPr>
        <w:spacing w:before="120"/>
        <w:jc w:val="both"/>
        <w:rPr>
          <w:rFonts w:asciiTheme="minorHAnsi" w:hAnsiTheme="minorHAnsi"/>
          <w:color w:val="auto"/>
          <w:sz w:val="20"/>
        </w:rPr>
      </w:pPr>
      <w:r w:rsidRPr="00894701">
        <w:rPr>
          <w:rFonts w:asciiTheme="minorHAnsi" w:hAnsiTheme="minorHAnsi"/>
          <w:color w:val="auto"/>
          <w:sz w:val="20"/>
        </w:rPr>
        <w:t xml:space="preserve">EITI Requirement 4.4 states that “Where revenues from the transportation of oil, gas and minerals are material, the government and state-owned enterprises SOE(s) are expected to disclose the revenues received by Government Agencies”. The EITI Standard requires disclosure of details of arrangements in situations where Government Agencies and state-owned enterprises are involved in the transportation of oil, gas and minerals. These details include the product(s) transported, route(s) and the relevant companies and Government Agencies, including SOE(s), involved in the transportation. </w:t>
      </w:r>
    </w:p>
    <w:p w14:paraId="09BB20D5" w14:textId="223CBC5C" w:rsidR="00CA282D" w:rsidRPr="00894701" w:rsidRDefault="00CA282D" w:rsidP="00CA282D">
      <w:pPr>
        <w:spacing w:before="120"/>
        <w:jc w:val="both"/>
        <w:rPr>
          <w:rFonts w:asciiTheme="minorHAnsi" w:hAnsiTheme="minorHAnsi"/>
          <w:color w:val="auto"/>
          <w:sz w:val="20"/>
        </w:rPr>
      </w:pPr>
      <w:r w:rsidRPr="00894701">
        <w:rPr>
          <w:rFonts w:asciiTheme="minorHAnsi" w:hAnsiTheme="minorHAnsi"/>
          <w:color w:val="auto"/>
          <w:sz w:val="20"/>
        </w:rPr>
        <w:t xml:space="preserve">Following our discussions with the Government Agencies during the scoping phase, we understand that Revenues from transporting minerals are not applicable in the extractive sector in Suriname.  </w:t>
      </w:r>
    </w:p>
    <w:p w14:paraId="6AE730EA" w14:textId="77777777" w:rsidR="00CA282D" w:rsidRPr="00894701" w:rsidRDefault="00CA282D" w:rsidP="00CA282D">
      <w:pPr>
        <w:pStyle w:val="ListParagraph"/>
        <w:numPr>
          <w:ilvl w:val="1"/>
          <w:numId w:val="7"/>
        </w:numPr>
        <w:spacing w:before="240" w:after="240"/>
        <w:ind w:left="851" w:right="482" w:hanging="851"/>
        <w:outlineLvl w:val="1"/>
        <w:rPr>
          <w:b/>
          <w:sz w:val="28"/>
          <w:szCs w:val="28"/>
        </w:rPr>
      </w:pPr>
      <w:bookmarkStart w:id="244" w:name="_Toc122478886"/>
      <w:r w:rsidRPr="00894701">
        <w:rPr>
          <w:b/>
          <w:sz w:val="28"/>
          <w:szCs w:val="28"/>
        </w:rPr>
        <w:t>Subnational payments</w:t>
      </w:r>
      <w:bookmarkEnd w:id="244"/>
      <w:r w:rsidRPr="00894701">
        <w:rPr>
          <w:b/>
          <w:sz w:val="28"/>
          <w:szCs w:val="28"/>
        </w:rPr>
        <w:t xml:space="preserve">  </w:t>
      </w:r>
    </w:p>
    <w:p w14:paraId="424C8149" w14:textId="0F12CDD9" w:rsidR="00CA282D" w:rsidRPr="00894701" w:rsidRDefault="00CA282D" w:rsidP="00CA282D">
      <w:pPr>
        <w:spacing w:before="120"/>
        <w:jc w:val="both"/>
        <w:rPr>
          <w:rFonts w:asciiTheme="minorHAnsi" w:hAnsiTheme="minorHAnsi"/>
          <w:color w:val="auto"/>
          <w:sz w:val="20"/>
        </w:rPr>
      </w:pPr>
      <w:r w:rsidRPr="00894701">
        <w:rPr>
          <w:rFonts w:asciiTheme="minorHAnsi" w:hAnsiTheme="minorHAnsi"/>
          <w:color w:val="auto"/>
          <w:sz w:val="20"/>
        </w:rPr>
        <w:t xml:space="preserve">In accordance with Requirement 4.6 of EITI Standard 2019, the multi-stakeholder group establishes whether direct payments, within the scope of the agreed benefit streams, from companies to sub-national government entities are material. Where material, the multi-stakeholder group is required to ensure that company payments to sub-national government entities and the receipt of these payments are disclosed.  </w:t>
      </w:r>
    </w:p>
    <w:p w14:paraId="0C08A62A" w14:textId="38CCBA85" w:rsidR="0014087C" w:rsidRDefault="00CA282D" w:rsidP="00CA282D">
      <w:pPr>
        <w:spacing w:before="120"/>
        <w:jc w:val="both"/>
        <w:rPr>
          <w:rFonts w:asciiTheme="minorHAnsi" w:hAnsiTheme="minorHAnsi"/>
          <w:color w:val="auto"/>
          <w:sz w:val="20"/>
        </w:rPr>
      </w:pPr>
      <w:r w:rsidRPr="00894701">
        <w:rPr>
          <w:rFonts w:asciiTheme="minorHAnsi" w:hAnsiTheme="minorHAnsi"/>
          <w:color w:val="auto"/>
          <w:sz w:val="20"/>
        </w:rPr>
        <w:t xml:space="preserve">Following our discussion with the Government Agencies during the scoping phase, we understand that the sub-national payments are not applicable in the extractive sector in Suriname.  </w:t>
      </w:r>
      <w:r w:rsidR="0014087C">
        <w:rPr>
          <w:rFonts w:asciiTheme="minorHAnsi" w:hAnsiTheme="minorHAnsi"/>
          <w:color w:val="auto"/>
          <w:sz w:val="20"/>
        </w:rPr>
        <w:br w:type="page"/>
      </w:r>
    </w:p>
    <w:p w14:paraId="211C4FE4" w14:textId="77777777" w:rsidR="00CA282D" w:rsidRPr="00894701" w:rsidRDefault="00CA282D" w:rsidP="00CA282D">
      <w:pPr>
        <w:spacing w:before="120"/>
        <w:jc w:val="both"/>
        <w:rPr>
          <w:rFonts w:asciiTheme="minorHAnsi" w:hAnsiTheme="minorHAnsi"/>
          <w:color w:val="auto"/>
          <w:sz w:val="20"/>
        </w:rPr>
      </w:pPr>
    </w:p>
    <w:p w14:paraId="42DB482A" w14:textId="77777777" w:rsidR="00CA282D" w:rsidRPr="00894701" w:rsidRDefault="00CA282D" w:rsidP="00CA282D">
      <w:pPr>
        <w:pStyle w:val="ListParagraph"/>
        <w:numPr>
          <w:ilvl w:val="1"/>
          <w:numId w:val="7"/>
        </w:numPr>
        <w:spacing w:before="240" w:after="240"/>
        <w:ind w:left="851" w:right="482" w:hanging="851"/>
        <w:outlineLvl w:val="1"/>
        <w:rPr>
          <w:b/>
          <w:sz w:val="28"/>
          <w:szCs w:val="28"/>
        </w:rPr>
      </w:pPr>
      <w:bookmarkStart w:id="245" w:name="_Toc122478887"/>
      <w:r w:rsidRPr="00894701">
        <w:rPr>
          <w:b/>
          <w:sz w:val="28"/>
          <w:szCs w:val="28"/>
        </w:rPr>
        <w:t>Subnational Transfers</w:t>
      </w:r>
      <w:bookmarkEnd w:id="245"/>
      <w:r w:rsidRPr="00894701">
        <w:rPr>
          <w:b/>
          <w:sz w:val="28"/>
          <w:szCs w:val="28"/>
        </w:rPr>
        <w:t xml:space="preserve"> </w:t>
      </w:r>
    </w:p>
    <w:p w14:paraId="716C41DB" w14:textId="39FA19C3" w:rsidR="00CA282D" w:rsidRPr="00894701" w:rsidRDefault="00CA282D" w:rsidP="00CA282D">
      <w:pPr>
        <w:spacing w:before="120"/>
        <w:jc w:val="both"/>
        <w:rPr>
          <w:rFonts w:asciiTheme="minorHAnsi" w:hAnsiTheme="minorHAnsi"/>
          <w:color w:val="auto"/>
          <w:sz w:val="20"/>
        </w:rPr>
      </w:pPr>
      <w:r w:rsidRPr="00894701">
        <w:rPr>
          <w:rFonts w:asciiTheme="minorHAnsi" w:hAnsiTheme="minorHAnsi"/>
          <w:color w:val="auto"/>
          <w:sz w:val="20"/>
        </w:rPr>
        <w:t xml:space="preserve">In accordance with Requirement 5.2 of the 2019 EITI Standard, where transfers between national and sub-national government entities are related to revenues generated by the extractive industries and are mandated by a national constitution, statute or other revenue sharing mechanism, the multi- stakeholder group is required to ensure that material transfers are disclosed.  </w:t>
      </w:r>
    </w:p>
    <w:p w14:paraId="61275D27" w14:textId="4ABB10E6" w:rsidR="00CA282D" w:rsidRPr="00894701" w:rsidRDefault="00CA282D" w:rsidP="00CA282D">
      <w:pPr>
        <w:widowControl w:val="0"/>
        <w:spacing w:before="80" w:after="0" w:line="227" w:lineRule="exact"/>
        <w:rPr>
          <w:rFonts w:asciiTheme="minorHAnsi" w:eastAsiaTheme="minorHAnsi" w:hAnsiTheme="minorHAnsi" w:cs="TrebuchetMS-Bold"/>
          <w:b/>
          <w:bCs/>
          <w:color w:val="ED1A3B"/>
          <w:kern w:val="0"/>
          <w:szCs w:val="18"/>
          <w:lang w:eastAsia="en-US"/>
        </w:rPr>
      </w:pPr>
      <w:r w:rsidRPr="00894701">
        <w:rPr>
          <w:rFonts w:asciiTheme="minorHAnsi" w:eastAsiaTheme="minorHAnsi" w:hAnsiTheme="minorHAnsi" w:cs="TrebuchetMS-Bold"/>
          <w:b/>
          <w:bCs/>
          <w:color w:val="ED1A3B"/>
          <w:kern w:val="0"/>
          <w:szCs w:val="18"/>
          <w:lang w:eastAsia="en-US"/>
        </w:rPr>
        <w:t xml:space="preserve">Act of savings and stabilisation fund Suriname/SB 2017-59 </w:t>
      </w:r>
    </w:p>
    <w:p w14:paraId="3E2D7EE7" w14:textId="749FB45B" w:rsidR="00CA282D" w:rsidRPr="00894701" w:rsidRDefault="00CA282D" w:rsidP="00CA282D">
      <w:pPr>
        <w:spacing w:before="120"/>
        <w:jc w:val="both"/>
        <w:rPr>
          <w:rFonts w:asciiTheme="minorHAnsi" w:hAnsiTheme="minorHAnsi"/>
          <w:color w:val="auto"/>
          <w:sz w:val="20"/>
        </w:rPr>
      </w:pPr>
      <w:r w:rsidRPr="00894701">
        <w:rPr>
          <w:rFonts w:asciiTheme="minorHAnsi" w:hAnsiTheme="minorHAnsi"/>
          <w:color w:val="auto"/>
          <w:sz w:val="20"/>
        </w:rPr>
        <w:t xml:space="preserve">The Act of Savings and Stabilisation Fund Suriname was prepared in 2016 and approved by the National Assembly on 05 May 2017, and was made public on 13 June 2017, in the SB 2017/59 (SB 2017-59). This fund had to be operational from 2018. </w:t>
      </w:r>
    </w:p>
    <w:p w14:paraId="726A46AC" w14:textId="77777777" w:rsidR="00CA282D" w:rsidRPr="00894701" w:rsidRDefault="00CA282D" w:rsidP="00CA282D">
      <w:pPr>
        <w:spacing w:before="120"/>
        <w:jc w:val="both"/>
        <w:rPr>
          <w:rFonts w:asciiTheme="minorHAnsi" w:hAnsiTheme="minorHAnsi"/>
          <w:color w:val="auto"/>
          <w:sz w:val="20"/>
        </w:rPr>
      </w:pPr>
      <w:r w:rsidRPr="00894701">
        <w:rPr>
          <w:rFonts w:asciiTheme="minorHAnsi" w:hAnsiTheme="minorHAnsi"/>
          <w:color w:val="auto"/>
          <w:sz w:val="20"/>
        </w:rPr>
        <w:t xml:space="preserve">The fund intends to: </w:t>
      </w:r>
    </w:p>
    <w:p w14:paraId="72261DC2" w14:textId="2DD6F594" w:rsidR="00CA282D" w:rsidRPr="00894701" w:rsidRDefault="00CA282D" w:rsidP="00CA282D">
      <w:pPr>
        <w:pStyle w:val="ListParagraph"/>
        <w:numPr>
          <w:ilvl w:val="2"/>
          <w:numId w:val="41"/>
        </w:numPr>
        <w:spacing w:before="120"/>
        <w:ind w:left="709"/>
        <w:jc w:val="both"/>
        <w:rPr>
          <w:rFonts w:asciiTheme="minorHAnsi" w:hAnsiTheme="minorHAnsi"/>
          <w:color w:val="auto"/>
          <w:sz w:val="20"/>
        </w:rPr>
      </w:pPr>
      <w:r w:rsidRPr="00894701">
        <w:rPr>
          <w:rFonts w:asciiTheme="minorHAnsi" w:hAnsiTheme="minorHAnsi"/>
          <w:color w:val="auto"/>
          <w:sz w:val="20"/>
        </w:rPr>
        <w:t xml:space="preserve">Stabilise the resources made available to the Government for financing expenditure in order to limit the effects of macro-economic volatility by protecting the level of Government revenues in times of lower revenues from the mining sector; </w:t>
      </w:r>
    </w:p>
    <w:p w14:paraId="3B507D42" w14:textId="77777777" w:rsidR="00CA282D" w:rsidRPr="00894701" w:rsidRDefault="00CA282D" w:rsidP="00CA282D">
      <w:pPr>
        <w:pStyle w:val="ListParagraph"/>
        <w:numPr>
          <w:ilvl w:val="2"/>
          <w:numId w:val="41"/>
        </w:numPr>
        <w:spacing w:before="120"/>
        <w:ind w:left="709"/>
        <w:jc w:val="both"/>
        <w:rPr>
          <w:rFonts w:asciiTheme="minorHAnsi" w:hAnsiTheme="minorHAnsi"/>
          <w:color w:val="auto"/>
          <w:sz w:val="20"/>
        </w:rPr>
      </w:pPr>
      <w:r w:rsidRPr="00894701">
        <w:rPr>
          <w:rFonts w:asciiTheme="minorHAnsi" w:hAnsiTheme="minorHAnsi"/>
          <w:color w:val="auto"/>
          <w:sz w:val="20"/>
        </w:rPr>
        <w:t>Generate an alternative flow of income to diversify Government revenues and supplement where necessary; and</w:t>
      </w:r>
    </w:p>
    <w:p w14:paraId="19E22877" w14:textId="77777777" w:rsidR="00CA282D" w:rsidRPr="00894701" w:rsidRDefault="00CA282D" w:rsidP="00CA282D">
      <w:pPr>
        <w:pStyle w:val="ListParagraph"/>
        <w:numPr>
          <w:ilvl w:val="2"/>
          <w:numId w:val="41"/>
        </w:numPr>
        <w:spacing w:before="120"/>
        <w:ind w:left="709"/>
        <w:jc w:val="both"/>
        <w:rPr>
          <w:rFonts w:asciiTheme="minorHAnsi" w:hAnsiTheme="minorHAnsi"/>
          <w:color w:val="auto"/>
          <w:sz w:val="20"/>
        </w:rPr>
      </w:pPr>
      <w:r w:rsidRPr="00894701">
        <w:rPr>
          <w:rFonts w:asciiTheme="minorHAnsi" w:hAnsiTheme="minorHAnsi"/>
          <w:color w:val="auto"/>
          <w:sz w:val="20"/>
        </w:rPr>
        <w:t xml:space="preserve">Generate income for future generations through savings from the State's mining income. </w:t>
      </w:r>
    </w:p>
    <w:p w14:paraId="14372EC1" w14:textId="6F8BD378" w:rsidR="00CA282D" w:rsidRPr="00894701" w:rsidRDefault="00CA282D" w:rsidP="00CA282D">
      <w:pPr>
        <w:pStyle w:val="ListParagraph"/>
        <w:spacing w:before="120"/>
        <w:ind w:left="709"/>
        <w:jc w:val="both"/>
        <w:rPr>
          <w:rFonts w:asciiTheme="minorHAnsi" w:hAnsiTheme="minorHAnsi"/>
          <w:color w:val="auto"/>
          <w:sz w:val="20"/>
        </w:rPr>
      </w:pPr>
    </w:p>
    <w:p w14:paraId="24096D91" w14:textId="2A98059C" w:rsidR="00CA282D" w:rsidRPr="00894701" w:rsidRDefault="00CA282D" w:rsidP="00CA282D">
      <w:pPr>
        <w:pStyle w:val="ListParagraph"/>
        <w:numPr>
          <w:ilvl w:val="1"/>
          <w:numId w:val="7"/>
        </w:numPr>
        <w:spacing w:before="240" w:after="240"/>
        <w:ind w:left="851" w:right="482" w:hanging="851"/>
        <w:outlineLvl w:val="1"/>
        <w:rPr>
          <w:b/>
          <w:sz w:val="28"/>
          <w:szCs w:val="28"/>
        </w:rPr>
      </w:pPr>
      <w:r w:rsidRPr="00894701">
        <w:rPr>
          <w:b/>
          <w:sz w:val="28"/>
          <w:szCs w:val="28"/>
        </w:rPr>
        <w:t xml:space="preserve"> </w:t>
      </w:r>
      <w:bookmarkStart w:id="246" w:name="_Toc122478888"/>
      <w:r w:rsidRPr="00894701">
        <w:rPr>
          <w:b/>
          <w:sz w:val="28"/>
          <w:szCs w:val="28"/>
        </w:rPr>
        <w:t>Social expenditure (EITI Requirement 6.1)</w:t>
      </w:r>
      <w:bookmarkEnd w:id="246"/>
      <w:r w:rsidRPr="00894701">
        <w:rPr>
          <w:b/>
          <w:sz w:val="28"/>
          <w:szCs w:val="28"/>
        </w:rPr>
        <w:t xml:space="preserve"> </w:t>
      </w:r>
    </w:p>
    <w:p w14:paraId="18BD2A25" w14:textId="251BF928" w:rsidR="00CA282D" w:rsidRPr="00894701" w:rsidRDefault="00670F09" w:rsidP="00A834A8">
      <w:pPr>
        <w:pStyle w:val="AltMinorHeading"/>
        <w:numPr>
          <w:ilvl w:val="2"/>
          <w:numId w:val="64"/>
        </w:numPr>
        <w:tabs>
          <w:tab w:val="left" w:pos="1134"/>
        </w:tabs>
        <w:ind w:left="426" w:hanging="360"/>
        <w:rPr>
          <w:szCs w:val="28"/>
        </w:rPr>
      </w:pPr>
      <w:bookmarkStart w:id="247" w:name="_Toc122478889"/>
      <w:r w:rsidRPr="00894701">
        <w:rPr>
          <w:szCs w:val="28"/>
        </w:rPr>
        <w:t xml:space="preserve">Social expenditure in the </w:t>
      </w:r>
      <w:r w:rsidR="00CA282D" w:rsidRPr="00894701">
        <w:rPr>
          <w:szCs w:val="28"/>
        </w:rPr>
        <w:t>Mining Sector</w:t>
      </w:r>
      <w:bookmarkEnd w:id="247"/>
      <w:r w:rsidR="00CA282D" w:rsidRPr="00894701">
        <w:rPr>
          <w:szCs w:val="28"/>
        </w:rPr>
        <w:t xml:space="preserve"> </w:t>
      </w:r>
    </w:p>
    <w:p w14:paraId="2C069872" w14:textId="71A80B7A" w:rsidR="00CA282D" w:rsidRPr="00894701" w:rsidRDefault="00CA282D" w:rsidP="00CA282D">
      <w:pPr>
        <w:spacing w:before="120"/>
        <w:jc w:val="both"/>
        <w:rPr>
          <w:rFonts w:asciiTheme="minorHAnsi" w:hAnsiTheme="minorHAnsi"/>
          <w:color w:val="auto"/>
          <w:sz w:val="20"/>
        </w:rPr>
      </w:pPr>
      <w:r w:rsidRPr="00894701">
        <w:rPr>
          <w:rFonts w:asciiTheme="minorHAnsi" w:hAnsiTheme="minorHAnsi"/>
          <w:color w:val="auto"/>
          <w:sz w:val="20"/>
        </w:rPr>
        <w:t xml:space="preserve">Social expenditure as part of their Corporate Social Responsibility (CSR) by extractive companies can be voluntary or mandatory. Large-scale mining companies involved in commercial production in Suriname have community-related, as well as CSR programmes, as an integral part of their corporate policy. This mechanism allows the large-scale mining companies to give back to the communities in which they operate, as well as to the Surinamese society at large, thereby giving impetus to their position as corporate citizens.  </w:t>
      </w:r>
    </w:p>
    <w:p w14:paraId="14132070" w14:textId="1CF2C95B" w:rsidR="00CA282D" w:rsidRPr="00894701" w:rsidRDefault="00CA282D" w:rsidP="00CA282D">
      <w:pPr>
        <w:spacing w:after="0" w:line="240" w:lineRule="auto"/>
        <w:rPr>
          <w:rFonts w:asciiTheme="minorHAnsi" w:hAnsiTheme="minorHAnsi"/>
          <w:color w:val="auto"/>
          <w:sz w:val="20"/>
        </w:rPr>
      </w:pPr>
      <w:r w:rsidRPr="00894701">
        <w:rPr>
          <w:rFonts w:asciiTheme="minorHAnsi" w:hAnsiTheme="minorHAnsi"/>
          <w:color w:val="auto"/>
          <w:sz w:val="20"/>
        </w:rPr>
        <w:t xml:space="preserve">Specific payments should also be made to specific communities by the mining companies. RGM and NS based on their agreements. These are as follows: </w:t>
      </w:r>
    </w:p>
    <w:p w14:paraId="3CD0260E" w14:textId="7AA00A40" w:rsidR="00CA282D" w:rsidRPr="00894701" w:rsidRDefault="00CA282D" w:rsidP="00CA282D">
      <w:pPr>
        <w:pStyle w:val="ListParagraph"/>
        <w:numPr>
          <w:ilvl w:val="0"/>
          <w:numId w:val="43"/>
        </w:numPr>
        <w:spacing w:before="120" w:line="240" w:lineRule="auto"/>
        <w:ind w:left="714" w:hanging="357"/>
        <w:contextualSpacing w:val="0"/>
        <w:rPr>
          <w:rFonts w:asciiTheme="minorHAnsi" w:hAnsiTheme="minorHAnsi"/>
          <w:color w:val="auto"/>
          <w:sz w:val="20"/>
        </w:rPr>
      </w:pPr>
      <w:r w:rsidRPr="00894701">
        <w:rPr>
          <w:rFonts w:asciiTheme="minorHAnsi" w:hAnsiTheme="minorHAnsi"/>
          <w:color w:val="auto"/>
          <w:sz w:val="20"/>
        </w:rPr>
        <w:t xml:space="preserve">annual funds for projects for civil society; </w:t>
      </w:r>
      <w:r w:rsidR="0018602D">
        <w:rPr>
          <w:rFonts w:asciiTheme="minorHAnsi" w:hAnsiTheme="minorHAnsi"/>
          <w:color w:val="auto"/>
          <w:sz w:val="20"/>
        </w:rPr>
        <w:t>and</w:t>
      </w:r>
    </w:p>
    <w:p w14:paraId="1850B7DD" w14:textId="4FD6E1C6" w:rsidR="00CA282D" w:rsidRPr="00894701" w:rsidRDefault="00CA282D" w:rsidP="00CA282D">
      <w:pPr>
        <w:pStyle w:val="ListParagraph"/>
        <w:numPr>
          <w:ilvl w:val="0"/>
          <w:numId w:val="43"/>
        </w:numPr>
        <w:spacing w:before="120" w:line="240" w:lineRule="auto"/>
        <w:ind w:left="714" w:hanging="357"/>
        <w:contextualSpacing w:val="0"/>
        <w:rPr>
          <w:rFonts w:asciiTheme="minorHAnsi" w:hAnsiTheme="minorHAnsi"/>
          <w:color w:val="auto"/>
          <w:sz w:val="20"/>
        </w:rPr>
      </w:pPr>
      <w:r w:rsidRPr="00894701">
        <w:rPr>
          <w:rFonts w:asciiTheme="minorHAnsi" w:hAnsiTheme="minorHAnsi"/>
          <w:color w:val="auto"/>
          <w:sz w:val="20"/>
        </w:rPr>
        <w:t xml:space="preserve">training fees. </w:t>
      </w:r>
    </w:p>
    <w:p w14:paraId="6BAA456A" w14:textId="01A03DC1" w:rsidR="00CA282D" w:rsidRPr="00894701" w:rsidRDefault="00CA282D" w:rsidP="001851B2">
      <w:pPr>
        <w:spacing w:after="0" w:line="240" w:lineRule="auto"/>
        <w:jc w:val="both"/>
        <w:rPr>
          <w:rFonts w:asciiTheme="minorHAnsi" w:hAnsiTheme="minorHAnsi"/>
          <w:color w:val="auto"/>
          <w:sz w:val="20"/>
        </w:rPr>
      </w:pPr>
      <w:r w:rsidRPr="00894701">
        <w:rPr>
          <w:rFonts w:asciiTheme="minorHAnsi" w:hAnsiTheme="minorHAnsi"/>
          <w:color w:val="auto"/>
          <w:sz w:val="20"/>
        </w:rPr>
        <w:t xml:space="preserve">The expenditure by these companies vary from development programmes/activities to communities of the operations, infrastructure and corporate donations towards healthcare and training. </w:t>
      </w:r>
    </w:p>
    <w:p w14:paraId="7E35F32F" w14:textId="5EF4B72E" w:rsidR="00CA282D" w:rsidRPr="00894701" w:rsidRDefault="004C23BB" w:rsidP="00CA282D">
      <w:pPr>
        <w:widowControl w:val="0"/>
        <w:spacing w:before="80" w:after="0" w:line="227" w:lineRule="exact"/>
        <w:rPr>
          <w:rFonts w:asciiTheme="minorHAnsi" w:eastAsiaTheme="minorHAnsi" w:hAnsiTheme="minorHAnsi" w:cs="TrebuchetMS-Bold"/>
          <w:b/>
          <w:bCs/>
          <w:color w:val="ED1A3B"/>
          <w:kern w:val="0"/>
          <w:szCs w:val="18"/>
          <w:lang w:eastAsia="en-US"/>
        </w:rPr>
      </w:pPr>
      <w:r w:rsidRPr="00894701">
        <w:rPr>
          <w:rFonts w:asciiTheme="minorHAnsi" w:eastAsiaTheme="minorHAnsi" w:hAnsiTheme="minorHAnsi" w:cs="TrebuchetMS-Bold"/>
          <w:b/>
          <w:bCs/>
          <w:color w:val="ED1A3B"/>
          <w:kern w:val="0"/>
          <w:szCs w:val="18"/>
          <w:lang w:eastAsia="en-US"/>
        </w:rPr>
        <w:t xml:space="preserve">Cooperation Agreement Newmont LLC and </w:t>
      </w:r>
      <w:r w:rsidR="00CA282D" w:rsidRPr="00894701">
        <w:rPr>
          <w:rFonts w:asciiTheme="minorHAnsi" w:eastAsiaTheme="minorHAnsi" w:hAnsiTheme="minorHAnsi" w:cs="TrebuchetMS-Bold"/>
          <w:b/>
          <w:bCs/>
          <w:color w:val="ED1A3B"/>
          <w:kern w:val="0"/>
          <w:szCs w:val="18"/>
          <w:lang w:eastAsia="en-US"/>
        </w:rPr>
        <w:t xml:space="preserve">Pamaka Foundation  </w:t>
      </w:r>
    </w:p>
    <w:p w14:paraId="76BF3FB1" w14:textId="07C3B9EB" w:rsidR="00CA282D" w:rsidRPr="00894701" w:rsidRDefault="00CA282D" w:rsidP="00CA282D">
      <w:pPr>
        <w:spacing w:before="120"/>
        <w:jc w:val="both"/>
        <w:rPr>
          <w:rFonts w:asciiTheme="minorHAnsi" w:hAnsiTheme="minorHAnsi"/>
          <w:color w:val="auto"/>
          <w:sz w:val="20"/>
        </w:rPr>
      </w:pPr>
      <w:r w:rsidRPr="00894701">
        <w:rPr>
          <w:rFonts w:asciiTheme="minorHAnsi" w:hAnsiTheme="minorHAnsi"/>
          <w:color w:val="auto"/>
          <w:sz w:val="20"/>
        </w:rPr>
        <w:t xml:space="preserve">In </w:t>
      </w:r>
      <w:r w:rsidR="005110E3" w:rsidRPr="00894701">
        <w:rPr>
          <w:rFonts w:asciiTheme="minorHAnsi" w:hAnsiTheme="minorHAnsi"/>
          <w:color w:val="auto"/>
          <w:sz w:val="20"/>
        </w:rPr>
        <w:t>June 2016, Newmont Suriname LLC (by then, Suriname Gold Company LLC, Surgold) entered into a cooperation agreement with the Pamaka Community. Preferential treatment for members of the Pamaka Community when it comes to jobs or delivering products and services</w:t>
      </w:r>
      <w:r w:rsidRPr="00894701">
        <w:rPr>
          <w:rFonts w:asciiTheme="minorHAnsi" w:hAnsiTheme="minorHAnsi"/>
          <w:color w:val="auto"/>
          <w:sz w:val="20"/>
        </w:rPr>
        <w:t xml:space="preserve">. Development projects will focus on potable water systems, solar electricity and water transport infrastructure. Newmont Suriname continues to build strong relationships with the local communities, most notably the </w:t>
      </w:r>
      <w:r w:rsidR="004C23BB" w:rsidRPr="00894701">
        <w:rPr>
          <w:rFonts w:asciiTheme="minorHAnsi" w:hAnsiTheme="minorHAnsi"/>
          <w:color w:val="auto"/>
          <w:sz w:val="20"/>
        </w:rPr>
        <w:t>Pamaka</w:t>
      </w:r>
      <w:r w:rsidRPr="00894701">
        <w:rPr>
          <w:rFonts w:asciiTheme="minorHAnsi" w:hAnsiTheme="minorHAnsi"/>
          <w:color w:val="auto"/>
          <w:sz w:val="20"/>
        </w:rPr>
        <w:t xml:space="preserve"> who live on the historical grounds of their ancestors along the Marowijne River. The Cooperation Agreement, signed in June 2016, provides a mutually agreed upon framework between NS and the </w:t>
      </w:r>
      <w:r w:rsidR="004C23BB" w:rsidRPr="00894701">
        <w:rPr>
          <w:rFonts w:asciiTheme="minorHAnsi" w:hAnsiTheme="minorHAnsi"/>
          <w:color w:val="auto"/>
          <w:sz w:val="20"/>
        </w:rPr>
        <w:t>Pamaka</w:t>
      </w:r>
      <w:r w:rsidRPr="00894701">
        <w:rPr>
          <w:rFonts w:asciiTheme="minorHAnsi" w:hAnsiTheme="minorHAnsi"/>
          <w:color w:val="auto"/>
          <w:sz w:val="20"/>
        </w:rPr>
        <w:t xml:space="preserve"> Community based on respect, shared value and open communication. In support of the Foundation, Newmont Suriname voluntarily contributes US$1 per </w:t>
      </w:r>
      <w:r w:rsidR="004C23BB" w:rsidRPr="00894701">
        <w:rPr>
          <w:rFonts w:asciiTheme="minorHAnsi" w:hAnsiTheme="minorHAnsi"/>
          <w:color w:val="auto"/>
          <w:sz w:val="20"/>
        </w:rPr>
        <w:t xml:space="preserve">troy </w:t>
      </w:r>
      <w:r w:rsidRPr="00894701">
        <w:rPr>
          <w:rFonts w:asciiTheme="minorHAnsi" w:hAnsiTheme="minorHAnsi"/>
          <w:color w:val="auto"/>
          <w:sz w:val="20"/>
        </w:rPr>
        <w:t xml:space="preserve">ounce </w:t>
      </w:r>
      <w:r w:rsidR="004C23BB" w:rsidRPr="00894701">
        <w:rPr>
          <w:rFonts w:asciiTheme="minorHAnsi" w:hAnsiTheme="minorHAnsi"/>
          <w:color w:val="auto"/>
          <w:sz w:val="20"/>
        </w:rPr>
        <w:t xml:space="preserve">gold produced and </w:t>
      </w:r>
      <w:r w:rsidRPr="00894701">
        <w:rPr>
          <w:rFonts w:asciiTheme="minorHAnsi" w:hAnsiTheme="minorHAnsi"/>
          <w:color w:val="auto"/>
          <w:sz w:val="20"/>
        </w:rPr>
        <w:t xml:space="preserve">sold. The Board of Directors of the CDF consists of two representatives of the </w:t>
      </w:r>
      <w:r w:rsidR="004C23BB" w:rsidRPr="00894701">
        <w:rPr>
          <w:rFonts w:asciiTheme="minorHAnsi" w:hAnsiTheme="minorHAnsi"/>
          <w:color w:val="auto"/>
          <w:sz w:val="20"/>
        </w:rPr>
        <w:t>Pamaka</w:t>
      </w:r>
      <w:r w:rsidRPr="00894701">
        <w:rPr>
          <w:rFonts w:asciiTheme="minorHAnsi" w:hAnsiTheme="minorHAnsi"/>
          <w:color w:val="auto"/>
          <w:sz w:val="20"/>
        </w:rPr>
        <w:t xml:space="preserve"> Community, two Newmont representatives and two from the Government. </w:t>
      </w:r>
    </w:p>
    <w:p w14:paraId="25046412" w14:textId="4CD2F2D8" w:rsidR="005110E3" w:rsidRPr="00894701" w:rsidRDefault="00CA282D" w:rsidP="00860520">
      <w:pPr>
        <w:spacing w:before="120"/>
        <w:jc w:val="both"/>
        <w:rPr>
          <w:rFonts w:asciiTheme="minorHAnsi" w:hAnsiTheme="minorHAnsi"/>
          <w:color w:val="auto"/>
          <w:sz w:val="20"/>
        </w:rPr>
      </w:pPr>
      <w:r w:rsidRPr="00894701">
        <w:rPr>
          <w:rFonts w:asciiTheme="minorHAnsi" w:hAnsiTheme="minorHAnsi"/>
          <w:color w:val="auto"/>
          <w:sz w:val="20"/>
        </w:rPr>
        <w:lastRenderedPageBreak/>
        <w:t xml:space="preserve">The </w:t>
      </w:r>
      <w:r w:rsidR="005110E3" w:rsidRPr="00894701">
        <w:rPr>
          <w:rFonts w:asciiTheme="minorHAnsi" w:hAnsiTheme="minorHAnsi"/>
          <w:color w:val="auto"/>
          <w:sz w:val="20"/>
        </w:rPr>
        <w:t xml:space="preserve">cooperation </w:t>
      </w:r>
      <w:r w:rsidRPr="00894701">
        <w:rPr>
          <w:rFonts w:asciiTheme="minorHAnsi" w:hAnsiTheme="minorHAnsi"/>
          <w:color w:val="auto"/>
          <w:sz w:val="20"/>
        </w:rPr>
        <w:t xml:space="preserve">agreement includes processes to promote preferential employment for </w:t>
      </w:r>
      <w:r w:rsidR="004C23BB" w:rsidRPr="00894701">
        <w:rPr>
          <w:rFonts w:asciiTheme="minorHAnsi" w:hAnsiTheme="minorHAnsi"/>
          <w:color w:val="auto"/>
          <w:sz w:val="20"/>
        </w:rPr>
        <w:t>Pamaka</w:t>
      </w:r>
      <w:r w:rsidRPr="00894701">
        <w:rPr>
          <w:rFonts w:asciiTheme="minorHAnsi" w:hAnsiTheme="minorHAnsi"/>
          <w:color w:val="auto"/>
          <w:sz w:val="20"/>
        </w:rPr>
        <w:t xml:space="preserve"> Community members and procurement opportunities for local </w:t>
      </w:r>
      <w:r w:rsidR="004C23BB" w:rsidRPr="00894701">
        <w:rPr>
          <w:rFonts w:asciiTheme="minorHAnsi" w:hAnsiTheme="minorHAnsi"/>
          <w:color w:val="auto"/>
          <w:sz w:val="20"/>
        </w:rPr>
        <w:t>Pamaka</w:t>
      </w:r>
      <w:r w:rsidRPr="00894701">
        <w:rPr>
          <w:rFonts w:asciiTheme="minorHAnsi" w:hAnsiTheme="minorHAnsi"/>
          <w:color w:val="auto"/>
          <w:sz w:val="20"/>
        </w:rPr>
        <w:t xml:space="preserve"> businesses. The establishment of a grievance procedure to facilitate communication and resolution of </w:t>
      </w:r>
      <w:r w:rsidR="004C23BB" w:rsidRPr="00894701">
        <w:rPr>
          <w:rFonts w:asciiTheme="minorHAnsi" w:hAnsiTheme="minorHAnsi"/>
          <w:color w:val="auto"/>
          <w:sz w:val="20"/>
        </w:rPr>
        <w:t>Pamaka</w:t>
      </w:r>
      <w:r w:rsidRPr="00894701">
        <w:rPr>
          <w:rFonts w:asciiTheme="minorHAnsi" w:hAnsiTheme="minorHAnsi"/>
          <w:color w:val="auto"/>
          <w:sz w:val="20"/>
        </w:rPr>
        <w:t>n Community issues and concerns relating to Merian and collaborative processes relating to local impact monitoring and addressing issues surrounding small-scale miners.</w:t>
      </w:r>
    </w:p>
    <w:p w14:paraId="6D5882C0" w14:textId="77777777" w:rsidR="005110E3" w:rsidRPr="00894701" w:rsidRDefault="005110E3" w:rsidP="008F7932">
      <w:pPr>
        <w:widowControl w:val="0"/>
        <w:spacing w:after="0" w:line="227" w:lineRule="exact"/>
        <w:rPr>
          <w:rFonts w:asciiTheme="minorHAnsi" w:eastAsiaTheme="minorHAnsi" w:hAnsiTheme="minorHAnsi" w:cs="TrebuchetMS-Bold"/>
          <w:b/>
          <w:bCs/>
          <w:color w:val="ED1A3B"/>
          <w:kern w:val="0"/>
          <w:szCs w:val="18"/>
          <w:lang w:eastAsia="en-US"/>
        </w:rPr>
      </w:pPr>
      <w:r w:rsidRPr="00894701">
        <w:rPr>
          <w:rFonts w:asciiTheme="minorHAnsi" w:eastAsiaTheme="minorHAnsi" w:hAnsiTheme="minorHAnsi" w:cs="TrebuchetMS-Bold"/>
          <w:b/>
          <w:bCs/>
          <w:color w:val="ED1A3B"/>
          <w:kern w:val="0"/>
          <w:szCs w:val="18"/>
          <w:lang w:eastAsia="en-US"/>
        </w:rPr>
        <w:t>Newmont Pamaka Community Development Stichting</w:t>
      </w:r>
    </w:p>
    <w:p w14:paraId="779CF563" w14:textId="4B72CDE7" w:rsidR="005110E3" w:rsidRPr="00894701" w:rsidRDefault="005110E3" w:rsidP="005110E3">
      <w:pPr>
        <w:spacing w:before="120"/>
        <w:jc w:val="both"/>
        <w:rPr>
          <w:rFonts w:asciiTheme="minorHAnsi" w:hAnsiTheme="minorHAnsi"/>
          <w:color w:val="auto"/>
          <w:sz w:val="20"/>
        </w:rPr>
      </w:pPr>
      <w:r w:rsidRPr="00894701">
        <w:rPr>
          <w:rFonts w:asciiTheme="minorHAnsi" w:hAnsiTheme="minorHAnsi"/>
          <w:color w:val="auto"/>
          <w:sz w:val="20"/>
        </w:rPr>
        <w:t>Within the framework of this agreement, Newmont LLC and the Pam</w:t>
      </w:r>
      <w:r w:rsidR="00480755">
        <w:rPr>
          <w:rFonts w:asciiTheme="minorHAnsi" w:hAnsiTheme="minorHAnsi"/>
          <w:color w:val="auto"/>
          <w:sz w:val="20"/>
        </w:rPr>
        <w:t>a</w:t>
      </w:r>
      <w:r w:rsidRPr="00894701">
        <w:rPr>
          <w:rFonts w:asciiTheme="minorHAnsi" w:hAnsiTheme="minorHAnsi"/>
          <w:color w:val="auto"/>
          <w:sz w:val="20"/>
        </w:rPr>
        <w:t>ka Community made a commitment to create a Community Development Fund to facilitate sustainable benefits and opportunities for the Pamaka Community. This is called Newmont Pamaka Development Stichting. Projects identified through a participatory process by the Pamaka community can be funded. Newmont Suriname is still in deliberation with the Kawina Community, the other tribal community impacted by the Merian activities, on how also this community can reap the benefits from these activities.</w:t>
      </w:r>
    </w:p>
    <w:p w14:paraId="6EB2CAA4" w14:textId="4D95C27C" w:rsidR="005110E3" w:rsidRPr="00894701" w:rsidRDefault="0076163A" w:rsidP="005110E3">
      <w:pPr>
        <w:spacing w:before="120"/>
        <w:jc w:val="both"/>
        <w:rPr>
          <w:rFonts w:asciiTheme="minorHAnsi" w:hAnsiTheme="minorHAnsi"/>
          <w:color w:val="auto"/>
          <w:sz w:val="20"/>
        </w:rPr>
      </w:pPr>
      <w:r w:rsidRPr="00894701">
        <w:rPr>
          <w:rFonts w:asciiTheme="minorHAnsi" w:hAnsiTheme="minorHAnsi"/>
          <w:color w:val="auto"/>
          <w:sz w:val="20"/>
        </w:rPr>
        <w:t xml:space="preserve">In support of the Foundation, Newmont Suriname voluntary contributes US$1, per troy ounce </w:t>
      </w:r>
      <w:r w:rsidR="00607600">
        <w:rPr>
          <w:rFonts w:asciiTheme="minorHAnsi" w:hAnsiTheme="minorHAnsi"/>
          <w:color w:val="auto"/>
          <w:sz w:val="20"/>
        </w:rPr>
        <w:t xml:space="preserve">of </w:t>
      </w:r>
      <w:r w:rsidRPr="00894701">
        <w:rPr>
          <w:rFonts w:asciiTheme="minorHAnsi" w:hAnsiTheme="minorHAnsi"/>
          <w:color w:val="auto"/>
          <w:sz w:val="20"/>
        </w:rPr>
        <w:t>gold produced and sold and is</w:t>
      </w:r>
      <w:r w:rsidR="005110E3" w:rsidRPr="00894701">
        <w:rPr>
          <w:rFonts w:asciiTheme="minorHAnsi" w:hAnsiTheme="minorHAnsi"/>
          <w:color w:val="auto"/>
          <w:sz w:val="20"/>
        </w:rPr>
        <w:t xml:space="preserve"> committed to continuing its engagement with government and local community members to advance the development of the project in a manner that generates sustainable economic and social benefits for the people of Suriname.</w:t>
      </w:r>
      <w:r w:rsidRPr="00894701">
        <w:rPr>
          <w:rFonts w:asciiTheme="minorHAnsi" w:hAnsiTheme="minorHAnsi"/>
          <w:color w:val="auto"/>
          <w:sz w:val="20"/>
        </w:rPr>
        <w:t xml:space="preserve"> </w:t>
      </w:r>
    </w:p>
    <w:p w14:paraId="21FB5F9D" w14:textId="35E6D9A7" w:rsidR="00CA282D" w:rsidRPr="00894701" w:rsidRDefault="005110E3" w:rsidP="005110E3">
      <w:pPr>
        <w:spacing w:before="120"/>
        <w:jc w:val="both"/>
        <w:rPr>
          <w:rFonts w:asciiTheme="minorHAnsi" w:hAnsiTheme="minorHAnsi"/>
          <w:color w:val="auto"/>
          <w:sz w:val="20"/>
        </w:rPr>
      </w:pPr>
      <w:r w:rsidRPr="00894701">
        <w:rPr>
          <w:rFonts w:asciiTheme="minorHAnsi" w:hAnsiTheme="minorHAnsi"/>
          <w:color w:val="auto"/>
          <w:sz w:val="20"/>
        </w:rPr>
        <w:t>NS has a social responsibility department that has regular engagements with the local communities: Pamaka and Kawina. Within this collaboration, projects are identified and executed through a participatory method. Capacity building of the local community enhancing leadership and entrepreneurship (such as agriculture, textile) is part of the strengthening of the local community.</w:t>
      </w:r>
    </w:p>
    <w:p w14:paraId="438FDCAE" w14:textId="59081C91" w:rsidR="00CA282D" w:rsidRPr="00894701" w:rsidRDefault="00CA282D" w:rsidP="00480755">
      <w:pPr>
        <w:spacing w:before="120"/>
        <w:jc w:val="both"/>
        <w:rPr>
          <w:rFonts w:asciiTheme="minorHAnsi" w:hAnsiTheme="minorHAnsi"/>
          <w:color w:val="auto"/>
          <w:sz w:val="20"/>
        </w:rPr>
      </w:pPr>
      <w:r w:rsidRPr="00894701">
        <w:rPr>
          <w:rFonts w:asciiTheme="minorHAnsi" w:eastAsiaTheme="minorHAnsi" w:hAnsiTheme="minorHAnsi" w:cs="TrebuchetMS-Bold"/>
          <w:b/>
          <w:bCs/>
          <w:color w:val="ED1A3B"/>
          <w:kern w:val="0"/>
          <w:szCs w:val="18"/>
          <w:lang w:eastAsia="en-US"/>
        </w:rPr>
        <w:t>AML Gold Fund:</w:t>
      </w:r>
      <w:r w:rsidRPr="00894701">
        <w:rPr>
          <w:rFonts w:asciiTheme="minorHAnsi" w:hAnsiTheme="minorHAnsi"/>
          <w:color w:val="auto"/>
          <w:sz w:val="20"/>
        </w:rPr>
        <w:t xml:space="preserve"> we understand that there is a </w:t>
      </w:r>
      <w:bookmarkStart w:id="248" w:name="_Hlk146449590"/>
      <w:bookmarkStart w:id="249" w:name="_Hlk146449549"/>
      <w:r w:rsidRPr="00894701">
        <w:rPr>
          <w:rFonts w:asciiTheme="minorHAnsi" w:hAnsiTheme="minorHAnsi"/>
          <w:color w:val="auto"/>
          <w:sz w:val="20"/>
        </w:rPr>
        <w:t xml:space="preserve">Community Development Fund named </w:t>
      </w:r>
      <w:r w:rsidR="0041017C">
        <w:rPr>
          <w:rFonts w:asciiTheme="minorHAnsi" w:hAnsiTheme="minorHAnsi"/>
          <w:color w:val="auto"/>
          <w:sz w:val="20"/>
        </w:rPr>
        <w:t>‘</w:t>
      </w:r>
      <w:r w:rsidRPr="00894701">
        <w:rPr>
          <w:rFonts w:asciiTheme="minorHAnsi" w:hAnsiTheme="minorHAnsi"/>
          <w:color w:val="auto"/>
          <w:sz w:val="20"/>
        </w:rPr>
        <w:t>AML Gold Fund</w:t>
      </w:r>
      <w:r w:rsidR="0041017C">
        <w:rPr>
          <w:rFonts w:asciiTheme="minorHAnsi" w:hAnsiTheme="minorHAnsi"/>
          <w:color w:val="auto"/>
          <w:sz w:val="20"/>
        </w:rPr>
        <w:t>',</w:t>
      </w:r>
      <w:bookmarkEnd w:id="248"/>
      <w:r w:rsidRPr="00894701">
        <w:rPr>
          <w:rFonts w:asciiTheme="minorHAnsi" w:hAnsiTheme="minorHAnsi"/>
          <w:color w:val="auto"/>
          <w:sz w:val="20"/>
        </w:rPr>
        <w:t xml:space="preserve"> but no further information was obtained with regards to this fund</w:t>
      </w:r>
      <w:bookmarkEnd w:id="249"/>
      <w:r w:rsidRPr="00894701">
        <w:rPr>
          <w:rFonts w:asciiTheme="minorHAnsi" w:hAnsiTheme="minorHAnsi"/>
          <w:color w:val="auto"/>
          <w:sz w:val="20"/>
        </w:rPr>
        <w:t xml:space="preserve">. </w:t>
      </w:r>
    </w:p>
    <w:p w14:paraId="0111E677" w14:textId="5A40A1F6" w:rsidR="00CA282D" w:rsidRPr="00894701" w:rsidRDefault="00670F09" w:rsidP="00A834A8">
      <w:pPr>
        <w:pStyle w:val="AltMinorHeading"/>
        <w:numPr>
          <w:ilvl w:val="2"/>
          <w:numId w:val="64"/>
        </w:numPr>
        <w:tabs>
          <w:tab w:val="left" w:pos="1134"/>
        </w:tabs>
        <w:ind w:left="426" w:hanging="360"/>
        <w:rPr>
          <w:szCs w:val="28"/>
        </w:rPr>
      </w:pPr>
      <w:bookmarkStart w:id="250" w:name="_Toc122478890"/>
      <w:r w:rsidRPr="00894701">
        <w:rPr>
          <w:szCs w:val="28"/>
        </w:rPr>
        <w:t>Social expenditure in the</w:t>
      </w:r>
      <w:r w:rsidR="00CA282D" w:rsidRPr="00894701">
        <w:rPr>
          <w:szCs w:val="28"/>
        </w:rPr>
        <w:t xml:space="preserve"> Oil &amp; Gas Sector</w:t>
      </w:r>
      <w:bookmarkEnd w:id="250"/>
      <w:r w:rsidR="00CA282D" w:rsidRPr="00894701">
        <w:rPr>
          <w:szCs w:val="28"/>
        </w:rPr>
        <w:t xml:space="preserve"> </w:t>
      </w:r>
    </w:p>
    <w:p w14:paraId="27059B83" w14:textId="48359C07" w:rsidR="00CA282D" w:rsidRPr="00894701" w:rsidRDefault="00CA282D" w:rsidP="00CA282D">
      <w:pPr>
        <w:spacing w:before="120"/>
        <w:jc w:val="both"/>
        <w:rPr>
          <w:rFonts w:asciiTheme="minorHAnsi" w:hAnsiTheme="minorHAnsi"/>
          <w:color w:val="auto"/>
          <w:sz w:val="20"/>
        </w:rPr>
      </w:pPr>
      <w:r w:rsidRPr="00894701">
        <w:rPr>
          <w:rFonts w:asciiTheme="minorHAnsi" w:hAnsiTheme="minorHAnsi"/>
          <w:color w:val="auto"/>
          <w:sz w:val="20"/>
        </w:rPr>
        <w:t>In the case of IOCs, the contractors have an obligation to contribute an amount of USD 100,000 per calendar year to a society based on their PSCs. Large extractive industries companies regularly make donations to non-governmental organisations, based on their CSR-policy.</w:t>
      </w:r>
    </w:p>
    <w:p w14:paraId="4BAF9980" w14:textId="658696DA" w:rsidR="00B12940" w:rsidRPr="00894701" w:rsidRDefault="00EA31CB" w:rsidP="008F7932">
      <w:pPr>
        <w:spacing w:before="120" w:after="240"/>
        <w:jc w:val="both"/>
        <w:rPr>
          <w:rFonts w:asciiTheme="minorHAnsi" w:hAnsiTheme="minorHAnsi"/>
          <w:color w:val="auto"/>
          <w:sz w:val="20"/>
        </w:rPr>
      </w:pPr>
      <w:r w:rsidRPr="00894701">
        <w:rPr>
          <w:rFonts w:asciiTheme="minorHAnsi" w:hAnsiTheme="minorHAnsi"/>
          <w:color w:val="auto"/>
          <w:sz w:val="20"/>
        </w:rPr>
        <w:t>Social expenditure reporting by oil and gas companies is detailed in Section 5.2 of this report.</w:t>
      </w:r>
    </w:p>
    <w:p w14:paraId="1D2BC0A7" w14:textId="77777777" w:rsidR="00CA282D" w:rsidRPr="00894701" w:rsidRDefault="00CA282D" w:rsidP="00CA282D">
      <w:pPr>
        <w:pStyle w:val="ListParagraph"/>
        <w:numPr>
          <w:ilvl w:val="1"/>
          <w:numId w:val="7"/>
        </w:numPr>
        <w:spacing w:before="240" w:after="240"/>
        <w:ind w:left="851" w:right="482" w:hanging="851"/>
        <w:outlineLvl w:val="1"/>
        <w:rPr>
          <w:b/>
          <w:sz w:val="28"/>
          <w:szCs w:val="28"/>
        </w:rPr>
      </w:pPr>
      <w:bookmarkStart w:id="251" w:name="_Toc514748325"/>
      <w:bookmarkStart w:id="252" w:name="_Toc514748648"/>
      <w:bookmarkStart w:id="253" w:name="_Toc514946604"/>
      <w:bookmarkStart w:id="254" w:name="_Toc515479404"/>
      <w:bookmarkStart w:id="255" w:name="_Toc514748326"/>
      <w:bookmarkStart w:id="256" w:name="_Toc514748649"/>
      <w:bookmarkStart w:id="257" w:name="_Toc514946605"/>
      <w:bookmarkStart w:id="258" w:name="_Toc515479405"/>
      <w:bookmarkStart w:id="259" w:name="_Toc514748329"/>
      <w:bookmarkStart w:id="260" w:name="_Toc514748652"/>
      <w:bookmarkStart w:id="261" w:name="_Toc514946608"/>
      <w:bookmarkStart w:id="262" w:name="_Toc515479408"/>
      <w:bookmarkStart w:id="263" w:name="_Toc514748333"/>
      <w:bookmarkStart w:id="264" w:name="_Toc514748656"/>
      <w:bookmarkStart w:id="265" w:name="_Toc514946612"/>
      <w:bookmarkStart w:id="266" w:name="_Toc515479412"/>
      <w:bookmarkStart w:id="267" w:name="_Toc514748334"/>
      <w:bookmarkStart w:id="268" w:name="_Toc514748657"/>
      <w:bookmarkStart w:id="269" w:name="_Toc514946613"/>
      <w:bookmarkStart w:id="270" w:name="_Toc515479413"/>
      <w:bookmarkStart w:id="271" w:name="_Toc514748337"/>
      <w:bookmarkStart w:id="272" w:name="_Toc514748660"/>
      <w:bookmarkStart w:id="273" w:name="_Toc514946616"/>
      <w:bookmarkStart w:id="274" w:name="_Toc515479416"/>
      <w:bookmarkStart w:id="275" w:name="_Toc514748340"/>
      <w:bookmarkStart w:id="276" w:name="_Toc514748663"/>
      <w:bookmarkStart w:id="277" w:name="_Toc514946619"/>
      <w:bookmarkStart w:id="278" w:name="_Toc515479419"/>
      <w:bookmarkStart w:id="279" w:name="_Toc514748342"/>
      <w:bookmarkStart w:id="280" w:name="_Toc514748665"/>
      <w:bookmarkStart w:id="281" w:name="_Toc514946621"/>
      <w:bookmarkStart w:id="282" w:name="_Toc515479421"/>
      <w:bookmarkStart w:id="283" w:name="_Toc529729124"/>
      <w:bookmarkStart w:id="284" w:name="_Toc529729125"/>
      <w:bookmarkStart w:id="285" w:name="_Toc529729153"/>
      <w:bookmarkStart w:id="286" w:name="_Toc122478891"/>
      <w:bookmarkStart w:id="287" w:name="_Toc494106751"/>
      <w:bookmarkStart w:id="288" w:name="_Toc529916481"/>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sidRPr="00894701">
        <w:rPr>
          <w:b/>
          <w:sz w:val="28"/>
          <w:szCs w:val="28"/>
        </w:rPr>
        <w:t>Beneficial ownership (EITI Requirement 2.5)</w:t>
      </w:r>
      <w:bookmarkEnd w:id="286"/>
    </w:p>
    <w:p w14:paraId="328A9083" w14:textId="2D8F2EFB" w:rsidR="00CA282D" w:rsidRPr="00894701" w:rsidRDefault="00CA282D" w:rsidP="00A834A8">
      <w:pPr>
        <w:pStyle w:val="AltMinorHeading"/>
        <w:numPr>
          <w:ilvl w:val="2"/>
          <w:numId w:val="75"/>
        </w:numPr>
        <w:spacing w:before="100" w:beforeAutospacing="1" w:after="120"/>
        <w:ind w:right="454"/>
        <w:rPr>
          <w:rStyle w:val="Emphasis"/>
          <w:i w:val="0"/>
          <w:iCs w:val="0"/>
        </w:rPr>
      </w:pPr>
      <w:bookmarkStart w:id="289" w:name="_Toc122478892"/>
      <w:bookmarkEnd w:id="287"/>
      <w:bookmarkEnd w:id="288"/>
      <w:r w:rsidRPr="00894701">
        <w:rPr>
          <w:rStyle w:val="Emphasis"/>
          <w:i w:val="0"/>
          <w:iCs w:val="0"/>
        </w:rPr>
        <w:t>Beneficial Ownership (BO) road map</w:t>
      </w:r>
      <w:bookmarkEnd w:id="289"/>
      <w:r w:rsidRPr="00894701">
        <w:rPr>
          <w:rStyle w:val="Emphasis"/>
          <w:i w:val="0"/>
          <w:iCs w:val="0"/>
        </w:rPr>
        <w:t xml:space="preserve"> </w:t>
      </w:r>
    </w:p>
    <w:p w14:paraId="08D6B883" w14:textId="02C85717" w:rsidR="00CA282D" w:rsidRPr="00894701" w:rsidRDefault="00CA282D" w:rsidP="00CA282D">
      <w:pPr>
        <w:pStyle w:val="BodyText"/>
        <w:jc w:val="both"/>
        <w:rPr>
          <w:rFonts w:asciiTheme="minorHAnsi" w:hAnsiTheme="minorHAnsi"/>
          <w:color w:val="auto"/>
          <w:sz w:val="20"/>
        </w:rPr>
      </w:pPr>
      <w:r w:rsidRPr="00894701">
        <w:rPr>
          <w:rFonts w:asciiTheme="minorHAnsi" w:hAnsiTheme="minorHAnsi"/>
          <w:color w:val="auto"/>
          <w:sz w:val="20"/>
        </w:rPr>
        <w:t xml:space="preserve">According to Requirement 2.5 (a) of the 2019 EITI Standard: It is recommended that implementing countries maintain a publicly available register of the beneficial owners of the corporate entity(ies) that apply for or hold a participating interest in an exploration or production of oil, gas or mining license or contract, including the identity(ies) of their beneficial owner(s), the level of ownership and details about how ownership or control is exerted. Where possible, beneficial ownership information should be incorporated in existing filings by companies to corporate regulators, stock exchanges or agencies regulating extractive industry licensing. Where this information is already publicly available, the EITI Report should include guidance on how to access this information.  </w:t>
      </w:r>
    </w:p>
    <w:p w14:paraId="30713D4A" w14:textId="77777777" w:rsidR="00CA282D" w:rsidRPr="00894701" w:rsidRDefault="00CA282D" w:rsidP="00CA282D">
      <w:pPr>
        <w:pStyle w:val="BodyText"/>
        <w:jc w:val="both"/>
        <w:rPr>
          <w:rFonts w:asciiTheme="minorHAnsi" w:hAnsiTheme="minorHAnsi"/>
          <w:color w:val="auto"/>
          <w:sz w:val="20"/>
        </w:rPr>
      </w:pPr>
      <w:r w:rsidRPr="00894701">
        <w:rPr>
          <w:rFonts w:asciiTheme="minorHAnsi" w:hAnsiTheme="minorHAnsi"/>
          <w:color w:val="auto"/>
          <w:sz w:val="20"/>
        </w:rPr>
        <w:t xml:space="preserve">We concluded that Suriname does not maintain a publicly available register of the beneficial owners of extractive companies. </w:t>
      </w:r>
    </w:p>
    <w:p w14:paraId="03490ADA" w14:textId="77777777" w:rsidR="00CA282D" w:rsidRPr="00894701" w:rsidRDefault="00CA282D" w:rsidP="00CA282D">
      <w:pPr>
        <w:pStyle w:val="BodyText"/>
        <w:jc w:val="both"/>
        <w:rPr>
          <w:rFonts w:asciiTheme="minorHAnsi" w:hAnsiTheme="minorHAnsi"/>
          <w:color w:val="auto"/>
          <w:sz w:val="20"/>
        </w:rPr>
      </w:pPr>
      <w:r w:rsidRPr="00894701">
        <w:rPr>
          <w:rFonts w:asciiTheme="minorHAnsi" w:hAnsiTheme="minorHAnsi"/>
          <w:color w:val="auto"/>
          <w:sz w:val="20"/>
        </w:rPr>
        <w:t xml:space="preserve">Implementing countries are required to document the government’s policy and multi-stakeholder groups’ discussion on the disclosure of beneficial ownership. This should include details of the relevant legal provisions, actual disclosure practices and any reforms that are planned or underway related to beneficial ownership disclosure. </w:t>
      </w:r>
    </w:p>
    <w:p w14:paraId="2432098D" w14:textId="5AC1CDF1" w:rsidR="00CA282D" w:rsidRPr="00894701" w:rsidRDefault="00CA282D" w:rsidP="00CA282D">
      <w:pPr>
        <w:pStyle w:val="BodyText"/>
        <w:jc w:val="both"/>
        <w:rPr>
          <w:rFonts w:asciiTheme="minorHAnsi" w:hAnsiTheme="minorHAnsi"/>
          <w:color w:val="auto"/>
          <w:sz w:val="20"/>
        </w:rPr>
      </w:pPr>
      <w:r w:rsidRPr="00894701">
        <w:rPr>
          <w:rFonts w:asciiTheme="minorHAnsi" w:hAnsiTheme="minorHAnsi"/>
          <w:color w:val="auto"/>
          <w:sz w:val="20"/>
        </w:rPr>
        <w:lastRenderedPageBreak/>
        <w:t xml:space="preserve">In October 2017, the Suriname Multi-Stakeholder Group published a roadmap for disclosing beneficial ownership information. The Multi-Stakeholder Group has established milestones and deadlines at the following link: https://eiti.org/document/suriname-eiti-beneficial-ownership-roadmap7. </w:t>
      </w:r>
    </w:p>
    <w:p w14:paraId="2EA538D6" w14:textId="79037D6F" w:rsidR="00CA282D" w:rsidRPr="00894701" w:rsidRDefault="00CA282D" w:rsidP="00CA282D">
      <w:pPr>
        <w:pStyle w:val="BodyText"/>
        <w:jc w:val="both"/>
        <w:rPr>
          <w:rFonts w:asciiTheme="minorHAnsi" w:hAnsiTheme="minorHAnsi"/>
          <w:color w:val="auto"/>
          <w:sz w:val="20"/>
        </w:rPr>
      </w:pPr>
      <w:r w:rsidRPr="00894701">
        <w:rPr>
          <w:rFonts w:asciiTheme="minorHAnsi" w:hAnsiTheme="minorHAnsi"/>
          <w:color w:val="auto"/>
          <w:sz w:val="20"/>
        </w:rPr>
        <w:t xml:space="preserve">The BO Roadmap did not propose a definition </w:t>
      </w:r>
      <w:r w:rsidR="00C24DFB" w:rsidRPr="00894701">
        <w:rPr>
          <w:rFonts w:asciiTheme="minorHAnsi" w:hAnsiTheme="minorHAnsi"/>
          <w:color w:val="auto"/>
          <w:sz w:val="20"/>
        </w:rPr>
        <w:t>regarding the following</w:t>
      </w:r>
      <w:r w:rsidRPr="00894701">
        <w:rPr>
          <w:rFonts w:asciiTheme="minorHAnsi" w:hAnsiTheme="minorHAnsi"/>
          <w:color w:val="auto"/>
          <w:sz w:val="20"/>
        </w:rPr>
        <w:t xml:space="preserve">: </w:t>
      </w:r>
    </w:p>
    <w:p w14:paraId="13822AF8" w14:textId="15EFFF8A" w:rsidR="00CA282D" w:rsidRPr="00894701" w:rsidRDefault="00CA282D" w:rsidP="00CA282D">
      <w:pPr>
        <w:pStyle w:val="BodyText"/>
        <w:numPr>
          <w:ilvl w:val="0"/>
          <w:numId w:val="46"/>
        </w:numPr>
        <w:jc w:val="both"/>
        <w:rPr>
          <w:rFonts w:asciiTheme="minorHAnsi" w:hAnsiTheme="minorHAnsi"/>
          <w:color w:val="auto"/>
          <w:sz w:val="20"/>
        </w:rPr>
      </w:pPr>
      <w:r w:rsidRPr="00894701">
        <w:rPr>
          <w:rFonts w:asciiTheme="minorHAnsi" w:hAnsiTheme="minorHAnsi"/>
          <w:color w:val="auto"/>
          <w:sz w:val="20"/>
        </w:rPr>
        <w:t xml:space="preserve">the beneficial owner; </w:t>
      </w:r>
    </w:p>
    <w:p w14:paraId="03B7374A" w14:textId="0D5FAEFC" w:rsidR="00CA282D" w:rsidRPr="00894701" w:rsidRDefault="00CA282D" w:rsidP="00CA282D">
      <w:pPr>
        <w:pStyle w:val="BodyText"/>
        <w:numPr>
          <w:ilvl w:val="0"/>
          <w:numId w:val="46"/>
        </w:numPr>
        <w:jc w:val="both"/>
        <w:rPr>
          <w:rFonts w:asciiTheme="minorHAnsi" w:hAnsiTheme="minorHAnsi"/>
          <w:color w:val="auto"/>
          <w:sz w:val="20"/>
        </w:rPr>
      </w:pPr>
      <w:r w:rsidRPr="00894701">
        <w:rPr>
          <w:rFonts w:asciiTheme="minorHAnsi" w:hAnsiTheme="minorHAnsi"/>
          <w:color w:val="auto"/>
          <w:sz w:val="20"/>
        </w:rPr>
        <w:t xml:space="preserve">reporting threshold; and </w:t>
      </w:r>
    </w:p>
    <w:p w14:paraId="30E70AE7" w14:textId="7FB836AE" w:rsidR="00CA282D" w:rsidRPr="00894701" w:rsidRDefault="00CA282D">
      <w:pPr>
        <w:pStyle w:val="BodyText"/>
        <w:numPr>
          <w:ilvl w:val="0"/>
          <w:numId w:val="46"/>
        </w:numPr>
        <w:jc w:val="both"/>
        <w:rPr>
          <w:rFonts w:asciiTheme="minorHAnsi" w:hAnsiTheme="minorHAnsi"/>
          <w:color w:val="auto"/>
          <w:sz w:val="20"/>
        </w:rPr>
      </w:pPr>
      <w:r w:rsidRPr="00894701">
        <w:rPr>
          <w:rFonts w:asciiTheme="minorHAnsi" w:hAnsiTheme="minorHAnsi"/>
          <w:color w:val="auto"/>
          <w:sz w:val="20"/>
        </w:rPr>
        <w:t xml:space="preserve">Politically Exposed Person (PEP). </w:t>
      </w:r>
    </w:p>
    <w:p w14:paraId="2728C24C" w14:textId="00250DFD" w:rsidR="00350EE9" w:rsidRPr="00894701" w:rsidRDefault="00350EE9" w:rsidP="00350EE9">
      <w:pPr>
        <w:pStyle w:val="BodyText"/>
        <w:jc w:val="both"/>
        <w:rPr>
          <w:rFonts w:asciiTheme="minorHAnsi" w:hAnsiTheme="minorHAnsi"/>
          <w:color w:val="auto"/>
          <w:sz w:val="20"/>
        </w:rPr>
      </w:pPr>
      <w:r w:rsidRPr="00894701">
        <w:rPr>
          <w:rFonts w:asciiTheme="minorHAnsi" w:hAnsiTheme="minorHAnsi"/>
          <w:color w:val="auto"/>
          <w:sz w:val="20"/>
        </w:rPr>
        <w:t>The SR-EITI MSG confirmed that a legal assessment of the institutional framework for Beneficial Ownership (BO) in Suriname was conducted in 2020 and which advices on the first steps of BO implementation.</w:t>
      </w:r>
    </w:p>
    <w:p w14:paraId="2A9A11A1" w14:textId="77777777" w:rsidR="00CA282D" w:rsidRPr="00894701" w:rsidRDefault="00CA282D" w:rsidP="00A834A8">
      <w:pPr>
        <w:pStyle w:val="AltMinorHeading"/>
        <w:numPr>
          <w:ilvl w:val="2"/>
          <w:numId w:val="75"/>
        </w:numPr>
        <w:spacing w:before="100" w:beforeAutospacing="1" w:after="120"/>
        <w:ind w:right="454"/>
        <w:rPr>
          <w:rStyle w:val="Emphasis"/>
          <w:i w:val="0"/>
          <w:iCs w:val="0"/>
        </w:rPr>
      </w:pPr>
      <w:bookmarkStart w:id="290" w:name="_Toc122478893"/>
      <w:r w:rsidRPr="00894701">
        <w:rPr>
          <w:rStyle w:val="Emphasis"/>
          <w:i w:val="0"/>
          <w:iCs w:val="0"/>
        </w:rPr>
        <w:t>Beneficial Ownership (BO) reporting in the extractive sector in Suriname</w:t>
      </w:r>
      <w:bookmarkEnd w:id="290"/>
    </w:p>
    <w:p w14:paraId="73A3172D" w14:textId="4489D113" w:rsidR="00CA282D" w:rsidRPr="00894701" w:rsidRDefault="00CA282D" w:rsidP="00CA282D">
      <w:pPr>
        <w:pStyle w:val="BodyText"/>
        <w:jc w:val="both"/>
        <w:rPr>
          <w:rFonts w:asciiTheme="minorHAnsi" w:hAnsiTheme="minorHAnsi"/>
          <w:color w:val="auto"/>
          <w:sz w:val="20"/>
        </w:rPr>
      </w:pPr>
      <w:r w:rsidRPr="00894701">
        <w:rPr>
          <w:rFonts w:asciiTheme="minorHAnsi" w:hAnsiTheme="minorHAnsi"/>
          <w:color w:val="auto"/>
          <w:sz w:val="20"/>
        </w:rPr>
        <w:t xml:space="preserve">The Mining Decree and the Petroleum Act do not include a definition of beneficial ownership. </w:t>
      </w:r>
      <w:r w:rsidRPr="00894701">
        <w:rPr>
          <w:rFonts w:asciiTheme="minorHAnsi" w:hAnsiTheme="minorHAnsi"/>
          <w:color w:val="auto"/>
          <w:sz w:val="20"/>
        </w:rPr>
        <w:br w:type="textWrapping" w:clear="all"/>
        <w:t xml:space="preserve">Following our review, we concluded that there is no provision in the existing legislations relating to public beneficial ownership disclosure in Suriname. </w:t>
      </w:r>
    </w:p>
    <w:p w14:paraId="52BD1F0E" w14:textId="77777777" w:rsidR="00CA282D" w:rsidRPr="00894701" w:rsidRDefault="00CA282D" w:rsidP="00CA282D">
      <w:pPr>
        <w:pStyle w:val="BodyText"/>
        <w:jc w:val="both"/>
        <w:rPr>
          <w:rFonts w:asciiTheme="minorHAnsi" w:hAnsiTheme="minorHAnsi"/>
          <w:color w:val="auto"/>
          <w:sz w:val="20"/>
        </w:rPr>
      </w:pPr>
      <w:r w:rsidRPr="00894701">
        <w:rPr>
          <w:rFonts w:asciiTheme="minorHAnsi" w:hAnsiTheme="minorHAnsi"/>
          <w:color w:val="auto"/>
          <w:sz w:val="20"/>
        </w:rPr>
        <w:t xml:space="preserve">The definition of “beneficial ownership” should not necessarily be linked to share ownership. Owning more than a certain percentage of shares certainly gives a meaningful indication of beneficial ownership. However, in identifying the real beneficial owner, the focus should also be on contractual and informal arrangements.  </w:t>
      </w:r>
    </w:p>
    <w:p w14:paraId="3C5D4E81" w14:textId="77777777" w:rsidR="00CA282D" w:rsidRPr="00894701" w:rsidRDefault="00CA282D" w:rsidP="00CA282D">
      <w:pPr>
        <w:pStyle w:val="BodyText"/>
        <w:jc w:val="both"/>
        <w:rPr>
          <w:rFonts w:asciiTheme="minorHAnsi" w:hAnsiTheme="minorHAnsi"/>
          <w:color w:val="auto"/>
          <w:sz w:val="20"/>
        </w:rPr>
      </w:pPr>
      <w:r w:rsidRPr="00894701">
        <w:rPr>
          <w:rFonts w:asciiTheme="minorHAnsi" w:hAnsiTheme="minorHAnsi"/>
          <w:color w:val="auto"/>
          <w:sz w:val="20"/>
        </w:rPr>
        <w:t xml:space="preserve">However, the </w:t>
      </w:r>
      <w:r w:rsidRPr="00894701">
        <w:rPr>
          <w:rFonts w:asciiTheme="minorHAnsi" w:hAnsiTheme="minorHAnsi"/>
          <w:b/>
          <w:bCs/>
          <w:color w:val="auto"/>
          <w:sz w:val="20"/>
        </w:rPr>
        <w:t>Disclosure of Unusual Transactions Act (Wet Melding Ongebruikelijke Transacties)</w:t>
      </w:r>
      <w:r w:rsidRPr="00894701">
        <w:rPr>
          <w:rFonts w:asciiTheme="minorHAnsi" w:hAnsiTheme="minorHAnsi"/>
          <w:color w:val="auto"/>
          <w:sz w:val="20"/>
        </w:rPr>
        <w:t xml:space="preserve"> provides a clear definition of beneficial ownership in Suriname as being: “the natural person who has ultimate or actual ownership or control over the legal person, or the person on whose behalf a transaction is carried out. It also includes the person who ultimately exercises actual control over a legal person or a legal arrangement.” </w:t>
      </w:r>
    </w:p>
    <w:p w14:paraId="62996C59" w14:textId="77777777" w:rsidR="00CA282D" w:rsidRPr="00894701" w:rsidRDefault="00CA282D" w:rsidP="00CA282D">
      <w:pPr>
        <w:pStyle w:val="BodyText"/>
        <w:jc w:val="both"/>
        <w:rPr>
          <w:rFonts w:asciiTheme="minorHAnsi" w:hAnsiTheme="minorHAnsi"/>
          <w:color w:val="010302"/>
          <w:kern w:val="0"/>
          <w:sz w:val="22"/>
          <w:szCs w:val="22"/>
          <w:lang w:eastAsia="en-US"/>
        </w:rPr>
      </w:pPr>
      <w:r w:rsidRPr="00894701">
        <w:rPr>
          <w:rFonts w:asciiTheme="minorHAnsi" w:hAnsiTheme="minorHAnsi"/>
          <w:b/>
          <w:bCs/>
          <w:color w:val="auto"/>
          <w:sz w:val="20"/>
        </w:rPr>
        <w:t>The Service Providers Identification Act (Wet Identificatieplicht Dienstverleners)</w:t>
      </w:r>
      <w:r w:rsidRPr="00894701">
        <w:rPr>
          <w:rFonts w:asciiTheme="minorHAnsi" w:hAnsiTheme="minorHAnsi"/>
          <w:color w:val="auto"/>
          <w:sz w:val="20"/>
        </w:rPr>
        <w:t xml:space="preserve"> contains a definition of the ultimate beneficial owner as follows: “ultimate beneficial owner is the natural person who has ultimate or actual ownership or control over the legal person or the person on whose behalf a transaction is carried out. It also includes the person who ultimately exercises actual control over a legal person or a legal</w:t>
      </w:r>
      <w:r w:rsidRPr="00894701">
        <w:rPr>
          <w:rFonts w:asciiTheme="minorHAnsi" w:hAnsiTheme="minorHAnsi" w:cs="TrebuchetMS"/>
          <w:color w:val="000000"/>
          <w:kern w:val="0"/>
          <w:sz w:val="20"/>
          <w:szCs w:val="20"/>
          <w:lang w:eastAsia="en-US"/>
        </w:rPr>
        <w:t xml:space="preserve"> arrangement.”</w:t>
      </w:r>
      <w:r w:rsidRPr="00894701">
        <w:rPr>
          <w:rFonts w:asciiTheme="minorHAnsi" w:hAnsiTheme="minorHAnsi" w:cs="TrebuchetMS-Bold"/>
          <w:b/>
          <w:bCs/>
          <w:color w:val="000000"/>
          <w:kern w:val="0"/>
          <w:sz w:val="20"/>
          <w:szCs w:val="20"/>
          <w:lang w:eastAsia="en-US"/>
        </w:rPr>
        <w:t xml:space="preserve"> </w:t>
      </w:r>
    </w:p>
    <w:p w14:paraId="32DE8918" w14:textId="77777777" w:rsidR="00CA282D" w:rsidRPr="00894701" w:rsidRDefault="00CA282D" w:rsidP="00A834A8">
      <w:pPr>
        <w:pStyle w:val="AltMinorHeading"/>
        <w:numPr>
          <w:ilvl w:val="2"/>
          <w:numId w:val="75"/>
        </w:numPr>
        <w:spacing w:before="100" w:beforeAutospacing="1" w:after="120"/>
        <w:ind w:right="454"/>
        <w:rPr>
          <w:rStyle w:val="Emphasis"/>
          <w:i w:val="0"/>
          <w:iCs w:val="0"/>
        </w:rPr>
      </w:pPr>
      <w:bookmarkStart w:id="291" w:name="_Toc122478894"/>
      <w:r w:rsidRPr="00894701">
        <w:rPr>
          <w:rStyle w:val="Emphasis"/>
          <w:i w:val="0"/>
          <w:iCs w:val="0"/>
        </w:rPr>
        <w:t>Beneficial ownership reporting under Suriname EITI report 2018, 2019 and 2020</w:t>
      </w:r>
      <w:bookmarkEnd w:id="291"/>
      <w:r w:rsidRPr="00894701">
        <w:rPr>
          <w:rStyle w:val="Emphasis"/>
          <w:i w:val="0"/>
          <w:iCs w:val="0"/>
        </w:rPr>
        <w:t xml:space="preserve"> </w:t>
      </w:r>
    </w:p>
    <w:p w14:paraId="1E3E33BD" w14:textId="0CB5855D" w:rsidR="00CA282D" w:rsidRPr="00894701" w:rsidRDefault="00CA282D" w:rsidP="00CA282D">
      <w:pPr>
        <w:pStyle w:val="BodyText"/>
        <w:jc w:val="both"/>
        <w:rPr>
          <w:rFonts w:asciiTheme="minorHAnsi" w:hAnsiTheme="minorHAnsi"/>
          <w:color w:val="auto"/>
          <w:sz w:val="20"/>
        </w:rPr>
      </w:pPr>
      <w:r w:rsidRPr="00894701">
        <w:rPr>
          <w:rFonts w:asciiTheme="minorHAnsi" w:hAnsiTheme="minorHAnsi"/>
          <w:color w:val="auto"/>
          <w:sz w:val="20"/>
        </w:rPr>
        <w:t xml:space="preserve">From 01 January 2020, it is required that implementing countries request and companies publicly disclose beneficial ownership information. This applies to corporate entities that apply for or hold participating interests in exploration or production oil, gas or mining license or contract and should include the identities of their beneficial owners, the level of ownership and details of how ownership or control is exercised. Any significant gaps or weaknesses in reporting on beneficial ownership information must be disclosed, including naming any entities that failed to submit all or parts of the beneficial ownership information.  </w:t>
      </w:r>
    </w:p>
    <w:p w14:paraId="5353A137" w14:textId="2E6A4A2B" w:rsidR="00CA282D" w:rsidRPr="00894701" w:rsidRDefault="00CA282D" w:rsidP="00CA282D">
      <w:pPr>
        <w:pStyle w:val="BodyText"/>
        <w:jc w:val="both"/>
        <w:rPr>
          <w:rFonts w:asciiTheme="minorHAnsi" w:hAnsiTheme="minorHAnsi"/>
          <w:color w:val="auto"/>
          <w:sz w:val="20"/>
        </w:rPr>
      </w:pPr>
      <w:r w:rsidRPr="00894701">
        <w:rPr>
          <w:rFonts w:asciiTheme="minorHAnsi" w:hAnsiTheme="minorHAnsi"/>
          <w:color w:val="auto"/>
          <w:sz w:val="20"/>
        </w:rPr>
        <w:t xml:space="preserve">The multi-stakeholder group should assess any existing mechanisms for ensuring the reliability of beneficial ownership information and agree on an approach for corporate entities within the scope of Requirement 2.5(c) to ensure the accuracy of the beneficial ownership information they provide. This could include requiring companies to attest to the beneficial ownership declaration form by sign-off by a member of the senior management team or senior legal counsel or submit supporting documentation.  </w:t>
      </w:r>
    </w:p>
    <w:p w14:paraId="4A5CA6BA" w14:textId="6EB4EB5D" w:rsidR="00CA282D" w:rsidRPr="00894701" w:rsidRDefault="00CA282D" w:rsidP="00CA282D">
      <w:pPr>
        <w:pStyle w:val="BodyText"/>
        <w:jc w:val="both"/>
        <w:rPr>
          <w:rFonts w:asciiTheme="minorHAnsi" w:hAnsiTheme="minorHAnsi"/>
          <w:color w:val="auto"/>
          <w:sz w:val="20"/>
        </w:rPr>
      </w:pPr>
      <w:r w:rsidRPr="00894701">
        <w:rPr>
          <w:rFonts w:asciiTheme="minorHAnsi" w:hAnsiTheme="minorHAnsi"/>
          <w:color w:val="auto"/>
          <w:sz w:val="20"/>
        </w:rPr>
        <w:lastRenderedPageBreak/>
        <w:t xml:space="preserve">In order to comply with Requirement 2.5 (C) for collecting information about the Beneficial Owners of the extractive companies operating in Suriname for 2018, 2019 and 2020 EITI report, we propose to the Suriname EITI-MSG the following definition of Beneficial Owner, Politically Exposed Persons and reporting threshold as recommended by ‘A legal assessment of the institutional framework for Beneficial Ownership (BO) in Suriname and advice on the first steps of BO implementation </w:t>
      </w:r>
      <w:r w:rsidRPr="00894701">
        <w:rPr>
          <w:rFonts w:asciiTheme="minorHAnsi" w:hAnsiTheme="minorHAnsi"/>
          <w:i/>
          <w:iCs/>
          <w:color w:val="auto"/>
          <w:sz w:val="20"/>
        </w:rPr>
        <w:t>report</w:t>
      </w:r>
      <w:r w:rsidRPr="00894701">
        <w:rPr>
          <w:rFonts w:asciiTheme="minorHAnsi" w:hAnsiTheme="minorHAnsi"/>
          <w:color w:val="auto"/>
          <w:sz w:val="20"/>
        </w:rPr>
        <w:t xml:space="preserve"> prepared for the MONR and published since 30 September 2020. The report is available   through   this link:</w:t>
      </w:r>
      <w:r w:rsidR="00C259C9">
        <w:rPr>
          <w:rFonts w:asciiTheme="minorHAnsi" w:hAnsiTheme="minorHAnsi"/>
          <w:color w:val="auto"/>
          <w:sz w:val="20"/>
        </w:rPr>
        <w:t xml:space="preserve"> </w:t>
      </w:r>
      <w:hyperlink r:id="rId50" w:history="1">
        <w:r w:rsidR="00A47B11" w:rsidRPr="008F7932">
          <w:rPr>
            <w:rStyle w:val="Hyperlink"/>
            <w:rFonts w:asciiTheme="minorHAnsi" w:hAnsiTheme="minorHAnsi"/>
            <w:sz w:val="20"/>
          </w:rPr>
          <w:t>https://eitisuriname.org/wp-content/uploads/2021/03/FINAL-</w:t>
        </w:r>
      </w:hyperlink>
      <w:hyperlink r:id="rId51" w:history="1">
        <w:r w:rsidRPr="00894701">
          <w:rPr>
            <w:rStyle w:val="Hyperlink"/>
            <w:rFonts w:asciiTheme="minorHAnsi" w:hAnsiTheme="minorHAnsi"/>
            <w:sz w:val="20"/>
          </w:rPr>
          <w:t>Assessment-Document-PB300920-1.pdf</w:t>
        </w:r>
      </w:hyperlink>
      <w:r w:rsidRPr="00894701">
        <w:rPr>
          <w:rFonts w:asciiTheme="minorHAnsi" w:hAnsiTheme="minorHAnsi"/>
          <w:color w:val="auto"/>
          <w:sz w:val="20"/>
        </w:rPr>
        <w:t xml:space="preserve"> </w:t>
      </w:r>
    </w:p>
    <w:p w14:paraId="5F750F0D" w14:textId="77777777" w:rsidR="00CA282D" w:rsidRPr="00894701" w:rsidRDefault="00CA282D" w:rsidP="00CA282D">
      <w:pPr>
        <w:pStyle w:val="BodyText"/>
        <w:jc w:val="both"/>
        <w:rPr>
          <w:rFonts w:asciiTheme="minorHAnsi" w:hAnsiTheme="minorHAnsi"/>
          <w:color w:val="auto"/>
          <w:sz w:val="20"/>
        </w:rPr>
      </w:pPr>
      <w:r w:rsidRPr="00894701">
        <w:rPr>
          <w:rFonts w:asciiTheme="minorHAnsi" w:hAnsiTheme="minorHAnsi" w:cs="TrebuchetMS-Bold"/>
          <w:b/>
          <w:bCs/>
          <w:color w:val="ED1A3B"/>
          <w:sz w:val="20"/>
          <w:szCs w:val="20"/>
        </w:rPr>
        <w:t>Beneficial owner:</w:t>
      </w:r>
      <w:r w:rsidRPr="00894701">
        <w:rPr>
          <w:rFonts w:asciiTheme="minorHAnsi" w:hAnsiTheme="minorHAnsi" w:cs="TrebuchetMS"/>
          <w:color w:val="ED1A3B"/>
          <w:spacing w:val="-11"/>
          <w:sz w:val="20"/>
          <w:szCs w:val="20"/>
        </w:rPr>
        <w:t xml:space="preserve"> </w:t>
      </w:r>
      <w:r w:rsidRPr="00894701">
        <w:rPr>
          <w:rFonts w:asciiTheme="minorHAnsi" w:hAnsiTheme="minorHAnsi" w:cs="TrebuchetMS"/>
          <w:color w:val="000000"/>
          <w:spacing w:val="-9"/>
          <w:sz w:val="20"/>
          <w:szCs w:val="20"/>
        </w:rPr>
        <w:t>A</w:t>
      </w:r>
      <w:r w:rsidRPr="00894701">
        <w:rPr>
          <w:rFonts w:asciiTheme="minorHAnsi" w:hAnsiTheme="minorHAnsi"/>
          <w:color w:val="auto"/>
          <w:sz w:val="20"/>
        </w:rPr>
        <w:t xml:space="preserve"> ‘beneficial owner’ means any natural person(s) who ultimately owns or controls a legal entity or a legally binding arrangement, and/or the natural person(s) on whose behalf a transaction is carried out or activity is conducted. </w:t>
      </w:r>
    </w:p>
    <w:p w14:paraId="28CF4BA0" w14:textId="77777777" w:rsidR="00CA282D" w:rsidRPr="00894701" w:rsidRDefault="00CA282D" w:rsidP="00CA282D">
      <w:pPr>
        <w:pStyle w:val="BodyText"/>
        <w:jc w:val="both"/>
        <w:rPr>
          <w:rFonts w:asciiTheme="minorHAnsi" w:hAnsiTheme="minorHAnsi"/>
          <w:color w:val="auto"/>
          <w:sz w:val="20"/>
        </w:rPr>
      </w:pPr>
      <w:r w:rsidRPr="00894701">
        <w:rPr>
          <w:rFonts w:asciiTheme="minorHAnsi" w:hAnsiTheme="minorHAnsi"/>
          <w:color w:val="auto"/>
          <w:sz w:val="20"/>
        </w:rPr>
        <w:t xml:space="preserve">A natural person shall be deemed to “own or control” a legal entity or a legally binding arrangement if that person: </w:t>
      </w:r>
    </w:p>
    <w:p w14:paraId="3395142A" w14:textId="77777777" w:rsidR="00CA282D" w:rsidRPr="00894701" w:rsidRDefault="00CA282D" w:rsidP="00CA282D">
      <w:pPr>
        <w:pStyle w:val="BodyText"/>
        <w:numPr>
          <w:ilvl w:val="0"/>
          <w:numId w:val="46"/>
        </w:numPr>
        <w:jc w:val="both"/>
        <w:rPr>
          <w:rFonts w:asciiTheme="minorHAnsi" w:hAnsiTheme="minorHAnsi"/>
          <w:color w:val="auto"/>
          <w:sz w:val="20"/>
        </w:rPr>
      </w:pPr>
      <w:r w:rsidRPr="00894701">
        <w:rPr>
          <w:rFonts w:asciiTheme="minorHAnsi" w:hAnsiTheme="minorHAnsi"/>
          <w:color w:val="auto"/>
          <w:sz w:val="20"/>
        </w:rPr>
        <w:t xml:space="preserve">ultimately owns or controls a legal entity through direct or indirect ownership of at least 20% of the shares or voting rights or ownership interest in that entity, including through bearer shareholdings, or control via other means; or </w:t>
      </w:r>
    </w:p>
    <w:p w14:paraId="79335D54" w14:textId="77777777" w:rsidR="00CA282D" w:rsidRPr="00894701" w:rsidRDefault="00CA282D" w:rsidP="00CA282D">
      <w:pPr>
        <w:pStyle w:val="BodyText"/>
        <w:numPr>
          <w:ilvl w:val="0"/>
          <w:numId w:val="46"/>
        </w:numPr>
        <w:jc w:val="both"/>
        <w:rPr>
          <w:rFonts w:asciiTheme="minorHAnsi" w:hAnsiTheme="minorHAnsi"/>
          <w:color w:val="auto"/>
          <w:sz w:val="20"/>
        </w:rPr>
      </w:pPr>
      <w:r w:rsidRPr="00894701">
        <w:rPr>
          <w:rFonts w:asciiTheme="minorHAnsi" w:hAnsiTheme="minorHAnsi"/>
          <w:color w:val="auto"/>
          <w:sz w:val="20"/>
        </w:rPr>
        <w:t xml:space="preserve">is able to exercise more than 20% of the votes in the case of resolutions amending the articles of incorporation of the legal entities; or </w:t>
      </w:r>
    </w:p>
    <w:p w14:paraId="42906A0F" w14:textId="77777777" w:rsidR="00CA282D" w:rsidRPr="00894701" w:rsidRDefault="00CA282D" w:rsidP="00CA282D">
      <w:pPr>
        <w:pStyle w:val="BodyText"/>
        <w:numPr>
          <w:ilvl w:val="0"/>
          <w:numId w:val="46"/>
        </w:numPr>
        <w:jc w:val="both"/>
        <w:rPr>
          <w:rFonts w:asciiTheme="minorHAnsi" w:hAnsiTheme="minorHAnsi"/>
          <w:color w:val="auto"/>
          <w:sz w:val="20"/>
        </w:rPr>
      </w:pPr>
      <w:r w:rsidRPr="00894701">
        <w:rPr>
          <w:rFonts w:asciiTheme="minorHAnsi" w:hAnsiTheme="minorHAnsi"/>
          <w:color w:val="auto"/>
          <w:sz w:val="20"/>
        </w:rPr>
        <w:t xml:space="preserve">has the right to appoint, veto the appointment or remove a majority of the board of directors </w:t>
      </w:r>
      <w:r w:rsidRPr="00894701">
        <w:rPr>
          <w:rFonts w:asciiTheme="minorHAnsi" w:hAnsiTheme="minorHAnsi"/>
          <w:color w:val="auto"/>
          <w:sz w:val="20"/>
        </w:rPr>
        <w:br w:type="textWrapping" w:clear="all"/>
        <w:t xml:space="preserve">or equivalent body of a legal entity or a legally binding arrangement; or </w:t>
      </w:r>
    </w:p>
    <w:p w14:paraId="394195BF" w14:textId="77777777" w:rsidR="00CA282D" w:rsidRPr="00894701" w:rsidRDefault="00CA282D" w:rsidP="00CA282D">
      <w:pPr>
        <w:pStyle w:val="BodyText"/>
        <w:numPr>
          <w:ilvl w:val="0"/>
          <w:numId w:val="46"/>
        </w:numPr>
        <w:jc w:val="both"/>
        <w:rPr>
          <w:rFonts w:asciiTheme="minorHAnsi" w:hAnsiTheme="minorHAnsi"/>
          <w:color w:val="auto"/>
          <w:sz w:val="20"/>
        </w:rPr>
      </w:pPr>
      <w:r w:rsidRPr="00894701">
        <w:rPr>
          <w:rFonts w:asciiTheme="minorHAnsi" w:hAnsiTheme="minorHAnsi"/>
          <w:color w:val="auto"/>
          <w:sz w:val="20"/>
        </w:rPr>
        <w:t xml:space="preserve">is able to exercise effective control over the legal entity or legally binding arrangement; or </w:t>
      </w:r>
    </w:p>
    <w:p w14:paraId="241A8120" w14:textId="77777777" w:rsidR="00CA282D" w:rsidRPr="00894701" w:rsidRDefault="00CA282D" w:rsidP="00CA282D">
      <w:pPr>
        <w:pStyle w:val="BodyText"/>
        <w:numPr>
          <w:ilvl w:val="0"/>
          <w:numId w:val="46"/>
        </w:numPr>
        <w:jc w:val="both"/>
        <w:rPr>
          <w:rFonts w:asciiTheme="minorHAnsi" w:hAnsiTheme="minorHAnsi"/>
          <w:color w:val="auto"/>
          <w:sz w:val="20"/>
        </w:rPr>
      </w:pPr>
      <w:r w:rsidRPr="00894701">
        <w:rPr>
          <w:rFonts w:asciiTheme="minorHAnsi" w:hAnsiTheme="minorHAnsi"/>
          <w:color w:val="auto"/>
          <w:sz w:val="20"/>
        </w:rPr>
        <w:t xml:space="preserve">derives significant economic benefit from a legal entity or a legally binding arrangement. </w:t>
      </w:r>
    </w:p>
    <w:p w14:paraId="27D88011" w14:textId="3256F775" w:rsidR="00CA282D" w:rsidRPr="00894701" w:rsidRDefault="00D64D12" w:rsidP="00CA282D">
      <w:pPr>
        <w:pStyle w:val="BodyText"/>
        <w:jc w:val="both"/>
        <w:rPr>
          <w:rFonts w:asciiTheme="minorHAnsi" w:hAnsiTheme="minorHAnsi"/>
          <w:color w:val="auto"/>
          <w:sz w:val="20"/>
        </w:rPr>
      </w:pPr>
      <w:r w:rsidRPr="00C07268">
        <w:rPr>
          <w:rFonts w:asciiTheme="minorHAnsi" w:hAnsiTheme="minorHAnsi"/>
          <w:b/>
          <w:bCs/>
          <w:color w:val="ED1A3B" w:themeColor="accent1"/>
          <w:sz w:val="20"/>
        </w:rPr>
        <w:t>P</w:t>
      </w:r>
      <w:r w:rsidR="00CA282D" w:rsidRPr="00C07268">
        <w:rPr>
          <w:rFonts w:asciiTheme="minorHAnsi" w:hAnsiTheme="minorHAnsi"/>
          <w:b/>
          <w:bCs/>
          <w:color w:val="ED1A3B" w:themeColor="accent1"/>
          <w:sz w:val="20"/>
        </w:rPr>
        <w:t xml:space="preserve">olitically </w:t>
      </w:r>
      <w:r w:rsidRPr="00C07268">
        <w:rPr>
          <w:rFonts w:asciiTheme="minorHAnsi" w:hAnsiTheme="minorHAnsi"/>
          <w:b/>
          <w:bCs/>
          <w:color w:val="ED1A3B" w:themeColor="accent1"/>
          <w:sz w:val="20"/>
        </w:rPr>
        <w:t>E</w:t>
      </w:r>
      <w:r w:rsidR="00CA282D" w:rsidRPr="00C07268">
        <w:rPr>
          <w:rFonts w:asciiTheme="minorHAnsi" w:hAnsiTheme="minorHAnsi"/>
          <w:b/>
          <w:bCs/>
          <w:color w:val="ED1A3B" w:themeColor="accent1"/>
          <w:sz w:val="20"/>
        </w:rPr>
        <w:t xml:space="preserve">xposed </w:t>
      </w:r>
      <w:r>
        <w:rPr>
          <w:rFonts w:asciiTheme="minorHAnsi" w:hAnsiTheme="minorHAnsi"/>
          <w:b/>
          <w:bCs/>
          <w:color w:val="ED1A3B" w:themeColor="accent1"/>
          <w:sz w:val="20"/>
        </w:rPr>
        <w:t>P</w:t>
      </w:r>
      <w:r w:rsidR="00CA282D" w:rsidRPr="00C07268">
        <w:rPr>
          <w:rFonts w:asciiTheme="minorHAnsi" w:hAnsiTheme="minorHAnsi"/>
          <w:b/>
          <w:bCs/>
          <w:color w:val="ED1A3B" w:themeColor="accent1"/>
          <w:sz w:val="20"/>
        </w:rPr>
        <w:t>erson</w:t>
      </w:r>
      <w:r w:rsidRPr="00C07268">
        <w:rPr>
          <w:rFonts w:asciiTheme="minorHAnsi" w:hAnsiTheme="minorHAnsi"/>
          <w:b/>
          <w:bCs/>
          <w:color w:val="ED1A3B" w:themeColor="accent1"/>
          <w:sz w:val="20"/>
        </w:rPr>
        <w:t xml:space="preserve"> (PEP)</w:t>
      </w:r>
      <w:r w:rsidR="00CA282D" w:rsidRPr="00C07268">
        <w:rPr>
          <w:rFonts w:asciiTheme="minorHAnsi" w:hAnsiTheme="minorHAnsi"/>
          <w:b/>
          <w:bCs/>
          <w:color w:val="ED1A3B" w:themeColor="accent1"/>
          <w:sz w:val="20"/>
        </w:rPr>
        <w:t>:</w:t>
      </w:r>
      <w:r w:rsidR="00CA282D" w:rsidRPr="00894701">
        <w:rPr>
          <w:rFonts w:asciiTheme="minorHAnsi" w:hAnsiTheme="minorHAnsi"/>
          <w:color w:val="auto"/>
          <w:sz w:val="20"/>
        </w:rPr>
        <w:t xml:space="preserve"> means a natural person who is or who has been entrusted with prominent public functions and includes the following: </w:t>
      </w:r>
    </w:p>
    <w:p w14:paraId="37B5E50B" w14:textId="77777777" w:rsidR="00CA282D" w:rsidRPr="00894701" w:rsidRDefault="00CA282D" w:rsidP="00CA282D">
      <w:pPr>
        <w:pStyle w:val="BodyText"/>
        <w:numPr>
          <w:ilvl w:val="0"/>
          <w:numId w:val="46"/>
        </w:numPr>
        <w:jc w:val="both"/>
        <w:rPr>
          <w:rFonts w:asciiTheme="minorHAnsi" w:hAnsiTheme="minorHAnsi"/>
          <w:color w:val="auto"/>
          <w:sz w:val="20"/>
        </w:rPr>
      </w:pPr>
      <w:r w:rsidRPr="00894701">
        <w:rPr>
          <w:rFonts w:asciiTheme="minorHAnsi" w:hAnsiTheme="minorHAnsi"/>
          <w:color w:val="auto"/>
          <w:sz w:val="20"/>
        </w:rPr>
        <w:t xml:space="preserve">heads of State, heads of government, ministers and deputy or assistant ministers; </w:t>
      </w:r>
    </w:p>
    <w:p w14:paraId="58209ACE" w14:textId="77777777" w:rsidR="00CA282D" w:rsidRPr="00894701" w:rsidRDefault="00CA282D" w:rsidP="00CA282D">
      <w:pPr>
        <w:pStyle w:val="BodyText"/>
        <w:numPr>
          <w:ilvl w:val="0"/>
          <w:numId w:val="46"/>
        </w:numPr>
        <w:jc w:val="both"/>
        <w:rPr>
          <w:rFonts w:asciiTheme="minorHAnsi" w:hAnsiTheme="minorHAnsi"/>
          <w:color w:val="auto"/>
          <w:sz w:val="20"/>
        </w:rPr>
      </w:pPr>
      <w:r w:rsidRPr="00894701">
        <w:rPr>
          <w:rFonts w:asciiTheme="minorHAnsi" w:hAnsiTheme="minorHAnsi"/>
          <w:color w:val="auto"/>
          <w:sz w:val="20"/>
        </w:rPr>
        <w:t xml:space="preserve">members of parliament or similar legislative bodies;  </w:t>
      </w:r>
    </w:p>
    <w:p w14:paraId="75DFB96F" w14:textId="77777777" w:rsidR="00CA282D" w:rsidRPr="00894701" w:rsidRDefault="00CA282D" w:rsidP="00CA282D">
      <w:pPr>
        <w:pStyle w:val="BodyText"/>
        <w:numPr>
          <w:ilvl w:val="0"/>
          <w:numId w:val="46"/>
        </w:numPr>
        <w:jc w:val="both"/>
        <w:rPr>
          <w:rFonts w:asciiTheme="minorHAnsi" w:hAnsiTheme="minorHAnsi"/>
          <w:color w:val="auto"/>
          <w:sz w:val="20"/>
        </w:rPr>
      </w:pPr>
      <w:r w:rsidRPr="00894701">
        <w:rPr>
          <w:rFonts w:asciiTheme="minorHAnsi" w:hAnsiTheme="minorHAnsi"/>
          <w:color w:val="auto"/>
          <w:sz w:val="20"/>
        </w:rPr>
        <w:t xml:space="preserve">members of the governing bodies of political parties; </w:t>
      </w:r>
    </w:p>
    <w:p w14:paraId="22D9C70B" w14:textId="77777777" w:rsidR="00CA282D" w:rsidRPr="00894701" w:rsidRDefault="00CA282D" w:rsidP="00CA282D">
      <w:pPr>
        <w:pStyle w:val="BodyText"/>
        <w:numPr>
          <w:ilvl w:val="0"/>
          <w:numId w:val="46"/>
        </w:numPr>
        <w:jc w:val="both"/>
        <w:rPr>
          <w:rFonts w:asciiTheme="minorHAnsi" w:hAnsiTheme="minorHAnsi"/>
          <w:color w:val="auto"/>
          <w:sz w:val="20"/>
        </w:rPr>
      </w:pPr>
      <w:r w:rsidRPr="00894701">
        <w:rPr>
          <w:rFonts w:asciiTheme="minorHAnsi" w:hAnsiTheme="minorHAnsi"/>
          <w:color w:val="auto"/>
          <w:sz w:val="20"/>
        </w:rPr>
        <w:t xml:space="preserve">members of supreme courts, constitutional courts or of other high-level judicial bodies, the decisions of which are not subject to further appeal, except in exceptional circumstances;  </w:t>
      </w:r>
    </w:p>
    <w:p w14:paraId="17B5C43F" w14:textId="77777777" w:rsidR="00CA282D" w:rsidRPr="00894701" w:rsidRDefault="00CA282D" w:rsidP="00CA282D">
      <w:pPr>
        <w:pStyle w:val="BodyText"/>
        <w:numPr>
          <w:ilvl w:val="0"/>
          <w:numId w:val="46"/>
        </w:numPr>
        <w:jc w:val="both"/>
        <w:rPr>
          <w:rFonts w:asciiTheme="minorHAnsi" w:hAnsiTheme="minorHAnsi"/>
          <w:color w:val="auto"/>
          <w:sz w:val="20"/>
        </w:rPr>
      </w:pPr>
      <w:r w:rsidRPr="00894701">
        <w:rPr>
          <w:rFonts w:asciiTheme="minorHAnsi" w:hAnsiTheme="minorHAnsi"/>
          <w:color w:val="auto"/>
          <w:sz w:val="20"/>
        </w:rPr>
        <w:t xml:space="preserve">members of courts of auditors or the boards of central banks; </w:t>
      </w:r>
    </w:p>
    <w:p w14:paraId="333650CC" w14:textId="77777777" w:rsidR="00CA282D" w:rsidRPr="00894701" w:rsidRDefault="00CA282D" w:rsidP="00CA282D">
      <w:pPr>
        <w:pStyle w:val="BodyText"/>
        <w:numPr>
          <w:ilvl w:val="0"/>
          <w:numId w:val="46"/>
        </w:numPr>
        <w:jc w:val="both"/>
        <w:rPr>
          <w:rFonts w:asciiTheme="minorHAnsi" w:hAnsiTheme="minorHAnsi"/>
          <w:color w:val="auto"/>
          <w:sz w:val="20"/>
        </w:rPr>
      </w:pPr>
      <w:r w:rsidRPr="00894701">
        <w:rPr>
          <w:rFonts w:asciiTheme="minorHAnsi" w:hAnsiTheme="minorHAnsi"/>
          <w:color w:val="auto"/>
          <w:sz w:val="20"/>
        </w:rPr>
        <w:t>ambassadors, chargés d'affaires and high-ranking officers in the armed forces; and</w:t>
      </w:r>
    </w:p>
    <w:p w14:paraId="45C66685" w14:textId="7B928291" w:rsidR="00CA282D" w:rsidRPr="00894701" w:rsidRDefault="00CA282D" w:rsidP="00CA282D">
      <w:pPr>
        <w:pStyle w:val="BodyText"/>
        <w:numPr>
          <w:ilvl w:val="0"/>
          <w:numId w:val="46"/>
        </w:numPr>
        <w:jc w:val="both"/>
        <w:rPr>
          <w:rFonts w:asciiTheme="minorHAnsi" w:hAnsiTheme="minorHAnsi"/>
          <w:color w:val="auto"/>
          <w:sz w:val="20"/>
        </w:rPr>
      </w:pPr>
      <w:r w:rsidRPr="00894701">
        <w:rPr>
          <w:rFonts w:asciiTheme="minorHAnsi" w:hAnsiTheme="minorHAnsi"/>
          <w:color w:val="auto"/>
          <w:sz w:val="20"/>
        </w:rPr>
        <w:t xml:space="preserve">members </w:t>
      </w:r>
      <w:r w:rsidR="00820E08" w:rsidRPr="00894701">
        <w:rPr>
          <w:rFonts w:asciiTheme="minorHAnsi" w:hAnsiTheme="minorHAnsi"/>
          <w:color w:val="auto"/>
          <w:sz w:val="20"/>
        </w:rPr>
        <w:t>1</w:t>
      </w:r>
      <w:r w:rsidR="00E74303" w:rsidRPr="00894701">
        <w:rPr>
          <w:rFonts w:asciiTheme="minorHAnsi" w:hAnsiTheme="minorHAnsi"/>
          <w:color w:val="auto"/>
          <w:sz w:val="20"/>
        </w:rPr>
        <w:t xml:space="preserve"> </w:t>
      </w:r>
      <w:r w:rsidRPr="00894701">
        <w:rPr>
          <w:rFonts w:asciiTheme="minorHAnsi" w:hAnsiTheme="minorHAnsi"/>
          <w:color w:val="auto"/>
          <w:sz w:val="20"/>
        </w:rPr>
        <w:t>of the administrative, management  or  supervisory  bodies  of  State-owned enterprises; and</w:t>
      </w:r>
    </w:p>
    <w:p w14:paraId="6757CFEF" w14:textId="77777777" w:rsidR="00CA282D" w:rsidRPr="00894701" w:rsidRDefault="00CA282D" w:rsidP="00CA282D">
      <w:pPr>
        <w:pStyle w:val="BodyText"/>
        <w:numPr>
          <w:ilvl w:val="0"/>
          <w:numId w:val="46"/>
        </w:numPr>
        <w:jc w:val="both"/>
        <w:rPr>
          <w:rFonts w:asciiTheme="minorHAnsi" w:hAnsiTheme="minorHAnsi"/>
          <w:color w:val="auto"/>
          <w:sz w:val="20"/>
        </w:rPr>
      </w:pPr>
      <w:r w:rsidRPr="00894701">
        <w:rPr>
          <w:rFonts w:asciiTheme="minorHAnsi" w:hAnsiTheme="minorHAnsi"/>
          <w:color w:val="auto"/>
          <w:sz w:val="20"/>
        </w:rPr>
        <w:t xml:space="preserve">directors, deputy directors and members of the board or equivalent function of an international organization. </w:t>
      </w:r>
    </w:p>
    <w:p w14:paraId="2ED0F8F0" w14:textId="5BE11120" w:rsidR="00CA282D" w:rsidRPr="00894701" w:rsidRDefault="00B41A5A" w:rsidP="00CA282D">
      <w:pPr>
        <w:pStyle w:val="BodyText"/>
        <w:jc w:val="both"/>
        <w:rPr>
          <w:rFonts w:asciiTheme="minorHAnsi" w:hAnsiTheme="minorHAnsi"/>
          <w:color w:val="auto"/>
          <w:sz w:val="20"/>
        </w:rPr>
      </w:pPr>
      <w:r>
        <w:rPr>
          <w:rFonts w:asciiTheme="minorHAnsi" w:hAnsiTheme="minorHAnsi"/>
          <w:color w:val="auto"/>
          <w:sz w:val="20"/>
        </w:rPr>
        <w:t xml:space="preserve">This definition may also include </w:t>
      </w:r>
      <w:r w:rsidR="00CA282D" w:rsidRPr="00894701">
        <w:rPr>
          <w:rFonts w:asciiTheme="minorHAnsi" w:hAnsiTheme="minorHAnsi"/>
          <w:color w:val="auto"/>
          <w:sz w:val="20"/>
        </w:rPr>
        <w:t>family members and persons are known to be close associates</w:t>
      </w:r>
      <w:r>
        <w:rPr>
          <w:rFonts w:asciiTheme="minorHAnsi" w:hAnsiTheme="minorHAnsi"/>
          <w:color w:val="auto"/>
          <w:sz w:val="20"/>
        </w:rPr>
        <w:t xml:space="preserve"> of PEPs</w:t>
      </w:r>
      <w:r w:rsidR="00CA282D" w:rsidRPr="00894701">
        <w:rPr>
          <w:rFonts w:asciiTheme="minorHAnsi" w:hAnsiTheme="minorHAnsi"/>
          <w:color w:val="auto"/>
          <w:sz w:val="20"/>
        </w:rPr>
        <w:t xml:space="preserve">. No public function referred to in points (a) to (h) shall be understood as covering middle-ranking or more junior officials; </w:t>
      </w:r>
    </w:p>
    <w:p w14:paraId="21EAE55B" w14:textId="77777777" w:rsidR="00CA282D" w:rsidRPr="00894701" w:rsidRDefault="00CA282D" w:rsidP="00CA282D">
      <w:pPr>
        <w:pStyle w:val="BodyText"/>
        <w:jc w:val="both"/>
        <w:rPr>
          <w:rFonts w:asciiTheme="minorHAnsi" w:hAnsiTheme="minorHAnsi"/>
          <w:color w:val="auto"/>
          <w:sz w:val="20"/>
        </w:rPr>
      </w:pPr>
      <w:r w:rsidRPr="00894701">
        <w:rPr>
          <w:rFonts w:asciiTheme="minorHAnsi" w:hAnsiTheme="minorHAnsi"/>
          <w:color w:val="auto"/>
          <w:sz w:val="20"/>
        </w:rPr>
        <w:t xml:space="preserve">A ‘family member’ of a politically exposed person includes, but is not limited to, the following:  </w:t>
      </w:r>
    </w:p>
    <w:p w14:paraId="4B6DA98D" w14:textId="77777777" w:rsidR="00CA282D" w:rsidRPr="00894701" w:rsidRDefault="00CA282D" w:rsidP="00CA282D">
      <w:pPr>
        <w:pStyle w:val="BodyText"/>
        <w:numPr>
          <w:ilvl w:val="0"/>
          <w:numId w:val="46"/>
        </w:numPr>
        <w:jc w:val="both"/>
        <w:rPr>
          <w:rFonts w:asciiTheme="minorHAnsi" w:hAnsiTheme="minorHAnsi"/>
          <w:color w:val="auto"/>
          <w:sz w:val="20"/>
        </w:rPr>
      </w:pPr>
      <w:r w:rsidRPr="00894701">
        <w:rPr>
          <w:rFonts w:asciiTheme="minorHAnsi" w:hAnsiTheme="minorHAnsi"/>
          <w:color w:val="auto"/>
          <w:sz w:val="20"/>
        </w:rPr>
        <w:t xml:space="preserve">the spouse, or a person considered to be equivalent to a spouse, of a politically exposed person;  </w:t>
      </w:r>
    </w:p>
    <w:p w14:paraId="490E69BA" w14:textId="77777777" w:rsidR="00CA282D" w:rsidRPr="00894701" w:rsidRDefault="00CA282D" w:rsidP="00CA282D">
      <w:pPr>
        <w:pStyle w:val="BodyText"/>
        <w:numPr>
          <w:ilvl w:val="0"/>
          <w:numId w:val="46"/>
        </w:numPr>
        <w:jc w:val="both"/>
        <w:rPr>
          <w:rFonts w:asciiTheme="minorHAnsi" w:hAnsiTheme="minorHAnsi"/>
          <w:color w:val="auto"/>
          <w:sz w:val="20"/>
        </w:rPr>
      </w:pPr>
      <w:r w:rsidRPr="00894701">
        <w:rPr>
          <w:rFonts w:asciiTheme="minorHAnsi" w:hAnsiTheme="minorHAnsi"/>
          <w:color w:val="auto"/>
          <w:sz w:val="20"/>
        </w:rPr>
        <w:t>the siblings, children, grandchildren, and their spouses, or persons considered to be equivalent to a spouse, of a politically exposed person; and</w:t>
      </w:r>
    </w:p>
    <w:p w14:paraId="48FAE6CD" w14:textId="77777777" w:rsidR="00CA282D" w:rsidRPr="00894701" w:rsidRDefault="00CA282D" w:rsidP="00CA282D">
      <w:pPr>
        <w:pStyle w:val="BodyText"/>
        <w:numPr>
          <w:ilvl w:val="0"/>
          <w:numId w:val="46"/>
        </w:numPr>
        <w:jc w:val="both"/>
        <w:rPr>
          <w:rFonts w:asciiTheme="minorHAnsi" w:hAnsiTheme="minorHAnsi"/>
          <w:color w:val="auto"/>
          <w:sz w:val="20"/>
        </w:rPr>
      </w:pPr>
      <w:r w:rsidRPr="00894701">
        <w:rPr>
          <w:rFonts w:asciiTheme="minorHAnsi" w:hAnsiTheme="minorHAnsi"/>
          <w:color w:val="auto"/>
          <w:sz w:val="20"/>
        </w:rPr>
        <w:t xml:space="preserve">the parents and grandparents of a politically exposed person; </w:t>
      </w:r>
    </w:p>
    <w:p w14:paraId="5C752555" w14:textId="77777777" w:rsidR="00CA282D" w:rsidRPr="00894701" w:rsidRDefault="00CA282D" w:rsidP="00CA282D">
      <w:pPr>
        <w:pStyle w:val="BodyText"/>
        <w:jc w:val="both"/>
        <w:rPr>
          <w:rFonts w:asciiTheme="minorHAnsi" w:hAnsiTheme="minorHAnsi"/>
          <w:color w:val="auto"/>
          <w:sz w:val="20"/>
        </w:rPr>
      </w:pPr>
      <w:r w:rsidRPr="00894701">
        <w:rPr>
          <w:rFonts w:asciiTheme="minorHAnsi" w:hAnsiTheme="minorHAnsi"/>
          <w:color w:val="auto"/>
          <w:sz w:val="20"/>
        </w:rPr>
        <w:lastRenderedPageBreak/>
        <w:t xml:space="preserve">A ‘person(s) known to be close associates’ of a politically exposed person(s) includes, but is not limited to, the following: </w:t>
      </w:r>
    </w:p>
    <w:p w14:paraId="15260613" w14:textId="77777777" w:rsidR="00CA282D" w:rsidRPr="00894701" w:rsidRDefault="00CA282D" w:rsidP="00CA282D">
      <w:pPr>
        <w:pStyle w:val="BodyText"/>
        <w:numPr>
          <w:ilvl w:val="0"/>
          <w:numId w:val="46"/>
        </w:numPr>
        <w:jc w:val="both"/>
        <w:rPr>
          <w:rFonts w:asciiTheme="minorHAnsi" w:hAnsiTheme="minorHAnsi"/>
          <w:color w:val="auto"/>
          <w:sz w:val="20"/>
        </w:rPr>
      </w:pPr>
      <w:r w:rsidRPr="00894701">
        <w:rPr>
          <w:rFonts w:asciiTheme="minorHAnsi" w:hAnsiTheme="minorHAnsi"/>
          <w:color w:val="auto"/>
          <w:sz w:val="20"/>
        </w:rPr>
        <w:t>natural persons who are known to have joint beneficial ownership of legal entities or legal arrangements, or any other close business relations, with a politically exposed person; and</w:t>
      </w:r>
    </w:p>
    <w:p w14:paraId="6EC3B25C" w14:textId="77777777" w:rsidR="00CA282D" w:rsidRPr="00894701" w:rsidRDefault="00CA282D" w:rsidP="00CA282D">
      <w:pPr>
        <w:pStyle w:val="BodyText"/>
        <w:numPr>
          <w:ilvl w:val="0"/>
          <w:numId w:val="46"/>
        </w:numPr>
        <w:jc w:val="both"/>
        <w:rPr>
          <w:rFonts w:asciiTheme="minorHAnsi" w:hAnsiTheme="minorHAnsi"/>
          <w:color w:val="auto"/>
          <w:sz w:val="20"/>
        </w:rPr>
      </w:pPr>
      <w:r w:rsidRPr="00894701">
        <w:rPr>
          <w:rFonts w:asciiTheme="minorHAnsi" w:hAnsiTheme="minorHAnsi"/>
          <w:color w:val="auto"/>
          <w:sz w:val="20"/>
        </w:rPr>
        <w:t xml:space="preserve">natural persons who have sole beneficial ownership of a legal entity or legal arrangement which is known to have been set up for the de facto benefit of a politically exposed person. </w:t>
      </w:r>
    </w:p>
    <w:p w14:paraId="649E5ABF" w14:textId="2FAAF999" w:rsidR="00CA282D" w:rsidRPr="00894701" w:rsidRDefault="00CA282D" w:rsidP="00CA282D">
      <w:pPr>
        <w:pStyle w:val="BodyText"/>
        <w:jc w:val="both"/>
        <w:rPr>
          <w:rFonts w:asciiTheme="minorHAnsi" w:hAnsiTheme="minorHAnsi"/>
          <w:color w:val="auto"/>
          <w:sz w:val="20"/>
        </w:rPr>
      </w:pPr>
      <w:r w:rsidRPr="00894701">
        <w:rPr>
          <w:rFonts w:asciiTheme="minorHAnsi" w:hAnsiTheme="minorHAnsi"/>
          <w:color w:val="auto"/>
          <w:sz w:val="20"/>
        </w:rPr>
        <w:t xml:space="preserve">In order to comply with requirement 2.5 (e), we propose to the Suriname EITI-MSG </w:t>
      </w:r>
      <w:r w:rsidR="00830DBE" w:rsidRPr="00894701">
        <w:rPr>
          <w:rFonts w:asciiTheme="minorHAnsi" w:hAnsiTheme="minorHAnsi"/>
          <w:color w:val="auto"/>
          <w:sz w:val="20"/>
        </w:rPr>
        <w:t xml:space="preserve">and GMD/MoFP </w:t>
      </w:r>
      <w:r w:rsidR="005E718E" w:rsidRPr="00894701">
        <w:rPr>
          <w:rFonts w:asciiTheme="minorHAnsi" w:hAnsiTheme="minorHAnsi"/>
          <w:color w:val="auto"/>
          <w:sz w:val="20"/>
        </w:rPr>
        <w:t>to put in p</w:t>
      </w:r>
      <w:r w:rsidR="00830DBE" w:rsidRPr="00894701">
        <w:rPr>
          <w:rFonts w:asciiTheme="minorHAnsi" w:hAnsiTheme="minorHAnsi"/>
          <w:color w:val="auto"/>
          <w:sz w:val="20"/>
        </w:rPr>
        <w:t>l</w:t>
      </w:r>
      <w:r w:rsidR="005E718E" w:rsidRPr="00894701">
        <w:rPr>
          <w:rFonts w:asciiTheme="minorHAnsi" w:hAnsiTheme="minorHAnsi"/>
          <w:color w:val="auto"/>
          <w:sz w:val="20"/>
        </w:rPr>
        <w:t xml:space="preserve">ace plan to collect </w:t>
      </w:r>
      <w:r w:rsidRPr="00894701">
        <w:rPr>
          <w:rFonts w:asciiTheme="minorHAnsi" w:hAnsiTheme="minorHAnsi"/>
          <w:color w:val="auto"/>
          <w:sz w:val="20"/>
        </w:rPr>
        <w:t xml:space="preserve">the information on beneficial ownership </w:t>
      </w:r>
      <w:r w:rsidR="005E718E" w:rsidRPr="00894701">
        <w:rPr>
          <w:rFonts w:asciiTheme="minorHAnsi" w:hAnsiTheme="minorHAnsi"/>
          <w:color w:val="auto"/>
          <w:sz w:val="20"/>
        </w:rPr>
        <w:t>systematically</w:t>
      </w:r>
      <w:r w:rsidRPr="00894701">
        <w:rPr>
          <w:rFonts w:asciiTheme="minorHAnsi" w:hAnsiTheme="minorHAnsi"/>
          <w:color w:val="auto"/>
          <w:sz w:val="20"/>
        </w:rPr>
        <w:t xml:space="preserve"> </w:t>
      </w:r>
      <w:r w:rsidR="005E718E" w:rsidRPr="00894701">
        <w:rPr>
          <w:rFonts w:asciiTheme="minorHAnsi" w:hAnsiTheme="minorHAnsi"/>
          <w:color w:val="auto"/>
          <w:sz w:val="20"/>
        </w:rPr>
        <w:t xml:space="preserve">from </w:t>
      </w:r>
      <w:r w:rsidRPr="00894701">
        <w:rPr>
          <w:rFonts w:asciiTheme="minorHAnsi" w:hAnsiTheme="minorHAnsi"/>
          <w:color w:val="auto"/>
          <w:sz w:val="20"/>
        </w:rPr>
        <w:t xml:space="preserve">all extractive companies operating the extractive sector </w:t>
      </w:r>
      <w:r w:rsidR="005E718E" w:rsidRPr="00894701">
        <w:rPr>
          <w:rFonts w:asciiTheme="minorHAnsi" w:hAnsiTheme="minorHAnsi"/>
          <w:color w:val="auto"/>
          <w:sz w:val="20"/>
        </w:rPr>
        <w:t>at the time of incor</w:t>
      </w:r>
      <w:r w:rsidR="00830DBE" w:rsidRPr="00894701">
        <w:rPr>
          <w:rFonts w:asciiTheme="minorHAnsi" w:hAnsiTheme="minorHAnsi"/>
          <w:color w:val="auto"/>
          <w:sz w:val="20"/>
        </w:rPr>
        <w:t>poration or at the time of license application if the company is already incorporated</w:t>
      </w:r>
      <w:r w:rsidRPr="00894701">
        <w:rPr>
          <w:rFonts w:asciiTheme="minorHAnsi" w:hAnsiTheme="minorHAnsi"/>
          <w:color w:val="auto"/>
          <w:sz w:val="20"/>
        </w:rPr>
        <w:t xml:space="preserve">. </w:t>
      </w:r>
    </w:p>
    <w:p w14:paraId="2A0C3DCF" w14:textId="77777777" w:rsidR="00CA282D" w:rsidRPr="00894701" w:rsidRDefault="00CA282D" w:rsidP="00CA282D">
      <w:pPr>
        <w:pStyle w:val="BodyText"/>
        <w:jc w:val="both"/>
        <w:rPr>
          <w:rFonts w:asciiTheme="minorHAnsi" w:hAnsiTheme="minorHAnsi"/>
          <w:color w:val="FF0000"/>
        </w:rPr>
      </w:pPr>
      <w:r w:rsidRPr="00894701">
        <w:rPr>
          <w:rFonts w:asciiTheme="minorHAnsi" w:hAnsiTheme="minorHAnsi"/>
          <w:color w:val="auto"/>
          <w:sz w:val="20"/>
        </w:rPr>
        <w:t>In order to collect BO information, we propose to Suriname EITI-MSG using the BO declaration form recommended by the International Secretariat</w:t>
      </w:r>
      <w:r w:rsidRPr="00894701">
        <w:rPr>
          <w:rFonts w:asciiTheme="minorHAnsi" w:hAnsiTheme="minorHAnsi" w:cs="TrebuchetMS-Bold"/>
          <w:b/>
          <w:bCs/>
          <w:color w:val="auto"/>
          <w:sz w:val="20"/>
          <w:szCs w:val="20"/>
        </w:rPr>
        <w:t xml:space="preserve">: </w:t>
      </w:r>
      <w:r w:rsidRPr="00894701">
        <w:rPr>
          <w:rFonts w:asciiTheme="minorHAnsi" w:hAnsiTheme="minorHAnsi" w:cs="TrebuchetMS-Bold"/>
          <w:b/>
          <w:bCs/>
          <w:color w:val="FF0000"/>
          <w:sz w:val="20"/>
          <w:szCs w:val="20"/>
        </w:rPr>
        <w:t>Beneficial ownership decla</w:t>
      </w:r>
      <w:r w:rsidRPr="00894701">
        <w:rPr>
          <w:rFonts w:asciiTheme="minorHAnsi" w:hAnsiTheme="minorHAnsi" w:cs="TrebuchetMS-Bold"/>
          <w:b/>
          <w:bCs/>
          <w:color w:val="FF0000"/>
          <w:spacing w:val="-6"/>
          <w:sz w:val="20"/>
          <w:szCs w:val="20"/>
        </w:rPr>
        <w:t>r</w:t>
      </w:r>
      <w:r w:rsidRPr="00894701">
        <w:rPr>
          <w:rFonts w:asciiTheme="minorHAnsi" w:hAnsiTheme="minorHAnsi" w:cs="TrebuchetMS-Bold"/>
          <w:b/>
          <w:bCs/>
          <w:color w:val="FF0000"/>
          <w:sz w:val="20"/>
          <w:szCs w:val="20"/>
        </w:rPr>
        <w:t xml:space="preserve">ation form high-quality data collection. </w:t>
      </w:r>
    </w:p>
    <w:p w14:paraId="4E358953" w14:textId="2F696216" w:rsidR="00CA282D" w:rsidRPr="00894701" w:rsidRDefault="00CA282D" w:rsidP="008F7932">
      <w:pPr>
        <w:pStyle w:val="BodyText"/>
        <w:jc w:val="both"/>
        <w:rPr>
          <w:rFonts w:asciiTheme="minorHAnsi" w:hAnsiTheme="minorHAnsi"/>
          <w:color w:val="auto"/>
          <w:sz w:val="20"/>
        </w:rPr>
      </w:pPr>
      <w:r w:rsidRPr="00894701">
        <w:rPr>
          <w:rFonts w:asciiTheme="minorHAnsi" w:hAnsiTheme="minorHAnsi"/>
          <w:color w:val="auto"/>
          <w:sz w:val="20"/>
        </w:rPr>
        <w:t xml:space="preserve">In order to comply with Requirement 2.5 (e), we propose to the EITI-MSG that the beneficial ownership declaration form must be signed-off by a member of the senior management team or senior legal counsel. </w:t>
      </w:r>
    </w:p>
    <w:p w14:paraId="0BC8E44D" w14:textId="77777777" w:rsidR="00CA282D" w:rsidRPr="00894701" w:rsidRDefault="00CA282D" w:rsidP="00A834A8">
      <w:pPr>
        <w:pStyle w:val="AltMinorHeading"/>
        <w:numPr>
          <w:ilvl w:val="2"/>
          <w:numId w:val="75"/>
        </w:numPr>
        <w:spacing w:before="0" w:after="120"/>
        <w:ind w:right="454"/>
        <w:rPr>
          <w:rStyle w:val="Emphasis"/>
          <w:i w:val="0"/>
          <w:iCs w:val="0"/>
        </w:rPr>
      </w:pPr>
      <w:bookmarkStart w:id="292" w:name="_Toc122478895"/>
      <w:r w:rsidRPr="00894701">
        <w:rPr>
          <w:rStyle w:val="Emphasis"/>
          <w:i w:val="0"/>
          <w:iCs w:val="0"/>
        </w:rPr>
        <w:t>Legal ownership declaration</w:t>
      </w:r>
      <w:bookmarkEnd w:id="292"/>
      <w:r w:rsidRPr="00894701">
        <w:rPr>
          <w:rStyle w:val="Emphasis"/>
          <w:i w:val="0"/>
          <w:iCs w:val="0"/>
        </w:rPr>
        <w:t xml:space="preserve"> </w:t>
      </w:r>
    </w:p>
    <w:p w14:paraId="34EB1605" w14:textId="77777777" w:rsidR="00CA282D" w:rsidRPr="00894701" w:rsidRDefault="00CA282D" w:rsidP="00CA282D">
      <w:pPr>
        <w:pStyle w:val="BodyText"/>
        <w:jc w:val="both"/>
        <w:rPr>
          <w:rFonts w:asciiTheme="minorHAnsi" w:hAnsiTheme="minorHAnsi"/>
          <w:color w:val="auto"/>
          <w:sz w:val="20"/>
        </w:rPr>
      </w:pPr>
      <w:r w:rsidRPr="00894701">
        <w:rPr>
          <w:rFonts w:asciiTheme="minorHAnsi" w:hAnsiTheme="minorHAnsi"/>
          <w:color w:val="auto"/>
          <w:sz w:val="20"/>
        </w:rPr>
        <w:t xml:space="preserve">We propose to the Suriname EITI-MSG to request to extractive entities included in the reconciliation scope report to provide information on legal ownership in the reporting templates.  </w:t>
      </w:r>
    </w:p>
    <w:p w14:paraId="78DB627E" w14:textId="77777777" w:rsidR="00CA282D" w:rsidRPr="00894701" w:rsidRDefault="00CA282D" w:rsidP="00CA282D">
      <w:pPr>
        <w:pStyle w:val="ListParagraph"/>
        <w:numPr>
          <w:ilvl w:val="1"/>
          <w:numId w:val="7"/>
        </w:numPr>
        <w:spacing w:before="240" w:after="240"/>
        <w:ind w:left="851" w:right="482" w:hanging="851"/>
        <w:outlineLvl w:val="1"/>
        <w:rPr>
          <w:b/>
          <w:sz w:val="28"/>
          <w:szCs w:val="28"/>
        </w:rPr>
      </w:pPr>
      <w:bookmarkStart w:id="293" w:name="_Toc122478896"/>
      <w:r w:rsidRPr="00894701">
        <w:rPr>
          <w:b/>
          <w:sz w:val="28"/>
          <w:szCs w:val="28"/>
        </w:rPr>
        <w:t>Collection and Distribution of Extractive Revenues (EITI Requirement 5.1)</w:t>
      </w:r>
      <w:bookmarkEnd w:id="293"/>
      <w:r w:rsidRPr="00894701">
        <w:rPr>
          <w:b/>
          <w:sz w:val="28"/>
          <w:szCs w:val="28"/>
        </w:rPr>
        <w:t xml:space="preserve"> </w:t>
      </w:r>
    </w:p>
    <w:p w14:paraId="135E8738" w14:textId="53BB32F1" w:rsidR="00CA282D" w:rsidRPr="00894701" w:rsidRDefault="00CA282D" w:rsidP="00CA282D">
      <w:pPr>
        <w:pStyle w:val="BodyText"/>
        <w:jc w:val="both"/>
        <w:rPr>
          <w:rFonts w:asciiTheme="minorHAnsi" w:hAnsiTheme="minorHAnsi"/>
          <w:color w:val="auto"/>
          <w:sz w:val="20"/>
        </w:rPr>
      </w:pPr>
      <w:r w:rsidRPr="00894701">
        <w:rPr>
          <w:rFonts w:asciiTheme="minorHAnsi" w:hAnsiTheme="minorHAnsi"/>
          <w:color w:val="auto"/>
          <w:sz w:val="20"/>
        </w:rPr>
        <w:t xml:space="preserve">Revenues generated from the extractive sector are largely integrated into the national budget and there is no open data on how benefits from the sector are being distributed at the local, regional and national levels. This is particularly problematic for small-scale mining permit holders, who pay royalties on their production at the registered gold house but reportedly receive limited proof of their payments. The impression among these permit holders is that the funds rarely reach the National Treasury. A broader range of mechanisms should be developed to ensure that information on revenue management can be disseminated and understood regardless of language, literacy, culture or geography. </w:t>
      </w:r>
    </w:p>
    <w:p w14:paraId="744AEC0A" w14:textId="2CE5558D" w:rsidR="003D51D0" w:rsidRDefault="00CA282D" w:rsidP="00CA282D">
      <w:pPr>
        <w:pStyle w:val="BodyText"/>
        <w:jc w:val="both"/>
        <w:rPr>
          <w:rFonts w:asciiTheme="minorHAnsi" w:hAnsiTheme="minorHAnsi"/>
          <w:color w:val="auto"/>
          <w:sz w:val="20"/>
        </w:rPr>
      </w:pPr>
      <w:r w:rsidRPr="00894701">
        <w:rPr>
          <w:rFonts w:asciiTheme="minorHAnsi" w:hAnsiTheme="minorHAnsi"/>
          <w:color w:val="auto"/>
          <w:sz w:val="20"/>
        </w:rPr>
        <w:t xml:space="preserve">All the income streams are recognised in the Government Finance Statistics (GFS) registration system, which tracks budget execution. </w:t>
      </w:r>
      <w:r w:rsidR="003D51D0">
        <w:rPr>
          <w:rFonts w:asciiTheme="minorHAnsi" w:hAnsiTheme="minorHAnsi"/>
          <w:color w:val="auto"/>
          <w:sz w:val="20"/>
        </w:rPr>
        <w:t xml:space="preserve">The financial reporting including all taxes and revenues is systematically disclosed by the </w:t>
      </w:r>
      <w:r w:rsidR="00BE4AA8">
        <w:rPr>
          <w:rFonts w:asciiTheme="minorHAnsi" w:hAnsiTheme="minorHAnsi"/>
          <w:color w:val="auto"/>
          <w:sz w:val="20"/>
        </w:rPr>
        <w:t>MoFP</w:t>
      </w:r>
      <w:r w:rsidR="00AC6602">
        <w:rPr>
          <w:rFonts w:asciiTheme="minorHAnsi" w:hAnsiTheme="minorHAnsi"/>
          <w:color w:val="auto"/>
          <w:sz w:val="20"/>
        </w:rPr>
        <w:t xml:space="preserve"> through the national budget</w:t>
      </w:r>
      <w:r w:rsidR="003D51D0">
        <w:rPr>
          <w:rFonts w:asciiTheme="minorHAnsi" w:hAnsiTheme="minorHAnsi"/>
          <w:color w:val="auto"/>
          <w:sz w:val="20"/>
        </w:rPr>
        <w:t>.</w:t>
      </w:r>
    </w:p>
    <w:p w14:paraId="2C76242B" w14:textId="4FE08B40" w:rsidR="00CA282D" w:rsidRPr="00894701" w:rsidRDefault="00CA282D" w:rsidP="00CA282D">
      <w:pPr>
        <w:pStyle w:val="BodyText"/>
        <w:jc w:val="both"/>
        <w:rPr>
          <w:rFonts w:asciiTheme="minorHAnsi" w:hAnsiTheme="minorHAnsi" w:cs="TrebuchetMS"/>
          <w:color w:val="000000"/>
          <w:sz w:val="20"/>
          <w:szCs w:val="20"/>
        </w:rPr>
      </w:pPr>
      <w:r w:rsidRPr="00894701">
        <w:rPr>
          <w:rFonts w:asciiTheme="minorHAnsi" w:hAnsiTheme="minorHAnsi"/>
          <w:color w:val="auto"/>
          <w:sz w:val="20"/>
        </w:rPr>
        <w:t>Government revenues from the extractive sector is received centrally, through either the Tax (and Customs)</w:t>
      </w:r>
      <w:r w:rsidRPr="00894701">
        <w:rPr>
          <w:rFonts w:asciiTheme="minorHAnsi" w:hAnsiTheme="minorHAnsi" w:cs="TrebuchetMS"/>
          <w:color w:val="000000"/>
          <w:sz w:val="20"/>
          <w:szCs w:val="20"/>
        </w:rPr>
        <w:t xml:space="preserve"> Authority, which is a Directorate within the Ministry of Finance</w:t>
      </w:r>
      <w:r w:rsidR="009A7527" w:rsidRPr="00894701">
        <w:rPr>
          <w:rFonts w:asciiTheme="minorHAnsi" w:hAnsiTheme="minorHAnsi" w:cs="TrebuchetMS"/>
          <w:color w:val="000000"/>
          <w:sz w:val="20"/>
          <w:szCs w:val="20"/>
        </w:rPr>
        <w:t xml:space="preserve"> and Planning</w:t>
      </w:r>
      <w:r w:rsidRPr="00894701">
        <w:rPr>
          <w:rFonts w:asciiTheme="minorHAnsi" w:hAnsiTheme="minorHAnsi" w:cs="TrebuchetMS"/>
          <w:color w:val="000000"/>
          <w:sz w:val="20"/>
          <w:szCs w:val="20"/>
        </w:rPr>
        <w:t>, or the MoF</w:t>
      </w:r>
      <w:r w:rsidR="009A7527" w:rsidRPr="00894701">
        <w:rPr>
          <w:rFonts w:asciiTheme="minorHAnsi" w:hAnsiTheme="minorHAnsi" w:cs="TrebuchetMS"/>
          <w:color w:val="000000"/>
          <w:sz w:val="20"/>
          <w:szCs w:val="20"/>
        </w:rPr>
        <w:t>P</w:t>
      </w:r>
      <w:r w:rsidRPr="00894701">
        <w:rPr>
          <w:rFonts w:asciiTheme="minorHAnsi" w:hAnsiTheme="minorHAnsi" w:cs="TrebuchetMS"/>
          <w:color w:val="000000"/>
          <w:sz w:val="20"/>
          <w:szCs w:val="20"/>
        </w:rPr>
        <w:t xml:space="preserve"> and/or MoNR directly. The system of sub-national Government budgets goes through the Ministry of Regional Affairs. Mining revenues are allocated (spent) centrally. There is no direct earmarking to specific projects or sub-national budgets.</w:t>
      </w:r>
    </w:p>
    <w:p w14:paraId="4B5661A2" w14:textId="30460C93" w:rsidR="00CA282D" w:rsidRPr="00894701" w:rsidRDefault="00290DDC" w:rsidP="00860520">
      <w:pPr>
        <w:pStyle w:val="AltMinorHeading"/>
        <w:spacing w:before="100" w:beforeAutospacing="1" w:after="120"/>
        <w:ind w:right="454"/>
        <w:rPr>
          <w:rStyle w:val="Emphasis"/>
          <w:rFonts w:cs="Times New Roman"/>
          <w:b w:val="0"/>
          <w:i w:val="0"/>
          <w:iCs w:val="0"/>
          <w:color w:val="685040"/>
          <w:kern w:val="16"/>
          <w:sz w:val="18"/>
          <w:szCs w:val="24"/>
          <w:lang w:eastAsia="en-GB"/>
        </w:rPr>
      </w:pPr>
      <w:bookmarkStart w:id="294" w:name="_Toc433375922"/>
      <w:bookmarkStart w:id="295" w:name="_Toc101349999"/>
      <w:bookmarkStart w:id="296" w:name="_Toc122478897"/>
      <w:r>
        <w:rPr>
          <w:rStyle w:val="Emphasis"/>
          <w:i w:val="0"/>
          <w:iCs w:val="0"/>
        </w:rPr>
        <w:t xml:space="preserve">3.14.1 </w:t>
      </w:r>
      <w:r w:rsidR="00CA282D" w:rsidRPr="00894701">
        <w:rPr>
          <w:rStyle w:val="Emphasis"/>
          <w:i w:val="0"/>
          <w:iCs w:val="0"/>
        </w:rPr>
        <w:t>Budget Process</w:t>
      </w:r>
      <w:bookmarkEnd w:id="294"/>
      <w:bookmarkEnd w:id="295"/>
      <w:bookmarkEnd w:id="296"/>
    </w:p>
    <w:p w14:paraId="4BEC5FCA" w14:textId="77777777" w:rsidR="00CA282D" w:rsidRPr="00894701" w:rsidRDefault="00CA282D" w:rsidP="00CA282D">
      <w:pPr>
        <w:jc w:val="both"/>
        <w:rPr>
          <w:b/>
          <w:iCs/>
          <w:color w:val="ED1A3B"/>
          <w:sz w:val="20"/>
          <w:szCs w:val="26"/>
        </w:rPr>
      </w:pPr>
      <w:r w:rsidRPr="00894701">
        <w:rPr>
          <w:b/>
          <w:iCs/>
          <w:color w:val="ED1A3B"/>
          <w:sz w:val="20"/>
          <w:szCs w:val="26"/>
        </w:rPr>
        <w:t xml:space="preserve">Budget Preparation and Approval: </w:t>
      </w:r>
    </w:p>
    <w:p w14:paraId="46239D5A" w14:textId="34701E00" w:rsidR="00CA282D" w:rsidRPr="00894701" w:rsidRDefault="00CA282D" w:rsidP="00CA282D">
      <w:pPr>
        <w:jc w:val="both"/>
        <w:rPr>
          <w:rFonts w:asciiTheme="minorHAnsi" w:hAnsiTheme="minorHAnsi"/>
          <w:color w:val="auto"/>
          <w:sz w:val="20"/>
        </w:rPr>
      </w:pPr>
      <w:r w:rsidRPr="00894701">
        <w:rPr>
          <w:rFonts w:asciiTheme="minorHAnsi" w:hAnsiTheme="minorHAnsi"/>
          <w:color w:val="auto"/>
          <w:sz w:val="20"/>
        </w:rPr>
        <w:t xml:space="preserve">According to the Constitution (Grondwet 1987), the law regulates the method of preparation, drawing up and implementation of the annual budget and the period to which the annual budget applies. The annual budget is included in State decrees (Staatsbesluiten) annually. The State decrees are in accordance with the development plan and are presented no later than the first working day in October by the Surinamese government to the Surinamese Parliament (De Nationale Assemblee). </w:t>
      </w:r>
    </w:p>
    <w:p w14:paraId="5F585EC9" w14:textId="29D9E31A" w:rsidR="00CA282D" w:rsidRPr="00894701" w:rsidRDefault="00CA282D" w:rsidP="00CA282D">
      <w:pPr>
        <w:pStyle w:val="BodyText"/>
        <w:jc w:val="both"/>
        <w:rPr>
          <w:rFonts w:asciiTheme="minorHAnsi" w:hAnsiTheme="minorHAnsi"/>
          <w:color w:val="auto"/>
          <w:sz w:val="20"/>
        </w:rPr>
      </w:pPr>
      <w:r w:rsidRPr="00894701">
        <w:rPr>
          <w:rFonts w:asciiTheme="minorHAnsi" w:hAnsiTheme="minorHAnsi"/>
          <w:color w:val="auto"/>
          <w:sz w:val="20"/>
        </w:rPr>
        <w:lastRenderedPageBreak/>
        <w:t xml:space="preserve">According to the Governments Accounts Act (Comptabiliteitswet) (2019/no. 98), the Minister of Finance </w:t>
      </w:r>
      <w:r w:rsidR="002E4213" w:rsidRPr="00894701">
        <w:rPr>
          <w:rFonts w:asciiTheme="minorHAnsi" w:hAnsiTheme="minorHAnsi"/>
          <w:color w:val="auto"/>
          <w:sz w:val="20"/>
        </w:rPr>
        <w:t xml:space="preserve">and Planning </w:t>
      </w:r>
      <w:r w:rsidRPr="00894701">
        <w:rPr>
          <w:rFonts w:asciiTheme="minorHAnsi" w:hAnsiTheme="minorHAnsi"/>
          <w:color w:val="auto"/>
          <w:sz w:val="20"/>
        </w:rPr>
        <w:t xml:space="preserve">sets a budget strategy annually. The budgetary strategy includes an overview of the risks to the budget, including an estimate of future expenses, liabilities due and all other circumstances not yet included in the budget forecasts and that might have a material influence on the financial-economic forecasts. These risks are minimised and as much as possible. Before the submission of the annual budget, the budget strategy is submitted by the Minister of Finance </w:t>
      </w:r>
      <w:r w:rsidR="002E4213" w:rsidRPr="00894701">
        <w:rPr>
          <w:rFonts w:asciiTheme="minorHAnsi" w:hAnsiTheme="minorHAnsi"/>
          <w:color w:val="auto"/>
          <w:sz w:val="20"/>
        </w:rPr>
        <w:t xml:space="preserve">and Planning </w:t>
      </w:r>
      <w:r w:rsidRPr="00894701">
        <w:rPr>
          <w:rFonts w:asciiTheme="minorHAnsi" w:hAnsiTheme="minorHAnsi"/>
          <w:color w:val="auto"/>
          <w:sz w:val="20"/>
        </w:rPr>
        <w:t xml:space="preserve">to the Council of Ministers by the first of April at the latest. </w:t>
      </w:r>
    </w:p>
    <w:p w14:paraId="5C391DBC" w14:textId="3A122D0E" w:rsidR="00CA282D" w:rsidRPr="00894701" w:rsidRDefault="00CA282D" w:rsidP="00CA282D">
      <w:pPr>
        <w:pStyle w:val="BodyText"/>
        <w:jc w:val="both"/>
        <w:rPr>
          <w:rFonts w:asciiTheme="minorHAnsi" w:hAnsiTheme="minorHAnsi"/>
          <w:color w:val="auto"/>
          <w:sz w:val="20"/>
        </w:rPr>
      </w:pPr>
      <w:r w:rsidRPr="00894701">
        <w:rPr>
          <w:rFonts w:asciiTheme="minorHAnsi" w:hAnsiTheme="minorHAnsi"/>
          <w:color w:val="auto"/>
          <w:sz w:val="20"/>
        </w:rPr>
        <w:t>After the submission of the budget strategy, all ministries send a draft budget for the upcoming fiscal year to the Minister of Finance</w:t>
      </w:r>
      <w:r w:rsidR="000B355D" w:rsidRPr="00894701">
        <w:rPr>
          <w:rFonts w:asciiTheme="minorHAnsi" w:hAnsiTheme="minorHAnsi"/>
          <w:color w:val="auto"/>
          <w:sz w:val="20"/>
        </w:rPr>
        <w:t xml:space="preserve"> and Planning</w:t>
      </w:r>
      <w:r w:rsidRPr="00894701">
        <w:rPr>
          <w:rFonts w:asciiTheme="minorHAnsi" w:hAnsiTheme="minorHAnsi"/>
          <w:color w:val="auto"/>
          <w:sz w:val="20"/>
        </w:rPr>
        <w:t>. Submission of the draft budget by the ministries is no later than the first day of July. In case of no objection, the Minister of Finance</w:t>
      </w:r>
      <w:r w:rsidR="000B355D" w:rsidRPr="00894701">
        <w:rPr>
          <w:rFonts w:asciiTheme="minorHAnsi" w:hAnsiTheme="minorHAnsi"/>
          <w:color w:val="auto"/>
          <w:sz w:val="20"/>
        </w:rPr>
        <w:t xml:space="preserve"> and Planning</w:t>
      </w:r>
      <w:r w:rsidRPr="00894701">
        <w:rPr>
          <w:rFonts w:asciiTheme="minorHAnsi" w:hAnsiTheme="minorHAnsi"/>
          <w:color w:val="auto"/>
          <w:sz w:val="20"/>
        </w:rPr>
        <w:t xml:space="preserve"> offers the comprehensive draft budget to the President of the Republic of Suriname for approval of the Surinamese Parliament (De Nationale Assemblee). In accordance with article 156 (3) of the Constitution (Grondwet 1987), the President of the Republic of Suriname sends yearly the next year's budget no later than the first working day in October to the Surinamese Parliament (De Nationale Assemblee). </w:t>
      </w:r>
    </w:p>
    <w:p w14:paraId="16369189" w14:textId="4CD7A8FD" w:rsidR="00CA282D" w:rsidRPr="00894701" w:rsidRDefault="00CA282D" w:rsidP="00CA282D">
      <w:pPr>
        <w:spacing w:before="120"/>
        <w:jc w:val="both"/>
        <w:rPr>
          <w:b/>
          <w:iCs/>
          <w:color w:val="ED1A3B"/>
          <w:sz w:val="20"/>
          <w:szCs w:val="26"/>
        </w:rPr>
      </w:pPr>
      <w:r w:rsidRPr="00894701">
        <w:rPr>
          <w:b/>
          <w:iCs/>
          <w:color w:val="ED1A3B"/>
          <w:sz w:val="20"/>
          <w:szCs w:val="26"/>
        </w:rPr>
        <w:t xml:space="preserve">Budget implementation: </w:t>
      </w:r>
    </w:p>
    <w:p w14:paraId="6C7465C5" w14:textId="77B2FE23" w:rsidR="00CA282D" w:rsidRPr="00894701" w:rsidRDefault="00CA282D" w:rsidP="00A57D46">
      <w:pPr>
        <w:pStyle w:val="BodyText"/>
        <w:jc w:val="both"/>
        <w:rPr>
          <w:rFonts w:asciiTheme="minorHAnsi" w:hAnsiTheme="minorHAnsi"/>
          <w:color w:val="auto"/>
          <w:sz w:val="20"/>
        </w:rPr>
      </w:pPr>
      <w:r w:rsidRPr="00894701">
        <w:rPr>
          <w:rFonts w:asciiTheme="minorHAnsi" w:hAnsiTheme="minorHAnsi"/>
          <w:color w:val="auto"/>
          <w:sz w:val="20"/>
        </w:rPr>
        <w:t>Amendments to the budget are made by submitting a draft supplementary budget or a draft regularisation budget to the Surinamese Parliament (De Nationale Assemblee). The Ministers are responsible for managing the budget of their ministries. The Minister of Finance</w:t>
      </w:r>
      <w:r w:rsidR="000B355D" w:rsidRPr="00894701">
        <w:rPr>
          <w:rFonts w:asciiTheme="minorHAnsi" w:hAnsiTheme="minorHAnsi"/>
          <w:color w:val="auto"/>
          <w:sz w:val="20"/>
        </w:rPr>
        <w:t xml:space="preserve"> and Planning</w:t>
      </w:r>
      <w:r w:rsidRPr="00894701">
        <w:rPr>
          <w:rFonts w:asciiTheme="minorHAnsi" w:hAnsiTheme="minorHAnsi"/>
          <w:color w:val="auto"/>
          <w:sz w:val="20"/>
        </w:rPr>
        <w:t xml:space="preserve"> is responsible for supervising the implementation of the budget. The ministers provide the information required by the Minister of Finance</w:t>
      </w:r>
      <w:r w:rsidR="000B355D" w:rsidRPr="00894701">
        <w:rPr>
          <w:rFonts w:asciiTheme="minorHAnsi" w:hAnsiTheme="minorHAnsi"/>
          <w:color w:val="auto"/>
          <w:sz w:val="20"/>
        </w:rPr>
        <w:t xml:space="preserve"> and Planning</w:t>
      </w:r>
      <w:r w:rsidRPr="00894701">
        <w:rPr>
          <w:rFonts w:asciiTheme="minorHAnsi" w:hAnsiTheme="minorHAnsi"/>
          <w:color w:val="auto"/>
          <w:sz w:val="20"/>
        </w:rPr>
        <w:t xml:space="preserve"> for the performance of his supervisory function within the requested timeframe and in the form prescribed by the Minister of Finance</w:t>
      </w:r>
      <w:r w:rsidR="000B355D" w:rsidRPr="00894701">
        <w:rPr>
          <w:rFonts w:asciiTheme="minorHAnsi" w:hAnsiTheme="minorHAnsi"/>
          <w:color w:val="auto"/>
          <w:sz w:val="20"/>
        </w:rPr>
        <w:t xml:space="preserve"> and Planning</w:t>
      </w:r>
      <w:r w:rsidRPr="00894701">
        <w:rPr>
          <w:rFonts w:asciiTheme="minorHAnsi" w:hAnsiTheme="minorHAnsi"/>
          <w:color w:val="auto"/>
          <w:sz w:val="20"/>
        </w:rPr>
        <w:t xml:space="preserve">. </w:t>
      </w:r>
    </w:p>
    <w:p w14:paraId="48712B14" w14:textId="77777777" w:rsidR="00CA282D" w:rsidRPr="00894701" w:rsidRDefault="00CA282D" w:rsidP="00CA282D">
      <w:pPr>
        <w:jc w:val="both"/>
        <w:rPr>
          <w:b/>
          <w:iCs/>
          <w:color w:val="ED1A3B"/>
          <w:sz w:val="20"/>
          <w:szCs w:val="26"/>
        </w:rPr>
      </w:pPr>
      <w:r w:rsidRPr="00894701">
        <w:rPr>
          <w:b/>
          <w:iCs/>
          <w:color w:val="ED1A3B"/>
          <w:sz w:val="20"/>
          <w:szCs w:val="26"/>
        </w:rPr>
        <w:t>Financial Report:</w:t>
      </w:r>
    </w:p>
    <w:p w14:paraId="47F9F417" w14:textId="36CA3AA4" w:rsidR="00666F5E" w:rsidRPr="00894701" w:rsidRDefault="00CA282D" w:rsidP="006D1C33">
      <w:pPr>
        <w:pStyle w:val="BodyText"/>
        <w:jc w:val="both"/>
        <w:rPr>
          <w:rFonts w:asciiTheme="minorHAnsi" w:hAnsiTheme="minorHAnsi"/>
          <w:color w:val="auto"/>
          <w:sz w:val="20"/>
        </w:rPr>
      </w:pPr>
      <w:r w:rsidRPr="00894701">
        <w:rPr>
          <w:rFonts w:asciiTheme="minorHAnsi" w:hAnsiTheme="minorHAnsi"/>
          <w:color w:val="auto"/>
          <w:sz w:val="20"/>
        </w:rPr>
        <w:t xml:space="preserve">At the end of a budget year, ministers are responsible </w:t>
      </w:r>
      <w:r w:rsidR="00D33227">
        <w:rPr>
          <w:rFonts w:asciiTheme="minorHAnsi" w:hAnsiTheme="minorHAnsi"/>
          <w:color w:val="auto"/>
          <w:sz w:val="20"/>
        </w:rPr>
        <w:t>for</w:t>
      </w:r>
      <w:r w:rsidR="00D33227" w:rsidRPr="00894701">
        <w:rPr>
          <w:rFonts w:asciiTheme="minorHAnsi" w:hAnsiTheme="minorHAnsi"/>
          <w:color w:val="auto"/>
          <w:sz w:val="20"/>
        </w:rPr>
        <w:t xml:space="preserve"> </w:t>
      </w:r>
      <w:r w:rsidRPr="00894701">
        <w:rPr>
          <w:rFonts w:asciiTheme="minorHAnsi" w:hAnsiTheme="minorHAnsi"/>
          <w:color w:val="auto"/>
          <w:sz w:val="20"/>
        </w:rPr>
        <w:t>prepar</w:t>
      </w:r>
      <w:r w:rsidR="00D33227">
        <w:rPr>
          <w:rFonts w:asciiTheme="minorHAnsi" w:hAnsiTheme="minorHAnsi"/>
          <w:color w:val="auto"/>
          <w:sz w:val="20"/>
        </w:rPr>
        <w:t>ing</w:t>
      </w:r>
      <w:r w:rsidRPr="00894701">
        <w:rPr>
          <w:rFonts w:asciiTheme="minorHAnsi" w:hAnsiTheme="minorHAnsi"/>
          <w:color w:val="auto"/>
          <w:sz w:val="20"/>
        </w:rPr>
        <w:t xml:space="preserve"> an annual </w:t>
      </w:r>
      <w:r w:rsidR="0015356C">
        <w:rPr>
          <w:rFonts w:asciiTheme="minorHAnsi" w:hAnsiTheme="minorHAnsi"/>
          <w:color w:val="auto"/>
          <w:sz w:val="20"/>
        </w:rPr>
        <w:t xml:space="preserve">budget execution </w:t>
      </w:r>
      <w:r w:rsidRPr="00894701">
        <w:rPr>
          <w:rFonts w:asciiTheme="minorHAnsi" w:hAnsiTheme="minorHAnsi"/>
          <w:color w:val="auto"/>
          <w:sz w:val="20"/>
        </w:rPr>
        <w:t xml:space="preserve">report. The ministers also prepare the departmental trial balance for each year. The ministers send the annual report to the Minister of Finance </w:t>
      </w:r>
      <w:r w:rsidR="002E4213" w:rsidRPr="00894701">
        <w:rPr>
          <w:rFonts w:asciiTheme="minorHAnsi" w:hAnsiTheme="minorHAnsi"/>
          <w:color w:val="auto"/>
          <w:sz w:val="20"/>
        </w:rPr>
        <w:t xml:space="preserve">and Planning </w:t>
      </w:r>
      <w:r w:rsidRPr="00894701">
        <w:rPr>
          <w:rFonts w:asciiTheme="minorHAnsi" w:hAnsiTheme="minorHAnsi"/>
          <w:color w:val="auto"/>
          <w:sz w:val="20"/>
        </w:rPr>
        <w:t xml:space="preserve">no later than the first week of February of the year following the budget year. The Minister of Finance </w:t>
      </w:r>
      <w:r w:rsidR="002E4213" w:rsidRPr="00894701">
        <w:rPr>
          <w:rFonts w:asciiTheme="minorHAnsi" w:hAnsiTheme="minorHAnsi"/>
          <w:color w:val="auto"/>
          <w:sz w:val="20"/>
        </w:rPr>
        <w:t xml:space="preserve">and Planning </w:t>
      </w:r>
      <w:r w:rsidRPr="00894701">
        <w:rPr>
          <w:rFonts w:asciiTheme="minorHAnsi" w:hAnsiTheme="minorHAnsi"/>
          <w:color w:val="auto"/>
          <w:sz w:val="20"/>
        </w:rPr>
        <w:t xml:space="preserve">sends the documents within 14 days of receipt, to the Central Government Audit Service (Centrale Landsaccountantsdienst, CLAD) for an audit. CLAD is the internal auditor for the government of the Republic of Suriname. The findings raised by CLAD are sent within 3 months to the Minister of Finance </w:t>
      </w:r>
      <w:r w:rsidR="002E4213" w:rsidRPr="00894701">
        <w:rPr>
          <w:rFonts w:asciiTheme="minorHAnsi" w:hAnsiTheme="minorHAnsi"/>
          <w:color w:val="auto"/>
          <w:sz w:val="20"/>
        </w:rPr>
        <w:t xml:space="preserve">and Planning </w:t>
      </w:r>
      <w:r w:rsidRPr="00894701">
        <w:rPr>
          <w:rFonts w:asciiTheme="minorHAnsi" w:hAnsiTheme="minorHAnsi"/>
          <w:color w:val="auto"/>
          <w:sz w:val="20"/>
        </w:rPr>
        <w:t>and the other ministers. The ministers will send within one month after CLAD’s audit an overview to the Minister of Finance</w:t>
      </w:r>
      <w:r w:rsidR="002E4213" w:rsidRPr="00894701">
        <w:rPr>
          <w:rFonts w:asciiTheme="minorHAnsi" w:hAnsiTheme="minorHAnsi"/>
          <w:color w:val="auto"/>
          <w:sz w:val="20"/>
        </w:rPr>
        <w:t xml:space="preserve"> and Planning</w:t>
      </w:r>
      <w:r w:rsidRPr="00894701">
        <w:rPr>
          <w:rFonts w:asciiTheme="minorHAnsi" w:hAnsiTheme="minorHAnsi"/>
          <w:color w:val="auto"/>
          <w:sz w:val="20"/>
        </w:rPr>
        <w:t xml:space="preserve">, </w:t>
      </w:r>
      <w:r w:rsidR="004C049C">
        <w:rPr>
          <w:rFonts w:asciiTheme="minorHAnsi" w:hAnsiTheme="minorHAnsi"/>
          <w:color w:val="auto"/>
          <w:sz w:val="20"/>
        </w:rPr>
        <w:t>detailed by</w:t>
      </w:r>
      <w:r w:rsidR="004C049C" w:rsidRPr="00894701">
        <w:rPr>
          <w:rFonts w:asciiTheme="minorHAnsi" w:hAnsiTheme="minorHAnsi"/>
          <w:color w:val="auto"/>
          <w:sz w:val="20"/>
        </w:rPr>
        <w:t xml:space="preserve"> </w:t>
      </w:r>
      <w:r w:rsidRPr="00894701">
        <w:rPr>
          <w:rFonts w:asciiTheme="minorHAnsi" w:hAnsiTheme="minorHAnsi"/>
          <w:color w:val="auto"/>
          <w:sz w:val="20"/>
        </w:rPr>
        <w:t xml:space="preserve">budget component, including CLAD’s audit findings. The Minister of Finance </w:t>
      </w:r>
      <w:r w:rsidR="002E4213" w:rsidRPr="00894701">
        <w:rPr>
          <w:rFonts w:asciiTheme="minorHAnsi" w:hAnsiTheme="minorHAnsi"/>
          <w:color w:val="auto"/>
          <w:sz w:val="20"/>
        </w:rPr>
        <w:t xml:space="preserve">and Planning </w:t>
      </w:r>
      <w:r w:rsidRPr="00894701">
        <w:rPr>
          <w:rFonts w:asciiTheme="minorHAnsi" w:hAnsiTheme="minorHAnsi"/>
          <w:color w:val="auto"/>
          <w:sz w:val="20"/>
        </w:rPr>
        <w:t xml:space="preserve">then sends the financial report and the trial balance of the government, no later than 15 June of the year to the Supreme Audit Institution of Suriname (Algemene Rekenkamer).  </w:t>
      </w:r>
    </w:p>
    <w:p w14:paraId="1DA593D3" w14:textId="210DD849" w:rsidR="00FC5475" w:rsidRPr="00894701" w:rsidRDefault="00FC5475" w:rsidP="00860520">
      <w:pPr>
        <w:pStyle w:val="AltMinorHeading"/>
        <w:numPr>
          <w:ilvl w:val="2"/>
          <w:numId w:val="105"/>
        </w:numPr>
        <w:spacing w:before="100" w:beforeAutospacing="1" w:after="120"/>
        <w:ind w:right="454"/>
        <w:rPr>
          <w:rStyle w:val="Emphasis"/>
          <w:rFonts w:cs="Times New Roman"/>
          <w:b w:val="0"/>
          <w:i w:val="0"/>
          <w:iCs w:val="0"/>
          <w:color w:val="685040"/>
          <w:kern w:val="16"/>
          <w:sz w:val="18"/>
          <w:szCs w:val="24"/>
          <w:lang w:eastAsia="en-GB"/>
        </w:rPr>
      </w:pPr>
      <w:bookmarkStart w:id="297" w:name="_Toc122478898"/>
      <w:r w:rsidRPr="00894701">
        <w:rPr>
          <w:rStyle w:val="Emphasis"/>
          <w:i w:val="0"/>
          <w:iCs w:val="0"/>
        </w:rPr>
        <w:t>Revenues Collection</w:t>
      </w:r>
      <w:bookmarkEnd w:id="297"/>
    </w:p>
    <w:p w14:paraId="3D201FCB" w14:textId="494713CC" w:rsidR="00BB7680" w:rsidRPr="00894701" w:rsidRDefault="00BB7680" w:rsidP="00BB7680">
      <w:pPr>
        <w:pStyle w:val="BodyText"/>
        <w:jc w:val="both"/>
        <w:rPr>
          <w:rFonts w:asciiTheme="minorHAnsi" w:hAnsiTheme="minorHAnsi"/>
          <w:color w:val="auto"/>
          <w:sz w:val="20"/>
        </w:rPr>
      </w:pPr>
      <w:r w:rsidRPr="00894701">
        <w:rPr>
          <w:rFonts w:asciiTheme="minorHAnsi" w:hAnsiTheme="minorHAnsi"/>
          <w:color w:val="auto"/>
          <w:sz w:val="20"/>
        </w:rPr>
        <w:t>The national budget is the Government’s plan on how to collect and spend money to deliver services to the citizens of Suriname. The budget begins on 1 January and ends on 31 December. This is referred to as a fiscal year.</w:t>
      </w:r>
    </w:p>
    <w:p w14:paraId="037B20C9" w14:textId="4F9E25A9" w:rsidR="001E7D3B" w:rsidRPr="00894701" w:rsidRDefault="001E7D3B" w:rsidP="001E7D3B">
      <w:pPr>
        <w:pStyle w:val="BodyText"/>
        <w:jc w:val="both"/>
        <w:rPr>
          <w:rFonts w:asciiTheme="minorHAnsi" w:hAnsiTheme="minorHAnsi"/>
          <w:color w:val="auto"/>
          <w:sz w:val="20"/>
        </w:rPr>
      </w:pPr>
      <w:r w:rsidRPr="00894701">
        <w:rPr>
          <w:rFonts w:asciiTheme="minorHAnsi" w:hAnsiTheme="minorHAnsi"/>
          <w:color w:val="auto"/>
          <w:sz w:val="20"/>
        </w:rPr>
        <w:t xml:space="preserve">Payments are collected by several Government Agencies. MoFP receives most of the revenue generated from </w:t>
      </w:r>
      <w:r w:rsidR="00584620">
        <w:rPr>
          <w:rFonts w:asciiTheme="minorHAnsi" w:hAnsiTheme="minorHAnsi"/>
          <w:color w:val="auto"/>
          <w:sz w:val="20"/>
        </w:rPr>
        <w:t>extractive</w:t>
      </w:r>
      <w:r w:rsidR="00584620" w:rsidRPr="00894701">
        <w:rPr>
          <w:rFonts w:asciiTheme="minorHAnsi" w:hAnsiTheme="minorHAnsi"/>
          <w:color w:val="auto"/>
          <w:sz w:val="20"/>
        </w:rPr>
        <w:t xml:space="preserve"> </w:t>
      </w:r>
      <w:r w:rsidRPr="00894701">
        <w:rPr>
          <w:rFonts w:asciiTheme="minorHAnsi" w:hAnsiTheme="minorHAnsi"/>
          <w:color w:val="auto"/>
          <w:sz w:val="20"/>
        </w:rPr>
        <w:t>entities.</w:t>
      </w:r>
    </w:p>
    <w:p w14:paraId="25A581A2" w14:textId="77777777" w:rsidR="001E7D3B" w:rsidRPr="00894701" w:rsidRDefault="001E7D3B" w:rsidP="001E7D3B">
      <w:pPr>
        <w:pStyle w:val="BodyText"/>
        <w:jc w:val="both"/>
        <w:rPr>
          <w:rFonts w:asciiTheme="minorHAnsi" w:hAnsiTheme="minorHAnsi"/>
          <w:color w:val="auto"/>
          <w:sz w:val="20"/>
        </w:rPr>
      </w:pPr>
      <w:r w:rsidRPr="00894701">
        <w:rPr>
          <w:rFonts w:asciiTheme="minorHAnsi" w:hAnsiTheme="minorHAnsi"/>
          <w:color w:val="auto"/>
          <w:sz w:val="20"/>
        </w:rPr>
        <w:t>Direct taxes and Indirect taxes are paid to the Tax Authority which is a separate directorate of the Ministry of Finance and Planning.</w:t>
      </w:r>
    </w:p>
    <w:p w14:paraId="226267AF" w14:textId="77777777" w:rsidR="00A57D46" w:rsidRPr="00894701" w:rsidRDefault="00A57D46" w:rsidP="00BB7680">
      <w:pPr>
        <w:pStyle w:val="BodyText"/>
        <w:jc w:val="both"/>
        <w:rPr>
          <w:rFonts w:asciiTheme="minorHAnsi" w:hAnsiTheme="minorHAnsi"/>
          <w:color w:val="auto"/>
          <w:sz w:val="20"/>
        </w:rPr>
      </w:pPr>
      <w:r w:rsidRPr="00894701">
        <w:rPr>
          <w:rFonts w:asciiTheme="minorHAnsi" w:hAnsiTheme="minorHAnsi"/>
          <w:color w:val="auto"/>
          <w:sz w:val="20"/>
        </w:rPr>
        <w:br w:type="page"/>
      </w:r>
    </w:p>
    <w:p w14:paraId="13E832C5" w14:textId="0997DF69" w:rsidR="00312877" w:rsidRPr="00894701" w:rsidRDefault="00BB7680" w:rsidP="00BB7680">
      <w:pPr>
        <w:pStyle w:val="BodyText"/>
        <w:jc w:val="both"/>
        <w:rPr>
          <w:rFonts w:asciiTheme="minorHAnsi" w:hAnsiTheme="minorHAnsi"/>
          <w:color w:val="auto"/>
          <w:sz w:val="20"/>
        </w:rPr>
      </w:pPr>
      <w:r w:rsidRPr="00894701">
        <w:rPr>
          <w:rFonts w:asciiTheme="minorHAnsi" w:hAnsiTheme="minorHAnsi"/>
          <w:color w:val="auto"/>
          <w:sz w:val="20"/>
        </w:rPr>
        <w:lastRenderedPageBreak/>
        <w:t>The extractive revenue collections framework is presented in the diagrams below:</w:t>
      </w:r>
    </w:p>
    <w:p w14:paraId="60F140A1" w14:textId="0117A3A2" w:rsidR="007357C2" w:rsidRPr="00894701" w:rsidRDefault="007357C2" w:rsidP="00312877">
      <w:pPr>
        <w:jc w:val="center"/>
        <w:rPr>
          <w:rFonts w:asciiTheme="majorHAnsi" w:hAnsiTheme="majorHAnsi"/>
          <w:b/>
          <w:i/>
          <w:iCs/>
          <w:sz w:val="20"/>
          <w:szCs w:val="20"/>
        </w:rPr>
      </w:pPr>
      <w:bookmarkStart w:id="298" w:name="_Toc146590577"/>
      <w:r w:rsidRPr="00894701">
        <w:rPr>
          <w:rFonts w:asciiTheme="majorHAnsi" w:hAnsiTheme="majorHAnsi"/>
          <w:b/>
          <w:i/>
          <w:iCs/>
          <w:sz w:val="20"/>
          <w:szCs w:val="20"/>
        </w:rPr>
        <w:t xml:space="preserve">Figure </w:t>
      </w:r>
      <w:r w:rsidRPr="00894701">
        <w:rPr>
          <w:rFonts w:asciiTheme="majorHAnsi" w:hAnsiTheme="majorHAnsi"/>
          <w:b/>
          <w:i/>
          <w:iCs/>
          <w:sz w:val="20"/>
          <w:szCs w:val="20"/>
        </w:rPr>
        <w:fldChar w:fldCharType="begin"/>
      </w:r>
      <w:r w:rsidRPr="00894701">
        <w:rPr>
          <w:rFonts w:asciiTheme="majorHAnsi" w:hAnsiTheme="majorHAnsi"/>
          <w:b/>
          <w:i/>
          <w:iCs/>
          <w:sz w:val="20"/>
          <w:szCs w:val="20"/>
        </w:rPr>
        <w:instrText xml:space="preserve"> SEQ Figure \* ARABIC </w:instrText>
      </w:r>
      <w:r w:rsidRPr="00894701">
        <w:rPr>
          <w:rFonts w:asciiTheme="majorHAnsi" w:hAnsiTheme="majorHAnsi"/>
          <w:b/>
          <w:i/>
          <w:iCs/>
          <w:sz w:val="20"/>
          <w:szCs w:val="20"/>
        </w:rPr>
        <w:fldChar w:fldCharType="separate"/>
      </w:r>
      <w:r w:rsidR="0035303B">
        <w:rPr>
          <w:rFonts w:asciiTheme="majorHAnsi" w:hAnsiTheme="majorHAnsi"/>
          <w:b/>
          <w:i/>
          <w:iCs/>
          <w:noProof/>
          <w:sz w:val="20"/>
          <w:szCs w:val="20"/>
        </w:rPr>
        <w:t>12</w:t>
      </w:r>
      <w:r w:rsidRPr="00894701">
        <w:rPr>
          <w:rFonts w:asciiTheme="majorHAnsi" w:hAnsiTheme="majorHAnsi"/>
          <w:b/>
          <w:i/>
          <w:iCs/>
          <w:sz w:val="20"/>
          <w:szCs w:val="20"/>
        </w:rPr>
        <w:fldChar w:fldCharType="end"/>
      </w:r>
      <w:r w:rsidRPr="00894701">
        <w:rPr>
          <w:rFonts w:asciiTheme="majorHAnsi" w:hAnsiTheme="majorHAnsi"/>
          <w:b/>
          <w:i/>
          <w:iCs/>
          <w:sz w:val="20"/>
          <w:szCs w:val="20"/>
        </w:rPr>
        <w:t>: The extractive revenue collections framework is presented in the diagrams</w:t>
      </w:r>
      <w:bookmarkEnd w:id="298"/>
    </w:p>
    <w:p w14:paraId="57880134" w14:textId="5026B7D1" w:rsidR="00FC5475" w:rsidRPr="00894701" w:rsidRDefault="00C149B1" w:rsidP="00C149B1">
      <w:pPr>
        <w:spacing w:after="0" w:line="240" w:lineRule="auto"/>
        <w:rPr>
          <w:rFonts w:asciiTheme="minorHAnsi" w:hAnsiTheme="minorHAnsi" w:cs="TrebuchetMS"/>
          <w:color w:val="auto"/>
          <w:sz w:val="20"/>
          <w:szCs w:val="20"/>
        </w:rPr>
      </w:pPr>
      <w:r w:rsidRPr="00894701">
        <w:rPr>
          <w:noProof/>
        </w:rPr>
        <w:t xml:space="preserve"> </w:t>
      </w:r>
      <w:r w:rsidRPr="00894701">
        <w:rPr>
          <w:rFonts w:asciiTheme="minorHAnsi" w:hAnsiTheme="minorHAnsi" w:cs="TrebuchetMS"/>
          <w:color w:val="auto"/>
          <w:sz w:val="20"/>
          <w:szCs w:val="20"/>
        </w:rPr>
        <w:t xml:space="preserve"> </w:t>
      </w:r>
      <w:r w:rsidR="000B355D" w:rsidRPr="00894701">
        <w:rPr>
          <w:noProof/>
          <w:lang w:val="en-US" w:eastAsia="en-US"/>
        </w:rPr>
        <w:drawing>
          <wp:inline distT="0" distB="0" distL="0" distR="0" wp14:anchorId="623800A2" wp14:editId="4E4701EE">
            <wp:extent cx="5746750" cy="4989353"/>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46750" cy="4989353"/>
                    </a:xfrm>
                    <a:prstGeom prst="rect">
                      <a:avLst/>
                    </a:prstGeom>
                    <a:noFill/>
                    <a:ln>
                      <a:noFill/>
                    </a:ln>
                  </pic:spPr>
                </pic:pic>
              </a:graphicData>
            </a:graphic>
          </wp:inline>
        </w:drawing>
      </w:r>
    </w:p>
    <w:p w14:paraId="67807B36" w14:textId="6039CCFE" w:rsidR="00BB7680" w:rsidRPr="00894701" w:rsidRDefault="00BB7680" w:rsidP="00FC5475">
      <w:pPr>
        <w:spacing w:after="0" w:line="240" w:lineRule="auto"/>
        <w:rPr>
          <w:rFonts w:asciiTheme="minorHAnsi" w:hAnsiTheme="minorHAnsi" w:cs="TrebuchetMS"/>
          <w:color w:val="auto"/>
          <w:sz w:val="20"/>
          <w:szCs w:val="20"/>
        </w:rPr>
      </w:pPr>
    </w:p>
    <w:p w14:paraId="31C18D29" w14:textId="62BB796C" w:rsidR="001E7D3B" w:rsidRPr="00894701" w:rsidRDefault="001E7D3B" w:rsidP="00FC5475">
      <w:pPr>
        <w:spacing w:after="0" w:line="240" w:lineRule="auto"/>
        <w:rPr>
          <w:rFonts w:asciiTheme="minorHAnsi" w:hAnsiTheme="minorHAnsi" w:cs="TrebuchetMS"/>
          <w:color w:val="auto"/>
          <w:sz w:val="20"/>
          <w:szCs w:val="20"/>
        </w:rPr>
      </w:pPr>
    </w:p>
    <w:p w14:paraId="689DDDF4" w14:textId="71ACCD7E" w:rsidR="001E7D3B" w:rsidRPr="00894701" w:rsidRDefault="001E7D3B" w:rsidP="00C149B1">
      <w:pPr>
        <w:spacing w:after="0" w:line="240" w:lineRule="auto"/>
        <w:rPr>
          <w:rFonts w:asciiTheme="minorHAnsi" w:hAnsiTheme="minorHAnsi" w:cs="TrebuchetMS"/>
          <w:color w:val="auto"/>
          <w:sz w:val="20"/>
          <w:szCs w:val="20"/>
        </w:rPr>
      </w:pPr>
    </w:p>
    <w:p w14:paraId="30AFC202" w14:textId="492260B1" w:rsidR="00F93FDB" w:rsidRPr="00894701" w:rsidRDefault="00F93FDB" w:rsidP="000721DF">
      <w:pPr>
        <w:pStyle w:val="ListParagraph"/>
        <w:numPr>
          <w:ilvl w:val="1"/>
          <w:numId w:val="7"/>
        </w:numPr>
        <w:spacing w:before="240" w:after="240"/>
        <w:ind w:left="851" w:right="482" w:hanging="851"/>
        <w:outlineLvl w:val="1"/>
        <w:rPr>
          <w:b/>
          <w:sz w:val="28"/>
          <w:szCs w:val="28"/>
        </w:rPr>
      </w:pPr>
      <w:r w:rsidRPr="00894701">
        <w:rPr>
          <w:b/>
          <w:sz w:val="28"/>
          <w:szCs w:val="28"/>
        </w:rPr>
        <w:t xml:space="preserve"> </w:t>
      </w:r>
      <w:bookmarkStart w:id="299" w:name="_Toc122478899"/>
      <w:r w:rsidRPr="00894701">
        <w:rPr>
          <w:b/>
          <w:sz w:val="28"/>
          <w:szCs w:val="28"/>
        </w:rPr>
        <w:t>Auditing and accounting (EITI Requirement 4.9)</w:t>
      </w:r>
      <w:bookmarkEnd w:id="299"/>
      <w:r w:rsidR="00206BA2" w:rsidRPr="00894701">
        <w:rPr>
          <w:b/>
          <w:sz w:val="28"/>
          <w:szCs w:val="28"/>
        </w:rPr>
        <w:t xml:space="preserve"> </w:t>
      </w:r>
    </w:p>
    <w:p w14:paraId="61B29421" w14:textId="17309AF8" w:rsidR="00F93FDB" w:rsidRPr="00894701" w:rsidRDefault="00F93FDB" w:rsidP="00A834A8">
      <w:pPr>
        <w:pStyle w:val="AltMinorHeading"/>
        <w:numPr>
          <w:ilvl w:val="2"/>
          <w:numId w:val="66"/>
        </w:numPr>
        <w:spacing w:before="100" w:beforeAutospacing="1" w:after="120"/>
        <w:ind w:right="454"/>
        <w:rPr>
          <w:rStyle w:val="Emphasis"/>
          <w:i w:val="0"/>
          <w:iCs w:val="0"/>
        </w:rPr>
      </w:pPr>
      <w:bookmarkStart w:id="300" w:name="_Toc122478900"/>
      <w:r w:rsidRPr="00894701">
        <w:rPr>
          <w:rStyle w:val="Emphasis"/>
          <w:i w:val="0"/>
          <w:iCs w:val="0"/>
        </w:rPr>
        <w:t>Private companies</w:t>
      </w:r>
      <w:bookmarkEnd w:id="300"/>
      <w:r w:rsidR="00206BA2" w:rsidRPr="00894701">
        <w:rPr>
          <w:rStyle w:val="Emphasis"/>
          <w:i w:val="0"/>
          <w:iCs w:val="0"/>
        </w:rPr>
        <w:t xml:space="preserve"> </w:t>
      </w:r>
    </w:p>
    <w:p w14:paraId="1AE998D2" w14:textId="34ED411F" w:rsidR="00F93FDB" w:rsidRPr="00894701" w:rsidRDefault="00F93FDB" w:rsidP="00F93FDB">
      <w:pPr>
        <w:spacing w:before="100" w:line="227" w:lineRule="exact"/>
        <w:rPr>
          <w:rFonts w:asciiTheme="minorHAnsi" w:hAnsiTheme="minorHAnsi"/>
          <w:color w:val="010302"/>
        </w:rPr>
      </w:pPr>
      <w:r w:rsidRPr="00894701">
        <w:rPr>
          <w:rFonts w:asciiTheme="minorHAnsi" w:hAnsiTheme="minorHAnsi" w:cs="TrebuchetMS-Bold"/>
          <w:b/>
          <w:bCs/>
          <w:color w:val="ED1A3B"/>
          <w:sz w:val="20"/>
          <w:szCs w:val="20"/>
        </w:rPr>
        <w:t>Law on Financial Statements (SB 2017/84)</w:t>
      </w:r>
      <w:r w:rsidR="00206BA2" w:rsidRPr="00894701">
        <w:rPr>
          <w:rFonts w:asciiTheme="minorHAnsi" w:hAnsiTheme="minorHAnsi" w:cs="TrebuchetMS-Bold"/>
          <w:b/>
          <w:bCs/>
          <w:color w:val="ED1A3B"/>
          <w:sz w:val="20"/>
          <w:szCs w:val="20"/>
        </w:rPr>
        <w:t xml:space="preserve"> </w:t>
      </w:r>
    </w:p>
    <w:p w14:paraId="0B0EB076" w14:textId="2726D615" w:rsidR="00971021" w:rsidRPr="00894701" w:rsidRDefault="00971021" w:rsidP="00F93FDB">
      <w:pPr>
        <w:pStyle w:val="BodyText"/>
        <w:jc w:val="both"/>
        <w:rPr>
          <w:rFonts w:asciiTheme="minorHAnsi" w:hAnsiTheme="minorHAnsi"/>
          <w:color w:val="auto"/>
          <w:sz w:val="20"/>
        </w:rPr>
      </w:pPr>
    </w:p>
    <w:p w14:paraId="5457D29B" w14:textId="4E9BF6CB" w:rsidR="00971021" w:rsidRPr="00894701" w:rsidRDefault="00971021" w:rsidP="00971021">
      <w:pPr>
        <w:pStyle w:val="BodyText"/>
        <w:jc w:val="both"/>
        <w:rPr>
          <w:rFonts w:asciiTheme="minorHAnsi" w:hAnsiTheme="minorHAnsi"/>
          <w:color w:val="auto"/>
          <w:sz w:val="20"/>
        </w:rPr>
      </w:pPr>
      <w:r w:rsidRPr="00894701">
        <w:rPr>
          <w:rFonts w:asciiTheme="minorHAnsi" w:hAnsiTheme="minorHAnsi"/>
          <w:color w:val="auto"/>
          <w:sz w:val="20"/>
        </w:rPr>
        <w:t xml:space="preserve">On 5 October 2017, the Law on Financial Statements was enacted. The objective of this law is to regulate the preparation, publishing, audit and filing of financial statements by companies. Furthermore, the law aims to regulate the accounting policies/standards for the preparation of financial statements. The law aims to further regulate the external reporting of companies.  </w:t>
      </w:r>
    </w:p>
    <w:p w14:paraId="48376B43" w14:textId="77777777" w:rsidR="00971021" w:rsidRPr="00894701" w:rsidRDefault="00971021" w:rsidP="00971021">
      <w:pPr>
        <w:spacing w:before="100" w:line="227" w:lineRule="exact"/>
        <w:rPr>
          <w:rFonts w:asciiTheme="minorHAnsi" w:hAnsiTheme="minorHAnsi"/>
          <w:color w:val="auto"/>
          <w:sz w:val="20"/>
        </w:rPr>
      </w:pPr>
      <w:r w:rsidRPr="00894701">
        <w:rPr>
          <w:rFonts w:asciiTheme="minorHAnsi" w:hAnsiTheme="minorHAnsi"/>
          <w:color w:val="auto"/>
          <w:sz w:val="20"/>
        </w:rPr>
        <w:t xml:space="preserve">The following companies are subject to the above law: </w:t>
      </w:r>
    </w:p>
    <w:p w14:paraId="111AB2D9" w14:textId="77777777" w:rsidR="00971021" w:rsidRPr="00894701" w:rsidRDefault="00971021" w:rsidP="00971021">
      <w:pPr>
        <w:pStyle w:val="BodyText"/>
        <w:numPr>
          <w:ilvl w:val="0"/>
          <w:numId w:val="46"/>
        </w:numPr>
        <w:jc w:val="both"/>
        <w:rPr>
          <w:rFonts w:asciiTheme="minorHAnsi" w:hAnsiTheme="minorHAnsi"/>
          <w:color w:val="auto"/>
          <w:sz w:val="20"/>
        </w:rPr>
      </w:pPr>
      <w:r w:rsidRPr="00894701">
        <w:rPr>
          <w:rFonts w:asciiTheme="minorHAnsi" w:hAnsiTheme="minorHAnsi"/>
          <w:color w:val="auto"/>
          <w:sz w:val="20"/>
        </w:rPr>
        <w:t xml:space="preserve">Limited liability companies (N.V.); </w:t>
      </w:r>
    </w:p>
    <w:p w14:paraId="484BE993" w14:textId="77777777" w:rsidR="00971021" w:rsidRPr="00894701" w:rsidRDefault="00971021" w:rsidP="00971021">
      <w:pPr>
        <w:pStyle w:val="BodyText"/>
        <w:numPr>
          <w:ilvl w:val="0"/>
          <w:numId w:val="46"/>
        </w:numPr>
        <w:jc w:val="both"/>
        <w:rPr>
          <w:rFonts w:asciiTheme="minorHAnsi" w:hAnsiTheme="minorHAnsi"/>
          <w:color w:val="auto"/>
          <w:sz w:val="20"/>
        </w:rPr>
      </w:pPr>
      <w:r w:rsidRPr="00894701">
        <w:rPr>
          <w:rFonts w:asciiTheme="minorHAnsi" w:hAnsiTheme="minorHAnsi"/>
          <w:color w:val="auto"/>
          <w:sz w:val="20"/>
        </w:rPr>
        <w:t xml:space="preserve">Partnerships (general and limited) with foreign capital holders (V.O.F/UJV, C.V.); </w:t>
      </w:r>
    </w:p>
    <w:p w14:paraId="234C95D4" w14:textId="77777777" w:rsidR="00971021" w:rsidRPr="00894701" w:rsidRDefault="00971021" w:rsidP="00971021">
      <w:pPr>
        <w:pStyle w:val="BodyText"/>
        <w:numPr>
          <w:ilvl w:val="0"/>
          <w:numId w:val="46"/>
        </w:numPr>
        <w:jc w:val="both"/>
        <w:rPr>
          <w:rFonts w:asciiTheme="minorHAnsi" w:hAnsiTheme="minorHAnsi"/>
          <w:color w:val="auto"/>
          <w:sz w:val="20"/>
        </w:rPr>
      </w:pPr>
      <w:r w:rsidRPr="00894701">
        <w:rPr>
          <w:rFonts w:asciiTheme="minorHAnsi" w:hAnsiTheme="minorHAnsi"/>
          <w:color w:val="auto"/>
          <w:sz w:val="20"/>
        </w:rPr>
        <w:lastRenderedPageBreak/>
        <w:t xml:space="preserve">Foundations; </w:t>
      </w:r>
    </w:p>
    <w:p w14:paraId="4C1CAF4C" w14:textId="77777777" w:rsidR="00971021" w:rsidRPr="00894701" w:rsidRDefault="00971021" w:rsidP="00971021">
      <w:pPr>
        <w:pStyle w:val="BodyText"/>
        <w:numPr>
          <w:ilvl w:val="0"/>
          <w:numId w:val="46"/>
        </w:numPr>
        <w:jc w:val="both"/>
        <w:rPr>
          <w:rFonts w:asciiTheme="minorHAnsi" w:hAnsiTheme="minorHAnsi"/>
          <w:color w:val="auto"/>
          <w:sz w:val="20"/>
        </w:rPr>
      </w:pPr>
      <w:r w:rsidRPr="00894701">
        <w:rPr>
          <w:rFonts w:asciiTheme="minorHAnsi" w:hAnsiTheme="minorHAnsi"/>
          <w:color w:val="auto"/>
          <w:sz w:val="20"/>
        </w:rPr>
        <w:t xml:space="preserve"> Associations; </w:t>
      </w:r>
    </w:p>
    <w:p w14:paraId="037DC2D1" w14:textId="77777777" w:rsidR="00971021" w:rsidRPr="00894701" w:rsidRDefault="00971021" w:rsidP="00971021">
      <w:pPr>
        <w:pStyle w:val="BodyText"/>
        <w:numPr>
          <w:ilvl w:val="0"/>
          <w:numId w:val="46"/>
        </w:numPr>
        <w:jc w:val="both"/>
        <w:rPr>
          <w:rFonts w:asciiTheme="minorHAnsi" w:hAnsiTheme="minorHAnsi"/>
          <w:color w:val="auto"/>
          <w:sz w:val="20"/>
        </w:rPr>
      </w:pPr>
      <w:r w:rsidRPr="00894701">
        <w:rPr>
          <w:rFonts w:asciiTheme="minorHAnsi" w:hAnsiTheme="minorHAnsi"/>
          <w:color w:val="auto"/>
          <w:sz w:val="20"/>
        </w:rPr>
        <w:t>Government-owned entities; and</w:t>
      </w:r>
    </w:p>
    <w:p w14:paraId="0AA774FD" w14:textId="77777777" w:rsidR="00971021" w:rsidRPr="00894701" w:rsidRDefault="00971021" w:rsidP="00971021">
      <w:pPr>
        <w:pStyle w:val="BodyText"/>
        <w:numPr>
          <w:ilvl w:val="0"/>
          <w:numId w:val="46"/>
        </w:numPr>
        <w:jc w:val="both"/>
        <w:rPr>
          <w:rFonts w:asciiTheme="minorHAnsi" w:hAnsiTheme="minorHAnsi"/>
          <w:color w:val="auto"/>
          <w:sz w:val="20"/>
        </w:rPr>
      </w:pPr>
      <w:r w:rsidRPr="00894701">
        <w:rPr>
          <w:rFonts w:asciiTheme="minorHAnsi" w:hAnsiTheme="minorHAnsi"/>
          <w:color w:val="auto"/>
          <w:sz w:val="20"/>
        </w:rPr>
        <w:t xml:space="preserve">Foreign companies formally operating in Suriname. </w:t>
      </w:r>
    </w:p>
    <w:p w14:paraId="553FD611" w14:textId="6B7D2436" w:rsidR="00971021" w:rsidRPr="00894701" w:rsidRDefault="00971021" w:rsidP="00971021">
      <w:pPr>
        <w:jc w:val="both"/>
        <w:rPr>
          <w:rFonts w:asciiTheme="minorHAnsi" w:hAnsiTheme="minorHAnsi"/>
          <w:color w:val="000000"/>
          <w:sz w:val="20"/>
        </w:rPr>
      </w:pPr>
      <w:r w:rsidRPr="00894701">
        <w:rPr>
          <w:rFonts w:asciiTheme="minorHAnsi" w:hAnsiTheme="minorHAnsi"/>
          <w:color w:val="000000"/>
          <w:sz w:val="20"/>
        </w:rPr>
        <w:t>The law is effective as of</w:t>
      </w:r>
      <w:r w:rsidR="00771C41" w:rsidRPr="00894701">
        <w:rPr>
          <w:rFonts w:asciiTheme="minorHAnsi" w:hAnsiTheme="minorHAnsi"/>
          <w:color w:val="000000"/>
          <w:sz w:val="20"/>
        </w:rPr>
        <w:t xml:space="preserve"> 1</w:t>
      </w:r>
      <w:r w:rsidRPr="00894701">
        <w:rPr>
          <w:rFonts w:asciiTheme="minorHAnsi" w:hAnsiTheme="minorHAnsi"/>
          <w:color w:val="000000"/>
          <w:sz w:val="20"/>
        </w:rPr>
        <w:t xml:space="preserve"> January</w:t>
      </w:r>
      <w:r w:rsidR="00771C41" w:rsidRPr="00894701">
        <w:rPr>
          <w:rFonts w:asciiTheme="minorHAnsi" w:hAnsiTheme="minorHAnsi"/>
          <w:color w:val="000000"/>
          <w:sz w:val="20"/>
        </w:rPr>
        <w:t>,</w:t>
      </w:r>
      <w:r w:rsidRPr="00894701">
        <w:rPr>
          <w:rFonts w:asciiTheme="minorHAnsi" w:hAnsiTheme="minorHAnsi"/>
          <w:color w:val="000000"/>
          <w:sz w:val="20"/>
        </w:rPr>
        <w:t xml:space="preserve"> 2018, and a transition period is formalised. </w:t>
      </w:r>
    </w:p>
    <w:p w14:paraId="0D0420F2" w14:textId="77777777" w:rsidR="00971021" w:rsidRPr="00894701" w:rsidRDefault="00971021" w:rsidP="00971021">
      <w:pPr>
        <w:spacing w:line="386" w:lineRule="exact"/>
        <w:ind w:right="787"/>
        <w:rPr>
          <w:rFonts w:asciiTheme="minorHAnsi" w:hAnsiTheme="minorHAnsi"/>
          <w:color w:val="FF0000"/>
        </w:rPr>
      </w:pPr>
      <w:r w:rsidRPr="00894701">
        <w:rPr>
          <w:rFonts w:asciiTheme="minorHAnsi" w:hAnsiTheme="minorHAnsi" w:cs="TrebuchetMS-Bold"/>
          <w:b/>
          <w:bCs/>
          <w:color w:val="FF0000"/>
          <w:sz w:val="20"/>
          <w:szCs w:val="20"/>
        </w:rPr>
        <w:t xml:space="preserve">Size criteria and public interest entities </w:t>
      </w:r>
    </w:p>
    <w:p w14:paraId="7270A46D" w14:textId="4447FFD0" w:rsidR="00971021" w:rsidRPr="00894701" w:rsidRDefault="00971021" w:rsidP="00971021">
      <w:pPr>
        <w:jc w:val="both"/>
        <w:rPr>
          <w:rFonts w:asciiTheme="minorHAnsi" w:hAnsiTheme="minorHAnsi"/>
          <w:color w:val="000000"/>
          <w:sz w:val="20"/>
        </w:rPr>
      </w:pPr>
      <w:r w:rsidRPr="00894701">
        <w:rPr>
          <w:rFonts w:asciiTheme="minorHAnsi" w:hAnsiTheme="minorHAnsi"/>
          <w:color w:val="000000"/>
          <w:sz w:val="20"/>
        </w:rPr>
        <w:t>According to the law the criteria should be measured for two consecutive years</w:t>
      </w:r>
      <w:r w:rsidR="00EC0970" w:rsidRPr="00894701">
        <w:rPr>
          <w:rFonts w:asciiTheme="minorHAnsi" w:hAnsiTheme="minorHAnsi"/>
          <w:color w:val="000000"/>
          <w:sz w:val="20"/>
        </w:rPr>
        <w:t xml:space="preserve"> to define the size of the entity:</w:t>
      </w:r>
    </w:p>
    <w:p w14:paraId="6660D27F" w14:textId="02ED2C29" w:rsidR="00971021" w:rsidRPr="00894701" w:rsidRDefault="00971021" w:rsidP="00971021">
      <w:pPr>
        <w:jc w:val="center"/>
        <w:rPr>
          <w:rFonts w:asciiTheme="minorHAnsi" w:hAnsiTheme="minorHAnsi"/>
          <w:color w:val="000000"/>
          <w:sz w:val="20"/>
        </w:rPr>
      </w:pPr>
      <w:bookmarkStart w:id="301" w:name="_Toc93095224"/>
      <w:bookmarkStart w:id="302" w:name="_Toc109599094"/>
      <w:bookmarkStart w:id="303" w:name="_Toc146590501"/>
      <w:r w:rsidRPr="00894701">
        <w:rPr>
          <w:rFonts w:asciiTheme="majorHAnsi" w:hAnsiTheme="majorHAnsi"/>
          <w:b/>
          <w:bCs/>
          <w:color w:val="98002E" w:themeColor="accent3"/>
          <w:sz w:val="20"/>
        </w:rPr>
        <w:t xml:space="preserve">Table </w:t>
      </w:r>
      <w:r w:rsidRPr="00894701">
        <w:rPr>
          <w:rFonts w:asciiTheme="majorHAnsi" w:hAnsiTheme="majorHAnsi"/>
          <w:b/>
          <w:bCs/>
          <w:color w:val="98002E" w:themeColor="accent3"/>
          <w:sz w:val="20"/>
        </w:rPr>
        <w:fldChar w:fldCharType="begin"/>
      </w:r>
      <w:r w:rsidRPr="00894701">
        <w:rPr>
          <w:rFonts w:asciiTheme="majorHAnsi" w:hAnsiTheme="majorHAnsi"/>
          <w:b/>
          <w:bCs/>
          <w:color w:val="98002E" w:themeColor="accent3"/>
          <w:sz w:val="20"/>
        </w:rPr>
        <w:instrText xml:space="preserve"> SEQ Table \* ARABIC </w:instrText>
      </w:r>
      <w:r w:rsidRPr="00894701">
        <w:rPr>
          <w:rFonts w:asciiTheme="majorHAnsi" w:hAnsiTheme="majorHAnsi"/>
          <w:b/>
          <w:bCs/>
          <w:color w:val="98002E" w:themeColor="accent3"/>
          <w:sz w:val="20"/>
        </w:rPr>
        <w:fldChar w:fldCharType="separate"/>
      </w:r>
      <w:r w:rsidR="0035303B">
        <w:rPr>
          <w:rFonts w:asciiTheme="majorHAnsi" w:hAnsiTheme="majorHAnsi"/>
          <w:b/>
          <w:bCs/>
          <w:noProof/>
          <w:color w:val="98002E" w:themeColor="accent3"/>
          <w:sz w:val="20"/>
        </w:rPr>
        <w:t>29</w:t>
      </w:r>
      <w:r w:rsidRPr="00894701">
        <w:rPr>
          <w:rFonts w:asciiTheme="majorHAnsi" w:hAnsiTheme="majorHAnsi"/>
          <w:b/>
          <w:bCs/>
          <w:color w:val="98002E" w:themeColor="accent3"/>
          <w:sz w:val="20"/>
        </w:rPr>
        <w:fldChar w:fldCharType="end"/>
      </w:r>
      <w:r w:rsidRPr="00894701">
        <w:rPr>
          <w:rFonts w:asciiTheme="majorHAnsi" w:hAnsiTheme="majorHAnsi"/>
          <w:b/>
          <w:bCs/>
          <w:color w:val="98002E" w:themeColor="accent3"/>
          <w:sz w:val="20"/>
        </w:rPr>
        <w:t xml:space="preserve">: </w:t>
      </w:r>
      <w:bookmarkEnd w:id="301"/>
      <w:r w:rsidRPr="00894701">
        <w:rPr>
          <w:rFonts w:asciiTheme="majorHAnsi" w:hAnsiTheme="majorHAnsi"/>
          <w:b/>
          <w:bCs/>
          <w:color w:val="98002E" w:themeColor="accent3"/>
          <w:sz w:val="20"/>
        </w:rPr>
        <w:t>Size criteria and public interest entities</w:t>
      </w:r>
      <w:bookmarkEnd w:id="302"/>
      <w:bookmarkEnd w:id="303"/>
    </w:p>
    <w:tbl>
      <w:tblPr>
        <w:tblStyle w:val="TableGrid"/>
        <w:tblW w:w="0" w:type="auto"/>
        <w:tblInd w:w="5" w:type="dxa"/>
        <w:tblBorders>
          <w:insideH w:val="single" w:sz="4" w:space="0" w:color="FF2868" w:themeColor="accent3" w:themeTint="99"/>
          <w:insideV w:val="single" w:sz="4" w:space="0" w:color="FF2868" w:themeColor="accent3" w:themeTint="99"/>
        </w:tblBorders>
        <w:tblLook w:val="04A0" w:firstRow="1" w:lastRow="0" w:firstColumn="1" w:lastColumn="0" w:noHBand="0" w:noVBand="1"/>
      </w:tblPr>
      <w:tblGrid>
        <w:gridCol w:w="1507"/>
        <w:gridCol w:w="1506"/>
        <w:gridCol w:w="1505"/>
        <w:gridCol w:w="1505"/>
        <w:gridCol w:w="1506"/>
        <w:gridCol w:w="1506"/>
      </w:tblGrid>
      <w:tr w:rsidR="00971021" w:rsidRPr="00894701" w14:paraId="52E1ABE3" w14:textId="77777777" w:rsidTr="00446B8D">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507" w:type="dxa"/>
            <w:vMerge w:val="restart"/>
            <w:tcBorders>
              <w:top w:val="single" w:sz="4" w:space="0" w:color="FF0000"/>
              <w:left w:val="single" w:sz="4" w:space="0" w:color="FF0000"/>
              <w:bottom w:val="single" w:sz="4" w:space="0" w:color="FF0000"/>
              <w:right w:val="single" w:sz="4" w:space="0" w:color="FF0000"/>
            </w:tcBorders>
            <w:shd w:val="clear" w:color="auto" w:fill="7A091A"/>
            <w:vAlign w:val="center"/>
          </w:tcPr>
          <w:p w14:paraId="2B78375E" w14:textId="77777777" w:rsidR="00971021" w:rsidRPr="00894701" w:rsidRDefault="00971021" w:rsidP="00446B8D">
            <w:pPr>
              <w:jc w:val="center"/>
              <w:rPr>
                <w:rFonts w:asciiTheme="minorHAnsi" w:hAnsiTheme="minorHAnsi"/>
                <w:b/>
                <w:bCs/>
                <w:color w:val="FFFFFF" w:themeColor="background1"/>
                <w:szCs w:val="18"/>
              </w:rPr>
            </w:pPr>
            <w:r w:rsidRPr="00894701">
              <w:rPr>
                <w:rFonts w:asciiTheme="minorHAnsi" w:hAnsiTheme="minorHAnsi"/>
                <w:b/>
                <w:bCs/>
                <w:color w:val="FFFFFF" w:themeColor="background1"/>
                <w:szCs w:val="18"/>
              </w:rPr>
              <w:t>Size of entity</w:t>
            </w:r>
          </w:p>
        </w:tc>
        <w:tc>
          <w:tcPr>
            <w:tcW w:w="4516" w:type="dxa"/>
            <w:gridSpan w:val="3"/>
            <w:tcBorders>
              <w:top w:val="single" w:sz="4" w:space="0" w:color="FF0000"/>
              <w:left w:val="single" w:sz="4" w:space="0" w:color="FF0000"/>
              <w:bottom w:val="single" w:sz="4" w:space="0" w:color="FF0000"/>
              <w:right w:val="single" w:sz="4" w:space="0" w:color="FF0000"/>
            </w:tcBorders>
            <w:shd w:val="clear" w:color="auto" w:fill="7A091A"/>
            <w:vAlign w:val="center"/>
          </w:tcPr>
          <w:p w14:paraId="3DF0D3D6" w14:textId="77777777" w:rsidR="00971021" w:rsidRPr="00894701" w:rsidRDefault="00971021" w:rsidP="00446B8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caps w:val="0"/>
                <w:color w:val="FFFFFF" w:themeColor="background1"/>
                <w:szCs w:val="18"/>
              </w:rPr>
            </w:pPr>
            <w:r w:rsidRPr="00894701">
              <w:rPr>
                <w:rFonts w:asciiTheme="minorHAnsi" w:hAnsiTheme="minorHAnsi"/>
                <w:b/>
                <w:bCs/>
                <w:color w:val="FFFFFF" w:themeColor="background1"/>
                <w:szCs w:val="18"/>
              </w:rPr>
              <w:t>Criteria company size</w:t>
            </w:r>
          </w:p>
        </w:tc>
        <w:tc>
          <w:tcPr>
            <w:tcW w:w="1506" w:type="dxa"/>
            <w:vMerge w:val="restart"/>
            <w:tcBorders>
              <w:top w:val="single" w:sz="4" w:space="0" w:color="FF0000"/>
              <w:left w:val="single" w:sz="4" w:space="0" w:color="FF0000"/>
              <w:bottom w:val="single" w:sz="4" w:space="0" w:color="FF0000"/>
              <w:right w:val="single" w:sz="4" w:space="0" w:color="FF0000"/>
            </w:tcBorders>
            <w:shd w:val="clear" w:color="auto" w:fill="7A091A"/>
            <w:vAlign w:val="center"/>
          </w:tcPr>
          <w:p w14:paraId="5AFB858B" w14:textId="77777777" w:rsidR="00971021" w:rsidRPr="00894701" w:rsidRDefault="00971021" w:rsidP="00446B8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FFFFFF" w:themeColor="background1"/>
                <w:szCs w:val="18"/>
              </w:rPr>
            </w:pPr>
            <w:r w:rsidRPr="00894701">
              <w:rPr>
                <w:rFonts w:asciiTheme="minorHAnsi" w:hAnsiTheme="minorHAnsi"/>
                <w:b/>
                <w:bCs/>
                <w:color w:val="FFFFFF" w:themeColor="background1"/>
                <w:szCs w:val="18"/>
              </w:rPr>
              <w:t>Financial Statements</w:t>
            </w:r>
          </w:p>
        </w:tc>
        <w:tc>
          <w:tcPr>
            <w:tcW w:w="1506" w:type="dxa"/>
            <w:vMerge w:val="restart"/>
            <w:tcBorders>
              <w:top w:val="single" w:sz="4" w:space="0" w:color="FF0000"/>
              <w:left w:val="single" w:sz="4" w:space="0" w:color="FF0000"/>
              <w:bottom w:val="single" w:sz="4" w:space="0" w:color="FF0000"/>
              <w:right w:val="single" w:sz="4" w:space="0" w:color="FF0000"/>
            </w:tcBorders>
            <w:shd w:val="clear" w:color="auto" w:fill="7A091A"/>
            <w:vAlign w:val="center"/>
          </w:tcPr>
          <w:p w14:paraId="7E3F064D" w14:textId="77777777" w:rsidR="00971021" w:rsidRPr="00894701" w:rsidRDefault="00971021" w:rsidP="00446B8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FFFFFF" w:themeColor="background1"/>
                <w:szCs w:val="18"/>
              </w:rPr>
            </w:pPr>
            <w:r w:rsidRPr="00894701">
              <w:rPr>
                <w:rFonts w:asciiTheme="minorHAnsi" w:hAnsiTheme="minorHAnsi"/>
                <w:b/>
                <w:bCs/>
                <w:color w:val="FFFFFF" w:themeColor="background1"/>
                <w:szCs w:val="18"/>
              </w:rPr>
              <w:t>First year for reporting</w:t>
            </w:r>
          </w:p>
        </w:tc>
      </w:tr>
      <w:tr w:rsidR="00971021" w:rsidRPr="00894701" w14:paraId="7ED424DC" w14:textId="77777777" w:rsidTr="00446B8D">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507" w:type="dxa"/>
            <w:vMerge/>
            <w:tcBorders>
              <w:top w:val="single" w:sz="4" w:space="0" w:color="FF0000"/>
              <w:left w:val="single" w:sz="4" w:space="0" w:color="FF0000"/>
              <w:bottom w:val="single" w:sz="4" w:space="0" w:color="FF0000"/>
              <w:right w:val="single" w:sz="4" w:space="0" w:color="FF0000"/>
            </w:tcBorders>
          </w:tcPr>
          <w:p w14:paraId="368BFD4E" w14:textId="77777777" w:rsidR="00971021" w:rsidRPr="00894701" w:rsidRDefault="00971021" w:rsidP="00446B8D">
            <w:pPr>
              <w:jc w:val="both"/>
              <w:rPr>
                <w:rFonts w:asciiTheme="minorHAnsi" w:hAnsiTheme="minorHAnsi"/>
                <w:color w:val="000000"/>
                <w:szCs w:val="18"/>
              </w:rPr>
            </w:pPr>
          </w:p>
        </w:tc>
        <w:tc>
          <w:tcPr>
            <w:tcW w:w="1506" w:type="dxa"/>
            <w:tcBorders>
              <w:top w:val="single" w:sz="4" w:space="0" w:color="FF0000"/>
              <w:left w:val="single" w:sz="4" w:space="0" w:color="FF0000"/>
              <w:bottom w:val="single" w:sz="4" w:space="0" w:color="FF0000"/>
              <w:right w:val="single" w:sz="4" w:space="0" w:color="FF0000"/>
            </w:tcBorders>
            <w:shd w:val="clear" w:color="auto" w:fill="7A091A"/>
            <w:vAlign w:val="center"/>
          </w:tcPr>
          <w:p w14:paraId="33816B02" w14:textId="4D363753" w:rsidR="00971021" w:rsidRPr="00894701" w:rsidRDefault="00971021" w:rsidP="00446B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FFFFFF" w:themeColor="background1"/>
                <w:szCs w:val="18"/>
              </w:rPr>
            </w:pPr>
            <w:r w:rsidRPr="00894701">
              <w:rPr>
                <w:rFonts w:asciiTheme="minorHAnsi" w:hAnsiTheme="minorHAnsi"/>
                <w:b/>
                <w:bCs/>
                <w:color w:val="FFFFFF" w:themeColor="background1"/>
                <w:szCs w:val="18"/>
              </w:rPr>
              <w:t>Value of total assets SR</w:t>
            </w:r>
            <w:r w:rsidR="001E3690" w:rsidRPr="00894701">
              <w:rPr>
                <w:rFonts w:asciiTheme="minorHAnsi" w:hAnsiTheme="minorHAnsi"/>
                <w:b/>
                <w:bCs/>
                <w:color w:val="FFFFFF" w:themeColor="background1"/>
                <w:szCs w:val="18"/>
              </w:rPr>
              <w:t>D</w:t>
            </w:r>
          </w:p>
        </w:tc>
        <w:tc>
          <w:tcPr>
            <w:tcW w:w="1505" w:type="dxa"/>
            <w:tcBorders>
              <w:top w:val="single" w:sz="4" w:space="0" w:color="FF0000"/>
              <w:left w:val="single" w:sz="4" w:space="0" w:color="FF0000"/>
              <w:bottom w:val="single" w:sz="4" w:space="0" w:color="FF0000"/>
              <w:right w:val="single" w:sz="4" w:space="0" w:color="FF0000"/>
            </w:tcBorders>
            <w:shd w:val="clear" w:color="auto" w:fill="7A091A"/>
            <w:vAlign w:val="center"/>
          </w:tcPr>
          <w:p w14:paraId="06F3051F" w14:textId="77777777" w:rsidR="00971021" w:rsidRPr="00894701" w:rsidRDefault="00971021" w:rsidP="00446B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FFFFFF" w:themeColor="background1"/>
                <w:szCs w:val="18"/>
              </w:rPr>
            </w:pPr>
            <w:r w:rsidRPr="00894701">
              <w:rPr>
                <w:rFonts w:asciiTheme="minorHAnsi" w:hAnsiTheme="minorHAnsi"/>
                <w:b/>
                <w:bCs/>
                <w:color w:val="FFFFFF" w:themeColor="background1"/>
                <w:szCs w:val="18"/>
              </w:rPr>
              <w:t>Net revenue SRD</w:t>
            </w:r>
          </w:p>
        </w:tc>
        <w:tc>
          <w:tcPr>
            <w:tcW w:w="1505" w:type="dxa"/>
            <w:tcBorders>
              <w:top w:val="single" w:sz="4" w:space="0" w:color="FF0000"/>
              <w:left w:val="single" w:sz="4" w:space="0" w:color="FF0000"/>
              <w:bottom w:val="single" w:sz="4" w:space="0" w:color="FF0000"/>
              <w:right w:val="single" w:sz="4" w:space="0" w:color="FF0000"/>
            </w:tcBorders>
            <w:shd w:val="clear" w:color="auto" w:fill="7A091A"/>
            <w:vAlign w:val="center"/>
          </w:tcPr>
          <w:p w14:paraId="34181E20" w14:textId="77777777" w:rsidR="00971021" w:rsidRPr="00894701" w:rsidRDefault="00971021" w:rsidP="00446B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FFFFFF" w:themeColor="background1"/>
                <w:szCs w:val="18"/>
              </w:rPr>
            </w:pPr>
            <w:r w:rsidRPr="00894701">
              <w:rPr>
                <w:rFonts w:asciiTheme="minorHAnsi" w:hAnsiTheme="minorHAnsi"/>
                <w:b/>
                <w:bCs/>
                <w:color w:val="FFFFFF" w:themeColor="background1"/>
                <w:szCs w:val="18"/>
              </w:rPr>
              <w:t>Total employees</w:t>
            </w:r>
          </w:p>
        </w:tc>
        <w:tc>
          <w:tcPr>
            <w:tcW w:w="1506" w:type="dxa"/>
            <w:vMerge/>
            <w:tcBorders>
              <w:top w:val="single" w:sz="4" w:space="0" w:color="FF0000"/>
              <w:left w:val="single" w:sz="4" w:space="0" w:color="FF0000"/>
              <w:bottom w:val="single" w:sz="4" w:space="0" w:color="FF0000"/>
              <w:right w:val="single" w:sz="4" w:space="0" w:color="FF0000"/>
            </w:tcBorders>
          </w:tcPr>
          <w:p w14:paraId="1C487D61" w14:textId="77777777" w:rsidR="00971021" w:rsidRPr="00894701" w:rsidRDefault="00971021" w:rsidP="00446B8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Cs w:val="18"/>
              </w:rPr>
            </w:pPr>
          </w:p>
        </w:tc>
        <w:tc>
          <w:tcPr>
            <w:tcW w:w="1506" w:type="dxa"/>
            <w:vMerge/>
            <w:tcBorders>
              <w:top w:val="single" w:sz="4" w:space="0" w:color="FF0000"/>
              <w:left w:val="single" w:sz="4" w:space="0" w:color="FF0000"/>
              <w:bottom w:val="single" w:sz="4" w:space="0" w:color="FF0000"/>
              <w:right w:val="single" w:sz="4" w:space="0" w:color="FF0000"/>
            </w:tcBorders>
          </w:tcPr>
          <w:p w14:paraId="23FEBE38" w14:textId="77777777" w:rsidR="00971021" w:rsidRPr="00894701" w:rsidRDefault="00971021" w:rsidP="00446B8D">
            <w:pPr>
              <w:jc w:val="both"/>
              <w:cnfStyle w:val="000000100000" w:firstRow="0" w:lastRow="0" w:firstColumn="0" w:lastColumn="0" w:oddVBand="0" w:evenVBand="0" w:oddHBand="1" w:evenHBand="0" w:firstRowFirstColumn="0" w:firstRowLastColumn="0" w:lastRowFirstColumn="0" w:lastRowLastColumn="0"/>
            </w:pPr>
          </w:p>
        </w:tc>
      </w:tr>
      <w:tr w:rsidR="00971021" w:rsidRPr="00894701" w14:paraId="514BEC67" w14:textId="77777777" w:rsidTr="00446B8D">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07" w:type="dxa"/>
            <w:tcBorders>
              <w:top w:val="single" w:sz="4" w:space="0" w:color="FF0000"/>
              <w:left w:val="single" w:sz="4" w:space="0" w:color="FF0000"/>
              <w:bottom w:val="single" w:sz="4" w:space="0" w:color="FF0000"/>
              <w:right w:val="single" w:sz="4" w:space="0" w:color="FF0000"/>
            </w:tcBorders>
          </w:tcPr>
          <w:p w14:paraId="2B9706CE" w14:textId="77777777" w:rsidR="00971021" w:rsidRPr="00894701" w:rsidRDefault="00971021" w:rsidP="00446B8D">
            <w:pPr>
              <w:jc w:val="both"/>
              <w:rPr>
                <w:rFonts w:asciiTheme="minorHAnsi" w:hAnsiTheme="minorHAnsi"/>
                <w:color w:val="000000"/>
                <w:szCs w:val="18"/>
              </w:rPr>
            </w:pPr>
            <w:r w:rsidRPr="00894701">
              <w:rPr>
                <w:rFonts w:asciiTheme="minorHAnsi" w:hAnsiTheme="minorHAnsi" w:cs="TrebuchetMS-Bold"/>
                <w:color w:val="000000"/>
                <w:szCs w:val="18"/>
              </w:rPr>
              <w:t xml:space="preserve">Large </w:t>
            </w:r>
          </w:p>
        </w:tc>
        <w:tc>
          <w:tcPr>
            <w:tcW w:w="1506" w:type="dxa"/>
            <w:tcBorders>
              <w:top w:val="single" w:sz="4" w:space="0" w:color="FF0000"/>
              <w:left w:val="single" w:sz="4" w:space="0" w:color="FF0000"/>
              <w:bottom w:val="single" w:sz="4" w:space="0" w:color="FF0000"/>
              <w:right w:val="single" w:sz="4" w:space="0" w:color="FF0000"/>
            </w:tcBorders>
          </w:tcPr>
          <w:p w14:paraId="5BECE27A" w14:textId="77777777" w:rsidR="00971021" w:rsidRPr="00894701" w:rsidRDefault="00971021" w:rsidP="001851B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Cs w:val="18"/>
              </w:rPr>
            </w:pPr>
            <w:r w:rsidRPr="00894701">
              <w:rPr>
                <w:rFonts w:asciiTheme="minorHAnsi" w:hAnsiTheme="minorHAnsi" w:cs="TrebuchetMS-Bold"/>
                <w:color w:val="000000"/>
                <w:szCs w:val="18"/>
              </w:rPr>
              <w:t>&gt; 12 million</w:t>
            </w:r>
          </w:p>
        </w:tc>
        <w:tc>
          <w:tcPr>
            <w:tcW w:w="1505" w:type="dxa"/>
            <w:tcBorders>
              <w:top w:val="single" w:sz="4" w:space="0" w:color="FF0000"/>
              <w:left w:val="single" w:sz="4" w:space="0" w:color="FF0000"/>
              <w:bottom w:val="single" w:sz="4" w:space="0" w:color="FF0000"/>
              <w:right w:val="single" w:sz="4" w:space="0" w:color="FF0000"/>
            </w:tcBorders>
          </w:tcPr>
          <w:p w14:paraId="29B953C3" w14:textId="77777777" w:rsidR="00971021" w:rsidRPr="00894701" w:rsidRDefault="00971021" w:rsidP="001851B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Cs w:val="18"/>
              </w:rPr>
            </w:pPr>
            <w:r w:rsidRPr="00894701">
              <w:rPr>
                <w:rFonts w:asciiTheme="minorHAnsi" w:hAnsiTheme="minorHAnsi" w:cs="TrebuchetMS-Bold"/>
                <w:color w:val="000000"/>
                <w:szCs w:val="18"/>
              </w:rPr>
              <w:t>&gt; 24 million</w:t>
            </w:r>
          </w:p>
        </w:tc>
        <w:tc>
          <w:tcPr>
            <w:tcW w:w="1505" w:type="dxa"/>
            <w:tcBorders>
              <w:top w:val="single" w:sz="4" w:space="0" w:color="FF0000"/>
              <w:left w:val="single" w:sz="4" w:space="0" w:color="FF0000"/>
              <w:bottom w:val="single" w:sz="4" w:space="0" w:color="FF0000"/>
              <w:right w:val="single" w:sz="4" w:space="0" w:color="FF0000"/>
            </w:tcBorders>
          </w:tcPr>
          <w:p w14:paraId="45CF39D4" w14:textId="77777777" w:rsidR="00971021" w:rsidRPr="00894701" w:rsidRDefault="00971021" w:rsidP="001851B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Cs w:val="18"/>
              </w:rPr>
            </w:pPr>
            <w:r w:rsidRPr="00894701">
              <w:rPr>
                <w:rFonts w:asciiTheme="minorHAnsi" w:hAnsiTheme="minorHAnsi" w:cs="TrebuchetMS-Bold"/>
                <w:color w:val="000000"/>
                <w:szCs w:val="18"/>
              </w:rPr>
              <w:t>&gt; 50</w:t>
            </w:r>
          </w:p>
        </w:tc>
        <w:tc>
          <w:tcPr>
            <w:tcW w:w="1506" w:type="dxa"/>
            <w:tcBorders>
              <w:top w:val="single" w:sz="4" w:space="0" w:color="FF0000"/>
              <w:left w:val="single" w:sz="4" w:space="0" w:color="FF0000"/>
              <w:bottom w:val="single" w:sz="4" w:space="0" w:color="FF0000"/>
              <w:right w:val="single" w:sz="4" w:space="0" w:color="FF0000"/>
            </w:tcBorders>
          </w:tcPr>
          <w:p w14:paraId="39EA59A0" w14:textId="77777777" w:rsidR="00971021" w:rsidRPr="00894701" w:rsidRDefault="00971021" w:rsidP="00446B8D">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Cs w:val="18"/>
              </w:rPr>
            </w:pPr>
            <w:r w:rsidRPr="00894701">
              <w:rPr>
                <w:rFonts w:asciiTheme="minorHAnsi" w:hAnsiTheme="minorHAnsi" w:cs="TrebuchetMS-Bold"/>
                <w:color w:val="000000"/>
                <w:szCs w:val="18"/>
              </w:rPr>
              <w:t xml:space="preserve">(Full) IFRS </w:t>
            </w:r>
          </w:p>
        </w:tc>
        <w:tc>
          <w:tcPr>
            <w:tcW w:w="1506" w:type="dxa"/>
            <w:tcBorders>
              <w:top w:val="single" w:sz="4" w:space="0" w:color="FF0000"/>
              <w:left w:val="single" w:sz="4" w:space="0" w:color="FF0000"/>
              <w:bottom w:val="single" w:sz="4" w:space="0" w:color="FF0000"/>
              <w:right w:val="single" w:sz="4" w:space="0" w:color="FF0000"/>
            </w:tcBorders>
          </w:tcPr>
          <w:p w14:paraId="6E7D2045" w14:textId="33F555B4" w:rsidR="00971021" w:rsidRPr="00894701" w:rsidRDefault="00971021" w:rsidP="001851B2">
            <w:pPr>
              <w:jc w:val="center"/>
              <w:cnfStyle w:val="000000010000" w:firstRow="0" w:lastRow="0" w:firstColumn="0" w:lastColumn="0" w:oddVBand="0" w:evenVBand="0" w:oddHBand="0" w:evenHBand="1" w:firstRowFirstColumn="0" w:firstRowLastColumn="0" w:lastRowFirstColumn="0" w:lastRowLastColumn="0"/>
            </w:pPr>
            <w:r w:rsidRPr="00894701">
              <w:t>202</w:t>
            </w:r>
            <w:r w:rsidR="00771C41" w:rsidRPr="00894701">
              <w:t>1</w:t>
            </w:r>
          </w:p>
        </w:tc>
      </w:tr>
      <w:tr w:rsidR="00971021" w:rsidRPr="00894701" w14:paraId="18424F87" w14:textId="77777777" w:rsidTr="00446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7" w:type="dxa"/>
            <w:tcBorders>
              <w:top w:val="single" w:sz="4" w:space="0" w:color="FF0000"/>
              <w:left w:val="single" w:sz="4" w:space="0" w:color="FF0000"/>
              <w:bottom w:val="single" w:sz="4" w:space="0" w:color="FF0000"/>
              <w:right w:val="single" w:sz="4" w:space="0" w:color="FF0000"/>
            </w:tcBorders>
            <w:shd w:val="clear" w:color="auto" w:fill="F997AB" w:themeFill="accent5" w:themeFillTint="99"/>
          </w:tcPr>
          <w:p w14:paraId="68B916A3" w14:textId="5DEE15D5" w:rsidR="00971021" w:rsidRPr="00894701" w:rsidRDefault="008F6524" w:rsidP="00446B8D">
            <w:pPr>
              <w:jc w:val="both"/>
              <w:rPr>
                <w:rFonts w:asciiTheme="minorHAnsi" w:hAnsiTheme="minorHAnsi"/>
                <w:color w:val="000000"/>
                <w:szCs w:val="18"/>
              </w:rPr>
            </w:pPr>
            <w:r w:rsidRPr="00894701">
              <w:rPr>
                <w:rFonts w:asciiTheme="minorHAnsi" w:hAnsiTheme="minorHAnsi" w:cs="TrebuchetMS-Bold"/>
                <w:color w:val="000000"/>
                <w:szCs w:val="18"/>
              </w:rPr>
              <w:t>Medium</w:t>
            </w:r>
            <w:r w:rsidR="00971021" w:rsidRPr="00894701">
              <w:rPr>
                <w:rFonts w:asciiTheme="minorHAnsi" w:hAnsiTheme="minorHAnsi" w:cs="TrebuchetMS-Bold"/>
                <w:color w:val="000000"/>
                <w:szCs w:val="18"/>
              </w:rPr>
              <w:t xml:space="preserve"> </w:t>
            </w:r>
          </w:p>
        </w:tc>
        <w:tc>
          <w:tcPr>
            <w:tcW w:w="1506" w:type="dxa"/>
            <w:tcBorders>
              <w:top w:val="single" w:sz="4" w:space="0" w:color="FF0000"/>
              <w:left w:val="single" w:sz="4" w:space="0" w:color="FF0000"/>
              <w:bottom w:val="single" w:sz="4" w:space="0" w:color="FF0000"/>
              <w:right w:val="single" w:sz="4" w:space="0" w:color="FF0000"/>
            </w:tcBorders>
            <w:shd w:val="clear" w:color="auto" w:fill="F997AB" w:themeFill="accent5" w:themeFillTint="99"/>
          </w:tcPr>
          <w:p w14:paraId="1FA668A6" w14:textId="77777777" w:rsidR="00971021" w:rsidRPr="00894701" w:rsidRDefault="00971021" w:rsidP="00185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Cs w:val="18"/>
              </w:rPr>
            </w:pPr>
            <w:r w:rsidRPr="00894701">
              <w:rPr>
                <w:rFonts w:asciiTheme="minorHAnsi" w:hAnsiTheme="minorHAnsi" w:cs="TrebuchetMS-Bold"/>
                <w:color w:val="000000"/>
                <w:szCs w:val="18"/>
              </w:rPr>
              <w:t>&gt; 3 million</w:t>
            </w:r>
          </w:p>
        </w:tc>
        <w:tc>
          <w:tcPr>
            <w:tcW w:w="1505" w:type="dxa"/>
            <w:tcBorders>
              <w:top w:val="single" w:sz="4" w:space="0" w:color="FF0000"/>
              <w:left w:val="single" w:sz="4" w:space="0" w:color="FF0000"/>
              <w:bottom w:val="single" w:sz="4" w:space="0" w:color="FF0000"/>
              <w:right w:val="single" w:sz="4" w:space="0" w:color="FF0000"/>
            </w:tcBorders>
            <w:shd w:val="clear" w:color="auto" w:fill="F997AB" w:themeFill="accent5" w:themeFillTint="99"/>
          </w:tcPr>
          <w:p w14:paraId="4E095E54" w14:textId="77777777" w:rsidR="00971021" w:rsidRPr="00894701" w:rsidRDefault="00971021" w:rsidP="00185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Cs w:val="18"/>
              </w:rPr>
            </w:pPr>
            <w:r w:rsidRPr="00894701">
              <w:rPr>
                <w:rFonts w:asciiTheme="minorHAnsi" w:hAnsiTheme="minorHAnsi" w:cs="TrebuchetMS-Bold"/>
                <w:color w:val="000000"/>
                <w:szCs w:val="18"/>
              </w:rPr>
              <w:t>&gt; 6 million</w:t>
            </w:r>
          </w:p>
        </w:tc>
        <w:tc>
          <w:tcPr>
            <w:tcW w:w="1505" w:type="dxa"/>
            <w:tcBorders>
              <w:top w:val="single" w:sz="4" w:space="0" w:color="FF0000"/>
              <w:left w:val="single" w:sz="4" w:space="0" w:color="FF0000"/>
              <w:bottom w:val="single" w:sz="4" w:space="0" w:color="FF0000"/>
              <w:right w:val="single" w:sz="4" w:space="0" w:color="FF0000"/>
            </w:tcBorders>
            <w:shd w:val="clear" w:color="auto" w:fill="F997AB" w:themeFill="accent5" w:themeFillTint="99"/>
          </w:tcPr>
          <w:p w14:paraId="587494EE" w14:textId="77777777" w:rsidR="00971021" w:rsidRPr="00894701" w:rsidRDefault="00971021" w:rsidP="00185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Cs w:val="18"/>
              </w:rPr>
            </w:pPr>
            <w:r w:rsidRPr="00894701">
              <w:rPr>
                <w:rFonts w:asciiTheme="minorHAnsi" w:hAnsiTheme="minorHAnsi" w:cs="TrebuchetMS-Bold"/>
                <w:color w:val="000000"/>
                <w:szCs w:val="18"/>
              </w:rPr>
              <w:t>&gt; 20</w:t>
            </w:r>
          </w:p>
        </w:tc>
        <w:tc>
          <w:tcPr>
            <w:tcW w:w="1506" w:type="dxa"/>
            <w:tcBorders>
              <w:top w:val="single" w:sz="4" w:space="0" w:color="FF0000"/>
              <w:left w:val="single" w:sz="4" w:space="0" w:color="FF0000"/>
              <w:bottom w:val="single" w:sz="4" w:space="0" w:color="FF0000"/>
              <w:right w:val="single" w:sz="4" w:space="0" w:color="FF0000"/>
            </w:tcBorders>
            <w:shd w:val="clear" w:color="auto" w:fill="F997AB" w:themeFill="accent5" w:themeFillTint="99"/>
          </w:tcPr>
          <w:p w14:paraId="0B825531" w14:textId="755EEB97" w:rsidR="00971021" w:rsidRPr="00894701" w:rsidRDefault="00971021" w:rsidP="00446B8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Cs w:val="18"/>
              </w:rPr>
            </w:pPr>
            <w:r w:rsidRPr="00894701">
              <w:rPr>
                <w:rFonts w:asciiTheme="minorHAnsi" w:hAnsiTheme="minorHAnsi" w:cs="TrebuchetMS-Bold"/>
                <w:color w:val="000000"/>
                <w:szCs w:val="18"/>
              </w:rPr>
              <w:t>IFRS for SME</w:t>
            </w:r>
            <w:r w:rsidR="001E3690" w:rsidRPr="00894701">
              <w:rPr>
                <w:rFonts w:asciiTheme="minorHAnsi" w:hAnsiTheme="minorHAnsi" w:cs="TrebuchetMS-Bold"/>
                <w:color w:val="000000"/>
                <w:szCs w:val="18"/>
              </w:rPr>
              <w:t>s</w:t>
            </w:r>
            <w:r w:rsidRPr="00894701">
              <w:rPr>
                <w:rFonts w:asciiTheme="minorHAnsi" w:hAnsiTheme="minorHAnsi" w:cs="TrebuchetMS-Bold"/>
                <w:color w:val="000000"/>
                <w:szCs w:val="18"/>
              </w:rPr>
              <w:t xml:space="preserve"> </w:t>
            </w:r>
          </w:p>
        </w:tc>
        <w:tc>
          <w:tcPr>
            <w:tcW w:w="1506" w:type="dxa"/>
            <w:tcBorders>
              <w:top w:val="single" w:sz="4" w:space="0" w:color="FF0000"/>
              <w:left w:val="single" w:sz="4" w:space="0" w:color="FF0000"/>
              <w:bottom w:val="single" w:sz="4" w:space="0" w:color="FF0000"/>
              <w:right w:val="single" w:sz="4" w:space="0" w:color="FF0000"/>
            </w:tcBorders>
            <w:shd w:val="clear" w:color="auto" w:fill="F997AB" w:themeFill="accent5" w:themeFillTint="99"/>
          </w:tcPr>
          <w:p w14:paraId="220AED67" w14:textId="65E5991B" w:rsidR="00971021" w:rsidRPr="00894701" w:rsidRDefault="00971021" w:rsidP="001851B2">
            <w:pPr>
              <w:jc w:val="center"/>
              <w:cnfStyle w:val="000000100000" w:firstRow="0" w:lastRow="0" w:firstColumn="0" w:lastColumn="0" w:oddVBand="0" w:evenVBand="0" w:oddHBand="1" w:evenHBand="0" w:firstRowFirstColumn="0" w:firstRowLastColumn="0" w:lastRowFirstColumn="0" w:lastRowLastColumn="0"/>
            </w:pPr>
            <w:r w:rsidRPr="00894701">
              <w:t>202</w:t>
            </w:r>
            <w:r w:rsidR="00771C41" w:rsidRPr="00894701">
              <w:t>2</w:t>
            </w:r>
          </w:p>
        </w:tc>
      </w:tr>
      <w:tr w:rsidR="00971021" w:rsidRPr="00894701" w14:paraId="3965BC0B" w14:textId="77777777" w:rsidTr="00446B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7" w:type="dxa"/>
            <w:tcBorders>
              <w:top w:val="single" w:sz="4" w:space="0" w:color="FF0000"/>
              <w:left w:val="single" w:sz="4" w:space="0" w:color="FF0000"/>
              <w:bottom w:val="single" w:sz="4" w:space="0" w:color="FF0000"/>
              <w:right w:val="single" w:sz="4" w:space="0" w:color="FF0000"/>
            </w:tcBorders>
          </w:tcPr>
          <w:p w14:paraId="42F1AFFB" w14:textId="77777777" w:rsidR="00971021" w:rsidRPr="00894701" w:rsidRDefault="00971021" w:rsidP="00446B8D">
            <w:pPr>
              <w:jc w:val="both"/>
              <w:rPr>
                <w:rFonts w:asciiTheme="minorHAnsi" w:hAnsiTheme="minorHAnsi"/>
                <w:color w:val="000000"/>
                <w:szCs w:val="18"/>
              </w:rPr>
            </w:pPr>
            <w:r w:rsidRPr="00894701">
              <w:rPr>
                <w:rFonts w:asciiTheme="minorHAnsi" w:hAnsiTheme="minorHAnsi" w:cs="TrebuchetMS-Bold"/>
                <w:color w:val="000000"/>
                <w:szCs w:val="18"/>
              </w:rPr>
              <w:t xml:space="preserve">Small </w:t>
            </w:r>
          </w:p>
        </w:tc>
        <w:tc>
          <w:tcPr>
            <w:tcW w:w="1506" w:type="dxa"/>
            <w:tcBorders>
              <w:top w:val="single" w:sz="4" w:space="0" w:color="FF0000"/>
              <w:left w:val="single" w:sz="4" w:space="0" w:color="FF0000"/>
              <w:bottom w:val="single" w:sz="4" w:space="0" w:color="FF0000"/>
              <w:right w:val="single" w:sz="4" w:space="0" w:color="FF0000"/>
            </w:tcBorders>
          </w:tcPr>
          <w:p w14:paraId="4CF90407" w14:textId="77777777" w:rsidR="00971021" w:rsidRPr="00894701" w:rsidRDefault="00971021" w:rsidP="001851B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Cs w:val="18"/>
              </w:rPr>
            </w:pPr>
            <w:r w:rsidRPr="00894701">
              <w:rPr>
                <w:rFonts w:asciiTheme="minorHAnsi" w:hAnsiTheme="minorHAnsi" w:cs="TrebuchetMS-Bold"/>
                <w:color w:val="000000"/>
                <w:szCs w:val="18"/>
              </w:rPr>
              <w:t>≤ 3 million</w:t>
            </w:r>
          </w:p>
        </w:tc>
        <w:tc>
          <w:tcPr>
            <w:tcW w:w="1505" w:type="dxa"/>
            <w:tcBorders>
              <w:top w:val="single" w:sz="4" w:space="0" w:color="FF0000"/>
              <w:left w:val="single" w:sz="4" w:space="0" w:color="FF0000"/>
              <w:bottom w:val="single" w:sz="4" w:space="0" w:color="FF0000"/>
              <w:right w:val="single" w:sz="4" w:space="0" w:color="FF0000"/>
            </w:tcBorders>
          </w:tcPr>
          <w:p w14:paraId="081C6434" w14:textId="77777777" w:rsidR="00971021" w:rsidRPr="00894701" w:rsidRDefault="00971021" w:rsidP="001851B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Cs w:val="18"/>
              </w:rPr>
            </w:pPr>
            <w:r w:rsidRPr="00894701">
              <w:rPr>
                <w:rFonts w:asciiTheme="minorHAnsi" w:hAnsiTheme="minorHAnsi" w:cs="TrebuchetMS-Bold"/>
                <w:color w:val="000000"/>
                <w:szCs w:val="18"/>
              </w:rPr>
              <w:t>≤ 6 million</w:t>
            </w:r>
          </w:p>
        </w:tc>
        <w:tc>
          <w:tcPr>
            <w:tcW w:w="1505" w:type="dxa"/>
            <w:tcBorders>
              <w:top w:val="single" w:sz="4" w:space="0" w:color="FF0000"/>
              <w:left w:val="single" w:sz="4" w:space="0" w:color="FF0000"/>
              <w:bottom w:val="single" w:sz="4" w:space="0" w:color="FF0000"/>
              <w:right w:val="single" w:sz="4" w:space="0" w:color="FF0000"/>
            </w:tcBorders>
          </w:tcPr>
          <w:p w14:paraId="443CC255" w14:textId="77777777" w:rsidR="00971021" w:rsidRPr="00894701" w:rsidRDefault="00971021" w:rsidP="001851B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Cs w:val="18"/>
              </w:rPr>
            </w:pPr>
            <w:r w:rsidRPr="00894701">
              <w:rPr>
                <w:rFonts w:asciiTheme="minorHAnsi" w:hAnsiTheme="minorHAnsi" w:cs="TrebuchetMS-Bold"/>
                <w:color w:val="000000"/>
                <w:szCs w:val="18"/>
              </w:rPr>
              <w:t>≤ 20</w:t>
            </w:r>
          </w:p>
        </w:tc>
        <w:tc>
          <w:tcPr>
            <w:tcW w:w="1506" w:type="dxa"/>
            <w:tcBorders>
              <w:top w:val="single" w:sz="4" w:space="0" w:color="FF0000"/>
              <w:left w:val="single" w:sz="4" w:space="0" w:color="FF0000"/>
              <w:bottom w:val="single" w:sz="4" w:space="0" w:color="FF0000"/>
              <w:right w:val="single" w:sz="4" w:space="0" w:color="FF0000"/>
            </w:tcBorders>
          </w:tcPr>
          <w:p w14:paraId="69F80D7E" w14:textId="77777777" w:rsidR="00971021" w:rsidRPr="00894701" w:rsidRDefault="00971021" w:rsidP="00446B8D">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Cs w:val="18"/>
              </w:rPr>
            </w:pPr>
            <w:r w:rsidRPr="00894701">
              <w:rPr>
                <w:rFonts w:asciiTheme="minorHAnsi" w:hAnsiTheme="minorHAnsi" w:cs="TrebuchetMS-Bold"/>
                <w:color w:val="000000"/>
                <w:szCs w:val="18"/>
              </w:rPr>
              <w:t xml:space="preserve">Fiscal policies </w:t>
            </w:r>
          </w:p>
        </w:tc>
        <w:tc>
          <w:tcPr>
            <w:tcW w:w="1506" w:type="dxa"/>
            <w:tcBorders>
              <w:top w:val="single" w:sz="4" w:space="0" w:color="FF0000"/>
              <w:left w:val="single" w:sz="4" w:space="0" w:color="FF0000"/>
              <w:bottom w:val="single" w:sz="4" w:space="0" w:color="FF0000"/>
              <w:right w:val="single" w:sz="4" w:space="0" w:color="FF0000"/>
            </w:tcBorders>
          </w:tcPr>
          <w:p w14:paraId="6C2A9A13" w14:textId="342F7BEC" w:rsidR="00971021" w:rsidRPr="00894701" w:rsidRDefault="00971021" w:rsidP="001851B2">
            <w:pPr>
              <w:jc w:val="center"/>
              <w:cnfStyle w:val="000000010000" w:firstRow="0" w:lastRow="0" w:firstColumn="0" w:lastColumn="0" w:oddVBand="0" w:evenVBand="0" w:oddHBand="0" w:evenHBand="1" w:firstRowFirstColumn="0" w:firstRowLastColumn="0" w:lastRowFirstColumn="0" w:lastRowLastColumn="0"/>
            </w:pPr>
            <w:r w:rsidRPr="00894701">
              <w:t>202</w:t>
            </w:r>
            <w:r w:rsidR="00771C41" w:rsidRPr="00894701">
              <w:t>2</w:t>
            </w:r>
          </w:p>
        </w:tc>
      </w:tr>
    </w:tbl>
    <w:p w14:paraId="0EEBD6A1" w14:textId="1CB1E1C8" w:rsidR="00971021" w:rsidRPr="00894701" w:rsidRDefault="00971021" w:rsidP="00971021">
      <w:pPr>
        <w:spacing w:before="240" w:line="240" w:lineRule="auto"/>
        <w:jc w:val="both"/>
        <w:rPr>
          <w:rFonts w:asciiTheme="minorHAnsi" w:hAnsiTheme="minorHAnsi"/>
          <w:color w:val="000000"/>
          <w:sz w:val="20"/>
        </w:rPr>
      </w:pPr>
      <w:r w:rsidRPr="00894701">
        <w:rPr>
          <w:rFonts w:asciiTheme="minorHAnsi" w:hAnsiTheme="minorHAnsi"/>
          <w:color w:val="000000"/>
          <w:sz w:val="20"/>
        </w:rPr>
        <w:t xml:space="preserve">In addition to the size criteria, the Law prescribes that certain companies are considered public interest entities and as such also qualify as large companies. Thus, these companies should also prepare financial statements </w:t>
      </w:r>
      <w:r w:rsidR="000659BF" w:rsidRPr="00894701">
        <w:rPr>
          <w:rFonts w:asciiTheme="minorHAnsi" w:hAnsiTheme="minorHAnsi"/>
          <w:color w:val="000000"/>
          <w:sz w:val="20"/>
        </w:rPr>
        <w:t>in accordance with</w:t>
      </w:r>
      <w:r w:rsidRPr="00894701">
        <w:rPr>
          <w:rFonts w:asciiTheme="minorHAnsi" w:hAnsiTheme="minorHAnsi"/>
          <w:color w:val="000000"/>
          <w:sz w:val="20"/>
        </w:rPr>
        <w:t xml:space="preserve"> IFRS.  </w:t>
      </w:r>
    </w:p>
    <w:p w14:paraId="08958FCB" w14:textId="77777777" w:rsidR="00971021" w:rsidRPr="00894701" w:rsidRDefault="00971021" w:rsidP="00971021">
      <w:pPr>
        <w:jc w:val="both"/>
        <w:rPr>
          <w:rFonts w:asciiTheme="minorHAnsi" w:hAnsiTheme="minorHAnsi"/>
          <w:color w:val="000000"/>
          <w:sz w:val="20"/>
        </w:rPr>
      </w:pPr>
      <w:r w:rsidRPr="00894701">
        <w:rPr>
          <w:rFonts w:asciiTheme="minorHAnsi" w:hAnsiTheme="minorHAnsi"/>
          <w:color w:val="000000"/>
          <w:sz w:val="20"/>
        </w:rPr>
        <w:t xml:space="preserve">These entities are: </w:t>
      </w:r>
    </w:p>
    <w:p w14:paraId="6CBA2626" w14:textId="77777777" w:rsidR="00971021" w:rsidRPr="00894701" w:rsidRDefault="00971021" w:rsidP="00971021">
      <w:pPr>
        <w:pStyle w:val="BodyText"/>
        <w:numPr>
          <w:ilvl w:val="0"/>
          <w:numId w:val="47"/>
        </w:numPr>
        <w:jc w:val="both"/>
        <w:rPr>
          <w:rFonts w:asciiTheme="minorHAnsi" w:hAnsiTheme="minorHAnsi"/>
          <w:color w:val="auto"/>
          <w:sz w:val="20"/>
        </w:rPr>
      </w:pPr>
      <w:r w:rsidRPr="00894701">
        <w:rPr>
          <w:rFonts w:asciiTheme="minorHAnsi" w:hAnsiTheme="minorHAnsi"/>
          <w:color w:val="auto"/>
          <w:sz w:val="20"/>
        </w:rPr>
        <w:t xml:space="preserve">Companies with a listing on the local stock exchange; </w:t>
      </w:r>
    </w:p>
    <w:p w14:paraId="3C5683FB" w14:textId="77777777" w:rsidR="00971021" w:rsidRPr="00894701" w:rsidRDefault="00971021" w:rsidP="00971021">
      <w:pPr>
        <w:pStyle w:val="BodyText"/>
        <w:numPr>
          <w:ilvl w:val="0"/>
          <w:numId w:val="47"/>
        </w:numPr>
        <w:jc w:val="both"/>
        <w:rPr>
          <w:rFonts w:asciiTheme="minorHAnsi" w:hAnsiTheme="minorHAnsi"/>
          <w:color w:val="auto"/>
          <w:sz w:val="20"/>
        </w:rPr>
      </w:pPr>
      <w:r w:rsidRPr="00894701">
        <w:rPr>
          <w:rFonts w:asciiTheme="minorHAnsi" w:hAnsiTheme="minorHAnsi"/>
          <w:color w:val="auto"/>
          <w:sz w:val="20"/>
        </w:rPr>
        <w:t xml:space="preserve">Government-owned entities; </w:t>
      </w:r>
    </w:p>
    <w:p w14:paraId="5E11F78B" w14:textId="34306251" w:rsidR="00971021" w:rsidRPr="00894701" w:rsidRDefault="00971021" w:rsidP="00971021">
      <w:pPr>
        <w:pStyle w:val="BodyText"/>
        <w:numPr>
          <w:ilvl w:val="0"/>
          <w:numId w:val="47"/>
        </w:numPr>
        <w:jc w:val="both"/>
        <w:rPr>
          <w:rFonts w:asciiTheme="minorHAnsi" w:hAnsiTheme="minorHAnsi"/>
          <w:color w:val="auto"/>
          <w:sz w:val="20"/>
        </w:rPr>
      </w:pPr>
      <w:r w:rsidRPr="00894701">
        <w:rPr>
          <w:rFonts w:asciiTheme="minorHAnsi" w:hAnsiTheme="minorHAnsi"/>
          <w:color w:val="auto"/>
          <w:sz w:val="20"/>
        </w:rPr>
        <w:t xml:space="preserve">Companies that are subject to the supervision of the Central Bank of Suriname, are banks and related entities (e.g., savings funds, investment funds, commercial banks, credit corporations), insurance companies, and pension funds. </w:t>
      </w:r>
    </w:p>
    <w:p w14:paraId="7BB4897F" w14:textId="77777777" w:rsidR="00820E08" w:rsidRPr="00894701" w:rsidRDefault="00820E08" w:rsidP="00971021">
      <w:pPr>
        <w:spacing w:before="100" w:line="227" w:lineRule="exact"/>
        <w:rPr>
          <w:rFonts w:asciiTheme="minorHAnsi" w:hAnsiTheme="minorHAnsi" w:cs="TrebuchetMS-Bold"/>
          <w:b/>
          <w:bCs/>
          <w:color w:val="ED1A3B"/>
          <w:sz w:val="20"/>
          <w:szCs w:val="20"/>
        </w:rPr>
      </w:pPr>
    </w:p>
    <w:p w14:paraId="725274A6" w14:textId="59E32FFB" w:rsidR="00971021" w:rsidRPr="00894701" w:rsidRDefault="00971021" w:rsidP="00971021">
      <w:pPr>
        <w:spacing w:before="100" w:line="227" w:lineRule="exact"/>
        <w:rPr>
          <w:rFonts w:asciiTheme="minorHAnsi" w:hAnsiTheme="minorHAnsi"/>
          <w:color w:val="010302"/>
        </w:rPr>
      </w:pPr>
      <w:r w:rsidRPr="00894701">
        <w:rPr>
          <w:rFonts w:asciiTheme="minorHAnsi" w:hAnsiTheme="minorHAnsi" w:cs="TrebuchetMS-Bold"/>
          <w:b/>
          <w:bCs/>
          <w:color w:val="ED1A3B"/>
          <w:sz w:val="20"/>
          <w:szCs w:val="20"/>
        </w:rPr>
        <w:t xml:space="preserve">Publication and filing of financial statements </w:t>
      </w:r>
    </w:p>
    <w:p w14:paraId="6051E662" w14:textId="6CF77DBE" w:rsidR="00971021" w:rsidRPr="00894701" w:rsidRDefault="00971021" w:rsidP="00971021">
      <w:pPr>
        <w:jc w:val="both"/>
        <w:rPr>
          <w:rFonts w:asciiTheme="minorHAnsi" w:hAnsiTheme="minorHAnsi"/>
          <w:color w:val="000000"/>
          <w:sz w:val="20"/>
        </w:rPr>
      </w:pPr>
      <w:r w:rsidRPr="00894701">
        <w:rPr>
          <w:rFonts w:asciiTheme="minorHAnsi" w:hAnsiTheme="minorHAnsi"/>
          <w:color w:val="000000"/>
          <w:sz w:val="20"/>
        </w:rPr>
        <w:t xml:space="preserve">The law prescribes that these financial statements and a report from the board of management need to be prepared within six months of the balance sheet date. The financial statements should be filed at the Chamber of Commerce and Industry, within 7 days after the approval by the general meeting of shareholders or equivalent body. Only small entities are exempt from this general rule, but they are required to keep their financial statements available for third parties at their offices.  </w:t>
      </w:r>
    </w:p>
    <w:p w14:paraId="410034F6" w14:textId="77777777" w:rsidR="00971021" w:rsidRPr="00894701" w:rsidRDefault="00971021" w:rsidP="00971021">
      <w:pPr>
        <w:spacing w:before="100" w:line="227" w:lineRule="exact"/>
        <w:rPr>
          <w:rFonts w:asciiTheme="minorHAnsi" w:hAnsiTheme="minorHAnsi"/>
          <w:color w:val="010302"/>
        </w:rPr>
      </w:pPr>
      <w:r w:rsidRPr="00894701">
        <w:rPr>
          <w:rFonts w:asciiTheme="minorHAnsi" w:hAnsiTheme="minorHAnsi" w:cs="TrebuchetMS-Bold"/>
          <w:b/>
          <w:bCs/>
          <w:color w:val="ED1A3B"/>
          <w:sz w:val="20"/>
          <w:szCs w:val="20"/>
        </w:rPr>
        <w:t xml:space="preserve">Audit of the financial statements </w:t>
      </w:r>
    </w:p>
    <w:p w14:paraId="3FFCA8C5" w14:textId="6D9FD928" w:rsidR="00971021" w:rsidRPr="00894701" w:rsidRDefault="00971021" w:rsidP="00971021">
      <w:pPr>
        <w:jc w:val="both"/>
        <w:rPr>
          <w:rFonts w:asciiTheme="minorHAnsi" w:hAnsiTheme="minorHAnsi"/>
          <w:color w:val="000000"/>
          <w:sz w:val="20"/>
        </w:rPr>
      </w:pPr>
      <w:r w:rsidRPr="00894701">
        <w:rPr>
          <w:rFonts w:asciiTheme="minorHAnsi" w:hAnsiTheme="minorHAnsi"/>
          <w:color w:val="000000"/>
          <w:sz w:val="20"/>
        </w:rPr>
        <w:t xml:space="preserve">According to the law, public interest entities, large companies and medium size entities should have their financial statements audited. Small entities are exempted from this rule.  </w:t>
      </w:r>
    </w:p>
    <w:p w14:paraId="5AE35A84" w14:textId="77777777" w:rsidR="00971021" w:rsidRPr="00894701" w:rsidRDefault="00971021" w:rsidP="00971021">
      <w:pPr>
        <w:spacing w:before="100" w:line="227" w:lineRule="exact"/>
        <w:rPr>
          <w:rFonts w:asciiTheme="minorHAnsi" w:hAnsiTheme="minorHAnsi" w:cs="TrebuchetMS-Bold"/>
          <w:b/>
          <w:bCs/>
          <w:color w:val="ED1A3B"/>
          <w:sz w:val="20"/>
          <w:szCs w:val="20"/>
        </w:rPr>
      </w:pPr>
      <w:r w:rsidRPr="00894701">
        <w:rPr>
          <w:rFonts w:asciiTheme="minorHAnsi" w:hAnsiTheme="minorHAnsi" w:cs="TrebuchetMS-Bold"/>
          <w:b/>
          <w:bCs/>
          <w:color w:val="ED1A3B"/>
          <w:sz w:val="20"/>
          <w:szCs w:val="20"/>
        </w:rPr>
        <w:t xml:space="preserve">Enforcement and sanctions </w:t>
      </w:r>
    </w:p>
    <w:p w14:paraId="5F1468B2" w14:textId="77777777" w:rsidR="00971021" w:rsidRPr="00894701" w:rsidRDefault="00971021" w:rsidP="00971021">
      <w:pPr>
        <w:jc w:val="both"/>
        <w:rPr>
          <w:rFonts w:asciiTheme="minorHAnsi" w:hAnsiTheme="minorHAnsi"/>
          <w:color w:val="000000"/>
          <w:sz w:val="20"/>
        </w:rPr>
      </w:pPr>
      <w:r w:rsidRPr="00894701">
        <w:rPr>
          <w:rFonts w:asciiTheme="minorHAnsi" w:hAnsiTheme="minorHAnsi"/>
          <w:color w:val="000000"/>
          <w:sz w:val="20"/>
        </w:rPr>
        <w:t xml:space="preserve">The law offers every interested party the opportunity to enforce compliance through the subdistrict court for the preparation and publication of financial statements as well as for the execution of an independent audit. Fines for non-compliance can be imposed. </w:t>
      </w:r>
    </w:p>
    <w:p w14:paraId="2D016056" w14:textId="285ACC8B" w:rsidR="00971021" w:rsidRPr="00894701" w:rsidRDefault="00971021" w:rsidP="00971021">
      <w:pPr>
        <w:jc w:val="both"/>
        <w:rPr>
          <w:rFonts w:asciiTheme="minorHAnsi" w:hAnsiTheme="minorHAnsi"/>
          <w:color w:val="000000"/>
          <w:sz w:val="20"/>
        </w:rPr>
      </w:pPr>
      <w:r w:rsidRPr="00894701">
        <w:rPr>
          <w:rFonts w:asciiTheme="minorHAnsi" w:hAnsiTheme="minorHAnsi"/>
          <w:color w:val="000000"/>
          <w:sz w:val="20"/>
        </w:rPr>
        <w:t xml:space="preserve">In future this act will serve the purpose of transparency and comparison of financial matters based on the required disclosures of the topics of the annual statement and environmental aspects well. </w:t>
      </w:r>
    </w:p>
    <w:p w14:paraId="28D99DC2" w14:textId="77777777" w:rsidR="00971021" w:rsidRPr="00894701" w:rsidRDefault="00971021" w:rsidP="00A834A8">
      <w:pPr>
        <w:pStyle w:val="AltMinorHeading"/>
        <w:numPr>
          <w:ilvl w:val="2"/>
          <w:numId w:val="66"/>
        </w:numPr>
        <w:spacing w:before="100" w:beforeAutospacing="1" w:after="120"/>
        <w:ind w:left="1080" w:right="454" w:hanging="1080"/>
        <w:rPr>
          <w:rStyle w:val="Emphasis"/>
          <w:i w:val="0"/>
          <w:iCs w:val="0"/>
        </w:rPr>
      </w:pPr>
      <w:r w:rsidRPr="00894701">
        <w:rPr>
          <w:rStyle w:val="Emphasis"/>
          <w:i w:val="0"/>
          <w:iCs w:val="0"/>
        </w:rPr>
        <w:lastRenderedPageBreak/>
        <w:t xml:space="preserve"> </w:t>
      </w:r>
      <w:bookmarkStart w:id="304" w:name="_Toc122478901"/>
      <w:r w:rsidRPr="00894701">
        <w:rPr>
          <w:rStyle w:val="Emphasis"/>
          <w:i w:val="0"/>
          <w:iCs w:val="0"/>
        </w:rPr>
        <w:t>Government Agencies</w:t>
      </w:r>
      <w:bookmarkEnd w:id="304"/>
      <w:r w:rsidRPr="00894701">
        <w:rPr>
          <w:rStyle w:val="Emphasis"/>
          <w:i w:val="0"/>
          <w:iCs w:val="0"/>
        </w:rPr>
        <w:t xml:space="preserve"> </w:t>
      </w:r>
    </w:p>
    <w:p w14:paraId="3F85DF23" w14:textId="4C5D3C16" w:rsidR="00971021" w:rsidRPr="00894701" w:rsidRDefault="00971021" w:rsidP="00971021">
      <w:pPr>
        <w:jc w:val="both"/>
        <w:rPr>
          <w:rFonts w:asciiTheme="minorHAnsi" w:hAnsiTheme="minorHAnsi"/>
          <w:color w:val="000000"/>
          <w:sz w:val="20"/>
        </w:rPr>
      </w:pPr>
      <w:r w:rsidRPr="00894701">
        <w:rPr>
          <w:rFonts w:asciiTheme="minorHAnsi" w:hAnsiTheme="minorHAnsi"/>
          <w:color w:val="000000"/>
          <w:sz w:val="20"/>
        </w:rPr>
        <w:t>According to the national ordinance (Landsverordening1971), the Supreme Audit Institution of Suriname has the right to perform an audit on semi-public companies, at any time. The semi- public companies can also allow the audit</w:t>
      </w:r>
      <w:r w:rsidR="00E74303" w:rsidRPr="00894701">
        <w:rPr>
          <w:rFonts w:asciiTheme="minorHAnsi" w:hAnsiTheme="minorHAnsi"/>
          <w:color w:val="000000"/>
          <w:sz w:val="20"/>
        </w:rPr>
        <w:t xml:space="preserve"> to</w:t>
      </w:r>
      <w:r w:rsidRPr="00894701">
        <w:rPr>
          <w:rFonts w:asciiTheme="minorHAnsi" w:hAnsiTheme="minorHAnsi"/>
          <w:color w:val="000000"/>
          <w:sz w:val="20"/>
        </w:rPr>
        <w:t xml:space="preserve"> be performed by a registered chartered accountant, if the Supreme Audit Institution is not able to perform the audit. According to the Financial Statements Act (Wet op de Jaarrekening 2017/84) state-owned enterprises are subject to this law and must prepare their financial statements in accordance with IFRS. In addition to the size criteria, the Financial Statements Act prescribes that certain companies are considered public interest entities and as such also qualify as large companies. Thus, these companies should also prepare IFRS financial statements. Included in this list of entities are state-owned enterprises. </w:t>
      </w:r>
    </w:p>
    <w:p w14:paraId="0DCE1C62" w14:textId="77777777" w:rsidR="00971021" w:rsidRPr="00894701" w:rsidRDefault="00971021" w:rsidP="00971021">
      <w:pPr>
        <w:jc w:val="both"/>
        <w:rPr>
          <w:rFonts w:asciiTheme="minorHAnsi" w:hAnsiTheme="minorHAnsi"/>
          <w:color w:val="000000"/>
          <w:sz w:val="20"/>
        </w:rPr>
      </w:pPr>
      <w:r w:rsidRPr="00894701">
        <w:rPr>
          <w:rFonts w:asciiTheme="minorHAnsi" w:hAnsiTheme="minorHAnsi"/>
          <w:color w:val="000000"/>
          <w:sz w:val="20"/>
        </w:rPr>
        <w:t xml:space="preserve">The Supreme Audit Institution of Suriname plays an important role in providing oversight and accountability in the country by monitoring the use of public funds and reviewing the quality and accuracy of government financial reporting. It also contributes to anti-corruption efforts.  </w:t>
      </w:r>
    </w:p>
    <w:p w14:paraId="372386D6" w14:textId="7FEE7783" w:rsidR="00971021" w:rsidRPr="00894701" w:rsidRDefault="00971021" w:rsidP="00971021">
      <w:pPr>
        <w:jc w:val="both"/>
        <w:rPr>
          <w:rFonts w:asciiTheme="minorHAnsi" w:hAnsiTheme="minorHAnsi"/>
          <w:color w:val="000000"/>
          <w:sz w:val="20"/>
        </w:rPr>
      </w:pPr>
      <w:r w:rsidRPr="00894701">
        <w:rPr>
          <w:rFonts w:asciiTheme="minorHAnsi" w:hAnsiTheme="minorHAnsi"/>
          <w:color w:val="000000"/>
          <w:sz w:val="20"/>
        </w:rPr>
        <w:t xml:space="preserve">The Supreme Audit Institution of Suriname is a member of the Caribbean Organisation of Supreme Audit Institutions (CAROSAI) and comprises twenty-three (23) member SAIs, which work to establish and disseminate international standards and good practices.  </w:t>
      </w:r>
    </w:p>
    <w:p w14:paraId="68F89229" w14:textId="77777777" w:rsidR="00971021" w:rsidRPr="00894701" w:rsidRDefault="00971021" w:rsidP="00971021">
      <w:pPr>
        <w:pStyle w:val="ListParagraph"/>
        <w:numPr>
          <w:ilvl w:val="1"/>
          <w:numId w:val="7"/>
        </w:numPr>
        <w:spacing w:before="240" w:after="240"/>
        <w:ind w:left="851" w:right="482" w:hanging="851"/>
        <w:outlineLvl w:val="1"/>
        <w:rPr>
          <w:b/>
          <w:sz w:val="28"/>
          <w:szCs w:val="28"/>
        </w:rPr>
      </w:pPr>
      <w:r w:rsidRPr="00894701">
        <w:rPr>
          <w:b/>
          <w:sz w:val="28"/>
          <w:szCs w:val="28"/>
        </w:rPr>
        <w:t xml:space="preserve"> </w:t>
      </w:r>
      <w:bookmarkStart w:id="305" w:name="_Toc122478902"/>
      <w:r w:rsidRPr="00894701">
        <w:rPr>
          <w:b/>
          <w:sz w:val="28"/>
          <w:szCs w:val="28"/>
        </w:rPr>
        <w:t>Management of environment and environmental expenditure (EITI Requirements 6.1 &amp; 6.4)</w:t>
      </w:r>
      <w:bookmarkEnd w:id="305"/>
      <w:r w:rsidRPr="00894701">
        <w:rPr>
          <w:b/>
          <w:sz w:val="28"/>
          <w:szCs w:val="28"/>
        </w:rPr>
        <w:t xml:space="preserve"> </w:t>
      </w:r>
    </w:p>
    <w:p w14:paraId="230C279B" w14:textId="61947FB5" w:rsidR="00971021" w:rsidRPr="00894701" w:rsidRDefault="00971021" w:rsidP="00A834A8">
      <w:pPr>
        <w:pStyle w:val="AltMinorHeading"/>
        <w:numPr>
          <w:ilvl w:val="2"/>
          <w:numId w:val="76"/>
        </w:numPr>
        <w:spacing w:before="100" w:beforeAutospacing="1" w:after="120"/>
        <w:ind w:right="454"/>
        <w:rPr>
          <w:rStyle w:val="Emphasis"/>
          <w:i w:val="0"/>
          <w:iCs w:val="0"/>
        </w:rPr>
      </w:pPr>
      <w:bookmarkStart w:id="306" w:name="_Toc122478903"/>
      <w:r w:rsidRPr="00894701">
        <w:rPr>
          <w:rStyle w:val="Emphasis"/>
          <w:i w:val="0"/>
          <w:iCs w:val="0"/>
        </w:rPr>
        <w:t>Management and monitoring of the environment</w:t>
      </w:r>
      <w:bookmarkEnd w:id="306"/>
      <w:r w:rsidRPr="00894701">
        <w:rPr>
          <w:rStyle w:val="Emphasis"/>
          <w:i w:val="0"/>
          <w:iCs w:val="0"/>
        </w:rPr>
        <w:t xml:space="preserve"> </w:t>
      </w:r>
    </w:p>
    <w:p w14:paraId="245830B0" w14:textId="0148AC32" w:rsidR="00971021" w:rsidRPr="00894701" w:rsidRDefault="00971021" w:rsidP="00971021">
      <w:pPr>
        <w:jc w:val="both"/>
        <w:rPr>
          <w:rFonts w:asciiTheme="minorHAnsi" w:hAnsiTheme="minorHAnsi"/>
          <w:color w:val="000000"/>
          <w:sz w:val="20"/>
        </w:rPr>
      </w:pPr>
      <w:r w:rsidRPr="00894701">
        <w:rPr>
          <w:rFonts w:asciiTheme="minorHAnsi" w:hAnsiTheme="minorHAnsi"/>
          <w:color w:val="000000"/>
          <w:sz w:val="20"/>
        </w:rPr>
        <w:t xml:space="preserve">The ‘Nationaal Instituut </w:t>
      </w:r>
      <w:r w:rsidR="00820E08" w:rsidRPr="00894701">
        <w:rPr>
          <w:rFonts w:asciiTheme="minorHAnsi" w:hAnsiTheme="minorHAnsi"/>
          <w:color w:val="000000"/>
          <w:sz w:val="20"/>
        </w:rPr>
        <w:t>v</w:t>
      </w:r>
      <w:r w:rsidRPr="00894701">
        <w:rPr>
          <w:rFonts w:asciiTheme="minorHAnsi" w:hAnsiTheme="minorHAnsi"/>
          <w:color w:val="000000"/>
          <w:sz w:val="20"/>
        </w:rPr>
        <w:t>oor Milieu en Ontwikkeling in Suriname’, (NIMOS/</w:t>
      </w:r>
      <w:bookmarkStart w:id="307" w:name="_Hlk146588056"/>
      <w:r w:rsidRPr="00894701">
        <w:rPr>
          <w:rFonts w:asciiTheme="minorHAnsi" w:hAnsiTheme="minorHAnsi"/>
          <w:color w:val="000000"/>
          <w:sz w:val="20"/>
        </w:rPr>
        <w:t>National Institute for Environment and Development in Suriname</w:t>
      </w:r>
      <w:bookmarkEnd w:id="307"/>
      <w:r w:rsidRPr="00894701">
        <w:rPr>
          <w:rFonts w:asciiTheme="minorHAnsi" w:hAnsiTheme="minorHAnsi"/>
          <w:color w:val="000000"/>
          <w:sz w:val="20"/>
        </w:rPr>
        <w:t>) was established in 1998, also started with the process to develop draft regulations (</w:t>
      </w:r>
      <w:bookmarkStart w:id="308" w:name="_Hlk146588041"/>
      <w:r w:rsidRPr="00894701">
        <w:rPr>
          <w:rFonts w:asciiTheme="minorHAnsi" w:hAnsiTheme="minorHAnsi"/>
          <w:color w:val="000000"/>
          <w:sz w:val="20"/>
        </w:rPr>
        <w:t>Environmental Impact Assessment</w:t>
      </w:r>
      <w:bookmarkEnd w:id="308"/>
      <w:r w:rsidRPr="00894701">
        <w:rPr>
          <w:rFonts w:asciiTheme="minorHAnsi" w:hAnsiTheme="minorHAnsi"/>
          <w:color w:val="000000"/>
          <w:sz w:val="20"/>
        </w:rPr>
        <w:t xml:space="preserve">, Pollution Control, Environmental Fund, etc). </w:t>
      </w:r>
    </w:p>
    <w:p w14:paraId="66509F6F" w14:textId="77777777" w:rsidR="00971021" w:rsidRPr="00894701" w:rsidRDefault="00971021" w:rsidP="00971021">
      <w:pPr>
        <w:jc w:val="both"/>
        <w:rPr>
          <w:rFonts w:asciiTheme="minorHAnsi" w:hAnsiTheme="minorHAnsi"/>
          <w:color w:val="000000"/>
          <w:sz w:val="20"/>
        </w:rPr>
      </w:pPr>
      <w:r w:rsidRPr="00894701">
        <w:rPr>
          <w:rFonts w:asciiTheme="minorHAnsi" w:hAnsiTheme="minorHAnsi"/>
          <w:color w:val="000000"/>
          <w:sz w:val="20"/>
        </w:rPr>
        <w:t xml:space="preserve">The main objectives of NIMOS are: </w:t>
      </w:r>
    </w:p>
    <w:p w14:paraId="3E015AD0" w14:textId="7A6BCDBA" w:rsidR="00971021" w:rsidRPr="00894701" w:rsidRDefault="00971021" w:rsidP="00971021">
      <w:pPr>
        <w:pStyle w:val="BodyText"/>
        <w:numPr>
          <w:ilvl w:val="0"/>
          <w:numId w:val="47"/>
        </w:numPr>
        <w:jc w:val="both"/>
        <w:rPr>
          <w:rFonts w:asciiTheme="minorHAnsi" w:hAnsiTheme="minorHAnsi"/>
          <w:color w:val="auto"/>
          <w:sz w:val="20"/>
        </w:rPr>
      </w:pPr>
      <w:r w:rsidRPr="00894701">
        <w:rPr>
          <w:rFonts w:asciiTheme="minorHAnsi" w:hAnsiTheme="minorHAnsi"/>
          <w:color w:val="auto"/>
          <w:sz w:val="20"/>
        </w:rPr>
        <w:t xml:space="preserve">achieving national environmental legislation in the broadest sense; </w:t>
      </w:r>
    </w:p>
    <w:p w14:paraId="5505B035" w14:textId="14C06391" w:rsidR="00971021" w:rsidRPr="00894701" w:rsidRDefault="00971021" w:rsidP="00971021">
      <w:pPr>
        <w:pStyle w:val="BodyText"/>
        <w:numPr>
          <w:ilvl w:val="0"/>
          <w:numId w:val="47"/>
        </w:numPr>
        <w:jc w:val="both"/>
        <w:rPr>
          <w:rFonts w:asciiTheme="minorHAnsi" w:hAnsiTheme="minorHAnsi"/>
          <w:color w:val="auto"/>
          <w:sz w:val="20"/>
        </w:rPr>
      </w:pPr>
      <w:r w:rsidRPr="00894701">
        <w:rPr>
          <w:rFonts w:asciiTheme="minorHAnsi" w:hAnsiTheme="minorHAnsi"/>
          <w:color w:val="auto"/>
          <w:sz w:val="20"/>
        </w:rPr>
        <w:t>preparing and implementing environmental protection regulations; and</w:t>
      </w:r>
    </w:p>
    <w:p w14:paraId="5645C881" w14:textId="33B8630E" w:rsidR="00971021" w:rsidRPr="00894701" w:rsidRDefault="00971021" w:rsidP="00971021">
      <w:pPr>
        <w:pStyle w:val="BodyText"/>
        <w:numPr>
          <w:ilvl w:val="0"/>
          <w:numId w:val="47"/>
        </w:numPr>
        <w:jc w:val="both"/>
        <w:rPr>
          <w:rFonts w:asciiTheme="minorHAnsi" w:hAnsiTheme="minorHAnsi"/>
          <w:color w:val="auto"/>
          <w:sz w:val="20"/>
        </w:rPr>
      </w:pPr>
      <w:r w:rsidRPr="00894701">
        <w:rPr>
          <w:rFonts w:asciiTheme="minorHAnsi" w:hAnsiTheme="minorHAnsi"/>
          <w:color w:val="auto"/>
          <w:sz w:val="20"/>
        </w:rPr>
        <w:t xml:space="preserve">coordination and monitoring of compliance (source: https://nimos.org/en/about-us/). </w:t>
      </w:r>
    </w:p>
    <w:p w14:paraId="4E29E23E" w14:textId="43BCDE76" w:rsidR="00971021" w:rsidRPr="00894701" w:rsidRDefault="00971021" w:rsidP="00971021">
      <w:pPr>
        <w:jc w:val="both"/>
        <w:rPr>
          <w:rFonts w:asciiTheme="minorHAnsi" w:hAnsiTheme="minorHAnsi"/>
          <w:color w:val="000000"/>
          <w:sz w:val="20"/>
        </w:rPr>
      </w:pPr>
      <w:r w:rsidRPr="00894701">
        <w:rPr>
          <w:rFonts w:asciiTheme="minorHAnsi" w:hAnsiTheme="minorHAnsi"/>
          <w:color w:val="000000"/>
          <w:sz w:val="20"/>
        </w:rPr>
        <w:t xml:space="preserve">NIMOS gets support in the field of policy and advice from the ‘Nationale Milieu Raad’ (NMR/National Environmental Council). NMR is an advisory body of the Government of the Republic of Suriname, set up by the Presidential Decree in 1997, with the aim of preparing environmental policy and exercising control over its implementation. (See http://www.gov.sr/themas/milieu-en-omgeving/nimos.aspx)  </w:t>
      </w:r>
    </w:p>
    <w:p w14:paraId="37D93526" w14:textId="78E4AA8D" w:rsidR="00971021" w:rsidRPr="00894701" w:rsidRDefault="00971021" w:rsidP="00971021">
      <w:pPr>
        <w:jc w:val="both"/>
        <w:rPr>
          <w:rFonts w:asciiTheme="minorHAnsi" w:hAnsiTheme="minorHAnsi"/>
          <w:color w:val="000000"/>
          <w:sz w:val="20"/>
        </w:rPr>
      </w:pPr>
      <w:r w:rsidRPr="00894701">
        <w:rPr>
          <w:rFonts w:asciiTheme="minorHAnsi" w:hAnsiTheme="minorHAnsi"/>
          <w:color w:val="000000"/>
          <w:sz w:val="20"/>
        </w:rPr>
        <w:t xml:space="preserve">The Government of Suriname, in some cases in cooperation has from time to time taken actions and implemented </w:t>
      </w:r>
      <w:r w:rsidR="00A47B11" w:rsidRPr="00894701">
        <w:rPr>
          <w:rFonts w:asciiTheme="minorHAnsi" w:hAnsiTheme="minorHAnsi"/>
          <w:color w:val="000000"/>
          <w:sz w:val="20"/>
        </w:rPr>
        <w:t xml:space="preserve">with other actors and partners, </w:t>
      </w:r>
      <w:r w:rsidRPr="00894701">
        <w:rPr>
          <w:rFonts w:asciiTheme="minorHAnsi" w:hAnsiTheme="minorHAnsi"/>
          <w:color w:val="000000"/>
          <w:sz w:val="20"/>
        </w:rPr>
        <w:t>activities</w:t>
      </w:r>
      <w:r w:rsidR="00A47B11">
        <w:rPr>
          <w:rFonts w:asciiTheme="minorHAnsi" w:hAnsiTheme="minorHAnsi"/>
          <w:color w:val="000000"/>
          <w:sz w:val="20"/>
        </w:rPr>
        <w:t xml:space="preserve"> that</w:t>
      </w:r>
      <w:r w:rsidRPr="00894701">
        <w:rPr>
          <w:rFonts w:asciiTheme="minorHAnsi" w:hAnsiTheme="minorHAnsi"/>
          <w:color w:val="000000"/>
          <w:sz w:val="20"/>
        </w:rPr>
        <w:t xml:space="preserve"> aimed at regulating illegal activities in the small-medium scale gold mining sector and improving environmental protection. One of the important focus areas of the Government is to end the use of mercury in the small-scale gold mining sector. In 2018, DNA has approved the ratification of the ‘Minamata Convention on Mercury’. </w:t>
      </w:r>
    </w:p>
    <w:p w14:paraId="22D8B75E" w14:textId="77777777" w:rsidR="00971021" w:rsidRPr="00894701" w:rsidRDefault="00971021" w:rsidP="00971021">
      <w:pPr>
        <w:jc w:val="both"/>
        <w:rPr>
          <w:rFonts w:asciiTheme="minorHAnsi" w:hAnsiTheme="minorHAnsi"/>
          <w:color w:val="000000"/>
          <w:sz w:val="20"/>
        </w:rPr>
      </w:pPr>
      <w:r w:rsidRPr="00894701">
        <w:rPr>
          <w:rFonts w:asciiTheme="minorHAnsi" w:hAnsiTheme="minorHAnsi"/>
          <w:color w:val="000000"/>
          <w:sz w:val="20"/>
        </w:rPr>
        <w:t xml:space="preserve">Some of these activities include: </w:t>
      </w:r>
    </w:p>
    <w:p w14:paraId="5320927A" w14:textId="17962F5A" w:rsidR="00971021" w:rsidRPr="008F7932" w:rsidRDefault="00A47B11" w:rsidP="008F7932">
      <w:pPr>
        <w:pStyle w:val="BodyText"/>
        <w:numPr>
          <w:ilvl w:val="0"/>
          <w:numId w:val="47"/>
        </w:numPr>
        <w:jc w:val="both"/>
        <w:rPr>
          <w:rFonts w:asciiTheme="minorHAnsi" w:hAnsiTheme="minorHAnsi"/>
          <w:color w:val="auto"/>
          <w:sz w:val="20"/>
        </w:rPr>
      </w:pPr>
      <w:r>
        <w:rPr>
          <w:rFonts w:asciiTheme="minorHAnsi" w:hAnsiTheme="minorHAnsi"/>
          <w:color w:val="auto"/>
          <w:sz w:val="20"/>
        </w:rPr>
        <w:t xml:space="preserve">the </w:t>
      </w:r>
      <w:r w:rsidR="00971021" w:rsidRPr="00894701">
        <w:rPr>
          <w:rFonts w:asciiTheme="minorHAnsi" w:hAnsiTheme="minorHAnsi"/>
          <w:color w:val="auto"/>
          <w:sz w:val="20"/>
        </w:rPr>
        <w:t>Project on Artisanal and Small-Scale Gold Mining (ASGM), National Action Plan (NAP) for Suriname</w:t>
      </w:r>
      <w:r>
        <w:rPr>
          <w:rFonts w:asciiTheme="minorHAnsi" w:hAnsiTheme="minorHAnsi"/>
          <w:color w:val="auto"/>
          <w:sz w:val="20"/>
        </w:rPr>
        <w:t xml:space="preserve"> </w:t>
      </w:r>
      <w:r w:rsidR="00971021" w:rsidRPr="008F7932">
        <w:rPr>
          <w:rFonts w:asciiTheme="minorHAnsi" w:hAnsiTheme="minorHAnsi"/>
          <w:color w:val="000000"/>
          <w:sz w:val="20"/>
        </w:rPr>
        <w:t xml:space="preserve">with the Partners: Government of Suriname (NIMOS), United Nations Development Program (UNDP) and the Global Environment Facility Trust Fund (GEF Trust Fund), Global Environment Facility – Least Developed Countries Fund (GEF LDCF) and Global Environment Facility – Special Climate Change Fund (GEF SCCF). The duration of the project is 2 years, starting November 2017, and the projected cost is USD 500,000. The expected outcome is inclusive and sustainable solutions adopted for the conservation, restoration and use of ecosystems and natural resources (A Sustainable and Resilient Caribbean). </w:t>
      </w:r>
    </w:p>
    <w:p w14:paraId="23A02950" w14:textId="509D49D6" w:rsidR="00971021" w:rsidRPr="008F7932" w:rsidRDefault="00971021" w:rsidP="008F7932">
      <w:pPr>
        <w:pStyle w:val="BodyText"/>
        <w:numPr>
          <w:ilvl w:val="0"/>
          <w:numId w:val="47"/>
        </w:numPr>
        <w:jc w:val="both"/>
        <w:rPr>
          <w:rFonts w:asciiTheme="minorHAnsi" w:hAnsiTheme="minorHAnsi"/>
          <w:color w:val="000000"/>
          <w:sz w:val="20"/>
        </w:rPr>
      </w:pPr>
      <w:r w:rsidRPr="008F7932">
        <w:rPr>
          <w:rFonts w:asciiTheme="minorHAnsi" w:hAnsiTheme="minorHAnsi"/>
          <w:color w:val="auto"/>
          <w:sz w:val="20"/>
        </w:rPr>
        <w:lastRenderedPageBreak/>
        <w:t>The</w:t>
      </w:r>
      <w:r w:rsidRPr="008F7932">
        <w:rPr>
          <w:rFonts w:asciiTheme="minorHAnsi" w:hAnsiTheme="minorHAnsi"/>
          <w:color w:val="000000"/>
          <w:sz w:val="20"/>
        </w:rPr>
        <w:t xml:space="preserve"> Project on Reducing the Use and Release of Mercury by Artisanal and Small-Scale Gold Miners in Suriname with the Partners (United States Government and the Artisanal Gold Council) was initiated in September 2016 and financed by the United States Government.  </w:t>
      </w:r>
    </w:p>
    <w:p w14:paraId="525DB77B" w14:textId="77777777" w:rsidR="00971021" w:rsidRPr="00894701" w:rsidRDefault="00971021" w:rsidP="00971021">
      <w:pPr>
        <w:jc w:val="both"/>
        <w:rPr>
          <w:rFonts w:asciiTheme="minorHAnsi" w:hAnsiTheme="minorHAnsi"/>
          <w:color w:val="000000"/>
          <w:sz w:val="20"/>
        </w:rPr>
      </w:pPr>
      <w:r w:rsidRPr="00894701">
        <w:rPr>
          <w:rFonts w:asciiTheme="minorHAnsi" w:hAnsiTheme="minorHAnsi"/>
          <w:color w:val="000000"/>
          <w:sz w:val="20"/>
        </w:rPr>
        <w:t xml:space="preserve">Due to a lack of legislation on environmental protection Suriname is reflecting on internationally accepted treaties, regulations and practices for its mining operations. </w:t>
      </w:r>
    </w:p>
    <w:p w14:paraId="7054C638" w14:textId="77777777" w:rsidR="00971021" w:rsidRPr="00894701" w:rsidRDefault="00971021" w:rsidP="00971021">
      <w:pPr>
        <w:jc w:val="both"/>
        <w:rPr>
          <w:rFonts w:asciiTheme="minorHAnsi" w:hAnsiTheme="minorHAnsi"/>
          <w:color w:val="000000"/>
          <w:sz w:val="20"/>
        </w:rPr>
      </w:pPr>
      <w:r w:rsidRPr="00894701">
        <w:rPr>
          <w:rFonts w:asciiTheme="minorHAnsi" w:hAnsiTheme="minorHAnsi"/>
          <w:color w:val="000000"/>
          <w:sz w:val="20"/>
        </w:rPr>
        <w:t xml:space="preserve">Due to the above, and to protect the rain forest and tribes etc., environmental protection has become of paramount importance, especially within the context of sustainable and responsible mining. There are developments towards the preparations of environmental topics, as well as paragraphs to be inserted in the draft mining act, in progress. In the absence of formal environmental law, there are general provisions regarding the environment included within the various mineral agreements, the PSC and in the constitution.  </w:t>
      </w:r>
    </w:p>
    <w:p w14:paraId="7F4538B1" w14:textId="77777777" w:rsidR="00971021" w:rsidRPr="00894701" w:rsidRDefault="00971021" w:rsidP="00971021">
      <w:pPr>
        <w:jc w:val="both"/>
        <w:rPr>
          <w:rFonts w:asciiTheme="minorHAnsi" w:hAnsiTheme="minorHAnsi"/>
          <w:color w:val="000000"/>
          <w:sz w:val="20"/>
        </w:rPr>
      </w:pPr>
      <w:r w:rsidRPr="00894701">
        <w:rPr>
          <w:rFonts w:asciiTheme="minorHAnsi" w:hAnsiTheme="minorHAnsi"/>
          <w:color w:val="000000"/>
          <w:sz w:val="20"/>
        </w:rPr>
        <w:t xml:space="preserve">By participating in and committing to international conventions, there is also an indirect commitment to compliance with environmental regulations. NIMOS, although not a legal body for environmental management in practice, plays an important role in environmental matters. </w:t>
      </w:r>
    </w:p>
    <w:p w14:paraId="1D9CE34D" w14:textId="08E3A425" w:rsidR="00971021" w:rsidRPr="00894701" w:rsidRDefault="00971021" w:rsidP="00971021">
      <w:pPr>
        <w:jc w:val="both"/>
        <w:rPr>
          <w:rFonts w:asciiTheme="minorHAnsi" w:hAnsiTheme="minorHAnsi"/>
          <w:color w:val="000000"/>
          <w:sz w:val="20"/>
        </w:rPr>
      </w:pPr>
      <w:r w:rsidRPr="00894701">
        <w:rPr>
          <w:rFonts w:asciiTheme="minorHAnsi" w:hAnsiTheme="minorHAnsi"/>
          <w:color w:val="000000"/>
          <w:sz w:val="20"/>
        </w:rPr>
        <w:t>Mining companies have to follow internationally established rules and laws when conducting operations in Suriname, of which some are embedded in the ISO 14001 Certification.</w:t>
      </w:r>
      <w:r w:rsidR="0019254E" w:rsidRPr="00894701">
        <w:rPr>
          <w:rFonts w:asciiTheme="minorHAnsi" w:hAnsiTheme="minorHAnsi"/>
          <w:color w:val="000000"/>
          <w:sz w:val="20"/>
        </w:rPr>
        <w:t xml:space="preserve"> </w:t>
      </w:r>
      <w:r w:rsidRPr="00894701">
        <w:rPr>
          <w:rFonts w:asciiTheme="minorHAnsi" w:hAnsiTheme="minorHAnsi"/>
          <w:color w:val="000000"/>
          <w:sz w:val="20"/>
        </w:rPr>
        <w:t>A draft Environmental Framework Law was submitted to DNA on 25 January 2019, which has placed the law on its agenda for debate and approval.</w:t>
      </w:r>
      <w:r w:rsidR="00820E08" w:rsidRPr="00894701">
        <w:rPr>
          <w:rFonts w:asciiTheme="minorHAnsi" w:hAnsiTheme="minorHAnsi"/>
          <w:color w:val="000000"/>
          <w:sz w:val="20"/>
        </w:rPr>
        <w:t xml:space="preserve"> </w:t>
      </w:r>
      <w:r w:rsidR="00460C15" w:rsidRPr="00894701">
        <w:rPr>
          <w:rFonts w:asciiTheme="minorHAnsi" w:hAnsiTheme="minorHAnsi"/>
          <w:color w:val="000000"/>
          <w:sz w:val="20"/>
        </w:rPr>
        <w:t xml:space="preserve">In March 2020, Suriname adopted </w:t>
      </w:r>
      <w:r w:rsidR="00F24935" w:rsidRPr="00894701">
        <w:rPr>
          <w:rFonts w:asciiTheme="minorHAnsi" w:hAnsiTheme="minorHAnsi"/>
          <w:color w:val="000000"/>
          <w:sz w:val="20"/>
        </w:rPr>
        <w:t>an</w:t>
      </w:r>
      <w:r w:rsidR="00460C15" w:rsidRPr="00894701">
        <w:rPr>
          <w:rFonts w:asciiTheme="minorHAnsi" w:hAnsiTheme="minorHAnsi"/>
          <w:color w:val="000000"/>
          <w:sz w:val="20"/>
        </w:rPr>
        <w:t xml:space="preserve"> Environmental Framework Law. The law sets forth rules and regulations for sustainable environmental protection and management, to create a balance between economic growth and environmental protection.</w:t>
      </w:r>
      <w:r w:rsidR="00460C15" w:rsidRPr="00894701">
        <w:rPr>
          <w:rStyle w:val="FootnoteReference"/>
          <w:rFonts w:asciiTheme="minorHAnsi" w:hAnsiTheme="minorHAnsi"/>
          <w:color w:val="000000"/>
          <w:sz w:val="20"/>
        </w:rPr>
        <w:footnoteReference w:id="34"/>
      </w:r>
      <w:r w:rsidR="00460C15" w:rsidRPr="00894701">
        <w:rPr>
          <w:rFonts w:asciiTheme="minorHAnsi" w:hAnsiTheme="minorHAnsi"/>
          <w:color w:val="000000"/>
          <w:sz w:val="20"/>
        </w:rPr>
        <w:t xml:space="preserve"> </w:t>
      </w:r>
      <w:r w:rsidRPr="00894701">
        <w:rPr>
          <w:rFonts w:asciiTheme="minorHAnsi" w:hAnsiTheme="minorHAnsi"/>
          <w:color w:val="000000"/>
          <w:sz w:val="20"/>
        </w:rPr>
        <w:t xml:space="preserve">  </w:t>
      </w:r>
    </w:p>
    <w:p w14:paraId="26C8C456" w14:textId="77777777" w:rsidR="00971021" w:rsidRPr="00894701" w:rsidRDefault="00971021" w:rsidP="00A834A8">
      <w:pPr>
        <w:pStyle w:val="AltMinorHeading"/>
        <w:numPr>
          <w:ilvl w:val="2"/>
          <w:numId w:val="76"/>
        </w:numPr>
        <w:spacing w:before="100" w:beforeAutospacing="1" w:after="120"/>
        <w:ind w:right="454"/>
        <w:rPr>
          <w:rStyle w:val="Emphasis"/>
          <w:i w:val="0"/>
          <w:iCs w:val="0"/>
        </w:rPr>
      </w:pPr>
      <w:bookmarkStart w:id="309" w:name="_Toc122478904"/>
      <w:r w:rsidRPr="00894701">
        <w:rPr>
          <w:rStyle w:val="Emphasis"/>
          <w:i w:val="0"/>
          <w:iCs w:val="0"/>
        </w:rPr>
        <w:t>Environmental expenditure</w:t>
      </w:r>
      <w:bookmarkEnd w:id="309"/>
      <w:r w:rsidRPr="00894701">
        <w:rPr>
          <w:rStyle w:val="Emphasis"/>
          <w:i w:val="0"/>
          <w:iCs w:val="0"/>
        </w:rPr>
        <w:t xml:space="preserve">  </w:t>
      </w:r>
    </w:p>
    <w:p w14:paraId="7F20D607" w14:textId="77777777" w:rsidR="00971021" w:rsidRPr="00894701" w:rsidRDefault="00971021" w:rsidP="00971021">
      <w:pPr>
        <w:widowControl w:val="0"/>
        <w:spacing w:before="80" w:after="0" w:line="227" w:lineRule="exact"/>
        <w:rPr>
          <w:rFonts w:asciiTheme="minorHAnsi" w:eastAsiaTheme="minorHAnsi" w:hAnsiTheme="minorHAnsi" w:cs="TrebuchetMS-Bold"/>
          <w:b/>
          <w:bCs/>
          <w:color w:val="ED1A3B"/>
          <w:kern w:val="0"/>
          <w:sz w:val="20"/>
          <w:szCs w:val="20"/>
          <w:lang w:eastAsia="en-US"/>
        </w:rPr>
      </w:pPr>
      <w:r w:rsidRPr="00894701">
        <w:rPr>
          <w:rFonts w:asciiTheme="minorHAnsi" w:eastAsiaTheme="minorHAnsi" w:hAnsiTheme="minorHAnsi" w:cs="TrebuchetMS-Bold"/>
          <w:b/>
          <w:bCs/>
          <w:color w:val="ED1A3B"/>
          <w:kern w:val="0"/>
          <w:sz w:val="20"/>
          <w:szCs w:val="20"/>
          <w:lang w:eastAsia="en-US"/>
        </w:rPr>
        <w:t>Suriname Environmental and Mining Foundation (SEMiF)</w:t>
      </w:r>
    </w:p>
    <w:p w14:paraId="29BFD2FD" w14:textId="0B2EDFAC" w:rsidR="00971021" w:rsidRPr="00894701" w:rsidRDefault="00971021" w:rsidP="00971021">
      <w:pPr>
        <w:spacing w:before="120"/>
        <w:jc w:val="both"/>
        <w:rPr>
          <w:rFonts w:asciiTheme="minorHAnsi" w:hAnsiTheme="minorHAnsi"/>
          <w:color w:val="auto"/>
          <w:sz w:val="20"/>
        </w:rPr>
      </w:pPr>
      <w:r w:rsidRPr="00894701">
        <w:rPr>
          <w:rFonts w:asciiTheme="minorHAnsi" w:hAnsiTheme="minorHAnsi"/>
          <w:color w:val="auto"/>
          <w:sz w:val="20"/>
        </w:rPr>
        <w:t xml:space="preserve">Suriname Environmental and Mining Foundation (SEMiF) </w:t>
      </w:r>
      <w:r w:rsidR="00EC0970" w:rsidRPr="00894701">
        <w:rPr>
          <w:rFonts w:asciiTheme="minorHAnsi" w:hAnsiTheme="minorHAnsi"/>
          <w:color w:val="auto"/>
          <w:sz w:val="20"/>
        </w:rPr>
        <w:t>receives</w:t>
      </w:r>
      <w:r w:rsidRPr="00894701">
        <w:rPr>
          <w:rFonts w:asciiTheme="minorHAnsi" w:hAnsiTheme="minorHAnsi"/>
          <w:color w:val="auto"/>
          <w:sz w:val="20"/>
        </w:rPr>
        <w:t xml:space="preserve"> a mandatory donation of 0.25% of gold and silver production in-kind based on the Mineral Agreement. The focus here is to promote the local development of natural resources within Suriname, including the creation of a gold institute, granting educational scholarships to Surinamese citizens, assisting local enterprises in their efforts to develop natural resources, and taking other measures to promote the local development of natural resources within Suriname.  </w:t>
      </w:r>
    </w:p>
    <w:p w14:paraId="3F0E04E8" w14:textId="6FFF4D24" w:rsidR="00971021" w:rsidRPr="00894701" w:rsidRDefault="00971021" w:rsidP="00971021">
      <w:pPr>
        <w:spacing w:before="120"/>
        <w:jc w:val="both"/>
        <w:rPr>
          <w:rFonts w:asciiTheme="minorHAnsi" w:hAnsiTheme="minorHAnsi"/>
          <w:color w:val="auto"/>
          <w:sz w:val="20"/>
        </w:rPr>
      </w:pPr>
      <w:r w:rsidRPr="00894701">
        <w:rPr>
          <w:rFonts w:asciiTheme="minorHAnsi" w:hAnsiTheme="minorHAnsi"/>
          <w:color w:val="auto"/>
          <w:sz w:val="20"/>
        </w:rPr>
        <w:t xml:space="preserve">Since 2004 RGM pays the equivalent value of 0.25% of its monthly production of gold and silver, as royalty in-kind to SEMiF in accordance with Article 20.13 of the Mineral Agreement of 1994. </w:t>
      </w:r>
    </w:p>
    <w:p w14:paraId="17DF1FAF" w14:textId="303F5F55" w:rsidR="00971021" w:rsidRPr="00894701" w:rsidRDefault="00971021" w:rsidP="00971021">
      <w:pPr>
        <w:spacing w:before="120"/>
        <w:jc w:val="both"/>
        <w:rPr>
          <w:rFonts w:asciiTheme="minorHAnsi" w:hAnsiTheme="minorHAnsi"/>
          <w:color w:val="auto"/>
          <w:sz w:val="20"/>
        </w:rPr>
      </w:pPr>
      <w:r w:rsidRPr="00894701">
        <w:rPr>
          <w:rFonts w:asciiTheme="minorHAnsi" w:hAnsiTheme="minorHAnsi"/>
          <w:color w:val="auto"/>
          <w:sz w:val="20"/>
        </w:rPr>
        <w:t xml:space="preserve">SEMiF was founded on 27 February 2008. All the payments to SEMiF from 2004 onwards have been made retroactively in 2008 since according to the Mineral Agreement the obligation to SEMiF started with commercial production in 2004. </w:t>
      </w:r>
    </w:p>
    <w:p w14:paraId="7BE3085F" w14:textId="77777777" w:rsidR="00820E08" w:rsidRPr="00894701" w:rsidRDefault="00820E08" w:rsidP="00971021">
      <w:pPr>
        <w:spacing w:before="120"/>
        <w:jc w:val="both"/>
        <w:rPr>
          <w:rFonts w:asciiTheme="minorHAnsi" w:hAnsiTheme="minorHAnsi"/>
          <w:color w:val="auto"/>
          <w:sz w:val="20"/>
        </w:rPr>
      </w:pPr>
    </w:p>
    <w:p w14:paraId="65CF4986" w14:textId="23BF45BC" w:rsidR="00971021" w:rsidRPr="00894701" w:rsidRDefault="00971021" w:rsidP="00971021">
      <w:pPr>
        <w:spacing w:before="120"/>
        <w:jc w:val="both"/>
        <w:rPr>
          <w:rFonts w:asciiTheme="minorHAnsi" w:hAnsiTheme="minorHAnsi"/>
          <w:color w:val="auto"/>
          <w:sz w:val="20"/>
        </w:rPr>
      </w:pPr>
      <w:r w:rsidRPr="00894701">
        <w:rPr>
          <w:rFonts w:asciiTheme="minorHAnsi" w:hAnsiTheme="minorHAnsi"/>
          <w:color w:val="auto"/>
          <w:sz w:val="20"/>
        </w:rPr>
        <w:t xml:space="preserve">SeMiF aims to: </w:t>
      </w:r>
    </w:p>
    <w:p w14:paraId="5C44886C" w14:textId="101756DA" w:rsidR="00971021" w:rsidRPr="00894701" w:rsidRDefault="00971021" w:rsidP="00971021">
      <w:pPr>
        <w:pStyle w:val="ListParagraph"/>
        <w:numPr>
          <w:ilvl w:val="0"/>
          <w:numId w:val="44"/>
        </w:numPr>
        <w:spacing w:before="120"/>
        <w:jc w:val="both"/>
        <w:rPr>
          <w:rFonts w:asciiTheme="minorHAnsi" w:hAnsiTheme="minorHAnsi"/>
          <w:color w:val="auto"/>
          <w:sz w:val="20"/>
        </w:rPr>
      </w:pPr>
      <w:r w:rsidRPr="00894701">
        <w:rPr>
          <w:rFonts w:asciiTheme="minorHAnsi" w:hAnsiTheme="minorHAnsi"/>
          <w:color w:val="auto"/>
          <w:sz w:val="20"/>
        </w:rPr>
        <w:t xml:space="preserve">support and promote an environmentally friendly and responsible development of natural resources in Suriname, including the establishment of a gold institute; </w:t>
      </w:r>
    </w:p>
    <w:p w14:paraId="4C3282E8" w14:textId="3D944216" w:rsidR="00971021" w:rsidRPr="00894701" w:rsidRDefault="00971021" w:rsidP="00971021">
      <w:pPr>
        <w:pStyle w:val="ListParagraph"/>
        <w:numPr>
          <w:ilvl w:val="0"/>
          <w:numId w:val="44"/>
        </w:numPr>
        <w:spacing w:before="120"/>
        <w:jc w:val="both"/>
        <w:rPr>
          <w:rFonts w:asciiTheme="minorHAnsi" w:hAnsiTheme="minorHAnsi"/>
          <w:color w:val="auto"/>
          <w:sz w:val="20"/>
        </w:rPr>
      </w:pPr>
      <w:r w:rsidRPr="00894701">
        <w:rPr>
          <w:rFonts w:asciiTheme="minorHAnsi" w:hAnsiTheme="minorHAnsi"/>
          <w:color w:val="auto"/>
          <w:sz w:val="20"/>
        </w:rPr>
        <w:t xml:space="preserve">grant scholarships to Surinamese citizens in the context of studies relating to the provisions under the previous paragraph; </w:t>
      </w:r>
    </w:p>
    <w:p w14:paraId="48D4D8CB" w14:textId="77777777" w:rsidR="00971021" w:rsidRPr="00894701" w:rsidRDefault="00971021" w:rsidP="001851B2">
      <w:pPr>
        <w:pStyle w:val="ListParagraph"/>
        <w:spacing w:before="120"/>
        <w:jc w:val="both"/>
        <w:rPr>
          <w:rFonts w:asciiTheme="minorHAnsi" w:hAnsiTheme="minorHAnsi"/>
          <w:color w:val="auto"/>
          <w:sz w:val="20"/>
        </w:rPr>
      </w:pPr>
    </w:p>
    <w:p w14:paraId="631BD93A" w14:textId="6336AE34" w:rsidR="00971021" w:rsidRPr="00894701" w:rsidRDefault="00971021" w:rsidP="00971021">
      <w:pPr>
        <w:pStyle w:val="ListParagraph"/>
        <w:numPr>
          <w:ilvl w:val="0"/>
          <w:numId w:val="44"/>
        </w:numPr>
        <w:spacing w:before="120"/>
        <w:jc w:val="both"/>
        <w:rPr>
          <w:rFonts w:asciiTheme="minorHAnsi" w:hAnsiTheme="minorHAnsi"/>
          <w:color w:val="auto"/>
          <w:sz w:val="20"/>
        </w:rPr>
      </w:pPr>
      <w:r w:rsidRPr="00894701">
        <w:rPr>
          <w:rFonts w:asciiTheme="minorHAnsi" w:hAnsiTheme="minorHAnsi"/>
          <w:color w:val="auto"/>
          <w:sz w:val="20"/>
        </w:rPr>
        <w:t xml:space="preserve">provide support and assistance to companies of Surinamese citizens in their efforts to </w:t>
      </w:r>
    </w:p>
    <w:p w14:paraId="3E697E08" w14:textId="77777777" w:rsidR="00971021" w:rsidRPr="00894701" w:rsidRDefault="00971021" w:rsidP="00971021">
      <w:pPr>
        <w:pStyle w:val="ListParagraph"/>
        <w:numPr>
          <w:ilvl w:val="0"/>
          <w:numId w:val="44"/>
        </w:numPr>
        <w:spacing w:before="120"/>
        <w:jc w:val="both"/>
        <w:rPr>
          <w:rFonts w:asciiTheme="minorHAnsi" w:hAnsiTheme="minorHAnsi"/>
          <w:color w:val="auto"/>
          <w:sz w:val="20"/>
        </w:rPr>
      </w:pPr>
      <w:r w:rsidRPr="00894701">
        <w:rPr>
          <w:rFonts w:asciiTheme="minorHAnsi" w:hAnsiTheme="minorHAnsi"/>
          <w:color w:val="auto"/>
          <w:sz w:val="20"/>
        </w:rPr>
        <w:t xml:space="preserve">promote the development of natural resources; </w:t>
      </w:r>
    </w:p>
    <w:p w14:paraId="7014CB53" w14:textId="43C5E106" w:rsidR="00971021" w:rsidRPr="00894701" w:rsidRDefault="00971021" w:rsidP="00971021">
      <w:pPr>
        <w:pStyle w:val="ListParagraph"/>
        <w:numPr>
          <w:ilvl w:val="0"/>
          <w:numId w:val="44"/>
        </w:numPr>
        <w:spacing w:before="120"/>
        <w:jc w:val="both"/>
        <w:rPr>
          <w:rFonts w:asciiTheme="minorHAnsi" w:hAnsiTheme="minorHAnsi"/>
          <w:color w:val="auto"/>
          <w:sz w:val="20"/>
        </w:rPr>
      </w:pPr>
      <w:r w:rsidRPr="00894701">
        <w:rPr>
          <w:rFonts w:asciiTheme="minorHAnsi" w:hAnsiTheme="minorHAnsi"/>
          <w:color w:val="auto"/>
          <w:sz w:val="20"/>
        </w:rPr>
        <w:t xml:space="preserve">take all measures to promote the development of natural resources in Suriname; </w:t>
      </w:r>
    </w:p>
    <w:p w14:paraId="68C927DC" w14:textId="26491784" w:rsidR="00971021" w:rsidRPr="00894701" w:rsidRDefault="00971021" w:rsidP="00971021">
      <w:pPr>
        <w:pStyle w:val="ListParagraph"/>
        <w:numPr>
          <w:ilvl w:val="0"/>
          <w:numId w:val="44"/>
        </w:numPr>
        <w:spacing w:before="120"/>
        <w:jc w:val="both"/>
        <w:rPr>
          <w:rFonts w:asciiTheme="minorHAnsi" w:hAnsiTheme="minorHAnsi"/>
          <w:color w:val="auto"/>
          <w:sz w:val="20"/>
        </w:rPr>
      </w:pPr>
      <w:r w:rsidRPr="00894701">
        <w:rPr>
          <w:rFonts w:asciiTheme="minorHAnsi" w:hAnsiTheme="minorHAnsi"/>
          <w:color w:val="auto"/>
          <w:sz w:val="20"/>
        </w:rPr>
        <w:lastRenderedPageBreak/>
        <w:t xml:space="preserve">provide resources from the assets of SEMiF for specific pre-determined periods for the implementation of sustainable development projects aimed, among other things, at promoting the prosperity and well-being of the Surinamese society. </w:t>
      </w:r>
    </w:p>
    <w:p w14:paraId="080B14BE" w14:textId="4FD0BC44" w:rsidR="00971021" w:rsidRPr="00894701" w:rsidRDefault="00971021" w:rsidP="00971021">
      <w:pPr>
        <w:spacing w:before="120"/>
        <w:jc w:val="both"/>
        <w:rPr>
          <w:rFonts w:asciiTheme="minorHAnsi" w:hAnsiTheme="minorHAnsi"/>
          <w:color w:val="auto"/>
          <w:sz w:val="20"/>
        </w:rPr>
      </w:pPr>
      <w:r w:rsidRPr="00894701">
        <w:rPr>
          <w:rFonts w:asciiTheme="minorHAnsi" w:hAnsiTheme="minorHAnsi"/>
          <w:color w:val="auto"/>
          <w:sz w:val="20"/>
        </w:rPr>
        <w:t xml:space="preserve">The Board of SEMiF comprises five members, appointed as follows:  </w:t>
      </w:r>
    </w:p>
    <w:p w14:paraId="2C276D21" w14:textId="77777777" w:rsidR="00971021" w:rsidRPr="00894701" w:rsidRDefault="00971021" w:rsidP="00971021">
      <w:pPr>
        <w:pStyle w:val="ListParagraph"/>
        <w:numPr>
          <w:ilvl w:val="0"/>
          <w:numId w:val="45"/>
        </w:numPr>
        <w:spacing w:before="120"/>
        <w:jc w:val="both"/>
        <w:rPr>
          <w:rFonts w:asciiTheme="minorHAnsi" w:hAnsiTheme="minorHAnsi"/>
          <w:color w:val="auto"/>
          <w:sz w:val="20"/>
        </w:rPr>
      </w:pPr>
      <w:r w:rsidRPr="00894701">
        <w:rPr>
          <w:rFonts w:asciiTheme="minorHAnsi" w:hAnsiTheme="minorHAnsi"/>
          <w:color w:val="auto"/>
          <w:sz w:val="20"/>
        </w:rPr>
        <w:t xml:space="preserve">2 members being appointed by RGM; </w:t>
      </w:r>
    </w:p>
    <w:p w14:paraId="7F9255FD" w14:textId="77777777" w:rsidR="00971021" w:rsidRPr="00894701" w:rsidRDefault="00971021" w:rsidP="00971021">
      <w:pPr>
        <w:pStyle w:val="ListParagraph"/>
        <w:numPr>
          <w:ilvl w:val="0"/>
          <w:numId w:val="45"/>
        </w:numPr>
        <w:spacing w:before="120"/>
        <w:jc w:val="both"/>
        <w:rPr>
          <w:rFonts w:asciiTheme="minorHAnsi" w:hAnsiTheme="minorHAnsi"/>
          <w:color w:val="auto"/>
          <w:sz w:val="20"/>
        </w:rPr>
      </w:pPr>
      <w:r w:rsidRPr="00894701">
        <w:rPr>
          <w:rFonts w:asciiTheme="minorHAnsi" w:hAnsiTheme="minorHAnsi"/>
          <w:color w:val="auto"/>
          <w:sz w:val="20"/>
        </w:rPr>
        <w:t>2 members being appointed by Grassalco; and</w:t>
      </w:r>
    </w:p>
    <w:p w14:paraId="2BF9C44C" w14:textId="77777777" w:rsidR="00971021" w:rsidRPr="00894701" w:rsidRDefault="00971021" w:rsidP="00971021">
      <w:pPr>
        <w:pStyle w:val="ListParagraph"/>
        <w:numPr>
          <w:ilvl w:val="0"/>
          <w:numId w:val="45"/>
        </w:numPr>
        <w:spacing w:before="120"/>
        <w:jc w:val="both"/>
        <w:rPr>
          <w:rFonts w:asciiTheme="minorHAnsi" w:hAnsiTheme="minorHAnsi"/>
          <w:color w:val="auto"/>
          <w:sz w:val="20"/>
        </w:rPr>
      </w:pPr>
      <w:r w:rsidRPr="00894701">
        <w:rPr>
          <w:rFonts w:asciiTheme="minorHAnsi" w:hAnsiTheme="minorHAnsi"/>
          <w:color w:val="auto"/>
          <w:sz w:val="20"/>
        </w:rPr>
        <w:t xml:space="preserve">1 member was appointed by the Government of Suriname (MONR). </w:t>
      </w:r>
    </w:p>
    <w:p w14:paraId="27EC54FA" w14:textId="77777777" w:rsidR="00971021" w:rsidRPr="00894701" w:rsidRDefault="00971021" w:rsidP="00971021">
      <w:pPr>
        <w:spacing w:before="120"/>
        <w:jc w:val="both"/>
        <w:rPr>
          <w:rFonts w:asciiTheme="minorHAnsi" w:hAnsiTheme="minorHAnsi"/>
          <w:color w:val="auto"/>
          <w:sz w:val="20"/>
        </w:rPr>
      </w:pPr>
      <w:r w:rsidRPr="00894701">
        <w:rPr>
          <w:rFonts w:asciiTheme="minorHAnsi" w:hAnsiTheme="minorHAnsi"/>
          <w:color w:val="auto"/>
          <w:sz w:val="20"/>
        </w:rPr>
        <w:t xml:space="preserve">The board members are appointed for a period of 2 years, provided that the members of the first board are appointed for 3 years by the deed of incorporation. </w:t>
      </w:r>
    </w:p>
    <w:p w14:paraId="3084CB98" w14:textId="77777777" w:rsidR="00971021" w:rsidRPr="00894701" w:rsidRDefault="00971021" w:rsidP="00971021">
      <w:pPr>
        <w:widowControl w:val="0"/>
        <w:spacing w:before="80" w:after="0" w:line="227" w:lineRule="exact"/>
        <w:rPr>
          <w:rFonts w:asciiTheme="minorHAnsi" w:eastAsiaTheme="minorHAnsi" w:hAnsiTheme="minorHAnsi" w:cs="TrebuchetMS-Bold"/>
          <w:b/>
          <w:bCs/>
          <w:color w:val="0070C0"/>
          <w:kern w:val="0"/>
          <w:sz w:val="20"/>
          <w:szCs w:val="20"/>
          <w:lang w:eastAsia="en-US"/>
        </w:rPr>
      </w:pPr>
      <w:r w:rsidRPr="00894701">
        <w:rPr>
          <w:rFonts w:asciiTheme="minorHAnsi" w:eastAsiaTheme="minorHAnsi" w:hAnsiTheme="minorHAnsi" w:cs="TrebuchetMS-Bold"/>
          <w:b/>
          <w:bCs/>
          <w:color w:val="ED1A3B"/>
          <w:kern w:val="0"/>
          <w:sz w:val="20"/>
          <w:szCs w:val="20"/>
          <w:lang w:eastAsia="en-US"/>
        </w:rPr>
        <w:t xml:space="preserve">Governance </w:t>
      </w:r>
    </w:p>
    <w:p w14:paraId="718358B6" w14:textId="69555107" w:rsidR="00971021" w:rsidRPr="00894701" w:rsidRDefault="00971021" w:rsidP="00971021">
      <w:pPr>
        <w:spacing w:before="120"/>
        <w:jc w:val="both"/>
        <w:rPr>
          <w:rFonts w:asciiTheme="minorHAnsi" w:hAnsiTheme="minorHAnsi"/>
          <w:color w:val="auto"/>
          <w:sz w:val="20"/>
        </w:rPr>
      </w:pPr>
      <w:r w:rsidRPr="00894701">
        <w:rPr>
          <w:rFonts w:asciiTheme="minorHAnsi" w:hAnsiTheme="minorHAnsi"/>
          <w:color w:val="auto"/>
          <w:sz w:val="20"/>
        </w:rPr>
        <w:t xml:space="preserve">A decision to invest and allocate funds to projects related to the purpose of SEMiF shall require the unanimous approval of all board members present at the meeting, provided that at least 3 board members of each of the 3 organisations are represented and present during the meeting.  </w:t>
      </w:r>
    </w:p>
    <w:p w14:paraId="56EF3DCB" w14:textId="77777777" w:rsidR="00971021" w:rsidRPr="00894701" w:rsidRDefault="00971021" w:rsidP="00971021">
      <w:pPr>
        <w:pStyle w:val="ListParagraph"/>
        <w:numPr>
          <w:ilvl w:val="1"/>
          <w:numId w:val="7"/>
        </w:numPr>
        <w:spacing w:before="240" w:after="240"/>
        <w:ind w:left="851" w:right="482" w:hanging="851"/>
        <w:outlineLvl w:val="1"/>
        <w:rPr>
          <w:b/>
          <w:sz w:val="28"/>
          <w:szCs w:val="28"/>
        </w:rPr>
      </w:pPr>
      <w:r w:rsidRPr="00894701">
        <w:rPr>
          <w:b/>
          <w:sz w:val="28"/>
          <w:szCs w:val="28"/>
        </w:rPr>
        <w:t xml:space="preserve"> </w:t>
      </w:r>
      <w:bookmarkStart w:id="310" w:name="_Toc122478905"/>
      <w:r w:rsidRPr="00894701">
        <w:rPr>
          <w:b/>
          <w:sz w:val="28"/>
          <w:szCs w:val="28"/>
        </w:rPr>
        <w:t>Local content</w:t>
      </w:r>
      <w:bookmarkEnd w:id="310"/>
      <w:r w:rsidRPr="00894701">
        <w:rPr>
          <w:b/>
          <w:sz w:val="28"/>
          <w:szCs w:val="28"/>
        </w:rPr>
        <w:t xml:space="preserve">  </w:t>
      </w:r>
    </w:p>
    <w:p w14:paraId="3322825E" w14:textId="2F07B74A" w:rsidR="00971021" w:rsidRPr="00894701" w:rsidRDefault="00670F09" w:rsidP="00A834A8">
      <w:pPr>
        <w:pStyle w:val="AltMinorHeading"/>
        <w:numPr>
          <w:ilvl w:val="2"/>
          <w:numId w:val="77"/>
        </w:numPr>
        <w:spacing w:before="100" w:beforeAutospacing="1" w:after="120"/>
        <w:ind w:right="454"/>
        <w:rPr>
          <w:rStyle w:val="Emphasis"/>
          <w:i w:val="0"/>
        </w:rPr>
      </w:pPr>
      <w:bookmarkStart w:id="311" w:name="_Toc122478906"/>
      <w:r w:rsidRPr="00894701">
        <w:rPr>
          <w:szCs w:val="28"/>
        </w:rPr>
        <w:t>Local content</w:t>
      </w:r>
      <w:r w:rsidRPr="00894701">
        <w:rPr>
          <w:rStyle w:val="Emphasis"/>
          <w:i w:val="0"/>
        </w:rPr>
        <w:t xml:space="preserve"> in the </w:t>
      </w:r>
      <w:r w:rsidR="00971021" w:rsidRPr="00894701">
        <w:rPr>
          <w:rStyle w:val="Emphasis"/>
          <w:i w:val="0"/>
        </w:rPr>
        <w:t>Mining sector</w:t>
      </w:r>
      <w:bookmarkEnd w:id="311"/>
      <w:r w:rsidR="00971021" w:rsidRPr="00894701">
        <w:rPr>
          <w:rStyle w:val="Emphasis"/>
          <w:i w:val="0"/>
        </w:rPr>
        <w:t xml:space="preserve"> </w:t>
      </w:r>
    </w:p>
    <w:p w14:paraId="4DF02005" w14:textId="77777777" w:rsidR="00971021" w:rsidRPr="00894701" w:rsidRDefault="00971021" w:rsidP="00971021">
      <w:pPr>
        <w:widowControl w:val="0"/>
        <w:spacing w:before="120" w:line="240" w:lineRule="auto"/>
        <w:rPr>
          <w:rFonts w:asciiTheme="minorHAnsi" w:hAnsiTheme="minorHAnsi"/>
          <w:color w:val="010302"/>
          <w:kern w:val="0"/>
          <w:sz w:val="22"/>
          <w:szCs w:val="22"/>
          <w:lang w:eastAsia="en-US"/>
        </w:rPr>
      </w:pPr>
      <w:r w:rsidRPr="00894701">
        <w:rPr>
          <w:rFonts w:asciiTheme="minorHAnsi" w:hAnsiTheme="minorHAnsi" w:cs="TrebuchetMS-Bold"/>
          <w:b/>
          <w:bCs/>
          <w:color w:val="ED1A3B"/>
          <w:kern w:val="0"/>
          <w:sz w:val="20"/>
          <w:szCs w:val="20"/>
          <w:lang w:eastAsia="en-US"/>
        </w:rPr>
        <w:t xml:space="preserve">Mining agreements </w:t>
      </w:r>
    </w:p>
    <w:p w14:paraId="100951C9" w14:textId="64C365CC" w:rsidR="00971021" w:rsidRPr="00894701" w:rsidRDefault="00971021" w:rsidP="00971021">
      <w:pPr>
        <w:jc w:val="both"/>
        <w:rPr>
          <w:rFonts w:asciiTheme="minorHAnsi" w:hAnsiTheme="minorHAnsi"/>
          <w:color w:val="000000"/>
          <w:sz w:val="20"/>
        </w:rPr>
      </w:pPr>
      <w:r w:rsidRPr="00894701">
        <w:rPr>
          <w:rFonts w:asciiTheme="minorHAnsi" w:hAnsiTheme="minorHAnsi"/>
          <w:color w:val="000000"/>
          <w:sz w:val="20"/>
        </w:rPr>
        <w:t xml:space="preserve">There are provisions, both within the Mining Decree and the mineral agreement governing the Rosebel gold mine (for example), that operators give preference to the employment of Surinamese citizens at all levels of the organisation, to the extent that such persons are available, qualified and suitable for such jobs. Under the Rosebel/Golden Star agreement, training must be provided to ensure the development of these skills.  </w:t>
      </w:r>
    </w:p>
    <w:p w14:paraId="37251F1F" w14:textId="55760575" w:rsidR="00520877" w:rsidRPr="00894701" w:rsidRDefault="00520877" w:rsidP="00971021">
      <w:pPr>
        <w:jc w:val="both"/>
        <w:rPr>
          <w:rFonts w:asciiTheme="minorHAnsi" w:hAnsiTheme="minorHAnsi"/>
          <w:color w:val="000000"/>
          <w:sz w:val="20"/>
        </w:rPr>
      </w:pPr>
      <w:r w:rsidRPr="00894701">
        <w:rPr>
          <w:rFonts w:asciiTheme="minorHAnsi" w:hAnsiTheme="minorHAnsi"/>
          <w:color w:val="000000"/>
          <w:sz w:val="20"/>
        </w:rPr>
        <w:t xml:space="preserve">In the mineral agreement governing Newmont LLC., there </w:t>
      </w:r>
      <w:r w:rsidR="005B2B64">
        <w:rPr>
          <w:rFonts w:asciiTheme="minorHAnsi" w:hAnsiTheme="minorHAnsi"/>
          <w:color w:val="000000"/>
          <w:sz w:val="20"/>
        </w:rPr>
        <w:t>is</w:t>
      </w:r>
      <w:r w:rsidRPr="00894701">
        <w:rPr>
          <w:rFonts w:asciiTheme="minorHAnsi" w:hAnsiTheme="minorHAnsi"/>
          <w:color w:val="000000"/>
          <w:sz w:val="20"/>
        </w:rPr>
        <w:t xml:space="preserve"> </w:t>
      </w:r>
      <w:r w:rsidR="005B2B64">
        <w:rPr>
          <w:rFonts w:asciiTheme="minorHAnsi" w:hAnsiTheme="minorHAnsi"/>
          <w:color w:val="000000"/>
          <w:sz w:val="20"/>
        </w:rPr>
        <w:t xml:space="preserve">a </w:t>
      </w:r>
      <w:r w:rsidR="0085302F">
        <w:rPr>
          <w:rFonts w:asciiTheme="minorHAnsi" w:hAnsiTheme="minorHAnsi"/>
          <w:color w:val="000000"/>
          <w:sz w:val="20"/>
        </w:rPr>
        <w:t>preference</w:t>
      </w:r>
      <w:r w:rsidR="005B2B64">
        <w:rPr>
          <w:rFonts w:asciiTheme="minorHAnsi" w:hAnsiTheme="minorHAnsi"/>
          <w:color w:val="000000"/>
          <w:sz w:val="20"/>
        </w:rPr>
        <w:t xml:space="preserve"> for nationals</w:t>
      </w:r>
      <w:r w:rsidR="0085302F" w:rsidRPr="00894701">
        <w:rPr>
          <w:rFonts w:asciiTheme="minorHAnsi" w:hAnsiTheme="minorHAnsi"/>
          <w:color w:val="000000"/>
          <w:sz w:val="20"/>
        </w:rPr>
        <w:t xml:space="preserve"> </w:t>
      </w:r>
      <w:r w:rsidRPr="00894701">
        <w:rPr>
          <w:rFonts w:asciiTheme="minorHAnsi" w:hAnsiTheme="minorHAnsi"/>
          <w:color w:val="000000"/>
          <w:sz w:val="20"/>
        </w:rPr>
        <w:t>on a national level and on a local/ Pamaka level. Preferential job</w:t>
      </w:r>
      <w:r w:rsidR="00841B78" w:rsidRPr="00894701">
        <w:rPr>
          <w:rFonts w:asciiTheme="minorHAnsi" w:hAnsiTheme="minorHAnsi"/>
          <w:color w:val="000000"/>
          <w:sz w:val="20"/>
        </w:rPr>
        <w:t>s</w:t>
      </w:r>
      <w:r w:rsidRPr="00894701">
        <w:rPr>
          <w:rFonts w:asciiTheme="minorHAnsi" w:hAnsiTheme="minorHAnsi"/>
          <w:color w:val="000000"/>
          <w:sz w:val="20"/>
        </w:rPr>
        <w:t xml:space="preserve"> for Surinamese qualified personnel in general is clearly stated. In the framework of the </w:t>
      </w:r>
      <w:r w:rsidR="00841B78" w:rsidRPr="00894701">
        <w:rPr>
          <w:rFonts w:asciiTheme="minorHAnsi" w:hAnsiTheme="minorHAnsi"/>
          <w:color w:val="000000"/>
          <w:sz w:val="20"/>
        </w:rPr>
        <w:t>Cooperation</w:t>
      </w:r>
      <w:r w:rsidRPr="00894701">
        <w:rPr>
          <w:rFonts w:asciiTheme="minorHAnsi" w:hAnsiTheme="minorHAnsi"/>
          <w:color w:val="000000"/>
          <w:sz w:val="20"/>
        </w:rPr>
        <w:t xml:space="preserve"> Agreement between Newmont Suriname and the Pamaka community, NS is preferentially recruiting and hiring Pamakans while also contributing to preferential procurement of goods and services from the Pamakan Community and therefore </w:t>
      </w:r>
      <w:r w:rsidR="00841B78" w:rsidRPr="00894701">
        <w:rPr>
          <w:rFonts w:asciiTheme="minorHAnsi" w:hAnsiTheme="minorHAnsi"/>
          <w:color w:val="000000"/>
          <w:sz w:val="20"/>
        </w:rPr>
        <w:t>strengthening</w:t>
      </w:r>
      <w:r w:rsidRPr="00894701">
        <w:rPr>
          <w:rFonts w:asciiTheme="minorHAnsi" w:hAnsiTheme="minorHAnsi"/>
          <w:color w:val="000000"/>
          <w:sz w:val="20"/>
        </w:rPr>
        <w:t xml:space="preserve"> local entrepreneurship and job creation. Newmont also contributes to local content on a national level through preferential procurement of goods and services.</w:t>
      </w:r>
    </w:p>
    <w:p w14:paraId="50934A0F" w14:textId="77777777" w:rsidR="00971021" w:rsidRPr="00894701" w:rsidRDefault="00971021" w:rsidP="00971021">
      <w:pPr>
        <w:jc w:val="both"/>
        <w:rPr>
          <w:rFonts w:asciiTheme="minorHAnsi" w:hAnsiTheme="minorHAnsi"/>
          <w:color w:val="000000"/>
          <w:sz w:val="20"/>
        </w:rPr>
      </w:pPr>
      <w:r w:rsidRPr="00894701">
        <w:rPr>
          <w:rFonts w:asciiTheme="minorHAnsi" w:hAnsiTheme="minorHAnsi"/>
          <w:color w:val="000000"/>
          <w:sz w:val="20"/>
        </w:rPr>
        <w:t xml:space="preserve">There have been efforts to promote non-mine-related industrial business services made possible by the infrastructure put in place for the mine: namely, Grassalco’s efforts to process the waste rock from the Rosebel mine site into construction materials and get these materials to market via the mine’s access roads. </w:t>
      </w:r>
    </w:p>
    <w:p w14:paraId="3D8D0A93" w14:textId="77777777" w:rsidR="00971021" w:rsidRPr="00894701" w:rsidRDefault="00971021" w:rsidP="00971021">
      <w:pPr>
        <w:widowControl w:val="0"/>
        <w:spacing w:before="120" w:line="240" w:lineRule="auto"/>
        <w:rPr>
          <w:rFonts w:asciiTheme="minorHAnsi" w:hAnsiTheme="minorHAnsi" w:cs="TrebuchetMS-Bold"/>
          <w:b/>
          <w:bCs/>
          <w:color w:val="ED1A3B"/>
          <w:kern w:val="0"/>
          <w:sz w:val="20"/>
          <w:szCs w:val="20"/>
          <w:lang w:eastAsia="en-US"/>
        </w:rPr>
      </w:pPr>
      <w:r w:rsidRPr="00894701">
        <w:rPr>
          <w:rFonts w:asciiTheme="minorHAnsi" w:hAnsiTheme="minorHAnsi" w:cs="TrebuchetMS-Bold"/>
          <w:b/>
          <w:bCs/>
          <w:color w:val="ED1A3B"/>
          <w:kern w:val="0"/>
          <w:sz w:val="20"/>
          <w:szCs w:val="20"/>
          <w:lang w:eastAsia="en-US"/>
        </w:rPr>
        <w:t xml:space="preserve">Mining Law </w:t>
      </w:r>
    </w:p>
    <w:p w14:paraId="66DB7D2C" w14:textId="65FD82D4" w:rsidR="00971021" w:rsidRPr="00894701" w:rsidRDefault="00971021" w:rsidP="00971021">
      <w:pPr>
        <w:jc w:val="both"/>
        <w:rPr>
          <w:rFonts w:asciiTheme="minorHAnsi" w:hAnsiTheme="minorHAnsi"/>
          <w:color w:val="000000"/>
          <w:sz w:val="20"/>
        </w:rPr>
      </w:pPr>
      <w:r w:rsidRPr="00894701">
        <w:rPr>
          <w:rFonts w:asciiTheme="minorHAnsi" w:hAnsiTheme="minorHAnsi"/>
          <w:color w:val="000000"/>
          <w:sz w:val="20"/>
        </w:rPr>
        <w:t xml:space="preserve">Suriname's draft mining law includes a provision that four years after the commencement of commercial production, exploitation rights holders shall only be entitled to employ non-residents to a maximum of 10% of their total staff. </w:t>
      </w:r>
    </w:p>
    <w:p w14:paraId="0D5DDDAD" w14:textId="77777777" w:rsidR="00971021" w:rsidRPr="00894701" w:rsidRDefault="00971021" w:rsidP="00971021">
      <w:pPr>
        <w:jc w:val="both"/>
        <w:rPr>
          <w:rFonts w:asciiTheme="minorHAnsi" w:hAnsiTheme="minorHAnsi"/>
          <w:color w:val="000000"/>
          <w:sz w:val="20"/>
        </w:rPr>
      </w:pPr>
      <w:r w:rsidRPr="00894701">
        <w:rPr>
          <w:rFonts w:asciiTheme="minorHAnsi" w:hAnsiTheme="minorHAnsi"/>
          <w:color w:val="000000"/>
          <w:sz w:val="20"/>
        </w:rPr>
        <w:t xml:space="preserve">According to the Mining Decree, priority must also be given to local purchasing of goods and services, provided they can be obtained at comparable price, type, variety and quantity. While this provision is included in the legislation, plans for ensuring local business development are not required as part of the permitting process.  </w:t>
      </w:r>
    </w:p>
    <w:p w14:paraId="650DDD68" w14:textId="1FE44A7F" w:rsidR="00971021" w:rsidRPr="00894701" w:rsidRDefault="00670F09" w:rsidP="00A834A8">
      <w:pPr>
        <w:pStyle w:val="AltMinorHeading"/>
        <w:numPr>
          <w:ilvl w:val="2"/>
          <w:numId w:val="77"/>
        </w:numPr>
        <w:spacing w:before="100" w:beforeAutospacing="1" w:after="120"/>
        <w:ind w:right="454"/>
        <w:rPr>
          <w:iCs/>
          <w:szCs w:val="28"/>
        </w:rPr>
      </w:pPr>
      <w:bookmarkStart w:id="312" w:name="_Toc122478907"/>
      <w:r w:rsidRPr="00894701">
        <w:rPr>
          <w:szCs w:val="28"/>
        </w:rPr>
        <w:t>Local content</w:t>
      </w:r>
      <w:r w:rsidRPr="00894701">
        <w:rPr>
          <w:iCs/>
          <w:szCs w:val="28"/>
        </w:rPr>
        <w:t xml:space="preserve"> in the </w:t>
      </w:r>
      <w:r w:rsidR="00971021" w:rsidRPr="00894701">
        <w:rPr>
          <w:iCs/>
          <w:szCs w:val="28"/>
        </w:rPr>
        <w:t>Oil and Gas sector</w:t>
      </w:r>
      <w:bookmarkEnd w:id="312"/>
      <w:r w:rsidR="00971021" w:rsidRPr="00894701">
        <w:rPr>
          <w:iCs/>
          <w:szCs w:val="28"/>
        </w:rPr>
        <w:t xml:space="preserve">  </w:t>
      </w:r>
    </w:p>
    <w:p w14:paraId="5FF3DB63" w14:textId="4990E42B" w:rsidR="00971021" w:rsidRPr="00894701" w:rsidRDefault="00971021" w:rsidP="00971021">
      <w:pPr>
        <w:jc w:val="both"/>
        <w:rPr>
          <w:rFonts w:asciiTheme="minorHAnsi" w:hAnsiTheme="minorHAnsi"/>
          <w:color w:val="000000"/>
          <w:sz w:val="20"/>
        </w:rPr>
      </w:pPr>
      <w:r w:rsidRPr="00894701">
        <w:rPr>
          <w:rFonts w:asciiTheme="minorHAnsi" w:hAnsiTheme="minorHAnsi"/>
          <w:color w:val="000000"/>
          <w:sz w:val="20"/>
        </w:rPr>
        <w:t xml:space="preserve">A contractor shall, in accordance with the legal regulations and the provisions of the petroleum agreement concerned, see to it that employment of foreign personnel is strictly limited to functions for which there are no experienced and qualified Surinamese nationals available, and shall utilise all </w:t>
      </w:r>
      <w:r w:rsidRPr="00894701">
        <w:rPr>
          <w:rFonts w:asciiTheme="minorHAnsi" w:hAnsiTheme="minorHAnsi"/>
          <w:color w:val="000000"/>
          <w:sz w:val="20"/>
        </w:rPr>
        <w:lastRenderedPageBreak/>
        <w:t xml:space="preserve">possibilities so that Surinamese nationals can gain expertise in and acquire responsible positions in the activities within the framework of the petroleum agreement. </w:t>
      </w:r>
    </w:p>
    <w:p w14:paraId="2934416E" w14:textId="77777777" w:rsidR="00971021" w:rsidRPr="00894701" w:rsidRDefault="00971021" w:rsidP="00971021">
      <w:pPr>
        <w:jc w:val="both"/>
        <w:rPr>
          <w:rFonts w:asciiTheme="minorHAnsi" w:hAnsiTheme="minorHAnsi"/>
          <w:color w:val="000000"/>
          <w:sz w:val="20"/>
        </w:rPr>
      </w:pPr>
      <w:r w:rsidRPr="00894701">
        <w:rPr>
          <w:rFonts w:asciiTheme="minorHAnsi" w:hAnsiTheme="minorHAnsi"/>
          <w:color w:val="000000"/>
          <w:sz w:val="20"/>
        </w:rPr>
        <w:t xml:space="preserve">A contractor shall, in performing the activities with respect to the petroleum agreement, give preference to goods and services produced and/or available in Suriname instead of foreign goods and services, if these can be acquired on conditions that are not less favourable. </w:t>
      </w:r>
    </w:p>
    <w:p w14:paraId="54BED1FB" w14:textId="77777777" w:rsidR="00971021" w:rsidRPr="00894701" w:rsidRDefault="00971021" w:rsidP="00971021">
      <w:pPr>
        <w:pStyle w:val="ListParagraph"/>
        <w:numPr>
          <w:ilvl w:val="1"/>
          <w:numId w:val="7"/>
        </w:numPr>
        <w:spacing w:before="240" w:after="240"/>
        <w:ind w:left="851" w:right="482" w:hanging="851"/>
        <w:outlineLvl w:val="1"/>
        <w:rPr>
          <w:b/>
          <w:sz w:val="28"/>
          <w:szCs w:val="28"/>
        </w:rPr>
      </w:pPr>
      <w:bookmarkStart w:id="313" w:name="_Hlk117668447"/>
      <w:bookmarkStart w:id="314" w:name="_Toc101350009"/>
      <w:bookmarkStart w:id="315" w:name="_Toc104555400"/>
      <w:bookmarkStart w:id="316" w:name="_Toc122478908"/>
      <w:r w:rsidRPr="00894701">
        <w:rPr>
          <w:b/>
          <w:sz w:val="28"/>
          <w:szCs w:val="28"/>
        </w:rPr>
        <w:t xml:space="preserve">Production data in the </w:t>
      </w:r>
      <w:bookmarkEnd w:id="313"/>
      <w:r w:rsidRPr="00894701">
        <w:rPr>
          <w:b/>
          <w:sz w:val="28"/>
          <w:szCs w:val="28"/>
        </w:rPr>
        <w:t>extractive sector (EITI Requirement 3.2)</w:t>
      </w:r>
      <w:bookmarkEnd w:id="314"/>
      <w:bookmarkEnd w:id="315"/>
      <w:bookmarkEnd w:id="316"/>
    </w:p>
    <w:p w14:paraId="378A6CCA" w14:textId="77777777" w:rsidR="00971021" w:rsidRPr="00894701" w:rsidRDefault="00971021" w:rsidP="00971021">
      <w:pPr>
        <w:pStyle w:val="BodyText"/>
        <w:jc w:val="both"/>
        <w:rPr>
          <w:rFonts w:asciiTheme="majorHAnsi" w:hAnsiTheme="majorHAnsi"/>
          <w:color w:val="auto"/>
          <w:sz w:val="20"/>
          <w:szCs w:val="20"/>
        </w:rPr>
      </w:pPr>
      <w:r w:rsidRPr="00894701">
        <w:rPr>
          <w:rFonts w:asciiTheme="majorHAnsi" w:hAnsiTheme="majorHAnsi"/>
          <w:color w:val="auto"/>
          <w:sz w:val="20"/>
          <w:szCs w:val="20"/>
        </w:rPr>
        <w:t xml:space="preserve">The </w:t>
      </w:r>
      <w:bookmarkStart w:id="317" w:name="_Hlk117110591"/>
      <w:r w:rsidRPr="00894701">
        <w:rPr>
          <w:rFonts w:asciiTheme="majorHAnsi" w:hAnsiTheme="majorHAnsi"/>
          <w:color w:val="auto"/>
          <w:sz w:val="20"/>
          <w:szCs w:val="20"/>
        </w:rPr>
        <w:t xml:space="preserve">Central Bank of Suriname </w:t>
      </w:r>
      <w:bookmarkEnd w:id="317"/>
      <w:r w:rsidRPr="00894701">
        <w:rPr>
          <w:rFonts w:asciiTheme="majorHAnsi" w:hAnsiTheme="majorHAnsi"/>
          <w:color w:val="auto"/>
          <w:sz w:val="20"/>
          <w:szCs w:val="20"/>
        </w:rPr>
        <w:t>(CBvS) publishes the production volumes of the main commodities relating to the mining and the oil and gas sectors systematically in its annual report</w:t>
      </w:r>
      <w:r w:rsidRPr="00894701">
        <w:rPr>
          <w:rStyle w:val="FootnoteReference"/>
          <w:rFonts w:asciiTheme="majorHAnsi" w:hAnsiTheme="majorHAnsi"/>
          <w:color w:val="auto"/>
          <w:sz w:val="20"/>
          <w:szCs w:val="20"/>
        </w:rPr>
        <w:footnoteReference w:id="35"/>
      </w:r>
      <w:r w:rsidRPr="00894701">
        <w:rPr>
          <w:rFonts w:asciiTheme="majorHAnsi" w:hAnsiTheme="majorHAnsi"/>
          <w:color w:val="auto"/>
          <w:sz w:val="20"/>
          <w:szCs w:val="20"/>
        </w:rPr>
        <w:t xml:space="preserve">. The 2018 and 2019 Central Bank of Suriname annual report can be accessed online at the following link: </w:t>
      </w:r>
    </w:p>
    <w:p w14:paraId="547C5CB8" w14:textId="462742CD" w:rsidR="00971021" w:rsidRPr="00894701" w:rsidRDefault="00971021" w:rsidP="00971021">
      <w:pPr>
        <w:pStyle w:val="BodyText"/>
        <w:spacing w:after="240"/>
        <w:jc w:val="both"/>
        <w:rPr>
          <w:rFonts w:asciiTheme="majorHAnsi" w:hAnsiTheme="majorHAnsi"/>
          <w:color w:val="auto"/>
          <w:sz w:val="20"/>
          <w:szCs w:val="20"/>
        </w:rPr>
      </w:pPr>
      <w:r w:rsidRPr="00894701">
        <w:rPr>
          <w:rFonts w:asciiTheme="majorHAnsi" w:hAnsiTheme="majorHAnsi"/>
          <w:color w:val="auto"/>
          <w:sz w:val="20"/>
          <w:szCs w:val="20"/>
        </w:rPr>
        <w:t>(</w:t>
      </w:r>
      <w:hyperlink r:id="rId53" w:history="1">
        <w:r w:rsidR="00B16B4D" w:rsidRPr="00894701">
          <w:rPr>
            <w:rStyle w:val="Hyperlink"/>
            <w:sz w:val="20"/>
            <w:szCs w:val="20"/>
          </w:rPr>
          <w:t>https://www.cbvs.sr/en/publications-research/cbvs-reports/annual-reports</w:t>
        </w:r>
      </w:hyperlink>
      <w:r w:rsidRPr="00894701">
        <w:rPr>
          <w:sz w:val="20"/>
          <w:szCs w:val="20"/>
        </w:rPr>
        <w:t>).</w:t>
      </w:r>
    </w:p>
    <w:p w14:paraId="41FDE8CB" w14:textId="1AAA16E7" w:rsidR="00971021" w:rsidRPr="00894701" w:rsidRDefault="004374E9" w:rsidP="004374E9">
      <w:pPr>
        <w:pStyle w:val="Heading3"/>
        <w:numPr>
          <w:ilvl w:val="0"/>
          <w:numId w:val="0"/>
        </w:numPr>
        <w:spacing w:before="120" w:after="240"/>
        <w:ind w:right="482"/>
        <w:rPr>
          <w:bCs w:val="0"/>
          <w:caps w:val="0"/>
        </w:rPr>
      </w:pPr>
      <w:bookmarkStart w:id="318" w:name="_Toc101350011"/>
      <w:bookmarkStart w:id="319" w:name="_Toc122478909"/>
      <w:r w:rsidRPr="00894701">
        <w:rPr>
          <w:bCs w:val="0"/>
          <w:caps w:val="0"/>
        </w:rPr>
        <w:t xml:space="preserve">3.18.1. </w:t>
      </w:r>
      <w:bookmarkStart w:id="320" w:name="_Hlk146480191"/>
      <w:r w:rsidR="00670F09" w:rsidRPr="00894701">
        <w:rPr>
          <w:bCs w:val="0"/>
          <w:caps w:val="0"/>
        </w:rPr>
        <w:t xml:space="preserve">Production data in the </w:t>
      </w:r>
      <w:r w:rsidR="00971021" w:rsidRPr="00894701">
        <w:rPr>
          <w:bCs w:val="0"/>
          <w:caps w:val="0"/>
        </w:rPr>
        <w:t>Oil &amp; Gas sector</w:t>
      </w:r>
      <w:bookmarkEnd w:id="318"/>
      <w:bookmarkEnd w:id="319"/>
      <w:bookmarkEnd w:id="320"/>
    </w:p>
    <w:p w14:paraId="44D88771" w14:textId="5D43C84A" w:rsidR="00971021" w:rsidRDefault="00971021" w:rsidP="00971021">
      <w:pPr>
        <w:pStyle w:val="BodyText"/>
        <w:jc w:val="both"/>
        <w:rPr>
          <w:rFonts w:asciiTheme="majorHAnsi" w:hAnsiTheme="majorHAnsi"/>
          <w:color w:val="222222"/>
          <w:sz w:val="20"/>
          <w:szCs w:val="20"/>
          <w:shd w:val="clear" w:color="auto" w:fill="FFFFFF"/>
        </w:rPr>
      </w:pPr>
      <w:r w:rsidRPr="00894701">
        <w:rPr>
          <w:rFonts w:asciiTheme="majorHAnsi" w:hAnsiTheme="majorHAnsi"/>
          <w:color w:val="222222"/>
          <w:sz w:val="20"/>
          <w:szCs w:val="20"/>
          <w:shd w:val="clear" w:color="auto" w:fill="FFFFFF"/>
        </w:rPr>
        <w:t>Staatsolie is the state-owned oil company of Suriname</w:t>
      </w:r>
      <w:r w:rsidR="00005C15">
        <w:rPr>
          <w:rFonts w:asciiTheme="majorHAnsi" w:hAnsiTheme="majorHAnsi"/>
          <w:color w:val="222222"/>
          <w:sz w:val="20"/>
          <w:szCs w:val="20"/>
          <w:shd w:val="clear" w:color="auto" w:fill="FFFFFF"/>
        </w:rPr>
        <w:t xml:space="preserve"> and it announced </w:t>
      </w:r>
      <w:r w:rsidR="00005C15" w:rsidRPr="00005C15">
        <w:rPr>
          <w:rFonts w:asciiTheme="majorHAnsi" w:hAnsiTheme="majorHAnsi"/>
          <w:color w:val="222222"/>
          <w:sz w:val="20"/>
          <w:szCs w:val="20"/>
          <w:shd w:val="clear" w:color="auto" w:fill="FFFFFF"/>
        </w:rPr>
        <w:t>89.6 MMbbls</w:t>
      </w:r>
      <w:r w:rsidR="00005C15">
        <w:rPr>
          <w:rFonts w:asciiTheme="majorHAnsi" w:hAnsiTheme="majorHAnsi"/>
          <w:color w:val="222222"/>
          <w:sz w:val="20"/>
          <w:szCs w:val="20"/>
          <w:shd w:val="clear" w:color="auto" w:fill="FFFFFF"/>
        </w:rPr>
        <w:t xml:space="preserve"> of proven reserves for 2020</w:t>
      </w:r>
      <w:r w:rsidR="00005C15">
        <w:rPr>
          <w:rStyle w:val="FootnoteReference"/>
          <w:rFonts w:asciiTheme="majorHAnsi" w:hAnsiTheme="majorHAnsi"/>
          <w:color w:val="222222"/>
          <w:sz w:val="20"/>
          <w:szCs w:val="20"/>
          <w:shd w:val="clear" w:color="auto" w:fill="FFFFFF"/>
        </w:rPr>
        <w:footnoteReference w:id="36"/>
      </w:r>
      <w:r w:rsidRPr="00894701">
        <w:rPr>
          <w:rFonts w:asciiTheme="majorHAnsi" w:hAnsiTheme="majorHAnsi"/>
          <w:color w:val="222222"/>
          <w:sz w:val="20"/>
          <w:szCs w:val="20"/>
          <w:shd w:val="clear" w:color="auto" w:fill="FFFFFF"/>
        </w:rPr>
        <w:t>. The company produced over 5.98 million barrels of crude oil with a gross revenue of USD 508 million in 2018, the production increased by 1.02% in 2019 with 6.1 million barrels. However, the revenue decreased by 0,98% when production dropped to 6.0 million barrels in 2020.</w:t>
      </w:r>
    </w:p>
    <w:p w14:paraId="5F59175C" w14:textId="67D196D6" w:rsidR="0014087C" w:rsidRPr="00894701" w:rsidRDefault="0014087C" w:rsidP="00860520">
      <w:pPr>
        <w:pStyle w:val="BodyText"/>
        <w:jc w:val="center"/>
        <w:rPr>
          <w:rFonts w:asciiTheme="majorHAnsi" w:hAnsiTheme="majorHAnsi"/>
          <w:color w:val="222222"/>
          <w:sz w:val="20"/>
          <w:szCs w:val="20"/>
          <w:shd w:val="clear" w:color="auto" w:fill="FFFFFF"/>
        </w:rPr>
      </w:pPr>
      <w:bookmarkStart w:id="321" w:name="_Toc146590502"/>
      <w:r w:rsidRPr="00894701">
        <w:rPr>
          <w:rFonts w:asciiTheme="majorHAnsi" w:hAnsiTheme="majorHAnsi"/>
          <w:b/>
          <w:bCs/>
          <w:color w:val="98002E" w:themeColor="accent3"/>
          <w:sz w:val="20"/>
        </w:rPr>
        <w:t xml:space="preserve">Table </w:t>
      </w:r>
      <w:r w:rsidRPr="00894701">
        <w:rPr>
          <w:rFonts w:asciiTheme="majorHAnsi" w:hAnsiTheme="majorHAnsi"/>
          <w:b/>
          <w:bCs/>
          <w:color w:val="98002E" w:themeColor="accent3"/>
          <w:sz w:val="20"/>
        </w:rPr>
        <w:fldChar w:fldCharType="begin"/>
      </w:r>
      <w:r w:rsidRPr="00894701">
        <w:rPr>
          <w:rFonts w:asciiTheme="majorHAnsi" w:hAnsiTheme="majorHAnsi"/>
          <w:b/>
          <w:bCs/>
          <w:color w:val="98002E" w:themeColor="accent3"/>
          <w:sz w:val="20"/>
        </w:rPr>
        <w:instrText xml:space="preserve"> SEQ Table \* ARABIC </w:instrText>
      </w:r>
      <w:r w:rsidRPr="00894701">
        <w:rPr>
          <w:rFonts w:asciiTheme="majorHAnsi" w:hAnsiTheme="majorHAnsi"/>
          <w:b/>
          <w:bCs/>
          <w:color w:val="98002E" w:themeColor="accent3"/>
          <w:sz w:val="20"/>
        </w:rPr>
        <w:fldChar w:fldCharType="separate"/>
      </w:r>
      <w:r w:rsidR="0035303B">
        <w:rPr>
          <w:rFonts w:asciiTheme="majorHAnsi" w:hAnsiTheme="majorHAnsi"/>
          <w:b/>
          <w:bCs/>
          <w:noProof/>
          <w:color w:val="98002E" w:themeColor="accent3"/>
          <w:sz w:val="20"/>
        </w:rPr>
        <w:t>30</w:t>
      </w:r>
      <w:r w:rsidRPr="00894701">
        <w:rPr>
          <w:rFonts w:asciiTheme="majorHAnsi" w:hAnsiTheme="majorHAnsi"/>
          <w:b/>
          <w:bCs/>
          <w:color w:val="98002E" w:themeColor="accent3"/>
          <w:sz w:val="20"/>
        </w:rPr>
        <w:fldChar w:fldCharType="end"/>
      </w:r>
      <w:r w:rsidRPr="00894701">
        <w:rPr>
          <w:rFonts w:asciiTheme="majorHAnsi" w:hAnsiTheme="majorHAnsi"/>
          <w:b/>
          <w:bCs/>
          <w:color w:val="98002E" w:themeColor="accent3"/>
          <w:sz w:val="20"/>
        </w:rPr>
        <w:t xml:space="preserve">: </w:t>
      </w:r>
      <w:r w:rsidR="00753622">
        <w:rPr>
          <w:rFonts w:asciiTheme="majorHAnsi" w:hAnsiTheme="majorHAnsi"/>
          <w:b/>
          <w:bCs/>
          <w:color w:val="98002E" w:themeColor="accent3"/>
          <w:sz w:val="20"/>
        </w:rPr>
        <w:t>Summary of p</w:t>
      </w:r>
      <w:r w:rsidR="00753622" w:rsidRPr="00753622">
        <w:rPr>
          <w:rFonts w:asciiTheme="majorHAnsi" w:hAnsiTheme="majorHAnsi"/>
          <w:b/>
          <w:bCs/>
          <w:color w:val="98002E" w:themeColor="accent3"/>
          <w:sz w:val="20"/>
        </w:rPr>
        <w:t>roduction data in the Oil &amp; Gas sector</w:t>
      </w:r>
      <w:bookmarkEnd w:id="321"/>
    </w:p>
    <w:tbl>
      <w:tblPr>
        <w:tblW w:w="5000" w:type="pct"/>
        <w:tblLayout w:type="fixed"/>
        <w:tblLook w:val="04A0" w:firstRow="1" w:lastRow="0" w:firstColumn="1" w:lastColumn="0" w:noHBand="0" w:noVBand="1"/>
      </w:tblPr>
      <w:tblGrid>
        <w:gridCol w:w="1270"/>
        <w:gridCol w:w="1137"/>
        <w:gridCol w:w="1419"/>
        <w:gridCol w:w="1135"/>
        <w:gridCol w:w="1417"/>
        <w:gridCol w:w="992"/>
        <w:gridCol w:w="1680"/>
      </w:tblGrid>
      <w:tr w:rsidR="00971021" w:rsidRPr="00894701" w14:paraId="4303D98A" w14:textId="77777777" w:rsidTr="00446B8D">
        <w:trPr>
          <w:trHeight w:val="270"/>
        </w:trPr>
        <w:tc>
          <w:tcPr>
            <w:tcW w:w="702" w:type="pct"/>
            <w:vMerge w:val="restart"/>
            <w:tcBorders>
              <w:top w:val="nil"/>
              <w:left w:val="nil"/>
              <w:bottom w:val="single" w:sz="12" w:space="0" w:color="FF0000"/>
              <w:right w:val="nil"/>
            </w:tcBorders>
            <w:shd w:val="clear" w:color="000000" w:fill="7A091A"/>
            <w:noWrap/>
            <w:vAlign w:val="center"/>
            <w:hideMark/>
          </w:tcPr>
          <w:p w14:paraId="41D0CFC5" w14:textId="77777777" w:rsidR="00971021" w:rsidRPr="00894701" w:rsidRDefault="00971021" w:rsidP="00446B8D">
            <w:pPr>
              <w:spacing w:after="0" w:line="240" w:lineRule="auto"/>
              <w:rPr>
                <w:b/>
                <w:bCs/>
                <w:color w:val="FFFFFF"/>
                <w:kern w:val="0"/>
                <w:szCs w:val="18"/>
              </w:rPr>
            </w:pPr>
            <w:r w:rsidRPr="00894701">
              <w:rPr>
                <w:b/>
                <w:bCs/>
                <w:color w:val="FFFFFF"/>
                <w:kern w:val="0"/>
                <w:szCs w:val="18"/>
              </w:rPr>
              <w:t>Description</w:t>
            </w:r>
          </w:p>
        </w:tc>
        <w:tc>
          <w:tcPr>
            <w:tcW w:w="1412" w:type="pct"/>
            <w:gridSpan w:val="2"/>
            <w:tcBorders>
              <w:top w:val="nil"/>
              <w:left w:val="nil"/>
              <w:bottom w:val="nil"/>
              <w:right w:val="nil"/>
            </w:tcBorders>
            <w:shd w:val="clear" w:color="000000" w:fill="7A091A"/>
            <w:vAlign w:val="center"/>
            <w:hideMark/>
          </w:tcPr>
          <w:p w14:paraId="02BF8A9E" w14:textId="77777777" w:rsidR="00971021" w:rsidRPr="00894701" w:rsidRDefault="00971021" w:rsidP="00446B8D">
            <w:pPr>
              <w:spacing w:after="0" w:line="240" w:lineRule="auto"/>
              <w:jc w:val="center"/>
              <w:rPr>
                <w:b/>
                <w:bCs/>
                <w:color w:val="FFFFFF"/>
                <w:kern w:val="0"/>
                <w:szCs w:val="18"/>
              </w:rPr>
            </w:pPr>
            <w:r w:rsidRPr="00894701">
              <w:rPr>
                <w:b/>
                <w:bCs/>
                <w:color w:val="FFFFFF"/>
                <w:kern w:val="0"/>
                <w:szCs w:val="18"/>
              </w:rPr>
              <w:t>2018</w:t>
            </w:r>
          </w:p>
        </w:tc>
        <w:tc>
          <w:tcPr>
            <w:tcW w:w="1410" w:type="pct"/>
            <w:gridSpan w:val="2"/>
            <w:tcBorders>
              <w:top w:val="nil"/>
              <w:left w:val="nil"/>
              <w:bottom w:val="nil"/>
              <w:right w:val="nil"/>
            </w:tcBorders>
            <w:shd w:val="clear" w:color="000000" w:fill="7A091A"/>
            <w:vAlign w:val="center"/>
            <w:hideMark/>
          </w:tcPr>
          <w:p w14:paraId="09357EE8" w14:textId="77777777" w:rsidR="00971021" w:rsidRPr="00894701" w:rsidRDefault="00971021" w:rsidP="00446B8D">
            <w:pPr>
              <w:spacing w:after="0" w:line="240" w:lineRule="auto"/>
              <w:jc w:val="center"/>
              <w:rPr>
                <w:b/>
                <w:bCs/>
                <w:color w:val="FFFFFF"/>
                <w:kern w:val="0"/>
                <w:szCs w:val="18"/>
              </w:rPr>
            </w:pPr>
            <w:r w:rsidRPr="00894701">
              <w:rPr>
                <w:b/>
                <w:bCs/>
                <w:color w:val="FFFFFF"/>
                <w:kern w:val="0"/>
                <w:szCs w:val="18"/>
              </w:rPr>
              <w:t>2019</w:t>
            </w:r>
          </w:p>
        </w:tc>
        <w:tc>
          <w:tcPr>
            <w:tcW w:w="1476" w:type="pct"/>
            <w:gridSpan w:val="2"/>
            <w:tcBorders>
              <w:top w:val="nil"/>
              <w:left w:val="nil"/>
              <w:bottom w:val="nil"/>
              <w:right w:val="nil"/>
            </w:tcBorders>
            <w:shd w:val="clear" w:color="000000" w:fill="7A091A"/>
            <w:vAlign w:val="center"/>
            <w:hideMark/>
          </w:tcPr>
          <w:p w14:paraId="645243E7" w14:textId="77777777" w:rsidR="00971021" w:rsidRPr="00894701" w:rsidRDefault="00971021" w:rsidP="00446B8D">
            <w:pPr>
              <w:spacing w:after="0" w:line="240" w:lineRule="auto"/>
              <w:jc w:val="center"/>
              <w:rPr>
                <w:b/>
                <w:bCs/>
                <w:color w:val="FFFFFF"/>
                <w:kern w:val="0"/>
                <w:szCs w:val="18"/>
              </w:rPr>
            </w:pPr>
            <w:r w:rsidRPr="00894701">
              <w:rPr>
                <w:b/>
                <w:bCs/>
                <w:color w:val="FFFFFF"/>
                <w:kern w:val="0"/>
                <w:szCs w:val="18"/>
              </w:rPr>
              <w:t>2020</w:t>
            </w:r>
          </w:p>
        </w:tc>
      </w:tr>
      <w:tr w:rsidR="00971021" w:rsidRPr="00894701" w14:paraId="0CD63E30" w14:textId="77777777" w:rsidTr="00446B8D">
        <w:trPr>
          <w:trHeight w:val="750"/>
        </w:trPr>
        <w:tc>
          <w:tcPr>
            <w:tcW w:w="702" w:type="pct"/>
            <w:vMerge/>
            <w:tcBorders>
              <w:top w:val="nil"/>
              <w:left w:val="nil"/>
              <w:bottom w:val="single" w:sz="12" w:space="0" w:color="FF0000"/>
              <w:right w:val="nil"/>
            </w:tcBorders>
            <w:vAlign w:val="center"/>
            <w:hideMark/>
          </w:tcPr>
          <w:p w14:paraId="05BD4B84" w14:textId="77777777" w:rsidR="00971021" w:rsidRPr="00894701" w:rsidRDefault="00971021" w:rsidP="00446B8D">
            <w:pPr>
              <w:spacing w:after="0" w:line="240" w:lineRule="auto"/>
              <w:rPr>
                <w:b/>
                <w:bCs/>
                <w:color w:val="FFFFFF"/>
                <w:kern w:val="0"/>
                <w:szCs w:val="18"/>
              </w:rPr>
            </w:pPr>
          </w:p>
        </w:tc>
        <w:tc>
          <w:tcPr>
            <w:tcW w:w="628" w:type="pct"/>
            <w:tcBorders>
              <w:top w:val="nil"/>
              <w:left w:val="nil"/>
              <w:bottom w:val="single" w:sz="12" w:space="0" w:color="FF0000"/>
              <w:right w:val="nil"/>
            </w:tcBorders>
            <w:shd w:val="clear" w:color="000000" w:fill="7A091A"/>
            <w:vAlign w:val="bottom"/>
            <w:hideMark/>
          </w:tcPr>
          <w:p w14:paraId="4A06CC43" w14:textId="77777777" w:rsidR="00971021" w:rsidRPr="00894701" w:rsidRDefault="00971021" w:rsidP="00446B8D">
            <w:pPr>
              <w:spacing w:after="0" w:line="240" w:lineRule="auto"/>
              <w:jc w:val="center"/>
              <w:rPr>
                <w:b/>
                <w:bCs/>
                <w:color w:val="FFFFFF"/>
                <w:kern w:val="0"/>
                <w:szCs w:val="18"/>
              </w:rPr>
            </w:pPr>
            <w:r w:rsidRPr="00894701">
              <w:rPr>
                <w:b/>
                <w:bCs/>
                <w:color w:val="FFFFFF"/>
                <w:kern w:val="0"/>
                <w:szCs w:val="18"/>
              </w:rPr>
              <w:t>(In million Barrels)*</w:t>
            </w:r>
          </w:p>
        </w:tc>
        <w:tc>
          <w:tcPr>
            <w:tcW w:w="784" w:type="pct"/>
            <w:tcBorders>
              <w:top w:val="nil"/>
              <w:left w:val="nil"/>
              <w:bottom w:val="single" w:sz="12" w:space="0" w:color="FF0000"/>
              <w:right w:val="nil"/>
            </w:tcBorders>
            <w:shd w:val="clear" w:color="000000" w:fill="7A091A"/>
            <w:vAlign w:val="bottom"/>
            <w:hideMark/>
          </w:tcPr>
          <w:p w14:paraId="01D700DB" w14:textId="5FC3DE1C" w:rsidR="00971021" w:rsidRPr="00894701" w:rsidRDefault="00971021" w:rsidP="00446B8D">
            <w:pPr>
              <w:spacing w:after="0" w:line="240" w:lineRule="auto"/>
              <w:jc w:val="center"/>
              <w:rPr>
                <w:b/>
                <w:bCs/>
                <w:color w:val="FFFFFF"/>
                <w:kern w:val="0"/>
                <w:szCs w:val="18"/>
              </w:rPr>
            </w:pPr>
            <w:r w:rsidRPr="00894701">
              <w:rPr>
                <w:b/>
                <w:bCs/>
                <w:color w:val="FFFFFF"/>
                <w:kern w:val="0"/>
                <w:szCs w:val="18"/>
              </w:rPr>
              <w:t>Value</w:t>
            </w:r>
            <w:r w:rsidRPr="00894701">
              <w:rPr>
                <w:b/>
                <w:bCs/>
                <w:color w:val="FFFFFF"/>
                <w:kern w:val="0"/>
                <w:szCs w:val="18"/>
              </w:rPr>
              <w:br/>
              <w:t xml:space="preserve">(In million </w:t>
            </w:r>
            <w:r w:rsidR="008842CF">
              <w:rPr>
                <w:b/>
                <w:bCs/>
                <w:color w:val="FFFFFF"/>
                <w:kern w:val="0"/>
                <w:szCs w:val="18"/>
              </w:rPr>
              <w:t>U</w:t>
            </w:r>
            <w:r w:rsidRPr="00894701">
              <w:rPr>
                <w:b/>
                <w:bCs/>
                <w:color w:val="FFFFFF"/>
                <w:kern w:val="0"/>
                <w:szCs w:val="18"/>
              </w:rPr>
              <w:t>SD)**</w:t>
            </w:r>
          </w:p>
        </w:tc>
        <w:tc>
          <w:tcPr>
            <w:tcW w:w="627" w:type="pct"/>
            <w:tcBorders>
              <w:top w:val="nil"/>
              <w:left w:val="nil"/>
              <w:bottom w:val="single" w:sz="12" w:space="0" w:color="FF0000"/>
              <w:right w:val="nil"/>
            </w:tcBorders>
            <w:shd w:val="clear" w:color="000000" w:fill="7A091A"/>
            <w:vAlign w:val="bottom"/>
            <w:hideMark/>
          </w:tcPr>
          <w:p w14:paraId="30489538" w14:textId="77777777" w:rsidR="00971021" w:rsidRPr="00894701" w:rsidRDefault="00971021" w:rsidP="00446B8D">
            <w:pPr>
              <w:spacing w:after="0" w:line="240" w:lineRule="auto"/>
              <w:jc w:val="center"/>
              <w:rPr>
                <w:b/>
                <w:bCs/>
                <w:color w:val="FFFFFF"/>
                <w:kern w:val="0"/>
                <w:szCs w:val="18"/>
              </w:rPr>
            </w:pPr>
            <w:r w:rsidRPr="00894701">
              <w:rPr>
                <w:b/>
                <w:bCs/>
                <w:color w:val="FFFFFF"/>
                <w:kern w:val="0"/>
                <w:szCs w:val="18"/>
              </w:rPr>
              <w:t>(In million Barrels)*</w:t>
            </w:r>
          </w:p>
        </w:tc>
        <w:tc>
          <w:tcPr>
            <w:tcW w:w="783" w:type="pct"/>
            <w:tcBorders>
              <w:top w:val="nil"/>
              <w:left w:val="nil"/>
              <w:bottom w:val="single" w:sz="12" w:space="0" w:color="FF0000"/>
              <w:right w:val="nil"/>
            </w:tcBorders>
            <w:shd w:val="clear" w:color="000000" w:fill="7A091A"/>
            <w:vAlign w:val="bottom"/>
            <w:hideMark/>
          </w:tcPr>
          <w:p w14:paraId="6B916002" w14:textId="782CCCDE" w:rsidR="00971021" w:rsidRPr="00894701" w:rsidRDefault="00971021" w:rsidP="00446B8D">
            <w:pPr>
              <w:spacing w:after="0" w:line="240" w:lineRule="auto"/>
              <w:jc w:val="center"/>
              <w:rPr>
                <w:b/>
                <w:bCs/>
                <w:color w:val="FFFFFF"/>
                <w:kern w:val="0"/>
                <w:szCs w:val="18"/>
              </w:rPr>
            </w:pPr>
            <w:r w:rsidRPr="00894701">
              <w:rPr>
                <w:b/>
                <w:bCs/>
                <w:color w:val="FFFFFF"/>
                <w:kern w:val="0"/>
                <w:szCs w:val="18"/>
              </w:rPr>
              <w:t>Value</w:t>
            </w:r>
            <w:r w:rsidRPr="00894701">
              <w:rPr>
                <w:b/>
                <w:bCs/>
                <w:color w:val="FFFFFF"/>
                <w:kern w:val="0"/>
                <w:szCs w:val="18"/>
              </w:rPr>
              <w:br/>
              <w:t xml:space="preserve">(In million </w:t>
            </w:r>
            <w:r w:rsidR="008842CF">
              <w:rPr>
                <w:b/>
                <w:bCs/>
                <w:color w:val="FFFFFF"/>
                <w:kern w:val="0"/>
                <w:szCs w:val="18"/>
              </w:rPr>
              <w:t>U</w:t>
            </w:r>
            <w:r w:rsidRPr="00894701">
              <w:rPr>
                <w:b/>
                <w:bCs/>
                <w:color w:val="FFFFFF"/>
                <w:kern w:val="0"/>
                <w:szCs w:val="18"/>
              </w:rPr>
              <w:t>SD)**</w:t>
            </w:r>
          </w:p>
        </w:tc>
        <w:tc>
          <w:tcPr>
            <w:tcW w:w="548" w:type="pct"/>
            <w:tcBorders>
              <w:top w:val="nil"/>
              <w:left w:val="nil"/>
              <w:bottom w:val="single" w:sz="12" w:space="0" w:color="FF0000"/>
              <w:right w:val="nil"/>
            </w:tcBorders>
            <w:shd w:val="clear" w:color="000000" w:fill="7A091A"/>
            <w:vAlign w:val="bottom"/>
            <w:hideMark/>
          </w:tcPr>
          <w:p w14:paraId="431D1554" w14:textId="77777777" w:rsidR="00971021" w:rsidRPr="00894701" w:rsidRDefault="00971021" w:rsidP="00446B8D">
            <w:pPr>
              <w:spacing w:after="0" w:line="240" w:lineRule="auto"/>
              <w:jc w:val="center"/>
              <w:rPr>
                <w:b/>
                <w:bCs/>
                <w:color w:val="FFFFFF"/>
                <w:kern w:val="0"/>
                <w:szCs w:val="18"/>
              </w:rPr>
            </w:pPr>
            <w:r w:rsidRPr="00894701">
              <w:rPr>
                <w:b/>
                <w:bCs/>
                <w:color w:val="FFFFFF"/>
                <w:kern w:val="0"/>
                <w:szCs w:val="18"/>
              </w:rPr>
              <w:t>(In million Barrels)*</w:t>
            </w:r>
          </w:p>
        </w:tc>
        <w:tc>
          <w:tcPr>
            <w:tcW w:w="928" w:type="pct"/>
            <w:tcBorders>
              <w:top w:val="nil"/>
              <w:left w:val="nil"/>
              <w:bottom w:val="single" w:sz="12" w:space="0" w:color="FF0000"/>
              <w:right w:val="nil"/>
            </w:tcBorders>
            <w:shd w:val="clear" w:color="000000" w:fill="7A091A"/>
            <w:vAlign w:val="bottom"/>
            <w:hideMark/>
          </w:tcPr>
          <w:p w14:paraId="4DC800DF" w14:textId="69BC596E" w:rsidR="00971021" w:rsidRPr="00894701" w:rsidRDefault="00971021" w:rsidP="00446B8D">
            <w:pPr>
              <w:spacing w:after="0" w:line="240" w:lineRule="auto"/>
              <w:jc w:val="center"/>
              <w:rPr>
                <w:b/>
                <w:bCs/>
                <w:color w:val="FFFFFF"/>
                <w:kern w:val="0"/>
                <w:szCs w:val="18"/>
              </w:rPr>
            </w:pPr>
            <w:r w:rsidRPr="00894701">
              <w:rPr>
                <w:b/>
                <w:bCs/>
                <w:color w:val="FFFFFF"/>
                <w:kern w:val="0"/>
                <w:szCs w:val="18"/>
              </w:rPr>
              <w:t>Value</w:t>
            </w:r>
            <w:r w:rsidRPr="00894701">
              <w:rPr>
                <w:b/>
                <w:bCs/>
                <w:color w:val="FFFFFF"/>
                <w:kern w:val="0"/>
                <w:szCs w:val="18"/>
              </w:rPr>
              <w:br/>
              <w:t xml:space="preserve">(In million </w:t>
            </w:r>
            <w:r w:rsidR="008842CF">
              <w:rPr>
                <w:b/>
                <w:bCs/>
                <w:color w:val="FFFFFF"/>
                <w:kern w:val="0"/>
                <w:szCs w:val="18"/>
              </w:rPr>
              <w:t>U</w:t>
            </w:r>
            <w:r w:rsidRPr="00894701">
              <w:rPr>
                <w:b/>
                <w:bCs/>
                <w:color w:val="FFFFFF"/>
                <w:kern w:val="0"/>
                <w:szCs w:val="18"/>
              </w:rPr>
              <w:t>SD)**</w:t>
            </w:r>
          </w:p>
        </w:tc>
      </w:tr>
      <w:tr w:rsidR="00971021" w:rsidRPr="00894701" w14:paraId="16A8876A" w14:textId="77777777" w:rsidTr="007426C6">
        <w:trPr>
          <w:trHeight w:val="280"/>
        </w:trPr>
        <w:tc>
          <w:tcPr>
            <w:tcW w:w="702" w:type="pct"/>
            <w:tcBorders>
              <w:top w:val="nil"/>
              <w:left w:val="nil"/>
              <w:bottom w:val="nil"/>
              <w:right w:val="nil"/>
            </w:tcBorders>
            <w:shd w:val="clear" w:color="auto" w:fill="auto"/>
            <w:noWrap/>
            <w:vAlign w:val="center"/>
            <w:hideMark/>
          </w:tcPr>
          <w:p w14:paraId="121C5C61" w14:textId="77777777" w:rsidR="00971021" w:rsidRPr="00894701" w:rsidRDefault="00971021" w:rsidP="00446B8D">
            <w:pPr>
              <w:spacing w:after="0" w:line="240" w:lineRule="auto"/>
              <w:rPr>
                <w:color w:val="000000"/>
                <w:kern w:val="0"/>
                <w:szCs w:val="18"/>
              </w:rPr>
            </w:pPr>
            <w:r w:rsidRPr="00894701">
              <w:rPr>
                <w:color w:val="000000"/>
                <w:kern w:val="0"/>
                <w:szCs w:val="18"/>
              </w:rPr>
              <w:t>Crude oil</w:t>
            </w:r>
          </w:p>
        </w:tc>
        <w:tc>
          <w:tcPr>
            <w:tcW w:w="628" w:type="pct"/>
            <w:tcBorders>
              <w:top w:val="nil"/>
              <w:left w:val="nil"/>
              <w:bottom w:val="nil"/>
              <w:right w:val="nil"/>
            </w:tcBorders>
            <w:shd w:val="clear" w:color="auto" w:fill="auto"/>
            <w:noWrap/>
            <w:vAlign w:val="center"/>
            <w:hideMark/>
          </w:tcPr>
          <w:p w14:paraId="6510BDC4" w14:textId="77777777" w:rsidR="00971021" w:rsidRPr="00894701" w:rsidRDefault="00971021" w:rsidP="00446B8D">
            <w:pPr>
              <w:spacing w:after="0" w:line="240" w:lineRule="auto"/>
              <w:jc w:val="right"/>
              <w:rPr>
                <w:color w:val="000000"/>
                <w:kern w:val="0"/>
                <w:szCs w:val="18"/>
              </w:rPr>
            </w:pPr>
            <w:r w:rsidRPr="00894701">
              <w:rPr>
                <w:color w:val="000000"/>
                <w:kern w:val="0"/>
                <w:szCs w:val="18"/>
              </w:rPr>
              <w:t>6.0</w:t>
            </w:r>
          </w:p>
        </w:tc>
        <w:tc>
          <w:tcPr>
            <w:tcW w:w="784" w:type="pct"/>
            <w:tcBorders>
              <w:top w:val="nil"/>
              <w:left w:val="nil"/>
              <w:bottom w:val="nil"/>
              <w:right w:val="nil"/>
            </w:tcBorders>
            <w:shd w:val="clear" w:color="auto" w:fill="auto"/>
            <w:noWrap/>
            <w:vAlign w:val="center"/>
            <w:hideMark/>
          </w:tcPr>
          <w:p w14:paraId="4E4D01D0" w14:textId="79BFC9AB" w:rsidR="00971021" w:rsidRPr="00894701" w:rsidRDefault="006C1E2A" w:rsidP="00446B8D">
            <w:pPr>
              <w:spacing w:after="0" w:line="240" w:lineRule="auto"/>
              <w:jc w:val="right"/>
              <w:rPr>
                <w:color w:val="000000"/>
                <w:kern w:val="0"/>
                <w:szCs w:val="18"/>
              </w:rPr>
            </w:pPr>
            <w:r>
              <w:rPr>
                <w:color w:val="000000"/>
                <w:kern w:val="0"/>
                <w:szCs w:val="18"/>
              </w:rPr>
              <w:t>447</w:t>
            </w:r>
          </w:p>
        </w:tc>
        <w:tc>
          <w:tcPr>
            <w:tcW w:w="627" w:type="pct"/>
            <w:tcBorders>
              <w:top w:val="nil"/>
              <w:left w:val="nil"/>
              <w:bottom w:val="nil"/>
              <w:right w:val="nil"/>
            </w:tcBorders>
            <w:shd w:val="clear" w:color="auto" w:fill="auto"/>
            <w:noWrap/>
            <w:vAlign w:val="center"/>
            <w:hideMark/>
          </w:tcPr>
          <w:p w14:paraId="7B4B5AD5" w14:textId="77777777" w:rsidR="00971021" w:rsidRPr="00894701" w:rsidRDefault="00971021" w:rsidP="00446B8D">
            <w:pPr>
              <w:spacing w:after="0" w:line="240" w:lineRule="auto"/>
              <w:jc w:val="right"/>
              <w:rPr>
                <w:color w:val="000000"/>
                <w:kern w:val="0"/>
                <w:szCs w:val="18"/>
              </w:rPr>
            </w:pPr>
            <w:r w:rsidRPr="00894701">
              <w:rPr>
                <w:color w:val="000000"/>
                <w:kern w:val="0"/>
                <w:szCs w:val="18"/>
              </w:rPr>
              <w:t>6.1</w:t>
            </w:r>
          </w:p>
        </w:tc>
        <w:tc>
          <w:tcPr>
            <w:tcW w:w="783" w:type="pct"/>
            <w:tcBorders>
              <w:top w:val="nil"/>
              <w:left w:val="nil"/>
              <w:bottom w:val="nil"/>
              <w:right w:val="nil"/>
            </w:tcBorders>
            <w:shd w:val="clear" w:color="auto" w:fill="auto"/>
            <w:noWrap/>
            <w:vAlign w:val="center"/>
            <w:hideMark/>
          </w:tcPr>
          <w:p w14:paraId="14E88828" w14:textId="4DA896DD" w:rsidR="00971021" w:rsidRPr="00894701" w:rsidRDefault="00406D5E" w:rsidP="00446B8D">
            <w:pPr>
              <w:spacing w:after="0" w:line="240" w:lineRule="auto"/>
              <w:jc w:val="right"/>
              <w:rPr>
                <w:color w:val="000000"/>
                <w:kern w:val="0"/>
                <w:szCs w:val="18"/>
              </w:rPr>
            </w:pPr>
            <w:r>
              <w:rPr>
                <w:color w:val="000000"/>
                <w:kern w:val="0"/>
                <w:szCs w:val="18"/>
              </w:rPr>
              <w:t>441</w:t>
            </w:r>
          </w:p>
        </w:tc>
        <w:tc>
          <w:tcPr>
            <w:tcW w:w="548" w:type="pct"/>
            <w:tcBorders>
              <w:top w:val="nil"/>
              <w:left w:val="nil"/>
              <w:bottom w:val="nil"/>
              <w:right w:val="nil"/>
            </w:tcBorders>
            <w:shd w:val="clear" w:color="auto" w:fill="auto"/>
            <w:noWrap/>
            <w:vAlign w:val="center"/>
            <w:hideMark/>
          </w:tcPr>
          <w:p w14:paraId="37BC13DD" w14:textId="77777777" w:rsidR="00971021" w:rsidRPr="00894701" w:rsidRDefault="00971021" w:rsidP="007426C6">
            <w:pPr>
              <w:spacing w:after="0" w:line="240" w:lineRule="auto"/>
              <w:jc w:val="right"/>
              <w:rPr>
                <w:color w:val="000000"/>
                <w:kern w:val="0"/>
                <w:szCs w:val="18"/>
              </w:rPr>
            </w:pPr>
            <w:r w:rsidRPr="00894701">
              <w:rPr>
                <w:color w:val="000000"/>
                <w:kern w:val="0"/>
                <w:szCs w:val="18"/>
              </w:rPr>
              <w:t>6.00</w:t>
            </w:r>
          </w:p>
        </w:tc>
        <w:tc>
          <w:tcPr>
            <w:tcW w:w="928" w:type="pct"/>
            <w:tcBorders>
              <w:top w:val="nil"/>
              <w:left w:val="nil"/>
              <w:bottom w:val="nil"/>
              <w:right w:val="nil"/>
            </w:tcBorders>
            <w:shd w:val="clear" w:color="auto" w:fill="auto"/>
            <w:noWrap/>
            <w:vAlign w:val="center"/>
            <w:hideMark/>
          </w:tcPr>
          <w:p w14:paraId="4552DB01" w14:textId="26298CE3" w:rsidR="00971021" w:rsidRPr="00894701" w:rsidRDefault="00971021" w:rsidP="007426C6">
            <w:pPr>
              <w:spacing w:after="0" w:line="240" w:lineRule="auto"/>
              <w:jc w:val="right"/>
              <w:rPr>
                <w:color w:val="000000"/>
                <w:kern w:val="0"/>
                <w:szCs w:val="18"/>
              </w:rPr>
            </w:pPr>
            <w:r w:rsidRPr="00894701">
              <w:rPr>
                <w:color w:val="000000"/>
                <w:kern w:val="0"/>
                <w:szCs w:val="18"/>
              </w:rPr>
              <w:t>3</w:t>
            </w:r>
            <w:r w:rsidR="00264FDF">
              <w:rPr>
                <w:color w:val="000000"/>
                <w:kern w:val="0"/>
                <w:szCs w:val="18"/>
              </w:rPr>
              <w:t>11</w:t>
            </w:r>
          </w:p>
        </w:tc>
      </w:tr>
      <w:tr w:rsidR="00971021" w:rsidRPr="00894701" w14:paraId="16375928" w14:textId="77777777" w:rsidTr="007426C6">
        <w:trPr>
          <w:trHeight w:val="280"/>
        </w:trPr>
        <w:tc>
          <w:tcPr>
            <w:tcW w:w="702" w:type="pct"/>
            <w:tcBorders>
              <w:top w:val="nil"/>
              <w:left w:val="nil"/>
              <w:bottom w:val="nil"/>
              <w:right w:val="nil"/>
            </w:tcBorders>
            <w:shd w:val="clear" w:color="auto" w:fill="F7A3B0"/>
            <w:noWrap/>
            <w:vAlign w:val="center"/>
            <w:hideMark/>
          </w:tcPr>
          <w:p w14:paraId="5A5F9D03" w14:textId="77777777" w:rsidR="00971021" w:rsidRPr="00894701" w:rsidRDefault="00971021" w:rsidP="00446B8D">
            <w:pPr>
              <w:spacing w:after="0" w:line="240" w:lineRule="auto"/>
              <w:rPr>
                <w:color w:val="000000"/>
                <w:kern w:val="0"/>
                <w:szCs w:val="18"/>
              </w:rPr>
            </w:pPr>
            <w:r w:rsidRPr="00894701">
              <w:rPr>
                <w:color w:val="000000"/>
                <w:kern w:val="0"/>
                <w:szCs w:val="18"/>
              </w:rPr>
              <w:t xml:space="preserve">Refinery </w:t>
            </w:r>
          </w:p>
        </w:tc>
        <w:tc>
          <w:tcPr>
            <w:tcW w:w="628" w:type="pct"/>
            <w:tcBorders>
              <w:top w:val="nil"/>
              <w:left w:val="nil"/>
              <w:bottom w:val="nil"/>
              <w:right w:val="nil"/>
            </w:tcBorders>
            <w:shd w:val="clear" w:color="auto" w:fill="F7A3B0"/>
            <w:noWrap/>
            <w:vAlign w:val="bottom"/>
            <w:hideMark/>
          </w:tcPr>
          <w:p w14:paraId="21175C13" w14:textId="77777777" w:rsidR="00971021" w:rsidRPr="00894701" w:rsidRDefault="00971021" w:rsidP="00446B8D">
            <w:pPr>
              <w:spacing w:after="0" w:line="240" w:lineRule="auto"/>
              <w:jc w:val="right"/>
              <w:rPr>
                <w:color w:val="000000"/>
                <w:kern w:val="0"/>
                <w:sz w:val="20"/>
                <w:szCs w:val="20"/>
              </w:rPr>
            </w:pPr>
            <w:r w:rsidRPr="00894701">
              <w:rPr>
                <w:color w:val="000000"/>
                <w:kern w:val="0"/>
                <w:sz w:val="20"/>
                <w:szCs w:val="20"/>
              </w:rPr>
              <w:t>4.7</w:t>
            </w:r>
          </w:p>
        </w:tc>
        <w:tc>
          <w:tcPr>
            <w:tcW w:w="784" w:type="pct"/>
            <w:tcBorders>
              <w:top w:val="nil"/>
              <w:left w:val="nil"/>
              <w:bottom w:val="nil"/>
              <w:right w:val="nil"/>
            </w:tcBorders>
            <w:shd w:val="clear" w:color="auto" w:fill="F7A3B0"/>
            <w:noWrap/>
            <w:vAlign w:val="bottom"/>
            <w:hideMark/>
          </w:tcPr>
          <w:p w14:paraId="18341288" w14:textId="5D03B9F7" w:rsidR="00971021" w:rsidRPr="00894701" w:rsidRDefault="000252F5" w:rsidP="007426C6">
            <w:pPr>
              <w:spacing w:after="0" w:line="240" w:lineRule="auto"/>
              <w:jc w:val="right"/>
              <w:rPr>
                <w:color w:val="000000"/>
                <w:kern w:val="0"/>
                <w:sz w:val="20"/>
                <w:szCs w:val="20"/>
              </w:rPr>
            </w:pPr>
            <w:r w:rsidRPr="00894701">
              <w:rPr>
                <w:color w:val="000000"/>
                <w:kern w:val="0"/>
                <w:sz w:val="20"/>
                <w:szCs w:val="20"/>
              </w:rPr>
              <w:t>-</w:t>
            </w:r>
          </w:p>
        </w:tc>
        <w:tc>
          <w:tcPr>
            <w:tcW w:w="627" w:type="pct"/>
            <w:tcBorders>
              <w:top w:val="nil"/>
              <w:left w:val="nil"/>
              <w:bottom w:val="nil"/>
              <w:right w:val="nil"/>
            </w:tcBorders>
            <w:shd w:val="clear" w:color="auto" w:fill="F7A3B0"/>
            <w:noWrap/>
            <w:vAlign w:val="bottom"/>
            <w:hideMark/>
          </w:tcPr>
          <w:p w14:paraId="20B7A5C7" w14:textId="77777777" w:rsidR="00971021" w:rsidRPr="00894701" w:rsidRDefault="00971021" w:rsidP="00446B8D">
            <w:pPr>
              <w:spacing w:after="0" w:line="240" w:lineRule="auto"/>
              <w:jc w:val="right"/>
              <w:rPr>
                <w:color w:val="000000"/>
                <w:kern w:val="0"/>
                <w:sz w:val="20"/>
                <w:szCs w:val="20"/>
              </w:rPr>
            </w:pPr>
            <w:r w:rsidRPr="00894701">
              <w:rPr>
                <w:color w:val="000000"/>
                <w:kern w:val="0"/>
                <w:sz w:val="20"/>
                <w:szCs w:val="20"/>
              </w:rPr>
              <w:t>4.5</w:t>
            </w:r>
          </w:p>
        </w:tc>
        <w:tc>
          <w:tcPr>
            <w:tcW w:w="783" w:type="pct"/>
            <w:tcBorders>
              <w:top w:val="nil"/>
              <w:left w:val="nil"/>
              <w:bottom w:val="nil"/>
              <w:right w:val="nil"/>
            </w:tcBorders>
            <w:shd w:val="clear" w:color="auto" w:fill="F7A3B0"/>
            <w:noWrap/>
            <w:vAlign w:val="bottom"/>
            <w:hideMark/>
          </w:tcPr>
          <w:p w14:paraId="405F89E0" w14:textId="73020EF8" w:rsidR="00971021" w:rsidRPr="00894701" w:rsidRDefault="000252F5" w:rsidP="007426C6">
            <w:pPr>
              <w:spacing w:after="0" w:line="240" w:lineRule="auto"/>
              <w:jc w:val="right"/>
              <w:rPr>
                <w:color w:val="000000"/>
                <w:kern w:val="0"/>
                <w:sz w:val="20"/>
                <w:szCs w:val="20"/>
              </w:rPr>
            </w:pPr>
            <w:r w:rsidRPr="00894701">
              <w:rPr>
                <w:color w:val="000000"/>
                <w:kern w:val="0"/>
                <w:sz w:val="20"/>
                <w:szCs w:val="20"/>
              </w:rPr>
              <w:t>-</w:t>
            </w:r>
          </w:p>
        </w:tc>
        <w:tc>
          <w:tcPr>
            <w:tcW w:w="548" w:type="pct"/>
            <w:tcBorders>
              <w:top w:val="nil"/>
              <w:left w:val="nil"/>
              <w:bottom w:val="nil"/>
              <w:right w:val="nil"/>
            </w:tcBorders>
            <w:shd w:val="clear" w:color="auto" w:fill="F7A3B0"/>
            <w:noWrap/>
            <w:vAlign w:val="bottom"/>
            <w:hideMark/>
          </w:tcPr>
          <w:p w14:paraId="2C393443" w14:textId="77777777" w:rsidR="00971021" w:rsidRPr="00894701" w:rsidRDefault="00971021" w:rsidP="006A0A33">
            <w:pPr>
              <w:spacing w:after="0" w:line="240" w:lineRule="auto"/>
              <w:jc w:val="right"/>
              <w:rPr>
                <w:color w:val="000000"/>
                <w:kern w:val="0"/>
                <w:sz w:val="20"/>
                <w:szCs w:val="20"/>
              </w:rPr>
            </w:pPr>
            <w:r w:rsidRPr="00894701">
              <w:rPr>
                <w:color w:val="000000"/>
                <w:kern w:val="0"/>
                <w:sz w:val="20"/>
                <w:szCs w:val="20"/>
              </w:rPr>
              <w:t>4.3</w:t>
            </w:r>
          </w:p>
        </w:tc>
        <w:tc>
          <w:tcPr>
            <w:tcW w:w="928" w:type="pct"/>
            <w:tcBorders>
              <w:top w:val="nil"/>
              <w:left w:val="nil"/>
              <w:bottom w:val="nil"/>
              <w:right w:val="nil"/>
            </w:tcBorders>
            <w:shd w:val="clear" w:color="auto" w:fill="F7A3B0"/>
            <w:noWrap/>
            <w:vAlign w:val="bottom"/>
            <w:hideMark/>
          </w:tcPr>
          <w:p w14:paraId="2996B8AC" w14:textId="310542EB" w:rsidR="00971021" w:rsidRPr="00894701" w:rsidRDefault="000252F5" w:rsidP="007426C6">
            <w:pPr>
              <w:spacing w:after="0" w:line="240" w:lineRule="auto"/>
              <w:jc w:val="right"/>
              <w:rPr>
                <w:color w:val="000000"/>
                <w:kern w:val="0"/>
                <w:sz w:val="20"/>
                <w:szCs w:val="20"/>
              </w:rPr>
            </w:pPr>
            <w:r w:rsidRPr="00894701">
              <w:rPr>
                <w:color w:val="000000"/>
                <w:kern w:val="0"/>
                <w:sz w:val="20"/>
                <w:szCs w:val="20"/>
              </w:rPr>
              <w:t>-</w:t>
            </w:r>
          </w:p>
        </w:tc>
      </w:tr>
    </w:tbl>
    <w:p w14:paraId="64640F9F" w14:textId="64D988EB" w:rsidR="00971021" w:rsidRPr="00894701" w:rsidRDefault="00971021" w:rsidP="00971021">
      <w:pPr>
        <w:pStyle w:val="BodyText"/>
        <w:contextualSpacing/>
        <w:jc w:val="both"/>
        <w:rPr>
          <w:rFonts w:asciiTheme="majorHAnsi" w:hAnsiTheme="majorHAnsi"/>
          <w:i/>
          <w:iCs/>
          <w:color w:val="auto"/>
          <w:sz w:val="16"/>
          <w:szCs w:val="16"/>
        </w:rPr>
      </w:pPr>
      <w:r w:rsidRPr="00894701">
        <w:rPr>
          <w:rFonts w:asciiTheme="majorHAnsi" w:hAnsiTheme="majorHAnsi"/>
          <w:i/>
          <w:iCs/>
          <w:color w:val="auto"/>
          <w:sz w:val="16"/>
          <w:szCs w:val="16"/>
        </w:rPr>
        <w:t xml:space="preserve"> *</w:t>
      </w:r>
      <w:r w:rsidR="00810FE3">
        <w:rPr>
          <w:rFonts w:asciiTheme="majorHAnsi" w:hAnsiTheme="majorHAnsi"/>
          <w:i/>
          <w:iCs/>
          <w:color w:val="auto"/>
          <w:sz w:val="16"/>
          <w:szCs w:val="16"/>
        </w:rPr>
        <w:t xml:space="preserve"> </w:t>
      </w:r>
      <w:r w:rsidRPr="00894701">
        <w:rPr>
          <w:rFonts w:asciiTheme="majorHAnsi" w:hAnsiTheme="majorHAnsi"/>
          <w:i/>
          <w:iCs/>
          <w:color w:val="auto"/>
          <w:sz w:val="16"/>
          <w:szCs w:val="16"/>
        </w:rPr>
        <w:t>CBvS 2019 Annual Reports</w:t>
      </w:r>
    </w:p>
    <w:p w14:paraId="6DB83A86" w14:textId="230EAADF" w:rsidR="00971021" w:rsidRPr="00894701" w:rsidRDefault="00971021" w:rsidP="00264FDF">
      <w:pPr>
        <w:pStyle w:val="BodyText"/>
        <w:contextualSpacing/>
        <w:jc w:val="both"/>
        <w:rPr>
          <w:rFonts w:asciiTheme="majorHAnsi" w:hAnsiTheme="majorHAnsi"/>
          <w:i/>
          <w:iCs/>
          <w:color w:val="auto"/>
          <w:sz w:val="16"/>
          <w:szCs w:val="16"/>
        </w:rPr>
      </w:pPr>
      <w:r w:rsidRPr="00894701">
        <w:rPr>
          <w:rFonts w:asciiTheme="majorHAnsi" w:hAnsiTheme="majorHAnsi"/>
          <w:i/>
          <w:iCs/>
          <w:color w:val="auto"/>
          <w:sz w:val="16"/>
          <w:szCs w:val="16"/>
        </w:rPr>
        <w:t>**</w:t>
      </w:r>
      <w:r w:rsidR="00810FE3">
        <w:rPr>
          <w:rFonts w:asciiTheme="majorHAnsi" w:hAnsiTheme="majorHAnsi"/>
          <w:i/>
          <w:iCs/>
          <w:color w:val="auto"/>
          <w:sz w:val="16"/>
          <w:szCs w:val="16"/>
        </w:rPr>
        <w:t xml:space="preserve"> Source: </w:t>
      </w:r>
      <w:r w:rsidR="00810FE3" w:rsidRPr="00894701">
        <w:rPr>
          <w:rFonts w:asciiTheme="majorHAnsi" w:hAnsiTheme="majorHAnsi"/>
          <w:i/>
          <w:iCs/>
          <w:color w:val="auto"/>
          <w:sz w:val="16"/>
          <w:szCs w:val="16"/>
        </w:rPr>
        <w:t xml:space="preserve">Staatsolie 2020 </w:t>
      </w:r>
      <w:r w:rsidR="00810FE3">
        <w:rPr>
          <w:rFonts w:asciiTheme="majorHAnsi" w:hAnsiTheme="majorHAnsi"/>
          <w:i/>
          <w:iCs/>
          <w:color w:val="auto"/>
          <w:sz w:val="16"/>
          <w:szCs w:val="16"/>
        </w:rPr>
        <w:t xml:space="preserve">and 2019 </w:t>
      </w:r>
      <w:r w:rsidR="00810FE3" w:rsidRPr="00894701">
        <w:rPr>
          <w:rFonts w:asciiTheme="majorHAnsi" w:hAnsiTheme="majorHAnsi"/>
          <w:i/>
          <w:iCs/>
          <w:color w:val="auto"/>
          <w:sz w:val="16"/>
          <w:szCs w:val="16"/>
        </w:rPr>
        <w:t>annual report</w:t>
      </w:r>
      <w:r w:rsidR="00810FE3">
        <w:rPr>
          <w:rFonts w:asciiTheme="majorHAnsi" w:hAnsiTheme="majorHAnsi"/>
          <w:i/>
          <w:iCs/>
          <w:color w:val="auto"/>
          <w:sz w:val="16"/>
          <w:szCs w:val="16"/>
        </w:rPr>
        <w:t>s:</w:t>
      </w:r>
      <w:r w:rsidR="00810FE3" w:rsidRPr="00894701" w:rsidDel="00810FE3">
        <w:rPr>
          <w:rFonts w:asciiTheme="majorHAnsi" w:hAnsiTheme="majorHAnsi"/>
          <w:i/>
          <w:iCs/>
          <w:color w:val="auto"/>
          <w:sz w:val="16"/>
          <w:szCs w:val="16"/>
        </w:rPr>
        <w:t xml:space="preserve"> </w:t>
      </w:r>
      <w:r w:rsidR="00810FE3">
        <w:rPr>
          <w:rFonts w:asciiTheme="majorHAnsi" w:hAnsiTheme="majorHAnsi"/>
          <w:i/>
          <w:iCs/>
          <w:color w:val="auto"/>
          <w:sz w:val="16"/>
          <w:szCs w:val="16"/>
        </w:rPr>
        <w:t>G</w:t>
      </w:r>
      <w:r w:rsidR="00810FE3" w:rsidRPr="00810FE3">
        <w:rPr>
          <w:rFonts w:asciiTheme="majorHAnsi" w:hAnsiTheme="majorHAnsi"/>
          <w:i/>
          <w:iCs/>
          <w:color w:val="auto"/>
          <w:sz w:val="16"/>
          <w:szCs w:val="16"/>
        </w:rPr>
        <w:t>ross</w:t>
      </w:r>
      <w:r w:rsidR="00810FE3">
        <w:rPr>
          <w:rFonts w:asciiTheme="majorHAnsi" w:hAnsiTheme="majorHAnsi"/>
          <w:i/>
          <w:iCs/>
          <w:color w:val="auto"/>
          <w:sz w:val="16"/>
          <w:szCs w:val="16"/>
        </w:rPr>
        <w:t xml:space="preserve"> value of</w:t>
      </w:r>
      <w:r w:rsidR="00810FE3" w:rsidRPr="00810FE3">
        <w:rPr>
          <w:rFonts w:asciiTheme="majorHAnsi" w:hAnsiTheme="majorHAnsi"/>
          <w:i/>
          <w:iCs/>
          <w:color w:val="auto"/>
          <w:sz w:val="16"/>
          <w:szCs w:val="16"/>
        </w:rPr>
        <w:t xml:space="preserve"> refined products </w:t>
      </w:r>
      <w:r w:rsidR="00810FE3">
        <w:rPr>
          <w:rFonts w:asciiTheme="majorHAnsi" w:hAnsiTheme="majorHAnsi"/>
          <w:i/>
          <w:iCs/>
          <w:color w:val="auto"/>
          <w:sz w:val="16"/>
          <w:szCs w:val="16"/>
        </w:rPr>
        <w:t xml:space="preserve">was retained as estimated production value </w:t>
      </w:r>
      <w:r w:rsidR="00264FDF">
        <w:rPr>
          <w:rFonts w:asciiTheme="majorHAnsi" w:hAnsiTheme="majorHAnsi"/>
          <w:i/>
          <w:iCs/>
          <w:color w:val="auto"/>
          <w:sz w:val="16"/>
          <w:szCs w:val="16"/>
        </w:rPr>
        <w:t>given the lack of data on the production value</w:t>
      </w:r>
      <w:r w:rsidR="00810FE3">
        <w:rPr>
          <w:rFonts w:asciiTheme="majorHAnsi" w:hAnsiTheme="majorHAnsi"/>
          <w:i/>
          <w:iCs/>
          <w:color w:val="auto"/>
          <w:sz w:val="16"/>
          <w:szCs w:val="16"/>
        </w:rPr>
        <w:t xml:space="preserve"> on the reporting templates.</w:t>
      </w:r>
      <w:r w:rsidR="00264FDF">
        <w:rPr>
          <w:rFonts w:asciiTheme="majorHAnsi" w:hAnsiTheme="majorHAnsi"/>
          <w:i/>
          <w:iCs/>
          <w:color w:val="auto"/>
          <w:sz w:val="16"/>
          <w:szCs w:val="16"/>
        </w:rPr>
        <w:t xml:space="preserve"> </w:t>
      </w:r>
    </w:p>
    <w:p w14:paraId="4FAA18DF" w14:textId="5D82200D" w:rsidR="00971021" w:rsidRPr="00894701" w:rsidRDefault="004374E9" w:rsidP="004374E9">
      <w:pPr>
        <w:pStyle w:val="Heading3"/>
        <w:numPr>
          <w:ilvl w:val="0"/>
          <w:numId w:val="0"/>
        </w:numPr>
        <w:spacing w:before="120" w:after="240"/>
        <w:ind w:right="482"/>
        <w:rPr>
          <w:bCs w:val="0"/>
          <w:caps w:val="0"/>
        </w:rPr>
      </w:pPr>
      <w:bookmarkStart w:id="322" w:name="_Toc122478910"/>
      <w:r w:rsidRPr="00894701">
        <w:rPr>
          <w:bCs w:val="0"/>
          <w:caps w:val="0"/>
        </w:rPr>
        <w:t xml:space="preserve">3.18.2. </w:t>
      </w:r>
      <w:r w:rsidR="00670F09" w:rsidRPr="00894701">
        <w:rPr>
          <w:bCs w:val="0"/>
          <w:caps w:val="0"/>
        </w:rPr>
        <w:t xml:space="preserve">Production data in the </w:t>
      </w:r>
      <w:r w:rsidR="00971021" w:rsidRPr="00894701">
        <w:rPr>
          <w:bCs w:val="0"/>
          <w:caps w:val="0"/>
        </w:rPr>
        <w:t>Mining sector</w:t>
      </w:r>
      <w:bookmarkEnd w:id="322"/>
    </w:p>
    <w:p w14:paraId="4B88F5F5" w14:textId="77777777" w:rsidR="00971021" w:rsidRPr="00894701" w:rsidRDefault="00971021" w:rsidP="00971021">
      <w:pPr>
        <w:pStyle w:val="BodyText"/>
        <w:jc w:val="both"/>
        <w:rPr>
          <w:rFonts w:asciiTheme="majorHAnsi" w:hAnsiTheme="majorHAnsi"/>
          <w:color w:val="auto"/>
          <w:sz w:val="20"/>
          <w:szCs w:val="20"/>
        </w:rPr>
      </w:pPr>
      <w:r w:rsidRPr="00894701">
        <w:rPr>
          <w:rFonts w:asciiTheme="majorHAnsi" w:hAnsiTheme="majorHAnsi"/>
          <w:color w:val="auto"/>
          <w:sz w:val="20"/>
          <w:szCs w:val="20"/>
        </w:rPr>
        <w:t xml:space="preserve">IAMGOLD Corporation, a mid-tier gold mining company, presented data from regions where there are mining operations, including Suriname's gold production in volumes. In 2018, gold production was 302,000 ounces, this production decreased in 2019 by 39,260 ounces (13%), and in 2020, production saw a slight increase of 18,480 ounces (7%) compared to the previous year. </w:t>
      </w:r>
    </w:p>
    <w:p w14:paraId="605094C3" w14:textId="72BBD267" w:rsidR="00971021" w:rsidRPr="00894701" w:rsidRDefault="00971021" w:rsidP="00971021">
      <w:pPr>
        <w:pStyle w:val="BodyText"/>
        <w:jc w:val="both"/>
        <w:rPr>
          <w:rFonts w:asciiTheme="majorHAnsi" w:hAnsiTheme="majorHAnsi"/>
          <w:color w:val="auto"/>
          <w:sz w:val="20"/>
          <w:szCs w:val="20"/>
        </w:rPr>
      </w:pPr>
      <w:r w:rsidRPr="00894701">
        <w:rPr>
          <w:rFonts w:asciiTheme="majorHAnsi" w:hAnsiTheme="majorHAnsi"/>
          <w:color w:val="auto"/>
          <w:sz w:val="20"/>
          <w:szCs w:val="20"/>
        </w:rPr>
        <w:t>The sale of gold followed a similar trend as explained in the previous paragraph. However, the sale of gold was higher than the production in 2018 and 2019, recording 304,000 ounces and 254,000 ounces respectively while in 2020 the sale was 216,000 ounces.</w:t>
      </w:r>
    </w:p>
    <w:p w14:paraId="38BA1745" w14:textId="77777777" w:rsidR="00F55CB4" w:rsidRDefault="00F55CB4" w:rsidP="001320B7">
      <w:pPr>
        <w:pStyle w:val="BodyText"/>
        <w:jc w:val="both"/>
        <w:rPr>
          <w:rFonts w:asciiTheme="majorHAnsi" w:hAnsiTheme="majorHAnsi"/>
          <w:color w:val="auto"/>
          <w:sz w:val="20"/>
          <w:szCs w:val="20"/>
        </w:rPr>
      </w:pPr>
      <w:r>
        <w:rPr>
          <w:rFonts w:asciiTheme="majorHAnsi" w:hAnsiTheme="majorHAnsi"/>
          <w:color w:val="auto"/>
          <w:sz w:val="20"/>
          <w:szCs w:val="20"/>
        </w:rPr>
        <w:br w:type="page"/>
      </w:r>
    </w:p>
    <w:p w14:paraId="7D48DFEC" w14:textId="5D76552E" w:rsidR="001320B7" w:rsidRPr="00894701" w:rsidRDefault="00971021" w:rsidP="00C76840">
      <w:pPr>
        <w:pStyle w:val="BodyText"/>
        <w:jc w:val="both"/>
        <w:rPr>
          <w:rFonts w:asciiTheme="majorHAnsi" w:hAnsiTheme="majorHAnsi"/>
          <w:color w:val="auto"/>
          <w:sz w:val="20"/>
          <w:szCs w:val="20"/>
        </w:rPr>
      </w:pPr>
      <w:r w:rsidRPr="00894701">
        <w:rPr>
          <w:rFonts w:asciiTheme="majorHAnsi" w:hAnsiTheme="majorHAnsi"/>
          <w:color w:val="auto"/>
          <w:sz w:val="20"/>
          <w:szCs w:val="20"/>
        </w:rPr>
        <w:lastRenderedPageBreak/>
        <w:t>We present below the production volumes of the gold extracted as per IAMGOLD 2020 annual report</w:t>
      </w:r>
      <w:r w:rsidRPr="00894701">
        <w:rPr>
          <w:rStyle w:val="FootnoteReference"/>
          <w:rFonts w:asciiTheme="majorHAnsi" w:hAnsiTheme="majorHAnsi"/>
          <w:color w:val="auto"/>
          <w:sz w:val="20"/>
          <w:szCs w:val="20"/>
        </w:rPr>
        <w:footnoteReference w:id="37"/>
      </w:r>
      <w:r w:rsidR="00C76840">
        <w:rPr>
          <w:rFonts w:asciiTheme="majorHAnsi" w:hAnsiTheme="majorHAnsi"/>
          <w:color w:val="auto"/>
          <w:sz w:val="20"/>
          <w:szCs w:val="20"/>
        </w:rPr>
        <w:t xml:space="preserve"> and reporting entities</w:t>
      </w:r>
      <w:r w:rsidRPr="00894701">
        <w:rPr>
          <w:rFonts w:asciiTheme="majorHAnsi" w:hAnsiTheme="majorHAnsi"/>
          <w:color w:val="auto"/>
          <w:sz w:val="20"/>
          <w:szCs w:val="20"/>
        </w:rPr>
        <w:t>.</w:t>
      </w:r>
    </w:p>
    <w:p w14:paraId="35342FEA" w14:textId="04BDEEA7" w:rsidR="0052163F" w:rsidRPr="00894701" w:rsidRDefault="00A1495F" w:rsidP="00312877">
      <w:pPr>
        <w:jc w:val="center"/>
        <w:rPr>
          <w:rFonts w:asciiTheme="majorHAnsi" w:hAnsiTheme="majorHAnsi"/>
          <w:b/>
          <w:bCs/>
          <w:color w:val="98002E" w:themeColor="accent3"/>
          <w:sz w:val="20"/>
        </w:rPr>
      </w:pPr>
      <w:bookmarkStart w:id="323" w:name="_Toc146590503"/>
      <w:bookmarkStart w:id="324" w:name="_Hlk117669903"/>
      <w:r w:rsidRPr="00894701">
        <w:rPr>
          <w:rFonts w:asciiTheme="majorHAnsi" w:hAnsiTheme="majorHAnsi"/>
          <w:b/>
          <w:bCs/>
          <w:color w:val="98002E" w:themeColor="accent3"/>
          <w:sz w:val="20"/>
        </w:rPr>
        <w:t xml:space="preserve">Table </w:t>
      </w:r>
      <w:r w:rsidRPr="00894701">
        <w:rPr>
          <w:rFonts w:asciiTheme="majorHAnsi" w:hAnsiTheme="majorHAnsi"/>
          <w:b/>
          <w:bCs/>
          <w:color w:val="98002E" w:themeColor="accent3"/>
          <w:sz w:val="20"/>
        </w:rPr>
        <w:fldChar w:fldCharType="begin"/>
      </w:r>
      <w:r w:rsidRPr="00894701">
        <w:rPr>
          <w:rFonts w:asciiTheme="majorHAnsi" w:hAnsiTheme="majorHAnsi"/>
          <w:b/>
          <w:bCs/>
          <w:color w:val="98002E" w:themeColor="accent3"/>
          <w:sz w:val="20"/>
        </w:rPr>
        <w:instrText xml:space="preserve"> SEQ Table \* ARABIC </w:instrText>
      </w:r>
      <w:r w:rsidRPr="00894701">
        <w:rPr>
          <w:rFonts w:asciiTheme="majorHAnsi" w:hAnsiTheme="majorHAnsi"/>
          <w:b/>
          <w:bCs/>
          <w:color w:val="98002E" w:themeColor="accent3"/>
          <w:sz w:val="20"/>
        </w:rPr>
        <w:fldChar w:fldCharType="separate"/>
      </w:r>
      <w:r w:rsidR="0035303B">
        <w:rPr>
          <w:rFonts w:asciiTheme="majorHAnsi" w:hAnsiTheme="majorHAnsi"/>
          <w:b/>
          <w:bCs/>
          <w:noProof/>
          <w:color w:val="98002E" w:themeColor="accent3"/>
          <w:sz w:val="20"/>
        </w:rPr>
        <w:t>31</w:t>
      </w:r>
      <w:r w:rsidRPr="00894701">
        <w:rPr>
          <w:rFonts w:asciiTheme="majorHAnsi" w:hAnsiTheme="majorHAnsi"/>
          <w:b/>
          <w:bCs/>
          <w:color w:val="98002E" w:themeColor="accent3"/>
          <w:sz w:val="20"/>
        </w:rPr>
        <w:fldChar w:fldCharType="end"/>
      </w:r>
      <w:r w:rsidRPr="00894701">
        <w:rPr>
          <w:rFonts w:asciiTheme="majorHAnsi" w:hAnsiTheme="majorHAnsi"/>
          <w:b/>
          <w:bCs/>
          <w:color w:val="98002E" w:themeColor="accent3"/>
          <w:sz w:val="20"/>
        </w:rPr>
        <w:t>: The production volumes of the gold extracted</w:t>
      </w:r>
      <w:bookmarkEnd w:id="323"/>
    </w:p>
    <w:tbl>
      <w:tblPr>
        <w:tblW w:w="5000" w:type="pct"/>
        <w:tblLayout w:type="fixed"/>
        <w:tblCellMar>
          <w:left w:w="0" w:type="dxa"/>
          <w:right w:w="0" w:type="dxa"/>
        </w:tblCellMar>
        <w:tblLook w:val="04A0" w:firstRow="1" w:lastRow="0" w:firstColumn="1" w:lastColumn="0" w:noHBand="0" w:noVBand="1"/>
      </w:tblPr>
      <w:tblGrid>
        <w:gridCol w:w="1913"/>
        <w:gridCol w:w="1088"/>
        <w:gridCol w:w="1287"/>
        <w:gridCol w:w="1160"/>
        <w:gridCol w:w="1253"/>
        <w:gridCol w:w="1236"/>
        <w:gridCol w:w="1113"/>
      </w:tblGrid>
      <w:tr w:rsidR="004A15D3" w:rsidRPr="00894701" w14:paraId="4863C73D" w14:textId="77777777" w:rsidTr="007426C6">
        <w:trPr>
          <w:trHeight w:val="294"/>
        </w:trPr>
        <w:tc>
          <w:tcPr>
            <w:tcW w:w="1057" w:type="pct"/>
            <w:tcBorders>
              <w:top w:val="nil"/>
              <w:left w:val="nil"/>
              <w:bottom w:val="nil"/>
              <w:right w:val="single" w:sz="8" w:space="0" w:color="FF0000"/>
            </w:tcBorders>
            <w:shd w:val="clear" w:color="auto" w:fill="730022"/>
            <w:noWrap/>
            <w:tcMar>
              <w:top w:w="15" w:type="dxa"/>
              <w:left w:w="15" w:type="dxa"/>
              <w:bottom w:w="0" w:type="dxa"/>
              <w:right w:w="15" w:type="dxa"/>
            </w:tcMar>
            <w:vAlign w:val="center"/>
            <w:hideMark/>
          </w:tcPr>
          <w:p w14:paraId="159736DE" w14:textId="77777777" w:rsidR="004A15D3" w:rsidRPr="00894701" w:rsidRDefault="004A15D3" w:rsidP="00446B8D">
            <w:pPr>
              <w:rPr>
                <w:b/>
                <w:bCs/>
                <w:color w:val="FFFFFF"/>
                <w:kern w:val="0"/>
                <w:sz w:val="16"/>
                <w:szCs w:val="16"/>
              </w:rPr>
            </w:pPr>
            <w:r w:rsidRPr="00894701">
              <w:rPr>
                <w:b/>
                <w:bCs/>
                <w:color w:val="FFFFFF"/>
                <w:sz w:val="16"/>
                <w:szCs w:val="16"/>
              </w:rPr>
              <w:t>Company</w:t>
            </w:r>
          </w:p>
        </w:tc>
        <w:tc>
          <w:tcPr>
            <w:tcW w:w="1312" w:type="pct"/>
            <w:gridSpan w:val="2"/>
            <w:tcBorders>
              <w:top w:val="nil"/>
              <w:left w:val="nil"/>
              <w:bottom w:val="single" w:sz="8" w:space="0" w:color="FF0000"/>
              <w:right w:val="nil"/>
            </w:tcBorders>
            <w:shd w:val="clear" w:color="auto" w:fill="730022"/>
            <w:noWrap/>
            <w:tcMar>
              <w:top w:w="15" w:type="dxa"/>
              <w:left w:w="15" w:type="dxa"/>
              <w:bottom w:w="0" w:type="dxa"/>
              <w:right w:w="15" w:type="dxa"/>
            </w:tcMar>
            <w:vAlign w:val="center"/>
            <w:hideMark/>
          </w:tcPr>
          <w:p w14:paraId="6520A8DB" w14:textId="77777777" w:rsidR="004A15D3" w:rsidRPr="00894701" w:rsidRDefault="004A15D3" w:rsidP="00446B8D">
            <w:pPr>
              <w:jc w:val="center"/>
              <w:rPr>
                <w:b/>
                <w:bCs/>
                <w:color w:val="FFFFFF"/>
                <w:sz w:val="16"/>
                <w:szCs w:val="16"/>
              </w:rPr>
            </w:pPr>
            <w:r w:rsidRPr="00894701">
              <w:rPr>
                <w:b/>
                <w:bCs/>
                <w:color w:val="FFFFFF"/>
                <w:sz w:val="16"/>
                <w:szCs w:val="16"/>
              </w:rPr>
              <w:t>2018</w:t>
            </w:r>
          </w:p>
        </w:tc>
        <w:tc>
          <w:tcPr>
            <w:tcW w:w="1333" w:type="pct"/>
            <w:gridSpan w:val="2"/>
            <w:tcBorders>
              <w:top w:val="nil"/>
              <w:left w:val="nil"/>
              <w:bottom w:val="single" w:sz="8" w:space="0" w:color="FF0000"/>
              <w:right w:val="nil"/>
            </w:tcBorders>
            <w:shd w:val="clear" w:color="auto" w:fill="730022"/>
            <w:noWrap/>
            <w:tcMar>
              <w:top w:w="15" w:type="dxa"/>
              <w:left w:w="15" w:type="dxa"/>
              <w:bottom w:w="0" w:type="dxa"/>
              <w:right w:w="15" w:type="dxa"/>
            </w:tcMar>
            <w:vAlign w:val="center"/>
            <w:hideMark/>
          </w:tcPr>
          <w:p w14:paraId="30FABAF7" w14:textId="77777777" w:rsidR="004A15D3" w:rsidRPr="00894701" w:rsidRDefault="004A15D3" w:rsidP="00446B8D">
            <w:pPr>
              <w:jc w:val="center"/>
              <w:rPr>
                <w:b/>
                <w:bCs/>
                <w:color w:val="FFFFFF"/>
                <w:sz w:val="16"/>
                <w:szCs w:val="16"/>
              </w:rPr>
            </w:pPr>
            <w:r w:rsidRPr="00894701">
              <w:rPr>
                <w:b/>
                <w:bCs/>
                <w:color w:val="FFFFFF"/>
                <w:sz w:val="16"/>
                <w:szCs w:val="16"/>
              </w:rPr>
              <w:t>2019</w:t>
            </w:r>
          </w:p>
        </w:tc>
        <w:tc>
          <w:tcPr>
            <w:tcW w:w="1298" w:type="pct"/>
            <w:gridSpan w:val="2"/>
            <w:tcBorders>
              <w:top w:val="nil"/>
              <w:left w:val="nil"/>
              <w:bottom w:val="single" w:sz="8" w:space="0" w:color="FF0000"/>
              <w:right w:val="nil"/>
            </w:tcBorders>
            <w:shd w:val="clear" w:color="auto" w:fill="730022"/>
            <w:noWrap/>
            <w:tcMar>
              <w:top w:w="15" w:type="dxa"/>
              <w:left w:w="15" w:type="dxa"/>
              <w:bottom w:w="0" w:type="dxa"/>
              <w:right w:w="15" w:type="dxa"/>
            </w:tcMar>
            <w:vAlign w:val="center"/>
            <w:hideMark/>
          </w:tcPr>
          <w:p w14:paraId="1DE374AB" w14:textId="77777777" w:rsidR="004A15D3" w:rsidRPr="00894701" w:rsidRDefault="004A15D3" w:rsidP="00446B8D">
            <w:pPr>
              <w:jc w:val="center"/>
              <w:rPr>
                <w:b/>
                <w:bCs/>
                <w:color w:val="FFFFFF"/>
                <w:sz w:val="16"/>
                <w:szCs w:val="16"/>
              </w:rPr>
            </w:pPr>
            <w:r w:rsidRPr="00894701">
              <w:rPr>
                <w:b/>
                <w:bCs/>
                <w:color w:val="FFFFFF"/>
                <w:sz w:val="16"/>
                <w:szCs w:val="16"/>
              </w:rPr>
              <w:t>2020</w:t>
            </w:r>
          </w:p>
        </w:tc>
      </w:tr>
      <w:tr w:rsidR="004A15D3" w:rsidRPr="00894701" w14:paraId="050AA46E" w14:textId="77777777" w:rsidTr="00A96F7E">
        <w:trPr>
          <w:trHeight w:val="444"/>
        </w:trPr>
        <w:tc>
          <w:tcPr>
            <w:tcW w:w="1057" w:type="pct"/>
            <w:tcBorders>
              <w:top w:val="nil"/>
              <w:left w:val="nil"/>
              <w:bottom w:val="nil"/>
              <w:right w:val="single" w:sz="8" w:space="0" w:color="FF0000"/>
            </w:tcBorders>
            <w:shd w:val="clear" w:color="auto" w:fill="730022"/>
            <w:noWrap/>
            <w:tcMar>
              <w:top w:w="15" w:type="dxa"/>
              <w:left w:w="15" w:type="dxa"/>
              <w:bottom w:w="0" w:type="dxa"/>
              <w:right w:w="15" w:type="dxa"/>
            </w:tcMar>
            <w:vAlign w:val="center"/>
            <w:hideMark/>
          </w:tcPr>
          <w:p w14:paraId="36DF57FC" w14:textId="77777777" w:rsidR="004A15D3" w:rsidRPr="00894701" w:rsidRDefault="004A15D3" w:rsidP="004A15D3">
            <w:pPr>
              <w:rPr>
                <w:b/>
                <w:bCs/>
                <w:color w:val="FFFFFF"/>
                <w:sz w:val="16"/>
                <w:szCs w:val="16"/>
              </w:rPr>
            </w:pPr>
            <w:r w:rsidRPr="00894701">
              <w:rPr>
                <w:b/>
                <w:bCs/>
                <w:color w:val="FFFFFF"/>
                <w:sz w:val="16"/>
                <w:szCs w:val="16"/>
              </w:rPr>
              <w:t> </w:t>
            </w:r>
          </w:p>
        </w:tc>
        <w:tc>
          <w:tcPr>
            <w:tcW w:w="601" w:type="pct"/>
            <w:shd w:val="clear" w:color="auto" w:fill="730022"/>
            <w:tcMar>
              <w:top w:w="0" w:type="dxa"/>
              <w:left w:w="15" w:type="dxa"/>
              <w:bottom w:w="0" w:type="dxa"/>
              <w:right w:w="15" w:type="dxa"/>
            </w:tcMar>
            <w:vAlign w:val="center"/>
            <w:hideMark/>
          </w:tcPr>
          <w:p w14:paraId="6D1C5A08" w14:textId="77777777" w:rsidR="004A15D3" w:rsidRPr="00894701" w:rsidRDefault="004A15D3" w:rsidP="004A15D3">
            <w:pPr>
              <w:jc w:val="center"/>
              <w:rPr>
                <w:b/>
                <w:bCs/>
                <w:color w:val="FFFFFF"/>
                <w:sz w:val="16"/>
                <w:szCs w:val="16"/>
              </w:rPr>
            </w:pPr>
            <w:r w:rsidRPr="00894701">
              <w:rPr>
                <w:b/>
                <w:bCs/>
                <w:color w:val="FFFFFF"/>
                <w:sz w:val="16"/>
                <w:szCs w:val="16"/>
              </w:rPr>
              <w:t xml:space="preserve">Volume </w:t>
            </w:r>
          </w:p>
          <w:p w14:paraId="620C9801" w14:textId="4422A7F6" w:rsidR="004A15D3" w:rsidRPr="00894701" w:rsidRDefault="004A15D3" w:rsidP="004A15D3">
            <w:pPr>
              <w:jc w:val="center"/>
              <w:rPr>
                <w:b/>
                <w:bCs/>
                <w:color w:val="FFFFFF"/>
                <w:sz w:val="16"/>
                <w:szCs w:val="16"/>
              </w:rPr>
            </w:pPr>
            <w:r w:rsidRPr="00894701">
              <w:rPr>
                <w:b/>
                <w:bCs/>
                <w:color w:val="FFFFFF"/>
                <w:sz w:val="16"/>
                <w:szCs w:val="16"/>
              </w:rPr>
              <w:t>000s oz</w:t>
            </w:r>
          </w:p>
        </w:tc>
        <w:tc>
          <w:tcPr>
            <w:tcW w:w="711" w:type="pct"/>
            <w:tcBorders>
              <w:top w:val="nil"/>
              <w:left w:val="single" w:sz="8" w:space="0" w:color="FFFFFF"/>
              <w:bottom w:val="nil"/>
              <w:right w:val="single" w:sz="8" w:space="0" w:color="FF0000"/>
            </w:tcBorders>
            <w:shd w:val="clear" w:color="auto" w:fill="730022"/>
            <w:tcMar>
              <w:top w:w="15" w:type="dxa"/>
              <w:left w:w="15" w:type="dxa"/>
              <w:bottom w:w="0" w:type="dxa"/>
              <w:right w:w="15" w:type="dxa"/>
            </w:tcMar>
            <w:vAlign w:val="center"/>
            <w:hideMark/>
          </w:tcPr>
          <w:p w14:paraId="5B386494" w14:textId="77777777" w:rsidR="004A15D3" w:rsidRPr="00894701" w:rsidRDefault="004A15D3" w:rsidP="004A15D3">
            <w:pPr>
              <w:jc w:val="center"/>
              <w:rPr>
                <w:b/>
                <w:bCs/>
                <w:color w:val="FFFFFF"/>
                <w:sz w:val="16"/>
                <w:szCs w:val="16"/>
              </w:rPr>
            </w:pPr>
            <w:r w:rsidRPr="00894701">
              <w:rPr>
                <w:b/>
                <w:bCs/>
                <w:color w:val="FFFFFF"/>
                <w:sz w:val="16"/>
                <w:szCs w:val="16"/>
              </w:rPr>
              <w:t xml:space="preserve">Value </w:t>
            </w:r>
          </w:p>
          <w:p w14:paraId="18305128" w14:textId="00927312" w:rsidR="004A15D3" w:rsidRPr="00894701" w:rsidRDefault="004A15D3" w:rsidP="004A15D3">
            <w:pPr>
              <w:jc w:val="center"/>
              <w:rPr>
                <w:b/>
                <w:bCs/>
                <w:color w:val="FFFFFF"/>
                <w:sz w:val="16"/>
                <w:szCs w:val="16"/>
              </w:rPr>
            </w:pPr>
            <w:r w:rsidRPr="00894701">
              <w:rPr>
                <w:b/>
                <w:bCs/>
                <w:color w:val="FFFFFF"/>
                <w:sz w:val="16"/>
                <w:szCs w:val="16"/>
              </w:rPr>
              <w:t>SRD million</w:t>
            </w:r>
          </w:p>
        </w:tc>
        <w:tc>
          <w:tcPr>
            <w:tcW w:w="641" w:type="pct"/>
            <w:shd w:val="clear" w:color="auto" w:fill="730022"/>
            <w:tcMar>
              <w:top w:w="0" w:type="dxa"/>
              <w:left w:w="15" w:type="dxa"/>
              <w:bottom w:w="0" w:type="dxa"/>
              <w:right w:w="15" w:type="dxa"/>
            </w:tcMar>
            <w:vAlign w:val="center"/>
            <w:hideMark/>
          </w:tcPr>
          <w:p w14:paraId="607D4872" w14:textId="77777777" w:rsidR="004A15D3" w:rsidRPr="00894701" w:rsidRDefault="004A15D3" w:rsidP="004A15D3">
            <w:pPr>
              <w:jc w:val="center"/>
              <w:rPr>
                <w:b/>
                <w:bCs/>
                <w:color w:val="FFFFFF"/>
                <w:sz w:val="16"/>
                <w:szCs w:val="16"/>
              </w:rPr>
            </w:pPr>
            <w:r w:rsidRPr="00894701">
              <w:rPr>
                <w:b/>
                <w:bCs/>
                <w:color w:val="FFFFFF"/>
                <w:sz w:val="16"/>
                <w:szCs w:val="16"/>
              </w:rPr>
              <w:t xml:space="preserve">Volume </w:t>
            </w:r>
          </w:p>
          <w:p w14:paraId="5192CF4B" w14:textId="098417C3" w:rsidR="004A15D3" w:rsidRPr="00894701" w:rsidRDefault="004A15D3" w:rsidP="004A15D3">
            <w:pPr>
              <w:jc w:val="center"/>
              <w:rPr>
                <w:b/>
                <w:bCs/>
                <w:color w:val="FFFFFF"/>
                <w:sz w:val="16"/>
                <w:szCs w:val="16"/>
              </w:rPr>
            </w:pPr>
            <w:r w:rsidRPr="00894701">
              <w:rPr>
                <w:b/>
                <w:bCs/>
                <w:color w:val="FFFFFF"/>
                <w:sz w:val="16"/>
                <w:szCs w:val="16"/>
              </w:rPr>
              <w:t>000s oz</w:t>
            </w:r>
          </w:p>
        </w:tc>
        <w:tc>
          <w:tcPr>
            <w:tcW w:w="688" w:type="pct"/>
            <w:tcBorders>
              <w:top w:val="nil"/>
              <w:left w:val="single" w:sz="8" w:space="0" w:color="FFFFFF"/>
              <w:bottom w:val="nil"/>
              <w:right w:val="single" w:sz="8" w:space="0" w:color="FF0000"/>
            </w:tcBorders>
            <w:shd w:val="clear" w:color="auto" w:fill="730022"/>
            <w:tcMar>
              <w:top w:w="15" w:type="dxa"/>
              <w:left w:w="15" w:type="dxa"/>
              <w:bottom w:w="0" w:type="dxa"/>
              <w:right w:w="15" w:type="dxa"/>
            </w:tcMar>
            <w:vAlign w:val="center"/>
            <w:hideMark/>
          </w:tcPr>
          <w:p w14:paraId="2229CAA2" w14:textId="77777777" w:rsidR="004A15D3" w:rsidRPr="00894701" w:rsidRDefault="004A15D3" w:rsidP="004A15D3">
            <w:pPr>
              <w:jc w:val="center"/>
              <w:rPr>
                <w:b/>
                <w:bCs/>
                <w:color w:val="FFFFFF"/>
                <w:sz w:val="16"/>
                <w:szCs w:val="16"/>
              </w:rPr>
            </w:pPr>
            <w:r w:rsidRPr="00894701">
              <w:rPr>
                <w:b/>
                <w:bCs/>
                <w:color w:val="FFFFFF"/>
                <w:sz w:val="16"/>
                <w:szCs w:val="16"/>
              </w:rPr>
              <w:t xml:space="preserve">Value </w:t>
            </w:r>
          </w:p>
          <w:p w14:paraId="08274824" w14:textId="2B905524" w:rsidR="004A15D3" w:rsidRPr="00894701" w:rsidRDefault="004A15D3" w:rsidP="004A15D3">
            <w:pPr>
              <w:jc w:val="center"/>
              <w:rPr>
                <w:b/>
                <w:bCs/>
                <w:color w:val="FFFFFF"/>
                <w:sz w:val="16"/>
                <w:szCs w:val="16"/>
              </w:rPr>
            </w:pPr>
            <w:r w:rsidRPr="00894701">
              <w:rPr>
                <w:b/>
                <w:bCs/>
                <w:color w:val="FFFFFF"/>
                <w:sz w:val="16"/>
                <w:szCs w:val="16"/>
              </w:rPr>
              <w:t>SRD million</w:t>
            </w:r>
          </w:p>
        </w:tc>
        <w:tc>
          <w:tcPr>
            <w:tcW w:w="683" w:type="pct"/>
            <w:shd w:val="clear" w:color="auto" w:fill="730022"/>
            <w:tcMar>
              <w:top w:w="0" w:type="dxa"/>
              <w:left w:w="15" w:type="dxa"/>
              <w:bottom w:w="0" w:type="dxa"/>
              <w:right w:w="15" w:type="dxa"/>
            </w:tcMar>
            <w:vAlign w:val="center"/>
            <w:hideMark/>
          </w:tcPr>
          <w:p w14:paraId="48FBF1AC" w14:textId="77777777" w:rsidR="004A15D3" w:rsidRPr="00894701" w:rsidRDefault="004A15D3" w:rsidP="004A15D3">
            <w:pPr>
              <w:jc w:val="center"/>
              <w:rPr>
                <w:b/>
                <w:bCs/>
                <w:color w:val="FFFFFF"/>
                <w:sz w:val="16"/>
                <w:szCs w:val="16"/>
              </w:rPr>
            </w:pPr>
            <w:r w:rsidRPr="00894701">
              <w:rPr>
                <w:b/>
                <w:bCs/>
                <w:color w:val="FFFFFF"/>
                <w:sz w:val="16"/>
                <w:szCs w:val="16"/>
              </w:rPr>
              <w:t xml:space="preserve">Volume </w:t>
            </w:r>
          </w:p>
          <w:p w14:paraId="3FA334FE" w14:textId="1BF8B58F" w:rsidR="004A15D3" w:rsidRPr="00894701" w:rsidRDefault="004A15D3" w:rsidP="004A15D3">
            <w:pPr>
              <w:jc w:val="center"/>
              <w:rPr>
                <w:b/>
                <w:bCs/>
                <w:color w:val="FFFFFF"/>
                <w:sz w:val="16"/>
                <w:szCs w:val="16"/>
              </w:rPr>
            </w:pPr>
            <w:r w:rsidRPr="00894701">
              <w:rPr>
                <w:b/>
                <w:bCs/>
                <w:color w:val="FFFFFF"/>
                <w:sz w:val="16"/>
                <w:szCs w:val="16"/>
              </w:rPr>
              <w:t>000s oz</w:t>
            </w:r>
          </w:p>
        </w:tc>
        <w:tc>
          <w:tcPr>
            <w:tcW w:w="619" w:type="pct"/>
            <w:tcBorders>
              <w:top w:val="nil"/>
              <w:left w:val="single" w:sz="8" w:space="0" w:color="FFFFFF"/>
              <w:bottom w:val="nil"/>
              <w:right w:val="nil"/>
            </w:tcBorders>
            <w:shd w:val="clear" w:color="auto" w:fill="730022"/>
            <w:tcMar>
              <w:top w:w="15" w:type="dxa"/>
              <w:left w:w="15" w:type="dxa"/>
              <w:bottom w:w="0" w:type="dxa"/>
              <w:right w:w="15" w:type="dxa"/>
            </w:tcMar>
            <w:vAlign w:val="center"/>
            <w:hideMark/>
          </w:tcPr>
          <w:p w14:paraId="36A29761" w14:textId="77777777" w:rsidR="004A15D3" w:rsidRPr="00894701" w:rsidRDefault="004A15D3" w:rsidP="004A15D3">
            <w:pPr>
              <w:jc w:val="center"/>
              <w:rPr>
                <w:b/>
                <w:bCs/>
                <w:color w:val="FFFFFF"/>
                <w:sz w:val="16"/>
                <w:szCs w:val="16"/>
              </w:rPr>
            </w:pPr>
            <w:r w:rsidRPr="00894701">
              <w:rPr>
                <w:b/>
                <w:bCs/>
                <w:color w:val="FFFFFF"/>
                <w:sz w:val="16"/>
                <w:szCs w:val="16"/>
              </w:rPr>
              <w:t xml:space="preserve">Value </w:t>
            </w:r>
          </w:p>
          <w:p w14:paraId="7334B8C1" w14:textId="2F59E679" w:rsidR="004A15D3" w:rsidRPr="00894701" w:rsidRDefault="004A15D3" w:rsidP="004A15D3">
            <w:pPr>
              <w:jc w:val="center"/>
              <w:rPr>
                <w:b/>
                <w:bCs/>
                <w:color w:val="FFFFFF"/>
                <w:sz w:val="16"/>
                <w:szCs w:val="16"/>
              </w:rPr>
            </w:pPr>
            <w:r w:rsidRPr="00894701">
              <w:rPr>
                <w:b/>
                <w:bCs/>
                <w:color w:val="FFFFFF"/>
                <w:sz w:val="16"/>
                <w:szCs w:val="16"/>
              </w:rPr>
              <w:t>SRD million</w:t>
            </w:r>
          </w:p>
        </w:tc>
      </w:tr>
      <w:tr w:rsidR="004A15D3" w:rsidRPr="00894701" w14:paraId="540D5906" w14:textId="77777777" w:rsidTr="00A96F7E">
        <w:trPr>
          <w:trHeight w:val="288"/>
        </w:trPr>
        <w:tc>
          <w:tcPr>
            <w:tcW w:w="1057" w:type="pct"/>
            <w:tcBorders>
              <w:top w:val="nil"/>
              <w:left w:val="nil"/>
              <w:bottom w:val="nil"/>
              <w:right w:val="single" w:sz="8" w:space="0" w:color="FF0000"/>
            </w:tcBorders>
            <w:shd w:val="clear" w:color="auto" w:fill="F8A3AF"/>
            <w:noWrap/>
            <w:tcMar>
              <w:top w:w="15" w:type="dxa"/>
              <w:left w:w="15" w:type="dxa"/>
              <w:bottom w:w="0" w:type="dxa"/>
              <w:right w:w="15" w:type="dxa"/>
            </w:tcMar>
            <w:vAlign w:val="center"/>
            <w:hideMark/>
          </w:tcPr>
          <w:p w14:paraId="0452C89C" w14:textId="0282709D" w:rsidR="004A15D3" w:rsidRPr="00894701" w:rsidRDefault="004A15D3" w:rsidP="00446B8D">
            <w:pPr>
              <w:rPr>
                <w:color w:val="000000"/>
                <w:sz w:val="16"/>
                <w:szCs w:val="16"/>
              </w:rPr>
            </w:pPr>
            <w:r w:rsidRPr="00894701">
              <w:rPr>
                <w:color w:val="000000"/>
                <w:sz w:val="16"/>
                <w:szCs w:val="16"/>
              </w:rPr>
              <w:t>ROSEBEL MINE Production</w:t>
            </w:r>
            <w:r w:rsidR="00462DEC">
              <w:rPr>
                <w:color w:val="000000"/>
                <w:sz w:val="16"/>
                <w:szCs w:val="16"/>
              </w:rPr>
              <w:t>(</w:t>
            </w:r>
            <w:r w:rsidRPr="00894701">
              <w:rPr>
                <w:color w:val="000000"/>
                <w:sz w:val="16"/>
                <w:szCs w:val="16"/>
              </w:rPr>
              <w:t>*</w:t>
            </w:r>
            <w:r w:rsidR="00462DEC">
              <w:rPr>
                <w:color w:val="000000"/>
                <w:sz w:val="16"/>
                <w:szCs w:val="16"/>
              </w:rPr>
              <w:t>)</w:t>
            </w:r>
          </w:p>
        </w:tc>
        <w:tc>
          <w:tcPr>
            <w:tcW w:w="601" w:type="pct"/>
            <w:tcBorders>
              <w:top w:val="nil"/>
              <w:left w:val="nil"/>
              <w:bottom w:val="nil"/>
              <w:right w:val="single" w:sz="8" w:space="0" w:color="FFFFFF"/>
            </w:tcBorders>
            <w:shd w:val="clear" w:color="auto" w:fill="F8A3AF"/>
            <w:noWrap/>
            <w:tcMar>
              <w:top w:w="15" w:type="dxa"/>
              <w:left w:w="15" w:type="dxa"/>
              <w:bottom w:w="0" w:type="dxa"/>
              <w:right w:w="15" w:type="dxa"/>
            </w:tcMar>
            <w:vAlign w:val="center"/>
            <w:hideMark/>
          </w:tcPr>
          <w:p w14:paraId="76E6C86F" w14:textId="77777777" w:rsidR="004A15D3" w:rsidRPr="00894701" w:rsidRDefault="004A15D3" w:rsidP="00446B8D">
            <w:pPr>
              <w:jc w:val="right"/>
              <w:rPr>
                <w:color w:val="000000"/>
                <w:sz w:val="16"/>
                <w:szCs w:val="16"/>
              </w:rPr>
            </w:pPr>
            <w:r w:rsidRPr="00894701">
              <w:rPr>
                <w:color w:val="000000"/>
                <w:sz w:val="16"/>
                <w:szCs w:val="16"/>
              </w:rPr>
              <w:t>302</w:t>
            </w:r>
          </w:p>
        </w:tc>
        <w:tc>
          <w:tcPr>
            <w:tcW w:w="711" w:type="pct"/>
            <w:tcBorders>
              <w:top w:val="nil"/>
              <w:left w:val="nil"/>
              <w:bottom w:val="nil"/>
              <w:right w:val="single" w:sz="8" w:space="0" w:color="FF0000"/>
            </w:tcBorders>
            <w:shd w:val="clear" w:color="auto" w:fill="F8A3AF"/>
            <w:noWrap/>
            <w:tcMar>
              <w:top w:w="15" w:type="dxa"/>
              <w:left w:w="15" w:type="dxa"/>
              <w:bottom w:w="0" w:type="dxa"/>
              <w:right w:w="15" w:type="dxa"/>
            </w:tcMar>
            <w:vAlign w:val="center"/>
            <w:hideMark/>
          </w:tcPr>
          <w:p w14:paraId="0EA43A45" w14:textId="77777777" w:rsidR="004A15D3" w:rsidRPr="00894701" w:rsidRDefault="004A15D3" w:rsidP="00446B8D">
            <w:pPr>
              <w:jc w:val="right"/>
              <w:rPr>
                <w:color w:val="000000"/>
                <w:sz w:val="16"/>
                <w:szCs w:val="16"/>
              </w:rPr>
            </w:pPr>
            <w:r w:rsidRPr="00894701">
              <w:rPr>
                <w:color w:val="000000"/>
                <w:sz w:val="16"/>
                <w:szCs w:val="16"/>
              </w:rPr>
              <w:t>1,914</w:t>
            </w:r>
          </w:p>
        </w:tc>
        <w:tc>
          <w:tcPr>
            <w:tcW w:w="641" w:type="pct"/>
            <w:tcBorders>
              <w:top w:val="nil"/>
              <w:left w:val="nil"/>
              <w:bottom w:val="nil"/>
              <w:right w:val="single" w:sz="8" w:space="0" w:color="FFFFFF"/>
            </w:tcBorders>
            <w:shd w:val="clear" w:color="auto" w:fill="F8A3AF"/>
            <w:noWrap/>
            <w:tcMar>
              <w:top w:w="15" w:type="dxa"/>
              <w:left w:w="15" w:type="dxa"/>
              <w:bottom w:w="0" w:type="dxa"/>
              <w:right w:w="15" w:type="dxa"/>
            </w:tcMar>
            <w:vAlign w:val="center"/>
            <w:hideMark/>
          </w:tcPr>
          <w:p w14:paraId="4D5C2AEE" w14:textId="77777777" w:rsidR="004A15D3" w:rsidRPr="00894701" w:rsidRDefault="004A15D3" w:rsidP="00446B8D">
            <w:pPr>
              <w:jc w:val="right"/>
              <w:rPr>
                <w:color w:val="000000"/>
                <w:sz w:val="16"/>
                <w:szCs w:val="16"/>
              </w:rPr>
            </w:pPr>
            <w:r w:rsidRPr="00894701">
              <w:rPr>
                <w:color w:val="000000"/>
                <w:sz w:val="16"/>
                <w:szCs w:val="16"/>
              </w:rPr>
              <w:t>264</w:t>
            </w:r>
          </w:p>
        </w:tc>
        <w:tc>
          <w:tcPr>
            <w:tcW w:w="688" w:type="pct"/>
            <w:tcBorders>
              <w:top w:val="nil"/>
              <w:left w:val="nil"/>
              <w:bottom w:val="nil"/>
              <w:right w:val="single" w:sz="8" w:space="0" w:color="FF0000"/>
            </w:tcBorders>
            <w:shd w:val="clear" w:color="auto" w:fill="F8A3AF"/>
            <w:noWrap/>
            <w:tcMar>
              <w:top w:w="15" w:type="dxa"/>
              <w:left w:w="15" w:type="dxa"/>
              <w:bottom w:w="0" w:type="dxa"/>
              <w:right w:w="15" w:type="dxa"/>
            </w:tcMar>
            <w:vAlign w:val="center"/>
            <w:hideMark/>
          </w:tcPr>
          <w:p w14:paraId="63E7B956" w14:textId="77777777" w:rsidR="004A15D3" w:rsidRPr="00894701" w:rsidRDefault="004A15D3" w:rsidP="00446B8D">
            <w:pPr>
              <w:jc w:val="right"/>
              <w:rPr>
                <w:color w:val="000000"/>
                <w:sz w:val="16"/>
                <w:szCs w:val="16"/>
              </w:rPr>
            </w:pPr>
            <w:r w:rsidRPr="00894701">
              <w:rPr>
                <w:color w:val="000000"/>
                <w:sz w:val="16"/>
                <w:szCs w:val="16"/>
              </w:rPr>
              <w:t>1,966</w:t>
            </w:r>
          </w:p>
        </w:tc>
        <w:tc>
          <w:tcPr>
            <w:tcW w:w="683" w:type="pct"/>
            <w:tcBorders>
              <w:top w:val="nil"/>
              <w:left w:val="nil"/>
              <w:bottom w:val="nil"/>
              <w:right w:val="single" w:sz="8" w:space="0" w:color="FFFFFF"/>
            </w:tcBorders>
            <w:shd w:val="clear" w:color="auto" w:fill="F8A3AF"/>
            <w:noWrap/>
            <w:tcMar>
              <w:top w:w="15" w:type="dxa"/>
              <w:left w:w="15" w:type="dxa"/>
              <w:bottom w:w="0" w:type="dxa"/>
              <w:right w:w="15" w:type="dxa"/>
            </w:tcMar>
            <w:vAlign w:val="center"/>
            <w:hideMark/>
          </w:tcPr>
          <w:p w14:paraId="4BBE0004" w14:textId="77777777" w:rsidR="004A15D3" w:rsidRPr="00894701" w:rsidRDefault="004A15D3" w:rsidP="00446B8D">
            <w:pPr>
              <w:jc w:val="right"/>
              <w:rPr>
                <w:color w:val="000000"/>
                <w:sz w:val="16"/>
                <w:szCs w:val="16"/>
              </w:rPr>
            </w:pPr>
            <w:r w:rsidRPr="00894701">
              <w:rPr>
                <w:color w:val="000000"/>
                <w:sz w:val="16"/>
                <w:szCs w:val="16"/>
              </w:rPr>
              <w:t>245</w:t>
            </w:r>
          </w:p>
        </w:tc>
        <w:tc>
          <w:tcPr>
            <w:tcW w:w="619" w:type="pct"/>
            <w:tcBorders>
              <w:top w:val="nil"/>
              <w:left w:val="nil"/>
              <w:bottom w:val="nil"/>
              <w:right w:val="single" w:sz="8" w:space="0" w:color="FFFFFF"/>
            </w:tcBorders>
            <w:shd w:val="clear" w:color="auto" w:fill="F8A3AF"/>
            <w:noWrap/>
            <w:tcMar>
              <w:top w:w="15" w:type="dxa"/>
              <w:left w:w="15" w:type="dxa"/>
              <w:bottom w:w="0" w:type="dxa"/>
              <w:right w:w="15" w:type="dxa"/>
            </w:tcMar>
            <w:vAlign w:val="center"/>
            <w:hideMark/>
          </w:tcPr>
          <w:p w14:paraId="5313893F" w14:textId="77777777" w:rsidR="004A15D3" w:rsidRPr="00894701" w:rsidRDefault="004A15D3" w:rsidP="00446B8D">
            <w:pPr>
              <w:jc w:val="right"/>
              <w:rPr>
                <w:color w:val="000000"/>
                <w:sz w:val="16"/>
                <w:szCs w:val="16"/>
              </w:rPr>
            </w:pPr>
            <w:r w:rsidRPr="00894701">
              <w:rPr>
                <w:color w:val="000000"/>
                <w:sz w:val="16"/>
                <w:szCs w:val="16"/>
              </w:rPr>
              <w:t>1,935</w:t>
            </w:r>
          </w:p>
        </w:tc>
      </w:tr>
      <w:tr w:rsidR="00A96F7E" w:rsidRPr="00894701" w14:paraId="3AFCCEAA" w14:textId="77777777" w:rsidTr="00A96F7E">
        <w:trPr>
          <w:trHeight w:val="288"/>
        </w:trPr>
        <w:tc>
          <w:tcPr>
            <w:tcW w:w="1057" w:type="pct"/>
            <w:tcBorders>
              <w:top w:val="nil"/>
              <w:left w:val="nil"/>
              <w:bottom w:val="nil"/>
              <w:right w:val="single" w:sz="8" w:space="0" w:color="FF0000"/>
            </w:tcBorders>
            <w:shd w:val="clear" w:color="auto" w:fill="auto"/>
            <w:noWrap/>
            <w:tcMar>
              <w:top w:w="15" w:type="dxa"/>
              <w:left w:w="15" w:type="dxa"/>
              <w:bottom w:w="0" w:type="dxa"/>
              <w:right w:w="15" w:type="dxa"/>
            </w:tcMar>
            <w:vAlign w:val="center"/>
            <w:hideMark/>
          </w:tcPr>
          <w:p w14:paraId="53F2905C" w14:textId="30213FB7" w:rsidR="00A96F7E" w:rsidRPr="00894701" w:rsidRDefault="00A96F7E" w:rsidP="00A96F7E">
            <w:pPr>
              <w:rPr>
                <w:color w:val="000000"/>
                <w:sz w:val="16"/>
                <w:szCs w:val="16"/>
              </w:rPr>
            </w:pPr>
            <w:r w:rsidRPr="00894701">
              <w:rPr>
                <w:color w:val="000000"/>
                <w:sz w:val="16"/>
                <w:szCs w:val="16"/>
              </w:rPr>
              <w:t>Newmont</w:t>
            </w:r>
            <w:r w:rsidR="00462DEC">
              <w:rPr>
                <w:color w:val="000000"/>
                <w:sz w:val="16"/>
                <w:szCs w:val="16"/>
              </w:rPr>
              <w:t>(</w:t>
            </w:r>
            <w:r w:rsidRPr="00894701">
              <w:rPr>
                <w:color w:val="000000"/>
                <w:sz w:val="16"/>
                <w:szCs w:val="16"/>
              </w:rPr>
              <w:t>**</w:t>
            </w:r>
            <w:r w:rsidR="00462DEC">
              <w:rPr>
                <w:color w:val="000000"/>
                <w:sz w:val="16"/>
                <w:szCs w:val="16"/>
              </w:rPr>
              <w:t>)</w:t>
            </w:r>
          </w:p>
        </w:tc>
        <w:tc>
          <w:tcPr>
            <w:tcW w:w="601" w:type="pct"/>
            <w:tcBorders>
              <w:top w:val="nil"/>
              <w:left w:val="nil"/>
              <w:bottom w:val="nil"/>
              <w:right w:val="single" w:sz="8" w:space="0" w:color="FFFFFF"/>
            </w:tcBorders>
            <w:shd w:val="clear" w:color="auto" w:fill="auto"/>
            <w:noWrap/>
            <w:tcMar>
              <w:top w:w="15" w:type="dxa"/>
              <w:left w:w="15" w:type="dxa"/>
              <w:bottom w:w="0" w:type="dxa"/>
              <w:right w:w="15" w:type="dxa"/>
            </w:tcMar>
            <w:vAlign w:val="center"/>
            <w:hideMark/>
          </w:tcPr>
          <w:p w14:paraId="1B9903AC" w14:textId="26EB7A4A" w:rsidR="00A96F7E" w:rsidRPr="00894701" w:rsidRDefault="00A96F7E" w:rsidP="00A96F7E">
            <w:pPr>
              <w:jc w:val="right"/>
              <w:rPr>
                <w:color w:val="000000"/>
                <w:sz w:val="16"/>
                <w:szCs w:val="16"/>
              </w:rPr>
            </w:pPr>
            <w:r w:rsidRPr="00894701">
              <w:rPr>
                <w:rFonts w:cs="Calibri"/>
                <w:color w:val="000000"/>
                <w:sz w:val="16"/>
                <w:szCs w:val="16"/>
              </w:rPr>
              <w:t>534</w:t>
            </w:r>
          </w:p>
        </w:tc>
        <w:tc>
          <w:tcPr>
            <w:tcW w:w="711" w:type="pct"/>
            <w:tcBorders>
              <w:top w:val="nil"/>
              <w:left w:val="nil"/>
              <w:bottom w:val="nil"/>
              <w:right w:val="single" w:sz="8" w:space="0" w:color="FF0000"/>
            </w:tcBorders>
            <w:shd w:val="clear" w:color="auto" w:fill="auto"/>
            <w:noWrap/>
            <w:tcMar>
              <w:top w:w="15" w:type="dxa"/>
              <w:left w:w="15" w:type="dxa"/>
              <w:bottom w:w="0" w:type="dxa"/>
              <w:right w:w="15" w:type="dxa"/>
            </w:tcMar>
            <w:vAlign w:val="center"/>
            <w:hideMark/>
          </w:tcPr>
          <w:p w14:paraId="582EA6B0" w14:textId="32BF238E" w:rsidR="00A96F7E" w:rsidRPr="00894701" w:rsidRDefault="00A96F7E" w:rsidP="00A96F7E">
            <w:pPr>
              <w:jc w:val="right"/>
              <w:rPr>
                <w:color w:val="000000"/>
                <w:sz w:val="16"/>
                <w:szCs w:val="16"/>
              </w:rPr>
            </w:pPr>
            <w:r w:rsidRPr="00894701">
              <w:rPr>
                <w:rFonts w:asciiTheme="majorHAnsi" w:hAnsiTheme="majorHAnsi" w:cs="Calibri Light"/>
                <w:i/>
                <w:iCs/>
                <w:color w:val="auto"/>
                <w:sz w:val="14"/>
                <w:szCs w:val="14"/>
              </w:rPr>
              <w:t xml:space="preserve">(***)     </w:t>
            </w:r>
            <w:r w:rsidRPr="00894701">
              <w:rPr>
                <w:rFonts w:cs="Calibri"/>
                <w:color w:val="000000"/>
                <w:sz w:val="16"/>
                <w:szCs w:val="16"/>
              </w:rPr>
              <w:t>3,384</w:t>
            </w:r>
          </w:p>
        </w:tc>
        <w:tc>
          <w:tcPr>
            <w:tcW w:w="641" w:type="pct"/>
            <w:tcBorders>
              <w:top w:val="nil"/>
              <w:left w:val="nil"/>
              <w:bottom w:val="nil"/>
              <w:right w:val="single" w:sz="8" w:space="0" w:color="FFFFFF"/>
            </w:tcBorders>
            <w:shd w:val="clear" w:color="auto" w:fill="auto"/>
            <w:noWrap/>
            <w:tcMar>
              <w:top w:w="15" w:type="dxa"/>
              <w:left w:w="15" w:type="dxa"/>
              <w:bottom w:w="0" w:type="dxa"/>
              <w:right w:w="15" w:type="dxa"/>
            </w:tcMar>
            <w:vAlign w:val="center"/>
            <w:hideMark/>
          </w:tcPr>
          <w:p w14:paraId="10BD998A" w14:textId="69C3BAAD" w:rsidR="00A96F7E" w:rsidRPr="00894701" w:rsidRDefault="00A96F7E" w:rsidP="00A96F7E">
            <w:pPr>
              <w:jc w:val="right"/>
              <w:rPr>
                <w:color w:val="000000"/>
                <w:sz w:val="16"/>
                <w:szCs w:val="16"/>
              </w:rPr>
            </w:pPr>
            <w:r w:rsidRPr="00894701">
              <w:rPr>
                <w:rFonts w:cs="Calibri"/>
                <w:color w:val="000000"/>
                <w:sz w:val="16"/>
                <w:szCs w:val="16"/>
              </w:rPr>
              <w:t>524</w:t>
            </w:r>
          </w:p>
        </w:tc>
        <w:tc>
          <w:tcPr>
            <w:tcW w:w="688" w:type="pct"/>
            <w:tcBorders>
              <w:top w:val="nil"/>
              <w:left w:val="nil"/>
              <w:bottom w:val="nil"/>
              <w:right w:val="single" w:sz="8" w:space="0" w:color="FF0000"/>
            </w:tcBorders>
            <w:shd w:val="clear" w:color="auto" w:fill="auto"/>
            <w:noWrap/>
            <w:tcMar>
              <w:top w:w="15" w:type="dxa"/>
              <w:left w:w="15" w:type="dxa"/>
              <w:bottom w:w="0" w:type="dxa"/>
              <w:right w:w="15" w:type="dxa"/>
            </w:tcMar>
            <w:vAlign w:val="center"/>
            <w:hideMark/>
          </w:tcPr>
          <w:p w14:paraId="54B7F050" w14:textId="14DD729D" w:rsidR="00A96F7E" w:rsidRPr="00894701" w:rsidRDefault="00A96F7E" w:rsidP="00A96F7E">
            <w:pPr>
              <w:jc w:val="right"/>
              <w:rPr>
                <w:color w:val="000000"/>
                <w:sz w:val="16"/>
                <w:szCs w:val="16"/>
              </w:rPr>
            </w:pPr>
            <w:r w:rsidRPr="00894701">
              <w:rPr>
                <w:rFonts w:asciiTheme="majorHAnsi" w:hAnsiTheme="majorHAnsi" w:cs="Calibri Light"/>
                <w:i/>
                <w:iCs/>
                <w:color w:val="auto"/>
                <w:sz w:val="16"/>
                <w:szCs w:val="16"/>
              </w:rPr>
              <w:t xml:space="preserve">(***)  </w:t>
            </w:r>
            <w:r w:rsidRPr="00894701">
              <w:rPr>
                <w:rFonts w:cs="Calibri"/>
                <w:color w:val="auto"/>
                <w:sz w:val="16"/>
                <w:szCs w:val="16"/>
              </w:rPr>
              <w:t>3,902</w:t>
            </w:r>
          </w:p>
        </w:tc>
        <w:tc>
          <w:tcPr>
            <w:tcW w:w="683" w:type="pct"/>
            <w:tcBorders>
              <w:top w:val="nil"/>
              <w:left w:val="nil"/>
              <w:bottom w:val="nil"/>
              <w:right w:val="single" w:sz="8" w:space="0" w:color="FFFFFF"/>
            </w:tcBorders>
            <w:shd w:val="clear" w:color="auto" w:fill="auto"/>
            <w:noWrap/>
            <w:tcMar>
              <w:top w:w="15" w:type="dxa"/>
              <w:left w:w="15" w:type="dxa"/>
              <w:bottom w:w="0" w:type="dxa"/>
              <w:right w:w="15" w:type="dxa"/>
            </w:tcMar>
            <w:vAlign w:val="center"/>
            <w:hideMark/>
          </w:tcPr>
          <w:p w14:paraId="2F8B1B35" w14:textId="0E82BCDE" w:rsidR="00A96F7E" w:rsidRPr="00894701" w:rsidRDefault="00A96F7E" w:rsidP="00A96F7E">
            <w:pPr>
              <w:jc w:val="right"/>
              <w:rPr>
                <w:color w:val="000000"/>
                <w:sz w:val="16"/>
                <w:szCs w:val="16"/>
              </w:rPr>
            </w:pPr>
            <w:r w:rsidRPr="00894701">
              <w:rPr>
                <w:rFonts w:cs="Calibri"/>
                <w:color w:val="000000"/>
                <w:sz w:val="16"/>
                <w:szCs w:val="16"/>
              </w:rPr>
              <w:t>461</w:t>
            </w:r>
          </w:p>
        </w:tc>
        <w:tc>
          <w:tcPr>
            <w:tcW w:w="619" w:type="pct"/>
            <w:tcBorders>
              <w:top w:val="nil"/>
              <w:left w:val="nil"/>
              <w:bottom w:val="nil"/>
              <w:right w:val="single" w:sz="8" w:space="0" w:color="FF0000"/>
            </w:tcBorders>
            <w:shd w:val="clear" w:color="auto" w:fill="auto"/>
            <w:noWrap/>
            <w:tcMar>
              <w:top w:w="15" w:type="dxa"/>
              <w:left w:w="15" w:type="dxa"/>
              <w:bottom w:w="0" w:type="dxa"/>
              <w:right w:w="15" w:type="dxa"/>
            </w:tcMar>
            <w:vAlign w:val="center"/>
            <w:hideMark/>
          </w:tcPr>
          <w:p w14:paraId="069F9A8C" w14:textId="48943D3B" w:rsidR="00A96F7E" w:rsidRPr="00894701" w:rsidRDefault="00A96F7E" w:rsidP="00A96F7E">
            <w:pPr>
              <w:jc w:val="right"/>
              <w:rPr>
                <w:color w:val="000000"/>
                <w:sz w:val="16"/>
                <w:szCs w:val="16"/>
              </w:rPr>
            </w:pPr>
            <w:r w:rsidRPr="00894701">
              <w:rPr>
                <w:rFonts w:asciiTheme="majorHAnsi" w:hAnsiTheme="majorHAnsi" w:cs="Calibri Light"/>
                <w:i/>
                <w:iCs/>
                <w:color w:val="auto"/>
                <w:sz w:val="14"/>
                <w:szCs w:val="14"/>
              </w:rPr>
              <w:t xml:space="preserve">(***) </w:t>
            </w:r>
            <w:r w:rsidRPr="00894701">
              <w:rPr>
                <w:rFonts w:cs="Calibri"/>
                <w:color w:val="000000"/>
                <w:sz w:val="16"/>
                <w:szCs w:val="16"/>
              </w:rPr>
              <w:t>3,641</w:t>
            </w:r>
          </w:p>
        </w:tc>
      </w:tr>
      <w:tr w:rsidR="00A96F7E" w:rsidRPr="00894701" w14:paraId="1D608083" w14:textId="77777777" w:rsidTr="00A96F7E">
        <w:trPr>
          <w:trHeight w:val="288"/>
        </w:trPr>
        <w:tc>
          <w:tcPr>
            <w:tcW w:w="1057" w:type="pct"/>
            <w:tcBorders>
              <w:top w:val="nil"/>
              <w:left w:val="nil"/>
              <w:bottom w:val="nil"/>
              <w:right w:val="single" w:sz="8" w:space="0" w:color="FF0000"/>
            </w:tcBorders>
            <w:shd w:val="clear" w:color="auto" w:fill="A6A6A6"/>
            <w:noWrap/>
            <w:tcMar>
              <w:top w:w="15" w:type="dxa"/>
              <w:left w:w="15" w:type="dxa"/>
              <w:bottom w:w="0" w:type="dxa"/>
              <w:right w:w="15" w:type="dxa"/>
            </w:tcMar>
            <w:vAlign w:val="center"/>
            <w:hideMark/>
          </w:tcPr>
          <w:p w14:paraId="0F911585" w14:textId="77777777" w:rsidR="00A96F7E" w:rsidRPr="00894701" w:rsidRDefault="00A96F7E" w:rsidP="00A96F7E">
            <w:pPr>
              <w:jc w:val="right"/>
              <w:rPr>
                <w:b/>
                <w:bCs/>
                <w:color w:val="000000"/>
                <w:sz w:val="16"/>
                <w:szCs w:val="16"/>
              </w:rPr>
            </w:pPr>
            <w:r w:rsidRPr="00894701">
              <w:rPr>
                <w:b/>
                <w:bCs/>
                <w:color w:val="000000"/>
                <w:sz w:val="16"/>
                <w:szCs w:val="16"/>
              </w:rPr>
              <w:t>Total</w:t>
            </w:r>
          </w:p>
        </w:tc>
        <w:tc>
          <w:tcPr>
            <w:tcW w:w="601" w:type="pct"/>
            <w:shd w:val="clear" w:color="auto" w:fill="A6A6A6"/>
            <w:noWrap/>
            <w:tcMar>
              <w:top w:w="0" w:type="dxa"/>
              <w:left w:w="15" w:type="dxa"/>
              <w:bottom w:w="0" w:type="dxa"/>
              <w:right w:w="15" w:type="dxa"/>
            </w:tcMar>
            <w:vAlign w:val="center"/>
            <w:hideMark/>
          </w:tcPr>
          <w:p w14:paraId="4BF346EA" w14:textId="79FDDD31" w:rsidR="00A96F7E" w:rsidRPr="00894701" w:rsidRDefault="00A96F7E" w:rsidP="00A96F7E">
            <w:pPr>
              <w:jc w:val="right"/>
              <w:rPr>
                <w:b/>
                <w:bCs/>
                <w:color w:val="000000"/>
                <w:sz w:val="16"/>
                <w:szCs w:val="16"/>
              </w:rPr>
            </w:pPr>
            <w:r w:rsidRPr="00894701">
              <w:rPr>
                <w:rFonts w:cs="Calibri"/>
                <w:b/>
                <w:bCs/>
                <w:color w:val="000000"/>
                <w:sz w:val="16"/>
                <w:szCs w:val="16"/>
              </w:rPr>
              <w:t>836</w:t>
            </w:r>
          </w:p>
        </w:tc>
        <w:tc>
          <w:tcPr>
            <w:tcW w:w="711" w:type="pct"/>
            <w:shd w:val="clear" w:color="auto" w:fill="A6A6A6"/>
            <w:noWrap/>
            <w:tcMar>
              <w:top w:w="15" w:type="dxa"/>
              <w:left w:w="15" w:type="dxa"/>
              <w:bottom w:w="0" w:type="dxa"/>
              <w:right w:w="15" w:type="dxa"/>
            </w:tcMar>
            <w:vAlign w:val="center"/>
            <w:hideMark/>
          </w:tcPr>
          <w:p w14:paraId="4EF4504E" w14:textId="1B1B9C0F" w:rsidR="00A96F7E" w:rsidRPr="00894701" w:rsidRDefault="00A96F7E" w:rsidP="00A96F7E">
            <w:pPr>
              <w:jc w:val="right"/>
              <w:rPr>
                <w:b/>
                <w:bCs/>
                <w:color w:val="000000"/>
                <w:sz w:val="16"/>
                <w:szCs w:val="16"/>
              </w:rPr>
            </w:pPr>
            <w:r w:rsidRPr="00894701">
              <w:rPr>
                <w:rFonts w:cs="Calibri"/>
                <w:b/>
                <w:bCs/>
                <w:color w:val="000000"/>
                <w:sz w:val="16"/>
                <w:szCs w:val="16"/>
              </w:rPr>
              <w:t>5,298</w:t>
            </w:r>
          </w:p>
        </w:tc>
        <w:tc>
          <w:tcPr>
            <w:tcW w:w="641" w:type="pct"/>
            <w:shd w:val="clear" w:color="auto" w:fill="A6A6A6"/>
            <w:noWrap/>
            <w:tcMar>
              <w:top w:w="0" w:type="dxa"/>
              <w:left w:w="15" w:type="dxa"/>
              <w:bottom w:w="0" w:type="dxa"/>
              <w:right w:w="15" w:type="dxa"/>
            </w:tcMar>
            <w:vAlign w:val="center"/>
            <w:hideMark/>
          </w:tcPr>
          <w:p w14:paraId="0DB99D40" w14:textId="0D3EBDA6" w:rsidR="00A96F7E" w:rsidRPr="00894701" w:rsidRDefault="00A96F7E" w:rsidP="00A96F7E">
            <w:pPr>
              <w:jc w:val="right"/>
              <w:rPr>
                <w:b/>
                <w:bCs/>
                <w:color w:val="000000"/>
                <w:sz w:val="16"/>
                <w:szCs w:val="16"/>
              </w:rPr>
            </w:pPr>
            <w:r w:rsidRPr="00894701">
              <w:rPr>
                <w:rFonts w:cs="Calibri"/>
                <w:b/>
                <w:bCs/>
                <w:color w:val="000000"/>
                <w:sz w:val="16"/>
                <w:szCs w:val="16"/>
              </w:rPr>
              <w:t>788</w:t>
            </w:r>
          </w:p>
        </w:tc>
        <w:tc>
          <w:tcPr>
            <w:tcW w:w="688" w:type="pct"/>
            <w:shd w:val="clear" w:color="auto" w:fill="A6A6A6"/>
            <w:noWrap/>
            <w:tcMar>
              <w:top w:w="0" w:type="dxa"/>
              <w:left w:w="15" w:type="dxa"/>
              <w:bottom w:w="0" w:type="dxa"/>
              <w:right w:w="15" w:type="dxa"/>
            </w:tcMar>
            <w:vAlign w:val="center"/>
            <w:hideMark/>
          </w:tcPr>
          <w:p w14:paraId="24D25CB8" w14:textId="3AFE46BF" w:rsidR="00A96F7E" w:rsidRPr="00894701" w:rsidRDefault="00A96F7E" w:rsidP="00A96F7E">
            <w:pPr>
              <w:jc w:val="right"/>
              <w:rPr>
                <w:b/>
                <w:bCs/>
                <w:color w:val="000000"/>
                <w:sz w:val="16"/>
                <w:szCs w:val="16"/>
              </w:rPr>
            </w:pPr>
            <w:r w:rsidRPr="00894701">
              <w:rPr>
                <w:rFonts w:cs="Calibri"/>
                <w:b/>
                <w:bCs/>
                <w:color w:val="000000"/>
                <w:sz w:val="16"/>
                <w:szCs w:val="16"/>
              </w:rPr>
              <w:t>5,868</w:t>
            </w:r>
          </w:p>
        </w:tc>
        <w:tc>
          <w:tcPr>
            <w:tcW w:w="683" w:type="pct"/>
            <w:shd w:val="clear" w:color="auto" w:fill="A6A6A6"/>
            <w:noWrap/>
            <w:tcMar>
              <w:top w:w="0" w:type="dxa"/>
              <w:left w:w="15" w:type="dxa"/>
              <w:bottom w:w="0" w:type="dxa"/>
              <w:right w:w="15" w:type="dxa"/>
            </w:tcMar>
            <w:vAlign w:val="center"/>
            <w:hideMark/>
          </w:tcPr>
          <w:p w14:paraId="353BC8B9" w14:textId="47ECE521" w:rsidR="00A96F7E" w:rsidRPr="00894701" w:rsidRDefault="00A96F7E" w:rsidP="00A96F7E">
            <w:pPr>
              <w:jc w:val="right"/>
              <w:rPr>
                <w:b/>
                <w:bCs/>
                <w:color w:val="000000"/>
                <w:sz w:val="16"/>
                <w:szCs w:val="16"/>
              </w:rPr>
            </w:pPr>
            <w:r w:rsidRPr="00894701">
              <w:rPr>
                <w:rFonts w:cs="Calibri"/>
                <w:b/>
                <w:bCs/>
                <w:color w:val="000000"/>
                <w:sz w:val="16"/>
                <w:szCs w:val="16"/>
              </w:rPr>
              <w:t>706</w:t>
            </w:r>
          </w:p>
        </w:tc>
        <w:tc>
          <w:tcPr>
            <w:tcW w:w="619" w:type="pct"/>
            <w:shd w:val="clear" w:color="auto" w:fill="A6A6A6"/>
            <w:noWrap/>
            <w:tcMar>
              <w:top w:w="0" w:type="dxa"/>
              <w:left w:w="15" w:type="dxa"/>
              <w:bottom w:w="0" w:type="dxa"/>
              <w:right w:w="15" w:type="dxa"/>
            </w:tcMar>
            <w:vAlign w:val="center"/>
            <w:hideMark/>
          </w:tcPr>
          <w:p w14:paraId="51903ECB" w14:textId="661EF15C" w:rsidR="00A96F7E" w:rsidRPr="00894701" w:rsidRDefault="00A96F7E" w:rsidP="00A96F7E">
            <w:pPr>
              <w:jc w:val="right"/>
              <w:rPr>
                <w:b/>
                <w:bCs/>
                <w:color w:val="000000"/>
                <w:sz w:val="16"/>
                <w:szCs w:val="16"/>
              </w:rPr>
            </w:pPr>
            <w:r w:rsidRPr="00894701">
              <w:rPr>
                <w:rFonts w:cs="Calibri"/>
                <w:b/>
                <w:bCs/>
                <w:color w:val="000000"/>
                <w:sz w:val="16"/>
                <w:szCs w:val="16"/>
              </w:rPr>
              <w:t>5,576</w:t>
            </w:r>
          </w:p>
        </w:tc>
      </w:tr>
    </w:tbl>
    <w:p w14:paraId="2121A1C3" w14:textId="05DF42E5" w:rsidR="0027532F" w:rsidRDefault="0027532F" w:rsidP="004805C9">
      <w:pPr>
        <w:pStyle w:val="BodyText"/>
        <w:spacing w:line="240" w:lineRule="auto"/>
        <w:rPr>
          <w:rFonts w:asciiTheme="majorHAnsi" w:hAnsiTheme="majorHAnsi" w:cs="Calibri Light"/>
          <w:i/>
          <w:iCs/>
          <w:color w:val="auto"/>
          <w:sz w:val="14"/>
          <w:szCs w:val="14"/>
        </w:rPr>
      </w:pPr>
      <w:r w:rsidRPr="00894701">
        <w:rPr>
          <w:rFonts w:asciiTheme="majorHAnsi" w:hAnsiTheme="majorHAnsi" w:cs="Calibri Light"/>
          <w:i/>
          <w:iCs/>
          <w:color w:val="FFFFFF"/>
          <w:sz w:val="14"/>
          <w:szCs w:val="14"/>
        </w:rPr>
        <w:t>(</w:t>
      </w:r>
      <w:r w:rsidRPr="00894701">
        <w:rPr>
          <w:rFonts w:asciiTheme="majorHAnsi" w:hAnsiTheme="majorHAnsi" w:cs="Calibri Light"/>
          <w:i/>
          <w:iCs/>
          <w:color w:val="auto"/>
          <w:sz w:val="14"/>
          <w:szCs w:val="14"/>
        </w:rPr>
        <w:t>(*) IAMGOLD 2021 Annual Reports</w:t>
      </w:r>
      <w:r w:rsidRPr="00894701">
        <w:rPr>
          <w:rFonts w:asciiTheme="majorHAnsi" w:hAnsiTheme="majorHAnsi" w:cs="Calibri Light"/>
          <w:i/>
          <w:iCs/>
          <w:color w:val="auto"/>
          <w:sz w:val="14"/>
          <w:szCs w:val="14"/>
        </w:rPr>
        <w:br/>
        <w:t>(**) Reporting templates</w:t>
      </w:r>
      <w:r w:rsidRPr="00894701">
        <w:rPr>
          <w:rFonts w:asciiTheme="majorHAnsi" w:hAnsiTheme="majorHAnsi" w:cs="Calibri Light"/>
          <w:i/>
          <w:iCs/>
          <w:color w:val="auto"/>
          <w:sz w:val="14"/>
          <w:szCs w:val="14"/>
        </w:rPr>
        <w:br/>
        <w:t>(***) estimated based on the average price of ounce</w:t>
      </w:r>
    </w:p>
    <w:p w14:paraId="2DCCD7CB" w14:textId="4A0CAEF8" w:rsidR="00C76840" w:rsidRDefault="00511B60" w:rsidP="00C76840">
      <w:pPr>
        <w:pStyle w:val="BodyText"/>
        <w:jc w:val="both"/>
        <w:rPr>
          <w:rFonts w:asciiTheme="majorHAnsi" w:hAnsiTheme="majorHAnsi"/>
          <w:color w:val="auto"/>
          <w:sz w:val="20"/>
          <w:szCs w:val="20"/>
        </w:rPr>
      </w:pPr>
      <w:hyperlink r:id="rId54" w:history="1">
        <w:r w:rsidR="00B414BA" w:rsidRPr="00B414BA">
          <w:rPr>
            <w:rStyle w:val="Hyperlink"/>
            <w:rFonts w:asciiTheme="majorHAnsi" w:hAnsiTheme="majorHAnsi"/>
            <w:sz w:val="20"/>
            <w:szCs w:val="20"/>
          </w:rPr>
          <w:t>CBvS’ Country Economic Review 2019</w:t>
        </w:r>
      </w:hyperlink>
      <w:r w:rsidR="00B414BA">
        <w:rPr>
          <w:rFonts w:asciiTheme="majorHAnsi" w:hAnsiTheme="majorHAnsi"/>
          <w:color w:val="auto"/>
          <w:sz w:val="20"/>
          <w:szCs w:val="20"/>
        </w:rPr>
        <w:t xml:space="preserve"> does not state any production data on other solid mineral</w:t>
      </w:r>
      <w:r w:rsidR="0078236D">
        <w:rPr>
          <w:rFonts w:asciiTheme="majorHAnsi" w:hAnsiTheme="majorHAnsi"/>
          <w:color w:val="auto"/>
          <w:sz w:val="20"/>
          <w:szCs w:val="20"/>
        </w:rPr>
        <w:t>s</w:t>
      </w:r>
      <w:r w:rsidR="00B414BA">
        <w:rPr>
          <w:rFonts w:asciiTheme="majorHAnsi" w:hAnsiTheme="majorHAnsi"/>
          <w:color w:val="auto"/>
          <w:sz w:val="20"/>
          <w:szCs w:val="20"/>
        </w:rPr>
        <w:t xml:space="preserve"> than gold. </w:t>
      </w:r>
      <w:r w:rsidR="00AA067F">
        <w:rPr>
          <w:rFonts w:asciiTheme="majorHAnsi" w:hAnsiTheme="majorHAnsi"/>
          <w:color w:val="auto"/>
          <w:sz w:val="20"/>
          <w:szCs w:val="20"/>
        </w:rPr>
        <w:t xml:space="preserve">The Central Bank of Suriname did not publish </w:t>
      </w:r>
      <w:hyperlink r:id="rId55" w:history="1">
        <w:r w:rsidR="00AA067F" w:rsidRPr="00AA067F">
          <w:rPr>
            <w:rStyle w:val="Hyperlink"/>
            <w:rFonts w:asciiTheme="majorHAnsi" w:hAnsiTheme="majorHAnsi"/>
            <w:sz w:val="20"/>
            <w:szCs w:val="20"/>
          </w:rPr>
          <w:t>semi-annual reports</w:t>
        </w:r>
      </w:hyperlink>
      <w:r w:rsidR="00AA067F">
        <w:rPr>
          <w:rFonts w:asciiTheme="majorHAnsi" w:hAnsiTheme="majorHAnsi"/>
          <w:color w:val="auto"/>
          <w:sz w:val="20"/>
          <w:szCs w:val="20"/>
        </w:rPr>
        <w:t xml:space="preserve"> after 2013.</w:t>
      </w:r>
    </w:p>
    <w:p w14:paraId="7C6F81B2" w14:textId="733FA639" w:rsidR="00F87959" w:rsidRDefault="00F87959" w:rsidP="00C76840">
      <w:pPr>
        <w:pStyle w:val="BodyText"/>
        <w:jc w:val="both"/>
        <w:rPr>
          <w:rFonts w:asciiTheme="majorHAnsi" w:hAnsiTheme="majorHAnsi"/>
          <w:color w:val="auto"/>
          <w:sz w:val="20"/>
          <w:szCs w:val="20"/>
        </w:rPr>
      </w:pPr>
      <w:r>
        <w:rPr>
          <w:rFonts w:asciiTheme="majorHAnsi" w:hAnsiTheme="majorHAnsi"/>
          <w:color w:val="auto"/>
          <w:sz w:val="20"/>
          <w:szCs w:val="20"/>
        </w:rPr>
        <w:t xml:space="preserve">The Planning Office of Suriname published production data in its </w:t>
      </w:r>
      <w:hyperlink r:id="rId56" w:history="1">
        <w:r w:rsidRPr="00F87959">
          <w:rPr>
            <w:rStyle w:val="Hyperlink"/>
            <w:rFonts w:asciiTheme="majorHAnsi" w:hAnsiTheme="majorHAnsi"/>
            <w:sz w:val="20"/>
            <w:szCs w:val="20"/>
          </w:rPr>
          <w:t>Annual Plan 2020</w:t>
        </w:r>
      </w:hyperlink>
      <w:r>
        <w:rPr>
          <w:rFonts w:asciiTheme="majorHAnsi" w:hAnsiTheme="majorHAnsi"/>
          <w:color w:val="auto"/>
          <w:sz w:val="20"/>
          <w:szCs w:val="20"/>
        </w:rPr>
        <w:t>, which are summarised as follows:</w:t>
      </w:r>
    </w:p>
    <w:p w14:paraId="326653CB" w14:textId="40914BCD" w:rsidR="00F87959" w:rsidRPr="00894701" w:rsidRDefault="00F87959" w:rsidP="00F87959">
      <w:pPr>
        <w:jc w:val="center"/>
        <w:rPr>
          <w:rFonts w:asciiTheme="majorHAnsi" w:hAnsiTheme="majorHAnsi"/>
          <w:b/>
          <w:bCs/>
          <w:color w:val="98002E" w:themeColor="accent3"/>
          <w:sz w:val="20"/>
        </w:rPr>
      </w:pPr>
      <w:r>
        <w:rPr>
          <w:rFonts w:asciiTheme="majorHAnsi" w:hAnsiTheme="majorHAnsi"/>
          <w:color w:val="auto"/>
          <w:sz w:val="20"/>
          <w:szCs w:val="20"/>
        </w:rPr>
        <w:t xml:space="preserve"> </w:t>
      </w:r>
      <w:bookmarkStart w:id="325" w:name="_Toc146590504"/>
      <w:r w:rsidRPr="00894701">
        <w:rPr>
          <w:rFonts w:asciiTheme="majorHAnsi" w:hAnsiTheme="majorHAnsi"/>
          <w:b/>
          <w:bCs/>
          <w:color w:val="98002E" w:themeColor="accent3"/>
          <w:sz w:val="20"/>
        </w:rPr>
        <w:t xml:space="preserve">Table </w:t>
      </w:r>
      <w:r w:rsidRPr="00894701">
        <w:rPr>
          <w:rFonts w:asciiTheme="majorHAnsi" w:hAnsiTheme="majorHAnsi"/>
          <w:b/>
          <w:bCs/>
          <w:color w:val="98002E" w:themeColor="accent3"/>
          <w:sz w:val="20"/>
        </w:rPr>
        <w:fldChar w:fldCharType="begin"/>
      </w:r>
      <w:r w:rsidRPr="00894701">
        <w:rPr>
          <w:rFonts w:asciiTheme="majorHAnsi" w:hAnsiTheme="majorHAnsi"/>
          <w:b/>
          <w:bCs/>
          <w:color w:val="98002E" w:themeColor="accent3"/>
          <w:sz w:val="20"/>
        </w:rPr>
        <w:instrText xml:space="preserve"> SEQ Table \* ARABIC </w:instrText>
      </w:r>
      <w:r w:rsidRPr="00894701">
        <w:rPr>
          <w:rFonts w:asciiTheme="majorHAnsi" w:hAnsiTheme="majorHAnsi"/>
          <w:b/>
          <w:bCs/>
          <w:color w:val="98002E" w:themeColor="accent3"/>
          <w:sz w:val="20"/>
        </w:rPr>
        <w:fldChar w:fldCharType="separate"/>
      </w:r>
      <w:r w:rsidR="0035303B">
        <w:rPr>
          <w:rFonts w:asciiTheme="majorHAnsi" w:hAnsiTheme="majorHAnsi"/>
          <w:b/>
          <w:bCs/>
          <w:noProof/>
          <w:color w:val="98002E" w:themeColor="accent3"/>
          <w:sz w:val="20"/>
        </w:rPr>
        <w:t>32</w:t>
      </w:r>
      <w:r w:rsidRPr="00894701">
        <w:rPr>
          <w:rFonts w:asciiTheme="majorHAnsi" w:hAnsiTheme="majorHAnsi"/>
          <w:b/>
          <w:bCs/>
          <w:color w:val="98002E" w:themeColor="accent3"/>
          <w:sz w:val="20"/>
        </w:rPr>
        <w:fldChar w:fldCharType="end"/>
      </w:r>
      <w:r w:rsidRPr="00894701">
        <w:rPr>
          <w:rFonts w:asciiTheme="majorHAnsi" w:hAnsiTheme="majorHAnsi"/>
          <w:b/>
          <w:bCs/>
          <w:color w:val="98002E" w:themeColor="accent3"/>
          <w:sz w:val="20"/>
        </w:rPr>
        <w:t xml:space="preserve">: </w:t>
      </w:r>
      <w:r>
        <w:rPr>
          <w:rFonts w:asciiTheme="majorHAnsi" w:hAnsiTheme="majorHAnsi"/>
          <w:b/>
          <w:bCs/>
          <w:color w:val="98002E" w:themeColor="accent3"/>
          <w:sz w:val="20"/>
        </w:rPr>
        <w:t xml:space="preserve">Gold </w:t>
      </w:r>
      <w:r w:rsidRPr="00894701">
        <w:rPr>
          <w:rFonts w:asciiTheme="majorHAnsi" w:hAnsiTheme="majorHAnsi"/>
          <w:b/>
          <w:bCs/>
          <w:color w:val="98002E" w:themeColor="accent3"/>
          <w:sz w:val="20"/>
        </w:rPr>
        <w:t xml:space="preserve">production </w:t>
      </w:r>
      <w:r>
        <w:rPr>
          <w:rFonts w:asciiTheme="majorHAnsi" w:hAnsiTheme="majorHAnsi"/>
          <w:b/>
          <w:bCs/>
          <w:color w:val="98002E" w:themeColor="accent3"/>
          <w:sz w:val="20"/>
        </w:rPr>
        <w:t xml:space="preserve">data as per the </w:t>
      </w:r>
      <w:r w:rsidRPr="00F87959">
        <w:rPr>
          <w:rFonts w:asciiTheme="majorHAnsi" w:hAnsiTheme="majorHAnsi"/>
          <w:b/>
          <w:bCs/>
          <w:color w:val="98002E" w:themeColor="accent3"/>
          <w:sz w:val="20"/>
        </w:rPr>
        <w:t>Planning Office of Suriname</w:t>
      </w:r>
      <w:bookmarkEnd w:id="325"/>
    </w:p>
    <w:tbl>
      <w:tblPr>
        <w:tblW w:w="5000" w:type="pct"/>
        <w:tblCellMar>
          <w:left w:w="70" w:type="dxa"/>
          <w:right w:w="70" w:type="dxa"/>
        </w:tblCellMar>
        <w:tblLook w:val="04A0" w:firstRow="1" w:lastRow="0" w:firstColumn="1" w:lastColumn="0" w:noHBand="0" w:noVBand="1"/>
      </w:tblPr>
      <w:tblGrid>
        <w:gridCol w:w="5123"/>
        <w:gridCol w:w="1309"/>
        <w:gridCol w:w="1309"/>
        <w:gridCol w:w="1309"/>
      </w:tblGrid>
      <w:tr w:rsidR="00440BD2" w:rsidRPr="00440BD2" w14:paraId="2EE43231" w14:textId="77777777" w:rsidTr="00860520">
        <w:trPr>
          <w:trHeight w:val="300"/>
        </w:trPr>
        <w:tc>
          <w:tcPr>
            <w:tcW w:w="2830" w:type="pct"/>
            <w:tcBorders>
              <w:top w:val="nil"/>
              <w:left w:val="nil"/>
              <w:bottom w:val="nil"/>
              <w:right w:val="single" w:sz="8" w:space="0" w:color="FF0000"/>
            </w:tcBorders>
            <w:shd w:val="clear" w:color="000000" w:fill="730022"/>
            <w:noWrap/>
            <w:vAlign w:val="center"/>
            <w:hideMark/>
          </w:tcPr>
          <w:p w14:paraId="00C6A209" w14:textId="4BFC456F" w:rsidR="00440BD2" w:rsidRPr="00440BD2" w:rsidRDefault="00440BD2" w:rsidP="00440BD2">
            <w:pPr>
              <w:spacing w:after="0" w:line="240" w:lineRule="auto"/>
              <w:rPr>
                <w:rFonts w:cs="Calibri"/>
                <w:b/>
                <w:bCs/>
                <w:color w:val="FFFFFF"/>
                <w:kern w:val="0"/>
                <w:sz w:val="16"/>
                <w:szCs w:val="16"/>
                <w:lang w:val="fr-FR" w:eastAsia="fr-FR"/>
              </w:rPr>
            </w:pPr>
            <w:r>
              <w:rPr>
                <w:rFonts w:cs="Calibri"/>
                <w:b/>
                <w:bCs/>
                <w:color w:val="FFFFFF"/>
                <w:kern w:val="0"/>
                <w:sz w:val="16"/>
                <w:szCs w:val="16"/>
                <w:lang w:eastAsia="fr-FR"/>
              </w:rPr>
              <w:t>Designation</w:t>
            </w:r>
          </w:p>
        </w:tc>
        <w:tc>
          <w:tcPr>
            <w:tcW w:w="723" w:type="pct"/>
            <w:tcBorders>
              <w:top w:val="nil"/>
              <w:left w:val="nil"/>
              <w:bottom w:val="single" w:sz="8" w:space="0" w:color="FF0000"/>
              <w:right w:val="nil"/>
            </w:tcBorders>
            <w:shd w:val="clear" w:color="000000" w:fill="730022"/>
            <w:noWrap/>
            <w:vAlign w:val="center"/>
            <w:hideMark/>
          </w:tcPr>
          <w:p w14:paraId="5F42F2CF" w14:textId="0496A34E" w:rsidR="00440BD2" w:rsidRPr="00440BD2" w:rsidRDefault="00440BD2" w:rsidP="00440BD2">
            <w:pPr>
              <w:spacing w:after="0" w:line="240" w:lineRule="auto"/>
              <w:jc w:val="right"/>
              <w:rPr>
                <w:rFonts w:cs="Calibri"/>
                <w:b/>
                <w:bCs/>
                <w:color w:val="FFFFFF"/>
                <w:kern w:val="0"/>
                <w:sz w:val="16"/>
                <w:szCs w:val="16"/>
                <w:lang w:val="fr-FR" w:eastAsia="fr-FR"/>
              </w:rPr>
            </w:pPr>
            <w:r w:rsidRPr="00440BD2">
              <w:rPr>
                <w:rFonts w:cs="Calibri"/>
                <w:b/>
                <w:bCs/>
                <w:color w:val="FFFFFF"/>
                <w:kern w:val="0"/>
                <w:sz w:val="16"/>
                <w:szCs w:val="16"/>
                <w:lang w:eastAsia="fr-FR"/>
              </w:rPr>
              <w:t>2018</w:t>
            </w:r>
            <w:r>
              <w:rPr>
                <w:rFonts w:cs="Calibri"/>
                <w:b/>
                <w:bCs/>
                <w:color w:val="FFFFFF"/>
                <w:kern w:val="0"/>
                <w:sz w:val="16"/>
                <w:szCs w:val="16"/>
                <w:lang w:eastAsia="fr-FR"/>
              </w:rPr>
              <w:t>(*)</w:t>
            </w:r>
          </w:p>
        </w:tc>
        <w:tc>
          <w:tcPr>
            <w:tcW w:w="723" w:type="pct"/>
            <w:tcBorders>
              <w:top w:val="nil"/>
              <w:left w:val="nil"/>
              <w:bottom w:val="single" w:sz="8" w:space="0" w:color="FF0000"/>
              <w:right w:val="nil"/>
            </w:tcBorders>
            <w:shd w:val="clear" w:color="000000" w:fill="730022"/>
            <w:noWrap/>
            <w:vAlign w:val="center"/>
            <w:hideMark/>
          </w:tcPr>
          <w:p w14:paraId="2669CA3D" w14:textId="0DFB43CA" w:rsidR="00440BD2" w:rsidRPr="00440BD2" w:rsidRDefault="00440BD2" w:rsidP="00440BD2">
            <w:pPr>
              <w:spacing w:after="0" w:line="240" w:lineRule="auto"/>
              <w:jc w:val="right"/>
              <w:rPr>
                <w:rFonts w:cs="Calibri"/>
                <w:b/>
                <w:bCs/>
                <w:color w:val="FFFFFF"/>
                <w:kern w:val="0"/>
                <w:sz w:val="16"/>
                <w:szCs w:val="16"/>
                <w:lang w:val="fr-FR" w:eastAsia="fr-FR"/>
              </w:rPr>
            </w:pPr>
            <w:r w:rsidRPr="00440BD2">
              <w:rPr>
                <w:rFonts w:cs="Calibri"/>
                <w:b/>
                <w:bCs/>
                <w:color w:val="FFFFFF"/>
                <w:kern w:val="0"/>
                <w:sz w:val="16"/>
                <w:szCs w:val="16"/>
                <w:lang w:eastAsia="fr-FR"/>
              </w:rPr>
              <w:t>2019</w:t>
            </w:r>
            <w:r>
              <w:rPr>
                <w:rFonts w:cs="Calibri"/>
                <w:b/>
                <w:bCs/>
                <w:color w:val="FFFFFF"/>
                <w:kern w:val="0"/>
                <w:sz w:val="16"/>
                <w:szCs w:val="16"/>
                <w:lang w:eastAsia="fr-FR"/>
              </w:rPr>
              <w:t>(*)</w:t>
            </w:r>
          </w:p>
        </w:tc>
        <w:tc>
          <w:tcPr>
            <w:tcW w:w="723" w:type="pct"/>
            <w:tcBorders>
              <w:top w:val="nil"/>
              <w:left w:val="nil"/>
              <w:bottom w:val="single" w:sz="8" w:space="0" w:color="FF0000"/>
              <w:right w:val="nil"/>
            </w:tcBorders>
            <w:shd w:val="clear" w:color="000000" w:fill="730022"/>
            <w:noWrap/>
            <w:vAlign w:val="center"/>
            <w:hideMark/>
          </w:tcPr>
          <w:p w14:paraId="43805FB3" w14:textId="32988107" w:rsidR="00440BD2" w:rsidRPr="00440BD2" w:rsidRDefault="00440BD2" w:rsidP="00440BD2">
            <w:pPr>
              <w:spacing w:after="0" w:line="240" w:lineRule="auto"/>
              <w:jc w:val="right"/>
              <w:rPr>
                <w:rFonts w:cs="Calibri"/>
                <w:b/>
                <w:bCs/>
                <w:color w:val="FFFFFF"/>
                <w:kern w:val="0"/>
                <w:sz w:val="16"/>
                <w:szCs w:val="16"/>
                <w:lang w:val="fr-FR" w:eastAsia="fr-FR"/>
              </w:rPr>
            </w:pPr>
            <w:r w:rsidRPr="00440BD2">
              <w:rPr>
                <w:rFonts w:cs="Calibri"/>
                <w:b/>
                <w:bCs/>
                <w:color w:val="FFFFFF"/>
                <w:kern w:val="0"/>
                <w:sz w:val="16"/>
                <w:szCs w:val="16"/>
                <w:lang w:eastAsia="fr-FR"/>
              </w:rPr>
              <w:t>2020</w:t>
            </w:r>
            <w:r>
              <w:rPr>
                <w:rFonts w:cs="Calibri"/>
                <w:b/>
                <w:bCs/>
                <w:color w:val="FFFFFF"/>
                <w:kern w:val="0"/>
                <w:sz w:val="16"/>
                <w:szCs w:val="16"/>
                <w:lang w:eastAsia="fr-FR"/>
              </w:rPr>
              <w:t>(**)</w:t>
            </w:r>
          </w:p>
        </w:tc>
      </w:tr>
      <w:tr w:rsidR="00440BD2" w:rsidRPr="00440BD2" w14:paraId="050967A2" w14:textId="77777777" w:rsidTr="00860520">
        <w:trPr>
          <w:trHeight w:val="288"/>
        </w:trPr>
        <w:tc>
          <w:tcPr>
            <w:tcW w:w="2830" w:type="pct"/>
            <w:tcBorders>
              <w:top w:val="nil"/>
              <w:left w:val="nil"/>
              <w:bottom w:val="nil"/>
              <w:right w:val="single" w:sz="8" w:space="0" w:color="FF0000"/>
            </w:tcBorders>
            <w:shd w:val="clear" w:color="auto" w:fill="auto"/>
            <w:noWrap/>
            <w:vAlign w:val="center"/>
            <w:hideMark/>
          </w:tcPr>
          <w:p w14:paraId="03664551" w14:textId="239AA3D3" w:rsidR="00440BD2" w:rsidRPr="00440BD2" w:rsidRDefault="00440BD2" w:rsidP="00440BD2">
            <w:pPr>
              <w:spacing w:after="0" w:line="240" w:lineRule="auto"/>
              <w:rPr>
                <w:rFonts w:cs="Calibri"/>
                <w:color w:val="000000"/>
                <w:kern w:val="0"/>
                <w:sz w:val="16"/>
                <w:szCs w:val="16"/>
                <w:lang w:val="fr-FR" w:eastAsia="fr-FR"/>
              </w:rPr>
            </w:pPr>
            <w:r w:rsidRPr="00440BD2">
              <w:rPr>
                <w:rFonts w:cs="Calibri"/>
                <w:color w:val="000000"/>
                <w:kern w:val="0"/>
                <w:sz w:val="16"/>
                <w:szCs w:val="16"/>
                <w:lang w:eastAsia="fr-FR"/>
              </w:rPr>
              <w:t>Large-scale</w:t>
            </w:r>
            <w:r>
              <w:rPr>
                <w:rFonts w:cs="Calibri"/>
                <w:color w:val="000000"/>
                <w:kern w:val="0"/>
                <w:sz w:val="16"/>
                <w:szCs w:val="16"/>
                <w:lang w:eastAsia="fr-FR"/>
              </w:rPr>
              <w:t xml:space="preserve"> </w:t>
            </w:r>
            <w:r w:rsidRPr="00440BD2">
              <w:rPr>
                <w:rFonts w:cs="Calibri"/>
                <w:color w:val="000000"/>
                <w:kern w:val="0"/>
                <w:sz w:val="16"/>
                <w:szCs w:val="16"/>
                <w:lang w:eastAsia="fr-FR"/>
              </w:rPr>
              <w:t>gold Mining</w:t>
            </w:r>
          </w:p>
        </w:tc>
        <w:tc>
          <w:tcPr>
            <w:tcW w:w="723" w:type="pct"/>
            <w:tcBorders>
              <w:top w:val="nil"/>
              <w:left w:val="nil"/>
              <w:bottom w:val="nil"/>
              <w:right w:val="single" w:sz="8" w:space="0" w:color="FFFFFF"/>
            </w:tcBorders>
            <w:shd w:val="clear" w:color="auto" w:fill="auto"/>
            <w:noWrap/>
            <w:vAlign w:val="center"/>
            <w:hideMark/>
          </w:tcPr>
          <w:p w14:paraId="057DDACB" w14:textId="77777777" w:rsidR="00440BD2" w:rsidRPr="00440BD2" w:rsidRDefault="00440BD2" w:rsidP="00440BD2">
            <w:pPr>
              <w:spacing w:after="0" w:line="240" w:lineRule="auto"/>
              <w:jc w:val="right"/>
              <w:rPr>
                <w:rFonts w:cs="Calibri"/>
                <w:color w:val="000000"/>
                <w:kern w:val="0"/>
                <w:sz w:val="16"/>
                <w:szCs w:val="16"/>
                <w:lang w:val="fr-FR" w:eastAsia="fr-FR"/>
              </w:rPr>
            </w:pPr>
            <w:r w:rsidRPr="00440BD2">
              <w:rPr>
                <w:rFonts w:cs="Calibri"/>
                <w:color w:val="000000"/>
                <w:kern w:val="0"/>
                <w:sz w:val="16"/>
                <w:szCs w:val="16"/>
                <w:lang w:val="fr-FR" w:eastAsia="fr-FR"/>
              </w:rPr>
              <w:t>26</w:t>
            </w:r>
          </w:p>
        </w:tc>
        <w:tc>
          <w:tcPr>
            <w:tcW w:w="723" w:type="pct"/>
            <w:tcBorders>
              <w:top w:val="nil"/>
              <w:left w:val="nil"/>
              <w:bottom w:val="nil"/>
              <w:right w:val="single" w:sz="8" w:space="0" w:color="FFFFFF"/>
            </w:tcBorders>
            <w:shd w:val="clear" w:color="auto" w:fill="auto"/>
            <w:noWrap/>
            <w:vAlign w:val="center"/>
            <w:hideMark/>
          </w:tcPr>
          <w:p w14:paraId="483F5139" w14:textId="77777777" w:rsidR="00440BD2" w:rsidRPr="00440BD2" w:rsidRDefault="00440BD2" w:rsidP="00440BD2">
            <w:pPr>
              <w:spacing w:after="0" w:line="240" w:lineRule="auto"/>
              <w:jc w:val="right"/>
              <w:rPr>
                <w:rFonts w:cs="Calibri"/>
                <w:color w:val="000000"/>
                <w:kern w:val="0"/>
                <w:sz w:val="16"/>
                <w:szCs w:val="16"/>
                <w:lang w:val="fr-FR" w:eastAsia="fr-FR"/>
              </w:rPr>
            </w:pPr>
            <w:r w:rsidRPr="00440BD2">
              <w:rPr>
                <w:rFonts w:cs="Calibri"/>
                <w:color w:val="000000"/>
                <w:kern w:val="0"/>
                <w:sz w:val="16"/>
                <w:szCs w:val="16"/>
                <w:lang w:val="fr-FR" w:eastAsia="fr-FR"/>
              </w:rPr>
              <w:t>26</w:t>
            </w:r>
          </w:p>
        </w:tc>
        <w:tc>
          <w:tcPr>
            <w:tcW w:w="723" w:type="pct"/>
            <w:tcBorders>
              <w:top w:val="nil"/>
              <w:left w:val="nil"/>
              <w:bottom w:val="nil"/>
              <w:right w:val="single" w:sz="8" w:space="0" w:color="FFFFFF"/>
            </w:tcBorders>
            <w:shd w:val="clear" w:color="auto" w:fill="auto"/>
            <w:noWrap/>
            <w:vAlign w:val="center"/>
            <w:hideMark/>
          </w:tcPr>
          <w:p w14:paraId="401BC961" w14:textId="77777777" w:rsidR="00440BD2" w:rsidRPr="00440BD2" w:rsidRDefault="00440BD2" w:rsidP="00440BD2">
            <w:pPr>
              <w:spacing w:after="0" w:line="240" w:lineRule="auto"/>
              <w:jc w:val="right"/>
              <w:rPr>
                <w:rFonts w:cs="Calibri"/>
                <w:color w:val="000000"/>
                <w:kern w:val="0"/>
                <w:sz w:val="16"/>
                <w:szCs w:val="16"/>
                <w:lang w:val="fr-FR" w:eastAsia="fr-FR"/>
              </w:rPr>
            </w:pPr>
            <w:r w:rsidRPr="00440BD2">
              <w:rPr>
                <w:rFonts w:cs="Calibri"/>
                <w:color w:val="000000"/>
                <w:kern w:val="0"/>
                <w:sz w:val="16"/>
                <w:szCs w:val="16"/>
                <w:lang w:val="fr-FR" w:eastAsia="fr-FR"/>
              </w:rPr>
              <w:t>22</w:t>
            </w:r>
          </w:p>
        </w:tc>
      </w:tr>
      <w:tr w:rsidR="00440BD2" w:rsidRPr="00440BD2" w14:paraId="0EB26E29" w14:textId="77777777" w:rsidTr="00860520">
        <w:trPr>
          <w:trHeight w:val="288"/>
        </w:trPr>
        <w:tc>
          <w:tcPr>
            <w:tcW w:w="2830" w:type="pct"/>
            <w:tcBorders>
              <w:top w:val="nil"/>
              <w:left w:val="nil"/>
              <w:bottom w:val="nil"/>
              <w:right w:val="single" w:sz="8" w:space="0" w:color="FF0000"/>
            </w:tcBorders>
            <w:shd w:val="clear" w:color="000000" w:fill="F8A3AF"/>
            <w:noWrap/>
            <w:vAlign w:val="center"/>
            <w:hideMark/>
          </w:tcPr>
          <w:p w14:paraId="54D959B6" w14:textId="20F3B710" w:rsidR="00440BD2" w:rsidRPr="00440BD2" w:rsidRDefault="00440BD2" w:rsidP="00440BD2">
            <w:pPr>
              <w:spacing w:after="0" w:line="240" w:lineRule="auto"/>
              <w:rPr>
                <w:rFonts w:cs="Calibri"/>
                <w:color w:val="000000"/>
                <w:kern w:val="0"/>
                <w:sz w:val="16"/>
                <w:szCs w:val="16"/>
                <w:lang w:val="fr-FR" w:eastAsia="fr-FR"/>
              </w:rPr>
            </w:pPr>
            <w:r w:rsidRPr="00440BD2">
              <w:rPr>
                <w:rFonts w:cs="Calibri"/>
                <w:color w:val="000000"/>
                <w:kern w:val="0"/>
                <w:sz w:val="16"/>
                <w:szCs w:val="16"/>
                <w:lang w:val="fr-FR" w:eastAsia="fr-FR"/>
              </w:rPr>
              <w:t>Small-scale</w:t>
            </w:r>
            <w:r>
              <w:rPr>
                <w:rFonts w:cs="Calibri"/>
                <w:color w:val="000000"/>
                <w:kern w:val="0"/>
                <w:sz w:val="16"/>
                <w:szCs w:val="16"/>
                <w:lang w:val="fr-FR" w:eastAsia="fr-FR"/>
              </w:rPr>
              <w:t xml:space="preserve"> </w:t>
            </w:r>
            <w:r w:rsidRPr="00440BD2">
              <w:rPr>
                <w:rFonts w:cs="Calibri"/>
                <w:color w:val="000000"/>
                <w:kern w:val="0"/>
                <w:sz w:val="16"/>
                <w:szCs w:val="16"/>
                <w:lang w:val="fr-FR" w:eastAsia="fr-FR"/>
              </w:rPr>
              <w:t>gold Mining</w:t>
            </w:r>
          </w:p>
        </w:tc>
        <w:tc>
          <w:tcPr>
            <w:tcW w:w="723" w:type="pct"/>
            <w:tcBorders>
              <w:top w:val="nil"/>
              <w:left w:val="nil"/>
              <w:bottom w:val="nil"/>
              <w:right w:val="single" w:sz="8" w:space="0" w:color="FFFFFF"/>
            </w:tcBorders>
            <w:shd w:val="clear" w:color="000000" w:fill="F8A3AF"/>
            <w:noWrap/>
            <w:vAlign w:val="center"/>
            <w:hideMark/>
          </w:tcPr>
          <w:p w14:paraId="31538D3C" w14:textId="77777777" w:rsidR="00440BD2" w:rsidRPr="00440BD2" w:rsidRDefault="00440BD2" w:rsidP="00440BD2">
            <w:pPr>
              <w:spacing w:after="0" w:line="240" w:lineRule="auto"/>
              <w:jc w:val="right"/>
              <w:rPr>
                <w:rFonts w:cs="Calibri"/>
                <w:color w:val="000000"/>
                <w:kern w:val="0"/>
                <w:sz w:val="16"/>
                <w:szCs w:val="16"/>
                <w:lang w:val="fr-FR" w:eastAsia="fr-FR"/>
              </w:rPr>
            </w:pPr>
            <w:r w:rsidRPr="00440BD2">
              <w:rPr>
                <w:rFonts w:cs="Calibri"/>
                <w:color w:val="000000"/>
                <w:kern w:val="0"/>
                <w:sz w:val="16"/>
                <w:szCs w:val="16"/>
                <w:lang w:val="fr-FR" w:eastAsia="fr-FR"/>
              </w:rPr>
              <w:t>16</w:t>
            </w:r>
          </w:p>
        </w:tc>
        <w:tc>
          <w:tcPr>
            <w:tcW w:w="723" w:type="pct"/>
            <w:tcBorders>
              <w:top w:val="nil"/>
              <w:left w:val="nil"/>
              <w:bottom w:val="nil"/>
              <w:right w:val="single" w:sz="8" w:space="0" w:color="FFFFFF"/>
            </w:tcBorders>
            <w:shd w:val="clear" w:color="000000" w:fill="F8A3AF"/>
            <w:noWrap/>
            <w:vAlign w:val="center"/>
            <w:hideMark/>
          </w:tcPr>
          <w:p w14:paraId="6D5E02C6" w14:textId="77777777" w:rsidR="00440BD2" w:rsidRPr="00440BD2" w:rsidRDefault="00440BD2" w:rsidP="00440BD2">
            <w:pPr>
              <w:spacing w:after="0" w:line="240" w:lineRule="auto"/>
              <w:jc w:val="right"/>
              <w:rPr>
                <w:rFonts w:cs="Calibri"/>
                <w:color w:val="000000"/>
                <w:kern w:val="0"/>
                <w:sz w:val="16"/>
                <w:szCs w:val="16"/>
                <w:lang w:val="fr-FR" w:eastAsia="fr-FR"/>
              </w:rPr>
            </w:pPr>
            <w:r w:rsidRPr="00440BD2">
              <w:rPr>
                <w:rFonts w:cs="Calibri"/>
                <w:color w:val="000000"/>
                <w:kern w:val="0"/>
                <w:sz w:val="16"/>
                <w:szCs w:val="16"/>
                <w:lang w:val="fr-FR" w:eastAsia="fr-FR"/>
              </w:rPr>
              <w:t>14</w:t>
            </w:r>
          </w:p>
        </w:tc>
        <w:tc>
          <w:tcPr>
            <w:tcW w:w="723" w:type="pct"/>
            <w:tcBorders>
              <w:top w:val="nil"/>
              <w:left w:val="nil"/>
              <w:bottom w:val="nil"/>
              <w:right w:val="single" w:sz="8" w:space="0" w:color="FFFFFF"/>
            </w:tcBorders>
            <w:shd w:val="clear" w:color="000000" w:fill="F8A3AF"/>
            <w:noWrap/>
            <w:vAlign w:val="center"/>
            <w:hideMark/>
          </w:tcPr>
          <w:p w14:paraId="4A9D46D0" w14:textId="77777777" w:rsidR="00440BD2" w:rsidRPr="00440BD2" w:rsidRDefault="00440BD2" w:rsidP="00440BD2">
            <w:pPr>
              <w:spacing w:after="0" w:line="240" w:lineRule="auto"/>
              <w:jc w:val="right"/>
              <w:rPr>
                <w:rFonts w:cs="Calibri"/>
                <w:color w:val="000000"/>
                <w:kern w:val="0"/>
                <w:sz w:val="16"/>
                <w:szCs w:val="16"/>
                <w:lang w:val="fr-FR" w:eastAsia="fr-FR"/>
              </w:rPr>
            </w:pPr>
            <w:r w:rsidRPr="00440BD2">
              <w:rPr>
                <w:rFonts w:cs="Calibri"/>
                <w:color w:val="000000"/>
                <w:kern w:val="0"/>
                <w:sz w:val="16"/>
                <w:szCs w:val="16"/>
                <w:lang w:val="fr-FR" w:eastAsia="fr-FR"/>
              </w:rPr>
              <w:t>14</w:t>
            </w:r>
          </w:p>
        </w:tc>
      </w:tr>
      <w:tr w:rsidR="00440BD2" w:rsidRPr="00440BD2" w14:paraId="3EA28DCD" w14:textId="77777777" w:rsidTr="00860520">
        <w:trPr>
          <w:trHeight w:val="480"/>
        </w:trPr>
        <w:tc>
          <w:tcPr>
            <w:tcW w:w="2830" w:type="pct"/>
            <w:tcBorders>
              <w:top w:val="nil"/>
              <w:left w:val="nil"/>
              <w:bottom w:val="nil"/>
              <w:right w:val="single" w:sz="8" w:space="0" w:color="FF0000"/>
            </w:tcBorders>
            <w:shd w:val="clear" w:color="000000" w:fill="A6A6A6"/>
            <w:vAlign w:val="center"/>
            <w:hideMark/>
          </w:tcPr>
          <w:p w14:paraId="6E38D124" w14:textId="77777777" w:rsidR="00440BD2" w:rsidRPr="00860520" w:rsidRDefault="00440BD2" w:rsidP="00440BD2">
            <w:pPr>
              <w:spacing w:after="0" w:line="240" w:lineRule="auto"/>
              <w:jc w:val="right"/>
              <w:rPr>
                <w:rFonts w:cs="Calibri"/>
                <w:b/>
                <w:bCs/>
                <w:color w:val="000000"/>
                <w:kern w:val="0"/>
                <w:sz w:val="16"/>
                <w:szCs w:val="16"/>
                <w:lang w:eastAsia="fr-FR"/>
              </w:rPr>
            </w:pPr>
            <w:r w:rsidRPr="00440BD2">
              <w:rPr>
                <w:rFonts w:cs="Calibri"/>
                <w:b/>
                <w:bCs/>
                <w:color w:val="000000"/>
                <w:kern w:val="0"/>
                <w:sz w:val="16"/>
                <w:szCs w:val="16"/>
                <w:lang w:eastAsia="fr-FR"/>
              </w:rPr>
              <w:t xml:space="preserve">Total production volume ('000s kg) </w:t>
            </w:r>
            <w:r w:rsidRPr="00440BD2">
              <w:rPr>
                <w:rFonts w:cs="Calibri"/>
                <w:b/>
                <w:bCs/>
                <w:color w:val="000000"/>
                <w:kern w:val="0"/>
                <w:sz w:val="16"/>
                <w:szCs w:val="16"/>
                <w:lang w:eastAsia="fr-FR"/>
              </w:rPr>
              <w:br/>
              <w:t>(a)</w:t>
            </w:r>
          </w:p>
        </w:tc>
        <w:tc>
          <w:tcPr>
            <w:tcW w:w="723" w:type="pct"/>
            <w:tcBorders>
              <w:top w:val="nil"/>
              <w:left w:val="nil"/>
              <w:bottom w:val="nil"/>
              <w:right w:val="nil"/>
            </w:tcBorders>
            <w:shd w:val="clear" w:color="000000" w:fill="A6A6A6"/>
            <w:noWrap/>
            <w:vAlign w:val="center"/>
            <w:hideMark/>
          </w:tcPr>
          <w:p w14:paraId="14BC3F67" w14:textId="77777777" w:rsidR="00440BD2" w:rsidRPr="00440BD2" w:rsidRDefault="00440BD2" w:rsidP="00440BD2">
            <w:pPr>
              <w:spacing w:after="0" w:line="240" w:lineRule="auto"/>
              <w:jc w:val="right"/>
              <w:rPr>
                <w:rFonts w:cs="Calibri"/>
                <w:b/>
                <w:bCs/>
                <w:color w:val="000000"/>
                <w:kern w:val="0"/>
                <w:sz w:val="16"/>
                <w:szCs w:val="16"/>
                <w:lang w:val="fr-FR" w:eastAsia="fr-FR"/>
              </w:rPr>
            </w:pPr>
            <w:r w:rsidRPr="00440BD2">
              <w:rPr>
                <w:rFonts w:cs="Calibri"/>
                <w:b/>
                <w:bCs/>
                <w:color w:val="000000"/>
                <w:kern w:val="0"/>
                <w:sz w:val="16"/>
                <w:szCs w:val="16"/>
                <w:lang w:val="fr-FR" w:eastAsia="fr-FR"/>
              </w:rPr>
              <w:t>42</w:t>
            </w:r>
          </w:p>
        </w:tc>
        <w:tc>
          <w:tcPr>
            <w:tcW w:w="723" w:type="pct"/>
            <w:tcBorders>
              <w:top w:val="nil"/>
              <w:left w:val="nil"/>
              <w:bottom w:val="nil"/>
              <w:right w:val="nil"/>
            </w:tcBorders>
            <w:shd w:val="clear" w:color="000000" w:fill="A6A6A6"/>
            <w:noWrap/>
            <w:vAlign w:val="center"/>
            <w:hideMark/>
          </w:tcPr>
          <w:p w14:paraId="14D9067F" w14:textId="77777777" w:rsidR="00440BD2" w:rsidRPr="00440BD2" w:rsidRDefault="00440BD2" w:rsidP="00440BD2">
            <w:pPr>
              <w:spacing w:after="0" w:line="240" w:lineRule="auto"/>
              <w:jc w:val="right"/>
              <w:rPr>
                <w:rFonts w:cs="Calibri"/>
                <w:b/>
                <w:bCs/>
                <w:color w:val="000000"/>
                <w:kern w:val="0"/>
                <w:sz w:val="16"/>
                <w:szCs w:val="16"/>
                <w:lang w:val="fr-FR" w:eastAsia="fr-FR"/>
              </w:rPr>
            </w:pPr>
            <w:r w:rsidRPr="00440BD2">
              <w:rPr>
                <w:rFonts w:cs="Calibri"/>
                <w:b/>
                <w:bCs/>
                <w:color w:val="000000"/>
                <w:kern w:val="0"/>
                <w:sz w:val="16"/>
                <w:szCs w:val="16"/>
                <w:lang w:val="fr-FR" w:eastAsia="fr-FR"/>
              </w:rPr>
              <w:t>41</w:t>
            </w:r>
          </w:p>
        </w:tc>
        <w:tc>
          <w:tcPr>
            <w:tcW w:w="723" w:type="pct"/>
            <w:tcBorders>
              <w:top w:val="nil"/>
              <w:left w:val="nil"/>
              <w:bottom w:val="nil"/>
              <w:right w:val="nil"/>
            </w:tcBorders>
            <w:shd w:val="clear" w:color="000000" w:fill="A6A6A6"/>
            <w:noWrap/>
            <w:vAlign w:val="center"/>
            <w:hideMark/>
          </w:tcPr>
          <w:p w14:paraId="64DAF2D4" w14:textId="77777777" w:rsidR="00440BD2" w:rsidRPr="00440BD2" w:rsidRDefault="00440BD2" w:rsidP="00440BD2">
            <w:pPr>
              <w:spacing w:after="0" w:line="240" w:lineRule="auto"/>
              <w:jc w:val="right"/>
              <w:rPr>
                <w:rFonts w:cs="Calibri"/>
                <w:b/>
                <w:bCs/>
                <w:color w:val="000000"/>
                <w:kern w:val="0"/>
                <w:sz w:val="16"/>
                <w:szCs w:val="16"/>
                <w:lang w:val="fr-FR" w:eastAsia="fr-FR"/>
              </w:rPr>
            </w:pPr>
            <w:r w:rsidRPr="00440BD2">
              <w:rPr>
                <w:rFonts w:cs="Calibri"/>
                <w:b/>
                <w:bCs/>
                <w:color w:val="000000"/>
                <w:kern w:val="0"/>
                <w:sz w:val="16"/>
                <w:szCs w:val="16"/>
                <w:lang w:val="fr-FR" w:eastAsia="fr-FR"/>
              </w:rPr>
              <w:t>36</w:t>
            </w:r>
          </w:p>
        </w:tc>
      </w:tr>
      <w:tr w:rsidR="00440BD2" w:rsidRPr="00440BD2" w14:paraId="6ED3259D" w14:textId="77777777" w:rsidTr="00860520">
        <w:trPr>
          <w:trHeight w:val="480"/>
        </w:trPr>
        <w:tc>
          <w:tcPr>
            <w:tcW w:w="2830" w:type="pct"/>
            <w:tcBorders>
              <w:top w:val="nil"/>
              <w:left w:val="nil"/>
              <w:bottom w:val="nil"/>
              <w:right w:val="single" w:sz="8" w:space="0" w:color="FF0000"/>
            </w:tcBorders>
            <w:shd w:val="clear" w:color="auto" w:fill="auto"/>
            <w:vAlign w:val="center"/>
            <w:hideMark/>
          </w:tcPr>
          <w:p w14:paraId="7D26C2B1" w14:textId="77777777" w:rsidR="00440BD2" w:rsidRPr="00860520" w:rsidRDefault="00440BD2" w:rsidP="00440BD2">
            <w:pPr>
              <w:spacing w:after="0" w:line="240" w:lineRule="auto"/>
              <w:rPr>
                <w:rFonts w:cs="Calibri"/>
                <w:color w:val="000000"/>
                <w:kern w:val="0"/>
                <w:sz w:val="16"/>
                <w:szCs w:val="16"/>
                <w:lang w:eastAsia="fr-FR"/>
              </w:rPr>
            </w:pPr>
            <w:r w:rsidRPr="00440BD2">
              <w:rPr>
                <w:rFonts w:cs="Calibri"/>
                <w:color w:val="000000"/>
                <w:kern w:val="0"/>
                <w:sz w:val="16"/>
                <w:szCs w:val="16"/>
                <w:lang w:eastAsia="fr-FR"/>
              </w:rPr>
              <w:t xml:space="preserve">Average price of exported Kg (in USD) </w:t>
            </w:r>
            <w:r w:rsidRPr="00440BD2">
              <w:rPr>
                <w:rFonts w:cs="Calibri"/>
                <w:color w:val="000000"/>
                <w:kern w:val="0"/>
                <w:sz w:val="16"/>
                <w:szCs w:val="16"/>
                <w:lang w:eastAsia="fr-FR"/>
              </w:rPr>
              <w:br/>
              <w:t>(b)</w:t>
            </w:r>
          </w:p>
        </w:tc>
        <w:tc>
          <w:tcPr>
            <w:tcW w:w="723" w:type="pct"/>
            <w:tcBorders>
              <w:top w:val="nil"/>
              <w:left w:val="nil"/>
              <w:bottom w:val="nil"/>
              <w:right w:val="single" w:sz="8" w:space="0" w:color="FFFFFF"/>
            </w:tcBorders>
            <w:shd w:val="clear" w:color="auto" w:fill="auto"/>
            <w:noWrap/>
            <w:vAlign w:val="center"/>
            <w:hideMark/>
          </w:tcPr>
          <w:p w14:paraId="5307FC9B" w14:textId="77777777" w:rsidR="00440BD2" w:rsidRPr="00440BD2" w:rsidRDefault="00440BD2" w:rsidP="00440BD2">
            <w:pPr>
              <w:spacing w:after="0" w:line="240" w:lineRule="auto"/>
              <w:jc w:val="right"/>
              <w:rPr>
                <w:rFonts w:cs="Calibri"/>
                <w:color w:val="000000"/>
                <w:kern w:val="0"/>
                <w:sz w:val="16"/>
                <w:szCs w:val="16"/>
                <w:lang w:val="fr-FR" w:eastAsia="fr-FR"/>
              </w:rPr>
            </w:pPr>
            <w:r w:rsidRPr="00860520">
              <w:rPr>
                <w:rFonts w:cs="Calibri"/>
                <w:color w:val="000000"/>
                <w:kern w:val="0"/>
                <w:sz w:val="16"/>
                <w:szCs w:val="16"/>
                <w:lang w:eastAsia="fr-FR"/>
              </w:rPr>
              <w:t xml:space="preserve">         </w:t>
            </w:r>
            <w:r w:rsidRPr="00440BD2">
              <w:rPr>
                <w:rFonts w:cs="Calibri"/>
                <w:color w:val="000000"/>
                <w:kern w:val="0"/>
                <w:sz w:val="16"/>
                <w:szCs w:val="16"/>
                <w:lang w:val="fr-FR" w:eastAsia="fr-FR"/>
              </w:rPr>
              <w:t xml:space="preserve">39.63 </w:t>
            </w:r>
          </w:p>
        </w:tc>
        <w:tc>
          <w:tcPr>
            <w:tcW w:w="723" w:type="pct"/>
            <w:tcBorders>
              <w:top w:val="nil"/>
              <w:left w:val="nil"/>
              <w:bottom w:val="nil"/>
              <w:right w:val="single" w:sz="8" w:space="0" w:color="FFFFFF"/>
            </w:tcBorders>
            <w:shd w:val="clear" w:color="auto" w:fill="auto"/>
            <w:noWrap/>
            <w:vAlign w:val="center"/>
            <w:hideMark/>
          </w:tcPr>
          <w:p w14:paraId="7472AD55" w14:textId="77777777" w:rsidR="00440BD2" w:rsidRPr="00440BD2" w:rsidRDefault="00440BD2" w:rsidP="00440BD2">
            <w:pPr>
              <w:spacing w:after="0" w:line="240" w:lineRule="auto"/>
              <w:jc w:val="right"/>
              <w:rPr>
                <w:rFonts w:cs="Calibri"/>
                <w:color w:val="000000"/>
                <w:kern w:val="0"/>
                <w:sz w:val="16"/>
                <w:szCs w:val="16"/>
                <w:lang w:val="fr-FR" w:eastAsia="fr-FR"/>
              </w:rPr>
            </w:pPr>
            <w:r w:rsidRPr="00440BD2">
              <w:rPr>
                <w:rFonts w:cs="Calibri"/>
                <w:color w:val="000000"/>
                <w:kern w:val="0"/>
                <w:sz w:val="16"/>
                <w:szCs w:val="16"/>
                <w:lang w:val="fr-FR" w:eastAsia="fr-FR"/>
              </w:rPr>
              <w:t xml:space="preserve">         39.81 </w:t>
            </w:r>
          </w:p>
        </w:tc>
        <w:tc>
          <w:tcPr>
            <w:tcW w:w="723" w:type="pct"/>
            <w:tcBorders>
              <w:top w:val="nil"/>
              <w:left w:val="nil"/>
              <w:bottom w:val="nil"/>
              <w:right w:val="single" w:sz="8" w:space="0" w:color="FFFFFF"/>
            </w:tcBorders>
            <w:shd w:val="clear" w:color="auto" w:fill="auto"/>
            <w:noWrap/>
            <w:vAlign w:val="center"/>
            <w:hideMark/>
          </w:tcPr>
          <w:p w14:paraId="6E708CB6" w14:textId="3038CF3B" w:rsidR="00440BD2" w:rsidRPr="00440BD2" w:rsidRDefault="00440BD2" w:rsidP="00440BD2">
            <w:pPr>
              <w:spacing w:after="0" w:line="240" w:lineRule="auto"/>
              <w:jc w:val="right"/>
              <w:rPr>
                <w:rFonts w:cs="Calibri"/>
                <w:color w:val="000000"/>
                <w:kern w:val="0"/>
                <w:sz w:val="16"/>
                <w:szCs w:val="16"/>
                <w:lang w:val="fr-FR" w:eastAsia="fr-FR"/>
              </w:rPr>
            </w:pPr>
            <w:r w:rsidRPr="00440BD2">
              <w:rPr>
                <w:rFonts w:cs="Calibri"/>
                <w:color w:val="000000"/>
                <w:kern w:val="0"/>
                <w:sz w:val="16"/>
                <w:szCs w:val="16"/>
                <w:lang w:val="fr-FR" w:eastAsia="fr-FR"/>
              </w:rPr>
              <w:t xml:space="preserve">         39.81</w:t>
            </w:r>
            <w:r w:rsidR="007F4320">
              <w:rPr>
                <w:rFonts w:cs="Calibri"/>
                <w:color w:val="000000"/>
                <w:kern w:val="0"/>
                <w:sz w:val="16"/>
                <w:szCs w:val="16"/>
                <w:lang w:val="fr-FR" w:eastAsia="fr-FR"/>
              </w:rPr>
              <w:t>(***)</w:t>
            </w:r>
            <w:r w:rsidRPr="00440BD2">
              <w:rPr>
                <w:rFonts w:cs="Calibri"/>
                <w:color w:val="000000"/>
                <w:kern w:val="0"/>
                <w:sz w:val="16"/>
                <w:szCs w:val="16"/>
                <w:lang w:val="fr-FR" w:eastAsia="fr-FR"/>
              </w:rPr>
              <w:t xml:space="preserve"> </w:t>
            </w:r>
          </w:p>
        </w:tc>
      </w:tr>
      <w:tr w:rsidR="00440BD2" w:rsidRPr="00440BD2" w14:paraId="25439A60" w14:textId="77777777" w:rsidTr="00860520">
        <w:trPr>
          <w:trHeight w:val="480"/>
        </w:trPr>
        <w:tc>
          <w:tcPr>
            <w:tcW w:w="2830" w:type="pct"/>
            <w:tcBorders>
              <w:top w:val="nil"/>
              <w:left w:val="nil"/>
              <w:bottom w:val="nil"/>
              <w:right w:val="single" w:sz="8" w:space="0" w:color="FF0000"/>
            </w:tcBorders>
            <w:shd w:val="clear" w:color="000000" w:fill="A6A6A6"/>
            <w:vAlign w:val="center"/>
            <w:hideMark/>
          </w:tcPr>
          <w:p w14:paraId="3556EFD9" w14:textId="77777777" w:rsidR="00440BD2" w:rsidRPr="00860520" w:rsidRDefault="00440BD2" w:rsidP="00440BD2">
            <w:pPr>
              <w:spacing w:after="0" w:line="240" w:lineRule="auto"/>
              <w:jc w:val="right"/>
              <w:rPr>
                <w:rFonts w:cs="Calibri"/>
                <w:b/>
                <w:bCs/>
                <w:color w:val="000000"/>
                <w:kern w:val="0"/>
                <w:sz w:val="16"/>
                <w:szCs w:val="16"/>
                <w:lang w:eastAsia="fr-FR"/>
              </w:rPr>
            </w:pPr>
            <w:r w:rsidRPr="00440BD2">
              <w:rPr>
                <w:rFonts w:cs="Calibri"/>
                <w:b/>
                <w:bCs/>
                <w:color w:val="000000"/>
                <w:kern w:val="0"/>
                <w:sz w:val="16"/>
                <w:szCs w:val="16"/>
                <w:lang w:eastAsia="fr-FR"/>
              </w:rPr>
              <w:t xml:space="preserve">Total estimated value of production ('000s USD) </w:t>
            </w:r>
            <w:r w:rsidRPr="00440BD2">
              <w:rPr>
                <w:rFonts w:cs="Calibri"/>
                <w:b/>
                <w:bCs/>
                <w:color w:val="000000"/>
                <w:kern w:val="0"/>
                <w:sz w:val="16"/>
                <w:szCs w:val="16"/>
                <w:lang w:eastAsia="fr-FR"/>
              </w:rPr>
              <w:br/>
              <w:t>(c) = (a) x (b)</w:t>
            </w:r>
          </w:p>
        </w:tc>
        <w:tc>
          <w:tcPr>
            <w:tcW w:w="723" w:type="pct"/>
            <w:tcBorders>
              <w:top w:val="nil"/>
              <w:left w:val="nil"/>
              <w:bottom w:val="nil"/>
              <w:right w:val="nil"/>
            </w:tcBorders>
            <w:shd w:val="clear" w:color="000000" w:fill="A6A6A6"/>
            <w:noWrap/>
            <w:vAlign w:val="center"/>
            <w:hideMark/>
          </w:tcPr>
          <w:p w14:paraId="633C1C64" w14:textId="77777777" w:rsidR="00440BD2" w:rsidRPr="00440BD2" w:rsidRDefault="00440BD2" w:rsidP="00440BD2">
            <w:pPr>
              <w:spacing w:after="0" w:line="240" w:lineRule="auto"/>
              <w:jc w:val="right"/>
              <w:rPr>
                <w:rFonts w:cs="Calibri"/>
                <w:b/>
                <w:bCs/>
                <w:color w:val="000000"/>
                <w:kern w:val="0"/>
                <w:sz w:val="16"/>
                <w:szCs w:val="16"/>
                <w:lang w:val="fr-FR" w:eastAsia="fr-FR"/>
              </w:rPr>
            </w:pPr>
            <w:r w:rsidRPr="00440BD2">
              <w:rPr>
                <w:rFonts w:cs="Calibri"/>
                <w:b/>
                <w:bCs/>
                <w:color w:val="000000"/>
                <w:kern w:val="0"/>
                <w:sz w:val="16"/>
                <w:szCs w:val="16"/>
                <w:lang w:val="fr-FR" w:eastAsia="fr-FR"/>
              </w:rPr>
              <w:t>1,665</w:t>
            </w:r>
          </w:p>
        </w:tc>
        <w:tc>
          <w:tcPr>
            <w:tcW w:w="723" w:type="pct"/>
            <w:tcBorders>
              <w:top w:val="nil"/>
              <w:left w:val="nil"/>
              <w:bottom w:val="nil"/>
              <w:right w:val="nil"/>
            </w:tcBorders>
            <w:shd w:val="clear" w:color="000000" w:fill="A6A6A6"/>
            <w:noWrap/>
            <w:vAlign w:val="center"/>
            <w:hideMark/>
          </w:tcPr>
          <w:p w14:paraId="141A09E3" w14:textId="77777777" w:rsidR="00440BD2" w:rsidRPr="00440BD2" w:rsidRDefault="00440BD2" w:rsidP="00440BD2">
            <w:pPr>
              <w:spacing w:after="0" w:line="240" w:lineRule="auto"/>
              <w:jc w:val="right"/>
              <w:rPr>
                <w:rFonts w:cs="Calibri"/>
                <w:b/>
                <w:bCs/>
                <w:color w:val="000000"/>
                <w:kern w:val="0"/>
                <w:sz w:val="16"/>
                <w:szCs w:val="16"/>
                <w:lang w:val="fr-FR" w:eastAsia="fr-FR"/>
              </w:rPr>
            </w:pPr>
            <w:r w:rsidRPr="00440BD2">
              <w:rPr>
                <w:rFonts w:cs="Calibri"/>
                <w:b/>
                <w:bCs/>
                <w:color w:val="000000"/>
                <w:kern w:val="0"/>
                <w:sz w:val="16"/>
                <w:szCs w:val="16"/>
                <w:lang w:val="fr-FR" w:eastAsia="fr-FR"/>
              </w:rPr>
              <w:t>1,632</w:t>
            </w:r>
          </w:p>
        </w:tc>
        <w:tc>
          <w:tcPr>
            <w:tcW w:w="723" w:type="pct"/>
            <w:tcBorders>
              <w:top w:val="nil"/>
              <w:left w:val="nil"/>
              <w:bottom w:val="nil"/>
              <w:right w:val="nil"/>
            </w:tcBorders>
            <w:shd w:val="clear" w:color="000000" w:fill="A6A6A6"/>
            <w:noWrap/>
            <w:vAlign w:val="center"/>
            <w:hideMark/>
          </w:tcPr>
          <w:p w14:paraId="45FA0FF9" w14:textId="77777777" w:rsidR="00440BD2" w:rsidRPr="00440BD2" w:rsidRDefault="00440BD2" w:rsidP="00440BD2">
            <w:pPr>
              <w:spacing w:after="0" w:line="240" w:lineRule="auto"/>
              <w:jc w:val="right"/>
              <w:rPr>
                <w:rFonts w:cs="Calibri"/>
                <w:b/>
                <w:bCs/>
                <w:color w:val="000000"/>
                <w:kern w:val="0"/>
                <w:sz w:val="16"/>
                <w:szCs w:val="16"/>
                <w:lang w:val="fr-FR" w:eastAsia="fr-FR"/>
              </w:rPr>
            </w:pPr>
            <w:r w:rsidRPr="00440BD2">
              <w:rPr>
                <w:rFonts w:cs="Calibri"/>
                <w:b/>
                <w:bCs/>
                <w:color w:val="000000"/>
                <w:kern w:val="0"/>
                <w:sz w:val="16"/>
                <w:szCs w:val="16"/>
                <w:lang w:val="fr-FR" w:eastAsia="fr-FR"/>
              </w:rPr>
              <w:t>1,433</w:t>
            </w:r>
          </w:p>
        </w:tc>
      </w:tr>
    </w:tbl>
    <w:p w14:paraId="15A464E1" w14:textId="5DD7D28D" w:rsidR="00F87959" w:rsidRPr="00860520" w:rsidRDefault="00440BD2" w:rsidP="00860520">
      <w:pPr>
        <w:pStyle w:val="BodyText"/>
        <w:spacing w:after="0"/>
        <w:jc w:val="both"/>
        <w:rPr>
          <w:rFonts w:asciiTheme="majorHAnsi" w:hAnsiTheme="majorHAnsi"/>
          <w:i/>
          <w:iCs/>
          <w:color w:val="auto"/>
          <w:sz w:val="16"/>
          <w:szCs w:val="16"/>
        </w:rPr>
      </w:pPr>
      <w:r w:rsidRPr="00860520">
        <w:rPr>
          <w:rFonts w:asciiTheme="majorHAnsi" w:hAnsiTheme="majorHAnsi"/>
          <w:i/>
          <w:iCs/>
          <w:color w:val="auto"/>
          <w:sz w:val="16"/>
          <w:szCs w:val="16"/>
        </w:rPr>
        <w:t xml:space="preserve">(*) Source: </w:t>
      </w:r>
      <w:hyperlink r:id="rId57" w:history="1">
        <w:r w:rsidRPr="00860520">
          <w:rPr>
            <w:rStyle w:val="Hyperlink"/>
            <w:rFonts w:asciiTheme="majorHAnsi" w:hAnsiTheme="majorHAnsi"/>
            <w:i/>
            <w:iCs/>
            <w:sz w:val="16"/>
            <w:szCs w:val="16"/>
          </w:rPr>
          <w:t>Annual Plan 2020</w:t>
        </w:r>
      </w:hyperlink>
    </w:p>
    <w:p w14:paraId="144DEF9A" w14:textId="363B108F" w:rsidR="00440BD2" w:rsidRDefault="00440BD2" w:rsidP="007F4320">
      <w:pPr>
        <w:pStyle w:val="BodyText"/>
        <w:spacing w:after="0"/>
        <w:jc w:val="both"/>
        <w:rPr>
          <w:rFonts w:asciiTheme="majorHAnsi" w:hAnsiTheme="majorHAnsi"/>
          <w:i/>
          <w:iCs/>
          <w:color w:val="auto"/>
          <w:sz w:val="16"/>
          <w:szCs w:val="16"/>
          <w:lang w:val="fr-FR"/>
        </w:rPr>
      </w:pPr>
      <w:r w:rsidRPr="00860520">
        <w:rPr>
          <w:rFonts w:asciiTheme="majorHAnsi" w:hAnsiTheme="majorHAnsi"/>
          <w:i/>
          <w:iCs/>
          <w:color w:val="auto"/>
          <w:sz w:val="16"/>
          <w:szCs w:val="16"/>
          <w:lang w:val="fr-FR"/>
        </w:rPr>
        <w:t xml:space="preserve">(**)Source: </w:t>
      </w:r>
      <w:hyperlink r:id="rId58" w:history="1">
        <w:r w:rsidR="007F4320" w:rsidRPr="00860520">
          <w:rPr>
            <w:rStyle w:val="Hyperlink"/>
            <w:rFonts w:asciiTheme="majorHAnsi" w:hAnsiTheme="majorHAnsi"/>
            <w:i/>
            <w:iCs/>
            <w:sz w:val="16"/>
            <w:szCs w:val="16"/>
            <w:lang w:val="fr-FR"/>
          </w:rPr>
          <w:t>OAS</w:t>
        </w:r>
      </w:hyperlink>
    </w:p>
    <w:p w14:paraId="059146B4" w14:textId="020CD67C" w:rsidR="00F87959" w:rsidRPr="00860520" w:rsidRDefault="007F4320" w:rsidP="00860520">
      <w:pPr>
        <w:pStyle w:val="BodyText"/>
        <w:spacing w:after="0"/>
        <w:jc w:val="both"/>
        <w:rPr>
          <w:rFonts w:asciiTheme="majorHAnsi" w:hAnsiTheme="majorHAnsi"/>
          <w:i/>
          <w:iCs/>
          <w:color w:val="auto"/>
          <w:sz w:val="16"/>
          <w:szCs w:val="16"/>
        </w:rPr>
      </w:pPr>
      <w:r w:rsidRPr="00860520">
        <w:rPr>
          <w:rFonts w:cs="Calibri"/>
          <w:color w:val="000000"/>
          <w:kern w:val="0"/>
          <w:sz w:val="16"/>
          <w:szCs w:val="16"/>
          <w:lang w:eastAsia="fr-FR"/>
        </w:rPr>
        <w:t>(***) Estimated based on the prior year average price</w:t>
      </w:r>
    </w:p>
    <w:p w14:paraId="7C4A4EB7" w14:textId="77777777" w:rsidR="00F87959" w:rsidRPr="00860520" w:rsidRDefault="00F87959" w:rsidP="00860520">
      <w:pPr>
        <w:pStyle w:val="BodyText"/>
        <w:jc w:val="both"/>
        <w:rPr>
          <w:rFonts w:asciiTheme="majorHAnsi" w:hAnsiTheme="majorHAnsi"/>
          <w:color w:val="auto"/>
          <w:sz w:val="20"/>
          <w:szCs w:val="20"/>
        </w:rPr>
      </w:pPr>
    </w:p>
    <w:p w14:paraId="3E72607A" w14:textId="14E148C5" w:rsidR="001320B7" w:rsidRPr="00894701" w:rsidRDefault="001320B7" w:rsidP="000721DF">
      <w:pPr>
        <w:pStyle w:val="ListParagraph"/>
        <w:numPr>
          <w:ilvl w:val="1"/>
          <w:numId w:val="7"/>
        </w:numPr>
        <w:spacing w:before="240" w:after="240"/>
        <w:ind w:left="851" w:right="482" w:hanging="851"/>
        <w:outlineLvl w:val="1"/>
        <w:rPr>
          <w:b/>
          <w:sz w:val="28"/>
          <w:szCs w:val="28"/>
        </w:rPr>
      </w:pPr>
      <w:bookmarkStart w:id="326" w:name="_Toc118021426"/>
      <w:bookmarkStart w:id="327" w:name="_Toc118021494"/>
      <w:bookmarkStart w:id="328" w:name="_Hlk117668472"/>
      <w:bookmarkStart w:id="329" w:name="_Toc101350014"/>
      <w:bookmarkStart w:id="330" w:name="_Toc104555401"/>
      <w:bookmarkStart w:id="331" w:name="_Toc122478911"/>
      <w:bookmarkEnd w:id="324"/>
      <w:bookmarkEnd w:id="326"/>
      <w:bookmarkEnd w:id="327"/>
      <w:r w:rsidRPr="00894701">
        <w:rPr>
          <w:b/>
          <w:sz w:val="28"/>
          <w:szCs w:val="28"/>
        </w:rPr>
        <w:t>Contribution of the extractive sector to the economy</w:t>
      </w:r>
      <w:bookmarkEnd w:id="328"/>
      <w:r w:rsidRPr="00894701">
        <w:rPr>
          <w:b/>
          <w:sz w:val="28"/>
          <w:szCs w:val="28"/>
        </w:rPr>
        <w:t xml:space="preserve"> (EITI Requirement 6.3)</w:t>
      </w:r>
      <w:bookmarkEnd w:id="329"/>
      <w:bookmarkEnd w:id="330"/>
      <w:bookmarkEnd w:id="331"/>
    </w:p>
    <w:p w14:paraId="3CD87494" w14:textId="2290DB93" w:rsidR="000C6072" w:rsidRPr="00894701" w:rsidRDefault="00E02A12" w:rsidP="00614232">
      <w:pPr>
        <w:pStyle w:val="BodyText"/>
        <w:jc w:val="both"/>
        <w:rPr>
          <w:rFonts w:asciiTheme="majorHAnsi" w:hAnsiTheme="majorHAnsi"/>
          <w:color w:val="auto"/>
          <w:sz w:val="20"/>
          <w:szCs w:val="20"/>
        </w:rPr>
      </w:pPr>
      <w:r w:rsidRPr="00894701">
        <w:rPr>
          <w:rFonts w:asciiTheme="majorHAnsi" w:hAnsiTheme="majorHAnsi"/>
          <w:color w:val="auto"/>
          <w:sz w:val="20"/>
          <w:szCs w:val="20"/>
        </w:rPr>
        <w:t xml:space="preserve">The extractive sector dominates Suriname's economy, with oil and gold exports accounting for around 85% of exports and 27% of government revenue. </w:t>
      </w:r>
      <w:r w:rsidR="000C6072" w:rsidRPr="00894701">
        <w:rPr>
          <w:rFonts w:asciiTheme="majorHAnsi" w:hAnsiTheme="majorHAnsi"/>
          <w:color w:val="auto"/>
          <w:sz w:val="20"/>
          <w:szCs w:val="20"/>
        </w:rPr>
        <w:t xml:space="preserve">The Surinamese </w:t>
      </w:r>
      <w:r w:rsidR="00520F6F" w:rsidRPr="00894701">
        <w:rPr>
          <w:rFonts w:asciiTheme="majorHAnsi" w:hAnsiTheme="majorHAnsi"/>
          <w:color w:val="auto"/>
          <w:sz w:val="20"/>
          <w:szCs w:val="20"/>
        </w:rPr>
        <w:t xml:space="preserve">economy experienced a </w:t>
      </w:r>
      <w:r w:rsidR="000C6072" w:rsidRPr="00894701">
        <w:rPr>
          <w:rFonts w:asciiTheme="majorHAnsi" w:hAnsiTheme="majorHAnsi"/>
          <w:color w:val="auto"/>
          <w:sz w:val="20"/>
          <w:szCs w:val="20"/>
        </w:rPr>
        <w:t xml:space="preserve">growth of 1.1% in 2019 from 4.9% in 2018 from different sectors. </w:t>
      </w:r>
    </w:p>
    <w:p w14:paraId="13089108" w14:textId="7214A81E" w:rsidR="00FD1823" w:rsidRPr="00894701" w:rsidRDefault="00FD1823" w:rsidP="00FD1823">
      <w:pPr>
        <w:pStyle w:val="Heading3"/>
        <w:numPr>
          <w:ilvl w:val="2"/>
          <w:numId w:val="78"/>
        </w:numPr>
        <w:spacing w:before="120" w:after="240"/>
        <w:ind w:right="482"/>
        <w:jc w:val="both"/>
        <w:rPr>
          <w:bCs w:val="0"/>
          <w:caps w:val="0"/>
        </w:rPr>
      </w:pPr>
      <w:bookmarkStart w:id="332" w:name="_Toc122478912"/>
      <w:r w:rsidRPr="00894701">
        <w:rPr>
          <w:bCs w:val="0"/>
          <w:caps w:val="0"/>
        </w:rPr>
        <w:t>Contribution to the GDP (Requirement 6.3.a)</w:t>
      </w:r>
      <w:bookmarkEnd w:id="332"/>
    </w:p>
    <w:p w14:paraId="4AB0AD88" w14:textId="15E5455B" w:rsidR="00FD1823" w:rsidRPr="00894701" w:rsidRDefault="00456245" w:rsidP="00FD1823">
      <w:pPr>
        <w:pStyle w:val="BodyText"/>
        <w:jc w:val="both"/>
      </w:pPr>
      <w:r>
        <w:rPr>
          <w:rFonts w:cs="Arial"/>
          <w:color w:val="auto"/>
          <w:sz w:val="20"/>
        </w:rPr>
        <w:t>T</w:t>
      </w:r>
      <w:r w:rsidR="00FD1823" w:rsidRPr="00894701">
        <w:rPr>
          <w:rFonts w:cs="Arial"/>
          <w:color w:val="000000"/>
          <w:sz w:val="20"/>
        </w:rPr>
        <w:t xml:space="preserve">he </w:t>
      </w:r>
      <w:r>
        <w:rPr>
          <w:rFonts w:cs="Arial"/>
          <w:color w:val="000000"/>
          <w:sz w:val="20"/>
        </w:rPr>
        <w:t xml:space="preserve">available information on the </w:t>
      </w:r>
      <w:r w:rsidR="00FD1823" w:rsidRPr="00894701">
        <w:rPr>
          <w:rFonts w:cs="Arial"/>
          <w:color w:val="000000"/>
          <w:sz w:val="20"/>
        </w:rPr>
        <w:t xml:space="preserve">contribution of the mineral sector to the GDP during the fiscal years 2018, 2019 and 2020 </w:t>
      </w:r>
      <w:r>
        <w:rPr>
          <w:rFonts w:cs="Arial"/>
          <w:color w:val="000000"/>
          <w:sz w:val="20"/>
        </w:rPr>
        <w:t xml:space="preserve">in </w:t>
      </w:r>
      <w:r>
        <w:rPr>
          <w:rFonts w:cs="Arial"/>
          <w:color w:val="auto"/>
          <w:sz w:val="20"/>
        </w:rPr>
        <w:t>a</w:t>
      </w:r>
      <w:r w:rsidRPr="00894701">
        <w:rPr>
          <w:rFonts w:cs="Arial"/>
          <w:color w:val="auto"/>
          <w:sz w:val="20"/>
        </w:rPr>
        <w:t>ccord</w:t>
      </w:r>
      <w:r>
        <w:rPr>
          <w:rFonts w:cs="Arial"/>
          <w:color w:val="auto"/>
          <w:sz w:val="20"/>
        </w:rPr>
        <w:t>ance with</w:t>
      </w:r>
      <w:r w:rsidRPr="00894701">
        <w:rPr>
          <w:rFonts w:cs="Arial"/>
          <w:color w:val="auto"/>
          <w:sz w:val="20"/>
        </w:rPr>
        <w:t xml:space="preserve"> the Bureau of Statistics of Suriname</w:t>
      </w:r>
      <w:r w:rsidRPr="00894701">
        <w:rPr>
          <w:rFonts w:cs="Arial"/>
          <w:color w:val="000000"/>
          <w:sz w:val="20"/>
        </w:rPr>
        <w:t xml:space="preserve"> </w:t>
      </w:r>
      <w:r>
        <w:rPr>
          <w:rFonts w:cs="Arial"/>
          <w:color w:val="000000"/>
          <w:sz w:val="20"/>
        </w:rPr>
        <w:t>is</w:t>
      </w:r>
      <w:r w:rsidRPr="00894701">
        <w:rPr>
          <w:rFonts w:cs="Arial"/>
          <w:color w:val="000000"/>
          <w:sz w:val="20"/>
        </w:rPr>
        <w:t xml:space="preserve"> </w:t>
      </w:r>
      <w:r w:rsidR="00FD1823" w:rsidRPr="00894701">
        <w:rPr>
          <w:rFonts w:cs="Arial"/>
          <w:color w:val="000000"/>
          <w:sz w:val="20"/>
        </w:rPr>
        <w:t>set out in the table below.</w:t>
      </w:r>
    </w:p>
    <w:p w14:paraId="5812EBDD" w14:textId="17A27C5E" w:rsidR="0063282C" w:rsidRPr="00894701" w:rsidRDefault="00FD1823" w:rsidP="0063282C">
      <w:pPr>
        <w:pStyle w:val="BodyTextRed"/>
        <w:jc w:val="center"/>
        <w:rPr>
          <w:b/>
          <w:bCs/>
          <w:color w:val="98002E" w:themeColor="accent3"/>
          <w:sz w:val="20"/>
          <w:szCs w:val="20"/>
        </w:rPr>
      </w:pPr>
      <w:bookmarkStart w:id="333" w:name="_Toc104557711"/>
      <w:bookmarkStart w:id="334" w:name="_Toc146590505"/>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33</w:t>
      </w:r>
      <w:r w:rsidRPr="00894701">
        <w:rPr>
          <w:b/>
          <w:bCs/>
          <w:color w:val="98002E" w:themeColor="accent3"/>
          <w:sz w:val="20"/>
          <w:szCs w:val="20"/>
        </w:rPr>
        <w:fldChar w:fldCharType="end"/>
      </w:r>
      <w:r w:rsidRPr="00894701">
        <w:rPr>
          <w:b/>
          <w:bCs/>
          <w:color w:val="98002E" w:themeColor="accent3"/>
          <w:sz w:val="20"/>
          <w:szCs w:val="20"/>
        </w:rPr>
        <w:t>: Contribution of the mineral sector to GDP at for the fiscal years 2018, 2019 and 2020</w:t>
      </w:r>
      <w:bookmarkEnd w:id="333"/>
      <w:bookmarkEnd w:id="334"/>
    </w:p>
    <w:tbl>
      <w:tblPr>
        <w:tblW w:w="5000" w:type="pct"/>
        <w:tblLook w:val="04A0" w:firstRow="1" w:lastRow="0" w:firstColumn="1" w:lastColumn="0" w:noHBand="0" w:noVBand="1"/>
      </w:tblPr>
      <w:tblGrid>
        <w:gridCol w:w="3711"/>
        <w:gridCol w:w="1692"/>
        <w:gridCol w:w="1772"/>
        <w:gridCol w:w="1875"/>
      </w:tblGrid>
      <w:tr w:rsidR="00FD1823" w:rsidRPr="00894701" w14:paraId="6A9DA333" w14:textId="77777777" w:rsidTr="00446B8D">
        <w:trPr>
          <w:trHeight w:val="283"/>
        </w:trPr>
        <w:tc>
          <w:tcPr>
            <w:tcW w:w="2050" w:type="pct"/>
            <w:tcBorders>
              <w:top w:val="nil"/>
              <w:left w:val="nil"/>
              <w:bottom w:val="single" w:sz="12" w:space="0" w:color="FF0000"/>
              <w:right w:val="nil"/>
            </w:tcBorders>
            <w:shd w:val="clear" w:color="000000" w:fill="7A091A"/>
            <w:noWrap/>
            <w:vAlign w:val="center"/>
            <w:hideMark/>
          </w:tcPr>
          <w:p w14:paraId="0D63FAAA" w14:textId="1CE7A03C" w:rsidR="00FD1823" w:rsidRPr="00894701" w:rsidRDefault="00FD1823" w:rsidP="00446B8D">
            <w:pPr>
              <w:spacing w:after="0" w:line="240" w:lineRule="auto"/>
              <w:rPr>
                <w:b/>
                <w:bCs/>
                <w:color w:val="FFFFFF"/>
                <w:kern w:val="0"/>
                <w:sz w:val="16"/>
                <w:szCs w:val="16"/>
              </w:rPr>
            </w:pPr>
            <w:r w:rsidRPr="00894701">
              <w:rPr>
                <w:b/>
                <w:bCs/>
                <w:color w:val="FFFFFF"/>
                <w:kern w:val="0"/>
                <w:sz w:val="16"/>
                <w:szCs w:val="16"/>
                <w:lang w:eastAsia="fr-FR"/>
              </w:rPr>
              <w:t>Description</w:t>
            </w:r>
            <w:r w:rsidR="0063282C" w:rsidRPr="00894701">
              <w:rPr>
                <w:b/>
                <w:bCs/>
                <w:color w:val="FFFFFF"/>
                <w:kern w:val="0"/>
                <w:sz w:val="16"/>
                <w:szCs w:val="16"/>
                <w:lang w:eastAsia="fr-FR"/>
              </w:rPr>
              <w:t xml:space="preserve"> (in SRD 1,000)</w:t>
            </w:r>
          </w:p>
        </w:tc>
        <w:tc>
          <w:tcPr>
            <w:tcW w:w="935" w:type="pct"/>
            <w:tcBorders>
              <w:top w:val="nil"/>
              <w:left w:val="nil"/>
              <w:bottom w:val="single" w:sz="12" w:space="0" w:color="FF0000"/>
              <w:right w:val="nil"/>
            </w:tcBorders>
            <w:shd w:val="clear" w:color="000000" w:fill="7A091A"/>
            <w:noWrap/>
            <w:vAlign w:val="center"/>
            <w:hideMark/>
          </w:tcPr>
          <w:p w14:paraId="4F94036E" w14:textId="77777777" w:rsidR="00FD1823" w:rsidRPr="00894701" w:rsidRDefault="00FD1823" w:rsidP="00446B8D">
            <w:pPr>
              <w:spacing w:after="0" w:line="240" w:lineRule="auto"/>
              <w:jc w:val="right"/>
              <w:rPr>
                <w:b/>
                <w:bCs/>
                <w:color w:val="FFFFFF"/>
                <w:kern w:val="0"/>
                <w:sz w:val="16"/>
                <w:szCs w:val="16"/>
              </w:rPr>
            </w:pPr>
            <w:r w:rsidRPr="00894701">
              <w:rPr>
                <w:b/>
                <w:bCs/>
                <w:color w:val="FFFFFF"/>
                <w:kern w:val="0"/>
                <w:sz w:val="16"/>
                <w:szCs w:val="16"/>
                <w:lang w:eastAsia="fr-FR"/>
              </w:rPr>
              <w:t>2018</w:t>
            </w:r>
          </w:p>
        </w:tc>
        <w:tc>
          <w:tcPr>
            <w:tcW w:w="979" w:type="pct"/>
            <w:tcBorders>
              <w:top w:val="nil"/>
              <w:left w:val="nil"/>
              <w:bottom w:val="single" w:sz="12" w:space="0" w:color="FF0000"/>
              <w:right w:val="nil"/>
            </w:tcBorders>
            <w:shd w:val="clear" w:color="000000" w:fill="7A091A"/>
            <w:noWrap/>
            <w:vAlign w:val="center"/>
            <w:hideMark/>
          </w:tcPr>
          <w:p w14:paraId="7C546B39" w14:textId="77777777" w:rsidR="00FD1823" w:rsidRPr="00894701" w:rsidRDefault="00FD1823" w:rsidP="00446B8D">
            <w:pPr>
              <w:spacing w:after="0" w:line="240" w:lineRule="auto"/>
              <w:jc w:val="right"/>
              <w:rPr>
                <w:b/>
                <w:bCs/>
                <w:color w:val="FFFFFF"/>
                <w:kern w:val="0"/>
                <w:sz w:val="16"/>
                <w:szCs w:val="16"/>
              </w:rPr>
            </w:pPr>
            <w:r w:rsidRPr="00894701">
              <w:rPr>
                <w:b/>
                <w:bCs/>
                <w:color w:val="FFFFFF"/>
                <w:kern w:val="0"/>
                <w:sz w:val="16"/>
                <w:szCs w:val="16"/>
                <w:lang w:eastAsia="fr-FR"/>
              </w:rPr>
              <w:t>2019</w:t>
            </w:r>
          </w:p>
        </w:tc>
        <w:tc>
          <w:tcPr>
            <w:tcW w:w="1036" w:type="pct"/>
            <w:tcBorders>
              <w:top w:val="nil"/>
              <w:left w:val="nil"/>
              <w:bottom w:val="single" w:sz="12" w:space="0" w:color="FF0000"/>
              <w:right w:val="nil"/>
            </w:tcBorders>
            <w:shd w:val="clear" w:color="000000" w:fill="7A091A"/>
            <w:noWrap/>
            <w:vAlign w:val="center"/>
            <w:hideMark/>
          </w:tcPr>
          <w:p w14:paraId="4DA268DC" w14:textId="77777777" w:rsidR="00FD1823" w:rsidRPr="00894701" w:rsidRDefault="00FD1823" w:rsidP="00446B8D">
            <w:pPr>
              <w:spacing w:after="0" w:line="240" w:lineRule="auto"/>
              <w:jc w:val="right"/>
              <w:rPr>
                <w:b/>
                <w:bCs/>
                <w:color w:val="FFFFFF"/>
                <w:kern w:val="0"/>
                <w:sz w:val="16"/>
                <w:szCs w:val="16"/>
              </w:rPr>
            </w:pPr>
            <w:r w:rsidRPr="00894701">
              <w:rPr>
                <w:b/>
                <w:bCs/>
                <w:color w:val="FFFFFF"/>
                <w:kern w:val="0"/>
                <w:sz w:val="16"/>
                <w:szCs w:val="16"/>
                <w:lang w:eastAsia="fr-FR"/>
              </w:rPr>
              <w:t>2020</w:t>
            </w:r>
          </w:p>
        </w:tc>
      </w:tr>
      <w:tr w:rsidR="00FD1823" w:rsidRPr="00894701" w14:paraId="760D70BE" w14:textId="77777777" w:rsidTr="00446B8D">
        <w:trPr>
          <w:trHeight w:val="283"/>
        </w:trPr>
        <w:tc>
          <w:tcPr>
            <w:tcW w:w="2050" w:type="pct"/>
            <w:tcBorders>
              <w:top w:val="nil"/>
              <w:left w:val="nil"/>
              <w:bottom w:val="nil"/>
              <w:right w:val="nil"/>
            </w:tcBorders>
            <w:shd w:val="clear" w:color="auto" w:fill="auto"/>
            <w:vAlign w:val="center"/>
            <w:hideMark/>
          </w:tcPr>
          <w:p w14:paraId="3C8ACF38" w14:textId="2A2EC832" w:rsidR="00FD1823" w:rsidRPr="00894701" w:rsidRDefault="00FD1823" w:rsidP="00446B8D">
            <w:pPr>
              <w:spacing w:after="0" w:line="240" w:lineRule="auto"/>
              <w:rPr>
                <w:color w:val="000000"/>
                <w:kern w:val="0"/>
                <w:szCs w:val="18"/>
              </w:rPr>
            </w:pPr>
            <w:r w:rsidRPr="00894701">
              <w:rPr>
                <w:color w:val="000000"/>
                <w:kern w:val="0"/>
                <w:szCs w:val="18"/>
                <w:lang w:eastAsia="fr-FR"/>
              </w:rPr>
              <w:t>Min</w:t>
            </w:r>
            <w:r w:rsidR="00171302">
              <w:rPr>
                <w:color w:val="000000"/>
                <w:kern w:val="0"/>
                <w:szCs w:val="18"/>
                <w:lang w:eastAsia="fr-FR"/>
              </w:rPr>
              <w:t>eral</w:t>
            </w:r>
            <w:r w:rsidRPr="00894701">
              <w:rPr>
                <w:color w:val="000000"/>
                <w:kern w:val="0"/>
                <w:szCs w:val="18"/>
                <w:lang w:eastAsia="fr-FR"/>
              </w:rPr>
              <w:t xml:space="preserve"> Sector </w:t>
            </w:r>
          </w:p>
        </w:tc>
        <w:tc>
          <w:tcPr>
            <w:tcW w:w="935" w:type="pct"/>
            <w:tcBorders>
              <w:top w:val="nil"/>
              <w:left w:val="nil"/>
              <w:bottom w:val="nil"/>
              <w:right w:val="nil"/>
            </w:tcBorders>
            <w:shd w:val="clear" w:color="auto" w:fill="auto"/>
            <w:vAlign w:val="center"/>
            <w:hideMark/>
          </w:tcPr>
          <w:p w14:paraId="343C5C34" w14:textId="77777777" w:rsidR="00FD1823" w:rsidRPr="00894701" w:rsidRDefault="00FD1823" w:rsidP="00446B8D">
            <w:pPr>
              <w:spacing w:after="0" w:line="240" w:lineRule="auto"/>
              <w:jc w:val="right"/>
              <w:rPr>
                <w:color w:val="000000"/>
                <w:kern w:val="0"/>
                <w:szCs w:val="18"/>
              </w:rPr>
            </w:pPr>
            <w:r w:rsidRPr="00894701">
              <w:rPr>
                <w:color w:val="000000"/>
                <w:sz w:val="16"/>
                <w:szCs w:val="16"/>
              </w:rPr>
              <w:t>1,718,358</w:t>
            </w:r>
          </w:p>
        </w:tc>
        <w:tc>
          <w:tcPr>
            <w:tcW w:w="979" w:type="pct"/>
            <w:tcBorders>
              <w:top w:val="nil"/>
              <w:left w:val="nil"/>
              <w:bottom w:val="nil"/>
              <w:right w:val="nil"/>
            </w:tcBorders>
            <w:shd w:val="clear" w:color="auto" w:fill="auto"/>
            <w:vAlign w:val="center"/>
            <w:hideMark/>
          </w:tcPr>
          <w:p w14:paraId="0AAA0DF6" w14:textId="77777777" w:rsidR="00FD1823" w:rsidRPr="00894701" w:rsidRDefault="00FD1823" w:rsidP="00446B8D">
            <w:pPr>
              <w:spacing w:after="0" w:line="240" w:lineRule="auto"/>
              <w:jc w:val="right"/>
              <w:rPr>
                <w:color w:val="000000"/>
                <w:kern w:val="0"/>
                <w:szCs w:val="18"/>
              </w:rPr>
            </w:pPr>
            <w:r w:rsidRPr="00894701">
              <w:rPr>
                <w:color w:val="000000"/>
                <w:sz w:val="16"/>
                <w:szCs w:val="16"/>
              </w:rPr>
              <w:t>2,165,033</w:t>
            </w:r>
          </w:p>
        </w:tc>
        <w:tc>
          <w:tcPr>
            <w:tcW w:w="1036" w:type="pct"/>
            <w:tcBorders>
              <w:top w:val="nil"/>
              <w:left w:val="nil"/>
              <w:bottom w:val="nil"/>
              <w:right w:val="nil"/>
            </w:tcBorders>
            <w:shd w:val="clear" w:color="auto" w:fill="auto"/>
            <w:vAlign w:val="center"/>
            <w:hideMark/>
          </w:tcPr>
          <w:p w14:paraId="38E64C64" w14:textId="77777777" w:rsidR="00FD1823" w:rsidRPr="00894701" w:rsidRDefault="00FD1823" w:rsidP="00446B8D">
            <w:pPr>
              <w:spacing w:after="0" w:line="240" w:lineRule="auto"/>
              <w:jc w:val="right"/>
              <w:rPr>
                <w:color w:val="000000"/>
                <w:kern w:val="0"/>
                <w:szCs w:val="18"/>
              </w:rPr>
            </w:pPr>
            <w:r w:rsidRPr="00894701">
              <w:rPr>
                <w:color w:val="000000"/>
                <w:sz w:val="16"/>
                <w:szCs w:val="16"/>
              </w:rPr>
              <w:t>2,179,086</w:t>
            </w:r>
          </w:p>
        </w:tc>
      </w:tr>
      <w:tr w:rsidR="00FD1823" w:rsidRPr="00894701" w14:paraId="1DDBFDB0" w14:textId="77777777" w:rsidTr="00446B8D">
        <w:trPr>
          <w:trHeight w:val="283"/>
        </w:trPr>
        <w:tc>
          <w:tcPr>
            <w:tcW w:w="2050" w:type="pct"/>
            <w:tcBorders>
              <w:top w:val="nil"/>
              <w:left w:val="nil"/>
              <w:bottom w:val="nil"/>
              <w:right w:val="nil"/>
            </w:tcBorders>
            <w:shd w:val="clear" w:color="auto" w:fill="F8A3AF"/>
            <w:vAlign w:val="center"/>
            <w:hideMark/>
          </w:tcPr>
          <w:p w14:paraId="7CAB0FBF" w14:textId="1B2E7878" w:rsidR="00FD1823" w:rsidRPr="00894701" w:rsidRDefault="00FD1823" w:rsidP="00446B8D">
            <w:pPr>
              <w:spacing w:after="0" w:line="240" w:lineRule="auto"/>
              <w:rPr>
                <w:color w:val="000000"/>
                <w:kern w:val="0"/>
                <w:szCs w:val="18"/>
              </w:rPr>
            </w:pPr>
            <w:r w:rsidRPr="00894701">
              <w:rPr>
                <w:color w:val="000000"/>
                <w:kern w:val="0"/>
                <w:szCs w:val="18"/>
                <w:lang w:eastAsia="fr-FR"/>
              </w:rPr>
              <w:lastRenderedPageBreak/>
              <w:t xml:space="preserve">GDP </w:t>
            </w:r>
          </w:p>
        </w:tc>
        <w:tc>
          <w:tcPr>
            <w:tcW w:w="935" w:type="pct"/>
            <w:tcBorders>
              <w:top w:val="nil"/>
              <w:left w:val="nil"/>
              <w:bottom w:val="nil"/>
              <w:right w:val="nil"/>
            </w:tcBorders>
            <w:shd w:val="clear" w:color="auto" w:fill="F8A3AF"/>
            <w:vAlign w:val="center"/>
            <w:hideMark/>
          </w:tcPr>
          <w:p w14:paraId="498813CA" w14:textId="77777777" w:rsidR="00FD1823" w:rsidRPr="00894701" w:rsidRDefault="00FD1823" w:rsidP="00446B8D">
            <w:pPr>
              <w:spacing w:after="0" w:line="240" w:lineRule="auto"/>
              <w:jc w:val="right"/>
              <w:rPr>
                <w:color w:val="000000"/>
                <w:kern w:val="0"/>
                <w:szCs w:val="18"/>
              </w:rPr>
            </w:pPr>
            <w:r w:rsidRPr="00894701">
              <w:rPr>
                <w:color w:val="000000"/>
                <w:sz w:val="16"/>
                <w:szCs w:val="16"/>
              </w:rPr>
              <w:t>29,821,678</w:t>
            </w:r>
          </w:p>
        </w:tc>
        <w:tc>
          <w:tcPr>
            <w:tcW w:w="979" w:type="pct"/>
            <w:tcBorders>
              <w:top w:val="nil"/>
              <w:left w:val="nil"/>
              <w:bottom w:val="nil"/>
              <w:right w:val="nil"/>
            </w:tcBorders>
            <w:shd w:val="clear" w:color="auto" w:fill="F8A3AF"/>
            <w:vAlign w:val="center"/>
            <w:hideMark/>
          </w:tcPr>
          <w:p w14:paraId="046BFA89" w14:textId="77777777" w:rsidR="00FD1823" w:rsidRPr="00894701" w:rsidRDefault="00FD1823" w:rsidP="00446B8D">
            <w:pPr>
              <w:spacing w:after="0" w:line="240" w:lineRule="auto"/>
              <w:jc w:val="right"/>
              <w:rPr>
                <w:color w:val="000000"/>
                <w:kern w:val="0"/>
                <w:szCs w:val="18"/>
              </w:rPr>
            </w:pPr>
            <w:r w:rsidRPr="00894701">
              <w:rPr>
                <w:color w:val="000000"/>
                <w:sz w:val="16"/>
                <w:szCs w:val="16"/>
              </w:rPr>
              <w:t>31,732,343</w:t>
            </w:r>
          </w:p>
        </w:tc>
        <w:tc>
          <w:tcPr>
            <w:tcW w:w="1036" w:type="pct"/>
            <w:tcBorders>
              <w:top w:val="nil"/>
              <w:left w:val="nil"/>
              <w:bottom w:val="nil"/>
              <w:right w:val="nil"/>
            </w:tcBorders>
            <w:shd w:val="clear" w:color="auto" w:fill="F8A3AF"/>
            <w:vAlign w:val="center"/>
            <w:hideMark/>
          </w:tcPr>
          <w:p w14:paraId="3D771E8E" w14:textId="77777777" w:rsidR="00FD1823" w:rsidRPr="00894701" w:rsidRDefault="00FD1823" w:rsidP="00446B8D">
            <w:pPr>
              <w:spacing w:after="0" w:line="240" w:lineRule="auto"/>
              <w:jc w:val="right"/>
              <w:rPr>
                <w:color w:val="000000"/>
                <w:kern w:val="0"/>
                <w:szCs w:val="18"/>
              </w:rPr>
            </w:pPr>
            <w:r w:rsidRPr="00894701">
              <w:rPr>
                <w:color w:val="000000"/>
                <w:sz w:val="16"/>
                <w:szCs w:val="16"/>
              </w:rPr>
              <w:t>38,719,469</w:t>
            </w:r>
          </w:p>
        </w:tc>
      </w:tr>
      <w:tr w:rsidR="00FD1823" w:rsidRPr="00894701" w14:paraId="0CAAE715" w14:textId="77777777" w:rsidTr="00446B8D">
        <w:trPr>
          <w:trHeight w:val="283"/>
        </w:trPr>
        <w:tc>
          <w:tcPr>
            <w:tcW w:w="2050" w:type="pct"/>
            <w:tcBorders>
              <w:top w:val="nil"/>
              <w:left w:val="nil"/>
              <w:bottom w:val="single" w:sz="12" w:space="0" w:color="FF0000"/>
              <w:right w:val="nil"/>
            </w:tcBorders>
            <w:shd w:val="clear" w:color="auto" w:fill="808080"/>
            <w:vAlign w:val="center"/>
            <w:hideMark/>
          </w:tcPr>
          <w:p w14:paraId="1BA00316" w14:textId="205D34CD" w:rsidR="00FD1823" w:rsidRPr="00894701" w:rsidRDefault="00F24935" w:rsidP="00446B8D">
            <w:pPr>
              <w:spacing w:after="0" w:line="240" w:lineRule="auto"/>
              <w:rPr>
                <w:b/>
                <w:bCs/>
                <w:color w:val="FFFFFF"/>
                <w:kern w:val="0"/>
                <w:szCs w:val="18"/>
              </w:rPr>
            </w:pPr>
            <w:r w:rsidRPr="00894701">
              <w:rPr>
                <w:b/>
                <w:bCs/>
                <w:color w:val="FFFFFF"/>
                <w:kern w:val="0"/>
                <w:szCs w:val="18"/>
                <w:lang w:eastAsia="fr-FR"/>
              </w:rPr>
              <w:t>Contribution</w:t>
            </w:r>
            <w:r w:rsidR="00FD1823" w:rsidRPr="00894701">
              <w:rPr>
                <w:b/>
                <w:bCs/>
                <w:color w:val="FFFFFF"/>
                <w:kern w:val="0"/>
                <w:szCs w:val="18"/>
                <w:lang w:eastAsia="fr-FR"/>
              </w:rPr>
              <w:t xml:space="preserve"> to GDP </w:t>
            </w:r>
          </w:p>
        </w:tc>
        <w:tc>
          <w:tcPr>
            <w:tcW w:w="935" w:type="pct"/>
            <w:tcBorders>
              <w:top w:val="nil"/>
              <w:left w:val="nil"/>
              <w:bottom w:val="single" w:sz="12" w:space="0" w:color="FF0000"/>
              <w:right w:val="nil"/>
            </w:tcBorders>
            <w:shd w:val="clear" w:color="auto" w:fill="808080"/>
            <w:vAlign w:val="center"/>
            <w:hideMark/>
          </w:tcPr>
          <w:p w14:paraId="64A314AB" w14:textId="77777777" w:rsidR="00FD1823" w:rsidRPr="00894701" w:rsidRDefault="00FD1823" w:rsidP="00446B8D">
            <w:pPr>
              <w:spacing w:after="0" w:line="240" w:lineRule="auto"/>
              <w:jc w:val="right"/>
              <w:rPr>
                <w:b/>
                <w:bCs/>
                <w:color w:val="FFFFFF"/>
                <w:kern w:val="0"/>
                <w:szCs w:val="18"/>
              </w:rPr>
            </w:pPr>
            <w:r w:rsidRPr="00894701">
              <w:rPr>
                <w:b/>
                <w:bCs/>
                <w:color w:val="FFFFFF"/>
                <w:sz w:val="16"/>
                <w:szCs w:val="16"/>
              </w:rPr>
              <w:t>5.76%</w:t>
            </w:r>
          </w:p>
        </w:tc>
        <w:tc>
          <w:tcPr>
            <w:tcW w:w="979" w:type="pct"/>
            <w:tcBorders>
              <w:top w:val="nil"/>
              <w:left w:val="nil"/>
              <w:bottom w:val="single" w:sz="12" w:space="0" w:color="FF0000"/>
              <w:right w:val="nil"/>
            </w:tcBorders>
            <w:shd w:val="clear" w:color="auto" w:fill="808080"/>
            <w:vAlign w:val="center"/>
            <w:hideMark/>
          </w:tcPr>
          <w:p w14:paraId="5F5CCE5E" w14:textId="77777777" w:rsidR="00FD1823" w:rsidRPr="00894701" w:rsidRDefault="00FD1823" w:rsidP="00446B8D">
            <w:pPr>
              <w:spacing w:after="0" w:line="240" w:lineRule="auto"/>
              <w:jc w:val="right"/>
              <w:rPr>
                <w:b/>
                <w:bCs/>
                <w:color w:val="FFFFFF"/>
                <w:kern w:val="0"/>
                <w:szCs w:val="18"/>
              </w:rPr>
            </w:pPr>
            <w:r w:rsidRPr="00894701">
              <w:rPr>
                <w:b/>
                <w:bCs/>
                <w:color w:val="FFFFFF"/>
                <w:sz w:val="16"/>
                <w:szCs w:val="16"/>
              </w:rPr>
              <w:t>6.82%</w:t>
            </w:r>
          </w:p>
        </w:tc>
        <w:tc>
          <w:tcPr>
            <w:tcW w:w="1036" w:type="pct"/>
            <w:tcBorders>
              <w:top w:val="nil"/>
              <w:left w:val="nil"/>
              <w:bottom w:val="single" w:sz="12" w:space="0" w:color="FF0000"/>
              <w:right w:val="nil"/>
            </w:tcBorders>
            <w:shd w:val="clear" w:color="auto" w:fill="808080"/>
            <w:vAlign w:val="center"/>
            <w:hideMark/>
          </w:tcPr>
          <w:p w14:paraId="0665DBB8" w14:textId="77777777" w:rsidR="00FD1823" w:rsidRPr="00894701" w:rsidRDefault="00FD1823" w:rsidP="00446B8D">
            <w:pPr>
              <w:spacing w:after="0" w:line="240" w:lineRule="auto"/>
              <w:jc w:val="right"/>
              <w:rPr>
                <w:b/>
                <w:bCs/>
                <w:color w:val="FFFFFF"/>
                <w:kern w:val="0"/>
                <w:szCs w:val="18"/>
              </w:rPr>
            </w:pPr>
            <w:r w:rsidRPr="00894701">
              <w:rPr>
                <w:b/>
                <w:bCs/>
                <w:color w:val="FFFFFF"/>
                <w:sz w:val="16"/>
                <w:szCs w:val="16"/>
              </w:rPr>
              <w:t>5.63%</w:t>
            </w:r>
          </w:p>
        </w:tc>
      </w:tr>
    </w:tbl>
    <w:p w14:paraId="251E8583" w14:textId="77777777" w:rsidR="00721929" w:rsidRPr="00894701" w:rsidRDefault="00721929" w:rsidP="004805C9">
      <w:pPr>
        <w:pStyle w:val="BodyText"/>
        <w:contextualSpacing/>
        <w:jc w:val="both"/>
        <w:rPr>
          <w:rFonts w:asciiTheme="majorHAnsi" w:hAnsiTheme="majorHAnsi"/>
          <w:i/>
          <w:iCs/>
          <w:color w:val="auto"/>
          <w:sz w:val="16"/>
          <w:szCs w:val="16"/>
          <w:lang w:val="fr-FR"/>
        </w:rPr>
      </w:pPr>
    </w:p>
    <w:p w14:paraId="7812E450" w14:textId="24A79122" w:rsidR="001320B7" w:rsidRPr="00894701" w:rsidRDefault="00670F09" w:rsidP="004805C9">
      <w:pPr>
        <w:pStyle w:val="Heading3"/>
        <w:numPr>
          <w:ilvl w:val="2"/>
          <w:numId w:val="78"/>
        </w:numPr>
        <w:spacing w:before="0" w:after="240"/>
        <w:ind w:right="482"/>
        <w:jc w:val="both"/>
        <w:rPr>
          <w:bCs w:val="0"/>
          <w:caps w:val="0"/>
        </w:rPr>
      </w:pPr>
      <w:bookmarkStart w:id="335" w:name="_Toc122478913"/>
      <w:r w:rsidRPr="00894701">
        <w:rPr>
          <w:bCs w:val="0"/>
          <w:caps w:val="0"/>
        </w:rPr>
        <w:t xml:space="preserve">Contribution of the </w:t>
      </w:r>
      <w:r w:rsidR="001320B7" w:rsidRPr="00894701">
        <w:rPr>
          <w:bCs w:val="0"/>
          <w:caps w:val="0"/>
        </w:rPr>
        <w:t>Oil &amp; Gas sector</w:t>
      </w:r>
      <w:r w:rsidRPr="00894701">
        <w:rPr>
          <w:bCs w:val="0"/>
          <w:caps w:val="0"/>
        </w:rPr>
        <w:t xml:space="preserve"> to the economy</w:t>
      </w:r>
      <w:bookmarkEnd w:id="335"/>
    </w:p>
    <w:p w14:paraId="2BB09D84" w14:textId="680E6310" w:rsidR="00D7736B" w:rsidRPr="00894701" w:rsidRDefault="00CB5CF4" w:rsidP="00B226CF">
      <w:pPr>
        <w:pStyle w:val="AltMinorSubHeading"/>
        <w:numPr>
          <w:ilvl w:val="0"/>
          <w:numId w:val="0"/>
        </w:numPr>
        <w:spacing w:before="120" w:after="120"/>
        <w:rPr>
          <w:color w:val="ED1A3B"/>
        </w:rPr>
      </w:pPr>
      <w:bookmarkStart w:id="336" w:name="_Toc122478914"/>
      <w:r w:rsidRPr="00894701">
        <w:rPr>
          <w:color w:val="ED1A3B"/>
        </w:rPr>
        <w:t>3.</w:t>
      </w:r>
      <w:r w:rsidR="004374E9" w:rsidRPr="00894701">
        <w:rPr>
          <w:color w:val="ED1A3B"/>
        </w:rPr>
        <w:t>19</w:t>
      </w:r>
      <w:r w:rsidRPr="00894701">
        <w:rPr>
          <w:color w:val="ED1A3B"/>
        </w:rPr>
        <w:t>.</w:t>
      </w:r>
      <w:r w:rsidR="00FD1823" w:rsidRPr="00894701">
        <w:rPr>
          <w:color w:val="ED1A3B"/>
        </w:rPr>
        <w:t>2</w:t>
      </w:r>
      <w:r w:rsidRPr="00894701">
        <w:rPr>
          <w:color w:val="ED1A3B"/>
        </w:rPr>
        <w:t xml:space="preserve">. </w:t>
      </w:r>
      <w:r w:rsidR="00D7736B" w:rsidRPr="00894701">
        <w:rPr>
          <w:color w:val="ED1A3B"/>
        </w:rPr>
        <w:t>(</w:t>
      </w:r>
      <w:r w:rsidR="00E57266" w:rsidRPr="00894701">
        <w:rPr>
          <w:color w:val="ED1A3B"/>
        </w:rPr>
        <w:t>a</w:t>
      </w:r>
      <w:r w:rsidR="00D7736B" w:rsidRPr="00894701">
        <w:rPr>
          <w:color w:val="ED1A3B"/>
        </w:rPr>
        <w:t>) Government revenues (Requirement 6.3.b):</w:t>
      </w:r>
      <w:bookmarkEnd w:id="336"/>
    </w:p>
    <w:p w14:paraId="44140D94" w14:textId="22547379" w:rsidR="00E129BB" w:rsidRPr="00894701" w:rsidRDefault="00C43ECC" w:rsidP="00B226CF">
      <w:pPr>
        <w:pStyle w:val="BodyText"/>
        <w:rPr>
          <w:rFonts w:cs="Arial"/>
          <w:color w:val="000000"/>
          <w:sz w:val="20"/>
        </w:rPr>
      </w:pPr>
      <w:r w:rsidRPr="00894701">
        <w:rPr>
          <w:rFonts w:cs="Arial"/>
          <w:color w:val="000000"/>
          <w:sz w:val="20"/>
        </w:rPr>
        <w:t>The contribution of revenue from the oil and gas sector to the government during the fiscal years 2018</w:t>
      </w:r>
      <w:r w:rsidR="000721DF" w:rsidRPr="00894701">
        <w:rPr>
          <w:rFonts w:cs="Arial"/>
          <w:color w:val="000000"/>
          <w:sz w:val="20"/>
        </w:rPr>
        <w:t>,</w:t>
      </w:r>
      <w:r w:rsidRPr="00894701">
        <w:rPr>
          <w:rFonts w:cs="Arial"/>
          <w:color w:val="000000"/>
          <w:sz w:val="20"/>
        </w:rPr>
        <w:t xml:space="preserve"> 2019 </w:t>
      </w:r>
      <w:r w:rsidR="000721DF" w:rsidRPr="00894701">
        <w:rPr>
          <w:rFonts w:cs="Arial"/>
          <w:color w:val="000000"/>
          <w:sz w:val="20"/>
        </w:rPr>
        <w:t xml:space="preserve">and 2020 </w:t>
      </w:r>
      <w:r w:rsidRPr="00894701">
        <w:rPr>
          <w:rFonts w:cs="Arial"/>
          <w:color w:val="000000"/>
          <w:sz w:val="20"/>
        </w:rPr>
        <w:t>are set out in the table below</w:t>
      </w:r>
      <w:r w:rsidR="00625E67" w:rsidRPr="00894701">
        <w:rPr>
          <w:rFonts w:cs="Arial"/>
          <w:color w:val="000000"/>
          <w:sz w:val="20"/>
        </w:rPr>
        <w:t>:</w:t>
      </w:r>
    </w:p>
    <w:p w14:paraId="4D56A75B" w14:textId="4F89E07D" w:rsidR="00625E67" w:rsidRPr="00894701" w:rsidRDefault="00625E67" w:rsidP="00B226CF">
      <w:pPr>
        <w:pStyle w:val="BodyTextRed"/>
        <w:bidi/>
        <w:jc w:val="center"/>
        <w:rPr>
          <w:b/>
          <w:bCs/>
          <w:color w:val="98002E" w:themeColor="accent3"/>
          <w:sz w:val="20"/>
          <w:szCs w:val="20"/>
        </w:rPr>
      </w:pPr>
      <w:bookmarkStart w:id="337" w:name="_Toc6924816"/>
      <w:bookmarkStart w:id="338" w:name="_Toc56676843"/>
      <w:bookmarkStart w:id="339" w:name="_Toc104557710"/>
      <w:bookmarkStart w:id="340" w:name="_Toc146590506"/>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34</w:t>
      </w:r>
      <w:r w:rsidRPr="00894701">
        <w:rPr>
          <w:b/>
          <w:bCs/>
          <w:color w:val="98002E" w:themeColor="accent3"/>
          <w:sz w:val="20"/>
          <w:szCs w:val="20"/>
        </w:rPr>
        <w:fldChar w:fldCharType="end"/>
      </w:r>
      <w:r w:rsidRPr="00894701">
        <w:rPr>
          <w:b/>
          <w:bCs/>
          <w:color w:val="98002E" w:themeColor="accent3"/>
          <w:sz w:val="20"/>
          <w:szCs w:val="20"/>
        </w:rPr>
        <w:t>: Contribution of the oil and gas sector to the Government revenues</w:t>
      </w:r>
      <w:bookmarkEnd w:id="337"/>
      <w:bookmarkEnd w:id="338"/>
      <w:r w:rsidRPr="00894701">
        <w:rPr>
          <w:b/>
          <w:bCs/>
          <w:color w:val="98002E" w:themeColor="accent3"/>
          <w:sz w:val="20"/>
          <w:szCs w:val="20"/>
        </w:rPr>
        <w:t xml:space="preserve"> for the fiscal years 2018</w:t>
      </w:r>
      <w:r w:rsidR="000721DF" w:rsidRPr="00894701">
        <w:rPr>
          <w:b/>
          <w:bCs/>
          <w:color w:val="98002E" w:themeColor="accent3"/>
          <w:sz w:val="20"/>
          <w:szCs w:val="20"/>
        </w:rPr>
        <w:t>,</w:t>
      </w:r>
      <w:r w:rsidRPr="00894701">
        <w:rPr>
          <w:b/>
          <w:bCs/>
          <w:color w:val="98002E" w:themeColor="accent3"/>
          <w:sz w:val="20"/>
          <w:szCs w:val="20"/>
        </w:rPr>
        <w:t>2019</w:t>
      </w:r>
      <w:bookmarkEnd w:id="339"/>
      <w:r w:rsidR="000721DF" w:rsidRPr="00894701">
        <w:rPr>
          <w:b/>
          <w:bCs/>
          <w:color w:val="98002E" w:themeColor="accent3"/>
          <w:sz w:val="20"/>
          <w:szCs w:val="20"/>
        </w:rPr>
        <w:t xml:space="preserve"> and 2020</w:t>
      </w:r>
      <w:bookmarkEnd w:id="340"/>
    </w:p>
    <w:tbl>
      <w:tblPr>
        <w:tblW w:w="5000" w:type="pct"/>
        <w:tblCellMar>
          <w:left w:w="70" w:type="dxa"/>
          <w:right w:w="70" w:type="dxa"/>
        </w:tblCellMar>
        <w:tblLook w:val="04A0" w:firstRow="1" w:lastRow="0" w:firstColumn="1" w:lastColumn="0" w:noHBand="0" w:noVBand="1"/>
      </w:tblPr>
      <w:tblGrid>
        <w:gridCol w:w="3942"/>
        <w:gridCol w:w="1616"/>
        <w:gridCol w:w="1649"/>
        <w:gridCol w:w="1833"/>
      </w:tblGrid>
      <w:tr w:rsidR="00021BCA" w:rsidRPr="00894701" w14:paraId="34EBBC77" w14:textId="77777777" w:rsidTr="00021BCA">
        <w:trPr>
          <w:trHeight w:val="283"/>
        </w:trPr>
        <w:tc>
          <w:tcPr>
            <w:tcW w:w="2180" w:type="pct"/>
            <w:tcBorders>
              <w:top w:val="nil"/>
              <w:left w:val="nil"/>
              <w:bottom w:val="single" w:sz="8" w:space="0" w:color="FF0000"/>
              <w:right w:val="single" w:sz="8" w:space="0" w:color="FF0000"/>
            </w:tcBorders>
            <w:shd w:val="clear" w:color="000000" w:fill="800000"/>
            <w:noWrap/>
            <w:vAlign w:val="center"/>
            <w:hideMark/>
          </w:tcPr>
          <w:p w14:paraId="0BC65D62" w14:textId="77777777" w:rsidR="00021BCA" w:rsidRPr="00894701" w:rsidRDefault="00021BCA" w:rsidP="00703134">
            <w:pPr>
              <w:spacing w:after="0" w:line="240" w:lineRule="auto"/>
              <w:rPr>
                <w:b/>
                <w:bCs/>
                <w:color w:val="FFFFFF"/>
                <w:kern w:val="0"/>
                <w:szCs w:val="18"/>
              </w:rPr>
            </w:pPr>
            <w:r w:rsidRPr="00894701">
              <w:rPr>
                <w:rFonts w:cs="Arial"/>
                <w:b/>
                <w:bCs/>
                <w:color w:val="FFFFFF"/>
                <w:kern w:val="0"/>
                <w:szCs w:val="18"/>
              </w:rPr>
              <w:t> SRD million</w:t>
            </w:r>
          </w:p>
        </w:tc>
        <w:tc>
          <w:tcPr>
            <w:tcW w:w="894" w:type="pct"/>
            <w:tcBorders>
              <w:top w:val="nil"/>
              <w:left w:val="nil"/>
              <w:bottom w:val="single" w:sz="8" w:space="0" w:color="FF0000"/>
              <w:right w:val="single" w:sz="8" w:space="0" w:color="FF0000"/>
            </w:tcBorders>
            <w:shd w:val="clear" w:color="000000" w:fill="800000"/>
            <w:vAlign w:val="center"/>
            <w:hideMark/>
          </w:tcPr>
          <w:p w14:paraId="53F92F99" w14:textId="77777777" w:rsidR="00021BCA" w:rsidRPr="00894701" w:rsidRDefault="00021BCA" w:rsidP="00703134">
            <w:pPr>
              <w:spacing w:after="0" w:line="240" w:lineRule="auto"/>
              <w:jc w:val="center"/>
              <w:rPr>
                <w:b/>
                <w:bCs/>
                <w:color w:val="FFFFFF"/>
                <w:kern w:val="0"/>
                <w:szCs w:val="18"/>
              </w:rPr>
            </w:pPr>
            <w:r w:rsidRPr="00894701">
              <w:rPr>
                <w:rFonts w:cs="Arial"/>
                <w:b/>
                <w:bCs/>
                <w:color w:val="FFFFFF"/>
                <w:kern w:val="0"/>
                <w:szCs w:val="18"/>
              </w:rPr>
              <w:t>2018</w:t>
            </w:r>
          </w:p>
        </w:tc>
        <w:tc>
          <w:tcPr>
            <w:tcW w:w="912" w:type="pct"/>
            <w:tcBorders>
              <w:top w:val="nil"/>
              <w:left w:val="nil"/>
              <w:bottom w:val="single" w:sz="8" w:space="0" w:color="FF0000"/>
              <w:right w:val="single" w:sz="8" w:space="0" w:color="FF0000"/>
            </w:tcBorders>
            <w:shd w:val="clear" w:color="000000" w:fill="800000"/>
            <w:vAlign w:val="center"/>
            <w:hideMark/>
          </w:tcPr>
          <w:p w14:paraId="19A3E6DD" w14:textId="77777777" w:rsidR="00021BCA" w:rsidRPr="00894701" w:rsidRDefault="00021BCA" w:rsidP="00703134">
            <w:pPr>
              <w:spacing w:after="0" w:line="240" w:lineRule="auto"/>
              <w:jc w:val="center"/>
              <w:rPr>
                <w:b/>
                <w:bCs/>
                <w:color w:val="FFFFFF"/>
                <w:kern w:val="0"/>
                <w:szCs w:val="18"/>
              </w:rPr>
            </w:pPr>
            <w:r w:rsidRPr="00894701">
              <w:rPr>
                <w:rFonts w:cs="Arial"/>
                <w:b/>
                <w:bCs/>
                <w:color w:val="FFFFFF"/>
                <w:kern w:val="0"/>
                <w:szCs w:val="18"/>
              </w:rPr>
              <w:t>2019</w:t>
            </w:r>
          </w:p>
        </w:tc>
        <w:tc>
          <w:tcPr>
            <w:tcW w:w="1014" w:type="pct"/>
            <w:tcBorders>
              <w:top w:val="nil"/>
              <w:left w:val="nil"/>
              <w:bottom w:val="single" w:sz="8" w:space="0" w:color="FF0000"/>
              <w:right w:val="single" w:sz="8" w:space="0" w:color="FF0000"/>
            </w:tcBorders>
            <w:shd w:val="clear" w:color="000000" w:fill="800000"/>
            <w:vAlign w:val="center"/>
            <w:hideMark/>
          </w:tcPr>
          <w:p w14:paraId="3FDC5D70" w14:textId="77777777" w:rsidR="00021BCA" w:rsidRPr="00894701" w:rsidRDefault="00021BCA" w:rsidP="00703134">
            <w:pPr>
              <w:spacing w:after="0" w:line="240" w:lineRule="auto"/>
              <w:jc w:val="center"/>
              <w:rPr>
                <w:b/>
                <w:bCs/>
                <w:color w:val="FFFFFF"/>
                <w:kern w:val="0"/>
                <w:szCs w:val="18"/>
              </w:rPr>
            </w:pPr>
            <w:r w:rsidRPr="00894701">
              <w:rPr>
                <w:rFonts w:cs="Arial"/>
                <w:b/>
                <w:bCs/>
                <w:color w:val="FFFFFF"/>
                <w:kern w:val="0"/>
                <w:szCs w:val="18"/>
              </w:rPr>
              <w:t>2020</w:t>
            </w:r>
          </w:p>
        </w:tc>
      </w:tr>
      <w:tr w:rsidR="004820B6" w:rsidRPr="00894701" w14:paraId="3E7CE3B4" w14:textId="77777777" w:rsidTr="00021BCA">
        <w:tblPrEx>
          <w:tblCellMar>
            <w:left w:w="108" w:type="dxa"/>
            <w:right w:w="108" w:type="dxa"/>
          </w:tblCellMar>
        </w:tblPrEx>
        <w:trPr>
          <w:trHeight w:val="283"/>
        </w:trPr>
        <w:tc>
          <w:tcPr>
            <w:tcW w:w="2180" w:type="pct"/>
            <w:tcBorders>
              <w:top w:val="nil"/>
              <w:left w:val="nil"/>
              <w:bottom w:val="nil"/>
              <w:right w:val="single" w:sz="8" w:space="0" w:color="FF0000"/>
            </w:tcBorders>
            <w:shd w:val="clear" w:color="auto" w:fill="auto"/>
            <w:noWrap/>
            <w:vAlign w:val="center"/>
            <w:hideMark/>
          </w:tcPr>
          <w:p w14:paraId="422BDD75" w14:textId="0F13B067" w:rsidR="004820B6" w:rsidRPr="00894701" w:rsidRDefault="004820B6" w:rsidP="004820B6">
            <w:pPr>
              <w:spacing w:after="0" w:line="240" w:lineRule="auto"/>
              <w:rPr>
                <w:color w:val="000000"/>
                <w:kern w:val="0"/>
                <w:szCs w:val="18"/>
              </w:rPr>
            </w:pPr>
            <w:r w:rsidRPr="00894701">
              <w:rPr>
                <w:rFonts w:cs="Arial"/>
                <w:color w:val="000000"/>
                <w:kern w:val="0"/>
                <w:szCs w:val="18"/>
              </w:rPr>
              <w:t>Oil &amp; Gas (*) (a)</w:t>
            </w:r>
          </w:p>
        </w:tc>
        <w:tc>
          <w:tcPr>
            <w:tcW w:w="894" w:type="pct"/>
            <w:tcBorders>
              <w:top w:val="nil"/>
              <w:left w:val="nil"/>
              <w:bottom w:val="nil"/>
              <w:right w:val="single" w:sz="8" w:space="0" w:color="FF0000"/>
            </w:tcBorders>
            <w:shd w:val="clear" w:color="auto" w:fill="auto"/>
            <w:noWrap/>
            <w:vAlign w:val="center"/>
            <w:hideMark/>
          </w:tcPr>
          <w:p w14:paraId="27DBB66F" w14:textId="7438A505" w:rsidR="004820B6" w:rsidRPr="00894701" w:rsidRDefault="004820B6" w:rsidP="004820B6">
            <w:pPr>
              <w:spacing w:after="0" w:line="240" w:lineRule="auto"/>
              <w:jc w:val="right"/>
              <w:rPr>
                <w:color w:val="auto"/>
                <w:kern w:val="0"/>
                <w:szCs w:val="18"/>
              </w:rPr>
            </w:pPr>
            <w:r w:rsidRPr="00894701">
              <w:rPr>
                <w:rFonts w:cs="Arial"/>
                <w:color w:val="auto"/>
                <w:szCs w:val="18"/>
              </w:rPr>
              <w:t>1,07</w:t>
            </w:r>
            <w:r w:rsidR="00F33758" w:rsidRPr="00894701">
              <w:rPr>
                <w:rFonts w:cs="Arial"/>
                <w:color w:val="auto"/>
                <w:szCs w:val="18"/>
              </w:rPr>
              <w:t>6</w:t>
            </w:r>
          </w:p>
        </w:tc>
        <w:tc>
          <w:tcPr>
            <w:tcW w:w="912" w:type="pct"/>
            <w:tcBorders>
              <w:top w:val="nil"/>
              <w:left w:val="nil"/>
              <w:bottom w:val="nil"/>
              <w:right w:val="single" w:sz="8" w:space="0" w:color="FF0000"/>
            </w:tcBorders>
            <w:shd w:val="clear" w:color="auto" w:fill="auto"/>
            <w:noWrap/>
            <w:vAlign w:val="center"/>
            <w:hideMark/>
          </w:tcPr>
          <w:p w14:paraId="32F28D80" w14:textId="3C1FAA5A" w:rsidR="004820B6" w:rsidRPr="00894701" w:rsidRDefault="004820B6">
            <w:pPr>
              <w:spacing w:after="0" w:line="240" w:lineRule="auto"/>
              <w:jc w:val="right"/>
              <w:rPr>
                <w:color w:val="auto"/>
                <w:kern w:val="0"/>
                <w:szCs w:val="18"/>
              </w:rPr>
            </w:pPr>
            <w:r w:rsidRPr="00894701">
              <w:rPr>
                <w:rFonts w:cs="Arial"/>
                <w:color w:val="auto"/>
                <w:szCs w:val="18"/>
              </w:rPr>
              <w:t>20</w:t>
            </w:r>
            <w:r w:rsidR="00F62C68" w:rsidRPr="00894701">
              <w:rPr>
                <w:rFonts w:cs="Arial"/>
                <w:color w:val="auto"/>
                <w:szCs w:val="18"/>
              </w:rPr>
              <w:t>0</w:t>
            </w:r>
          </w:p>
        </w:tc>
        <w:tc>
          <w:tcPr>
            <w:tcW w:w="1014" w:type="pct"/>
            <w:tcBorders>
              <w:top w:val="nil"/>
              <w:left w:val="nil"/>
              <w:bottom w:val="nil"/>
              <w:right w:val="single" w:sz="8" w:space="0" w:color="FF0000"/>
            </w:tcBorders>
            <w:shd w:val="clear" w:color="auto" w:fill="auto"/>
            <w:vAlign w:val="center"/>
            <w:hideMark/>
          </w:tcPr>
          <w:p w14:paraId="1E2B44CA" w14:textId="726BBCF9" w:rsidR="004820B6" w:rsidRPr="00894701" w:rsidRDefault="004820B6" w:rsidP="004820B6">
            <w:pPr>
              <w:spacing w:after="0" w:line="240" w:lineRule="auto"/>
              <w:jc w:val="right"/>
              <w:rPr>
                <w:color w:val="auto"/>
                <w:kern w:val="0"/>
                <w:szCs w:val="18"/>
              </w:rPr>
            </w:pPr>
            <w:r w:rsidRPr="00894701">
              <w:rPr>
                <w:rFonts w:cs="Arial"/>
                <w:color w:val="auto"/>
                <w:szCs w:val="18"/>
              </w:rPr>
              <w:t>174</w:t>
            </w:r>
          </w:p>
        </w:tc>
      </w:tr>
      <w:tr w:rsidR="004820B6" w:rsidRPr="00894701" w14:paraId="76D476C1" w14:textId="77777777" w:rsidTr="00021BCA">
        <w:trPr>
          <w:trHeight w:val="283"/>
        </w:trPr>
        <w:tc>
          <w:tcPr>
            <w:tcW w:w="2180" w:type="pct"/>
            <w:tcBorders>
              <w:top w:val="nil"/>
              <w:left w:val="nil"/>
              <w:bottom w:val="nil"/>
              <w:right w:val="single" w:sz="8" w:space="0" w:color="FF0000"/>
            </w:tcBorders>
            <w:shd w:val="clear" w:color="000000" w:fill="F7A3B0"/>
            <w:noWrap/>
            <w:vAlign w:val="center"/>
            <w:hideMark/>
          </w:tcPr>
          <w:p w14:paraId="58383A92" w14:textId="3966DF66" w:rsidR="004820B6" w:rsidRPr="00894701" w:rsidRDefault="004820B6" w:rsidP="004820B6">
            <w:pPr>
              <w:spacing w:after="0" w:line="240" w:lineRule="auto"/>
              <w:rPr>
                <w:b/>
                <w:bCs/>
                <w:color w:val="000000"/>
                <w:kern w:val="0"/>
                <w:szCs w:val="18"/>
              </w:rPr>
            </w:pPr>
            <w:r w:rsidRPr="00894701">
              <w:rPr>
                <w:color w:val="000000"/>
                <w:kern w:val="0"/>
                <w:szCs w:val="18"/>
                <w:lang w:eastAsia="fr-FR"/>
              </w:rPr>
              <w:t>Total Government Revenue (**) (b)</w:t>
            </w:r>
          </w:p>
        </w:tc>
        <w:tc>
          <w:tcPr>
            <w:tcW w:w="894" w:type="pct"/>
            <w:tcBorders>
              <w:top w:val="nil"/>
              <w:left w:val="nil"/>
              <w:bottom w:val="nil"/>
              <w:right w:val="single" w:sz="8" w:space="0" w:color="FF0000"/>
            </w:tcBorders>
            <w:shd w:val="clear" w:color="000000" w:fill="F7A3B0"/>
            <w:vAlign w:val="center"/>
            <w:hideMark/>
          </w:tcPr>
          <w:p w14:paraId="002BC624" w14:textId="2A3D959E" w:rsidR="004820B6" w:rsidRPr="00894701" w:rsidRDefault="004820B6" w:rsidP="004820B6">
            <w:pPr>
              <w:spacing w:after="0" w:line="240" w:lineRule="auto"/>
              <w:jc w:val="right"/>
              <w:rPr>
                <w:color w:val="000000"/>
                <w:kern w:val="0"/>
                <w:szCs w:val="18"/>
              </w:rPr>
            </w:pPr>
            <w:r w:rsidRPr="00894701">
              <w:rPr>
                <w:rFonts w:cs="Arial"/>
                <w:color w:val="000000"/>
                <w:szCs w:val="18"/>
              </w:rPr>
              <w:t>5,748(***)</w:t>
            </w:r>
          </w:p>
        </w:tc>
        <w:tc>
          <w:tcPr>
            <w:tcW w:w="912" w:type="pct"/>
            <w:tcBorders>
              <w:top w:val="nil"/>
              <w:left w:val="nil"/>
              <w:bottom w:val="nil"/>
              <w:right w:val="single" w:sz="8" w:space="0" w:color="FF0000"/>
            </w:tcBorders>
            <w:shd w:val="clear" w:color="000000" w:fill="F7A3B0"/>
            <w:vAlign w:val="center"/>
            <w:hideMark/>
          </w:tcPr>
          <w:p w14:paraId="2A5CF10D" w14:textId="17A19D4D" w:rsidR="004820B6" w:rsidRPr="00894701" w:rsidRDefault="004820B6" w:rsidP="004820B6">
            <w:pPr>
              <w:spacing w:after="0" w:line="240" w:lineRule="auto"/>
              <w:jc w:val="right"/>
              <w:rPr>
                <w:color w:val="000000"/>
                <w:kern w:val="0"/>
                <w:szCs w:val="18"/>
              </w:rPr>
            </w:pPr>
            <w:r w:rsidRPr="00894701">
              <w:rPr>
                <w:rFonts w:cs="Arial"/>
                <w:color w:val="000000"/>
                <w:szCs w:val="18"/>
              </w:rPr>
              <w:t>5,748(**)</w:t>
            </w:r>
          </w:p>
        </w:tc>
        <w:tc>
          <w:tcPr>
            <w:tcW w:w="1014" w:type="pct"/>
            <w:tcBorders>
              <w:top w:val="nil"/>
              <w:left w:val="nil"/>
              <w:bottom w:val="nil"/>
              <w:right w:val="single" w:sz="8" w:space="0" w:color="FF0000"/>
            </w:tcBorders>
            <w:shd w:val="clear" w:color="000000" w:fill="F7A3B0"/>
            <w:noWrap/>
            <w:vAlign w:val="center"/>
            <w:hideMark/>
          </w:tcPr>
          <w:p w14:paraId="4A984C60" w14:textId="2E1C50B7" w:rsidR="004820B6" w:rsidRPr="00894701" w:rsidRDefault="004820B6" w:rsidP="004820B6">
            <w:pPr>
              <w:spacing w:after="0" w:line="240" w:lineRule="auto"/>
              <w:jc w:val="right"/>
              <w:rPr>
                <w:color w:val="000000"/>
                <w:kern w:val="0"/>
                <w:szCs w:val="18"/>
              </w:rPr>
            </w:pPr>
            <w:r w:rsidRPr="00894701">
              <w:rPr>
                <w:rFonts w:cs="Arial"/>
                <w:color w:val="000000"/>
                <w:szCs w:val="18"/>
              </w:rPr>
              <w:t>6,191(**)</w:t>
            </w:r>
          </w:p>
        </w:tc>
      </w:tr>
      <w:tr w:rsidR="004820B6" w:rsidRPr="00894701" w14:paraId="3288ADF6" w14:textId="77777777" w:rsidTr="006220DE">
        <w:trPr>
          <w:trHeight w:val="283"/>
        </w:trPr>
        <w:tc>
          <w:tcPr>
            <w:tcW w:w="2180" w:type="pct"/>
            <w:tcBorders>
              <w:top w:val="nil"/>
              <w:left w:val="nil"/>
              <w:bottom w:val="single" w:sz="12" w:space="0" w:color="FF0000"/>
              <w:right w:val="single" w:sz="8" w:space="0" w:color="FF0000"/>
            </w:tcBorders>
            <w:shd w:val="clear" w:color="000000" w:fill="808080"/>
            <w:vAlign w:val="center"/>
            <w:hideMark/>
          </w:tcPr>
          <w:p w14:paraId="37667340" w14:textId="614E6080" w:rsidR="004820B6" w:rsidRPr="00894701" w:rsidRDefault="004820B6" w:rsidP="004820B6">
            <w:pPr>
              <w:spacing w:after="0" w:line="240" w:lineRule="auto"/>
              <w:rPr>
                <w:b/>
                <w:bCs/>
                <w:color w:val="FFFFFF"/>
                <w:kern w:val="0"/>
                <w:szCs w:val="18"/>
              </w:rPr>
            </w:pPr>
            <w:r w:rsidRPr="00894701">
              <w:rPr>
                <w:rFonts w:cs="Arial"/>
                <w:b/>
                <w:bCs/>
                <w:color w:val="FFFFFF"/>
                <w:kern w:val="0"/>
                <w:szCs w:val="18"/>
              </w:rPr>
              <w:t>% Oil &amp; Gas revenues (a)/(b)</w:t>
            </w:r>
          </w:p>
        </w:tc>
        <w:tc>
          <w:tcPr>
            <w:tcW w:w="894" w:type="pct"/>
            <w:tcBorders>
              <w:top w:val="nil"/>
              <w:left w:val="nil"/>
              <w:bottom w:val="single" w:sz="12" w:space="0" w:color="FF0000"/>
              <w:right w:val="single" w:sz="8" w:space="0" w:color="FF0000"/>
            </w:tcBorders>
            <w:shd w:val="clear" w:color="000000" w:fill="808080"/>
            <w:vAlign w:val="center"/>
            <w:hideMark/>
          </w:tcPr>
          <w:p w14:paraId="706026A1" w14:textId="25D70A26" w:rsidR="004820B6" w:rsidRPr="00894701" w:rsidRDefault="004820B6" w:rsidP="004820B6">
            <w:pPr>
              <w:spacing w:after="0" w:line="240" w:lineRule="auto"/>
              <w:jc w:val="right"/>
              <w:rPr>
                <w:rFonts w:asciiTheme="majorHAnsi" w:hAnsiTheme="majorHAnsi"/>
                <w:b/>
                <w:bCs/>
                <w:color w:val="FFFFFF" w:themeColor="background1"/>
                <w:kern w:val="0"/>
                <w:szCs w:val="18"/>
              </w:rPr>
            </w:pPr>
            <w:r w:rsidRPr="00894701">
              <w:rPr>
                <w:rFonts w:cs="Arial"/>
                <w:b/>
                <w:bCs/>
                <w:color w:val="FFFFFF"/>
                <w:szCs w:val="18"/>
              </w:rPr>
              <w:t>18.7</w:t>
            </w:r>
            <w:r w:rsidR="00F33758" w:rsidRPr="00894701">
              <w:rPr>
                <w:rFonts w:cs="Arial"/>
                <w:b/>
                <w:bCs/>
                <w:color w:val="FFFFFF"/>
                <w:szCs w:val="18"/>
              </w:rPr>
              <w:t>2</w:t>
            </w:r>
            <w:r w:rsidRPr="00894701">
              <w:rPr>
                <w:rFonts w:cs="Arial"/>
                <w:b/>
                <w:bCs/>
                <w:color w:val="FFFFFF"/>
                <w:szCs w:val="18"/>
              </w:rPr>
              <w:t>%</w:t>
            </w:r>
          </w:p>
        </w:tc>
        <w:tc>
          <w:tcPr>
            <w:tcW w:w="912" w:type="pct"/>
            <w:tcBorders>
              <w:top w:val="nil"/>
              <w:left w:val="nil"/>
              <w:bottom w:val="single" w:sz="12" w:space="0" w:color="FF0000"/>
              <w:right w:val="single" w:sz="8" w:space="0" w:color="FF0000"/>
            </w:tcBorders>
            <w:shd w:val="clear" w:color="000000" w:fill="808080"/>
            <w:vAlign w:val="center"/>
            <w:hideMark/>
          </w:tcPr>
          <w:p w14:paraId="33B6DA29" w14:textId="1F3B8A6F" w:rsidR="004820B6" w:rsidRPr="00894701" w:rsidRDefault="004820B6" w:rsidP="004820B6">
            <w:pPr>
              <w:spacing w:after="0" w:line="240" w:lineRule="auto"/>
              <w:jc w:val="right"/>
              <w:rPr>
                <w:rFonts w:asciiTheme="majorHAnsi" w:hAnsiTheme="majorHAnsi"/>
                <w:b/>
                <w:bCs/>
                <w:color w:val="FFFFFF" w:themeColor="background1"/>
                <w:kern w:val="0"/>
                <w:szCs w:val="18"/>
              </w:rPr>
            </w:pPr>
            <w:r w:rsidRPr="00894701">
              <w:rPr>
                <w:rFonts w:cs="Arial"/>
                <w:b/>
                <w:bCs/>
                <w:color w:val="FFFFFF"/>
                <w:szCs w:val="18"/>
              </w:rPr>
              <w:t>3.</w:t>
            </w:r>
            <w:r w:rsidR="00F62C68" w:rsidRPr="00894701">
              <w:rPr>
                <w:rFonts w:cs="Arial"/>
                <w:b/>
                <w:bCs/>
                <w:color w:val="FFFFFF"/>
                <w:szCs w:val="18"/>
              </w:rPr>
              <w:t>48</w:t>
            </w:r>
            <w:r w:rsidRPr="00894701">
              <w:rPr>
                <w:rFonts w:cs="Arial"/>
                <w:b/>
                <w:bCs/>
                <w:color w:val="FFFFFF"/>
                <w:szCs w:val="18"/>
              </w:rPr>
              <w:t>%</w:t>
            </w:r>
          </w:p>
        </w:tc>
        <w:tc>
          <w:tcPr>
            <w:tcW w:w="1014" w:type="pct"/>
            <w:tcBorders>
              <w:top w:val="nil"/>
              <w:left w:val="nil"/>
              <w:bottom w:val="single" w:sz="12" w:space="0" w:color="FF0000"/>
              <w:right w:val="single" w:sz="8" w:space="0" w:color="FF0000"/>
            </w:tcBorders>
            <w:shd w:val="clear" w:color="000000" w:fill="808080"/>
            <w:vAlign w:val="center"/>
            <w:hideMark/>
          </w:tcPr>
          <w:p w14:paraId="08DC317D" w14:textId="0C645FA1" w:rsidR="004820B6" w:rsidRPr="00894701" w:rsidRDefault="004820B6" w:rsidP="004820B6">
            <w:pPr>
              <w:spacing w:after="0" w:line="240" w:lineRule="auto"/>
              <w:jc w:val="right"/>
              <w:rPr>
                <w:rFonts w:asciiTheme="majorHAnsi" w:hAnsiTheme="majorHAnsi"/>
                <w:b/>
                <w:bCs/>
                <w:color w:val="FFFFFF" w:themeColor="background1"/>
                <w:kern w:val="0"/>
                <w:szCs w:val="18"/>
              </w:rPr>
            </w:pPr>
            <w:r w:rsidRPr="00894701">
              <w:rPr>
                <w:rFonts w:cs="Arial"/>
                <w:b/>
                <w:bCs/>
                <w:color w:val="FFFFFF"/>
                <w:szCs w:val="18"/>
              </w:rPr>
              <w:t>2.81%</w:t>
            </w:r>
          </w:p>
        </w:tc>
      </w:tr>
    </w:tbl>
    <w:p w14:paraId="252EA133" w14:textId="03BF59FB" w:rsidR="003C4EBB" w:rsidRPr="00894701" w:rsidRDefault="00C65700" w:rsidP="003C4EBB">
      <w:pPr>
        <w:pStyle w:val="BodyTextRed"/>
        <w:contextualSpacing/>
        <w:jc w:val="both"/>
        <w:rPr>
          <w:i/>
          <w:iCs/>
          <w:color w:val="auto"/>
          <w:sz w:val="16"/>
          <w:szCs w:val="16"/>
        </w:rPr>
      </w:pPr>
      <w:r w:rsidRPr="00894701">
        <w:rPr>
          <w:i/>
          <w:iCs/>
          <w:color w:val="auto"/>
          <w:sz w:val="16"/>
          <w:szCs w:val="16"/>
        </w:rPr>
        <w:t xml:space="preserve"> (</w:t>
      </w:r>
      <w:r w:rsidR="003C4EBB" w:rsidRPr="00894701">
        <w:rPr>
          <w:i/>
          <w:iCs/>
          <w:color w:val="auto"/>
          <w:sz w:val="16"/>
          <w:szCs w:val="16"/>
        </w:rPr>
        <w:t>*)</w:t>
      </w:r>
      <w:r w:rsidR="008A0EF2" w:rsidRPr="00894701">
        <w:rPr>
          <w:i/>
          <w:iCs/>
          <w:color w:val="auto"/>
          <w:sz w:val="16"/>
          <w:szCs w:val="16"/>
        </w:rPr>
        <w:t>Source: EITI-SR Reporting templates</w:t>
      </w:r>
    </w:p>
    <w:p w14:paraId="3572E818" w14:textId="5E1C6E7B" w:rsidR="003C4EBB" w:rsidRPr="00894701" w:rsidRDefault="003C4EBB" w:rsidP="003C4EBB">
      <w:pPr>
        <w:pStyle w:val="BodyTextRed"/>
        <w:contextualSpacing/>
        <w:jc w:val="both"/>
        <w:rPr>
          <w:i/>
          <w:iCs/>
          <w:color w:val="auto"/>
          <w:sz w:val="16"/>
          <w:szCs w:val="16"/>
        </w:rPr>
      </w:pPr>
      <w:r w:rsidRPr="00894701">
        <w:rPr>
          <w:i/>
          <w:iCs/>
          <w:color w:val="auto"/>
          <w:sz w:val="16"/>
          <w:szCs w:val="16"/>
        </w:rPr>
        <w:t>(**)</w:t>
      </w:r>
      <w:r w:rsidR="008A0EF2" w:rsidRPr="00894701">
        <w:rPr>
          <w:i/>
          <w:iCs/>
          <w:color w:val="auto"/>
          <w:sz w:val="16"/>
          <w:szCs w:val="16"/>
        </w:rPr>
        <w:t xml:space="preserve"> Source : </w:t>
      </w:r>
      <w:r w:rsidR="00047AB9" w:rsidRPr="00894701">
        <w:rPr>
          <w:i/>
          <w:iCs/>
          <w:color w:val="auto"/>
          <w:sz w:val="16"/>
          <w:szCs w:val="16"/>
        </w:rPr>
        <w:t xml:space="preserve">Ministerie van Financiën en Planning Annual report </w:t>
      </w:r>
      <w:r w:rsidR="00BC0C7B" w:rsidRPr="00894701">
        <w:rPr>
          <w:i/>
          <w:iCs/>
          <w:color w:val="auto"/>
          <w:sz w:val="16"/>
          <w:szCs w:val="16"/>
        </w:rPr>
        <w:t>2020</w:t>
      </w:r>
      <w:r w:rsidR="008A0EF2" w:rsidRPr="00894701">
        <w:rPr>
          <w:rStyle w:val="FootnoteReference"/>
          <w:i/>
          <w:iCs/>
          <w:color w:val="auto"/>
          <w:sz w:val="16"/>
          <w:szCs w:val="16"/>
        </w:rPr>
        <w:footnoteReference w:id="38"/>
      </w:r>
    </w:p>
    <w:p w14:paraId="4B3CB3C5" w14:textId="77777777" w:rsidR="004805C9" w:rsidRDefault="008D2903" w:rsidP="00721929">
      <w:pPr>
        <w:pStyle w:val="BodyTextRed"/>
        <w:contextualSpacing/>
        <w:jc w:val="both"/>
        <w:rPr>
          <w:i/>
          <w:iCs/>
          <w:color w:val="auto"/>
          <w:sz w:val="16"/>
          <w:szCs w:val="16"/>
        </w:rPr>
      </w:pPr>
      <w:r w:rsidRPr="00894701">
        <w:rPr>
          <w:i/>
          <w:iCs/>
          <w:color w:val="auto"/>
          <w:sz w:val="16"/>
          <w:szCs w:val="16"/>
        </w:rPr>
        <w:t xml:space="preserve">(***) Source : Estimated on </w:t>
      </w:r>
      <w:r w:rsidR="00F97281" w:rsidRPr="00894701">
        <w:rPr>
          <w:i/>
          <w:iCs/>
          <w:color w:val="auto"/>
          <w:sz w:val="16"/>
          <w:szCs w:val="16"/>
        </w:rPr>
        <w:t>the</w:t>
      </w:r>
      <w:r w:rsidRPr="00894701">
        <w:rPr>
          <w:i/>
          <w:iCs/>
          <w:color w:val="auto"/>
          <w:sz w:val="16"/>
          <w:szCs w:val="16"/>
        </w:rPr>
        <w:t xml:space="preserve"> basis of 2019 domestic revenues</w:t>
      </w:r>
    </w:p>
    <w:p w14:paraId="0BFA90F0" w14:textId="04039C0D" w:rsidR="00627886" w:rsidRPr="00894701" w:rsidRDefault="004805C9" w:rsidP="004805C9">
      <w:pPr>
        <w:pStyle w:val="BodyText"/>
      </w:pPr>
      <w:r w:rsidRPr="004805C9">
        <w:rPr>
          <w:rFonts w:cs="Arial"/>
          <w:color w:val="000000"/>
          <w:sz w:val="20"/>
        </w:rPr>
        <w:t xml:space="preserve">The </w:t>
      </w:r>
      <w:r>
        <w:rPr>
          <w:rFonts w:cs="Arial"/>
          <w:color w:val="000000"/>
          <w:sz w:val="20"/>
        </w:rPr>
        <w:t xml:space="preserve">Oil and gas revenues during FY 2018 is composed of social contribution amounting to SRD </w:t>
      </w:r>
      <w:r w:rsidRPr="004805C9">
        <w:rPr>
          <w:rFonts w:cs="Arial"/>
          <w:color w:val="000000"/>
          <w:sz w:val="20"/>
        </w:rPr>
        <w:t>800</w:t>
      </w:r>
      <w:r>
        <w:rPr>
          <w:rFonts w:cs="Arial"/>
          <w:color w:val="000000"/>
          <w:sz w:val="20"/>
        </w:rPr>
        <w:t xml:space="preserve"> million as detailed in Section 5.3 of this report. The drop in oil and gas revenues between FY 2018 and 2019 is explained by social contribution payments</w:t>
      </w:r>
      <w:r w:rsidR="00D619D6">
        <w:rPr>
          <w:rFonts w:cs="Arial"/>
          <w:color w:val="000000"/>
          <w:sz w:val="20"/>
        </w:rPr>
        <w:t xml:space="preserve"> made during FY 2018 and</w:t>
      </w:r>
      <w:r>
        <w:rPr>
          <w:rFonts w:cs="Arial"/>
          <w:color w:val="000000"/>
          <w:sz w:val="20"/>
        </w:rPr>
        <w:t xml:space="preserve"> which are not correlated with the oil and gas production level.</w:t>
      </w:r>
    </w:p>
    <w:p w14:paraId="062D6035" w14:textId="67A7FA12" w:rsidR="00C43ECC" w:rsidRPr="00894701" w:rsidRDefault="00D95B11" w:rsidP="00627886">
      <w:pPr>
        <w:pStyle w:val="AltMinorSubHeading"/>
        <w:numPr>
          <w:ilvl w:val="0"/>
          <w:numId w:val="0"/>
        </w:numPr>
        <w:spacing w:before="0" w:after="120"/>
        <w:rPr>
          <w:color w:val="ED1A3B"/>
        </w:rPr>
      </w:pPr>
      <w:bookmarkStart w:id="341" w:name="_Toc122478915"/>
      <w:r w:rsidRPr="00894701">
        <w:rPr>
          <w:color w:val="ED1A3B"/>
        </w:rPr>
        <w:t>3</w:t>
      </w:r>
      <w:r w:rsidR="00B219CF" w:rsidRPr="00894701">
        <w:rPr>
          <w:color w:val="ED1A3B"/>
        </w:rPr>
        <w:t>.</w:t>
      </w:r>
      <w:r w:rsidR="004374E9" w:rsidRPr="00894701">
        <w:rPr>
          <w:color w:val="ED1A3B"/>
        </w:rPr>
        <w:t>19</w:t>
      </w:r>
      <w:r w:rsidR="00B219CF" w:rsidRPr="00894701">
        <w:rPr>
          <w:color w:val="ED1A3B"/>
        </w:rPr>
        <w:t>.</w:t>
      </w:r>
      <w:r w:rsidR="00FD1823" w:rsidRPr="00894701">
        <w:rPr>
          <w:color w:val="ED1A3B"/>
        </w:rPr>
        <w:t>2</w:t>
      </w:r>
      <w:r w:rsidR="00B219CF" w:rsidRPr="00894701">
        <w:rPr>
          <w:color w:val="ED1A3B"/>
        </w:rPr>
        <w:t xml:space="preserve"> </w:t>
      </w:r>
      <w:r w:rsidR="00C43ECC" w:rsidRPr="00894701">
        <w:rPr>
          <w:color w:val="ED1A3B"/>
        </w:rPr>
        <w:t>(</w:t>
      </w:r>
      <w:r w:rsidR="00E57266" w:rsidRPr="00894701">
        <w:rPr>
          <w:color w:val="ED1A3B"/>
        </w:rPr>
        <w:t>b</w:t>
      </w:r>
      <w:r w:rsidR="00C43ECC" w:rsidRPr="00894701">
        <w:rPr>
          <w:color w:val="ED1A3B"/>
        </w:rPr>
        <w:t>) Exports (Requirement 6.3.c):</w:t>
      </w:r>
      <w:bookmarkEnd w:id="341"/>
    </w:p>
    <w:p w14:paraId="6A78D36B" w14:textId="7ABC30D0" w:rsidR="009D7CA5" w:rsidRPr="00894701" w:rsidRDefault="00520F6F" w:rsidP="0069482A">
      <w:pPr>
        <w:pStyle w:val="BodyText"/>
        <w:jc w:val="both"/>
        <w:rPr>
          <w:rFonts w:asciiTheme="majorHAnsi" w:hAnsiTheme="majorHAnsi"/>
          <w:color w:val="auto"/>
          <w:sz w:val="20"/>
          <w:szCs w:val="20"/>
        </w:rPr>
      </w:pPr>
      <w:r w:rsidRPr="00894701">
        <w:rPr>
          <w:rFonts w:cs="Arial"/>
          <w:color w:val="000000"/>
          <w:sz w:val="20"/>
        </w:rPr>
        <w:t>The contribution of the oil and gas sector to the exports during the fiscal years 2018, 2019 and 2020 are set out in the table below</w:t>
      </w:r>
      <w:r w:rsidR="003F4063" w:rsidRPr="00894701">
        <w:rPr>
          <w:rFonts w:cs="Arial"/>
          <w:color w:val="000000"/>
          <w:sz w:val="20"/>
        </w:rPr>
        <w:t>.</w:t>
      </w:r>
    </w:p>
    <w:p w14:paraId="3E8B8FD2" w14:textId="7775FA0B" w:rsidR="00D6124B" w:rsidRPr="00894701" w:rsidRDefault="00D6124B" w:rsidP="00842B6F">
      <w:pPr>
        <w:pStyle w:val="BodyTextRed"/>
        <w:bidi/>
        <w:jc w:val="center"/>
        <w:rPr>
          <w:b/>
          <w:bCs/>
          <w:color w:val="98002E" w:themeColor="accent3"/>
          <w:sz w:val="20"/>
          <w:szCs w:val="20"/>
        </w:rPr>
      </w:pPr>
      <w:bookmarkStart w:id="342" w:name="_Toc146590507"/>
      <w:bookmarkStart w:id="343" w:name="_Toc104557709"/>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35</w:t>
      </w:r>
      <w:r w:rsidRPr="00894701">
        <w:rPr>
          <w:b/>
          <w:bCs/>
          <w:color w:val="98002E" w:themeColor="accent3"/>
          <w:sz w:val="20"/>
          <w:szCs w:val="20"/>
        </w:rPr>
        <w:fldChar w:fldCharType="end"/>
      </w:r>
      <w:r w:rsidRPr="00894701">
        <w:rPr>
          <w:b/>
          <w:bCs/>
          <w:color w:val="98002E" w:themeColor="accent3"/>
          <w:sz w:val="20"/>
          <w:szCs w:val="20"/>
        </w:rPr>
        <w:t xml:space="preserve">: Contribution of the oil and gas export to </w:t>
      </w:r>
      <w:r w:rsidR="006C23A6" w:rsidRPr="00894701">
        <w:rPr>
          <w:b/>
          <w:bCs/>
          <w:color w:val="98002E" w:themeColor="accent3"/>
          <w:sz w:val="20"/>
          <w:szCs w:val="20"/>
        </w:rPr>
        <w:t>total exports</w:t>
      </w:r>
      <w:r w:rsidRPr="00894701">
        <w:rPr>
          <w:b/>
          <w:bCs/>
          <w:color w:val="98002E" w:themeColor="accent3"/>
          <w:sz w:val="20"/>
          <w:szCs w:val="20"/>
        </w:rPr>
        <w:t xml:space="preserve"> for the fiscal years 2018, 2019 and 2020</w:t>
      </w:r>
      <w:bookmarkEnd w:id="342"/>
    </w:p>
    <w:tbl>
      <w:tblPr>
        <w:tblW w:w="8946" w:type="dxa"/>
        <w:tblLook w:val="04A0" w:firstRow="1" w:lastRow="0" w:firstColumn="1" w:lastColumn="0" w:noHBand="0" w:noVBand="1"/>
      </w:tblPr>
      <w:tblGrid>
        <w:gridCol w:w="3640"/>
        <w:gridCol w:w="1778"/>
        <w:gridCol w:w="1778"/>
        <w:gridCol w:w="1750"/>
      </w:tblGrid>
      <w:tr w:rsidR="007B59AF" w:rsidRPr="00894701" w14:paraId="45F35A3B" w14:textId="77777777" w:rsidTr="00446B8D">
        <w:trPr>
          <w:trHeight w:val="280"/>
        </w:trPr>
        <w:tc>
          <w:tcPr>
            <w:tcW w:w="3640" w:type="dxa"/>
            <w:tcBorders>
              <w:top w:val="nil"/>
              <w:left w:val="nil"/>
              <w:bottom w:val="single" w:sz="12" w:space="0" w:color="FF0000"/>
              <w:right w:val="single" w:sz="8" w:space="0" w:color="FF0000"/>
            </w:tcBorders>
            <w:shd w:val="clear" w:color="000000" w:fill="7A091A"/>
            <w:noWrap/>
            <w:vAlign w:val="center"/>
            <w:hideMark/>
          </w:tcPr>
          <w:bookmarkEnd w:id="343"/>
          <w:p w14:paraId="2CB66A37" w14:textId="77777777" w:rsidR="007B59AF" w:rsidRPr="00894701" w:rsidRDefault="007B59AF" w:rsidP="00446B8D">
            <w:pPr>
              <w:spacing w:after="0" w:line="240" w:lineRule="auto"/>
              <w:rPr>
                <w:b/>
                <w:bCs/>
                <w:color w:val="FFFFFF"/>
                <w:szCs w:val="18"/>
              </w:rPr>
            </w:pPr>
            <w:r w:rsidRPr="00894701">
              <w:rPr>
                <w:b/>
                <w:bCs/>
                <w:color w:val="FFFFFF"/>
                <w:szCs w:val="18"/>
              </w:rPr>
              <w:t>Description</w:t>
            </w:r>
          </w:p>
        </w:tc>
        <w:tc>
          <w:tcPr>
            <w:tcW w:w="1778" w:type="dxa"/>
            <w:tcBorders>
              <w:top w:val="nil"/>
              <w:left w:val="nil"/>
              <w:bottom w:val="single" w:sz="12" w:space="0" w:color="FF0000"/>
              <w:right w:val="nil"/>
            </w:tcBorders>
            <w:shd w:val="clear" w:color="000000" w:fill="7A091A"/>
            <w:vAlign w:val="center"/>
            <w:hideMark/>
          </w:tcPr>
          <w:p w14:paraId="6D15873C" w14:textId="77777777" w:rsidR="007B59AF" w:rsidRPr="00894701" w:rsidRDefault="007B59AF" w:rsidP="00446B8D">
            <w:pPr>
              <w:spacing w:after="0" w:line="240" w:lineRule="auto"/>
              <w:jc w:val="right"/>
              <w:rPr>
                <w:b/>
                <w:bCs/>
                <w:color w:val="FFFFFF"/>
                <w:szCs w:val="18"/>
              </w:rPr>
            </w:pPr>
            <w:r w:rsidRPr="00894701">
              <w:rPr>
                <w:b/>
                <w:bCs/>
                <w:color w:val="FFFFFF"/>
                <w:szCs w:val="18"/>
              </w:rPr>
              <w:t>2018</w:t>
            </w:r>
          </w:p>
        </w:tc>
        <w:tc>
          <w:tcPr>
            <w:tcW w:w="1778" w:type="dxa"/>
            <w:tcBorders>
              <w:top w:val="nil"/>
              <w:left w:val="nil"/>
              <w:bottom w:val="single" w:sz="12" w:space="0" w:color="FF0000"/>
              <w:right w:val="nil"/>
            </w:tcBorders>
            <w:shd w:val="clear" w:color="000000" w:fill="7A091A"/>
            <w:vAlign w:val="center"/>
            <w:hideMark/>
          </w:tcPr>
          <w:p w14:paraId="6DF1FF08" w14:textId="77777777" w:rsidR="007B59AF" w:rsidRPr="00894701" w:rsidRDefault="007B59AF" w:rsidP="00446B8D">
            <w:pPr>
              <w:spacing w:after="0" w:line="240" w:lineRule="auto"/>
              <w:jc w:val="right"/>
              <w:rPr>
                <w:b/>
                <w:bCs/>
                <w:color w:val="FFFFFF"/>
                <w:szCs w:val="18"/>
              </w:rPr>
            </w:pPr>
            <w:r w:rsidRPr="00894701">
              <w:rPr>
                <w:b/>
                <w:bCs/>
                <w:color w:val="FFFFFF"/>
                <w:szCs w:val="18"/>
              </w:rPr>
              <w:t>2019</w:t>
            </w:r>
          </w:p>
        </w:tc>
        <w:tc>
          <w:tcPr>
            <w:tcW w:w="1750" w:type="dxa"/>
            <w:tcBorders>
              <w:top w:val="nil"/>
              <w:left w:val="nil"/>
              <w:bottom w:val="single" w:sz="12" w:space="0" w:color="FF0000"/>
              <w:right w:val="nil"/>
            </w:tcBorders>
            <w:shd w:val="clear" w:color="000000" w:fill="7A091A"/>
            <w:vAlign w:val="center"/>
            <w:hideMark/>
          </w:tcPr>
          <w:p w14:paraId="77D1C805" w14:textId="77777777" w:rsidR="007B59AF" w:rsidRPr="00894701" w:rsidRDefault="007B59AF" w:rsidP="00446B8D">
            <w:pPr>
              <w:spacing w:after="0" w:line="240" w:lineRule="auto"/>
              <w:jc w:val="right"/>
              <w:rPr>
                <w:b/>
                <w:bCs/>
                <w:color w:val="FFFFFF"/>
                <w:szCs w:val="18"/>
              </w:rPr>
            </w:pPr>
            <w:r w:rsidRPr="00894701">
              <w:rPr>
                <w:b/>
                <w:bCs/>
                <w:color w:val="FFFFFF"/>
                <w:szCs w:val="18"/>
              </w:rPr>
              <w:t>2020</w:t>
            </w:r>
          </w:p>
        </w:tc>
      </w:tr>
      <w:tr w:rsidR="007B59AF" w:rsidRPr="00894701" w14:paraId="559DAE37" w14:textId="77777777" w:rsidTr="00446B8D">
        <w:trPr>
          <w:trHeight w:val="280"/>
        </w:trPr>
        <w:tc>
          <w:tcPr>
            <w:tcW w:w="3640" w:type="dxa"/>
            <w:tcBorders>
              <w:top w:val="nil"/>
              <w:left w:val="nil"/>
              <w:bottom w:val="nil"/>
              <w:right w:val="single" w:sz="8" w:space="0" w:color="FF0000"/>
            </w:tcBorders>
            <w:shd w:val="clear" w:color="000000" w:fill="F7A3B0"/>
            <w:noWrap/>
            <w:vAlign w:val="center"/>
            <w:hideMark/>
          </w:tcPr>
          <w:p w14:paraId="23D9715C" w14:textId="26E6C0D3" w:rsidR="007B59AF" w:rsidRPr="00894701" w:rsidRDefault="007B59AF" w:rsidP="00446B8D">
            <w:pPr>
              <w:spacing w:after="0" w:line="240" w:lineRule="auto"/>
              <w:rPr>
                <w:color w:val="000000"/>
                <w:szCs w:val="18"/>
              </w:rPr>
            </w:pPr>
            <w:r w:rsidRPr="00894701">
              <w:rPr>
                <w:color w:val="000000"/>
                <w:szCs w:val="18"/>
              </w:rPr>
              <w:t>Crude oil Export volume (in million barrels)</w:t>
            </w:r>
            <w:r w:rsidR="001D5859" w:rsidRPr="00894701">
              <w:rPr>
                <w:color w:val="000000"/>
                <w:szCs w:val="18"/>
              </w:rPr>
              <w:t xml:space="preserve"> </w:t>
            </w:r>
            <w:r w:rsidRPr="00894701">
              <w:rPr>
                <w:color w:val="000000"/>
                <w:szCs w:val="18"/>
              </w:rPr>
              <w:t>(*)</w:t>
            </w:r>
          </w:p>
        </w:tc>
        <w:tc>
          <w:tcPr>
            <w:tcW w:w="1778" w:type="dxa"/>
            <w:tcBorders>
              <w:top w:val="nil"/>
              <w:left w:val="nil"/>
              <w:bottom w:val="nil"/>
              <w:right w:val="single" w:sz="8" w:space="0" w:color="FF0000"/>
            </w:tcBorders>
            <w:shd w:val="clear" w:color="000000" w:fill="F7A3B0"/>
            <w:noWrap/>
            <w:vAlign w:val="center"/>
            <w:hideMark/>
          </w:tcPr>
          <w:p w14:paraId="67DEADC9" w14:textId="3D9F4139" w:rsidR="007B59AF" w:rsidRPr="00894701" w:rsidRDefault="007B59AF" w:rsidP="00446B8D">
            <w:pPr>
              <w:spacing w:after="0" w:line="240" w:lineRule="auto"/>
              <w:jc w:val="right"/>
              <w:rPr>
                <w:color w:val="000000"/>
                <w:szCs w:val="18"/>
              </w:rPr>
            </w:pPr>
            <w:r w:rsidRPr="00894701">
              <w:rPr>
                <w:color w:val="000000"/>
                <w:szCs w:val="18"/>
              </w:rPr>
              <w:t xml:space="preserve">2.8(*) </w:t>
            </w:r>
          </w:p>
        </w:tc>
        <w:tc>
          <w:tcPr>
            <w:tcW w:w="1778" w:type="dxa"/>
            <w:tcBorders>
              <w:top w:val="nil"/>
              <w:left w:val="nil"/>
              <w:bottom w:val="nil"/>
              <w:right w:val="single" w:sz="8" w:space="0" w:color="FF0000"/>
            </w:tcBorders>
            <w:shd w:val="clear" w:color="000000" w:fill="F7A3B0"/>
            <w:noWrap/>
            <w:vAlign w:val="center"/>
            <w:hideMark/>
          </w:tcPr>
          <w:p w14:paraId="64BDF047" w14:textId="51076E61" w:rsidR="007B59AF" w:rsidRPr="00894701" w:rsidRDefault="007B59AF" w:rsidP="00446B8D">
            <w:pPr>
              <w:spacing w:after="0" w:line="240" w:lineRule="auto"/>
              <w:jc w:val="right"/>
              <w:rPr>
                <w:color w:val="000000"/>
                <w:szCs w:val="18"/>
              </w:rPr>
            </w:pPr>
            <w:r w:rsidRPr="00894701">
              <w:rPr>
                <w:color w:val="000000"/>
                <w:szCs w:val="18"/>
              </w:rPr>
              <w:t xml:space="preserve">2.4 </w:t>
            </w:r>
            <w:r w:rsidR="00813521" w:rsidRPr="00894701">
              <w:rPr>
                <w:color w:val="000000"/>
                <w:szCs w:val="18"/>
              </w:rPr>
              <w:t>(*)</w:t>
            </w:r>
          </w:p>
        </w:tc>
        <w:tc>
          <w:tcPr>
            <w:tcW w:w="1750" w:type="dxa"/>
            <w:tcBorders>
              <w:top w:val="nil"/>
              <w:left w:val="nil"/>
              <w:bottom w:val="nil"/>
              <w:right w:val="single" w:sz="8" w:space="0" w:color="FF0000"/>
            </w:tcBorders>
            <w:shd w:val="clear" w:color="000000" w:fill="F7A3B0"/>
            <w:noWrap/>
            <w:vAlign w:val="center"/>
            <w:hideMark/>
          </w:tcPr>
          <w:p w14:paraId="65B7C216" w14:textId="3AA760F9" w:rsidR="007B59AF" w:rsidRPr="00894701" w:rsidRDefault="007B59AF" w:rsidP="00446B8D">
            <w:pPr>
              <w:spacing w:after="0" w:line="240" w:lineRule="auto"/>
              <w:jc w:val="right"/>
              <w:rPr>
                <w:color w:val="000000"/>
                <w:szCs w:val="18"/>
              </w:rPr>
            </w:pPr>
            <w:r w:rsidRPr="00894701">
              <w:rPr>
                <w:color w:val="000000"/>
                <w:szCs w:val="18"/>
              </w:rPr>
              <w:t>2.5</w:t>
            </w:r>
            <w:r w:rsidR="00813521" w:rsidRPr="00894701">
              <w:rPr>
                <w:color w:val="000000"/>
                <w:szCs w:val="18"/>
              </w:rPr>
              <w:t>(**)</w:t>
            </w:r>
            <w:r w:rsidRPr="00894701">
              <w:rPr>
                <w:color w:val="000000"/>
                <w:szCs w:val="18"/>
              </w:rPr>
              <w:t xml:space="preserve"> </w:t>
            </w:r>
          </w:p>
        </w:tc>
      </w:tr>
      <w:tr w:rsidR="007B59AF" w:rsidRPr="00894701" w14:paraId="6621873B" w14:textId="77777777" w:rsidTr="00446B8D">
        <w:trPr>
          <w:trHeight w:val="270"/>
        </w:trPr>
        <w:tc>
          <w:tcPr>
            <w:tcW w:w="3640" w:type="dxa"/>
            <w:tcBorders>
              <w:top w:val="nil"/>
              <w:left w:val="nil"/>
              <w:bottom w:val="nil"/>
              <w:right w:val="single" w:sz="8" w:space="0" w:color="FF0000"/>
            </w:tcBorders>
            <w:shd w:val="clear" w:color="auto" w:fill="auto"/>
            <w:noWrap/>
            <w:vAlign w:val="center"/>
            <w:hideMark/>
          </w:tcPr>
          <w:p w14:paraId="1D316739" w14:textId="35D1340E" w:rsidR="007B59AF" w:rsidRPr="00894701" w:rsidRDefault="007B59AF" w:rsidP="00446B8D">
            <w:pPr>
              <w:spacing w:after="0" w:line="240" w:lineRule="auto"/>
              <w:rPr>
                <w:color w:val="000000"/>
                <w:szCs w:val="18"/>
              </w:rPr>
            </w:pPr>
            <w:r w:rsidRPr="00894701">
              <w:rPr>
                <w:color w:val="000000"/>
                <w:szCs w:val="18"/>
              </w:rPr>
              <w:t>Export value (in million USD)</w:t>
            </w:r>
            <w:r w:rsidR="00142749" w:rsidRPr="00894701">
              <w:rPr>
                <w:color w:val="000000"/>
                <w:szCs w:val="18"/>
              </w:rPr>
              <w:t xml:space="preserve"> (a)</w:t>
            </w:r>
          </w:p>
        </w:tc>
        <w:tc>
          <w:tcPr>
            <w:tcW w:w="1778" w:type="dxa"/>
            <w:tcBorders>
              <w:top w:val="nil"/>
              <w:left w:val="nil"/>
              <w:bottom w:val="nil"/>
              <w:right w:val="single" w:sz="8" w:space="0" w:color="FF0000"/>
            </w:tcBorders>
            <w:shd w:val="clear" w:color="auto" w:fill="auto"/>
            <w:noWrap/>
            <w:vAlign w:val="center"/>
            <w:hideMark/>
          </w:tcPr>
          <w:p w14:paraId="0B51B71F" w14:textId="6E49B1C5" w:rsidR="007B59AF" w:rsidRPr="00894701" w:rsidRDefault="007B59AF" w:rsidP="00446B8D">
            <w:pPr>
              <w:spacing w:after="0" w:line="240" w:lineRule="auto"/>
              <w:jc w:val="right"/>
              <w:rPr>
                <w:color w:val="000000"/>
                <w:szCs w:val="18"/>
              </w:rPr>
            </w:pPr>
            <w:r w:rsidRPr="00894701">
              <w:rPr>
                <w:color w:val="000000"/>
                <w:szCs w:val="18"/>
              </w:rPr>
              <w:t>201</w:t>
            </w:r>
            <w:r w:rsidR="00813521" w:rsidRPr="00894701">
              <w:rPr>
                <w:color w:val="000000"/>
                <w:szCs w:val="18"/>
              </w:rPr>
              <w:t>(*)</w:t>
            </w:r>
            <w:r w:rsidRPr="00894701">
              <w:rPr>
                <w:color w:val="000000"/>
                <w:szCs w:val="18"/>
              </w:rPr>
              <w:t xml:space="preserve"> </w:t>
            </w:r>
          </w:p>
        </w:tc>
        <w:tc>
          <w:tcPr>
            <w:tcW w:w="1778" w:type="dxa"/>
            <w:tcBorders>
              <w:top w:val="nil"/>
              <w:left w:val="nil"/>
              <w:bottom w:val="nil"/>
              <w:right w:val="single" w:sz="8" w:space="0" w:color="FF0000"/>
            </w:tcBorders>
            <w:shd w:val="clear" w:color="auto" w:fill="auto"/>
            <w:noWrap/>
            <w:vAlign w:val="center"/>
            <w:hideMark/>
          </w:tcPr>
          <w:p w14:paraId="58EAE9B1" w14:textId="78DCFDF4" w:rsidR="007B59AF" w:rsidRPr="00894701" w:rsidRDefault="007B59AF" w:rsidP="00446B8D">
            <w:pPr>
              <w:spacing w:after="0" w:line="240" w:lineRule="auto"/>
              <w:jc w:val="right"/>
              <w:rPr>
                <w:color w:val="000000"/>
                <w:szCs w:val="18"/>
              </w:rPr>
            </w:pPr>
            <w:r w:rsidRPr="00894701">
              <w:rPr>
                <w:color w:val="000000"/>
                <w:szCs w:val="18"/>
              </w:rPr>
              <w:t>170</w:t>
            </w:r>
            <w:r w:rsidR="00813521" w:rsidRPr="00894701">
              <w:rPr>
                <w:color w:val="000000"/>
                <w:szCs w:val="18"/>
              </w:rPr>
              <w:t>(*)</w:t>
            </w:r>
            <w:r w:rsidRPr="00894701">
              <w:rPr>
                <w:color w:val="000000"/>
                <w:szCs w:val="18"/>
              </w:rPr>
              <w:t xml:space="preserve"> </w:t>
            </w:r>
          </w:p>
        </w:tc>
        <w:tc>
          <w:tcPr>
            <w:tcW w:w="1750" w:type="dxa"/>
            <w:tcBorders>
              <w:top w:val="nil"/>
              <w:left w:val="nil"/>
              <w:bottom w:val="nil"/>
              <w:right w:val="single" w:sz="8" w:space="0" w:color="FF0000"/>
            </w:tcBorders>
            <w:shd w:val="clear" w:color="auto" w:fill="auto"/>
            <w:noWrap/>
            <w:vAlign w:val="center"/>
            <w:hideMark/>
          </w:tcPr>
          <w:p w14:paraId="47140570" w14:textId="373AEEAC" w:rsidR="007B59AF" w:rsidRPr="00894701" w:rsidRDefault="007B59AF" w:rsidP="00446B8D">
            <w:pPr>
              <w:spacing w:after="0" w:line="240" w:lineRule="auto"/>
              <w:jc w:val="right"/>
              <w:rPr>
                <w:color w:val="000000"/>
                <w:szCs w:val="18"/>
              </w:rPr>
            </w:pPr>
            <w:r w:rsidRPr="00894701">
              <w:rPr>
                <w:color w:val="000000"/>
                <w:szCs w:val="18"/>
              </w:rPr>
              <w:t>273</w:t>
            </w:r>
            <w:r w:rsidR="00813521" w:rsidRPr="00894701">
              <w:rPr>
                <w:color w:val="000000"/>
                <w:szCs w:val="18"/>
              </w:rPr>
              <w:t>(**)</w:t>
            </w:r>
          </w:p>
        </w:tc>
      </w:tr>
      <w:tr w:rsidR="007B59AF" w:rsidRPr="00894701" w14:paraId="28FBC961" w14:textId="77777777" w:rsidTr="00446B8D">
        <w:trPr>
          <w:trHeight w:val="270"/>
        </w:trPr>
        <w:tc>
          <w:tcPr>
            <w:tcW w:w="3640" w:type="dxa"/>
            <w:tcBorders>
              <w:top w:val="nil"/>
              <w:left w:val="nil"/>
              <w:bottom w:val="nil"/>
              <w:right w:val="single" w:sz="8" w:space="0" w:color="FF0000"/>
            </w:tcBorders>
            <w:shd w:val="clear" w:color="000000" w:fill="F7A3B0"/>
            <w:noWrap/>
            <w:vAlign w:val="center"/>
            <w:hideMark/>
          </w:tcPr>
          <w:p w14:paraId="2F4DD1B4" w14:textId="0D541B69" w:rsidR="007B59AF" w:rsidRPr="00894701" w:rsidRDefault="007B59AF" w:rsidP="00446B8D">
            <w:pPr>
              <w:spacing w:after="0" w:line="240" w:lineRule="auto"/>
              <w:rPr>
                <w:color w:val="000000"/>
                <w:szCs w:val="18"/>
              </w:rPr>
            </w:pPr>
            <w:r w:rsidRPr="00894701">
              <w:rPr>
                <w:color w:val="000000"/>
                <w:szCs w:val="18"/>
              </w:rPr>
              <w:t>Total Country Export Value</w:t>
            </w:r>
            <w:r w:rsidR="00604945" w:rsidRPr="00894701">
              <w:rPr>
                <w:color w:val="000000"/>
                <w:szCs w:val="18"/>
              </w:rPr>
              <w:t xml:space="preserve"> (in million USD) </w:t>
            </w:r>
            <w:r w:rsidRPr="00894701">
              <w:rPr>
                <w:color w:val="000000"/>
                <w:szCs w:val="18"/>
              </w:rPr>
              <w:t>(*)</w:t>
            </w:r>
            <w:r w:rsidR="00142749" w:rsidRPr="00894701">
              <w:rPr>
                <w:color w:val="000000"/>
                <w:szCs w:val="18"/>
              </w:rPr>
              <w:t xml:space="preserve"> (b)</w:t>
            </w:r>
          </w:p>
        </w:tc>
        <w:tc>
          <w:tcPr>
            <w:tcW w:w="1778" w:type="dxa"/>
            <w:tcBorders>
              <w:top w:val="nil"/>
              <w:left w:val="nil"/>
              <w:bottom w:val="nil"/>
              <w:right w:val="single" w:sz="8" w:space="0" w:color="FF0000"/>
            </w:tcBorders>
            <w:shd w:val="clear" w:color="000000" w:fill="F7A3B0"/>
            <w:noWrap/>
            <w:vAlign w:val="center"/>
            <w:hideMark/>
          </w:tcPr>
          <w:p w14:paraId="5772B61D" w14:textId="58D1F947" w:rsidR="007B59AF" w:rsidRPr="00894701" w:rsidRDefault="007B59AF" w:rsidP="00446B8D">
            <w:pPr>
              <w:spacing w:after="0" w:line="240" w:lineRule="auto"/>
              <w:jc w:val="right"/>
              <w:rPr>
                <w:color w:val="000000"/>
                <w:szCs w:val="18"/>
              </w:rPr>
            </w:pPr>
            <w:r w:rsidRPr="00894701">
              <w:rPr>
                <w:color w:val="000000"/>
                <w:szCs w:val="18"/>
              </w:rPr>
              <w:t xml:space="preserve"> 2,123</w:t>
            </w:r>
            <w:r w:rsidR="007F39FE" w:rsidRPr="00894701">
              <w:rPr>
                <w:color w:val="000000"/>
                <w:szCs w:val="18"/>
              </w:rPr>
              <w:t xml:space="preserve">  </w:t>
            </w:r>
            <w:r w:rsidR="007F39FE" w:rsidRPr="00894701">
              <w:rPr>
                <w:color w:val="F47588" w:themeColor="accent1" w:themeTint="99"/>
                <w:szCs w:val="18"/>
              </w:rPr>
              <w:t>.</w:t>
            </w:r>
            <w:r w:rsidRPr="00894701">
              <w:rPr>
                <w:color w:val="000000"/>
                <w:szCs w:val="18"/>
              </w:rPr>
              <w:t xml:space="preserve"> </w:t>
            </w:r>
          </w:p>
        </w:tc>
        <w:tc>
          <w:tcPr>
            <w:tcW w:w="1778" w:type="dxa"/>
            <w:tcBorders>
              <w:top w:val="nil"/>
              <w:left w:val="nil"/>
              <w:bottom w:val="nil"/>
              <w:right w:val="single" w:sz="8" w:space="0" w:color="FF0000"/>
            </w:tcBorders>
            <w:shd w:val="clear" w:color="000000" w:fill="F7A3B0"/>
            <w:noWrap/>
            <w:vAlign w:val="center"/>
            <w:hideMark/>
          </w:tcPr>
          <w:p w14:paraId="66C15A90" w14:textId="749956DE" w:rsidR="007B59AF" w:rsidRPr="00894701" w:rsidRDefault="007B59AF" w:rsidP="00446B8D">
            <w:pPr>
              <w:spacing w:after="0" w:line="240" w:lineRule="auto"/>
              <w:jc w:val="right"/>
              <w:rPr>
                <w:color w:val="000000"/>
                <w:szCs w:val="18"/>
              </w:rPr>
            </w:pPr>
            <w:r w:rsidRPr="00894701">
              <w:rPr>
                <w:color w:val="000000"/>
                <w:szCs w:val="18"/>
              </w:rPr>
              <w:t xml:space="preserve"> 2,090</w:t>
            </w:r>
            <w:r w:rsidR="007F39FE" w:rsidRPr="00894701">
              <w:rPr>
                <w:color w:val="000000"/>
                <w:szCs w:val="18"/>
              </w:rPr>
              <w:t xml:space="preserve">  </w:t>
            </w:r>
            <w:r w:rsidR="007F39FE" w:rsidRPr="00894701">
              <w:rPr>
                <w:color w:val="F47588" w:themeColor="accent1" w:themeTint="99"/>
                <w:szCs w:val="18"/>
              </w:rPr>
              <w:t>.</w:t>
            </w:r>
            <w:r w:rsidR="007F39FE" w:rsidRPr="00894701">
              <w:rPr>
                <w:color w:val="000000"/>
                <w:szCs w:val="18"/>
              </w:rPr>
              <w:t xml:space="preserve"> </w:t>
            </w:r>
            <w:r w:rsidRPr="00894701">
              <w:rPr>
                <w:color w:val="000000"/>
                <w:szCs w:val="18"/>
              </w:rPr>
              <w:t xml:space="preserve"> </w:t>
            </w:r>
          </w:p>
        </w:tc>
        <w:tc>
          <w:tcPr>
            <w:tcW w:w="1750" w:type="dxa"/>
            <w:tcBorders>
              <w:top w:val="nil"/>
              <w:left w:val="nil"/>
              <w:bottom w:val="nil"/>
              <w:right w:val="single" w:sz="8" w:space="0" w:color="FF0000"/>
            </w:tcBorders>
            <w:shd w:val="clear" w:color="000000" w:fill="F7A3B0"/>
            <w:noWrap/>
            <w:vAlign w:val="center"/>
            <w:hideMark/>
          </w:tcPr>
          <w:p w14:paraId="22BC32F6" w14:textId="0D032152" w:rsidR="007B59AF" w:rsidRPr="00894701" w:rsidRDefault="007B59AF" w:rsidP="00446B8D">
            <w:pPr>
              <w:spacing w:after="0" w:line="240" w:lineRule="auto"/>
              <w:jc w:val="right"/>
              <w:rPr>
                <w:color w:val="000000"/>
                <w:szCs w:val="18"/>
              </w:rPr>
            </w:pPr>
            <w:r w:rsidRPr="00894701">
              <w:rPr>
                <w:color w:val="000000"/>
                <w:szCs w:val="18"/>
              </w:rPr>
              <w:t>2,123</w:t>
            </w:r>
            <w:r w:rsidR="007F39FE" w:rsidRPr="00894701">
              <w:rPr>
                <w:color w:val="000000"/>
                <w:szCs w:val="18"/>
              </w:rPr>
              <w:t xml:space="preserve">   </w:t>
            </w:r>
            <w:r w:rsidR="007F39FE" w:rsidRPr="00894701">
              <w:rPr>
                <w:color w:val="F47588" w:themeColor="accent1" w:themeTint="99"/>
                <w:szCs w:val="18"/>
              </w:rPr>
              <w:t>.</w:t>
            </w:r>
          </w:p>
        </w:tc>
      </w:tr>
      <w:tr w:rsidR="007B59AF" w:rsidRPr="00894701" w14:paraId="5FED42E5" w14:textId="77777777" w:rsidTr="0084381E">
        <w:trPr>
          <w:trHeight w:val="280"/>
        </w:trPr>
        <w:tc>
          <w:tcPr>
            <w:tcW w:w="3640" w:type="dxa"/>
            <w:tcBorders>
              <w:top w:val="nil"/>
              <w:left w:val="nil"/>
              <w:bottom w:val="single" w:sz="12" w:space="0" w:color="FF0000"/>
              <w:right w:val="single" w:sz="8" w:space="0" w:color="FF0000"/>
            </w:tcBorders>
            <w:shd w:val="clear" w:color="auto" w:fill="808080" w:themeFill="background1" w:themeFillShade="80"/>
            <w:noWrap/>
            <w:vAlign w:val="center"/>
            <w:hideMark/>
          </w:tcPr>
          <w:p w14:paraId="5E69690D" w14:textId="1C718B57" w:rsidR="007B59AF" w:rsidRPr="00894701" w:rsidRDefault="007B59AF" w:rsidP="00446B8D">
            <w:pPr>
              <w:spacing w:after="0" w:line="240" w:lineRule="auto"/>
              <w:rPr>
                <w:b/>
                <w:bCs/>
                <w:color w:val="FFFFFF" w:themeColor="background1"/>
                <w:szCs w:val="18"/>
              </w:rPr>
            </w:pPr>
            <w:r w:rsidRPr="00894701">
              <w:rPr>
                <w:b/>
                <w:bCs/>
                <w:color w:val="FFFFFF" w:themeColor="background1"/>
                <w:szCs w:val="18"/>
              </w:rPr>
              <w:t>Contribution</w:t>
            </w:r>
            <w:r w:rsidR="00142749" w:rsidRPr="00894701">
              <w:rPr>
                <w:b/>
                <w:bCs/>
                <w:color w:val="FFFFFF" w:themeColor="background1"/>
                <w:szCs w:val="18"/>
              </w:rPr>
              <w:t xml:space="preserve"> </w:t>
            </w:r>
            <w:r w:rsidR="000677C5" w:rsidRPr="00894701">
              <w:rPr>
                <w:b/>
                <w:bCs/>
                <w:color w:val="FFFFFF" w:themeColor="background1"/>
                <w:szCs w:val="18"/>
              </w:rPr>
              <w:t xml:space="preserve">to exports </w:t>
            </w:r>
            <w:r w:rsidR="00142749" w:rsidRPr="00894701">
              <w:rPr>
                <w:b/>
                <w:bCs/>
                <w:color w:val="FFFFFF" w:themeColor="background1"/>
                <w:szCs w:val="18"/>
              </w:rPr>
              <w:t>(a)/(b)</w:t>
            </w:r>
          </w:p>
        </w:tc>
        <w:tc>
          <w:tcPr>
            <w:tcW w:w="1778" w:type="dxa"/>
            <w:tcBorders>
              <w:top w:val="nil"/>
              <w:left w:val="nil"/>
              <w:bottom w:val="single" w:sz="12" w:space="0" w:color="FF0000"/>
              <w:right w:val="single" w:sz="8" w:space="0" w:color="FF0000"/>
            </w:tcBorders>
            <w:shd w:val="clear" w:color="auto" w:fill="808080" w:themeFill="background1" w:themeFillShade="80"/>
            <w:noWrap/>
            <w:vAlign w:val="center"/>
            <w:hideMark/>
          </w:tcPr>
          <w:p w14:paraId="0CEFF742" w14:textId="77777777" w:rsidR="007B59AF" w:rsidRPr="00894701" w:rsidRDefault="007B59AF" w:rsidP="00446B8D">
            <w:pPr>
              <w:spacing w:after="0" w:line="240" w:lineRule="auto"/>
              <w:jc w:val="right"/>
              <w:rPr>
                <w:b/>
                <w:bCs/>
                <w:color w:val="FFFFFF" w:themeColor="background1"/>
                <w:szCs w:val="18"/>
              </w:rPr>
            </w:pPr>
            <w:r w:rsidRPr="00894701">
              <w:rPr>
                <w:b/>
                <w:bCs/>
                <w:color w:val="FFFFFF" w:themeColor="background1"/>
                <w:szCs w:val="18"/>
              </w:rPr>
              <w:t>9.5%</w:t>
            </w:r>
          </w:p>
        </w:tc>
        <w:tc>
          <w:tcPr>
            <w:tcW w:w="1778" w:type="dxa"/>
            <w:tcBorders>
              <w:top w:val="nil"/>
              <w:left w:val="nil"/>
              <w:bottom w:val="single" w:sz="12" w:space="0" w:color="FF0000"/>
              <w:right w:val="single" w:sz="8" w:space="0" w:color="FF0000"/>
            </w:tcBorders>
            <w:shd w:val="clear" w:color="auto" w:fill="808080" w:themeFill="background1" w:themeFillShade="80"/>
            <w:noWrap/>
            <w:vAlign w:val="center"/>
            <w:hideMark/>
          </w:tcPr>
          <w:p w14:paraId="6CED6927" w14:textId="77777777" w:rsidR="007B59AF" w:rsidRPr="00894701" w:rsidRDefault="007B59AF" w:rsidP="00446B8D">
            <w:pPr>
              <w:spacing w:after="0" w:line="240" w:lineRule="auto"/>
              <w:jc w:val="right"/>
              <w:rPr>
                <w:b/>
                <w:bCs/>
                <w:color w:val="FFFFFF" w:themeColor="background1"/>
                <w:szCs w:val="18"/>
              </w:rPr>
            </w:pPr>
            <w:r w:rsidRPr="00894701">
              <w:rPr>
                <w:b/>
                <w:bCs/>
                <w:color w:val="FFFFFF" w:themeColor="background1"/>
                <w:szCs w:val="18"/>
              </w:rPr>
              <w:t>8.1%</w:t>
            </w:r>
          </w:p>
        </w:tc>
        <w:tc>
          <w:tcPr>
            <w:tcW w:w="1750" w:type="dxa"/>
            <w:tcBorders>
              <w:top w:val="nil"/>
              <w:left w:val="nil"/>
              <w:bottom w:val="single" w:sz="12" w:space="0" w:color="FF0000"/>
              <w:right w:val="single" w:sz="8" w:space="0" w:color="FF0000"/>
            </w:tcBorders>
            <w:shd w:val="clear" w:color="auto" w:fill="808080" w:themeFill="background1" w:themeFillShade="80"/>
            <w:noWrap/>
            <w:vAlign w:val="center"/>
            <w:hideMark/>
          </w:tcPr>
          <w:p w14:paraId="6AE7F6A0" w14:textId="77777777" w:rsidR="007B59AF" w:rsidRPr="00894701" w:rsidRDefault="007B59AF" w:rsidP="00446B8D">
            <w:pPr>
              <w:spacing w:after="0" w:line="240" w:lineRule="auto"/>
              <w:jc w:val="right"/>
              <w:rPr>
                <w:b/>
                <w:bCs/>
                <w:color w:val="FFFFFF" w:themeColor="background1"/>
                <w:szCs w:val="18"/>
              </w:rPr>
            </w:pPr>
            <w:r w:rsidRPr="00894701">
              <w:rPr>
                <w:b/>
                <w:bCs/>
                <w:color w:val="FFFFFF" w:themeColor="background1"/>
                <w:szCs w:val="18"/>
              </w:rPr>
              <w:t>12.9%</w:t>
            </w:r>
          </w:p>
        </w:tc>
      </w:tr>
    </w:tbl>
    <w:p w14:paraId="2C2C4540" w14:textId="34D962B9" w:rsidR="007B59AF" w:rsidRPr="00894701" w:rsidRDefault="007B59AF" w:rsidP="007B59AF">
      <w:pPr>
        <w:spacing w:after="0"/>
        <w:contextualSpacing/>
        <w:rPr>
          <w:i/>
          <w:iCs/>
          <w:color w:val="auto"/>
          <w:sz w:val="16"/>
          <w:szCs w:val="16"/>
        </w:rPr>
      </w:pPr>
      <w:r w:rsidRPr="00894701">
        <w:rPr>
          <w:i/>
          <w:iCs/>
          <w:color w:val="auto"/>
          <w:sz w:val="16"/>
          <w:szCs w:val="16"/>
        </w:rPr>
        <w:t>* CBvS 2019</w:t>
      </w:r>
      <w:r w:rsidRPr="00894701">
        <w:rPr>
          <w:rStyle w:val="FootnoteReference"/>
          <w:i/>
          <w:iCs/>
          <w:color w:val="auto"/>
          <w:sz w:val="22"/>
          <w:szCs w:val="22"/>
        </w:rPr>
        <w:footnoteReference w:id="39"/>
      </w:r>
    </w:p>
    <w:p w14:paraId="55ABB71A" w14:textId="5F87C32A" w:rsidR="0069482A" w:rsidRPr="00894701" w:rsidRDefault="007B59AF" w:rsidP="001C751C">
      <w:pPr>
        <w:pStyle w:val="BodyText"/>
        <w:spacing w:after="240" w:line="240" w:lineRule="auto"/>
        <w:contextualSpacing/>
        <w:jc w:val="both"/>
        <w:rPr>
          <w:i/>
          <w:iCs/>
          <w:color w:val="auto"/>
          <w:sz w:val="16"/>
          <w:szCs w:val="16"/>
        </w:rPr>
      </w:pPr>
      <w:r w:rsidRPr="00894701">
        <w:rPr>
          <w:i/>
          <w:iCs/>
          <w:color w:val="auto"/>
          <w:sz w:val="16"/>
          <w:szCs w:val="16"/>
        </w:rPr>
        <w:t>** Planning Office of Suriname</w:t>
      </w:r>
    </w:p>
    <w:p w14:paraId="733C3601" w14:textId="3056C35A" w:rsidR="00C43ECC" w:rsidRPr="00894701" w:rsidRDefault="00FF2A8F" w:rsidP="001C751C">
      <w:pPr>
        <w:pStyle w:val="AltMinorSubHeading"/>
        <w:numPr>
          <w:ilvl w:val="0"/>
          <w:numId w:val="0"/>
        </w:numPr>
        <w:spacing w:before="120" w:after="120"/>
        <w:rPr>
          <w:color w:val="ED1A3B"/>
        </w:rPr>
      </w:pPr>
      <w:bookmarkStart w:id="344" w:name="_Toc122478916"/>
      <w:r w:rsidRPr="00894701">
        <w:rPr>
          <w:color w:val="ED1A3B"/>
        </w:rPr>
        <w:t>3</w:t>
      </w:r>
      <w:r w:rsidR="00B219CF" w:rsidRPr="00894701">
        <w:rPr>
          <w:color w:val="ED1A3B"/>
        </w:rPr>
        <w:t>.</w:t>
      </w:r>
      <w:r w:rsidR="004374E9" w:rsidRPr="00894701">
        <w:rPr>
          <w:color w:val="ED1A3B"/>
        </w:rPr>
        <w:t>19</w:t>
      </w:r>
      <w:r w:rsidR="00B219CF" w:rsidRPr="00894701">
        <w:rPr>
          <w:color w:val="ED1A3B"/>
        </w:rPr>
        <w:t>.</w:t>
      </w:r>
      <w:r w:rsidR="00FD1823" w:rsidRPr="00894701">
        <w:rPr>
          <w:color w:val="ED1A3B"/>
        </w:rPr>
        <w:t>2</w:t>
      </w:r>
      <w:r w:rsidR="00B219CF" w:rsidRPr="00894701">
        <w:rPr>
          <w:color w:val="ED1A3B"/>
        </w:rPr>
        <w:t xml:space="preserve"> </w:t>
      </w:r>
      <w:r w:rsidR="00C43ECC" w:rsidRPr="00894701">
        <w:rPr>
          <w:color w:val="ED1A3B"/>
        </w:rPr>
        <w:t>(</w:t>
      </w:r>
      <w:r w:rsidR="00E57266" w:rsidRPr="00894701">
        <w:rPr>
          <w:color w:val="ED1A3B"/>
        </w:rPr>
        <w:t>c</w:t>
      </w:r>
      <w:r w:rsidR="00C43ECC" w:rsidRPr="00894701">
        <w:rPr>
          <w:color w:val="ED1A3B"/>
        </w:rPr>
        <w:t>) Contribution to employment (Requirement 6.3.d):</w:t>
      </w:r>
      <w:bookmarkEnd w:id="344"/>
    </w:p>
    <w:p w14:paraId="6638AFEA" w14:textId="5BD17974" w:rsidR="00D00050" w:rsidRPr="00894701" w:rsidRDefault="00400865" w:rsidP="0078738E">
      <w:pPr>
        <w:pStyle w:val="BodyText"/>
        <w:jc w:val="both"/>
      </w:pPr>
      <w:r w:rsidRPr="00894701">
        <w:rPr>
          <w:rFonts w:cs="Arial"/>
          <w:color w:val="000000"/>
          <w:sz w:val="20"/>
        </w:rPr>
        <w:t>The contribution of the oil and gas sector to the total employment during the fiscal years 2018, 2019 and 2020 are set out in the table below</w:t>
      </w:r>
      <w:r w:rsidR="003F4063" w:rsidRPr="00894701">
        <w:rPr>
          <w:rFonts w:cs="Arial"/>
          <w:color w:val="000000"/>
          <w:sz w:val="20"/>
        </w:rPr>
        <w:t>.</w:t>
      </w:r>
    </w:p>
    <w:p w14:paraId="4297B37F" w14:textId="040661A6" w:rsidR="00D6124B" w:rsidRPr="00894701" w:rsidRDefault="00D6124B" w:rsidP="00842B6F">
      <w:pPr>
        <w:pStyle w:val="BodyTextRed"/>
        <w:bidi/>
        <w:jc w:val="center"/>
        <w:rPr>
          <w:b/>
          <w:bCs/>
          <w:color w:val="98002E" w:themeColor="accent3"/>
          <w:sz w:val="20"/>
          <w:szCs w:val="20"/>
        </w:rPr>
      </w:pPr>
      <w:bookmarkStart w:id="345" w:name="_Toc146590508"/>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36</w:t>
      </w:r>
      <w:r w:rsidRPr="00894701">
        <w:rPr>
          <w:b/>
          <w:bCs/>
          <w:color w:val="98002E" w:themeColor="accent3"/>
          <w:sz w:val="20"/>
          <w:szCs w:val="20"/>
        </w:rPr>
        <w:fldChar w:fldCharType="end"/>
      </w:r>
      <w:r w:rsidRPr="00894701">
        <w:rPr>
          <w:b/>
          <w:bCs/>
          <w:color w:val="98002E" w:themeColor="accent3"/>
          <w:sz w:val="20"/>
          <w:szCs w:val="20"/>
        </w:rPr>
        <w:t>: Contribution of the Oil &amp; Gas sector to employment for the fiscal years 2018, 2019 and 2020</w:t>
      </w:r>
      <w:bookmarkEnd w:id="345"/>
    </w:p>
    <w:tbl>
      <w:tblPr>
        <w:tblW w:w="5000" w:type="pct"/>
        <w:tblLayout w:type="fixed"/>
        <w:tblLook w:val="04A0" w:firstRow="1" w:lastRow="0" w:firstColumn="1" w:lastColumn="0" w:noHBand="0" w:noVBand="1"/>
      </w:tblPr>
      <w:tblGrid>
        <w:gridCol w:w="3253"/>
        <w:gridCol w:w="986"/>
        <w:gridCol w:w="874"/>
        <w:gridCol w:w="1129"/>
        <w:gridCol w:w="851"/>
        <w:gridCol w:w="1014"/>
        <w:gridCol w:w="943"/>
      </w:tblGrid>
      <w:tr w:rsidR="00DC6673" w:rsidRPr="00894701" w14:paraId="537A5F64" w14:textId="77777777" w:rsidTr="00446B8D">
        <w:trPr>
          <w:trHeight w:val="280"/>
        </w:trPr>
        <w:tc>
          <w:tcPr>
            <w:tcW w:w="1797" w:type="pct"/>
            <w:vMerge w:val="restart"/>
            <w:tcBorders>
              <w:top w:val="nil"/>
              <w:left w:val="nil"/>
              <w:bottom w:val="single" w:sz="12" w:space="0" w:color="FF0000"/>
              <w:right w:val="nil"/>
            </w:tcBorders>
            <w:shd w:val="clear" w:color="000000" w:fill="7A091A"/>
            <w:vAlign w:val="center"/>
            <w:hideMark/>
          </w:tcPr>
          <w:p w14:paraId="49EB3EB3" w14:textId="77777777" w:rsidR="00DC6673" w:rsidRPr="00894701" w:rsidRDefault="00DC6673" w:rsidP="00446B8D">
            <w:pPr>
              <w:spacing w:after="0" w:line="240" w:lineRule="auto"/>
              <w:jc w:val="center"/>
              <w:rPr>
                <w:b/>
                <w:bCs/>
                <w:color w:val="FFFFFF"/>
                <w:szCs w:val="18"/>
              </w:rPr>
            </w:pPr>
            <w:r w:rsidRPr="00894701">
              <w:rPr>
                <w:b/>
                <w:bCs/>
                <w:color w:val="FFFFFF"/>
                <w:szCs w:val="18"/>
              </w:rPr>
              <w:t>Employment</w:t>
            </w:r>
          </w:p>
        </w:tc>
        <w:tc>
          <w:tcPr>
            <w:tcW w:w="1028" w:type="pct"/>
            <w:gridSpan w:val="2"/>
            <w:tcBorders>
              <w:top w:val="nil"/>
              <w:left w:val="nil"/>
              <w:bottom w:val="nil"/>
              <w:right w:val="nil"/>
            </w:tcBorders>
            <w:shd w:val="clear" w:color="000000" w:fill="7A091A"/>
            <w:vAlign w:val="center"/>
            <w:hideMark/>
          </w:tcPr>
          <w:p w14:paraId="60D12EF8" w14:textId="1AD3A06B" w:rsidR="00DC6673" w:rsidRPr="00894701" w:rsidRDefault="00DC6673" w:rsidP="00446B8D">
            <w:pPr>
              <w:spacing w:after="0" w:line="240" w:lineRule="auto"/>
              <w:jc w:val="center"/>
              <w:rPr>
                <w:b/>
                <w:bCs/>
                <w:color w:val="FFFFFF"/>
                <w:szCs w:val="18"/>
              </w:rPr>
            </w:pPr>
            <w:r w:rsidRPr="00894701">
              <w:rPr>
                <w:b/>
                <w:bCs/>
                <w:color w:val="FFFFFF"/>
                <w:szCs w:val="18"/>
              </w:rPr>
              <w:t>FY 201</w:t>
            </w:r>
            <w:r w:rsidR="004820B6" w:rsidRPr="00894701">
              <w:rPr>
                <w:b/>
                <w:bCs/>
                <w:color w:val="FFFFFF"/>
                <w:szCs w:val="18"/>
              </w:rPr>
              <w:t>8</w:t>
            </w:r>
          </w:p>
        </w:tc>
        <w:tc>
          <w:tcPr>
            <w:tcW w:w="1094" w:type="pct"/>
            <w:gridSpan w:val="2"/>
            <w:tcBorders>
              <w:top w:val="nil"/>
              <w:left w:val="nil"/>
              <w:bottom w:val="nil"/>
              <w:right w:val="nil"/>
            </w:tcBorders>
            <w:shd w:val="clear" w:color="000000" w:fill="7A091A"/>
            <w:vAlign w:val="center"/>
            <w:hideMark/>
          </w:tcPr>
          <w:p w14:paraId="5403C70B" w14:textId="77777777" w:rsidR="00DC6673" w:rsidRPr="00894701" w:rsidRDefault="00DC6673" w:rsidP="00446B8D">
            <w:pPr>
              <w:spacing w:after="0" w:line="240" w:lineRule="auto"/>
              <w:jc w:val="center"/>
              <w:rPr>
                <w:b/>
                <w:bCs/>
                <w:color w:val="FFFFFF"/>
                <w:szCs w:val="18"/>
              </w:rPr>
            </w:pPr>
            <w:r w:rsidRPr="00894701">
              <w:rPr>
                <w:b/>
                <w:bCs/>
                <w:color w:val="FFFFFF"/>
                <w:szCs w:val="18"/>
              </w:rPr>
              <w:t>FY 2019</w:t>
            </w:r>
          </w:p>
        </w:tc>
        <w:tc>
          <w:tcPr>
            <w:tcW w:w="1081" w:type="pct"/>
            <w:gridSpan w:val="2"/>
            <w:tcBorders>
              <w:top w:val="nil"/>
              <w:left w:val="nil"/>
              <w:bottom w:val="nil"/>
              <w:right w:val="nil"/>
            </w:tcBorders>
            <w:shd w:val="clear" w:color="000000" w:fill="7A091A"/>
            <w:vAlign w:val="center"/>
            <w:hideMark/>
          </w:tcPr>
          <w:p w14:paraId="2FF7E0DE" w14:textId="0D4DD0F9" w:rsidR="00DC6673" w:rsidRPr="00894701" w:rsidRDefault="00DC6673" w:rsidP="00446B8D">
            <w:pPr>
              <w:spacing w:after="0" w:line="240" w:lineRule="auto"/>
              <w:jc w:val="center"/>
              <w:rPr>
                <w:b/>
                <w:bCs/>
                <w:color w:val="FFFFFF"/>
                <w:szCs w:val="18"/>
              </w:rPr>
            </w:pPr>
            <w:r w:rsidRPr="00894701">
              <w:rPr>
                <w:b/>
                <w:bCs/>
                <w:color w:val="FFFFFF"/>
                <w:szCs w:val="18"/>
              </w:rPr>
              <w:t>FY 2020</w:t>
            </w:r>
          </w:p>
        </w:tc>
      </w:tr>
      <w:tr w:rsidR="00DC6673" w:rsidRPr="00894701" w14:paraId="66B002AE" w14:textId="77777777" w:rsidTr="00446B8D">
        <w:trPr>
          <w:trHeight w:val="280"/>
        </w:trPr>
        <w:tc>
          <w:tcPr>
            <w:tcW w:w="1797" w:type="pct"/>
            <w:vMerge/>
            <w:tcBorders>
              <w:top w:val="nil"/>
              <w:left w:val="nil"/>
              <w:bottom w:val="single" w:sz="12" w:space="0" w:color="FF0000"/>
              <w:right w:val="nil"/>
            </w:tcBorders>
            <w:vAlign w:val="center"/>
            <w:hideMark/>
          </w:tcPr>
          <w:p w14:paraId="18AA68C1" w14:textId="77777777" w:rsidR="00DC6673" w:rsidRPr="00894701" w:rsidRDefault="00DC6673" w:rsidP="00446B8D">
            <w:pPr>
              <w:spacing w:after="0" w:line="240" w:lineRule="auto"/>
              <w:rPr>
                <w:b/>
                <w:bCs/>
                <w:color w:val="FFFFFF"/>
                <w:szCs w:val="18"/>
              </w:rPr>
            </w:pPr>
          </w:p>
        </w:tc>
        <w:tc>
          <w:tcPr>
            <w:tcW w:w="545" w:type="pct"/>
            <w:tcBorders>
              <w:top w:val="nil"/>
              <w:left w:val="nil"/>
              <w:bottom w:val="nil"/>
              <w:right w:val="nil"/>
            </w:tcBorders>
            <w:shd w:val="clear" w:color="000000" w:fill="7A091A"/>
            <w:vAlign w:val="center"/>
            <w:hideMark/>
          </w:tcPr>
          <w:p w14:paraId="5C817D64" w14:textId="77777777" w:rsidR="00DC6673" w:rsidRPr="00894701" w:rsidRDefault="00DC6673" w:rsidP="00446B8D">
            <w:pPr>
              <w:spacing w:after="0" w:line="240" w:lineRule="auto"/>
              <w:jc w:val="right"/>
              <w:rPr>
                <w:b/>
                <w:bCs/>
                <w:color w:val="FFFFFF"/>
                <w:szCs w:val="18"/>
              </w:rPr>
            </w:pPr>
            <w:r w:rsidRPr="00894701">
              <w:rPr>
                <w:b/>
                <w:bCs/>
                <w:color w:val="FFFFFF"/>
                <w:szCs w:val="18"/>
              </w:rPr>
              <w:t>Male</w:t>
            </w:r>
          </w:p>
        </w:tc>
        <w:tc>
          <w:tcPr>
            <w:tcW w:w="483" w:type="pct"/>
            <w:tcBorders>
              <w:top w:val="nil"/>
              <w:left w:val="nil"/>
              <w:bottom w:val="nil"/>
              <w:right w:val="nil"/>
            </w:tcBorders>
            <w:shd w:val="clear" w:color="000000" w:fill="7A091A"/>
            <w:vAlign w:val="center"/>
            <w:hideMark/>
          </w:tcPr>
          <w:p w14:paraId="6EB457E4" w14:textId="77777777" w:rsidR="00DC6673" w:rsidRPr="00894701" w:rsidRDefault="00DC6673" w:rsidP="00446B8D">
            <w:pPr>
              <w:spacing w:after="0" w:line="240" w:lineRule="auto"/>
              <w:jc w:val="right"/>
              <w:rPr>
                <w:b/>
                <w:bCs/>
                <w:color w:val="FFFFFF"/>
                <w:szCs w:val="18"/>
              </w:rPr>
            </w:pPr>
            <w:r w:rsidRPr="00894701">
              <w:rPr>
                <w:b/>
                <w:bCs/>
                <w:color w:val="FFFFFF"/>
                <w:szCs w:val="18"/>
              </w:rPr>
              <w:t>Female</w:t>
            </w:r>
          </w:p>
        </w:tc>
        <w:tc>
          <w:tcPr>
            <w:tcW w:w="624" w:type="pct"/>
            <w:tcBorders>
              <w:top w:val="nil"/>
              <w:left w:val="nil"/>
              <w:bottom w:val="nil"/>
              <w:right w:val="nil"/>
            </w:tcBorders>
            <w:shd w:val="clear" w:color="000000" w:fill="7A091A"/>
            <w:vAlign w:val="center"/>
            <w:hideMark/>
          </w:tcPr>
          <w:p w14:paraId="179CBB9E" w14:textId="77777777" w:rsidR="00DC6673" w:rsidRPr="00894701" w:rsidRDefault="00DC6673" w:rsidP="00446B8D">
            <w:pPr>
              <w:spacing w:after="0" w:line="240" w:lineRule="auto"/>
              <w:jc w:val="right"/>
              <w:rPr>
                <w:b/>
                <w:bCs/>
                <w:color w:val="FFFFFF"/>
                <w:szCs w:val="18"/>
              </w:rPr>
            </w:pPr>
            <w:r w:rsidRPr="00894701">
              <w:rPr>
                <w:b/>
                <w:bCs/>
                <w:color w:val="FFFFFF"/>
                <w:szCs w:val="18"/>
              </w:rPr>
              <w:t>Male</w:t>
            </w:r>
          </w:p>
        </w:tc>
        <w:tc>
          <w:tcPr>
            <w:tcW w:w="470" w:type="pct"/>
            <w:tcBorders>
              <w:top w:val="nil"/>
              <w:left w:val="nil"/>
              <w:bottom w:val="nil"/>
              <w:right w:val="nil"/>
            </w:tcBorders>
            <w:shd w:val="clear" w:color="000000" w:fill="7A091A"/>
            <w:vAlign w:val="center"/>
            <w:hideMark/>
          </w:tcPr>
          <w:p w14:paraId="72D6648D" w14:textId="77777777" w:rsidR="00DC6673" w:rsidRPr="00894701" w:rsidRDefault="00DC6673" w:rsidP="00446B8D">
            <w:pPr>
              <w:spacing w:after="0" w:line="240" w:lineRule="auto"/>
              <w:jc w:val="right"/>
              <w:rPr>
                <w:b/>
                <w:bCs/>
                <w:color w:val="FFFFFF"/>
                <w:szCs w:val="18"/>
              </w:rPr>
            </w:pPr>
            <w:r w:rsidRPr="00894701">
              <w:rPr>
                <w:b/>
                <w:bCs/>
                <w:color w:val="FFFFFF"/>
                <w:szCs w:val="18"/>
              </w:rPr>
              <w:t>Female</w:t>
            </w:r>
          </w:p>
        </w:tc>
        <w:tc>
          <w:tcPr>
            <w:tcW w:w="560" w:type="pct"/>
            <w:tcBorders>
              <w:top w:val="nil"/>
              <w:left w:val="nil"/>
              <w:bottom w:val="nil"/>
              <w:right w:val="nil"/>
            </w:tcBorders>
            <w:shd w:val="clear" w:color="000000" w:fill="7A091A"/>
            <w:vAlign w:val="center"/>
            <w:hideMark/>
          </w:tcPr>
          <w:p w14:paraId="25DC725B" w14:textId="77777777" w:rsidR="00DC6673" w:rsidRPr="00894701" w:rsidRDefault="00DC6673" w:rsidP="00446B8D">
            <w:pPr>
              <w:spacing w:after="0" w:line="240" w:lineRule="auto"/>
              <w:jc w:val="right"/>
              <w:rPr>
                <w:b/>
                <w:bCs/>
                <w:color w:val="FFFFFF"/>
                <w:szCs w:val="18"/>
              </w:rPr>
            </w:pPr>
            <w:r w:rsidRPr="00894701">
              <w:rPr>
                <w:b/>
                <w:bCs/>
                <w:color w:val="FFFFFF"/>
                <w:szCs w:val="18"/>
              </w:rPr>
              <w:t>Male</w:t>
            </w:r>
          </w:p>
        </w:tc>
        <w:tc>
          <w:tcPr>
            <w:tcW w:w="521" w:type="pct"/>
            <w:tcBorders>
              <w:top w:val="nil"/>
              <w:left w:val="nil"/>
              <w:bottom w:val="nil"/>
              <w:right w:val="nil"/>
            </w:tcBorders>
            <w:shd w:val="clear" w:color="000000" w:fill="7A091A"/>
            <w:vAlign w:val="center"/>
            <w:hideMark/>
          </w:tcPr>
          <w:p w14:paraId="151BCDBA" w14:textId="77777777" w:rsidR="00DC6673" w:rsidRPr="00894701" w:rsidRDefault="00DC6673" w:rsidP="00446B8D">
            <w:pPr>
              <w:spacing w:after="0" w:line="240" w:lineRule="auto"/>
              <w:jc w:val="right"/>
              <w:rPr>
                <w:b/>
                <w:bCs/>
                <w:color w:val="FFFFFF"/>
                <w:szCs w:val="18"/>
              </w:rPr>
            </w:pPr>
            <w:r w:rsidRPr="00894701">
              <w:rPr>
                <w:b/>
                <w:bCs/>
                <w:color w:val="FFFFFF"/>
                <w:szCs w:val="18"/>
              </w:rPr>
              <w:t>Female</w:t>
            </w:r>
          </w:p>
        </w:tc>
      </w:tr>
      <w:tr w:rsidR="00170990" w:rsidRPr="00894701" w14:paraId="4BBC4351" w14:textId="77777777" w:rsidTr="00F910F4">
        <w:trPr>
          <w:trHeight w:val="280"/>
        </w:trPr>
        <w:tc>
          <w:tcPr>
            <w:tcW w:w="1797" w:type="pct"/>
            <w:tcBorders>
              <w:top w:val="nil"/>
              <w:left w:val="nil"/>
              <w:bottom w:val="nil"/>
              <w:right w:val="nil"/>
            </w:tcBorders>
            <w:shd w:val="clear" w:color="auto" w:fill="F7A3B0"/>
            <w:noWrap/>
            <w:vAlign w:val="center"/>
            <w:hideMark/>
          </w:tcPr>
          <w:p w14:paraId="0963AA33" w14:textId="77777777" w:rsidR="00170990" w:rsidRPr="00894701" w:rsidRDefault="00170990" w:rsidP="00170990">
            <w:pPr>
              <w:spacing w:after="0" w:line="240" w:lineRule="auto"/>
              <w:rPr>
                <w:color w:val="000000"/>
                <w:szCs w:val="18"/>
              </w:rPr>
            </w:pPr>
            <w:r w:rsidRPr="00894701">
              <w:rPr>
                <w:color w:val="000000"/>
                <w:szCs w:val="18"/>
              </w:rPr>
              <w:t>Oil &amp; Gas(a) (*)</w:t>
            </w:r>
          </w:p>
        </w:tc>
        <w:tc>
          <w:tcPr>
            <w:tcW w:w="545" w:type="pct"/>
            <w:tcBorders>
              <w:top w:val="nil"/>
              <w:left w:val="nil"/>
              <w:bottom w:val="nil"/>
              <w:right w:val="nil"/>
            </w:tcBorders>
            <w:shd w:val="clear" w:color="auto" w:fill="F7A3B0"/>
            <w:noWrap/>
            <w:vAlign w:val="center"/>
            <w:hideMark/>
          </w:tcPr>
          <w:p w14:paraId="4F8529F6" w14:textId="43BDF945" w:rsidR="00170990" w:rsidRPr="00894701" w:rsidRDefault="00170990" w:rsidP="00170990">
            <w:pPr>
              <w:spacing w:after="0" w:line="240" w:lineRule="auto"/>
              <w:jc w:val="right"/>
              <w:rPr>
                <w:color w:val="000000"/>
                <w:szCs w:val="18"/>
              </w:rPr>
            </w:pPr>
            <w:r w:rsidRPr="00894701">
              <w:rPr>
                <w:rFonts w:cs="Arial"/>
                <w:color w:val="000000"/>
                <w:szCs w:val="18"/>
              </w:rPr>
              <w:t>865</w:t>
            </w:r>
          </w:p>
        </w:tc>
        <w:tc>
          <w:tcPr>
            <w:tcW w:w="483" w:type="pct"/>
            <w:tcBorders>
              <w:top w:val="nil"/>
              <w:left w:val="nil"/>
              <w:bottom w:val="nil"/>
              <w:right w:val="nil"/>
            </w:tcBorders>
            <w:shd w:val="clear" w:color="auto" w:fill="F7A3B0"/>
            <w:noWrap/>
            <w:vAlign w:val="center"/>
            <w:hideMark/>
          </w:tcPr>
          <w:p w14:paraId="42A7AE7D" w14:textId="6A10A215" w:rsidR="00170990" w:rsidRPr="00894701" w:rsidRDefault="00170990" w:rsidP="00170990">
            <w:pPr>
              <w:spacing w:after="0" w:line="240" w:lineRule="auto"/>
              <w:jc w:val="right"/>
              <w:rPr>
                <w:color w:val="000000"/>
                <w:szCs w:val="18"/>
              </w:rPr>
            </w:pPr>
            <w:r w:rsidRPr="00894701">
              <w:rPr>
                <w:rFonts w:cs="Arial"/>
                <w:color w:val="000000"/>
                <w:szCs w:val="18"/>
              </w:rPr>
              <w:t>260</w:t>
            </w:r>
          </w:p>
        </w:tc>
        <w:tc>
          <w:tcPr>
            <w:tcW w:w="624" w:type="pct"/>
            <w:tcBorders>
              <w:top w:val="nil"/>
              <w:left w:val="nil"/>
              <w:bottom w:val="nil"/>
              <w:right w:val="nil"/>
            </w:tcBorders>
            <w:shd w:val="clear" w:color="auto" w:fill="F7A3B0"/>
            <w:noWrap/>
            <w:vAlign w:val="center"/>
            <w:hideMark/>
          </w:tcPr>
          <w:p w14:paraId="35DDCF5F" w14:textId="1B26ED8D" w:rsidR="00170990" w:rsidRPr="00894701" w:rsidRDefault="00170990" w:rsidP="00170990">
            <w:pPr>
              <w:spacing w:after="0" w:line="240" w:lineRule="auto"/>
              <w:jc w:val="right"/>
              <w:rPr>
                <w:color w:val="000000"/>
                <w:szCs w:val="18"/>
              </w:rPr>
            </w:pPr>
            <w:r w:rsidRPr="00894701">
              <w:rPr>
                <w:rFonts w:cs="Arial"/>
                <w:color w:val="000000"/>
                <w:szCs w:val="18"/>
              </w:rPr>
              <w:t>879</w:t>
            </w:r>
          </w:p>
        </w:tc>
        <w:tc>
          <w:tcPr>
            <w:tcW w:w="470" w:type="pct"/>
            <w:tcBorders>
              <w:top w:val="nil"/>
              <w:left w:val="nil"/>
              <w:bottom w:val="nil"/>
              <w:right w:val="nil"/>
            </w:tcBorders>
            <w:shd w:val="clear" w:color="auto" w:fill="F7A3B0"/>
            <w:noWrap/>
            <w:vAlign w:val="center"/>
            <w:hideMark/>
          </w:tcPr>
          <w:p w14:paraId="196940D0" w14:textId="3F73FF9B" w:rsidR="00170990" w:rsidRPr="00894701" w:rsidRDefault="00170990" w:rsidP="00170990">
            <w:pPr>
              <w:spacing w:after="0" w:line="240" w:lineRule="auto"/>
              <w:jc w:val="right"/>
              <w:rPr>
                <w:color w:val="000000"/>
                <w:szCs w:val="18"/>
              </w:rPr>
            </w:pPr>
            <w:r w:rsidRPr="00894701">
              <w:rPr>
                <w:rFonts w:cs="Arial"/>
                <w:color w:val="000000"/>
                <w:szCs w:val="18"/>
              </w:rPr>
              <w:t>280</w:t>
            </w:r>
          </w:p>
        </w:tc>
        <w:tc>
          <w:tcPr>
            <w:tcW w:w="560" w:type="pct"/>
            <w:tcBorders>
              <w:top w:val="nil"/>
              <w:left w:val="nil"/>
              <w:bottom w:val="nil"/>
              <w:right w:val="nil"/>
            </w:tcBorders>
            <w:shd w:val="clear" w:color="auto" w:fill="F7A3B0"/>
            <w:noWrap/>
            <w:vAlign w:val="center"/>
            <w:hideMark/>
          </w:tcPr>
          <w:p w14:paraId="75E8221B" w14:textId="6021BECA" w:rsidR="00170990" w:rsidRPr="00894701" w:rsidRDefault="00170990" w:rsidP="00170990">
            <w:pPr>
              <w:spacing w:after="0" w:line="240" w:lineRule="auto"/>
              <w:jc w:val="right"/>
              <w:rPr>
                <w:color w:val="000000"/>
                <w:szCs w:val="18"/>
              </w:rPr>
            </w:pPr>
            <w:r w:rsidRPr="00894701">
              <w:rPr>
                <w:rFonts w:cs="Arial"/>
                <w:color w:val="000000"/>
                <w:szCs w:val="18"/>
              </w:rPr>
              <w:t>863</w:t>
            </w:r>
          </w:p>
        </w:tc>
        <w:tc>
          <w:tcPr>
            <w:tcW w:w="521" w:type="pct"/>
            <w:tcBorders>
              <w:top w:val="nil"/>
              <w:left w:val="nil"/>
              <w:bottom w:val="nil"/>
              <w:right w:val="nil"/>
            </w:tcBorders>
            <w:shd w:val="clear" w:color="auto" w:fill="F7A3B0"/>
            <w:noWrap/>
            <w:vAlign w:val="center"/>
            <w:hideMark/>
          </w:tcPr>
          <w:p w14:paraId="65716F00" w14:textId="09A1314A" w:rsidR="00170990" w:rsidRPr="00894701" w:rsidRDefault="00170990" w:rsidP="00170990">
            <w:pPr>
              <w:spacing w:after="0" w:line="240" w:lineRule="auto"/>
              <w:jc w:val="right"/>
              <w:rPr>
                <w:color w:val="000000"/>
                <w:szCs w:val="18"/>
              </w:rPr>
            </w:pPr>
            <w:r w:rsidRPr="00894701">
              <w:rPr>
                <w:rFonts w:cs="Arial"/>
                <w:color w:val="000000"/>
                <w:szCs w:val="18"/>
              </w:rPr>
              <w:t>276</w:t>
            </w:r>
          </w:p>
        </w:tc>
      </w:tr>
      <w:tr w:rsidR="00170990" w:rsidRPr="00894701" w14:paraId="51A64794" w14:textId="77777777" w:rsidTr="00F910F4">
        <w:trPr>
          <w:trHeight w:val="304"/>
        </w:trPr>
        <w:tc>
          <w:tcPr>
            <w:tcW w:w="1797" w:type="pct"/>
            <w:tcBorders>
              <w:top w:val="nil"/>
              <w:left w:val="nil"/>
              <w:bottom w:val="nil"/>
              <w:right w:val="nil"/>
            </w:tcBorders>
            <w:shd w:val="clear" w:color="auto" w:fill="auto"/>
            <w:vAlign w:val="center"/>
            <w:hideMark/>
          </w:tcPr>
          <w:p w14:paraId="106F5EFC" w14:textId="77777777" w:rsidR="00170990" w:rsidRPr="00894701" w:rsidRDefault="00170990" w:rsidP="00170990">
            <w:pPr>
              <w:spacing w:after="0" w:line="240" w:lineRule="auto"/>
              <w:rPr>
                <w:color w:val="000000"/>
                <w:szCs w:val="18"/>
              </w:rPr>
            </w:pPr>
            <w:r w:rsidRPr="00894701">
              <w:rPr>
                <w:color w:val="000000"/>
                <w:szCs w:val="18"/>
              </w:rPr>
              <w:lastRenderedPageBreak/>
              <w:t>Total Employment in Oil &amp; Gas (b)(*)</w:t>
            </w:r>
          </w:p>
        </w:tc>
        <w:tc>
          <w:tcPr>
            <w:tcW w:w="545" w:type="pct"/>
            <w:tcBorders>
              <w:top w:val="nil"/>
              <w:left w:val="nil"/>
              <w:bottom w:val="nil"/>
              <w:right w:val="nil"/>
            </w:tcBorders>
            <w:shd w:val="clear" w:color="auto" w:fill="auto"/>
            <w:noWrap/>
            <w:vAlign w:val="center"/>
            <w:hideMark/>
          </w:tcPr>
          <w:p w14:paraId="1B9B93E2" w14:textId="77777777" w:rsidR="00170990" w:rsidRPr="00894701" w:rsidRDefault="00170990" w:rsidP="00170990">
            <w:pPr>
              <w:spacing w:after="0" w:line="240" w:lineRule="auto"/>
              <w:jc w:val="right"/>
              <w:rPr>
                <w:color w:val="000000"/>
                <w:szCs w:val="18"/>
              </w:rPr>
            </w:pPr>
          </w:p>
        </w:tc>
        <w:tc>
          <w:tcPr>
            <w:tcW w:w="483" w:type="pct"/>
            <w:tcBorders>
              <w:top w:val="nil"/>
              <w:left w:val="nil"/>
              <w:bottom w:val="nil"/>
              <w:right w:val="nil"/>
            </w:tcBorders>
            <w:shd w:val="clear" w:color="auto" w:fill="auto"/>
            <w:noWrap/>
            <w:vAlign w:val="center"/>
            <w:hideMark/>
          </w:tcPr>
          <w:p w14:paraId="3A8510A1" w14:textId="07EC9890" w:rsidR="00170990" w:rsidRPr="00894701" w:rsidRDefault="00170990" w:rsidP="00170990">
            <w:pPr>
              <w:spacing w:after="0" w:line="240" w:lineRule="auto"/>
              <w:jc w:val="right"/>
              <w:rPr>
                <w:szCs w:val="18"/>
              </w:rPr>
            </w:pPr>
            <w:r w:rsidRPr="00894701">
              <w:rPr>
                <w:rFonts w:cs="Arial"/>
                <w:color w:val="000000"/>
                <w:szCs w:val="18"/>
              </w:rPr>
              <w:t>1,125</w:t>
            </w:r>
          </w:p>
        </w:tc>
        <w:tc>
          <w:tcPr>
            <w:tcW w:w="1094" w:type="pct"/>
            <w:gridSpan w:val="2"/>
            <w:tcBorders>
              <w:top w:val="nil"/>
              <w:left w:val="nil"/>
              <w:bottom w:val="nil"/>
              <w:right w:val="nil"/>
            </w:tcBorders>
            <w:shd w:val="clear" w:color="auto" w:fill="auto"/>
            <w:vAlign w:val="center"/>
            <w:hideMark/>
          </w:tcPr>
          <w:p w14:paraId="1DDBCDED" w14:textId="687299AD" w:rsidR="00170990" w:rsidRPr="00894701" w:rsidRDefault="00820E08" w:rsidP="00170990">
            <w:pPr>
              <w:spacing w:after="0" w:line="240" w:lineRule="auto"/>
              <w:jc w:val="right"/>
              <w:rPr>
                <w:color w:val="000000"/>
                <w:szCs w:val="18"/>
              </w:rPr>
            </w:pPr>
            <w:r w:rsidRPr="00894701">
              <w:rPr>
                <w:color w:val="000000"/>
                <w:szCs w:val="18"/>
              </w:rPr>
              <w:t>1</w:t>
            </w:r>
            <w:r w:rsidR="009C1AD0">
              <w:rPr>
                <w:color w:val="000000"/>
                <w:szCs w:val="18"/>
              </w:rPr>
              <w:t>,</w:t>
            </w:r>
            <w:r w:rsidRPr="00894701">
              <w:rPr>
                <w:color w:val="000000"/>
                <w:szCs w:val="18"/>
              </w:rPr>
              <w:t>159</w:t>
            </w:r>
          </w:p>
        </w:tc>
        <w:tc>
          <w:tcPr>
            <w:tcW w:w="1081" w:type="pct"/>
            <w:gridSpan w:val="2"/>
            <w:tcBorders>
              <w:top w:val="nil"/>
              <w:left w:val="nil"/>
              <w:bottom w:val="nil"/>
              <w:right w:val="nil"/>
            </w:tcBorders>
            <w:shd w:val="clear" w:color="auto" w:fill="auto"/>
            <w:vAlign w:val="center"/>
            <w:hideMark/>
          </w:tcPr>
          <w:p w14:paraId="1477C3FC" w14:textId="6B2E9361" w:rsidR="00170990" w:rsidRPr="00894701" w:rsidRDefault="00170990" w:rsidP="00170990">
            <w:pPr>
              <w:spacing w:after="0" w:line="240" w:lineRule="auto"/>
              <w:jc w:val="right"/>
              <w:rPr>
                <w:color w:val="000000"/>
                <w:szCs w:val="18"/>
              </w:rPr>
            </w:pPr>
            <w:r w:rsidRPr="00894701">
              <w:rPr>
                <w:rFonts w:cs="Arial"/>
                <w:color w:val="000000"/>
                <w:szCs w:val="18"/>
              </w:rPr>
              <w:t>1,1</w:t>
            </w:r>
            <w:r w:rsidR="00820E08" w:rsidRPr="00894701">
              <w:rPr>
                <w:rFonts w:cs="Arial"/>
                <w:color w:val="000000"/>
                <w:szCs w:val="18"/>
              </w:rPr>
              <w:t>3</w:t>
            </w:r>
            <w:r w:rsidRPr="00894701">
              <w:rPr>
                <w:rFonts w:cs="Arial"/>
                <w:color w:val="000000"/>
                <w:szCs w:val="18"/>
              </w:rPr>
              <w:t>9</w:t>
            </w:r>
          </w:p>
        </w:tc>
      </w:tr>
      <w:tr w:rsidR="00170990" w:rsidRPr="00894701" w14:paraId="014224BF" w14:textId="77777777" w:rsidTr="00446B8D">
        <w:trPr>
          <w:trHeight w:val="270"/>
        </w:trPr>
        <w:tc>
          <w:tcPr>
            <w:tcW w:w="1797" w:type="pct"/>
            <w:tcBorders>
              <w:top w:val="nil"/>
              <w:left w:val="nil"/>
              <w:bottom w:val="nil"/>
              <w:right w:val="nil"/>
            </w:tcBorders>
            <w:shd w:val="clear" w:color="000000" w:fill="808080"/>
            <w:vAlign w:val="center"/>
            <w:hideMark/>
          </w:tcPr>
          <w:p w14:paraId="7314D8F9" w14:textId="77777777" w:rsidR="00170990" w:rsidRPr="00894701" w:rsidRDefault="00170990" w:rsidP="00170990">
            <w:pPr>
              <w:spacing w:after="0" w:line="240" w:lineRule="auto"/>
              <w:rPr>
                <w:b/>
                <w:bCs/>
                <w:color w:val="FFFFFF"/>
                <w:szCs w:val="18"/>
              </w:rPr>
            </w:pPr>
            <w:r w:rsidRPr="00894701">
              <w:rPr>
                <w:b/>
                <w:bCs/>
                <w:color w:val="FFFFFF"/>
                <w:szCs w:val="18"/>
              </w:rPr>
              <w:t>% Contribution (b)/(c )</w:t>
            </w:r>
          </w:p>
        </w:tc>
        <w:tc>
          <w:tcPr>
            <w:tcW w:w="545" w:type="pct"/>
            <w:tcBorders>
              <w:top w:val="nil"/>
              <w:left w:val="nil"/>
              <w:bottom w:val="nil"/>
              <w:right w:val="nil"/>
            </w:tcBorders>
            <w:shd w:val="clear" w:color="000000" w:fill="808080"/>
            <w:vAlign w:val="center"/>
            <w:hideMark/>
          </w:tcPr>
          <w:p w14:paraId="01D4AAFE" w14:textId="357657E7" w:rsidR="00170990" w:rsidRPr="00894701" w:rsidRDefault="00170990" w:rsidP="00170990">
            <w:pPr>
              <w:spacing w:after="0" w:line="240" w:lineRule="auto"/>
              <w:jc w:val="right"/>
              <w:rPr>
                <w:b/>
                <w:bCs/>
                <w:color w:val="FFFFFF"/>
                <w:szCs w:val="18"/>
              </w:rPr>
            </w:pPr>
            <w:r w:rsidRPr="00894701">
              <w:rPr>
                <w:rFonts w:cs="Arial"/>
                <w:b/>
                <w:bCs/>
                <w:color w:val="FFFFFF"/>
                <w:szCs w:val="18"/>
              </w:rPr>
              <w:t>0.37%</w:t>
            </w:r>
          </w:p>
        </w:tc>
        <w:tc>
          <w:tcPr>
            <w:tcW w:w="483" w:type="pct"/>
            <w:tcBorders>
              <w:top w:val="nil"/>
              <w:left w:val="nil"/>
              <w:bottom w:val="nil"/>
              <w:right w:val="nil"/>
            </w:tcBorders>
            <w:shd w:val="clear" w:color="000000" w:fill="808080"/>
            <w:vAlign w:val="center"/>
            <w:hideMark/>
          </w:tcPr>
          <w:p w14:paraId="56B0805A" w14:textId="08C4BF8C" w:rsidR="00170990" w:rsidRPr="00894701" w:rsidRDefault="00170990" w:rsidP="00170990">
            <w:pPr>
              <w:spacing w:after="0" w:line="240" w:lineRule="auto"/>
              <w:jc w:val="right"/>
              <w:rPr>
                <w:b/>
                <w:bCs/>
                <w:color w:val="FFFFFF"/>
                <w:szCs w:val="18"/>
              </w:rPr>
            </w:pPr>
            <w:r w:rsidRPr="00894701">
              <w:rPr>
                <w:rFonts w:cs="Arial"/>
                <w:b/>
                <w:bCs/>
                <w:color w:val="FFFFFF"/>
                <w:szCs w:val="18"/>
              </w:rPr>
              <w:t> </w:t>
            </w:r>
          </w:p>
        </w:tc>
        <w:tc>
          <w:tcPr>
            <w:tcW w:w="624" w:type="pct"/>
            <w:tcBorders>
              <w:top w:val="nil"/>
              <w:left w:val="nil"/>
              <w:bottom w:val="nil"/>
              <w:right w:val="nil"/>
            </w:tcBorders>
            <w:shd w:val="clear" w:color="000000" w:fill="808080"/>
            <w:vAlign w:val="center"/>
            <w:hideMark/>
          </w:tcPr>
          <w:p w14:paraId="4C38F1BC" w14:textId="7EF5221E" w:rsidR="00170990" w:rsidRPr="00894701" w:rsidRDefault="00170990" w:rsidP="00170990">
            <w:pPr>
              <w:spacing w:after="0" w:line="240" w:lineRule="auto"/>
              <w:jc w:val="right"/>
              <w:rPr>
                <w:b/>
                <w:bCs/>
                <w:color w:val="FFFFFF"/>
                <w:szCs w:val="18"/>
              </w:rPr>
            </w:pPr>
            <w:r w:rsidRPr="00894701">
              <w:rPr>
                <w:rFonts w:cs="Arial"/>
                <w:b/>
                <w:bCs/>
                <w:color w:val="FFFFFF"/>
                <w:szCs w:val="18"/>
              </w:rPr>
              <w:t>0.38%</w:t>
            </w:r>
          </w:p>
        </w:tc>
        <w:tc>
          <w:tcPr>
            <w:tcW w:w="470" w:type="pct"/>
            <w:tcBorders>
              <w:top w:val="nil"/>
              <w:left w:val="nil"/>
              <w:bottom w:val="nil"/>
              <w:right w:val="nil"/>
            </w:tcBorders>
            <w:shd w:val="clear" w:color="000000" w:fill="808080"/>
            <w:vAlign w:val="center"/>
            <w:hideMark/>
          </w:tcPr>
          <w:p w14:paraId="3F9E9F80" w14:textId="1D2AC4F3" w:rsidR="00170990" w:rsidRPr="00894701" w:rsidRDefault="00170990" w:rsidP="00170990">
            <w:pPr>
              <w:spacing w:after="0" w:line="240" w:lineRule="auto"/>
              <w:jc w:val="right"/>
              <w:rPr>
                <w:b/>
                <w:bCs/>
                <w:color w:val="FFFFFF"/>
                <w:szCs w:val="18"/>
              </w:rPr>
            </w:pPr>
            <w:r w:rsidRPr="00894701">
              <w:rPr>
                <w:rFonts w:cs="Arial"/>
                <w:b/>
                <w:bCs/>
                <w:color w:val="FFFFFF"/>
                <w:szCs w:val="18"/>
              </w:rPr>
              <w:t> </w:t>
            </w:r>
          </w:p>
        </w:tc>
        <w:tc>
          <w:tcPr>
            <w:tcW w:w="560" w:type="pct"/>
            <w:tcBorders>
              <w:top w:val="nil"/>
              <w:left w:val="nil"/>
              <w:bottom w:val="nil"/>
              <w:right w:val="nil"/>
            </w:tcBorders>
            <w:shd w:val="clear" w:color="000000" w:fill="808080"/>
            <w:vAlign w:val="center"/>
            <w:hideMark/>
          </w:tcPr>
          <w:p w14:paraId="4359C20C" w14:textId="5A6A9228" w:rsidR="00170990" w:rsidRPr="00894701" w:rsidRDefault="00170990" w:rsidP="00170990">
            <w:pPr>
              <w:spacing w:after="0" w:line="240" w:lineRule="auto"/>
              <w:jc w:val="right"/>
              <w:rPr>
                <w:b/>
                <w:bCs/>
                <w:color w:val="FFFFFF"/>
                <w:szCs w:val="18"/>
              </w:rPr>
            </w:pPr>
            <w:r w:rsidRPr="00894701">
              <w:rPr>
                <w:rFonts w:cs="Arial"/>
                <w:b/>
                <w:bCs/>
                <w:color w:val="FFFFFF"/>
                <w:szCs w:val="18"/>
              </w:rPr>
              <w:t>0.38%</w:t>
            </w:r>
          </w:p>
        </w:tc>
        <w:tc>
          <w:tcPr>
            <w:tcW w:w="521" w:type="pct"/>
            <w:tcBorders>
              <w:top w:val="nil"/>
              <w:left w:val="nil"/>
              <w:bottom w:val="nil"/>
              <w:right w:val="nil"/>
            </w:tcBorders>
            <w:shd w:val="clear" w:color="000000" w:fill="808080"/>
            <w:vAlign w:val="center"/>
            <w:hideMark/>
          </w:tcPr>
          <w:p w14:paraId="65762A50" w14:textId="4575EB49" w:rsidR="00170990" w:rsidRPr="00894701" w:rsidRDefault="00170990" w:rsidP="00170990">
            <w:pPr>
              <w:spacing w:after="0" w:line="240" w:lineRule="auto"/>
              <w:jc w:val="right"/>
              <w:rPr>
                <w:b/>
                <w:bCs/>
                <w:color w:val="FFFFFF"/>
                <w:szCs w:val="18"/>
              </w:rPr>
            </w:pPr>
            <w:r w:rsidRPr="00894701">
              <w:rPr>
                <w:rFonts w:cs="Arial"/>
                <w:b/>
                <w:bCs/>
                <w:color w:val="FFFFFF"/>
                <w:szCs w:val="18"/>
              </w:rPr>
              <w:t> </w:t>
            </w:r>
          </w:p>
        </w:tc>
      </w:tr>
      <w:tr w:rsidR="00170990" w:rsidRPr="00894701" w14:paraId="6D622684" w14:textId="77777777" w:rsidTr="00446B8D">
        <w:trPr>
          <w:trHeight w:val="44"/>
        </w:trPr>
        <w:tc>
          <w:tcPr>
            <w:tcW w:w="1797" w:type="pct"/>
            <w:tcBorders>
              <w:top w:val="nil"/>
              <w:left w:val="nil"/>
              <w:bottom w:val="nil"/>
              <w:right w:val="nil"/>
            </w:tcBorders>
            <w:shd w:val="clear" w:color="auto" w:fill="auto"/>
            <w:vAlign w:val="center"/>
          </w:tcPr>
          <w:p w14:paraId="61885328" w14:textId="77777777" w:rsidR="00170990" w:rsidRPr="00894701" w:rsidRDefault="00170990" w:rsidP="00170990">
            <w:pPr>
              <w:spacing w:after="0" w:line="240" w:lineRule="auto"/>
              <w:rPr>
                <w:b/>
                <w:bCs/>
                <w:color w:val="000000"/>
                <w:sz w:val="2"/>
                <w:szCs w:val="2"/>
              </w:rPr>
            </w:pPr>
          </w:p>
        </w:tc>
        <w:tc>
          <w:tcPr>
            <w:tcW w:w="545" w:type="pct"/>
            <w:tcBorders>
              <w:top w:val="nil"/>
              <w:left w:val="nil"/>
              <w:bottom w:val="nil"/>
              <w:right w:val="nil"/>
            </w:tcBorders>
            <w:shd w:val="clear" w:color="auto" w:fill="auto"/>
            <w:noWrap/>
            <w:vAlign w:val="center"/>
          </w:tcPr>
          <w:p w14:paraId="45EAFFF9" w14:textId="77777777" w:rsidR="00170990" w:rsidRPr="00894701" w:rsidRDefault="00170990" w:rsidP="00170990">
            <w:pPr>
              <w:spacing w:after="0" w:line="240" w:lineRule="auto"/>
              <w:jc w:val="right"/>
              <w:rPr>
                <w:b/>
                <w:bCs/>
                <w:color w:val="000000"/>
                <w:sz w:val="2"/>
                <w:szCs w:val="2"/>
              </w:rPr>
            </w:pPr>
          </w:p>
        </w:tc>
        <w:tc>
          <w:tcPr>
            <w:tcW w:w="483" w:type="pct"/>
            <w:tcBorders>
              <w:top w:val="nil"/>
              <w:left w:val="nil"/>
              <w:bottom w:val="nil"/>
              <w:right w:val="nil"/>
            </w:tcBorders>
            <w:shd w:val="clear" w:color="auto" w:fill="auto"/>
            <w:noWrap/>
            <w:vAlign w:val="center"/>
          </w:tcPr>
          <w:p w14:paraId="636ABB9C" w14:textId="77777777" w:rsidR="00170990" w:rsidRPr="00894701" w:rsidRDefault="00170990" w:rsidP="00170990">
            <w:pPr>
              <w:spacing w:after="0" w:line="240" w:lineRule="auto"/>
              <w:jc w:val="right"/>
              <w:rPr>
                <w:b/>
                <w:bCs/>
                <w:color w:val="000000"/>
                <w:sz w:val="2"/>
                <w:szCs w:val="2"/>
              </w:rPr>
            </w:pPr>
          </w:p>
        </w:tc>
        <w:tc>
          <w:tcPr>
            <w:tcW w:w="624" w:type="pct"/>
            <w:tcBorders>
              <w:top w:val="nil"/>
              <w:left w:val="nil"/>
              <w:bottom w:val="nil"/>
              <w:right w:val="nil"/>
            </w:tcBorders>
            <w:shd w:val="clear" w:color="auto" w:fill="auto"/>
            <w:noWrap/>
            <w:vAlign w:val="center"/>
          </w:tcPr>
          <w:p w14:paraId="10AC4CCE" w14:textId="77777777" w:rsidR="00170990" w:rsidRPr="00894701" w:rsidRDefault="00170990" w:rsidP="00170990">
            <w:pPr>
              <w:spacing w:after="0" w:line="240" w:lineRule="auto"/>
              <w:jc w:val="right"/>
              <w:rPr>
                <w:b/>
                <w:bCs/>
                <w:color w:val="000000"/>
                <w:sz w:val="2"/>
                <w:szCs w:val="2"/>
              </w:rPr>
            </w:pPr>
          </w:p>
        </w:tc>
        <w:tc>
          <w:tcPr>
            <w:tcW w:w="470" w:type="pct"/>
            <w:tcBorders>
              <w:top w:val="nil"/>
              <w:left w:val="nil"/>
              <w:bottom w:val="nil"/>
              <w:right w:val="nil"/>
            </w:tcBorders>
            <w:shd w:val="clear" w:color="auto" w:fill="auto"/>
            <w:noWrap/>
            <w:vAlign w:val="center"/>
          </w:tcPr>
          <w:p w14:paraId="3D0B3B5A" w14:textId="77777777" w:rsidR="00170990" w:rsidRPr="00894701" w:rsidRDefault="00170990" w:rsidP="00170990">
            <w:pPr>
              <w:spacing w:after="0" w:line="240" w:lineRule="auto"/>
              <w:jc w:val="right"/>
              <w:rPr>
                <w:b/>
                <w:bCs/>
                <w:color w:val="000000"/>
                <w:sz w:val="2"/>
                <w:szCs w:val="2"/>
              </w:rPr>
            </w:pPr>
          </w:p>
        </w:tc>
        <w:tc>
          <w:tcPr>
            <w:tcW w:w="560" w:type="pct"/>
            <w:tcBorders>
              <w:top w:val="nil"/>
              <w:left w:val="nil"/>
              <w:bottom w:val="nil"/>
              <w:right w:val="nil"/>
            </w:tcBorders>
            <w:shd w:val="clear" w:color="auto" w:fill="auto"/>
            <w:noWrap/>
            <w:vAlign w:val="center"/>
          </w:tcPr>
          <w:p w14:paraId="72F0AE3B" w14:textId="77777777" w:rsidR="00170990" w:rsidRPr="00894701" w:rsidRDefault="00170990" w:rsidP="00170990">
            <w:pPr>
              <w:spacing w:after="0" w:line="240" w:lineRule="auto"/>
              <w:jc w:val="right"/>
              <w:rPr>
                <w:b/>
                <w:bCs/>
                <w:color w:val="000000"/>
                <w:sz w:val="2"/>
                <w:szCs w:val="2"/>
              </w:rPr>
            </w:pPr>
          </w:p>
        </w:tc>
        <w:tc>
          <w:tcPr>
            <w:tcW w:w="521" w:type="pct"/>
            <w:tcBorders>
              <w:top w:val="nil"/>
              <w:left w:val="nil"/>
              <w:bottom w:val="nil"/>
              <w:right w:val="nil"/>
            </w:tcBorders>
            <w:shd w:val="clear" w:color="auto" w:fill="auto"/>
            <w:noWrap/>
            <w:vAlign w:val="center"/>
          </w:tcPr>
          <w:p w14:paraId="1658F2AA" w14:textId="77777777" w:rsidR="00170990" w:rsidRPr="00894701" w:rsidRDefault="00170990" w:rsidP="00170990">
            <w:pPr>
              <w:spacing w:after="0" w:line="240" w:lineRule="auto"/>
              <w:jc w:val="right"/>
              <w:rPr>
                <w:b/>
                <w:bCs/>
                <w:color w:val="000000"/>
                <w:sz w:val="2"/>
                <w:szCs w:val="2"/>
              </w:rPr>
            </w:pPr>
          </w:p>
        </w:tc>
      </w:tr>
      <w:tr w:rsidR="00170990" w:rsidRPr="00894701" w14:paraId="3462A03A" w14:textId="77777777" w:rsidTr="00446B8D">
        <w:trPr>
          <w:trHeight w:val="141"/>
        </w:trPr>
        <w:tc>
          <w:tcPr>
            <w:tcW w:w="1797" w:type="pct"/>
            <w:tcBorders>
              <w:top w:val="nil"/>
              <w:left w:val="nil"/>
              <w:bottom w:val="nil"/>
              <w:right w:val="nil"/>
            </w:tcBorders>
            <w:shd w:val="clear" w:color="000000" w:fill="A6A6A6"/>
            <w:vAlign w:val="center"/>
            <w:hideMark/>
          </w:tcPr>
          <w:p w14:paraId="696C9016" w14:textId="77777777" w:rsidR="00170990" w:rsidRPr="00894701" w:rsidRDefault="00170990" w:rsidP="00170990">
            <w:pPr>
              <w:spacing w:after="0" w:line="240" w:lineRule="auto"/>
              <w:jc w:val="right"/>
              <w:rPr>
                <w:b/>
                <w:bCs/>
                <w:color w:val="000000"/>
                <w:szCs w:val="18"/>
              </w:rPr>
            </w:pPr>
            <w:r w:rsidRPr="00894701">
              <w:rPr>
                <w:b/>
                <w:bCs/>
                <w:color w:val="000000"/>
                <w:szCs w:val="18"/>
              </w:rPr>
              <w:t xml:space="preserve"> Total Employment </w:t>
            </w:r>
            <w:r w:rsidRPr="00894701">
              <w:rPr>
                <w:b/>
                <w:bCs/>
                <w:color w:val="000000"/>
                <w:szCs w:val="18"/>
              </w:rPr>
              <w:br/>
              <w:t xml:space="preserve">(c) = (d)x(e) </w:t>
            </w:r>
          </w:p>
        </w:tc>
        <w:tc>
          <w:tcPr>
            <w:tcW w:w="545" w:type="pct"/>
            <w:tcBorders>
              <w:top w:val="nil"/>
              <w:left w:val="nil"/>
              <w:bottom w:val="nil"/>
              <w:right w:val="nil"/>
            </w:tcBorders>
            <w:shd w:val="clear" w:color="000000" w:fill="A6A6A6"/>
            <w:noWrap/>
            <w:vAlign w:val="center"/>
            <w:hideMark/>
          </w:tcPr>
          <w:p w14:paraId="04E078D5" w14:textId="57D038CB" w:rsidR="00170990" w:rsidRPr="00894701" w:rsidRDefault="00170990" w:rsidP="00170990">
            <w:pPr>
              <w:spacing w:after="0" w:line="240" w:lineRule="auto"/>
              <w:jc w:val="right"/>
              <w:rPr>
                <w:b/>
                <w:bCs/>
                <w:color w:val="000000"/>
                <w:szCs w:val="18"/>
              </w:rPr>
            </w:pPr>
            <w:r w:rsidRPr="00894701">
              <w:rPr>
                <w:rFonts w:cs="Arial"/>
                <w:b/>
                <w:bCs/>
                <w:color w:val="000000"/>
                <w:szCs w:val="18"/>
              </w:rPr>
              <w:t>305,436</w:t>
            </w:r>
          </w:p>
        </w:tc>
        <w:tc>
          <w:tcPr>
            <w:tcW w:w="483" w:type="pct"/>
            <w:tcBorders>
              <w:top w:val="nil"/>
              <w:left w:val="nil"/>
              <w:bottom w:val="nil"/>
              <w:right w:val="nil"/>
            </w:tcBorders>
            <w:shd w:val="clear" w:color="000000" w:fill="A6A6A6"/>
            <w:noWrap/>
            <w:vAlign w:val="center"/>
            <w:hideMark/>
          </w:tcPr>
          <w:p w14:paraId="328838E1" w14:textId="6A1FA573" w:rsidR="00170990" w:rsidRPr="00894701" w:rsidRDefault="00170990" w:rsidP="00170990">
            <w:pPr>
              <w:spacing w:after="0" w:line="240" w:lineRule="auto"/>
              <w:jc w:val="right"/>
              <w:rPr>
                <w:b/>
                <w:bCs/>
                <w:color w:val="000000"/>
                <w:szCs w:val="18"/>
              </w:rPr>
            </w:pPr>
            <w:r w:rsidRPr="00894701">
              <w:rPr>
                <w:rFonts w:cs="Arial"/>
                <w:b/>
                <w:bCs/>
                <w:color w:val="000000"/>
                <w:szCs w:val="18"/>
              </w:rPr>
              <w:t> </w:t>
            </w:r>
          </w:p>
        </w:tc>
        <w:tc>
          <w:tcPr>
            <w:tcW w:w="624" w:type="pct"/>
            <w:tcBorders>
              <w:top w:val="nil"/>
              <w:left w:val="nil"/>
              <w:bottom w:val="nil"/>
              <w:right w:val="nil"/>
            </w:tcBorders>
            <w:shd w:val="clear" w:color="000000" w:fill="A6A6A6"/>
            <w:noWrap/>
            <w:vAlign w:val="center"/>
            <w:hideMark/>
          </w:tcPr>
          <w:p w14:paraId="2EFADDBD" w14:textId="5B1B2795" w:rsidR="00170990" w:rsidRPr="00894701" w:rsidRDefault="00170990" w:rsidP="00170990">
            <w:pPr>
              <w:spacing w:after="0" w:line="240" w:lineRule="auto"/>
              <w:jc w:val="right"/>
              <w:rPr>
                <w:b/>
                <w:bCs/>
                <w:color w:val="000000"/>
                <w:szCs w:val="18"/>
              </w:rPr>
            </w:pPr>
            <w:r w:rsidRPr="00894701">
              <w:rPr>
                <w:rFonts w:cs="Arial"/>
                <w:b/>
                <w:bCs/>
                <w:color w:val="000000"/>
                <w:szCs w:val="18"/>
              </w:rPr>
              <w:t>308,747</w:t>
            </w:r>
          </w:p>
        </w:tc>
        <w:tc>
          <w:tcPr>
            <w:tcW w:w="470" w:type="pct"/>
            <w:tcBorders>
              <w:top w:val="nil"/>
              <w:left w:val="nil"/>
              <w:bottom w:val="nil"/>
              <w:right w:val="nil"/>
            </w:tcBorders>
            <w:shd w:val="clear" w:color="000000" w:fill="A6A6A6"/>
            <w:noWrap/>
            <w:vAlign w:val="center"/>
            <w:hideMark/>
          </w:tcPr>
          <w:p w14:paraId="691978DE" w14:textId="3BCA742B" w:rsidR="00170990" w:rsidRPr="00894701" w:rsidRDefault="00170990" w:rsidP="00170990">
            <w:pPr>
              <w:spacing w:after="0" w:line="240" w:lineRule="auto"/>
              <w:jc w:val="right"/>
              <w:rPr>
                <w:b/>
                <w:bCs/>
                <w:color w:val="000000"/>
                <w:szCs w:val="18"/>
              </w:rPr>
            </w:pPr>
            <w:r w:rsidRPr="00894701">
              <w:rPr>
                <w:rFonts w:cs="Arial"/>
                <w:b/>
                <w:bCs/>
                <w:color w:val="000000"/>
                <w:szCs w:val="18"/>
              </w:rPr>
              <w:t> </w:t>
            </w:r>
          </w:p>
        </w:tc>
        <w:tc>
          <w:tcPr>
            <w:tcW w:w="560" w:type="pct"/>
            <w:tcBorders>
              <w:top w:val="nil"/>
              <w:left w:val="nil"/>
              <w:bottom w:val="nil"/>
              <w:right w:val="nil"/>
            </w:tcBorders>
            <w:shd w:val="clear" w:color="000000" w:fill="A6A6A6"/>
            <w:noWrap/>
            <w:vAlign w:val="center"/>
            <w:hideMark/>
          </w:tcPr>
          <w:p w14:paraId="113EDB5B" w14:textId="1C82837F" w:rsidR="00170990" w:rsidRPr="00894701" w:rsidRDefault="00170990" w:rsidP="00170990">
            <w:pPr>
              <w:spacing w:after="0" w:line="240" w:lineRule="auto"/>
              <w:jc w:val="right"/>
              <w:rPr>
                <w:b/>
                <w:bCs/>
                <w:color w:val="000000"/>
                <w:szCs w:val="18"/>
              </w:rPr>
            </w:pPr>
            <w:r w:rsidRPr="00894701">
              <w:rPr>
                <w:rFonts w:cs="Arial"/>
                <w:b/>
                <w:bCs/>
                <w:color w:val="000000"/>
                <w:szCs w:val="18"/>
              </w:rPr>
              <w:t>298,491</w:t>
            </w:r>
          </w:p>
        </w:tc>
        <w:tc>
          <w:tcPr>
            <w:tcW w:w="521" w:type="pct"/>
            <w:tcBorders>
              <w:top w:val="nil"/>
              <w:left w:val="nil"/>
              <w:bottom w:val="nil"/>
              <w:right w:val="nil"/>
            </w:tcBorders>
            <w:shd w:val="clear" w:color="000000" w:fill="A6A6A6"/>
            <w:noWrap/>
            <w:vAlign w:val="center"/>
            <w:hideMark/>
          </w:tcPr>
          <w:p w14:paraId="3371EB74" w14:textId="60D764D2" w:rsidR="00170990" w:rsidRPr="00894701" w:rsidRDefault="00170990" w:rsidP="00170990">
            <w:pPr>
              <w:spacing w:after="0" w:line="240" w:lineRule="auto"/>
              <w:jc w:val="right"/>
              <w:rPr>
                <w:b/>
                <w:bCs/>
                <w:color w:val="000000"/>
                <w:szCs w:val="18"/>
              </w:rPr>
            </w:pPr>
            <w:r w:rsidRPr="00894701">
              <w:rPr>
                <w:rFonts w:cs="Arial"/>
                <w:b/>
                <w:bCs/>
                <w:color w:val="000000"/>
                <w:szCs w:val="18"/>
              </w:rPr>
              <w:t> </w:t>
            </w:r>
          </w:p>
        </w:tc>
      </w:tr>
      <w:tr w:rsidR="00170990" w:rsidRPr="00894701" w14:paraId="0FBD88DE" w14:textId="77777777" w:rsidTr="00446B8D">
        <w:trPr>
          <w:trHeight w:val="270"/>
        </w:trPr>
        <w:tc>
          <w:tcPr>
            <w:tcW w:w="1797" w:type="pct"/>
            <w:tcBorders>
              <w:top w:val="nil"/>
              <w:left w:val="nil"/>
              <w:bottom w:val="nil"/>
              <w:right w:val="nil"/>
            </w:tcBorders>
            <w:shd w:val="clear" w:color="auto" w:fill="auto"/>
            <w:vAlign w:val="center"/>
            <w:hideMark/>
          </w:tcPr>
          <w:p w14:paraId="46A997CD" w14:textId="7D56AB3B" w:rsidR="00170990" w:rsidRPr="00894701" w:rsidRDefault="00170990" w:rsidP="00170990">
            <w:pPr>
              <w:spacing w:after="0" w:line="240" w:lineRule="auto"/>
              <w:jc w:val="right"/>
              <w:rPr>
                <w:color w:val="auto"/>
                <w:szCs w:val="18"/>
              </w:rPr>
            </w:pPr>
            <w:r w:rsidRPr="00894701">
              <w:rPr>
                <w:color w:val="auto"/>
                <w:szCs w:val="18"/>
              </w:rPr>
              <w:t>Employment % (d) (**)</w:t>
            </w:r>
          </w:p>
        </w:tc>
        <w:tc>
          <w:tcPr>
            <w:tcW w:w="545" w:type="pct"/>
            <w:tcBorders>
              <w:top w:val="nil"/>
              <w:left w:val="nil"/>
              <w:bottom w:val="nil"/>
              <w:right w:val="nil"/>
            </w:tcBorders>
            <w:shd w:val="clear" w:color="auto" w:fill="auto"/>
            <w:vAlign w:val="center"/>
            <w:hideMark/>
          </w:tcPr>
          <w:p w14:paraId="73317F4B" w14:textId="77777777" w:rsidR="00170990" w:rsidRPr="00894701" w:rsidRDefault="00170990" w:rsidP="00170990">
            <w:pPr>
              <w:spacing w:after="0" w:line="240" w:lineRule="auto"/>
              <w:jc w:val="right"/>
              <w:rPr>
                <w:color w:val="auto"/>
                <w:szCs w:val="18"/>
              </w:rPr>
            </w:pPr>
            <w:r w:rsidRPr="00894701">
              <w:rPr>
                <w:color w:val="auto"/>
                <w:szCs w:val="18"/>
              </w:rPr>
              <w:t>51.76%</w:t>
            </w:r>
          </w:p>
        </w:tc>
        <w:tc>
          <w:tcPr>
            <w:tcW w:w="483" w:type="pct"/>
            <w:tcBorders>
              <w:top w:val="nil"/>
              <w:left w:val="nil"/>
              <w:bottom w:val="nil"/>
              <w:right w:val="nil"/>
            </w:tcBorders>
            <w:shd w:val="clear" w:color="auto" w:fill="auto"/>
            <w:vAlign w:val="center"/>
            <w:hideMark/>
          </w:tcPr>
          <w:p w14:paraId="4CED48B2" w14:textId="77777777" w:rsidR="00170990" w:rsidRPr="00894701" w:rsidRDefault="00170990" w:rsidP="00170990">
            <w:pPr>
              <w:spacing w:after="0" w:line="240" w:lineRule="auto"/>
              <w:jc w:val="right"/>
              <w:rPr>
                <w:color w:val="auto"/>
                <w:szCs w:val="18"/>
              </w:rPr>
            </w:pPr>
            <w:r w:rsidRPr="00894701">
              <w:rPr>
                <w:color w:val="auto"/>
                <w:szCs w:val="18"/>
              </w:rPr>
              <w:t> </w:t>
            </w:r>
          </w:p>
        </w:tc>
        <w:tc>
          <w:tcPr>
            <w:tcW w:w="624" w:type="pct"/>
            <w:tcBorders>
              <w:top w:val="nil"/>
              <w:left w:val="nil"/>
              <w:bottom w:val="nil"/>
              <w:right w:val="nil"/>
            </w:tcBorders>
            <w:shd w:val="clear" w:color="auto" w:fill="auto"/>
            <w:vAlign w:val="center"/>
            <w:hideMark/>
          </w:tcPr>
          <w:p w14:paraId="460AB698" w14:textId="77777777" w:rsidR="00170990" w:rsidRPr="00894701" w:rsidRDefault="00170990" w:rsidP="00170990">
            <w:pPr>
              <w:spacing w:after="0" w:line="240" w:lineRule="auto"/>
              <w:jc w:val="right"/>
              <w:rPr>
                <w:color w:val="auto"/>
                <w:szCs w:val="18"/>
              </w:rPr>
            </w:pPr>
            <w:r w:rsidRPr="00894701">
              <w:rPr>
                <w:color w:val="auto"/>
                <w:szCs w:val="18"/>
              </w:rPr>
              <w:t>51.63%</w:t>
            </w:r>
          </w:p>
        </w:tc>
        <w:tc>
          <w:tcPr>
            <w:tcW w:w="470" w:type="pct"/>
            <w:tcBorders>
              <w:top w:val="nil"/>
              <w:left w:val="nil"/>
              <w:bottom w:val="nil"/>
              <w:right w:val="nil"/>
            </w:tcBorders>
            <w:shd w:val="clear" w:color="auto" w:fill="auto"/>
            <w:vAlign w:val="center"/>
            <w:hideMark/>
          </w:tcPr>
          <w:p w14:paraId="240BCE92" w14:textId="77777777" w:rsidR="00170990" w:rsidRPr="00894701" w:rsidRDefault="00170990" w:rsidP="00170990">
            <w:pPr>
              <w:spacing w:after="0" w:line="240" w:lineRule="auto"/>
              <w:jc w:val="right"/>
              <w:rPr>
                <w:color w:val="auto"/>
                <w:szCs w:val="18"/>
              </w:rPr>
            </w:pPr>
            <w:r w:rsidRPr="00894701">
              <w:rPr>
                <w:color w:val="auto"/>
                <w:szCs w:val="18"/>
              </w:rPr>
              <w:t> </w:t>
            </w:r>
          </w:p>
        </w:tc>
        <w:tc>
          <w:tcPr>
            <w:tcW w:w="560" w:type="pct"/>
            <w:tcBorders>
              <w:top w:val="nil"/>
              <w:left w:val="nil"/>
              <w:bottom w:val="nil"/>
              <w:right w:val="nil"/>
            </w:tcBorders>
            <w:shd w:val="clear" w:color="auto" w:fill="auto"/>
            <w:vAlign w:val="center"/>
            <w:hideMark/>
          </w:tcPr>
          <w:p w14:paraId="74007959" w14:textId="59AF3CE2" w:rsidR="00170990" w:rsidRPr="00894701" w:rsidRDefault="00170990" w:rsidP="00170990">
            <w:pPr>
              <w:spacing w:after="0" w:line="240" w:lineRule="auto"/>
              <w:jc w:val="right"/>
              <w:rPr>
                <w:color w:val="auto"/>
                <w:szCs w:val="18"/>
              </w:rPr>
            </w:pPr>
            <w:r w:rsidRPr="00894701">
              <w:rPr>
                <w:color w:val="auto"/>
                <w:szCs w:val="18"/>
              </w:rPr>
              <w:t> 48.28%</w:t>
            </w:r>
          </w:p>
        </w:tc>
        <w:tc>
          <w:tcPr>
            <w:tcW w:w="521" w:type="pct"/>
            <w:tcBorders>
              <w:top w:val="nil"/>
              <w:left w:val="nil"/>
              <w:bottom w:val="nil"/>
              <w:right w:val="nil"/>
            </w:tcBorders>
            <w:shd w:val="clear" w:color="auto" w:fill="auto"/>
            <w:vAlign w:val="center"/>
            <w:hideMark/>
          </w:tcPr>
          <w:p w14:paraId="513C4205" w14:textId="4243A5E7" w:rsidR="00170990" w:rsidRPr="00894701" w:rsidRDefault="00170990" w:rsidP="00170990">
            <w:pPr>
              <w:spacing w:after="0" w:line="240" w:lineRule="auto"/>
              <w:jc w:val="right"/>
              <w:rPr>
                <w:color w:val="auto"/>
                <w:szCs w:val="18"/>
              </w:rPr>
            </w:pPr>
          </w:p>
        </w:tc>
      </w:tr>
      <w:tr w:rsidR="00170990" w:rsidRPr="00894701" w14:paraId="0A67611A" w14:textId="77777777" w:rsidTr="00C32563">
        <w:trPr>
          <w:trHeight w:val="369"/>
        </w:trPr>
        <w:tc>
          <w:tcPr>
            <w:tcW w:w="1797" w:type="pct"/>
            <w:tcBorders>
              <w:top w:val="nil"/>
              <w:left w:val="nil"/>
              <w:bottom w:val="nil"/>
              <w:right w:val="nil"/>
            </w:tcBorders>
            <w:shd w:val="clear" w:color="auto" w:fill="F7A3B0"/>
            <w:vAlign w:val="center"/>
            <w:hideMark/>
          </w:tcPr>
          <w:p w14:paraId="75387853" w14:textId="425A7C15" w:rsidR="00170990" w:rsidRPr="00894701" w:rsidRDefault="00170990" w:rsidP="00170990">
            <w:pPr>
              <w:spacing w:after="0" w:line="240" w:lineRule="auto"/>
              <w:jc w:val="right"/>
              <w:rPr>
                <w:color w:val="auto"/>
                <w:szCs w:val="18"/>
              </w:rPr>
            </w:pPr>
            <w:r w:rsidRPr="00894701">
              <w:rPr>
                <w:color w:val="auto"/>
                <w:szCs w:val="18"/>
              </w:rPr>
              <w:t>Population (e)</w:t>
            </w:r>
            <w:r w:rsidR="0061127F" w:rsidRPr="00894701">
              <w:rPr>
                <w:color w:val="auto"/>
                <w:szCs w:val="18"/>
              </w:rPr>
              <w:t xml:space="preserve"> </w:t>
            </w:r>
            <w:r w:rsidRPr="00894701">
              <w:rPr>
                <w:color w:val="auto"/>
                <w:szCs w:val="18"/>
              </w:rPr>
              <w:t>(***)</w:t>
            </w:r>
          </w:p>
        </w:tc>
        <w:tc>
          <w:tcPr>
            <w:tcW w:w="545" w:type="pct"/>
            <w:tcBorders>
              <w:top w:val="nil"/>
              <w:left w:val="nil"/>
              <w:bottom w:val="nil"/>
              <w:right w:val="nil"/>
            </w:tcBorders>
            <w:shd w:val="clear" w:color="auto" w:fill="F7A3B0"/>
            <w:vAlign w:val="center"/>
            <w:hideMark/>
          </w:tcPr>
          <w:p w14:paraId="126CF387" w14:textId="5BC8C696" w:rsidR="00170990" w:rsidRPr="00894701" w:rsidRDefault="00170990" w:rsidP="00170990">
            <w:pPr>
              <w:spacing w:after="0" w:line="240" w:lineRule="auto"/>
              <w:jc w:val="right"/>
              <w:rPr>
                <w:color w:val="auto"/>
                <w:szCs w:val="18"/>
              </w:rPr>
            </w:pPr>
            <w:r w:rsidRPr="00894701">
              <w:rPr>
                <w:rFonts w:cs="Arial"/>
                <w:color w:val="auto"/>
                <w:szCs w:val="18"/>
              </w:rPr>
              <w:t>590,100</w:t>
            </w:r>
          </w:p>
        </w:tc>
        <w:tc>
          <w:tcPr>
            <w:tcW w:w="483" w:type="pct"/>
            <w:tcBorders>
              <w:top w:val="nil"/>
              <w:left w:val="nil"/>
              <w:bottom w:val="nil"/>
              <w:right w:val="nil"/>
            </w:tcBorders>
            <w:shd w:val="clear" w:color="auto" w:fill="F7A3B0"/>
            <w:vAlign w:val="center"/>
            <w:hideMark/>
          </w:tcPr>
          <w:p w14:paraId="78C740C1" w14:textId="40775BA8" w:rsidR="00170990" w:rsidRPr="00894701" w:rsidRDefault="00170990" w:rsidP="00170990">
            <w:pPr>
              <w:spacing w:after="0" w:line="240" w:lineRule="auto"/>
              <w:jc w:val="right"/>
              <w:rPr>
                <w:color w:val="auto"/>
                <w:szCs w:val="18"/>
              </w:rPr>
            </w:pPr>
            <w:r w:rsidRPr="00894701">
              <w:rPr>
                <w:rFonts w:cs="Arial"/>
                <w:color w:val="auto"/>
                <w:szCs w:val="18"/>
              </w:rPr>
              <w:t> </w:t>
            </w:r>
          </w:p>
        </w:tc>
        <w:tc>
          <w:tcPr>
            <w:tcW w:w="624" w:type="pct"/>
            <w:tcBorders>
              <w:top w:val="nil"/>
              <w:left w:val="nil"/>
              <w:bottom w:val="nil"/>
              <w:right w:val="nil"/>
            </w:tcBorders>
            <w:shd w:val="clear" w:color="auto" w:fill="F7A3B0"/>
            <w:vAlign w:val="center"/>
            <w:hideMark/>
          </w:tcPr>
          <w:p w14:paraId="0F0C2D98" w14:textId="3E041CD7" w:rsidR="00170990" w:rsidRPr="00894701" w:rsidRDefault="00170990" w:rsidP="00170990">
            <w:pPr>
              <w:spacing w:after="0" w:line="240" w:lineRule="auto"/>
              <w:jc w:val="right"/>
              <w:rPr>
                <w:color w:val="auto"/>
                <w:szCs w:val="18"/>
              </w:rPr>
            </w:pPr>
            <w:r w:rsidRPr="00894701">
              <w:rPr>
                <w:rFonts w:cs="Arial"/>
                <w:color w:val="auto"/>
                <w:szCs w:val="18"/>
              </w:rPr>
              <w:t>598,000</w:t>
            </w:r>
          </w:p>
        </w:tc>
        <w:tc>
          <w:tcPr>
            <w:tcW w:w="470" w:type="pct"/>
            <w:tcBorders>
              <w:top w:val="nil"/>
              <w:left w:val="nil"/>
              <w:bottom w:val="nil"/>
              <w:right w:val="nil"/>
            </w:tcBorders>
            <w:shd w:val="clear" w:color="auto" w:fill="F7A3B0"/>
            <w:vAlign w:val="center"/>
            <w:hideMark/>
          </w:tcPr>
          <w:p w14:paraId="613DCEE6" w14:textId="3ED331A8" w:rsidR="00170990" w:rsidRPr="00894701" w:rsidRDefault="00170990" w:rsidP="00170990">
            <w:pPr>
              <w:spacing w:after="0" w:line="240" w:lineRule="auto"/>
              <w:jc w:val="right"/>
              <w:rPr>
                <w:color w:val="auto"/>
                <w:szCs w:val="18"/>
              </w:rPr>
            </w:pPr>
            <w:r w:rsidRPr="00894701">
              <w:rPr>
                <w:rFonts w:cs="Arial"/>
                <w:color w:val="auto"/>
                <w:szCs w:val="18"/>
              </w:rPr>
              <w:t> </w:t>
            </w:r>
          </w:p>
        </w:tc>
        <w:tc>
          <w:tcPr>
            <w:tcW w:w="560" w:type="pct"/>
            <w:tcBorders>
              <w:top w:val="nil"/>
              <w:left w:val="nil"/>
              <w:bottom w:val="nil"/>
              <w:right w:val="nil"/>
            </w:tcBorders>
            <w:shd w:val="clear" w:color="auto" w:fill="F7A3B0"/>
            <w:vAlign w:val="center"/>
            <w:hideMark/>
          </w:tcPr>
          <w:p w14:paraId="1B372D9E" w14:textId="4724D3CC" w:rsidR="00170990" w:rsidRPr="00894701" w:rsidRDefault="00170990" w:rsidP="00170990">
            <w:pPr>
              <w:spacing w:after="0" w:line="240" w:lineRule="auto"/>
              <w:jc w:val="right"/>
              <w:rPr>
                <w:color w:val="auto"/>
                <w:szCs w:val="18"/>
              </w:rPr>
            </w:pPr>
            <w:r w:rsidRPr="00894701">
              <w:rPr>
                <w:rFonts w:cs="Arial"/>
                <w:color w:val="auto"/>
                <w:szCs w:val="18"/>
              </w:rPr>
              <w:t>618,250</w:t>
            </w:r>
          </w:p>
        </w:tc>
        <w:tc>
          <w:tcPr>
            <w:tcW w:w="521" w:type="pct"/>
            <w:tcBorders>
              <w:top w:val="nil"/>
              <w:left w:val="nil"/>
              <w:bottom w:val="nil"/>
              <w:right w:val="nil"/>
            </w:tcBorders>
            <w:shd w:val="clear" w:color="auto" w:fill="F7A3B0"/>
            <w:vAlign w:val="center"/>
            <w:hideMark/>
          </w:tcPr>
          <w:p w14:paraId="2EDDB4A1" w14:textId="6ADE03D0" w:rsidR="00170990" w:rsidRPr="00894701" w:rsidRDefault="00170990" w:rsidP="00170990">
            <w:pPr>
              <w:spacing w:after="0" w:line="240" w:lineRule="auto"/>
              <w:jc w:val="right"/>
              <w:rPr>
                <w:color w:val="auto"/>
                <w:szCs w:val="18"/>
              </w:rPr>
            </w:pPr>
          </w:p>
        </w:tc>
      </w:tr>
    </w:tbl>
    <w:p w14:paraId="3B04E967" w14:textId="477781F5" w:rsidR="00DC6673" w:rsidRPr="00894701" w:rsidRDefault="00CC77FB" w:rsidP="00DC6673">
      <w:pPr>
        <w:spacing w:after="0" w:line="240" w:lineRule="auto"/>
        <w:rPr>
          <w:i/>
          <w:iCs/>
          <w:color w:val="auto"/>
          <w:sz w:val="16"/>
          <w:szCs w:val="16"/>
        </w:rPr>
      </w:pPr>
      <w:r w:rsidRPr="00894701">
        <w:rPr>
          <w:i/>
          <w:iCs/>
          <w:color w:val="auto"/>
          <w:sz w:val="16"/>
          <w:szCs w:val="16"/>
        </w:rPr>
        <w:t xml:space="preserve">(*) </w:t>
      </w:r>
      <w:r w:rsidR="00DC6673" w:rsidRPr="00894701">
        <w:rPr>
          <w:i/>
          <w:iCs/>
          <w:color w:val="auto"/>
          <w:sz w:val="16"/>
          <w:szCs w:val="16"/>
        </w:rPr>
        <w:t>Reporting Template</w:t>
      </w:r>
      <w:r w:rsidRPr="00894701">
        <w:rPr>
          <w:i/>
          <w:iCs/>
          <w:color w:val="auto"/>
          <w:sz w:val="16"/>
          <w:szCs w:val="16"/>
        </w:rPr>
        <w:t>s</w:t>
      </w:r>
      <w:r w:rsidR="00DC6673" w:rsidRPr="00894701">
        <w:rPr>
          <w:i/>
          <w:iCs/>
          <w:color w:val="auto"/>
          <w:sz w:val="16"/>
          <w:szCs w:val="16"/>
        </w:rPr>
        <w:t xml:space="preserve"> </w:t>
      </w:r>
      <w:r w:rsidR="002D17F6" w:rsidRPr="00894701">
        <w:rPr>
          <w:i/>
          <w:iCs/>
          <w:color w:val="auto"/>
          <w:sz w:val="16"/>
          <w:szCs w:val="16"/>
        </w:rPr>
        <w:t xml:space="preserve">as detailed in </w:t>
      </w:r>
      <w:r w:rsidR="00F97281" w:rsidRPr="00894701">
        <w:rPr>
          <w:i/>
          <w:iCs/>
          <w:color w:val="auto"/>
          <w:sz w:val="16"/>
          <w:szCs w:val="16"/>
        </w:rPr>
        <w:t>Section</w:t>
      </w:r>
      <w:r w:rsidR="00EA2B28" w:rsidRPr="00894701">
        <w:rPr>
          <w:i/>
          <w:iCs/>
          <w:color w:val="auto"/>
          <w:sz w:val="16"/>
          <w:szCs w:val="16"/>
        </w:rPr>
        <w:t xml:space="preserve"> 5.2 of this report</w:t>
      </w:r>
    </w:p>
    <w:p w14:paraId="467AEEC8" w14:textId="3EEFEE5F" w:rsidR="00DC6673" w:rsidRPr="00894701" w:rsidRDefault="00CC77FB" w:rsidP="00DC6673">
      <w:pPr>
        <w:spacing w:after="0" w:line="240" w:lineRule="auto"/>
        <w:rPr>
          <w:i/>
          <w:iCs/>
          <w:color w:val="auto"/>
          <w:sz w:val="16"/>
          <w:szCs w:val="16"/>
        </w:rPr>
      </w:pPr>
      <w:r w:rsidRPr="00894701">
        <w:rPr>
          <w:i/>
          <w:iCs/>
          <w:color w:val="auto"/>
          <w:sz w:val="16"/>
          <w:szCs w:val="16"/>
        </w:rPr>
        <w:t>(**)</w:t>
      </w:r>
      <w:r w:rsidR="0061127F" w:rsidRPr="00894701">
        <w:rPr>
          <w:i/>
          <w:iCs/>
          <w:color w:val="auto"/>
          <w:sz w:val="16"/>
          <w:szCs w:val="16"/>
        </w:rPr>
        <w:t xml:space="preserve"> </w:t>
      </w:r>
      <w:r w:rsidR="00DC6673" w:rsidRPr="00894701">
        <w:rPr>
          <w:i/>
          <w:iCs/>
          <w:color w:val="auto"/>
          <w:sz w:val="16"/>
          <w:szCs w:val="16"/>
        </w:rPr>
        <w:t>World Bank</w:t>
      </w:r>
      <w:r w:rsidR="00DC6673" w:rsidRPr="00894701">
        <w:rPr>
          <w:i/>
          <w:iCs/>
          <w:color w:val="auto"/>
          <w:sz w:val="22"/>
          <w:szCs w:val="22"/>
          <w:vertAlign w:val="superscript"/>
        </w:rPr>
        <w:footnoteReference w:id="40"/>
      </w:r>
    </w:p>
    <w:p w14:paraId="4D303091" w14:textId="5E276149" w:rsidR="00576FE2" w:rsidRDefault="00CC77FB" w:rsidP="009A3130">
      <w:pPr>
        <w:spacing w:after="0" w:line="240" w:lineRule="auto"/>
        <w:rPr>
          <w:i/>
          <w:iCs/>
          <w:color w:val="auto"/>
          <w:sz w:val="16"/>
          <w:szCs w:val="16"/>
        </w:rPr>
      </w:pPr>
      <w:r w:rsidRPr="00894701">
        <w:rPr>
          <w:i/>
          <w:iCs/>
          <w:color w:val="auto"/>
          <w:sz w:val="16"/>
          <w:szCs w:val="16"/>
        </w:rPr>
        <w:t xml:space="preserve">(***) </w:t>
      </w:r>
      <w:r w:rsidR="00DC6673" w:rsidRPr="00894701">
        <w:rPr>
          <w:i/>
          <w:iCs/>
          <w:color w:val="auto"/>
          <w:sz w:val="16"/>
          <w:szCs w:val="16"/>
        </w:rPr>
        <w:t>World Population Review</w:t>
      </w:r>
      <w:r w:rsidR="00DC6673" w:rsidRPr="00894701">
        <w:rPr>
          <w:i/>
          <w:iCs/>
          <w:color w:val="auto"/>
          <w:sz w:val="22"/>
          <w:szCs w:val="22"/>
          <w:vertAlign w:val="superscript"/>
        </w:rPr>
        <w:footnoteReference w:id="41"/>
      </w:r>
    </w:p>
    <w:p w14:paraId="27CC1CB7" w14:textId="493062C2" w:rsidR="00F70A93" w:rsidRDefault="00F70A93" w:rsidP="009A3130">
      <w:pPr>
        <w:spacing w:after="0" w:line="240" w:lineRule="auto"/>
        <w:rPr>
          <w:i/>
          <w:iCs/>
          <w:color w:val="auto"/>
          <w:sz w:val="16"/>
          <w:szCs w:val="16"/>
        </w:rPr>
      </w:pPr>
      <w:r>
        <w:rPr>
          <w:i/>
          <w:iCs/>
          <w:color w:val="auto"/>
          <w:sz w:val="16"/>
          <w:szCs w:val="16"/>
        </w:rPr>
        <w:br w:type="page"/>
      </w:r>
    </w:p>
    <w:p w14:paraId="60498A0F" w14:textId="77777777" w:rsidR="00F70A93" w:rsidRPr="00894701" w:rsidRDefault="00F70A93" w:rsidP="009A3130">
      <w:pPr>
        <w:spacing w:after="0" w:line="240" w:lineRule="auto"/>
      </w:pPr>
    </w:p>
    <w:p w14:paraId="07CDDC0F" w14:textId="4D59AC6D" w:rsidR="001320B7" w:rsidRPr="00894701" w:rsidRDefault="00670F09" w:rsidP="008F7932">
      <w:pPr>
        <w:pStyle w:val="Heading3"/>
        <w:numPr>
          <w:ilvl w:val="2"/>
          <w:numId w:val="78"/>
        </w:numPr>
        <w:spacing w:before="0" w:after="240"/>
        <w:ind w:right="482"/>
        <w:jc w:val="both"/>
        <w:rPr>
          <w:bCs w:val="0"/>
          <w:caps w:val="0"/>
        </w:rPr>
      </w:pPr>
      <w:bookmarkStart w:id="346" w:name="_Toc122478917"/>
      <w:r w:rsidRPr="00894701">
        <w:rPr>
          <w:bCs w:val="0"/>
          <w:caps w:val="0"/>
        </w:rPr>
        <w:t xml:space="preserve">Contribution of the </w:t>
      </w:r>
      <w:r w:rsidR="001320B7" w:rsidRPr="00894701">
        <w:rPr>
          <w:bCs w:val="0"/>
          <w:caps w:val="0"/>
        </w:rPr>
        <w:t>Mining sector</w:t>
      </w:r>
      <w:r w:rsidRPr="00894701">
        <w:rPr>
          <w:bCs w:val="0"/>
          <w:caps w:val="0"/>
        </w:rPr>
        <w:t xml:space="preserve"> to the economy</w:t>
      </w:r>
      <w:bookmarkEnd w:id="346"/>
    </w:p>
    <w:p w14:paraId="79EC7F55" w14:textId="70D3E287" w:rsidR="00576FE2" w:rsidRPr="00894701" w:rsidRDefault="002C1DD7" w:rsidP="00B226CF">
      <w:pPr>
        <w:pStyle w:val="AltMinorSubHeading"/>
        <w:numPr>
          <w:ilvl w:val="0"/>
          <w:numId w:val="0"/>
        </w:numPr>
        <w:spacing w:before="120" w:after="120"/>
        <w:rPr>
          <w:color w:val="ED1A3B"/>
        </w:rPr>
      </w:pPr>
      <w:bookmarkStart w:id="347" w:name="_Toc122478918"/>
      <w:r w:rsidRPr="00894701">
        <w:rPr>
          <w:color w:val="ED1A3B"/>
        </w:rPr>
        <w:t>3.</w:t>
      </w:r>
      <w:r w:rsidR="004374E9" w:rsidRPr="00894701">
        <w:rPr>
          <w:color w:val="ED1A3B"/>
        </w:rPr>
        <w:t>19</w:t>
      </w:r>
      <w:r w:rsidRPr="00894701">
        <w:rPr>
          <w:color w:val="ED1A3B"/>
        </w:rPr>
        <w:t>.</w:t>
      </w:r>
      <w:r w:rsidR="00FD1823" w:rsidRPr="00894701">
        <w:rPr>
          <w:color w:val="ED1A3B"/>
        </w:rPr>
        <w:t>3</w:t>
      </w:r>
      <w:r w:rsidRPr="00894701">
        <w:rPr>
          <w:color w:val="ED1A3B"/>
        </w:rPr>
        <w:t xml:space="preserve"> </w:t>
      </w:r>
      <w:r w:rsidR="00576FE2" w:rsidRPr="00894701">
        <w:rPr>
          <w:color w:val="ED1A3B"/>
        </w:rPr>
        <w:t>(</w:t>
      </w:r>
      <w:r w:rsidR="00FD1823" w:rsidRPr="00894701">
        <w:rPr>
          <w:color w:val="ED1A3B"/>
        </w:rPr>
        <w:t>a</w:t>
      </w:r>
      <w:r w:rsidR="00576FE2" w:rsidRPr="00894701">
        <w:rPr>
          <w:color w:val="ED1A3B"/>
        </w:rPr>
        <w:t>) Government revenues (Requirement 6.3.b):</w:t>
      </w:r>
      <w:bookmarkEnd w:id="347"/>
    </w:p>
    <w:p w14:paraId="00DDEC26" w14:textId="3F073BB4" w:rsidR="00576FE2" w:rsidRPr="00894701" w:rsidRDefault="00576FE2" w:rsidP="00B226CF">
      <w:pPr>
        <w:jc w:val="both"/>
        <w:rPr>
          <w:rFonts w:cs="Arial"/>
          <w:color w:val="000000"/>
          <w:sz w:val="20"/>
        </w:rPr>
      </w:pPr>
      <w:r w:rsidRPr="00894701">
        <w:rPr>
          <w:rFonts w:cs="Arial"/>
          <w:color w:val="000000"/>
          <w:sz w:val="20"/>
        </w:rPr>
        <w:t>The contribution of revenues from the mining sector to the government during the fiscal years 2018</w:t>
      </w:r>
      <w:r w:rsidR="00CF5C90" w:rsidRPr="00894701">
        <w:rPr>
          <w:rFonts w:cs="Arial"/>
          <w:color w:val="000000"/>
          <w:sz w:val="20"/>
        </w:rPr>
        <w:t>,</w:t>
      </w:r>
      <w:r w:rsidRPr="00894701">
        <w:rPr>
          <w:rFonts w:cs="Arial"/>
          <w:color w:val="000000"/>
          <w:sz w:val="20"/>
        </w:rPr>
        <w:t>2019</w:t>
      </w:r>
      <w:r w:rsidR="00CF5C90" w:rsidRPr="00894701">
        <w:rPr>
          <w:rFonts w:cs="Arial"/>
          <w:color w:val="000000"/>
          <w:sz w:val="20"/>
        </w:rPr>
        <w:t xml:space="preserve"> and 2020</w:t>
      </w:r>
      <w:r w:rsidRPr="00894701">
        <w:rPr>
          <w:rFonts w:cs="Arial"/>
          <w:color w:val="000000"/>
          <w:sz w:val="20"/>
        </w:rPr>
        <w:t xml:space="preserve"> were as follows:</w:t>
      </w:r>
    </w:p>
    <w:p w14:paraId="4E79E4A0" w14:textId="03DCD548" w:rsidR="006E6664" w:rsidRPr="00894701" w:rsidRDefault="00625E67" w:rsidP="00D00050">
      <w:pPr>
        <w:pStyle w:val="BodyTextRed"/>
        <w:spacing w:after="0"/>
        <w:jc w:val="center"/>
        <w:rPr>
          <w:b/>
          <w:bCs/>
          <w:color w:val="98002E" w:themeColor="accent3"/>
          <w:sz w:val="20"/>
          <w:szCs w:val="20"/>
        </w:rPr>
      </w:pPr>
      <w:bookmarkStart w:id="348" w:name="_Toc6924809"/>
      <w:bookmarkStart w:id="349" w:name="_Toc56676842"/>
      <w:bookmarkStart w:id="350" w:name="_Toc104557712"/>
      <w:bookmarkStart w:id="351" w:name="_Toc146590509"/>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37</w:t>
      </w:r>
      <w:r w:rsidRPr="00894701">
        <w:rPr>
          <w:b/>
          <w:bCs/>
          <w:color w:val="98002E" w:themeColor="accent3"/>
          <w:sz w:val="20"/>
          <w:szCs w:val="20"/>
        </w:rPr>
        <w:fldChar w:fldCharType="end"/>
      </w:r>
      <w:r w:rsidRPr="00894701">
        <w:rPr>
          <w:b/>
          <w:bCs/>
          <w:color w:val="98002E" w:themeColor="accent3"/>
          <w:sz w:val="20"/>
          <w:szCs w:val="20"/>
        </w:rPr>
        <w:t>: Contribution of the mining sector to Government revenues</w:t>
      </w:r>
      <w:bookmarkEnd w:id="348"/>
      <w:bookmarkEnd w:id="349"/>
      <w:r w:rsidRPr="00894701">
        <w:rPr>
          <w:b/>
          <w:bCs/>
          <w:color w:val="98002E" w:themeColor="accent3"/>
          <w:sz w:val="20"/>
          <w:szCs w:val="20"/>
        </w:rPr>
        <w:t xml:space="preserve"> for the fiscal years 2018</w:t>
      </w:r>
      <w:r w:rsidR="00CF5C90" w:rsidRPr="00894701">
        <w:rPr>
          <w:b/>
          <w:bCs/>
          <w:color w:val="98002E" w:themeColor="accent3"/>
          <w:sz w:val="20"/>
          <w:szCs w:val="20"/>
        </w:rPr>
        <w:t>,</w:t>
      </w:r>
      <w:r w:rsidRPr="00894701">
        <w:rPr>
          <w:b/>
          <w:bCs/>
          <w:color w:val="98002E" w:themeColor="accent3"/>
          <w:sz w:val="20"/>
          <w:szCs w:val="20"/>
        </w:rPr>
        <w:t xml:space="preserve"> 2019</w:t>
      </w:r>
      <w:bookmarkEnd w:id="350"/>
      <w:r w:rsidRPr="00894701">
        <w:rPr>
          <w:b/>
          <w:bCs/>
          <w:color w:val="98002E" w:themeColor="accent3"/>
          <w:sz w:val="20"/>
          <w:szCs w:val="20"/>
        </w:rPr>
        <w:t xml:space="preserve"> </w:t>
      </w:r>
      <w:r w:rsidR="00CF5C90" w:rsidRPr="00894701">
        <w:rPr>
          <w:b/>
          <w:bCs/>
          <w:color w:val="98002E" w:themeColor="accent3"/>
          <w:sz w:val="20"/>
          <w:szCs w:val="20"/>
        </w:rPr>
        <w:t>and 2020</w:t>
      </w:r>
      <w:bookmarkEnd w:id="351"/>
    </w:p>
    <w:tbl>
      <w:tblPr>
        <w:tblW w:w="5000" w:type="pct"/>
        <w:tblCellMar>
          <w:left w:w="70" w:type="dxa"/>
          <w:right w:w="70" w:type="dxa"/>
        </w:tblCellMar>
        <w:tblLook w:val="04A0" w:firstRow="1" w:lastRow="0" w:firstColumn="1" w:lastColumn="0" w:noHBand="0" w:noVBand="1"/>
      </w:tblPr>
      <w:tblGrid>
        <w:gridCol w:w="4706"/>
        <w:gridCol w:w="1377"/>
        <w:gridCol w:w="1381"/>
        <w:gridCol w:w="1586"/>
      </w:tblGrid>
      <w:tr w:rsidR="00767A5A" w:rsidRPr="00894701" w14:paraId="7593629A" w14:textId="77777777" w:rsidTr="004C70CC">
        <w:trPr>
          <w:trHeight w:val="283"/>
        </w:trPr>
        <w:tc>
          <w:tcPr>
            <w:tcW w:w="2600" w:type="pct"/>
            <w:tcBorders>
              <w:top w:val="nil"/>
              <w:left w:val="nil"/>
              <w:bottom w:val="single" w:sz="12" w:space="0" w:color="FF0000"/>
              <w:right w:val="nil"/>
            </w:tcBorders>
            <w:shd w:val="clear" w:color="000000" w:fill="7A091A"/>
            <w:noWrap/>
            <w:vAlign w:val="center"/>
            <w:hideMark/>
          </w:tcPr>
          <w:p w14:paraId="1023ED1E" w14:textId="5A6DC969" w:rsidR="00767A5A" w:rsidRPr="00894701" w:rsidRDefault="00767A5A" w:rsidP="007873FF">
            <w:pPr>
              <w:spacing w:after="0" w:line="240" w:lineRule="auto"/>
              <w:rPr>
                <w:b/>
                <w:bCs/>
                <w:color w:val="FFFFFF"/>
                <w:kern w:val="0"/>
                <w:szCs w:val="18"/>
                <w:lang w:eastAsia="fr-FR"/>
              </w:rPr>
            </w:pPr>
            <w:r w:rsidRPr="00894701">
              <w:rPr>
                <w:b/>
                <w:bCs/>
                <w:color w:val="FFFFFF"/>
                <w:kern w:val="0"/>
                <w:szCs w:val="18"/>
                <w:lang w:eastAsia="fr-FR"/>
              </w:rPr>
              <w:t xml:space="preserve">SRD </w:t>
            </w:r>
            <w:r w:rsidR="008215CF" w:rsidRPr="00894701">
              <w:rPr>
                <w:b/>
                <w:bCs/>
                <w:color w:val="FFFFFF"/>
                <w:kern w:val="0"/>
                <w:szCs w:val="18"/>
                <w:lang w:eastAsia="fr-FR"/>
              </w:rPr>
              <w:t>m</w:t>
            </w:r>
            <w:r w:rsidRPr="00894701">
              <w:rPr>
                <w:b/>
                <w:bCs/>
                <w:color w:val="FFFFFF"/>
                <w:kern w:val="0"/>
                <w:szCs w:val="18"/>
                <w:lang w:eastAsia="fr-FR"/>
              </w:rPr>
              <w:t>illion</w:t>
            </w:r>
          </w:p>
        </w:tc>
        <w:tc>
          <w:tcPr>
            <w:tcW w:w="761" w:type="pct"/>
            <w:tcBorders>
              <w:top w:val="nil"/>
              <w:left w:val="nil"/>
              <w:bottom w:val="single" w:sz="12" w:space="0" w:color="FF0000"/>
              <w:right w:val="nil"/>
            </w:tcBorders>
            <w:shd w:val="clear" w:color="000000" w:fill="7A091A"/>
            <w:noWrap/>
            <w:vAlign w:val="center"/>
            <w:hideMark/>
          </w:tcPr>
          <w:p w14:paraId="4D4C4DFF" w14:textId="77777777" w:rsidR="00767A5A" w:rsidRPr="00894701" w:rsidRDefault="00767A5A" w:rsidP="007873FF">
            <w:pPr>
              <w:spacing w:after="0" w:line="240" w:lineRule="auto"/>
              <w:jc w:val="right"/>
              <w:rPr>
                <w:b/>
                <w:bCs/>
                <w:color w:val="FFFFFF"/>
                <w:kern w:val="0"/>
                <w:sz w:val="16"/>
                <w:szCs w:val="16"/>
                <w:lang w:eastAsia="fr-FR"/>
              </w:rPr>
            </w:pPr>
            <w:r w:rsidRPr="00894701">
              <w:rPr>
                <w:b/>
                <w:bCs/>
                <w:color w:val="FFFFFF"/>
                <w:kern w:val="0"/>
                <w:sz w:val="16"/>
                <w:szCs w:val="16"/>
                <w:lang w:eastAsia="fr-FR"/>
              </w:rPr>
              <w:t>2018</w:t>
            </w:r>
          </w:p>
        </w:tc>
        <w:tc>
          <w:tcPr>
            <w:tcW w:w="763" w:type="pct"/>
            <w:tcBorders>
              <w:top w:val="nil"/>
              <w:left w:val="nil"/>
              <w:bottom w:val="single" w:sz="12" w:space="0" w:color="FF0000"/>
              <w:right w:val="nil"/>
            </w:tcBorders>
            <w:shd w:val="clear" w:color="000000" w:fill="7A091A"/>
            <w:noWrap/>
            <w:vAlign w:val="center"/>
            <w:hideMark/>
          </w:tcPr>
          <w:p w14:paraId="03590F06" w14:textId="77777777" w:rsidR="00767A5A" w:rsidRPr="00894701" w:rsidRDefault="00767A5A" w:rsidP="007873FF">
            <w:pPr>
              <w:spacing w:after="0" w:line="240" w:lineRule="auto"/>
              <w:jc w:val="right"/>
              <w:rPr>
                <w:b/>
                <w:bCs/>
                <w:color w:val="FFFFFF"/>
                <w:kern w:val="0"/>
                <w:sz w:val="16"/>
                <w:szCs w:val="16"/>
                <w:lang w:eastAsia="fr-FR"/>
              </w:rPr>
            </w:pPr>
            <w:r w:rsidRPr="00894701">
              <w:rPr>
                <w:b/>
                <w:bCs/>
                <w:color w:val="FFFFFF"/>
                <w:kern w:val="0"/>
                <w:sz w:val="16"/>
                <w:szCs w:val="16"/>
                <w:lang w:eastAsia="fr-FR"/>
              </w:rPr>
              <w:t>2019</w:t>
            </w:r>
          </w:p>
        </w:tc>
        <w:tc>
          <w:tcPr>
            <w:tcW w:w="876" w:type="pct"/>
            <w:tcBorders>
              <w:top w:val="nil"/>
              <w:left w:val="nil"/>
              <w:bottom w:val="single" w:sz="12" w:space="0" w:color="FF0000"/>
              <w:right w:val="nil"/>
            </w:tcBorders>
            <w:shd w:val="clear" w:color="000000" w:fill="7A091A"/>
            <w:vAlign w:val="center"/>
            <w:hideMark/>
          </w:tcPr>
          <w:p w14:paraId="0AA2156D" w14:textId="7B784F51" w:rsidR="00767A5A" w:rsidRPr="00894701" w:rsidRDefault="00767A5A" w:rsidP="007873FF">
            <w:pPr>
              <w:spacing w:after="0" w:line="240" w:lineRule="auto"/>
              <w:jc w:val="right"/>
              <w:rPr>
                <w:b/>
                <w:bCs/>
                <w:color w:val="FFFFFF"/>
                <w:kern w:val="0"/>
                <w:sz w:val="16"/>
                <w:szCs w:val="16"/>
                <w:lang w:eastAsia="fr-FR"/>
              </w:rPr>
            </w:pPr>
            <w:r w:rsidRPr="00894701">
              <w:rPr>
                <w:b/>
                <w:bCs/>
                <w:color w:val="FFFFFF"/>
                <w:kern w:val="0"/>
                <w:sz w:val="16"/>
                <w:szCs w:val="16"/>
                <w:lang w:eastAsia="fr-FR"/>
              </w:rPr>
              <w:t xml:space="preserve">2020     </w:t>
            </w:r>
            <w:r w:rsidRPr="00894701">
              <w:rPr>
                <w:b/>
                <w:bCs/>
                <w:color w:val="C00000"/>
                <w:kern w:val="0"/>
                <w:sz w:val="16"/>
                <w:szCs w:val="16"/>
                <w:lang w:eastAsia="fr-FR"/>
              </w:rPr>
              <w:t>.</w:t>
            </w:r>
          </w:p>
        </w:tc>
      </w:tr>
      <w:tr w:rsidR="00C143AE" w:rsidRPr="00894701" w14:paraId="58431CD1" w14:textId="77777777" w:rsidTr="004C70CC">
        <w:trPr>
          <w:trHeight w:val="283"/>
        </w:trPr>
        <w:tc>
          <w:tcPr>
            <w:tcW w:w="2600" w:type="pct"/>
            <w:tcBorders>
              <w:top w:val="single" w:sz="12" w:space="0" w:color="FF0000"/>
              <w:left w:val="nil"/>
              <w:right w:val="nil"/>
            </w:tcBorders>
            <w:shd w:val="clear" w:color="auto" w:fill="F8A3AF"/>
            <w:noWrap/>
            <w:vAlign w:val="center"/>
            <w:hideMark/>
          </w:tcPr>
          <w:p w14:paraId="323AAA1A" w14:textId="77777777" w:rsidR="00C143AE" w:rsidRPr="00894701" w:rsidRDefault="00C143AE" w:rsidP="00C143AE">
            <w:pPr>
              <w:spacing w:after="0" w:line="240" w:lineRule="auto"/>
              <w:rPr>
                <w:bCs/>
                <w:color w:val="auto"/>
                <w:kern w:val="0"/>
                <w:szCs w:val="18"/>
                <w:lang w:eastAsia="fr-FR"/>
              </w:rPr>
            </w:pPr>
            <w:r w:rsidRPr="00894701">
              <w:rPr>
                <w:bCs/>
                <w:color w:val="auto"/>
                <w:kern w:val="0"/>
                <w:szCs w:val="18"/>
                <w:lang w:eastAsia="fr-FR"/>
              </w:rPr>
              <w:t>Mining &amp; Quarrying revenues (*)</w:t>
            </w:r>
          </w:p>
        </w:tc>
        <w:tc>
          <w:tcPr>
            <w:tcW w:w="761" w:type="pct"/>
            <w:tcBorders>
              <w:top w:val="single" w:sz="12" w:space="0" w:color="FF0000"/>
              <w:left w:val="nil"/>
              <w:right w:val="nil"/>
            </w:tcBorders>
            <w:shd w:val="clear" w:color="auto" w:fill="F8A3AF"/>
            <w:noWrap/>
            <w:vAlign w:val="center"/>
          </w:tcPr>
          <w:p w14:paraId="0F9C808A" w14:textId="04EE19CE" w:rsidR="00C143AE" w:rsidRPr="004805C9" w:rsidRDefault="00C143AE" w:rsidP="00C143AE">
            <w:pPr>
              <w:spacing w:after="0" w:line="240" w:lineRule="auto"/>
              <w:jc w:val="right"/>
              <w:rPr>
                <w:b/>
                <w:bCs/>
                <w:color w:val="auto"/>
                <w:kern w:val="0"/>
                <w:sz w:val="16"/>
                <w:szCs w:val="16"/>
                <w:lang w:eastAsia="fr-FR"/>
              </w:rPr>
            </w:pPr>
            <w:r w:rsidRPr="004805C9">
              <w:rPr>
                <w:rFonts w:cs="Arial"/>
                <w:b/>
                <w:bCs/>
                <w:color w:val="auto"/>
                <w:sz w:val="16"/>
                <w:szCs w:val="16"/>
              </w:rPr>
              <w:t>821</w:t>
            </w:r>
          </w:p>
        </w:tc>
        <w:tc>
          <w:tcPr>
            <w:tcW w:w="763" w:type="pct"/>
            <w:tcBorders>
              <w:top w:val="single" w:sz="12" w:space="0" w:color="FF0000"/>
              <w:left w:val="nil"/>
              <w:right w:val="nil"/>
            </w:tcBorders>
            <w:shd w:val="clear" w:color="auto" w:fill="F8A3AF"/>
            <w:noWrap/>
            <w:vAlign w:val="center"/>
          </w:tcPr>
          <w:p w14:paraId="01FBE07D" w14:textId="0FF97168" w:rsidR="00C143AE" w:rsidRPr="004805C9" w:rsidRDefault="00C143AE" w:rsidP="00C143AE">
            <w:pPr>
              <w:spacing w:after="0" w:line="240" w:lineRule="auto"/>
              <w:jc w:val="right"/>
              <w:rPr>
                <w:b/>
                <w:bCs/>
                <w:color w:val="auto"/>
                <w:kern w:val="0"/>
                <w:sz w:val="16"/>
                <w:szCs w:val="16"/>
                <w:lang w:eastAsia="fr-FR"/>
              </w:rPr>
            </w:pPr>
            <w:r w:rsidRPr="004805C9">
              <w:rPr>
                <w:rFonts w:cs="Arial"/>
                <w:b/>
                <w:bCs/>
                <w:color w:val="auto"/>
                <w:sz w:val="16"/>
                <w:szCs w:val="16"/>
              </w:rPr>
              <w:t>920</w:t>
            </w:r>
          </w:p>
        </w:tc>
        <w:tc>
          <w:tcPr>
            <w:tcW w:w="876" w:type="pct"/>
            <w:tcBorders>
              <w:top w:val="single" w:sz="12" w:space="0" w:color="FF0000"/>
              <w:left w:val="nil"/>
              <w:right w:val="nil"/>
            </w:tcBorders>
            <w:shd w:val="clear" w:color="auto" w:fill="F8A3AF"/>
            <w:vAlign w:val="center"/>
          </w:tcPr>
          <w:p w14:paraId="36DFD149" w14:textId="27FBA4DA" w:rsidR="00C143AE" w:rsidRPr="004805C9" w:rsidRDefault="00C143AE" w:rsidP="00C143AE">
            <w:pPr>
              <w:spacing w:after="0" w:line="240" w:lineRule="auto"/>
              <w:jc w:val="right"/>
              <w:rPr>
                <w:b/>
                <w:bCs/>
                <w:color w:val="auto"/>
                <w:kern w:val="0"/>
                <w:sz w:val="16"/>
                <w:szCs w:val="16"/>
                <w:lang w:eastAsia="fr-FR"/>
              </w:rPr>
            </w:pPr>
            <w:r w:rsidRPr="004805C9">
              <w:rPr>
                <w:rFonts w:cs="Arial"/>
                <w:b/>
                <w:bCs/>
                <w:color w:val="auto"/>
                <w:sz w:val="16"/>
                <w:szCs w:val="16"/>
              </w:rPr>
              <w:t>1,402</w:t>
            </w:r>
          </w:p>
        </w:tc>
      </w:tr>
      <w:tr w:rsidR="008D2903" w:rsidRPr="00894701" w14:paraId="097112D1" w14:textId="77777777" w:rsidTr="00767A5A">
        <w:trPr>
          <w:trHeight w:val="283"/>
        </w:trPr>
        <w:tc>
          <w:tcPr>
            <w:tcW w:w="2600" w:type="pct"/>
            <w:tcBorders>
              <w:top w:val="nil"/>
              <w:left w:val="nil"/>
              <w:bottom w:val="single" w:sz="12" w:space="0" w:color="FF0000"/>
              <w:right w:val="nil"/>
            </w:tcBorders>
            <w:shd w:val="clear" w:color="auto" w:fill="auto"/>
            <w:noWrap/>
            <w:vAlign w:val="center"/>
            <w:hideMark/>
          </w:tcPr>
          <w:p w14:paraId="21B57344" w14:textId="77777777" w:rsidR="008D2903" w:rsidRPr="00894701" w:rsidRDefault="008D2903" w:rsidP="008D2903">
            <w:pPr>
              <w:spacing w:after="0" w:line="240" w:lineRule="auto"/>
              <w:rPr>
                <w:bCs/>
                <w:color w:val="auto"/>
                <w:kern w:val="0"/>
                <w:szCs w:val="18"/>
                <w:lang w:eastAsia="fr-FR"/>
              </w:rPr>
            </w:pPr>
            <w:r w:rsidRPr="00894701">
              <w:rPr>
                <w:bCs/>
                <w:color w:val="auto"/>
                <w:kern w:val="0"/>
                <w:szCs w:val="18"/>
                <w:lang w:eastAsia="fr-FR"/>
              </w:rPr>
              <w:t>Total Government Revenue (**)</w:t>
            </w:r>
          </w:p>
        </w:tc>
        <w:tc>
          <w:tcPr>
            <w:tcW w:w="761" w:type="pct"/>
            <w:tcBorders>
              <w:top w:val="nil"/>
              <w:left w:val="nil"/>
              <w:bottom w:val="single" w:sz="12" w:space="0" w:color="FF0000"/>
              <w:right w:val="nil"/>
            </w:tcBorders>
            <w:shd w:val="clear" w:color="auto" w:fill="auto"/>
            <w:noWrap/>
            <w:vAlign w:val="center"/>
            <w:hideMark/>
          </w:tcPr>
          <w:p w14:paraId="4913BC6A" w14:textId="443D6BD6" w:rsidR="008D2903" w:rsidRPr="00894701" w:rsidRDefault="008D2903" w:rsidP="008D2903">
            <w:pPr>
              <w:spacing w:after="0" w:line="240" w:lineRule="auto"/>
              <w:jc w:val="right"/>
              <w:rPr>
                <w:b/>
                <w:bCs/>
                <w:color w:val="auto"/>
                <w:kern w:val="0"/>
                <w:sz w:val="16"/>
                <w:szCs w:val="16"/>
                <w:lang w:eastAsia="fr-FR"/>
              </w:rPr>
            </w:pPr>
            <w:r w:rsidRPr="00894701">
              <w:rPr>
                <w:color w:val="000000"/>
                <w:kern w:val="0"/>
                <w:szCs w:val="18"/>
              </w:rPr>
              <w:t>5,748(***)</w:t>
            </w:r>
          </w:p>
        </w:tc>
        <w:tc>
          <w:tcPr>
            <w:tcW w:w="763" w:type="pct"/>
            <w:tcBorders>
              <w:top w:val="nil"/>
              <w:left w:val="nil"/>
              <w:bottom w:val="single" w:sz="12" w:space="0" w:color="FF0000"/>
              <w:right w:val="nil"/>
            </w:tcBorders>
            <w:shd w:val="clear" w:color="auto" w:fill="auto"/>
            <w:noWrap/>
            <w:vAlign w:val="center"/>
            <w:hideMark/>
          </w:tcPr>
          <w:p w14:paraId="152FF7A4" w14:textId="035EB8D4" w:rsidR="008D2903" w:rsidRPr="00894701" w:rsidRDefault="008D2903" w:rsidP="008D2903">
            <w:pPr>
              <w:spacing w:after="0" w:line="240" w:lineRule="auto"/>
              <w:jc w:val="right"/>
              <w:rPr>
                <w:b/>
                <w:bCs/>
                <w:color w:val="auto"/>
                <w:kern w:val="0"/>
                <w:sz w:val="16"/>
                <w:szCs w:val="16"/>
                <w:lang w:eastAsia="fr-FR"/>
              </w:rPr>
            </w:pPr>
            <w:r w:rsidRPr="00894701">
              <w:rPr>
                <w:color w:val="000000"/>
                <w:kern w:val="0"/>
                <w:szCs w:val="18"/>
              </w:rPr>
              <w:t>5,748(**)</w:t>
            </w:r>
          </w:p>
        </w:tc>
        <w:tc>
          <w:tcPr>
            <w:tcW w:w="876" w:type="pct"/>
            <w:tcBorders>
              <w:top w:val="nil"/>
              <w:left w:val="nil"/>
              <w:bottom w:val="single" w:sz="12" w:space="0" w:color="FF0000"/>
              <w:right w:val="nil"/>
            </w:tcBorders>
            <w:shd w:val="clear" w:color="auto" w:fill="auto"/>
            <w:vAlign w:val="center"/>
            <w:hideMark/>
          </w:tcPr>
          <w:p w14:paraId="6C3C0CD7" w14:textId="63E54673" w:rsidR="008D2903" w:rsidRPr="00894701" w:rsidRDefault="008D2903" w:rsidP="008D2903">
            <w:pPr>
              <w:spacing w:after="0" w:line="240" w:lineRule="auto"/>
              <w:jc w:val="right"/>
              <w:rPr>
                <w:b/>
                <w:bCs/>
                <w:color w:val="auto"/>
                <w:kern w:val="0"/>
                <w:sz w:val="16"/>
                <w:szCs w:val="16"/>
                <w:lang w:eastAsia="fr-FR"/>
              </w:rPr>
            </w:pPr>
            <w:r w:rsidRPr="00894701">
              <w:rPr>
                <w:color w:val="000000"/>
                <w:kern w:val="0"/>
                <w:szCs w:val="18"/>
              </w:rPr>
              <w:t>6,191(**)</w:t>
            </w:r>
          </w:p>
        </w:tc>
      </w:tr>
      <w:tr w:rsidR="00C143AE" w:rsidRPr="00894701" w14:paraId="2548C95F" w14:textId="77777777" w:rsidTr="004C70CC">
        <w:trPr>
          <w:trHeight w:val="283"/>
        </w:trPr>
        <w:tc>
          <w:tcPr>
            <w:tcW w:w="2600" w:type="pct"/>
            <w:tcBorders>
              <w:top w:val="nil"/>
              <w:left w:val="nil"/>
              <w:bottom w:val="single" w:sz="12" w:space="0" w:color="FF0000"/>
              <w:right w:val="nil"/>
            </w:tcBorders>
            <w:shd w:val="clear" w:color="auto" w:fill="808080"/>
            <w:noWrap/>
            <w:vAlign w:val="center"/>
            <w:hideMark/>
          </w:tcPr>
          <w:p w14:paraId="51EB9731" w14:textId="77777777" w:rsidR="00C143AE" w:rsidRPr="00894701" w:rsidRDefault="00C143AE" w:rsidP="00C143AE">
            <w:pPr>
              <w:spacing w:after="0" w:line="240" w:lineRule="auto"/>
              <w:rPr>
                <w:b/>
                <w:bCs/>
                <w:color w:val="FFFFFF"/>
                <w:kern w:val="0"/>
                <w:szCs w:val="18"/>
                <w:lang w:eastAsia="fr-FR"/>
              </w:rPr>
            </w:pPr>
            <w:r w:rsidRPr="00894701">
              <w:rPr>
                <w:b/>
                <w:bCs/>
                <w:color w:val="FFFFFF"/>
                <w:kern w:val="0"/>
                <w:szCs w:val="18"/>
                <w:lang w:eastAsia="fr-FR"/>
              </w:rPr>
              <w:t>% Mining revenues</w:t>
            </w:r>
          </w:p>
        </w:tc>
        <w:tc>
          <w:tcPr>
            <w:tcW w:w="761" w:type="pct"/>
            <w:tcBorders>
              <w:top w:val="nil"/>
              <w:left w:val="nil"/>
              <w:bottom w:val="single" w:sz="12" w:space="0" w:color="FF0000"/>
              <w:right w:val="nil"/>
            </w:tcBorders>
            <w:shd w:val="clear" w:color="auto" w:fill="808080"/>
            <w:noWrap/>
            <w:vAlign w:val="center"/>
            <w:hideMark/>
          </w:tcPr>
          <w:p w14:paraId="561426A4" w14:textId="7BEFFD4F" w:rsidR="00C143AE" w:rsidRPr="00894701" w:rsidRDefault="00C143AE" w:rsidP="00C143AE">
            <w:pPr>
              <w:spacing w:after="0" w:line="240" w:lineRule="auto"/>
              <w:jc w:val="right"/>
              <w:rPr>
                <w:b/>
                <w:bCs/>
                <w:color w:val="FFFFFF"/>
                <w:kern w:val="0"/>
                <w:szCs w:val="18"/>
              </w:rPr>
            </w:pPr>
            <w:r w:rsidRPr="00894701">
              <w:rPr>
                <w:rFonts w:cs="Arial"/>
                <w:b/>
                <w:bCs/>
                <w:color w:val="FFFFFF"/>
                <w:szCs w:val="18"/>
              </w:rPr>
              <w:t>14.27%</w:t>
            </w:r>
          </w:p>
        </w:tc>
        <w:tc>
          <w:tcPr>
            <w:tcW w:w="763" w:type="pct"/>
            <w:tcBorders>
              <w:top w:val="nil"/>
              <w:left w:val="nil"/>
              <w:bottom w:val="single" w:sz="12" w:space="0" w:color="FF0000"/>
              <w:right w:val="nil"/>
            </w:tcBorders>
            <w:shd w:val="clear" w:color="auto" w:fill="808080"/>
            <w:noWrap/>
            <w:vAlign w:val="center"/>
            <w:hideMark/>
          </w:tcPr>
          <w:p w14:paraId="5E1B345F" w14:textId="40D5AFCB" w:rsidR="00C143AE" w:rsidRPr="00894701" w:rsidRDefault="00C143AE" w:rsidP="00C143AE">
            <w:pPr>
              <w:spacing w:after="0" w:line="240" w:lineRule="auto"/>
              <w:jc w:val="right"/>
              <w:rPr>
                <w:b/>
                <w:bCs/>
                <w:color w:val="FFFFFF"/>
                <w:kern w:val="0"/>
                <w:szCs w:val="18"/>
              </w:rPr>
            </w:pPr>
            <w:r w:rsidRPr="00894701">
              <w:rPr>
                <w:rFonts w:cs="Arial"/>
                <w:b/>
                <w:bCs/>
                <w:color w:val="FFFFFF"/>
                <w:szCs w:val="18"/>
              </w:rPr>
              <w:t>16.01%</w:t>
            </w:r>
          </w:p>
        </w:tc>
        <w:tc>
          <w:tcPr>
            <w:tcW w:w="876" w:type="pct"/>
            <w:tcBorders>
              <w:top w:val="nil"/>
              <w:left w:val="nil"/>
              <w:bottom w:val="single" w:sz="12" w:space="0" w:color="FF0000"/>
              <w:right w:val="nil"/>
            </w:tcBorders>
            <w:shd w:val="clear" w:color="auto" w:fill="808080"/>
            <w:vAlign w:val="center"/>
            <w:hideMark/>
          </w:tcPr>
          <w:p w14:paraId="54B515B3" w14:textId="60C5CE65" w:rsidR="00C143AE" w:rsidRPr="00894701" w:rsidRDefault="00C143AE" w:rsidP="00C143AE">
            <w:pPr>
              <w:spacing w:after="0" w:line="240" w:lineRule="auto"/>
              <w:jc w:val="right"/>
              <w:rPr>
                <w:b/>
                <w:bCs/>
                <w:color w:val="FFFFFF"/>
                <w:kern w:val="0"/>
                <w:szCs w:val="18"/>
              </w:rPr>
            </w:pPr>
            <w:r w:rsidRPr="00894701">
              <w:rPr>
                <w:rFonts w:cs="Arial"/>
                <w:b/>
                <w:bCs/>
                <w:color w:val="FFFFFF"/>
                <w:szCs w:val="18"/>
              </w:rPr>
              <w:t>22.65%</w:t>
            </w:r>
          </w:p>
        </w:tc>
      </w:tr>
    </w:tbl>
    <w:p w14:paraId="7D713232" w14:textId="50A87BC8" w:rsidR="003C4EBB" w:rsidRPr="00894701" w:rsidRDefault="00EA445D" w:rsidP="00087339">
      <w:pPr>
        <w:spacing w:after="0"/>
        <w:contextualSpacing/>
        <w:jc w:val="both"/>
        <w:rPr>
          <w:rFonts w:asciiTheme="majorHAnsi" w:hAnsiTheme="majorHAnsi"/>
          <w:i/>
          <w:iCs/>
          <w:color w:val="auto"/>
          <w:sz w:val="16"/>
          <w:szCs w:val="16"/>
        </w:rPr>
      </w:pPr>
      <w:r w:rsidRPr="00894701">
        <w:rPr>
          <w:i/>
          <w:iCs/>
          <w:color w:val="auto"/>
          <w:sz w:val="16"/>
          <w:szCs w:val="16"/>
        </w:rPr>
        <w:t xml:space="preserve">(*) </w:t>
      </w:r>
      <w:r w:rsidR="003C4EBB" w:rsidRPr="00894701">
        <w:rPr>
          <w:rFonts w:asciiTheme="majorHAnsi" w:hAnsiTheme="majorHAnsi"/>
          <w:i/>
          <w:iCs/>
          <w:color w:val="auto"/>
          <w:sz w:val="16"/>
          <w:szCs w:val="16"/>
        </w:rPr>
        <w:t>Source: EITI-SR Reporting templates(*)</w:t>
      </w:r>
    </w:p>
    <w:p w14:paraId="011639BA" w14:textId="77777777" w:rsidR="008D2903" w:rsidRPr="00894701" w:rsidRDefault="008D2903" w:rsidP="008D2903">
      <w:pPr>
        <w:pStyle w:val="BodyTextRed"/>
        <w:contextualSpacing/>
        <w:jc w:val="both"/>
        <w:rPr>
          <w:i/>
          <w:iCs/>
          <w:color w:val="auto"/>
          <w:sz w:val="16"/>
          <w:szCs w:val="16"/>
        </w:rPr>
      </w:pPr>
      <w:r w:rsidRPr="00894701">
        <w:rPr>
          <w:i/>
          <w:iCs/>
          <w:color w:val="auto"/>
          <w:sz w:val="16"/>
          <w:szCs w:val="16"/>
        </w:rPr>
        <w:t>(**) Source : Ministerie van Financiën en Planning Annual report 2020</w:t>
      </w:r>
      <w:r w:rsidRPr="00894701">
        <w:rPr>
          <w:rStyle w:val="FootnoteReference"/>
          <w:i/>
          <w:iCs/>
          <w:color w:val="auto"/>
          <w:sz w:val="16"/>
          <w:szCs w:val="16"/>
        </w:rPr>
        <w:footnoteReference w:id="42"/>
      </w:r>
    </w:p>
    <w:p w14:paraId="4CB13829" w14:textId="6B3E648E" w:rsidR="008D2903" w:rsidRPr="00894701" w:rsidRDefault="008D2903" w:rsidP="008D2903">
      <w:pPr>
        <w:pStyle w:val="BodyTextRed"/>
        <w:contextualSpacing/>
        <w:jc w:val="both"/>
        <w:rPr>
          <w:i/>
          <w:iCs/>
          <w:color w:val="auto"/>
          <w:sz w:val="16"/>
          <w:szCs w:val="16"/>
        </w:rPr>
      </w:pPr>
      <w:r w:rsidRPr="00894701">
        <w:rPr>
          <w:i/>
          <w:iCs/>
          <w:color w:val="auto"/>
          <w:sz w:val="16"/>
          <w:szCs w:val="16"/>
        </w:rPr>
        <w:t xml:space="preserve">(***) Source : Estimated on </w:t>
      </w:r>
      <w:r w:rsidR="00F97281" w:rsidRPr="00894701">
        <w:rPr>
          <w:i/>
          <w:iCs/>
          <w:color w:val="auto"/>
          <w:sz w:val="16"/>
          <w:szCs w:val="16"/>
        </w:rPr>
        <w:t>the</w:t>
      </w:r>
      <w:r w:rsidRPr="00894701">
        <w:rPr>
          <w:i/>
          <w:iCs/>
          <w:color w:val="auto"/>
          <w:sz w:val="16"/>
          <w:szCs w:val="16"/>
        </w:rPr>
        <w:t xml:space="preserve"> basis of 2019 domestic revenues</w:t>
      </w:r>
    </w:p>
    <w:p w14:paraId="0EC666AD" w14:textId="77777777" w:rsidR="00BA336E" w:rsidRPr="00894701" w:rsidRDefault="00BA336E" w:rsidP="00D00050">
      <w:pPr>
        <w:contextualSpacing/>
        <w:jc w:val="both"/>
        <w:rPr>
          <w:rFonts w:asciiTheme="majorHAnsi" w:hAnsiTheme="majorHAnsi"/>
          <w:i/>
          <w:iCs/>
          <w:color w:val="auto"/>
          <w:sz w:val="16"/>
          <w:szCs w:val="16"/>
        </w:rPr>
      </w:pPr>
    </w:p>
    <w:p w14:paraId="26D2FE2E" w14:textId="6F7CF690" w:rsidR="00576FE2" w:rsidRPr="00894701" w:rsidRDefault="002C1DD7" w:rsidP="00D00050">
      <w:pPr>
        <w:pStyle w:val="AltMinorSubHeading"/>
        <w:numPr>
          <w:ilvl w:val="0"/>
          <w:numId w:val="0"/>
        </w:numPr>
        <w:spacing w:before="120" w:after="120"/>
        <w:rPr>
          <w:color w:val="ED1A3B"/>
        </w:rPr>
      </w:pPr>
      <w:bookmarkStart w:id="352" w:name="_Toc122478919"/>
      <w:r w:rsidRPr="00894701">
        <w:rPr>
          <w:color w:val="ED1A3B"/>
        </w:rPr>
        <w:t>3.</w:t>
      </w:r>
      <w:r w:rsidR="004374E9" w:rsidRPr="00894701">
        <w:rPr>
          <w:color w:val="ED1A3B"/>
        </w:rPr>
        <w:t>19</w:t>
      </w:r>
      <w:r w:rsidRPr="00894701">
        <w:rPr>
          <w:color w:val="ED1A3B"/>
        </w:rPr>
        <w:t>.</w:t>
      </w:r>
      <w:r w:rsidR="00FD1823" w:rsidRPr="00894701">
        <w:rPr>
          <w:color w:val="ED1A3B"/>
        </w:rPr>
        <w:t>3</w:t>
      </w:r>
      <w:r w:rsidRPr="00894701">
        <w:rPr>
          <w:color w:val="ED1A3B"/>
        </w:rPr>
        <w:t xml:space="preserve"> </w:t>
      </w:r>
      <w:r w:rsidR="00576FE2" w:rsidRPr="00894701">
        <w:rPr>
          <w:color w:val="ED1A3B"/>
        </w:rPr>
        <w:t>(</w:t>
      </w:r>
      <w:r w:rsidR="00FD1823" w:rsidRPr="00894701">
        <w:rPr>
          <w:color w:val="ED1A3B"/>
        </w:rPr>
        <w:t>b</w:t>
      </w:r>
      <w:r w:rsidR="00576FE2" w:rsidRPr="00894701">
        <w:rPr>
          <w:color w:val="ED1A3B"/>
        </w:rPr>
        <w:t>) Exports (Requirement 6.3.c):</w:t>
      </w:r>
      <w:bookmarkEnd w:id="352"/>
    </w:p>
    <w:p w14:paraId="4E828820" w14:textId="277C9C7F" w:rsidR="00184DFF" w:rsidRPr="00894701" w:rsidRDefault="00625E67" w:rsidP="001A524A">
      <w:pPr>
        <w:pStyle w:val="BodyText"/>
        <w:jc w:val="both"/>
        <w:rPr>
          <w:rFonts w:cs="Arial"/>
          <w:color w:val="000000"/>
          <w:sz w:val="20"/>
        </w:rPr>
      </w:pPr>
      <w:r w:rsidRPr="00894701">
        <w:rPr>
          <w:rFonts w:cs="Arial"/>
          <w:color w:val="000000"/>
          <w:sz w:val="20"/>
        </w:rPr>
        <w:t xml:space="preserve">Export data of the main commodities in the mining sector as provided by the </w:t>
      </w:r>
      <w:r w:rsidR="00887021" w:rsidRPr="00894701">
        <w:rPr>
          <w:rFonts w:cs="Arial"/>
          <w:color w:val="000000"/>
          <w:sz w:val="20"/>
        </w:rPr>
        <w:t xml:space="preserve">Central Bank of Suriname </w:t>
      </w:r>
      <w:r w:rsidRPr="00894701">
        <w:rPr>
          <w:rFonts w:cs="Arial"/>
          <w:color w:val="000000"/>
          <w:sz w:val="20"/>
        </w:rPr>
        <w:t xml:space="preserve">and </w:t>
      </w:r>
      <w:r w:rsidR="00887021" w:rsidRPr="00894701">
        <w:rPr>
          <w:rFonts w:cs="Arial"/>
          <w:color w:val="000000"/>
          <w:sz w:val="20"/>
        </w:rPr>
        <w:t>General Bureau of Statistics</w:t>
      </w:r>
      <w:r w:rsidRPr="00894701">
        <w:rPr>
          <w:rFonts w:cs="Arial"/>
          <w:color w:val="000000"/>
          <w:sz w:val="20"/>
        </w:rPr>
        <w:t xml:space="preserve"> are summarised in the table below.</w:t>
      </w:r>
    </w:p>
    <w:p w14:paraId="73A414EB" w14:textId="49EED291" w:rsidR="00184DFF" w:rsidRPr="00894701" w:rsidRDefault="00B16B4D" w:rsidP="007426C6">
      <w:pPr>
        <w:pStyle w:val="BodyText"/>
        <w:tabs>
          <w:tab w:val="left" w:pos="1272"/>
          <w:tab w:val="center" w:pos="4525"/>
        </w:tabs>
        <w:rPr>
          <w:b/>
          <w:bCs/>
          <w:color w:val="98002E" w:themeColor="accent3"/>
          <w:sz w:val="20"/>
          <w:szCs w:val="20"/>
        </w:rPr>
      </w:pPr>
      <w:bookmarkStart w:id="353" w:name="_Hlk117670428"/>
      <w:r w:rsidRPr="00894701">
        <w:rPr>
          <w:b/>
          <w:bCs/>
          <w:color w:val="98002E" w:themeColor="accent3"/>
          <w:sz w:val="20"/>
          <w:szCs w:val="20"/>
        </w:rPr>
        <w:tab/>
      </w:r>
      <w:r w:rsidRPr="00894701">
        <w:rPr>
          <w:b/>
          <w:bCs/>
          <w:color w:val="98002E" w:themeColor="accent3"/>
          <w:sz w:val="20"/>
          <w:szCs w:val="20"/>
        </w:rPr>
        <w:tab/>
      </w:r>
      <w:bookmarkStart w:id="354" w:name="_Toc146590510"/>
      <w:r w:rsidR="00D00050" w:rsidRPr="00894701">
        <w:rPr>
          <w:b/>
          <w:bCs/>
          <w:color w:val="98002E" w:themeColor="accent3"/>
          <w:sz w:val="20"/>
          <w:szCs w:val="20"/>
        </w:rPr>
        <w:t xml:space="preserve">Table </w:t>
      </w:r>
      <w:r w:rsidR="00D00050" w:rsidRPr="00894701">
        <w:rPr>
          <w:b/>
          <w:bCs/>
          <w:color w:val="98002E" w:themeColor="accent3"/>
          <w:sz w:val="20"/>
          <w:szCs w:val="20"/>
        </w:rPr>
        <w:fldChar w:fldCharType="begin"/>
      </w:r>
      <w:r w:rsidR="00D00050" w:rsidRPr="00894701">
        <w:rPr>
          <w:b/>
          <w:bCs/>
          <w:color w:val="98002E" w:themeColor="accent3"/>
          <w:sz w:val="20"/>
          <w:szCs w:val="20"/>
        </w:rPr>
        <w:instrText xml:space="preserve"> SEQ Table \* ARABIC </w:instrText>
      </w:r>
      <w:r w:rsidR="00D00050" w:rsidRPr="00894701">
        <w:rPr>
          <w:b/>
          <w:bCs/>
          <w:color w:val="98002E" w:themeColor="accent3"/>
          <w:sz w:val="20"/>
          <w:szCs w:val="20"/>
        </w:rPr>
        <w:fldChar w:fldCharType="separate"/>
      </w:r>
      <w:r w:rsidR="0035303B">
        <w:rPr>
          <w:b/>
          <w:bCs/>
          <w:noProof/>
          <w:color w:val="98002E" w:themeColor="accent3"/>
          <w:sz w:val="20"/>
          <w:szCs w:val="20"/>
        </w:rPr>
        <w:t>38</w:t>
      </w:r>
      <w:r w:rsidR="00D00050" w:rsidRPr="00894701">
        <w:rPr>
          <w:b/>
          <w:bCs/>
          <w:color w:val="98002E" w:themeColor="accent3"/>
          <w:sz w:val="20"/>
          <w:szCs w:val="20"/>
        </w:rPr>
        <w:fldChar w:fldCharType="end"/>
      </w:r>
      <w:r w:rsidR="00D00050" w:rsidRPr="00894701">
        <w:rPr>
          <w:b/>
          <w:bCs/>
          <w:color w:val="98002E" w:themeColor="accent3"/>
          <w:sz w:val="20"/>
          <w:szCs w:val="20"/>
        </w:rPr>
        <w:t xml:space="preserve">: </w:t>
      </w:r>
      <w:r w:rsidR="00FF0F3D" w:rsidRPr="00894701">
        <w:rPr>
          <w:b/>
          <w:bCs/>
          <w:color w:val="98002E" w:themeColor="accent3"/>
          <w:sz w:val="20"/>
          <w:szCs w:val="20"/>
        </w:rPr>
        <w:t xml:space="preserve">Contribution of </w:t>
      </w:r>
      <w:r w:rsidR="00184DFF" w:rsidRPr="00894701">
        <w:rPr>
          <w:b/>
          <w:bCs/>
          <w:color w:val="98002E" w:themeColor="accent3"/>
          <w:sz w:val="20"/>
          <w:szCs w:val="20"/>
        </w:rPr>
        <w:t>min</w:t>
      </w:r>
      <w:r w:rsidR="00FF0F3D" w:rsidRPr="00894701">
        <w:rPr>
          <w:b/>
          <w:bCs/>
          <w:color w:val="98002E" w:themeColor="accent3"/>
          <w:sz w:val="20"/>
          <w:szCs w:val="20"/>
        </w:rPr>
        <w:t>eral exports to total exports</w:t>
      </w:r>
      <w:bookmarkEnd w:id="354"/>
    </w:p>
    <w:tbl>
      <w:tblPr>
        <w:tblW w:w="5000" w:type="pct"/>
        <w:tblLook w:val="04A0" w:firstRow="1" w:lastRow="0" w:firstColumn="1" w:lastColumn="0" w:noHBand="0" w:noVBand="1"/>
      </w:tblPr>
      <w:tblGrid>
        <w:gridCol w:w="4301"/>
        <w:gridCol w:w="1106"/>
        <w:gridCol w:w="1770"/>
        <w:gridCol w:w="1873"/>
      </w:tblGrid>
      <w:tr w:rsidR="00767A5A" w:rsidRPr="00894701" w14:paraId="4C5AE1D2" w14:textId="77777777" w:rsidTr="00767A5A">
        <w:trPr>
          <w:trHeight w:val="283"/>
        </w:trPr>
        <w:tc>
          <w:tcPr>
            <w:tcW w:w="2376" w:type="pct"/>
            <w:tcBorders>
              <w:top w:val="nil"/>
              <w:left w:val="nil"/>
              <w:bottom w:val="single" w:sz="12" w:space="0" w:color="FF0000"/>
              <w:right w:val="nil"/>
            </w:tcBorders>
            <w:shd w:val="clear" w:color="000000" w:fill="7A091A"/>
            <w:noWrap/>
            <w:vAlign w:val="center"/>
            <w:hideMark/>
          </w:tcPr>
          <w:p w14:paraId="205C8B9C" w14:textId="75DBBC96" w:rsidR="00767A5A" w:rsidRPr="00894701" w:rsidRDefault="00767A5A" w:rsidP="00446B8D">
            <w:pPr>
              <w:spacing w:after="0" w:line="240" w:lineRule="auto"/>
              <w:rPr>
                <w:b/>
                <w:bCs/>
                <w:color w:val="FFFFFF"/>
                <w:kern w:val="0"/>
                <w:sz w:val="16"/>
                <w:szCs w:val="16"/>
              </w:rPr>
            </w:pPr>
            <w:r w:rsidRPr="00894701">
              <w:rPr>
                <w:b/>
                <w:bCs/>
                <w:color w:val="FFFFFF"/>
                <w:kern w:val="0"/>
                <w:sz w:val="16"/>
                <w:szCs w:val="16"/>
                <w:lang w:eastAsia="fr-FR"/>
              </w:rPr>
              <w:t>In USD</w:t>
            </w:r>
          </w:p>
        </w:tc>
        <w:tc>
          <w:tcPr>
            <w:tcW w:w="611" w:type="pct"/>
            <w:tcBorders>
              <w:top w:val="nil"/>
              <w:left w:val="nil"/>
              <w:bottom w:val="single" w:sz="12" w:space="0" w:color="FF0000"/>
              <w:right w:val="nil"/>
            </w:tcBorders>
            <w:shd w:val="clear" w:color="000000" w:fill="7A091A"/>
            <w:noWrap/>
            <w:vAlign w:val="center"/>
            <w:hideMark/>
          </w:tcPr>
          <w:p w14:paraId="1964AF79" w14:textId="77777777" w:rsidR="00767A5A" w:rsidRPr="00894701" w:rsidRDefault="00767A5A" w:rsidP="00446B8D">
            <w:pPr>
              <w:spacing w:after="0" w:line="240" w:lineRule="auto"/>
              <w:jc w:val="right"/>
              <w:rPr>
                <w:b/>
                <w:bCs/>
                <w:color w:val="FFFFFF"/>
                <w:kern w:val="0"/>
                <w:sz w:val="16"/>
                <w:szCs w:val="16"/>
              </w:rPr>
            </w:pPr>
            <w:r w:rsidRPr="00894701">
              <w:rPr>
                <w:b/>
                <w:bCs/>
                <w:color w:val="FFFFFF"/>
                <w:kern w:val="0"/>
                <w:sz w:val="16"/>
                <w:szCs w:val="16"/>
                <w:lang w:eastAsia="fr-FR"/>
              </w:rPr>
              <w:t>2018</w:t>
            </w:r>
          </w:p>
        </w:tc>
        <w:tc>
          <w:tcPr>
            <w:tcW w:w="978" w:type="pct"/>
            <w:tcBorders>
              <w:top w:val="nil"/>
              <w:left w:val="nil"/>
              <w:bottom w:val="single" w:sz="12" w:space="0" w:color="FF0000"/>
              <w:right w:val="nil"/>
            </w:tcBorders>
            <w:shd w:val="clear" w:color="000000" w:fill="7A091A"/>
            <w:noWrap/>
            <w:vAlign w:val="center"/>
            <w:hideMark/>
          </w:tcPr>
          <w:p w14:paraId="46AC7997" w14:textId="77777777" w:rsidR="00767A5A" w:rsidRPr="00894701" w:rsidRDefault="00767A5A" w:rsidP="00446B8D">
            <w:pPr>
              <w:spacing w:after="0" w:line="240" w:lineRule="auto"/>
              <w:jc w:val="right"/>
              <w:rPr>
                <w:b/>
                <w:bCs/>
                <w:color w:val="FFFFFF"/>
                <w:kern w:val="0"/>
                <w:sz w:val="16"/>
                <w:szCs w:val="16"/>
              </w:rPr>
            </w:pPr>
            <w:r w:rsidRPr="00894701">
              <w:rPr>
                <w:b/>
                <w:bCs/>
                <w:color w:val="FFFFFF"/>
                <w:kern w:val="0"/>
                <w:sz w:val="16"/>
                <w:szCs w:val="16"/>
                <w:lang w:eastAsia="fr-FR"/>
              </w:rPr>
              <w:t>2019</w:t>
            </w:r>
          </w:p>
        </w:tc>
        <w:tc>
          <w:tcPr>
            <w:tcW w:w="1035" w:type="pct"/>
            <w:tcBorders>
              <w:top w:val="nil"/>
              <w:left w:val="nil"/>
              <w:bottom w:val="single" w:sz="12" w:space="0" w:color="FF0000"/>
              <w:right w:val="nil"/>
            </w:tcBorders>
            <w:shd w:val="clear" w:color="000000" w:fill="7A091A"/>
            <w:noWrap/>
            <w:vAlign w:val="center"/>
            <w:hideMark/>
          </w:tcPr>
          <w:p w14:paraId="61C17E61" w14:textId="77777777" w:rsidR="00767A5A" w:rsidRPr="00894701" w:rsidRDefault="00767A5A" w:rsidP="00446B8D">
            <w:pPr>
              <w:spacing w:after="0" w:line="240" w:lineRule="auto"/>
              <w:jc w:val="right"/>
              <w:rPr>
                <w:b/>
                <w:bCs/>
                <w:color w:val="FFFFFF"/>
                <w:kern w:val="0"/>
                <w:sz w:val="16"/>
                <w:szCs w:val="16"/>
              </w:rPr>
            </w:pPr>
            <w:r w:rsidRPr="00894701">
              <w:rPr>
                <w:b/>
                <w:bCs/>
                <w:color w:val="FFFFFF"/>
                <w:kern w:val="0"/>
                <w:sz w:val="16"/>
                <w:szCs w:val="16"/>
                <w:lang w:eastAsia="fr-FR"/>
              </w:rPr>
              <w:t>2020</w:t>
            </w:r>
          </w:p>
        </w:tc>
      </w:tr>
      <w:tr w:rsidR="00767A5A" w:rsidRPr="00894701" w14:paraId="1692F025" w14:textId="77777777" w:rsidTr="00767A5A">
        <w:trPr>
          <w:trHeight w:val="283"/>
        </w:trPr>
        <w:tc>
          <w:tcPr>
            <w:tcW w:w="2376" w:type="pct"/>
            <w:tcBorders>
              <w:top w:val="nil"/>
              <w:left w:val="nil"/>
              <w:bottom w:val="nil"/>
              <w:right w:val="nil"/>
            </w:tcBorders>
            <w:shd w:val="clear" w:color="auto" w:fill="auto"/>
            <w:vAlign w:val="center"/>
            <w:hideMark/>
          </w:tcPr>
          <w:p w14:paraId="55960157" w14:textId="205DCE5D" w:rsidR="00767A5A" w:rsidRPr="00894701" w:rsidRDefault="00767A5A" w:rsidP="00B00D26">
            <w:pPr>
              <w:spacing w:after="0" w:line="240" w:lineRule="auto"/>
              <w:rPr>
                <w:color w:val="000000"/>
                <w:kern w:val="0"/>
                <w:szCs w:val="18"/>
              </w:rPr>
            </w:pPr>
            <w:r w:rsidRPr="00894701">
              <w:rPr>
                <w:color w:val="000000"/>
                <w:kern w:val="0"/>
                <w:szCs w:val="18"/>
                <w:lang w:eastAsia="fr-FR"/>
              </w:rPr>
              <w:t xml:space="preserve">Mining &amp; Quarrying Sector </w:t>
            </w:r>
            <w:r w:rsidRPr="00894701">
              <w:rPr>
                <w:color w:val="000000"/>
                <w:szCs w:val="18"/>
              </w:rPr>
              <w:t>(in million USD) (a)</w:t>
            </w:r>
          </w:p>
        </w:tc>
        <w:tc>
          <w:tcPr>
            <w:tcW w:w="611" w:type="pct"/>
            <w:tcBorders>
              <w:top w:val="nil"/>
              <w:left w:val="nil"/>
              <w:bottom w:val="nil"/>
              <w:right w:val="nil"/>
            </w:tcBorders>
            <w:shd w:val="clear" w:color="auto" w:fill="auto"/>
            <w:vAlign w:val="center"/>
            <w:hideMark/>
          </w:tcPr>
          <w:p w14:paraId="76BE4E74" w14:textId="41FBDC1B" w:rsidR="00767A5A" w:rsidRPr="00894701" w:rsidRDefault="00767A5A" w:rsidP="00B00D26">
            <w:pPr>
              <w:spacing w:after="0" w:line="240" w:lineRule="auto"/>
              <w:jc w:val="right"/>
              <w:rPr>
                <w:color w:val="000000"/>
                <w:kern w:val="0"/>
                <w:szCs w:val="18"/>
              </w:rPr>
            </w:pPr>
            <w:r w:rsidRPr="00894701">
              <w:rPr>
                <w:color w:val="000000"/>
                <w:sz w:val="16"/>
                <w:szCs w:val="16"/>
              </w:rPr>
              <w:t>143</w:t>
            </w:r>
          </w:p>
        </w:tc>
        <w:tc>
          <w:tcPr>
            <w:tcW w:w="978" w:type="pct"/>
            <w:tcBorders>
              <w:top w:val="nil"/>
              <w:left w:val="nil"/>
              <w:bottom w:val="nil"/>
              <w:right w:val="nil"/>
            </w:tcBorders>
            <w:shd w:val="clear" w:color="auto" w:fill="auto"/>
            <w:vAlign w:val="center"/>
            <w:hideMark/>
          </w:tcPr>
          <w:p w14:paraId="7DD4AEE6" w14:textId="7696216B" w:rsidR="00767A5A" w:rsidRPr="00894701" w:rsidRDefault="00767A5A" w:rsidP="00B00D26">
            <w:pPr>
              <w:spacing w:after="0" w:line="240" w:lineRule="auto"/>
              <w:jc w:val="right"/>
              <w:rPr>
                <w:color w:val="000000"/>
                <w:kern w:val="0"/>
                <w:szCs w:val="18"/>
              </w:rPr>
            </w:pPr>
            <w:r w:rsidRPr="00894701">
              <w:rPr>
                <w:color w:val="000000"/>
                <w:sz w:val="16"/>
                <w:szCs w:val="16"/>
              </w:rPr>
              <w:t>101</w:t>
            </w:r>
          </w:p>
        </w:tc>
        <w:tc>
          <w:tcPr>
            <w:tcW w:w="1035" w:type="pct"/>
            <w:tcBorders>
              <w:top w:val="nil"/>
              <w:left w:val="nil"/>
              <w:bottom w:val="nil"/>
              <w:right w:val="nil"/>
            </w:tcBorders>
            <w:shd w:val="clear" w:color="auto" w:fill="auto"/>
            <w:vAlign w:val="center"/>
            <w:hideMark/>
          </w:tcPr>
          <w:p w14:paraId="6346AA02" w14:textId="0D420287" w:rsidR="00767A5A" w:rsidRPr="00894701" w:rsidRDefault="00767A5A" w:rsidP="00B00D26">
            <w:pPr>
              <w:spacing w:after="0" w:line="240" w:lineRule="auto"/>
              <w:jc w:val="right"/>
              <w:rPr>
                <w:color w:val="000000"/>
                <w:kern w:val="0"/>
                <w:szCs w:val="18"/>
              </w:rPr>
            </w:pPr>
            <w:r w:rsidRPr="00894701">
              <w:rPr>
                <w:color w:val="000000"/>
                <w:sz w:val="16"/>
                <w:szCs w:val="16"/>
              </w:rPr>
              <w:t>18</w:t>
            </w:r>
          </w:p>
        </w:tc>
      </w:tr>
      <w:tr w:rsidR="00767A5A" w:rsidRPr="00894701" w14:paraId="00941FA8" w14:textId="77777777" w:rsidTr="00767A5A">
        <w:trPr>
          <w:trHeight w:val="283"/>
        </w:trPr>
        <w:tc>
          <w:tcPr>
            <w:tcW w:w="2376" w:type="pct"/>
            <w:tcBorders>
              <w:top w:val="nil"/>
              <w:left w:val="nil"/>
              <w:bottom w:val="nil"/>
              <w:right w:val="nil"/>
            </w:tcBorders>
            <w:shd w:val="clear" w:color="auto" w:fill="F8A3AF"/>
            <w:vAlign w:val="center"/>
            <w:hideMark/>
          </w:tcPr>
          <w:p w14:paraId="1E1377D6" w14:textId="60F942F0" w:rsidR="00767A5A" w:rsidRPr="00894701" w:rsidRDefault="00767A5A" w:rsidP="00B00D26">
            <w:pPr>
              <w:spacing w:after="0" w:line="240" w:lineRule="auto"/>
              <w:rPr>
                <w:color w:val="000000"/>
                <w:kern w:val="0"/>
                <w:szCs w:val="18"/>
              </w:rPr>
            </w:pPr>
            <w:r w:rsidRPr="00894701">
              <w:rPr>
                <w:color w:val="000000"/>
                <w:kern w:val="0"/>
                <w:szCs w:val="18"/>
                <w:lang w:eastAsia="fr-FR"/>
              </w:rPr>
              <w:t xml:space="preserve">Total export </w:t>
            </w:r>
            <w:r w:rsidRPr="00894701">
              <w:rPr>
                <w:color w:val="000000"/>
                <w:szCs w:val="18"/>
              </w:rPr>
              <w:t>(in million USD) (b)</w:t>
            </w:r>
          </w:p>
        </w:tc>
        <w:tc>
          <w:tcPr>
            <w:tcW w:w="611" w:type="pct"/>
            <w:tcBorders>
              <w:top w:val="nil"/>
              <w:left w:val="nil"/>
              <w:bottom w:val="nil"/>
              <w:right w:val="nil"/>
            </w:tcBorders>
            <w:shd w:val="clear" w:color="auto" w:fill="F8A3AF"/>
            <w:vAlign w:val="center"/>
            <w:hideMark/>
          </w:tcPr>
          <w:p w14:paraId="6BE90FA7" w14:textId="41BB1AB1" w:rsidR="00767A5A" w:rsidRPr="00894701" w:rsidRDefault="00767A5A" w:rsidP="00B00D26">
            <w:pPr>
              <w:spacing w:after="0" w:line="240" w:lineRule="auto"/>
              <w:jc w:val="right"/>
              <w:rPr>
                <w:color w:val="000000"/>
                <w:kern w:val="0"/>
                <w:szCs w:val="18"/>
              </w:rPr>
            </w:pPr>
            <w:r w:rsidRPr="00894701">
              <w:rPr>
                <w:color w:val="000000"/>
                <w:sz w:val="16"/>
                <w:szCs w:val="16"/>
              </w:rPr>
              <w:t>2,123</w:t>
            </w:r>
          </w:p>
        </w:tc>
        <w:tc>
          <w:tcPr>
            <w:tcW w:w="978" w:type="pct"/>
            <w:tcBorders>
              <w:top w:val="nil"/>
              <w:left w:val="nil"/>
              <w:bottom w:val="nil"/>
              <w:right w:val="nil"/>
            </w:tcBorders>
            <w:shd w:val="clear" w:color="auto" w:fill="F8A3AF"/>
            <w:vAlign w:val="center"/>
            <w:hideMark/>
          </w:tcPr>
          <w:p w14:paraId="670A5B5F" w14:textId="788CFDE7" w:rsidR="00767A5A" w:rsidRPr="00894701" w:rsidRDefault="00767A5A" w:rsidP="00B00D26">
            <w:pPr>
              <w:spacing w:after="0" w:line="240" w:lineRule="auto"/>
              <w:jc w:val="right"/>
              <w:rPr>
                <w:color w:val="000000"/>
                <w:kern w:val="0"/>
                <w:szCs w:val="18"/>
              </w:rPr>
            </w:pPr>
            <w:r w:rsidRPr="00894701">
              <w:rPr>
                <w:color w:val="000000"/>
                <w:sz w:val="16"/>
                <w:szCs w:val="16"/>
              </w:rPr>
              <w:t>2,090</w:t>
            </w:r>
          </w:p>
        </w:tc>
        <w:tc>
          <w:tcPr>
            <w:tcW w:w="1035" w:type="pct"/>
            <w:tcBorders>
              <w:top w:val="nil"/>
              <w:left w:val="nil"/>
              <w:bottom w:val="nil"/>
              <w:right w:val="nil"/>
            </w:tcBorders>
            <w:shd w:val="clear" w:color="auto" w:fill="F8A3AF"/>
            <w:vAlign w:val="center"/>
            <w:hideMark/>
          </w:tcPr>
          <w:p w14:paraId="13604652" w14:textId="53F586D2" w:rsidR="00767A5A" w:rsidRPr="00894701" w:rsidRDefault="00767A5A" w:rsidP="00B00D26">
            <w:pPr>
              <w:spacing w:after="0" w:line="240" w:lineRule="auto"/>
              <w:jc w:val="right"/>
              <w:rPr>
                <w:color w:val="000000"/>
                <w:kern w:val="0"/>
                <w:szCs w:val="18"/>
              </w:rPr>
            </w:pPr>
            <w:r w:rsidRPr="00894701">
              <w:rPr>
                <w:color w:val="000000"/>
                <w:sz w:val="16"/>
                <w:szCs w:val="16"/>
              </w:rPr>
              <w:t>2,123</w:t>
            </w:r>
          </w:p>
        </w:tc>
      </w:tr>
      <w:tr w:rsidR="00767A5A" w:rsidRPr="00894701" w14:paraId="376869D5" w14:textId="77777777" w:rsidTr="00767A5A">
        <w:trPr>
          <w:trHeight w:val="283"/>
        </w:trPr>
        <w:tc>
          <w:tcPr>
            <w:tcW w:w="2376" w:type="pct"/>
            <w:tcBorders>
              <w:top w:val="nil"/>
              <w:left w:val="nil"/>
              <w:bottom w:val="single" w:sz="12" w:space="0" w:color="FF0000"/>
              <w:right w:val="nil"/>
            </w:tcBorders>
            <w:shd w:val="clear" w:color="auto" w:fill="808080"/>
            <w:vAlign w:val="center"/>
            <w:hideMark/>
          </w:tcPr>
          <w:p w14:paraId="4D8F0D67" w14:textId="6B597CF3" w:rsidR="00767A5A" w:rsidRPr="00894701" w:rsidRDefault="00767A5A" w:rsidP="00B00D26">
            <w:pPr>
              <w:spacing w:after="0" w:line="240" w:lineRule="auto"/>
              <w:rPr>
                <w:b/>
                <w:bCs/>
                <w:color w:val="FFFFFF"/>
                <w:kern w:val="0"/>
                <w:szCs w:val="18"/>
              </w:rPr>
            </w:pPr>
            <w:r w:rsidRPr="00894701">
              <w:rPr>
                <w:b/>
                <w:bCs/>
                <w:color w:val="FFFFFF"/>
                <w:kern w:val="0"/>
                <w:szCs w:val="18"/>
                <w:lang w:eastAsia="fr-FR"/>
              </w:rPr>
              <w:t xml:space="preserve">Contribution </w:t>
            </w:r>
            <w:r w:rsidRPr="00894701">
              <w:rPr>
                <w:b/>
                <w:bCs/>
                <w:color w:val="FFFFFF" w:themeColor="background1"/>
                <w:szCs w:val="18"/>
              </w:rPr>
              <w:t>to exports (a)/(b)</w:t>
            </w:r>
          </w:p>
        </w:tc>
        <w:tc>
          <w:tcPr>
            <w:tcW w:w="611" w:type="pct"/>
            <w:tcBorders>
              <w:top w:val="nil"/>
              <w:left w:val="nil"/>
              <w:bottom w:val="single" w:sz="12" w:space="0" w:color="FF0000"/>
              <w:right w:val="nil"/>
            </w:tcBorders>
            <w:shd w:val="clear" w:color="auto" w:fill="808080"/>
            <w:vAlign w:val="center"/>
            <w:hideMark/>
          </w:tcPr>
          <w:p w14:paraId="04020A0E" w14:textId="4C21FD90" w:rsidR="00767A5A" w:rsidRPr="00894701" w:rsidRDefault="00767A5A" w:rsidP="00B00D26">
            <w:pPr>
              <w:spacing w:after="0" w:line="240" w:lineRule="auto"/>
              <w:jc w:val="right"/>
              <w:rPr>
                <w:b/>
                <w:bCs/>
                <w:color w:val="FFFFFF"/>
                <w:kern w:val="0"/>
                <w:szCs w:val="18"/>
              </w:rPr>
            </w:pPr>
            <w:r w:rsidRPr="00894701">
              <w:rPr>
                <w:b/>
                <w:bCs/>
                <w:color w:val="FFFFFF"/>
                <w:sz w:val="16"/>
                <w:szCs w:val="16"/>
              </w:rPr>
              <w:t>6.</w:t>
            </w:r>
            <w:r w:rsidR="00A2608E" w:rsidRPr="00894701">
              <w:rPr>
                <w:b/>
                <w:bCs/>
                <w:color w:val="FFFFFF"/>
                <w:sz w:val="16"/>
                <w:szCs w:val="16"/>
              </w:rPr>
              <w:t>74</w:t>
            </w:r>
            <w:r w:rsidRPr="00894701">
              <w:rPr>
                <w:b/>
                <w:bCs/>
                <w:color w:val="FFFFFF"/>
                <w:sz w:val="16"/>
                <w:szCs w:val="16"/>
              </w:rPr>
              <w:t>%</w:t>
            </w:r>
          </w:p>
        </w:tc>
        <w:tc>
          <w:tcPr>
            <w:tcW w:w="978" w:type="pct"/>
            <w:tcBorders>
              <w:top w:val="nil"/>
              <w:left w:val="nil"/>
              <w:bottom w:val="single" w:sz="12" w:space="0" w:color="FF0000"/>
              <w:right w:val="nil"/>
            </w:tcBorders>
            <w:shd w:val="clear" w:color="auto" w:fill="808080"/>
            <w:vAlign w:val="center"/>
            <w:hideMark/>
          </w:tcPr>
          <w:p w14:paraId="5D486DA9" w14:textId="7BE9009E" w:rsidR="00767A5A" w:rsidRPr="00894701" w:rsidRDefault="00767A5A" w:rsidP="00B00D26">
            <w:pPr>
              <w:spacing w:after="0" w:line="240" w:lineRule="auto"/>
              <w:jc w:val="right"/>
              <w:rPr>
                <w:b/>
                <w:bCs/>
                <w:color w:val="FFFFFF"/>
                <w:kern w:val="0"/>
                <w:szCs w:val="18"/>
              </w:rPr>
            </w:pPr>
            <w:r w:rsidRPr="00894701">
              <w:rPr>
                <w:b/>
                <w:bCs/>
                <w:color w:val="FFFFFF"/>
                <w:sz w:val="16"/>
                <w:szCs w:val="16"/>
              </w:rPr>
              <w:t>4.83%</w:t>
            </w:r>
          </w:p>
        </w:tc>
        <w:tc>
          <w:tcPr>
            <w:tcW w:w="1035" w:type="pct"/>
            <w:tcBorders>
              <w:top w:val="nil"/>
              <w:left w:val="nil"/>
              <w:bottom w:val="single" w:sz="12" w:space="0" w:color="FF0000"/>
              <w:right w:val="nil"/>
            </w:tcBorders>
            <w:shd w:val="clear" w:color="auto" w:fill="808080"/>
            <w:vAlign w:val="center"/>
            <w:hideMark/>
          </w:tcPr>
          <w:p w14:paraId="3EA3DD89" w14:textId="4F094EAF" w:rsidR="00767A5A" w:rsidRPr="00894701" w:rsidRDefault="00767A5A" w:rsidP="00B00D26">
            <w:pPr>
              <w:spacing w:after="0" w:line="240" w:lineRule="auto"/>
              <w:jc w:val="right"/>
              <w:rPr>
                <w:b/>
                <w:bCs/>
                <w:color w:val="FFFFFF"/>
                <w:kern w:val="0"/>
                <w:szCs w:val="18"/>
              </w:rPr>
            </w:pPr>
            <w:r w:rsidRPr="00894701">
              <w:rPr>
                <w:b/>
                <w:bCs/>
                <w:color w:val="FFFFFF"/>
                <w:sz w:val="16"/>
                <w:szCs w:val="16"/>
              </w:rPr>
              <w:t>0.</w:t>
            </w:r>
            <w:r w:rsidR="00A2608E" w:rsidRPr="00894701">
              <w:rPr>
                <w:b/>
                <w:bCs/>
                <w:color w:val="FFFFFF"/>
                <w:sz w:val="16"/>
                <w:szCs w:val="16"/>
              </w:rPr>
              <w:t>85</w:t>
            </w:r>
            <w:r w:rsidRPr="00894701">
              <w:rPr>
                <w:b/>
                <w:bCs/>
                <w:color w:val="FFFFFF"/>
                <w:sz w:val="16"/>
                <w:szCs w:val="16"/>
              </w:rPr>
              <w:t>%</w:t>
            </w:r>
          </w:p>
        </w:tc>
      </w:tr>
    </w:tbl>
    <w:bookmarkEnd w:id="353"/>
    <w:p w14:paraId="0FC8AB33" w14:textId="253F597C" w:rsidR="009B4A4D" w:rsidRPr="00894701" w:rsidRDefault="006A6E79" w:rsidP="006A6E79">
      <w:pPr>
        <w:pStyle w:val="BodyTextRed"/>
        <w:contextualSpacing/>
        <w:jc w:val="both"/>
        <w:rPr>
          <w:i/>
          <w:iCs/>
          <w:color w:val="auto"/>
          <w:sz w:val="16"/>
          <w:szCs w:val="16"/>
          <w:lang w:val="fr-FR"/>
        </w:rPr>
      </w:pPr>
      <w:r w:rsidRPr="00894701">
        <w:rPr>
          <w:i/>
          <w:iCs/>
          <w:color w:val="auto"/>
          <w:sz w:val="16"/>
          <w:szCs w:val="16"/>
          <w:lang w:val="fr-FR"/>
        </w:rPr>
        <w:t xml:space="preserve">Source : </w:t>
      </w:r>
      <w:hyperlink r:id="rId59" w:history="1">
        <w:r w:rsidR="00E05DD3" w:rsidRPr="00197D9B">
          <w:rPr>
            <w:rStyle w:val="Hyperlink"/>
            <w:rFonts w:ascii="Arial" w:hAnsi="Arial" w:cs="Arial"/>
            <w:i/>
            <w:iCs/>
            <w:sz w:val="16"/>
            <w:szCs w:val="16"/>
            <w:lang w:val="fr-FR"/>
          </w:rPr>
          <w:t>https://statistics--suriname-org.translate.goog/wp-content/uploads/2022/07/Import-Export-Re-export-Totale-Exporten-en-handelsbalans-2017-2020-EG.xls?_x_tr_sl=nl&amp;_x_tr_tl=en&amp;_x_tr_hl=en&amp;_x_tr_pto=sc</w:t>
        </w:r>
      </w:hyperlink>
      <w:r w:rsidR="00E05DD3" w:rsidRPr="00894701">
        <w:rPr>
          <w:i/>
          <w:iCs/>
          <w:color w:val="auto"/>
          <w:sz w:val="16"/>
          <w:szCs w:val="16"/>
          <w:lang w:val="fr-FR"/>
        </w:rPr>
        <w:t xml:space="preserve"> </w:t>
      </w:r>
    </w:p>
    <w:p w14:paraId="66152D48" w14:textId="77777777" w:rsidR="00BA336E" w:rsidRPr="00894701" w:rsidRDefault="00BA336E" w:rsidP="00E74EAB">
      <w:pPr>
        <w:jc w:val="both"/>
        <w:rPr>
          <w:lang w:val="fr-FR"/>
        </w:rPr>
      </w:pPr>
    </w:p>
    <w:p w14:paraId="05C3E109" w14:textId="10C5170B" w:rsidR="00576FE2" w:rsidRPr="00894701" w:rsidRDefault="004374E9" w:rsidP="004374E9">
      <w:pPr>
        <w:pStyle w:val="AltMinorSubHeading"/>
        <w:numPr>
          <w:ilvl w:val="0"/>
          <w:numId w:val="0"/>
        </w:numPr>
        <w:spacing w:before="120" w:after="120"/>
      </w:pPr>
      <w:bookmarkStart w:id="355" w:name="_Toc122478920"/>
      <w:r w:rsidRPr="00894701">
        <w:t>3.19.</w:t>
      </w:r>
      <w:r w:rsidR="00FD1823" w:rsidRPr="00894701">
        <w:t>3</w:t>
      </w:r>
      <w:r w:rsidRPr="00894701">
        <w:t>.</w:t>
      </w:r>
      <w:r w:rsidR="00576FE2" w:rsidRPr="00894701">
        <w:t>(</w:t>
      </w:r>
      <w:r w:rsidR="00FD1823" w:rsidRPr="00894701">
        <w:t>c</w:t>
      </w:r>
      <w:r w:rsidR="00576FE2" w:rsidRPr="00894701">
        <w:t>) Employment (Requirement 6.3.d):</w:t>
      </w:r>
      <w:bookmarkEnd w:id="355"/>
    </w:p>
    <w:p w14:paraId="469CC759" w14:textId="53A492A5" w:rsidR="00576FE2" w:rsidRPr="00894701" w:rsidRDefault="00576FE2" w:rsidP="00B226CF">
      <w:pPr>
        <w:jc w:val="both"/>
        <w:rPr>
          <w:rFonts w:cs="Arial"/>
          <w:color w:val="000000"/>
          <w:sz w:val="20"/>
        </w:rPr>
      </w:pPr>
      <w:r w:rsidRPr="00894701">
        <w:rPr>
          <w:rFonts w:cs="Arial"/>
          <w:color w:val="000000"/>
          <w:sz w:val="20"/>
        </w:rPr>
        <w:t>According to the</w:t>
      </w:r>
      <w:r w:rsidR="000075B3" w:rsidRPr="00894701">
        <w:rPr>
          <w:rFonts w:cs="Arial"/>
          <w:color w:val="000000"/>
          <w:sz w:val="20"/>
        </w:rPr>
        <w:t xml:space="preserve"> Bureau of Statistics </w:t>
      </w:r>
      <w:r w:rsidRPr="00894701">
        <w:rPr>
          <w:rFonts w:cs="Arial"/>
          <w:color w:val="000000"/>
          <w:sz w:val="20"/>
        </w:rPr>
        <w:t>report covering the fiscal year 20</w:t>
      </w:r>
      <w:r w:rsidR="00F52CFA" w:rsidRPr="00894701">
        <w:rPr>
          <w:rFonts w:cs="Arial"/>
          <w:color w:val="000000"/>
          <w:sz w:val="20"/>
        </w:rPr>
        <w:t>19</w:t>
      </w:r>
      <w:r w:rsidRPr="00894701">
        <w:rPr>
          <w:rFonts w:cs="Arial"/>
          <w:color w:val="000000"/>
          <w:sz w:val="20"/>
        </w:rPr>
        <w:t>, the contribution of the mining sector to the employment was as follows:</w:t>
      </w:r>
    </w:p>
    <w:p w14:paraId="2F0A05FA" w14:textId="6A10F358" w:rsidR="00A3487E" w:rsidRPr="00894701" w:rsidRDefault="00625E67" w:rsidP="00B226CF">
      <w:pPr>
        <w:pStyle w:val="BodyText"/>
        <w:jc w:val="center"/>
        <w:rPr>
          <w:b/>
          <w:bCs/>
          <w:color w:val="98002E" w:themeColor="accent3"/>
          <w:sz w:val="20"/>
          <w:szCs w:val="20"/>
        </w:rPr>
      </w:pPr>
      <w:bookmarkStart w:id="356" w:name="_Toc104557716"/>
      <w:bookmarkStart w:id="357" w:name="_Toc146590511"/>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39</w:t>
      </w:r>
      <w:r w:rsidRPr="00894701">
        <w:rPr>
          <w:b/>
          <w:bCs/>
          <w:color w:val="98002E" w:themeColor="accent3"/>
          <w:sz w:val="20"/>
          <w:szCs w:val="20"/>
        </w:rPr>
        <w:fldChar w:fldCharType="end"/>
      </w:r>
      <w:r w:rsidRPr="00894701">
        <w:rPr>
          <w:b/>
          <w:bCs/>
          <w:color w:val="98002E" w:themeColor="accent3"/>
          <w:sz w:val="20"/>
          <w:szCs w:val="20"/>
        </w:rPr>
        <w:t>: Contribution of the mining sector to the total employment from 2018 to 202</w:t>
      </w:r>
      <w:r w:rsidR="00F52CFA" w:rsidRPr="00894701">
        <w:rPr>
          <w:b/>
          <w:bCs/>
          <w:color w:val="98002E" w:themeColor="accent3"/>
          <w:sz w:val="20"/>
          <w:szCs w:val="20"/>
        </w:rPr>
        <w:t>0</w:t>
      </w:r>
      <w:bookmarkEnd w:id="356"/>
      <w:bookmarkEnd w:id="357"/>
    </w:p>
    <w:tbl>
      <w:tblPr>
        <w:tblW w:w="5000" w:type="pct"/>
        <w:tblLook w:val="04A0" w:firstRow="1" w:lastRow="0" w:firstColumn="1" w:lastColumn="0" w:noHBand="0" w:noVBand="1"/>
      </w:tblPr>
      <w:tblGrid>
        <w:gridCol w:w="1656"/>
        <w:gridCol w:w="1181"/>
        <w:gridCol w:w="1233"/>
        <w:gridCol w:w="1282"/>
        <w:gridCol w:w="1233"/>
        <w:gridCol w:w="930"/>
        <w:gridCol w:w="1535"/>
      </w:tblGrid>
      <w:tr w:rsidR="00AD4120" w:rsidRPr="00894701" w14:paraId="465BB1D5" w14:textId="77777777" w:rsidTr="00575FDD">
        <w:trPr>
          <w:trHeight w:val="283"/>
        </w:trPr>
        <w:tc>
          <w:tcPr>
            <w:tcW w:w="935" w:type="pct"/>
            <w:vMerge w:val="restart"/>
            <w:tcBorders>
              <w:top w:val="nil"/>
              <w:left w:val="nil"/>
              <w:bottom w:val="nil"/>
              <w:right w:val="nil"/>
            </w:tcBorders>
            <w:shd w:val="clear" w:color="000000" w:fill="7A091A"/>
            <w:vAlign w:val="center"/>
            <w:hideMark/>
          </w:tcPr>
          <w:p w14:paraId="6064A319" w14:textId="77777777" w:rsidR="00AD4120" w:rsidRPr="00894701" w:rsidRDefault="00AD4120" w:rsidP="00AD4120">
            <w:pPr>
              <w:spacing w:after="0" w:line="240" w:lineRule="auto"/>
              <w:jc w:val="center"/>
              <w:rPr>
                <w:b/>
                <w:bCs/>
                <w:color w:val="FFFFFF"/>
                <w:kern w:val="0"/>
                <w:szCs w:val="18"/>
              </w:rPr>
            </w:pPr>
            <w:r w:rsidRPr="00894701">
              <w:rPr>
                <w:b/>
                <w:bCs/>
                <w:color w:val="FFFFFF"/>
                <w:kern w:val="0"/>
                <w:szCs w:val="18"/>
              </w:rPr>
              <w:t>Employment</w:t>
            </w:r>
          </w:p>
        </w:tc>
        <w:tc>
          <w:tcPr>
            <w:tcW w:w="1322" w:type="pct"/>
            <w:gridSpan w:val="2"/>
            <w:tcBorders>
              <w:top w:val="nil"/>
              <w:left w:val="nil"/>
              <w:bottom w:val="nil"/>
              <w:right w:val="nil"/>
            </w:tcBorders>
            <w:shd w:val="clear" w:color="000000" w:fill="7A091A"/>
            <w:vAlign w:val="center"/>
            <w:hideMark/>
          </w:tcPr>
          <w:p w14:paraId="0FD1D728" w14:textId="77777777" w:rsidR="00AD4120" w:rsidRPr="00894701" w:rsidRDefault="00AD4120" w:rsidP="00AD4120">
            <w:pPr>
              <w:spacing w:after="0" w:line="240" w:lineRule="auto"/>
              <w:jc w:val="center"/>
              <w:rPr>
                <w:b/>
                <w:bCs/>
                <w:color w:val="FFFFFF"/>
                <w:kern w:val="0"/>
                <w:szCs w:val="18"/>
              </w:rPr>
            </w:pPr>
            <w:r w:rsidRPr="00894701">
              <w:rPr>
                <w:b/>
                <w:bCs/>
                <w:color w:val="FFFFFF"/>
                <w:kern w:val="0"/>
                <w:szCs w:val="18"/>
              </w:rPr>
              <w:t>FY 2018</w:t>
            </w:r>
          </w:p>
        </w:tc>
        <w:tc>
          <w:tcPr>
            <w:tcW w:w="1388" w:type="pct"/>
            <w:gridSpan w:val="2"/>
            <w:tcBorders>
              <w:top w:val="nil"/>
              <w:left w:val="nil"/>
              <w:bottom w:val="nil"/>
              <w:right w:val="nil"/>
            </w:tcBorders>
            <w:shd w:val="clear" w:color="000000" w:fill="7A091A"/>
            <w:vAlign w:val="center"/>
            <w:hideMark/>
          </w:tcPr>
          <w:p w14:paraId="0037C5E5" w14:textId="77777777" w:rsidR="00AD4120" w:rsidRPr="00894701" w:rsidRDefault="00AD4120" w:rsidP="00AD4120">
            <w:pPr>
              <w:spacing w:after="0" w:line="240" w:lineRule="auto"/>
              <w:jc w:val="center"/>
              <w:rPr>
                <w:b/>
                <w:bCs/>
                <w:color w:val="FFFFFF"/>
                <w:kern w:val="0"/>
                <w:szCs w:val="18"/>
              </w:rPr>
            </w:pPr>
            <w:r w:rsidRPr="00894701">
              <w:rPr>
                <w:b/>
                <w:bCs/>
                <w:color w:val="FFFFFF"/>
                <w:kern w:val="0"/>
                <w:szCs w:val="18"/>
              </w:rPr>
              <w:t>FY 2019</w:t>
            </w:r>
          </w:p>
        </w:tc>
        <w:tc>
          <w:tcPr>
            <w:tcW w:w="1355" w:type="pct"/>
            <w:gridSpan w:val="2"/>
            <w:tcBorders>
              <w:top w:val="nil"/>
              <w:left w:val="nil"/>
              <w:bottom w:val="nil"/>
              <w:right w:val="nil"/>
            </w:tcBorders>
            <w:shd w:val="clear" w:color="000000" w:fill="7A091A"/>
            <w:vAlign w:val="center"/>
            <w:hideMark/>
          </w:tcPr>
          <w:p w14:paraId="76AF83AE" w14:textId="77777777" w:rsidR="00AD4120" w:rsidRPr="00894701" w:rsidRDefault="00AD4120" w:rsidP="00AD4120">
            <w:pPr>
              <w:spacing w:after="0" w:line="240" w:lineRule="auto"/>
              <w:jc w:val="center"/>
              <w:rPr>
                <w:b/>
                <w:bCs/>
                <w:color w:val="FFFFFF"/>
                <w:kern w:val="0"/>
                <w:szCs w:val="18"/>
              </w:rPr>
            </w:pPr>
            <w:r w:rsidRPr="00894701">
              <w:rPr>
                <w:b/>
                <w:bCs/>
                <w:color w:val="FFFFFF"/>
                <w:kern w:val="0"/>
                <w:szCs w:val="18"/>
              </w:rPr>
              <w:t>FY 2020 (**)</w:t>
            </w:r>
          </w:p>
        </w:tc>
      </w:tr>
      <w:tr w:rsidR="00AD4120" w:rsidRPr="00894701" w14:paraId="40495A33" w14:textId="77777777" w:rsidTr="00B226CF">
        <w:trPr>
          <w:trHeight w:val="283"/>
        </w:trPr>
        <w:tc>
          <w:tcPr>
            <w:tcW w:w="935" w:type="pct"/>
            <w:vMerge/>
            <w:tcBorders>
              <w:top w:val="nil"/>
              <w:left w:val="nil"/>
              <w:bottom w:val="nil"/>
              <w:right w:val="nil"/>
            </w:tcBorders>
            <w:vAlign w:val="center"/>
            <w:hideMark/>
          </w:tcPr>
          <w:p w14:paraId="46C217C3" w14:textId="77777777" w:rsidR="00AD4120" w:rsidRPr="00894701" w:rsidRDefault="00AD4120" w:rsidP="00AD4120">
            <w:pPr>
              <w:spacing w:after="0" w:line="240" w:lineRule="auto"/>
              <w:rPr>
                <w:b/>
                <w:bCs/>
                <w:color w:val="FFFFFF"/>
                <w:kern w:val="0"/>
                <w:szCs w:val="18"/>
              </w:rPr>
            </w:pPr>
          </w:p>
        </w:tc>
        <w:tc>
          <w:tcPr>
            <w:tcW w:w="644" w:type="pct"/>
            <w:tcBorders>
              <w:top w:val="nil"/>
              <w:left w:val="nil"/>
              <w:bottom w:val="nil"/>
              <w:right w:val="nil"/>
            </w:tcBorders>
            <w:shd w:val="clear" w:color="000000" w:fill="7A091A"/>
            <w:vAlign w:val="center"/>
            <w:hideMark/>
          </w:tcPr>
          <w:p w14:paraId="1F167673" w14:textId="77777777" w:rsidR="00AD4120" w:rsidRPr="00894701" w:rsidRDefault="00AD4120" w:rsidP="00AD4120">
            <w:pPr>
              <w:spacing w:after="0" w:line="240" w:lineRule="auto"/>
              <w:jc w:val="right"/>
              <w:rPr>
                <w:b/>
                <w:bCs/>
                <w:color w:val="FFFFFF"/>
                <w:kern w:val="0"/>
                <w:szCs w:val="18"/>
              </w:rPr>
            </w:pPr>
            <w:r w:rsidRPr="00894701">
              <w:rPr>
                <w:b/>
                <w:bCs/>
                <w:color w:val="FFFFFF"/>
                <w:kern w:val="0"/>
                <w:szCs w:val="18"/>
              </w:rPr>
              <w:t>Male</w:t>
            </w:r>
          </w:p>
        </w:tc>
        <w:tc>
          <w:tcPr>
            <w:tcW w:w="678" w:type="pct"/>
            <w:tcBorders>
              <w:top w:val="nil"/>
              <w:left w:val="nil"/>
              <w:bottom w:val="nil"/>
              <w:right w:val="nil"/>
            </w:tcBorders>
            <w:shd w:val="clear" w:color="000000" w:fill="7A091A"/>
            <w:vAlign w:val="center"/>
            <w:hideMark/>
          </w:tcPr>
          <w:p w14:paraId="3BCACEC1" w14:textId="77777777" w:rsidR="00AD4120" w:rsidRPr="00894701" w:rsidRDefault="00AD4120" w:rsidP="00AD4120">
            <w:pPr>
              <w:spacing w:after="0" w:line="240" w:lineRule="auto"/>
              <w:jc w:val="right"/>
              <w:rPr>
                <w:b/>
                <w:bCs/>
                <w:color w:val="FFFFFF"/>
                <w:kern w:val="0"/>
                <w:szCs w:val="18"/>
              </w:rPr>
            </w:pPr>
            <w:r w:rsidRPr="00894701">
              <w:rPr>
                <w:b/>
                <w:bCs/>
                <w:color w:val="FFFFFF"/>
                <w:kern w:val="0"/>
                <w:szCs w:val="18"/>
              </w:rPr>
              <w:t>Female</w:t>
            </w:r>
          </w:p>
        </w:tc>
        <w:tc>
          <w:tcPr>
            <w:tcW w:w="710" w:type="pct"/>
            <w:tcBorders>
              <w:top w:val="nil"/>
              <w:left w:val="nil"/>
              <w:bottom w:val="nil"/>
              <w:right w:val="nil"/>
            </w:tcBorders>
            <w:shd w:val="clear" w:color="000000" w:fill="7A091A"/>
            <w:vAlign w:val="center"/>
            <w:hideMark/>
          </w:tcPr>
          <w:p w14:paraId="6E6A85B2" w14:textId="77777777" w:rsidR="00AD4120" w:rsidRPr="00894701" w:rsidRDefault="00AD4120" w:rsidP="00AD4120">
            <w:pPr>
              <w:spacing w:after="0" w:line="240" w:lineRule="auto"/>
              <w:jc w:val="right"/>
              <w:rPr>
                <w:b/>
                <w:bCs/>
                <w:color w:val="FFFFFF"/>
                <w:kern w:val="0"/>
                <w:szCs w:val="18"/>
              </w:rPr>
            </w:pPr>
            <w:r w:rsidRPr="00894701">
              <w:rPr>
                <w:b/>
                <w:bCs/>
                <w:color w:val="FFFFFF"/>
                <w:kern w:val="0"/>
                <w:szCs w:val="18"/>
              </w:rPr>
              <w:t>Male</w:t>
            </w:r>
          </w:p>
        </w:tc>
        <w:tc>
          <w:tcPr>
            <w:tcW w:w="678" w:type="pct"/>
            <w:tcBorders>
              <w:top w:val="nil"/>
              <w:left w:val="nil"/>
              <w:bottom w:val="nil"/>
              <w:right w:val="nil"/>
            </w:tcBorders>
            <w:shd w:val="clear" w:color="000000" w:fill="7A091A"/>
            <w:vAlign w:val="center"/>
            <w:hideMark/>
          </w:tcPr>
          <w:p w14:paraId="0797F7BA" w14:textId="77777777" w:rsidR="00AD4120" w:rsidRPr="00894701" w:rsidRDefault="00AD4120" w:rsidP="00AD4120">
            <w:pPr>
              <w:spacing w:after="0" w:line="240" w:lineRule="auto"/>
              <w:jc w:val="right"/>
              <w:rPr>
                <w:b/>
                <w:bCs/>
                <w:color w:val="FFFFFF"/>
                <w:kern w:val="0"/>
                <w:szCs w:val="18"/>
              </w:rPr>
            </w:pPr>
            <w:r w:rsidRPr="00894701">
              <w:rPr>
                <w:b/>
                <w:bCs/>
                <w:color w:val="FFFFFF"/>
                <w:kern w:val="0"/>
                <w:szCs w:val="18"/>
              </w:rPr>
              <w:t>Female</w:t>
            </w:r>
          </w:p>
        </w:tc>
        <w:tc>
          <w:tcPr>
            <w:tcW w:w="495" w:type="pct"/>
            <w:tcBorders>
              <w:top w:val="nil"/>
              <w:left w:val="nil"/>
              <w:bottom w:val="nil"/>
              <w:right w:val="nil"/>
            </w:tcBorders>
            <w:shd w:val="clear" w:color="000000" w:fill="7A091A"/>
            <w:vAlign w:val="center"/>
            <w:hideMark/>
          </w:tcPr>
          <w:p w14:paraId="6C0749FF" w14:textId="77777777" w:rsidR="00AD4120" w:rsidRPr="00894701" w:rsidRDefault="00AD4120" w:rsidP="00AD4120">
            <w:pPr>
              <w:spacing w:after="0" w:line="240" w:lineRule="auto"/>
              <w:jc w:val="right"/>
              <w:rPr>
                <w:b/>
                <w:bCs/>
                <w:color w:val="FFFFFF"/>
                <w:kern w:val="0"/>
                <w:szCs w:val="18"/>
              </w:rPr>
            </w:pPr>
            <w:r w:rsidRPr="00894701">
              <w:rPr>
                <w:b/>
                <w:bCs/>
                <w:color w:val="FFFFFF"/>
                <w:kern w:val="0"/>
                <w:szCs w:val="18"/>
              </w:rPr>
              <w:t>Male</w:t>
            </w:r>
          </w:p>
        </w:tc>
        <w:tc>
          <w:tcPr>
            <w:tcW w:w="860" w:type="pct"/>
            <w:tcBorders>
              <w:top w:val="nil"/>
              <w:left w:val="nil"/>
              <w:bottom w:val="nil"/>
              <w:right w:val="nil"/>
            </w:tcBorders>
            <w:shd w:val="clear" w:color="000000" w:fill="7A091A"/>
            <w:vAlign w:val="center"/>
            <w:hideMark/>
          </w:tcPr>
          <w:p w14:paraId="6EAEBB03" w14:textId="77777777" w:rsidR="00AD4120" w:rsidRPr="00894701" w:rsidRDefault="00AD4120" w:rsidP="00AD4120">
            <w:pPr>
              <w:spacing w:after="0" w:line="240" w:lineRule="auto"/>
              <w:jc w:val="right"/>
              <w:rPr>
                <w:b/>
                <w:bCs/>
                <w:color w:val="FFFFFF"/>
                <w:kern w:val="0"/>
                <w:szCs w:val="18"/>
              </w:rPr>
            </w:pPr>
            <w:r w:rsidRPr="00894701">
              <w:rPr>
                <w:b/>
                <w:bCs/>
                <w:color w:val="FFFFFF"/>
                <w:kern w:val="0"/>
                <w:szCs w:val="18"/>
              </w:rPr>
              <w:t>Female</w:t>
            </w:r>
          </w:p>
        </w:tc>
      </w:tr>
      <w:tr w:rsidR="00AD4120" w:rsidRPr="00894701" w14:paraId="0C12985A" w14:textId="77777777" w:rsidTr="00575FDD">
        <w:trPr>
          <w:trHeight w:val="283"/>
        </w:trPr>
        <w:tc>
          <w:tcPr>
            <w:tcW w:w="935" w:type="pct"/>
            <w:tcBorders>
              <w:top w:val="nil"/>
              <w:left w:val="nil"/>
              <w:bottom w:val="nil"/>
              <w:right w:val="nil"/>
            </w:tcBorders>
            <w:shd w:val="clear" w:color="000000" w:fill="F7A3B0"/>
            <w:noWrap/>
            <w:vAlign w:val="center"/>
            <w:hideMark/>
          </w:tcPr>
          <w:p w14:paraId="591636F5" w14:textId="77777777" w:rsidR="00AD4120" w:rsidRPr="00894701" w:rsidRDefault="00AD4120" w:rsidP="00AD4120">
            <w:pPr>
              <w:spacing w:after="0" w:line="240" w:lineRule="auto"/>
              <w:rPr>
                <w:color w:val="000000"/>
                <w:kern w:val="0"/>
                <w:szCs w:val="18"/>
              </w:rPr>
            </w:pPr>
            <w:r w:rsidRPr="00894701">
              <w:rPr>
                <w:color w:val="000000"/>
                <w:kern w:val="0"/>
                <w:szCs w:val="18"/>
              </w:rPr>
              <w:t>Mining*</w:t>
            </w:r>
          </w:p>
        </w:tc>
        <w:tc>
          <w:tcPr>
            <w:tcW w:w="644" w:type="pct"/>
            <w:tcBorders>
              <w:top w:val="nil"/>
              <w:left w:val="nil"/>
              <w:bottom w:val="nil"/>
              <w:right w:val="nil"/>
            </w:tcBorders>
            <w:shd w:val="clear" w:color="000000" w:fill="F7A3B0"/>
            <w:noWrap/>
            <w:vAlign w:val="center"/>
            <w:hideMark/>
          </w:tcPr>
          <w:p w14:paraId="44474C71" w14:textId="77777777" w:rsidR="00AD4120" w:rsidRPr="00894701" w:rsidRDefault="00AD4120" w:rsidP="007B59AF">
            <w:pPr>
              <w:spacing w:after="0" w:line="240" w:lineRule="auto"/>
              <w:jc w:val="right"/>
              <w:rPr>
                <w:color w:val="000000"/>
                <w:kern w:val="0"/>
                <w:szCs w:val="18"/>
              </w:rPr>
            </w:pPr>
            <w:r w:rsidRPr="00894701">
              <w:rPr>
                <w:color w:val="000000"/>
                <w:kern w:val="0"/>
                <w:szCs w:val="18"/>
              </w:rPr>
              <w:t xml:space="preserve">           1,561 </w:t>
            </w:r>
          </w:p>
        </w:tc>
        <w:tc>
          <w:tcPr>
            <w:tcW w:w="678" w:type="pct"/>
            <w:tcBorders>
              <w:top w:val="nil"/>
              <w:left w:val="nil"/>
              <w:bottom w:val="nil"/>
              <w:right w:val="nil"/>
            </w:tcBorders>
            <w:shd w:val="clear" w:color="000000" w:fill="F7A3B0"/>
            <w:noWrap/>
            <w:vAlign w:val="center"/>
            <w:hideMark/>
          </w:tcPr>
          <w:p w14:paraId="7E4C530E" w14:textId="77777777" w:rsidR="00AD4120" w:rsidRPr="00894701" w:rsidRDefault="00AD4120" w:rsidP="007B59AF">
            <w:pPr>
              <w:spacing w:after="0" w:line="240" w:lineRule="auto"/>
              <w:jc w:val="right"/>
              <w:rPr>
                <w:color w:val="000000"/>
                <w:kern w:val="0"/>
                <w:szCs w:val="18"/>
              </w:rPr>
            </w:pPr>
            <w:r w:rsidRPr="00894701">
              <w:rPr>
                <w:color w:val="000000"/>
                <w:kern w:val="0"/>
                <w:szCs w:val="18"/>
              </w:rPr>
              <w:t xml:space="preserve">               345 </w:t>
            </w:r>
          </w:p>
        </w:tc>
        <w:tc>
          <w:tcPr>
            <w:tcW w:w="710" w:type="pct"/>
            <w:tcBorders>
              <w:top w:val="nil"/>
              <w:left w:val="nil"/>
              <w:bottom w:val="nil"/>
              <w:right w:val="nil"/>
            </w:tcBorders>
            <w:shd w:val="clear" w:color="000000" w:fill="F7A3B0"/>
            <w:noWrap/>
            <w:vAlign w:val="center"/>
            <w:hideMark/>
          </w:tcPr>
          <w:p w14:paraId="511B2F47" w14:textId="77777777" w:rsidR="00AD4120" w:rsidRPr="00894701" w:rsidRDefault="00AD4120" w:rsidP="007B59AF">
            <w:pPr>
              <w:spacing w:after="0" w:line="240" w:lineRule="auto"/>
              <w:jc w:val="right"/>
              <w:rPr>
                <w:color w:val="000000"/>
                <w:kern w:val="0"/>
                <w:szCs w:val="18"/>
              </w:rPr>
            </w:pPr>
            <w:r w:rsidRPr="00894701">
              <w:rPr>
                <w:color w:val="000000"/>
                <w:kern w:val="0"/>
                <w:szCs w:val="18"/>
              </w:rPr>
              <w:t xml:space="preserve">             1,708 </w:t>
            </w:r>
          </w:p>
        </w:tc>
        <w:tc>
          <w:tcPr>
            <w:tcW w:w="678" w:type="pct"/>
            <w:tcBorders>
              <w:top w:val="nil"/>
              <w:left w:val="nil"/>
              <w:bottom w:val="nil"/>
              <w:right w:val="nil"/>
            </w:tcBorders>
            <w:shd w:val="clear" w:color="000000" w:fill="F7A3B0"/>
            <w:noWrap/>
            <w:vAlign w:val="center"/>
            <w:hideMark/>
          </w:tcPr>
          <w:p w14:paraId="1AF1A5EA" w14:textId="77777777" w:rsidR="00AD4120" w:rsidRPr="00894701" w:rsidRDefault="00AD4120" w:rsidP="007B59AF">
            <w:pPr>
              <w:spacing w:after="0" w:line="240" w:lineRule="auto"/>
              <w:jc w:val="right"/>
              <w:rPr>
                <w:color w:val="000000"/>
                <w:kern w:val="0"/>
                <w:szCs w:val="18"/>
              </w:rPr>
            </w:pPr>
            <w:r w:rsidRPr="00894701">
              <w:rPr>
                <w:color w:val="000000"/>
                <w:kern w:val="0"/>
                <w:szCs w:val="18"/>
              </w:rPr>
              <w:t xml:space="preserve">               181 </w:t>
            </w:r>
          </w:p>
        </w:tc>
        <w:tc>
          <w:tcPr>
            <w:tcW w:w="495" w:type="pct"/>
            <w:tcBorders>
              <w:top w:val="nil"/>
              <w:left w:val="nil"/>
              <w:bottom w:val="nil"/>
              <w:right w:val="nil"/>
            </w:tcBorders>
            <w:shd w:val="clear" w:color="000000" w:fill="F7A3B0"/>
            <w:noWrap/>
            <w:vAlign w:val="center"/>
            <w:hideMark/>
          </w:tcPr>
          <w:p w14:paraId="4376C3CC" w14:textId="77777777" w:rsidR="00AD4120" w:rsidRPr="00894701" w:rsidRDefault="00AD4120" w:rsidP="007B59AF">
            <w:pPr>
              <w:spacing w:after="0" w:line="240" w:lineRule="auto"/>
              <w:jc w:val="right"/>
              <w:rPr>
                <w:color w:val="000000"/>
                <w:kern w:val="0"/>
                <w:szCs w:val="18"/>
              </w:rPr>
            </w:pPr>
            <w:r w:rsidRPr="00894701">
              <w:rPr>
                <w:color w:val="000000"/>
                <w:kern w:val="0"/>
                <w:szCs w:val="18"/>
              </w:rPr>
              <w:t xml:space="preserve">      1,871 </w:t>
            </w:r>
          </w:p>
        </w:tc>
        <w:tc>
          <w:tcPr>
            <w:tcW w:w="860" w:type="pct"/>
            <w:tcBorders>
              <w:top w:val="nil"/>
              <w:left w:val="nil"/>
              <w:bottom w:val="nil"/>
              <w:right w:val="nil"/>
            </w:tcBorders>
            <w:shd w:val="clear" w:color="000000" w:fill="F7A3B0"/>
            <w:noWrap/>
            <w:vAlign w:val="center"/>
            <w:hideMark/>
          </w:tcPr>
          <w:p w14:paraId="3E422F05" w14:textId="77777777" w:rsidR="00AD4120" w:rsidRPr="00894701" w:rsidRDefault="00AD4120" w:rsidP="007B59AF">
            <w:pPr>
              <w:spacing w:after="0" w:line="240" w:lineRule="auto"/>
              <w:jc w:val="right"/>
              <w:rPr>
                <w:color w:val="000000"/>
                <w:kern w:val="0"/>
                <w:szCs w:val="18"/>
              </w:rPr>
            </w:pPr>
            <w:r w:rsidRPr="00894701">
              <w:rPr>
                <w:color w:val="000000"/>
                <w:kern w:val="0"/>
                <w:szCs w:val="18"/>
              </w:rPr>
              <w:t xml:space="preserve">                     185 </w:t>
            </w:r>
          </w:p>
        </w:tc>
      </w:tr>
      <w:tr w:rsidR="00AD4120" w:rsidRPr="00894701" w14:paraId="1F6338C3" w14:textId="77777777" w:rsidTr="00B226CF">
        <w:trPr>
          <w:trHeight w:val="283"/>
        </w:trPr>
        <w:tc>
          <w:tcPr>
            <w:tcW w:w="935" w:type="pct"/>
            <w:tcBorders>
              <w:top w:val="nil"/>
              <w:left w:val="nil"/>
              <w:bottom w:val="nil"/>
              <w:right w:val="nil"/>
            </w:tcBorders>
            <w:shd w:val="clear" w:color="auto" w:fill="auto"/>
            <w:vAlign w:val="center"/>
            <w:hideMark/>
          </w:tcPr>
          <w:p w14:paraId="406B7DC0" w14:textId="77777777" w:rsidR="00AD4120" w:rsidRPr="00894701" w:rsidRDefault="00AD4120" w:rsidP="00AD4120">
            <w:pPr>
              <w:spacing w:after="0" w:line="240" w:lineRule="auto"/>
              <w:rPr>
                <w:color w:val="000000"/>
                <w:kern w:val="0"/>
                <w:szCs w:val="18"/>
              </w:rPr>
            </w:pPr>
            <w:r w:rsidRPr="00894701">
              <w:rPr>
                <w:color w:val="000000"/>
                <w:kern w:val="0"/>
                <w:szCs w:val="18"/>
              </w:rPr>
              <w:t>Total Employment in mining</w:t>
            </w:r>
          </w:p>
        </w:tc>
        <w:tc>
          <w:tcPr>
            <w:tcW w:w="1322" w:type="pct"/>
            <w:gridSpan w:val="2"/>
            <w:tcBorders>
              <w:top w:val="nil"/>
              <w:left w:val="nil"/>
              <w:bottom w:val="nil"/>
              <w:right w:val="nil"/>
            </w:tcBorders>
            <w:shd w:val="clear" w:color="auto" w:fill="auto"/>
            <w:vAlign w:val="center"/>
            <w:hideMark/>
          </w:tcPr>
          <w:p w14:paraId="76C40C68" w14:textId="77777777" w:rsidR="00AD4120" w:rsidRPr="00894701" w:rsidRDefault="00AD4120" w:rsidP="007B59AF">
            <w:pPr>
              <w:spacing w:after="0" w:line="240" w:lineRule="auto"/>
              <w:jc w:val="right"/>
              <w:rPr>
                <w:color w:val="000000"/>
                <w:kern w:val="0"/>
                <w:szCs w:val="18"/>
              </w:rPr>
            </w:pPr>
            <w:r w:rsidRPr="00894701">
              <w:rPr>
                <w:color w:val="000000"/>
                <w:kern w:val="0"/>
                <w:szCs w:val="18"/>
              </w:rPr>
              <w:t xml:space="preserve">                                  1,906 </w:t>
            </w:r>
          </w:p>
        </w:tc>
        <w:tc>
          <w:tcPr>
            <w:tcW w:w="1388" w:type="pct"/>
            <w:gridSpan w:val="2"/>
            <w:tcBorders>
              <w:top w:val="nil"/>
              <w:left w:val="nil"/>
              <w:bottom w:val="nil"/>
              <w:right w:val="nil"/>
            </w:tcBorders>
            <w:shd w:val="clear" w:color="auto" w:fill="auto"/>
            <w:vAlign w:val="center"/>
            <w:hideMark/>
          </w:tcPr>
          <w:p w14:paraId="5A1CF3EE" w14:textId="77777777" w:rsidR="00AD4120" w:rsidRPr="00894701" w:rsidRDefault="00AD4120" w:rsidP="007B59AF">
            <w:pPr>
              <w:spacing w:after="0" w:line="240" w:lineRule="auto"/>
              <w:jc w:val="right"/>
              <w:rPr>
                <w:color w:val="000000"/>
                <w:kern w:val="0"/>
                <w:szCs w:val="18"/>
              </w:rPr>
            </w:pPr>
            <w:r w:rsidRPr="00894701">
              <w:rPr>
                <w:color w:val="000000"/>
                <w:kern w:val="0"/>
                <w:szCs w:val="18"/>
              </w:rPr>
              <w:t xml:space="preserve">                                     1,889 </w:t>
            </w:r>
          </w:p>
        </w:tc>
        <w:tc>
          <w:tcPr>
            <w:tcW w:w="1355" w:type="pct"/>
            <w:gridSpan w:val="2"/>
            <w:tcBorders>
              <w:top w:val="nil"/>
              <w:left w:val="nil"/>
              <w:bottom w:val="nil"/>
              <w:right w:val="nil"/>
            </w:tcBorders>
            <w:shd w:val="clear" w:color="auto" w:fill="auto"/>
            <w:vAlign w:val="center"/>
            <w:hideMark/>
          </w:tcPr>
          <w:p w14:paraId="23C6DEEF" w14:textId="77777777" w:rsidR="00AD4120" w:rsidRPr="00894701" w:rsidRDefault="00AD4120" w:rsidP="007B59AF">
            <w:pPr>
              <w:spacing w:after="0" w:line="240" w:lineRule="auto"/>
              <w:jc w:val="right"/>
              <w:rPr>
                <w:color w:val="000000"/>
                <w:kern w:val="0"/>
                <w:szCs w:val="18"/>
              </w:rPr>
            </w:pPr>
            <w:r w:rsidRPr="00894701">
              <w:rPr>
                <w:color w:val="000000"/>
                <w:kern w:val="0"/>
                <w:szCs w:val="18"/>
              </w:rPr>
              <w:t xml:space="preserve">                                    2,056 </w:t>
            </w:r>
          </w:p>
        </w:tc>
      </w:tr>
      <w:tr w:rsidR="00AD4120" w:rsidRPr="00894701" w14:paraId="67CF0E0A" w14:textId="77777777" w:rsidTr="00575FDD">
        <w:trPr>
          <w:trHeight w:val="283"/>
        </w:trPr>
        <w:tc>
          <w:tcPr>
            <w:tcW w:w="935" w:type="pct"/>
            <w:tcBorders>
              <w:top w:val="nil"/>
              <w:left w:val="nil"/>
              <w:bottom w:val="nil"/>
              <w:right w:val="nil"/>
            </w:tcBorders>
            <w:shd w:val="clear" w:color="000000" w:fill="A6A6A6"/>
            <w:noWrap/>
            <w:vAlign w:val="center"/>
            <w:hideMark/>
          </w:tcPr>
          <w:p w14:paraId="3C8564AF" w14:textId="77777777" w:rsidR="00AD4120" w:rsidRPr="00894701" w:rsidRDefault="00AD4120" w:rsidP="00AD4120">
            <w:pPr>
              <w:spacing w:after="0" w:line="240" w:lineRule="auto"/>
              <w:rPr>
                <w:b/>
                <w:bCs/>
                <w:color w:val="000000"/>
                <w:kern w:val="0"/>
                <w:sz w:val="16"/>
                <w:szCs w:val="16"/>
              </w:rPr>
            </w:pPr>
            <w:r w:rsidRPr="00894701">
              <w:rPr>
                <w:b/>
                <w:bCs/>
                <w:color w:val="000000"/>
                <w:kern w:val="0"/>
                <w:sz w:val="16"/>
                <w:szCs w:val="16"/>
              </w:rPr>
              <w:t xml:space="preserve"> Total Employment** </w:t>
            </w:r>
          </w:p>
        </w:tc>
        <w:tc>
          <w:tcPr>
            <w:tcW w:w="1322" w:type="pct"/>
            <w:gridSpan w:val="2"/>
            <w:tcBorders>
              <w:top w:val="nil"/>
              <w:left w:val="nil"/>
              <w:bottom w:val="nil"/>
              <w:right w:val="nil"/>
            </w:tcBorders>
            <w:shd w:val="clear" w:color="000000" w:fill="A6A6A6"/>
            <w:noWrap/>
            <w:vAlign w:val="center"/>
            <w:hideMark/>
          </w:tcPr>
          <w:p w14:paraId="6474713A" w14:textId="77777777" w:rsidR="00AD4120" w:rsidRPr="00894701" w:rsidRDefault="00AD4120" w:rsidP="00AD4120">
            <w:pPr>
              <w:spacing w:after="0" w:line="240" w:lineRule="auto"/>
              <w:jc w:val="center"/>
              <w:rPr>
                <w:b/>
                <w:bCs/>
                <w:color w:val="000000"/>
                <w:kern w:val="0"/>
                <w:sz w:val="16"/>
                <w:szCs w:val="16"/>
              </w:rPr>
            </w:pPr>
            <w:r w:rsidRPr="00894701">
              <w:rPr>
                <w:b/>
                <w:bCs/>
                <w:color w:val="000000"/>
                <w:kern w:val="0"/>
                <w:sz w:val="16"/>
                <w:szCs w:val="16"/>
              </w:rPr>
              <w:t xml:space="preserve">                               306,852 </w:t>
            </w:r>
          </w:p>
        </w:tc>
        <w:tc>
          <w:tcPr>
            <w:tcW w:w="1388" w:type="pct"/>
            <w:gridSpan w:val="2"/>
            <w:tcBorders>
              <w:top w:val="nil"/>
              <w:left w:val="nil"/>
              <w:bottom w:val="nil"/>
              <w:right w:val="nil"/>
            </w:tcBorders>
            <w:shd w:val="clear" w:color="000000" w:fill="A6A6A6"/>
            <w:noWrap/>
            <w:vAlign w:val="center"/>
            <w:hideMark/>
          </w:tcPr>
          <w:p w14:paraId="6228AE3C" w14:textId="77777777" w:rsidR="00AD4120" w:rsidRPr="00894701" w:rsidRDefault="00AD4120" w:rsidP="00AD4120">
            <w:pPr>
              <w:spacing w:after="0" w:line="240" w:lineRule="auto"/>
              <w:jc w:val="center"/>
              <w:rPr>
                <w:b/>
                <w:bCs/>
                <w:color w:val="000000"/>
                <w:kern w:val="0"/>
                <w:sz w:val="16"/>
                <w:szCs w:val="16"/>
              </w:rPr>
            </w:pPr>
            <w:r w:rsidRPr="00894701">
              <w:rPr>
                <w:b/>
                <w:bCs/>
                <w:color w:val="000000"/>
                <w:kern w:val="0"/>
                <w:sz w:val="16"/>
                <w:szCs w:val="16"/>
              </w:rPr>
              <w:t xml:space="preserve">                                 310,960 </w:t>
            </w:r>
          </w:p>
        </w:tc>
        <w:tc>
          <w:tcPr>
            <w:tcW w:w="1355" w:type="pct"/>
            <w:gridSpan w:val="2"/>
            <w:tcBorders>
              <w:top w:val="nil"/>
              <w:left w:val="nil"/>
              <w:bottom w:val="nil"/>
              <w:right w:val="nil"/>
            </w:tcBorders>
            <w:shd w:val="clear" w:color="000000" w:fill="A6A6A6"/>
            <w:noWrap/>
            <w:vAlign w:val="center"/>
            <w:hideMark/>
          </w:tcPr>
          <w:p w14:paraId="4DB130C7" w14:textId="721B8D3B" w:rsidR="00AD4120" w:rsidRPr="00894701" w:rsidRDefault="00AD4120" w:rsidP="00B226CF">
            <w:pPr>
              <w:spacing w:after="0" w:line="240" w:lineRule="auto"/>
              <w:jc w:val="right"/>
              <w:rPr>
                <w:b/>
                <w:bCs/>
                <w:color w:val="000000"/>
                <w:kern w:val="0"/>
                <w:sz w:val="16"/>
                <w:szCs w:val="16"/>
              </w:rPr>
            </w:pPr>
            <w:r w:rsidRPr="00894701">
              <w:rPr>
                <w:b/>
                <w:bCs/>
                <w:color w:val="000000"/>
                <w:kern w:val="0"/>
                <w:sz w:val="16"/>
                <w:szCs w:val="16"/>
              </w:rPr>
              <w:t>321,490</w:t>
            </w:r>
            <w:r w:rsidR="00A96BC0" w:rsidRPr="00894701">
              <w:rPr>
                <w:b/>
                <w:bCs/>
                <w:color w:val="000000"/>
                <w:kern w:val="0"/>
                <w:sz w:val="16"/>
                <w:szCs w:val="16"/>
              </w:rPr>
              <w:t>***</w:t>
            </w:r>
            <w:r w:rsidRPr="00894701">
              <w:rPr>
                <w:b/>
                <w:bCs/>
                <w:color w:val="000000"/>
                <w:kern w:val="0"/>
                <w:sz w:val="16"/>
                <w:szCs w:val="16"/>
              </w:rPr>
              <w:t xml:space="preserve"> </w:t>
            </w:r>
          </w:p>
        </w:tc>
      </w:tr>
      <w:tr w:rsidR="00AD4120" w:rsidRPr="00894701" w14:paraId="022B3F80" w14:textId="77777777" w:rsidTr="00B226CF">
        <w:trPr>
          <w:trHeight w:val="283"/>
        </w:trPr>
        <w:tc>
          <w:tcPr>
            <w:tcW w:w="935" w:type="pct"/>
            <w:tcBorders>
              <w:top w:val="nil"/>
              <w:left w:val="nil"/>
              <w:bottom w:val="nil"/>
              <w:right w:val="nil"/>
            </w:tcBorders>
            <w:shd w:val="clear" w:color="000000" w:fill="808080"/>
            <w:vAlign w:val="center"/>
            <w:hideMark/>
          </w:tcPr>
          <w:p w14:paraId="6F869793" w14:textId="77777777" w:rsidR="00AD4120" w:rsidRPr="00894701" w:rsidRDefault="00AD4120" w:rsidP="00AD4120">
            <w:pPr>
              <w:spacing w:after="0" w:line="240" w:lineRule="auto"/>
              <w:rPr>
                <w:b/>
                <w:bCs/>
                <w:color w:val="FFFFFF"/>
                <w:kern w:val="0"/>
                <w:szCs w:val="18"/>
              </w:rPr>
            </w:pPr>
            <w:r w:rsidRPr="00894701">
              <w:rPr>
                <w:b/>
                <w:bCs/>
                <w:color w:val="FFFFFF"/>
                <w:kern w:val="0"/>
                <w:szCs w:val="18"/>
              </w:rPr>
              <w:t>% Contribution</w:t>
            </w:r>
          </w:p>
        </w:tc>
        <w:tc>
          <w:tcPr>
            <w:tcW w:w="1322" w:type="pct"/>
            <w:gridSpan w:val="2"/>
            <w:tcBorders>
              <w:top w:val="nil"/>
              <w:left w:val="nil"/>
              <w:bottom w:val="nil"/>
              <w:right w:val="nil"/>
            </w:tcBorders>
            <w:shd w:val="clear" w:color="000000" w:fill="808080"/>
            <w:vAlign w:val="center"/>
            <w:hideMark/>
          </w:tcPr>
          <w:p w14:paraId="1971C6E2" w14:textId="77777777" w:rsidR="00AD4120" w:rsidRPr="00894701" w:rsidRDefault="00AD4120" w:rsidP="00AD4120">
            <w:pPr>
              <w:spacing w:after="0" w:line="240" w:lineRule="auto"/>
              <w:jc w:val="right"/>
              <w:rPr>
                <w:b/>
                <w:bCs/>
                <w:color w:val="FFFFFF"/>
                <w:kern w:val="0"/>
                <w:szCs w:val="18"/>
              </w:rPr>
            </w:pPr>
            <w:r w:rsidRPr="00894701">
              <w:rPr>
                <w:b/>
                <w:bCs/>
                <w:color w:val="FFFFFF"/>
                <w:kern w:val="0"/>
                <w:szCs w:val="18"/>
              </w:rPr>
              <w:t>0.62%</w:t>
            </w:r>
          </w:p>
        </w:tc>
        <w:tc>
          <w:tcPr>
            <w:tcW w:w="1388" w:type="pct"/>
            <w:gridSpan w:val="2"/>
            <w:tcBorders>
              <w:top w:val="nil"/>
              <w:left w:val="nil"/>
              <w:bottom w:val="nil"/>
              <w:right w:val="nil"/>
            </w:tcBorders>
            <w:shd w:val="clear" w:color="000000" w:fill="808080"/>
            <w:vAlign w:val="center"/>
            <w:hideMark/>
          </w:tcPr>
          <w:p w14:paraId="3CE795E8" w14:textId="77777777" w:rsidR="00AD4120" w:rsidRPr="00894701" w:rsidRDefault="00AD4120" w:rsidP="00AD4120">
            <w:pPr>
              <w:spacing w:after="0" w:line="240" w:lineRule="auto"/>
              <w:jc w:val="right"/>
              <w:rPr>
                <w:b/>
                <w:bCs/>
                <w:color w:val="FFFFFF"/>
                <w:kern w:val="0"/>
                <w:szCs w:val="18"/>
              </w:rPr>
            </w:pPr>
            <w:r w:rsidRPr="00894701">
              <w:rPr>
                <w:b/>
                <w:bCs/>
                <w:color w:val="FFFFFF"/>
                <w:kern w:val="0"/>
                <w:szCs w:val="18"/>
              </w:rPr>
              <w:t>0.61%</w:t>
            </w:r>
          </w:p>
        </w:tc>
        <w:tc>
          <w:tcPr>
            <w:tcW w:w="1355" w:type="pct"/>
            <w:gridSpan w:val="2"/>
            <w:tcBorders>
              <w:top w:val="nil"/>
              <w:left w:val="nil"/>
              <w:bottom w:val="nil"/>
              <w:right w:val="nil"/>
            </w:tcBorders>
            <w:shd w:val="clear" w:color="000000" w:fill="808080"/>
            <w:vAlign w:val="center"/>
            <w:hideMark/>
          </w:tcPr>
          <w:p w14:paraId="1B6EBBE7" w14:textId="77777777" w:rsidR="00AD4120" w:rsidRPr="00894701" w:rsidRDefault="00AD4120" w:rsidP="00AD4120">
            <w:pPr>
              <w:spacing w:after="0" w:line="240" w:lineRule="auto"/>
              <w:jc w:val="right"/>
              <w:rPr>
                <w:b/>
                <w:bCs/>
                <w:color w:val="FFFFFF"/>
                <w:kern w:val="0"/>
                <w:szCs w:val="18"/>
              </w:rPr>
            </w:pPr>
            <w:r w:rsidRPr="00894701">
              <w:rPr>
                <w:b/>
                <w:bCs/>
                <w:color w:val="FFFFFF"/>
                <w:kern w:val="0"/>
                <w:szCs w:val="18"/>
              </w:rPr>
              <w:t>0.64%</w:t>
            </w:r>
          </w:p>
        </w:tc>
      </w:tr>
    </w:tbl>
    <w:p w14:paraId="521569B2" w14:textId="00A1AE98" w:rsidR="00057C21" w:rsidRPr="00894701" w:rsidRDefault="00057C21" w:rsidP="00057C21">
      <w:pPr>
        <w:pStyle w:val="BodyText"/>
        <w:spacing w:after="0"/>
        <w:contextualSpacing/>
        <w:jc w:val="both"/>
        <w:rPr>
          <w:rFonts w:asciiTheme="majorHAnsi" w:hAnsiTheme="majorHAnsi"/>
          <w:i/>
          <w:iCs/>
          <w:color w:val="auto"/>
          <w:sz w:val="16"/>
          <w:szCs w:val="16"/>
        </w:rPr>
      </w:pPr>
      <w:r w:rsidRPr="00894701">
        <w:rPr>
          <w:rFonts w:asciiTheme="majorHAnsi" w:hAnsiTheme="majorHAnsi"/>
          <w:i/>
          <w:iCs/>
          <w:color w:val="auto"/>
          <w:sz w:val="16"/>
          <w:szCs w:val="16"/>
        </w:rPr>
        <w:t>*Source</w:t>
      </w:r>
      <w:r w:rsidR="009A3130" w:rsidRPr="00894701">
        <w:rPr>
          <w:rFonts w:asciiTheme="majorHAnsi" w:hAnsiTheme="majorHAnsi"/>
          <w:i/>
          <w:iCs/>
          <w:color w:val="auto"/>
          <w:sz w:val="16"/>
          <w:szCs w:val="16"/>
        </w:rPr>
        <w:t xml:space="preserve"> EITI Reporting Templates</w:t>
      </w:r>
    </w:p>
    <w:p w14:paraId="1A84BAF1" w14:textId="228B5FD5" w:rsidR="00057C21" w:rsidRPr="00894701" w:rsidRDefault="00057C21">
      <w:pPr>
        <w:pStyle w:val="BodyText"/>
        <w:spacing w:after="0"/>
        <w:contextualSpacing/>
        <w:jc w:val="both"/>
        <w:rPr>
          <w:rFonts w:asciiTheme="majorHAnsi" w:hAnsiTheme="majorHAnsi"/>
          <w:i/>
          <w:iCs/>
          <w:color w:val="auto"/>
          <w:sz w:val="16"/>
          <w:szCs w:val="16"/>
        </w:rPr>
      </w:pPr>
      <w:r w:rsidRPr="00894701">
        <w:rPr>
          <w:rFonts w:asciiTheme="majorHAnsi" w:hAnsiTheme="majorHAnsi"/>
          <w:i/>
          <w:iCs/>
          <w:color w:val="auto"/>
          <w:sz w:val="16"/>
          <w:szCs w:val="16"/>
        </w:rPr>
        <w:t xml:space="preserve">** </w:t>
      </w:r>
      <w:r w:rsidR="009A3130" w:rsidRPr="00894701">
        <w:rPr>
          <w:rFonts w:asciiTheme="majorHAnsi" w:hAnsiTheme="majorHAnsi"/>
          <w:i/>
          <w:iCs/>
          <w:color w:val="auto"/>
          <w:sz w:val="16"/>
          <w:szCs w:val="16"/>
        </w:rPr>
        <w:t>Employment Distribution, Unemployment Rate and Other Relevant Labor Statistics, 2019 Reports</w:t>
      </w:r>
    </w:p>
    <w:p w14:paraId="57E843B9" w14:textId="7D8A5772" w:rsidR="00A96BC0" w:rsidRPr="00894701" w:rsidRDefault="00A96BC0" w:rsidP="00B226CF">
      <w:pPr>
        <w:pStyle w:val="BodyText"/>
        <w:spacing w:after="0"/>
        <w:contextualSpacing/>
        <w:jc w:val="both"/>
        <w:rPr>
          <w:rFonts w:asciiTheme="majorHAnsi" w:hAnsiTheme="majorHAnsi"/>
          <w:i/>
          <w:iCs/>
          <w:color w:val="auto"/>
          <w:sz w:val="16"/>
          <w:szCs w:val="16"/>
        </w:rPr>
      </w:pPr>
      <w:r w:rsidRPr="00894701">
        <w:rPr>
          <w:rFonts w:asciiTheme="majorHAnsi" w:hAnsiTheme="majorHAnsi"/>
          <w:i/>
          <w:iCs/>
          <w:color w:val="auto"/>
          <w:sz w:val="16"/>
          <w:szCs w:val="16"/>
        </w:rPr>
        <w:t>***</w:t>
      </w:r>
      <w:r w:rsidR="00FB423E" w:rsidRPr="00894701">
        <w:t xml:space="preserve"> </w:t>
      </w:r>
      <w:r w:rsidR="00FB423E" w:rsidRPr="00894701">
        <w:rPr>
          <w:rFonts w:asciiTheme="majorHAnsi" w:hAnsiTheme="majorHAnsi"/>
          <w:i/>
          <w:iCs/>
          <w:color w:val="auto"/>
          <w:sz w:val="16"/>
          <w:szCs w:val="16"/>
        </w:rPr>
        <w:t>World population review</w:t>
      </w:r>
      <w:r w:rsidR="00FB423E" w:rsidRPr="00894701">
        <w:rPr>
          <w:rStyle w:val="FootnoteReference"/>
          <w:rFonts w:asciiTheme="majorHAnsi" w:hAnsiTheme="majorHAnsi"/>
          <w:i/>
          <w:iCs/>
          <w:color w:val="auto"/>
          <w:sz w:val="16"/>
          <w:szCs w:val="16"/>
        </w:rPr>
        <w:footnoteReference w:id="43"/>
      </w:r>
    </w:p>
    <w:p w14:paraId="26A46EA5" w14:textId="64E197AF" w:rsidR="00511521" w:rsidRPr="00894701" w:rsidRDefault="00511521">
      <w:pPr>
        <w:spacing w:after="0" w:line="240" w:lineRule="auto"/>
        <w:rPr>
          <w:rFonts w:asciiTheme="minorHAnsi" w:hAnsiTheme="minorHAnsi"/>
          <w:color w:val="000000"/>
          <w:sz w:val="20"/>
        </w:rPr>
      </w:pPr>
    </w:p>
    <w:p w14:paraId="3784C078" w14:textId="229AC5D6" w:rsidR="001320B7" w:rsidRPr="00894701" w:rsidRDefault="00B12D6B" w:rsidP="00B12D6B">
      <w:pPr>
        <w:spacing w:after="0" w:line="240" w:lineRule="auto"/>
        <w:rPr>
          <w:rFonts w:asciiTheme="minorHAnsi" w:hAnsiTheme="minorHAnsi"/>
          <w:color w:val="000000"/>
          <w:sz w:val="20"/>
        </w:rPr>
      </w:pPr>
      <w:r w:rsidRPr="00894701">
        <w:rPr>
          <w:rFonts w:asciiTheme="minorHAnsi" w:hAnsiTheme="minorHAnsi"/>
          <w:color w:val="000000"/>
          <w:sz w:val="20"/>
        </w:rPr>
        <w:br w:type="page"/>
      </w:r>
    </w:p>
    <w:p w14:paraId="7AD8922C" w14:textId="5B89C4E6" w:rsidR="001320B7" w:rsidRPr="00894701" w:rsidRDefault="001320B7" w:rsidP="000721DF">
      <w:pPr>
        <w:pStyle w:val="ListParagraph"/>
        <w:numPr>
          <w:ilvl w:val="1"/>
          <w:numId w:val="7"/>
        </w:numPr>
        <w:spacing w:before="240" w:after="240"/>
        <w:ind w:left="851" w:right="482" w:hanging="851"/>
        <w:outlineLvl w:val="1"/>
        <w:rPr>
          <w:b/>
          <w:sz w:val="28"/>
          <w:szCs w:val="28"/>
        </w:rPr>
      </w:pPr>
      <w:bookmarkStart w:id="358" w:name="_Toc101350024"/>
      <w:bookmarkStart w:id="359" w:name="_Toc104555403"/>
      <w:bookmarkStart w:id="360" w:name="_Toc122478921"/>
      <w:r w:rsidRPr="00894701">
        <w:rPr>
          <w:b/>
          <w:sz w:val="28"/>
          <w:szCs w:val="28"/>
        </w:rPr>
        <w:lastRenderedPageBreak/>
        <w:t>Notes towards Gender Sensitive EITI-SR Reporting and Implementation</w:t>
      </w:r>
      <w:bookmarkEnd w:id="358"/>
      <w:bookmarkEnd w:id="359"/>
      <w:bookmarkEnd w:id="360"/>
    </w:p>
    <w:bookmarkEnd w:id="142"/>
    <w:p w14:paraId="090475E8" w14:textId="77777777" w:rsidR="003F14A6" w:rsidRPr="00894701" w:rsidRDefault="003F14A6" w:rsidP="003F14A6">
      <w:pPr>
        <w:autoSpaceDE w:val="0"/>
        <w:autoSpaceDN w:val="0"/>
        <w:adjustRightInd w:val="0"/>
        <w:spacing w:line="240" w:lineRule="auto"/>
        <w:jc w:val="both"/>
        <w:rPr>
          <w:rFonts w:eastAsia="Calibri"/>
          <w:color w:val="auto"/>
          <w:kern w:val="0"/>
          <w:sz w:val="20"/>
          <w:szCs w:val="22"/>
          <w:lang w:eastAsia="en-US"/>
        </w:rPr>
      </w:pPr>
      <w:r w:rsidRPr="00894701">
        <w:rPr>
          <w:rFonts w:cs="Arial"/>
          <w:color w:val="auto"/>
          <w:sz w:val="20"/>
          <w:szCs w:val="20"/>
        </w:rPr>
        <w:t xml:space="preserve">Guidance Note 30 of the EITI International Secretariat provides direction for gender responsive implementation of the EITI Standard and related reporting. </w:t>
      </w:r>
      <w:r w:rsidRPr="00894701">
        <w:rPr>
          <w:rFonts w:eastAsia="Calibri"/>
          <w:color w:val="auto"/>
          <w:kern w:val="0"/>
          <w:sz w:val="20"/>
          <w:szCs w:val="22"/>
          <w:lang w:eastAsia="en-US"/>
        </w:rPr>
        <w:t xml:space="preserve">It specifies that societal factors such as gender, indigeneity, race, class, location, age and ability, all affect different stakeholders’ experience of the extractive sector including their access to information and to decision-making. </w:t>
      </w:r>
    </w:p>
    <w:p w14:paraId="6D7854A5" w14:textId="77777777" w:rsidR="00520877" w:rsidRPr="00894701" w:rsidRDefault="003F14A6" w:rsidP="004126B0">
      <w:pPr>
        <w:spacing w:line="240" w:lineRule="auto"/>
        <w:jc w:val="both"/>
        <w:rPr>
          <w:rFonts w:cs="Arial"/>
          <w:color w:val="auto"/>
          <w:sz w:val="20"/>
          <w:szCs w:val="20"/>
        </w:rPr>
      </w:pPr>
      <w:r w:rsidRPr="00894701">
        <w:rPr>
          <w:rFonts w:cs="Arial"/>
          <w:color w:val="auto"/>
          <w:sz w:val="20"/>
          <w:szCs w:val="20"/>
        </w:rPr>
        <w:t>Gender reporting has been newly added by the 2019 EITI Standard and EITI-SR has not been able to provide a comprehensive section on this in its second EITI-SR Report. This section, therefore, presents some Gender Notes, pertinent to the FYs 2018, 2019 and 2020.</w:t>
      </w:r>
    </w:p>
    <w:p w14:paraId="1BD48AC2" w14:textId="014C76DB" w:rsidR="00520877" w:rsidRPr="00894701" w:rsidRDefault="00520877" w:rsidP="00520877">
      <w:pPr>
        <w:spacing w:after="0" w:line="240" w:lineRule="auto"/>
        <w:jc w:val="both"/>
        <w:rPr>
          <w:rFonts w:cs="Arial"/>
          <w:color w:val="auto"/>
          <w:sz w:val="20"/>
          <w:szCs w:val="20"/>
        </w:rPr>
      </w:pPr>
      <w:r w:rsidRPr="00894701">
        <w:rPr>
          <w:rFonts w:cs="Arial"/>
          <w:color w:val="auto"/>
          <w:sz w:val="20"/>
          <w:szCs w:val="20"/>
        </w:rPr>
        <w:t>As part of the implementation of its inclusive value, NS has put in place a number of actions to promote women in mining, these training includes non-traditional jobs such as driving a Haul truck.</w:t>
      </w:r>
    </w:p>
    <w:p w14:paraId="30DEDD0E" w14:textId="77777777" w:rsidR="003F14A6" w:rsidRPr="00894701" w:rsidRDefault="003F14A6" w:rsidP="003F14A6">
      <w:pPr>
        <w:spacing w:after="0" w:line="240" w:lineRule="auto"/>
        <w:rPr>
          <w:rFonts w:cs="Arial"/>
          <w:color w:val="auto"/>
          <w:sz w:val="20"/>
          <w:szCs w:val="20"/>
        </w:rPr>
      </w:pPr>
    </w:p>
    <w:p w14:paraId="70D331F5" w14:textId="49AA32D1" w:rsidR="003F14A6" w:rsidRPr="00894701" w:rsidRDefault="003F14A6" w:rsidP="00A834A8">
      <w:pPr>
        <w:pStyle w:val="Heading3"/>
        <w:numPr>
          <w:ilvl w:val="2"/>
          <w:numId w:val="79"/>
        </w:numPr>
        <w:spacing w:before="0" w:after="240"/>
        <w:ind w:right="482"/>
        <w:rPr>
          <w:bCs w:val="0"/>
          <w:caps w:val="0"/>
        </w:rPr>
      </w:pPr>
      <w:bookmarkStart w:id="361" w:name="_Toc101350025"/>
      <w:bookmarkStart w:id="362" w:name="_Toc122478922"/>
      <w:r w:rsidRPr="00894701">
        <w:rPr>
          <w:bCs w:val="0"/>
          <w:caps w:val="0"/>
        </w:rPr>
        <w:t>Brief Statistical Overview:</w:t>
      </w:r>
      <w:bookmarkEnd w:id="361"/>
      <w:bookmarkEnd w:id="362"/>
      <w:r w:rsidRPr="00894701">
        <w:rPr>
          <w:bCs w:val="0"/>
          <w:caps w:val="0"/>
        </w:rPr>
        <w:t xml:space="preserve"> </w:t>
      </w:r>
    </w:p>
    <w:p w14:paraId="713075F8" w14:textId="77777777" w:rsidR="003F14A6" w:rsidRPr="00894701" w:rsidRDefault="003F14A6" w:rsidP="003F14A6">
      <w:pPr>
        <w:autoSpaceDE w:val="0"/>
        <w:autoSpaceDN w:val="0"/>
        <w:adjustRightInd w:val="0"/>
        <w:spacing w:line="240" w:lineRule="auto"/>
        <w:jc w:val="both"/>
        <w:rPr>
          <w:rFonts w:eastAsia="Calibri"/>
          <w:color w:val="auto"/>
          <w:kern w:val="0"/>
          <w:sz w:val="20"/>
          <w:szCs w:val="22"/>
          <w:u w:val="single"/>
          <w:lang w:eastAsia="en-US"/>
        </w:rPr>
      </w:pPr>
      <w:r w:rsidRPr="00894701">
        <w:rPr>
          <w:rFonts w:eastAsia="Calibri"/>
          <w:b/>
          <w:color w:val="auto"/>
          <w:kern w:val="0"/>
          <w:sz w:val="20"/>
          <w:szCs w:val="22"/>
          <w:lang w:eastAsia="en-US"/>
        </w:rPr>
        <w:t>Total Population:</w:t>
      </w:r>
      <w:r w:rsidRPr="00894701">
        <w:rPr>
          <w:rFonts w:eastAsia="Calibri"/>
          <w:color w:val="auto"/>
          <w:kern w:val="0"/>
          <w:sz w:val="20"/>
          <w:szCs w:val="22"/>
          <w:u w:val="single"/>
          <w:lang w:eastAsia="en-US"/>
        </w:rPr>
        <w:t xml:space="preserve"> </w:t>
      </w:r>
    </w:p>
    <w:p w14:paraId="6B2A8F92" w14:textId="77777777" w:rsidR="003F14A6" w:rsidRPr="00894701" w:rsidRDefault="003F14A6" w:rsidP="003F14A6">
      <w:pPr>
        <w:autoSpaceDE w:val="0"/>
        <w:autoSpaceDN w:val="0"/>
        <w:adjustRightInd w:val="0"/>
        <w:spacing w:line="240" w:lineRule="auto"/>
        <w:jc w:val="both"/>
        <w:rPr>
          <w:rFonts w:eastAsia="Calibri"/>
          <w:b/>
          <w:color w:val="175751" w:themeColor="accent2" w:themeShade="80"/>
          <w:kern w:val="0"/>
          <w:sz w:val="20"/>
          <w:szCs w:val="22"/>
          <w:lang w:eastAsia="en-US"/>
        </w:rPr>
      </w:pPr>
      <w:r w:rsidRPr="00894701">
        <w:rPr>
          <w:rFonts w:eastAsia="Calibri"/>
          <w:color w:val="auto"/>
          <w:kern w:val="0"/>
          <w:sz w:val="20"/>
          <w:szCs w:val="22"/>
          <w:lang w:eastAsia="en-US"/>
        </w:rPr>
        <w:t xml:space="preserve">The population of Suriname is of 598,000 as per available data published on statistics with an average parity of </w:t>
      </w:r>
      <w:r w:rsidRPr="00894701">
        <w:rPr>
          <w:rFonts w:eastAsia="Calibri"/>
          <w:b/>
          <w:color w:val="auto"/>
          <w:kern w:val="0"/>
          <w:sz w:val="20"/>
          <w:szCs w:val="22"/>
          <w:lang w:eastAsia="en-US"/>
        </w:rPr>
        <w:t xml:space="preserve">50.12%% </w:t>
      </w:r>
      <w:r w:rsidRPr="00894701">
        <w:rPr>
          <w:rFonts w:eastAsia="Calibri"/>
          <w:color w:val="auto"/>
          <w:kern w:val="0"/>
          <w:sz w:val="20"/>
          <w:szCs w:val="22"/>
          <w:lang w:eastAsia="en-US"/>
        </w:rPr>
        <w:t xml:space="preserve">women and </w:t>
      </w:r>
      <w:r w:rsidRPr="00894701">
        <w:rPr>
          <w:rFonts w:eastAsia="Calibri"/>
          <w:b/>
          <w:color w:val="auto"/>
          <w:kern w:val="0"/>
          <w:sz w:val="20"/>
          <w:szCs w:val="22"/>
          <w:lang w:eastAsia="en-US"/>
        </w:rPr>
        <w:t>49.88%</w:t>
      </w:r>
      <w:r w:rsidRPr="00894701">
        <w:rPr>
          <w:rFonts w:eastAsia="Calibri"/>
          <w:color w:val="auto"/>
          <w:kern w:val="0"/>
          <w:sz w:val="20"/>
          <w:szCs w:val="22"/>
          <w:lang w:eastAsia="en-US"/>
        </w:rPr>
        <w:t xml:space="preserve"> men as presented below.</w:t>
      </w:r>
    </w:p>
    <w:p w14:paraId="5AD2C435" w14:textId="77777777" w:rsidR="003F14A6" w:rsidRPr="00894701" w:rsidRDefault="003F14A6" w:rsidP="003F14A6">
      <w:pPr>
        <w:spacing w:after="0" w:line="240" w:lineRule="auto"/>
        <w:rPr>
          <w:rFonts w:asciiTheme="minorHAnsi" w:hAnsiTheme="minorHAnsi"/>
          <w:color w:val="000000"/>
          <w:sz w:val="20"/>
        </w:rPr>
      </w:pPr>
    </w:p>
    <w:p w14:paraId="62BDFBF2" w14:textId="32E0981F" w:rsidR="003F14A6" w:rsidRPr="00894701" w:rsidRDefault="003F14A6" w:rsidP="003F14A6">
      <w:pPr>
        <w:autoSpaceDE w:val="0"/>
        <w:autoSpaceDN w:val="0"/>
        <w:adjustRightInd w:val="0"/>
        <w:spacing w:line="240" w:lineRule="auto"/>
        <w:jc w:val="center"/>
        <w:rPr>
          <w:b/>
          <w:bCs/>
          <w:color w:val="98002E"/>
          <w:szCs w:val="20"/>
        </w:rPr>
      </w:pPr>
      <w:bookmarkStart w:id="363" w:name="_Toc104557726"/>
      <w:bookmarkStart w:id="364" w:name="_Toc146590512"/>
      <w:r w:rsidRPr="00894701">
        <w:rPr>
          <w:b/>
          <w:bCs/>
          <w:color w:val="98002E"/>
          <w:szCs w:val="20"/>
        </w:rPr>
        <w:t xml:space="preserve">Table </w:t>
      </w:r>
      <w:r w:rsidRPr="00894701">
        <w:rPr>
          <w:b/>
          <w:bCs/>
          <w:color w:val="98002E"/>
          <w:szCs w:val="20"/>
        </w:rPr>
        <w:fldChar w:fldCharType="begin"/>
      </w:r>
      <w:r w:rsidRPr="00894701">
        <w:rPr>
          <w:b/>
          <w:bCs/>
          <w:color w:val="98002E"/>
          <w:szCs w:val="20"/>
        </w:rPr>
        <w:instrText xml:space="preserve"> SEQ Table \* ARABIC </w:instrText>
      </w:r>
      <w:r w:rsidRPr="00894701">
        <w:rPr>
          <w:b/>
          <w:bCs/>
          <w:color w:val="98002E"/>
          <w:szCs w:val="20"/>
        </w:rPr>
        <w:fldChar w:fldCharType="separate"/>
      </w:r>
      <w:r w:rsidR="0035303B">
        <w:rPr>
          <w:b/>
          <w:bCs/>
          <w:noProof/>
          <w:color w:val="98002E"/>
          <w:szCs w:val="20"/>
        </w:rPr>
        <w:t>40</w:t>
      </w:r>
      <w:r w:rsidRPr="00894701">
        <w:rPr>
          <w:b/>
          <w:bCs/>
          <w:color w:val="98002E"/>
          <w:szCs w:val="20"/>
        </w:rPr>
        <w:fldChar w:fldCharType="end"/>
      </w:r>
      <w:r w:rsidRPr="00894701">
        <w:rPr>
          <w:b/>
          <w:bCs/>
          <w:color w:val="98002E"/>
          <w:szCs w:val="20"/>
        </w:rPr>
        <w:t>: Disaggregation by sex and age in total population in Suriname from 2017 to 20</w:t>
      </w:r>
      <w:bookmarkEnd w:id="363"/>
      <w:r w:rsidRPr="00894701">
        <w:rPr>
          <w:b/>
          <w:bCs/>
          <w:color w:val="98002E"/>
          <w:szCs w:val="20"/>
        </w:rPr>
        <w:t>19</w:t>
      </w:r>
      <w:bookmarkEnd w:id="364"/>
    </w:p>
    <w:tbl>
      <w:tblPr>
        <w:tblW w:w="5248" w:type="pct"/>
        <w:jc w:val="center"/>
        <w:tblLayout w:type="fixed"/>
        <w:tblLook w:val="04A0" w:firstRow="1" w:lastRow="0" w:firstColumn="1" w:lastColumn="0" w:noHBand="0" w:noVBand="1"/>
      </w:tblPr>
      <w:tblGrid>
        <w:gridCol w:w="853"/>
        <w:gridCol w:w="864"/>
        <w:gridCol w:w="986"/>
        <w:gridCol w:w="992"/>
        <w:gridCol w:w="986"/>
        <w:gridCol w:w="986"/>
        <w:gridCol w:w="990"/>
        <w:gridCol w:w="986"/>
        <w:gridCol w:w="986"/>
        <w:gridCol w:w="870"/>
      </w:tblGrid>
      <w:tr w:rsidR="003F14A6" w:rsidRPr="00894701" w14:paraId="681FC427" w14:textId="77777777" w:rsidTr="00446B8D">
        <w:trPr>
          <w:trHeight w:val="283"/>
          <w:tblHeader/>
          <w:jc w:val="center"/>
        </w:trPr>
        <w:tc>
          <w:tcPr>
            <w:tcW w:w="449" w:type="pct"/>
            <w:vMerge w:val="restart"/>
            <w:tcBorders>
              <w:top w:val="nil"/>
              <w:left w:val="nil"/>
              <w:right w:val="nil"/>
            </w:tcBorders>
            <w:shd w:val="clear" w:color="auto" w:fill="710022" w:themeFill="accent3" w:themeFillShade="BF"/>
            <w:noWrap/>
            <w:vAlign w:val="center"/>
            <w:hideMark/>
          </w:tcPr>
          <w:p w14:paraId="2D7752D3" w14:textId="77777777" w:rsidR="003F14A6" w:rsidRPr="00894701" w:rsidRDefault="003F14A6" w:rsidP="00446B8D">
            <w:pPr>
              <w:spacing w:after="0" w:line="240" w:lineRule="auto"/>
              <w:jc w:val="center"/>
              <w:rPr>
                <w:rFonts w:ascii="Times New Roman" w:hAnsi="Times New Roman"/>
                <w:color w:val="auto"/>
                <w:kern w:val="0"/>
                <w:sz w:val="16"/>
                <w:szCs w:val="16"/>
              </w:rPr>
            </w:pPr>
            <w:r w:rsidRPr="00894701">
              <w:rPr>
                <w:b/>
                <w:bCs/>
                <w:color w:val="FFFFFF"/>
                <w:kern w:val="0"/>
                <w:sz w:val="16"/>
                <w:szCs w:val="16"/>
              </w:rPr>
              <w:t>Gender</w:t>
            </w:r>
          </w:p>
        </w:tc>
        <w:tc>
          <w:tcPr>
            <w:tcW w:w="1496" w:type="pct"/>
            <w:gridSpan w:val="3"/>
            <w:tcBorders>
              <w:top w:val="nil"/>
              <w:left w:val="nil"/>
              <w:bottom w:val="single" w:sz="8" w:space="0" w:color="FF0000"/>
              <w:right w:val="nil"/>
            </w:tcBorders>
            <w:shd w:val="clear" w:color="000000" w:fill="730022"/>
            <w:noWrap/>
            <w:vAlign w:val="center"/>
            <w:hideMark/>
          </w:tcPr>
          <w:p w14:paraId="55B12F4F" w14:textId="77777777" w:rsidR="003F14A6" w:rsidRPr="00894701" w:rsidRDefault="003F14A6" w:rsidP="00446B8D">
            <w:pPr>
              <w:spacing w:after="0" w:line="240" w:lineRule="auto"/>
              <w:jc w:val="center"/>
              <w:rPr>
                <w:b/>
                <w:bCs/>
                <w:color w:val="FFFFFF"/>
                <w:kern w:val="0"/>
                <w:sz w:val="16"/>
                <w:szCs w:val="16"/>
              </w:rPr>
            </w:pPr>
            <w:r w:rsidRPr="00894701">
              <w:rPr>
                <w:b/>
                <w:bCs/>
                <w:color w:val="FFFFFF"/>
                <w:kern w:val="0"/>
                <w:sz w:val="16"/>
                <w:szCs w:val="16"/>
              </w:rPr>
              <w:t>2017</w:t>
            </w:r>
          </w:p>
        </w:tc>
        <w:tc>
          <w:tcPr>
            <w:tcW w:w="1559" w:type="pct"/>
            <w:gridSpan w:val="3"/>
            <w:tcBorders>
              <w:top w:val="nil"/>
              <w:left w:val="nil"/>
              <w:bottom w:val="single" w:sz="8" w:space="0" w:color="FF0000"/>
              <w:right w:val="nil"/>
            </w:tcBorders>
            <w:shd w:val="clear" w:color="000000" w:fill="730022"/>
            <w:noWrap/>
            <w:vAlign w:val="center"/>
            <w:hideMark/>
          </w:tcPr>
          <w:p w14:paraId="0970CE8E" w14:textId="77777777" w:rsidR="003F14A6" w:rsidRPr="00894701" w:rsidRDefault="003F14A6" w:rsidP="00446B8D">
            <w:pPr>
              <w:spacing w:after="0" w:line="240" w:lineRule="auto"/>
              <w:jc w:val="center"/>
              <w:rPr>
                <w:b/>
                <w:bCs/>
                <w:color w:val="FFFFFF"/>
                <w:kern w:val="0"/>
                <w:sz w:val="16"/>
                <w:szCs w:val="16"/>
              </w:rPr>
            </w:pPr>
            <w:r w:rsidRPr="00894701">
              <w:rPr>
                <w:b/>
                <w:bCs/>
                <w:color w:val="FFFFFF"/>
                <w:kern w:val="0"/>
                <w:sz w:val="16"/>
                <w:szCs w:val="16"/>
              </w:rPr>
              <w:t>2018</w:t>
            </w:r>
          </w:p>
        </w:tc>
        <w:tc>
          <w:tcPr>
            <w:tcW w:w="1497" w:type="pct"/>
            <w:gridSpan w:val="3"/>
            <w:tcBorders>
              <w:top w:val="nil"/>
              <w:left w:val="nil"/>
              <w:bottom w:val="single" w:sz="8" w:space="0" w:color="FF0000"/>
              <w:right w:val="nil"/>
            </w:tcBorders>
            <w:shd w:val="clear" w:color="000000" w:fill="730022"/>
            <w:noWrap/>
            <w:vAlign w:val="center"/>
            <w:hideMark/>
          </w:tcPr>
          <w:p w14:paraId="47B0E3CB" w14:textId="77777777" w:rsidR="003F14A6" w:rsidRPr="00894701" w:rsidRDefault="003F14A6" w:rsidP="00446B8D">
            <w:pPr>
              <w:spacing w:after="0" w:line="240" w:lineRule="auto"/>
              <w:jc w:val="center"/>
              <w:rPr>
                <w:b/>
                <w:bCs/>
                <w:color w:val="FFFFFF"/>
                <w:kern w:val="0"/>
                <w:sz w:val="16"/>
                <w:szCs w:val="16"/>
              </w:rPr>
            </w:pPr>
            <w:r w:rsidRPr="00894701">
              <w:rPr>
                <w:b/>
                <w:bCs/>
                <w:color w:val="FFFFFF"/>
                <w:kern w:val="0"/>
                <w:sz w:val="16"/>
                <w:szCs w:val="16"/>
              </w:rPr>
              <w:t>2019</w:t>
            </w:r>
          </w:p>
        </w:tc>
      </w:tr>
      <w:tr w:rsidR="003F14A6" w:rsidRPr="00894701" w14:paraId="3B636F0E" w14:textId="77777777" w:rsidTr="00446B8D">
        <w:trPr>
          <w:trHeight w:val="283"/>
          <w:tblHeader/>
          <w:jc w:val="center"/>
        </w:trPr>
        <w:tc>
          <w:tcPr>
            <w:tcW w:w="449" w:type="pct"/>
            <w:vMerge/>
            <w:tcBorders>
              <w:left w:val="nil"/>
              <w:bottom w:val="single" w:sz="8" w:space="0" w:color="FF0000"/>
              <w:right w:val="nil"/>
            </w:tcBorders>
            <w:shd w:val="clear" w:color="auto" w:fill="710022" w:themeFill="accent3" w:themeFillShade="BF"/>
            <w:noWrap/>
            <w:vAlign w:val="center"/>
            <w:hideMark/>
          </w:tcPr>
          <w:p w14:paraId="25B4EB1B" w14:textId="77777777" w:rsidR="003F14A6" w:rsidRPr="00894701" w:rsidRDefault="003F14A6" w:rsidP="00446B8D">
            <w:pPr>
              <w:spacing w:after="0" w:line="240" w:lineRule="auto"/>
              <w:jc w:val="center"/>
              <w:rPr>
                <w:b/>
                <w:bCs/>
                <w:color w:val="FFFFFF"/>
                <w:kern w:val="0"/>
                <w:sz w:val="16"/>
                <w:szCs w:val="16"/>
              </w:rPr>
            </w:pPr>
          </w:p>
        </w:tc>
        <w:tc>
          <w:tcPr>
            <w:tcW w:w="455" w:type="pct"/>
            <w:tcBorders>
              <w:top w:val="nil"/>
              <w:left w:val="nil"/>
              <w:bottom w:val="single" w:sz="8" w:space="0" w:color="FF0000"/>
              <w:right w:val="nil"/>
            </w:tcBorders>
            <w:shd w:val="clear" w:color="000000" w:fill="730022"/>
            <w:noWrap/>
            <w:vAlign w:val="center"/>
            <w:hideMark/>
          </w:tcPr>
          <w:p w14:paraId="28AC239B" w14:textId="77777777" w:rsidR="003F14A6" w:rsidRPr="00894701" w:rsidRDefault="003F14A6" w:rsidP="00446B8D">
            <w:pPr>
              <w:spacing w:after="0" w:line="240" w:lineRule="auto"/>
              <w:jc w:val="center"/>
              <w:rPr>
                <w:b/>
                <w:bCs/>
                <w:color w:val="FFFFFF"/>
                <w:kern w:val="0"/>
                <w:sz w:val="16"/>
                <w:szCs w:val="16"/>
              </w:rPr>
            </w:pPr>
            <w:r w:rsidRPr="00894701">
              <w:rPr>
                <w:b/>
                <w:bCs/>
                <w:color w:val="FFFFFF"/>
                <w:kern w:val="0"/>
                <w:sz w:val="16"/>
                <w:szCs w:val="16"/>
              </w:rPr>
              <w:t xml:space="preserve"> Male</w:t>
            </w:r>
          </w:p>
        </w:tc>
        <w:tc>
          <w:tcPr>
            <w:tcW w:w="519" w:type="pct"/>
            <w:tcBorders>
              <w:top w:val="nil"/>
              <w:left w:val="nil"/>
              <w:bottom w:val="single" w:sz="8" w:space="0" w:color="FF0000"/>
              <w:right w:val="nil"/>
            </w:tcBorders>
            <w:shd w:val="clear" w:color="000000" w:fill="730022"/>
            <w:noWrap/>
            <w:vAlign w:val="center"/>
            <w:hideMark/>
          </w:tcPr>
          <w:p w14:paraId="6EDEBF02" w14:textId="77777777" w:rsidR="003F14A6" w:rsidRPr="00894701" w:rsidRDefault="003F14A6" w:rsidP="00446B8D">
            <w:pPr>
              <w:spacing w:after="0" w:line="240" w:lineRule="auto"/>
              <w:jc w:val="center"/>
              <w:rPr>
                <w:b/>
                <w:bCs/>
                <w:color w:val="FFFFFF"/>
                <w:kern w:val="0"/>
                <w:sz w:val="16"/>
                <w:szCs w:val="16"/>
              </w:rPr>
            </w:pPr>
            <w:r w:rsidRPr="00894701">
              <w:rPr>
                <w:b/>
                <w:bCs/>
                <w:color w:val="FFFFFF"/>
                <w:kern w:val="0"/>
                <w:sz w:val="16"/>
                <w:szCs w:val="16"/>
              </w:rPr>
              <w:t xml:space="preserve"> Female</w:t>
            </w:r>
          </w:p>
        </w:tc>
        <w:tc>
          <w:tcPr>
            <w:tcW w:w="521" w:type="pct"/>
            <w:tcBorders>
              <w:top w:val="nil"/>
              <w:left w:val="nil"/>
              <w:bottom w:val="single" w:sz="8" w:space="0" w:color="FF0000"/>
              <w:right w:val="nil"/>
            </w:tcBorders>
            <w:shd w:val="clear" w:color="000000" w:fill="730022"/>
            <w:noWrap/>
            <w:vAlign w:val="center"/>
            <w:hideMark/>
          </w:tcPr>
          <w:p w14:paraId="7252976D" w14:textId="77777777" w:rsidR="003F14A6" w:rsidRPr="00894701" w:rsidRDefault="003F14A6" w:rsidP="00446B8D">
            <w:pPr>
              <w:spacing w:after="0" w:line="240" w:lineRule="auto"/>
              <w:jc w:val="center"/>
              <w:rPr>
                <w:b/>
                <w:bCs/>
                <w:color w:val="FFFFFF"/>
                <w:kern w:val="0"/>
                <w:sz w:val="16"/>
                <w:szCs w:val="16"/>
              </w:rPr>
            </w:pPr>
            <w:r w:rsidRPr="00894701">
              <w:rPr>
                <w:b/>
                <w:bCs/>
                <w:color w:val="FFFFFF"/>
                <w:kern w:val="0"/>
                <w:sz w:val="16"/>
                <w:szCs w:val="16"/>
              </w:rPr>
              <w:t xml:space="preserve"> Total</w:t>
            </w:r>
          </w:p>
        </w:tc>
        <w:tc>
          <w:tcPr>
            <w:tcW w:w="519" w:type="pct"/>
            <w:tcBorders>
              <w:top w:val="nil"/>
              <w:left w:val="nil"/>
              <w:bottom w:val="single" w:sz="8" w:space="0" w:color="FF0000"/>
              <w:right w:val="nil"/>
            </w:tcBorders>
            <w:shd w:val="clear" w:color="000000" w:fill="730022"/>
            <w:noWrap/>
            <w:vAlign w:val="center"/>
            <w:hideMark/>
          </w:tcPr>
          <w:p w14:paraId="6588196C" w14:textId="77777777" w:rsidR="003F14A6" w:rsidRPr="00894701" w:rsidRDefault="003F14A6" w:rsidP="00446B8D">
            <w:pPr>
              <w:spacing w:after="0" w:line="240" w:lineRule="auto"/>
              <w:jc w:val="center"/>
              <w:rPr>
                <w:b/>
                <w:bCs/>
                <w:color w:val="FFFFFF"/>
                <w:kern w:val="0"/>
                <w:sz w:val="16"/>
                <w:szCs w:val="16"/>
              </w:rPr>
            </w:pPr>
            <w:r w:rsidRPr="00894701">
              <w:rPr>
                <w:b/>
                <w:bCs/>
                <w:color w:val="FFFFFF"/>
                <w:kern w:val="0"/>
                <w:sz w:val="16"/>
                <w:szCs w:val="16"/>
              </w:rPr>
              <w:t xml:space="preserve"> Male</w:t>
            </w:r>
          </w:p>
        </w:tc>
        <w:tc>
          <w:tcPr>
            <w:tcW w:w="519" w:type="pct"/>
            <w:tcBorders>
              <w:top w:val="nil"/>
              <w:left w:val="nil"/>
              <w:bottom w:val="single" w:sz="8" w:space="0" w:color="FF0000"/>
              <w:right w:val="nil"/>
            </w:tcBorders>
            <w:shd w:val="clear" w:color="000000" w:fill="730022"/>
            <w:noWrap/>
            <w:vAlign w:val="center"/>
            <w:hideMark/>
          </w:tcPr>
          <w:p w14:paraId="31442292" w14:textId="77777777" w:rsidR="003F14A6" w:rsidRPr="00894701" w:rsidRDefault="003F14A6" w:rsidP="00446B8D">
            <w:pPr>
              <w:spacing w:after="0" w:line="240" w:lineRule="auto"/>
              <w:jc w:val="center"/>
              <w:rPr>
                <w:b/>
                <w:bCs/>
                <w:color w:val="FFFFFF"/>
                <w:kern w:val="0"/>
                <w:sz w:val="16"/>
                <w:szCs w:val="16"/>
              </w:rPr>
            </w:pPr>
            <w:r w:rsidRPr="00894701">
              <w:rPr>
                <w:b/>
                <w:bCs/>
                <w:color w:val="FFFFFF"/>
                <w:kern w:val="0"/>
                <w:sz w:val="16"/>
                <w:szCs w:val="16"/>
              </w:rPr>
              <w:t xml:space="preserve"> Female</w:t>
            </w:r>
          </w:p>
        </w:tc>
        <w:tc>
          <w:tcPr>
            <w:tcW w:w="521" w:type="pct"/>
            <w:tcBorders>
              <w:top w:val="nil"/>
              <w:left w:val="nil"/>
              <w:bottom w:val="single" w:sz="8" w:space="0" w:color="FF0000"/>
              <w:right w:val="nil"/>
            </w:tcBorders>
            <w:shd w:val="clear" w:color="000000" w:fill="730022"/>
            <w:noWrap/>
            <w:vAlign w:val="center"/>
            <w:hideMark/>
          </w:tcPr>
          <w:p w14:paraId="1DEF08D1" w14:textId="77777777" w:rsidR="003F14A6" w:rsidRPr="00894701" w:rsidRDefault="003F14A6" w:rsidP="00446B8D">
            <w:pPr>
              <w:spacing w:after="0" w:line="240" w:lineRule="auto"/>
              <w:jc w:val="center"/>
              <w:rPr>
                <w:b/>
                <w:bCs/>
                <w:color w:val="FFFFFF"/>
                <w:kern w:val="0"/>
                <w:sz w:val="16"/>
                <w:szCs w:val="16"/>
              </w:rPr>
            </w:pPr>
            <w:r w:rsidRPr="00894701">
              <w:rPr>
                <w:b/>
                <w:bCs/>
                <w:color w:val="FFFFFF"/>
                <w:kern w:val="0"/>
                <w:sz w:val="16"/>
                <w:szCs w:val="16"/>
              </w:rPr>
              <w:t xml:space="preserve"> Total</w:t>
            </w:r>
          </w:p>
        </w:tc>
        <w:tc>
          <w:tcPr>
            <w:tcW w:w="519" w:type="pct"/>
            <w:tcBorders>
              <w:top w:val="nil"/>
              <w:left w:val="nil"/>
              <w:bottom w:val="single" w:sz="8" w:space="0" w:color="FF0000"/>
              <w:right w:val="nil"/>
            </w:tcBorders>
            <w:shd w:val="clear" w:color="000000" w:fill="730022"/>
            <w:noWrap/>
            <w:vAlign w:val="center"/>
            <w:hideMark/>
          </w:tcPr>
          <w:p w14:paraId="7632023B" w14:textId="77777777" w:rsidR="003F14A6" w:rsidRPr="00894701" w:rsidRDefault="003F14A6" w:rsidP="00446B8D">
            <w:pPr>
              <w:spacing w:after="0" w:line="240" w:lineRule="auto"/>
              <w:jc w:val="center"/>
              <w:rPr>
                <w:b/>
                <w:bCs/>
                <w:color w:val="FFFFFF"/>
                <w:kern w:val="0"/>
                <w:sz w:val="16"/>
                <w:szCs w:val="16"/>
              </w:rPr>
            </w:pPr>
            <w:r w:rsidRPr="00894701">
              <w:rPr>
                <w:b/>
                <w:bCs/>
                <w:color w:val="FFFFFF"/>
                <w:kern w:val="0"/>
                <w:sz w:val="16"/>
                <w:szCs w:val="16"/>
              </w:rPr>
              <w:t xml:space="preserve"> Male</w:t>
            </w:r>
          </w:p>
        </w:tc>
        <w:tc>
          <w:tcPr>
            <w:tcW w:w="519" w:type="pct"/>
            <w:tcBorders>
              <w:top w:val="nil"/>
              <w:left w:val="nil"/>
              <w:bottom w:val="single" w:sz="8" w:space="0" w:color="FF0000"/>
              <w:right w:val="nil"/>
            </w:tcBorders>
            <w:shd w:val="clear" w:color="000000" w:fill="730022"/>
            <w:noWrap/>
            <w:vAlign w:val="center"/>
            <w:hideMark/>
          </w:tcPr>
          <w:p w14:paraId="778C7622" w14:textId="77777777" w:rsidR="003F14A6" w:rsidRPr="00894701" w:rsidRDefault="003F14A6" w:rsidP="00446B8D">
            <w:pPr>
              <w:spacing w:after="0" w:line="240" w:lineRule="auto"/>
              <w:jc w:val="center"/>
              <w:rPr>
                <w:b/>
                <w:bCs/>
                <w:color w:val="FFFFFF"/>
                <w:kern w:val="0"/>
                <w:sz w:val="16"/>
                <w:szCs w:val="16"/>
              </w:rPr>
            </w:pPr>
            <w:r w:rsidRPr="00894701">
              <w:rPr>
                <w:b/>
                <w:bCs/>
                <w:color w:val="FFFFFF"/>
                <w:kern w:val="0"/>
                <w:sz w:val="16"/>
                <w:szCs w:val="16"/>
              </w:rPr>
              <w:t xml:space="preserve"> Female</w:t>
            </w:r>
          </w:p>
        </w:tc>
        <w:tc>
          <w:tcPr>
            <w:tcW w:w="459" w:type="pct"/>
            <w:tcBorders>
              <w:top w:val="nil"/>
              <w:left w:val="nil"/>
              <w:bottom w:val="single" w:sz="8" w:space="0" w:color="FF0000"/>
              <w:right w:val="nil"/>
            </w:tcBorders>
            <w:shd w:val="clear" w:color="000000" w:fill="730022"/>
            <w:noWrap/>
            <w:vAlign w:val="center"/>
            <w:hideMark/>
          </w:tcPr>
          <w:p w14:paraId="629CFB59" w14:textId="77777777" w:rsidR="003F14A6" w:rsidRPr="00894701" w:rsidRDefault="003F14A6" w:rsidP="00446B8D">
            <w:pPr>
              <w:spacing w:after="0" w:line="240" w:lineRule="auto"/>
              <w:jc w:val="center"/>
              <w:rPr>
                <w:b/>
                <w:bCs/>
                <w:color w:val="FFFFFF"/>
                <w:kern w:val="0"/>
                <w:sz w:val="16"/>
                <w:szCs w:val="16"/>
              </w:rPr>
            </w:pPr>
            <w:r w:rsidRPr="00894701">
              <w:rPr>
                <w:b/>
                <w:bCs/>
                <w:color w:val="FFFFFF"/>
                <w:kern w:val="0"/>
                <w:sz w:val="16"/>
                <w:szCs w:val="16"/>
              </w:rPr>
              <w:t xml:space="preserve"> Total</w:t>
            </w:r>
          </w:p>
        </w:tc>
      </w:tr>
      <w:tr w:rsidR="003F14A6" w:rsidRPr="00894701" w14:paraId="736935A3" w14:textId="77777777" w:rsidTr="00446B8D">
        <w:trPr>
          <w:trHeight w:val="283"/>
          <w:jc w:val="center"/>
        </w:trPr>
        <w:tc>
          <w:tcPr>
            <w:tcW w:w="449" w:type="pct"/>
            <w:tcBorders>
              <w:top w:val="nil"/>
              <w:left w:val="nil"/>
              <w:bottom w:val="nil"/>
              <w:right w:val="nil"/>
            </w:tcBorders>
            <w:shd w:val="clear" w:color="000000" w:fill="A6A6A6"/>
            <w:noWrap/>
            <w:vAlign w:val="center"/>
            <w:hideMark/>
          </w:tcPr>
          <w:p w14:paraId="70A8513D" w14:textId="77777777" w:rsidR="003F14A6" w:rsidRPr="00894701" w:rsidRDefault="003F14A6" w:rsidP="00446B8D">
            <w:pPr>
              <w:spacing w:after="0" w:line="240" w:lineRule="auto"/>
              <w:jc w:val="right"/>
              <w:rPr>
                <w:b/>
                <w:bCs/>
                <w:color w:val="000000"/>
                <w:kern w:val="0"/>
                <w:sz w:val="16"/>
                <w:szCs w:val="16"/>
              </w:rPr>
            </w:pPr>
            <w:r w:rsidRPr="00894701">
              <w:rPr>
                <w:b/>
                <w:bCs/>
                <w:color w:val="000000"/>
                <w:kern w:val="0"/>
                <w:sz w:val="16"/>
                <w:szCs w:val="16"/>
              </w:rPr>
              <w:t>Total</w:t>
            </w:r>
          </w:p>
        </w:tc>
        <w:tc>
          <w:tcPr>
            <w:tcW w:w="455" w:type="pct"/>
            <w:tcBorders>
              <w:top w:val="nil"/>
              <w:left w:val="nil"/>
              <w:bottom w:val="nil"/>
              <w:right w:val="nil"/>
            </w:tcBorders>
            <w:shd w:val="clear" w:color="000000" w:fill="A6A6A6"/>
            <w:noWrap/>
            <w:vAlign w:val="center"/>
            <w:hideMark/>
          </w:tcPr>
          <w:p w14:paraId="0441733F" w14:textId="77777777" w:rsidR="003F14A6" w:rsidRPr="00894701" w:rsidRDefault="003F14A6" w:rsidP="00446B8D">
            <w:pPr>
              <w:spacing w:after="0" w:line="240" w:lineRule="auto"/>
              <w:jc w:val="right"/>
              <w:rPr>
                <w:b/>
                <w:bCs/>
                <w:color w:val="000000"/>
                <w:kern w:val="0"/>
                <w:sz w:val="16"/>
                <w:szCs w:val="16"/>
              </w:rPr>
            </w:pPr>
            <w:r w:rsidRPr="00894701">
              <w:rPr>
                <w:b/>
                <w:bCs/>
                <w:color w:val="000000"/>
                <w:kern w:val="0"/>
                <w:sz w:val="16"/>
                <w:szCs w:val="16"/>
                <w:lang w:eastAsia="zh-CN"/>
              </w:rPr>
              <w:t xml:space="preserve">290,800 </w:t>
            </w:r>
          </w:p>
        </w:tc>
        <w:tc>
          <w:tcPr>
            <w:tcW w:w="519" w:type="pct"/>
            <w:tcBorders>
              <w:top w:val="nil"/>
              <w:left w:val="nil"/>
              <w:bottom w:val="nil"/>
              <w:right w:val="nil"/>
            </w:tcBorders>
            <w:shd w:val="clear" w:color="000000" w:fill="A6A6A6"/>
            <w:noWrap/>
            <w:vAlign w:val="center"/>
            <w:hideMark/>
          </w:tcPr>
          <w:p w14:paraId="5DEEE285" w14:textId="77777777" w:rsidR="003F14A6" w:rsidRPr="00894701" w:rsidRDefault="003F14A6" w:rsidP="00446B8D">
            <w:pPr>
              <w:spacing w:after="0" w:line="240" w:lineRule="auto"/>
              <w:jc w:val="right"/>
              <w:rPr>
                <w:b/>
                <w:bCs/>
                <w:color w:val="000000"/>
                <w:kern w:val="0"/>
                <w:sz w:val="16"/>
                <w:szCs w:val="16"/>
              </w:rPr>
            </w:pPr>
            <w:r w:rsidRPr="00894701">
              <w:rPr>
                <w:b/>
                <w:bCs/>
                <w:color w:val="000000"/>
                <w:kern w:val="0"/>
                <w:sz w:val="16"/>
                <w:szCs w:val="16"/>
                <w:lang w:eastAsia="zh-CN"/>
              </w:rPr>
              <w:t xml:space="preserve">292,400 </w:t>
            </w:r>
          </w:p>
        </w:tc>
        <w:tc>
          <w:tcPr>
            <w:tcW w:w="521" w:type="pct"/>
            <w:tcBorders>
              <w:top w:val="nil"/>
              <w:left w:val="nil"/>
              <w:bottom w:val="nil"/>
              <w:right w:val="nil"/>
            </w:tcBorders>
            <w:shd w:val="clear" w:color="000000" w:fill="A6A6A6"/>
            <w:noWrap/>
            <w:vAlign w:val="center"/>
            <w:hideMark/>
          </w:tcPr>
          <w:p w14:paraId="3074EFB8" w14:textId="77777777" w:rsidR="003F14A6" w:rsidRPr="00894701" w:rsidRDefault="003F14A6" w:rsidP="00446B8D">
            <w:pPr>
              <w:spacing w:after="0" w:line="240" w:lineRule="auto"/>
              <w:jc w:val="right"/>
              <w:rPr>
                <w:b/>
                <w:bCs/>
                <w:color w:val="000000"/>
                <w:kern w:val="0"/>
                <w:sz w:val="16"/>
                <w:szCs w:val="16"/>
              </w:rPr>
            </w:pPr>
            <w:r w:rsidRPr="00894701">
              <w:rPr>
                <w:b/>
                <w:bCs/>
                <w:color w:val="000000"/>
                <w:kern w:val="0"/>
                <w:sz w:val="16"/>
                <w:szCs w:val="16"/>
                <w:lang w:eastAsia="zh-CN"/>
              </w:rPr>
              <w:t xml:space="preserve">583,200 </w:t>
            </w:r>
          </w:p>
        </w:tc>
        <w:tc>
          <w:tcPr>
            <w:tcW w:w="519" w:type="pct"/>
            <w:tcBorders>
              <w:top w:val="nil"/>
              <w:left w:val="nil"/>
              <w:bottom w:val="nil"/>
              <w:right w:val="nil"/>
            </w:tcBorders>
            <w:shd w:val="clear" w:color="000000" w:fill="A6A6A6"/>
            <w:noWrap/>
            <w:vAlign w:val="center"/>
            <w:hideMark/>
          </w:tcPr>
          <w:p w14:paraId="111D32CC" w14:textId="77777777" w:rsidR="003F14A6" w:rsidRPr="00894701" w:rsidRDefault="003F14A6" w:rsidP="00446B8D">
            <w:pPr>
              <w:spacing w:after="0" w:line="240" w:lineRule="auto"/>
              <w:jc w:val="right"/>
              <w:rPr>
                <w:b/>
                <w:bCs/>
                <w:color w:val="000000"/>
                <w:kern w:val="0"/>
                <w:sz w:val="16"/>
                <w:szCs w:val="16"/>
              </w:rPr>
            </w:pPr>
            <w:r w:rsidRPr="00894701">
              <w:rPr>
                <w:b/>
                <w:bCs/>
                <w:color w:val="000000"/>
                <w:kern w:val="0"/>
                <w:sz w:val="16"/>
                <w:szCs w:val="16"/>
              </w:rPr>
              <w:t xml:space="preserve">294,200 </w:t>
            </w:r>
          </w:p>
        </w:tc>
        <w:tc>
          <w:tcPr>
            <w:tcW w:w="519" w:type="pct"/>
            <w:tcBorders>
              <w:top w:val="nil"/>
              <w:left w:val="nil"/>
              <w:bottom w:val="nil"/>
              <w:right w:val="nil"/>
            </w:tcBorders>
            <w:shd w:val="clear" w:color="000000" w:fill="A6A6A6"/>
            <w:noWrap/>
            <w:vAlign w:val="center"/>
            <w:hideMark/>
          </w:tcPr>
          <w:p w14:paraId="2832847E" w14:textId="77777777" w:rsidR="003F14A6" w:rsidRPr="00894701" w:rsidRDefault="003F14A6" w:rsidP="00446B8D">
            <w:pPr>
              <w:spacing w:after="0" w:line="240" w:lineRule="auto"/>
              <w:jc w:val="right"/>
              <w:rPr>
                <w:b/>
                <w:bCs/>
                <w:color w:val="000000"/>
                <w:kern w:val="0"/>
                <w:sz w:val="16"/>
                <w:szCs w:val="16"/>
              </w:rPr>
            </w:pPr>
            <w:r w:rsidRPr="00894701">
              <w:rPr>
                <w:b/>
                <w:bCs/>
                <w:color w:val="000000"/>
                <w:kern w:val="0"/>
                <w:sz w:val="16"/>
                <w:szCs w:val="16"/>
              </w:rPr>
              <w:t xml:space="preserve">295,900 </w:t>
            </w:r>
          </w:p>
        </w:tc>
        <w:tc>
          <w:tcPr>
            <w:tcW w:w="521" w:type="pct"/>
            <w:tcBorders>
              <w:top w:val="nil"/>
              <w:left w:val="nil"/>
              <w:bottom w:val="nil"/>
              <w:right w:val="nil"/>
            </w:tcBorders>
            <w:shd w:val="clear" w:color="000000" w:fill="A6A6A6"/>
            <w:noWrap/>
            <w:vAlign w:val="center"/>
            <w:hideMark/>
          </w:tcPr>
          <w:p w14:paraId="35119B15" w14:textId="77777777" w:rsidR="003F14A6" w:rsidRPr="00894701" w:rsidRDefault="003F14A6" w:rsidP="00446B8D">
            <w:pPr>
              <w:spacing w:after="0" w:line="240" w:lineRule="auto"/>
              <w:jc w:val="right"/>
              <w:rPr>
                <w:b/>
                <w:bCs/>
                <w:color w:val="000000"/>
                <w:kern w:val="0"/>
                <w:sz w:val="16"/>
                <w:szCs w:val="16"/>
              </w:rPr>
            </w:pPr>
            <w:r w:rsidRPr="00894701">
              <w:rPr>
                <w:b/>
                <w:bCs/>
                <w:color w:val="000000"/>
                <w:kern w:val="0"/>
                <w:sz w:val="16"/>
                <w:szCs w:val="16"/>
              </w:rPr>
              <w:t xml:space="preserve">590,100 </w:t>
            </w:r>
          </w:p>
        </w:tc>
        <w:tc>
          <w:tcPr>
            <w:tcW w:w="519" w:type="pct"/>
            <w:tcBorders>
              <w:top w:val="nil"/>
              <w:left w:val="nil"/>
              <w:bottom w:val="nil"/>
              <w:right w:val="nil"/>
            </w:tcBorders>
            <w:shd w:val="clear" w:color="000000" w:fill="A6A6A6"/>
            <w:noWrap/>
            <w:vAlign w:val="center"/>
            <w:hideMark/>
          </w:tcPr>
          <w:p w14:paraId="7F774F24" w14:textId="77777777" w:rsidR="003F14A6" w:rsidRPr="00894701" w:rsidRDefault="003F14A6" w:rsidP="00446B8D">
            <w:pPr>
              <w:spacing w:after="0" w:line="240" w:lineRule="auto"/>
              <w:jc w:val="right"/>
              <w:rPr>
                <w:b/>
                <w:bCs/>
                <w:color w:val="000000"/>
                <w:kern w:val="0"/>
                <w:sz w:val="16"/>
                <w:szCs w:val="16"/>
              </w:rPr>
            </w:pPr>
            <w:r w:rsidRPr="00894701">
              <w:rPr>
                <w:b/>
                <w:bCs/>
                <w:color w:val="000000"/>
                <w:kern w:val="0"/>
                <w:sz w:val="16"/>
                <w:szCs w:val="16"/>
                <w:lang w:eastAsia="zh-CN"/>
              </w:rPr>
              <w:t xml:space="preserve">298,300 </w:t>
            </w:r>
          </w:p>
        </w:tc>
        <w:tc>
          <w:tcPr>
            <w:tcW w:w="519" w:type="pct"/>
            <w:tcBorders>
              <w:top w:val="nil"/>
              <w:left w:val="nil"/>
              <w:bottom w:val="nil"/>
              <w:right w:val="nil"/>
            </w:tcBorders>
            <w:shd w:val="clear" w:color="000000" w:fill="A6A6A6"/>
            <w:noWrap/>
            <w:vAlign w:val="center"/>
            <w:hideMark/>
          </w:tcPr>
          <w:p w14:paraId="1F24021B" w14:textId="77777777" w:rsidR="003F14A6" w:rsidRPr="00894701" w:rsidRDefault="003F14A6" w:rsidP="00446B8D">
            <w:pPr>
              <w:spacing w:after="0" w:line="240" w:lineRule="auto"/>
              <w:jc w:val="right"/>
              <w:rPr>
                <w:b/>
                <w:bCs/>
                <w:color w:val="000000"/>
                <w:kern w:val="0"/>
                <w:sz w:val="16"/>
                <w:szCs w:val="16"/>
              </w:rPr>
            </w:pPr>
            <w:r w:rsidRPr="00894701">
              <w:rPr>
                <w:b/>
                <w:bCs/>
                <w:color w:val="000000"/>
                <w:kern w:val="0"/>
                <w:sz w:val="16"/>
                <w:szCs w:val="16"/>
                <w:lang w:eastAsia="zh-CN"/>
              </w:rPr>
              <w:t xml:space="preserve">299,700 </w:t>
            </w:r>
          </w:p>
        </w:tc>
        <w:tc>
          <w:tcPr>
            <w:tcW w:w="459" w:type="pct"/>
            <w:tcBorders>
              <w:top w:val="nil"/>
              <w:left w:val="nil"/>
              <w:bottom w:val="nil"/>
              <w:right w:val="nil"/>
            </w:tcBorders>
            <w:shd w:val="clear" w:color="000000" w:fill="A6A6A6"/>
            <w:noWrap/>
            <w:vAlign w:val="center"/>
            <w:hideMark/>
          </w:tcPr>
          <w:p w14:paraId="43717A2F" w14:textId="77777777" w:rsidR="003F14A6" w:rsidRPr="00894701" w:rsidRDefault="003F14A6" w:rsidP="00446B8D">
            <w:pPr>
              <w:spacing w:after="0" w:line="240" w:lineRule="auto"/>
              <w:jc w:val="right"/>
              <w:rPr>
                <w:b/>
                <w:bCs/>
                <w:color w:val="000000"/>
                <w:kern w:val="0"/>
                <w:sz w:val="16"/>
                <w:szCs w:val="16"/>
              </w:rPr>
            </w:pPr>
            <w:r w:rsidRPr="00894701">
              <w:rPr>
                <w:b/>
                <w:bCs/>
                <w:color w:val="000000"/>
                <w:kern w:val="0"/>
                <w:sz w:val="16"/>
                <w:szCs w:val="16"/>
                <w:lang w:eastAsia="zh-CN"/>
              </w:rPr>
              <w:t xml:space="preserve">598,000 </w:t>
            </w:r>
          </w:p>
        </w:tc>
      </w:tr>
    </w:tbl>
    <w:p w14:paraId="263BA2E1" w14:textId="77777777" w:rsidR="003F14A6" w:rsidRPr="00894701" w:rsidRDefault="003F14A6" w:rsidP="003F14A6">
      <w:pPr>
        <w:pStyle w:val="BodyText"/>
        <w:jc w:val="both"/>
        <w:rPr>
          <w:rFonts w:asciiTheme="majorHAnsi" w:hAnsiTheme="majorHAnsi"/>
          <w:i/>
          <w:iCs/>
          <w:color w:val="auto"/>
          <w:sz w:val="16"/>
          <w:szCs w:val="16"/>
        </w:rPr>
      </w:pPr>
      <w:r w:rsidRPr="00894701">
        <w:rPr>
          <w:rFonts w:asciiTheme="majorHAnsi" w:hAnsiTheme="majorHAnsi"/>
          <w:i/>
          <w:iCs/>
          <w:color w:val="auto"/>
          <w:sz w:val="16"/>
          <w:szCs w:val="16"/>
        </w:rPr>
        <w:t xml:space="preserve"> Source: Households in Suriname 2017-2019</w:t>
      </w:r>
    </w:p>
    <w:p w14:paraId="58E46488" w14:textId="77777777" w:rsidR="003F14A6" w:rsidRPr="00894701" w:rsidRDefault="003F14A6" w:rsidP="003F14A6">
      <w:pPr>
        <w:spacing w:after="0" w:line="240" w:lineRule="auto"/>
        <w:rPr>
          <w:rFonts w:asciiTheme="minorHAnsi" w:hAnsiTheme="minorHAnsi"/>
          <w:color w:val="000000"/>
          <w:sz w:val="20"/>
        </w:rPr>
      </w:pPr>
    </w:p>
    <w:p w14:paraId="4CF1AA98" w14:textId="18D85FA1" w:rsidR="003F14A6" w:rsidRPr="00860520" w:rsidRDefault="00410E5B" w:rsidP="00860520">
      <w:pPr>
        <w:autoSpaceDE w:val="0"/>
        <w:autoSpaceDN w:val="0"/>
        <w:adjustRightInd w:val="0"/>
        <w:spacing w:line="240" w:lineRule="auto"/>
        <w:jc w:val="center"/>
        <w:rPr>
          <w:b/>
          <w:bCs/>
          <w:color w:val="98002E"/>
          <w:szCs w:val="20"/>
        </w:rPr>
      </w:pPr>
      <w:bookmarkStart w:id="365" w:name="_Toc146590513"/>
      <w:r w:rsidRPr="00894701">
        <w:rPr>
          <w:b/>
          <w:bCs/>
          <w:color w:val="98002E"/>
          <w:szCs w:val="20"/>
        </w:rPr>
        <w:t xml:space="preserve">Table </w:t>
      </w:r>
      <w:r w:rsidRPr="00894701">
        <w:rPr>
          <w:b/>
          <w:bCs/>
          <w:color w:val="98002E"/>
          <w:szCs w:val="20"/>
        </w:rPr>
        <w:fldChar w:fldCharType="begin"/>
      </w:r>
      <w:r w:rsidRPr="00894701">
        <w:rPr>
          <w:b/>
          <w:bCs/>
          <w:color w:val="98002E"/>
          <w:szCs w:val="20"/>
        </w:rPr>
        <w:instrText xml:space="preserve"> SEQ Table \* ARABIC </w:instrText>
      </w:r>
      <w:r w:rsidRPr="00894701">
        <w:rPr>
          <w:b/>
          <w:bCs/>
          <w:color w:val="98002E"/>
          <w:szCs w:val="20"/>
        </w:rPr>
        <w:fldChar w:fldCharType="separate"/>
      </w:r>
      <w:r w:rsidR="0035303B">
        <w:rPr>
          <w:b/>
          <w:bCs/>
          <w:noProof/>
          <w:color w:val="98002E"/>
          <w:szCs w:val="20"/>
        </w:rPr>
        <w:t>41</w:t>
      </w:r>
      <w:r w:rsidRPr="00894701">
        <w:rPr>
          <w:b/>
          <w:bCs/>
          <w:color w:val="98002E"/>
          <w:szCs w:val="20"/>
        </w:rPr>
        <w:fldChar w:fldCharType="end"/>
      </w:r>
      <w:r w:rsidRPr="00894701">
        <w:rPr>
          <w:b/>
          <w:bCs/>
          <w:color w:val="98002E"/>
          <w:szCs w:val="20"/>
        </w:rPr>
        <w:t xml:space="preserve">: Disaggregation </w:t>
      </w:r>
      <w:r w:rsidR="003F14A6" w:rsidRPr="00860520">
        <w:rPr>
          <w:b/>
          <w:bCs/>
          <w:color w:val="98002E"/>
          <w:szCs w:val="20"/>
        </w:rPr>
        <w:t>Population by Ethnicity</w:t>
      </w:r>
      <w:bookmarkEnd w:id="365"/>
    </w:p>
    <w:tbl>
      <w:tblPr>
        <w:tblW w:w="5000" w:type="pct"/>
        <w:tblCellMar>
          <w:left w:w="0" w:type="dxa"/>
          <w:right w:w="0" w:type="dxa"/>
        </w:tblCellMar>
        <w:tblLook w:val="04A0" w:firstRow="1" w:lastRow="0" w:firstColumn="1" w:lastColumn="0" w:noHBand="0" w:noVBand="1"/>
      </w:tblPr>
      <w:tblGrid>
        <w:gridCol w:w="1516"/>
        <w:gridCol w:w="1214"/>
        <w:gridCol w:w="1214"/>
        <w:gridCol w:w="1215"/>
        <w:gridCol w:w="1215"/>
        <w:gridCol w:w="1215"/>
        <w:gridCol w:w="1461"/>
      </w:tblGrid>
      <w:tr w:rsidR="003F14A6" w:rsidRPr="00894701" w14:paraId="015CEA87" w14:textId="77777777" w:rsidTr="00446B8D">
        <w:trPr>
          <w:trHeight w:val="270"/>
          <w:tblHeader/>
        </w:trPr>
        <w:tc>
          <w:tcPr>
            <w:tcW w:w="838" w:type="pct"/>
            <w:vMerge w:val="restart"/>
            <w:tcBorders>
              <w:top w:val="single" w:sz="4" w:space="0" w:color="FF0000"/>
              <w:bottom w:val="single" w:sz="4" w:space="0" w:color="FF0000"/>
              <w:right w:val="single" w:sz="4" w:space="0" w:color="FF0000"/>
            </w:tcBorders>
            <w:shd w:val="clear" w:color="000000" w:fill="98002E"/>
            <w:tcMar>
              <w:top w:w="15" w:type="dxa"/>
              <w:left w:w="15" w:type="dxa"/>
              <w:bottom w:w="0" w:type="dxa"/>
              <w:right w:w="15" w:type="dxa"/>
            </w:tcMar>
            <w:vAlign w:val="center"/>
            <w:hideMark/>
          </w:tcPr>
          <w:p w14:paraId="6E2A665A" w14:textId="77777777" w:rsidR="003F14A6" w:rsidRPr="00894701" w:rsidRDefault="003F14A6" w:rsidP="00446B8D">
            <w:pPr>
              <w:spacing w:after="0" w:line="240" w:lineRule="auto"/>
              <w:jc w:val="center"/>
              <w:rPr>
                <w:rFonts w:ascii="Trebuchet MS (Body)" w:hAnsi="Trebuchet MS (Body)"/>
                <w:b/>
                <w:bCs/>
                <w:color w:val="FFFFFF"/>
                <w:kern w:val="0"/>
                <w:szCs w:val="18"/>
              </w:rPr>
            </w:pPr>
            <w:r w:rsidRPr="00894701">
              <w:rPr>
                <w:rFonts w:ascii="Trebuchet MS (Body)" w:hAnsi="Trebuchet MS (Body)"/>
                <w:b/>
                <w:bCs/>
                <w:color w:val="FFFFFF"/>
                <w:szCs w:val="18"/>
              </w:rPr>
              <w:t>Ethnicity</w:t>
            </w:r>
          </w:p>
        </w:tc>
        <w:tc>
          <w:tcPr>
            <w:tcW w:w="1342" w:type="pct"/>
            <w:gridSpan w:val="2"/>
            <w:tcBorders>
              <w:top w:val="single" w:sz="4" w:space="0" w:color="FF0000"/>
              <w:left w:val="nil"/>
              <w:bottom w:val="single" w:sz="4" w:space="0" w:color="FF0000"/>
              <w:right w:val="single" w:sz="4" w:space="0" w:color="FF0000"/>
            </w:tcBorders>
            <w:shd w:val="clear" w:color="000000" w:fill="98002E"/>
            <w:noWrap/>
            <w:tcMar>
              <w:top w:w="15" w:type="dxa"/>
              <w:left w:w="15" w:type="dxa"/>
              <w:bottom w:w="0" w:type="dxa"/>
              <w:right w:w="15" w:type="dxa"/>
            </w:tcMar>
            <w:vAlign w:val="center"/>
            <w:hideMark/>
          </w:tcPr>
          <w:p w14:paraId="6BA5826E" w14:textId="77777777" w:rsidR="003F14A6" w:rsidRPr="00894701" w:rsidRDefault="003F14A6" w:rsidP="00446B8D">
            <w:pPr>
              <w:jc w:val="center"/>
              <w:rPr>
                <w:rFonts w:ascii="Trebuchet MS (Body)" w:hAnsi="Trebuchet MS (Body)"/>
                <w:b/>
                <w:bCs/>
                <w:color w:val="FFFFFF"/>
                <w:szCs w:val="18"/>
              </w:rPr>
            </w:pPr>
            <w:r w:rsidRPr="00894701">
              <w:rPr>
                <w:rFonts w:ascii="Trebuchet MS (Body)" w:hAnsi="Trebuchet MS (Body)"/>
                <w:b/>
                <w:bCs/>
                <w:color w:val="FFFFFF"/>
                <w:szCs w:val="18"/>
              </w:rPr>
              <w:t>Sex</w:t>
            </w:r>
          </w:p>
        </w:tc>
        <w:tc>
          <w:tcPr>
            <w:tcW w:w="671" w:type="pct"/>
            <w:vMerge w:val="restart"/>
            <w:tcBorders>
              <w:top w:val="single" w:sz="4" w:space="0" w:color="FF0000"/>
              <w:left w:val="single" w:sz="4" w:space="0" w:color="FF0000"/>
              <w:bottom w:val="single" w:sz="4" w:space="0" w:color="FF0000"/>
              <w:right w:val="single" w:sz="4" w:space="0" w:color="FF0000"/>
            </w:tcBorders>
            <w:shd w:val="clear" w:color="000000" w:fill="98002E"/>
            <w:noWrap/>
            <w:tcMar>
              <w:top w:w="15" w:type="dxa"/>
              <w:left w:w="15" w:type="dxa"/>
              <w:bottom w:w="0" w:type="dxa"/>
              <w:right w:w="15" w:type="dxa"/>
            </w:tcMar>
            <w:vAlign w:val="center"/>
            <w:hideMark/>
          </w:tcPr>
          <w:p w14:paraId="478999FD" w14:textId="77777777" w:rsidR="003F14A6" w:rsidRPr="00894701" w:rsidRDefault="003F14A6" w:rsidP="00446B8D">
            <w:pPr>
              <w:jc w:val="center"/>
              <w:rPr>
                <w:rFonts w:ascii="Trebuchet MS (Body)" w:hAnsi="Trebuchet MS (Body)"/>
                <w:b/>
                <w:bCs/>
                <w:color w:val="FFFFFF"/>
                <w:szCs w:val="18"/>
              </w:rPr>
            </w:pPr>
            <w:r w:rsidRPr="00894701">
              <w:rPr>
                <w:rFonts w:ascii="Trebuchet MS (Body)" w:hAnsi="Trebuchet MS (Body)"/>
                <w:b/>
                <w:bCs/>
                <w:color w:val="FFFFFF"/>
                <w:szCs w:val="18"/>
              </w:rPr>
              <w:t>Total</w:t>
            </w:r>
          </w:p>
        </w:tc>
        <w:tc>
          <w:tcPr>
            <w:tcW w:w="671" w:type="pct"/>
            <w:vMerge w:val="restart"/>
            <w:tcBorders>
              <w:top w:val="single" w:sz="4" w:space="0" w:color="FF0000"/>
              <w:left w:val="single" w:sz="4" w:space="0" w:color="FF0000"/>
              <w:bottom w:val="single" w:sz="4" w:space="0" w:color="FF0000"/>
              <w:right w:val="single" w:sz="4" w:space="0" w:color="FF0000"/>
            </w:tcBorders>
            <w:shd w:val="clear" w:color="000000" w:fill="98002E"/>
            <w:noWrap/>
            <w:tcMar>
              <w:top w:w="15" w:type="dxa"/>
              <w:left w:w="15" w:type="dxa"/>
              <w:bottom w:w="0" w:type="dxa"/>
              <w:right w:w="15" w:type="dxa"/>
            </w:tcMar>
            <w:vAlign w:val="center"/>
            <w:hideMark/>
          </w:tcPr>
          <w:p w14:paraId="04E56BA3" w14:textId="77777777" w:rsidR="003F14A6" w:rsidRPr="00894701" w:rsidRDefault="003F14A6" w:rsidP="00446B8D">
            <w:pPr>
              <w:jc w:val="center"/>
              <w:rPr>
                <w:rFonts w:ascii="Trebuchet MS (Body)" w:hAnsi="Trebuchet MS (Body)"/>
                <w:b/>
                <w:bCs/>
                <w:color w:val="FFFFFF"/>
                <w:szCs w:val="18"/>
              </w:rPr>
            </w:pPr>
            <w:r w:rsidRPr="00894701">
              <w:rPr>
                <w:rFonts w:ascii="Trebuchet MS (Body)" w:hAnsi="Trebuchet MS (Body)"/>
                <w:b/>
                <w:bCs/>
                <w:color w:val="FFFFFF"/>
                <w:szCs w:val="18"/>
              </w:rPr>
              <w:t>% Male</w:t>
            </w:r>
          </w:p>
        </w:tc>
        <w:tc>
          <w:tcPr>
            <w:tcW w:w="671" w:type="pct"/>
            <w:vMerge w:val="restart"/>
            <w:tcBorders>
              <w:top w:val="single" w:sz="4" w:space="0" w:color="FF0000"/>
              <w:left w:val="single" w:sz="4" w:space="0" w:color="FF0000"/>
              <w:bottom w:val="single" w:sz="4" w:space="0" w:color="FF0000"/>
              <w:right w:val="single" w:sz="4" w:space="0" w:color="FF0000"/>
            </w:tcBorders>
            <w:shd w:val="clear" w:color="000000" w:fill="98002E"/>
            <w:noWrap/>
            <w:tcMar>
              <w:top w:w="15" w:type="dxa"/>
              <w:left w:w="15" w:type="dxa"/>
              <w:bottom w:w="0" w:type="dxa"/>
              <w:right w:w="15" w:type="dxa"/>
            </w:tcMar>
            <w:vAlign w:val="center"/>
            <w:hideMark/>
          </w:tcPr>
          <w:p w14:paraId="705EEED4" w14:textId="77777777" w:rsidR="003F14A6" w:rsidRPr="00894701" w:rsidRDefault="003F14A6" w:rsidP="00446B8D">
            <w:pPr>
              <w:jc w:val="center"/>
              <w:rPr>
                <w:rFonts w:ascii="Trebuchet MS (Body)" w:hAnsi="Trebuchet MS (Body)"/>
                <w:b/>
                <w:bCs/>
                <w:color w:val="FFFFFF"/>
                <w:szCs w:val="18"/>
              </w:rPr>
            </w:pPr>
            <w:r w:rsidRPr="00894701">
              <w:rPr>
                <w:rFonts w:ascii="Trebuchet MS (Body)" w:hAnsi="Trebuchet MS (Body)"/>
                <w:b/>
                <w:bCs/>
                <w:color w:val="FFFFFF"/>
                <w:szCs w:val="18"/>
              </w:rPr>
              <w:t>% Female</w:t>
            </w:r>
          </w:p>
        </w:tc>
        <w:tc>
          <w:tcPr>
            <w:tcW w:w="807" w:type="pct"/>
            <w:vMerge w:val="restart"/>
            <w:tcBorders>
              <w:top w:val="single" w:sz="4" w:space="0" w:color="FF0000"/>
              <w:left w:val="single" w:sz="4" w:space="0" w:color="FF0000"/>
              <w:bottom w:val="single" w:sz="4" w:space="0" w:color="FF0000"/>
            </w:tcBorders>
            <w:shd w:val="clear" w:color="000000" w:fill="98002E"/>
            <w:tcMar>
              <w:top w:w="15" w:type="dxa"/>
              <w:left w:w="15" w:type="dxa"/>
              <w:bottom w:w="0" w:type="dxa"/>
              <w:right w:w="15" w:type="dxa"/>
            </w:tcMar>
            <w:vAlign w:val="center"/>
            <w:hideMark/>
          </w:tcPr>
          <w:p w14:paraId="04FD3813" w14:textId="77777777" w:rsidR="003F14A6" w:rsidRPr="00894701" w:rsidRDefault="003F14A6" w:rsidP="00446B8D">
            <w:pPr>
              <w:jc w:val="center"/>
              <w:rPr>
                <w:rFonts w:ascii="Trebuchet MS (Body)" w:hAnsi="Trebuchet MS (Body)"/>
                <w:b/>
                <w:bCs/>
                <w:color w:val="FFFFFF"/>
                <w:szCs w:val="18"/>
              </w:rPr>
            </w:pPr>
            <w:r w:rsidRPr="00894701">
              <w:rPr>
                <w:rFonts w:ascii="Trebuchet MS (Body)" w:hAnsi="Trebuchet MS (Body)"/>
                <w:b/>
                <w:bCs/>
                <w:color w:val="FFFFFF"/>
                <w:szCs w:val="18"/>
              </w:rPr>
              <w:t>Total % Ethnicity</w:t>
            </w:r>
          </w:p>
        </w:tc>
      </w:tr>
      <w:tr w:rsidR="003F14A6" w:rsidRPr="00894701" w14:paraId="61C0D589" w14:textId="77777777" w:rsidTr="00446B8D">
        <w:trPr>
          <w:trHeight w:val="270"/>
          <w:tblHeader/>
        </w:trPr>
        <w:tc>
          <w:tcPr>
            <w:tcW w:w="838" w:type="pct"/>
            <w:vMerge/>
            <w:tcBorders>
              <w:top w:val="single" w:sz="4" w:space="0" w:color="FF0000"/>
              <w:bottom w:val="single" w:sz="4" w:space="0" w:color="FF0000"/>
              <w:right w:val="single" w:sz="4" w:space="0" w:color="FF0000"/>
            </w:tcBorders>
            <w:vAlign w:val="center"/>
            <w:hideMark/>
          </w:tcPr>
          <w:p w14:paraId="649DE44E" w14:textId="77777777" w:rsidR="003F14A6" w:rsidRPr="00894701" w:rsidRDefault="003F14A6" w:rsidP="00446B8D">
            <w:pPr>
              <w:rPr>
                <w:rFonts w:ascii="Trebuchet MS (Body)" w:hAnsi="Trebuchet MS (Body)"/>
                <w:b/>
                <w:bCs/>
                <w:color w:val="FFFFFF"/>
                <w:szCs w:val="18"/>
              </w:rPr>
            </w:pPr>
          </w:p>
        </w:tc>
        <w:tc>
          <w:tcPr>
            <w:tcW w:w="671" w:type="pct"/>
            <w:tcBorders>
              <w:top w:val="nil"/>
              <w:left w:val="nil"/>
              <w:bottom w:val="single" w:sz="4" w:space="0" w:color="FF0000"/>
              <w:right w:val="single" w:sz="4" w:space="0" w:color="FF0000"/>
            </w:tcBorders>
            <w:shd w:val="clear" w:color="000000" w:fill="98002E"/>
            <w:noWrap/>
            <w:tcMar>
              <w:top w:w="15" w:type="dxa"/>
              <w:left w:w="15" w:type="dxa"/>
              <w:bottom w:w="0" w:type="dxa"/>
              <w:right w:w="15" w:type="dxa"/>
            </w:tcMar>
            <w:vAlign w:val="center"/>
            <w:hideMark/>
          </w:tcPr>
          <w:p w14:paraId="184C6513" w14:textId="77777777" w:rsidR="003F14A6" w:rsidRPr="00894701" w:rsidRDefault="003F14A6" w:rsidP="00446B8D">
            <w:pPr>
              <w:jc w:val="center"/>
              <w:rPr>
                <w:rFonts w:ascii="Trebuchet MS (Body)" w:hAnsi="Trebuchet MS (Body)"/>
                <w:b/>
                <w:bCs/>
                <w:color w:val="FFFFFF"/>
                <w:szCs w:val="18"/>
              </w:rPr>
            </w:pPr>
            <w:r w:rsidRPr="00894701">
              <w:rPr>
                <w:rFonts w:ascii="Trebuchet MS (Body)" w:hAnsi="Trebuchet MS (Body)"/>
                <w:b/>
                <w:bCs/>
                <w:color w:val="FFFFFF"/>
                <w:szCs w:val="18"/>
              </w:rPr>
              <w:t>Male</w:t>
            </w:r>
          </w:p>
        </w:tc>
        <w:tc>
          <w:tcPr>
            <w:tcW w:w="671" w:type="pct"/>
            <w:tcBorders>
              <w:top w:val="nil"/>
              <w:left w:val="nil"/>
              <w:bottom w:val="single" w:sz="4" w:space="0" w:color="FF0000"/>
              <w:right w:val="single" w:sz="4" w:space="0" w:color="FF0000"/>
            </w:tcBorders>
            <w:shd w:val="clear" w:color="000000" w:fill="98002E"/>
            <w:noWrap/>
            <w:tcMar>
              <w:top w:w="15" w:type="dxa"/>
              <w:left w:w="15" w:type="dxa"/>
              <w:bottom w:w="0" w:type="dxa"/>
              <w:right w:w="15" w:type="dxa"/>
            </w:tcMar>
            <w:vAlign w:val="center"/>
            <w:hideMark/>
          </w:tcPr>
          <w:p w14:paraId="45CE3596" w14:textId="77777777" w:rsidR="003F14A6" w:rsidRPr="00894701" w:rsidRDefault="003F14A6" w:rsidP="00446B8D">
            <w:pPr>
              <w:jc w:val="center"/>
              <w:rPr>
                <w:rFonts w:ascii="Trebuchet MS (Body)" w:hAnsi="Trebuchet MS (Body)"/>
                <w:b/>
                <w:bCs/>
                <w:color w:val="FFFFFF"/>
                <w:szCs w:val="18"/>
              </w:rPr>
            </w:pPr>
            <w:r w:rsidRPr="00894701">
              <w:rPr>
                <w:rFonts w:ascii="Trebuchet MS (Body)" w:hAnsi="Trebuchet MS (Body)"/>
                <w:b/>
                <w:bCs/>
                <w:color w:val="FFFFFF"/>
                <w:szCs w:val="18"/>
              </w:rPr>
              <w:t>Female</w:t>
            </w:r>
          </w:p>
        </w:tc>
        <w:tc>
          <w:tcPr>
            <w:tcW w:w="671" w:type="pct"/>
            <w:vMerge/>
            <w:tcBorders>
              <w:top w:val="single" w:sz="4" w:space="0" w:color="FF0000"/>
              <w:left w:val="single" w:sz="4" w:space="0" w:color="FF0000"/>
              <w:bottom w:val="single" w:sz="4" w:space="0" w:color="FF0000"/>
              <w:right w:val="single" w:sz="4" w:space="0" w:color="FF0000"/>
            </w:tcBorders>
            <w:vAlign w:val="center"/>
            <w:hideMark/>
          </w:tcPr>
          <w:p w14:paraId="12EA915D" w14:textId="77777777" w:rsidR="003F14A6" w:rsidRPr="00894701" w:rsidRDefault="003F14A6" w:rsidP="00446B8D">
            <w:pPr>
              <w:rPr>
                <w:rFonts w:ascii="Trebuchet MS (Body)" w:hAnsi="Trebuchet MS (Body)"/>
                <w:b/>
                <w:bCs/>
                <w:color w:val="FFFFFF"/>
                <w:szCs w:val="18"/>
              </w:rPr>
            </w:pPr>
          </w:p>
        </w:tc>
        <w:tc>
          <w:tcPr>
            <w:tcW w:w="671" w:type="pct"/>
            <w:vMerge/>
            <w:tcBorders>
              <w:top w:val="single" w:sz="4" w:space="0" w:color="FF0000"/>
              <w:left w:val="single" w:sz="4" w:space="0" w:color="FF0000"/>
              <w:bottom w:val="single" w:sz="4" w:space="0" w:color="FF0000"/>
              <w:right w:val="single" w:sz="4" w:space="0" w:color="FF0000"/>
            </w:tcBorders>
            <w:vAlign w:val="center"/>
            <w:hideMark/>
          </w:tcPr>
          <w:p w14:paraId="4BD75668" w14:textId="77777777" w:rsidR="003F14A6" w:rsidRPr="00894701" w:rsidRDefault="003F14A6" w:rsidP="00446B8D">
            <w:pPr>
              <w:rPr>
                <w:rFonts w:ascii="Trebuchet MS (Body)" w:hAnsi="Trebuchet MS (Body)"/>
                <w:b/>
                <w:bCs/>
                <w:color w:val="FFFFFF"/>
                <w:szCs w:val="18"/>
              </w:rPr>
            </w:pPr>
          </w:p>
        </w:tc>
        <w:tc>
          <w:tcPr>
            <w:tcW w:w="671" w:type="pct"/>
            <w:vMerge/>
            <w:tcBorders>
              <w:top w:val="single" w:sz="4" w:space="0" w:color="FF0000"/>
              <w:left w:val="single" w:sz="4" w:space="0" w:color="FF0000"/>
              <w:bottom w:val="single" w:sz="4" w:space="0" w:color="FF0000"/>
              <w:right w:val="single" w:sz="4" w:space="0" w:color="FF0000"/>
            </w:tcBorders>
            <w:vAlign w:val="center"/>
            <w:hideMark/>
          </w:tcPr>
          <w:p w14:paraId="1F1AA169" w14:textId="77777777" w:rsidR="003F14A6" w:rsidRPr="00894701" w:rsidRDefault="003F14A6" w:rsidP="00446B8D">
            <w:pPr>
              <w:rPr>
                <w:rFonts w:ascii="Trebuchet MS (Body)" w:hAnsi="Trebuchet MS (Body)"/>
                <w:b/>
                <w:bCs/>
                <w:color w:val="FFFFFF"/>
                <w:szCs w:val="18"/>
              </w:rPr>
            </w:pPr>
          </w:p>
        </w:tc>
        <w:tc>
          <w:tcPr>
            <w:tcW w:w="807" w:type="pct"/>
            <w:vMerge/>
            <w:tcBorders>
              <w:top w:val="single" w:sz="4" w:space="0" w:color="FF0000"/>
              <w:left w:val="single" w:sz="4" w:space="0" w:color="FF0000"/>
              <w:bottom w:val="single" w:sz="4" w:space="0" w:color="FF0000"/>
            </w:tcBorders>
            <w:vAlign w:val="center"/>
            <w:hideMark/>
          </w:tcPr>
          <w:p w14:paraId="5BAEF383" w14:textId="77777777" w:rsidR="003F14A6" w:rsidRPr="00894701" w:rsidRDefault="003F14A6" w:rsidP="00446B8D">
            <w:pPr>
              <w:rPr>
                <w:rFonts w:ascii="Trebuchet MS (Body)" w:hAnsi="Trebuchet MS (Body)"/>
                <w:b/>
                <w:bCs/>
                <w:color w:val="FFFFFF"/>
                <w:szCs w:val="18"/>
              </w:rPr>
            </w:pPr>
          </w:p>
        </w:tc>
      </w:tr>
      <w:tr w:rsidR="003F14A6" w:rsidRPr="00894701" w14:paraId="1E466D34" w14:textId="77777777" w:rsidTr="00446B8D">
        <w:trPr>
          <w:trHeight w:val="270"/>
        </w:trPr>
        <w:tc>
          <w:tcPr>
            <w:tcW w:w="838" w:type="pct"/>
            <w:tcBorders>
              <w:top w:val="nil"/>
              <w:bottom w:val="single" w:sz="4" w:space="0" w:color="FF0000"/>
              <w:right w:val="single" w:sz="4" w:space="0" w:color="FF0000"/>
            </w:tcBorders>
            <w:shd w:val="clear" w:color="auto" w:fill="F8A3AF"/>
            <w:tcMar>
              <w:top w:w="15" w:type="dxa"/>
              <w:left w:w="15" w:type="dxa"/>
              <w:bottom w:w="0" w:type="dxa"/>
              <w:right w:w="15" w:type="dxa"/>
            </w:tcMar>
            <w:vAlign w:val="center"/>
            <w:hideMark/>
          </w:tcPr>
          <w:p w14:paraId="3DCCC6A8" w14:textId="77777777" w:rsidR="003F14A6" w:rsidRPr="00894701" w:rsidRDefault="003F14A6" w:rsidP="00446B8D">
            <w:pPr>
              <w:rPr>
                <w:rFonts w:ascii="Trebuchet MS (Body)" w:hAnsi="Trebuchet MS (Body)"/>
                <w:color w:val="000000"/>
                <w:szCs w:val="18"/>
              </w:rPr>
            </w:pPr>
            <w:r w:rsidRPr="00894701">
              <w:rPr>
                <w:rFonts w:ascii="Trebuchet MS (Body)" w:hAnsi="Trebuchet MS (Body)"/>
                <w:color w:val="000000"/>
                <w:szCs w:val="18"/>
              </w:rPr>
              <w:t>Amerindian</w:t>
            </w:r>
          </w:p>
        </w:tc>
        <w:tc>
          <w:tcPr>
            <w:tcW w:w="671" w:type="pct"/>
            <w:tcBorders>
              <w:top w:val="nil"/>
              <w:left w:val="nil"/>
              <w:bottom w:val="single" w:sz="4" w:space="0" w:color="FF0000"/>
              <w:right w:val="single" w:sz="4" w:space="0" w:color="FF0000"/>
            </w:tcBorders>
            <w:shd w:val="clear" w:color="auto" w:fill="F8A3AF"/>
            <w:noWrap/>
            <w:tcMar>
              <w:top w:w="15" w:type="dxa"/>
              <w:left w:w="15" w:type="dxa"/>
              <w:bottom w:w="0" w:type="dxa"/>
              <w:right w:w="15" w:type="dxa"/>
            </w:tcMar>
            <w:vAlign w:val="center"/>
            <w:hideMark/>
          </w:tcPr>
          <w:p w14:paraId="73EDE55B" w14:textId="6709834B"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2,09</w:t>
            </w:r>
            <w:r w:rsidR="00C32563" w:rsidRPr="00894701">
              <w:rPr>
                <w:rFonts w:ascii="Trebuchet MS (Body)" w:hAnsi="Trebuchet MS (Body)"/>
                <w:color w:val="000000"/>
                <w:szCs w:val="18"/>
              </w:rPr>
              <w:t>3</w:t>
            </w:r>
          </w:p>
        </w:tc>
        <w:tc>
          <w:tcPr>
            <w:tcW w:w="671" w:type="pct"/>
            <w:tcBorders>
              <w:top w:val="nil"/>
              <w:left w:val="nil"/>
              <w:bottom w:val="single" w:sz="4" w:space="0" w:color="FF0000"/>
              <w:right w:val="single" w:sz="4" w:space="0" w:color="FF0000"/>
            </w:tcBorders>
            <w:shd w:val="clear" w:color="auto" w:fill="F8A3AF"/>
            <w:noWrap/>
            <w:tcMar>
              <w:top w:w="15" w:type="dxa"/>
              <w:left w:w="15" w:type="dxa"/>
              <w:bottom w:w="0" w:type="dxa"/>
              <w:right w:w="15" w:type="dxa"/>
            </w:tcMar>
            <w:vAlign w:val="center"/>
            <w:hideMark/>
          </w:tcPr>
          <w:p w14:paraId="0884DB75" w14:textId="77777777"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2,925</w:t>
            </w:r>
          </w:p>
        </w:tc>
        <w:tc>
          <w:tcPr>
            <w:tcW w:w="671" w:type="pct"/>
            <w:tcBorders>
              <w:top w:val="nil"/>
              <w:left w:val="nil"/>
              <w:bottom w:val="single" w:sz="4" w:space="0" w:color="FF0000"/>
              <w:right w:val="single" w:sz="4" w:space="0" w:color="FF0000"/>
            </w:tcBorders>
            <w:shd w:val="clear" w:color="auto" w:fill="F8A3AF"/>
            <w:noWrap/>
            <w:tcMar>
              <w:top w:w="15" w:type="dxa"/>
              <w:left w:w="15" w:type="dxa"/>
              <w:bottom w:w="0" w:type="dxa"/>
              <w:right w:w="15" w:type="dxa"/>
            </w:tcMar>
            <w:vAlign w:val="center"/>
            <w:hideMark/>
          </w:tcPr>
          <w:p w14:paraId="6BE3D3AB" w14:textId="77777777"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5,018</w:t>
            </w:r>
          </w:p>
        </w:tc>
        <w:tc>
          <w:tcPr>
            <w:tcW w:w="671" w:type="pct"/>
            <w:tcBorders>
              <w:top w:val="nil"/>
              <w:left w:val="nil"/>
              <w:bottom w:val="single" w:sz="4" w:space="0" w:color="FF0000"/>
              <w:right w:val="single" w:sz="4" w:space="0" w:color="FF0000"/>
            </w:tcBorders>
            <w:shd w:val="clear" w:color="auto" w:fill="F8A3AF"/>
            <w:noWrap/>
            <w:tcMar>
              <w:top w:w="15" w:type="dxa"/>
              <w:left w:w="15" w:type="dxa"/>
              <w:bottom w:w="0" w:type="dxa"/>
              <w:right w:w="15" w:type="dxa"/>
            </w:tcMar>
            <w:vAlign w:val="center"/>
            <w:hideMark/>
          </w:tcPr>
          <w:p w14:paraId="1E3C41DB" w14:textId="77777777"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42%</w:t>
            </w:r>
          </w:p>
        </w:tc>
        <w:tc>
          <w:tcPr>
            <w:tcW w:w="671" w:type="pct"/>
            <w:tcBorders>
              <w:top w:val="nil"/>
              <w:left w:val="nil"/>
              <w:bottom w:val="single" w:sz="4" w:space="0" w:color="FF0000"/>
              <w:right w:val="single" w:sz="4" w:space="0" w:color="FF0000"/>
            </w:tcBorders>
            <w:shd w:val="clear" w:color="auto" w:fill="F8A3AF"/>
            <w:noWrap/>
            <w:tcMar>
              <w:top w:w="15" w:type="dxa"/>
              <w:left w:w="15" w:type="dxa"/>
              <w:bottom w:w="0" w:type="dxa"/>
              <w:right w:w="15" w:type="dxa"/>
            </w:tcMar>
            <w:vAlign w:val="center"/>
            <w:hideMark/>
          </w:tcPr>
          <w:p w14:paraId="08B7366B" w14:textId="77777777"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58%</w:t>
            </w:r>
          </w:p>
        </w:tc>
        <w:tc>
          <w:tcPr>
            <w:tcW w:w="807" w:type="pct"/>
            <w:tcBorders>
              <w:top w:val="nil"/>
              <w:left w:val="nil"/>
              <w:bottom w:val="single" w:sz="4" w:space="0" w:color="FF0000"/>
            </w:tcBorders>
            <w:shd w:val="clear" w:color="auto" w:fill="F8A3AF"/>
            <w:noWrap/>
            <w:tcMar>
              <w:top w:w="15" w:type="dxa"/>
              <w:left w:w="15" w:type="dxa"/>
              <w:bottom w:w="0" w:type="dxa"/>
              <w:right w:w="15" w:type="dxa"/>
            </w:tcMar>
            <w:vAlign w:val="center"/>
            <w:hideMark/>
          </w:tcPr>
          <w:p w14:paraId="77AF61C3" w14:textId="77777777"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1.36%</w:t>
            </w:r>
          </w:p>
        </w:tc>
      </w:tr>
      <w:tr w:rsidR="003F14A6" w:rsidRPr="00894701" w14:paraId="494B7403" w14:textId="77777777" w:rsidTr="00446B8D">
        <w:trPr>
          <w:trHeight w:val="270"/>
        </w:trPr>
        <w:tc>
          <w:tcPr>
            <w:tcW w:w="838" w:type="pct"/>
            <w:tcBorders>
              <w:top w:val="nil"/>
              <w:bottom w:val="single" w:sz="4" w:space="0" w:color="FF0000"/>
              <w:right w:val="single" w:sz="4" w:space="0" w:color="FF0000"/>
            </w:tcBorders>
            <w:shd w:val="clear" w:color="auto" w:fill="auto"/>
            <w:tcMar>
              <w:top w:w="15" w:type="dxa"/>
              <w:left w:w="15" w:type="dxa"/>
              <w:bottom w:w="0" w:type="dxa"/>
              <w:right w:w="15" w:type="dxa"/>
            </w:tcMar>
            <w:vAlign w:val="center"/>
            <w:hideMark/>
          </w:tcPr>
          <w:p w14:paraId="0ED82502" w14:textId="74D8D4F0" w:rsidR="003F14A6" w:rsidRPr="00894701" w:rsidRDefault="003F14A6" w:rsidP="00446B8D">
            <w:pPr>
              <w:rPr>
                <w:rFonts w:ascii="Trebuchet MS (Body)" w:hAnsi="Trebuchet MS (Body)"/>
                <w:color w:val="000000"/>
                <w:szCs w:val="18"/>
              </w:rPr>
            </w:pPr>
            <w:r w:rsidRPr="00894701">
              <w:rPr>
                <w:rFonts w:ascii="Trebuchet MS (Body)" w:hAnsi="Trebuchet MS (Body)"/>
                <w:color w:val="000000"/>
                <w:szCs w:val="18"/>
              </w:rPr>
              <w:t>Maroon</w:t>
            </w:r>
          </w:p>
        </w:tc>
        <w:tc>
          <w:tcPr>
            <w:tcW w:w="671" w:type="pct"/>
            <w:tcBorders>
              <w:top w:val="nil"/>
              <w:left w:val="nil"/>
              <w:bottom w:val="single" w:sz="4" w:space="0" w:color="FF0000"/>
              <w:right w:val="single" w:sz="4" w:space="0" w:color="FF0000"/>
            </w:tcBorders>
            <w:shd w:val="clear" w:color="auto" w:fill="auto"/>
            <w:noWrap/>
            <w:tcMar>
              <w:top w:w="15" w:type="dxa"/>
              <w:left w:w="15" w:type="dxa"/>
              <w:bottom w:w="0" w:type="dxa"/>
              <w:right w:w="15" w:type="dxa"/>
            </w:tcMar>
            <w:vAlign w:val="center"/>
            <w:hideMark/>
          </w:tcPr>
          <w:p w14:paraId="15106B49" w14:textId="77777777"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28,119</w:t>
            </w:r>
          </w:p>
        </w:tc>
        <w:tc>
          <w:tcPr>
            <w:tcW w:w="671" w:type="pct"/>
            <w:tcBorders>
              <w:top w:val="nil"/>
              <w:left w:val="nil"/>
              <w:bottom w:val="single" w:sz="4" w:space="0" w:color="FF0000"/>
              <w:right w:val="single" w:sz="4" w:space="0" w:color="FF0000"/>
            </w:tcBorders>
            <w:shd w:val="clear" w:color="auto" w:fill="auto"/>
            <w:noWrap/>
            <w:tcMar>
              <w:top w:w="15" w:type="dxa"/>
              <w:left w:w="15" w:type="dxa"/>
              <w:bottom w:w="0" w:type="dxa"/>
              <w:right w:w="15" w:type="dxa"/>
            </w:tcMar>
            <w:vAlign w:val="center"/>
            <w:hideMark/>
          </w:tcPr>
          <w:p w14:paraId="31F093C8" w14:textId="77777777"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30,706</w:t>
            </w:r>
          </w:p>
        </w:tc>
        <w:tc>
          <w:tcPr>
            <w:tcW w:w="671" w:type="pct"/>
            <w:tcBorders>
              <w:top w:val="nil"/>
              <w:left w:val="nil"/>
              <w:bottom w:val="single" w:sz="4" w:space="0" w:color="FF0000"/>
              <w:right w:val="single" w:sz="4" w:space="0" w:color="FF0000"/>
            </w:tcBorders>
            <w:shd w:val="clear" w:color="auto" w:fill="auto"/>
            <w:noWrap/>
            <w:tcMar>
              <w:top w:w="15" w:type="dxa"/>
              <w:left w:w="15" w:type="dxa"/>
              <w:bottom w:w="0" w:type="dxa"/>
              <w:right w:w="15" w:type="dxa"/>
            </w:tcMar>
            <w:vAlign w:val="center"/>
            <w:hideMark/>
          </w:tcPr>
          <w:p w14:paraId="75622556" w14:textId="77777777"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58,825</w:t>
            </w:r>
          </w:p>
        </w:tc>
        <w:tc>
          <w:tcPr>
            <w:tcW w:w="671" w:type="pct"/>
            <w:tcBorders>
              <w:top w:val="nil"/>
              <w:left w:val="nil"/>
              <w:bottom w:val="single" w:sz="4" w:space="0" w:color="FF0000"/>
              <w:right w:val="single" w:sz="4" w:space="0" w:color="FF0000"/>
            </w:tcBorders>
            <w:shd w:val="clear" w:color="auto" w:fill="auto"/>
            <w:noWrap/>
            <w:tcMar>
              <w:top w:w="15" w:type="dxa"/>
              <w:left w:w="15" w:type="dxa"/>
              <w:bottom w:w="0" w:type="dxa"/>
              <w:right w:w="15" w:type="dxa"/>
            </w:tcMar>
            <w:vAlign w:val="center"/>
            <w:hideMark/>
          </w:tcPr>
          <w:p w14:paraId="513F5199" w14:textId="77777777"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48%</w:t>
            </w:r>
          </w:p>
        </w:tc>
        <w:tc>
          <w:tcPr>
            <w:tcW w:w="671" w:type="pct"/>
            <w:tcBorders>
              <w:top w:val="nil"/>
              <w:left w:val="nil"/>
              <w:bottom w:val="single" w:sz="4" w:space="0" w:color="FF0000"/>
              <w:right w:val="single" w:sz="4" w:space="0" w:color="FF0000"/>
            </w:tcBorders>
            <w:shd w:val="clear" w:color="auto" w:fill="auto"/>
            <w:noWrap/>
            <w:tcMar>
              <w:top w:w="15" w:type="dxa"/>
              <w:left w:w="15" w:type="dxa"/>
              <w:bottom w:w="0" w:type="dxa"/>
              <w:right w:w="15" w:type="dxa"/>
            </w:tcMar>
            <w:vAlign w:val="center"/>
            <w:hideMark/>
          </w:tcPr>
          <w:p w14:paraId="052A3014" w14:textId="77777777"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52%</w:t>
            </w:r>
          </w:p>
        </w:tc>
        <w:tc>
          <w:tcPr>
            <w:tcW w:w="807" w:type="pct"/>
            <w:tcBorders>
              <w:top w:val="nil"/>
              <w:left w:val="nil"/>
              <w:bottom w:val="single" w:sz="4" w:space="0" w:color="FF0000"/>
            </w:tcBorders>
            <w:shd w:val="clear" w:color="auto" w:fill="auto"/>
            <w:noWrap/>
            <w:tcMar>
              <w:top w:w="15" w:type="dxa"/>
              <w:left w:w="15" w:type="dxa"/>
              <w:bottom w:w="0" w:type="dxa"/>
              <w:right w:w="15" w:type="dxa"/>
            </w:tcMar>
            <w:vAlign w:val="center"/>
            <w:hideMark/>
          </w:tcPr>
          <w:p w14:paraId="3E832C68" w14:textId="77777777"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15.93%</w:t>
            </w:r>
          </w:p>
        </w:tc>
      </w:tr>
      <w:tr w:rsidR="003F14A6" w:rsidRPr="00894701" w14:paraId="459967AF" w14:textId="77777777" w:rsidTr="00446B8D">
        <w:trPr>
          <w:trHeight w:val="270"/>
        </w:trPr>
        <w:tc>
          <w:tcPr>
            <w:tcW w:w="838" w:type="pct"/>
            <w:tcBorders>
              <w:top w:val="nil"/>
              <w:bottom w:val="single" w:sz="4" w:space="0" w:color="FF0000"/>
              <w:right w:val="single" w:sz="4" w:space="0" w:color="FF0000"/>
            </w:tcBorders>
            <w:shd w:val="clear" w:color="auto" w:fill="F8A3AF"/>
            <w:tcMar>
              <w:top w:w="15" w:type="dxa"/>
              <w:left w:w="15" w:type="dxa"/>
              <w:bottom w:w="0" w:type="dxa"/>
              <w:right w:w="15" w:type="dxa"/>
            </w:tcMar>
            <w:vAlign w:val="center"/>
            <w:hideMark/>
          </w:tcPr>
          <w:p w14:paraId="6EAE75F2" w14:textId="77777777" w:rsidR="003F14A6" w:rsidRPr="00894701" w:rsidRDefault="003F14A6" w:rsidP="00446B8D">
            <w:pPr>
              <w:rPr>
                <w:rFonts w:ascii="Trebuchet MS (Body)" w:hAnsi="Trebuchet MS (Body)"/>
                <w:color w:val="000000"/>
                <w:szCs w:val="18"/>
              </w:rPr>
            </w:pPr>
            <w:r w:rsidRPr="00894701">
              <w:rPr>
                <w:rFonts w:ascii="Trebuchet MS (Body)" w:hAnsi="Trebuchet MS (Body)"/>
                <w:color w:val="000000"/>
                <w:szCs w:val="18"/>
              </w:rPr>
              <w:t>Creole</w:t>
            </w:r>
          </w:p>
        </w:tc>
        <w:tc>
          <w:tcPr>
            <w:tcW w:w="671" w:type="pct"/>
            <w:tcBorders>
              <w:top w:val="nil"/>
              <w:left w:val="nil"/>
              <w:bottom w:val="single" w:sz="4" w:space="0" w:color="FF0000"/>
              <w:right w:val="single" w:sz="4" w:space="0" w:color="FF0000"/>
            </w:tcBorders>
            <w:shd w:val="clear" w:color="auto" w:fill="F8A3AF"/>
            <w:noWrap/>
            <w:tcMar>
              <w:top w:w="15" w:type="dxa"/>
              <w:left w:w="15" w:type="dxa"/>
              <w:bottom w:w="0" w:type="dxa"/>
              <w:right w:w="15" w:type="dxa"/>
            </w:tcMar>
            <w:vAlign w:val="center"/>
            <w:hideMark/>
          </w:tcPr>
          <w:p w14:paraId="35EFC378" w14:textId="33BEE1BF"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36,74</w:t>
            </w:r>
            <w:r w:rsidR="00C32563" w:rsidRPr="00894701">
              <w:rPr>
                <w:rFonts w:ascii="Trebuchet MS (Body)" w:hAnsi="Trebuchet MS (Body)"/>
                <w:color w:val="000000"/>
                <w:szCs w:val="18"/>
              </w:rPr>
              <w:t>4</w:t>
            </w:r>
          </w:p>
        </w:tc>
        <w:tc>
          <w:tcPr>
            <w:tcW w:w="671" w:type="pct"/>
            <w:tcBorders>
              <w:top w:val="nil"/>
              <w:left w:val="nil"/>
              <w:bottom w:val="single" w:sz="4" w:space="0" w:color="FF0000"/>
              <w:right w:val="single" w:sz="4" w:space="0" w:color="FF0000"/>
            </w:tcBorders>
            <w:shd w:val="clear" w:color="auto" w:fill="F8A3AF"/>
            <w:noWrap/>
            <w:tcMar>
              <w:top w:w="15" w:type="dxa"/>
              <w:left w:w="15" w:type="dxa"/>
              <w:bottom w:w="0" w:type="dxa"/>
              <w:right w:w="15" w:type="dxa"/>
            </w:tcMar>
            <w:vAlign w:val="center"/>
            <w:hideMark/>
          </w:tcPr>
          <w:p w14:paraId="4A2AA47D" w14:textId="77777777"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39,430</w:t>
            </w:r>
          </w:p>
        </w:tc>
        <w:tc>
          <w:tcPr>
            <w:tcW w:w="671" w:type="pct"/>
            <w:tcBorders>
              <w:top w:val="nil"/>
              <w:left w:val="nil"/>
              <w:bottom w:val="single" w:sz="4" w:space="0" w:color="FF0000"/>
              <w:right w:val="single" w:sz="4" w:space="0" w:color="FF0000"/>
            </w:tcBorders>
            <w:shd w:val="clear" w:color="auto" w:fill="F8A3AF"/>
            <w:noWrap/>
            <w:tcMar>
              <w:top w:w="15" w:type="dxa"/>
              <w:left w:w="15" w:type="dxa"/>
              <w:bottom w:w="0" w:type="dxa"/>
              <w:right w:w="15" w:type="dxa"/>
            </w:tcMar>
            <w:vAlign w:val="center"/>
            <w:hideMark/>
          </w:tcPr>
          <w:p w14:paraId="60F53DB4" w14:textId="77777777"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76,174</w:t>
            </w:r>
          </w:p>
        </w:tc>
        <w:tc>
          <w:tcPr>
            <w:tcW w:w="671" w:type="pct"/>
            <w:tcBorders>
              <w:top w:val="nil"/>
              <w:left w:val="nil"/>
              <w:bottom w:val="single" w:sz="4" w:space="0" w:color="FF0000"/>
              <w:right w:val="single" w:sz="4" w:space="0" w:color="FF0000"/>
            </w:tcBorders>
            <w:shd w:val="clear" w:color="auto" w:fill="F8A3AF"/>
            <w:noWrap/>
            <w:tcMar>
              <w:top w:w="15" w:type="dxa"/>
              <w:left w:w="15" w:type="dxa"/>
              <w:bottom w:w="0" w:type="dxa"/>
              <w:right w:w="15" w:type="dxa"/>
            </w:tcMar>
            <w:vAlign w:val="center"/>
            <w:hideMark/>
          </w:tcPr>
          <w:p w14:paraId="3B4D0A9E" w14:textId="77777777"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48%</w:t>
            </w:r>
          </w:p>
        </w:tc>
        <w:tc>
          <w:tcPr>
            <w:tcW w:w="671" w:type="pct"/>
            <w:tcBorders>
              <w:top w:val="nil"/>
              <w:left w:val="nil"/>
              <w:bottom w:val="single" w:sz="4" w:space="0" w:color="FF0000"/>
              <w:right w:val="single" w:sz="4" w:space="0" w:color="FF0000"/>
            </w:tcBorders>
            <w:shd w:val="clear" w:color="auto" w:fill="F8A3AF"/>
            <w:noWrap/>
            <w:tcMar>
              <w:top w:w="15" w:type="dxa"/>
              <w:left w:w="15" w:type="dxa"/>
              <w:bottom w:w="0" w:type="dxa"/>
              <w:right w:w="15" w:type="dxa"/>
            </w:tcMar>
            <w:vAlign w:val="center"/>
            <w:hideMark/>
          </w:tcPr>
          <w:p w14:paraId="159D1C47" w14:textId="77777777"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52%</w:t>
            </w:r>
          </w:p>
        </w:tc>
        <w:tc>
          <w:tcPr>
            <w:tcW w:w="807" w:type="pct"/>
            <w:tcBorders>
              <w:top w:val="nil"/>
              <w:left w:val="nil"/>
              <w:bottom w:val="single" w:sz="4" w:space="0" w:color="FF0000"/>
            </w:tcBorders>
            <w:shd w:val="clear" w:color="auto" w:fill="F8A3AF"/>
            <w:noWrap/>
            <w:tcMar>
              <w:top w:w="15" w:type="dxa"/>
              <w:left w:w="15" w:type="dxa"/>
              <w:bottom w:w="0" w:type="dxa"/>
              <w:right w:w="15" w:type="dxa"/>
            </w:tcMar>
            <w:vAlign w:val="center"/>
            <w:hideMark/>
          </w:tcPr>
          <w:p w14:paraId="47529135" w14:textId="77777777"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20.62%</w:t>
            </w:r>
          </w:p>
        </w:tc>
      </w:tr>
      <w:tr w:rsidR="003F14A6" w:rsidRPr="00894701" w14:paraId="01C2F5CC" w14:textId="77777777" w:rsidTr="00446B8D">
        <w:trPr>
          <w:trHeight w:val="270"/>
        </w:trPr>
        <w:tc>
          <w:tcPr>
            <w:tcW w:w="838" w:type="pct"/>
            <w:tcBorders>
              <w:top w:val="nil"/>
              <w:bottom w:val="single" w:sz="4" w:space="0" w:color="FF0000"/>
              <w:right w:val="single" w:sz="4" w:space="0" w:color="FF0000"/>
            </w:tcBorders>
            <w:shd w:val="clear" w:color="auto" w:fill="auto"/>
            <w:tcMar>
              <w:top w:w="15" w:type="dxa"/>
              <w:left w:w="15" w:type="dxa"/>
              <w:bottom w:w="0" w:type="dxa"/>
              <w:right w:w="15" w:type="dxa"/>
            </w:tcMar>
            <w:vAlign w:val="center"/>
            <w:hideMark/>
          </w:tcPr>
          <w:p w14:paraId="292B7EB7" w14:textId="77777777" w:rsidR="003F14A6" w:rsidRPr="00894701" w:rsidRDefault="003F14A6" w:rsidP="00446B8D">
            <w:pPr>
              <w:rPr>
                <w:rFonts w:ascii="Trebuchet MS (Body)" w:hAnsi="Trebuchet MS (Body)"/>
                <w:color w:val="000000"/>
                <w:szCs w:val="18"/>
              </w:rPr>
            </w:pPr>
            <w:r w:rsidRPr="00894701">
              <w:rPr>
                <w:rFonts w:ascii="Trebuchet MS (Body)" w:hAnsi="Trebuchet MS (Body)"/>
                <w:color w:val="000000"/>
                <w:szCs w:val="18"/>
              </w:rPr>
              <w:t>Indian</w:t>
            </w:r>
          </w:p>
        </w:tc>
        <w:tc>
          <w:tcPr>
            <w:tcW w:w="671" w:type="pct"/>
            <w:tcBorders>
              <w:top w:val="nil"/>
              <w:left w:val="nil"/>
              <w:bottom w:val="single" w:sz="4" w:space="0" w:color="FF0000"/>
              <w:right w:val="single" w:sz="4" w:space="0" w:color="FF0000"/>
            </w:tcBorders>
            <w:shd w:val="clear" w:color="auto" w:fill="auto"/>
            <w:noWrap/>
            <w:tcMar>
              <w:top w:w="15" w:type="dxa"/>
              <w:left w:w="15" w:type="dxa"/>
              <w:bottom w:w="0" w:type="dxa"/>
              <w:right w:w="15" w:type="dxa"/>
            </w:tcMar>
            <w:vAlign w:val="center"/>
            <w:hideMark/>
          </w:tcPr>
          <w:p w14:paraId="04A8F9AB" w14:textId="77777777"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56,389</w:t>
            </w:r>
          </w:p>
        </w:tc>
        <w:tc>
          <w:tcPr>
            <w:tcW w:w="671" w:type="pct"/>
            <w:tcBorders>
              <w:top w:val="nil"/>
              <w:left w:val="nil"/>
              <w:bottom w:val="single" w:sz="4" w:space="0" w:color="FF0000"/>
              <w:right w:val="single" w:sz="4" w:space="0" w:color="FF0000"/>
            </w:tcBorders>
            <w:shd w:val="clear" w:color="auto" w:fill="auto"/>
            <w:noWrap/>
            <w:tcMar>
              <w:top w:w="15" w:type="dxa"/>
              <w:left w:w="15" w:type="dxa"/>
              <w:bottom w:w="0" w:type="dxa"/>
              <w:right w:w="15" w:type="dxa"/>
            </w:tcMar>
            <w:vAlign w:val="center"/>
            <w:hideMark/>
          </w:tcPr>
          <w:p w14:paraId="617EB7A9" w14:textId="77777777"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56,457</w:t>
            </w:r>
          </w:p>
        </w:tc>
        <w:tc>
          <w:tcPr>
            <w:tcW w:w="671" w:type="pct"/>
            <w:tcBorders>
              <w:top w:val="nil"/>
              <w:left w:val="nil"/>
              <w:bottom w:val="single" w:sz="4" w:space="0" w:color="FF0000"/>
              <w:right w:val="single" w:sz="4" w:space="0" w:color="FF0000"/>
            </w:tcBorders>
            <w:shd w:val="clear" w:color="auto" w:fill="auto"/>
            <w:noWrap/>
            <w:tcMar>
              <w:top w:w="15" w:type="dxa"/>
              <w:left w:w="15" w:type="dxa"/>
              <w:bottom w:w="0" w:type="dxa"/>
              <w:right w:w="15" w:type="dxa"/>
            </w:tcMar>
            <w:vAlign w:val="center"/>
            <w:hideMark/>
          </w:tcPr>
          <w:p w14:paraId="5558C47B" w14:textId="77777777"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112,846</w:t>
            </w:r>
          </w:p>
        </w:tc>
        <w:tc>
          <w:tcPr>
            <w:tcW w:w="671" w:type="pct"/>
            <w:tcBorders>
              <w:top w:val="nil"/>
              <w:left w:val="nil"/>
              <w:bottom w:val="single" w:sz="4" w:space="0" w:color="FF0000"/>
              <w:right w:val="single" w:sz="4" w:space="0" w:color="FF0000"/>
            </w:tcBorders>
            <w:shd w:val="clear" w:color="auto" w:fill="auto"/>
            <w:noWrap/>
            <w:tcMar>
              <w:top w:w="15" w:type="dxa"/>
              <w:left w:w="15" w:type="dxa"/>
              <w:bottom w:w="0" w:type="dxa"/>
              <w:right w:w="15" w:type="dxa"/>
            </w:tcMar>
            <w:vAlign w:val="center"/>
            <w:hideMark/>
          </w:tcPr>
          <w:p w14:paraId="497686B6" w14:textId="77777777"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50%</w:t>
            </w:r>
          </w:p>
        </w:tc>
        <w:tc>
          <w:tcPr>
            <w:tcW w:w="671" w:type="pct"/>
            <w:tcBorders>
              <w:top w:val="nil"/>
              <w:left w:val="nil"/>
              <w:bottom w:val="single" w:sz="4" w:space="0" w:color="FF0000"/>
              <w:right w:val="single" w:sz="4" w:space="0" w:color="FF0000"/>
            </w:tcBorders>
            <w:shd w:val="clear" w:color="auto" w:fill="auto"/>
            <w:noWrap/>
            <w:tcMar>
              <w:top w:w="15" w:type="dxa"/>
              <w:left w:w="15" w:type="dxa"/>
              <w:bottom w:w="0" w:type="dxa"/>
              <w:right w:w="15" w:type="dxa"/>
            </w:tcMar>
            <w:vAlign w:val="center"/>
            <w:hideMark/>
          </w:tcPr>
          <w:p w14:paraId="631AE0C3" w14:textId="77777777"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50%</w:t>
            </w:r>
          </w:p>
        </w:tc>
        <w:tc>
          <w:tcPr>
            <w:tcW w:w="807" w:type="pct"/>
            <w:tcBorders>
              <w:top w:val="nil"/>
              <w:left w:val="nil"/>
              <w:bottom w:val="single" w:sz="4" w:space="0" w:color="FF0000"/>
            </w:tcBorders>
            <w:shd w:val="clear" w:color="auto" w:fill="auto"/>
            <w:noWrap/>
            <w:tcMar>
              <w:top w:w="15" w:type="dxa"/>
              <w:left w:w="15" w:type="dxa"/>
              <w:bottom w:w="0" w:type="dxa"/>
              <w:right w:w="15" w:type="dxa"/>
            </w:tcMar>
            <w:vAlign w:val="center"/>
            <w:hideMark/>
          </w:tcPr>
          <w:p w14:paraId="192D8138" w14:textId="77777777"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30.55%</w:t>
            </w:r>
          </w:p>
        </w:tc>
      </w:tr>
      <w:tr w:rsidR="003F14A6" w:rsidRPr="00894701" w14:paraId="17180279" w14:textId="77777777" w:rsidTr="00446B8D">
        <w:trPr>
          <w:trHeight w:val="270"/>
        </w:trPr>
        <w:tc>
          <w:tcPr>
            <w:tcW w:w="838" w:type="pct"/>
            <w:tcBorders>
              <w:top w:val="nil"/>
              <w:bottom w:val="single" w:sz="4" w:space="0" w:color="FF0000"/>
              <w:right w:val="single" w:sz="4" w:space="0" w:color="FF0000"/>
            </w:tcBorders>
            <w:shd w:val="clear" w:color="auto" w:fill="F8A3AF"/>
            <w:tcMar>
              <w:top w:w="15" w:type="dxa"/>
              <w:left w:w="15" w:type="dxa"/>
              <w:bottom w:w="0" w:type="dxa"/>
              <w:right w:w="15" w:type="dxa"/>
            </w:tcMar>
            <w:vAlign w:val="center"/>
            <w:hideMark/>
          </w:tcPr>
          <w:p w14:paraId="2F5C4C48" w14:textId="77777777" w:rsidR="003F14A6" w:rsidRPr="00894701" w:rsidRDefault="003F14A6" w:rsidP="00446B8D">
            <w:pPr>
              <w:rPr>
                <w:rFonts w:ascii="Trebuchet MS (Body)" w:hAnsi="Trebuchet MS (Body)"/>
                <w:color w:val="000000"/>
                <w:szCs w:val="18"/>
              </w:rPr>
            </w:pPr>
            <w:r w:rsidRPr="00894701">
              <w:rPr>
                <w:rFonts w:ascii="Trebuchet MS (Body)" w:hAnsi="Trebuchet MS (Body)"/>
                <w:color w:val="000000"/>
                <w:szCs w:val="18"/>
              </w:rPr>
              <w:t>Javanese</w:t>
            </w:r>
          </w:p>
        </w:tc>
        <w:tc>
          <w:tcPr>
            <w:tcW w:w="671" w:type="pct"/>
            <w:tcBorders>
              <w:top w:val="nil"/>
              <w:left w:val="nil"/>
              <w:bottom w:val="single" w:sz="4" w:space="0" w:color="FF0000"/>
              <w:right w:val="single" w:sz="4" w:space="0" w:color="FF0000"/>
            </w:tcBorders>
            <w:shd w:val="clear" w:color="auto" w:fill="F8A3AF"/>
            <w:noWrap/>
            <w:tcMar>
              <w:top w:w="15" w:type="dxa"/>
              <w:left w:w="15" w:type="dxa"/>
              <w:bottom w:w="0" w:type="dxa"/>
              <w:right w:w="15" w:type="dxa"/>
            </w:tcMar>
            <w:vAlign w:val="center"/>
            <w:hideMark/>
          </w:tcPr>
          <w:p w14:paraId="02E73057" w14:textId="77777777"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23,392</w:t>
            </w:r>
          </w:p>
        </w:tc>
        <w:tc>
          <w:tcPr>
            <w:tcW w:w="671" w:type="pct"/>
            <w:tcBorders>
              <w:top w:val="nil"/>
              <w:left w:val="nil"/>
              <w:bottom w:val="single" w:sz="4" w:space="0" w:color="FF0000"/>
              <w:right w:val="single" w:sz="4" w:space="0" w:color="FF0000"/>
            </w:tcBorders>
            <w:shd w:val="clear" w:color="auto" w:fill="F8A3AF"/>
            <w:noWrap/>
            <w:tcMar>
              <w:top w:w="15" w:type="dxa"/>
              <w:left w:w="15" w:type="dxa"/>
              <w:bottom w:w="0" w:type="dxa"/>
              <w:right w:w="15" w:type="dxa"/>
            </w:tcMar>
            <w:vAlign w:val="center"/>
            <w:hideMark/>
          </w:tcPr>
          <w:p w14:paraId="7A363D56" w14:textId="77777777"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24,090</w:t>
            </w:r>
          </w:p>
        </w:tc>
        <w:tc>
          <w:tcPr>
            <w:tcW w:w="671" w:type="pct"/>
            <w:tcBorders>
              <w:top w:val="nil"/>
              <w:left w:val="nil"/>
              <w:bottom w:val="single" w:sz="4" w:space="0" w:color="FF0000"/>
              <w:right w:val="single" w:sz="4" w:space="0" w:color="FF0000"/>
            </w:tcBorders>
            <w:shd w:val="clear" w:color="auto" w:fill="F8A3AF"/>
            <w:noWrap/>
            <w:tcMar>
              <w:top w:w="15" w:type="dxa"/>
              <w:left w:w="15" w:type="dxa"/>
              <w:bottom w:w="0" w:type="dxa"/>
              <w:right w:w="15" w:type="dxa"/>
            </w:tcMar>
            <w:vAlign w:val="center"/>
            <w:hideMark/>
          </w:tcPr>
          <w:p w14:paraId="0DDC143E" w14:textId="77777777"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47,482</w:t>
            </w:r>
          </w:p>
        </w:tc>
        <w:tc>
          <w:tcPr>
            <w:tcW w:w="671" w:type="pct"/>
            <w:tcBorders>
              <w:top w:val="nil"/>
              <w:left w:val="nil"/>
              <w:bottom w:val="single" w:sz="4" w:space="0" w:color="FF0000"/>
              <w:right w:val="single" w:sz="4" w:space="0" w:color="FF0000"/>
            </w:tcBorders>
            <w:shd w:val="clear" w:color="auto" w:fill="F8A3AF"/>
            <w:noWrap/>
            <w:tcMar>
              <w:top w:w="15" w:type="dxa"/>
              <w:left w:w="15" w:type="dxa"/>
              <w:bottom w:w="0" w:type="dxa"/>
              <w:right w:w="15" w:type="dxa"/>
            </w:tcMar>
            <w:vAlign w:val="center"/>
            <w:hideMark/>
          </w:tcPr>
          <w:p w14:paraId="4F014CA3" w14:textId="77777777"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49%</w:t>
            </w:r>
          </w:p>
        </w:tc>
        <w:tc>
          <w:tcPr>
            <w:tcW w:w="671" w:type="pct"/>
            <w:tcBorders>
              <w:top w:val="nil"/>
              <w:left w:val="nil"/>
              <w:bottom w:val="single" w:sz="4" w:space="0" w:color="FF0000"/>
              <w:right w:val="single" w:sz="4" w:space="0" w:color="FF0000"/>
            </w:tcBorders>
            <w:shd w:val="clear" w:color="auto" w:fill="F8A3AF"/>
            <w:noWrap/>
            <w:tcMar>
              <w:top w:w="15" w:type="dxa"/>
              <w:left w:w="15" w:type="dxa"/>
              <w:bottom w:w="0" w:type="dxa"/>
              <w:right w:w="15" w:type="dxa"/>
            </w:tcMar>
            <w:vAlign w:val="center"/>
            <w:hideMark/>
          </w:tcPr>
          <w:p w14:paraId="7FE5F94E" w14:textId="77777777"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51%</w:t>
            </w:r>
          </w:p>
        </w:tc>
        <w:tc>
          <w:tcPr>
            <w:tcW w:w="807" w:type="pct"/>
            <w:tcBorders>
              <w:top w:val="nil"/>
              <w:left w:val="nil"/>
              <w:bottom w:val="single" w:sz="4" w:space="0" w:color="FF0000"/>
            </w:tcBorders>
            <w:shd w:val="clear" w:color="auto" w:fill="F8A3AF"/>
            <w:noWrap/>
            <w:tcMar>
              <w:top w:w="15" w:type="dxa"/>
              <w:left w:w="15" w:type="dxa"/>
              <w:bottom w:w="0" w:type="dxa"/>
              <w:right w:w="15" w:type="dxa"/>
            </w:tcMar>
            <w:vAlign w:val="center"/>
            <w:hideMark/>
          </w:tcPr>
          <w:p w14:paraId="349A1B59" w14:textId="77777777"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12.86%</w:t>
            </w:r>
          </w:p>
        </w:tc>
      </w:tr>
      <w:tr w:rsidR="003F14A6" w:rsidRPr="00894701" w14:paraId="7104EE24" w14:textId="77777777" w:rsidTr="00446B8D">
        <w:trPr>
          <w:trHeight w:val="270"/>
        </w:trPr>
        <w:tc>
          <w:tcPr>
            <w:tcW w:w="838" w:type="pct"/>
            <w:tcBorders>
              <w:top w:val="nil"/>
              <w:bottom w:val="single" w:sz="4" w:space="0" w:color="FF0000"/>
              <w:right w:val="single" w:sz="4" w:space="0" w:color="FF0000"/>
            </w:tcBorders>
            <w:shd w:val="clear" w:color="auto" w:fill="auto"/>
            <w:tcMar>
              <w:top w:w="15" w:type="dxa"/>
              <w:left w:w="15" w:type="dxa"/>
              <w:bottom w:w="0" w:type="dxa"/>
              <w:right w:w="15" w:type="dxa"/>
            </w:tcMar>
            <w:vAlign w:val="center"/>
            <w:hideMark/>
          </w:tcPr>
          <w:p w14:paraId="0F2386F8" w14:textId="77777777" w:rsidR="003F14A6" w:rsidRPr="00894701" w:rsidRDefault="003F14A6" w:rsidP="00446B8D">
            <w:pPr>
              <w:rPr>
                <w:rFonts w:ascii="Trebuchet MS (Body)" w:hAnsi="Trebuchet MS (Body)"/>
                <w:color w:val="000000"/>
                <w:szCs w:val="18"/>
              </w:rPr>
            </w:pPr>
            <w:r w:rsidRPr="00894701">
              <w:rPr>
                <w:rFonts w:ascii="Trebuchet MS (Body)" w:hAnsi="Trebuchet MS (Body)"/>
                <w:color w:val="000000"/>
                <w:szCs w:val="18"/>
              </w:rPr>
              <w:t>Chinese</w:t>
            </w:r>
          </w:p>
        </w:tc>
        <w:tc>
          <w:tcPr>
            <w:tcW w:w="671" w:type="pct"/>
            <w:tcBorders>
              <w:top w:val="nil"/>
              <w:left w:val="nil"/>
              <w:bottom w:val="single" w:sz="4" w:space="0" w:color="FF0000"/>
              <w:right w:val="single" w:sz="4" w:space="0" w:color="FF0000"/>
            </w:tcBorders>
            <w:shd w:val="clear" w:color="auto" w:fill="auto"/>
            <w:noWrap/>
            <w:tcMar>
              <w:top w:w="15" w:type="dxa"/>
              <w:left w:w="15" w:type="dxa"/>
              <w:bottom w:w="0" w:type="dxa"/>
              <w:right w:w="15" w:type="dxa"/>
            </w:tcMar>
            <w:vAlign w:val="center"/>
            <w:hideMark/>
          </w:tcPr>
          <w:p w14:paraId="60FD959C" w14:textId="77777777"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2,869</w:t>
            </w:r>
          </w:p>
        </w:tc>
        <w:tc>
          <w:tcPr>
            <w:tcW w:w="671" w:type="pct"/>
            <w:tcBorders>
              <w:top w:val="nil"/>
              <w:left w:val="nil"/>
              <w:bottom w:val="single" w:sz="4" w:space="0" w:color="FF0000"/>
              <w:right w:val="single" w:sz="4" w:space="0" w:color="FF0000"/>
            </w:tcBorders>
            <w:shd w:val="clear" w:color="auto" w:fill="auto"/>
            <w:noWrap/>
            <w:tcMar>
              <w:top w:w="15" w:type="dxa"/>
              <w:left w:w="15" w:type="dxa"/>
              <w:bottom w:w="0" w:type="dxa"/>
              <w:right w:w="15" w:type="dxa"/>
            </w:tcMar>
            <w:vAlign w:val="center"/>
            <w:hideMark/>
          </w:tcPr>
          <w:p w14:paraId="7B616061" w14:textId="77777777"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2,743</w:t>
            </w:r>
          </w:p>
        </w:tc>
        <w:tc>
          <w:tcPr>
            <w:tcW w:w="671" w:type="pct"/>
            <w:tcBorders>
              <w:top w:val="nil"/>
              <w:left w:val="nil"/>
              <w:bottom w:val="single" w:sz="4" w:space="0" w:color="FF0000"/>
              <w:right w:val="single" w:sz="4" w:space="0" w:color="FF0000"/>
            </w:tcBorders>
            <w:shd w:val="clear" w:color="auto" w:fill="auto"/>
            <w:noWrap/>
            <w:tcMar>
              <w:top w:w="15" w:type="dxa"/>
              <w:left w:w="15" w:type="dxa"/>
              <w:bottom w:w="0" w:type="dxa"/>
              <w:right w:w="15" w:type="dxa"/>
            </w:tcMar>
            <w:vAlign w:val="center"/>
            <w:hideMark/>
          </w:tcPr>
          <w:p w14:paraId="61BB59DB" w14:textId="77777777"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5,612</w:t>
            </w:r>
          </w:p>
        </w:tc>
        <w:tc>
          <w:tcPr>
            <w:tcW w:w="671" w:type="pct"/>
            <w:tcBorders>
              <w:top w:val="nil"/>
              <w:left w:val="nil"/>
              <w:bottom w:val="single" w:sz="4" w:space="0" w:color="FF0000"/>
              <w:right w:val="single" w:sz="4" w:space="0" w:color="FF0000"/>
            </w:tcBorders>
            <w:shd w:val="clear" w:color="auto" w:fill="auto"/>
            <w:noWrap/>
            <w:tcMar>
              <w:top w:w="15" w:type="dxa"/>
              <w:left w:w="15" w:type="dxa"/>
              <w:bottom w:w="0" w:type="dxa"/>
              <w:right w:w="15" w:type="dxa"/>
            </w:tcMar>
            <w:vAlign w:val="center"/>
            <w:hideMark/>
          </w:tcPr>
          <w:p w14:paraId="6B7300B2" w14:textId="77777777"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51%</w:t>
            </w:r>
          </w:p>
        </w:tc>
        <w:tc>
          <w:tcPr>
            <w:tcW w:w="671" w:type="pct"/>
            <w:tcBorders>
              <w:top w:val="nil"/>
              <w:left w:val="nil"/>
              <w:bottom w:val="single" w:sz="4" w:space="0" w:color="FF0000"/>
              <w:right w:val="single" w:sz="4" w:space="0" w:color="FF0000"/>
            </w:tcBorders>
            <w:shd w:val="clear" w:color="auto" w:fill="auto"/>
            <w:noWrap/>
            <w:tcMar>
              <w:top w:w="15" w:type="dxa"/>
              <w:left w:w="15" w:type="dxa"/>
              <w:bottom w:w="0" w:type="dxa"/>
              <w:right w:w="15" w:type="dxa"/>
            </w:tcMar>
            <w:vAlign w:val="center"/>
            <w:hideMark/>
          </w:tcPr>
          <w:p w14:paraId="35EE9A36" w14:textId="77777777"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49%</w:t>
            </w:r>
          </w:p>
        </w:tc>
        <w:tc>
          <w:tcPr>
            <w:tcW w:w="807" w:type="pct"/>
            <w:tcBorders>
              <w:top w:val="nil"/>
              <w:left w:val="nil"/>
              <w:bottom w:val="single" w:sz="4" w:space="0" w:color="FF0000"/>
            </w:tcBorders>
            <w:shd w:val="clear" w:color="auto" w:fill="auto"/>
            <w:noWrap/>
            <w:tcMar>
              <w:top w:w="15" w:type="dxa"/>
              <w:left w:w="15" w:type="dxa"/>
              <w:bottom w:w="0" w:type="dxa"/>
              <w:right w:w="15" w:type="dxa"/>
            </w:tcMar>
            <w:vAlign w:val="center"/>
            <w:hideMark/>
          </w:tcPr>
          <w:p w14:paraId="1D9ED2AD" w14:textId="77777777"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1.52%</w:t>
            </w:r>
          </w:p>
        </w:tc>
      </w:tr>
      <w:tr w:rsidR="003F14A6" w:rsidRPr="00894701" w14:paraId="0149B279" w14:textId="77777777" w:rsidTr="00446B8D">
        <w:trPr>
          <w:trHeight w:val="270"/>
        </w:trPr>
        <w:tc>
          <w:tcPr>
            <w:tcW w:w="838" w:type="pct"/>
            <w:tcBorders>
              <w:top w:val="nil"/>
              <w:bottom w:val="single" w:sz="4" w:space="0" w:color="FF0000"/>
              <w:right w:val="single" w:sz="4" w:space="0" w:color="FF0000"/>
            </w:tcBorders>
            <w:shd w:val="clear" w:color="auto" w:fill="F8A3AF"/>
            <w:tcMar>
              <w:top w:w="15" w:type="dxa"/>
              <w:left w:w="15" w:type="dxa"/>
              <w:bottom w:w="0" w:type="dxa"/>
              <w:right w:w="15" w:type="dxa"/>
            </w:tcMar>
            <w:vAlign w:val="center"/>
            <w:hideMark/>
          </w:tcPr>
          <w:p w14:paraId="6530DD3A" w14:textId="77777777" w:rsidR="003F14A6" w:rsidRPr="00894701" w:rsidRDefault="003F14A6" w:rsidP="00446B8D">
            <w:pPr>
              <w:rPr>
                <w:rFonts w:ascii="Trebuchet MS (Body)" w:hAnsi="Trebuchet MS (Body)"/>
                <w:color w:val="000000"/>
                <w:szCs w:val="18"/>
              </w:rPr>
            </w:pPr>
            <w:r w:rsidRPr="00894701">
              <w:rPr>
                <w:rFonts w:ascii="Trebuchet MS (Body)" w:hAnsi="Trebuchet MS (Body)"/>
                <w:color w:val="000000"/>
                <w:szCs w:val="18"/>
              </w:rPr>
              <w:t>Mixed</w:t>
            </w:r>
          </w:p>
        </w:tc>
        <w:tc>
          <w:tcPr>
            <w:tcW w:w="671" w:type="pct"/>
            <w:tcBorders>
              <w:top w:val="nil"/>
              <w:left w:val="nil"/>
              <w:bottom w:val="single" w:sz="4" w:space="0" w:color="FF0000"/>
              <w:right w:val="single" w:sz="4" w:space="0" w:color="FF0000"/>
            </w:tcBorders>
            <w:shd w:val="clear" w:color="auto" w:fill="F8A3AF"/>
            <w:noWrap/>
            <w:tcMar>
              <w:top w:w="15" w:type="dxa"/>
              <w:left w:w="15" w:type="dxa"/>
              <w:bottom w:w="0" w:type="dxa"/>
              <w:right w:w="15" w:type="dxa"/>
            </w:tcMar>
            <w:vAlign w:val="center"/>
            <w:hideMark/>
          </w:tcPr>
          <w:p w14:paraId="1EA3E78B" w14:textId="77777777"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29,026</w:t>
            </w:r>
          </w:p>
        </w:tc>
        <w:tc>
          <w:tcPr>
            <w:tcW w:w="671" w:type="pct"/>
            <w:tcBorders>
              <w:top w:val="nil"/>
              <w:left w:val="nil"/>
              <w:bottom w:val="single" w:sz="4" w:space="0" w:color="FF0000"/>
              <w:right w:val="single" w:sz="4" w:space="0" w:color="FF0000"/>
            </w:tcBorders>
            <w:shd w:val="clear" w:color="auto" w:fill="F8A3AF"/>
            <w:noWrap/>
            <w:tcMar>
              <w:top w:w="15" w:type="dxa"/>
              <w:left w:w="15" w:type="dxa"/>
              <w:bottom w:w="0" w:type="dxa"/>
              <w:right w:w="15" w:type="dxa"/>
            </w:tcMar>
            <w:vAlign w:val="center"/>
            <w:hideMark/>
          </w:tcPr>
          <w:p w14:paraId="10F68170" w14:textId="77777777"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29,251</w:t>
            </w:r>
          </w:p>
        </w:tc>
        <w:tc>
          <w:tcPr>
            <w:tcW w:w="671" w:type="pct"/>
            <w:tcBorders>
              <w:top w:val="nil"/>
              <w:left w:val="nil"/>
              <w:bottom w:val="single" w:sz="4" w:space="0" w:color="FF0000"/>
              <w:right w:val="single" w:sz="4" w:space="0" w:color="FF0000"/>
            </w:tcBorders>
            <w:shd w:val="clear" w:color="auto" w:fill="F8A3AF"/>
            <w:noWrap/>
            <w:tcMar>
              <w:top w:w="15" w:type="dxa"/>
              <w:left w:w="15" w:type="dxa"/>
              <w:bottom w:w="0" w:type="dxa"/>
              <w:right w:w="15" w:type="dxa"/>
            </w:tcMar>
            <w:vAlign w:val="center"/>
            <w:hideMark/>
          </w:tcPr>
          <w:p w14:paraId="5BD0532B" w14:textId="77777777"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58,277</w:t>
            </w:r>
          </w:p>
        </w:tc>
        <w:tc>
          <w:tcPr>
            <w:tcW w:w="671" w:type="pct"/>
            <w:tcBorders>
              <w:top w:val="nil"/>
              <w:left w:val="nil"/>
              <w:bottom w:val="single" w:sz="4" w:space="0" w:color="FF0000"/>
              <w:right w:val="single" w:sz="4" w:space="0" w:color="FF0000"/>
            </w:tcBorders>
            <w:shd w:val="clear" w:color="auto" w:fill="F8A3AF"/>
            <w:noWrap/>
            <w:tcMar>
              <w:top w:w="15" w:type="dxa"/>
              <w:left w:w="15" w:type="dxa"/>
              <w:bottom w:w="0" w:type="dxa"/>
              <w:right w:w="15" w:type="dxa"/>
            </w:tcMar>
            <w:vAlign w:val="center"/>
            <w:hideMark/>
          </w:tcPr>
          <w:p w14:paraId="62137C46" w14:textId="77777777"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50%</w:t>
            </w:r>
          </w:p>
        </w:tc>
        <w:tc>
          <w:tcPr>
            <w:tcW w:w="671" w:type="pct"/>
            <w:tcBorders>
              <w:top w:val="nil"/>
              <w:left w:val="nil"/>
              <w:bottom w:val="single" w:sz="4" w:space="0" w:color="FF0000"/>
              <w:right w:val="single" w:sz="4" w:space="0" w:color="FF0000"/>
            </w:tcBorders>
            <w:shd w:val="clear" w:color="auto" w:fill="F8A3AF"/>
            <w:noWrap/>
            <w:tcMar>
              <w:top w:w="15" w:type="dxa"/>
              <w:left w:w="15" w:type="dxa"/>
              <w:bottom w:w="0" w:type="dxa"/>
              <w:right w:w="15" w:type="dxa"/>
            </w:tcMar>
            <w:vAlign w:val="center"/>
            <w:hideMark/>
          </w:tcPr>
          <w:p w14:paraId="20937999" w14:textId="77777777"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50%</w:t>
            </w:r>
          </w:p>
        </w:tc>
        <w:tc>
          <w:tcPr>
            <w:tcW w:w="807" w:type="pct"/>
            <w:tcBorders>
              <w:top w:val="nil"/>
              <w:left w:val="nil"/>
              <w:bottom w:val="single" w:sz="4" w:space="0" w:color="FF0000"/>
            </w:tcBorders>
            <w:shd w:val="clear" w:color="auto" w:fill="F8A3AF"/>
            <w:noWrap/>
            <w:tcMar>
              <w:top w:w="15" w:type="dxa"/>
              <w:left w:w="15" w:type="dxa"/>
              <w:bottom w:w="0" w:type="dxa"/>
              <w:right w:w="15" w:type="dxa"/>
            </w:tcMar>
            <w:vAlign w:val="center"/>
            <w:hideMark/>
          </w:tcPr>
          <w:p w14:paraId="54ACB933" w14:textId="77777777"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15.78%</w:t>
            </w:r>
          </w:p>
        </w:tc>
      </w:tr>
      <w:tr w:rsidR="003F14A6" w:rsidRPr="00894701" w14:paraId="6E14CA66" w14:textId="77777777" w:rsidTr="00446B8D">
        <w:trPr>
          <w:trHeight w:val="270"/>
        </w:trPr>
        <w:tc>
          <w:tcPr>
            <w:tcW w:w="838" w:type="pct"/>
            <w:tcBorders>
              <w:top w:val="nil"/>
              <w:bottom w:val="single" w:sz="4" w:space="0" w:color="FF0000"/>
              <w:right w:val="single" w:sz="4" w:space="0" w:color="FF0000"/>
            </w:tcBorders>
            <w:shd w:val="clear" w:color="auto" w:fill="auto"/>
            <w:noWrap/>
            <w:tcMar>
              <w:top w:w="15" w:type="dxa"/>
              <w:left w:w="15" w:type="dxa"/>
              <w:bottom w:w="0" w:type="dxa"/>
              <w:right w:w="15" w:type="dxa"/>
            </w:tcMar>
            <w:vAlign w:val="center"/>
            <w:hideMark/>
          </w:tcPr>
          <w:p w14:paraId="03507060" w14:textId="77777777" w:rsidR="003F14A6" w:rsidRPr="00894701" w:rsidRDefault="003F14A6" w:rsidP="00446B8D">
            <w:pPr>
              <w:rPr>
                <w:rFonts w:ascii="Trebuchet MS (Body)" w:hAnsi="Trebuchet MS (Body)"/>
                <w:color w:val="000000"/>
                <w:szCs w:val="18"/>
              </w:rPr>
            </w:pPr>
            <w:r w:rsidRPr="00894701">
              <w:rPr>
                <w:rFonts w:ascii="Trebuchet MS (Body)" w:hAnsi="Trebuchet MS (Body)"/>
                <w:color w:val="000000"/>
                <w:szCs w:val="18"/>
              </w:rPr>
              <w:t>Other</w:t>
            </w:r>
          </w:p>
        </w:tc>
        <w:tc>
          <w:tcPr>
            <w:tcW w:w="671" w:type="pct"/>
            <w:tcBorders>
              <w:top w:val="nil"/>
              <w:left w:val="nil"/>
              <w:bottom w:val="single" w:sz="4" w:space="0" w:color="FF0000"/>
              <w:right w:val="single" w:sz="4" w:space="0" w:color="FF0000"/>
            </w:tcBorders>
            <w:shd w:val="clear" w:color="auto" w:fill="auto"/>
            <w:noWrap/>
            <w:tcMar>
              <w:top w:w="15" w:type="dxa"/>
              <w:left w:w="15" w:type="dxa"/>
              <w:bottom w:w="0" w:type="dxa"/>
              <w:right w:w="15" w:type="dxa"/>
            </w:tcMar>
            <w:vAlign w:val="center"/>
            <w:hideMark/>
          </w:tcPr>
          <w:p w14:paraId="3FF3D0FE" w14:textId="77777777"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2,937</w:t>
            </w:r>
          </w:p>
        </w:tc>
        <w:tc>
          <w:tcPr>
            <w:tcW w:w="671" w:type="pct"/>
            <w:tcBorders>
              <w:top w:val="nil"/>
              <w:left w:val="nil"/>
              <w:bottom w:val="single" w:sz="4" w:space="0" w:color="FF0000"/>
              <w:right w:val="single" w:sz="4" w:space="0" w:color="FF0000"/>
            </w:tcBorders>
            <w:shd w:val="clear" w:color="auto" w:fill="auto"/>
            <w:noWrap/>
            <w:tcMar>
              <w:top w:w="15" w:type="dxa"/>
              <w:left w:w="15" w:type="dxa"/>
              <w:bottom w:w="0" w:type="dxa"/>
              <w:right w:w="15" w:type="dxa"/>
            </w:tcMar>
            <w:vAlign w:val="center"/>
            <w:hideMark/>
          </w:tcPr>
          <w:p w14:paraId="07A57581" w14:textId="77777777"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2,122</w:t>
            </w:r>
          </w:p>
        </w:tc>
        <w:tc>
          <w:tcPr>
            <w:tcW w:w="671" w:type="pct"/>
            <w:tcBorders>
              <w:top w:val="nil"/>
              <w:left w:val="nil"/>
              <w:bottom w:val="single" w:sz="4" w:space="0" w:color="FF0000"/>
              <w:right w:val="single" w:sz="4" w:space="0" w:color="FF0000"/>
            </w:tcBorders>
            <w:shd w:val="clear" w:color="auto" w:fill="auto"/>
            <w:noWrap/>
            <w:tcMar>
              <w:top w:w="15" w:type="dxa"/>
              <w:left w:w="15" w:type="dxa"/>
              <w:bottom w:w="0" w:type="dxa"/>
              <w:right w:w="15" w:type="dxa"/>
            </w:tcMar>
            <w:vAlign w:val="center"/>
            <w:hideMark/>
          </w:tcPr>
          <w:p w14:paraId="71999D31" w14:textId="77777777"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5,059</w:t>
            </w:r>
          </w:p>
        </w:tc>
        <w:tc>
          <w:tcPr>
            <w:tcW w:w="671" w:type="pct"/>
            <w:tcBorders>
              <w:top w:val="nil"/>
              <w:left w:val="nil"/>
              <w:bottom w:val="single" w:sz="4" w:space="0" w:color="FF0000"/>
              <w:right w:val="single" w:sz="4" w:space="0" w:color="FF0000"/>
            </w:tcBorders>
            <w:shd w:val="clear" w:color="auto" w:fill="auto"/>
            <w:noWrap/>
            <w:tcMar>
              <w:top w:w="15" w:type="dxa"/>
              <w:left w:w="15" w:type="dxa"/>
              <w:bottom w:w="0" w:type="dxa"/>
              <w:right w:w="15" w:type="dxa"/>
            </w:tcMar>
            <w:vAlign w:val="center"/>
            <w:hideMark/>
          </w:tcPr>
          <w:p w14:paraId="2D305E02" w14:textId="77777777"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58%</w:t>
            </w:r>
          </w:p>
        </w:tc>
        <w:tc>
          <w:tcPr>
            <w:tcW w:w="671" w:type="pct"/>
            <w:tcBorders>
              <w:top w:val="nil"/>
              <w:left w:val="nil"/>
              <w:bottom w:val="single" w:sz="4" w:space="0" w:color="FF0000"/>
              <w:right w:val="single" w:sz="4" w:space="0" w:color="FF0000"/>
            </w:tcBorders>
            <w:shd w:val="clear" w:color="auto" w:fill="auto"/>
            <w:noWrap/>
            <w:tcMar>
              <w:top w:w="15" w:type="dxa"/>
              <w:left w:w="15" w:type="dxa"/>
              <w:bottom w:w="0" w:type="dxa"/>
              <w:right w:w="15" w:type="dxa"/>
            </w:tcMar>
            <w:vAlign w:val="center"/>
            <w:hideMark/>
          </w:tcPr>
          <w:p w14:paraId="33933A49" w14:textId="77777777"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42%</w:t>
            </w:r>
          </w:p>
        </w:tc>
        <w:tc>
          <w:tcPr>
            <w:tcW w:w="807" w:type="pct"/>
            <w:tcBorders>
              <w:top w:val="nil"/>
              <w:left w:val="nil"/>
              <w:bottom w:val="single" w:sz="4" w:space="0" w:color="FF0000"/>
            </w:tcBorders>
            <w:shd w:val="clear" w:color="auto" w:fill="auto"/>
            <w:noWrap/>
            <w:tcMar>
              <w:top w:w="15" w:type="dxa"/>
              <w:left w:w="15" w:type="dxa"/>
              <w:bottom w:w="0" w:type="dxa"/>
              <w:right w:w="15" w:type="dxa"/>
            </w:tcMar>
            <w:vAlign w:val="center"/>
            <w:hideMark/>
          </w:tcPr>
          <w:p w14:paraId="322FC7E8" w14:textId="77777777"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1.37%</w:t>
            </w:r>
          </w:p>
        </w:tc>
      </w:tr>
      <w:tr w:rsidR="003F14A6" w:rsidRPr="00894701" w14:paraId="15E28E33" w14:textId="77777777" w:rsidTr="00446B8D">
        <w:trPr>
          <w:trHeight w:val="270"/>
        </w:trPr>
        <w:tc>
          <w:tcPr>
            <w:tcW w:w="838" w:type="pct"/>
            <w:tcBorders>
              <w:top w:val="nil"/>
              <w:bottom w:val="single" w:sz="4" w:space="0" w:color="FF0000"/>
              <w:right w:val="single" w:sz="4" w:space="0" w:color="FF0000"/>
            </w:tcBorders>
            <w:shd w:val="clear" w:color="auto" w:fill="F8A3AF"/>
            <w:tcMar>
              <w:top w:w="15" w:type="dxa"/>
              <w:left w:w="15" w:type="dxa"/>
              <w:bottom w:w="0" w:type="dxa"/>
              <w:right w:w="15" w:type="dxa"/>
            </w:tcMar>
            <w:vAlign w:val="center"/>
            <w:hideMark/>
          </w:tcPr>
          <w:p w14:paraId="2EA590F5" w14:textId="77777777" w:rsidR="003F14A6" w:rsidRPr="00894701" w:rsidRDefault="003F14A6" w:rsidP="00446B8D">
            <w:pPr>
              <w:rPr>
                <w:rFonts w:ascii="Trebuchet MS (Body)" w:hAnsi="Trebuchet MS (Body)"/>
                <w:color w:val="000000"/>
                <w:szCs w:val="18"/>
              </w:rPr>
            </w:pPr>
            <w:r w:rsidRPr="00894701">
              <w:rPr>
                <w:rFonts w:ascii="Trebuchet MS (Body)" w:hAnsi="Trebuchet MS (Body)"/>
                <w:color w:val="000000"/>
                <w:szCs w:val="18"/>
              </w:rPr>
              <w:t xml:space="preserve"> Unknown</w:t>
            </w:r>
          </w:p>
        </w:tc>
        <w:tc>
          <w:tcPr>
            <w:tcW w:w="671" w:type="pct"/>
            <w:tcBorders>
              <w:top w:val="nil"/>
              <w:left w:val="nil"/>
              <w:bottom w:val="single" w:sz="4" w:space="0" w:color="FF0000"/>
              <w:right w:val="single" w:sz="4" w:space="0" w:color="FF0000"/>
            </w:tcBorders>
            <w:shd w:val="clear" w:color="auto" w:fill="F8A3AF"/>
            <w:noWrap/>
            <w:tcMar>
              <w:top w:w="15" w:type="dxa"/>
              <w:left w:w="15" w:type="dxa"/>
              <w:bottom w:w="0" w:type="dxa"/>
              <w:right w:w="15" w:type="dxa"/>
            </w:tcMar>
            <w:vAlign w:val="center"/>
            <w:hideMark/>
          </w:tcPr>
          <w:p w14:paraId="20B6E20B" w14:textId="77777777"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15</w:t>
            </w:r>
          </w:p>
        </w:tc>
        <w:tc>
          <w:tcPr>
            <w:tcW w:w="671" w:type="pct"/>
            <w:tcBorders>
              <w:top w:val="nil"/>
              <w:left w:val="nil"/>
              <w:bottom w:val="single" w:sz="4" w:space="0" w:color="FF0000"/>
              <w:right w:val="single" w:sz="4" w:space="0" w:color="FF0000"/>
            </w:tcBorders>
            <w:shd w:val="clear" w:color="auto" w:fill="F8A3AF"/>
            <w:noWrap/>
            <w:tcMar>
              <w:top w:w="15" w:type="dxa"/>
              <w:left w:w="15" w:type="dxa"/>
              <w:bottom w:w="0" w:type="dxa"/>
              <w:right w:w="15" w:type="dxa"/>
            </w:tcMar>
            <w:vAlign w:val="center"/>
            <w:hideMark/>
          </w:tcPr>
          <w:p w14:paraId="230A8E13" w14:textId="77777777"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41</w:t>
            </w:r>
          </w:p>
        </w:tc>
        <w:tc>
          <w:tcPr>
            <w:tcW w:w="671" w:type="pct"/>
            <w:tcBorders>
              <w:top w:val="nil"/>
              <w:left w:val="nil"/>
              <w:bottom w:val="single" w:sz="4" w:space="0" w:color="FF0000"/>
              <w:right w:val="single" w:sz="4" w:space="0" w:color="FF0000"/>
            </w:tcBorders>
            <w:shd w:val="clear" w:color="auto" w:fill="F8A3AF"/>
            <w:noWrap/>
            <w:tcMar>
              <w:top w:w="15" w:type="dxa"/>
              <w:left w:w="15" w:type="dxa"/>
              <w:bottom w:w="0" w:type="dxa"/>
              <w:right w:w="15" w:type="dxa"/>
            </w:tcMar>
            <w:vAlign w:val="center"/>
            <w:hideMark/>
          </w:tcPr>
          <w:p w14:paraId="66F92CB7" w14:textId="77777777"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56</w:t>
            </w:r>
          </w:p>
        </w:tc>
        <w:tc>
          <w:tcPr>
            <w:tcW w:w="671" w:type="pct"/>
            <w:tcBorders>
              <w:top w:val="nil"/>
              <w:left w:val="nil"/>
              <w:bottom w:val="single" w:sz="4" w:space="0" w:color="FF0000"/>
              <w:right w:val="single" w:sz="4" w:space="0" w:color="FF0000"/>
            </w:tcBorders>
            <w:shd w:val="clear" w:color="auto" w:fill="F8A3AF"/>
            <w:noWrap/>
            <w:tcMar>
              <w:top w:w="15" w:type="dxa"/>
              <w:left w:w="15" w:type="dxa"/>
              <w:bottom w:w="0" w:type="dxa"/>
              <w:right w:w="15" w:type="dxa"/>
            </w:tcMar>
            <w:vAlign w:val="center"/>
            <w:hideMark/>
          </w:tcPr>
          <w:p w14:paraId="00356311" w14:textId="77777777"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27%</w:t>
            </w:r>
          </w:p>
        </w:tc>
        <w:tc>
          <w:tcPr>
            <w:tcW w:w="671" w:type="pct"/>
            <w:tcBorders>
              <w:top w:val="nil"/>
              <w:left w:val="nil"/>
              <w:bottom w:val="single" w:sz="4" w:space="0" w:color="FF0000"/>
              <w:right w:val="single" w:sz="4" w:space="0" w:color="FF0000"/>
            </w:tcBorders>
            <w:shd w:val="clear" w:color="auto" w:fill="F8A3AF"/>
            <w:noWrap/>
            <w:tcMar>
              <w:top w:w="15" w:type="dxa"/>
              <w:left w:w="15" w:type="dxa"/>
              <w:bottom w:w="0" w:type="dxa"/>
              <w:right w:w="15" w:type="dxa"/>
            </w:tcMar>
            <w:vAlign w:val="center"/>
            <w:hideMark/>
          </w:tcPr>
          <w:p w14:paraId="1B263CF3" w14:textId="77777777"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73%</w:t>
            </w:r>
          </w:p>
        </w:tc>
        <w:tc>
          <w:tcPr>
            <w:tcW w:w="807" w:type="pct"/>
            <w:tcBorders>
              <w:top w:val="nil"/>
              <w:left w:val="nil"/>
              <w:bottom w:val="single" w:sz="4" w:space="0" w:color="FF0000"/>
            </w:tcBorders>
            <w:shd w:val="clear" w:color="auto" w:fill="F8A3AF"/>
            <w:noWrap/>
            <w:tcMar>
              <w:top w:w="15" w:type="dxa"/>
              <w:left w:w="15" w:type="dxa"/>
              <w:bottom w:w="0" w:type="dxa"/>
              <w:right w:w="15" w:type="dxa"/>
            </w:tcMar>
            <w:vAlign w:val="center"/>
            <w:hideMark/>
          </w:tcPr>
          <w:p w14:paraId="24FCEB7B" w14:textId="77777777" w:rsidR="003F14A6" w:rsidRPr="00894701" w:rsidRDefault="003F14A6" w:rsidP="00446B8D">
            <w:pPr>
              <w:jc w:val="right"/>
              <w:rPr>
                <w:rFonts w:ascii="Trebuchet MS (Body)" w:hAnsi="Trebuchet MS (Body)"/>
                <w:color w:val="000000"/>
                <w:szCs w:val="18"/>
              </w:rPr>
            </w:pPr>
            <w:r w:rsidRPr="00894701">
              <w:rPr>
                <w:rFonts w:ascii="Trebuchet MS (Body)" w:hAnsi="Trebuchet MS (Body)"/>
                <w:color w:val="000000"/>
                <w:szCs w:val="18"/>
              </w:rPr>
              <w:t>0.02%</w:t>
            </w:r>
          </w:p>
        </w:tc>
      </w:tr>
      <w:tr w:rsidR="003F14A6" w:rsidRPr="00894701" w14:paraId="3BDDC808" w14:textId="77777777" w:rsidTr="00446B8D">
        <w:trPr>
          <w:trHeight w:val="270"/>
        </w:trPr>
        <w:tc>
          <w:tcPr>
            <w:tcW w:w="838" w:type="pct"/>
            <w:tcBorders>
              <w:top w:val="nil"/>
              <w:bottom w:val="single" w:sz="4" w:space="0" w:color="FF0000"/>
              <w:right w:val="single" w:sz="4" w:space="0" w:color="FF0000"/>
            </w:tcBorders>
            <w:shd w:val="clear" w:color="auto" w:fill="808080"/>
            <w:noWrap/>
            <w:tcMar>
              <w:top w:w="15" w:type="dxa"/>
              <w:left w:w="15" w:type="dxa"/>
              <w:bottom w:w="0" w:type="dxa"/>
              <w:right w:w="15" w:type="dxa"/>
            </w:tcMar>
            <w:vAlign w:val="center"/>
            <w:hideMark/>
          </w:tcPr>
          <w:p w14:paraId="2F75FD11" w14:textId="77777777" w:rsidR="003F14A6" w:rsidRPr="00894701" w:rsidRDefault="003F14A6" w:rsidP="00446B8D">
            <w:pPr>
              <w:rPr>
                <w:rFonts w:ascii="Trebuchet MS (Body)" w:hAnsi="Trebuchet MS (Body)"/>
                <w:b/>
                <w:bCs/>
                <w:color w:val="FFFFFF" w:themeColor="background1"/>
                <w:szCs w:val="18"/>
              </w:rPr>
            </w:pPr>
            <w:r w:rsidRPr="00894701">
              <w:rPr>
                <w:rFonts w:ascii="Trebuchet MS (Body)" w:hAnsi="Trebuchet MS (Body)"/>
                <w:b/>
                <w:bCs/>
                <w:color w:val="FFFFFF" w:themeColor="background1"/>
                <w:szCs w:val="18"/>
              </w:rPr>
              <w:t>Total</w:t>
            </w:r>
          </w:p>
        </w:tc>
        <w:tc>
          <w:tcPr>
            <w:tcW w:w="671" w:type="pct"/>
            <w:tcBorders>
              <w:top w:val="nil"/>
              <w:left w:val="nil"/>
              <w:bottom w:val="single" w:sz="4" w:space="0" w:color="FF0000"/>
              <w:right w:val="single" w:sz="4" w:space="0" w:color="FF0000"/>
            </w:tcBorders>
            <w:shd w:val="clear" w:color="auto" w:fill="808080"/>
            <w:noWrap/>
            <w:tcMar>
              <w:top w:w="15" w:type="dxa"/>
              <w:left w:w="15" w:type="dxa"/>
              <w:bottom w:w="0" w:type="dxa"/>
              <w:right w:w="15" w:type="dxa"/>
            </w:tcMar>
            <w:vAlign w:val="center"/>
            <w:hideMark/>
          </w:tcPr>
          <w:p w14:paraId="5C7A340A" w14:textId="0A5AC04D" w:rsidR="003F14A6" w:rsidRPr="00894701" w:rsidRDefault="003F14A6" w:rsidP="00446B8D">
            <w:pPr>
              <w:jc w:val="right"/>
              <w:rPr>
                <w:rFonts w:ascii="Trebuchet MS (Body)" w:hAnsi="Trebuchet MS (Body)"/>
                <w:b/>
                <w:bCs/>
                <w:color w:val="FFFFFF" w:themeColor="background1"/>
                <w:szCs w:val="18"/>
              </w:rPr>
            </w:pPr>
            <w:r w:rsidRPr="00894701">
              <w:rPr>
                <w:rFonts w:ascii="Trebuchet MS (Body)" w:hAnsi="Trebuchet MS (Body)"/>
                <w:b/>
                <w:bCs/>
                <w:color w:val="FFFFFF" w:themeColor="background1"/>
                <w:szCs w:val="18"/>
              </w:rPr>
              <w:t>181,58</w:t>
            </w:r>
            <w:r w:rsidR="00C32563" w:rsidRPr="00894701">
              <w:rPr>
                <w:rFonts w:ascii="Trebuchet MS (Body)" w:hAnsi="Trebuchet MS (Body)"/>
                <w:b/>
                <w:bCs/>
                <w:color w:val="FFFFFF" w:themeColor="background1"/>
                <w:szCs w:val="18"/>
              </w:rPr>
              <w:t>4</w:t>
            </w:r>
          </w:p>
        </w:tc>
        <w:tc>
          <w:tcPr>
            <w:tcW w:w="671" w:type="pct"/>
            <w:tcBorders>
              <w:top w:val="nil"/>
              <w:left w:val="nil"/>
              <w:bottom w:val="single" w:sz="4" w:space="0" w:color="FF0000"/>
              <w:right w:val="single" w:sz="4" w:space="0" w:color="FF0000"/>
            </w:tcBorders>
            <w:shd w:val="clear" w:color="auto" w:fill="808080"/>
            <w:noWrap/>
            <w:tcMar>
              <w:top w:w="15" w:type="dxa"/>
              <w:left w:w="15" w:type="dxa"/>
              <w:bottom w:w="0" w:type="dxa"/>
              <w:right w:w="15" w:type="dxa"/>
            </w:tcMar>
            <w:vAlign w:val="center"/>
            <w:hideMark/>
          </w:tcPr>
          <w:p w14:paraId="572B4CAE" w14:textId="77777777" w:rsidR="003F14A6" w:rsidRPr="00894701" w:rsidRDefault="003F14A6" w:rsidP="00446B8D">
            <w:pPr>
              <w:jc w:val="right"/>
              <w:rPr>
                <w:rFonts w:ascii="Trebuchet MS (Body)" w:hAnsi="Trebuchet MS (Body)"/>
                <w:b/>
                <w:bCs/>
                <w:color w:val="FFFFFF" w:themeColor="background1"/>
                <w:szCs w:val="18"/>
              </w:rPr>
            </w:pPr>
            <w:r w:rsidRPr="00894701">
              <w:rPr>
                <w:rFonts w:ascii="Trebuchet MS (Body)" w:hAnsi="Trebuchet MS (Body)"/>
                <w:b/>
                <w:bCs/>
                <w:color w:val="FFFFFF" w:themeColor="background1"/>
                <w:szCs w:val="18"/>
              </w:rPr>
              <w:t>187,765</w:t>
            </w:r>
          </w:p>
        </w:tc>
        <w:tc>
          <w:tcPr>
            <w:tcW w:w="671" w:type="pct"/>
            <w:tcBorders>
              <w:top w:val="nil"/>
              <w:left w:val="nil"/>
              <w:bottom w:val="single" w:sz="4" w:space="0" w:color="FF0000"/>
              <w:right w:val="single" w:sz="4" w:space="0" w:color="FF0000"/>
            </w:tcBorders>
            <w:shd w:val="clear" w:color="auto" w:fill="808080"/>
            <w:noWrap/>
            <w:tcMar>
              <w:top w:w="15" w:type="dxa"/>
              <w:left w:w="15" w:type="dxa"/>
              <w:bottom w:w="0" w:type="dxa"/>
              <w:right w:w="15" w:type="dxa"/>
            </w:tcMar>
            <w:vAlign w:val="center"/>
            <w:hideMark/>
          </w:tcPr>
          <w:p w14:paraId="3329A260" w14:textId="77777777" w:rsidR="003F14A6" w:rsidRPr="00894701" w:rsidRDefault="003F14A6" w:rsidP="00446B8D">
            <w:pPr>
              <w:jc w:val="right"/>
              <w:rPr>
                <w:rFonts w:ascii="Trebuchet MS (Body)" w:hAnsi="Trebuchet MS (Body)"/>
                <w:b/>
                <w:bCs/>
                <w:color w:val="FFFFFF" w:themeColor="background1"/>
                <w:szCs w:val="18"/>
              </w:rPr>
            </w:pPr>
            <w:r w:rsidRPr="00894701">
              <w:rPr>
                <w:rFonts w:ascii="Trebuchet MS (Body)" w:hAnsi="Trebuchet MS (Body)"/>
                <w:b/>
                <w:bCs/>
                <w:color w:val="FFFFFF" w:themeColor="background1"/>
                <w:szCs w:val="18"/>
              </w:rPr>
              <w:t>369,349</w:t>
            </w:r>
          </w:p>
        </w:tc>
        <w:tc>
          <w:tcPr>
            <w:tcW w:w="671" w:type="pct"/>
            <w:tcBorders>
              <w:top w:val="nil"/>
              <w:left w:val="nil"/>
              <w:bottom w:val="single" w:sz="4" w:space="0" w:color="FF0000"/>
              <w:right w:val="single" w:sz="4" w:space="0" w:color="FF0000"/>
            </w:tcBorders>
            <w:shd w:val="clear" w:color="auto" w:fill="808080"/>
            <w:noWrap/>
            <w:tcMar>
              <w:top w:w="15" w:type="dxa"/>
              <w:left w:w="15" w:type="dxa"/>
              <w:bottom w:w="0" w:type="dxa"/>
              <w:right w:w="15" w:type="dxa"/>
            </w:tcMar>
            <w:vAlign w:val="center"/>
            <w:hideMark/>
          </w:tcPr>
          <w:p w14:paraId="5F471DAE" w14:textId="77777777" w:rsidR="003F14A6" w:rsidRPr="00894701" w:rsidRDefault="003F14A6" w:rsidP="00446B8D">
            <w:pPr>
              <w:jc w:val="right"/>
              <w:rPr>
                <w:rFonts w:ascii="Trebuchet MS (Body)" w:hAnsi="Trebuchet MS (Body)"/>
                <w:b/>
                <w:bCs/>
                <w:color w:val="FFFFFF" w:themeColor="background1"/>
                <w:szCs w:val="18"/>
              </w:rPr>
            </w:pPr>
            <w:r w:rsidRPr="00894701">
              <w:rPr>
                <w:rFonts w:ascii="Trebuchet MS (Body)" w:hAnsi="Trebuchet MS (Body)"/>
                <w:b/>
                <w:bCs/>
                <w:color w:val="FFFFFF" w:themeColor="background1"/>
                <w:szCs w:val="18"/>
              </w:rPr>
              <w:t>49%</w:t>
            </w:r>
          </w:p>
        </w:tc>
        <w:tc>
          <w:tcPr>
            <w:tcW w:w="671" w:type="pct"/>
            <w:tcBorders>
              <w:top w:val="nil"/>
              <w:left w:val="nil"/>
              <w:bottom w:val="single" w:sz="4" w:space="0" w:color="FF0000"/>
              <w:right w:val="single" w:sz="4" w:space="0" w:color="FF0000"/>
            </w:tcBorders>
            <w:shd w:val="clear" w:color="auto" w:fill="808080"/>
            <w:noWrap/>
            <w:tcMar>
              <w:top w:w="15" w:type="dxa"/>
              <w:left w:w="15" w:type="dxa"/>
              <w:bottom w:w="0" w:type="dxa"/>
              <w:right w:w="15" w:type="dxa"/>
            </w:tcMar>
            <w:vAlign w:val="center"/>
            <w:hideMark/>
          </w:tcPr>
          <w:p w14:paraId="464A9020" w14:textId="77777777" w:rsidR="003F14A6" w:rsidRPr="00894701" w:rsidRDefault="003F14A6" w:rsidP="00446B8D">
            <w:pPr>
              <w:jc w:val="right"/>
              <w:rPr>
                <w:rFonts w:ascii="Trebuchet MS (Body)" w:hAnsi="Trebuchet MS (Body)"/>
                <w:b/>
                <w:bCs/>
                <w:color w:val="FFFFFF" w:themeColor="background1"/>
                <w:szCs w:val="18"/>
              </w:rPr>
            </w:pPr>
            <w:r w:rsidRPr="00894701">
              <w:rPr>
                <w:rFonts w:ascii="Trebuchet MS (Body)" w:hAnsi="Trebuchet MS (Body)"/>
                <w:b/>
                <w:bCs/>
                <w:color w:val="FFFFFF" w:themeColor="background1"/>
                <w:szCs w:val="18"/>
              </w:rPr>
              <w:t>51%</w:t>
            </w:r>
          </w:p>
        </w:tc>
        <w:tc>
          <w:tcPr>
            <w:tcW w:w="807" w:type="pct"/>
            <w:tcBorders>
              <w:top w:val="nil"/>
              <w:left w:val="nil"/>
              <w:bottom w:val="single" w:sz="4" w:space="0" w:color="FF0000"/>
            </w:tcBorders>
            <w:shd w:val="clear" w:color="auto" w:fill="808080"/>
            <w:noWrap/>
            <w:tcMar>
              <w:top w:w="15" w:type="dxa"/>
              <w:left w:w="15" w:type="dxa"/>
              <w:bottom w:w="0" w:type="dxa"/>
              <w:right w:w="15" w:type="dxa"/>
            </w:tcMar>
            <w:vAlign w:val="center"/>
            <w:hideMark/>
          </w:tcPr>
          <w:p w14:paraId="3587F564" w14:textId="77777777" w:rsidR="003F14A6" w:rsidRPr="00894701" w:rsidRDefault="003F14A6" w:rsidP="00446B8D">
            <w:pPr>
              <w:jc w:val="right"/>
              <w:rPr>
                <w:rFonts w:ascii="Trebuchet MS (Body)" w:hAnsi="Trebuchet MS (Body)"/>
                <w:b/>
                <w:bCs/>
                <w:color w:val="FFFFFF" w:themeColor="background1"/>
                <w:szCs w:val="18"/>
              </w:rPr>
            </w:pPr>
            <w:r w:rsidRPr="00894701">
              <w:rPr>
                <w:rFonts w:ascii="Trebuchet MS (Body)" w:hAnsi="Trebuchet MS (Body)"/>
                <w:b/>
                <w:bCs/>
                <w:color w:val="FFFFFF" w:themeColor="background1"/>
                <w:szCs w:val="18"/>
              </w:rPr>
              <w:t>100%</w:t>
            </w:r>
          </w:p>
        </w:tc>
      </w:tr>
    </w:tbl>
    <w:p w14:paraId="464FB86B" w14:textId="77777777" w:rsidR="003F14A6" w:rsidRPr="00894701" w:rsidRDefault="003F14A6" w:rsidP="003F14A6">
      <w:pPr>
        <w:pStyle w:val="BodyText"/>
        <w:jc w:val="both"/>
        <w:rPr>
          <w:rFonts w:asciiTheme="majorHAnsi" w:hAnsiTheme="majorHAnsi"/>
          <w:i/>
          <w:iCs/>
          <w:color w:val="auto"/>
          <w:sz w:val="16"/>
          <w:szCs w:val="16"/>
        </w:rPr>
      </w:pPr>
      <w:r w:rsidRPr="00894701">
        <w:rPr>
          <w:rFonts w:asciiTheme="majorHAnsi" w:hAnsiTheme="majorHAnsi"/>
          <w:i/>
          <w:iCs/>
          <w:color w:val="auto"/>
          <w:sz w:val="16"/>
          <w:szCs w:val="16"/>
        </w:rPr>
        <w:t>Source: Households in Suriname 2015-2018</w:t>
      </w:r>
    </w:p>
    <w:p w14:paraId="7B62AEB8" w14:textId="3D6E0030" w:rsidR="003F14A6" w:rsidRPr="00894701" w:rsidRDefault="003F14A6" w:rsidP="003F14A6">
      <w:pPr>
        <w:autoSpaceDE w:val="0"/>
        <w:autoSpaceDN w:val="0"/>
        <w:adjustRightInd w:val="0"/>
        <w:spacing w:line="240" w:lineRule="auto"/>
        <w:jc w:val="both"/>
        <w:rPr>
          <w:rFonts w:cs="Arial"/>
          <w:i/>
          <w:iCs/>
          <w:color w:val="000000"/>
          <w:kern w:val="0"/>
          <w:sz w:val="20"/>
          <w:szCs w:val="20"/>
          <w:shd w:val="clear" w:color="auto" w:fill="FFFFFF"/>
          <w:lang w:eastAsia="en-US"/>
        </w:rPr>
      </w:pPr>
      <w:r w:rsidRPr="00894701">
        <w:rPr>
          <w:rFonts w:eastAsia="Calibri"/>
          <w:color w:val="auto"/>
          <w:kern w:val="0"/>
          <w:sz w:val="20"/>
          <w:szCs w:val="22"/>
          <w:lang w:eastAsia="en-US"/>
        </w:rPr>
        <w:t xml:space="preserve">Suriname is a country rich in ethnic and cultural diversity as highlighted in the table above. Eight ethnicities currently comprise the population. The census is covering the period starting from 2015 to 2018 period.  The above table presents figures of the population by ethnicity. </w:t>
      </w:r>
      <w:r w:rsidRPr="00894701">
        <w:rPr>
          <w:rFonts w:cs="Arial"/>
          <w:i/>
          <w:iCs/>
          <w:color w:val="000000"/>
          <w:kern w:val="0"/>
          <w:sz w:val="20"/>
          <w:szCs w:val="20"/>
          <w:shd w:val="clear" w:color="auto" w:fill="FFFFFF"/>
          <w:lang w:eastAsia="en-US"/>
        </w:rPr>
        <w:t>Indians represent 30.55%, Creole 20.62%, Mixed 15.78%, Maroons 15.93%, Javanese 12.86%, Chinese 1.52%, Other 1.37% and unknown Unknown</w:t>
      </w:r>
      <w:r w:rsidRPr="00894701">
        <w:t xml:space="preserve"> </w:t>
      </w:r>
      <w:r w:rsidRPr="00894701">
        <w:rPr>
          <w:rFonts w:cs="Arial"/>
          <w:i/>
          <w:iCs/>
          <w:color w:val="000000"/>
          <w:kern w:val="0"/>
          <w:sz w:val="20"/>
          <w:szCs w:val="20"/>
          <w:shd w:val="clear" w:color="auto" w:fill="FFFFFF"/>
          <w:lang w:eastAsia="en-US"/>
        </w:rPr>
        <w:t xml:space="preserve">0.02%. </w:t>
      </w:r>
    </w:p>
    <w:p w14:paraId="13D5BE7C" w14:textId="77777777" w:rsidR="003F14A6" w:rsidRPr="00894701" w:rsidRDefault="003F14A6" w:rsidP="003F14A6">
      <w:pPr>
        <w:autoSpaceDE w:val="0"/>
        <w:autoSpaceDN w:val="0"/>
        <w:adjustRightInd w:val="0"/>
        <w:spacing w:line="240" w:lineRule="auto"/>
        <w:jc w:val="both"/>
        <w:rPr>
          <w:rFonts w:cs="Arial"/>
          <w:i/>
          <w:iCs/>
          <w:color w:val="000000"/>
          <w:kern w:val="0"/>
          <w:sz w:val="20"/>
          <w:szCs w:val="20"/>
          <w:shd w:val="clear" w:color="auto" w:fill="FFFFFF"/>
          <w:lang w:eastAsia="en-US"/>
        </w:rPr>
      </w:pPr>
    </w:p>
    <w:p w14:paraId="09F9556B" w14:textId="77777777" w:rsidR="003F14A6" w:rsidRPr="00894701" w:rsidRDefault="003F14A6" w:rsidP="00A834A8">
      <w:pPr>
        <w:pStyle w:val="Heading3"/>
        <w:numPr>
          <w:ilvl w:val="2"/>
          <w:numId w:val="79"/>
        </w:numPr>
        <w:spacing w:before="0" w:after="240"/>
        <w:ind w:right="482"/>
        <w:rPr>
          <w:bCs w:val="0"/>
          <w:caps w:val="0"/>
        </w:rPr>
      </w:pPr>
      <w:bookmarkStart w:id="366" w:name="_Toc101350026"/>
      <w:bookmarkStart w:id="367" w:name="_Toc122478923"/>
      <w:r w:rsidRPr="00894701">
        <w:rPr>
          <w:bCs w:val="0"/>
          <w:caps w:val="0"/>
        </w:rPr>
        <w:lastRenderedPageBreak/>
        <w:t>EITI-SR Multi</w:t>
      </w:r>
      <w:r w:rsidRPr="00894701">
        <w:rPr>
          <w:rFonts w:ascii="Cambria Math" w:hAnsi="Cambria Math" w:cs="Cambria Math"/>
          <w:bCs w:val="0"/>
          <w:caps w:val="0"/>
        </w:rPr>
        <w:t>‑</w:t>
      </w:r>
      <w:r w:rsidRPr="00894701">
        <w:rPr>
          <w:bCs w:val="0"/>
          <w:caps w:val="0"/>
        </w:rPr>
        <w:t>Stakeholder Group: Gender Balance (EITI Requirement 1.4)</w:t>
      </w:r>
      <w:bookmarkEnd w:id="366"/>
      <w:bookmarkEnd w:id="367"/>
    </w:p>
    <w:p w14:paraId="3D4EB074" w14:textId="77777777" w:rsidR="003F14A6" w:rsidRPr="00894701" w:rsidRDefault="003F14A6" w:rsidP="003F14A6">
      <w:pPr>
        <w:autoSpaceDE w:val="0"/>
        <w:autoSpaceDN w:val="0"/>
        <w:adjustRightInd w:val="0"/>
        <w:spacing w:line="240" w:lineRule="auto"/>
        <w:jc w:val="both"/>
        <w:rPr>
          <w:rFonts w:eastAsia="Calibri"/>
          <w:color w:val="auto"/>
          <w:kern w:val="0"/>
          <w:sz w:val="20"/>
          <w:szCs w:val="22"/>
          <w:lang w:eastAsia="en-US"/>
        </w:rPr>
      </w:pPr>
      <w:r w:rsidRPr="00894701">
        <w:rPr>
          <w:rFonts w:eastAsia="Calibri"/>
          <w:color w:val="auto"/>
          <w:kern w:val="0"/>
          <w:sz w:val="20"/>
          <w:szCs w:val="22"/>
          <w:lang w:eastAsia="en-US"/>
        </w:rPr>
        <w:t>The EITI Standard stipulates that the Multi</w:t>
      </w:r>
      <w:r w:rsidRPr="00894701">
        <w:rPr>
          <w:rFonts w:ascii="Cambria Math" w:eastAsia="Calibri" w:hAnsi="Cambria Math" w:cs="Cambria Math"/>
          <w:color w:val="auto"/>
          <w:kern w:val="0"/>
          <w:sz w:val="20"/>
          <w:szCs w:val="22"/>
          <w:lang w:eastAsia="en-US"/>
        </w:rPr>
        <w:t>‑</w:t>
      </w:r>
      <w:r w:rsidRPr="00894701">
        <w:rPr>
          <w:rFonts w:eastAsia="Calibri"/>
          <w:color w:val="auto"/>
          <w:kern w:val="0"/>
          <w:sz w:val="20"/>
          <w:szCs w:val="22"/>
          <w:lang w:eastAsia="en-US"/>
        </w:rPr>
        <w:t xml:space="preserve">Stakeholder Group and each constituency should consider gender balance in their representation in the progress towards full gender parity. </w:t>
      </w:r>
    </w:p>
    <w:p w14:paraId="0ED43007" w14:textId="77777777" w:rsidR="003F14A6" w:rsidRPr="00894701" w:rsidRDefault="003F14A6" w:rsidP="003F14A6">
      <w:pPr>
        <w:autoSpaceDE w:val="0"/>
        <w:autoSpaceDN w:val="0"/>
        <w:adjustRightInd w:val="0"/>
        <w:spacing w:line="240" w:lineRule="auto"/>
        <w:jc w:val="both"/>
        <w:rPr>
          <w:rFonts w:eastAsia="Calibri"/>
          <w:color w:val="auto"/>
          <w:kern w:val="0"/>
          <w:sz w:val="20"/>
          <w:szCs w:val="22"/>
          <w:lang w:eastAsia="en-US"/>
        </w:rPr>
      </w:pPr>
      <w:r w:rsidRPr="00894701">
        <w:rPr>
          <w:rFonts w:eastAsia="Calibri"/>
          <w:b/>
          <w:color w:val="auto"/>
          <w:kern w:val="0"/>
          <w:sz w:val="20"/>
          <w:szCs w:val="22"/>
          <w:lang w:eastAsia="en-US"/>
        </w:rPr>
        <w:t xml:space="preserve">Gender Parity within the EITI-SR: </w:t>
      </w:r>
      <w:r w:rsidRPr="00894701">
        <w:rPr>
          <w:rFonts w:eastAsia="Calibri"/>
          <w:color w:val="auto"/>
          <w:kern w:val="0"/>
          <w:sz w:val="20"/>
          <w:szCs w:val="22"/>
          <w:lang w:eastAsia="en-US"/>
        </w:rPr>
        <w:t>In 2019- 2022, the EITI-SR Multi Stakeholder Group stood at a total of 18 representatives with 6 representatives each per sector (inclusive of four main members and four alternates per sector) with an overall ratio of 61% men to 39% women. There were three vacant alternate positions (one representative from Civil Society and two from industry).</w:t>
      </w:r>
    </w:p>
    <w:p w14:paraId="7D4346DE" w14:textId="3FD95DB5" w:rsidR="003F14A6" w:rsidRPr="00894701" w:rsidRDefault="003F14A6" w:rsidP="003F14A6">
      <w:pPr>
        <w:jc w:val="center"/>
        <w:rPr>
          <w:b/>
          <w:bCs/>
          <w:color w:val="98002E"/>
          <w:szCs w:val="20"/>
        </w:rPr>
      </w:pPr>
      <w:bookmarkStart w:id="368" w:name="_Toc104557727"/>
      <w:bookmarkStart w:id="369" w:name="_Toc146590514"/>
      <w:r w:rsidRPr="00894701">
        <w:rPr>
          <w:b/>
          <w:bCs/>
          <w:color w:val="98002E"/>
          <w:szCs w:val="20"/>
        </w:rPr>
        <w:t xml:space="preserve">Table </w:t>
      </w:r>
      <w:r w:rsidRPr="00894701">
        <w:rPr>
          <w:b/>
          <w:bCs/>
          <w:color w:val="98002E"/>
          <w:szCs w:val="20"/>
        </w:rPr>
        <w:fldChar w:fldCharType="begin"/>
      </w:r>
      <w:r w:rsidRPr="00894701">
        <w:rPr>
          <w:b/>
          <w:bCs/>
          <w:color w:val="98002E"/>
          <w:szCs w:val="20"/>
        </w:rPr>
        <w:instrText xml:space="preserve"> SEQ Table \* ARABIC </w:instrText>
      </w:r>
      <w:r w:rsidRPr="00894701">
        <w:rPr>
          <w:b/>
          <w:bCs/>
          <w:color w:val="98002E"/>
          <w:szCs w:val="20"/>
        </w:rPr>
        <w:fldChar w:fldCharType="separate"/>
      </w:r>
      <w:r w:rsidR="0035303B">
        <w:rPr>
          <w:b/>
          <w:bCs/>
          <w:noProof/>
          <w:color w:val="98002E"/>
          <w:szCs w:val="20"/>
        </w:rPr>
        <w:t>42</w:t>
      </w:r>
      <w:r w:rsidRPr="00894701">
        <w:rPr>
          <w:b/>
          <w:bCs/>
          <w:color w:val="98002E"/>
          <w:szCs w:val="20"/>
        </w:rPr>
        <w:fldChar w:fldCharType="end"/>
      </w:r>
      <w:r w:rsidRPr="00894701">
        <w:rPr>
          <w:b/>
          <w:bCs/>
          <w:color w:val="98002E"/>
          <w:szCs w:val="20"/>
        </w:rPr>
        <w:t>: Cumulative gender balance per sector of the MSG in 2020</w:t>
      </w:r>
      <w:bookmarkEnd w:id="368"/>
      <w:bookmarkEnd w:id="369"/>
    </w:p>
    <w:tbl>
      <w:tblPr>
        <w:tblW w:w="5000" w:type="pct"/>
        <w:tblLook w:val="04A0" w:firstRow="1" w:lastRow="0" w:firstColumn="1" w:lastColumn="0" w:noHBand="0" w:noVBand="1"/>
      </w:tblPr>
      <w:tblGrid>
        <w:gridCol w:w="2102"/>
        <w:gridCol w:w="1624"/>
        <w:gridCol w:w="1974"/>
        <w:gridCol w:w="1450"/>
        <w:gridCol w:w="1880"/>
      </w:tblGrid>
      <w:tr w:rsidR="003F14A6" w:rsidRPr="00894701" w14:paraId="3B878737" w14:textId="77777777" w:rsidTr="00446B8D">
        <w:trPr>
          <w:trHeight w:val="280"/>
        </w:trPr>
        <w:tc>
          <w:tcPr>
            <w:tcW w:w="1164" w:type="pct"/>
            <w:tcBorders>
              <w:top w:val="single" w:sz="8" w:space="0" w:color="FFFFFF"/>
              <w:left w:val="single" w:sz="8" w:space="0" w:color="FFFFFF"/>
              <w:bottom w:val="single" w:sz="8" w:space="0" w:color="FFFFFF"/>
              <w:right w:val="nil"/>
            </w:tcBorders>
            <w:shd w:val="clear" w:color="000000" w:fill="7A091A"/>
            <w:vAlign w:val="center"/>
            <w:hideMark/>
          </w:tcPr>
          <w:p w14:paraId="1902BA0C" w14:textId="77777777" w:rsidR="003F14A6" w:rsidRPr="00894701" w:rsidRDefault="003F14A6" w:rsidP="00446B8D">
            <w:pPr>
              <w:spacing w:after="0" w:line="240" w:lineRule="auto"/>
              <w:jc w:val="both"/>
              <w:rPr>
                <w:b/>
                <w:bCs/>
                <w:color w:val="FFFFFF"/>
                <w:kern w:val="0"/>
                <w:szCs w:val="18"/>
              </w:rPr>
            </w:pPr>
            <w:r w:rsidRPr="00894701">
              <w:rPr>
                <w:b/>
                <w:bCs/>
                <w:color w:val="FFFFFF"/>
                <w:kern w:val="0"/>
                <w:szCs w:val="18"/>
              </w:rPr>
              <w:t> </w:t>
            </w:r>
          </w:p>
        </w:tc>
        <w:tc>
          <w:tcPr>
            <w:tcW w:w="1992" w:type="pct"/>
            <w:gridSpan w:val="2"/>
            <w:tcBorders>
              <w:top w:val="single" w:sz="8" w:space="0" w:color="FFFFFF"/>
              <w:left w:val="nil"/>
              <w:bottom w:val="single" w:sz="8" w:space="0" w:color="FFFFFF"/>
              <w:right w:val="single" w:sz="8" w:space="0" w:color="FFFFFF"/>
            </w:tcBorders>
            <w:shd w:val="clear" w:color="000000" w:fill="7A091A"/>
            <w:vAlign w:val="center"/>
            <w:hideMark/>
          </w:tcPr>
          <w:p w14:paraId="18A81A88" w14:textId="77777777" w:rsidR="003F14A6" w:rsidRPr="00894701" w:rsidRDefault="003F14A6" w:rsidP="00446B8D">
            <w:pPr>
              <w:spacing w:after="0" w:line="240" w:lineRule="auto"/>
              <w:jc w:val="center"/>
              <w:rPr>
                <w:b/>
                <w:bCs/>
                <w:color w:val="FFFFFF"/>
                <w:kern w:val="0"/>
                <w:szCs w:val="18"/>
              </w:rPr>
            </w:pPr>
            <w:r w:rsidRPr="00894701">
              <w:rPr>
                <w:b/>
                <w:bCs/>
                <w:color w:val="FFFFFF"/>
                <w:kern w:val="0"/>
                <w:szCs w:val="18"/>
              </w:rPr>
              <w:t>Men</w:t>
            </w:r>
          </w:p>
        </w:tc>
        <w:tc>
          <w:tcPr>
            <w:tcW w:w="1844" w:type="pct"/>
            <w:gridSpan w:val="2"/>
            <w:tcBorders>
              <w:top w:val="single" w:sz="8" w:space="0" w:color="FFFFFF"/>
              <w:left w:val="nil"/>
              <w:bottom w:val="single" w:sz="8" w:space="0" w:color="FFFFFF"/>
              <w:right w:val="single" w:sz="8" w:space="0" w:color="FFFFFF"/>
            </w:tcBorders>
            <w:shd w:val="clear" w:color="000000" w:fill="7A091A"/>
            <w:vAlign w:val="center"/>
            <w:hideMark/>
          </w:tcPr>
          <w:p w14:paraId="040E816B" w14:textId="77777777" w:rsidR="003F14A6" w:rsidRPr="00894701" w:rsidRDefault="003F14A6" w:rsidP="00446B8D">
            <w:pPr>
              <w:spacing w:after="0" w:line="240" w:lineRule="auto"/>
              <w:jc w:val="center"/>
              <w:rPr>
                <w:b/>
                <w:bCs/>
                <w:color w:val="FFFFFF"/>
                <w:kern w:val="0"/>
                <w:szCs w:val="18"/>
              </w:rPr>
            </w:pPr>
            <w:r w:rsidRPr="00894701">
              <w:rPr>
                <w:b/>
                <w:bCs/>
                <w:color w:val="FFFFFF"/>
                <w:kern w:val="0"/>
                <w:szCs w:val="18"/>
              </w:rPr>
              <w:t>Women</w:t>
            </w:r>
          </w:p>
        </w:tc>
      </w:tr>
      <w:tr w:rsidR="003F14A6" w:rsidRPr="00894701" w14:paraId="6648AC8E" w14:textId="77777777" w:rsidTr="00446B8D">
        <w:trPr>
          <w:trHeight w:val="490"/>
        </w:trPr>
        <w:tc>
          <w:tcPr>
            <w:tcW w:w="1164" w:type="pct"/>
            <w:tcBorders>
              <w:top w:val="nil"/>
              <w:left w:val="single" w:sz="8" w:space="0" w:color="FFFFFF"/>
              <w:bottom w:val="single" w:sz="8" w:space="0" w:color="FFFFFF"/>
              <w:right w:val="single" w:sz="8" w:space="0" w:color="FFFFFF"/>
            </w:tcBorders>
            <w:shd w:val="clear" w:color="000000" w:fill="7A091A"/>
            <w:vAlign w:val="center"/>
            <w:hideMark/>
          </w:tcPr>
          <w:p w14:paraId="595B1C4D" w14:textId="77777777" w:rsidR="003F14A6" w:rsidRPr="00894701" w:rsidRDefault="003F14A6" w:rsidP="00446B8D">
            <w:pPr>
              <w:spacing w:after="0" w:line="240" w:lineRule="auto"/>
              <w:jc w:val="both"/>
              <w:rPr>
                <w:b/>
                <w:bCs/>
                <w:color w:val="FFFFFF"/>
                <w:kern w:val="0"/>
                <w:szCs w:val="18"/>
              </w:rPr>
            </w:pPr>
            <w:r w:rsidRPr="00894701">
              <w:rPr>
                <w:b/>
                <w:bCs/>
                <w:color w:val="FFFFFF"/>
                <w:kern w:val="0"/>
                <w:szCs w:val="18"/>
              </w:rPr>
              <w:t>Sector</w:t>
            </w:r>
          </w:p>
        </w:tc>
        <w:tc>
          <w:tcPr>
            <w:tcW w:w="899" w:type="pct"/>
            <w:tcBorders>
              <w:top w:val="nil"/>
              <w:left w:val="nil"/>
              <w:bottom w:val="single" w:sz="8" w:space="0" w:color="FFFFFF"/>
              <w:right w:val="single" w:sz="8" w:space="0" w:color="FFFFFF"/>
            </w:tcBorders>
            <w:shd w:val="clear" w:color="000000" w:fill="7A091A"/>
            <w:vAlign w:val="center"/>
            <w:hideMark/>
          </w:tcPr>
          <w:p w14:paraId="17598F37" w14:textId="77777777" w:rsidR="003F14A6" w:rsidRPr="00894701" w:rsidRDefault="003F14A6" w:rsidP="00446B8D">
            <w:pPr>
              <w:spacing w:after="0" w:line="240" w:lineRule="auto"/>
              <w:jc w:val="right"/>
              <w:rPr>
                <w:color w:val="FFFFFF"/>
                <w:kern w:val="0"/>
                <w:szCs w:val="18"/>
              </w:rPr>
            </w:pPr>
            <w:r w:rsidRPr="00894701">
              <w:rPr>
                <w:color w:val="FFFFFF"/>
                <w:kern w:val="0"/>
                <w:szCs w:val="18"/>
              </w:rPr>
              <w:t xml:space="preserve">Number </w:t>
            </w:r>
          </w:p>
        </w:tc>
        <w:tc>
          <w:tcPr>
            <w:tcW w:w="1093" w:type="pct"/>
            <w:tcBorders>
              <w:top w:val="nil"/>
              <w:left w:val="nil"/>
              <w:bottom w:val="single" w:sz="8" w:space="0" w:color="FFFFFF"/>
              <w:right w:val="single" w:sz="8" w:space="0" w:color="FFFFFF"/>
            </w:tcBorders>
            <w:shd w:val="clear" w:color="000000" w:fill="7A091A"/>
            <w:vAlign w:val="center"/>
            <w:hideMark/>
          </w:tcPr>
          <w:p w14:paraId="61D7F144" w14:textId="77777777" w:rsidR="003F14A6" w:rsidRPr="00894701" w:rsidRDefault="003F14A6" w:rsidP="00446B8D">
            <w:pPr>
              <w:spacing w:after="0" w:line="240" w:lineRule="auto"/>
              <w:jc w:val="right"/>
              <w:rPr>
                <w:color w:val="FFFFFF"/>
                <w:kern w:val="0"/>
                <w:szCs w:val="18"/>
              </w:rPr>
            </w:pPr>
            <w:r w:rsidRPr="00894701">
              <w:rPr>
                <w:color w:val="FFFFFF"/>
                <w:kern w:val="0"/>
                <w:szCs w:val="18"/>
              </w:rPr>
              <w:t>Percentage</w:t>
            </w:r>
          </w:p>
        </w:tc>
        <w:tc>
          <w:tcPr>
            <w:tcW w:w="803" w:type="pct"/>
            <w:tcBorders>
              <w:top w:val="nil"/>
              <w:left w:val="nil"/>
              <w:bottom w:val="single" w:sz="8" w:space="0" w:color="FFFFFF"/>
              <w:right w:val="single" w:sz="8" w:space="0" w:color="FFFFFF"/>
            </w:tcBorders>
            <w:shd w:val="clear" w:color="000000" w:fill="7A091A"/>
            <w:vAlign w:val="center"/>
            <w:hideMark/>
          </w:tcPr>
          <w:p w14:paraId="344FB810" w14:textId="77777777" w:rsidR="003F14A6" w:rsidRPr="00894701" w:rsidRDefault="003F14A6" w:rsidP="00446B8D">
            <w:pPr>
              <w:spacing w:after="0" w:line="240" w:lineRule="auto"/>
              <w:jc w:val="right"/>
              <w:rPr>
                <w:color w:val="FFFFFF"/>
                <w:kern w:val="0"/>
                <w:szCs w:val="18"/>
              </w:rPr>
            </w:pPr>
            <w:r w:rsidRPr="00894701">
              <w:rPr>
                <w:color w:val="FFFFFF"/>
                <w:kern w:val="0"/>
                <w:szCs w:val="18"/>
              </w:rPr>
              <w:t xml:space="preserve">Number </w:t>
            </w:r>
          </w:p>
        </w:tc>
        <w:tc>
          <w:tcPr>
            <w:tcW w:w="1042" w:type="pct"/>
            <w:tcBorders>
              <w:top w:val="nil"/>
              <w:left w:val="nil"/>
              <w:bottom w:val="single" w:sz="8" w:space="0" w:color="FFFFFF"/>
              <w:right w:val="single" w:sz="8" w:space="0" w:color="FFFFFF"/>
            </w:tcBorders>
            <w:shd w:val="clear" w:color="000000" w:fill="7A091A"/>
            <w:vAlign w:val="center"/>
            <w:hideMark/>
          </w:tcPr>
          <w:p w14:paraId="7155090A" w14:textId="77777777" w:rsidR="003F14A6" w:rsidRPr="00894701" w:rsidRDefault="003F14A6" w:rsidP="00446B8D">
            <w:pPr>
              <w:spacing w:after="0" w:line="240" w:lineRule="auto"/>
              <w:jc w:val="right"/>
              <w:rPr>
                <w:color w:val="FFFFFF"/>
                <w:kern w:val="0"/>
                <w:szCs w:val="18"/>
              </w:rPr>
            </w:pPr>
            <w:r w:rsidRPr="00894701">
              <w:rPr>
                <w:color w:val="FFFFFF"/>
                <w:kern w:val="0"/>
                <w:szCs w:val="18"/>
              </w:rPr>
              <w:t>Percentage</w:t>
            </w:r>
          </w:p>
        </w:tc>
      </w:tr>
      <w:tr w:rsidR="003F14A6" w:rsidRPr="00894701" w14:paraId="162D3202" w14:textId="77777777" w:rsidTr="00446B8D">
        <w:trPr>
          <w:trHeight w:val="280"/>
        </w:trPr>
        <w:tc>
          <w:tcPr>
            <w:tcW w:w="1164" w:type="pct"/>
            <w:tcBorders>
              <w:top w:val="nil"/>
              <w:left w:val="single" w:sz="8" w:space="0" w:color="FFFFFF"/>
              <w:bottom w:val="single" w:sz="8" w:space="0" w:color="FFFFFF"/>
              <w:right w:val="single" w:sz="8" w:space="0" w:color="FFFFFF"/>
            </w:tcBorders>
            <w:shd w:val="clear" w:color="auto" w:fill="auto"/>
            <w:vAlign w:val="center"/>
            <w:hideMark/>
          </w:tcPr>
          <w:p w14:paraId="0D10C165" w14:textId="77777777" w:rsidR="003F14A6" w:rsidRPr="00894701" w:rsidRDefault="003F14A6" w:rsidP="00446B8D">
            <w:pPr>
              <w:spacing w:after="0" w:line="240" w:lineRule="auto"/>
              <w:jc w:val="both"/>
              <w:rPr>
                <w:b/>
                <w:bCs/>
                <w:color w:val="auto"/>
                <w:kern w:val="0"/>
                <w:szCs w:val="18"/>
              </w:rPr>
            </w:pPr>
            <w:r w:rsidRPr="00894701">
              <w:rPr>
                <w:b/>
                <w:bCs/>
                <w:color w:val="auto"/>
                <w:kern w:val="0"/>
                <w:szCs w:val="18"/>
              </w:rPr>
              <w:t xml:space="preserve">Government </w:t>
            </w:r>
          </w:p>
        </w:tc>
        <w:tc>
          <w:tcPr>
            <w:tcW w:w="899" w:type="pct"/>
            <w:tcBorders>
              <w:top w:val="nil"/>
              <w:left w:val="nil"/>
              <w:bottom w:val="single" w:sz="8" w:space="0" w:color="FFFFFF"/>
              <w:right w:val="single" w:sz="8" w:space="0" w:color="FFFFFF"/>
            </w:tcBorders>
            <w:shd w:val="clear" w:color="auto" w:fill="auto"/>
            <w:vAlign w:val="center"/>
            <w:hideMark/>
          </w:tcPr>
          <w:p w14:paraId="56D7F231" w14:textId="77777777" w:rsidR="003F14A6" w:rsidRPr="00894701" w:rsidRDefault="003F14A6" w:rsidP="00446B8D">
            <w:pPr>
              <w:spacing w:after="0" w:line="240" w:lineRule="auto"/>
              <w:jc w:val="right"/>
              <w:rPr>
                <w:color w:val="auto"/>
                <w:kern w:val="0"/>
                <w:szCs w:val="18"/>
              </w:rPr>
            </w:pPr>
            <w:r w:rsidRPr="00894701">
              <w:rPr>
                <w:color w:val="auto"/>
                <w:kern w:val="0"/>
                <w:szCs w:val="18"/>
              </w:rPr>
              <w:t>3</w:t>
            </w:r>
          </w:p>
        </w:tc>
        <w:tc>
          <w:tcPr>
            <w:tcW w:w="1093" w:type="pct"/>
            <w:tcBorders>
              <w:top w:val="nil"/>
              <w:left w:val="nil"/>
              <w:bottom w:val="single" w:sz="8" w:space="0" w:color="FFFFFF"/>
              <w:right w:val="single" w:sz="8" w:space="0" w:color="FFFFFF"/>
            </w:tcBorders>
            <w:shd w:val="clear" w:color="auto" w:fill="auto"/>
            <w:vAlign w:val="center"/>
            <w:hideMark/>
          </w:tcPr>
          <w:p w14:paraId="35732BFA" w14:textId="77777777" w:rsidR="003F14A6" w:rsidRPr="00894701" w:rsidRDefault="003F14A6" w:rsidP="00446B8D">
            <w:pPr>
              <w:spacing w:after="0" w:line="240" w:lineRule="auto"/>
              <w:jc w:val="right"/>
              <w:rPr>
                <w:color w:val="auto"/>
                <w:kern w:val="0"/>
                <w:szCs w:val="18"/>
              </w:rPr>
            </w:pPr>
            <w:r w:rsidRPr="00894701">
              <w:rPr>
                <w:color w:val="auto"/>
                <w:kern w:val="0"/>
                <w:szCs w:val="18"/>
              </w:rPr>
              <w:t>50%</w:t>
            </w:r>
          </w:p>
        </w:tc>
        <w:tc>
          <w:tcPr>
            <w:tcW w:w="803" w:type="pct"/>
            <w:tcBorders>
              <w:top w:val="nil"/>
              <w:left w:val="nil"/>
              <w:bottom w:val="single" w:sz="8" w:space="0" w:color="FFFFFF"/>
              <w:right w:val="single" w:sz="8" w:space="0" w:color="FFFFFF"/>
            </w:tcBorders>
            <w:shd w:val="clear" w:color="auto" w:fill="auto"/>
            <w:vAlign w:val="center"/>
            <w:hideMark/>
          </w:tcPr>
          <w:p w14:paraId="1E6AD80F" w14:textId="77777777" w:rsidR="003F14A6" w:rsidRPr="00894701" w:rsidRDefault="003F14A6" w:rsidP="00446B8D">
            <w:pPr>
              <w:spacing w:after="0" w:line="240" w:lineRule="auto"/>
              <w:jc w:val="right"/>
              <w:rPr>
                <w:color w:val="auto"/>
                <w:kern w:val="0"/>
                <w:szCs w:val="18"/>
              </w:rPr>
            </w:pPr>
            <w:r w:rsidRPr="00894701">
              <w:rPr>
                <w:color w:val="auto"/>
                <w:kern w:val="0"/>
                <w:szCs w:val="18"/>
              </w:rPr>
              <w:t>3</w:t>
            </w:r>
          </w:p>
        </w:tc>
        <w:tc>
          <w:tcPr>
            <w:tcW w:w="1042" w:type="pct"/>
            <w:tcBorders>
              <w:top w:val="nil"/>
              <w:left w:val="nil"/>
              <w:bottom w:val="single" w:sz="8" w:space="0" w:color="FFFFFF"/>
              <w:right w:val="single" w:sz="8" w:space="0" w:color="FFFFFF"/>
            </w:tcBorders>
            <w:shd w:val="clear" w:color="auto" w:fill="auto"/>
            <w:vAlign w:val="center"/>
            <w:hideMark/>
          </w:tcPr>
          <w:p w14:paraId="03EF80CF" w14:textId="77777777" w:rsidR="003F14A6" w:rsidRPr="00894701" w:rsidRDefault="003F14A6" w:rsidP="00446B8D">
            <w:pPr>
              <w:spacing w:after="0" w:line="240" w:lineRule="auto"/>
              <w:jc w:val="right"/>
              <w:rPr>
                <w:color w:val="auto"/>
                <w:kern w:val="0"/>
                <w:szCs w:val="18"/>
              </w:rPr>
            </w:pPr>
            <w:r w:rsidRPr="00894701">
              <w:rPr>
                <w:color w:val="auto"/>
                <w:kern w:val="0"/>
                <w:szCs w:val="18"/>
              </w:rPr>
              <w:t>50%</w:t>
            </w:r>
          </w:p>
        </w:tc>
      </w:tr>
      <w:tr w:rsidR="003F14A6" w:rsidRPr="00894701" w14:paraId="063ABD4A" w14:textId="77777777" w:rsidTr="00446B8D">
        <w:trPr>
          <w:trHeight w:val="280"/>
        </w:trPr>
        <w:tc>
          <w:tcPr>
            <w:tcW w:w="1164" w:type="pct"/>
            <w:tcBorders>
              <w:top w:val="nil"/>
              <w:left w:val="single" w:sz="8" w:space="0" w:color="FFFFFF"/>
              <w:bottom w:val="single" w:sz="8" w:space="0" w:color="FFFFFF"/>
              <w:right w:val="single" w:sz="8" w:space="0" w:color="FFFFFF"/>
            </w:tcBorders>
            <w:shd w:val="clear" w:color="000000" w:fill="F7A3B0"/>
            <w:vAlign w:val="center"/>
            <w:hideMark/>
          </w:tcPr>
          <w:p w14:paraId="5EE44207" w14:textId="77777777" w:rsidR="003F14A6" w:rsidRPr="00894701" w:rsidRDefault="003F14A6" w:rsidP="00446B8D">
            <w:pPr>
              <w:spacing w:after="0" w:line="240" w:lineRule="auto"/>
              <w:jc w:val="both"/>
              <w:rPr>
                <w:b/>
                <w:bCs/>
                <w:color w:val="000000"/>
                <w:kern w:val="0"/>
                <w:szCs w:val="18"/>
              </w:rPr>
            </w:pPr>
            <w:r w:rsidRPr="00894701">
              <w:rPr>
                <w:b/>
                <w:bCs/>
                <w:color w:val="000000"/>
                <w:kern w:val="0"/>
                <w:szCs w:val="18"/>
              </w:rPr>
              <w:t xml:space="preserve">Civil Society </w:t>
            </w:r>
          </w:p>
        </w:tc>
        <w:tc>
          <w:tcPr>
            <w:tcW w:w="899" w:type="pct"/>
            <w:tcBorders>
              <w:top w:val="nil"/>
              <w:left w:val="nil"/>
              <w:bottom w:val="single" w:sz="8" w:space="0" w:color="FFFFFF"/>
              <w:right w:val="single" w:sz="8" w:space="0" w:color="FFFFFF"/>
            </w:tcBorders>
            <w:shd w:val="clear" w:color="000000" w:fill="F7A3B0"/>
            <w:vAlign w:val="center"/>
            <w:hideMark/>
          </w:tcPr>
          <w:p w14:paraId="75C5F56F" w14:textId="77777777" w:rsidR="003F14A6" w:rsidRPr="00894701" w:rsidRDefault="003F14A6" w:rsidP="00446B8D">
            <w:pPr>
              <w:spacing w:after="0" w:line="240" w:lineRule="auto"/>
              <w:jc w:val="right"/>
              <w:rPr>
                <w:color w:val="auto"/>
                <w:kern w:val="0"/>
                <w:szCs w:val="18"/>
              </w:rPr>
            </w:pPr>
            <w:r w:rsidRPr="00894701">
              <w:rPr>
                <w:color w:val="auto"/>
                <w:kern w:val="0"/>
                <w:szCs w:val="18"/>
              </w:rPr>
              <w:t>3</w:t>
            </w:r>
          </w:p>
        </w:tc>
        <w:tc>
          <w:tcPr>
            <w:tcW w:w="1093" w:type="pct"/>
            <w:tcBorders>
              <w:top w:val="nil"/>
              <w:left w:val="nil"/>
              <w:bottom w:val="single" w:sz="8" w:space="0" w:color="FFFFFF"/>
              <w:right w:val="single" w:sz="8" w:space="0" w:color="FFFFFF"/>
            </w:tcBorders>
            <w:shd w:val="clear" w:color="000000" w:fill="F7A3B0"/>
            <w:vAlign w:val="center"/>
            <w:hideMark/>
          </w:tcPr>
          <w:p w14:paraId="46659CEF" w14:textId="77777777" w:rsidR="003F14A6" w:rsidRPr="00894701" w:rsidRDefault="003F14A6" w:rsidP="00446B8D">
            <w:pPr>
              <w:spacing w:after="0" w:line="240" w:lineRule="auto"/>
              <w:jc w:val="right"/>
              <w:rPr>
                <w:color w:val="auto"/>
                <w:kern w:val="0"/>
                <w:szCs w:val="18"/>
              </w:rPr>
            </w:pPr>
            <w:r w:rsidRPr="00894701">
              <w:rPr>
                <w:color w:val="auto"/>
                <w:kern w:val="0"/>
                <w:szCs w:val="18"/>
              </w:rPr>
              <w:t>50%</w:t>
            </w:r>
          </w:p>
        </w:tc>
        <w:tc>
          <w:tcPr>
            <w:tcW w:w="803" w:type="pct"/>
            <w:tcBorders>
              <w:top w:val="nil"/>
              <w:left w:val="nil"/>
              <w:bottom w:val="single" w:sz="8" w:space="0" w:color="FFFFFF"/>
              <w:right w:val="single" w:sz="8" w:space="0" w:color="FFFFFF"/>
            </w:tcBorders>
            <w:shd w:val="clear" w:color="000000" w:fill="F7A3B0"/>
            <w:vAlign w:val="center"/>
            <w:hideMark/>
          </w:tcPr>
          <w:p w14:paraId="43424F2C" w14:textId="77777777" w:rsidR="003F14A6" w:rsidRPr="00894701" w:rsidRDefault="003F14A6" w:rsidP="00446B8D">
            <w:pPr>
              <w:spacing w:after="0" w:line="240" w:lineRule="auto"/>
              <w:jc w:val="right"/>
              <w:rPr>
                <w:color w:val="auto"/>
                <w:kern w:val="0"/>
                <w:szCs w:val="18"/>
              </w:rPr>
            </w:pPr>
            <w:r w:rsidRPr="00894701">
              <w:rPr>
                <w:color w:val="auto"/>
                <w:kern w:val="0"/>
                <w:szCs w:val="18"/>
              </w:rPr>
              <w:t>3</w:t>
            </w:r>
          </w:p>
        </w:tc>
        <w:tc>
          <w:tcPr>
            <w:tcW w:w="1042" w:type="pct"/>
            <w:tcBorders>
              <w:top w:val="nil"/>
              <w:left w:val="nil"/>
              <w:bottom w:val="single" w:sz="8" w:space="0" w:color="FFFFFF"/>
              <w:right w:val="single" w:sz="8" w:space="0" w:color="FFFFFF"/>
            </w:tcBorders>
            <w:shd w:val="clear" w:color="000000" w:fill="F7A3B0"/>
            <w:vAlign w:val="center"/>
            <w:hideMark/>
          </w:tcPr>
          <w:p w14:paraId="61E4165C" w14:textId="77777777" w:rsidR="003F14A6" w:rsidRPr="00894701" w:rsidRDefault="003F14A6" w:rsidP="00446B8D">
            <w:pPr>
              <w:spacing w:after="0" w:line="240" w:lineRule="auto"/>
              <w:jc w:val="right"/>
              <w:rPr>
                <w:color w:val="auto"/>
                <w:kern w:val="0"/>
                <w:szCs w:val="18"/>
              </w:rPr>
            </w:pPr>
            <w:r w:rsidRPr="00894701">
              <w:rPr>
                <w:color w:val="auto"/>
                <w:kern w:val="0"/>
                <w:szCs w:val="18"/>
              </w:rPr>
              <w:t>50%</w:t>
            </w:r>
          </w:p>
        </w:tc>
      </w:tr>
      <w:tr w:rsidR="003F14A6" w:rsidRPr="00894701" w14:paraId="66B2F18E" w14:textId="77777777" w:rsidTr="00446B8D">
        <w:trPr>
          <w:trHeight w:val="280"/>
        </w:trPr>
        <w:tc>
          <w:tcPr>
            <w:tcW w:w="1164" w:type="pct"/>
            <w:tcBorders>
              <w:top w:val="nil"/>
              <w:left w:val="single" w:sz="8" w:space="0" w:color="FFFFFF"/>
              <w:bottom w:val="single" w:sz="8" w:space="0" w:color="FFFFFF"/>
              <w:right w:val="single" w:sz="8" w:space="0" w:color="FFFFFF"/>
            </w:tcBorders>
            <w:shd w:val="clear" w:color="auto" w:fill="auto"/>
            <w:vAlign w:val="center"/>
            <w:hideMark/>
          </w:tcPr>
          <w:p w14:paraId="167C68A6" w14:textId="77777777" w:rsidR="003F14A6" w:rsidRPr="00894701" w:rsidRDefault="003F14A6" w:rsidP="00446B8D">
            <w:pPr>
              <w:spacing w:after="0" w:line="240" w:lineRule="auto"/>
              <w:jc w:val="both"/>
              <w:rPr>
                <w:b/>
                <w:bCs/>
                <w:color w:val="auto"/>
                <w:kern w:val="0"/>
                <w:szCs w:val="18"/>
              </w:rPr>
            </w:pPr>
            <w:r w:rsidRPr="00894701">
              <w:rPr>
                <w:b/>
                <w:bCs/>
                <w:color w:val="auto"/>
                <w:kern w:val="0"/>
                <w:szCs w:val="18"/>
              </w:rPr>
              <w:t xml:space="preserve">Industry </w:t>
            </w:r>
          </w:p>
        </w:tc>
        <w:tc>
          <w:tcPr>
            <w:tcW w:w="899" w:type="pct"/>
            <w:tcBorders>
              <w:top w:val="nil"/>
              <w:left w:val="nil"/>
              <w:bottom w:val="single" w:sz="8" w:space="0" w:color="FFFFFF"/>
              <w:right w:val="single" w:sz="8" w:space="0" w:color="FFFFFF"/>
            </w:tcBorders>
            <w:shd w:val="clear" w:color="auto" w:fill="auto"/>
            <w:vAlign w:val="center"/>
            <w:hideMark/>
          </w:tcPr>
          <w:p w14:paraId="3DC75496" w14:textId="77777777" w:rsidR="003F14A6" w:rsidRPr="00894701" w:rsidRDefault="003F14A6" w:rsidP="00446B8D">
            <w:pPr>
              <w:spacing w:after="0" w:line="240" w:lineRule="auto"/>
              <w:jc w:val="right"/>
              <w:rPr>
                <w:color w:val="auto"/>
                <w:kern w:val="0"/>
                <w:szCs w:val="18"/>
              </w:rPr>
            </w:pPr>
            <w:r w:rsidRPr="00894701">
              <w:rPr>
                <w:color w:val="auto"/>
                <w:kern w:val="0"/>
                <w:szCs w:val="18"/>
              </w:rPr>
              <w:t>5</w:t>
            </w:r>
          </w:p>
        </w:tc>
        <w:tc>
          <w:tcPr>
            <w:tcW w:w="1093" w:type="pct"/>
            <w:tcBorders>
              <w:top w:val="nil"/>
              <w:left w:val="nil"/>
              <w:bottom w:val="single" w:sz="8" w:space="0" w:color="FFFFFF"/>
              <w:right w:val="single" w:sz="8" w:space="0" w:color="FFFFFF"/>
            </w:tcBorders>
            <w:shd w:val="clear" w:color="auto" w:fill="auto"/>
            <w:vAlign w:val="center"/>
            <w:hideMark/>
          </w:tcPr>
          <w:p w14:paraId="2304E5BF" w14:textId="77777777" w:rsidR="003F14A6" w:rsidRPr="00894701" w:rsidRDefault="003F14A6" w:rsidP="00446B8D">
            <w:pPr>
              <w:spacing w:after="0" w:line="240" w:lineRule="auto"/>
              <w:jc w:val="right"/>
              <w:rPr>
                <w:color w:val="auto"/>
                <w:kern w:val="0"/>
                <w:szCs w:val="18"/>
              </w:rPr>
            </w:pPr>
            <w:r w:rsidRPr="00894701">
              <w:rPr>
                <w:color w:val="auto"/>
                <w:kern w:val="0"/>
                <w:szCs w:val="18"/>
              </w:rPr>
              <w:t>83%</w:t>
            </w:r>
          </w:p>
        </w:tc>
        <w:tc>
          <w:tcPr>
            <w:tcW w:w="803" w:type="pct"/>
            <w:tcBorders>
              <w:top w:val="nil"/>
              <w:left w:val="nil"/>
              <w:bottom w:val="single" w:sz="8" w:space="0" w:color="FFFFFF"/>
              <w:right w:val="single" w:sz="8" w:space="0" w:color="FFFFFF"/>
            </w:tcBorders>
            <w:shd w:val="clear" w:color="auto" w:fill="auto"/>
            <w:vAlign w:val="center"/>
            <w:hideMark/>
          </w:tcPr>
          <w:p w14:paraId="0DEE8F68" w14:textId="77777777" w:rsidR="003F14A6" w:rsidRPr="00894701" w:rsidRDefault="003F14A6" w:rsidP="00446B8D">
            <w:pPr>
              <w:spacing w:after="0" w:line="240" w:lineRule="auto"/>
              <w:jc w:val="right"/>
              <w:rPr>
                <w:color w:val="auto"/>
                <w:kern w:val="0"/>
                <w:szCs w:val="18"/>
              </w:rPr>
            </w:pPr>
            <w:r w:rsidRPr="00894701">
              <w:rPr>
                <w:color w:val="auto"/>
                <w:kern w:val="0"/>
                <w:szCs w:val="18"/>
              </w:rPr>
              <w:t>1</w:t>
            </w:r>
          </w:p>
        </w:tc>
        <w:tc>
          <w:tcPr>
            <w:tcW w:w="1042" w:type="pct"/>
            <w:tcBorders>
              <w:top w:val="nil"/>
              <w:left w:val="nil"/>
              <w:bottom w:val="single" w:sz="8" w:space="0" w:color="FFFFFF"/>
              <w:right w:val="single" w:sz="8" w:space="0" w:color="FFFFFF"/>
            </w:tcBorders>
            <w:shd w:val="clear" w:color="auto" w:fill="auto"/>
            <w:vAlign w:val="center"/>
            <w:hideMark/>
          </w:tcPr>
          <w:p w14:paraId="1400330B" w14:textId="77777777" w:rsidR="003F14A6" w:rsidRPr="00894701" w:rsidRDefault="003F14A6" w:rsidP="00446B8D">
            <w:pPr>
              <w:spacing w:after="0" w:line="240" w:lineRule="auto"/>
              <w:jc w:val="right"/>
              <w:rPr>
                <w:color w:val="auto"/>
                <w:kern w:val="0"/>
                <w:szCs w:val="18"/>
              </w:rPr>
            </w:pPr>
            <w:r w:rsidRPr="00894701">
              <w:rPr>
                <w:color w:val="auto"/>
                <w:kern w:val="0"/>
                <w:szCs w:val="18"/>
              </w:rPr>
              <w:t>17%</w:t>
            </w:r>
          </w:p>
        </w:tc>
      </w:tr>
      <w:tr w:rsidR="003F14A6" w:rsidRPr="00894701" w14:paraId="3651B78F" w14:textId="77777777" w:rsidTr="00446B8D">
        <w:trPr>
          <w:trHeight w:val="490"/>
        </w:trPr>
        <w:tc>
          <w:tcPr>
            <w:tcW w:w="1164" w:type="pct"/>
            <w:tcBorders>
              <w:top w:val="nil"/>
              <w:left w:val="single" w:sz="8" w:space="0" w:color="FFFFFF"/>
              <w:bottom w:val="single" w:sz="8" w:space="0" w:color="FFFFFF"/>
              <w:right w:val="single" w:sz="8" w:space="0" w:color="FFFFFF"/>
            </w:tcBorders>
            <w:shd w:val="clear" w:color="auto" w:fill="808080"/>
            <w:vAlign w:val="center"/>
            <w:hideMark/>
          </w:tcPr>
          <w:p w14:paraId="79E9B624" w14:textId="77777777" w:rsidR="003F14A6" w:rsidRPr="00894701" w:rsidRDefault="003F14A6" w:rsidP="00446B8D">
            <w:pPr>
              <w:spacing w:after="0" w:line="240" w:lineRule="auto"/>
              <w:jc w:val="both"/>
              <w:rPr>
                <w:b/>
                <w:bCs/>
                <w:color w:val="FFFFFF"/>
                <w:kern w:val="0"/>
                <w:szCs w:val="18"/>
              </w:rPr>
            </w:pPr>
            <w:r w:rsidRPr="00894701">
              <w:rPr>
                <w:b/>
                <w:bCs/>
                <w:color w:val="FFFFFF"/>
                <w:kern w:val="0"/>
                <w:szCs w:val="18"/>
              </w:rPr>
              <w:t>Combined Sectors</w:t>
            </w:r>
          </w:p>
        </w:tc>
        <w:tc>
          <w:tcPr>
            <w:tcW w:w="899" w:type="pct"/>
            <w:tcBorders>
              <w:top w:val="nil"/>
              <w:left w:val="nil"/>
              <w:bottom w:val="single" w:sz="8" w:space="0" w:color="FFFFFF"/>
              <w:right w:val="single" w:sz="8" w:space="0" w:color="FFFFFF"/>
            </w:tcBorders>
            <w:shd w:val="clear" w:color="auto" w:fill="808080"/>
            <w:vAlign w:val="center"/>
            <w:hideMark/>
          </w:tcPr>
          <w:p w14:paraId="15FD6FF4" w14:textId="77777777" w:rsidR="003F14A6" w:rsidRPr="00894701" w:rsidRDefault="003F14A6" w:rsidP="00446B8D">
            <w:pPr>
              <w:spacing w:after="0" w:line="240" w:lineRule="auto"/>
              <w:jc w:val="right"/>
              <w:rPr>
                <w:color w:val="FFFFFF"/>
                <w:kern w:val="0"/>
                <w:szCs w:val="18"/>
              </w:rPr>
            </w:pPr>
            <w:r w:rsidRPr="00894701">
              <w:rPr>
                <w:color w:val="FFFFFF"/>
                <w:kern w:val="0"/>
                <w:szCs w:val="18"/>
              </w:rPr>
              <w:t>11</w:t>
            </w:r>
          </w:p>
        </w:tc>
        <w:tc>
          <w:tcPr>
            <w:tcW w:w="1093" w:type="pct"/>
            <w:tcBorders>
              <w:top w:val="nil"/>
              <w:left w:val="nil"/>
              <w:bottom w:val="single" w:sz="8" w:space="0" w:color="FFFFFF"/>
              <w:right w:val="single" w:sz="8" w:space="0" w:color="FFFFFF"/>
            </w:tcBorders>
            <w:shd w:val="clear" w:color="auto" w:fill="808080"/>
            <w:vAlign w:val="center"/>
            <w:hideMark/>
          </w:tcPr>
          <w:p w14:paraId="36BC9445" w14:textId="77777777" w:rsidR="003F14A6" w:rsidRPr="00894701" w:rsidRDefault="003F14A6" w:rsidP="00446B8D">
            <w:pPr>
              <w:spacing w:after="0" w:line="240" w:lineRule="auto"/>
              <w:jc w:val="right"/>
              <w:rPr>
                <w:color w:val="FFFFFF"/>
                <w:kern w:val="0"/>
                <w:szCs w:val="18"/>
              </w:rPr>
            </w:pPr>
            <w:r w:rsidRPr="00894701">
              <w:rPr>
                <w:color w:val="FFFFFF"/>
                <w:kern w:val="0"/>
                <w:szCs w:val="18"/>
              </w:rPr>
              <w:t>61%</w:t>
            </w:r>
          </w:p>
        </w:tc>
        <w:tc>
          <w:tcPr>
            <w:tcW w:w="803" w:type="pct"/>
            <w:tcBorders>
              <w:top w:val="nil"/>
              <w:left w:val="nil"/>
              <w:bottom w:val="single" w:sz="8" w:space="0" w:color="FFFFFF"/>
              <w:right w:val="single" w:sz="8" w:space="0" w:color="FFFFFF"/>
            </w:tcBorders>
            <w:shd w:val="clear" w:color="auto" w:fill="808080"/>
            <w:vAlign w:val="center"/>
            <w:hideMark/>
          </w:tcPr>
          <w:p w14:paraId="7B90F07B" w14:textId="77777777" w:rsidR="003F14A6" w:rsidRPr="00894701" w:rsidRDefault="003F14A6" w:rsidP="00446B8D">
            <w:pPr>
              <w:spacing w:after="0" w:line="240" w:lineRule="auto"/>
              <w:jc w:val="right"/>
              <w:rPr>
                <w:color w:val="FFFFFF"/>
                <w:kern w:val="0"/>
                <w:szCs w:val="18"/>
              </w:rPr>
            </w:pPr>
            <w:r w:rsidRPr="00894701">
              <w:rPr>
                <w:color w:val="FFFFFF"/>
                <w:kern w:val="0"/>
                <w:szCs w:val="18"/>
              </w:rPr>
              <w:t>7</w:t>
            </w:r>
          </w:p>
        </w:tc>
        <w:tc>
          <w:tcPr>
            <w:tcW w:w="1042" w:type="pct"/>
            <w:tcBorders>
              <w:top w:val="nil"/>
              <w:left w:val="nil"/>
              <w:bottom w:val="single" w:sz="8" w:space="0" w:color="FFFFFF"/>
              <w:right w:val="single" w:sz="8" w:space="0" w:color="FFFFFF"/>
            </w:tcBorders>
            <w:shd w:val="clear" w:color="auto" w:fill="808080"/>
            <w:vAlign w:val="center"/>
            <w:hideMark/>
          </w:tcPr>
          <w:p w14:paraId="0266A196" w14:textId="77777777" w:rsidR="003F14A6" w:rsidRPr="00894701" w:rsidRDefault="003F14A6" w:rsidP="00446B8D">
            <w:pPr>
              <w:spacing w:after="0" w:line="240" w:lineRule="auto"/>
              <w:jc w:val="right"/>
              <w:rPr>
                <w:color w:val="FFFFFF"/>
                <w:kern w:val="0"/>
                <w:szCs w:val="18"/>
              </w:rPr>
            </w:pPr>
            <w:r w:rsidRPr="00894701">
              <w:rPr>
                <w:color w:val="FFFFFF"/>
                <w:kern w:val="0"/>
                <w:szCs w:val="18"/>
              </w:rPr>
              <w:t>39%</w:t>
            </w:r>
          </w:p>
        </w:tc>
      </w:tr>
    </w:tbl>
    <w:p w14:paraId="77FBA80A" w14:textId="77777777" w:rsidR="003F14A6" w:rsidRPr="00894701" w:rsidRDefault="003F14A6" w:rsidP="003F14A6">
      <w:pPr>
        <w:autoSpaceDE w:val="0"/>
        <w:autoSpaceDN w:val="0"/>
        <w:adjustRightInd w:val="0"/>
        <w:spacing w:line="240" w:lineRule="auto"/>
        <w:rPr>
          <w:rFonts w:eastAsia="Calibri"/>
          <w:i/>
          <w:color w:val="auto"/>
          <w:kern w:val="0"/>
          <w:sz w:val="16"/>
          <w:szCs w:val="22"/>
          <w:lang w:eastAsia="en-US"/>
        </w:rPr>
      </w:pPr>
      <w:r w:rsidRPr="00894701">
        <w:rPr>
          <w:rFonts w:eastAsia="Calibri"/>
          <w:i/>
          <w:color w:val="auto"/>
          <w:kern w:val="0"/>
          <w:sz w:val="16"/>
          <w:szCs w:val="22"/>
          <w:lang w:eastAsia="en-US"/>
        </w:rPr>
        <w:t>Source: https://eitisuriname.org/</w:t>
      </w:r>
    </w:p>
    <w:p w14:paraId="0C6A763B" w14:textId="77777777" w:rsidR="003F14A6" w:rsidRPr="00894701" w:rsidRDefault="003F14A6" w:rsidP="003F14A6">
      <w:pPr>
        <w:autoSpaceDE w:val="0"/>
        <w:autoSpaceDN w:val="0"/>
        <w:adjustRightInd w:val="0"/>
        <w:spacing w:line="240" w:lineRule="auto"/>
        <w:jc w:val="both"/>
        <w:rPr>
          <w:rFonts w:eastAsia="Calibri"/>
          <w:color w:val="auto"/>
          <w:kern w:val="0"/>
          <w:sz w:val="20"/>
          <w:szCs w:val="22"/>
          <w:lang w:eastAsia="en-US"/>
        </w:rPr>
      </w:pPr>
      <w:r w:rsidRPr="00894701">
        <w:rPr>
          <w:rFonts w:eastAsia="Calibri"/>
          <w:color w:val="auto"/>
          <w:kern w:val="0"/>
          <w:sz w:val="20"/>
          <w:szCs w:val="22"/>
          <w:lang w:eastAsia="en-US"/>
        </w:rPr>
        <w:t xml:space="preserve">The EITI-SR annual report FY 2020 also provides detailed quarterly figures of gender parity of its Multi Stakeholder Group broken down by Main and Alternate representatives. </w:t>
      </w:r>
    </w:p>
    <w:p w14:paraId="07C8FD98" w14:textId="77777777" w:rsidR="003F14A6" w:rsidRPr="00894701" w:rsidRDefault="003F14A6" w:rsidP="003F14A6">
      <w:pPr>
        <w:spacing w:after="0" w:line="240" w:lineRule="auto"/>
        <w:rPr>
          <w:rFonts w:asciiTheme="minorHAnsi" w:hAnsiTheme="minorHAnsi"/>
          <w:color w:val="000000"/>
          <w:sz w:val="20"/>
        </w:rPr>
      </w:pPr>
    </w:p>
    <w:p w14:paraId="44B57348" w14:textId="77777777" w:rsidR="003F14A6" w:rsidRPr="00894701" w:rsidRDefault="003F14A6" w:rsidP="00A834A8">
      <w:pPr>
        <w:pStyle w:val="Heading3"/>
        <w:numPr>
          <w:ilvl w:val="2"/>
          <w:numId w:val="79"/>
        </w:numPr>
        <w:spacing w:before="0" w:after="240"/>
        <w:ind w:right="482"/>
        <w:rPr>
          <w:bCs w:val="0"/>
          <w:caps w:val="0"/>
        </w:rPr>
      </w:pPr>
      <w:bookmarkStart w:id="370" w:name="_Toc101350029"/>
      <w:bookmarkStart w:id="371" w:name="_Toc122478924"/>
      <w:r w:rsidRPr="00894701">
        <w:rPr>
          <w:bCs w:val="0"/>
          <w:caps w:val="0"/>
        </w:rPr>
        <w:t xml:space="preserve">Legislative &amp; Policy Framework for Gender Equality in </w:t>
      </w:r>
      <w:bookmarkEnd w:id="370"/>
      <w:r w:rsidRPr="00894701">
        <w:rPr>
          <w:bCs w:val="0"/>
          <w:caps w:val="0"/>
        </w:rPr>
        <w:t>Suriname</w:t>
      </w:r>
      <w:bookmarkEnd w:id="371"/>
    </w:p>
    <w:p w14:paraId="00145A71" w14:textId="1DE01D5B" w:rsidR="003F14A6" w:rsidRPr="00894701" w:rsidRDefault="003F14A6" w:rsidP="003F14A6">
      <w:pPr>
        <w:spacing w:after="0" w:line="240" w:lineRule="auto"/>
        <w:jc w:val="both"/>
        <w:rPr>
          <w:rFonts w:asciiTheme="minorHAnsi" w:hAnsiTheme="minorHAnsi"/>
          <w:color w:val="000000"/>
          <w:sz w:val="20"/>
        </w:rPr>
      </w:pPr>
      <w:r w:rsidRPr="00894701">
        <w:rPr>
          <w:rFonts w:asciiTheme="minorHAnsi" w:hAnsiTheme="minorHAnsi"/>
          <w:color w:val="000000"/>
          <w:sz w:val="20"/>
        </w:rPr>
        <w:t xml:space="preserve">The Constitution of Suriname provides in its </w:t>
      </w:r>
      <w:r w:rsidRPr="00894701">
        <w:rPr>
          <w:rFonts w:asciiTheme="minorHAnsi" w:hAnsiTheme="minorHAnsi"/>
          <w:b/>
          <w:bCs/>
          <w:color w:val="000000"/>
          <w:sz w:val="20"/>
        </w:rPr>
        <w:t>Article 28</w:t>
      </w:r>
      <w:r w:rsidRPr="00894701">
        <w:rPr>
          <w:rStyle w:val="FootnoteReference"/>
          <w:rFonts w:asciiTheme="minorHAnsi" w:hAnsiTheme="minorHAnsi"/>
          <w:b/>
          <w:bCs/>
          <w:color w:val="000000"/>
          <w:sz w:val="20"/>
        </w:rPr>
        <w:footnoteReference w:id="44"/>
      </w:r>
      <w:r w:rsidRPr="00894701">
        <w:rPr>
          <w:rFonts w:asciiTheme="minorHAnsi" w:hAnsiTheme="minorHAnsi"/>
          <w:color w:val="000000"/>
          <w:sz w:val="20"/>
        </w:rPr>
        <w:t xml:space="preserve"> that ‘All employees shall have, independent of their age, sex, race, nationality, religion or political beliefs, the right to:</w:t>
      </w:r>
    </w:p>
    <w:p w14:paraId="27DE46E4" w14:textId="39D2DF9C" w:rsidR="003F14A6" w:rsidRPr="00894701" w:rsidRDefault="003F14A6" w:rsidP="003F14A6">
      <w:pPr>
        <w:pStyle w:val="ListParagraph"/>
        <w:numPr>
          <w:ilvl w:val="0"/>
          <w:numId w:val="54"/>
        </w:numPr>
        <w:spacing w:after="0" w:line="240" w:lineRule="auto"/>
        <w:jc w:val="both"/>
        <w:rPr>
          <w:rFonts w:asciiTheme="minorHAnsi" w:hAnsiTheme="minorHAnsi"/>
          <w:color w:val="000000"/>
          <w:sz w:val="20"/>
        </w:rPr>
      </w:pPr>
      <w:r w:rsidRPr="00894701">
        <w:rPr>
          <w:rFonts w:asciiTheme="minorHAnsi" w:hAnsiTheme="minorHAnsi"/>
          <w:color w:val="000000"/>
          <w:sz w:val="20"/>
        </w:rPr>
        <w:t xml:space="preserve">remuneration for their work corresponding to quantity, type, quality and experience based on equal pay for equal work; </w:t>
      </w:r>
    </w:p>
    <w:p w14:paraId="15526842" w14:textId="69D947D0" w:rsidR="003F14A6" w:rsidRPr="00894701" w:rsidRDefault="003F14A6" w:rsidP="003F14A6">
      <w:pPr>
        <w:pStyle w:val="ListParagraph"/>
        <w:numPr>
          <w:ilvl w:val="0"/>
          <w:numId w:val="54"/>
        </w:numPr>
        <w:spacing w:after="0" w:line="240" w:lineRule="auto"/>
        <w:jc w:val="both"/>
        <w:rPr>
          <w:rFonts w:asciiTheme="minorHAnsi" w:hAnsiTheme="minorHAnsi"/>
          <w:color w:val="000000"/>
          <w:sz w:val="20"/>
        </w:rPr>
      </w:pPr>
      <w:r w:rsidRPr="00894701">
        <w:rPr>
          <w:rFonts w:asciiTheme="minorHAnsi" w:hAnsiTheme="minorHAnsi"/>
          <w:color w:val="000000"/>
          <w:sz w:val="20"/>
        </w:rPr>
        <w:t xml:space="preserve">the performance of their tasks under humane conditions to enable self-development; </w:t>
      </w:r>
    </w:p>
    <w:p w14:paraId="15765B69" w14:textId="77777777" w:rsidR="003F14A6" w:rsidRPr="00894701" w:rsidRDefault="003F14A6" w:rsidP="003F14A6">
      <w:pPr>
        <w:pStyle w:val="ListParagraph"/>
        <w:numPr>
          <w:ilvl w:val="0"/>
          <w:numId w:val="54"/>
        </w:numPr>
        <w:spacing w:after="0" w:line="240" w:lineRule="auto"/>
        <w:jc w:val="both"/>
        <w:rPr>
          <w:rFonts w:asciiTheme="minorHAnsi" w:hAnsiTheme="minorHAnsi"/>
          <w:color w:val="000000"/>
          <w:sz w:val="20"/>
        </w:rPr>
      </w:pPr>
      <w:r w:rsidRPr="00894701">
        <w:rPr>
          <w:rFonts w:asciiTheme="minorHAnsi" w:hAnsiTheme="minorHAnsi"/>
          <w:color w:val="000000"/>
          <w:sz w:val="20"/>
        </w:rPr>
        <w:t>safe and healthy working conditions; and</w:t>
      </w:r>
    </w:p>
    <w:p w14:paraId="789D7DCB" w14:textId="77777777" w:rsidR="003F14A6" w:rsidRPr="00894701" w:rsidRDefault="003F14A6" w:rsidP="003F14A6">
      <w:pPr>
        <w:pStyle w:val="ListParagraph"/>
        <w:numPr>
          <w:ilvl w:val="0"/>
          <w:numId w:val="54"/>
        </w:numPr>
        <w:spacing w:after="0" w:line="240" w:lineRule="auto"/>
        <w:jc w:val="both"/>
        <w:rPr>
          <w:rFonts w:asciiTheme="minorHAnsi" w:hAnsiTheme="minorHAnsi"/>
          <w:color w:val="000000"/>
          <w:sz w:val="20"/>
        </w:rPr>
      </w:pPr>
      <w:r w:rsidRPr="00894701">
        <w:rPr>
          <w:rFonts w:asciiTheme="minorHAnsi" w:hAnsiTheme="minorHAnsi"/>
          <w:color w:val="000000"/>
          <w:sz w:val="20"/>
        </w:rPr>
        <w:t>sufficient rest and recreation.</w:t>
      </w:r>
    </w:p>
    <w:p w14:paraId="4CEFCCDB" w14:textId="77777777" w:rsidR="003F14A6" w:rsidRPr="00894701" w:rsidRDefault="003F14A6" w:rsidP="003F14A6">
      <w:pPr>
        <w:spacing w:after="0" w:line="240" w:lineRule="auto"/>
        <w:jc w:val="both"/>
        <w:rPr>
          <w:rFonts w:asciiTheme="minorHAnsi" w:hAnsiTheme="minorHAnsi"/>
          <w:b/>
          <w:bCs/>
          <w:color w:val="000000"/>
          <w:sz w:val="20"/>
        </w:rPr>
      </w:pPr>
    </w:p>
    <w:p w14:paraId="2692CDFE" w14:textId="4FA4DA84" w:rsidR="003F14A6" w:rsidRPr="00894701" w:rsidRDefault="003F14A6" w:rsidP="003F14A6">
      <w:pPr>
        <w:spacing w:after="0" w:line="240" w:lineRule="auto"/>
        <w:jc w:val="both"/>
        <w:rPr>
          <w:rFonts w:asciiTheme="minorHAnsi" w:hAnsiTheme="minorHAnsi"/>
          <w:color w:val="000000"/>
          <w:sz w:val="20"/>
        </w:rPr>
      </w:pPr>
      <w:r w:rsidRPr="00894701">
        <w:rPr>
          <w:rFonts w:asciiTheme="minorHAnsi" w:hAnsiTheme="minorHAnsi"/>
          <w:b/>
          <w:bCs/>
          <w:color w:val="000000"/>
          <w:sz w:val="20"/>
        </w:rPr>
        <w:t>Right to Organise and Collective Bargaining Convention,</w:t>
      </w:r>
      <w:r w:rsidRPr="00894701">
        <w:rPr>
          <w:rStyle w:val="FootnoteReference"/>
          <w:rFonts w:asciiTheme="minorHAnsi" w:hAnsiTheme="minorHAnsi"/>
          <w:b/>
          <w:bCs/>
          <w:color w:val="000000"/>
          <w:sz w:val="20"/>
        </w:rPr>
        <w:footnoteReference w:id="45"/>
      </w:r>
      <w:r w:rsidRPr="00894701">
        <w:rPr>
          <w:rFonts w:asciiTheme="minorHAnsi" w:hAnsiTheme="minorHAnsi"/>
          <w:b/>
          <w:bCs/>
          <w:color w:val="000000"/>
          <w:sz w:val="20"/>
        </w:rPr>
        <w:t xml:space="preserve"> 1949 - No.98; (Ratified: 5 June 1996)</w:t>
      </w:r>
      <w:r w:rsidRPr="00894701">
        <w:rPr>
          <w:rFonts w:asciiTheme="minorHAnsi" w:hAnsiTheme="minorHAnsi"/>
          <w:color w:val="000000"/>
          <w:sz w:val="20"/>
        </w:rPr>
        <w:t xml:space="preserve"> Workers shall enjoy adequate protection against acts of anti-union discrimination including refusal to employ, dismissal or any other prejudice.</w:t>
      </w:r>
    </w:p>
    <w:p w14:paraId="68F55A58" w14:textId="77777777" w:rsidR="003F14A6" w:rsidRPr="00894701" w:rsidRDefault="003F14A6" w:rsidP="003F14A6">
      <w:pPr>
        <w:spacing w:after="0" w:line="240" w:lineRule="auto"/>
        <w:jc w:val="both"/>
        <w:rPr>
          <w:rFonts w:asciiTheme="minorHAnsi" w:hAnsiTheme="minorHAnsi"/>
          <w:color w:val="000000"/>
          <w:sz w:val="20"/>
        </w:rPr>
      </w:pPr>
    </w:p>
    <w:p w14:paraId="2797D057" w14:textId="33130FFC" w:rsidR="003F14A6" w:rsidRPr="00894701" w:rsidRDefault="003F14A6" w:rsidP="003F14A6">
      <w:pPr>
        <w:jc w:val="both"/>
        <w:rPr>
          <w:rFonts w:asciiTheme="minorHAnsi" w:hAnsiTheme="minorHAnsi"/>
          <w:color w:val="000000"/>
          <w:sz w:val="20"/>
        </w:rPr>
      </w:pPr>
      <w:r w:rsidRPr="00894701">
        <w:rPr>
          <w:rFonts w:asciiTheme="minorHAnsi" w:hAnsiTheme="minorHAnsi"/>
          <w:color w:val="000000"/>
          <w:sz w:val="20"/>
        </w:rPr>
        <w:t>However, the Constitutional Rights and Laws that provide for women's rights and gender equality in the legislative framework are not yet developed and officially published. Yet,</w:t>
      </w:r>
      <w:r w:rsidRPr="00894701">
        <w:t xml:space="preserve"> </w:t>
      </w:r>
      <w:r w:rsidRPr="00894701">
        <w:rPr>
          <w:rFonts w:asciiTheme="minorHAnsi" w:hAnsiTheme="minorHAnsi"/>
          <w:color w:val="000000"/>
          <w:sz w:val="20"/>
        </w:rPr>
        <w:t>Gender equality and women’s empowerment as per the United Nations National report</w:t>
      </w:r>
      <w:r w:rsidRPr="00894701">
        <w:rPr>
          <w:rStyle w:val="FootnoteReference"/>
          <w:rFonts w:asciiTheme="minorHAnsi" w:hAnsiTheme="minorHAnsi"/>
          <w:color w:val="000000"/>
          <w:sz w:val="20"/>
        </w:rPr>
        <w:footnoteReference w:id="46"/>
      </w:r>
      <w:r w:rsidRPr="00894701">
        <w:rPr>
          <w:rFonts w:asciiTheme="minorHAnsi" w:hAnsiTheme="minorHAnsi"/>
          <w:color w:val="000000"/>
          <w:sz w:val="20"/>
        </w:rPr>
        <w:t xml:space="preserve"> of 23 August 2021, paragraph 5 of the annexe to Human Rights Council resolution 16/21, Republic of Suriname have conducted training in order to promote women’s empowerment and gender equality. See the list below of progress made for gender equality and non-discrimination:</w:t>
      </w:r>
    </w:p>
    <w:p w14:paraId="06206271" w14:textId="77777777" w:rsidR="003F14A6" w:rsidRPr="00894701" w:rsidRDefault="003F14A6" w:rsidP="003F14A6">
      <w:pPr>
        <w:jc w:val="both"/>
        <w:rPr>
          <w:rFonts w:asciiTheme="minorHAnsi" w:hAnsiTheme="minorHAnsi"/>
          <w:i/>
          <w:iCs/>
          <w:color w:val="000000"/>
          <w:sz w:val="20"/>
        </w:rPr>
      </w:pPr>
      <w:r w:rsidRPr="00894701">
        <w:rPr>
          <w:rFonts w:asciiTheme="minorHAnsi" w:hAnsiTheme="minorHAnsi"/>
          <w:i/>
          <w:iCs/>
          <w:color w:val="000000"/>
          <w:sz w:val="20"/>
        </w:rPr>
        <w:t>“49. Since 2016, gender is one of the topics included in the curricula of the annual courses of Civil Servants.</w:t>
      </w:r>
    </w:p>
    <w:p w14:paraId="236D2B72" w14:textId="77777777" w:rsidR="003F14A6" w:rsidRPr="00894701" w:rsidRDefault="003F14A6" w:rsidP="003F14A6">
      <w:pPr>
        <w:jc w:val="both"/>
        <w:rPr>
          <w:rFonts w:asciiTheme="minorHAnsi" w:hAnsiTheme="minorHAnsi"/>
          <w:i/>
          <w:iCs/>
          <w:color w:val="000000"/>
          <w:sz w:val="20"/>
        </w:rPr>
      </w:pPr>
      <w:r w:rsidRPr="00894701">
        <w:rPr>
          <w:rFonts w:asciiTheme="minorHAnsi" w:hAnsiTheme="minorHAnsi"/>
          <w:i/>
          <w:iCs/>
          <w:color w:val="000000"/>
          <w:sz w:val="20"/>
        </w:rPr>
        <w:lastRenderedPageBreak/>
        <w:t>50. Installation of the Gender Platform in the district of Nickerie in February 2019. The Gender Platform Nickerie is a collaboration and consultation structure in which stakeholders (Government organizations, non-governmental organizations and individuals) address gender issues in the district to contribute to the achievement of gender equality in different areas and levels.</w:t>
      </w:r>
    </w:p>
    <w:p w14:paraId="2E287634" w14:textId="77777777" w:rsidR="003F14A6" w:rsidRPr="00894701" w:rsidRDefault="003F14A6" w:rsidP="003F14A6">
      <w:pPr>
        <w:jc w:val="both"/>
        <w:rPr>
          <w:rFonts w:asciiTheme="minorHAnsi" w:hAnsiTheme="minorHAnsi"/>
          <w:i/>
          <w:iCs/>
          <w:color w:val="000000"/>
          <w:sz w:val="20"/>
        </w:rPr>
      </w:pPr>
      <w:r w:rsidRPr="00894701">
        <w:rPr>
          <w:rFonts w:asciiTheme="minorHAnsi" w:hAnsiTheme="minorHAnsi"/>
          <w:i/>
          <w:iCs/>
          <w:color w:val="000000"/>
          <w:sz w:val="20"/>
        </w:rPr>
        <w:t>51. To eliminate gender biases and stereotypes regarding the roles and responsibilities of men and women in the family and society various activities have been carried out.</w:t>
      </w:r>
    </w:p>
    <w:p w14:paraId="614B6ECC" w14:textId="77777777" w:rsidR="003F14A6" w:rsidRPr="00894701" w:rsidRDefault="003F14A6" w:rsidP="003F14A6">
      <w:pPr>
        <w:spacing w:before="120" w:line="240" w:lineRule="auto"/>
        <w:jc w:val="both"/>
        <w:rPr>
          <w:rFonts w:asciiTheme="minorHAnsi" w:hAnsiTheme="minorHAnsi"/>
          <w:i/>
          <w:iCs/>
          <w:color w:val="000000"/>
          <w:sz w:val="20"/>
        </w:rPr>
      </w:pPr>
      <w:r w:rsidRPr="00894701">
        <w:rPr>
          <w:rFonts w:asciiTheme="minorHAnsi" w:hAnsiTheme="minorHAnsi"/>
          <w:i/>
          <w:iCs/>
          <w:color w:val="000000"/>
          <w:sz w:val="20"/>
        </w:rPr>
        <w:t xml:space="preserve">52. The legislative gaps related to the rights of women and concrete actions aimed at eliminating discrimination against women, the application of the principle of non-discrimination and improving the rights of women and gender equality, including the participation of women in economic life, have been addressed by the Government of Suriname as follows: </w:t>
      </w:r>
    </w:p>
    <w:p w14:paraId="25E67402" w14:textId="77777777" w:rsidR="003F14A6" w:rsidRPr="00894701" w:rsidRDefault="003F14A6" w:rsidP="003F14A6">
      <w:pPr>
        <w:spacing w:before="120" w:line="240" w:lineRule="auto"/>
        <w:jc w:val="both"/>
        <w:rPr>
          <w:rFonts w:asciiTheme="minorHAnsi" w:hAnsiTheme="minorHAnsi"/>
          <w:i/>
          <w:iCs/>
          <w:color w:val="000000"/>
          <w:sz w:val="20"/>
        </w:rPr>
      </w:pPr>
      <w:r w:rsidRPr="00894701">
        <w:rPr>
          <w:rFonts w:asciiTheme="minorHAnsi" w:hAnsiTheme="minorHAnsi"/>
          <w:i/>
          <w:iCs/>
          <w:color w:val="000000"/>
          <w:sz w:val="20"/>
        </w:rPr>
        <w:t xml:space="preserve">53. Suriname ratified the ILO core conventions: </w:t>
      </w:r>
    </w:p>
    <w:p w14:paraId="14FD39C9" w14:textId="77777777" w:rsidR="003F14A6" w:rsidRPr="00894701" w:rsidRDefault="003F14A6" w:rsidP="003F14A6">
      <w:pPr>
        <w:jc w:val="both"/>
        <w:rPr>
          <w:rFonts w:asciiTheme="minorHAnsi" w:hAnsiTheme="minorHAnsi"/>
          <w:i/>
          <w:iCs/>
          <w:color w:val="000000"/>
          <w:sz w:val="20"/>
        </w:rPr>
      </w:pPr>
      <w:r w:rsidRPr="00894701">
        <w:rPr>
          <w:rFonts w:asciiTheme="minorHAnsi" w:hAnsiTheme="minorHAnsi"/>
          <w:i/>
          <w:iCs/>
          <w:color w:val="000000"/>
          <w:sz w:val="20"/>
        </w:rPr>
        <w:t xml:space="preserve">(a) the Equal Remuneration Convention (No. 100); and </w:t>
      </w:r>
    </w:p>
    <w:p w14:paraId="519E8B51" w14:textId="77777777" w:rsidR="003F14A6" w:rsidRPr="00894701" w:rsidRDefault="003F14A6" w:rsidP="003F14A6">
      <w:pPr>
        <w:jc w:val="both"/>
        <w:rPr>
          <w:rFonts w:asciiTheme="minorHAnsi" w:hAnsiTheme="minorHAnsi"/>
          <w:i/>
          <w:iCs/>
          <w:color w:val="000000"/>
          <w:sz w:val="20"/>
        </w:rPr>
      </w:pPr>
      <w:r w:rsidRPr="00894701">
        <w:rPr>
          <w:rFonts w:asciiTheme="minorHAnsi" w:hAnsiTheme="minorHAnsi"/>
          <w:i/>
          <w:iCs/>
          <w:color w:val="000000"/>
          <w:sz w:val="20"/>
        </w:rPr>
        <w:t xml:space="preserve">(b) the Discrimination (Employment and Occupation) Convention (No. 111) in January 2017. </w:t>
      </w:r>
    </w:p>
    <w:p w14:paraId="4A537E36" w14:textId="77777777" w:rsidR="003F14A6" w:rsidRPr="00894701" w:rsidRDefault="003F14A6" w:rsidP="003F14A6">
      <w:pPr>
        <w:jc w:val="both"/>
        <w:rPr>
          <w:rFonts w:asciiTheme="minorHAnsi" w:hAnsiTheme="minorHAnsi"/>
          <w:color w:val="000000"/>
          <w:sz w:val="20"/>
        </w:rPr>
      </w:pPr>
      <w:r w:rsidRPr="00894701">
        <w:rPr>
          <w:rFonts w:asciiTheme="minorHAnsi" w:hAnsiTheme="minorHAnsi"/>
          <w:i/>
          <w:iCs/>
          <w:color w:val="000000"/>
          <w:sz w:val="20"/>
        </w:rPr>
        <w:t>54.</w:t>
      </w:r>
      <w:r w:rsidRPr="00894701">
        <w:rPr>
          <w:rFonts w:asciiTheme="minorHAnsi" w:hAnsiTheme="minorHAnsi"/>
          <w:color w:val="000000"/>
          <w:sz w:val="20"/>
        </w:rPr>
        <w:t xml:space="preserve"> </w:t>
      </w:r>
      <w:r w:rsidRPr="00894701">
        <w:rPr>
          <w:rFonts w:asciiTheme="minorHAnsi" w:hAnsiTheme="minorHAnsi"/>
          <w:i/>
          <w:iCs/>
          <w:color w:val="000000"/>
          <w:sz w:val="20"/>
        </w:rPr>
        <w:t>The ratification resulted in the inclusion of the principle of non-discrimination in several labour laws enacted in the reporting period such as:</w:t>
      </w:r>
    </w:p>
    <w:p w14:paraId="001DCB04" w14:textId="77777777" w:rsidR="003F14A6" w:rsidRPr="00894701" w:rsidRDefault="003F14A6" w:rsidP="003F14A6">
      <w:pPr>
        <w:jc w:val="both"/>
        <w:rPr>
          <w:rFonts w:asciiTheme="minorHAnsi" w:hAnsiTheme="minorHAnsi"/>
          <w:b/>
          <w:bCs/>
          <w:color w:val="000000"/>
          <w:sz w:val="20"/>
        </w:rPr>
      </w:pPr>
      <w:r w:rsidRPr="00894701">
        <w:rPr>
          <w:rFonts w:asciiTheme="minorHAnsi" w:hAnsiTheme="minorHAnsi"/>
          <w:b/>
          <w:bCs/>
          <w:color w:val="000000"/>
          <w:sz w:val="20"/>
        </w:rPr>
        <w:t>(a) the Freedom of Associations Act (S.B. 2016 no. 151)1;</w:t>
      </w:r>
    </w:p>
    <w:p w14:paraId="1202136D" w14:textId="77777777" w:rsidR="003F14A6" w:rsidRPr="00894701" w:rsidRDefault="003F14A6" w:rsidP="003F14A6">
      <w:pPr>
        <w:jc w:val="both"/>
        <w:rPr>
          <w:rFonts w:asciiTheme="minorHAnsi" w:hAnsiTheme="minorHAnsi"/>
          <w:b/>
          <w:bCs/>
          <w:color w:val="000000"/>
          <w:sz w:val="20"/>
        </w:rPr>
      </w:pPr>
      <w:r w:rsidRPr="00894701">
        <w:rPr>
          <w:rFonts w:asciiTheme="minorHAnsi" w:hAnsiTheme="minorHAnsi"/>
          <w:b/>
          <w:bCs/>
          <w:color w:val="000000"/>
          <w:sz w:val="20"/>
        </w:rPr>
        <w:t>(b) the Collective Bargaining Agreements Act (S.B. 2016 no. 152)2;</w:t>
      </w:r>
    </w:p>
    <w:p w14:paraId="74AFEE33" w14:textId="77777777" w:rsidR="003F14A6" w:rsidRPr="00894701" w:rsidRDefault="003F14A6" w:rsidP="003F14A6">
      <w:pPr>
        <w:jc w:val="both"/>
        <w:rPr>
          <w:rFonts w:asciiTheme="minorHAnsi" w:hAnsiTheme="minorHAnsi"/>
          <w:b/>
          <w:bCs/>
          <w:color w:val="000000"/>
          <w:sz w:val="20"/>
        </w:rPr>
      </w:pPr>
      <w:r w:rsidRPr="00894701">
        <w:rPr>
          <w:rFonts w:asciiTheme="minorHAnsi" w:hAnsiTheme="minorHAnsi"/>
          <w:b/>
          <w:bCs/>
          <w:color w:val="000000"/>
          <w:sz w:val="20"/>
        </w:rPr>
        <w:t>(c) the Private Employment Agencies Act (S.B. 2017 no. 42)3 and;</w:t>
      </w:r>
    </w:p>
    <w:p w14:paraId="1C520C2D" w14:textId="77777777" w:rsidR="003F14A6" w:rsidRPr="00894701" w:rsidRDefault="003F14A6" w:rsidP="003F14A6">
      <w:pPr>
        <w:jc w:val="both"/>
        <w:rPr>
          <w:rFonts w:asciiTheme="minorHAnsi" w:hAnsiTheme="minorHAnsi"/>
          <w:b/>
          <w:bCs/>
          <w:color w:val="000000"/>
          <w:sz w:val="20"/>
        </w:rPr>
      </w:pPr>
      <w:r w:rsidRPr="00894701">
        <w:rPr>
          <w:rFonts w:asciiTheme="minorHAnsi" w:hAnsiTheme="minorHAnsi"/>
          <w:b/>
          <w:bCs/>
          <w:color w:val="000000"/>
          <w:sz w:val="20"/>
        </w:rPr>
        <w:t>(d) the Labour Exchange Act 2017 (S.B. 2017 no. 67)4.</w:t>
      </w:r>
    </w:p>
    <w:p w14:paraId="12A9EAC0" w14:textId="77777777" w:rsidR="003F14A6" w:rsidRPr="00894701" w:rsidRDefault="003F14A6" w:rsidP="003F14A6">
      <w:pPr>
        <w:spacing w:before="120" w:line="240" w:lineRule="auto"/>
        <w:jc w:val="both"/>
        <w:rPr>
          <w:rFonts w:asciiTheme="minorHAnsi" w:hAnsiTheme="minorHAnsi"/>
          <w:color w:val="000000"/>
          <w:sz w:val="20"/>
        </w:rPr>
      </w:pPr>
      <w:r w:rsidRPr="00894701">
        <w:rPr>
          <w:rFonts w:asciiTheme="minorHAnsi" w:hAnsiTheme="minorHAnsi"/>
          <w:b/>
          <w:bCs/>
          <w:color w:val="000000"/>
          <w:sz w:val="20"/>
        </w:rPr>
        <w:cr/>
        <w:t>In order to have a safe working condition and prevent discrimination in the workplace, two bills were presented to Parliament in 2019, namely:</w:t>
      </w:r>
      <w:r w:rsidRPr="00894701">
        <w:rPr>
          <w:rFonts w:asciiTheme="minorHAnsi" w:hAnsiTheme="minorHAnsi"/>
          <w:b/>
          <w:bCs/>
          <w:color w:val="000000"/>
          <w:sz w:val="20"/>
        </w:rPr>
        <w:cr/>
      </w:r>
    </w:p>
    <w:p w14:paraId="1B9F7768" w14:textId="77777777" w:rsidR="003F14A6" w:rsidRPr="00894701" w:rsidRDefault="003F14A6" w:rsidP="003F14A6">
      <w:pPr>
        <w:spacing w:before="120" w:line="240" w:lineRule="auto"/>
        <w:jc w:val="both"/>
        <w:rPr>
          <w:rFonts w:asciiTheme="minorHAnsi" w:hAnsiTheme="minorHAnsi"/>
          <w:b/>
          <w:bCs/>
          <w:color w:val="000000"/>
          <w:sz w:val="20"/>
        </w:rPr>
      </w:pPr>
      <w:r w:rsidRPr="00894701">
        <w:rPr>
          <w:rFonts w:asciiTheme="minorHAnsi" w:hAnsiTheme="minorHAnsi"/>
          <w:b/>
          <w:bCs/>
          <w:color w:val="000000"/>
          <w:sz w:val="20"/>
        </w:rPr>
        <w:t>(a) the Bill on Equal Treatment in Employment</w:t>
      </w:r>
      <w:r w:rsidRPr="00894701">
        <w:rPr>
          <w:rStyle w:val="FootnoteReference"/>
          <w:rFonts w:asciiTheme="minorHAnsi" w:hAnsiTheme="minorHAnsi"/>
          <w:color w:val="000000"/>
          <w:sz w:val="20"/>
        </w:rPr>
        <w:footnoteReference w:id="47"/>
      </w:r>
      <w:r w:rsidRPr="00894701">
        <w:rPr>
          <w:rFonts w:asciiTheme="minorHAnsi" w:hAnsiTheme="minorHAnsi"/>
          <w:color w:val="000000"/>
          <w:sz w:val="20"/>
        </w:rPr>
        <w:t>;</w:t>
      </w:r>
      <w:r w:rsidRPr="00894701">
        <w:rPr>
          <w:rFonts w:asciiTheme="minorHAnsi" w:hAnsiTheme="minorHAnsi"/>
          <w:b/>
          <w:bCs/>
          <w:color w:val="000000"/>
          <w:sz w:val="20"/>
        </w:rPr>
        <w:t xml:space="preserve"> and</w:t>
      </w:r>
    </w:p>
    <w:p w14:paraId="4FB49856" w14:textId="77777777" w:rsidR="003F14A6" w:rsidRPr="00894701" w:rsidRDefault="003F14A6" w:rsidP="003F14A6">
      <w:pPr>
        <w:jc w:val="both"/>
        <w:rPr>
          <w:rFonts w:asciiTheme="minorHAnsi" w:hAnsiTheme="minorHAnsi"/>
          <w:color w:val="000000"/>
          <w:sz w:val="20"/>
        </w:rPr>
      </w:pPr>
      <w:r w:rsidRPr="00894701">
        <w:rPr>
          <w:rFonts w:asciiTheme="minorHAnsi" w:hAnsiTheme="minorHAnsi"/>
          <w:b/>
          <w:bCs/>
          <w:color w:val="000000"/>
          <w:sz w:val="20"/>
        </w:rPr>
        <w:t>(b) the Bill on Violence and Sexual Harassment on the work floor</w:t>
      </w:r>
      <w:r w:rsidRPr="00894701">
        <w:rPr>
          <w:rStyle w:val="FootnoteReference"/>
          <w:rFonts w:asciiTheme="minorHAnsi" w:hAnsiTheme="minorHAnsi"/>
          <w:color w:val="000000"/>
          <w:sz w:val="20"/>
        </w:rPr>
        <w:footnoteReference w:id="48"/>
      </w:r>
      <w:r w:rsidRPr="00894701">
        <w:rPr>
          <w:rFonts w:asciiTheme="minorHAnsi" w:hAnsiTheme="minorHAnsi"/>
          <w:b/>
          <w:bCs/>
          <w:color w:val="000000"/>
          <w:sz w:val="20"/>
        </w:rPr>
        <w:t>.</w:t>
      </w:r>
    </w:p>
    <w:p w14:paraId="25A7ED0E" w14:textId="77777777" w:rsidR="00CA2D24" w:rsidRPr="00894701" w:rsidRDefault="00CA2D24" w:rsidP="00733C95">
      <w:pPr>
        <w:pStyle w:val="BodyText"/>
        <w:rPr>
          <w:rFonts w:asciiTheme="minorHAnsi" w:hAnsiTheme="minorHAnsi"/>
        </w:rPr>
      </w:pPr>
    </w:p>
    <w:p w14:paraId="1A097B78" w14:textId="5368F645" w:rsidR="00642905" w:rsidRPr="00894701" w:rsidRDefault="00642905">
      <w:pPr>
        <w:spacing w:after="0" w:line="240" w:lineRule="auto"/>
        <w:rPr>
          <w:rFonts w:asciiTheme="minorHAnsi" w:hAnsiTheme="minorHAnsi" w:cs="Arial"/>
          <w:bCs/>
          <w:color w:val="auto"/>
          <w:sz w:val="20"/>
        </w:rPr>
      </w:pPr>
      <w:r w:rsidRPr="00894701">
        <w:rPr>
          <w:rFonts w:asciiTheme="minorHAnsi" w:hAnsiTheme="minorHAnsi" w:cs="Arial"/>
          <w:bCs/>
          <w:color w:val="auto"/>
          <w:sz w:val="20"/>
        </w:rPr>
        <w:br w:type="page"/>
      </w:r>
    </w:p>
    <w:p w14:paraId="60CF810B" w14:textId="77777777" w:rsidR="00BB0D9C" w:rsidRPr="00894701" w:rsidRDefault="00BB0D9C" w:rsidP="00FB5CDB">
      <w:pPr>
        <w:pStyle w:val="NumHeading"/>
        <w:spacing w:before="240" w:after="240"/>
        <w:rPr>
          <w:caps w:val="0"/>
          <w:color w:val="C00000"/>
          <w:sz w:val="36"/>
          <w:szCs w:val="36"/>
        </w:rPr>
      </w:pPr>
      <w:bookmarkStart w:id="372" w:name="_Toc101350035"/>
      <w:bookmarkStart w:id="373" w:name="_Toc104555404"/>
      <w:bookmarkStart w:id="374" w:name="_Toc122478925"/>
      <w:r w:rsidRPr="00894701">
        <w:rPr>
          <w:caps w:val="0"/>
          <w:color w:val="C00000"/>
          <w:sz w:val="36"/>
          <w:szCs w:val="36"/>
        </w:rPr>
        <w:lastRenderedPageBreak/>
        <w:t>Defining the reconciliation scope</w:t>
      </w:r>
      <w:bookmarkEnd w:id="372"/>
      <w:bookmarkEnd w:id="373"/>
      <w:bookmarkEnd w:id="374"/>
    </w:p>
    <w:p w14:paraId="13966887" w14:textId="7AB7E09F" w:rsidR="00BB0D9C" w:rsidRPr="00894701" w:rsidRDefault="00BB0D9C" w:rsidP="00FB5CDB">
      <w:pPr>
        <w:pStyle w:val="BodyText"/>
        <w:jc w:val="both"/>
        <w:rPr>
          <w:color w:val="auto"/>
          <w:sz w:val="20"/>
          <w:szCs w:val="20"/>
        </w:rPr>
      </w:pPr>
      <w:r w:rsidRPr="00894701">
        <w:rPr>
          <w:color w:val="auto"/>
          <w:sz w:val="20"/>
          <w:szCs w:val="20"/>
        </w:rPr>
        <w:t xml:space="preserve">The work included a general understanding of the extractive sector in </w:t>
      </w:r>
      <w:r w:rsidR="000B7189" w:rsidRPr="00894701">
        <w:rPr>
          <w:color w:val="auto"/>
          <w:sz w:val="20"/>
          <w:szCs w:val="20"/>
        </w:rPr>
        <w:t>Suriname</w:t>
      </w:r>
      <w:r w:rsidRPr="00894701">
        <w:rPr>
          <w:color w:val="auto"/>
          <w:sz w:val="20"/>
          <w:szCs w:val="20"/>
        </w:rPr>
        <w:t xml:space="preserve">. Government Agencies have been consulted in order to collect relevant information on the size of the extractive sectors in </w:t>
      </w:r>
      <w:r w:rsidR="008356BB" w:rsidRPr="00894701">
        <w:rPr>
          <w:color w:val="auto"/>
          <w:sz w:val="20"/>
          <w:szCs w:val="20"/>
        </w:rPr>
        <w:t>Suriname</w:t>
      </w:r>
      <w:r w:rsidRPr="00894701">
        <w:rPr>
          <w:color w:val="auto"/>
          <w:sz w:val="20"/>
          <w:szCs w:val="20"/>
        </w:rPr>
        <w:t>, their contribution to the economy and to government revenues, as a part of the process to define the scope for the reconciliation exercise for the fiscal year</w:t>
      </w:r>
      <w:r w:rsidR="00FB5CDB" w:rsidRPr="00894701">
        <w:rPr>
          <w:color w:val="auto"/>
          <w:sz w:val="20"/>
          <w:szCs w:val="20"/>
        </w:rPr>
        <w:t>s</w:t>
      </w:r>
      <w:r w:rsidRPr="00894701">
        <w:rPr>
          <w:color w:val="auto"/>
          <w:sz w:val="20"/>
          <w:szCs w:val="20"/>
        </w:rPr>
        <w:t xml:space="preserve"> 201</w:t>
      </w:r>
      <w:r w:rsidR="00FB5CDB" w:rsidRPr="00894701">
        <w:rPr>
          <w:color w:val="auto"/>
          <w:sz w:val="20"/>
          <w:szCs w:val="20"/>
        </w:rPr>
        <w:t>8, 2019 and 2020</w:t>
      </w:r>
      <w:r w:rsidRPr="00894701">
        <w:rPr>
          <w:color w:val="auto"/>
          <w:sz w:val="20"/>
          <w:szCs w:val="20"/>
        </w:rPr>
        <w:t>.</w:t>
      </w:r>
    </w:p>
    <w:p w14:paraId="6D1830FC" w14:textId="6A169DD2" w:rsidR="00FB5CDB" w:rsidRPr="00894701" w:rsidRDefault="00FB5CDB" w:rsidP="00FB5CDB">
      <w:pPr>
        <w:pStyle w:val="ListParagraph"/>
        <w:numPr>
          <w:ilvl w:val="1"/>
          <w:numId w:val="7"/>
        </w:numPr>
        <w:spacing w:before="240" w:after="240"/>
        <w:ind w:left="851" w:right="482" w:hanging="851"/>
        <w:outlineLvl w:val="1"/>
        <w:rPr>
          <w:b/>
          <w:sz w:val="28"/>
          <w:szCs w:val="28"/>
        </w:rPr>
      </w:pPr>
      <w:bookmarkStart w:id="375" w:name="_Toc122478926"/>
      <w:r w:rsidRPr="00894701">
        <w:rPr>
          <w:b/>
          <w:sz w:val="28"/>
          <w:szCs w:val="28"/>
        </w:rPr>
        <w:t>Fiscal year (EITI Requirement 4.8)</w:t>
      </w:r>
      <w:bookmarkEnd w:id="375"/>
      <w:r w:rsidRPr="00894701">
        <w:rPr>
          <w:b/>
          <w:sz w:val="28"/>
          <w:szCs w:val="28"/>
        </w:rPr>
        <w:t xml:space="preserve"> </w:t>
      </w:r>
    </w:p>
    <w:p w14:paraId="44C35151" w14:textId="77777777" w:rsidR="00FB5CDB" w:rsidRPr="00894701" w:rsidRDefault="00FB5CDB" w:rsidP="00FB5CDB">
      <w:pPr>
        <w:pStyle w:val="BodyText"/>
        <w:jc w:val="both"/>
        <w:rPr>
          <w:color w:val="auto"/>
          <w:sz w:val="20"/>
          <w:szCs w:val="20"/>
        </w:rPr>
      </w:pPr>
      <w:r w:rsidRPr="00894701">
        <w:rPr>
          <w:color w:val="auto"/>
          <w:sz w:val="20"/>
          <w:szCs w:val="20"/>
        </w:rPr>
        <w:t xml:space="preserve">Requirement 4.8 of the 2019 EITI Standard states: ’Implementing countries are expected to publish regular and timely information in accordance with the EITI Standard and the agreed work plan (1.5) on an annual basis. The multi-stakeholder group should agree the accounting period covered by the EITI disclosures. b) The data must be no older than the second to last complete accounting period, e.g., information pertaining to the financial year 2018 must be published at the latest by 31 December 2020.’ </w:t>
      </w:r>
    </w:p>
    <w:p w14:paraId="1413664C" w14:textId="77777777" w:rsidR="00FB5CDB" w:rsidRPr="00894701" w:rsidRDefault="00FB5CDB" w:rsidP="00FB5CDB">
      <w:pPr>
        <w:pStyle w:val="BodyText"/>
        <w:jc w:val="both"/>
        <w:rPr>
          <w:color w:val="auto"/>
          <w:sz w:val="20"/>
          <w:szCs w:val="20"/>
        </w:rPr>
      </w:pPr>
      <w:r w:rsidRPr="00894701">
        <w:rPr>
          <w:color w:val="auto"/>
          <w:sz w:val="20"/>
          <w:szCs w:val="20"/>
        </w:rPr>
        <w:t xml:space="preserve">The terms of reference states that the collection and reconciliation of payments and revenue data from the companies and government agencies respectively relate to the fiscal year 2018, 2019 and 2020. </w:t>
      </w:r>
    </w:p>
    <w:p w14:paraId="47482B3B" w14:textId="77777777" w:rsidR="00FB5CDB" w:rsidRPr="00894701" w:rsidRDefault="00FB5CDB" w:rsidP="00FB5CDB">
      <w:pPr>
        <w:pStyle w:val="BodyText"/>
        <w:jc w:val="both"/>
        <w:rPr>
          <w:color w:val="auto"/>
          <w:sz w:val="20"/>
          <w:szCs w:val="20"/>
        </w:rPr>
      </w:pPr>
      <w:r w:rsidRPr="00894701">
        <w:rPr>
          <w:color w:val="auto"/>
          <w:sz w:val="20"/>
          <w:szCs w:val="20"/>
        </w:rPr>
        <w:t xml:space="preserve">The EITI-SR MSG agrees that the Third EITI Report for Suriname relates to the fiscal year 2018, 2019 and 2020 which starts from:  </w:t>
      </w:r>
    </w:p>
    <w:p w14:paraId="36AF440F" w14:textId="77777777" w:rsidR="00FB5CDB" w:rsidRPr="00894701" w:rsidRDefault="00FB5CDB" w:rsidP="00686ADB">
      <w:pPr>
        <w:pStyle w:val="ListParagraph"/>
        <w:numPr>
          <w:ilvl w:val="0"/>
          <w:numId w:val="47"/>
        </w:numPr>
        <w:jc w:val="both"/>
        <w:rPr>
          <w:color w:val="auto"/>
          <w:sz w:val="20"/>
          <w:szCs w:val="20"/>
        </w:rPr>
      </w:pPr>
      <w:r w:rsidRPr="00894701">
        <w:rPr>
          <w:color w:val="auto"/>
          <w:sz w:val="20"/>
          <w:szCs w:val="20"/>
        </w:rPr>
        <w:t xml:space="preserve">1 January to 31 December 2018; </w:t>
      </w:r>
    </w:p>
    <w:p w14:paraId="7CD2D42E" w14:textId="77777777" w:rsidR="00FB5CDB" w:rsidRPr="00894701" w:rsidRDefault="00FB5CDB" w:rsidP="00686ADB">
      <w:pPr>
        <w:pStyle w:val="ListParagraph"/>
        <w:numPr>
          <w:ilvl w:val="0"/>
          <w:numId w:val="47"/>
        </w:numPr>
        <w:jc w:val="both"/>
        <w:rPr>
          <w:color w:val="auto"/>
          <w:sz w:val="20"/>
          <w:szCs w:val="20"/>
        </w:rPr>
      </w:pPr>
      <w:r w:rsidRPr="00894701">
        <w:rPr>
          <w:color w:val="auto"/>
          <w:sz w:val="20"/>
          <w:szCs w:val="20"/>
        </w:rPr>
        <w:t xml:space="preserve">1 January to 31 December 2019; and </w:t>
      </w:r>
    </w:p>
    <w:p w14:paraId="3F22D5A8" w14:textId="14298E1C" w:rsidR="00FB5CDB" w:rsidRPr="00894701" w:rsidRDefault="00FB5CDB" w:rsidP="00686ADB">
      <w:pPr>
        <w:pStyle w:val="ListParagraph"/>
        <w:numPr>
          <w:ilvl w:val="0"/>
          <w:numId w:val="47"/>
        </w:numPr>
        <w:jc w:val="both"/>
        <w:rPr>
          <w:color w:val="auto"/>
          <w:sz w:val="20"/>
          <w:szCs w:val="20"/>
        </w:rPr>
      </w:pPr>
      <w:r w:rsidRPr="00894701">
        <w:rPr>
          <w:color w:val="auto"/>
          <w:sz w:val="20"/>
          <w:szCs w:val="20"/>
        </w:rPr>
        <w:t xml:space="preserve">1 January to 31 December 2020. </w:t>
      </w:r>
    </w:p>
    <w:p w14:paraId="193D8803" w14:textId="77777777" w:rsidR="00FB5CDB" w:rsidRPr="00894701" w:rsidRDefault="00FB5CDB" w:rsidP="00FB5CDB">
      <w:pPr>
        <w:pStyle w:val="ListParagraph"/>
        <w:jc w:val="both"/>
        <w:rPr>
          <w:color w:val="000000"/>
        </w:rPr>
      </w:pPr>
    </w:p>
    <w:p w14:paraId="0C34BB3E" w14:textId="77777777" w:rsidR="00BB0D9C" w:rsidRPr="00894701" w:rsidRDefault="00BB0D9C" w:rsidP="000721DF">
      <w:pPr>
        <w:pStyle w:val="ListParagraph"/>
        <w:numPr>
          <w:ilvl w:val="1"/>
          <w:numId w:val="7"/>
        </w:numPr>
        <w:spacing w:before="240" w:after="240"/>
        <w:ind w:left="851" w:right="482" w:hanging="851"/>
        <w:outlineLvl w:val="1"/>
        <w:rPr>
          <w:b/>
          <w:sz w:val="28"/>
          <w:szCs w:val="28"/>
        </w:rPr>
      </w:pPr>
      <w:bookmarkStart w:id="376" w:name="_Toc517996494"/>
      <w:bookmarkStart w:id="377" w:name="_Toc6925743"/>
      <w:bookmarkStart w:id="378" w:name="_Toc101350036"/>
      <w:bookmarkStart w:id="379" w:name="_Toc104555405"/>
      <w:bookmarkStart w:id="380" w:name="_Toc122478927"/>
      <w:r w:rsidRPr="00894701">
        <w:rPr>
          <w:b/>
          <w:sz w:val="28"/>
          <w:szCs w:val="28"/>
        </w:rPr>
        <w:t>Revenue flows</w:t>
      </w:r>
      <w:bookmarkEnd w:id="376"/>
      <w:bookmarkEnd w:id="377"/>
      <w:bookmarkEnd w:id="378"/>
      <w:bookmarkEnd w:id="379"/>
      <w:bookmarkEnd w:id="380"/>
      <w:r w:rsidRPr="00894701">
        <w:rPr>
          <w:b/>
          <w:sz w:val="28"/>
          <w:szCs w:val="28"/>
        </w:rPr>
        <w:t xml:space="preserve"> </w:t>
      </w:r>
    </w:p>
    <w:p w14:paraId="5DFFF5D7" w14:textId="77777777" w:rsidR="00BB0D9C" w:rsidRPr="00894701" w:rsidRDefault="00BB0D9C" w:rsidP="00A834A8">
      <w:pPr>
        <w:pStyle w:val="Heading3"/>
        <w:numPr>
          <w:ilvl w:val="2"/>
          <w:numId w:val="57"/>
        </w:numPr>
        <w:spacing w:before="120"/>
        <w:ind w:right="482"/>
        <w:rPr>
          <w:bCs w:val="0"/>
        </w:rPr>
      </w:pPr>
      <w:bookmarkStart w:id="381" w:name="_Toc101350037"/>
      <w:bookmarkStart w:id="382" w:name="_Toc122478928"/>
      <w:r w:rsidRPr="00894701">
        <w:rPr>
          <w:bCs w:val="0"/>
          <w:caps w:val="0"/>
        </w:rPr>
        <w:t>Direct payments (EITI Requirement 4.1)</w:t>
      </w:r>
      <w:bookmarkEnd w:id="381"/>
      <w:bookmarkEnd w:id="382"/>
    </w:p>
    <w:p w14:paraId="3F871B69" w14:textId="6066259D" w:rsidR="00BB0D9C" w:rsidRPr="00894701" w:rsidRDefault="00BB0D9C" w:rsidP="00FB5CDB">
      <w:pPr>
        <w:jc w:val="both"/>
        <w:rPr>
          <w:rFonts w:cs="Arial"/>
          <w:color w:val="auto"/>
          <w:sz w:val="20"/>
        </w:rPr>
      </w:pPr>
      <w:r w:rsidRPr="00894701">
        <w:rPr>
          <w:rFonts w:cs="Arial"/>
          <w:color w:val="auto"/>
          <w:sz w:val="20"/>
        </w:rPr>
        <w:t>During the scoping phase, Government Agencies that received payment flows from the extractive sectors were consulted. The EITI</w:t>
      </w:r>
      <w:r w:rsidR="00FB5CDB" w:rsidRPr="00894701">
        <w:rPr>
          <w:rFonts w:cs="Arial"/>
          <w:color w:val="auto"/>
          <w:sz w:val="20"/>
        </w:rPr>
        <w:t>-SR</w:t>
      </w:r>
      <w:r w:rsidRPr="00894701">
        <w:rPr>
          <w:rFonts w:cs="Arial"/>
          <w:color w:val="auto"/>
          <w:sz w:val="20"/>
        </w:rPr>
        <w:t xml:space="preserve"> MSG agreed to include in the reconciliation scope the following payment flows without applying any materiality threshold:</w:t>
      </w:r>
    </w:p>
    <w:p w14:paraId="4485C148" w14:textId="0DAAA368" w:rsidR="00E459E8" w:rsidRPr="00894701" w:rsidRDefault="00E459E8" w:rsidP="00842B6F">
      <w:pPr>
        <w:pStyle w:val="BodyText"/>
        <w:jc w:val="center"/>
        <w:rPr>
          <w:b/>
          <w:bCs/>
          <w:color w:val="98002E" w:themeColor="accent3"/>
          <w:sz w:val="20"/>
          <w:szCs w:val="20"/>
        </w:rPr>
      </w:pPr>
      <w:bookmarkStart w:id="383" w:name="_Toc6924841"/>
      <w:bookmarkStart w:id="384" w:name="_Toc104557730"/>
      <w:bookmarkStart w:id="385" w:name="_Toc146590515"/>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43</w:t>
      </w:r>
      <w:r w:rsidRPr="00894701">
        <w:rPr>
          <w:b/>
          <w:bCs/>
          <w:color w:val="98002E" w:themeColor="accent3"/>
          <w:sz w:val="20"/>
          <w:szCs w:val="20"/>
        </w:rPr>
        <w:fldChar w:fldCharType="end"/>
      </w:r>
      <w:r w:rsidRPr="00894701">
        <w:rPr>
          <w:b/>
          <w:bCs/>
          <w:color w:val="98002E" w:themeColor="accent3"/>
          <w:sz w:val="20"/>
          <w:szCs w:val="20"/>
        </w:rPr>
        <w:t>: List of direct payments</w:t>
      </w:r>
      <w:bookmarkEnd w:id="383"/>
      <w:bookmarkEnd w:id="384"/>
      <w:bookmarkEnd w:id="385"/>
    </w:p>
    <w:tbl>
      <w:tblPr>
        <w:tblW w:w="8868" w:type="dxa"/>
        <w:tblInd w:w="416" w:type="dxa"/>
        <w:tblLook w:val="04A0" w:firstRow="1" w:lastRow="0" w:firstColumn="1" w:lastColumn="0" w:noHBand="0" w:noVBand="1"/>
      </w:tblPr>
      <w:tblGrid>
        <w:gridCol w:w="605"/>
        <w:gridCol w:w="7132"/>
        <w:gridCol w:w="277"/>
        <w:gridCol w:w="632"/>
        <w:gridCol w:w="222"/>
      </w:tblGrid>
      <w:tr w:rsidR="00FB5CDB" w:rsidRPr="00894701" w14:paraId="39F44731" w14:textId="77777777" w:rsidTr="00446B8D">
        <w:trPr>
          <w:gridAfter w:val="1"/>
          <w:wAfter w:w="222" w:type="dxa"/>
          <w:trHeight w:val="375"/>
          <w:tblHeader/>
        </w:trPr>
        <w:tc>
          <w:tcPr>
            <w:tcW w:w="605" w:type="dxa"/>
            <w:vMerge w:val="restart"/>
            <w:tcBorders>
              <w:top w:val="single" w:sz="8" w:space="0" w:color="FF0000"/>
              <w:left w:val="single" w:sz="8" w:space="0" w:color="FF0000"/>
              <w:bottom w:val="single" w:sz="8" w:space="0" w:color="FF0000"/>
              <w:right w:val="single" w:sz="8" w:space="0" w:color="FF0000"/>
            </w:tcBorders>
            <w:shd w:val="clear" w:color="000000" w:fill="7A0A1B"/>
            <w:noWrap/>
            <w:vAlign w:val="center"/>
            <w:hideMark/>
          </w:tcPr>
          <w:p w14:paraId="0E0A145A" w14:textId="77777777" w:rsidR="00FB5CDB" w:rsidRPr="00894701" w:rsidRDefault="00FB5CDB" w:rsidP="00446B8D">
            <w:pPr>
              <w:spacing w:after="0" w:line="240" w:lineRule="auto"/>
              <w:jc w:val="center"/>
              <w:rPr>
                <w:rFonts w:cs="Helvetica"/>
                <w:b/>
                <w:bCs/>
                <w:color w:val="FFFFFF"/>
              </w:rPr>
            </w:pPr>
            <w:r w:rsidRPr="00894701">
              <w:rPr>
                <w:rFonts w:cs="Helvetica"/>
                <w:b/>
                <w:bCs/>
                <w:color w:val="FFFFFF"/>
              </w:rPr>
              <w:t xml:space="preserve">Ref. </w:t>
            </w:r>
          </w:p>
        </w:tc>
        <w:tc>
          <w:tcPr>
            <w:tcW w:w="8041" w:type="dxa"/>
            <w:gridSpan w:val="3"/>
            <w:vMerge w:val="restart"/>
            <w:tcBorders>
              <w:top w:val="single" w:sz="8" w:space="0" w:color="FF0000"/>
              <w:left w:val="single" w:sz="8" w:space="0" w:color="FF0000"/>
              <w:bottom w:val="single" w:sz="8" w:space="0" w:color="FF0000"/>
              <w:right w:val="single" w:sz="8" w:space="0" w:color="FF0000"/>
            </w:tcBorders>
            <w:shd w:val="clear" w:color="000000" w:fill="7A0A1B"/>
            <w:noWrap/>
            <w:vAlign w:val="center"/>
            <w:hideMark/>
          </w:tcPr>
          <w:p w14:paraId="33BB77EB" w14:textId="77777777" w:rsidR="00FB5CDB" w:rsidRPr="00894701" w:rsidRDefault="00FB5CDB" w:rsidP="00446B8D">
            <w:pPr>
              <w:spacing w:after="0" w:line="240" w:lineRule="auto"/>
              <w:jc w:val="center"/>
              <w:rPr>
                <w:rFonts w:cs="Helvetica"/>
                <w:b/>
                <w:bCs/>
                <w:color w:val="FFFFFF"/>
              </w:rPr>
            </w:pPr>
            <w:r w:rsidRPr="00894701">
              <w:rPr>
                <w:rFonts w:cs="Helvetica"/>
                <w:b/>
                <w:bCs/>
                <w:color w:val="FFFFFF"/>
              </w:rPr>
              <w:t xml:space="preserve">Type of payment/Revenue </w:t>
            </w:r>
          </w:p>
        </w:tc>
      </w:tr>
      <w:tr w:rsidR="00FB5CDB" w:rsidRPr="00894701" w14:paraId="311DA2CE" w14:textId="77777777" w:rsidTr="00446B8D">
        <w:trPr>
          <w:trHeight w:val="300"/>
        </w:trPr>
        <w:tc>
          <w:tcPr>
            <w:tcW w:w="605" w:type="dxa"/>
            <w:vMerge/>
            <w:tcBorders>
              <w:top w:val="single" w:sz="8" w:space="0" w:color="FF0000"/>
              <w:left w:val="single" w:sz="8" w:space="0" w:color="FF0000"/>
              <w:bottom w:val="single" w:sz="8" w:space="0" w:color="FF0000"/>
              <w:right w:val="single" w:sz="8" w:space="0" w:color="FF0000"/>
            </w:tcBorders>
            <w:vAlign w:val="center"/>
            <w:hideMark/>
          </w:tcPr>
          <w:p w14:paraId="6B5BEDF4" w14:textId="77777777" w:rsidR="00FB5CDB" w:rsidRPr="00894701" w:rsidRDefault="00FB5CDB" w:rsidP="00446B8D">
            <w:pPr>
              <w:spacing w:after="0" w:line="240" w:lineRule="auto"/>
              <w:rPr>
                <w:rFonts w:cs="Helvetica"/>
                <w:b/>
                <w:bCs/>
                <w:color w:val="FFFFFF"/>
              </w:rPr>
            </w:pPr>
          </w:p>
        </w:tc>
        <w:tc>
          <w:tcPr>
            <w:tcW w:w="8041" w:type="dxa"/>
            <w:gridSpan w:val="3"/>
            <w:vMerge/>
            <w:tcBorders>
              <w:top w:val="single" w:sz="8" w:space="0" w:color="FF0000"/>
              <w:left w:val="single" w:sz="8" w:space="0" w:color="FF0000"/>
              <w:bottom w:val="single" w:sz="8" w:space="0" w:color="FF0000"/>
              <w:right w:val="single" w:sz="8" w:space="0" w:color="FF0000"/>
            </w:tcBorders>
            <w:vAlign w:val="center"/>
            <w:hideMark/>
          </w:tcPr>
          <w:p w14:paraId="40C48A99" w14:textId="77777777" w:rsidR="00FB5CDB" w:rsidRPr="00894701" w:rsidRDefault="00FB5CDB" w:rsidP="00446B8D">
            <w:pPr>
              <w:spacing w:after="0" w:line="240" w:lineRule="auto"/>
              <w:rPr>
                <w:rFonts w:cs="Helvetica"/>
                <w:b/>
                <w:bCs/>
                <w:color w:val="FFFFFF"/>
              </w:rPr>
            </w:pPr>
          </w:p>
        </w:tc>
        <w:tc>
          <w:tcPr>
            <w:tcW w:w="222" w:type="dxa"/>
            <w:tcBorders>
              <w:top w:val="nil"/>
              <w:left w:val="nil"/>
              <w:bottom w:val="nil"/>
              <w:right w:val="nil"/>
            </w:tcBorders>
            <w:shd w:val="clear" w:color="auto" w:fill="auto"/>
            <w:noWrap/>
            <w:vAlign w:val="bottom"/>
            <w:hideMark/>
          </w:tcPr>
          <w:p w14:paraId="4F05EB38" w14:textId="77777777" w:rsidR="00FB5CDB" w:rsidRPr="00894701" w:rsidRDefault="00FB5CDB" w:rsidP="00446B8D">
            <w:pPr>
              <w:spacing w:after="0" w:line="240" w:lineRule="auto"/>
              <w:jc w:val="center"/>
              <w:rPr>
                <w:rFonts w:cs="Helvetica"/>
                <w:b/>
                <w:bCs/>
                <w:color w:val="FFFFFF"/>
              </w:rPr>
            </w:pPr>
          </w:p>
        </w:tc>
      </w:tr>
      <w:tr w:rsidR="00FB5CDB" w:rsidRPr="00894701" w14:paraId="101C9781" w14:textId="77777777" w:rsidTr="00446B8D">
        <w:trPr>
          <w:trHeight w:val="300"/>
        </w:trPr>
        <w:tc>
          <w:tcPr>
            <w:tcW w:w="7737" w:type="dxa"/>
            <w:gridSpan w:val="2"/>
            <w:tcBorders>
              <w:top w:val="single" w:sz="8" w:space="0" w:color="FF0000"/>
              <w:left w:val="single" w:sz="8" w:space="0" w:color="FF0000"/>
              <w:bottom w:val="single" w:sz="8" w:space="0" w:color="FF0000"/>
              <w:right w:val="nil"/>
            </w:tcBorders>
            <w:shd w:val="clear" w:color="000000" w:fill="808080"/>
            <w:noWrap/>
            <w:vAlign w:val="center"/>
            <w:hideMark/>
          </w:tcPr>
          <w:p w14:paraId="58FB7C0C" w14:textId="77777777" w:rsidR="00FB5CDB" w:rsidRPr="00894701" w:rsidRDefault="00FB5CDB" w:rsidP="00446B8D">
            <w:pPr>
              <w:spacing w:after="0" w:line="240" w:lineRule="auto"/>
              <w:rPr>
                <w:rFonts w:cs="Helvetica"/>
                <w:b/>
                <w:bCs/>
                <w:color w:val="FFFFFF"/>
              </w:rPr>
            </w:pPr>
            <w:r w:rsidRPr="00894701">
              <w:rPr>
                <w:rFonts w:cs="Helvetica"/>
                <w:b/>
                <w:bCs/>
                <w:color w:val="FFFFFF"/>
              </w:rPr>
              <w:t>Payments in cash or in-kind</w:t>
            </w:r>
          </w:p>
        </w:tc>
        <w:tc>
          <w:tcPr>
            <w:tcW w:w="277" w:type="dxa"/>
            <w:tcBorders>
              <w:top w:val="nil"/>
              <w:left w:val="nil"/>
              <w:bottom w:val="single" w:sz="8" w:space="0" w:color="FF0000"/>
              <w:right w:val="nil"/>
            </w:tcBorders>
            <w:shd w:val="clear" w:color="000000" w:fill="808080"/>
            <w:noWrap/>
            <w:vAlign w:val="center"/>
            <w:hideMark/>
          </w:tcPr>
          <w:p w14:paraId="42D2AF93" w14:textId="77777777" w:rsidR="00FB5CDB" w:rsidRPr="00894701" w:rsidRDefault="00FB5CDB" w:rsidP="00446B8D">
            <w:pPr>
              <w:spacing w:after="0" w:line="240" w:lineRule="auto"/>
              <w:rPr>
                <w:rFonts w:cs="Helvetica"/>
                <w:b/>
                <w:bCs/>
                <w:color w:val="FFFFFF"/>
              </w:rPr>
            </w:pPr>
            <w:r w:rsidRPr="00894701">
              <w:rPr>
                <w:rFonts w:cs="Helvetica"/>
                <w:b/>
                <w:bCs/>
                <w:color w:val="FFFFFF"/>
              </w:rPr>
              <w:t> </w:t>
            </w:r>
          </w:p>
        </w:tc>
        <w:tc>
          <w:tcPr>
            <w:tcW w:w="632" w:type="dxa"/>
            <w:tcBorders>
              <w:top w:val="nil"/>
              <w:left w:val="nil"/>
              <w:bottom w:val="single" w:sz="8" w:space="0" w:color="FF0000"/>
              <w:right w:val="nil"/>
            </w:tcBorders>
            <w:shd w:val="clear" w:color="000000" w:fill="808080"/>
            <w:noWrap/>
            <w:vAlign w:val="center"/>
            <w:hideMark/>
          </w:tcPr>
          <w:p w14:paraId="27A684BA" w14:textId="77777777" w:rsidR="00FB5CDB" w:rsidRPr="00894701" w:rsidRDefault="00FB5CDB" w:rsidP="00446B8D">
            <w:pPr>
              <w:spacing w:after="0" w:line="240" w:lineRule="auto"/>
              <w:rPr>
                <w:rFonts w:cs="Helvetica"/>
                <w:b/>
                <w:bCs/>
                <w:color w:val="FFFFFF"/>
              </w:rPr>
            </w:pPr>
            <w:r w:rsidRPr="00894701">
              <w:rPr>
                <w:rFonts w:cs="Helvetica"/>
                <w:b/>
                <w:bCs/>
                <w:color w:val="FFFFFF"/>
              </w:rPr>
              <w:t> </w:t>
            </w:r>
          </w:p>
        </w:tc>
        <w:tc>
          <w:tcPr>
            <w:tcW w:w="222" w:type="dxa"/>
            <w:vAlign w:val="center"/>
            <w:hideMark/>
          </w:tcPr>
          <w:p w14:paraId="3A3EA3BF" w14:textId="77777777" w:rsidR="00FB5CDB" w:rsidRPr="00894701" w:rsidRDefault="00FB5CDB" w:rsidP="00446B8D">
            <w:pPr>
              <w:spacing w:after="0" w:line="240" w:lineRule="auto"/>
              <w:rPr>
                <w:rFonts w:ascii="Times New Roman" w:hAnsi="Times New Roman"/>
              </w:rPr>
            </w:pPr>
          </w:p>
        </w:tc>
      </w:tr>
      <w:tr w:rsidR="00FB5CDB" w:rsidRPr="00894701" w14:paraId="06EF7394" w14:textId="77777777" w:rsidTr="00446B8D">
        <w:trPr>
          <w:trHeight w:val="300"/>
        </w:trPr>
        <w:tc>
          <w:tcPr>
            <w:tcW w:w="7737" w:type="dxa"/>
            <w:gridSpan w:val="2"/>
            <w:tcBorders>
              <w:top w:val="single" w:sz="8" w:space="0" w:color="FF0000"/>
              <w:left w:val="single" w:sz="8" w:space="0" w:color="FF0000"/>
              <w:bottom w:val="single" w:sz="8" w:space="0" w:color="FF0000"/>
              <w:right w:val="nil"/>
            </w:tcBorders>
            <w:shd w:val="clear" w:color="000000" w:fill="AEAAAA"/>
            <w:noWrap/>
            <w:vAlign w:val="center"/>
            <w:hideMark/>
          </w:tcPr>
          <w:p w14:paraId="33ECDD6C" w14:textId="552FCFED" w:rsidR="00FB5CDB" w:rsidRPr="00894701" w:rsidRDefault="00FB5CDB" w:rsidP="00446B8D">
            <w:pPr>
              <w:spacing w:after="0" w:line="240" w:lineRule="auto"/>
              <w:rPr>
                <w:rFonts w:cs="Helvetica"/>
                <w:b/>
                <w:bCs/>
                <w:color w:val="333F4F"/>
              </w:rPr>
            </w:pPr>
            <w:r w:rsidRPr="00894701">
              <w:rPr>
                <w:rFonts w:cs="Helvetica"/>
                <w:b/>
                <w:bCs/>
                <w:color w:val="333F4F"/>
              </w:rPr>
              <w:t>Ministry of Finance</w:t>
            </w:r>
            <w:r w:rsidR="009A7527" w:rsidRPr="00894701">
              <w:rPr>
                <w:rFonts w:cs="Helvetica"/>
                <w:b/>
                <w:bCs/>
                <w:color w:val="333F4F"/>
              </w:rPr>
              <w:t xml:space="preserve"> and Planning</w:t>
            </w:r>
            <w:r w:rsidRPr="00894701">
              <w:rPr>
                <w:rFonts w:cs="Helvetica"/>
                <w:b/>
                <w:bCs/>
                <w:color w:val="333F4F"/>
              </w:rPr>
              <w:t xml:space="preserve"> (MoF</w:t>
            </w:r>
            <w:r w:rsidR="009A7527" w:rsidRPr="00894701">
              <w:rPr>
                <w:rFonts w:cs="Helvetica"/>
                <w:b/>
                <w:bCs/>
                <w:color w:val="333F4F"/>
              </w:rPr>
              <w:t>P</w:t>
            </w:r>
            <w:r w:rsidRPr="00894701">
              <w:rPr>
                <w:rFonts w:cs="Helvetica"/>
                <w:b/>
                <w:bCs/>
                <w:color w:val="333F4F"/>
              </w:rPr>
              <w:t xml:space="preserve">) </w:t>
            </w:r>
          </w:p>
        </w:tc>
        <w:tc>
          <w:tcPr>
            <w:tcW w:w="277" w:type="dxa"/>
            <w:tcBorders>
              <w:top w:val="nil"/>
              <w:left w:val="nil"/>
              <w:bottom w:val="single" w:sz="8" w:space="0" w:color="FF0000"/>
              <w:right w:val="nil"/>
            </w:tcBorders>
            <w:shd w:val="clear" w:color="000000" w:fill="AEAAAA"/>
            <w:noWrap/>
            <w:vAlign w:val="center"/>
            <w:hideMark/>
          </w:tcPr>
          <w:p w14:paraId="20F73C7F" w14:textId="77777777" w:rsidR="00FB5CDB" w:rsidRPr="00894701" w:rsidRDefault="00FB5CDB" w:rsidP="00446B8D">
            <w:pPr>
              <w:spacing w:after="0" w:line="240" w:lineRule="auto"/>
              <w:rPr>
                <w:rFonts w:cs="Helvetica"/>
                <w:b/>
                <w:bCs/>
                <w:color w:val="333F4F"/>
              </w:rPr>
            </w:pPr>
            <w:r w:rsidRPr="00894701">
              <w:rPr>
                <w:rFonts w:cs="Helvetica"/>
                <w:b/>
                <w:bCs/>
                <w:color w:val="333F4F"/>
              </w:rPr>
              <w:t> </w:t>
            </w:r>
          </w:p>
        </w:tc>
        <w:tc>
          <w:tcPr>
            <w:tcW w:w="632" w:type="dxa"/>
            <w:tcBorders>
              <w:top w:val="nil"/>
              <w:left w:val="nil"/>
              <w:bottom w:val="single" w:sz="8" w:space="0" w:color="FF0000"/>
              <w:right w:val="nil"/>
            </w:tcBorders>
            <w:shd w:val="clear" w:color="000000" w:fill="AEAAAA"/>
            <w:noWrap/>
            <w:vAlign w:val="center"/>
            <w:hideMark/>
          </w:tcPr>
          <w:p w14:paraId="47D899D2" w14:textId="77777777" w:rsidR="00FB5CDB" w:rsidRPr="00894701" w:rsidRDefault="00FB5CDB" w:rsidP="00446B8D">
            <w:pPr>
              <w:spacing w:after="0" w:line="240" w:lineRule="auto"/>
              <w:rPr>
                <w:rFonts w:cs="Helvetica"/>
                <w:b/>
                <w:bCs/>
                <w:color w:val="333F4F"/>
              </w:rPr>
            </w:pPr>
            <w:r w:rsidRPr="00894701">
              <w:rPr>
                <w:rFonts w:cs="Helvetica"/>
                <w:b/>
                <w:bCs/>
                <w:color w:val="333F4F"/>
              </w:rPr>
              <w:t> </w:t>
            </w:r>
          </w:p>
        </w:tc>
        <w:tc>
          <w:tcPr>
            <w:tcW w:w="222" w:type="dxa"/>
            <w:vAlign w:val="center"/>
            <w:hideMark/>
          </w:tcPr>
          <w:p w14:paraId="5B91E448" w14:textId="77777777" w:rsidR="00FB5CDB" w:rsidRPr="00894701" w:rsidRDefault="00FB5CDB" w:rsidP="00446B8D">
            <w:pPr>
              <w:spacing w:after="0" w:line="240" w:lineRule="auto"/>
              <w:rPr>
                <w:rFonts w:ascii="Times New Roman" w:hAnsi="Times New Roman"/>
              </w:rPr>
            </w:pPr>
          </w:p>
        </w:tc>
      </w:tr>
      <w:tr w:rsidR="00FB5CDB" w:rsidRPr="00894701" w14:paraId="1867A70A" w14:textId="77777777" w:rsidTr="00446B8D">
        <w:trPr>
          <w:trHeight w:val="300"/>
        </w:trPr>
        <w:tc>
          <w:tcPr>
            <w:tcW w:w="605" w:type="dxa"/>
            <w:tcBorders>
              <w:top w:val="nil"/>
              <w:left w:val="single" w:sz="8" w:space="0" w:color="FF0000"/>
              <w:bottom w:val="single" w:sz="8" w:space="0" w:color="FF0000"/>
              <w:right w:val="single" w:sz="8" w:space="0" w:color="FF0000"/>
            </w:tcBorders>
            <w:shd w:val="clear" w:color="000000" w:fill="F8A3AF"/>
            <w:noWrap/>
            <w:vAlign w:val="center"/>
            <w:hideMark/>
          </w:tcPr>
          <w:p w14:paraId="2B31AAF1" w14:textId="77777777" w:rsidR="00FB5CDB" w:rsidRPr="00894701" w:rsidRDefault="00FB5CDB" w:rsidP="00446B8D">
            <w:pPr>
              <w:spacing w:after="0" w:line="240" w:lineRule="auto"/>
              <w:jc w:val="center"/>
              <w:rPr>
                <w:rFonts w:cs="Helvetica"/>
                <w:color w:val="000000"/>
              </w:rPr>
            </w:pPr>
            <w:r w:rsidRPr="00894701">
              <w:rPr>
                <w:rFonts w:cs="Helvetica"/>
                <w:color w:val="000000"/>
              </w:rPr>
              <w:t>1.1</w:t>
            </w:r>
          </w:p>
        </w:tc>
        <w:tc>
          <w:tcPr>
            <w:tcW w:w="7132" w:type="dxa"/>
            <w:tcBorders>
              <w:top w:val="nil"/>
              <w:left w:val="nil"/>
              <w:bottom w:val="single" w:sz="8" w:space="0" w:color="FF0000"/>
              <w:right w:val="nil"/>
            </w:tcBorders>
            <w:shd w:val="clear" w:color="000000" w:fill="F8A3AF"/>
            <w:noWrap/>
            <w:vAlign w:val="center"/>
            <w:hideMark/>
          </w:tcPr>
          <w:p w14:paraId="2B779F8B" w14:textId="77777777" w:rsidR="00FB5CDB" w:rsidRPr="00894701" w:rsidRDefault="00FB5CDB" w:rsidP="00446B8D">
            <w:pPr>
              <w:spacing w:after="0" w:line="240" w:lineRule="auto"/>
              <w:rPr>
                <w:rFonts w:cs="Helvetica"/>
                <w:color w:val="000000"/>
              </w:rPr>
            </w:pPr>
            <w:r w:rsidRPr="00894701">
              <w:rPr>
                <w:rFonts w:cs="Helvetica"/>
                <w:color w:val="000000"/>
              </w:rPr>
              <w:t xml:space="preserve">Concession Fees </w:t>
            </w:r>
          </w:p>
        </w:tc>
        <w:tc>
          <w:tcPr>
            <w:tcW w:w="277" w:type="dxa"/>
            <w:tcBorders>
              <w:top w:val="nil"/>
              <w:left w:val="nil"/>
              <w:bottom w:val="single" w:sz="8" w:space="0" w:color="FF0000"/>
              <w:right w:val="nil"/>
            </w:tcBorders>
            <w:shd w:val="clear" w:color="000000" w:fill="F8A3AF"/>
            <w:noWrap/>
            <w:vAlign w:val="center"/>
            <w:hideMark/>
          </w:tcPr>
          <w:p w14:paraId="27304F9F"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632" w:type="dxa"/>
            <w:tcBorders>
              <w:top w:val="nil"/>
              <w:left w:val="nil"/>
              <w:bottom w:val="single" w:sz="8" w:space="0" w:color="FF0000"/>
              <w:right w:val="single" w:sz="8" w:space="0" w:color="FF0000"/>
            </w:tcBorders>
            <w:shd w:val="clear" w:color="000000" w:fill="F8A3AF"/>
            <w:noWrap/>
            <w:vAlign w:val="center"/>
            <w:hideMark/>
          </w:tcPr>
          <w:p w14:paraId="036B3C1D"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222" w:type="dxa"/>
            <w:vAlign w:val="center"/>
            <w:hideMark/>
          </w:tcPr>
          <w:p w14:paraId="43EDE499" w14:textId="77777777" w:rsidR="00FB5CDB" w:rsidRPr="00894701" w:rsidRDefault="00FB5CDB" w:rsidP="00446B8D">
            <w:pPr>
              <w:spacing w:after="0" w:line="240" w:lineRule="auto"/>
              <w:rPr>
                <w:rFonts w:ascii="Times New Roman" w:hAnsi="Times New Roman"/>
              </w:rPr>
            </w:pPr>
          </w:p>
        </w:tc>
      </w:tr>
      <w:tr w:rsidR="00FB5CDB" w:rsidRPr="00894701" w14:paraId="10EB0D7B" w14:textId="77777777" w:rsidTr="00446B8D">
        <w:trPr>
          <w:trHeight w:val="300"/>
        </w:trPr>
        <w:tc>
          <w:tcPr>
            <w:tcW w:w="605" w:type="dxa"/>
            <w:tcBorders>
              <w:top w:val="nil"/>
              <w:left w:val="single" w:sz="8" w:space="0" w:color="FF0000"/>
              <w:bottom w:val="single" w:sz="8" w:space="0" w:color="FF0000"/>
              <w:right w:val="single" w:sz="8" w:space="0" w:color="FF0000"/>
            </w:tcBorders>
            <w:shd w:val="clear" w:color="auto" w:fill="auto"/>
            <w:noWrap/>
            <w:vAlign w:val="center"/>
            <w:hideMark/>
          </w:tcPr>
          <w:p w14:paraId="5B7FDBDC" w14:textId="77777777" w:rsidR="00FB5CDB" w:rsidRPr="00894701" w:rsidRDefault="00FB5CDB" w:rsidP="00446B8D">
            <w:pPr>
              <w:spacing w:after="0" w:line="240" w:lineRule="auto"/>
              <w:jc w:val="center"/>
              <w:rPr>
                <w:rFonts w:cs="Helvetica"/>
                <w:color w:val="000000"/>
              </w:rPr>
            </w:pPr>
            <w:r w:rsidRPr="00894701">
              <w:rPr>
                <w:rFonts w:cs="Helvetica"/>
                <w:color w:val="000000"/>
              </w:rPr>
              <w:t>1.2</w:t>
            </w:r>
          </w:p>
        </w:tc>
        <w:tc>
          <w:tcPr>
            <w:tcW w:w="7132" w:type="dxa"/>
            <w:tcBorders>
              <w:top w:val="nil"/>
              <w:left w:val="nil"/>
              <w:bottom w:val="single" w:sz="8" w:space="0" w:color="FF0000"/>
              <w:right w:val="nil"/>
            </w:tcBorders>
            <w:shd w:val="clear" w:color="auto" w:fill="auto"/>
            <w:noWrap/>
            <w:vAlign w:val="center"/>
            <w:hideMark/>
          </w:tcPr>
          <w:p w14:paraId="53226DB9" w14:textId="77777777" w:rsidR="00FB5CDB" w:rsidRPr="00894701" w:rsidRDefault="00FB5CDB" w:rsidP="00446B8D">
            <w:pPr>
              <w:spacing w:after="0" w:line="240" w:lineRule="auto"/>
              <w:rPr>
                <w:rFonts w:cs="Helvetica"/>
                <w:color w:val="000000"/>
              </w:rPr>
            </w:pPr>
            <w:r w:rsidRPr="00894701">
              <w:rPr>
                <w:rFonts w:cs="Helvetica"/>
                <w:color w:val="000000"/>
              </w:rPr>
              <w:t>Exploration fees yearly</w:t>
            </w:r>
          </w:p>
        </w:tc>
        <w:tc>
          <w:tcPr>
            <w:tcW w:w="277" w:type="dxa"/>
            <w:tcBorders>
              <w:top w:val="nil"/>
              <w:left w:val="nil"/>
              <w:bottom w:val="single" w:sz="8" w:space="0" w:color="FF0000"/>
              <w:right w:val="nil"/>
            </w:tcBorders>
            <w:shd w:val="clear" w:color="auto" w:fill="auto"/>
            <w:noWrap/>
            <w:vAlign w:val="center"/>
            <w:hideMark/>
          </w:tcPr>
          <w:p w14:paraId="6AD83423"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632" w:type="dxa"/>
            <w:tcBorders>
              <w:top w:val="nil"/>
              <w:left w:val="nil"/>
              <w:bottom w:val="single" w:sz="8" w:space="0" w:color="FF0000"/>
              <w:right w:val="single" w:sz="8" w:space="0" w:color="FF0000"/>
            </w:tcBorders>
            <w:shd w:val="clear" w:color="auto" w:fill="auto"/>
            <w:noWrap/>
            <w:vAlign w:val="center"/>
            <w:hideMark/>
          </w:tcPr>
          <w:p w14:paraId="03550C11"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222" w:type="dxa"/>
            <w:vAlign w:val="center"/>
            <w:hideMark/>
          </w:tcPr>
          <w:p w14:paraId="70BCAAA2" w14:textId="77777777" w:rsidR="00FB5CDB" w:rsidRPr="00894701" w:rsidRDefault="00FB5CDB" w:rsidP="00446B8D">
            <w:pPr>
              <w:spacing w:after="0" w:line="240" w:lineRule="auto"/>
              <w:rPr>
                <w:rFonts w:ascii="Times New Roman" w:hAnsi="Times New Roman"/>
              </w:rPr>
            </w:pPr>
          </w:p>
        </w:tc>
      </w:tr>
      <w:tr w:rsidR="00FB5CDB" w:rsidRPr="00894701" w14:paraId="1F3912FD" w14:textId="77777777" w:rsidTr="00446B8D">
        <w:trPr>
          <w:trHeight w:val="300"/>
        </w:trPr>
        <w:tc>
          <w:tcPr>
            <w:tcW w:w="605" w:type="dxa"/>
            <w:tcBorders>
              <w:top w:val="nil"/>
              <w:left w:val="single" w:sz="8" w:space="0" w:color="FF0000"/>
              <w:bottom w:val="single" w:sz="8" w:space="0" w:color="FF0000"/>
              <w:right w:val="single" w:sz="8" w:space="0" w:color="FF0000"/>
            </w:tcBorders>
            <w:shd w:val="clear" w:color="000000" w:fill="F8A3AF"/>
            <w:noWrap/>
            <w:vAlign w:val="center"/>
            <w:hideMark/>
          </w:tcPr>
          <w:p w14:paraId="2470DF35" w14:textId="77777777" w:rsidR="00FB5CDB" w:rsidRPr="00894701" w:rsidRDefault="00FB5CDB" w:rsidP="00446B8D">
            <w:pPr>
              <w:spacing w:after="0" w:line="240" w:lineRule="auto"/>
              <w:jc w:val="center"/>
              <w:rPr>
                <w:rFonts w:cs="Helvetica"/>
                <w:color w:val="000000"/>
              </w:rPr>
            </w:pPr>
            <w:r w:rsidRPr="00894701">
              <w:rPr>
                <w:rFonts w:cs="Helvetica"/>
                <w:color w:val="000000"/>
              </w:rPr>
              <w:t>1.3</w:t>
            </w:r>
          </w:p>
        </w:tc>
        <w:tc>
          <w:tcPr>
            <w:tcW w:w="7132" w:type="dxa"/>
            <w:tcBorders>
              <w:top w:val="nil"/>
              <w:left w:val="nil"/>
              <w:bottom w:val="single" w:sz="8" w:space="0" w:color="FF0000"/>
              <w:right w:val="nil"/>
            </w:tcBorders>
            <w:shd w:val="clear" w:color="000000" w:fill="F8A3AF"/>
            <w:noWrap/>
            <w:vAlign w:val="center"/>
            <w:hideMark/>
          </w:tcPr>
          <w:p w14:paraId="192FBE96" w14:textId="77777777" w:rsidR="00FB5CDB" w:rsidRPr="00894701" w:rsidRDefault="00FB5CDB" w:rsidP="00446B8D">
            <w:pPr>
              <w:spacing w:after="0" w:line="240" w:lineRule="auto"/>
              <w:rPr>
                <w:rFonts w:cs="Helvetica"/>
                <w:color w:val="000000"/>
              </w:rPr>
            </w:pPr>
            <w:r w:rsidRPr="00894701">
              <w:rPr>
                <w:rFonts w:cs="Helvetica"/>
                <w:color w:val="000000"/>
              </w:rPr>
              <w:t xml:space="preserve"> Exploitation fee yearly</w:t>
            </w:r>
          </w:p>
        </w:tc>
        <w:tc>
          <w:tcPr>
            <w:tcW w:w="277" w:type="dxa"/>
            <w:tcBorders>
              <w:top w:val="nil"/>
              <w:left w:val="nil"/>
              <w:bottom w:val="single" w:sz="8" w:space="0" w:color="FF0000"/>
              <w:right w:val="nil"/>
            </w:tcBorders>
            <w:shd w:val="clear" w:color="000000" w:fill="F8A3AF"/>
            <w:noWrap/>
            <w:vAlign w:val="center"/>
            <w:hideMark/>
          </w:tcPr>
          <w:p w14:paraId="57AF3B29"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632" w:type="dxa"/>
            <w:tcBorders>
              <w:top w:val="nil"/>
              <w:left w:val="nil"/>
              <w:bottom w:val="single" w:sz="8" w:space="0" w:color="FF0000"/>
              <w:right w:val="single" w:sz="8" w:space="0" w:color="FF0000"/>
            </w:tcBorders>
            <w:shd w:val="clear" w:color="000000" w:fill="F8A3AF"/>
            <w:noWrap/>
            <w:vAlign w:val="center"/>
            <w:hideMark/>
          </w:tcPr>
          <w:p w14:paraId="787D7659"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222" w:type="dxa"/>
            <w:vAlign w:val="center"/>
            <w:hideMark/>
          </w:tcPr>
          <w:p w14:paraId="0032281A" w14:textId="77777777" w:rsidR="00FB5CDB" w:rsidRPr="00894701" w:rsidRDefault="00FB5CDB" w:rsidP="00446B8D">
            <w:pPr>
              <w:spacing w:after="0" w:line="240" w:lineRule="auto"/>
              <w:rPr>
                <w:rFonts w:ascii="Times New Roman" w:hAnsi="Times New Roman"/>
              </w:rPr>
            </w:pPr>
          </w:p>
        </w:tc>
      </w:tr>
      <w:tr w:rsidR="00FB5CDB" w:rsidRPr="00894701" w14:paraId="5C9D399D" w14:textId="77777777" w:rsidTr="00446B8D">
        <w:trPr>
          <w:trHeight w:val="300"/>
        </w:trPr>
        <w:tc>
          <w:tcPr>
            <w:tcW w:w="605" w:type="dxa"/>
            <w:tcBorders>
              <w:top w:val="nil"/>
              <w:left w:val="single" w:sz="8" w:space="0" w:color="FF0000"/>
              <w:bottom w:val="single" w:sz="8" w:space="0" w:color="FF0000"/>
              <w:right w:val="single" w:sz="8" w:space="0" w:color="FF0000"/>
            </w:tcBorders>
            <w:shd w:val="clear" w:color="auto" w:fill="auto"/>
            <w:noWrap/>
            <w:vAlign w:val="center"/>
            <w:hideMark/>
          </w:tcPr>
          <w:p w14:paraId="6B9A2776" w14:textId="77777777" w:rsidR="00FB5CDB" w:rsidRPr="00894701" w:rsidRDefault="00FB5CDB" w:rsidP="00446B8D">
            <w:pPr>
              <w:spacing w:after="0" w:line="240" w:lineRule="auto"/>
              <w:jc w:val="center"/>
              <w:rPr>
                <w:rFonts w:cs="Helvetica"/>
                <w:color w:val="000000"/>
              </w:rPr>
            </w:pPr>
            <w:r w:rsidRPr="00894701">
              <w:rPr>
                <w:rFonts w:cs="Helvetica"/>
                <w:color w:val="000000"/>
              </w:rPr>
              <w:t>1.4</w:t>
            </w:r>
          </w:p>
        </w:tc>
        <w:tc>
          <w:tcPr>
            <w:tcW w:w="7132" w:type="dxa"/>
            <w:tcBorders>
              <w:top w:val="nil"/>
              <w:left w:val="nil"/>
              <w:bottom w:val="single" w:sz="8" w:space="0" w:color="FF0000"/>
              <w:right w:val="nil"/>
            </w:tcBorders>
            <w:shd w:val="clear" w:color="auto" w:fill="auto"/>
            <w:noWrap/>
            <w:vAlign w:val="center"/>
            <w:hideMark/>
          </w:tcPr>
          <w:p w14:paraId="13E8C0E6" w14:textId="77777777" w:rsidR="00FB5CDB" w:rsidRPr="00894701" w:rsidRDefault="00FB5CDB" w:rsidP="00446B8D">
            <w:pPr>
              <w:spacing w:after="0" w:line="240" w:lineRule="auto"/>
              <w:rPr>
                <w:rFonts w:cs="Helvetica"/>
                <w:color w:val="000000"/>
              </w:rPr>
            </w:pPr>
            <w:r w:rsidRPr="00894701">
              <w:rPr>
                <w:rFonts w:cs="Helvetica"/>
                <w:color w:val="000000"/>
              </w:rPr>
              <w:t>Fee Quarry building materials</w:t>
            </w:r>
          </w:p>
        </w:tc>
        <w:tc>
          <w:tcPr>
            <w:tcW w:w="277" w:type="dxa"/>
            <w:tcBorders>
              <w:top w:val="nil"/>
              <w:left w:val="nil"/>
              <w:bottom w:val="single" w:sz="8" w:space="0" w:color="FF0000"/>
              <w:right w:val="nil"/>
            </w:tcBorders>
            <w:shd w:val="clear" w:color="auto" w:fill="auto"/>
            <w:noWrap/>
            <w:vAlign w:val="center"/>
            <w:hideMark/>
          </w:tcPr>
          <w:p w14:paraId="633CE1BD"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632" w:type="dxa"/>
            <w:tcBorders>
              <w:top w:val="nil"/>
              <w:left w:val="nil"/>
              <w:bottom w:val="single" w:sz="8" w:space="0" w:color="FF0000"/>
              <w:right w:val="single" w:sz="8" w:space="0" w:color="FF0000"/>
            </w:tcBorders>
            <w:shd w:val="clear" w:color="auto" w:fill="auto"/>
            <w:noWrap/>
            <w:vAlign w:val="center"/>
            <w:hideMark/>
          </w:tcPr>
          <w:p w14:paraId="31ACF39E"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222" w:type="dxa"/>
            <w:vAlign w:val="center"/>
            <w:hideMark/>
          </w:tcPr>
          <w:p w14:paraId="530AB3B6" w14:textId="77777777" w:rsidR="00FB5CDB" w:rsidRPr="00894701" w:rsidRDefault="00FB5CDB" w:rsidP="00446B8D">
            <w:pPr>
              <w:spacing w:after="0" w:line="240" w:lineRule="auto"/>
              <w:rPr>
                <w:rFonts w:ascii="Times New Roman" w:hAnsi="Times New Roman"/>
              </w:rPr>
            </w:pPr>
          </w:p>
        </w:tc>
      </w:tr>
      <w:tr w:rsidR="00FB5CDB" w:rsidRPr="00894701" w14:paraId="174ACCA2" w14:textId="77777777" w:rsidTr="00446B8D">
        <w:trPr>
          <w:trHeight w:val="300"/>
        </w:trPr>
        <w:tc>
          <w:tcPr>
            <w:tcW w:w="605" w:type="dxa"/>
            <w:tcBorders>
              <w:top w:val="nil"/>
              <w:left w:val="single" w:sz="8" w:space="0" w:color="FF0000"/>
              <w:bottom w:val="single" w:sz="8" w:space="0" w:color="FF0000"/>
              <w:right w:val="single" w:sz="8" w:space="0" w:color="FF0000"/>
            </w:tcBorders>
            <w:shd w:val="clear" w:color="000000" w:fill="F8A3AF"/>
            <w:noWrap/>
            <w:vAlign w:val="center"/>
            <w:hideMark/>
          </w:tcPr>
          <w:p w14:paraId="16B8167A" w14:textId="77777777" w:rsidR="00FB5CDB" w:rsidRPr="00894701" w:rsidRDefault="00FB5CDB" w:rsidP="00446B8D">
            <w:pPr>
              <w:spacing w:after="0" w:line="240" w:lineRule="auto"/>
              <w:jc w:val="center"/>
              <w:rPr>
                <w:rFonts w:cs="Helvetica"/>
                <w:color w:val="000000"/>
              </w:rPr>
            </w:pPr>
            <w:r w:rsidRPr="00894701">
              <w:rPr>
                <w:rFonts w:cs="Helvetica"/>
                <w:color w:val="000000"/>
              </w:rPr>
              <w:t>1.5</w:t>
            </w:r>
          </w:p>
        </w:tc>
        <w:tc>
          <w:tcPr>
            <w:tcW w:w="7132" w:type="dxa"/>
            <w:tcBorders>
              <w:top w:val="nil"/>
              <w:left w:val="nil"/>
              <w:bottom w:val="single" w:sz="8" w:space="0" w:color="FF0000"/>
              <w:right w:val="nil"/>
            </w:tcBorders>
            <w:shd w:val="clear" w:color="000000" w:fill="F8A3AF"/>
            <w:noWrap/>
            <w:vAlign w:val="center"/>
            <w:hideMark/>
          </w:tcPr>
          <w:p w14:paraId="2F430303" w14:textId="77777777" w:rsidR="00FB5CDB" w:rsidRPr="00894701" w:rsidRDefault="00FB5CDB" w:rsidP="00446B8D">
            <w:pPr>
              <w:spacing w:after="0" w:line="240" w:lineRule="auto"/>
              <w:rPr>
                <w:rFonts w:cs="Helvetica"/>
                <w:color w:val="000000"/>
              </w:rPr>
            </w:pPr>
            <w:r w:rsidRPr="00894701">
              <w:rPr>
                <w:rFonts w:cs="Helvetica"/>
                <w:color w:val="000000"/>
              </w:rPr>
              <w:t>Application fees</w:t>
            </w:r>
          </w:p>
        </w:tc>
        <w:tc>
          <w:tcPr>
            <w:tcW w:w="277" w:type="dxa"/>
            <w:tcBorders>
              <w:top w:val="nil"/>
              <w:left w:val="nil"/>
              <w:bottom w:val="single" w:sz="8" w:space="0" w:color="FF0000"/>
              <w:right w:val="nil"/>
            </w:tcBorders>
            <w:shd w:val="clear" w:color="000000" w:fill="F8A3AF"/>
            <w:noWrap/>
            <w:vAlign w:val="center"/>
            <w:hideMark/>
          </w:tcPr>
          <w:p w14:paraId="38D768E0"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632" w:type="dxa"/>
            <w:tcBorders>
              <w:top w:val="nil"/>
              <w:left w:val="nil"/>
              <w:bottom w:val="single" w:sz="8" w:space="0" w:color="FF0000"/>
              <w:right w:val="single" w:sz="8" w:space="0" w:color="FF0000"/>
            </w:tcBorders>
            <w:shd w:val="clear" w:color="000000" w:fill="F8A3AF"/>
            <w:noWrap/>
            <w:vAlign w:val="center"/>
            <w:hideMark/>
          </w:tcPr>
          <w:p w14:paraId="3ADF2A99"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222" w:type="dxa"/>
            <w:vAlign w:val="center"/>
            <w:hideMark/>
          </w:tcPr>
          <w:p w14:paraId="1E720587" w14:textId="77777777" w:rsidR="00FB5CDB" w:rsidRPr="00894701" w:rsidRDefault="00FB5CDB" w:rsidP="00446B8D">
            <w:pPr>
              <w:spacing w:after="0" w:line="240" w:lineRule="auto"/>
              <w:rPr>
                <w:rFonts w:ascii="Times New Roman" w:hAnsi="Times New Roman"/>
              </w:rPr>
            </w:pPr>
          </w:p>
        </w:tc>
      </w:tr>
      <w:tr w:rsidR="00FB5CDB" w:rsidRPr="00894701" w14:paraId="4D042743" w14:textId="77777777" w:rsidTr="00446B8D">
        <w:trPr>
          <w:trHeight w:val="300"/>
        </w:trPr>
        <w:tc>
          <w:tcPr>
            <w:tcW w:w="605" w:type="dxa"/>
            <w:tcBorders>
              <w:top w:val="nil"/>
              <w:left w:val="single" w:sz="8" w:space="0" w:color="FF0000"/>
              <w:bottom w:val="single" w:sz="8" w:space="0" w:color="FF0000"/>
              <w:right w:val="single" w:sz="8" w:space="0" w:color="FF0000"/>
            </w:tcBorders>
            <w:shd w:val="clear" w:color="auto" w:fill="auto"/>
            <w:noWrap/>
            <w:vAlign w:val="center"/>
            <w:hideMark/>
          </w:tcPr>
          <w:p w14:paraId="2B992C5C" w14:textId="77777777" w:rsidR="00FB5CDB" w:rsidRPr="00894701" w:rsidRDefault="00FB5CDB" w:rsidP="00446B8D">
            <w:pPr>
              <w:spacing w:after="0" w:line="240" w:lineRule="auto"/>
              <w:jc w:val="center"/>
              <w:rPr>
                <w:rFonts w:cs="Helvetica"/>
                <w:color w:val="000000"/>
              </w:rPr>
            </w:pPr>
            <w:r w:rsidRPr="00894701">
              <w:rPr>
                <w:rFonts w:cs="Helvetica"/>
                <w:color w:val="000000"/>
              </w:rPr>
              <w:t>1.6</w:t>
            </w:r>
          </w:p>
        </w:tc>
        <w:tc>
          <w:tcPr>
            <w:tcW w:w="7132" w:type="dxa"/>
            <w:tcBorders>
              <w:top w:val="nil"/>
              <w:left w:val="nil"/>
              <w:bottom w:val="single" w:sz="8" w:space="0" w:color="FF0000"/>
              <w:right w:val="nil"/>
            </w:tcBorders>
            <w:shd w:val="clear" w:color="auto" w:fill="auto"/>
            <w:noWrap/>
            <w:vAlign w:val="center"/>
            <w:hideMark/>
          </w:tcPr>
          <w:p w14:paraId="2E47802B" w14:textId="77777777" w:rsidR="00FB5CDB" w:rsidRPr="00894701" w:rsidRDefault="00FB5CDB" w:rsidP="00446B8D">
            <w:pPr>
              <w:spacing w:after="0" w:line="240" w:lineRule="auto"/>
              <w:rPr>
                <w:rFonts w:cs="Helvetica"/>
                <w:color w:val="000000"/>
              </w:rPr>
            </w:pPr>
            <w:r w:rsidRPr="00894701">
              <w:rPr>
                <w:rFonts w:cs="Helvetica"/>
                <w:color w:val="000000"/>
              </w:rPr>
              <w:t>Income Tax</w:t>
            </w:r>
          </w:p>
        </w:tc>
        <w:tc>
          <w:tcPr>
            <w:tcW w:w="277" w:type="dxa"/>
            <w:tcBorders>
              <w:top w:val="nil"/>
              <w:left w:val="nil"/>
              <w:bottom w:val="single" w:sz="8" w:space="0" w:color="FF0000"/>
              <w:right w:val="nil"/>
            </w:tcBorders>
            <w:shd w:val="clear" w:color="auto" w:fill="auto"/>
            <w:noWrap/>
            <w:vAlign w:val="center"/>
            <w:hideMark/>
          </w:tcPr>
          <w:p w14:paraId="080CB4B0"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632" w:type="dxa"/>
            <w:tcBorders>
              <w:top w:val="nil"/>
              <w:left w:val="nil"/>
              <w:bottom w:val="single" w:sz="8" w:space="0" w:color="FF0000"/>
              <w:right w:val="single" w:sz="8" w:space="0" w:color="FF0000"/>
            </w:tcBorders>
            <w:shd w:val="clear" w:color="auto" w:fill="auto"/>
            <w:noWrap/>
            <w:vAlign w:val="center"/>
            <w:hideMark/>
          </w:tcPr>
          <w:p w14:paraId="6A7C66DA"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222" w:type="dxa"/>
            <w:vAlign w:val="center"/>
            <w:hideMark/>
          </w:tcPr>
          <w:p w14:paraId="4182ABC3" w14:textId="77777777" w:rsidR="00FB5CDB" w:rsidRPr="00894701" w:rsidRDefault="00FB5CDB" w:rsidP="00446B8D">
            <w:pPr>
              <w:spacing w:after="0" w:line="240" w:lineRule="auto"/>
              <w:rPr>
                <w:rFonts w:ascii="Times New Roman" w:hAnsi="Times New Roman"/>
              </w:rPr>
            </w:pPr>
          </w:p>
        </w:tc>
      </w:tr>
      <w:tr w:rsidR="00FB5CDB" w:rsidRPr="00894701" w14:paraId="2B04369B" w14:textId="77777777" w:rsidTr="00446B8D">
        <w:trPr>
          <w:trHeight w:val="300"/>
        </w:trPr>
        <w:tc>
          <w:tcPr>
            <w:tcW w:w="605" w:type="dxa"/>
            <w:tcBorders>
              <w:top w:val="nil"/>
              <w:left w:val="single" w:sz="8" w:space="0" w:color="FF0000"/>
              <w:bottom w:val="single" w:sz="8" w:space="0" w:color="FF0000"/>
              <w:right w:val="single" w:sz="8" w:space="0" w:color="FF0000"/>
            </w:tcBorders>
            <w:shd w:val="clear" w:color="000000" w:fill="F8A3AF"/>
            <w:noWrap/>
            <w:vAlign w:val="center"/>
            <w:hideMark/>
          </w:tcPr>
          <w:p w14:paraId="336323DC" w14:textId="77777777" w:rsidR="00FB5CDB" w:rsidRPr="00894701" w:rsidRDefault="00FB5CDB" w:rsidP="00446B8D">
            <w:pPr>
              <w:spacing w:after="0" w:line="240" w:lineRule="auto"/>
              <w:jc w:val="center"/>
              <w:rPr>
                <w:rFonts w:cs="Helvetica"/>
                <w:color w:val="000000"/>
              </w:rPr>
            </w:pPr>
            <w:r w:rsidRPr="00894701">
              <w:rPr>
                <w:rFonts w:cs="Helvetica"/>
                <w:color w:val="000000"/>
              </w:rPr>
              <w:t>1.7</w:t>
            </w:r>
          </w:p>
        </w:tc>
        <w:tc>
          <w:tcPr>
            <w:tcW w:w="7132" w:type="dxa"/>
            <w:tcBorders>
              <w:top w:val="nil"/>
              <w:left w:val="nil"/>
              <w:bottom w:val="single" w:sz="8" w:space="0" w:color="FF0000"/>
              <w:right w:val="nil"/>
            </w:tcBorders>
            <w:shd w:val="clear" w:color="000000" w:fill="F8A3AF"/>
            <w:noWrap/>
            <w:vAlign w:val="center"/>
            <w:hideMark/>
          </w:tcPr>
          <w:p w14:paraId="7D6385AF" w14:textId="77777777" w:rsidR="00FB5CDB" w:rsidRPr="00894701" w:rsidRDefault="00FB5CDB" w:rsidP="00446B8D">
            <w:pPr>
              <w:spacing w:after="0" w:line="240" w:lineRule="auto"/>
              <w:rPr>
                <w:rFonts w:cs="Helvetica"/>
                <w:color w:val="000000"/>
              </w:rPr>
            </w:pPr>
            <w:r w:rsidRPr="00894701">
              <w:rPr>
                <w:rFonts w:cs="Helvetica"/>
                <w:color w:val="000000"/>
              </w:rPr>
              <w:t>Sales Tax</w:t>
            </w:r>
          </w:p>
        </w:tc>
        <w:tc>
          <w:tcPr>
            <w:tcW w:w="277" w:type="dxa"/>
            <w:tcBorders>
              <w:top w:val="nil"/>
              <w:left w:val="nil"/>
              <w:bottom w:val="single" w:sz="8" w:space="0" w:color="FF0000"/>
              <w:right w:val="nil"/>
            </w:tcBorders>
            <w:shd w:val="clear" w:color="000000" w:fill="F8A3AF"/>
            <w:noWrap/>
            <w:vAlign w:val="center"/>
            <w:hideMark/>
          </w:tcPr>
          <w:p w14:paraId="6E0C97D0"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632" w:type="dxa"/>
            <w:tcBorders>
              <w:top w:val="nil"/>
              <w:left w:val="nil"/>
              <w:bottom w:val="single" w:sz="8" w:space="0" w:color="FF0000"/>
              <w:right w:val="single" w:sz="8" w:space="0" w:color="FF0000"/>
            </w:tcBorders>
            <w:shd w:val="clear" w:color="000000" w:fill="F8A3AF"/>
            <w:noWrap/>
            <w:vAlign w:val="center"/>
            <w:hideMark/>
          </w:tcPr>
          <w:p w14:paraId="7428EF89"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222" w:type="dxa"/>
            <w:vAlign w:val="center"/>
            <w:hideMark/>
          </w:tcPr>
          <w:p w14:paraId="617A470A" w14:textId="77777777" w:rsidR="00FB5CDB" w:rsidRPr="00894701" w:rsidRDefault="00FB5CDB" w:rsidP="00446B8D">
            <w:pPr>
              <w:spacing w:after="0" w:line="240" w:lineRule="auto"/>
              <w:rPr>
                <w:rFonts w:ascii="Times New Roman" w:hAnsi="Times New Roman"/>
              </w:rPr>
            </w:pPr>
          </w:p>
        </w:tc>
      </w:tr>
      <w:tr w:rsidR="00FB5CDB" w:rsidRPr="00894701" w14:paraId="51E46139" w14:textId="77777777" w:rsidTr="00446B8D">
        <w:trPr>
          <w:trHeight w:val="300"/>
        </w:trPr>
        <w:tc>
          <w:tcPr>
            <w:tcW w:w="605" w:type="dxa"/>
            <w:tcBorders>
              <w:top w:val="nil"/>
              <w:left w:val="single" w:sz="8" w:space="0" w:color="FF0000"/>
              <w:bottom w:val="single" w:sz="8" w:space="0" w:color="FF0000"/>
              <w:right w:val="single" w:sz="8" w:space="0" w:color="FF0000"/>
            </w:tcBorders>
            <w:shd w:val="clear" w:color="auto" w:fill="auto"/>
            <w:noWrap/>
            <w:vAlign w:val="center"/>
            <w:hideMark/>
          </w:tcPr>
          <w:p w14:paraId="5BAFA855" w14:textId="77777777" w:rsidR="00FB5CDB" w:rsidRPr="00894701" w:rsidRDefault="00FB5CDB" w:rsidP="00446B8D">
            <w:pPr>
              <w:spacing w:after="0" w:line="240" w:lineRule="auto"/>
              <w:jc w:val="center"/>
              <w:rPr>
                <w:rFonts w:cs="Helvetica"/>
                <w:color w:val="000000"/>
              </w:rPr>
            </w:pPr>
            <w:r w:rsidRPr="00894701">
              <w:rPr>
                <w:rFonts w:cs="Helvetica"/>
                <w:color w:val="000000"/>
              </w:rPr>
              <w:t>1.8</w:t>
            </w:r>
          </w:p>
        </w:tc>
        <w:tc>
          <w:tcPr>
            <w:tcW w:w="7132" w:type="dxa"/>
            <w:tcBorders>
              <w:top w:val="nil"/>
              <w:left w:val="nil"/>
              <w:bottom w:val="single" w:sz="8" w:space="0" w:color="FF0000"/>
              <w:right w:val="nil"/>
            </w:tcBorders>
            <w:shd w:val="clear" w:color="auto" w:fill="auto"/>
            <w:noWrap/>
            <w:vAlign w:val="center"/>
            <w:hideMark/>
          </w:tcPr>
          <w:p w14:paraId="7CD99E6A" w14:textId="77777777" w:rsidR="00FB5CDB" w:rsidRPr="00894701" w:rsidRDefault="00FB5CDB" w:rsidP="00446B8D">
            <w:pPr>
              <w:spacing w:after="0" w:line="240" w:lineRule="auto"/>
              <w:rPr>
                <w:rFonts w:cs="Helvetica"/>
                <w:color w:val="000000"/>
              </w:rPr>
            </w:pPr>
            <w:r w:rsidRPr="00894701">
              <w:rPr>
                <w:rFonts w:cs="Helvetica"/>
                <w:color w:val="000000"/>
              </w:rPr>
              <w:t>Cash Dividends</w:t>
            </w:r>
          </w:p>
        </w:tc>
        <w:tc>
          <w:tcPr>
            <w:tcW w:w="277" w:type="dxa"/>
            <w:tcBorders>
              <w:top w:val="nil"/>
              <w:left w:val="nil"/>
              <w:bottom w:val="single" w:sz="8" w:space="0" w:color="FF0000"/>
              <w:right w:val="nil"/>
            </w:tcBorders>
            <w:shd w:val="clear" w:color="auto" w:fill="auto"/>
            <w:noWrap/>
            <w:vAlign w:val="center"/>
            <w:hideMark/>
          </w:tcPr>
          <w:p w14:paraId="439F4B08"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632" w:type="dxa"/>
            <w:tcBorders>
              <w:top w:val="nil"/>
              <w:left w:val="nil"/>
              <w:bottom w:val="single" w:sz="8" w:space="0" w:color="FF0000"/>
              <w:right w:val="single" w:sz="8" w:space="0" w:color="FF0000"/>
            </w:tcBorders>
            <w:shd w:val="clear" w:color="auto" w:fill="auto"/>
            <w:noWrap/>
            <w:vAlign w:val="center"/>
            <w:hideMark/>
          </w:tcPr>
          <w:p w14:paraId="510E5BEE"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222" w:type="dxa"/>
            <w:vAlign w:val="center"/>
            <w:hideMark/>
          </w:tcPr>
          <w:p w14:paraId="2EE99420" w14:textId="77777777" w:rsidR="00FB5CDB" w:rsidRPr="00894701" w:rsidRDefault="00FB5CDB" w:rsidP="00446B8D">
            <w:pPr>
              <w:spacing w:after="0" w:line="240" w:lineRule="auto"/>
              <w:rPr>
                <w:rFonts w:ascii="Times New Roman" w:hAnsi="Times New Roman"/>
              </w:rPr>
            </w:pPr>
          </w:p>
        </w:tc>
      </w:tr>
      <w:tr w:rsidR="00FB5CDB" w:rsidRPr="00894701" w14:paraId="7CBD53BE" w14:textId="77777777" w:rsidTr="00446B8D">
        <w:trPr>
          <w:trHeight w:val="300"/>
        </w:trPr>
        <w:tc>
          <w:tcPr>
            <w:tcW w:w="605" w:type="dxa"/>
            <w:tcBorders>
              <w:top w:val="nil"/>
              <w:left w:val="single" w:sz="8" w:space="0" w:color="FF0000"/>
              <w:bottom w:val="single" w:sz="8" w:space="0" w:color="FF0000"/>
              <w:right w:val="single" w:sz="8" w:space="0" w:color="FF0000"/>
            </w:tcBorders>
            <w:shd w:val="clear" w:color="000000" w:fill="F8A3AF"/>
            <w:noWrap/>
            <w:vAlign w:val="center"/>
            <w:hideMark/>
          </w:tcPr>
          <w:p w14:paraId="41729A21" w14:textId="77777777" w:rsidR="00FB5CDB" w:rsidRPr="00894701" w:rsidRDefault="00FB5CDB" w:rsidP="00446B8D">
            <w:pPr>
              <w:spacing w:after="0" w:line="240" w:lineRule="auto"/>
              <w:jc w:val="center"/>
              <w:rPr>
                <w:rFonts w:cs="Helvetica"/>
                <w:color w:val="000000"/>
              </w:rPr>
            </w:pPr>
            <w:r w:rsidRPr="00894701">
              <w:rPr>
                <w:rFonts w:cs="Helvetica"/>
                <w:color w:val="000000"/>
              </w:rPr>
              <w:t>1.9</w:t>
            </w:r>
          </w:p>
        </w:tc>
        <w:tc>
          <w:tcPr>
            <w:tcW w:w="7132" w:type="dxa"/>
            <w:tcBorders>
              <w:top w:val="nil"/>
              <w:left w:val="nil"/>
              <w:bottom w:val="single" w:sz="8" w:space="0" w:color="FF0000"/>
              <w:right w:val="nil"/>
            </w:tcBorders>
            <w:shd w:val="clear" w:color="000000" w:fill="F8A3AF"/>
            <w:noWrap/>
            <w:vAlign w:val="center"/>
            <w:hideMark/>
          </w:tcPr>
          <w:p w14:paraId="648FB655" w14:textId="77777777" w:rsidR="00FB5CDB" w:rsidRPr="00894701" w:rsidRDefault="00FB5CDB" w:rsidP="00446B8D">
            <w:pPr>
              <w:spacing w:after="0" w:line="240" w:lineRule="auto"/>
              <w:rPr>
                <w:rFonts w:cs="Helvetica"/>
                <w:color w:val="000000"/>
              </w:rPr>
            </w:pPr>
            <w:r w:rsidRPr="00894701">
              <w:rPr>
                <w:rFonts w:cs="Helvetica"/>
                <w:color w:val="000000"/>
              </w:rPr>
              <w:t>Dividend Tax</w:t>
            </w:r>
          </w:p>
        </w:tc>
        <w:tc>
          <w:tcPr>
            <w:tcW w:w="277" w:type="dxa"/>
            <w:tcBorders>
              <w:top w:val="nil"/>
              <w:left w:val="nil"/>
              <w:bottom w:val="single" w:sz="8" w:space="0" w:color="FF0000"/>
              <w:right w:val="nil"/>
            </w:tcBorders>
            <w:shd w:val="clear" w:color="000000" w:fill="F8A3AF"/>
            <w:noWrap/>
            <w:vAlign w:val="center"/>
            <w:hideMark/>
          </w:tcPr>
          <w:p w14:paraId="7852CC9E"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632" w:type="dxa"/>
            <w:tcBorders>
              <w:top w:val="nil"/>
              <w:left w:val="nil"/>
              <w:bottom w:val="single" w:sz="8" w:space="0" w:color="FF0000"/>
              <w:right w:val="single" w:sz="8" w:space="0" w:color="FF0000"/>
            </w:tcBorders>
            <w:shd w:val="clear" w:color="000000" w:fill="F8A3AF"/>
            <w:noWrap/>
            <w:vAlign w:val="center"/>
            <w:hideMark/>
          </w:tcPr>
          <w:p w14:paraId="1B80BF43"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222" w:type="dxa"/>
            <w:vAlign w:val="center"/>
            <w:hideMark/>
          </w:tcPr>
          <w:p w14:paraId="35363C8A" w14:textId="77777777" w:rsidR="00FB5CDB" w:rsidRPr="00894701" w:rsidRDefault="00FB5CDB" w:rsidP="00446B8D">
            <w:pPr>
              <w:spacing w:after="0" w:line="240" w:lineRule="auto"/>
              <w:rPr>
                <w:rFonts w:ascii="Times New Roman" w:hAnsi="Times New Roman"/>
              </w:rPr>
            </w:pPr>
          </w:p>
        </w:tc>
      </w:tr>
      <w:tr w:rsidR="00FB5CDB" w:rsidRPr="00894701" w14:paraId="504A2278" w14:textId="77777777" w:rsidTr="00446B8D">
        <w:trPr>
          <w:trHeight w:val="300"/>
        </w:trPr>
        <w:tc>
          <w:tcPr>
            <w:tcW w:w="605" w:type="dxa"/>
            <w:tcBorders>
              <w:top w:val="nil"/>
              <w:left w:val="single" w:sz="8" w:space="0" w:color="FF0000"/>
              <w:bottom w:val="single" w:sz="8" w:space="0" w:color="FF0000"/>
              <w:right w:val="single" w:sz="8" w:space="0" w:color="FF0000"/>
            </w:tcBorders>
            <w:shd w:val="clear" w:color="auto" w:fill="auto"/>
            <w:noWrap/>
            <w:vAlign w:val="center"/>
            <w:hideMark/>
          </w:tcPr>
          <w:p w14:paraId="0642A985" w14:textId="77777777" w:rsidR="00FB5CDB" w:rsidRPr="00894701" w:rsidRDefault="00FB5CDB" w:rsidP="00446B8D">
            <w:pPr>
              <w:spacing w:after="0" w:line="240" w:lineRule="auto"/>
              <w:jc w:val="center"/>
              <w:rPr>
                <w:rFonts w:cs="Helvetica"/>
                <w:color w:val="000000"/>
              </w:rPr>
            </w:pPr>
            <w:r w:rsidRPr="00894701">
              <w:rPr>
                <w:rFonts w:cs="Helvetica"/>
                <w:color w:val="000000"/>
              </w:rPr>
              <w:t>1.1</w:t>
            </w:r>
          </w:p>
        </w:tc>
        <w:tc>
          <w:tcPr>
            <w:tcW w:w="7132" w:type="dxa"/>
            <w:tcBorders>
              <w:top w:val="nil"/>
              <w:left w:val="nil"/>
              <w:bottom w:val="single" w:sz="8" w:space="0" w:color="FF0000"/>
              <w:right w:val="nil"/>
            </w:tcBorders>
            <w:shd w:val="clear" w:color="auto" w:fill="auto"/>
            <w:noWrap/>
            <w:vAlign w:val="center"/>
            <w:hideMark/>
          </w:tcPr>
          <w:p w14:paraId="466E12C8" w14:textId="77777777" w:rsidR="00FB5CDB" w:rsidRPr="00894701" w:rsidRDefault="00FB5CDB" w:rsidP="00446B8D">
            <w:pPr>
              <w:spacing w:after="0" w:line="240" w:lineRule="auto"/>
              <w:rPr>
                <w:rFonts w:cs="Helvetica"/>
                <w:color w:val="000000"/>
              </w:rPr>
            </w:pPr>
            <w:r w:rsidRPr="00894701">
              <w:rPr>
                <w:rFonts w:cs="Helvetica"/>
                <w:color w:val="000000"/>
              </w:rPr>
              <w:t>Wage Tax &amp; OP-premium (AOV)</w:t>
            </w:r>
          </w:p>
        </w:tc>
        <w:tc>
          <w:tcPr>
            <w:tcW w:w="277" w:type="dxa"/>
            <w:tcBorders>
              <w:top w:val="nil"/>
              <w:left w:val="nil"/>
              <w:bottom w:val="single" w:sz="8" w:space="0" w:color="FF0000"/>
              <w:right w:val="nil"/>
            </w:tcBorders>
            <w:shd w:val="clear" w:color="auto" w:fill="auto"/>
            <w:noWrap/>
            <w:vAlign w:val="center"/>
            <w:hideMark/>
          </w:tcPr>
          <w:p w14:paraId="07D356BB"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632" w:type="dxa"/>
            <w:tcBorders>
              <w:top w:val="nil"/>
              <w:left w:val="nil"/>
              <w:bottom w:val="single" w:sz="8" w:space="0" w:color="FF0000"/>
              <w:right w:val="single" w:sz="8" w:space="0" w:color="FF0000"/>
            </w:tcBorders>
            <w:shd w:val="clear" w:color="auto" w:fill="auto"/>
            <w:noWrap/>
            <w:vAlign w:val="center"/>
            <w:hideMark/>
          </w:tcPr>
          <w:p w14:paraId="51B2EFC4"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222" w:type="dxa"/>
            <w:vAlign w:val="center"/>
            <w:hideMark/>
          </w:tcPr>
          <w:p w14:paraId="58A51602" w14:textId="77777777" w:rsidR="00FB5CDB" w:rsidRPr="00894701" w:rsidRDefault="00FB5CDB" w:rsidP="00446B8D">
            <w:pPr>
              <w:spacing w:after="0" w:line="240" w:lineRule="auto"/>
              <w:rPr>
                <w:rFonts w:ascii="Times New Roman" w:hAnsi="Times New Roman"/>
              </w:rPr>
            </w:pPr>
          </w:p>
        </w:tc>
      </w:tr>
      <w:tr w:rsidR="00FB5CDB" w:rsidRPr="00894701" w14:paraId="55D66614" w14:textId="77777777" w:rsidTr="00446B8D">
        <w:trPr>
          <w:trHeight w:val="300"/>
        </w:trPr>
        <w:tc>
          <w:tcPr>
            <w:tcW w:w="605" w:type="dxa"/>
            <w:tcBorders>
              <w:top w:val="nil"/>
              <w:left w:val="single" w:sz="8" w:space="0" w:color="FF0000"/>
              <w:bottom w:val="single" w:sz="8" w:space="0" w:color="FF0000"/>
              <w:right w:val="single" w:sz="8" w:space="0" w:color="FF0000"/>
            </w:tcBorders>
            <w:shd w:val="clear" w:color="000000" w:fill="F8A3AF"/>
            <w:noWrap/>
            <w:vAlign w:val="center"/>
            <w:hideMark/>
          </w:tcPr>
          <w:p w14:paraId="471923F8" w14:textId="77777777" w:rsidR="00FB5CDB" w:rsidRPr="00894701" w:rsidRDefault="00FB5CDB" w:rsidP="00446B8D">
            <w:pPr>
              <w:spacing w:after="0" w:line="240" w:lineRule="auto"/>
              <w:jc w:val="center"/>
              <w:rPr>
                <w:rFonts w:cs="Helvetica"/>
                <w:color w:val="000000"/>
              </w:rPr>
            </w:pPr>
            <w:r w:rsidRPr="00894701">
              <w:rPr>
                <w:rFonts w:cs="Helvetica"/>
                <w:color w:val="000000"/>
              </w:rPr>
              <w:lastRenderedPageBreak/>
              <w:t>1.11</w:t>
            </w:r>
          </w:p>
        </w:tc>
        <w:tc>
          <w:tcPr>
            <w:tcW w:w="7132" w:type="dxa"/>
            <w:tcBorders>
              <w:top w:val="nil"/>
              <w:left w:val="nil"/>
              <w:bottom w:val="single" w:sz="8" w:space="0" w:color="FF0000"/>
              <w:right w:val="nil"/>
            </w:tcBorders>
            <w:shd w:val="clear" w:color="000000" w:fill="F8A3AF"/>
            <w:noWrap/>
            <w:vAlign w:val="center"/>
            <w:hideMark/>
          </w:tcPr>
          <w:p w14:paraId="2A85BAC9" w14:textId="77777777" w:rsidR="00FB5CDB" w:rsidRPr="00894701" w:rsidRDefault="00FB5CDB" w:rsidP="00446B8D">
            <w:pPr>
              <w:spacing w:after="0" w:line="240" w:lineRule="auto"/>
              <w:rPr>
                <w:rFonts w:cs="Helvetica"/>
                <w:color w:val="000000"/>
              </w:rPr>
            </w:pPr>
            <w:r w:rsidRPr="00894701">
              <w:rPr>
                <w:rFonts w:cs="Helvetica"/>
                <w:color w:val="000000"/>
              </w:rPr>
              <w:t>Royalty fees</w:t>
            </w:r>
          </w:p>
        </w:tc>
        <w:tc>
          <w:tcPr>
            <w:tcW w:w="277" w:type="dxa"/>
            <w:tcBorders>
              <w:top w:val="nil"/>
              <w:left w:val="nil"/>
              <w:bottom w:val="single" w:sz="8" w:space="0" w:color="FF0000"/>
              <w:right w:val="nil"/>
            </w:tcBorders>
            <w:shd w:val="clear" w:color="000000" w:fill="F8A3AF"/>
            <w:noWrap/>
            <w:vAlign w:val="center"/>
            <w:hideMark/>
          </w:tcPr>
          <w:p w14:paraId="675B74C1"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632" w:type="dxa"/>
            <w:tcBorders>
              <w:top w:val="nil"/>
              <w:left w:val="nil"/>
              <w:bottom w:val="single" w:sz="8" w:space="0" w:color="FF0000"/>
              <w:right w:val="single" w:sz="8" w:space="0" w:color="FF0000"/>
            </w:tcBorders>
            <w:shd w:val="clear" w:color="000000" w:fill="F8A3AF"/>
            <w:noWrap/>
            <w:vAlign w:val="center"/>
            <w:hideMark/>
          </w:tcPr>
          <w:p w14:paraId="3A9AF1BF"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222" w:type="dxa"/>
            <w:vAlign w:val="center"/>
            <w:hideMark/>
          </w:tcPr>
          <w:p w14:paraId="6538F9DC" w14:textId="77777777" w:rsidR="00FB5CDB" w:rsidRPr="00894701" w:rsidRDefault="00FB5CDB" w:rsidP="00446B8D">
            <w:pPr>
              <w:spacing w:after="0" w:line="240" w:lineRule="auto"/>
              <w:rPr>
                <w:rFonts w:ascii="Times New Roman" w:hAnsi="Times New Roman"/>
              </w:rPr>
            </w:pPr>
          </w:p>
        </w:tc>
      </w:tr>
      <w:tr w:rsidR="00FB5CDB" w:rsidRPr="00894701" w14:paraId="466F21DA" w14:textId="77777777" w:rsidTr="00446B8D">
        <w:trPr>
          <w:trHeight w:val="300"/>
        </w:trPr>
        <w:tc>
          <w:tcPr>
            <w:tcW w:w="605" w:type="dxa"/>
            <w:tcBorders>
              <w:top w:val="nil"/>
              <w:left w:val="single" w:sz="8" w:space="0" w:color="FF0000"/>
              <w:bottom w:val="single" w:sz="8" w:space="0" w:color="FF0000"/>
              <w:right w:val="single" w:sz="8" w:space="0" w:color="FF0000"/>
            </w:tcBorders>
            <w:shd w:val="clear" w:color="auto" w:fill="auto"/>
            <w:noWrap/>
            <w:vAlign w:val="center"/>
            <w:hideMark/>
          </w:tcPr>
          <w:p w14:paraId="1D170275" w14:textId="77777777" w:rsidR="00FB5CDB" w:rsidRPr="00894701" w:rsidRDefault="00FB5CDB" w:rsidP="00446B8D">
            <w:pPr>
              <w:spacing w:after="0" w:line="240" w:lineRule="auto"/>
              <w:jc w:val="center"/>
              <w:rPr>
                <w:rFonts w:cs="Helvetica"/>
                <w:color w:val="000000"/>
              </w:rPr>
            </w:pPr>
            <w:r w:rsidRPr="00894701">
              <w:rPr>
                <w:rFonts w:cs="Helvetica"/>
                <w:color w:val="000000"/>
              </w:rPr>
              <w:t>1.12</w:t>
            </w:r>
          </w:p>
        </w:tc>
        <w:tc>
          <w:tcPr>
            <w:tcW w:w="7132" w:type="dxa"/>
            <w:tcBorders>
              <w:top w:val="nil"/>
              <w:left w:val="nil"/>
              <w:bottom w:val="single" w:sz="8" w:space="0" w:color="FF0000"/>
              <w:right w:val="nil"/>
            </w:tcBorders>
            <w:shd w:val="clear" w:color="auto" w:fill="auto"/>
            <w:noWrap/>
            <w:vAlign w:val="center"/>
            <w:hideMark/>
          </w:tcPr>
          <w:p w14:paraId="16C5F948" w14:textId="77777777" w:rsidR="00FB5CDB" w:rsidRPr="00894701" w:rsidRDefault="00FB5CDB" w:rsidP="00446B8D">
            <w:pPr>
              <w:spacing w:after="0" w:line="240" w:lineRule="auto"/>
              <w:rPr>
                <w:rFonts w:cs="Helvetica"/>
                <w:color w:val="000000"/>
              </w:rPr>
            </w:pPr>
            <w:r w:rsidRPr="00894701">
              <w:rPr>
                <w:rFonts w:cs="Helvetica"/>
                <w:color w:val="000000"/>
              </w:rPr>
              <w:t>Royalty fees in-kind</w:t>
            </w:r>
          </w:p>
        </w:tc>
        <w:tc>
          <w:tcPr>
            <w:tcW w:w="277" w:type="dxa"/>
            <w:tcBorders>
              <w:top w:val="nil"/>
              <w:left w:val="nil"/>
              <w:bottom w:val="single" w:sz="8" w:space="0" w:color="FF0000"/>
              <w:right w:val="nil"/>
            </w:tcBorders>
            <w:shd w:val="clear" w:color="auto" w:fill="auto"/>
            <w:noWrap/>
            <w:vAlign w:val="center"/>
            <w:hideMark/>
          </w:tcPr>
          <w:p w14:paraId="43F8EA2A"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632" w:type="dxa"/>
            <w:tcBorders>
              <w:top w:val="nil"/>
              <w:left w:val="nil"/>
              <w:bottom w:val="single" w:sz="8" w:space="0" w:color="FF0000"/>
              <w:right w:val="single" w:sz="8" w:space="0" w:color="FF0000"/>
            </w:tcBorders>
            <w:shd w:val="clear" w:color="auto" w:fill="auto"/>
            <w:noWrap/>
            <w:vAlign w:val="center"/>
            <w:hideMark/>
          </w:tcPr>
          <w:p w14:paraId="3F3C3123"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222" w:type="dxa"/>
            <w:vAlign w:val="center"/>
            <w:hideMark/>
          </w:tcPr>
          <w:p w14:paraId="0335EA6E" w14:textId="77777777" w:rsidR="00FB5CDB" w:rsidRPr="00894701" w:rsidRDefault="00FB5CDB" w:rsidP="00446B8D">
            <w:pPr>
              <w:spacing w:after="0" w:line="240" w:lineRule="auto"/>
              <w:rPr>
                <w:rFonts w:ascii="Times New Roman" w:hAnsi="Times New Roman"/>
              </w:rPr>
            </w:pPr>
          </w:p>
        </w:tc>
      </w:tr>
      <w:tr w:rsidR="00FB5CDB" w:rsidRPr="00894701" w14:paraId="46100256" w14:textId="77777777" w:rsidTr="00446B8D">
        <w:trPr>
          <w:trHeight w:val="300"/>
        </w:trPr>
        <w:tc>
          <w:tcPr>
            <w:tcW w:w="605" w:type="dxa"/>
            <w:tcBorders>
              <w:top w:val="nil"/>
              <w:left w:val="single" w:sz="8" w:space="0" w:color="FF0000"/>
              <w:bottom w:val="single" w:sz="8" w:space="0" w:color="FF0000"/>
              <w:right w:val="single" w:sz="8" w:space="0" w:color="FF0000"/>
            </w:tcBorders>
            <w:shd w:val="clear" w:color="000000" w:fill="F8A3AF"/>
            <w:noWrap/>
            <w:vAlign w:val="center"/>
            <w:hideMark/>
          </w:tcPr>
          <w:p w14:paraId="30728243" w14:textId="77777777" w:rsidR="00FB5CDB" w:rsidRPr="00894701" w:rsidRDefault="00FB5CDB" w:rsidP="00446B8D">
            <w:pPr>
              <w:spacing w:after="0" w:line="240" w:lineRule="auto"/>
              <w:jc w:val="center"/>
              <w:rPr>
                <w:rFonts w:cs="Helvetica"/>
                <w:color w:val="000000"/>
              </w:rPr>
            </w:pPr>
            <w:r w:rsidRPr="00894701">
              <w:rPr>
                <w:rFonts w:cs="Helvetica"/>
                <w:color w:val="000000"/>
              </w:rPr>
              <w:t>1.13</w:t>
            </w:r>
          </w:p>
        </w:tc>
        <w:tc>
          <w:tcPr>
            <w:tcW w:w="7132" w:type="dxa"/>
            <w:tcBorders>
              <w:top w:val="nil"/>
              <w:left w:val="nil"/>
              <w:bottom w:val="single" w:sz="8" w:space="0" w:color="FF0000"/>
              <w:right w:val="nil"/>
            </w:tcBorders>
            <w:shd w:val="clear" w:color="000000" w:fill="F8A3AF"/>
            <w:noWrap/>
            <w:vAlign w:val="center"/>
            <w:hideMark/>
          </w:tcPr>
          <w:p w14:paraId="33FC1B8F" w14:textId="77777777" w:rsidR="00FB5CDB" w:rsidRPr="00894701" w:rsidRDefault="00FB5CDB" w:rsidP="00446B8D">
            <w:pPr>
              <w:spacing w:after="0" w:line="240" w:lineRule="auto"/>
              <w:rPr>
                <w:rFonts w:cs="Helvetica"/>
                <w:color w:val="000000"/>
              </w:rPr>
            </w:pPr>
            <w:r w:rsidRPr="00894701">
              <w:rPr>
                <w:rFonts w:cs="Helvetica"/>
                <w:color w:val="000000"/>
              </w:rPr>
              <w:t>Import Duties</w:t>
            </w:r>
          </w:p>
        </w:tc>
        <w:tc>
          <w:tcPr>
            <w:tcW w:w="277" w:type="dxa"/>
            <w:tcBorders>
              <w:top w:val="nil"/>
              <w:left w:val="nil"/>
              <w:bottom w:val="single" w:sz="8" w:space="0" w:color="FF0000"/>
              <w:right w:val="nil"/>
            </w:tcBorders>
            <w:shd w:val="clear" w:color="000000" w:fill="F8A3AF"/>
            <w:noWrap/>
            <w:vAlign w:val="center"/>
            <w:hideMark/>
          </w:tcPr>
          <w:p w14:paraId="69BA00E8"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632" w:type="dxa"/>
            <w:tcBorders>
              <w:top w:val="nil"/>
              <w:left w:val="nil"/>
              <w:bottom w:val="single" w:sz="8" w:space="0" w:color="FF0000"/>
              <w:right w:val="single" w:sz="8" w:space="0" w:color="FF0000"/>
            </w:tcBorders>
            <w:shd w:val="clear" w:color="000000" w:fill="F8A3AF"/>
            <w:noWrap/>
            <w:vAlign w:val="center"/>
            <w:hideMark/>
          </w:tcPr>
          <w:p w14:paraId="1FC1BAD2"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222" w:type="dxa"/>
            <w:vAlign w:val="center"/>
            <w:hideMark/>
          </w:tcPr>
          <w:p w14:paraId="6628CB66" w14:textId="77777777" w:rsidR="00FB5CDB" w:rsidRPr="00894701" w:rsidRDefault="00FB5CDB" w:rsidP="00446B8D">
            <w:pPr>
              <w:spacing w:after="0" w:line="240" w:lineRule="auto"/>
              <w:rPr>
                <w:rFonts w:ascii="Times New Roman" w:hAnsi="Times New Roman"/>
              </w:rPr>
            </w:pPr>
          </w:p>
        </w:tc>
      </w:tr>
      <w:tr w:rsidR="00FB5CDB" w:rsidRPr="00894701" w14:paraId="7794CAE4" w14:textId="77777777" w:rsidTr="00446B8D">
        <w:trPr>
          <w:trHeight w:val="300"/>
        </w:trPr>
        <w:tc>
          <w:tcPr>
            <w:tcW w:w="605" w:type="dxa"/>
            <w:tcBorders>
              <w:top w:val="nil"/>
              <w:left w:val="single" w:sz="8" w:space="0" w:color="FF0000"/>
              <w:bottom w:val="single" w:sz="8" w:space="0" w:color="FF0000"/>
              <w:right w:val="single" w:sz="8" w:space="0" w:color="FF0000"/>
            </w:tcBorders>
            <w:shd w:val="clear" w:color="auto" w:fill="auto"/>
            <w:noWrap/>
            <w:vAlign w:val="center"/>
            <w:hideMark/>
          </w:tcPr>
          <w:p w14:paraId="6F3687DD" w14:textId="77777777" w:rsidR="00FB5CDB" w:rsidRPr="00894701" w:rsidRDefault="00FB5CDB" w:rsidP="00446B8D">
            <w:pPr>
              <w:spacing w:after="0" w:line="240" w:lineRule="auto"/>
              <w:jc w:val="center"/>
              <w:rPr>
                <w:rFonts w:cs="Helvetica"/>
                <w:color w:val="000000"/>
              </w:rPr>
            </w:pPr>
            <w:r w:rsidRPr="00894701">
              <w:rPr>
                <w:rFonts w:cs="Helvetica"/>
                <w:color w:val="000000"/>
              </w:rPr>
              <w:t>1.14</w:t>
            </w:r>
          </w:p>
        </w:tc>
        <w:tc>
          <w:tcPr>
            <w:tcW w:w="7132" w:type="dxa"/>
            <w:tcBorders>
              <w:top w:val="nil"/>
              <w:left w:val="nil"/>
              <w:bottom w:val="single" w:sz="8" w:space="0" w:color="FF0000"/>
              <w:right w:val="nil"/>
            </w:tcBorders>
            <w:shd w:val="clear" w:color="auto" w:fill="auto"/>
            <w:noWrap/>
            <w:vAlign w:val="center"/>
            <w:hideMark/>
          </w:tcPr>
          <w:p w14:paraId="1A071556" w14:textId="77777777" w:rsidR="00FB5CDB" w:rsidRPr="00894701" w:rsidRDefault="00FB5CDB" w:rsidP="00446B8D">
            <w:pPr>
              <w:spacing w:after="0" w:line="240" w:lineRule="auto"/>
              <w:rPr>
                <w:rFonts w:cs="Helvetica"/>
                <w:color w:val="000000"/>
              </w:rPr>
            </w:pPr>
            <w:r w:rsidRPr="00894701">
              <w:rPr>
                <w:rFonts w:cs="Helvetica"/>
                <w:color w:val="000000"/>
              </w:rPr>
              <w:t>Consent &amp; Statistic rights</w:t>
            </w:r>
          </w:p>
        </w:tc>
        <w:tc>
          <w:tcPr>
            <w:tcW w:w="277" w:type="dxa"/>
            <w:tcBorders>
              <w:top w:val="nil"/>
              <w:left w:val="nil"/>
              <w:bottom w:val="single" w:sz="8" w:space="0" w:color="FF0000"/>
              <w:right w:val="nil"/>
            </w:tcBorders>
            <w:shd w:val="clear" w:color="auto" w:fill="auto"/>
            <w:noWrap/>
            <w:vAlign w:val="center"/>
            <w:hideMark/>
          </w:tcPr>
          <w:p w14:paraId="1CCA3506"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632" w:type="dxa"/>
            <w:tcBorders>
              <w:top w:val="nil"/>
              <w:left w:val="nil"/>
              <w:bottom w:val="single" w:sz="8" w:space="0" w:color="FF0000"/>
              <w:right w:val="single" w:sz="8" w:space="0" w:color="FF0000"/>
            </w:tcBorders>
            <w:shd w:val="clear" w:color="auto" w:fill="auto"/>
            <w:noWrap/>
            <w:vAlign w:val="center"/>
            <w:hideMark/>
          </w:tcPr>
          <w:p w14:paraId="1460E42D"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222" w:type="dxa"/>
            <w:vAlign w:val="center"/>
            <w:hideMark/>
          </w:tcPr>
          <w:p w14:paraId="641E4047" w14:textId="77777777" w:rsidR="00FB5CDB" w:rsidRPr="00894701" w:rsidRDefault="00FB5CDB" w:rsidP="00446B8D">
            <w:pPr>
              <w:spacing w:after="0" w:line="240" w:lineRule="auto"/>
              <w:rPr>
                <w:rFonts w:ascii="Times New Roman" w:hAnsi="Times New Roman"/>
              </w:rPr>
            </w:pPr>
          </w:p>
        </w:tc>
      </w:tr>
      <w:tr w:rsidR="00FB5CDB" w:rsidRPr="00894701" w14:paraId="4D1DB38E" w14:textId="77777777" w:rsidTr="00446B8D">
        <w:trPr>
          <w:trHeight w:val="300"/>
        </w:trPr>
        <w:tc>
          <w:tcPr>
            <w:tcW w:w="605" w:type="dxa"/>
            <w:tcBorders>
              <w:top w:val="nil"/>
              <w:left w:val="single" w:sz="8" w:space="0" w:color="FF0000"/>
              <w:bottom w:val="single" w:sz="8" w:space="0" w:color="FF0000"/>
              <w:right w:val="single" w:sz="8" w:space="0" w:color="FF0000"/>
            </w:tcBorders>
            <w:shd w:val="clear" w:color="000000" w:fill="F8A3AF"/>
            <w:noWrap/>
            <w:vAlign w:val="center"/>
            <w:hideMark/>
          </w:tcPr>
          <w:p w14:paraId="22388AA3" w14:textId="77777777" w:rsidR="00FB5CDB" w:rsidRPr="00894701" w:rsidRDefault="00FB5CDB" w:rsidP="00446B8D">
            <w:pPr>
              <w:spacing w:after="0" w:line="240" w:lineRule="auto"/>
              <w:jc w:val="center"/>
              <w:rPr>
                <w:rFonts w:cs="Helvetica"/>
                <w:color w:val="000000"/>
              </w:rPr>
            </w:pPr>
            <w:r w:rsidRPr="00894701">
              <w:rPr>
                <w:rFonts w:cs="Helvetica"/>
                <w:color w:val="000000"/>
              </w:rPr>
              <w:t>1.15</w:t>
            </w:r>
          </w:p>
        </w:tc>
        <w:tc>
          <w:tcPr>
            <w:tcW w:w="7132" w:type="dxa"/>
            <w:tcBorders>
              <w:top w:val="nil"/>
              <w:left w:val="nil"/>
              <w:bottom w:val="single" w:sz="8" w:space="0" w:color="FF0000"/>
              <w:right w:val="nil"/>
            </w:tcBorders>
            <w:shd w:val="clear" w:color="000000" w:fill="F8A3AF"/>
            <w:noWrap/>
            <w:vAlign w:val="center"/>
            <w:hideMark/>
          </w:tcPr>
          <w:p w14:paraId="6E2B41CA" w14:textId="77777777" w:rsidR="00FB5CDB" w:rsidRPr="00894701" w:rsidRDefault="00FB5CDB" w:rsidP="00446B8D">
            <w:pPr>
              <w:spacing w:after="0" w:line="240" w:lineRule="auto"/>
              <w:rPr>
                <w:rFonts w:cs="Helvetica"/>
                <w:color w:val="000000"/>
              </w:rPr>
            </w:pPr>
            <w:r w:rsidRPr="00894701">
              <w:rPr>
                <w:rFonts w:cs="Helvetica"/>
                <w:color w:val="000000"/>
              </w:rPr>
              <w:t>Rental value taxes</w:t>
            </w:r>
          </w:p>
        </w:tc>
        <w:tc>
          <w:tcPr>
            <w:tcW w:w="277" w:type="dxa"/>
            <w:tcBorders>
              <w:top w:val="nil"/>
              <w:left w:val="nil"/>
              <w:bottom w:val="single" w:sz="8" w:space="0" w:color="FF0000"/>
              <w:right w:val="nil"/>
            </w:tcBorders>
            <w:shd w:val="clear" w:color="000000" w:fill="F8A3AF"/>
            <w:noWrap/>
            <w:vAlign w:val="center"/>
            <w:hideMark/>
          </w:tcPr>
          <w:p w14:paraId="0C87D387"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632" w:type="dxa"/>
            <w:tcBorders>
              <w:top w:val="nil"/>
              <w:left w:val="nil"/>
              <w:bottom w:val="single" w:sz="8" w:space="0" w:color="FF0000"/>
              <w:right w:val="single" w:sz="8" w:space="0" w:color="FF0000"/>
            </w:tcBorders>
            <w:shd w:val="clear" w:color="000000" w:fill="F8A3AF"/>
            <w:noWrap/>
            <w:vAlign w:val="center"/>
            <w:hideMark/>
          </w:tcPr>
          <w:p w14:paraId="51CAA04F"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222" w:type="dxa"/>
            <w:vAlign w:val="center"/>
            <w:hideMark/>
          </w:tcPr>
          <w:p w14:paraId="6574CE5D" w14:textId="77777777" w:rsidR="00FB5CDB" w:rsidRPr="00894701" w:rsidRDefault="00FB5CDB" w:rsidP="00446B8D">
            <w:pPr>
              <w:spacing w:after="0" w:line="240" w:lineRule="auto"/>
              <w:rPr>
                <w:rFonts w:ascii="Times New Roman" w:hAnsi="Times New Roman"/>
              </w:rPr>
            </w:pPr>
          </w:p>
        </w:tc>
      </w:tr>
      <w:tr w:rsidR="00FB5CDB" w:rsidRPr="00894701" w14:paraId="171C27D4" w14:textId="77777777" w:rsidTr="00446B8D">
        <w:trPr>
          <w:trHeight w:val="300"/>
        </w:trPr>
        <w:tc>
          <w:tcPr>
            <w:tcW w:w="605" w:type="dxa"/>
            <w:tcBorders>
              <w:top w:val="nil"/>
              <w:left w:val="single" w:sz="8" w:space="0" w:color="FF0000"/>
              <w:bottom w:val="single" w:sz="8" w:space="0" w:color="FF0000"/>
              <w:right w:val="single" w:sz="8" w:space="0" w:color="FF0000"/>
            </w:tcBorders>
            <w:shd w:val="clear" w:color="auto" w:fill="auto"/>
            <w:noWrap/>
            <w:vAlign w:val="center"/>
            <w:hideMark/>
          </w:tcPr>
          <w:p w14:paraId="077E2C66" w14:textId="77777777" w:rsidR="00FB5CDB" w:rsidRPr="00894701" w:rsidRDefault="00FB5CDB" w:rsidP="00446B8D">
            <w:pPr>
              <w:spacing w:after="0" w:line="240" w:lineRule="auto"/>
              <w:jc w:val="center"/>
              <w:rPr>
                <w:rFonts w:cs="Helvetica"/>
                <w:color w:val="000000"/>
              </w:rPr>
            </w:pPr>
            <w:r w:rsidRPr="00894701">
              <w:rPr>
                <w:rFonts w:cs="Helvetica"/>
                <w:color w:val="000000"/>
              </w:rPr>
              <w:t>1.16</w:t>
            </w:r>
          </w:p>
        </w:tc>
        <w:tc>
          <w:tcPr>
            <w:tcW w:w="7132" w:type="dxa"/>
            <w:tcBorders>
              <w:top w:val="nil"/>
              <w:left w:val="nil"/>
              <w:bottom w:val="single" w:sz="8" w:space="0" w:color="FF0000"/>
              <w:right w:val="nil"/>
            </w:tcBorders>
            <w:shd w:val="clear" w:color="auto" w:fill="auto"/>
            <w:noWrap/>
            <w:vAlign w:val="center"/>
            <w:hideMark/>
          </w:tcPr>
          <w:p w14:paraId="0E7A086B" w14:textId="77777777" w:rsidR="00FB5CDB" w:rsidRPr="00894701" w:rsidRDefault="00FB5CDB" w:rsidP="00446B8D">
            <w:pPr>
              <w:spacing w:after="0" w:line="240" w:lineRule="auto"/>
              <w:rPr>
                <w:rFonts w:cs="Helvetica"/>
                <w:color w:val="000000"/>
              </w:rPr>
            </w:pPr>
            <w:r w:rsidRPr="00894701">
              <w:rPr>
                <w:rFonts w:cs="Helvetica"/>
                <w:color w:val="000000"/>
              </w:rPr>
              <w:t>Canon/ Lease or Land Rent</w:t>
            </w:r>
          </w:p>
        </w:tc>
        <w:tc>
          <w:tcPr>
            <w:tcW w:w="277" w:type="dxa"/>
            <w:tcBorders>
              <w:top w:val="nil"/>
              <w:left w:val="nil"/>
              <w:bottom w:val="single" w:sz="8" w:space="0" w:color="FF0000"/>
              <w:right w:val="nil"/>
            </w:tcBorders>
            <w:shd w:val="clear" w:color="auto" w:fill="auto"/>
            <w:noWrap/>
            <w:vAlign w:val="center"/>
            <w:hideMark/>
          </w:tcPr>
          <w:p w14:paraId="7AA1AFA8"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632" w:type="dxa"/>
            <w:tcBorders>
              <w:top w:val="nil"/>
              <w:left w:val="nil"/>
              <w:bottom w:val="single" w:sz="8" w:space="0" w:color="FF0000"/>
              <w:right w:val="single" w:sz="8" w:space="0" w:color="FF0000"/>
            </w:tcBorders>
            <w:shd w:val="clear" w:color="auto" w:fill="auto"/>
            <w:noWrap/>
            <w:vAlign w:val="center"/>
            <w:hideMark/>
          </w:tcPr>
          <w:p w14:paraId="27DCC87A"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222" w:type="dxa"/>
            <w:vAlign w:val="center"/>
            <w:hideMark/>
          </w:tcPr>
          <w:p w14:paraId="5C03C151" w14:textId="77777777" w:rsidR="00FB5CDB" w:rsidRPr="00894701" w:rsidRDefault="00FB5CDB" w:rsidP="00446B8D">
            <w:pPr>
              <w:spacing w:after="0" w:line="240" w:lineRule="auto"/>
              <w:rPr>
                <w:rFonts w:ascii="Times New Roman" w:hAnsi="Times New Roman"/>
              </w:rPr>
            </w:pPr>
          </w:p>
        </w:tc>
      </w:tr>
      <w:tr w:rsidR="00FB5CDB" w:rsidRPr="00894701" w14:paraId="470F6200" w14:textId="77777777" w:rsidTr="00446B8D">
        <w:trPr>
          <w:trHeight w:val="300"/>
        </w:trPr>
        <w:tc>
          <w:tcPr>
            <w:tcW w:w="605" w:type="dxa"/>
            <w:tcBorders>
              <w:top w:val="nil"/>
              <w:left w:val="single" w:sz="8" w:space="0" w:color="FF0000"/>
              <w:bottom w:val="single" w:sz="8" w:space="0" w:color="FF0000"/>
              <w:right w:val="single" w:sz="8" w:space="0" w:color="FF0000"/>
            </w:tcBorders>
            <w:shd w:val="clear" w:color="000000" w:fill="F8A3AF"/>
            <w:noWrap/>
            <w:vAlign w:val="center"/>
            <w:hideMark/>
          </w:tcPr>
          <w:p w14:paraId="2E30BCF8" w14:textId="77777777" w:rsidR="00FB5CDB" w:rsidRPr="00894701" w:rsidRDefault="00FB5CDB" w:rsidP="00446B8D">
            <w:pPr>
              <w:spacing w:after="0" w:line="240" w:lineRule="auto"/>
              <w:jc w:val="center"/>
              <w:rPr>
                <w:rFonts w:cs="Helvetica"/>
                <w:color w:val="000000"/>
              </w:rPr>
            </w:pPr>
            <w:r w:rsidRPr="00894701">
              <w:rPr>
                <w:rFonts w:cs="Helvetica"/>
                <w:color w:val="000000"/>
              </w:rPr>
              <w:t>1.17</w:t>
            </w:r>
          </w:p>
        </w:tc>
        <w:tc>
          <w:tcPr>
            <w:tcW w:w="8041" w:type="dxa"/>
            <w:gridSpan w:val="3"/>
            <w:tcBorders>
              <w:top w:val="nil"/>
              <w:left w:val="nil"/>
              <w:bottom w:val="single" w:sz="8" w:space="0" w:color="FF0000"/>
              <w:right w:val="single" w:sz="8" w:space="0" w:color="FF0000"/>
            </w:tcBorders>
            <w:shd w:val="clear" w:color="000000" w:fill="F8A3AF"/>
            <w:noWrap/>
            <w:vAlign w:val="center"/>
            <w:hideMark/>
          </w:tcPr>
          <w:p w14:paraId="1ECE3E7A" w14:textId="77777777" w:rsidR="00FB5CDB" w:rsidRPr="00894701" w:rsidRDefault="00FB5CDB" w:rsidP="00446B8D">
            <w:pPr>
              <w:spacing w:after="0" w:line="240" w:lineRule="auto"/>
              <w:rPr>
                <w:rFonts w:cs="Helvetica"/>
                <w:color w:val="000000"/>
              </w:rPr>
            </w:pPr>
            <w:r w:rsidRPr="00894701">
              <w:rPr>
                <w:rFonts w:cs="Helvetica"/>
                <w:color w:val="000000"/>
              </w:rPr>
              <w:t>All other payments (signature bonus, bidding fees, penalties, petroleum levy)</w:t>
            </w:r>
          </w:p>
        </w:tc>
        <w:tc>
          <w:tcPr>
            <w:tcW w:w="222" w:type="dxa"/>
            <w:vAlign w:val="center"/>
            <w:hideMark/>
          </w:tcPr>
          <w:p w14:paraId="693F93A0" w14:textId="77777777" w:rsidR="00FB5CDB" w:rsidRPr="00894701" w:rsidRDefault="00FB5CDB" w:rsidP="00446B8D">
            <w:pPr>
              <w:spacing w:after="0" w:line="240" w:lineRule="auto"/>
              <w:rPr>
                <w:rFonts w:ascii="Times New Roman" w:hAnsi="Times New Roman"/>
              </w:rPr>
            </w:pPr>
          </w:p>
        </w:tc>
      </w:tr>
      <w:tr w:rsidR="00FB5CDB" w:rsidRPr="00894701" w14:paraId="78C319ED" w14:textId="77777777" w:rsidTr="00446B8D">
        <w:trPr>
          <w:trHeight w:val="300"/>
        </w:trPr>
        <w:tc>
          <w:tcPr>
            <w:tcW w:w="7737" w:type="dxa"/>
            <w:gridSpan w:val="2"/>
            <w:tcBorders>
              <w:top w:val="single" w:sz="8" w:space="0" w:color="FF0000"/>
              <w:left w:val="single" w:sz="8" w:space="0" w:color="FF0000"/>
              <w:bottom w:val="single" w:sz="8" w:space="0" w:color="FF0000"/>
              <w:right w:val="nil"/>
            </w:tcBorders>
            <w:shd w:val="clear" w:color="000000" w:fill="AEAAAA"/>
            <w:noWrap/>
            <w:vAlign w:val="center"/>
            <w:hideMark/>
          </w:tcPr>
          <w:p w14:paraId="342F8406" w14:textId="77777777" w:rsidR="00FB5CDB" w:rsidRPr="00894701" w:rsidRDefault="00FB5CDB" w:rsidP="00446B8D">
            <w:pPr>
              <w:spacing w:after="0" w:line="240" w:lineRule="auto"/>
              <w:rPr>
                <w:rFonts w:cs="Helvetica"/>
                <w:b/>
                <w:bCs/>
                <w:color w:val="333F4F"/>
              </w:rPr>
            </w:pPr>
            <w:r w:rsidRPr="00894701">
              <w:rPr>
                <w:rFonts w:cs="Helvetica"/>
                <w:b/>
                <w:bCs/>
                <w:color w:val="333F4F"/>
              </w:rPr>
              <w:t xml:space="preserve"> Ministry of Natural Resources (MNR)</w:t>
            </w:r>
          </w:p>
        </w:tc>
        <w:tc>
          <w:tcPr>
            <w:tcW w:w="277" w:type="dxa"/>
            <w:tcBorders>
              <w:top w:val="nil"/>
              <w:left w:val="nil"/>
              <w:bottom w:val="single" w:sz="8" w:space="0" w:color="FF0000"/>
              <w:right w:val="nil"/>
            </w:tcBorders>
            <w:shd w:val="clear" w:color="000000" w:fill="AEAAAA"/>
            <w:noWrap/>
            <w:vAlign w:val="center"/>
            <w:hideMark/>
          </w:tcPr>
          <w:p w14:paraId="1DE8B4D8" w14:textId="77777777" w:rsidR="00FB5CDB" w:rsidRPr="00894701" w:rsidRDefault="00FB5CDB" w:rsidP="00446B8D">
            <w:pPr>
              <w:spacing w:after="0" w:line="240" w:lineRule="auto"/>
              <w:rPr>
                <w:rFonts w:cs="Helvetica"/>
                <w:b/>
                <w:bCs/>
                <w:color w:val="333F4F"/>
              </w:rPr>
            </w:pPr>
            <w:r w:rsidRPr="00894701">
              <w:rPr>
                <w:rFonts w:cs="Helvetica"/>
                <w:b/>
                <w:bCs/>
                <w:color w:val="333F4F"/>
              </w:rPr>
              <w:t> </w:t>
            </w:r>
          </w:p>
        </w:tc>
        <w:tc>
          <w:tcPr>
            <w:tcW w:w="632" w:type="dxa"/>
            <w:tcBorders>
              <w:top w:val="nil"/>
              <w:left w:val="nil"/>
              <w:bottom w:val="single" w:sz="8" w:space="0" w:color="FF0000"/>
              <w:right w:val="nil"/>
            </w:tcBorders>
            <w:shd w:val="clear" w:color="000000" w:fill="AEAAAA"/>
            <w:noWrap/>
            <w:vAlign w:val="center"/>
            <w:hideMark/>
          </w:tcPr>
          <w:p w14:paraId="036E9412" w14:textId="77777777" w:rsidR="00FB5CDB" w:rsidRPr="00894701" w:rsidRDefault="00FB5CDB" w:rsidP="00446B8D">
            <w:pPr>
              <w:spacing w:after="0" w:line="240" w:lineRule="auto"/>
              <w:rPr>
                <w:rFonts w:cs="Helvetica"/>
                <w:b/>
                <w:bCs/>
                <w:color w:val="333F4F"/>
              </w:rPr>
            </w:pPr>
            <w:r w:rsidRPr="00894701">
              <w:rPr>
                <w:rFonts w:cs="Helvetica"/>
                <w:b/>
                <w:bCs/>
                <w:color w:val="333F4F"/>
              </w:rPr>
              <w:t> </w:t>
            </w:r>
          </w:p>
        </w:tc>
        <w:tc>
          <w:tcPr>
            <w:tcW w:w="222" w:type="dxa"/>
            <w:vAlign w:val="center"/>
            <w:hideMark/>
          </w:tcPr>
          <w:p w14:paraId="44332299" w14:textId="77777777" w:rsidR="00FB5CDB" w:rsidRPr="00894701" w:rsidRDefault="00FB5CDB" w:rsidP="00446B8D">
            <w:pPr>
              <w:spacing w:after="0" w:line="240" w:lineRule="auto"/>
              <w:rPr>
                <w:rFonts w:ascii="Times New Roman" w:hAnsi="Times New Roman"/>
              </w:rPr>
            </w:pPr>
          </w:p>
        </w:tc>
      </w:tr>
      <w:tr w:rsidR="00FB5CDB" w:rsidRPr="00894701" w14:paraId="6B9DBB07" w14:textId="77777777" w:rsidTr="00446B8D">
        <w:trPr>
          <w:trHeight w:val="300"/>
        </w:trPr>
        <w:tc>
          <w:tcPr>
            <w:tcW w:w="605" w:type="dxa"/>
            <w:tcBorders>
              <w:top w:val="nil"/>
              <w:left w:val="single" w:sz="8" w:space="0" w:color="FF0000"/>
              <w:bottom w:val="single" w:sz="8" w:space="0" w:color="FF0000"/>
              <w:right w:val="single" w:sz="8" w:space="0" w:color="FF0000"/>
            </w:tcBorders>
            <w:shd w:val="clear" w:color="auto" w:fill="auto"/>
            <w:noWrap/>
            <w:vAlign w:val="center"/>
            <w:hideMark/>
          </w:tcPr>
          <w:p w14:paraId="6FC68AD6" w14:textId="77777777" w:rsidR="00FB5CDB" w:rsidRPr="00894701" w:rsidRDefault="00FB5CDB" w:rsidP="00446B8D">
            <w:pPr>
              <w:spacing w:after="0" w:line="240" w:lineRule="auto"/>
              <w:jc w:val="center"/>
              <w:rPr>
                <w:rFonts w:cs="Helvetica"/>
                <w:color w:val="000000"/>
              </w:rPr>
            </w:pPr>
            <w:r w:rsidRPr="00894701">
              <w:rPr>
                <w:rFonts w:cs="Helvetica"/>
                <w:color w:val="000000"/>
              </w:rPr>
              <w:t>2.1</w:t>
            </w:r>
          </w:p>
        </w:tc>
        <w:tc>
          <w:tcPr>
            <w:tcW w:w="7132" w:type="dxa"/>
            <w:tcBorders>
              <w:top w:val="nil"/>
              <w:left w:val="nil"/>
              <w:bottom w:val="single" w:sz="8" w:space="0" w:color="FF0000"/>
              <w:right w:val="nil"/>
            </w:tcBorders>
            <w:shd w:val="clear" w:color="auto" w:fill="auto"/>
            <w:noWrap/>
            <w:vAlign w:val="center"/>
            <w:hideMark/>
          </w:tcPr>
          <w:p w14:paraId="2EC929C1" w14:textId="77777777" w:rsidR="00FB5CDB" w:rsidRPr="00894701" w:rsidRDefault="00FB5CDB" w:rsidP="00446B8D">
            <w:pPr>
              <w:spacing w:after="0" w:line="240" w:lineRule="auto"/>
              <w:rPr>
                <w:rFonts w:cs="Helvetica"/>
                <w:color w:val="000000"/>
              </w:rPr>
            </w:pPr>
            <w:r w:rsidRPr="00894701">
              <w:rPr>
                <w:rFonts w:cs="Helvetica"/>
                <w:color w:val="000000"/>
              </w:rPr>
              <w:t>Concession Fees</w:t>
            </w:r>
          </w:p>
        </w:tc>
        <w:tc>
          <w:tcPr>
            <w:tcW w:w="277" w:type="dxa"/>
            <w:tcBorders>
              <w:top w:val="nil"/>
              <w:left w:val="nil"/>
              <w:bottom w:val="single" w:sz="8" w:space="0" w:color="FF0000"/>
              <w:right w:val="nil"/>
            </w:tcBorders>
            <w:shd w:val="clear" w:color="auto" w:fill="auto"/>
            <w:noWrap/>
            <w:vAlign w:val="center"/>
            <w:hideMark/>
          </w:tcPr>
          <w:p w14:paraId="7653AE3F"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632" w:type="dxa"/>
            <w:tcBorders>
              <w:top w:val="nil"/>
              <w:left w:val="nil"/>
              <w:bottom w:val="single" w:sz="8" w:space="0" w:color="FF0000"/>
              <w:right w:val="single" w:sz="8" w:space="0" w:color="FF0000"/>
            </w:tcBorders>
            <w:shd w:val="clear" w:color="auto" w:fill="auto"/>
            <w:noWrap/>
            <w:vAlign w:val="center"/>
            <w:hideMark/>
          </w:tcPr>
          <w:p w14:paraId="03509EA0"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222" w:type="dxa"/>
            <w:vAlign w:val="center"/>
            <w:hideMark/>
          </w:tcPr>
          <w:p w14:paraId="46E21DCA" w14:textId="77777777" w:rsidR="00FB5CDB" w:rsidRPr="00894701" w:rsidRDefault="00FB5CDB" w:rsidP="00446B8D">
            <w:pPr>
              <w:spacing w:after="0" w:line="240" w:lineRule="auto"/>
              <w:rPr>
                <w:rFonts w:ascii="Times New Roman" w:hAnsi="Times New Roman"/>
              </w:rPr>
            </w:pPr>
          </w:p>
        </w:tc>
      </w:tr>
      <w:tr w:rsidR="00FB5CDB" w:rsidRPr="00894701" w14:paraId="750B3CA3" w14:textId="77777777" w:rsidTr="00446B8D">
        <w:trPr>
          <w:trHeight w:val="300"/>
        </w:trPr>
        <w:tc>
          <w:tcPr>
            <w:tcW w:w="605" w:type="dxa"/>
            <w:tcBorders>
              <w:top w:val="nil"/>
              <w:left w:val="single" w:sz="8" w:space="0" w:color="FF0000"/>
              <w:bottom w:val="single" w:sz="8" w:space="0" w:color="FF0000"/>
              <w:right w:val="single" w:sz="8" w:space="0" w:color="FF0000"/>
            </w:tcBorders>
            <w:shd w:val="clear" w:color="000000" w:fill="F8A3AF"/>
            <w:noWrap/>
            <w:vAlign w:val="center"/>
            <w:hideMark/>
          </w:tcPr>
          <w:p w14:paraId="1D1CFAEC" w14:textId="77777777" w:rsidR="00FB5CDB" w:rsidRPr="00894701" w:rsidRDefault="00FB5CDB" w:rsidP="00446B8D">
            <w:pPr>
              <w:spacing w:after="0" w:line="240" w:lineRule="auto"/>
              <w:jc w:val="center"/>
              <w:rPr>
                <w:rFonts w:cs="Helvetica"/>
                <w:color w:val="000000"/>
              </w:rPr>
            </w:pPr>
            <w:r w:rsidRPr="00894701">
              <w:rPr>
                <w:rFonts w:cs="Helvetica"/>
                <w:color w:val="000000"/>
              </w:rPr>
              <w:t>2.2</w:t>
            </w:r>
          </w:p>
        </w:tc>
        <w:tc>
          <w:tcPr>
            <w:tcW w:w="7132" w:type="dxa"/>
            <w:tcBorders>
              <w:top w:val="nil"/>
              <w:left w:val="nil"/>
              <w:bottom w:val="single" w:sz="8" w:space="0" w:color="FF0000"/>
              <w:right w:val="nil"/>
            </w:tcBorders>
            <w:shd w:val="clear" w:color="000000" w:fill="F8A3AF"/>
            <w:noWrap/>
            <w:vAlign w:val="center"/>
            <w:hideMark/>
          </w:tcPr>
          <w:p w14:paraId="7BD3017A" w14:textId="77777777" w:rsidR="00FB5CDB" w:rsidRPr="00894701" w:rsidRDefault="00FB5CDB" w:rsidP="00446B8D">
            <w:pPr>
              <w:spacing w:after="0" w:line="240" w:lineRule="auto"/>
              <w:rPr>
                <w:rFonts w:cs="Helvetica"/>
                <w:color w:val="000000"/>
              </w:rPr>
            </w:pPr>
            <w:r w:rsidRPr="00894701">
              <w:rPr>
                <w:rFonts w:cs="Helvetica"/>
                <w:color w:val="000000"/>
              </w:rPr>
              <w:t>Exploration fees yearly</w:t>
            </w:r>
          </w:p>
        </w:tc>
        <w:tc>
          <w:tcPr>
            <w:tcW w:w="277" w:type="dxa"/>
            <w:tcBorders>
              <w:top w:val="nil"/>
              <w:left w:val="nil"/>
              <w:bottom w:val="single" w:sz="8" w:space="0" w:color="FF0000"/>
              <w:right w:val="nil"/>
            </w:tcBorders>
            <w:shd w:val="clear" w:color="000000" w:fill="F8A3AF"/>
            <w:noWrap/>
            <w:vAlign w:val="center"/>
            <w:hideMark/>
          </w:tcPr>
          <w:p w14:paraId="68ECAC0A"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632" w:type="dxa"/>
            <w:tcBorders>
              <w:top w:val="nil"/>
              <w:left w:val="nil"/>
              <w:bottom w:val="single" w:sz="8" w:space="0" w:color="FF0000"/>
              <w:right w:val="single" w:sz="8" w:space="0" w:color="FF0000"/>
            </w:tcBorders>
            <w:shd w:val="clear" w:color="000000" w:fill="F8A3AF"/>
            <w:noWrap/>
            <w:vAlign w:val="center"/>
            <w:hideMark/>
          </w:tcPr>
          <w:p w14:paraId="5A90EC40"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222" w:type="dxa"/>
            <w:vAlign w:val="center"/>
            <w:hideMark/>
          </w:tcPr>
          <w:p w14:paraId="04C42D51" w14:textId="77777777" w:rsidR="00FB5CDB" w:rsidRPr="00894701" w:rsidRDefault="00FB5CDB" w:rsidP="00446B8D">
            <w:pPr>
              <w:spacing w:after="0" w:line="240" w:lineRule="auto"/>
              <w:rPr>
                <w:rFonts w:ascii="Times New Roman" w:hAnsi="Times New Roman"/>
              </w:rPr>
            </w:pPr>
          </w:p>
        </w:tc>
      </w:tr>
      <w:tr w:rsidR="00FB5CDB" w:rsidRPr="00894701" w14:paraId="402DD3D8" w14:textId="77777777" w:rsidTr="00446B8D">
        <w:trPr>
          <w:trHeight w:val="300"/>
        </w:trPr>
        <w:tc>
          <w:tcPr>
            <w:tcW w:w="605" w:type="dxa"/>
            <w:tcBorders>
              <w:top w:val="nil"/>
              <w:left w:val="single" w:sz="8" w:space="0" w:color="FF0000"/>
              <w:bottom w:val="single" w:sz="8" w:space="0" w:color="FF0000"/>
              <w:right w:val="single" w:sz="8" w:space="0" w:color="FF0000"/>
            </w:tcBorders>
            <w:shd w:val="clear" w:color="auto" w:fill="auto"/>
            <w:noWrap/>
            <w:vAlign w:val="center"/>
            <w:hideMark/>
          </w:tcPr>
          <w:p w14:paraId="4B222C9B" w14:textId="77777777" w:rsidR="00FB5CDB" w:rsidRPr="00894701" w:rsidRDefault="00FB5CDB" w:rsidP="00446B8D">
            <w:pPr>
              <w:spacing w:after="0" w:line="240" w:lineRule="auto"/>
              <w:jc w:val="center"/>
              <w:rPr>
                <w:rFonts w:cs="Helvetica"/>
                <w:color w:val="000000"/>
              </w:rPr>
            </w:pPr>
            <w:r w:rsidRPr="00894701">
              <w:rPr>
                <w:rFonts w:cs="Helvetica"/>
                <w:color w:val="000000"/>
              </w:rPr>
              <w:t>2.3</w:t>
            </w:r>
          </w:p>
        </w:tc>
        <w:tc>
          <w:tcPr>
            <w:tcW w:w="7132" w:type="dxa"/>
            <w:tcBorders>
              <w:top w:val="nil"/>
              <w:left w:val="nil"/>
              <w:bottom w:val="single" w:sz="8" w:space="0" w:color="FF0000"/>
              <w:right w:val="nil"/>
            </w:tcBorders>
            <w:shd w:val="clear" w:color="auto" w:fill="auto"/>
            <w:noWrap/>
            <w:vAlign w:val="center"/>
            <w:hideMark/>
          </w:tcPr>
          <w:p w14:paraId="791605A8" w14:textId="77777777" w:rsidR="00FB5CDB" w:rsidRPr="00894701" w:rsidRDefault="00FB5CDB" w:rsidP="00446B8D">
            <w:pPr>
              <w:spacing w:after="0" w:line="240" w:lineRule="auto"/>
              <w:rPr>
                <w:rFonts w:cs="Helvetica"/>
                <w:color w:val="000000"/>
              </w:rPr>
            </w:pPr>
            <w:r w:rsidRPr="00894701">
              <w:rPr>
                <w:rFonts w:cs="Helvetica"/>
                <w:color w:val="000000"/>
              </w:rPr>
              <w:t>Exploitation fees yearly</w:t>
            </w:r>
          </w:p>
        </w:tc>
        <w:tc>
          <w:tcPr>
            <w:tcW w:w="277" w:type="dxa"/>
            <w:tcBorders>
              <w:top w:val="nil"/>
              <w:left w:val="nil"/>
              <w:bottom w:val="single" w:sz="8" w:space="0" w:color="FF0000"/>
              <w:right w:val="nil"/>
            </w:tcBorders>
            <w:shd w:val="clear" w:color="auto" w:fill="auto"/>
            <w:noWrap/>
            <w:vAlign w:val="center"/>
            <w:hideMark/>
          </w:tcPr>
          <w:p w14:paraId="5CE3E595"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632" w:type="dxa"/>
            <w:tcBorders>
              <w:top w:val="nil"/>
              <w:left w:val="nil"/>
              <w:bottom w:val="single" w:sz="8" w:space="0" w:color="FF0000"/>
              <w:right w:val="single" w:sz="8" w:space="0" w:color="FF0000"/>
            </w:tcBorders>
            <w:shd w:val="clear" w:color="auto" w:fill="auto"/>
            <w:noWrap/>
            <w:vAlign w:val="center"/>
            <w:hideMark/>
          </w:tcPr>
          <w:p w14:paraId="2DEB602B"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222" w:type="dxa"/>
            <w:vAlign w:val="center"/>
            <w:hideMark/>
          </w:tcPr>
          <w:p w14:paraId="39D51FB2" w14:textId="77777777" w:rsidR="00FB5CDB" w:rsidRPr="00894701" w:rsidRDefault="00FB5CDB" w:rsidP="00446B8D">
            <w:pPr>
              <w:spacing w:after="0" w:line="240" w:lineRule="auto"/>
              <w:rPr>
                <w:rFonts w:ascii="Times New Roman" w:hAnsi="Times New Roman"/>
              </w:rPr>
            </w:pPr>
          </w:p>
        </w:tc>
      </w:tr>
      <w:tr w:rsidR="00FB5CDB" w:rsidRPr="00894701" w14:paraId="79391B28" w14:textId="77777777" w:rsidTr="00446B8D">
        <w:trPr>
          <w:trHeight w:val="300"/>
        </w:trPr>
        <w:tc>
          <w:tcPr>
            <w:tcW w:w="605" w:type="dxa"/>
            <w:tcBorders>
              <w:top w:val="nil"/>
              <w:left w:val="single" w:sz="8" w:space="0" w:color="FF0000"/>
              <w:bottom w:val="single" w:sz="8" w:space="0" w:color="FF0000"/>
              <w:right w:val="single" w:sz="8" w:space="0" w:color="FF0000"/>
            </w:tcBorders>
            <w:shd w:val="clear" w:color="000000" w:fill="F8A3AF"/>
            <w:noWrap/>
            <w:vAlign w:val="center"/>
            <w:hideMark/>
          </w:tcPr>
          <w:p w14:paraId="3924D9B0" w14:textId="77777777" w:rsidR="00FB5CDB" w:rsidRPr="00894701" w:rsidRDefault="00FB5CDB" w:rsidP="00446B8D">
            <w:pPr>
              <w:spacing w:after="0" w:line="240" w:lineRule="auto"/>
              <w:jc w:val="center"/>
              <w:rPr>
                <w:rFonts w:cs="Helvetica"/>
                <w:color w:val="000000"/>
              </w:rPr>
            </w:pPr>
            <w:r w:rsidRPr="00894701">
              <w:rPr>
                <w:rFonts w:cs="Helvetica"/>
                <w:color w:val="000000"/>
              </w:rPr>
              <w:t>2.4</w:t>
            </w:r>
          </w:p>
        </w:tc>
        <w:tc>
          <w:tcPr>
            <w:tcW w:w="7132" w:type="dxa"/>
            <w:tcBorders>
              <w:top w:val="nil"/>
              <w:left w:val="nil"/>
              <w:bottom w:val="single" w:sz="8" w:space="0" w:color="FF0000"/>
              <w:right w:val="nil"/>
            </w:tcBorders>
            <w:shd w:val="clear" w:color="000000" w:fill="F8A3AF"/>
            <w:noWrap/>
            <w:vAlign w:val="center"/>
            <w:hideMark/>
          </w:tcPr>
          <w:p w14:paraId="55C01512" w14:textId="77777777" w:rsidR="00FB5CDB" w:rsidRPr="00894701" w:rsidRDefault="00FB5CDB" w:rsidP="00446B8D">
            <w:pPr>
              <w:spacing w:after="0" w:line="240" w:lineRule="auto"/>
              <w:rPr>
                <w:rFonts w:cs="Helvetica"/>
                <w:color w:val="000000"/>
              </w:rPr>
            </w:pPr>
            <w:r w:rsidRPr="00894701">
              <w:rPr>
                <w:rFonts w:cs="Helvetica"/>
                <w:color w:val="000000"/>
              </w:rPr>
              <w:t>Fees Quarry building materials</w:t>
            </w:r>
          </w:p>
        </w:tc>
        <w:tc>
          <w:tcPr>
            <w:tcW w:w="277" w:type="dxa"/>
            <w:tcBorders>
              <w:top w:val="nil"/>
              <w:left w:val="nil"/>
              <w:bottom w:val="single" w:sz="8" w:space="0" w:color="FF0000"/>
              <w:right w:val="nil"/>
            </w:tcBorders>
            <w:shd w:val="clear" w:color="000000" w:fill="F8A3AF"/>
            <w:noWrap/>
            <w:vAlign w:val="center"/>
            <w:hideMark/>
          </w:tcPr>
          <w:p w14:paraId="44F52F1A"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632" w:type="dxa"/>
            <w:tcBorders>
              <w:top w:val="nil"/>
              <w:left w:val="nil"/>
              <w:bottom w:val="single" w:sz="8" w:space="0" w:color="FF0000"/>
              <w:right w:val="single" w:sz="8" w:space="0" w:color="FF0000"/>
            </w:tcBorders>
            <w:shd w:val="clear" w:color="000000" w:fill="F8A3AF"/>
            <w:noWrap/>
            <w:vAlign w:val="center"/>
            <w:hideMark/>
          </w:tcPr>
          <w:p w14:paraId="0D1CD0F0"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222" w:type="dxa"/>
            <w:vAlign w:val="center"/>
            <w:hideMark/>
          </w:tcPr>
          <w:p w14:paraId="25884E85" w14:textId="77777777" w:rsidR="00FB5CDB" w:rsidRPr="00894701" w:rsidRDefault="00FB5CDB" w:rsidP="00446B8D">
            <w:pPr>
              <w:spacing w:after="0" w:line="240" w:lineRule="auto"/>
              <w:rPr>
                <w:rFonts w:ascii="Times New Roman" w:hAnsi="Times New Roman"/>
              </w:rPr>
            </w:pPr>
          </w:p>
        </w:tc>
      </w:tr>
      <w:tr w:rsidR="00FB5CDB" w:rsidRPr="00894701" w14:paraId="47B322B6" w14:textId="77777777" w:rsidTr="00446B8D">
        <w:trPr>
          <w:trHeight w:val="300"/>
        </w:trPr>
        <w:tc>
          <w:tcPr>
            <w:tcW w:w="605" w:type="dxa"/>
            <w:tcBorders>
              <w:top w:val="nil"/>
              <w:left w:val="single" w:sz="8" w:space="0" w:color="FF0000"/>
              <w:bottom w:val="single" w:sz="8" w:space="0" w:color="FF0000"/>
              <w:right w:val="single" w:sz="8" w:space="0" w:color="FF0000"/>
            </w:tcBorders>
            <w:shd w:val="clear" w:color="auto" w:fill="auto"/>
            <w:noWrap/>
            <w:vAlign w:val="center"/>
            <w:hideMark/>
          </w:tcPr>
          <w:p w14:paraId="1ED3BB61" w14:textId="77777777" w:rsidR="00FB5CDB" w:rsidRPr="00894701" w:rsidRDefault="00FB5CDB" w:rsidP="00446B8D">
            <w:pPr>
              <w:spacing w:after="0" w:line="240" w:lineRule="auto"/>
              <w:jc w:val="center"/>
              <w:rPr>
                <w:rFonts w:cs="Helvetica"/>
                <w:color w:val="000000"/>
              </w:rPr>
            </w:pPr>
            <w:r w:rsidRPr="00894701">
              <w:rPr>
                <w:rFonts w:cs="Helvetica"/>
                <w:color w:val="000000"/>
              </w:rPr>
              <w:t>2.5</w:t>
            </w:r>
          </w:p>
        </w:tc>
        <w:tc>
          <w:tcPr>
            <w:tcW w:w="7132" w:type="dxa"/>
            <w:tcBorders>
              <w:top w:val="nil"/>
              <w:left w:val="nil"/>
              <w:bottom w:val="single" w:sz="8" w:space="0" w:color="FF0000"/>
              <w:right w:val="nil"/>
            </w:tcBorders>
            <w:shd w:val="clear" w:color="auto" w:fill="auto"/>
            <w:noWrap/>
            <w:vAlign w:val="center"/>
            <w:hideMark/>
          </w:tcPr>
          <w:p w14:paraId="3BC836CE" w14:textId="77777777" w:rsidR="00FB5CDB" w:rsidRPr="00894701" w:rsidRDefault="00FB5CDB" w:rsidP="00446B8D">
            <w:pPr>
              <w:spacing w:after="0" w:line="240" w:lineRule="auto"/>
              <w:rPr>
                <w:rFonts w:cs="Helvetica"/>
                <w:color w:val="000000"/>
              </w:rPr>
            </w:pPr>
            <w:r w:rsidRPr="00894701">
              <w:rPr>
                <w:rFonts w:cs="Helvetica"/>
                <w:color w:val="000000"/>
              </w:rPr>
              <w:t>Application fees</w:t>
            </w:r>
          </w:p>
        </w:tc>
        <w:tc>
          <w:tcPr>
            <w:tcW w:w="277" w:type="dxa"/>
            <w:tcBorders>
              <w:top w:val="nil"/>
              <w:left w:val="nil"/>
              <w:bottom w:val="single" w:sz="8" w:space="0" w:color="FF0000"/>
              <w:right w:val="nil"/>
            </w:tcBorders>
            <w:shd w:val="clear" w:color="auto" w:fill="auto"/>
            <w:noWrap/>
            <w:vAlign w:val="center"/>
            <w:hideMark/>
          </w:tcPr>
          <w:p w14:paraId="0AEB4A04"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632" w:type="dxa"/>
            <w:tcBorders>
              <w:top w:val="nil"/>
              <w:left w:val="nil"/>
              <w:bottom w:val="single" w:sz="8" w:space="0" w:color="FF0000"/>
              <w:right w:val="single" w:sz="8" w:space="0" w:color="FF0000"/>
            </w:tcBorders>
            <w:shd w:val="clear" w:color="auto" w:fill="auto"/>
            <w:noWrap/>
            <w:vAlign w:val="center"/>
            <w:hideMark/>
          </w:tcPr>
          <w:p w14:paraId="7F83325F"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222" w:type="dxa"/>
            <w:vAlign w:val="center"/>
            <w:hideMark/>
          </w:tcPr>
          <w:p w14:paraId="67306C2F" w14:textId="77777777" w:rsidR="00FB5CDB" w:rsidRPr="00894701" w:rsidRDefault="00FB5CDB" w:rsidP="00446B8D">
            <w:pPr>
              <w:spacing w:after="0" w:line="240" w:lineRule="auto"/>
              <w:rPr>
                <w:rFonts w:ascii="Times New Roman" w:hAnsi="Times New Roman"/>
              </w:rPr>
            </w:pPr>
          </w:p>
        </w:tc>
      </w:tr>
      <w:tr w:rsidR="00FB5CDB" w:rsidRPr="00894701" w14:paraId="529362CE" w14:textId="77777777" w:rsidTr="00446B8D">
        <w:trPr>
          <w:trHeight w:val="300"/>
        </w:trPr>
        <w:tc>
          <w:tcPr>
            <w:tcW w:w="605" w:type="dxa"/>
            <w:tcBorders>
              <w:top w:val="nil"/>
              <w:left w:val="single" w:sz="8" w:space="0" w:color="FF0000"/>
              <w:bottom w:val="single" w:sz="8" w:space="0" w:color="FF0000"/>
              <w:right w:val="single" w:sz="8" w:space="0" w:color="FF0000"/>
            </w:tcBorders>
            <w:shd w:val="clear" w:color="000000" w:fill="F8A3AF"/>
            <w:noWrap/>
            <w:vAlign w:val="center"/>
            <w:hideMark/>
          </w:tcPr>
          <w:p w14:paraId="3E477F94" w14:textId="77777777" w:rsidR="00FB5CDB" w:rsidRPr="00894701" w:rsidRDefault="00FB5CDB" w:rsidP="00446B8D">
            <w:pPr>
              <w:spacing w:after="0" w:line="240" w:lineRule="auto"/>
              <w:jc w:val="center"/>
              <w:rPr>
                <w:rFonts w:cs="Helvetica"/>
                <w:color w:val="000000"/>
              </w:rPr>
            </w:pPr>
            <w:r w:rsidRPr="00894701">
              <w:rPr>
                <w:rFonts w:cs="Helvetica"/>
                <w:color w:val="000000"/>
              </w:rPr>
              <w:t>2.6</w:t>
            </w:r>
          </w:p>
        </w:tc>
        <w:tc>
          <w:tcPr>
            <w:tcW w:w="7132" w:type="dxa"/>
            <w:tcBorders>
              <w:top w:val="nil"/>
              <w:left w:val="nil"/>
              <w:bottom w:val="single" w:sz="8" w:space="0" w:color="FF0000"/>
              <w:right w:val="nil"/>
            </w:tcBorders>
            <w:shd w:val="clear" w:color="000000" w:fill="F8A3AF"/>
            <w:noWrap/>
            <w:vAlign w:val="center"/>
            <w:hideMark/>
          </w:tcPr>
          <w:p w14:paraId="57F613FA" w14:textId="77777777" w:rsidR="00FB5CDB" w:rsidRPr="00894701" w:rsidRDefault="00FB5CDB" w:rsidP="00446B8D">
            <w:pPr>
              <w:spacing w:after="0" w:line="240" w:lineRule="auto"/>
              <w:rPr>
                <w:rFonts w:cs="Helvetica"/>
                <w:color w:val="000000"/>
              </w:rPr>
            </w:pPr>
            <w:r w:rsidRPr="00894701">
              <w:rPr>
                <w:rFonts w:cs="Helvetica"/>
                <w:color w:val="000000"/>
              </w:rPr>
              <w:t>Royalty fees</w:t>
            </w:r>
          </w:p>
        </w:tc>
        <w:tc>
          <w:tcPr>
            <w:tcW w:w="277" w:type="dxa"/>
            <w:tcBorders>
              <w:top w:val="nil"/>
              <w:left w:val="nil"/>
              <w:bottom w:val="single" w:sz="8" w:space="0" w:color="FF0000"/>
              <w:right w:val="nil"/>
            </w:tcBorders>
            <w:shd w:val="clear" w:color="000000" w:fill="F8A3AF"/>
            <w:noWrap/>
            <w:vAlign w:val="center"/>
            <w:hideMark/>
          </w:tcPr>
          <w:p w14:paraId="1669350A"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632" w:type="dxa"/>
            <w:tcBorders>
              <w:top w:val="nil"/>
              <w:left w:val="nil"/>
              <w:bottom w:val="single" w:sz="8" w:space="0" w:color="FF0000"/>
              <w:right w:val="single" w:sz="8" w:space="0" w:color="FF0000"/>
            </w:tcBorders>
            <w:shd w:val="clear" w:color="000000" w:fill="F8A3AF"/>
            <w:noWrap/>
            <w:vAlign w:val="center"/>
            <w:hideMark/>
          </w:tcPr>
          <w:p w14:paraId="5D248497"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222" w:type="dxa"/>
            <w:vAlign w:val="center"/>
            <w:hideMark/>
          </w:tcPr>
          <w:p w14:paraId="5CFF8B64" w14:textId="77777777" w:rsidR="00FB5CDB" w:rsidRPr="00894701" w:rsidRDefault="00FB5CDB" w:rsidP="00446B8D">
            <w:pPr>
              <w:spacing w:after="0" w:line="240" w:lineRule="auto"/>
              <w:rPr>
                <w:rFonts w:ascii="Times New Roman" w:hAnsi="Times New Roman"/>
              </w:rPr>
            </w:pPr>
          </w:p>
        </w:tc>
      </w:tr>
      <w:tr w:rsidR="00FB5CDB" w:rsidRPr="00894701" w14:paraId="78CD35C1" w14:textId="77777777" w:rsidTr="00446B8D">
        <w:trPr>
          <w:trHeight w:val="300"/>
        </w:trPr>
        <w:tc>
          <w:tcPr>
            <w:tcW w:w="605" w:type="dxa"/>
            <w:tcBorders>
              <w:top w:val="nil"/>
              <w:left w:val="single" w:sz="8" w:space="0" w:color="FF0000"/>
              <w:bottom w:val="single" w:sz="8" w:space="0" w:color="FF0000"/>
              <w:right w:val="single" w:sz="8" w:space="0" w:color="FF0000"/>
            </w:tcBorders>
            <w:shd w:val="clear" w:color="auto" w:fill="auto"/>
            <w:noWrap/>
            <w:vAlign w:val="center"/>
            <w:hideMark/>
          </w:tcPr>
          <w:p w14:paraId="7B424CC1" w14:textId="77777777" w:rsidR="00FB5CDB" w:rsidRPr="00894701" w:rsidRDefault="00FB5CDB" w:rsidP="00446B8D">
            <w:pPr>
              <w:spacing w:after="0" w:line="240" w:lineRule="auto"/>
              <w:jc w:val="center"/>
              <w:rPr>
                <w:rFonts w:cs="Helvetica"/>
                <w:color w:val="000000"/>
              </w:rPr>
            </w:pPr>
            <w:r w:rsidRPr="00894701">
              <w:rPr>
                <w:rFonts w:cs="Helvetica"/>
                <w:color w:val="000000"/>
              </w:rPr>
              <w:t>2.7</w:t>
            </w:r>
          </w:p>
        </w:tc>
        <w:tc>
          <w:tcPr>
            <w:tcW w:w="7132" w:type="dxa"/>
            <w:tcBorders>
              <w:top w:val="nil"/>
              <w:left w:val="nil"/>
              <w:bottom w:val="single" w:sz="8" w:space="0" w:color="FF0000"/>
              <w:right w:val="nil"/>
            </w:tcBorders>
            <w:shd w:val="clear" w:color="auto" w:fill="auto"/>
            <w:noWrap/>
            <w:vAlign w:val="center"/>
            <w:hideMark/>
          </w:tcPr>
          <w:p w14:paraId="398772BD" w14:textId="77777777" w:rsidR="00FB5CDB" w:rsidRPr="00894701" w:rsidRDefault="00FB5CDB" w:rsidP="00446B8D">
            <w:pPr>
              <w:spacing w:after="0" w:line="240" w:lineRule="auto"/>
              <w:rPr>
                <w:rFonts w:cs="Helvetica"/>
                <w:color w:val="000000"/>
              </w:rPr>
            </w:pPr>
            <w:r w:rsidRPr="00894701">
              <w:rPr>
                <w:rFonts w:cs="Helvetica"/>
                <w:color w:val="000000"/>
              </w:rPr>
              <w:t>Royalty fees in-kind</w:t>
            </w:r>
          </w:p>
        </w:tc>
        <w:tc>
          <w:tcPr>
            <w:tcW w:w="277" w:type="dxa"/>
            <w:tcBorders>
              <w:top w:val="nil"/>
              <w:left w:val="nil"/>
              <w:bottom w:val="single" w:sz="8" w:space="0" w:color="FF0000"/>
              <w:right w:val="nil"/>
            </w:tcBorders>
            <w:shd w:val="clear" w:color="auto" w:fill="auto"/>
            <w:noWrap/>
            <w:vAlign w:val="center"/>
            <w:hideMark/>
          </w:tcPr>
          <w:p w14:paraId="1C49826C"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632" w:type="dxa"/>
            <w:tcBorders>
              <w:top w:val="nil"/>
              <w:left w:val="nil"/>
              <w:bottom w:val="single" w:sz="8" w:space="0" w:color="FF0000"/>
              <w:right w:val="single" w:sz="8" w:space="0" w:color="FF0000"/>
            </w:tcBorders>
            <w:shd w:val="clear" w:color="auto" w:fill="auto"/>
            <w:noWrap/>
            <w:vAlign w:val="center"/>
            <w:hideMark/>
          </w:tcPr>
          <w:p w14:paraId="4B1D20D5"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222" w:type="dxa"/>
            <w:vAlign w:val="center"/>
            <w:hideMark/>
          </w:tcPr>
          <w:p w14:paraId="37815CAD" w14:textId="77777777" w:rsidR="00FB5CDB" w:rsidRPr="00894701" w:rsidRDefault="00FB5CDB" w:rsidP="00446B8D">
            <w:pPr>
              <w:spacing w:after="0" w:line="240" w:lineRule="auto"/>
              <w:rPr>
                <w:rFonts w:ascii="Times New Roman" w:hAnsi="Times New Roman"/>
              </w:rPr>
            </w:pPr>
          </w:p>
        </w:tc>
      </w:tr>
      <w:tr w:rsidR="00FB5CDB" w:rsidRPr="00894701" w14:paraId="06BBE96B" w14:textId="77777777" w:rsidTr="00446B8D">
        <w:trPr>
          <w:trHeight w:val="300"/>
        </w:trPr>
        <w:tc>
          <w:tcPr>
            <w:tcW w:w="605" w:type="dxa"/>
            <w:tcBorders>
              <w:top w:val="nil"/>
              <w:left w:val="single" w:sz="8" w:space="0" w:color="FF0000"/>
              <w:bottom w:val="single" w:sz="8" w:space="0" w:color="FF0000"/>
              <w:right w:val="single" w:sz="8" w:space="0" w:color="FF0000"/>
            </w:tcBorders>
            <w:shd w:val="clear" w:color="000000" w:fill="F8A3AF"/>
            <w:noWrap/>
            <w:vAlign w:val="center"/>
            <w:hideMark/>
          </w:tcPr>
          <w:p w14:paraId="7394364E" w14:textId="77777777" w:rsidR="00FB5CDB" w:rsidRPr="00894701" w:rsidRDefault="00FB5CDB" w:rsidP="00446B8D">
            <w:pPr>
              <w:spacing w:after="0" w:line="240" w:lineRule="auto"/>
              <w:jc w:val="center"/>
              <w:rPr>
                <w:rFonts w:cs="Helvetica"/>
                <w:color w:val="000000"/>
              </w:rPr>
            </w:pPr>
            <w:r w:rsidRPr="00894701">
              <w:rPr>
                <w:rFonts w:cs="Helvetica"/>
                <w:color w:val="000000"/>
              </w:rPr>
              <w:t>2.8</w:t>
            </w:r>
          </w:p>
        </w:tc>
        <w:tc>
          <w:tcPr>
            <w:tcW w:w="7132" w:type="dxa"/>
            <w:tcBorders>
              <w:top w:val="nil"/>
              <w:left w:val="nil"/>
              <w:bottom w:val="single" w:sz="8" w:space="0" w:color="FF0000"/>
              <w:right w:val="nil"/>
            </w:tcBorders>
            <w:shd w:val="clear" w:color="000000" w:fill="F8A3AF"/>
            <w:noWrap/>
            <w:vAlign w:val="center"/>
            <w:hideMark/>
          </w:tcPr>
          <w:p w14:paraId="17F43EA8" w14:textId="77777777" w:rsidR="00FB5CDB" w:rsidRPr="00894701" w:rsidRDefault="00FB5CDB" w:rsidP="00446B8D">
            <w:pPr>
              <w:spacing w:after="0" w:line="240" w:lineRule="auto"/>
              <w:rPr>
                <w:rFonts w:cs="Helvetica"/>
                <w:color w:val="000000"/>
              </w:rPr>
            </w:pPr>
            <w:r w:rsidRPr="00894701">
              <w:rPr>
                <w:rFonts w:cs="Helvetica"/>
                <w:color w:val="000000"/>
              </w:rPr>
              <w:t>Canon/ Lease or Land Rent</w:t>
            </w:r>
          </w:p>
        </w:tc>
        <w:tc>
          <w:tcPr>
            <w:tcW w:w="277" w:type="dxa"/>
            <w:tcBorders>
              <w:top w:val="nil"/>
              <w:left w:val="nil"/>
              <w:bottom w:val="single" w:sz="8" w:space="0" w:color="FF0000"/>
              <w:right w:val="nil"/>
            </w:tcBorders>
            <w:shd w:val="clear" w:color="000000" w:fill="F8A3AF"/>
            <w:noWrap/>
            <w:vAlign w:val="center"/>
            <w:hideMark/>
          </w:tcPr>
          <w:p w14:paraId="1014714D"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632" w:type="dxa"/>
            <w:tcBorders>
              <w:top w:val="nil"/>
              <w:left w:val="nil"/>
              <w:bottom w:val="single" w:sz="8" w:space="0" w:color="FF0000"/>
              <w:right w:val="single" w:sz="8" w:space="0" w:color="FF0000"/>
            </w:tcBorders>
            <w:shd w:val="clear" w:color="000000" w:fill="F8A3AF"/>
            <w:noWrap/>
            <w:vAlign w:val="center"/>
            <w:hideMark/>
          </w:tcPr>
          <w:p w14:paraId="7B4B4846"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222" w:type="dxa"/>
            <w:vAlign w:val="center"/>
            <w:hideMark/>
          </w:tcPr>
          <w:p w14:paraId="12209334" w14:textId="77777777" w:rsidR="00FB5CDB" w:rsidRPr="00894701" w:rsidRDefault="00FB5CDB" w:rsidP="00446B8D">
            <w:pPr>
              <w:spacing w:after="0" w:line="240" w:lineRule="auto"/>
              <w:rPr>
                <w:rFonts w:ascii="Times New Roman" w:hAnsi="Times New Roman"/>
              </w:rPr>
            </w:pPr>
          </w:p>
        </w:tc>
      </w:tr>
      <w:tr w:rsidR="00FB5CDB" w:rsidRPr="00894701" w14:paraId="49B3B03C" w14:textId="77777777" w:rsidTr="00446B8D">
        <w:trPr>
          <w:trHeight w:val="300"/>
        </w:trPr>
        <w:tc>
          <w:tcPr>
            <w:tcW w:w="605" w:type="dxa"/>
            <w:tcBorders>
              <w:top w:val="nil"/>
              <w:left w:val="single" w:sz="8" w:space="0" w:color="FF0000"/>
              <w:bottom w:val="single" w:sz="8" w:space="0" w:color="FF0000"/>
              <w:right w:val="single" w:sz="8" w:space="0" w:color="FF0000"/>
            </w:tcBorders>
            <w:shd w:val="clear" w:color="auto" w:fill="auto"/>
            <w:noWrap/>
            <w:vAlign w:val="center"/>
            <w:hideMark/>
          </w:tcPr>
          <w:p w14:paraId="71F651D5" w14:textId="77777777" w:rsidR="00FB5CDB" w:rsidRPr="00894701" w:rsidRDefault="00FB5CDB" w:rsidP="00446B8D">
            <w:pPr>
              <w:spacing w:after="0" w:line="240" w:lineRule="auto"/>
              <w:jc w:val="center"/>
              <w:rPr>
                <w:rFonts w:cs="Helvetica"/>
                <w:color w:val="000000"/>
              </w:rPr>
            </w:pPr>
            <w:r w:rsidRPr="00894701">
              <w:rPr>
                <w:rFonts w:cs="Helvetica"/>
                <w:color w:val="000000"/>
              </w:rPr>
              <w:t>2.9</w:t>
            </w:r>
          </w:p>
        </w:tc>
        <w:tc>
          <w:tcPr>
            <w:tcW w:w="8041" w:type="dxa"/>
            <w:gridSpan w:val="3"/>
            <w:tcBorders>
              <w:top w:val="nil"/>
              <w:left w:val="nil"/>
              <w:bottom w:val="single" w:sz="8" w:space="0" w:color="FF0000"/>
              <w:right w:val="single" w:sz="8" w:space="0" w:color="FF0000"/>
            </w:tcBorders>
            <w:shd w:val="clear" w:color="auto" w:fill="auto"/>
            <w:noWrap/>
            <w:vAlign w:val="center"/>
            <w:hideMark/>
          </w:tcPr>
          <w:p w14:paraId="11AE5FC7" w14:textId="77777777" w:rsidR="00FB5CDB" w:rsidRPr="00894701" w:rsidRDefault="00FB5CDB" w:rsidP="00446B8D">
            <w:pPr>
              <w:spacing w:after="0" w:line="240" w:lineRule="auto"/>
              <w:rPr>
                <w:rFonts w:cs="Helvetica"/>
                <w:color w:val="000000"/>
              </w:rPr>
            </w:pPr>
            <w:r w:rsidRPr="00894701">
              <w:rPr>
                <w:rFonts w:cs="Helvetica"/>
                <w:color w:val="000000"/>
              </w:rPr>
              <w:t>All other payments (signature bonuses, bidding fees, penalties, petroleum levies)</w:t>
            </w:r>
          </w:p>
        </w:tc>
        <w:tc>
          <w:tcPr>
            <w:tcW w:w="222" w:type="dxa"/>
            <w:vAlign w:val="center"/>
            <w:hideMark/>
          </w:tcPr>
          <w:p w14:paraId="699D1175" w14:textId="77777777" w:rsidR="00FB5CDB" w:rsidRPr="00894701" w:rsidRDefault="00FB5CDB" w:rsidP="00446B8D">
            <w:pPr>
              <w:spacing w:after="0" w:line="240" w:lineRule="auto"/>
              <w:rPr>
                <w:rFonts w:ascii="Times New Roman" w:hAnsi="Times New Roman"/>
              </w:rPr>
            </w:pPr>
          </w:p>
        </w:tc>
      </w:tr>
      <w:tr w:rsidR="00FB5CDB" w:rsidRPr="00894701" w14:paraId="6309058D" w14:textId="77777777" w:rsidTr="00446B8D">
        <w:trPr>
          <w:trHeight w:val="300"/>
        </w:trPr>
        <w:tc>
          <w:tcPr>
            <w:tcW w:w="7737" w:type="dxa"/>
            <w:gridSpan w:val="2"/>
            <w:tcBorders>
              <w:top w:val="single" w:sz="8" w:space="0" w:color="FF0000"/>
              <w:left w:val="single" w:sz="8" w:space="0" w:color="FF0000"/>
              <w:bottom w:val="single" w:sz="8" w:space="0" w:color="FF0000"/>
              <w:right w:val="nil"/>
            </w:tcBorders>
            <w:shd w:val="clear" w:color="000000" w:fill="AEAAAA"/>
            <w:noWrap/>
            <w:vAlign w:val="center"/>
            <w:hideMark/>
          </w:tcPr>
          <w:p w14:paraId="0D7CDBDF" w14:textId="77777777" w:rsidR="00FB5CDB" w:rsidRPr="00894701" w:rsidRDefault="00FB5CDB" w:rsidP="00446B8D">
            <w:pPr>
              <w:spacing w:after="0" w:line="240" w:lineRule="auto"/>
              <w:rPr>
                <w:rFonts w:cs="Helvetica"/>
                <w:b/>
                <w:bCs/>
                <w:color w:val="333F4F"/>
              </w:rPr>
            </w:pPr>
            <w:r w:rsidRPr="00894701">
              <w:rPr>
                <w:rFonts w:cs="Helvetica"/>
                <w:b/>
                <w:bCs/>
                <w:color w:val="333F4F"/>
              </w:rPr>
              <w:t xml:space="preserve"> Other payments to Ministry of Natural Resources (MNR</w:t>
            </w:r>
          </w:p>
        </w:tc>
        <w:tc>
          <w:tcPr>
            <w:tcW w:w="277" w:type="dxa"/>
            <w:tcBorders>
              <w:top w:val="nil"/>
              <w:left w:val="nil"/>
              <w:bottom w:val="single" w:sz="8" w:space="0" w:color="FF0000"/>
              <w:right w:val="nil"/>
            </w:tcBorders>
            <w:shd w:val="clear" w:color="000000" w:fill="AEAAAA"/>
            <w:noWrap/>
            <w:vAlign w:val="center"/>
            <w:hideMark/>
          </w:tcPr>
          <w:p w14:paraId="0A0BA6F9" w14:textId="77777777" w:rsidR="00FB5CDB" w:rsidRPr="00894701" w:rsidRDefault="00FB5CDB" w:rsidP="00446B8D">
            <w:pPr>
              <w:spacing w:after="0" w:line="240" w:lineRule="auto"/>
              <w:rPr>
                <w:rFonts w:cs="Helvetica"/>
                <w:b/>
                <w:bCs/>
                <w:color w:val="333F4F"/>
              </w:rPr>
            </w:pPr>
            <w:r w:rsidRPr="00894701">
              <w:rPr>
                <w:rFonts w:cs="Helvetica"/>
                <w:b/>
                <w:bCs/>
                <w:color w:val="333F4F"/>
              </w:rPr>
              <w:t> </w:t>
            </w:r>
          </w:p>
        </w:tc>
        <w:tc>
          <w:tcPr>
            <w:tcW w:w="632" w:type="dxa"/>
            <w:tcBorders>
              <w:top w:val="nil"/>
              <w:left w:val="nil"/>
              <w:bottom w:val="single" w:sz="8" w:space="0" w:color="FF0000"/>
              <w:right w:val="nil"/>
            </w:tcBorders>
            <w:shd w:val="clear" w:color="000000" w:fill="AEAAAA"/>
            <w:noWrap/>
            <w:vAlign w:val="center"/>
            <w:hideMark/>
          </w:tcPr>
          <w:p w14:paraId="7C115154" w14:textId="77777777" w:rsidR="00FB5CDB" w:rsidRPr="00894701" w:rsidRDefault="00FB5CDB" w:rsidP="00446B8D">
            <w:pPr>
              <w:spacing w:after="0" w:line="240" w:lineRule="auto"/>
              <w:rPr>
                <w:rFonts w:cs="Helvetica"/>
                <w:b/>
                <w:bCs/>
                <w:color w:val="333F4F"/>
              </w:rPr>
            </w:pPr>
            <w:r w:rsidRPr="00894701">
              <w:rPr>
                <w:rFonts w:cs="Helvetica"/>
                <w:b/>
                <w:bCs/>
                <w:color w:val="333F4F"/>
              </w:rPr>
              <w:t> </w:t>
            </w:r>
          </w:p>
        </w:tc>
        <w:tc>
          <w:tcPr>
            <w:tcW w:w="222" w:type="dxa"/>
            <w:vAlign w:val="center"/>
            <w:hideMark/>
          </w:tcPr>
          <w:p w14:paraId="3F6A1088" w14:textId="77777777" w:rsidR="00FB5CDB" w:rsidRPr="00894701" w:rsidRDefault="00FB5CDB" w:rsidP="00446B8D">
            <w:pPr>
              <w:spacing w:after="0" w:line="240" w:lineRule="auto"/>
              <w:rPr>
                <w:rFonts w:ascii="Times New Roman" w:hAnsi="Times New Roman"/>
              </w:rPr>
            </w:pPr>
          </w:p>
        </w:tc>
      </w:tr>
      <w:tr w:rsidR="00FB5CDB" w:rsidRPr="00894701" w14:paraId="35B695DD" w14:textId="77777777" w:rsidTr="00446B8D">
        <w:trPr>
          <w:trHeight w:val="300"/>
        </w:trPr>
        <w:tc>
          <w:tcPr>
            <w:tcW w:w="605" w:type="dxa"/>
            <w:tcBorders>
              <w:top w:val="nil"/>
              <w:left w:val="single" w:sz="8" w:space="0" w:color="FF0000"/>
              <w:bottom w:val="single" w:sz="8" w:space="0" w:color="FF0000"/>
              <w:right w:val="single" w:sz="8" w:space="0" w:color="FF0000"/>
            </w:tcBorders>
            <w:shd w:val="clear" w:color="auto" w:fill="auto"/>
            <w:noWrap/>
            <w:vAlign w:val="center"/>
            <w:hideMark/>
          </w:tcPr>
          <w:p w14:paraId="6C26CB63" w14:textId="77777777" w:rsidR="00FB5CDB" w:rsidRPr="00894701" w:rsidRDefault="00FB5CDB" w:rsidP="00446B8D">
            <w:pPr>
              <w:spacing w:after="0" w:line="240" w:lineRule="auto"/>
              <w:jc w:val="center"/>
              <w:rPr>
                <w:rFonts w:cs="Helvetica"/>
                <w:color w:val="000000"/>
              </w:rPr>
            </w:pPr>
            <w:r w:rsidRPr="00894701">
              <w:rPr>
                <w:rFonts w:cs="Helvetica"/>
                <w:color w:val="000000"/>
              </w:rPr>
              <w:t>3.1</w:t>
            </w:r>
          </w:p>
        </w:tc>
        <w:tc>
          <w:tcPr>
            <w:tcW w:w="7132" w:type="dxa"/>
            <w:tcBorders>
              <w:top w:val="nil"/>
              <w:left w:val="nil"/>
              <w:bottom w:val="single" w:sz="8" w:space="0" w:color="FF0000"/>
              <w:right w:val="nil"/>
            </w:tcBorders>
            <w:shd w:val="clear" w:color="auto" w:fill="auto"/>
            <w:noWrap/>
            <w:vAlign w:val="center"/>
            <w:hideMark/>
          </w:tcPr>
          <w:p w14:paraId="275574A6" w14:textId="77777777" w:rsidR="00FB5CDB" w:rsidRPr="00894701" w:rsidRDefault="00FB5CDB" w:rsidP="00446B8D">
            <w:pPr>
              <w:spacing w:after="0" w:line="240" w:lineRule="auto"/>
              <w:rPr>
                <w:rFonts w:cs="Helvetica"/>
                <w:color w:val="000000"/>
              </w:rPr>
            </w:pPr>
            <w:r w:rsidRPr="00894701">
              <w:rPr>
                <w:rFonts w:cs="Helvetica"/>
                <w:color w:val="000000"/>
              </w:rPr>
              <w:t>Transfer fees</w:t>
            </w:r>
          </w:p>
        </w:tc>
        <w:tc>
          <w:tcPr>
            <w:tcW w:w="277" w:type="dxa"/>
            <w:tcBorders>
              <w:top w:val="nil"/>
              <w:left w:val="nil"/>
              <w:bottom w:val="single" w:sz="8" w:space="0" w:color="FF0000"/>
              <w:right w:val="nil"/>
            </w:tcBorders>
            <w:shd w:val="clear" w:color="auto" w:fill="auto"/>
            <w:noWrap/>
            <w:vAlign w:val="center"/>
            <w:hideMark/>
          </w:tcPr>
          <w:p w14:paraId="1468DC80"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632" w:type="dxa"/>
            <w:tcBorders>
              <w:top w:val="nil"/>
              <w:left w:val="nil"/>
              <w:bottom w:val="single" w:sz="8" w:space="0" w:color="FF0000"/>
              <w:right w:val="single" w:sz="8" w:space="0" w:color="FF0000"/>
            </w:tcBorders>
            <w:shd w:val="clear" w:color="auto" w:fill="auto"/>
            <w:noWrap/>
            <w:vAlign w:val="center"/>
            <w:hideMark/>
          </w:tcPr>
          <w:p w14:paraId="15DFC5F6"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222" w:type="dxa"/>
            <w:vAlign w:val="center"/>
            <w:hideMark/>
          </w:tcPr>
          <w:p w14:paraId="44BA2F54" w14:textId="77777777" w:rsidR="00FB5CDB" w:rsidRPr="00894701" w:rsidRDefault="00FB5CDB" w:rsidP="00446B8D">
            <w:pPr>
              <w:spacing w:after="0" w:line="240" w:lineRule="auto"/>
              <w:rPr>
                <w:rFonts w:ascii="Times New Roman" w:hAnsi="Times New Roman"/>
              </w:rPr>
            </w:pPr>
          </w:p>
        </w:tc>
      </w:tr>
      <w:tr w:rsidR="00FB5CDB" w:rsidRPr="00894701" w14:paraId="26F29C53" w14:textId="77777777" w:rsidTr="00446B8D">
        <w:trPr>
          <w:trHeight w:val="300"/>
        </w:trPr>
        <w:tc>
          <w:tcPr>
            <w:tcW w:w="605" w:type="dxa"/>
            <w:tcBorders>
              <w:top w:val="nil"/>
              <w:left w:val="single" w:sz="8" w:space="0" w:color="FF0000"/>
              <w:bottom w:val="single" w:sz="8" w:space="0" w:color="FF0000"/>
              <w:right w:val="single" w:sz="8" w:space="0" w:color="FF0000"/>
            </w:tcBorders>
            <w:shd w:val="clear" w:color="000000" w:fill="F8A3AF"/>
            <w:noWrap/>
            <w:vAlign w:val="center"/>
            <w:hideMark/>
          </w:tcPr>
          <w:p w14:paraId="38A00BCA" w14:textId="77777777" w:rsidR="00FB5CDB" w:rsidRPr="00894701" w:rsidRDefault="00FB5CDB" w:rsidP="00446B8D">
            <w:pPr>
              <w:spacing w:after="0" w:line="240" w:lineRule="auto"/>
              <w:jc w:val="center"/>
              <w:rPr>
                <w:rFonts w:cs="Helvetica"/>
                <w:color w:val="000000"/>
              </w:rPr>
            </w:pPr>
            <w:r w:rsidRPr="00894701">
              <w:rPr>
                <w:rFonts w:cs="Helvetica"/>
                <w:color w:val="000000"/>
              </w:rPr>
              <w:t>3.2</w:t>
            </w:r>
          </w:p>
        </w:tc>
        <w:tc>
          <w:tcPr>
            <w:tcW w:w="7132" w:type="dxa"/>
            <w:tcBorders>
              <w:top w:val="nil"/>
              <w:left w:val="nil"/>
              <w:bottom w:val="single" w:sz="8" w:space="0" w:color="FF0000"/>
              <w:right w:val="nil"/>
            </w:tcBorders>
            <w:shd w:val="clear" w:color="000000" w:fill="F8A3AF"/>
            <w:noWrap/>
            <w:vAlign w:val="center"/>
            <w:hideMark/>
          </w:tcPr>
          <w:p w14:paraId="6EF10950" w14:textId="77777777" w:rsidR="00FB5CDB" w:rsidRPr="00894701" w:rsidRDefault="00FB5CDB" w:rsidP="00446B8D">
            <w:pPr>
              <w:spacing w:after="0" w:line="240" w:lineRule="auto"/>
              <w:rPr>
                <w:rFonts w:cs="Helvetica"/>
                <w:color w:val="000000"/>
              </w:rPr>
            </w:pPr>
            <w:r w:rsidRPr="00894701">
              <w:rPr>
                <w:rFonts w:cs="Helvetica"/>
                <w:color w:val="000000"/>
              </w:rPr>
              <w:t>Abandonment provisions</w:t>
            </w:r>
          </w:p>
        </w:tc>
        <w:tc>
          <w:tcPr>
            <w:tcW w:w="277" w:type="dxa"/>
            <w:tcBorders>
              <w:top w:val="nil"/>
              <w:left w:val="nil"/>
              <w:bottom w:val="single" w:sz="8" w:space="0" w:color="FF0000"/>
              <w:right w:val="nil"/>
            </w:tcBorders>
            <w:shd w:val="clear" w:color="000000" w:fill="F8A3AF"/>
            <w:noWrap/>
            <w:vAlign w:val="center"/>
            <w:hideMark/>
          </w:tcPr>
          <w:p w14:paraId="2FFF4676"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632" w:type="dxa"/>
            <w:tcBorders>
              <w:top w:val="nil"/>
              <w:left w:val="nil"/>
              <w:bottom w:val="single" w:sz="8" w:space="0" w:color="FF0000"/>
              <w:right w:val="single" w:sz="8" w:space="0" w:color="FF0000"/>
            </w:tcBorders>
            <w:shd w:val="clear" w:color="000000" w:fill="F8A3AF"/>
            <w:noWrap/>
            <w:vAlign w:val="center"/>
            <w:hideMark/>
          </w:tcPr>
          <w:p w14:paraId="6F3EF535"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222" w:type="dxa"/>
            <w:vAlign w:val="center"/>
            <w:hideMark/>
          </w:tcPr>
          <w:p w14:paraId="5D51D203" w14:textId="77777777" w:rsidR="00FB5CDB" w:rsidRPr="00894701" w:rsidRDefault="00FB5CDB" w:rsidP="00446B8D">
            <w:pPr>
              <w:spacing w:after="0" w:line="240" w:lineRule="auto"/>
              <w:rPr>
                <w:rFonts w:ascii="Times New Roman" w:hAnsi="Times New Roman"/>
              </w:rPr>
            </w:pPr>
          </w:p>
        </w:tc>
      </w:tr>
      <w:tr w:rsidR="00FB5CDB" w:rsidRPr="00894701" w14:paraId="43A1309C" w14:textId="77777777" w:rsidTr="00446B8D">
        <w:trPr>
          <w:trHeight w:val="300"/>
        </w:trPr>
        <w:tc>
          <w:tcPr>
            <w:tcW w:w="605" w:type="dxa"/>
            <w:tcBorders>
              <w:top w:val="nil"/>
              <w:left w:val="single" w:sz="8" w:space="0" w:color="FF0000"/>
              <w:bottom w:val="single" w:sz="8" w:space="0" w:color="FF0000"/>
              <w:right w:val="single" w:sz="8" w:space="0" w:color="FF0000"/>
            </w:tcBorders>
            <w:shd w:val="clear" w:color="auto" w:fill="auto"/>
            <w:noWrap/>
            <w:vAlign w:val="center"/>
            <w:hideMark/>
          </w:tcPr>
          <w:p w14:paraId="4463F0D2" w14:textId="77777777" w:rsidR="00FB5CDB" w:rsidRPr="00894701" w:rsidRDefault="00FB5CDB" w:rsidP="00446B8D">
            <w:pPr>
              <w:spacing w:after="0" w:line="240" w:lineRule="auto"/>
              <w:jc w:val="center"/>
              <w:rPr>
                <w:rFonts w:cs="Helvetica"/>
                <w:color w:val="000000"/>
              </w:rPr>
            </w:pPr>
            <w:r w:rsidRPr="00894701">
              <w:rPr>
                <w:rFonts w:cs="Helvetica"/>
                <w:color w:val="000000"/>
              </w:rPr>
              <w:t>3.3</w:t>
            </w:r>
          </w:p>
        </w:tc>
        <w:tc>
          <w:tcPr>
            <w:tcW w:w="7132" w:type="dxa"/>
            <w:tcBorders>
              <w:top w:val="nil"/>
              <w:left w:val="nil"/>
              <w:bottom w:val="single" w:sz="8" w:space="0" w:color="FF0000"/>
              <w:right w:val="nil"/>
            </w:tcBorders>
            <w:shd w:val="clear" w:color="auto" w:fill="auto"/>
            <w:noWrap/>
            <w:vAlign w:val="center"/>
            <w:hideMark/>
          </w:tcPr>
          <w:p w14:paraId="491A8BDE" w14:textId="77777777" w:rsidR="00FB5CDB" w:rsidRPr="00894701" w:rsidRDefault="00FB5CDB" w:rsidP="00446B8D">
            <w:pPr>
              <w:spacing w:after="0" w:line="240" w:lineRule="auto"/>
              <w:rPr>
                <w:rFonts w:cs="Helvetica"/>
                <w:color w:val="000000"/>
              </w:rPr>
            </w:pPr>
            <w:r w:rsidRPr="00894701">
              <w:rPr>
                <w:rFonts w:cs="Helvetica"/>
                <w:color w:val="000000"/>
              </w:rPr>
              <w:t>Annual administrative charges</w:t>
            </w:r>
          </w:p>
        </w:tc>
        <w:tc>
          <w:tcPr>
            <w:tcW w:w="277" w:type="dxa"/>
            <w:tcBorders>
              <w:top w:val="nil"/>
              <w:left w:val="nil"/>
              <w:bottom w:val="single" w:sz="8" w:space="0" w:color="FF0000"/>
              <w:right w:val="nil"/>
            </w:tcBorders>
            <w:shd w:val="clear" w:color="auto" w:fill="auto"/>
            <w:noWrap/>
            <w:vAlign w:val="center"/>
            <w:hideMark/>
          </w:tcPr>
          <w:p w14:paraId="1A74ACDA"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632" w:type="dxa"/>
            <w:tcBorders>
              <w:top w:val="nil"/>
              <w:left w:val="nil"/>
              <w:bottom w:val="single" w:sz="8" w:space="0" w:color="FF0000"/>
              <w:right w:val="single" w:sz="8" w:space="0" w:color="FF0000"/>
            </w:tcBorders>
            <w:shd w:val="clear" w:color="auto" w:fill="auto"/>
            <w:noWrap/>
            <w:vAlign w:val="center"/>
            <w:hideMark/>
          </w:tcPr>
          <w:p w14:paraId="0917DB93"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222" w:type="dxa"/>
            <w:vAlign w:val="center"/>
            <w:hideMark/>
          </w:tcPr>
          <w:p w14:paraId="734F489A" w14:textId="77777777" w:rsidR="00FB5CDB" w:rsidRPr="00894701" w:rsidRDefault="00FB5CDB" w:rsidP="00446B8D">
            <w:pPr>
              <w:spacing w:after="0" w:line="240" w:lineRule="auto"/>
              <w:rPr>
                <w:rFonts w:ascii="Times New Roman" w:hAnsi="Times New Roman"/>
              </w:rPr>
            </w:pPr>
          </w:p>
        </w:tc>
      </w:tr>
      <w:tr w:rsidR="00FB5CDB" w:rsidRPr="00894701" w14:paraId="0D1F32D2" w14:textId="77777777" w:rsidTr="00446B8D">
        <w:trPr>
          <w:trHeight w:val="300"/>
        </w:trPr>
        <w:tc>
          <w:tcPr>
            <w:tcW w:w="605" w:type="dxa"/>
            <w:tcBorders>
              <w:top w:val="nil"/>
              <w:left w:val="single" w:sz="8" w:space="0" w:color="FF0000"/>
              <w:bottom w:val="single" w:sz="8" w:space="0" w:color="FF0000"/>
              <w:right w:val="single" w:sz="8" w:space="0" w:color="FF0000"/>
            </w:tcBorders>
            <w:shd w:val="clear" w:color="000000" w:fill="F8A3AF"/>
            <w:noWrap/>
            <w:vAlign w:val="center"/>
            <w:hideMark/>
          </w:tcPr>
          <w:p w14:paraId="19D2A378" w14:textId="77777777" w:rsidR="00FB5CDB" w:rsidRPr="00894701" w:rsidRDefault="00FB5CDB" w:rsidP="00446B8D">
            <w:pPr>
              <w:spacing w:after="0" w:line="240" w:lineRule="auto"/>
              <w:jc w:val="center"/>
              <w:rPr>
                <w:rFonts w:cs="Helvetica"/>
                <w:color w:val="000000"/>
              </w:rPr>
            </w:pPr>
            <w:r w:rsidRPr="00894701">
              <w:rPr>
                <w:rFonts w:cs="Helvetica"/>
                <w:color w:val="000000"/>
              </w:rPr>
              <w:t>3.4</w:t>
            </w:r>
          </w:p>
        </w:tc>
        <w:tc>
          <w:tcPr>
            <w:tcW w:w="7132" w:type="dxa"/>
            <w:tcBorders>
              <w:top w:val="nil"/>
              <w:left w:val="nil"/>
              <w:bottom w:val="single" w:sz="8" w:space="0" w:color="FF0000"/>
              <w:right w:val="nil"/>
            </w:tcBorders>
            <w:shd w:val="clear" w:color="000000" w:fill="F8A3AF"/>
            <w:noWrap/>
            <w:vAlign w:val="center"/>
            <w:hideMark/>
          </w:tcPr>
          <w:p w14:paraId="40D6016B" w14:textId="77777777" w:rsidR="00FB5CDB" w:rsidRPr="00894701" w:rsidRDefault="00FB5CDB" w:rsidP="00446B8D">
            <w:pPr>
              <w:spacing w:after="0" w:line="240" w:lineRule="auto"/>
              <w:rPr>
                <w:rFonts w:cs="Helvetica"/>
                <w:color w:val="000000"/>
              </w:rPr>
            </w:pPr>
            <w:r w:rsidRPr="00894701">
              <w:rPr>
                <w:rFonts w:cs="Helvetica"/>
                <w:color w:val="000000"/>
              </w:rPr>
              <w:t>Training</w:t>
            </w:r>
          </w:p>
        </w:tc>
        <w:tc>
          <w:tcPr>
            <w:tcW w:w="277" w:type="dxa"/>
            <w:tcBorders>
              <w:top w:val="nil"/>
              <w:left w:val="nil"/>
              <w:bottom w:val="single" w:sz="8" w:space="0" w:color="FF0000"/>
              <w:right w:val="nil"/>
            </w:tcBorders>
            <w:shd w:val="clear" w:color="000000" w:fill="F8A3AF"/>
            <w:noWrap/>
            <w:vAlign w:val="center"/>
            <w:hideMark/>
          </w:tcPr>
          <w:p w14:paraId="6D014301"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632" w:type="dxa"/>
            <w:tcBorders>
              <w:top w:val="nil"/>
              <w:left w:val="nil"/>
              <w:bottom w:val="single" w:sz="8" w:space="0" w:color="FF0000"/>
              <w:right w:val="single" w:sz="8" w:space="0" w:color="FF0000"/>
            </w:tcBorders>
            <w:shd w:val="clear" w:color="000000" w:fill="F8A3AF"/>
            <w:noWrap/>
            <w:vAlign w:val="center"/>
            <w:hideMark/>
          </w:tcPr>
          <w:p w14:paraId="64747519"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222" w:type="dxa"/>
            <w:vAlign w:val="center"/>
            <w:hideMark/>
          </w:tcPr>
          <w:p w14:paraId="62BD241C" w14:textId="77777777" w:rsidR="00FB5CDB" w:rsidRPr="00894701" w:rsidRDefault="00FB5CDB" w:rsidP="00446B8D">
            <w:pPr>
              <w:spacing w:after="0" w:line="240" w:lineRule="auto"/>
              <w:rPr>
                <w:rFonts w:ascii="Times New Roman" w:hAnsi="Times New Roman"/>
              </w:rPr>
            </w:pPr>
          </w:p>
        </w:tc>
      </w:tr>
      <w:tr w:rsidR="00FB5CDB" w:rsidRPr="00894701" w14:paraId="0FFF7D87" w14:textId="77777777" w:rsidTr="00446B8D">
        <w:trPr>
          <w:trHeight w:val="300"/>
        </w:trPr>
        <w:tc>
          <w:tcPr>
            <w:tcW w:w="605" w:type="dxa"/>
            <w:tcBorders>
              <w:top w:val="nil"/>
              <w:left w:val="single" w:sz="8" w:space="0" w:color="FF0000"/>
              <w:bottom w:val="single" w:sz="8" w:space="0" w:color="FF0000"/>
              <w:right w:val="single" w:sz="8" w:space="0" w:color="FF0000"/>
            </w:tcBorders>
            <w:shd w:val="clear" w:color="auto" w:fill="auto"/>
            <w:noWrap/>
            <w:vAlign w:val="center"/>
            <w:hideMark/>
          </w:tcPr>
          <w:p w14:paraId="00ED644E" w14:textId="77777777" w:rsidR="00FB5CDB" w:rsidRPr="00894701" w:rsidRDefault="00FB5CDB" w:rsidP="00446B8D">
            <w:pPr>
              <w:spacing w:after="0" w:line="240" w:lineRule="auto"/>
              <w:jc w:val="center"/>
              <w:rPr>
                <w:rFonts w:cs="Helvetica"/>
                <w:color w:val="000000"/>
              </w:rPr>
            </w:pPr>
            <w:r w:rsidRPr="00894701">
              <w:rPr>
                <w:rFonts w:cs="Helvetica"/>
                <w:color w:val="000000"/>
              </w:rPr>
              <w:t>3.5</w:t>
            </w:r>
          </w:p>
        </w:tc>
        <w:tc>
          <w:tcPr>
            <w:tcW w:w="7132" w:type="dxa"/>
            <w:tcBorders>
              <w:top w:val="nil"/>
              <w:left w:val="nil"/>
              <w:bottom w:val="single" w:sz="8" w:space="0" w:color="FF0000"/>
              <w:right w:val="nil"/>
            </w:tcBorders>
            <w:shd w:val="clear" w:color="auto" w:fill="auto"/>
            <w:noWrap/>
            <w:vAlign w:val="center"/>
            <w:hideMark/>
          </w:tcPr>
          <w:p w14:paraId="2E2DB8CA" w14:textId="77777777" w:rsidR="00FB5CDB" w:rsidRPr="00894701" w:rsidRDefault="00FB5CDB" w:rsidP="00446B8D">
            <w:pPr>
              <w:spacing w:after="0" w:line="240" w:lineRule="auto"/>
              <w:rPr>
                <w:rFonts w:cs="Helvetica"/>
                <w:color w:val="000000"/>
              </w:rPr>
            </w:pPr>
            <w:r w:rsidRPr="00894701">
              <w:rPr>
                <w:rFonts w:cs="Helvetica"/>
                <w:color w:val="000000"/>
              </w:rPr>
              <w:t>R&amp;D</w:t>
            </w:r>
          </w:p>
        </w:tc>
        <w:tc>
          <w:tcPr>
            <w:tcW w:w="277" w:type="dxa"/>
            <w:tcBorders>
              <w:top w:val="nil"/>
              <w:left w:val="nil"/>
              <w:bottom w:val="single" w:sz="8" w:space="0" w:color="FF0000"/>
              <w:right w:val="nil"/>
            </w:tcBorders>
            <w:shd w:val="clear" w:color="auto" w:fill="auto"/>
            <w:noWrap/>
            <w:vAlign w:val="center"/>
            <w:hideMark/>
          </w:tcPr>
          <w:p w14:paraId="2B16D68E"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632" w:type="dxa"/>
            <w:tcBorders>
              <w:top w:val="nil"/>
              <w:left w:val="nil"/>
              <w:bottom w:val="single" w:sz="8" w:space="0" w:color="FF0000"/>
              <w:right w:val="single" w:sz="8" w:space="0" w:color="FF0000"/>
            </w:tcBorders>
            <w:shd w:val="clear" w:color="auto" w:fill="auto"/>
            <w:noWrap/>
            <w:vAlign w:val="center"/>
            <w:hideMark/>
          </w:tcPr>
          <w:p w14:paraId="2631DB45"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222" w:type="dxa"/>
            <w:vAlign w:val="center"/>
            <w:hideMark/>
          </w:tcPr>
          <w:p w14:paraId="61B5A172" w14:textId="77777777" w:rsidR="00FB5CDB" w:rsidRPr="00894701" w:rsidRDefault="00FB5CDB" w:rsidP="00446B8D">
            <w:pPr>
              <w:spacing w:after="0" w:line="240" w:lineRule="auto"/>
              <w:rPr>
                <w:rFonts w:ascii="Times New Roman" w:hAnsi="Times New Roman"/>
              </w:rPr>
            </w:pPr>
          </w:p>
        </w:tc>
      </w:tr>
      <w:tr w:rsidR="00FB5CDB" w:rsidRPr="00894701" w14:paraId="7B7D2CAF" w14:textId="77777777" w:rsidTr="00446B8D">
        <w:trPr>
          <w:trHeight w:val="300"/>
        </w:trPr>
        <w:tc>
          <w:tcPr>
            <w:tcW w:w="605" w:type="dxa"/>
            <w:tcBorders>
              <w:top w:val="nil"/>
              <w:left w:val="single" w:sz="8" w:space="0" w:color="FF0000"/>
              <w:bottom w:val="single" w:sz="8" w:space="0" w:color="FF0000"/>
              <w:right w:val="single" w:sz="8" w:space="0" w:color="FF0000"/>
            </w:tcBorders>
            <w:shd w:val="clear" w:color="000000" w:fill="F8A3AF"/>
            <w:noWrap/>
            <w:vAlign w:val="center"/>
            <w:hideMark/>
          </w:tcPr>
          <w:p w14:paraId="577F5D70" w14:textId="77777777" w:rsidR="00FB5CDB" w:rsidRPr="00894701" w:rsidRDefault="00FB5CDB" w:rsidP="00446B8D">
            <w:pPr>
              <w:spacing w:after="0" w:line="240" w:lineRule="auto"/>
              <w:jc w:val="center"/>
              <w:rPr>
                <w:rFonts w:cs="Helvetica"/>
                <w:color w:val="000000"/>
              </w:rPr>
            </w:pPr>
            <w:r w:rsidRPr="00894701">
              <w:rPr>
                <w:rFonts w:cs="Helvetica"/>
                <w:color w:val="000000"/>
              </w:rPr>
              <w:t>3.6</w:t>
            </w:r>
          </w:p>
        </w:tc>
        <w:tc>
          <w:tcPr>
            <w:tcW w:w="7132" w:type="dxa"/>
            <w:tcBorders>
              <w:top w:val="nil"/>
              <w:left w:val="nil"/>
              <w:bottom w:val="single" w:sz="8" w:space="0" w:color="FF0000"/>
              <w:right w:val="nil"/>
            </w:tcBorders>
            <w:shd w:val="clear" w:color="000000" w:fill="F8A3AF"/>
            <w:noWrap/>
            <w:vAlign w:val="center"/>
            <w:hideMark/>
          </w:tcPr>
          <w:p w14:paraId="4C3070C5" w14:textId="77777777" w:rsidR="00FB5CDB" w:rsidRPr="00894701" w:rsidRDefault="00FB5CDB" w:rsidP="00446B8D">
            <w:pPr>
              <w:spacing w:after="0" w:line="240" w:lineRule="auto"/>
              <w:rPr>
                <w:rFonts w:cs="Helvetica"/>
                <w:color w:val="000000"/>
              </w:rPr>
            </w:pPr>
            <w:r w:rsidRPr="00894701">
              <w:rPr>
                <w:rFonts w:cs="Helvetica"/>
                <w:color w:val="000000"/>
              </w:rPr>
              <w:t>Production bonus</w:t>
            </w:r>
          </w:p>
        </w:tc>
        <w:tc>
          <w:tcPr>
            <w:tcW w:w="277" w:type="dxa"/>
            <w:tcBorders>
              <w:top w:val="nil"/>
              <w:left w:val="nil"/>
              <w:bottom w:val="single" w:sz="8" w:space="0" w:color="FF0000"/>
              <w:right w:val="nil"/>
            </w:tcBorders>
            <w:shd w:val="clear" w:color="000000" w:fill="F8A3AF"/>
            <w:noWrap/>
            <w:vAlign w:val="center"/>
            <w:hideMark/>
          </w:tcPr>
          <w:p w14:paraId="796322A9"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632" w:type="dxa"/>
            <w:tcBorders>
              <w:top w:val="nil"/>
              <w:left w:val="nil"/>
              <w:bottom w:val="single" w:sz="8" w:space="0" w:color="FF0000"/>
              <w:right w:val="single" w:sz="8" w:space="0" w:color="FF0000"/>
            </w:tcBorders>
            <w:shd w:val="clear" w:color="000000" w:fill="F8A3AF"/>
            <w:noWrap/>
            <w:vAlign w:val="center"/>
            <w:hideMark/>
          </w:tcPr>
          <w:p w14:paraId="6B359937"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222" w:type="dxa"/>
            <w:vAlign w:val="center"/>
            <w:hideMark/>
          </w:tcPr>
          <w:p w14:paraId="0243BB82" w14:textId="77777777" w:rsidR="00FB5CDB" w:rsidRPr="00894701" w:rsidRDefault="00FB5CDB" w:rsidP="00446B8D">
            <w:pPr>
              <w:spacing w:after="0" w:line="240" w:lineRule="auto"/>
              <w:rPr>
                <w:rFonts w:ascii="Times New Roman" w:hAnsi="Times New Roman"/>
              </w:rPr>
            </w:pPr>
          </w:p>
        </w:tc>
      </w:tr>
      <w:tr w:rsidR="00FB5CDB" w:rsidRPr="00894701" w14:paraId="636A76DE" w14:textId="77777777" w:rsidTr="00446B8D">
        <w:trPr>
          <w:trHeight w:val="300"/>
        </w:trPr>
        <w:tc>
          <w:tcPr>
            <w:tcW w:w="605" w:type="dxa"/>
            <w:tcBorders>
              <w:top w:val="nil"/>
              <w:left w:val="single" w:sz="8" w:space="0" w:color="FF0000"/>
              <w:bottom w:val="single" w:sz="8" w:space="0" w:color="FF0000"/>
              <w:right w:val="single" w:sz="8" w:space="0" w:color="FF0000"/>
            </w:tcBorders>
            <w:shd w:val="clear" w:color="auto" w:fill="auto"/>
            <w:noWrap/>
            <w:vAlign w:val="center"/>
            <w:hideMark/>
          </w:tcPr>
          <w:p w14:paraId="0C283A34" w14:textId="77777777" w:rsidR="00FB5CDB" w:rsidRPr="00894701" w:rsidRDefault="00FB5CDB" w:rsidP="00446B8D">
            <w:pPr>
              <w:spacing w:after="0" w:line="240" w:lineRule="auto"/>
              <w:jc w:val="center"/>
              <w:rPr>
                <w:rFonts w:cs="Helvetica"/>
                <w:color w:val="000000"/>
              </w:rPr>
            </w:pPr>
            <w:r w:rsidRPr="00894701">
              <w:rPr>
                <w:rFonts w:cs="Helvetica"/>
                <w:color w:val="000000"/>
              </w:rPr>
              <w:t>3.7</w:t>
            </w:r>
          </w:p>
        </w:tc>
        <w:tc>
          <w:tcPr>
            <w:tcW w:w="7132" w:type="dxa"/>
            <w:tcBorders>
              <w:top w:val="nil"/>
              <w:left w:val="nil"/>
              <w:bottom w:val="single" w:sz="8" w:space="0" w:color="FF0000"/>
              <w:right w:val="nil"/>
            </w:tcBorders>
            <w:shd w:val="clear" w:color="auto" w:fill="auto"/>
            <w:noWrap/>
            <w:vAlign w:val="center"/>
            <w:hideMark/>
          </w:tcPr>
          <w:p w14:paraId="7E4D9469" w14:textId="77777777" w:rsidR="00FB5CDB" w:rsidRPr="00894701" w:rsidRDefault="00FB5CDB" w:rsidP="00446B8D">
            <w:pPr>
              <w:spacing w:after="0" w:line="240" w:lineRule="auto"/>
              <w:rPr>
                <w:rFonts w:cs="Helvetica"/>
                <w:color w:val="000000"/>
              </w:rPr>
            </w:pPr>
            <w:r w:rsidRPr="00894701">
              <w:rPr>
                <w:rFonts w:cs="Helvetica"/>
                <w:color w:val="000000"/>
              </w:rPr>
              <w:t>Technical assistance</w:t>
            </w:r>
          </w:p>
        </w:tc>
        <w:tc>
          <w:tcPr>
            <w:tcW w:w="277" w:type="dxa"/>
            <w:tcBorders>
              <w:top w:val="nil"/>
              <w:left w:val="nil"/>
              <w:bottom w:val="single" w:sz="8" w:space="0" w:color="FF0000"/>
              <w:right w:val="nil"/>
            </w:tcBorders>
            <w:shd w:val="clear" w:color="auto" w:fill="auto"/>
            <w:noWrap/>
            <w:vAlign w:val="center"/>
            <w:hideMark/>
          </w:tcPr>
          <w:p w14:paraId="014370D7"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632" w:type="dxa"/>
            <w:tcBorders>
              <w:top w:val="nil"/>
              <w:left w:val="nil"/>
              <w:bottom w:val="single" w:sz="8" w:space="0" w:color="FF0000"/>
              <w:right w:val="single" w:sz="8" w:space="0" w:color="FF0000"/>
            </w:tcBorders>
            <w:shd w:val="clear" w:color="auto" w:fill="auto"/>
            <w:noWrap/>
            <w:vAlign w:val="center"/>
            <w:hideMark/>
          </w:tcPr>
          <w:p w14:paraId="134CA2C7"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222" w:type="dxa"/>
            <w:vAlign w:val="center"/>
            <w:hideMark/>
          </w:tcPr>
          <w:p w14:paraId="7E0D6862" w14:textId="77777777" w:rsidR="00FB5CDB" w:rsidRPr="00894701" w:rsidRDefault="00FB5CDB" w:rsidP="00446B8D">
            <w:pPr>
              <w:spacing w:after="0" w:line="240" w:lineRule="auto"/>
              <w:rPr>
                <w:rFonts w:ascii="Times New Roman" w:hAnsi="Times New Roman"/>
              </w:rPr>
            </w:pPr>
          </w:p>
        </w:tc>
      </w:tr>
      <w:tr w:rsidR="00FB5CDB" w:rsidRPr="00894701" w14:paraId="32AC1DCB" w14:textId="77777777" w:rsidTr="00446B8D">
        <w:trPr>
          <w:trHeight w:val="300"/>
        </w:trPr>
        <w:tc>
          <w:tcPr>
            <w:tcW w:w="605" w:type="dxa"/>
            <w:tcBorders>
              <w:top w:val="nil"/>
              <w:left w:val="single" w:sz="8" w:space="0" w:color="FF0000"/>
              <w:bottom w:val="single" w:sz="8" w:space="0" w:color="FF0000"/>
              <w:right w:val="single" w:sz="8" w:space="0" w:color="FF0000"/>
            </w:tcBorders>
            <w:shd w:val="clear" w:color="000000" w:fill="F8A3AF"/>
            <w:noWrap/>
            <w:vAlign w:val="center"/>
            <w:hideMark/>
          </w:tcPr>
          <w:p w14:paraId="065EFD3E" w14:textId="77777777" w:rsidR="00FB5CDB" w:rsidRPr="00894701" w:rsidRDefault="00FB5CDB" w:rsidP="00446B8D">
            <w:pPr>
              <w:spacing w:after="0" w:line="240" w:lineRule="auto"/>
              <w:jc w:val="center"/>
              <w:rPr>
                <w:rFonts w:cs="Helvetica"/>
                <w:color w:val="000000"/>
              </w:rPr>
            </w:pPr>
            <w:r w:rsidRPr="00894701">
              <w:rPr>
                <w:rFonts w:cs="Helvetica"/>
                <w:color w:val="000000"/>
              </w:rPr>
              <w:t>3.8</w:t>
            </w:r>
          </w:p>
        </w:tc>
        <w:tc>
          <w:tcPr>
            <w:tcW w:w="7132" w:type="dxa"/>
            <w:tcBorders>
              <w:top w:val="nil"/>
              <w:left w:val="nil"/>
              <w:bottom w:val="single" w:sz="8" w:space="0" w:color="FF0000"/>
              <w:right w:val="nil"/>
            </w:tcBorders>
            <w:shd w:val="clear" w:color="000000" w:fill="F8A3AF"/>
            <w:noWrap/>
            <w:vAlign w:val="center"/>
            <w:hideMark/>
          </w:tcPr>
          <w:p w14:paraId="0525D7CB" w14:textId="77777777" w:rsidR="00FB5CDB" w:rsidRPr="00894701" w:rsidRDefault="00FB5CDB" w:rsidP="00446B8D">
            <w:pPr>
              <w:spacing w:after="0" w:line="240" w:lineRule="auto"/>
              <w:rPr>
                <w:rFonts w:cs="Helvetica"/>
                <w:color w:val="000000"/>
              </w:rPr>
            </w:pPr>
            <w:r w:rsidRPr="00894701">
              <w:rPr>
                <w:rFonts w:cs="Helvetica"/>
                <w:color w:val="000000"/>
              </w:rPr>
              <w:t>Scholarships</w:t>
            </w:r>
          </w:p>
        </w:tc>
        <w:tc>
          <w:tcPr>
            <w:tcW w:w="277" w:type="dxa"/>
            <w:tcBorders>
              <w:top w:val="nil"/>
              <w:left w:val="nil"/>
              <w:bottom w:val="single" w:sz="8" w:space="0" w:color="FF0000"/>
              <w:right w:val="nil"/>
            </w:tcBorders>
            <w:shd w:val="clear" w:color="000000" w:fill="F8A3AF"/>
            <w:noWrap/>
            <w:vAlign w:val="center"/>
            <w:hideMark/>
          </w:tcPr>
          <w:p w14:paraId="17D436EE"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632" w:type="dxa"/>
            <w:tcBorders>
              <w:top w:val="nil"/>
              <w:left w:val="nil"/>
              <w:bottom w:val="single" w:sz="8" w:space="0" w:color="FF0000"/>
              <w:right w:val="single" w:sz="8" w:space="0" w:color="FF0000"/>
            </w:tcBorders>
            <w:shd w:val="clear" w:color="000000" w:fill="F8A3AF"/>
            <w:noWrap/>
            <w:vAlign w:val="center"/>
            <w:hideMark/>
          </w:tcPr>
          <w:p w14:paraId="434BF412"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222" w:type="dxa"/>
            <w:vAlign w:val="center"/>
            <w:hideMark/>
          </w:tcPr>
          <w:p w14:paraId="53DF2570" w14:textId="77777777" w:rsidR="00FB5CDB" w:rsidRPr="00894701" w:rsidRDefault="00FB5CDB" w:rsidP="00446B8D">
            <w:pPr>
              <w:spacing w:after="0" w:line="240" w:lineRule="auto"/>
              <w:rPr>
                <w:rFonts w:ascii="Times New Roman" w:hAnsi="Times New Roman"/>
              </w:rPr>
            </w:pPr>
          </w:p>
        </w:tc>
      </w:tr>
      <w:tr w:rsidR="00FB5CDB" w:rsidRPr="00894701" w14:paraId="05BC7598" w14:textId="77777777" w:rsidTr="00446B8D">
        <w:trPr>
          <w:trHeight w:val="300"/>
        </w:trPr>
        <w:tc>
          <w:tcPr>
            <w:tcW w:w="605" w:type="dxa"/>
            <w:tcBorders>
              <w:top w:val="nil"/>
              <w:left w:val="single" w:sz="8" w:space="0" w:color="FF0000"/>
              <w:bottom w:val="single" w:sz="8" w:space="0" w:color="FF0000"/>
              <w:right w:val="single" w:sz="8" w:space="0" w:color="FF0000"/>
            </w:tcBorders>
            <w:shd w:val="clear" w:color="auto" w:fill="auto"/>
            <w:noWrap/>
            <w:vAlign w:val="center"/>
            <w:hideMark/>
          </w:tcPr>
          <w:p w14:paraId="0FFFC200" w14:textId="77777777" w:rsidR="00FB5CDB" w:rsidRPr="00894701" w:rsidRDefault="00FB5CDB" w:rsidP="00446B8D">
            <w:pPr>
              <w:spacing w:after="0" w:line="240" w:lineRule="auto"/>
              <w:jc w:val="center"/>
              <w:rPr>
                <w:rFonts w:cs="Helvetica"/>
                <w:color w:val="000000"/>
              </w:rPr>
            </w:pPr>
            <w:r w:rsidRPr="00894701">
              <w:rPr>
                <w:rFonts w:cs="Helvetica"/>
                <w:color w:val="000000"/>
              </w:rPr>
              <w:t>3.9</w:t>
            </w:r>
          </w:p>
        </w:tc>
        <w:tc>
          <w:tcPr>
            <w:tcW w:w="7132" w:type="dxa"/>
            <w:tcBorders>
              <w:top w:val="nil"/>
              <w:left w:val="nil"/>
              <w:bottom w:val="single" w:sz="8" w:space="0" w:color="FF0000"/>
              <w:right w:val="nil"/>
            </w:tcBorders>
            <w:shd w:val="clear" w:color="auto" w:fill="auto"/>
            <w:noWrap/>
            <w:vAlign w:val="center"/>
            <w:hideMark/>
          </w:tcPr>
          <w:p w14:paraId="61C237E4" w14:textId="77777777" w:rsidR="00FB5CDB" w:rsidRPr="00894701" w:rsidRDefault="00FB5CDB" w:rsidP="00446B8D">
            <w:pPr>
              <w:spacing w:after="0" w:line="240" w:lineRule="auto"/>
              <w:rPr>
                <w:rFonts w:cs="Helvetica"/>
                <w:color w:val="000000"/>
              </w:rPr>
            </w:pPr>
            <w:r w:rsidRPr="00894701">
              <w:rPr>
                <w:rFonts w:cs="Helvetica"/>
                <w:color w:val="000000"/>
              </w:rPr>
              <w:t>P.S.C. Holding fees</w:t>
            </w:r>
          </w:p>
        </w:tc>
        <w:tc>
          <w:tcPr>
            <w:tcW w:w="277" w:type="dxa"/>
            <w:tcBorders>
              <w:top w:val="nil"/>
              <w:left w:val="nil"/>
              <w:bottom w:val="single" w:sz="8" w:space="0" w:color="FF0000"/>
              <w:right w:val="nil"/>
            </w:tcBorders>
            <w:shd w:val="clear" w:color="auto" w:fill="auto"/>
            <w:noWrap/>
            <w:vAlign w:val="center"/>
            <w:hideMark/>
          </w:tcPr>
          <w:p w14:paraId="72E70103"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632" w:type="dxa"/>
            <w:tcBorders>
              <w:top w:val="nil"/>
              <w:left w:val="nil"/>
              <w:bottom w:val="single" w:sz="8" w:space="0" w:color="FF0000"/>
              <w:right w:val="single" w:sz="8" w:space="0" w:color="FF0000"/>
            </w:tcBorders>
            <w:shd w:val="clear" w:color="auto" w:fill="auto"/>
            <w:noWrap/>
            <w:vAlign w:val="center"/>
            <w:hideMark/>
          </w:tcPr>
          <w:p w14:paraId="231ED278"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222" w:type="dxa"/>
            <w:vAlign w:val="center"/>
            <w:hideMark/>
          </w:tcPr>
          <w:p w14:paraId="707CFB2A" w14:textId="77777777" w:rsidR="00FB5CDB" w:rsidRPr="00894701" w:rsidRDefault="00FB5CDB" w:rsidP="00446B8D">
            <w:pPr>
              <w:spacing w:after="0" w:line="240" w:lineRule="auto"/>
              <w:rPr>
                <w:rFonts w:ascii="Times New Roman" w:hAnsi="Times New Roman"/>
              </w:rPr>
            </w:pPr>
          </w:p>
        </w:tc>
      </w:tr>
      <w:tr w:rsidR="00FB5CDB" w:rsidRPr="00894701" w14:paraId="5690998B" w14:textId="77777777" w:rsidTr="00446B8D">
        <w:trPr>
          <w:trHeight w:val="300"/>
        </w:trPr>
        <w:tc>
          <w:tcPr>
            <w:tcW w:w="605" w:type="dxa"/>
            <w:tcBorders>
              <w:top w:val="nil"/>
              <w:left w:val="single" w:sz="8" w:space="0" w:color="FF0000"/>
              <w:bottom w:val="single" w:sz="8" w:space="0" w:color="FF0000"/>
              <w:right w:val="single" w:sz="8" w:space="0" w:color="FF0000"/>
            </w:tcBorders>
            <w:shd w:val="clear" w:color="000000" w:fill="F8A3AF"/>
            <w:noWrap/>
            <w:vAlign w:val="center"/>
            <w:hideMark/>
          </w:tcPr>
          <w:p w14:paraId="29F7FB19" w14:textId="77777777" w:rsidR="00FB5CDB" w:rsidRPr="00894701" w:rsidRDefault="00FB5CDB" w:rsidP="00446B8D">
            <w:pPr>
              <w:spacing w:after="0" w:line="240" w:lineRule="auto"/>
              <w:jc w:val="center"/>
              <w:rPr>
                <w:rFonts w:cs="Helvetica"/>
                <w:color w:val="000000"/>
              </w:rPr>
            </w:pPr>
            <w:r w:rsidRPr="00894701">
              <w:rPr>
                <w:rFonts w:cs="Helvetica"/>
                <w:color w:val="000000"/>
              </w:rPr>
              <w:t>3.10</w:t>
            </w:r>
          </w:p>
        </w:tc>
        <w:tc>
          <w:tcPr>
            <w:tcW w:w="7132" w:type="dxa"/>
            <w:tcBorders>
              <w:top w:val="nil"/>
              <w:left w:val="nil"/>
              <w:bottom w:val="single" w:sz="8" w:space="0" w:color="FF0000"/>
              <w:right w:val="nil"/>
            </w:tcBorders>
            <w:shd w:val="clear" w:color="000000" w:fill="F8A3AF"/>
            <w:noWrap/>
            <w:vAlign w:val="center"/>
            <w:hideMark/>
          </w:tcPr>
          <w:p w14:paraId="2968AE5F" w14:textId="77777777" w:rsidR="00FB5CDB" w:rsidRPr="00894701" w:rsidRDefault="00FB5CDB" w:rsidP="00446B8D">
            <w:pPr>
              <w:spacing w:after="0" w:line="240" w:lineRule="auto"/>
              <w:rPr>
                <w:rFonts w:cs="Helvetica"/>
                <w:color w:val="000000"/>
              </w:rPr>
            </w:pPr>
            <w:r w:rsidRPr="00894701">
              <w:rPr>
                <w:rFonts w:cs="Helvetica"/>
                <w:color w:val="000000"/>
              </w:rPr>
              <w:t>All other payments</w:t>
            </w:r>
          </w:p>
        </w:tc>
        <w:tc>
          <w:tcPr>
            <w:tcW w:w="277" w:type="dxa"/>
            <w:tcBorders>
              <w:top w:val="nil"/>
              <w:left w:val="nil"/>
              <w:bottom w:val="single" w:sz="8" w:space="0" w:color="FF0000"/>
              <w:right w:val="nil"/>
            </w:tcBorders>
            <w:shd w:val="clear" w:color="000000" w:fill="F8A3AF"/>
            <w:noWrap/>
            <w:vAlign w:val="center"/>
            <w:hideMark/>
          </w:tcPr>
          <w:p w14:paraId="2FF64682"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632" w:type="dxa"/>
            <w:tcBorders>
              <w:top w:val="nil"/>
              <w:left w:val="nil"/>
              <w:bottom w:val="single" w:sz="8" w:space="0" w:color="FF0000"/>
              <w:right w:val="single" w:sz="8" w:space="0" w:color="FF0000"/>
            </w:tcBorders>
            <w:shd w:val="clear" w:color="000000" w:fill="F8A3AF"/>
            <w:noWrap/>
            <w:vAlign w:val="center"/>
            <w:hideMark/>
          </w:tcPr>
          <w:p w14:paraId="15FBB475"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222" w:type="dxa"/>
            <w:vAlign w:val="center"/>
            <w:hideMark/>
          </w:tcPr>
          <w:p w14:paraId="7446AE10" w14:textId="77777777" w:rsidR="00FB5CDB" w:rsidRPr="00894701" w:rsidRDefault="00FB5CDB" w:rsidP="00446B8D">
            <w:pPr>
              <w:spacing w:after="0" w:line="240" w:lineRule="auto"/>
              <w:rPr>
                <w:rFonts w:ascii="Times New Roman" w:hAnsi="Times New Roman"/>
              </w:rPr>
            </w:pPr>
          </w:p>
        </w:tc>
      </w:tr>
      <w:tr w:rsidR="00FB5CDB" w:rsidRPr="00894701" w14:paraId="7A9A6388" w14:textId="77777777" w:rsidTr="00446B8D">
        <w:trPr>
          <w:trHeight w:val="300"/>
        </w:trPr>
        <w:tc>
          <w:tcPr>
            <w:tcW w:w="7737" w:type="dxa"/>
            <w:gridSpan w:val="2"/>
            <w:tcBorders>
              <w:top w:val="single" w:sz="8" w:space="0" w:color="FF0000"/>
              <w:left w:val="single" w:sz="8" w:space="0" w:color="FF0000"/>
              <w:bottom w:val="single" w:sz="8" w:space="0" w:color="FF0000"/>
              <w:right w:val="nil"/>
            </w:tcBorders>
            <w:shd w:val="clear" w:color="000000" w:fill="AEAAAA"/>
            <w:noWrap/>
            <w:vAlign w:val="center"/>
            <w:hideMark/>
          </w:tcPr>
          <w:p w14:paraId="045F3B8C" w14:textId="77777777" w:rsidR="00FB5CDB" w:rsidRPr="00894701" w:rsidRDefault="00FB5CDB" w:rsidP="00446B8D">
            <w:pPr>
              <w:spacing w:after="0" w:line="240" w:lineRule="auto"/>
              <w:rPr>
                <w:rFonts w:cs="Helvetica"/>
                <w:b/>
                <w:bCs/>
                <w:color w:val="333F4F"/>
              </w:rPr>
            </w:pPr>
            <w:r w:rsidRPr="00894701">
              <w:rPr>
                <w:rFonts w:cs="Helvetica"/>
                <w:b/>
                <w:bCs/>
                <w:color w:val="333F4F"/>
              </w:rPr>
              <w:t>State Owned Entities</w:t>
            </w:r>
          </w:p>
        </w:tc>
        <w:tc>
          <w:tcPr>
            <w:tcW w:w="277" w:type="dxa"/>
            <w:tcBorders>
              <w:top w:val="nil"/>
              <w:left w:val="nil"/>
              <w:bottom w:val="single" w:sz="8" w:space="0" w:color="FF0000"/>
              <w:right w:val="nil"/>
            </w:tcBorders>
            <w:shd w:val="clear" w:color="000000" w:fill="AEAAAA"/>
            <w:noWrap/>
            <w:vAlign w:val="center"/>
            <w:hideMark/>
          </w:tcPr>
          <w:p w14:paraId="547C195D" w14:textId="77777777" w:rsidR="00FB5CDB" w:rsidRPr="00894701" w:rsidRDefault="00FB5CDB" w:rsidP="00446B8D">
            <w:pPr>
              <w:spacing w:after="0" w:line="240" w:lineRule="auto"/>
              <w:rPr>
                <w:rFonts w:cs="Helvetica"/>
                <w:b/>
                <w:bCs/>
                <w:color w:val="333F4F"/>
              </w:rPr>
            </w:pPr>
            <w:r w:rsidRPr="00894701">
              <w:rPr>
                <w:rFonts w:cs="Helvetica"/>
                <w:b/>
                <w:bCs/>
                <w:color w:val="333F4F"/>
              </w:rPr>
              <w:t> </w:t>
            </w:r>
          </w:p>
        </w:tc>
        <w:tc>
          <w:tcPr>
            <w:tcW w:w="632" w:type="dxa"/>
            <w:tcBorders>
              <w:top w:val="nil"/>
              <w:left w:val="nil"/>
              <w:bottom w:val="single" w:sz="8" w:space="0" w:color="FF0000"/>
              <w:right w:val="nil"/>
            </w:tcBorders>
            <w:shd w:val="clear" w:color="000000" w:fill="AEAAAA"/>
            <w:noWrap/>
            <w:vAlign w:val="center"/>
            <w:hideMark/>
          </w:tcPr>
          <w:p w14:paraId="37E5E4C5" w14:textId="77777777" w:rsidR="00FB5CDB" w:rsidRPr="00894701" w:rsidRDefault="00FB5CDB" w:rsidP="00446B8D">
            <w:pPr>
              <w:spacing w:after="0" w:line="240" w:lineRule="auto"/>
              <w:rPr>
                <w:rFonts w:cs="Helvetica"/>
                <w:b/>
                <w:bCs/>
                <w:color w:val="333F4F"/>
              </w:rPr>
            </w:pPr>
            <w:r w:rsidRPr="00894701">
              <w:rPr>
                <w:rFonts w:cs="Helvetica"/>
                <w:b/>
                <w:bCs/>
                <w:color w:val="333F4F"/>
              </w:rPr>
              <w:t> </w:t>
            </w:r>
          </w:p>
        </w:tc>
        <w:tc>
          <w:tcPr>
            <w:tcW w:w="222" w:type="dxa"/>
            <w:vAlign w:val="center"/>
            <w:hideMark/>
          </w:tcPr>
          <w:p w14:paraId="09862732" w14:textId="77777777" w:rsidR="00FB5CDB" w:rsidRPr="00894701" w:rsidRDefault="00FB5CDB" w:rsidP="00446B8D">
            <w:pPr>
              <w:spacing w:after="0" w:line="240" w:lineRule="auto"/>
              <w:rPr>
                <w:rFonts w:ascii="Times New Roman" w:hAnsi="Times New Roman"/>
              </w:rPr>
            </w:pPr>
          </w:p>
        </w:tc>
      </w:tr>
      <w:tr w:rsidR="00FB5CDB" w:rsidRPr="00894701" w14:paraId="2D888982" w14:textId="77777777" w:rsidTr="00446B8D">
        <w:trPr>
          <w:trHeight w:val="300"/>
        </w:trPr>
        <w:tc>
          <w:tcPr>
            <w:tcW w:w="605" w:type="dxa"/>
            <w:tcBorders>
              <w:top w:val="nil"/>
              <w:left w:val="single" w:sz="8" w:space="0" w:color="FF0000"/>
              <w:bottom w:val="single" w:sz="8" w:space="0" w:color="FF0000"/>
              <w:right w:val="single" w:sz="8" w:space="0" w:color="FF0000"/>
            </w:tcBorders>
            <w:shd w:val="clear" w:color="000000" w:fill="F8A3AF"/>
            <w:noWrap/>
            <w:vAlign w:val="center"/>
            <w:hideMark/>
          </w:tcPr>
          <w:p w14:paraId="0FE9455B" w14:textId="77777777" w:rsidR="00FB5CDB" w:rsidRPr="00894701" w:rsidRDefault="00FB5CDB" w:rsidP="00446B8D">
            <w:pPr>
              <w:spacing w:after="0" w:line="240" w:lineRule="auto"/>
              <w:jc w:val="center"/>
              <w:rPr>
                <w:rFonts w:cs="Helvetica"/>
                <w:color w:val="000000"/>
              </w:rPr>
            </w:pPr>
            <w:r w:rsidRPr="00894701">
              <w:rPr>
                <w:rFonts w:cs="Helvetica"/>
                <w:color w:val="000000"/>
              </w:rPr>
              <w:t>5.1</w:t>
            </w:r>
          </w:p>
        </w:tc>
        <w:tc>
          <w:tcPr>
            <w:tcW w:w="7132" w:type="dxa"/>
            <w:tcBorders>
              <w:top w:val="nil"/>
              <w:left w:val="nil"/>
              <w:bottom w:val="single" w:sz="8" w:space="0" w:color="FF0000"/>
              <w:right w:val="nil"/>
            </w:tcBorders>
            <w:shd w:val="clear" w:color="000000" w:fill="F8A3AF"/>
            <w:noWrap/>
            <w:vAlign w:val="center"/>
            <w:hideMark/>
          </w:tcPr>
          <w:p w14:paraId="03166BBC" w14:textId="77777777" w:rsidR="00FB5CDB" w:rsidRPr="00894701" w:rsidRDefault="00FB5CDB" w:rsidP="00446B8D">
            <w:pPr>
              <w:spacing w:after="0" w:line="240" w:lineRule="auto"/>
              <w:rPr>
                <w:rFonts w:cs="Helvetica"/>
                <w:color w:val="000000"/>
              </w:rPr>
            </w:pPr>
            <w:r w:rsidRPr="00894701">
              <w:rPr>
                <w:rFonts w:cs="Helvetica"/>
                <w:color w:val="000000"/>
              </w:rPr>
              <w:t>Products in-kind</w:t>
            </w:r>
          </w:p>
        </w:tc>
        <w:tc>
          <w:tcPr>
            <w:tcW w:w="277" w:type="dxa"/>
            <w:tcBorders>
              <w:top w:val="nil"/>
              <w:left w:val="nil"/>
              <w:bottom w:val="single" w:sz="8" w:space="0" w:color="FF0000"/>
              <w:right w:val="nil"/>
            </w:tcBorders>
            <w:shd w:val="clear" w:color="000000" w:fill="F8A3AF"/>
            <w:noWrap/>
            <w:vAlign w:val="center"/>
            <w:hideMark/>
          </w:tcPr>
          <w:p w14:paraId="0E2FBD34"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632" w:type="dxa"/>
            <w:tcBorders>
              <w:top w:val="nil"/>
              <w:left w:val="nil"/>
              <w:bottom w:val="single" w:sz="8" w:space="0" w:color="FF0000"/>
              <w:right w:val="single" w:sz="8" w:space="0" w:color="FF0000"/>
            </w:tcBorders>
            <w:shd w:val="clear" w:color="000000" w:fill="F8A3AF"/>
            <w:noWrap/>
            <w:vAlign w:val="center"/>
            <w:hideMark/>
          </w:tcPr>
          <w:p w14:paraId="587A2652" w14:textId="77777777" w:rsidR="00FB5CDB" w:rsidRPr="00894701" w:rsidRDefault="00FB5CDB" w:rsidP="00446B8D">
            <w:pPr>
              <w:spacing w:after="0" w:line="240" w:lineRule="auto"/>
              <w:rPr>
                <w:rFonts w:cs="Helvetica"/>
                <w:color w:val="000000"/>
              </w:rPr>
            </w:pPr>
            <w:r w:rsidRPr="00894701">
              <w:rPr>
                <w:rFonts w:cs="Helvetica"/>
                <w:color w:val="000000"/>
              </w:rPr>
              <w:t> </w:t>
            </w:r>
          </w:p>
        </w:tc>
        <w:tc>
          <w:tcPr>
            <w:tcW w:w="222" w:type="dxa"/>
            <w:vAlign w:val="center"/>
            <w:hideMark/>
          </w:tcPr>
          <w:p w14:paraId="611CEBA2" w14:textId="77777777" w:rsidR="00FB5CDB" w:rsidRPr="00894701" w:rsidRDefault="00FB5CDB" w:rsidP="00446B8D">
            <w:pPr>
              <w:spacing w:after="0" w:line="240" w:lineRule="auto"/>
              <w:rPr>
                <w:rFonts w:ascii="Times New Roman" w:hAnsi="Times New Roman"/>
              </w:rPr>
            </w:pPr>
          </w:p>
        </w:tc>
      </w:tr>
    </w:tbl>
    <w:p w14:paraId="402C9026" w14:textId="1A16DC9C" w:rsidR="00581B55" w:rsidRPr="00894701" w:rsidRDefault="00581B55" w:rsidP="00A834A8">
      <w:pPr>
        <w:pStyle w:val="Heading3"/>
        <w:numPr>
          <w:ilvl w:val="2"/>
          <w:numId w:val="57"/>
        </w:numPr>
        <w:spacing w:before="120"/>
        <w:ind w:right="482"/>
        <w:rPr>
          <w:bCs w:val="0"/>
        </w:rPr>
      </w:pPr>
      <w:bookmarkStart w:id="386" w:name="_Toc101350038"/>
      <w:bookmarkStart w:id="387" w:name="_Toc122478929"/>
      <w:r w:rsidRPr="00894701">
        <w:rPr>
          <w:bCs w:val="0"/>
          <w:caps w:val="0"/>
        </w:rPr>
        <w:t>Social and environmental expenditure (EITI Requirement 6.1)</w:t>
      </w:r>
      <w:bookmarkEnd w:id="386"/>
      <w:bookmarkEnd w:id="387"/>
    </w:p>
    <w:p w14:paraId="08A2D2E1" w14:textId="77777777" w:rsidR="00581B55" w:rsidRPr="00894701" w:rsidRDefault="00581B55" w:rsidP="00A4212B">
      <w:pPr>
        <w:pStyle w:val="CommentText"/>
        <w:spacing w:after="120"/>
        <w:rPr>
          <w:rFonts w:ascii="Trebuchet MS" w:hAnsi="Trebuchet MS" w:cs="Arial"/>
        </w:rPr>
      </w:pPr>
      <w:r w:rsidRPr="00894701">
        <w:rPr>
          <w:rFonts w:ascii="Trebuchet MS" w:hAnsi="Trebuchet MS" w:cs="Arial"/>
        </w:rPr>
        <w:t>Social expenditure consists of all contributions made by extractive entities to promote local development and to finance social projects in line with EITI Requirement 6.1. This Requirement encourages the multi-stakeholder groups to apply a high standard of transparency to social payments and transfers, the parties involved in the transactions and the materiality of these payments and transfers to other benefit streams, including the recognition that these payments may be reported even though it is not possible to reconcile them.</w:t>
      </w:r>
    </w:p>
    <w:p w14:paraId="6980C9BE" w14:textId="77777777" w:rsidR="00581B55" w:rsidRPr="00894701" w:rsidRDefault="00581B55" w:rsidP="00A4212B">
      <w:pPr>
        <w:pStyle w:val="CommentText"/>
        <w:spacing w:after="120"/>
        <w:rPr>
          <w:rFonts w:ascii="Trebuchet MS" w:hAnsi="Trebuchet MS" w:cs="Arial"/>
        </w:rPr>
      </w:pPr>
      <w:r w:rsidRPr="00894701">
        <w:rPr>
          <w:rFonts w:ascii="Trebuchet MS" w:hAnsi="Trebuchet MS" w:cs="Arial"/>
        </w:rPr>
        <w:t xml:space="preserve">These contributions can be voluntary or mandatory and can be made in cash or in kind, depending on individual contracts. This category includes, </w:t>
      </w:r>
      <w:r w:rsidRPr="00894701">
        <w:rPr>
          <w:rFonts w:ascii="Trebuchet MS" w:hAnsi="Trebuchet MS" w:cs="Arial"/>
          <w:i/>
          <w:iCs/>
        </w:rPr>
        <w:t>inter alia,</w:t>
      </w:r>
      <w:r w:rsidRPr="00894701">
        <w:rPr>
          <w:rFonts w:ascii="Trebuchet MS" w:hAnsi="Trebuchet MS" w:cs="Arial"/>
        </w:rPr>
        <w:t xml:space="preserve"> infrastructures in health, education, road and market gardening projects related to the promotion of agriculture as well as grants provided to the population.</w:t>
      </w:r>
    </w:p>
    <w:p w14:paraId="23509A6C" w14:textId="77777777" w:rsidR="00F4015C" w:rsidRPr="00894701" w:rsidRDefault="00F4015C" w:rsidP="00A4212B">
      <w:pPr>
        <w:pStyle w:val="CommentText"/>
        <w:spacing w:after="120"/>
        <w:rPr>
          <w:rFonts w:asciiTheme="majorHAnsi" w:hAnsiTheme="majorHAnsi"/>
          <w:color w:val="000000"/>
        </w:rPr>
      </w:pPr>
      <w:r w:rsidRPr="00894701">
        <w:rPr>
          <w:rFonts w:asciiTheme="majorHAnsi" w:hAnsiTheme="majorHAnsi"/>
          <w:color w:val="000000"/>
        </w:rPr>
        <w:lastRenderedPageBreak/>
        <w:t>Requirement 6.1 states that: ‘Where material payments by companies to the government related to the environment are mandated by law, regulation or contract that governs the extractive investment, such payments must be disclosed.’</w:t>
      </w:r>
    </w:p>
    <w:p w14:paraId="6640E0D9" w14:textId="50C74B6F" w:rsidR="00F4015C" w:rsidRPr="00894701" w:rsidRDefault="00F4015C" w:rsidP="00A4212B">
      <w:pPr>
        <w:pStyle w:val="CommentText"/>
        <w:rPr>
          <w:rFonts w:ascii="Trebuchet MS" w:hAnsi="Trebuchet MS" w:cs="Arial"/>
        </w:rPr>
      </w:pPr>
      <w:r w:rsidRPr="00894701">
        <w:rPr>
          <w:rFonts w:ascii="Trebuchet MS" w:hAnsi="Trebuchet MS" w:cs="Arial"/>
        </w:rPr>
        <w:t>The EITI</w:t>
      </w:r>
      <w:r w:rsidR="00A4212B" w:rsidRPr="00894701">
        <w:rPr>
          <w:rFonts w:ascii="Trebuchet MS" w:hAnsi="Trebuchet MS" w:cs="Arial"/>
        </w:rPr>
        <w:t>-SR</w:t>
      </w:r>
      <w:r w:rsidRPr="00894701">
        <w:rPr>
          <w:rFonts w:ascii="Trebuchet MS" w:hAnsi="Trebuchet MS" w:cs="Arial"/>
        </w:rPr>
        <w:t xml:space="preserve"> MSG agreed to include mandatory and discretionary social and environmental expenditure in the scope through unilateral disclosure without </w:t>
      </w:r>
      <w:r w:rsidRPr="00894701">
        <w:rPr>
          <w:rFonts w:asciiTheme="majorHAnsi" w:hAnsiTheme="majorHAnsi" w:cs="Arial"/>
        </w:rPr>
        <w:t>applying any materiality threshold</w:t>
      </w:r>
      <w:r w:rsidRPr="00894701">
        <w:rPr>
          <w:rFonts w:ascii="Trebuchet MS" w:hAnsi="Trebuchet MS" w:cs="Arial"/>
        </w:rPr>
        <w:t>.</w:t>
      </w:r>
    </w:p>
    <w:p w14:paraId="61FEC6D6" w14:textId="77777777" w:rsidR="00F4015C" w:rsidRPr="00894701" w:rsidRDefault="00F4015C" w:rsidP="00A834A8">
      <w:pPr>
        <w:pStyle w:val="Heading3"/>
        <w:numPr>
          <w:ilvl w:val="2"/>
          <w:numId w:val="57"/>
        </w:numPr>
        <w:spacing w:before="120"/>
        <w:ind w:right="482"/>
        <w:rPr>
          <w:bCs w:val="0"/>
        </w:rPr>
      </w:pPr>
      <w:bookmarkStart w:id="388" w:name="_Toc101350039"/>
      <w:bookmarkStart w:id="389" w:name="_Toc122478930"/>
      <w:r w:rsidRPr="00894701">
        <w:rPr>
          <w:bCs w:val="0"/>
          <w:caps w:val="0"/>
        </w:rPr>
        <w:t>State’s share of production and other in-kind revenues (EITI Requirement 4.2)</w:t>
      </w:r>
      <w:bookmarkEnd w:id="388"/>
      <w:bookmarkEnd w:id="389"/>
    </w:p>
    <w:p w14:paraId="061EF010" w14:textId="77777777" w:rsidR="00F4015C" w:rsidRPr="00894701" w:rsidRDefault="00F4015C" w:rsidP="00A4212B">
      <w:pPr>
        <w:jc w:val="both"/>
        <w:rPr>
          <w:rFonts w:asciiTheme="majorHAnsi" w:hAnsiTheme="majorHAnsi"/>
          <w:color w:val="auto"/>
          <w:sz w:val="20"/>
        </w:rPr>
      </w:pPr>
      <w:r w:rsidRPr="00894701">
        <w:rPr>
          <w:rFonts w:asciiTheme="majorHAnsi" w:hAnsiTheme="majorHAnsi"/>
          <w:color w:val="auto"/>
          <w:sz w:val="20"/>
        </w:rPr>
        <w:t>The EITI Standard states that: ‘Where the sale of the state’s share of production of oil, gas and/or mineral resources or other revenues collected in kind is material, the government, including state-owned enterprises, are required to disclose the volumes received and sold by the state (or third parties appointed by the state to sell on their behalf), the revenues received from the sale, and the revenues transferred to the state from the proceeds of oil, gas and minerals sold. Where applicable, this should include payments (in cash or in kind) related to swap agreements and resource-backed loans.</w:t>
      </w:r>
    </w:p>
    <w:p w14:paraId="6BEC5400" w14:textId="77777777" w:rsidR="00F4015C" w:rsidRPr="00894701" w:rsidRDefault="00F4015C" w:rsidP="00A4212B">
      <w:pPr>
        <w:jc w:val="both"/>
        <w:rPr>
          <w:rFonts w:asciiTheme="majorHAnsi" w:hAnsiTheme="majorHAnsi"/>
          <w:color w:val="auto"/>
          <w:sz w:val="20"/>
        </w:rPr>
      </w:pPr>
      <w:r w:rsidRPr="00894701">
        <w:rPr>
          <w:rFonts w:asciiTheme="majorHAnsi" w:hAnsiTheme="majorHAnsi"/>
          <w:color w:val="auto"/>
          <w:sz w:val="20"/>
        </w:rPr>
        <w:t>The published data must be disaggregated by individual buying company and to levels commensurate with the reporting of other payments and revenue streams (4.7). Multi-stakeholder groups, in consultation with buying companies, are expected to consider whether disclosures should be broken down by individual sale, type of product and price.</w:t>
      </w:r>
    </w:p>
    <w:p w14:paraId="645F7B0F" w14:textId="77777777" w:rsidR="00F4015C" w:rsidRPr="00894701" w:rsidRDefault="00F4015C" w:rsidP="00A4212B">
      <w:pPr>
        <w:jc w:val="both"/>
        <w:rPr>
          <w:rFonts w:asciiTheme="majorHAnsi" w:hAnsiTheme="majorHAnsi"/>
          <w:color w:val="auto"/>
          <w:sz w:val="20"/>
        </w:rPr>
      </w:pPr>
      <w:r w:rsidRPr="00894701">
        <w:rPr>
          <w:rFonts w:asciiTheme="majorHAnsi" w:hAnsiTheme="majorHAnsi"/>
          <w:color w:val="auto"/>
          <w:sz w:val="20"/>
        </w:rPr>
        <w:t>The disclosures could include ownership of the product sold and the nature of the contract (e.g. spot or term).’</w:t>
      </w:r>
    </w:p>
    <w:p w14:paraId="42AE26E9" w14:textId="4EEC3745" w:rsidR="00F4015C" w:rsidRPr="00894701" w:rsidRDefault="00A4212B" w:rsidP="00A4212B">
      <w:pPr>
        <w:jc w:val="both"/>
        <w:rPr>
          <w:rFonts w:asciiTheme="majorHAnsi" w:hAnsiTheme="majorHAnsi"/>
          <w:color w:val="000000"/>
          <w:sz w:val="20"/>
        </w:rPr>
      </w:pPr>
      <w:r w:rsidRPr="00894701">
        <w:rPr>
          <w:rFonts w:asciiTheme="majorHAnsi" w:hAnsiTheme="majorHAnsi"/>
          <w:color w:val="000000"/>
          <w:sz w:val="20"/>
        </w:rPr>
        <w:t>G</w:t>
      </w:r>
      <w:r w:rsidR="00F4015C" w:rsidRPr="00894701">
        <w:rPr>
          <w:rFonts w:asciiTheme="majorHAnsi" w:hAnsiTheme="majorHAnsi"/>
          <w:color w:val="000000"/>
          <w:sz w:val="20"/>
        </w:rPr>
        <w:t xml:space="preserve">iven the lack of information from the </w:t>
      </w:r>
      <w:r w:rsidRPr="00894701">
        <w:rPr>
          <w:rFonts w:asciiTheme="majorHAnsi" w:hAnsiTheme="majorHAnsi"/>
          <w:color w:val="000000"/>
          <w:sz w:val="20"/>
        </w:rPr>
        <w:t>Ministry of Natural Resources</w:t>
      </w:r>
      <w:r w:rsidR="00F4015C" w:rsidRPr="00894701">
        <w:rPr>
          <w:rFonts w:asciiTheme="majorHAnsi" w:hAnsiTheme="majorHAnsi"/>
          <w:color w:val="000000"/>
          <w:sz w:val="20"/>
        </w:rPr>
        <w:t xml:space="preserve">, the MSG agreed that information on the </w:t>
      </w:r>
      <w:r w:rsidR="00F4015C" w:rsidRPr="00894701">
        <w:rPr>
          <w:rFonts w:asciiTheme="majorHAnsi" w:hAnsiTheme="majorHAnsi"/>
          <w:color w:val="auto"/>
          <w:sz w:val="20"/>
        </w:rPr>
        <w:t>state’s share of production of mineral resources or other revenues collected in kind during the fiscal year</w:t>
      </w:r>
      <w:r w:rsidRPr="00894701">
        <w:rPr>
          <w:rFonts w:asciiTheme="majorHAnsi" w:hAnsiTheme="majorHAnsi"/>
          <w:color w:val="auto"/>
          <w:sz w:val="20"/>
        </w:rPr>
        <w:t>s</w:t>
      </w:r>
      <w:r w:rsidR="00F4015C" w:rsidRPr="00894701">
        <w:rPr>
          <w:rFonts w:asciiTheme="majorHAnsi" w:hAnsiTheme="majorHAnsi"/>
          <w:color w:val="auto"/>
          <w:sz w:val="20"/>
        </w:rPr>
        <w:t xml:space="preserve"> 201</w:t>
      </w:r>
      <w:r w:rsidRPr="00894701">
        <w:rPr>
          <w:rFonts w:asciiTheme="majorHAnsi" w:hAnsiTheme="majorHAnsi"/>
          <w:color w:val="auto"/>
          <w:sz w:val="20"/>
        </w:rPr>
        <w:t>8, 2019 and 2020</w:t>
      </w:r>
      <w:r w:rsidR="00F4015C" w:rsidRPr="00894701">
        <w:rPr>
          <w:rFonts w:asciiTheme="majorHAnsi" w:hAnsiTheme="majorHAnsi"/>
          <w:color w:val="auto"/>
          <w:sz w:val="20"/>
        </w:rPr>
        <w:t xml:space="preserve"> are included </w:t>
      </w:r>
      <w:r w:rsidR="00F4015C" w:rsidRPr="00894701">
        <w:rPr>
          <w:rFonts w:asciiTheme="majorHAnsi" w:hAnsiTheme="majorHAnsi"/>
          <w:color w:val="000000"/>
          <w:sz w:val="20"/>
        </w:rPr>
        <w:t>through unilateral disclosure by Government Agencies.</w:t>
      </w:r>
    </w:p>
    <w:p w14:paraId="2E17A1C5" w14:textId="7237B7EF" w:rsidR="00F4015C" w:rsidRPr="00894701" w:rsidRDefault="00F4015C" w:rsidP="00A4212B">
      <w:pPr>
        <w:jc w:val="both"/>
        <w:rPr>
          <w:rFonts w:asciiTheme="majorHAnsi" w:hAnsiTheme="majorHAnsi"/>
          <w:color w:val="000000"/>
          <w:sz w:val="20"/>
        </w:rPr>
      </w:pPr>
      <w:r w:rsidRPr="00894701">
        <w:rPr>
          <w:rFonts w:asciiTheme="majorHAnsi" w:hAnsiTheme="majorHAnsi"/>
          <w:color w:val="000000"/>
          <w:sz w:val="20"/>
        </w:rPr>
        <w:t xml:space="preserve">None of the reporting entities declared payments in kind during the fiscal </w:t>
      </w:r>
      <w:r w:rsidR="00A4212B" w:rsidRPr="00894701">
        <w:rPr>
          <w:rFonts w:asciiTheme="majorHAnsi" w:hAnsiTheme="majorHAnsi"/>
          <w:color w:val="auto"/>
          <w:sz w:val="20"/>
        </w:rPr>
        <w:t>years 2018, 2019 and 2020</w:t>
      </w:r>
      <w:r w:rsidRPr="00894701">
        <w:rPr>
          <w:rFonts w:asciiTheme="majorHAnsi" w:hAnsiTheme="majorHAnsi"/>
          <w:color w:val="000000"/>
          <w:sz w:val="20"/>
        </w:rPr>
        <w:t>.</w:t>
      </w:r>
    </w:p>
    <w:p w14:paraId="5BA5D656" w14:textId="77777777" w:rsidR="00F4015C" w:rsidRPr="00894701" w:rsidRDefault="00F4015C" w:rsidP="00A834A8">
      <w:pPr>
        <w:pStyle w:val="Heading3"/>
        <w:numPr>
          <w:ilvl w:val="2"/>
          <w:numId w:val="57"/>
        </w:numPr>
        <w:spacing w:before="120"/>
        <w:ind w:right="482"/>
        <w:rPr>
          <w:bCs w:val="0"/>
        </w:rPr>
      </w:pPr>
      <w:bookmarkStart w:id="390" w:name="_Toc101350040"/>
      <w:bookmarkStart w:id="391" w:name="_Toc122478931"/>
      <w:r w:rsidRPr="00894701">
        <w:rPr>
          <w:bCs w:val="0"/>
          <w:caps w:val="0"/>
        </w:rPr>
        <w:t>Subnational payments (Requirement 4.6)</w:t>
      </w:r>
      <w:bookmarkEnd w:id="390"/>
      <w:bookmarkEnd w:id="391"/>
    </w:p>
    <w:p w14:paraId="041C7DEF" w14:textId="77777777" w:rsidR="00F4015C" w:rsidRPr="00894701" w:rsidRDefault="00F4015C" w:rsidP="00A4212B">
      <w:pPr>
        <w:pStyle w:val="BodyText"/>
        <w:jc w:val="both"/>
        <w:rPr>
          <w:rFonts w:asciiTheme="majorHAnsi" w:hAnsiTheme="majorHAnsi"/>
          <w:color w:val="000000"/>
          <w:sz w:val="20"/>
        </w:rPr>
      </w:pPr>
      <w:r w:rsidRPr="00894701">
        <w:rPr>
          <w:rFonts w:asciiTheme="majorHAnsi" w:hAnsiTheme="majorHAnsi"/>
          <w:color w:val="000000"/>
          <w:sz w:val="20"/>
        </w:rPr>
        <w:t>The EITI Standard states that: ‘It is required that the multi-stakeholder group establishes whether direct payments, within the scope of the agreed benefit streams, from companies to subnational government entities are material. Where material, the multi-stakeholder group is required to ensure that company payments to subnational government entities and the receipt of these payments are disclosed.’</w:t>
      </w:r>
    </w:p>
    <w:p w14:paraId="5417E163" w14:textId="78B01642" w:rsidR="00F4015C" w:rsidRPr="00894701" w:rsidRDefault="00A4212B" w:rsidP="00A4212B">
      <w:pPr>
        <w:pStyle w:val="BodyText"/>
        <w:jc w:val="both"/>
        <w:rPr>
          <w:rFonts w:asciiTheme="majorHAnsi" w:hAnsiTheme="majorHAnsi"/>
          <w:color w:val="000000"/>
          <w:sz w:val="20"/>
        </w:rPr>
      </w:pPr>
      <w:r w:rsidRPr="00894701">
        <w:rPr>
          <w:rFonts w:asciiTheme="majorHAnsi" w:hAnsiTheme="majorHAnsi"/>
          <w:color w:val="000000"/>
          <w:sz w:val="20"/>
        </w:rPr>
        <w:t>The EITI-SR MSG agreed to include data on sub-national payments made during the FY 2018, 2019 and 2020 in the report through disclosure by extractive companies, sub-national entities as well as Government Agencies</w:t>
      </w:r>
      <w:r w:rsidR="00F4015C" w:rsidRPr="00894701">
        <w:rPr>
          <w:rFonts w:asciiTheme="majorHAnsi" w:hAnsiTheme="majorHAnsi"/>
          <w:color w:val="000000"/>
          <w:sz w:val="20"/>
        </w:rPr>
        <w:t>.</w:t>
      </w:r>
    </w:p>
    <w:p w14:paraId="332E6935" w14:textId="77777777" w:rsidR="00F4015C" w:rsidRPr="00894701" w:rsidRDefault="00F4015C" w:rsidP="00A834A8">
      <w:pPr>
        <w:pStyle w:val="Heading3"/>
        <w:numPr>
          <w:ilvl w:val="2"/>
          <w:numId w:val="57"/>
        </w:numPr>
        <w:spacing w:before="120"/>
        <w:ind w:right="482"/>
        <w:rPr>
          <w:bCs w:val="0"/>
        </w:rPr>
      </w:pPr>
      <w:bookmarkStart w:id="392" w:name="_Toc101350041"/>
      <w:bookmarkStart w:id="393" w:name="_Toc122478932"/>
      <w:r w:rsidRPr="00894701">
        <w:rPr>
          <w:bCs w:val="0"/>
          <w:caps w:val="0"/>
        </w:rPr>
        <w:t>Subnational transfers (Requirement 5.2)</w:t>
      </w:r>
      <w:bookmarkEnd w:id="392"/>
      <w:bookmarkEnd w:id="393"/>
    </w:p>
    <w:p w14:paraId="1686F2B8" w14:textId="77777777" w:rsidR="00F4015C" w:rsidRPr="00894701" w:rsidRDefault="00F4015C" w:rsidP="00A4212B">
      <w:pPr>
        <w:jc w:val="both"/>
        <w:rPr>
          <w:rFonts w:asciiTheme="majorHAnsi" w:hAnsiTheme="majorHAnsi"/>
          <w:color w:val="000000"/>
          <w:sz w:val="20"/>
        </w:rPr>
      </w:pPr>
      <w:r w:rsidRPr="00894701">
        <w:rPr>
          <w:rFonts w:asciiTheme="majorHAnsi" w:hAnsiTheme="majorHAnsi"/>
          <w:color w:val="000000"/>
          <w:sz w:val="20"/>
        </w:rPr>
        <w:t xml:space="preserve">The EITI Standard states that: ‘Where transfers between national and subnational government entities are related to revenues generated by the extractive industries and are mandated by a national constitution, statute or other revenue sharing mechanism, the multi-stakeholder group is required to ensure that material transfers are disclosed. Implementing countries should disclose the revenue sharing formula, if any, as well as any discrepancies between the transfer amount calculated in accordance with the relevant revenue sharing formula and the actual amount that was transferred between the central government and each relevant subnational entity. </w:t>
      </w:r>
    </w:p>
    <w:p w14:paraId="521A35DD" w14:textId="370FE9E6" w:rsidR="00F4015C" w:rsidRPr="00894701" w:rsidRDefault="00A4212B" w:rsidP="00A4212B">
      <w:pPr>
        <w:pStyle w:val="CommentText"/>
        <w:rPr>
          <w:rFonts w:asciiTheme="majorHAnsi" w:hAnsiTheme="majorHAnsi"/>
        </w:rPr>
      </w:pPr>
      <w:r w:rsidRPr="00894701">
        <w:rPr>
          <w:rFonts w:asciiTheme="majorHAnsi" w:hAnsiTheme="majorHAnsi"/>
        </w:rPr>
        <w:t>The EITI-SR MSG agreed to include data on Subnational transfers made during the FY 2018, 2019 and 2020 in the report through disclosure by Government Agencies and sub-national entities</w:t>
      </w:r>
      <w:r w:rsidR="00F4015C" w:rsidRPr="00894701">
        <w:rPr>
          <w:rFonts w:asciiTheme="majorHAnsi" w:hAnsiTheme="majorHAnsi"/>
        </w:rPr>
        <w:t>.</w:t>
      </w:r>
    </w:p>
    <w:p w14:paraId="788CDDBD" w14:textId="77777777" w:rsidR="00A4212B" w:rsidRPr="00894701" w:rsidRDefault="00A4212B" w:rsidP="00A4212B">
      <w:pPr>
        <w:pStyle w:val="CommentText"/>
        <w:rPr>
          <w:rFonts w:asciiTheme="majorHAnsi" w:hAnsiTheme="majorHAnsi"/>
        </w:rPr>
      </w:pPr>
    </w:p>
    <w:p w14:paraId="529141E4" w14:textId="77777777" w:rsidR="00F4015C" w:rsidRPr="00894701" w:rsidRDefault="00F4015C" w:rsidP="00A834A8">
      <w:pPr>
        <w:pStyle w:val="Heading3"/>
        <w:numPr>
          <w:ilvl w:val="2"/>
          <w:numId w:val="57"/>
        </w:numPr>
        <w:spacing w:before="120"/>
        <w:ind w:right="482"/>
        <w:rPr>
          <w:bCs w:val="0"/>
        </w:rPr>
      </w:pPr>
      <w:bookmarkStart w:id="394" w:name="_Toc101350042"/>
      <w:bookmarkStart w:id="395" w:name="_Toc122478933"/>
      <w:r w:rsidRPr="00894701">
        <w:rPr>
          <w:bCs w:val="0"/>
          <w:caps w:val="0"/>
        </w:rPr>
        <w:lastRenderedPageBreak/>
        <w:t>Quasi-fiscal expenditure (Requirement 6.2)</w:t>
      </w:r>
      <w:bookmarkEnd w:id="394"/>
      <w:bookmarkEnd w:id="395"/>
    </w:p>
    <w:p w14:paraId="2999A32B" w14:textId="77777777" w:rsidR="00F4015C" w:rsidRPr="00894701" w:rsidRDefault="00F4015C" w:rsidP="00A4212B">
      <w:pPr>
        <w:jc w:val="both"/>
        <w:rPr>
          <w:rFonts w:asciiTheme="majorHAnsi" w:hAnsiTheme="majorHAnsi"/>
          <w:color w:val="auto"/>
          <w:sz w:val="20"/>
        </w:rPr>
      </w:pPr>
      <w:r w:rsidRPr="00894701">
        <w:rPr>
          <w:rFonts w:asciiTheme="majorHAnsi" w:hAnsiTheme="majorHAnsi"/>
          <w:color w:val="auto"/>
          <w:sz w:val="20"/>
        </w:rPr>
        <w:t>Requirement 6.2 of the EITI Standard states that: ‘Where state participation in the extractive industries gives rise to material revenue payments, implementing countries must include disclosures from SOEs on their quasi-fiscal expenditure. The multi-stakeholder group is required to develop a reporting process with a view to achieving a level of transparency commensurate with other payments and revenue streams and should include SOE subsidiaries and joint ventures.</w:t>
      </w:r>
    </w:p>
    <w:p w14:paraId="06156C36" w14:textId="77777777" w:rsidR="00F4015C" w:rsidRPr="00894701" w:rsidRDefault="00F4015C" w:rsidP="00A4212B">
      <w:pPr>
        <w:jc w:val="both"/>
        <w:rPr>
          <w:rFonts w:asciiTheme="majorHAnsi" w:hAnsiTheme="majorHAnsi"/>
          <w:color w:val="auto"/>
          <w:sz w:val="20"/>
        </w:rPr>
      </w:pPr>
      <w:r w:rsidRPr="00894701">
        <w:rPr>
          <w:rFonts w:asciiTheme="majorHAnsi" w:hAnsiTheme="majorHAnsi"/>
          <w:color w:val="auto"/>
          <w:sz w:val="20"/>
        </w:rPr>
        <w:t>Quasi-fiscal expenditure include arrangements whereby SOEs undertake public social expenditure such as payments for social services, public infrastructure, fuel subsidies and national debt servicing, etc. outside of the national budgetary process. Implementing countries and multi-stakeholder groups may wish to take the IMF’s definition of quasi-fiscal expenditures into account when considering whether expenditure are considered to be quasi-fiscal.’</w:t>
      </w:r>
    </w:p>
    <w:p w14:paraId="7EE500F2" w14:textId="5698267E" w:rsidR="00F4015C" w:rsidRDefault="00A4212B" w:rsidP="00DF69FD">
      <w:pPr>
        <w:jc w:val="both"/>
        <w:rPr>
          <w:rFonts w:asciiTheme="majorHAnsi" w:hAnsiTheme="majorHAnsi"/>
          <w:color w:val="auto"/>
          <w:sz w:val="20"/>
        </w:rPr>
      </w:pPr>
      <w:r w:rsidRPr="00894701">
        <w:rPr>
          <w:rFonts w:asciiTheme="majorHAnsi" w:hAnsiTheme="majorHAnsi"/>
          <w:color w:val="000000"/>
          <w:sz w:val="20"/>
        </w:rPr>
        <w:t>EITI-SR MSG agreed to include information on the quasi-fiscal expenditure made during the FY 2018, 2019 and 2020 through disclosure by Government Agencies and State-Owned Enterprises</w:t>
      </w:r>
      <w:r w:rsidR="00F4015C" w:rsidRPr="00894701">
        <w:rPr>
          <w:rFonts w:asciiTheme="majorHAnsi" w:hAnsiTheme="majorHAnsi"/>
          <w:color w:val="auto"/>
          <w:sz w:val="20"/>
        </w:rPr>
        <w:t>.</w:t>
      </w:r>
    </w:p>
    <w:p w14:paraId="5BE9423E" w14:textId="0FF7F5FF" w:rsidR="00DF69FD" w:rsidRPr="00894701" w:rsidRDefault="00DF69FD" w:rsidP="00DF69FD">
      <w:pPr>
        <w:jc w:val="both"/>
        <w:rPr>
          <w:rFonts w:asciiTheme="majorHAnsi" w:hAnsiTheme="majorHAnsi"/>
          <w:color w:val="000000"/>
          <w:sz w:val="20"/>
        </w:rPr>
      </w:pPr>
      <w:r>
        <w:rPr>
          <w:rFonts w:asciiTheme="majorHAnsi" w:hAnsiTheme="majorHAnsi"/>
          <w:color w:val="auto"/>
          <w:sz w:val="20"/>
        </w:rPr>
        <w:t xml:space="preserve">None of the reporting entities reported </w:t>
      </w:r>
      <w:r w:rsidRPr="00894701">
        <w:rPr>
          <w:rFonts w:asciiTheme="majorHAnsi" w:hAnsiTheme="majorHAnsi"/>
          <w:color w:val="000000"/>
          <w:sz w:val="20"/>
        </w:rPr>
        <w:t>quasi-fiscal expenditure</w:t>
      </w:r>
      <w:r>
        <w:rPr>
          <w:rFonts w:asciiTheme="majorHAnsi" w:hAnsiTheme="majorHAnsi"/>
          <w:color w:val="000000"/>
          <w:sz w:val="20"/>
        </w:rPr>
        <w:t xml:space="preserve"> during the fiscal years 2018, 2019 and 2020</w:t>
      </w:r>
      <w:r w:rsidR="00A5606F">
        <w:rPr>
          <w:rFonts w:asciiTheme="majorHAnsi" w:hAnsiTheme="majorHAnsi"/>
          <w:color w:val="000000"/>
          <w:sz w:val="20"/>
        </w:rPr>
        <w:t xml:space="preserve"> during the EITI reporting </w:t>
      </w:r>
      <w:r w:rsidR="0078236D">
        <w:rPr>
          <w:rFonts w:asciiTheme="majorHAnsi" w:hAnsiTheme="majorHAnsi"/>
          <w:color w:val="000000"/>
          <w:sz w:val="20"/>
        </w:rPr>
        <w:t>process</w:t>
      </w:r>
      <w:r>
        <w:rPr>
          <w:rFonts w:asciiTheme="majorHAnsi" w:hAnsiTheme="majorHAnsi"/>
          <w:color w:val="000000"/>
          <w:sz w:val="20"/>
        </w:rPr>
        <w:t>.</w:t>
      </w:r>
      <w:r w:rsidR="001B6F3F">
        <w:rPr>
          <w:rFonts w:asciiTheme="majorHAnsi" w:hAnsiTheme="majorHAnsi"/>
          <w:color w:val="000000"/>
          <w:sz w:val="20"/>
        </w:rPr>
        <w:t xml:space="preserve"> However, Staatsolie’s </w:t>
      </w:r>
      <w:hyperlink r:id="rId60" w:history="1">
        <w:r w:rsidR="001B6F3F" w:rsidRPr="0060064A">
          <w:rPr>
            <w:rStyle w:val="Hyperlink"/>
            <w:rFonts w:asciiTheme="majorHAnsi" w:hAnsiTheme="majorHAnsi"/>
            <w:sz w:val="20"/>
          </w:rPr>
          <w:t>annual report</w:t>
        </w:r>
      </w:hyperlink>
      <w:r w:rsidR="001B6F3F">
        <w:rPr>
          <w:rFonts w:asciiTheme="majorHAnsi" w:hAnsiTheme="majorHAnsi"/>
          <w:color w:val="000000"/>
          <w:sz w:val="20"/>
        </w:rPr>
        <w:t xml:space="preserve"> </w:t>
      </w:r>
      <w:r w:rsidR="0060064A">
        <w:rPr>
          <w:rFonts w:asciiTheme="majorHAnsi" w:hAnsiTheme="majorHAnsi"/>
          <w:color w:val="000000"/>
          <w:sz w:val="20"/>
        </w:rPr>
        <w:t xml:space="preserve">detailing the company’s expenditure </w:t>
      </w:r>
      <w:r w:rsidR="001B6F3F">
        <w:rPr>
          <w:rFonts w:asciiTheme="majorHAnsi" w:hAnsiTheme="majorHAnsi"/>
          <w:color w:val="000000"/>
          <w:sz w:val="20"/>
        </w:rPr>
        <w:t>are publicly available</w:t>
      </w:r>
      <w:r w:rsidR="0060064A">
        <w:rPr>
          <w:rFonts w:asciiTheme="majorHAnsi" w:hAnsiTheme="majorHAnsi"/>
          <w:color w:val="000000"/>
          <w:sz w:val="20"/>
        </w:rPr>
        <w:t>.</w:t>
      </w:r>
    </w:p>
    <w:p w14:paraId="6EA4C52E" w14:textId="77777777" w:rsidR="00F4015C" w:rsidRPr="00894701" w:rsidRDefault="00F4015C" w:rsidP="00377BDA">
      <w:pPr>
        <w:pStyle w:val="ListParagraph"/>
        <w:numPr>
          <w:ilvl w:val="1"/>
          <w:numId w:val="7"/>
        </w:numPr>
        <w:spacing w:before="240" w:after="240"/>
        <w:ind w:left="851" w:right="482" w:hanging="851"/>
        <w:outlineLvl w:val="1"/>
        <w:rPr>
          <w:b/>
          <w:sz w:val="28"/>
          <w:szCs w:val="28"/>
        </w:rPr>
      </w:pPr>
      <w:bookmarkStart w:id="396" w:name="_Toc6925744"/>
      <w:bookmarkStart w:id="397" w:name="_Toc101350044"/>
      <w:bookmarkStart w:id="398" w:name="_Toc104555406"/>
      <w:bookmarkStart w:id="399" w:name="_Toc122478934"/>
      <w:r w:rsidRPr="00894701">
        <w:rPr>
          <w:b/>
          <w:sz w:val="28"/>
          <w:szCs w:val="28"/>
        </w:rPr>
        <w:t>Level of disaggregation (EITI Requirement 4.7)</w:t>
      </w:r>
      <w:bookmarkEnd w:id="396"/>
      <w:bookmarkEnd w:id="397"/>
      <w:bookmarkEnd w:id="398"/>
      <w:bookmarkEnd w:id="399"/>
    </w:p>
    <w:p w14:paraId="4A734936" w14:textId="77777777" w:rsidR="002A3E21" w:rsidRPr="00894701" w:rsidRDefault="002A3E21" w:rsidP="002A3E21">
      <w:pPr>
        <w:jc w:val="both"/>
        <w:rPr>
          <w:rFonts w:asciiTheme="majorHAnsi" w:hAnsiTheme="majorHAnsi"/>
          <w:color w:val="auto"/>
          <w:sz w:val="20"/>
        </w:rPr>
      </w:pPr>
      <w:r w:rsidRPr="00894701">
        <w:rPr>
          <w:rFonts w:asciiTheme="majorHAnsi" w:hAnsiTheme="majorHAnsi"/>
          <w:color w:val="auto"/>
          <w:sz w:val="20"/>
        </w:rPr>
        <w:t xml:space="preserve">The EITI Standard states that: ‘It is required that EITI data is disaggregated by individual project, company, government agency and revenue stream.  </w:t>
      </w:r>
    </w:p>
    <w:p w14:paraId="43CC8A89" w14:textId="77777777" w:rsidR="002A3E21" w:rsidRPr="00894701" w:rsidRDefault="002A3E21" w:rsidP="002A3E21">
      <w:pPr>
        <w:jc w:val="both"/>
        <w:rPr>
          <w:rFonts w:asciiTheme="majorHAnsi" w:hAnsiTheme="majorHAnsi"/>
          <w:color w:val="auto"/>
          <w:sz w:val="20"/>
        </w:rPr>
      </w:pPr>
      <w:r w:rsidRPr="00894701">
        <w:rPr>
          <w:rFonts w:asciiTheme="majorHAnsi" w:hAnsiTheme="majorHAnsi"/>
          <w:color w:val="auto"/>
          <w:sz w:val="20"/>
        </w:rPr>
        <w:t xml:space="preserve">A project is defined as operational activities that are governed by a single contract, license, lease, concession, or similar legal agreement, and forms the basis for payment of liabilities with a government. Nonetheless, if multiple such agreements are substantially interconnected, the multi- stakeholder group must clearly identify and document which instances are considered a single project. </w:t>
      </w:r>
    </w:p>
    <w:p w14:paraId="18EB9585" w14:textId="77777777" w:rsidR="002A3E21" w:rsidRPr="00894701" w:rsidRDefault="002A3E21" w:rsidP="002A3E21">
      <w:pPr>
        <w:jc w:val="both"/>
        <w:rPr>
          <w:rFonts w:asciiTheme="majorHAnsi" w:hAnsiTheme="majorHAnsi"/>
          <w:color w:val="auto"/>
          <w:sz w:val="20"/>
        </w:rPr>
      </w:pPr>
      <w:r w:rsidRPr="00894701">
        <w:rPr>
          <w:rFonts w:asciiTheme="majorHAnsi" w:hAnsiTheme="majorHAnsi"/>
          <w:color w:val="auto"/>
          <w:sz w:val="20"/>
        </w:rPr>
        <w:t xml:space="preserve">Substantially interconnected agreements are a set of operationally and geographically integrated contracts, licenses, leases or concessions or related agreements with substantially similar terms that are signed with a government, giving rise to payment liabilities. Such agreements can be governed by a single contract, joint venture, production sharing agreement or other overarching legal agreement. </w:t>
      </w:r>
    </w:p>
    <w:p w14:paraId="20D3CA70" w14:textId="77777777" w:rsidR="002A3E21" w:rsidRPr="00894701" w:rsidRDefault="002A3E21" w:rsidP="002A3E21">
      <w:pPr>
        <w:jc w:val="both"/>
        <w:rPr>
          <w:rFonts w:asciiTheme="majorHAnsi" w:hAnsiTheme="majorHAnsi"/>
          <w:color w:val="auto"/>
          <w:sz w:val="20"/>
        </w:rPr>
      </w:pPr>
      <w:r w:rsidRPr="00894701">
        <w:rPr>
          <w:rFonts w:asciiTheme="majorHAnsi" w:hAnsiTheme="majorHAnsi"/>
          <w:color w:val="auto"/>
          <w:sz w:val="20"/>
        </w:rPr>
        <w:t xml:space="preserve">Where a payment covered by the scope of EITI disclosures is levied at entity level rather than at project level, the company may disclose the payment at the entity level.’ </w:t>
      </w:r>
    </w:p>
    <w:p w14:paraId="7809EA39" w14:textId="77777777" w:rsidR="002A3E21" w:rsidRPr="00894701" w:rsidRDefault="002A3E21" w:rsidP="002A3E21">
      <w:pPr>
        <w:jc w:val="both"/>
        <w:rPr>
          <w:rFonts w:asciiTheme="majorHAnsi" w:hAnsiTheme="majorHAnsi"/>
          <w:color w:val="auto"/>
          <w:sz w:val="20"/>
        </w:rPr>
      </w:pPr>
      <w:r w:rsidRPr="00894701">
        <w:rPr>
          <w:rFonts w:asciiTheme="majorHAnsi" w:hAnsiTheme="majorHAnsi"/>
          <w:color w:val="auto"/>
          <w:sz w:val="20"/>
        </w:rPr>
        <w:t xml:space="preserve">According to the Terms of Reference, the inception should indicate the EITI-SR MSG’s decision on the level and type of disaggregation of EITI data in the second EITI-SR report. </w:t>
      </w:r>
    </w:p>
    <w:p w14:paraId="2F6B8E1C" w14:textId="77777777" w:rsidR="002A3E21" w:rsidRPr="00894701" w:rsidRDefault="002A3E21" w:rsidP="002A3E21">
      <w:pPr>
        <w:jc w:val="both"/>
        <w:rPr>
          <w:rFonts w:asciiTheme="majorHAnsi" w:hAnsiTheme="majorHAnsi"/>
          <w:color w:val="auto"/>
          <w:sz w:val="20"/>
        </w:rPr>
      </w:pPr>
      <w:r w:rsidRPr="00894701">
        <w:rPr>
          <w:rFonts w:asciiTheme="majorHAnsi" w:hAnsiTheme="majorHAnsi"/>
          <w:color w:val="auto"/>
          <w:sz w:val="20"/>
        </w:rPr>
        <w:t xml:space="preserve">In accordance with Requirement 4.7 of the 2019 EITI Standard, the term “Project” is defined as follows: </w:t>
      </w:r>
      <w:r w:rsidRPr="00894701">
        <w:rPr>
          <w:rFonts w:asciiTheme="majorHAnsi" w:hAnsiTheme="majorHAnsi"/>
          <w:b/>
          <w:bCs/>
          <w:color w:val="auto"/>
          <w:sz w:val="20"/>
        </w:rPr>
        <w:t>“the project is defined as operational activities that are governed by a single contract, license, lease, concession, or similar legal agreement, and forms the basis for payment of liabilities with a government. Can be governed by a single contract, if multiple agreements are substantially interconnected and geographically integrated (contracts, licenses, leases or concessions or related agreements) with substantially similar terms that are signed with a government, giving rise to payment liabilities as joint venture, production sharing agreement or other overarching legal agreement”</w:t>
      </w:r>
      <w:r w:rsidRPr="00894701">
        <w:rPr>
          <w:rFonts w:asciiTheme="majorHAnsi" w:hAnsiTheme="majorHAnsi"/>
          <w:color w:val="auto"/>
          <w:sz w:val="20"/>
        </w:rPr>
        <w:t xml:space="preserve">. </w:t>
      </w:r>
    </w:p>
    <w:p w14:paraId="477B495B" w14:textId="4C379652" w:rsidR="002A3E21" w:rsidRPr="00894701" w:rsidRDefault="002A3E21" w:rsidP="002A3E21">
      <w:pPr>
        <w:jc w:val="both"/>
        <w:rPr>
          <w:rFonts w:asciiTheme="majorHAnsi" w:hAnsiTheme="majorHAnsi"/>
          <w:color w:val="auto"/>
          <w:sz w:val="20"/>
        </w:rPr>
      </w:pPr>
      <w:r w:rsidRPr="00894701">
        <w:rPr>
          <w:rFonts w:asciiTheme="majorHAnsi" w:hAnsiTheme="majorHAnsi"/>
          <w:color w:val="auto"/>
          <w:sz w:val="20"/>
        </w:rPr>
        <w:t>We note that in Suriname specific revenue streams to the extractive sector (mining and oil &amp; gas) are levied and/or imposed on the basis of mining agreements and Production Sharing Contract and therefore should be disaggregated as such.</w:t>
      </w:r>
    </w:p>
    <w:p w14:paraId="3B82AB85" w14:textId="6CC1FC15" w:rsidR="00AF3535" w:rsidRDefault="00AF3535" w:rsidP="00377BDA">
      <w:pPr>
        <w:pStyle w:val="BodyText"/>
        <w:rPr>
          <w:rFonts w:asciiTheme="minorHAnsi" w:hAnsiTheme="minorHAnsi"/>
          <w:sz w:val="20"/>
          <w:szCs w:val="20"/>
        </w:rPr>
      </w:pPr>
      <w:r>
        <w:rPr>
          <w:rFonts w:asciiTheme="minorHAnsi" w:hAnsiTheme="minorHAnsi"/>
          <w:sz w:val="20"/>
          <w:szCs w:val="20"/>
        </w:rPr>
        <w:br w:type="page"/>
      </w:r>
    </w:p>
    <w:p w14:paraId="68F0AEAF" w14:textId="77777777" w:rsidR="004F615A" w:rsidRPr="00894701" w:rsidRDefault="004F615A" w:rsidP="00377BDA">
      <w:pPr>
        <w:pStyle w:val="BodyText"/>
        <w:rPr>
          <w:rFonts w:asciiTheme="minorHAnsi" w:hAnsiTheme="minorHAnsi"/>
          <w:sz w:val="20"/>
          <w:szCs w:val="20"/>
        </w:rPr>
      </w:pPr>
    </w:p>
    <w:p w14:paraId="11D6E594" w14:textId="21475BA1" w:rsidR="005B386D" w:rsidRPr="00894701" w:rsidRDefault="005B386D" w:rsidP="00A834A8">
      <w:pPr>
        <w:pStyle w:val="Heading3"/>
        <w:numPr>
          <w:ilvl w:val="2"/>
          <w:numId w:val="80"/>
        </w:numPr>
        <w:spacing w:before="120"/>
        <w:ind w:right="482"/>
        <w:rPr>
          <w:bCs w:val="0"/>
          <w:caps w:val="0"/>
        </w:rPr>
      </w:pPr>
      <w:bookmarkStart w:id="400" w:name="_Toc101350045"/>
      <w:bookmarkStart w:id="401" w:name="_Toc122478935"/>
      <w:r w:rsidRPr="00894701">
        <w:rPr>
          <w:bCs w:val="0"/>
          <w:caps w:val="0"/>
        </w:rPr>
        <w:t>Mining companies</w:t>
      </w:r>
      <w:bookmarkEnd w:id="400"/>
      <w:bookmarkEnd w:id="401"/>
      <w:r w:rsidRPr="00894701">
        <w:rPr>
          <w:bCs w:val="0"/>
          <w:caps w:val="0"/>
        </w:rPr>
        <w:t xml:space="preserve"> </w:t>
      </w:r>
    </w:p>
    <w:p w14:paraId="75310419" w14:textId="77777777" w:rsidR="002A3E21" w:rsidRPr="00894701" w:rsidRDefault="002A3E21" w:rsidP="002A3E21">
      <w:pPr>
        <w:jc w:val="both"/>
        <w:rPr>
          <w:rFonts w:asciiTheme="majorHAnsi" w:hAnsiTheme="majorHAnsi"/>
          <w:color w:val="auto"/>
          <w:sz w:val="20"/>
        </w:rPr>
      </w:pPr>
      <w:r w:rsidRPr="00894701">
        <w:rPr>
          <w:rFonts w:asciiTheme="majorHAnsi" w:hAnsiTheme="majorHAnsi"/>
          <w:color w:val="auto"/>
          <w:sz w:val="20"/>
        </w:rPr>
        <w:t xml:space="preserve">Large-scale mining companies: four (4) large-scale mining companies have been identified with operation based on mining agreement signed with the Government of Suriname. These are presented in the table below: </w:t>
      </w:r>
    </w:p>
    <w:p w14:paraId="74773514" w14:textId="77777777" w:rsidR="002A3E21" w:rsidRPr="00894701" w:rsidRDefault="002A3E21" w:rsidP="00A834A8">
      <w:pPr>
        <w:pStyle w:val="ListParagraph"/>
        <w:numPr>
          <w:ilvl w:val="0"/>
          <w:numId w:val="72"/>
        </w:numPr>
        <w:jc w:val="both"/>
        <w:rPr>
          <w:rFonts w:asciiTheme="majorHAnsi" w:hAnsiTheme="majorHAnsi"/>
          <w:color w:val="auto"/>
          <w:sz w:val="20"/>
        </w:rPr>
      </w:pPr>
      <w:r w:rsidRPr="00894701">
        <w:rPr>
          <w:rFonts w:asciiTheme="majorHAnsi" w:hAnsiTheme="majorHAnsi"/>
          <w:color w:val="auto"/>
          <w:sz w:val="20"/>
        </w:rPr>
        <w:t>Rosebel Gold Mines N.V.;</w:t>
      </w:r>
    </w:p>
    <w:p w14:paraId="1C3C462A" w14:textId="77777777" w:rsidR="002A3E21" w:rsidRPr="00894701" w:rsidRDefault="002A3E21" w:rsidP="00A834A8">
      <w:pPr>
        <w:pStyle w:val="ListParagraph"/>
        <w:numPr>
          <w:ilvl w:val="0"/>
          <w:numId w:val="72"/>
        </w:numPr>
        <w:jc w:val="both"/>
        <w:rPr>
          <w:rFonts w:asciiTheme="majorHAnsi" w:hAnsiTheme="majorHAnsi"/>
          <w:color w:val="auto"/>
          <w:sz w:val="20"/>
        </w:rPr>
      </w:pPr>
      <w:r w:rsidRPr="00894701">
        <w:rPr>
          <w:rFonts w:asciiTheme="majorHAnsi" w:hAnsiTheme="majorHAnsi"/>
          <w:color w:val="auto"/>
          <w:sz w:val="20"/>
        </w:rPr>
        <w:t xml:space="preserve">Newmont Suriname LLC; </w:t>
      </w:r>
    </w:p>
    <w:p w14:paraId="4F5C8383" w14:textId="77777777" w:rsidR="002A3E21" w:rsidRPr="00894701" w:rsidRDefault="002A3E21" w:rsidP="00A834A8">
      <w:pPr>
        <w:pStyle w:val="ListParagraph"/>
        <w:numPr>
          <w:ilvl w:val="0"/>
          <w:numId w:val="72"/>
        </w:numPr>
        <w:jc w:val="both"/>
        <w:rPr>
          <w:rFonts w:asciiTheme="majorHAnsi" w:hAnsiTheme="majorHAnsi"/>
          <w:color w:val="auto"/>
          <w:sz w:val="20"/>
        </w:rPr>
      </w:pPr>
      <w:r w:rsidRPr="00894701">
        <w:rPr>
          <w:rFonts w:asciiTheme="majorHAnsi" w:hAnsiTheme="majorHAnsi"/>
          <w:color w:val="auto"/>
          <w:sz w:val="20"/>
        </w:rPr>
        <w:t>NV 1 (100% State-Owned Enterprise) active in 2018 and 2019 only as the company has been acquired by Staatsolie during 2020; and</w:t>
      </w:r>
    </w:p>
    <w:p w14:paraId="2B2E12A8" w14:textId="77777777" w:rsidR="002A3E21" w:rsidRPr="00894701" w:rsidRDefault="002A3E21" w:rsidP="00A834A8">
      <w:pPr>
        <w:pStyle w:val="ListParagraph"/>
        <w:numPr>
          <w:ilvl w:val="0"/>
          <w:numId w:val="72"/>
        </w:numPr>
        <w:jc w:val="both"/>
        <w:rPr>
          <w:rFonts w:asciiTheme="majorHAnsi" w:hAnsiTheme="majorHAnsi"/>
          <w:color w:val="auto"/>
          <w:sz w:val="20"/>
        </w:rPr>
      </w:pPr>
      <w:r w:rsidRPr="00894701">
        <w:rPr>
          <w:rFonts w:asciiTheme="majorHAnsi" w:hAnsiTheme="majorHAnsi"/>
          <w:color w:val="auto"/>
          <w:sz w:val="20"/>
        </w:rPr>
        <w:t>NV Grassalco (100% State-Owned Enterprise).</w:t>
      </w:r>
    </w:p>
    <w:p w14:paraId="218E773F" w14:textId="77777777" w:rsidR="002A3E21" w:rsidRPr="00894701" w:rsidRDefault="002A3E21" w:rsidP="002A3E21">
      <w:pPr>
        <w:jc w:val="both"/>
        <w:rPr>
          <w:rFonts w:asciiTheme="majorHAnsi" w:hAnsiTheme="majorHAnsi"/>
          <w:color w:val="auto"/>
          <w:sz w:val="20"/>
        </w:rPr>
      </w:pPr>
    </w:p>
    <w:p w14:paraId="718178E9" w14:textId="77777777" w:rsidR="002A3E21" w:rsidRPr="00894701" w:rsidRDefault="002A3E21" w:rsidP="002A3E21">
      <w:pPr>
        <w:jc w:val="both"/>
        <w:rPr>
          <w:rFonts w:asciiTheme="majorHAnsi" w:hAnsiTheme="majorHAnsi"/>
          <w:color w:val="auto"/>
          <w:sz w:val="20"/>
        </w:rPr>
      </w:pPr>
      <w:r w:rsidRPr="00894701">
        <w:rPr>
          <w:rFonts w:asciiTheme="majorHAnsi" w:hAnsiTheme="majorHAnsi"/>
          <w:color w:val="auto"/>
          <w:sz w:val="20"/>
        </w:rPr>
        <w:t>Medium and small-scale mining companies: The Government agencies reported the revenues received from the other mining companies during FY 2018, 2019 and 2020 as detailed in the table above. However, for the medium and small-scale mining companies, the revenue was not disaggregated by company. As result, we were unable to define materiality thresholds for the medium and small-scale mining companies.</w:t>
      </w:r>
    </w:p>
    <w:p w14:paraId="0F08785C" w14:textId="4AABEC2D" w:rsidR="002A3E21" w:rsidRPr="00894701" w:rsidRDefault="002A3E21" w:rsidP="002A3E21">
      <w:pPr>
        <w:jc w:val="both"/>
        <w:rPr>
          <w:rFonts w:asciiTheme="majorHAnsi" w:hAnsiTheme="majorHAnsi"/>
          <w:color w:val="auto"/>
          <w:sz w:val="20"/>
        </w:rPr>
      </w:pPr>
      <w:r w:rsidRPr="00894701">
        <w:rPr>
          <w:rFonts w:asciiTheme="majorHAnsi" w:hAnsiTheme="majorHAnsi"/>
          <w:color w:val="auto"/>
          <w:sz w:val="20"/>
        </w:rPr>
        <w:t xml:space="preserve">Given the COVID restrictions and the above, </w:t>
      </w:r>
      <w:bookmarkStart w:id="402" w:name="_Hlk146451015"/>
      <w:r w:rsidRPr="00894701">
        <w:rPr>
          <w:rFonts w:asciiTheme="majorHAnsi" w:hAnsiTheme="majorHAnsi"/>
          <w:color w:val="auto"/>
          <w:sz w:val="20"/>
        </w:rPr>
        <w:t>the EITI-SR MSG agreed to include payments made by the mining entities</w:t>
      </w:r>
      <w:r w:rsidR="00AB6A09">
        <w:rPr>
          <w:rFonts w:asciiTheme="majorHAnsi" w:hAnsiTheme="majorHAnsi"/>
          <w:color w:val="auto"/>
          <w:sz w:val="20"/>
        </w:rPr>
        <w:t>, including (‘and not limited to’) the 4 mining companies listed above,</w:t>
      </w:r>
      <w:r w:rsidRPr="00894701">
        <w:rPr>
          <w:rFonts w:asciiTheme="majorHAnsi" w:hAnsiTheme="majorHAnsi"/>
          <w:color w:val="auto"/>
          <w:sz w:val="20"/>
        </w:rPr>
        <w:t xml:space="preserve"> during the fiscal years 2018, 2019 and 2020 through unilateral disclosure by the relevant Government Agencies </w:t>
      </w:r>
      <w:bookmarkEnd w:id="402"/>
      <w:r w:rsidRPr="00894701">
        <w:rPr>
          <w:rFonts w:asciiTheme="majorHAnsi" w:hAnsiTheme="majorHAnsi"/>
          <w:color w:val="auto"/>
          <w:sz w:val="20"/>
        </w:rPr>
        <w:t>in accordance with the EITI Flexible reporting in response to the COVID-19 pandemic.</w:t>
      </w:r>
    </w:p>
    <w:p w14:paraId="10499703" w14:textId="77777777" w:rsidR="002A3E21" w:rsidRPr="00894701" w:rsidRDefault="002A3E21" w:rsidP="002A3E21">
      <w:pPr>
        <w:pStyle w:val="BodyText"/>
      </w:pPr>
    </w:p>
    <w:p w14:paraId="03A52814" w14:textId="77777777" w:rsidR="004148C7" w:rsidRPr="00894701" w:rsidRDefault="004148C7" w:rsidP="00A834A8">
      <w:pPr>
        <w:pStyle w:val="Heading3"/>
        <w:numPr>
          <w:ilvl w:val="2"/>
          <w:numId w:val="80"/>
        </w:numPr>
        <w:spacing w:before="120"/>
        <w:ind w:right="482"/>
        <w:rPr>
          <w:bCs w:val="0"/>
          <w:caps w:val="0"/>
        </w:rPr>
      </w:pPr>
      <w:bookmarkStart w:id="403" w:name="_Toc101350046"/>
      <w:bookmarkStart w:id="404" w:name="_Toc122478936"/>
      <w:r w:rsidRPr="00894701">
        <w:rPr>
          <w:bCs w:val="0"/>
          <w:caps w:val="0"/>
        </w:rPr>
        <w:t>Oil and gas companies</w:t>
      </w:r>
      <w:bookmarkEnd w:id="403"/>
      <w:bookmarkEnd w:id="404"/>
    </w:p>
    <w:p w14:paraId="71FF35A5" w14:textId="6944F0ED" w:rsidR="004148C7" w:rsidRPr="00894701" w:rsidRDefault="004148C7" w:rsidP="007068E4">
      <w:pPr>
        <w:jc w:val="both"/>
        <w:rPr>
          <w:rFonts w:cs="Arial"/>
          <w:color w:val="auto"/>
          <w:sz w:val="20"/>
        </w:rPr>
      </w:pPr>
      <w:r w:rsidRPr="00894701">
        <w:rPr>
          <w:rFonts w:cs="Arial"/>
          <w:color w:val="auto"/>
          <w:sz w:val="20"/>
        </w:rPr>
        <w:t>The EITI</w:t>
      </w:r>
      <w:r w:rsidR="007068E4" w:rsidRPr="00894701">
        <w:rPr>
          <w:rFonts w:cs="Arial"/>
          <w:color w:val="auto"/>
          <w:sz w:val="20"/>
        </w:rPr>
        <w:t>-SR</w:t>
      </w:r>
      <w:r w:rsidRPr="00894701">
        <w:rPr>
          <w:rFonts w:cs="Arial"/>
          <w:color w:val="auto"/>
          <w:sz w:val="20"/>
        </w:rPr>
        <w:t xml:space="preserve"> MSG agreed to include all petroleum companies holding active licenses in the fiscal year</w:t>
      </w:r>
      <w:r w:rsidR="007068E4" w:rsidRPr="00894701">
        <w:rPr>
          <w:rFonts w:cs="Arial"/>
          <w:color w:val="auto"/>
          <w:sz w:val="20"/>
        </w:rPr>
        <w:t>s</w:t>
      </w:r>
      <w:r w:rsidRPr="00894701">
        <w:rPr>
          <w:rFonts w:cs="Arial"/>
          <w:color w:val="auto"/>
          <w:sz w:val="20"/>
        </w:rPr>
        <w:t xml:space="preserve"> </w:t>
      </w:r>
      <w:r w:rsidR="007068E4" w:rsidRPr="00894701">
        <w:rPr>
          <w:rFonts w:asciiTheme="majorHAnsi" w:hAnsiTheme="majorHAnsi"/>
          <w:color w:val="auto"/>
          <w:sz w:val="20"/>
        </w:rPr>
        <w:t xml:space="preserve">2018, 2019 and 2020 </w:t>
      </w:r>
      <w:r w:rsidRPr="00894701">
        <w:rPr>
          <w:rFonts w:cs="Arial"/>
          <w:color w:val="auto"/>
          <w:sz w:val="20"/>
        </w:rPr>
        <w:t>in the reconciliation scope as follows:</w:t>
      </w:r>
    </w:p>
    <w:p w14:paraId="5E9565FA" w14:textId="77777777" w:rsidR="007068E4" w:rsidRPr="00894701" w:rsidRDefault="007068E4" w:rsidP="007068E4">
      <w:pPr>
        <w:spacing w:before="240" w:after="240" w:line="240" w:lineRule="auto"/>
        <w:rPr>
          <w:b/>
          <w:color w:val="ED1A3B"/>
        </w:rPr>
      </w:pPr>
      <w:r w:rsidRPr="00894701">
        <w:rPr>
          <w:b/>
          <w:color w:val="ED1A3B"/>
        </w:rPr>
        <w:t xml:space="preserve">State-Owned Enterprise in oil &amp; gas sector </w:t>
      </w:r>
    </w:p>
    <w:p w14:paraId="24761DAF" w14:textId="77777777" w:rsidR="007068E4" w:rsidRPr="00894701" w:rsidRDefault="007068E4" w:rsidP="007068E4">
      <w:pPr>
        <w:jc w:val="both"/>
        <w:rPr>
          <w:rFonts w:asciiTheme="majorHAnsi" w:hAnsiTheme="majorHAnsi"/>
          <w:color w:val="auto"/>
          <w:sz w:val="20"/>
        </w:rPr>
      </w:pPr>
      <w:r w:rsidRPr="00894701">
        <w:rPr>
          <w:rFonts w:asciiTheme="majorHAnsi" w:hAnsiTheme="majorHAnsi"/>
          <w:color w:val="auto"/>
          <w:sz w:val="20"/>
        </w:rPr>
        <w:t xml:space="preserve">The EITI-SR MSG agrees to include in the reconciliation scope of 2018, 2019 and 2020 EITI report the State-Owned Enterprise in oil &amp; gas sector: Staatsolie Maatschappij Suriname NV (Staatsolie). </w:t>
      </w:r>
    </w:p>
    <w:p w14:paraId="598F77BC" w14:textId="77777777" w:rsidR="007068E4" w:rsidRPr="00894701" w:rsidRDefault="007068E4" w:rsidP="007068E4">
      <w:pPr>
        <w:spacing w:before="240" w:after="240" w:line="240" w:lineRule="auto"/>
        <w:rPr>
          <w:b/>
          <w:color w:val="ED1A3B"/>
        </w:rPr>
      </w:pPr>
      <w:r w:rsidRPr="00894701">
        <w:rPr>
          <w:b/>
          <w:color w:val="ED1A3B"/>
        </w:rPr>
        <w:t xml:space="preserve">Oil &amp; gas companies </w:t>
      </w:r>
    </w:p>
    <w:p w14:paraId="6FF14CAC" w14:textId="77777777" w:rsidR="007068E4" w:rsidRPr="00894701" w:rsidRDefault="007068E4" w:rsidP="007068E4">
      <w:pPr>
        <w:jc w:val="both"/>
        <w:rPr>
          <w:rFonts w:asciiTheme="majorHAnsi" w:hAnsiTheme="majorHAnsi"/>
          <w:color w:val="auto"/>
          <w:sz w:val="20"/>
        </w:rPr>
      </w:pPr>
      <w:r w:rsidRPr="00894701">
        <w:rPr>
          <w:rFonts w:asciiTheme="majorHAnsi" w:hAnsiTheme="majorHAnsi"/>
          <w:color w:val="auto"/>
          <w:sz w:val="20"/>
        </w:rPr>
        <w:t>The MSG approved the requirements for EITI flexible reporting. The more flexible approach to EITI reporting, as approved by the EITI International Board, is intended to ensure that disclosures are timelier and can assist ongoing discussions on measures to address the impact of the interrelated factors of the pandemic, commodity price downturns, price shocks, and the global economic downturn in the extractive sector.</w:t>
      </w:r>
    </w:p>
    <w:p w14:paraId="5EAE7D93" w14:textId="1B1AC165" w:rsidR="007068E4" w:rsidRPr="00894701" w:rsidRDefault="007068E4" w:rsidP="000626E3">
      <w:pPr>
        <w:jc w:val="both"/>
        <w:rPr>
          <w:rFonts w:asciiTheme="majorHAnsi" w:hAnsiTheme="majorHAnsi"/>
          <w:color w:val="auto"/>
          <w:sz w:val="20"/>
        </w:rPr>
      </w:pPr>
      <w:r w:rsidRPr="00894701">
        <w:rPr>
          <w:rFonts w:asciiTheme="majorHAnsi" w:hAnsiTheme="majorHAnsi"/>
          <w:color w:val="auto"/>
          <w:sz w:val="20"/>
        </w:rPr>
        <w:t>Given the restrictions of the COVID-19 pandemic, the MSG agreed to include the revenue streams from six (6) oil &amp; gas companies in the reconciliation scope without applying any materiality threshold.</w:t>
      </w:r>
      <w:bookmarkStart w:id="405" w:name="_Toc93095227"/>
      <w:bookmarkStart w:id="406" w:name="_Toc112753613"/>
    </w:p>
    <w:p w14:paraId="75D03B83" w14:textId="3E4451F0" w:rsidR="007068E4" w:rsidRPr="00894701" w:rsidRDefault="007068E4" w:rsidP="00842B6F">
      <w:pPr>
        <w:pStyle w:val="BodyText"/>
        <w:jc w:val="center"/>
        <w:rPr>
          <w:b/>
          <w:bCs/>
          <w:color w:val="98002E" w:themeColor="accent3"/>
          <w:sz w:val="20"/>
          <w:szCs w:val="20"/>
        </w:rPr>
      </w:pPr>
      <w:bookmarkStart w:id="407" w:name="_Toc146590516"/>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44</w:t>
      </w:r>
      <w:r w:rsidRPr="00894701">
        <w:rPr>
          <w:b/>
          <w:bCs/>
          <w:color w:val="98002E" w:themeColor="accent3"/>
          <w:sz w:val="20"/>
          <w:szCs w:val="20"/>
        </w:rPr>
        <w:fldChar w:fldCharType="end"/>
      </w:r>
      <w:r w:rsidRPr="00894701">
        <w:rPr>
          <w:b/>
          <w:bCs/>
          <w:color w:val="98002E" w:themeColor="accent3"/>
          <w:sz w:val="20"/>
          <w:szCs w:val="20"/>
        </w:rPr>
        <w:t>: Extractive companies included in the scope</w:t>
      </w:r>
      <w:bookmarkEnd w:id="405"/>
      <w:bookmarkEnd w:id="406"/>
      <w:bookmarkEnd w:id="407"/>
    </w:p>
    <w:tbl>
      <w:tblPr>
        <w:tblStyle w:val="TableGrid"/>
        <w:tblW w:w="5000" w:type="pct"/>
        <w:tblLook w:val="04A0" w:firstRow="1" w:lastRow="0" w:firstColumn="1" w:lastColumn="0" w:noHBand="0" w:noVBand="1"/>
      </w:tblPr>
      <w:tblGrid>
        <w:gridCol w:w="1372"/>
        <w:gridCol w:w="7678"/>
      </w:tblGrid>
      <w:tr w:rsidR="000626E3" w:rsidRPr="00894701" w14:paraId="7B092F09" w14:textId="77777777" w:rsidTr="000626E3">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758" w:type="pct"/>
            <w:shd w:val="clear" w:color="auto" w:fill="920000"/>
          </w:tcPr>
          <w:p w14:paraId="50881882" w14:textId="77777777" w:rsidR="000626E3" w:rsidRPr="00894701" w:rsidRDefault="000626E3" w:rsidP="00446B8D">
            <w:pPr>
              <w:spacing w:before="0" w:after="0" w:line="240" w:lineRule="auto"/>
              <w:rPr>
                <w:b/>
                <w:bCs/>
                <w:color w:val="FFFFFF"/>
                <w:sz w:val="20"/>
              </w:rPr>
            </w:pPr>
            <w:r w:rsidRPr="00894701">
              <w:rPr>
                <w:b/>
                <w:bCs/>
                <w:color w:val="FFFFFF"/>
                <w:sz w:val="20"/>
              </w:rPr>
              <w:t>N°</w:t>
            </w:r>
          </w:p>
        </w:tc>
        <w:tc>
          <w:tcPr>
            <w:tcW w:w="4242" w:type="pct"/>
            <w:shd w:val="clear" w:color="auto" w:fill="920000"/>
          </w:tcPr>
          <w:p w14:paraId="10212040" w14:textId="77777777" w:rsidR="000626E3" w:rsidRPr="00894701" w:rsidRDefault="000626E3" w:rsidP="00446B8D">
            <w:pPr>
              <w:spacing w:before="0" w:after="0" w:line="240" w:lineRule="auto"/>
              <w:cnfStyle w:val="100000000000" w:firstRow="1" w:lastRow="0" w:firstColumn="0" w:lastColumn="0" w:oddVBand="0" w:evenVBand="0" w:oddHBand="0" w:evenHBand="0" w:firstRowFirstColumn="0" w:firstRowLastColumn="0" w:lastRowFirstColumn="0" w:lastRowLastColumn="0"/>
              <w:rPr>
                <w:b/>
                <w:bCs/>
                <w:color w:val="FFFFFF"/>
                <w:sz w:val="20"/>
              </w:rPr>
            </w:pPr>
            <w:r w:rsidRPr="00894701">
              <w:rPr>
                <w:b/>
                <w:bCs/>
                <w:color w:val="FFFFFF"/>
                <w:sz w:val="20"/>
              </w:rPr>
              <w:t>Company</w:t>
            </w:r>
          </w:p>
        </w:tc>
      </w:tr>
      <w:tr w:rsidR="007274B8" w:rsidRPr="00894701" w14:paraId="56B551E5" w14:textId="77777777" w:rsidTr="000626E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58" w:type="pct"/>
            <w:shd w:val="clear" w:color="auto" w:fill="F997AB"/>
          </w:tcPr>
          <w:p w14:paraId="469705D8" w14:textId="4D06EC6E" w:rsidR="007274B8" w:rsidRPr="00894701" w:rsidRDefault="007274B8" w:rsidP="007274B8">
            <w:pPr>
              <w:jc w:val="both"/>
              <w:rPr>
                <w:rFonts w:asciiTheme="minorHAnsi" w:hAnsiTheme="minorHAnsi"/>
                <w:color w:val="000000"/>
                <w:sz w:val="20"/>
              </w:rPr>
            </w:pPr>
            <w:r w:rsidRPr="00894701">
              <w:rPr>
                <w:rFonts w:asciiTheme="minorHAnsi" w:hAnsiTheme="minorHAnsi"/>
                <w:caps/>
                <w:color w:val="000000"/>
                <w:sz w:val="20"/>
              </w:rPr>
              <w:t>1</w:t>
            </w:r>
          </w:p>
        </w:tc>
        <w:tc>
          <w:tcPr>
            <w:tcW w:w="4242" w:type="pct"/>
            <w:shd w:val="clear" w:color="auto" w:fill="F997AB"/>
          </w:tcPr>
          <w:p w14:paraId="2AC806B0" w14:textId="32AE1F89" w:rsidR="007274B8" w:rsidRPr="00894701" w:rsidRDefault="007274B8" w:rsidP="007274B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rPr>
            </w:pPr>
            <w:r w:rsidRPr="00894701">
              <w:rPr>
                <w:rFonts w:asciiTheme="minorHAnsi" w:hAnsiTheme="minorHAnsi"/>
                <w:color w:val="000000"/>
                <w:sz w:val="20"/>
              </w:rPr>
              <w:t>Kosmos Energy Suriname</w:t>
            </w:r>
          </w:p>
        </w:tc>
      </w:tr>
      <w:tr w:rsidR="007274B8" w:rsidRPr="00894701" w14:paraId="503A857F" w14:textId="77777777" w:rsidTr="007426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pct"/>
          </w:tcPr>
          <w:p w14:paraId="74C54212" w14:textId="1DA90E35" w:rsidR="007274B8" w:rsidRPr="00894701" w:rsidRDefault="007274B8" w:rsidP="007274B8">
            <w:pPr>
              <w:jc w:val="both"/>
              <w:rPr>
                <w:rFonts w:asciiTheme="minorHAnsi" w:hAnsiTheme="minorHAnsi"/>
                <w:color w:val="000000"/>
                <w:sz w:val="20"/>
              </w:rPr>
            </w:pPr>
            <w:r w:rsidRPr="00894701">
              <w:rPr>
                <w:rFonts w:asciiTheme="minorHAnsi" w:hAnsiTheme="minorHAnsi"/>
                <w:color w:val="000000"/>
                <w:sz w:val="20"/>
              </w:rPr>
              <w:t>2</w:t>
            </w:r>
          </w:p>
        </w:tc>
        <w:tc>
          <w:tcPr>
            <w:tcW w:w="0" w:type="pct"/>
          </w:tcPr>
          <w:p w14:paraId="4E849AFC" w14:textId="5CFC9493" w:rsidR="007274B8" w:rsidRPr="00894701" w:rsidRDefault="007274B8" w:rsidP="007274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0"/>
              </w:rPr>
            </w:pPr>
            <w:r w:rsidRPr="00894701">
              <w:rPr>
                <w:rFonts w:asciiTheme="minorHAnsi" w:hAnsiTheme="minorHAnsi"/>
                <w:color w:val="000000"/>
                <w:sz w:val="20"/>
              </w:rPr>
              <w:t>Tullow Oil Plc</w:t>
            </w:r>
          </w:p>
        </w:tc>
      </w:tr>
      <w:tr w:rsidR="007274B8" w:rsidRPr="00894701" w14:paraId="7BF1B75B" w14:textId="77777777" w:rsidTr="000626E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58" w:type="pct"/>
            <w:shd w:val="clear" w:color="auto" w:fill="F997AB"/>
          </w:tcPr>
          <w:p w14:paraId="0198C0D8" w14:textId="518D1564" w:rsidR="007274B8" w:rsidRPr="00894701" w:rsidRDefault="007274B8" w:rsidP="007274B8">
            <w:pPr>
              <w:jc w:val="both"/>
              <w:rPr>
                <w:rFonts w:asciiTheme="minorHAnsi" w:hAnsiTheme="minorHAnsi"/>
                <w:color w:val="000000"/>
                <w:sz w:val="20"/>
              </w:rPr>
            </w:pPr>
            <w:r w:rsidRPr="00894701">
              <w:rPr>
                <w:rFonts w:asciiTheme="minorHAnsi" w:hAnsiTheme="minorHAnsi"/>
                <w:color w:val="000000"/>
                <w:sz w:val="20"/>
              </w:rPr>
              <w:t>3</w:t>
            </w:r>
          </w:p>
        </w:tc>
        <w:tc>
          <w:tcPr>
            <w:tcW w:w="4242" w:type="pct"/>
            <w:shd w:val="clear" w:color="auto" w:fill="F997AB"/>
          </w:tcPr>
          <w:p w14:paraId="5C2AE02F" w14:textId="2C7A8781" w:rsidR="007274B8" w:rsidRPr="00894701" w:rsidRDefault="007274B8" w:rsidP="007274B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rPr>
            </w:pPr>
            <w:r w:rsidRPr="00894701">
              <w:rPr>
                <w:rFonts w:asciiTheme="minorHAnsi" w:hAnsiTheme="minorHAnsi"/>
                <w:color w:val="000000"/>
                <w:sz w:val="20"/>
              </w:rPr>
              <w:t xml:space="preserve">Total E&amp;P Suriname B.V. </w:t>
            </w:r>
          </w:p>
        </w:tc>
      </w:tr>
      <w:tr w:rsidR="007274B8" w:rsidRPr="00894701" w14:paraId="1FAB6401" w14:textId="77777777" w:rsidTr="000626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58" w:type="pct"/>
          </w:tcPr>
          <w:p w14:paraId="031416EC" w14:textId="73AD2219" w:rsidR="007274B8" w:rsidRPr="00894701" w:rsidRDefault="007274B8" w:rsidP="007274B8">
            <w:pPr>
              <w:jc w:val="both"/>
              <w:rPr>
                <w:rFonts w:asciiTheme="minorHAnsi" w:hAnsiTheme="minorHAnsi"/>
                <w:color w:val="000000"/>
                <w:sz w:val="20"/>
              </w:rPr>
            </w:pPr>
            <w:r w:rsidRPr="00894701">
              <w:rPr>
                <w:rFonts w:asciiTheme="minorHAnsi" w:hAnsiTheme="minorHAnsi"/>
                <w:color w:val="000000"/>
                <w:sz w:val="20"/>
              </w:rPr>
              <w:t>4</w:t>
            </w:r>
          </w:p>
        </w:tc>
        <w:tc>
          <w:tcPr>
            <w:tcW w:w="4242" w:type="pct"/>
          </w:tcPr>
          <w:p w14:paraId="34C00EC3" w14:textId="540208CD" w:rsidR="007274B8" w:rsidRPr="00894701" w:rsidRDefault="007274B8" w:rsidP="007274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0"/>
              </w:rPr>
            </w:pPr>
            <w:r w:rsidRPr="00894701">
              <w:rPr>
                <w:rFonts w:asciiTheme="minorHAnsi" w:hAnsiTheme="minorHAnsi"/>
                <w:color w:val="000000"/>
                <w:sz w:val="20"/>
              </w:rPr>
              <w:t>Capricorn Energy PLC</w:t>
            </w:r>
          </w:p>
        </w:tc>
      </w:tr>
      <w:tr w:rsidR="007274B8" w:rsidRPr="00894701" w14:paraId="3C1D47E2" w14:textId="77777777" w:rsidTr="000626E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58" w:type="pct"/>
            <w:shd w:val="clear" w:color="auto" w:fill="F997AB"/>
          </w:tcPr>
          <w:p w14:paraId="0D284ED0" w14:textId="6D1873B7" w:rsidR="007274B8" w:rsidRPr="00894701" w:rsidRDefault="007274B8" w:rsidP="007274B8">
            <w:pPr>
              <w:jc w:val="both"/>
              <w:rPr>
                <w:rFonts w:asciiTheme="minorHAnsi" w:hAnsiTheme="minorHAnsi"/>
                <w:color w:val="000000"/>
                <w:sz w:val="20"/>
              </w:rPr>
            </w:pPr>
            <w:r w:rsidRPr="00894701">
              <w:rPr>
                <w:rFonts w:asciiTheme="minorHAnsi" w:hAnsiTheme="minorHAnsi"/>
                <w:color w:val="000000"/>
                <w:sz w:val="20"/>
              </w:rPr>
              <w:lastRenderedPageBreak/>
              <w:t>5</w:t>
            </w:r>
          </w:p>
        </w:tc>
        <w:tc>
          <w:tcPr>
            <w:tcW w:w="4242" w:type="pct"/>
            <w:shd w:val="clear" w:color="auto" w:fill="F997AB"/>
          </w:tcPr>
          <w:p w14:paraId="5E6429DF" w14:textId="5E1C2C1D" w:rsidR="007274B8" w:rsidRPr="00894701" w:rsidRDefault="007274B8" w:rsidP="007274B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rPr>
            </w:pPr>
            <w:r w:rsidRPr="00894701">
              <w:rPr>
                <w:rFonts w:asciiTheme="minorHAnsi" w:hAnsiTheme="minorHAnsi"/>
                <w:color w:val="000000"/>
                <w:sz w:val="20"/>
              </w:rPr>
              <w:t>Petronas Suriname Exploration &amp; production B.V.</w:t>
            </w:r>
          </w:p>
        </w:tc>
      </w:tr>
      <w:tr w:rsidR="007274B8" w:rsidRPr="00894701" w14:paraId="57C4F84D" w14:textId="77777777" w:rsidTr="000626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58" w:type="pct"/>
          </w:tcPr>
          <w:p w14:paraId="4A5B8D35" w14:textId="79D53F74" w:rsidR="007274B8" w:rsidRPr="00894701" w:rsidRDefault="007274B8" w:rsidP="007274B8">
            <w:pPr>
              <w:jc w:val="both"/>
              <w:rPr>
                <w:rFonts w:asciiTheme="minorHAnsi" w:hAnsiTheme="minorHAnsi"/>
                <w:color w:val="000000"/>
                <w:sz w:val="20"/>
              </w:rPr>
            </w:pPr>
            <w:r w:rsidRPr="00894701">
              <w:rPr>
                <w:rFonts w:asciiTheme="minorHAnsi" w:hAnsiTheme="minorHAnsi"/>
                <w:color w:val="000000"/>
                <w:sz w:val="20"/>
              </w:rPr>
              <w:t>6</w:t>
            </w:r>
          </w:p>
        </w:tc>
        <w:tc>
          <w:tcPr>
            <w:tcW w:w="4242" w:type="pct"/>
          </w:tcPr>
          <w:p w14:paraId="3544F782" w14:textId="04F04D11" w:rsidR="007274B8" w:rsidRPr="00894701" w:rsidRDefault="007274B8" w:rsidP="007274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0"/>
              </w:rPr>
            </w:pPr>
            <w:r w:rsidRPr="00894701">
              <w:rPr>
                <w:rFonts w:asciiTheme="minorHAnsi" w:hAnsiTheme="minorHAnsi"/>
                <w:color w:val="000000"/>
                <w:sz w:val="20"/>
              </w:rPr>
              <w:t>Challenger Energy Group Plc</w:t>
            </w:r>
          </w:p>
        </w:tc>
      </w:tr>
      <w:tr w:rsidR="007274B8" w:rsidRPr="00894701" w14:paraId="156257A7" w14:textId="77777777" w:rsidTr="000626E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58" w:type="pct"/>
            <w:shd w:val="clear" w:color="auto" w:fill="F997AB"/>
          </w:tcPr>
          <w:p w14:paraId="3A7676F1" w14:textId="11C92579" w:rsidR="007274B8" w:rsidRPr="00894701" w:rsidRDefault="007274B8" w:rsidP="007274B8">
            <w:pPr>
              <w:jc w:val="both"/>
              <w:rPr>
                <w:rFonts w:asciiTheme="minorHAnsi" w:hAnsiTheme="minorHAnsi"/>
                <w:color w:val="000000"/>
                <w:sz w:val="20"/>
              </w:rPr>
            </w:pPr>
            <w:r w:rsidRPr="00894701">
              <w:rPr>
                <w:rFonts w:asciiTheme="minorHAnsi" w:hAnsiTheme="minorHAnsi"/>
                <w:color w:val="000000"/>
                <w:sz w:val="20"/>
              </w:rPr>
              <w:t>7</w:t>
            </w:r>
          </w:p>
        </w:tc>
        <w:tc>
          <w:tcPr>
            <w:tcW w:w="4242" w:type="pct"/>
            <w:shd w:val="clear" w:color="auto" w:fill="F997AB"/>
          </w:tcPr>
          <w:p w14:paraId="6DBDD4A3" w14:textId="6CAF5172" w:rsidR="007274B8" w:rsidRPr="00894701" w:rsidRDefault="007274B8" w:rsidP="007274B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rPr>
            </w:pPr>
            <w:r w:rsidRPr="00894701">
              <w:rPr>
                <w:rFonts w:asciiTheme="majorHAnsi" w:hAnsiTheme="majorHAnsi"/>
                <w:color w:val="auto"/>
                <w:sz w:val="20"/>
              </w:rPr>
              <w:t>ExxonMobil Corporation</w:t>
            </w:r>
            <w:r w:rsidRPr="00894701" w:rsidDel="007274B8">
              <w:rPr>
                <w:rFonts w:asciiTheme="minorHAnsi" w:hAnsiTheme="minorHAnsi"/>
                <w:color w:val="000000"/>
                <w:sz w:val="20"/>
              </w:rPr>
              <w:t xml:space="preserve"> </w:t>
            </w:r>
          </w:p>
        </w:tc>
      </w:tr>
    </w:tbl>
    <w:p w14:paraId="78C960FB" w14:textId="77777777" w:rsidR="007068E4" w:rsidRPr="00894701" w:rsidRDefault="007068E4" w:rsidP="007068E4">
      <w:pPr>
        <w:jc w:val="both"/>
        <w:rPr>
          <w:rFonts w:asciiTheme="majorHAnsi" w:hAnsiTheme="majorHAnsi"/>
          <w:color w:val="auto"/>
          <w:sz w:val="20"/>
        </w:rPr>
      </w:pPr>
      <w:r w:rsidRPr="00894701">
        <w:rPr>
          <w:rFonts w:asciiTheme="majorHAnsi" w:hAnsiTheme="majorHAnsi"/>
          <w:color w:val="auto"/>
          <w:sz w:val="20"/>
        </w:rPr>
        <w:t>Although the following companies had active licenses during the years 2018, 2019 and 2020, the EITI-SR MSG agreed to exclude it from the scope as a result of the lack of their feedback regarding the signature of MoU from the company:</w:t>
      </w:r>
    </w:p>
    <w:p w14:paraId="1ED512A7" w14:textId="0AC58D75" w:rsidR="007068E4" w:rsidRPr="00894701" w:rsidRDefault="007068E4">
      <w:pPr>
        <w:pStyle w:val="ListParagraph"/>
        <w:numPr>
          <w:ilvl w:val="0"/>
          <w:numId w:val="73"/>
        </w:numPr>
        <w:jc w:val="both"/>
        <w:rPr>
          <w:rFonts w:asciiTheme="majorHAnsi" w:hAnsiTheme="majorHAnsi"/>
          <w:color w:val="auto"/>
          <w:sz w:val="20"/>
        </w:rPr>
      </w:pPr>
      <w:r w:rsidRPr="00894701">
        <w:rPr>
          <w:rFonts w:asciiTheme="majorHAnsi" w:hAnsiTheme="majorHAnsi"/>
          <w:color w:val="auto"/>
          <w:sz w:val="20"/>
        </w:rPr>
        <w:t>APA Suriname; and</w:t>
      </w:r>
    </w:p>
    <w:p w14:paraId="6F394D5B" w14:textId="7BD8AC64" w:rsidR="007068E4" w:rsidRPr="00894701" w:rsidRDefault="007068E4" w:rsidP="00A834A8">
      <w:pPr>
        <w:pStyle w:val="ListParagraph"/>
        <w:numPr>
          <w:ilvl w:val="0"/>
          <w:numId w:val="73"/>
        </w:numPr>
        <w:jc w:val="both"/>
        <w:rPr>
          <w:rFonts w:cs="Arial"/>
        </w:rPr>
      </w:pPr>
      <w:r w:rsidRPr="00894701">
        <w:rPr>
          <w:rFonts w:asciiTheme="majorHAnsi" w:hAnsiTheme="majorHAnsi"/>
          <w:color w:val="auto"/>
          <w:sz w:val="20"/>
        </w:rPr>
        <w:t>Decker Petroleum and Marketing Co. ltd.</w:t>
      </w:r>
      <w:r w:rsidRPr="00894701">
        <w:rPr>
          <w:rFonts w:cs="Arial"/>
        </w:rPr>
        <w:t xml:space="preserve"> </w:t>
      </w:r>
    </w:p>
    <w:p w14:paraId="425A80C6" w14:textId="77777777" w:rsidR="007068E4" w:rsidRPr="00894701" w:rsidRDefault="007068E4" w:rsidP="007068E4">
      <w:pPr>
        <w:pStyle w:val="ListParagraph"/>
        <w:jc w:val="both"/>
        <w:rPr>
          <w:rFonts w:cs="Arial"/>
        </w:rPr>
      </w:pPr>
    </w:p>
    <w:p w14:paraId="5586A92D" w14:textId="7266D2B0" w:rsidR="003B1335" w:rsidRPr="00894701" w:rsidRDefault="003B1335" w:rsidP="007068E4">
      <w:pPr>
        <w:pStyle w:val="ListParagraph"/>
        <w:numPr>
          <w:ilvl w:val="1"/>
          <w:numId w:val="7"/>
        </w:numPr>
        <w:spacing w:before="240" w:after="240"/>
        <w:ind w:left="851" w:right="482" w:hanging="851"/>
        <w:outlineLvl w:val="1"/>
        <w:rPr>
          <w:b/>
          <w:sz w:val="28"/>
          <w:szCs w:val="28"/>
        </w:rPr>
      </w:pPr>
      <w:bookmarkStart w:id="408" w:name="_Toc6925745"/>
      <w:bookmarkStart w:id="409" w:name="_Toc101350049"/>
      <w:bookmarkStart w:id="410" w:name="_Toc104555407"/>
      <w:bookmarkStart w:id="411" w:name="_Toc122478937"/>
      <w:r w:rsidRPr="00894701">
        <w:rPr>
          <w:b/>
          <w:sz w:val="28"/>
          <w:szCs w:val="28"/>
        </w:rPr>
        <w:t>Government Agencies</w:t>
      </w:r>
      <w:bookmarkEnd w:id="408"/>
      <w:r w:rsidRPr="00894701">
        <w:rPr>
          <w:b/>
          <w:sz w:val="28"/>
          <w:szCs w:val="28"/>
        </w:rPr>
        <w:t xml:space="preserve"> (EITI Requirement 4.1.d)</w:t>
      </w:r>
      <w:bookmarkEnd w:id="409"/>
      <w:bookmarkEnd w:id="410"/>
      <w:bookmarkEnd w:id="411"/>
    </w:p>
    <w:p w14:paraId="0AD88DCC" w14:textId="77777777" w:rsidR="007068E4" w:rsidRPr="00894701" w:rsidRDefault="007068E4" w:rsidP="007068E4">
      <w:pPr>
        <w:jc w:val="both"/>
        <w:rPr>
          <w:rFonts w:asciiTheme="majorHAnsi" w:hAnsiTheme="majorHAnsi"/>
          <w:color w:val="auto"/>
          <w:sz w:val="20"/>
        </w:rPr>
      </w:pPr>
      <w:r w:rsidRPr="00894701">
        <w:rPr>
          <w:rFonts w:asciiTheme="majorHAnsi" w:hAnsiTheme="majorHAnsi"/>
          <w:color w:val="auto"/>
          <w:sz w:val="20"/>
        </w:rPr>
        <w:t xml:space="preserve">Requirement 4.1 (b) of the EITI Standard states that: “Implementing countries must ensure that all Government Agencies receiving material revenues from oil, gas and mining companies are required to comprehensively disclose these revenues in accordance with the agreed scope. Government Agencies should only be exempted from disclosure if it can be demonstrated that their revenues are not material.” </w:t>
      </w:r>
    </w:p>
    <w:p w14:paraId="30C49165" w14:textId="515F6FAD" w:rsidR="007068E4" w:rsidRPr="00894701" w:rsidRDefault="007068E4" w:rsidP="007068E4">
      <w:pPr>
        <w:jc w:val="both"/>
        <w:rPr>
          <w:rFonts w:asciiTheme="majorHAnsi" w:hAnsiTheme="majorHAnsi"/>
          <w:color w:val="auto"/>
          <w:sz w:val="20"/>
        </w:rPr>
      </w:pPr>
      <w:r w:rsidRPr="00894701">
        <w:rPr>
          <w:rFonts w:asciiTheme="majorHAnsi" w:hAnsiTheme="majorHAnsi"/>
          <w:color w:val="auto"/>
          <w:sz w:val="20"/>
        </w:rPr>
        <w:t>Based on the scoping study, EITI-SR MSG agreed that the Ministry of Finance</w:t>
      </w:r>
      <w:r w:rsidR="009A7527" w:rsidRPr="00894701">
        <w:rPr>
          <w:rFonts w:asciiTheme="majorHAnsi" w:hAnsiTheme="majorHAnsi"/>
          <w:color w:val="auto"/>
          <w:sz w:val="20"/>
        </w:rPr>
        <w:t xml:space="preserve"> and Planning </w:t>
      </w:r>
      <w:r w:rsidRPr="00894701">
        <w:rPr>
          <w:rFonts w:asciiTheme="majorHAnsi" w:hAnsiTheme="majorHAnsi"/>
          <w:color w:val="auto"/>
          <w:sz w:val="20"/>
        </w:rPr>
        <w:t xml:space="preserve">(including Directorate Taxation) is included in the reconciliation scope to report the revenues received from extractive industries for the FY 2018, 2019 and 2020. </w:t>
      </w:r>
    </w:p>
    <w:p w14:paraId="000A91B5" w14:textId="77777777" w:rsidR="007068E4" w:rsidRPr="00894701" w:rsidRDefault="007068E4" w:rsidP="007068E4">
      <w:pPr>
        <w:jc w:val="both"/>
        <w:rPr>
          <w:rFonts w:asciiTheme="majorHAnsi" w:hAnsiTheme="majorHAnsi"/>
          <w:color w:val="auto"/>
          <w:sz w:val="20"/>
        </w:rPr>
      </w:pPr>
      <w:r w:rsidRPr="00894701">
        <w:rPr>
          <w:rFonts w:asciiTheme="majorHAnsi" w:hAnsiTheme="majorHAnsi"/>
          <w:color w:val="auto"/>
          <w:sz w:val="20"/>
        </w:rPr>
        <w:t>Even if the following government agencies are not required to fill in reporting templates for the reconciliation, they are still required to report on other information including the contextual data:</w:t>
      </w:r>
    </w:p>
    <w:p w14:paraId="30848134" w14:textId="77777777" w:rsidR="007068E4" w:rsidRPr="00894701" w:rsidRDefault="007068E4" w:rsidP="00A834A8">
      <w:pPr>
        <w:pStyle w:val="ListParagraph"/>
        <w:numPr>
          <w:ilvl w:val="0"/>
          <w:numId w:val="73"/>
        </w:numPr>
        <w:jc w:val="both"/>
        <w:rPr>
          <w:rFonts w:asciiTheme="majorHAnsi" w:hAnsiTheme="majorHAnsi"/>
          <w:color w:val="auto"/>
          <w:sz w:val="20"/>
        </w:rPr>
      </w:pPr>
      <w:r w:rsidRPr="00894701">
        <w:rPr>
          <w:rFonts w:asciiTheme="majorHAnsi" w:hAnsiTheme="majorHAnsi"/>
          <w:color w:val="auto"/>
          <w:sz w:val="20"/>
        </w:rPr>
        <w:t>Ministry of Natural Resources (MONR);</w:t>
      </w:r>
    </w:p>
    <w:p w14:paraId="665D876C" w14:textId="77777777" w:rsidR="007068E4" w:rsidRPr="00894701" w:rsidRDefault="007068E4" w:rsidP="00A834A8">
      <w:pPr>
        <w:pStyle w:val="ListParagraph"/>
        <w:numPr>
          <w:ilvl w:val="0"/>
          <w:numId w:val="73"/>
        </w:numPr>
        <w:jc w:val="both"/>
        <w:rPr>
          <w:rFonts w:asciiTheme="majorHAnsi" w:hAnsiTheme="majorHAnsi"/>
          <w:color w:val="auto"/>
          <w:sz w:val="20"/>
        </w:rPr>
      </w:pPr>
      <w:r w:rsidRPr="00894701">
        <w:rPr>
          <w:rFonts w:asciiTheme="majorHAnsi" w:hAnsiTheme="majorHAnsi"/>
          <w:color w:val="auto"/>
          <w:sz w:val="20"/>
        </w:rPr>
        <w:t>Geologisch Mijnbouwkundige Dienst (GMD);</w:t>
      </w:r>
    </w:p>
    <w:p w14:paraId="2D21386A" w14:textId="77777777" w:rsidR="007068E4" w:rsidRPr="00894701" w:rsidRDefault="007068E4" w:rsidP="00A834A8">
      <w:pPr>
        <w:pStyle w:val="ListParagraph"/>
        <w:numPr>
          <w:ilvl w:val="0"/>
          <w:numId w:val="73"/>
        </w:numPr>
        <w:jc w:val="both"/>
        <w:rPr>
          <w:rFonts w:asciiTheme="majorHAnsi" w:hAnsiTheme="majorHAnsi"/>
          <w:color w:val="auto"/>
          <w:sz w:val="20"/>
        </w:rPr>
      </w:pPr>
      <w:r w:rsidRPr="00894701">
        <w:rPr>
          <w:rFonts w:asciiTheme="majorHAnsi" w:hAnsiTheme="majorHAnsi"/>
          <w:color w:val="auto"/>
          <w:sz w:val="20"/>
        </w:rPr>
        <w:t>Foreign Exchange Commission;</w:t>
      </w:r>
    </w:p>
    <w:p w14:paraId="6E7E0FD9" w14:textId="77777777" w:rsidR="007068E4" w:rsidRPr="00894701" w:rsidRDefault="007068E4" w:rsidP="00A834A8">
      <w:pPr>
        <w:pStyle w:val="ListParagraph"/>
        <w:numPr>
          <w:ilvl w:val="0"/>
          <w:numId w:val="73"/>
        </w:numPr>
        <w:jc w:val="both"/>
        <w:rPr>
          <w:rFonts w:asciiTheme="majorHAnsi" w:hAnsiTheme="majorHAnsi"/>
          <w:color w:val="auto"/>
          <w:sz w:val="20"/>
        </w:rPr>
      </w:pPr>
      <w:r w:rsidRPr="00894701">
        <w:rPr>
          <w:rFonts w:asciiTheme="majorHAnsi" w:hAnsiTheme="majorHAnsi"/>
          <w:color w:val="auto"/>
          <w:sz w:val="20"/>
        </w:rPr>
        <w:t>Paamaka Foundation; and</w:t>
      </w:r>
    </w:p>
    <w:p w14:paraId="0A5EF5AE" w14:textId="4D867D6C" w:rsidR="00EE3509" w:rsidRPr="00894701" w:rsidRDefault="007068E4" w:rsidP="00A834A8">
      <w:pPr>
        <w:pStyle w:val="ListParagraph"/>
        <w:numPr>
          <w:ilvl w:val="0"/>
          <w:numId w:val="73"/>
        </w:numPr>
        <w:jc w:val="both"/>
        <w:rPr>
          <w:rFonts w:asciiTheme="majorHAnsi" w:hAnsiTheme="majorHAnsi"/>
          <w:color w:val="auto"/>
          <w:sz w:val="20"/>
        </w:rPr>
        <w:sectPr w:rsidR="00EE3509" w:rsidRPr="00894701" w:rsidSect="00B24735">
          <w:headerReference w:type="default" r:id="rId61"/>
          <w:pgSz w:w="11906" w:h="16838" w:code="9"/>
          <w:pgMar w:top="1440" w:right="1416" w:bottom="1440" w:left="1440" w:header="851" w:footer="750" w:gutter="0"/>
          <w:cols w:space="708"/>
          <w:docGrid w:linePitch="360"/>
        </w:sectPr>
      </w:pPr>
      <w:r w:rsidRPr="00894701">
        <w:rPr>
          <w:rFonts w:asciiTheme="majorHAnsi" w:hAnsiTheme="majorHAnsi"/>
          <w:color w:val="auto"/>
          <w:sz w:val="20"/>
        </w:rPr>
        <w:t>Suriname Environmental and Mining Foundation (SEMiF).</w:t>
      </w:r>
      <w:r w:rsidR="00F1688A" w:rsidRPr="00894701">
        <w:rPr>
          <w:rFonts w:asciiTheme="minorHAnsi" w:hAnsiTheme="minorHAnsi"/>
        </w:rPr>
        <w:br w:type="page"/>
      </w:r>
    </w:p>
    <w:p w14:paraId="1C5DF473" w14:textId="428B2E4A" w:rsidR="00CE55C8" w:rsidRPr="00894701" w:rsidRDefault="00CE55C8" w:rsidP="00CE5548">
      <w:pPr>
        <w:pStyle w:val="NumHeading"/>
        <w:ind w:right="480"/>
        <w:rPr>
          <w:rFonts w:asciiTheme="majorHAnsi" w:hAnsiTheme="majorHAnsi"/>
          <w:color w:val="C00000"/>
          <w:sz w:val="36"/>
          <w:szCs w:val="36"/>
        </w:rPr>
      </w:pPr>
      <w:bookmarkStart w:id="412" w:name="_Toc122478938"/>
      <w:bookmarkStart w:id="413" w:name="_Toc101350062"/>
      <w:r w:rsidRPr="00894701">
        <w:rPr>
          <w:rFonts w:asciiTheme="majorHAnsi" w:hAnsiTheme="majorHAnsi"/>
          <w:caps w:val="0"/>
          <w:color w:val="C00000"/>
          <w:sz w:val="36"/>
          <w:szCs w:val="36"/>
        </w:rPr>
        <w:lastRenderedPageBreak/>
        <w:t>Analysis of reported data</w:t>
      </w:r>
      <w:bookmarkEnd w:id="412"/>
      <w:r w:rsidRPr="00894701">
        <w:rPr>
          <w:rFonts w:asciiTheme="majorHAnsi" w:hAnsiTheme="majorHAnsi"/>
          <w:caps w:val="0"/>
          <w:color w:val="C00000"/>
          <w:sz w:val="36"/>
          <w:szCs w:val="36"/>
        </w:rPr>
        <w:t xml:space="preserve"> </w:t>
      </w:r>
    </w:p>
    <w:p w14:paraId="03F9F8A5" w14:textId="078CA5F2" w:rsidR="00CE55C8" w:rsidRPr="00894701" w:rsidRDefault="00CE55C8" w:rsidP="00BF6F3B">
      <w:pPr>
        <w:pStyle w:val="ListParagraph"/>
        <w:numPr>
          <w:ilvl w:val="1"/>
          <w:numId w:val="7"/>
        </w:numPr>
        <w:spacing w:before="240"/>
        <w:ind w:left="851" w:right="482" w:hanging="851"/>
        <w:outlineLvl w:val="1"/>
        <w:rPr>
          <w:b/>
          <w:sz w:val="28"/>
          <w:szCs w:val="28"/>
        </w:rPr>
      </w:pPr>
      <w:bookmarkStart w:id="414" w:name="_Toc122478939"/>
      <w:r w:rsidRPr="00894701">
        <w:rPr>
          <w:b/>
          <w:sz w:val="28"/>
          <w:szCs w:val="28"/>
        </w:rPr>
        <w:t>Analysis of total extractive</w:t>
      </w:r>
      <w:r w:rsidR="00F758CF" w:rsidRPr="00894701">
        <w:rPr>
          <w:b/>
          <w:sz w:val="28"/>
          <w:szCs w:val="28"/>
        </w:rPr>
        <w:t xml:space="preserve"> </w:t>
      </w:r>
      <w:r w:rsidRPr="00894701">
        <w:rPr>
          <w:b/>
          <w:sz w:val="28"/>
          <w:szCs w:val="28"/>
        </w:rPr>
        <w:t>revenues</w:t>
      </w:r>
      <w:bookmarkEnd w:id="414"/>
      <w:r w:rsidR="00B15653" w:rsidRPr="00894701">
        <w:rPr>
          <w:b/>
          <w:sz w:val="28"/>
          <w:szCs w:val="28"/>
        </w:rPr>
        <w:t xml:space="preserve"> </w:t>
      </w:r>
    </w:p>
    <w:p w14:paraId="27C479CE" w14:textId="77777777" w:rsidR="00CE55C8" w:rsidRPr="00894701" w:rsidRDefault="00CE55C8" w:rsidP="00CE5548">
      <w:pPr>
        <w:jc w:val="both"/>
        <w:rPr>
          <w:rFonts w:cs="Arial"/>
          <w:color w:val="auto"/>
          <w:sz w:val="20"/>
        </w:rPr>
      </w:pPr>
      <w:r w:rsidRPr="00894701">
        <w:rPr>
          <w:rFonts w:cs="Arial"/>
          <w:color w:val="auto"/>
          <w:sz w:val="20"/>
        </w:rPr>
        <w:t>Total extractive revenues are made up of the reconciled revenues after adjustments, unilateral disclosure of payments by extractive entities and unilateral disclosure of revenues by Government Agencies as detailed below.</w:t>
      </w:r>
    </w:p>
    <w:p w14:paraId="37819F97" w14:textId="5095A2DE" w:rsidR="00CE55C8" w:rsidRPr="00894701" w:rsidRDefault="00CE55C8" w:rsidP="00BF6F3B">
      <w:pPr>
        <w:pStyle w:val="ListParagraph"/>
        <w:spacing w:after="0"/>
        <w:ind w:left="0"/>
        <w:jc w:val="center"/>
        <w:rPr>
          <w:rFonts w:asciiTheme="majorHAnsi" w:hAnsiTheme="majorHAnsi"/>
          <w:b/>
          <w:bCs/>
          <w:color w:val="98002E" w:themeColor="accent3"/>
          <w:sz w:val="20"/>
        </w:rPr>
      </w:pPr>
      <w:bookmarkStart w:id="415" w:name="_Toc146590517"/>
      <w:r w:rsidRPr="00894701">
        <w:rPr>
          <w:rFonts w:asciiTheme="majorHAnsi" w:hAnsiTheme="majorHAnsi"/>
          <w:b/>
          <w:bCs/>
          <w:color w:val="98002E" w:themeColor="accent3"/>
          <w:sz w:val="20"/>
        </w:rPr>
        <w:t xml:space="preserve">Table </w:t>
      </w:r>
      <w:r w:rsidRPr="00894701">
        <w:rPr>
          <w:rFonts w:asciiTheme="majorHAnsi" w:hAnsiTheme="majorHAnsi"/>
          <w:b/>
          <w:bCs/>
          <w:color w:val="98002E" w:themeColor="accent3"/>
          <w:sz w:val="20"/>
        </w:rPr>
        <w:fldChar w:fldCharType="begin"/>
      </w:r>
      <w:r w:rsidRPr="00894701">
        <w:rPr>
          <w:rFonts w:asciiTheme="majorHAnsi" w:hAnsiTheme="majorHAnsi"/>
          <w:b/>
          <w:bCs/>
          <w:color w:val="98002E" w:themeColor="accent3"/>
          <w:sz w:val="20"/>
        </w:rPr>
        <w:instrText xml:space="preserve"> SEQ Table \* ARABIC </w:instrText>
      </w:r>
      <w:r w:rsidRPr="00894701">
        <w:rPr>
          <w:rFonts w:asciiTheme="majorHAnsi" w:hAnsiTheme="majorHAnsi"/>
          <w:b/>
          <w:bCs/>
          <w:color w:val="98002E" w:themeColor="accent3"/>
          <w:sz w:val="20"/>
        </w:rPr>
        <w:fldChar w:fldCharType="separate"/>
      </w:r>
      <w:r w:rsidR="0035303B">
        <w:rPr>
          <w:rFonts w:asciiTheme="majorHAnsi" w:hAnsiTheme="majorHAnsi"/>
          <w:b/>
          <w:bCs/>
          <w:noProof/>
          <w:color w:val="98002E" w:themeColor="accent3"/>
          <w:sz w:val="20"/>
        </w:rPr>
        <w:t>45</w:t>
      </w:r>
      <w:r w:rsidRPr="00894701">
        <w:rPr>
          <w:rFonts w:asciiTheme="majorHAnsi" w:hAnsiTheme="majorHAnsi"/>
          <w:b/>
          <w:bCs/>
          <w:color w:val="98002E" w:themeColor="accent3"/>
          <w:sz w:val="20"/>
        </w:rPr>
        <w:fldChar w:fldCharType="end"/>
      </w:r>
      <w:r w:rsidRPr="00894701">
        <w:rPr>
          <w:rFonts w:asciiTheme="majorHAnsi" w:hAnsiTheme="majorHAnsi"/>
          <w:b/>
          <w:bCs/>
          <w:color w:val="98002E" w:themeColor="accent3"/>
          <w:sz w:val="20"/>
        </w:rPr>
        <w:t xml:space="preserve">: </w:t>
      </w:r>
      <w:r w:rsidR="006E233B" w:rsidRPr="00894701">
        <w:rPr>
          <w:rFonts w:asciiTheme="majorHAnsi" w:hAnsiTheme="majorHAnsi"/>
          <w:b/>
          <w:bCs/>
          <w:color w:val="98002E" w:themeColor="accent3"/>
          <w:sz w:val="20"/>
        </w:rPr>
        <w:t>S</w:t>
      </w:r>
      <w:r w:rsidRPr="00894701">
        <w:rPr>
          <w:rFonts w:asciiTheme="majorHAnsi" w:hAnsiTheme="majorHAnsi"/>
          <w:b/>
          <w:bCs/>
          <w:color w:val="98002E" w:themeColor="accent3"/>
          <w:sz w:val="20"/>
        </w:rPr>
        <w:t xml:space="preserve">ummary of revenues and unilateral disclosure </w:t>
      </w:r>
      <w:r w:rsidRPr="00894701">
        <w:rPr>
          <w:b/>
          <w:bCs/>
          <w:noProof/>
          <w:color w:val="98002E" w:themeColor="accent3"/>
          <w:sz w:val="20"/>
          <w:szCs w:val="20"/>
        </w:rPr>
        <w:t>for the fiscal years 2018</w:t>
      </w:r>
      <w:bookmarkEnd w:id="415"/>
      <w:r w:rsidRPr="00894701">
        <w:rPr>
          <w:b/>
          <w:bCs/>
          <w:noProof/>
          <w:color w:val="98002E" w:themeColor="accent3"/>
          <w:sz w:val="20"/>
          <w:szCs w:val="20"/>
        </w:rPr>
        <w:t xml:space="preserve"> </w:t>
      </w:r>
    </w:p>
    <w:p w14:paraId="02D42FD6" w14:textId="25F266BF" w:rsidR="00CE55C8" w:rsidRPr="00894701" w:rsidRDefault="006531C2" w:rsidP="00CE5548">
      <w:pPr>
        <w:spacing w:after="0"/>
        <w:ind w:firstLine="720"/>
        <w:jc w:val="right"/>
        <w:rPr>
          <w:rFonts w:cs="Arial"/>
          <w:i/>
          <w:color w:val="auto"/>
          <w:sz w:val="16"/>
          <w:szCs w:val="16"/>
        </w:rPr>
      </w:pPr>
      <w:r w:rsidRPr="00894701">
        <w:rPr>
          <w:rFonts w:cs="Arial"/>
          <w:i/>
          <w:iCs/>
          <w:color w:val="000000"/>
          <w:szCs w:val="18"/>
          <w:lang w:eastAsia="fr-FR"/>
        </w:rPr>
        <w:t>Amounts in SRD</w:t>
      </w:r>
    </w:p>
    <w:tbl>
      <w:tblPr>
        <w:tblW w:w="14060" w:type="dxa"/>
        <w:jc w:val="center"/>
        <w:tblLook w:val="04A0" w:firstRow="1" w:lastRow="0" w:firstColumn="1" w:lastColumn="0" w:noHBand="0" w:noVBand="1"/>
      </w:tblPr>
      <w:tblGrid>
        <w:gridCol w:w="3261"/>
        <w:gridCol w:w="1842"/>
        <w:gridCol w:w="1308"/>
        <w:gridCol w:w="2237"/>
        <w:gridCol w:w="2061"/>
        <w:gridCol w:w="298"/>
        <w:gridCol w:w="1493"/>
        <w:gridCol w:w="1560"/>
      </w:tblGrid>
      <w:tr w:rsidR="006E233B" w:rsidRPr="00894701" w14:paraId="24CE93C6" w14:textId="77777777" w:rsidTr="00CE5548">
        <w:trPr>
          <w:trHeight w:val="250"/>
          <w:jc w:val="center"/>
        </w:trPr>
        <w:tc>
          <w:tcPr>
            <w:tcW w:w="3261" w:type="dxa"/>
            <w:vMerge w:val="restart"/>
            <w:tcBorders>
              <w:top w:val="nil"/>
              <w:left w:val="nil"/>
              <w:bottom w:val="single" w:sz="8" w:space="0" w:color="FF0000"/>
              <w:right w:val="nil"/>
            </w:tcBorders>
            <w:shd w:val="clear" w:color="000000" w:fill="800000"/>
            <w:vAlign w:val="center"/>
            <w:hideMark/>
          </w:tcPr>
          <w:p w14:paraId="7CC1169B" w14:textId="77777777" w:rsidR="00F311DD" w:rsidRPr="00894701" w:rsidRDefault="00F311DD" w:rsidP="00BF6F3B">
            <w:pPr>
              <w:spacing w:before="120" w:line="240" w:lineRule="auto"/>
              <w:jc w:val="center"/>
              <w:rPr>
                <w:rFonts w:cs="Arial"/>
                <w:b/>
                <w:bCs/>
                <w:color w:val="auto"/>
                <w:kern w:val="0"/>
                <w:sz w:val="16"/>
                <w:szCs w:val="16"/>
              </w:rPr>
            </w:pPr>
            <w:r w:rsidRPr="00894701">
              <w:rPr>
                <w:rFonts w:cs="Arial"/>
                <w:b/>
                <w:bCs/>
                <w:color w:val="auto"/>
                <w:kern w:val="0"/>
                <w:sz w:val="16"/>
                <w:szCs w:val="16"/>
              </w:rPr>
              <w:t xml:space="preserve">Government agency </w:t>
            </w:r>
          </w:p>
        </w:tc>
        <w:tc>
          <w:tcPr>
            <w:tcW w:w="1842" w:type="dxa"/>
            <w:vMerge w:val="restart"/>
            <w:tcBorders>
              <w:top w:val="nil"/>
              <w:left w:val="nil"/>
              <w:bottom w:val="single" w:sz="8" w:space="0" w:color="FF0000"/>
              <w:right w:val="nil"/>
            </w:tcBorders>
            <w:shd w:val="clear" w:color="000000" w:fill="800000"/>
            <w:vAlign w:val="center"/>
            <w:hideMark/>
          </w:tcPr>
          <w:p w14:paraId="168D2316" w14:textId="77777777" w:rsidR="00F311DD" w:rsidRPr="00894701" w:rsidRDefault="00F311DD" w:rsidP="00BF6F3B">
            <w:pPr>
              <w:spacing w:before="120" w:line="240" w:lineRule="auto"/>
              <w:jc w:val="center"/>
              <w:rPr>
                <w:rFonts w:cs="Arial"/>
                <w:b/>
                <w:bCs/>
                <w:color w:val="auto"/>
                <w:kern w:val="0"/>
                <w:sz w:val="16"/>
                <w:szCs w:val="16"/>
              </w:rPr>
            </w:pPr>
            <w:r w:rsidRPr="00894701">
              <w:rPr>
                <w:rFonts w:cs="Arial"/>
                <w:b/>
                <w:bCs/>
                <w:color w:val="auto"/>
                <w:kern w:val="0"/>
                <w:sz w:val="16"/>
                <w:szCs w:val="16"/>
              </w:rPr>
              <w:t xml:space="preserve"> Reconciled figures (a) </w:t>
            </w:r>
          </w:p>
        </w:tc>
        <w:tc>
          <w:tcPr>
            <w:tcW w:w="1308" w:type="dxa"/>
            <w:vMerge w:val="restart"/>
            <w:tcBorders>
              <w:top w:val="nil"/>
              <w:left w:val="nil"/>
              <w:bottom w:val="single" w:sz="8" w:space="0" w:color="FF0000"/>
              <w:right w:val="nil"/>
            </w:tcBorders>
            <w:shd w:val="clear" w:color="000000" w:fill="800000"/>
            <w:vAlign w:val="center"/>
            <w:hideMark/>
          </w:tcPr>
          <w:p w14:paraId="3F87B053" w14:textId="77777777" w:rsidR="00F311DD" w:rsidRPr="00894701" w:rsidRDefault="00F311DD" w:rsidP="00BF6F3B">
            <w:pPr>
              <w:spacing w:before="120" w:line="240" w:lineRule="auto"/>
              <w:jc w:val="center"/>
              <w:rPr>
                <w:rFonts w:cs="Arial"/>
                <w:b/>
                <w:bCs/>
                <w:color w:val="auto"/>
                <w:kern w:val="0"/>
                <w:sz w:val="16"/>
                <w:szCs w:val="16"/>
              </w:rPr>
            </w:pPr>
            <w:r w:rsidRPr="00894701">
              <w:rPr>
                <w:rFonts w:cs="Arial"/>
                <w:b/>
                <w:bCs/>
                <w:color w:val="auto"/>
                <w:kern w:val="0"/>
                <w:sz w:val="16"/>
                <w:szCs w:val="16"/>
              </w:rPr>
              <w:t>Unilateral disclosure by Government agency (b)</w:t>
            </w:r>
          </w:p>
        </w:tc>
        <w:tc>
          <w:tcPr>
            <w:tcW w:w="2237" w:type="dxa"/>
            <w:vMerge w:val="restart"/>
            <w:tcBorders>
              <w:top w:val="nil"/>
              <w:left w:val="nil"/>
              <w:bottom w:val="single" w:sz="8" w:space="0" w:color="FF0000"/>
              <w:right w:val="nil"/>
            </w:tcBorders>
            <w:shd w:val="clear" w:color="000000" w:fill="800000"/>
            <w:vAlign w:val="center"/>
            <w:hideMark/>
          </w:tcPr>
          <w:p w14:paraId="538435DF" w14:textId="77777777" w:rsidR="00F311DD" w:rsidRPr="00894701" w:rsidRDefault="00F311DD" w:rsidP="00BF6F3B">
            <w:pPr>
              <w:spacing w:before="120" w:line="240" w:lineRule="auto"/>
              <w:jc w:val="center"/>
              <w:rPr>
                <w:rFonts w:cs="Arial"/>
                <w:b/>
                <w:bCs/>
                <w:color w:val="auto"/>
                <w:kern w:val="0"/>
                <w:sz w:val="16"/>
                <w:szCs w:val="16"/>
              </w:rPr>
            </w:pPr>
            <w:r w:rsidRPr="00894701">
              <w:rPr>
                <w:rFonts w:cs="Arial"/>
                <w:b/>
                <w:bCs/>
                <w:color w:val="auto"/>
                <w:kern w:val="0"/>
                <w:sz w:val="16"/>
                <w:szCs w:val="16"/>
              </w:rPr>
              <w:t>Unilateral disclosure by company (c)</w:t>
            </w:r>
          </w:p>
        </w:tc>
        <w:tc>
          <w:tcPr>
            <w:tcW w:w="2061" w:type="dxa"/>
            <w:vMerge w:val="restart"/>
            <w:tcBorders>
              <w:top w:val="nil"/>
              <w:left w:val="nil"/>
              <w:bottom w:val="single" w:sz="8" w:space="0" w:color="FF0000"/>
              <w:right w:val="nil"/>
            </w:tcBorders>
            <w:shd w:val="clear" w:color="000000" w:fill="800000"/>
            <w:vAlign w:val="center"/>
            <w:hideMark/>
          </w:tcPr>
          <w:p w14:paraId="601C8A06" w14:textId="77777777" w:rsidR="006E233B" w:rsidRPr="00894701" w:rsidRDefault="00F311DD" w:rsidP="00BF6F3B">
            <w:pPr>
              <w:spacing w:before="120" w:line="240" w:lineRule="auto"/>
              <w:jc w:val="center"/>
              <w:rPr>
                <w:rFonts w:cs="Arial"/>
                <w:b/>
                <w:bCs/>
                <w:color w:val="auto"/>
                <w:kern w:val="0"/>
                <w:sz w:val="16"/>
                <w:szCs w:val="16"/>
              </w:rPr>
            </w:pPr>
            <w:r w:rsidRPr="00894701">
              <w:rPr>
                <w:rFonts w:cs="Arial"/>
                <w:b/>
                <w:bCs/>
                <w:color w:val="auto"/>
                <w:kern w:val="0"/>
                <w:sz w:val="16"/>
                <w:szCs w:val="16"/>
              </w:rPr>
              <w:t xml:space="preserve">Reported revenue </w:t>
            </w:r>
          </w:p>
          <w:p w14:paraId="12137E10" w14:textId="56E31153" w:rsidR="00F311DD" w:rsidRPr="00894701" w:rsidRDefault="00F311DD" w:rsidP="00BF6F3B">
            <w:pPr>
              <w:spacing w:before="120" w:line="240" w:lineRule="auto"/>
              <w:jc w:val="center"/>
              <w:rPr>
                <w:rFonts w:cs="Arial"/>
                <w:b/>
                <w:bCs/>
                <w:color w:val="auto"/>
                <w:kern w:val="0"/>
                <w:sz w:val="16"/>
                <w:szCs w:val="16"/>
              </w:rPr>
            </w:pPr>
            <w:r w:rsidRPr="00894701">
              <w:rPr>
                <w:rFonts w:cs="Arial"/>
                <w:b/>
                <w:bCs/>
                <w:color w:val="auto"/>
                <w:kern w:val="0"/>
                <w:sz w:val="16"/>
                <w:szCs w:val="16"/>
              </w:rPr>
              <w:t>(c) = (a)+(b)</w:t>
            </w:r>
          </w:p>
        </w:tc>
        <w:tc>
          <w:tcPr>
            <w:tcW w:w="298" w:type="dxa"/>
            <w:tcBorders>
              <w:top w:val="nil"/>
              <w:left w:val="nil"/>
              <w:bottom w:val="nil"/>
              <w:right w:val="nil"/>
            </w:tcBorders>
            <w:shd w:val="clear" w:color="000000" w:fill="FFFFFF"/>
            <w:noWrap/>
            <w:vAlign w:val="bottom"/>
            <w:hideMark/>
          </w:tcPr>
          <w:p w14:paraId="10D7DB52" w14:textId="77777777" w:rsidR="00F311DD" w:rsidRPr="00894701" w:rsidRDefault="00F311DD" w:rsidP="00BF6F3B">
            <w:pPr>
              <w:spacing w:before="120" w:line="240" w:lineRule="auto"/>
              <w:jc w:val="right"/>
              <w:rPr>
                <w:rFonts w:cs="Arial"/>
                <w:color w:val="auto"/>
                <w:kern w:val="0"/>
                <w:sz w:val="16"/>
                <w:szCs w:val="16"/>
              </w:rPr>
            </w:pPr>
            <w:r w:rsidRPr="00894701">
              <w:rPr>
                <w:rFonts w:cs="Arial"/>
                <w:color w:val="auto"/>
                <w:kern w:val="0"/>
                <w:sz w:val="16"/>
                <w:szCs w:val="16"/>
              </w:rPr>
              <w:t> </w:t>
            </w:r>
          </w:p>
        </w:tc>
        <w:tc>
          <w:tcPr>
            <w:tcW w:w="3053" w:type="dxa"/>
            <w:gridSpan w:val="2"/>
            <w:tcBorders>
              <w:top w:val="nil"/>
              <w:left w:val="nil"/>
              <w:bottom w:val="single" w:sz="8" w:space="0" w:color="FF0000"/>
              <w:right w:val="nil"/>
            </w:tcBorders>
            <w:shd w:val="clear" w:color="000000" w:fill="800000"/>
            <w:noWrap/>
            <w:vAlign w:val="bottom"/>
            <w:hideMark/>
          </w:tcPr>
          <w:p w14:paraId="44059269" w14:textId="77777777" w:rsidR="00F311DD" w:rsidRPr="00894701" w:rsidRDefault="00F311DD" w:rsidP="00BF6F3B">
            <w:pPr>
              <w:spacing w:before="120" w:line="240" w:lineRule="auto"/>
              <w:jc w:val="center"/>
              <w:rPr>
                <w:rFonts w:cs="Arial"/>
                <w:b/>
                <w:bCs/>
                <w:color w:val="auto"/>
                <w:kern w:val="0"/>
                <w:sz w:val="16"/>
                <w:szCs w:val="16"/>
              </w:rPr>
            </w:pPr>
            <w:r w:rsidRPr="00894701">
              <w:rPr>
                <w:rFonts w:cs="Arial"/>
                <w:b/>
                <w:bCs/>
                <w:color w:val="auto"/>
                <w:kern w:val="0"/>
                <w:sz w:val="16"/>
                <w:szCs w:val="16"/>
              </w:rPr>
              <w:t>Total revenue by sector</w:t>
            </w:r>
          </w:p>
        </w:tc>
      </w:tr>
      <w:tr w:rsidR="00D56231" w:rsidRPr="00894701" w14:paraId="79E0E13A" w14:textId="77777777" w:rsidTr="00CE5548">
        <w:trPr>
          <w:trHeight w:val="495"/>
          <w:jc w:val="center"/>
        </w:trPr>
        <w:tc>
          <w:tcPr>
            <w:tcW w:w="3261" w:type="dxa"/>
            <w:vMerge/>
            <w:tcBorders>
              <w:top w:val="nil"/>
              <w:left w:val="nil"/>
              <w:bottom w:val="single" w:sz="8" w:space="0" w:color="FF0000"/>
              <w:right w:val="nil"/>
            </w:tcBorders>
            <w:vAlign w:val="center"/>
            <w:hideMark/>
          </w:tcPr>
          <w:p w14:paraId="2407CD4D" w14:textId="77777777" w:rsidR="00F311DD" w:rsidRPr="00894701" w:rsidRDefault="00F311DD" w:rsidP="00BF6F3B">
            <w:pPr>
              <w:spacing w:before="120" w:line="240" w:lineRule="auto"/>
              <w:rPr>
                <w:rFonts w:cs="Arial"/>
                <w:b/>
                <w:bCs/>
                <w:color w:val="auto"/>
                <w:kern w:val="0"/>
                <w:sz w:val="16"/>
                <w:szCs w:val="16"/>
              </w:rPr>
            </w:pPr>
          </w:p>
        </w:tc>
        <w:tc>
          <w:tcPr>
            <w:tcW w:w="1842" w:type="dxa"/>
            <w:vMerge/>
            <w:tcBorders>
              <w:top w:val="nil"/>
              <w:left w:val="nil"/>
              <w:bottom w:val="single" w:sz="8" w:space="0" w:color="FF0000"/>
              <w:right w:val="nil"/>
            </w:tcBorders>
            <w:vAlign w:val="center"/>
            <w:hideMark/>
          </w:tcPr>
          <w:p w14:paraId="5A5BC98E" w14:textId="77777777" w:rsidR="00F311DD" w:rsidRPr="00894701" w:rsidRDefault="00F311DD" w:rsidP="00BF6F3B">
            <w:pPr>
              <w:spacing w:before="120" w:line="240" w:lineRule="auto"/>
              <w:rPr>
                <w:rFonts w:cs="Arial"/>
                <w:b/>
                <w:bCs/>
                <w:color w:val="auto"/>
                <w:kern w:val="0"/>
                <w:sz w:val="16"/>
                <w:szCs w:val="16"/>
              </w:rPr>
            </w:pPr>
          </w:p>
        </w:tc>
        <w:tc>
          <w:tcPr>
            <w:tcW w:w="1308" w:type="dxa"/>
            <w:vMerge/>
            <w:tcBorders>
              <w:top w:val="nil"/>
              <w:left w:val="nil"/>
              <w:bottom w:val="single" w:sz="8" w:space="0" w:color="FF0000"/>
              <w:right w:val="nil"/>
            </w:tcBorders>
            <w:vAlign w:val="center"/>
            <w:hideMark/>
          </w:tcPr>
          <w:p w14:paraId="0E502A79" w14:textId="77777777" w:rsidR="00F311DD" w:rsidRPr="00894701" w:rsidRDefault="00F311DD" w:rsidP="00BF6F3B">
            <w:pPr>
              <w:spacing w:before="120" w:line="240" w:lineRule="auto"/>
              <w:rPr>
                <w:rFonts w:cs="Arial"/>
                <w:b/>
                <w:bCs/>
                <w:color w:val="auto"/>
                <w:kern w:val="0"/>
                <w:sz w:val="16"/>
                <w:szCs w:val="16"/>
              </w:rPr>
            </w:pPr>
          </w:p>
        </w:tc>
        <w:tc>
          <w:tcPr>
            <w:tcW w:w="2237" w:type="dxa"/>
            <w:vMerge/>
            <w:tcBorders>
              <w:top w:val="nil"/>
              <w:left w:val="nil"/>
              <w:bottom w:val="single" w:sz="8" w:space="0" w:color="FF0000"/>
              <w:right w:val="nil"/>
            </w:tcBorders>
            <w:vAlign w:val="center"/>
            <w:hideMark/>
          </w:tcPr>
          <w:p w14:paraId="347A2E49" w14:textId="77777777" w:rsidR="00F311DD" w:rsidRPr="00894701" w:rsidRDefault="00F311DD" w:rsidP="00BF6F3B">
            <w:pPr>
              <w:spacing w:before="120" w:line="240" w:lineRule="auto"/>
              <w:rPr>
                <w:rFonts w:cs="Arial"/>
                <w:b/>
                <w:bCs/>
                <w:color w:val="auto"/>
                <w:kern w:val="0"/>
                <w:sz w:val="16"/>
                <w:szCs w:val="16"/>
              </w:rPr>
            </w:pPr>
          </w:p>
        </w:tc>
        <w:tc>
          <w:tcPr>
            <w:tcW w:w="2061" w:type="dxa"/>
            <w:vMerge/>
            <w:tcBorders>
              <w:top w:val="nil"/>
              <w:left w:val="nil"/>
              <w:bottom w:val="single" w:sz="8" w:space="0" w:color="FF0000"/>
              <w:right w:val="nil"/>
            </w:tcBorders>
            <w:vAlign w:val="center"/>
            <w:hideMark/>
          </w:tcPr>
          <w:p w14:paraId="4E4E878D" w14:textId="77777777" w:rsidR="00F311DD" w:rsidRPr="00894701" w:rsidRDefault="00F311DD" w:rsidP="00BF6F3B">
            <w:pPr>
              <w:spacing w:before="120" w:line="240" w:lineRule="auto"/>
              <w:rPr>
                <w:rFonts w:cs="Arial"/>
                <w:b/>
                <w:bCs/>
                <w:color w:val="auto"/>
                <w:kern w:val="0"/>
                <w:sz w:val="16"/>
                <w:szCs w:val="16"/>
              </w:rPr>
            </w:pPr>
          </w:p>
        </w:tc>
        <w:tc>
          <w:tcPr>
            <w:tcW w:w="298" w:type="dxa"/>
            <w:tcBorders>
              <w:top w:val="nil"/>
              <w:left w:val="nil"/>
              <w:bottom w:val="nil"/>
              <w:right w:val="nil"/>
            </w:tcBorders>
            <w:shd w:val="clear" w:color="000000" w:fill="FFFFFF"/>
            <w:noWrap/>
            <w:vAlign w:val="bottom"/>
            <w:hideMark/>
          </w:tcPr>
          <w:p w14:paraId="35B30EAE" w14:textId="77777777" w:rsidR="00F311DD" w:rsidRPr="00894701" w:rsidRDefault="00F311DD" w:rsidP="00BF6F3B">
            <w:pPr>
              <w:spacing w:before="120" w:line="240" w:lineRule="auto"/>
              <w:jc w:val="right"/>
              <w:rPr>
                <w:rFonts w:cs="Arial"/>
                <w:color w:val="auto"/>
                <w:kern w:val="0"/>
                <w:sz w:val="16"/>
                <w:szCs w:val="16"/>
              </w:rPr>
            </w:pPr>
            <w:r w:rsidRPr="00894701">
              <w:rPr>
                <w:rFonts w:cs="Arial"/>
                <w:color w:val="auto"/>
                <w:kern w:val="0"/>
                <w:sz w:val="16"/>
                <w:szCs w:val="16"/>
              </w:rPr>
              <w:t> </w:t>
            </w:r>
          </w:p>
        </w:tc>
        <w:tc>
          <w:tcPr>
            <w:tcW w:w="1493" w:type="dxa"/>
            <w:tcBorders>
              <w:top w:val="nil"/>
              <w:left w:val="nil"/>
              <w:bottom w:val="single" w:sz="8" w:space="0" w:color="FF0000"/>
              <w:right w:val="nil"/>
            </w:tcBorders>
            <w:shd w:val="clear" w:color="000000" w:fill="800000"/>
            <w:vAlign w:val="center"/>
            <w:hideMark/>
          </w:tcPr>
          <w:p w14:paraId="3146F69D" w14:textId="77777777" w:rsidR="00F311DD" w:rsidRPr="00894701" w:rsidRDefault="00F311DD" w:rsidP="00BF6F3B">
            <w:pPr>
              <w:spacing w:before="120" w:line="240" w:lineRule="auto"/>
              <w:jc w:val="center"/>
              <w:rPr>
                <w:rFonts w:cs="Arial"/>
                <w:b/>
                <w:bCs/>
                <w:color w:val="auto"/>
                <w:kern w:val="0"/>
                <w:sz w:val="16"/>
                <w:szCs w:val="16"/>
              </w:rPr>
            </w:pPr>
            <w:r w:rsidRPr="00894701">
              <w:rPr>
                <w:rFonts w:cs="Arial"/>
                <w:b/>
                <w:bCs/>
                <w:color w:val="auto"/>
                <w:kern w:val="0"/>
                <w:sz w:val="16"/>
                <w:szCs w:val="16"/>
              </w:rPr>
              <w:t>Mining</w:t>
            </w:r>
          </w:p>
        </w:tc>
        <w:tc>
          <w:tcPr>
            <w:tcW w:w="1560" w:type="dxa"/>
            <w:tcBorders>
              <w:top w:val="nil"/>
              <w:left w:val="nil"/>
              <w:bottom w:val="single" w:sz="8" w:space="0" w:color="FF0000"/>
              <w:right w:val="nil"/>
            </w:tcBorders>
            <w:shd w:val="clear" w:color="000000" w:fill="800000"/>
            <w:vAlign w:val="center"/>
            <w:hideMark/>
          </w:tcPr>
          <w:p w14:paraId="0A6FB0DE" w14:textId="77777777" w:rsidR="00F311DD" w:rsidRPr="00894701" w:rsidRDefault="00F311DD" w:rsidP="00BF6F3B">
            <w:pPr>
              <w:spacing w:before="120" w:line="240" w:lineRule="auto"/>
              <w:jc w:val="center"/>
              <w:rPr>
                <w:rFonts w:cs="Arial"/>
                <w:b/>
                <w:bCs/>
                <w:color w:val="auto"/>
                <w:kern w:val="0"/>
                <w:sz w:val="16"/>
                <w:szCs w:val="16"/>
              </w:rPr>
            </w:pPr>
            <w:r w:rsidRPr="00894701">
              <w:rPr>
                <w:rFonts w:cs="Arial"/>
                <w:b/>
                <w:bCs/>
                <w:color w:val="auto"/>
                <w:kern w:val="0"/>
                <w:sz w:val="16"/>
                <w:szCs w:val="16"/>
              </w:rPr>
              <w:t>Oil &amp; Gas</w:t>
            </w:r>
          </w:p>
        </w:tc>
      </w:tr>
      <w:tr w:rsidR="006E233B" w:rsidRPr="00894701" w14:paraId="1F448A69" w14:textId="77777777" w:rsidTr="004C70CC">
        <w:trPr>
          <w:trHeight w:val="240"/>
          <w:jc w:val="center"/>
        </w:trPr>
        <w:tc>
          <w:tcPr>
            <w:tcW w:w="3261" w:type="dxa"/>
            <w:tcBorders>
              <w:top w:val="nil"/>
              <w:left w:val="nil"/>
              <w:bottom w:val="nil"/>
              <w:right w:val="nil"/>
            </w:tcBorders>
            <w:shd w:val="clear" w:color="000000" w:fill="F7A3B0"/>
            <w:noWrap/>
            <w:vAlign w:val="center"/>
            <w:hideMark/>
          </w:tcPr>
          <w:p w14:paraId="432D7132" w14:textId="6E616263" w:rsidR="006E233B" w:rsidRPr="00894701" w:rsidRDefault="006E233B" w:rsidP="00BF6F3B">
            <w:pPr>
              <w:spacing w:before="120" w:line="240" w:lineRule="auto"/>
              <w:rPr>
                <w:rFonts w:cs="Arial"/>
                <w:color w:val="auto"/>
                <w:kern w:val="0"/>
                <w:sz w:val="16"/>
                <w:szCs w:val="16"/>
              </w:rPr>
            </w:pPr>
            <w:r w:rsidRPr="00894701">
              <w:rPr>
                <w:rFonts w:cs="Arial"/>
                <w:color w:val="auto"/>
                <w:kern w:val="0"/>
                <w:sz w:val="16"/>
                <w:szCs w:val="16"/>
              </w:rPr>
              <w:t xml:space="preserve">Ministry of Finance and Planning (MoFP) </w:t>
            </w:r>
          </w:p>
        </w:tc>
        <w:tc>
          <w:tcPr>
            <w:tcW w:w="1842" w:type="dxa"/>
            <w:tcBorders>
              <w:top w:val="nil"/>
              <w:left w:val="nil"/>
              <w:bottom w:val="nil"/>
              <w:right w:val="nil"/>
            </w:tcBorders>
            <w:shd w:val="clear" w:color="000000" w:fill="F7A3B0"/>
            <w:noWrap/>
            <w:vAlign w:val="center"/>
          </w:tcPr>
          <w:p w14:paraId="415C6035" w14:textId="1D2F919C" w:rsidR="006E233B" w:rsidRPr="00894701" w:rsidRDefault="008D6AB7" w:rsidP="00BF6F3B">
            <w:pPr>
              <w:spacing w:before="120" w:line="240" w:lineRule="auto"/>
              <w:jc w:val="right"/>
              <w:rPr>
                <w:rFonts w:cs="Arial"/>
                <w:color w:val="auto"/>
                <w:kern w:val="0"/>
                <w:sz w:val="16"/>
                <w:szCs w:val="16"/>
              </w:rPr>
            </w:pPr>
            <w:r w:rsidRPr="00894701">
              <w:rPr>
                <w:rFonts w:cs="Arial"/>
                <w:color w:val="auto"/>
                <w:sz w:val="16"/>
                <w:szCs w:val="16"/>
              </w:rPr>
              <w:t xml:space="preserve">276,018,706 </w:t>
            </w:r>
          </w:p>
        </w:tc>
        <w:tc>
          <w:tcPr>
            <w:tcW w:w="1308" w:type="dxa"/>
            <w:tcBorders>
              <w:top w:val="nil"/>
              <w:left w:val="nil"/>
              <w:bottom w:val="nil"/>
              <w:right w:val="nil"/>
            </w:tcBorders>
            <w:shd w:val="clear" w:color="000000" w:fill="F7A3B0"/>
            <w:noWrap/>
            <w:vAlign w:val="center"/>
          </w:tcPr>
          <w:p w14:paraId="0FE3B151" w14:textId="44F1DBD2" w:rsidR="006E233B" w:rsidRPr="00894701" w:rsidRDefault="008D6AB7" w:rsidP="00BF6F3B">
            <w:pPr>
              <w:spacing w:before="120" w:line="240" w:lineRule="auto"/>
              <w:jc w:val="right"/>
              <w:rPr>
                <w:rFonts w:cs="Arial"/>
                <w:color w:val="auto"/>
                <w:kern w:val="0"/>
                <w:sz w:val="16"/>
                <w:szCs w:val="16"/>
              </w:rPr>
            </w:pPr>
            <w:r w:rsidRPr="00894701">
              <w:rPr>
                <w:rFonts w:cs="Arial"/>
                <w:color w:val="auto"/>
                <w:sz w:val="16"/>
                <w:szCs w:val="16"/>
              </w:rPr>
              <w:t xml:space="preserve">820,502,874 </w:t>
            </w:r>
          </w:p>
        </w:tc>
        <w:tc>
          <w:tcPr>
            <w:tcW w:w="2237" w:type="dxa"/>
            <w:tcBorders>
              <w:top w:val="nil"/>
              <w:left w:val="nil"/>
              <w:bottom w:val="nil"/>
              <w:right w:val="nil"/>
            </w:tcBorders>
            <w:shd w:val="clear" w:color="000000" w:fill="F7A3B0"/>
            <w:noWrap/>
            <w:vAlign w:val="center"/>
            <w:hideMark/>
          </w:tcPr>
          <w:p w14:paraId="2D161EA8" w14:textId="16DEACE5" w:rsidR="006E233B" w:rsidRPr="00894701" w:rsidRDefault="006E233B" w:rsidP="00BF6F3B">
            <w:pPr>
              <w:spacing w:before="120" w:line="240" w:lineRule="auto"/>
              <w:jc w:val="right"/>
              <w:rPr>
                <w:rFonts w:cs="Arial"/>
                <w:color w:val="auto"/>
                <w:kern w:val="0"/>
                <w:sz w:val="16"/>
                <w:szCs w:val="16"/>
              </w:rPr>
            </w:pPr>
            <w:r w:rsidRPr="00894701">
              <w:rPr>
                <w:rFonts w:cs="Arial"/>
                <w:color w:val="auto"/>
                <w:sz w:val="16"/>
                <w:szCs w:val="16"/>
              </w:rPr>
              <w:t>-</w:t>
            </w:r>
          </w:p>
        </w:tc>
        <w:tc>
          <w:tcPr>
            <w:tcW w:w="2061" w:type="dxa"/>
            <w:tcBorders>
              <w:top w:val="nil"/>
              <w:left w:val="nil"/>
              <w:bottom w:val="nil"/>
              <w:right w:val="nil"/>
            </w:tcBorders>
            <w:shd w:val="clear" w:color="000000" w:fill="F7A3B0"/>
            <w:noWrap/>
            <w:vAlign w:val="center"/>
            <w:hideMark/>
          </w:tcPr>
          <w:p w14:paraId="44A2EFA5" w14:textId="0D8AF271" w:rsidR="006E233B" w:rsidRPr="00894701" w:rsidRDefault="008D6AB7" w:rsidP="00BF6F3B">
            <w:pPr>
              <w:spacing w:before="120" w:line="240" w:lineRule="auto"/>
              <w:jc w:val="right"/>
              <w:rPr>
                <w:rFonts w:cs="Arial"/>
                <w:color w:val="auto"/>
                <w:kern w:val="0"/>
                <w:sz w:val="16"/>
                <w:szCs w:val="16"/>
              </w:rPr>
            </w:pPr>
            <w:r w:rsidRPr="00894701">
              <w:rPr>
                <w:rFonts w:cs="Arial"/>
                <w:color w:val="auto"/>
                <w:sz w:val="16"/>
                <w:szCs w:val="16"/>
              </w:rPr>
              <w:t xml:space="preserve"> 1,096,521,580</w:t>
            </w:r>
          </w:p>
        </w:tc>
        <w:tc>
          <w:tcPr>
            <w:tcW w:w="298" w:type="dxa"/>
            <w:tcBorders>
              <w:top w:val="nil"/>
              <w:left w:val="nil"/>
              <w:bottom w:val="nil"/>
              <w:right w:val="nil"/>
            </w:tcBorders>
            <w:shd w:val="clear" w:color="000000" w:fill="FFFFFF"/>
            <w:vAlign w:val="center"/>
            <w:hideMark/>
          </w:tcPr>
          <w:p w14:paraId="39D053E6" w14:textId="22A6FD2D" w:rsidR="006E233B" w:rsidRPr="00894701" w:rsidRDefault="006E233B" w:rsidP="00BF6F3B">
            <w:pPr>
              <w:spacing w:before="120" w:line="240" w:lineRule="auto"/>
              <w:jc w:val="right"/>
              <w:rPr>
                <w:rFonts w:cs="Arial"/>
                <w:b/>
                <w:bCs/>
                <w:color w:val="auto"/>
                <w:kern w:val="0"/>
                <w:sz w:val="16"/>
                <w:szCs w:val="16"/>
              </w:rPr>
            </w:pPr>
          </w:p>
        </w:tc>
        <w:tc>
          <w:tcPr>
            <w:tcW w:w="1493" w:type="dxa"/>
            <w:tcBorders>
              <w:top w:val="nil"/>
              <w:left w:val="nil"/>
              <w:bottom w:val="nil"/>
              <w:right w:val="nil"/>
            </w:tcBorders>
            <w:shd w:val="clear" w:color="000000" w:fill="F7A3B0"/>
            <w:noWrap/>
            <w:vAlign w:val="center"/>
          </w:tcPr>
          <w:p w14:paraId="082F78EC" w14:textId="268382CA" w:rsidR="006E233B" w:rsidRPr="00894701" w:rsidRDefault="008D6AB7" w:rsidP="00BF6F3B">
            <w:pPr>
              <w:spacing w:before="120" w:line="240" w:lineRule="auto"/>
              <w:jc w:val="right"/>
              <w:rPr>
                <w:rFonts w:cs="Arial"/>
                <w:color w:val="auto"/>
                <w:kern w:val="0"/>
                <w:sz w:val="16"/>
                <w:szCs w:val="16"/>
              </w:rPr>
            </w:pPr>
            <w:r w:rsidRPr="00894701">
              <w:rPr>
                <w:rFonts w:cs="Arial"/>
                <w:color w:val="auto"/>
                <w:sz w:val="16"/>
                <w:szCs w:val="16"/>
              </w:rPr>
              <w:t xml:space="preserve">820,502,874 </w:t>
            </w:r>
          </w:p>
        </w:tc>
        <w:tc>
          <w:tcPr>
            <w:tcW w:w="1560" w:type="dxa"/>
            <w:tcBorders>
              <w:top w:val="nil"/>
              <w:left w:val="nil"/>
              <w:bottom w:val="nil"/>
              <w:right w:val="nil"/>
            </w:tcBorders>
            <w:shd w:val="clear" w:color="000000" w:fill="F7A3B0"/>
            <w:noWrap/>
            <w:vAlign w:val="center"/>
          </w:tcPr>
          <w:p w14:paraId="203EAB76" w14:textId="1E3D3988" w:rsidR="006E233B" w:rsidRPr="00894701" w:rsidRDefault="008D6AB7" w:rsidP="00BF6F3B">
            <w:pPr>
              <w:spacing w:before="120" w:line="240" w:lineRule="auto"/>
              <w:jc w:val="right"/>
              <w:rPr>
                <w:rFonts w:cs="Arial"/>
                <w:color w:val="auto"/>
                <w:kern w:val="0"/>
                <w:sz w:val="16"/>
                <w:szCs w:val="16"/>
              </w:rPr>
            </w:pPr>
            <w:r w:rsidRPr="00894701">
              <w:rPr>
                <w:rFonts w:cs="Arial"/>
                <w:color w:val="auto"/>
                <w:sz w:val="16"/>
                <w:szCs w:val="16"/>
              </w:rPr>
              <w:t xml:space="preserve">276,018,706 </w:t>
            </w:r>
          </w:p>
        </w:tc>
      </w:tr>
      <w:tr w:rsidR="006E233B" w:rsidRPr="00894701" w14:paraId="3E55B25F" w14:textId="77777777" w:rsidTr="00CE5548">
        <w:trPr>
          <w:trHeight w:val="240"/>
          <w:jc w:val="center"/>
        </w:trPr>
        <w:tc>
          <w:tcPr>
            <w:tcW w:w="3261" w:type="dxa"/>
            <w:tcBorders>
              <w:top w:val="nil"/>
              <w:left w:val="nil"/>
              <w:bottom w:val="nil"/>
              <w:right w:val="nil"/>
            </w:tcBorders>
            <w:shd w:val="clear" w:color="auto" w:fill="auto"/>
            <w:noWrap/>
            <w:vAlign w:val="center"/>
            <w:hideMark/>
          </w:tcPr>
          <w:p w14:paraId="237EAEFF" w14:textId="656EA59C" w:rsidR="006E233B" w:rsidRPr="00894701" w:rsidRDefault="006E233B" w:rsidP="00BF6F3B">
            <w:pPr>
              <w:spacing w:before="120" w:line="240" w:lineRule="auto"/>
              <w:rPr>
                <w:rFonts w:cs="Arial"/>
                <w:color w:val="auto"/>
                <w:kern w:val="0"/>
                <w:sz w:val="16"/>
                <w:szCs w:val="16"/>
              </w:rPr>
            </w:pPr>
            <w:r w:rsidRPr="00894701">
              <w:rPr>
                <w:rFonts w:cs="Arial"/>
                <w:color w:val="auto"/>
                <w:kern w:val="0"/>
                <w:sz w:val="16"/>
                <w:szCs w:val="16"/>
              </w:rPr>
              <w:t xml:space="preserve"> Ministry of Natural Resources (MoNR)</w:t>
            </w:r>
          </w:p>
        </w:tc>
        <w:tc>
          <w:tcPr>
            <w:tcW w:w="1842" w:type="dxa"/>
            <w:tcBorders>
              <w:top w:val="nil"/>
              <w:left w:val="nil"/>
              <w:bottom w:val="nil"/>
              <w:right w:val="nil"/>
            </w:tcBorders>
            <w:shd w:val="clear" w:color="000000" w:fill="FFFFFF"/>
            <w:noWrap/>
            <w:vAlign w:val="center"/>
            <w:hideMark/>
          </w:tcPr>
          <w:p w14:paraId="4E0C1FBD" w14:textId="5F2FF2C3" w:rsidR="006E233B" w:rsidRPr="00894701" w:rsidRDefault="006E233B" w:rsidP="00BF6F3B">
            <w:pPr>
              <w:spacing w:before="120" w:line="240" w:lineRule="auto"/>
              <w:jc w:val="right"/>
              <w:rPr>
                <w:rFonts w:cs="Arial"/>
                <w:color w:val="auto"/>
                <w:kern w:val="0"/>
                <w:sz w:val="16"/>
                <w:szCs w:val="16"/>
              </w:rPr>
            </w:pPr>
            <w:r w:rsidRPr="00894701">
              <w:rPr>
                <w:rFonts w:cs="Arial"/>
                <w:color w:val="auto"/>
                <w:sz w:val="16"/>
                <w:szCs w:val="16"/>
              </w:rPr>
              <w:t>-</w:t>
            </w:r>
          </w:p>
        </w:tc>
        <w:tc>
          <w:tcPr>
            <w:tcW w:w="1308" w:type="dxa"/>
            <w:tcBorders>
              <w:top w:val="nil"/>
              <w:left w:val="nil"/>
              <w:bottom w:val="nil"/>
              <w:right w:val="nil"/>
            </w:tcBorders>
            <w:shd w:val="clear" w:color="000000" w:fill="FFFFFF"/>
            <w:noWrap/>
            <w:vAlign w:val="center"/>
            <w:hideMark/>
          </w:tcPr>
          <w:p w14:paraId="422A6ADB" w14:textId="4D8107B1" w:rsidR="006E233B" w:rsidRPr="00894701" w:rsidRDefault="006E233B" w:rsidP="00BF6F3B">
            <w:pPr>
              <w:spacing w:before="120" w:line="240" w:lineRule="auto"/>
              <w:jc w:val="right"/>
              <w:rPr>
                <w:rFonts w:cs="Arial"/>
                <w:color w:val="auto"/>
                <w:kern w:val="0"/>
                <w:sz w:val="16"/>
                <w:szCs w:val="16"/>
              </w:rPr>
            </w:pPr>
            <w:r w:rsidRPr="00894701">
              <w:rPr>
                <w:rFonts w:cs="Arial"/>
                <w:color w:val="auto"/>
                <w:sz w:val="16"/>
                <w:szCs w:val="16"/>
              </w:rPr>
              <w:t>-</w:t>
            </w:r>
          </w:p>
        </w:tc>
        <w:tc>
          <w:tcPr>
            <w:tcW w:w="2237" w:type="dxa"/>
            <w:tcBorders>
              <w:top w:val="nil"/>
              <w:left w:val="nil"/>
              <w:bottom w:val="nil"/>
              <w:right w:val="nil"/>
            </w:tcBorders>
            <w:shd w:val="clear" w:color="000000" w:fill="FFFFFF"/>
            <w:noWrap/>
            <w:vAlign w:val="center"/>
            <w:hideMark/>
          </w:tcPr>
          <w:p w14:paraId="70521B30" w14:textId="6A10FDDF" w:rsidR="006E233B" w:rsidRPr="00894701" w:rsidRDefault="006E233B" w:rsidP="00BF6F3B">
            <w:pPr>
              <w:spacing w:before="120" w:line="240" w:lineRule="auto"/>
              <w:jc w:val="right"/>
              <w:rPr>
                <w:rFonts w:cs="Arial"/>
                <w:color w:val="auto"/>
                <w:kern w:val="0"/>
                <w:sz w:val="16"/>
                <w:szCs w:val="16"/>
              </w:rPr>
            </w:pPr>
            <w:r w:rsidRPr="00894701">
              <w:rPr>
                <w:rFonts w:cs="Arial"/>
                <w:color w:val="auto"/>
                <w:sz w:val="16"/>
                <w:szCs w:val="16"/>
              </w:rPr>
              <w:t>-</w:t>
            </w:r>
          </w:p>
        </w:tc>
        <w:tc>
          <w:tcPr>
            <w:tcW w:w="2061" w:type="dxa"/>
            <w:tcBorders>
              <w:top w:val="nil"/>
              <w:left w:val="nil"/>
              <w:bottom w:val="nil"/>
              <w:right w:val="nil"/>
            </w:tcBorders>
            <w:shd w:val="clear" w:color="000000" w:fill="FFFFFF"/>
            <w:noWrap/>
            <w:vAlign w:val="center"/>
            <w:hideMark/>
          </w:tcPr>
          <w:p w14:paraId="18E9F328" w14:textId="28E8356C" w:rsidR="006E233B" w:rsidRPr="00894701" w:rsidRDefault="006E233B" w:rsidP="00BF6F3B">
            <w:pPr>
              <w:spacing w:before="120" w:line="240" w:lineRule="auto"/>
              <w:jc w:val="right"/>
              <w:rPr>
                <w:rFonts w:cs="Arial"/>
                <w:color w:val="auto"/>
                <w:kern w:val="0"/>
                <w:sz w:val="16"/>
                <w:szCs w:val="16"/>
              </w:rPr>
            </w:pPr>
            <w:r w:rsidRPr="00894701">
              <w:rPr>
                <w:rFonts w:cs="Arial"/>
                <w:color w:val="auto"/>
                <w:sz w:val="16"/>
                <w:szCs w:val="16"/>
              </w:rPr>
              <w:t>-</w:t>
            </w:r>
          </w:p>
        </w:tc>
        <w:tc>
          <w:tcPr>
            <w:tcW w:w="298" w:type="dxa"/>
            <w:tcBorders>
              <w:top w:val="nil"/>
              <w:left w:val="nil"/>
              <w:bottom w:val="nil"/>
              <w:right w:val="nil"/>
            </w:tcBorders>
            <w:shd w:val="clear" w:color="000000" w:fill="FFFFFF"/>
            <w:noWrap/>
            <w:vAlign w:val="bottom"/>
            <w:hideMark/>
          </w:tcPr>
          <w:p w14:paraId="6221FC9A" w14:textId="6F5628CD" w:rsidR="006E233B" w:rsidRPr="00894701" w:rsidRDefault="006E233B" w:rsidP="00BF6F3B">
            <w:pPr>
              <w:spacing w:before="120" w:line="240" w:lineRule="auto"/>
              <w:jc w:val="right"/>
              <w:rPr>
                <w:rFonts w:cs="Arial"/>
                <w:color w:val="auto"/>
                <w:kern w:val="0"/>
                <w:sz w:val="16"/>
                <w:szCs w:val="16"/>
              </w:rPr>
            </w:pPr>
          </w:p>
        </w:tc>
        <w:tc>
          <w:tcPr>
            <w:tcW w:w="1493" w:type="dxa"/>
            <w:tcBorders>
              <w:top w:val="nil"/>
              <w:left w:val="nil"/>
              <w:bottom w:val="nil"/>
              <w:right w:val="nil"/>
            </w:tcBorders>
            <w:shd w:val="clear" w:color="000000" w:fill="FFFFFF"/>
            <w:noWrap/>
            <w:vAlign w:val="center"/>
            <w:hideMark/>
          </w:tcPr>
          <w:p w14:paraId="4CE48D31" w14:textId="576845FE" w:rsidR="006E233B" w:rsidRPr="00894701" w:rsidRDefault="006E233B" w:rsidP="00BF6F3B">
            <w:pPr>
              <w:spacing w:before="120" w:line="240" w:lineRule="auto"/>
              <w:jc w:val="right"/>
              <w:rPr>
                <w:rFonts w:cs="Arial"/>
                <w:color w:val="auto"/>
                <w:kern w:val="0"/>
                <w:sz w:val="16"/>
                <w:szCs w:val="16"/>
              </w:rPr>
            </w:pPr>
            <w:r w:rsidRPr="00894701">
              <w:rPr>
                <w:rFonts w:cs="Arial"/>
                <w:color w:val="auto"/>
                <w:sz w:val="16"/>
                <w:szCs w:val="16"/>
              </w:rPr>
              <w:t>-</w:t>
            </w:r>
          </w:p>
        </w:tc>
        <w:tc>
          <w:tcPr>
            <w:tcW w:w="1560" w:type="dxa"/>
            <w:tcBorders>
              <w:top w:val="nil"/>
              <w:left w:val="nil"/>
              <w:bottom w:val="nil"/>
              <w:right w:val="nil"/>
            </w:tcBorders>
            <w:shd w:val="clear" w:color="000000" w:fill="FFFFFF"/>
            <w:noWrap/>
            <w:vAlign w:val="center"/>
            <w:hideMark/>
          </w:tcPr>
          <w:p w14:paraId="77096431" w14:textId="5652157C" w:rsidR="006E233B" w:rsidRPr="00894701" w:rsidRDefault="006E233B" w:rsidP="00BF6F3B">
            <w:pPr>
              <w:spacing w:before="120" w:line="240" w:lineRule="auto"/>
              <w:jc w:val="right"/>
              <w:rPr>
                <w:rFonts w:cs="Arial"/>
                <w:color w:val="auto"/>
                <w:kern w:val="0"/>
                <w:sz w:val="16"/>
                <w:szCs w:val="16"/>
              </w:rPr>
            </w:pPr>
            <w:r w:rsidRPr="00894701">
              <w:rPr>
                <w:rFonts w:cs="Arial"/>
                <w:color w:val="auto"/>
                <w:sz w:val="16"/>
                <w:szCs w:val="16"/>
              </w:rPr>
              <w:t>-</w:t>
            </w:r>
          </w:p>
        </w:tc>
      </w:tr>
      <w:tr w:rsidR="006E233B" w:rsidRPr="00894701" w14:paraId="406990CA" w14:textId="77777777" w:rsidTr="00CE5548">
        <w:trPr>
          <w:trHeight w:val="240"/>
          <w:jc w:val="center"/>
        </w:trPr>
        <w:tc>
          <w:tcPr>
            <w:tcW w:w="3261" w:type="dxa"/>
            <w:tcBorders>
              <w:top w:val="nil"/>
              <w:left w:val="nil"/>
              <w:bottom w:val="nil"/>
              <w:right w:val="nil"/>
            </w:tcBorders>
            <w:shd w:val="clear" w:color="000000" w:fill="F7A3B0"/>
            <w:noWrap/>
            <w:vAlign w:val="center"/>
            <w:hideMark/>
          </w:tcPr>
          <w:p w14:paraId="78A8C90A" w14:textId="60D440CA" w:rsidR="006E233B" w:rsidRPr="00894701" w:rsidRDefault="006E233B" w:rsidP="00BF6F3B">
            <w:pPr>
              <w:spacing w:before="120" w:line="240" w:lineRule="auto"/>
              <w:rPr>
                <w:rFonts w:cs="Arial"/>
                <w:color w:val="auto"/>
                <w:kern w:val="0"/>
                <w:sz w:val="16"/>
                <w:szCs w:val="16"/>
              </w:rPr>
            </w:pPr>
            <w:r w:rsidRPr="00894701">
              <w:rPr>
                <w:rFonts w:cs="Arial"/>
                <w:color w:val="auto"/>
                <w:kern w:val="0"/>
                <w:sz w:val="16"/>
                <w:szCs w:val="16"/>
              </w:rPr>
              <w:t xml:space="preserve"> Other payments to Ministry of Natural Resources (MoNR)</w:t>
            </w:r>
          </w:p>
        </w:tc>
        <w:tc>
          <w:tcPr>
            <w:tcW w:w="1842" w:type="dxa"/>
            <w:tcBorders>
              <w:top w:val="nil"/>
              <w:left w:val="nil"/>
              <w:bottom w:val="nil"/>
              <w:right w:val="nil"/>
            </w:tcBorders>
            <w:shd w:val="clear" w:color="000000" w:fill="F7A3B0"/>
            <w:noWrap/>
            <w:vAlign w:val="center"/>
            <w:hideMark/>
          </w:tcPr>
          <w:p w14:paraId="7E357F5D" w14:textId="260F2BB0" w:rsidR="006E233B" w:rsidRPr="00894701" w:rsidRDefault="006E233B" w:rsidP="00BF6F3B">
            <w:pPr>
              <w:spacing w:before="120" w:line="240" w:lineRule="auto"/>
              <w:jc w:val="right"/>
              <w:rPr>
                <w:rFonts w:cs="Arial"/>
                <w:color w:val="auto"/>
                <w:kern w:val="0"/>
                <w:sz w:val="16"/>
                <w:szCs w:val="16"/>
              </w:rPr>
            </w:pPr>
            <w:r w:rsidRPr="00894701">
              <w:rPr>
                <w:rFonts w:cs="Arial"/>
                <w:color w:val="auto"/>
                <w:sz w:val="16"/>
                <w:szCs w:val="16"/>
              </w:rPr>
              <w:t>-</w:t>
            </w:r>
          </w:p>
        </w:tc>
        <w:tc>
          <w:tcPr>
            <w:tcW w:w="1308" w:type="dxa"/>
            <w:tcBorders>
              <w:top w:val="nil"/>
              <w:left w:val="nil"/>
              <w:bottom w:val="nil"/>
              <w:right w:val="nil"/>
            </w:tcBorders>
            <w:shd w:val="clear" w:color="000000" w:fill="F7A3B0"/>
            <w:noWrap/>
            <w:vAlign w:val="center"/>
            <w:hideMark/>
          </w:tcPr>
          <w:p w14:paraId="65640101" w14:textId="2F0BB928" w:rsidR="006E233B" w:rsidRPr="00894701" w:rsidRDefault="006E233B" w:rsidP="00BF6F3B">
            <w:pPr>
              <w:spacing w:before="120" w:line="240" w:lineRule="auto"/>
              <w:jc w:val="right"/>
              <w:rPr>
                <w:rFonts w:cs="Arial"/>
                <w:color w:val="auto"/>
                <w:kern w:val="0"/>
                <w:sz w:val="16"/>
                <w:szCs w:val="16"/>
              </w:rPr>
            </w:pPr>
            <w:r w:rsidRPr="00894701">
              <w:rPr>
                <w:rFonts w:cs="Arial"/>
                <w:color w:val="auto"/>
                <w:sz w:val="16"/>
                <w:szCs w:val="16"/>
              </w:rPr>
              <w:t>-</w:t>
            </w:r>
          </w:p>
        </w:tc>
        <w:tc>
          <w:tcPr>
            <w:tcW w:w="2237" w:type="dxa"/>
            <w:tcBorders>
              <w:top w:val="nil"/>
              <w:left w:val="nil"/>
              <w:bottom w:val="nil"/>
              <w:right w:val="nil"/>
            </w:tcBorders>
            <w:shd w:val="clear" w:color="000000" w:fill="F7A3B0"/>
            <w:noWrap/>
            <w:vAlign w:val="center"/>
            <w:hideMark/>
          </w:tcPr>
          <w:p w14:paraId="488764B2" w14:textId="6FCB128A" w:rsidR="006E233B" w:rsidRPr="00894701" w:rsidRDefault="006E233B" w:rsidP="00BF6F3B">
            <w:pPr>
              <w:spacing w:before="120" w:line="240" w:lineRule="auto"/>
              <w:jc w:val="right"/>
              <w:rPr>
                <w:rFonts w:cs="Arial"/>
                <w:color w:val="auto"/>
                <w:kern w:val="0"/>
                <w:sz w:val="16"/>
                <w:szCs w:val="16"/>
              </w:rPr>
            </w:pPr>
            <w:r w:rsidRPr="00894701">
              <w:rPr>
                <w:rFonts w:cs="Arial"/>
                <w:color w:val="auto"/>
                <w:sz w:val="16"/>
                <w:szCs w:val="16"/>
              </w:rPr>
              <w:t>-</w:t>
            </w:r>
          </w:p>
        </w:tc>
        <w:tc>
          <w:tcPr>
            <w:tcW w:w="2061" w:type="dxa"/>
            <w:tcBorders>
              <w:top w:val="nil"/>
              <w:left w:val="nil"/>
              <w:bottom w:val="nil"/>
              <w:right w:val="nil"/>
            </w:tcBorders>
            <w:shd w:val="clear" w:color="000000" w:fill="F7A3B0"/>
            <w:noWrap/>
            <w:vAlign w:val="center"/>
            <w:hideMark/>
          </w:tcPr>
          <w:p w14:paraId="0D2ED8A2" w14:textId="5C931E42" w:rsidR="006E233B" w:rsidRPr="00894701" w:rsidRDefault="006E233B" w:rsidP="00BF6F3B">
            <w:pPr>
              <w:spacing w:before="120" w:line="240" w:lineRule="auto"/>
              <w:jc w:val="right"/>
              <w:rPr>
                <w:rFonts w:cs="Arial"/>
                <w:color w:val="auto"/>
                <w:kern w:val="0"/>
                <w:sz w:val="16"/>
                <w:szCs w:val="16"/>
              </w:rPr>
            </w:pPr>
            <w:r w:rsidRPr="00894701">
              <w:rPr>
                <w:rFonts w:cs="Arial"/>
                <w:color w:val="auto"/>
                <w:sz w:val="16"/>
                <w:szCs w:val="16"/>
              </w:rPr>
              <w:t>-</w:t>
            </w:r>
          </w:p>
        </w:tc>
        <w:tc>
          <w:tcPr>
            <w:tcW w:w="298" w:type="dxa"/>
            <w:tcBorders>
              <w:top w:val="nil"/>
              <w:left w:val="nil"/>
              <w:bottom w:val="nil"/>
              <w:right w:val="nil"/>
            </w:tcBorders>
            <w:shd w:val="clear" w:color="000000" w:fill="FFFFFF"/>
            <w:noWrap/>
            <w:vAlign w:val="center"/>
            <w:hideMark/>
          </w:tcPr>
          <w:p w14:paraId="59397BC4" w14:textId="12FCB9FF" w:rsidR="006E233B" w:rsidRPr="00894701" w:rsidRDefault="006E233B" w:rsidP="00BF6F3B">
            <w:pPr>
              <w:spacing w:before="120" w:line="240" w:lineRule="auto"/>
              <w:jc w:val="right"/>
              <w:rPr>
                <w:rFonts w:cs="Arial"/>
                <w:color w:val="auto"/>
                <w:kern w:val="0"/>
                <w:sz w:val="16"/>
                <w:szCs w:val="16"/>
              </w:rPr>
            </w:pPr>
          </w:p>
        </w:tc>
        <w:tc>
          <w:tcPr>
            <w:tcW w:w="1493" w:type="dxa"/>
            <w:tcBorders>
              <w:top w:val="nil"/>
              <w:left w:val="nil"/>
              <w:bottom w:val="nil"/>
              <w:right w:val="nil"/>
            </w:tcBorders>
            <w:shd w:val="clear" w:color="000000" w:fill="F7A3B0"/>
            <w:noWrap/>
            <w:vAlign w:val="center"/>
            <w:hideMark/>
          </w:tcPr>
          <w:p w14:paraId="0D4E01E5" w14:textId="04783452" w:rsidR="006E233B" w:rsidRPr="00894701" w:rsidRDefault="006E233B" w:rsidP="00BF6F3B">
            <w:pPr>
              <w:spacing w:before="120" w:line="240" w:lineRule="auto"/>
              <w:jc w:val="right"/>
              <w:rPr>
                <w:rFonts w:cs="Arial"/>
                <w:color w:val="auto"/>
                <w:kern w:val="0"/>
                <w:sz w:val="16"/>
                <w:szCs w:val="16"/>
              </w:rPr>
            </w:pPr>
            <w:r w:rsidRPr="00894701">
              <w:rPr>
                <w:rFonts w:cs="Arial"/>
                <w:color w:val="auto"/>
                <w:sz w:val="16"/>
                <w:szCs w:val="16"/>
              </w:rPr>
              <w:t>-</w:t>
            </w:r>
          </w:p>
        </w:tc>
        <w:tc>
          <w:tcPr>
            <w:tcW w:w="1560" w:type="dxa"/>
            <w:tcBorders>
              <w:top w:val="nil"/>
              <w:left w:val="nil"/>
              <w:bottom w:val="nil"/>
              <w:right w:val="nil"/>
            </w:tcBorders>
            <w:shd w:val="clear" w:color="000000" w:fill="F7A3B0"/>
            <w:noWrap/>
            <w:vAlign w:val="center"/>
            <w:hideMark/>
          </w:tcPr>
          <w:p w14:paraId="04AB730E" w14:textId="127BE89C" w:rsidR="006E233B" w:rsidRPr="00894701" w:rsidRDefault="006E233B" w:rsidP="00BF6F3B">
            <w:pPr>
              <w:spacing w:before="120" w:line="240" w:lineRule="auto"/>
              <w:jc w:val="right"/>
              <w:rPr>
                <w:rFonts w:cs="Arial"/>
                <w:color w:val="auto"/>
                <w:kern w:val="0"/>
                <w:sz w:val="16"/>
                <w:szCs w:val="16"/>
              </w:rPr>
            </w:pPr>
            <w:r w:rsidRPr="00894701">
              <w:rPr>
                <w:rFonts w:cs="Arial"/>
                <w:color w:val="auto"/>
                <w:sz w:val="16"/>
                <w:szCs w:val="16"/>
              </w:rPr>
              <w:t>-</w:t>
            </w:r>
          </w:p>
        </w:tc>
      </w:tr>
      <w:tr w:rsidR="006E233B" w:rsidRPr="00894701" w14:paraId="3488BD3B" w14:textId="77777777" w:rsidTr="00CE5548">
        <w:trPr>
          <w:trHeight w:val="240"/>
          <w:jc w:val="center"/>
        </w:trPr>
        <w:tc>
          <w:tcPr>
            <w:tcW w:w="3261" w:type="dxa"/>
            <w:tcBorders>
              <w:top w:val="nil"/>
              <w:left w:val="nil"/>
              <w:bottom w:val="nil"/>
              <w:right w:val="nil"/>
            </w:tcBorders>
            <w:shd w:val="clear" w:color="auto" w:fill="auto"/>
            <w:noWrap/>
            <w:vAlign w:val="center"/>
            <w:hideMark/>
          </w:tcPr>
          <w:p w14:paraId="2CE471C5" w14:textId="77777777" w:rsidR="006E233B" w:rsidRPr="00894701" w:rsidRDefault="006E233B" w:rsidP="00BF6F3B">
            <w:pPr>
              <w:spacing w:before="120" w:line="240" w:lineRule="auto"/>
              <w:rPr>
                <w:rFonts w:cs="Arial"/>
                <w:color w:val="auto"/>
                <w:kern w:val="0"/>
                <w:sz w:val="16"/>
                <w:szCs w:val="16"/>
              </w:rPr>
            </w:pPr>
            <w:r w:rsidRPr="00894701">
              <w:rPr>
                <w:rFonts w:cs="Arial"/>
                <w:color w:val="auto"/>
                <w:kern w:val="0"/>
                <w:sz w:val="16"/>
                <w:szCs w:val="16"/>
              </w:rPr>
              <w:t>State Owned Entities</w:t>
            </w:r>
          </w:p>
        </w:tc>
        <w:tc>
          <w:tcPr>
            <w:tcW w:w="1842" w:type="dxa"/>
            <w:tcBorders>
              <w:top w:val="nil"/>
              <w:left w:val="nil"/>
              <w:bottom w:val="nil"/>
              <w:right w:val="nil"/>
            </w:tcBorders>
            <w:shd w:val="clear" w:color="000000" w:fill="FFFFFF"/>
            <w:noWrap/>
            <w:vAlign w:val="center"/>
            <w:hideMark/>
          </w:tcPr>
          <w:p w14:paraId="52ED6AFB" w14:textId="369772B4" w:rsidR="006E233B" w:rsidRPr="00894701" w:rsidRDefault="006E233B" w:rsidP="00BF6F3B">
            <w:pPr>
              <w:spacing w:before="120" w:line="240" w:lineRule="auto"/>
              <w:jc w:val="right"/>
              <w:rPr>
                <w:rFonts w:cs="Arial"/>
                <w:color w:val="auto"/>
                <w:kern w:val="0"/>
                <w:sz w:val="16"/>
                <w:szCs w:val="16"/>
              </w:rPr>
            </w:pPr>
            <w:r w:rsidRPr="00894701">
              <w:rPr>
                <w:rFonts w:cs="Arial"/>
                <w:color w:val="auto"/>
                <w:sz w:val="16"/>
                <w:szCs w:val="16"/>
              </w:rPr>
              <w:t>-</w:t>
            </w:r>
          </w:p>
        </w:tc>
        <w:tc>
          <w:tcPr>
            <w:tcW w:w="1308" w:type="dxa"/>
            <w:tcBorders>
              <w:top w:val="nil"/>
              <w:left w:val="nil"/>
              <w:bottom w:val="nil"/>
              <w:right w:val="nil"/>
            </w:tcBorders>
            <w:shd w:val="clear" w:color="000000" w:fill="FFFFFF"/>
            <w:noWrap/>
            <w:vAlign w:val="center"/>
            <w:hideMark/>
          </w:tcPr>
          <w:p w14:paraId="792E05E8" w14:textId="6B18288C" w:rsidR="006E233B" w:rsidRPr="00894701" w:rsidRDefault="006E233B" w:rsidP="00BF6F3B">
            <w:pPr>
              <w:spacing w:before="120" w:line="240" w:lineRule="auto"/>
              <w:jc w:val="right"/>
              <w:rPr>
                <w:rFonts w:cs="Arial"/>
                <w:color w:val="auto"/>
                <w:kern w:val="0"/>
                <w:sz w:val="16"/>
                <w:szCs w:val="16"/>
              </w:rPr>
            </w:pPr>
            <w:r w:rsidRPr="00894701">
              <w:rPr>
                <w:rFonts w:cs="Arial"/>
                <w:color w:val="auto"/>
                <w:sz w:val="16"/>
                <w:szCs w:val="16"/>
              </w:rPr>
              <w:t>-</w:t>
            </w:r>
          </w:p>
        </w:tc>
        <w:tc>
          <w:tcPr>
            <w:tcW w:w="2237" w:type="dxa"/>
            <w:tcBorders>
              <w:top w:val="nil"/>
              <w:left w:val="nil"/>
              <w:bottom w:val="nil"/>
              <w:right w:val="nil"/>
            </w:tcBorders>
            <w:shd w:val="clear" w:color="000000" w:fill="FFFFFF"/>
            <w:noWrap/>
            <w:vAlign w:val="center"/>
            <w:hideMark/>
          </w:tcPr>
          <w:p w14:paraId="75A5969B" w14:textId="18D875CD" w:rsidR="006E233B" w:rsidRPr="00894701" w:rsidRDefault="006E233B" w:rsidP="00BF6F3B">
            <w:pPr>
              <w:spacing w:before="120" w:line="240" w:lineRule="auto"/>
              <w:jc w:val="right"/>
              <w:rPr>
                <w:rFonts w:cs="Arial"/>
                <w:color w:val="auto"/>
                <w:kern w:val="0"/>
                <w:sz w:val="16"/>
                <w:szCs w:val="16"/>
              </w:rPr>
            </w:pPr>
            <w:r w:rsidRPr="00894701">
              <w:rPr>
                <w:rFonts w:cs="Arial"/>
                <w:color w:val="auto"/>
                <w:sz w:val="16"/>
                <w:szCs w:val="16"/>
              </w:rPr>
              <w:t>-</w:t>
            </w:r>
          </w:p>
        </w:tc>
        <w:tc>
          <w:tcPr>
            <w:tcW w:w="2061" w:type="dxa"/>
            <w:tcBorders>
              <w:top w:val="nil"/>
              <w:left w:val="nil"/>
              <w:bottom w:val="nil"/>
              <w:right w:val="nil"/>
            </w:tcBorders>
            <w:shd w:val="clear" w:color="000000" w:fill="FFFFFF"/>
            <w:noWrap/>
            <w:vAlign w:val="center"/>
            <w:hideMark/>
          </w:tcPr>
          <w:p w14:paraId="6C8FA5ED" w14:textId="432C0586" w:rsidR="006E233B" w:rsidRPr="00894701" w:rsidRDefault="006E233B" w:rsidP="00BF6F3B">
            <w:pPr>
              <w:spacing w:before="120" w:line="240" w:lineRule="auto"/>
              <w:jc w:val="right"/>
              <w:rPr>
                <w:rFonts w:cs="Arial"/>
                <w:color w:val="auto"/>
                <w:kern w:val="0"/>
                <w:sz w:val="16"/>
                <w:szCs w:val="16"/>
              </w:rPr>
            </w:pPr>
            <w:r w:rsidRPr="00894701">
              <w:rPr>
                <w:rFonts w:cs="Arial"/>
                <w:color w:val="auto"/>
                <w:sz w:val="16"/>
                <w:szCs w:val="16"/>
              </w:rPr>
              <w:t>-</w:t>
            </w:r>
          </w:p>
        </w:tc>
        <w:tc>
          <w:tcPr>
            <w:tcW w:w="298" w:type="dxa"/>
            <w:tcBorders>
              <w:top w:val="nil"/>
              <w:left w:val="nil"/>
              <w:bottom w:val="nil"/>
              <w:right w:val="nil"/>
            </w:tcBorders>
            <w:shd w:val="clear" w:color="000000" w:fill="FFFFFF"/>
            <w:noWrap/>
            <w:vAlign w:val="center"/>
            <w:hideMark/>
          </w:tcPr>
          <w:p w14:paraId="5DDD6B68" w14:textId="0ADCCD89" w:rsidR="006E233B" w:rsidRPr="00894701" w:rsidRDefault="006E233B" w:rsidP="00BF6F3B">
            <w:pPr>
              <w:spacing w:before="120" w:line="240" w:lineRule="auto"/>
              <w:jc w:val="right"/>
              <w:rPr>
                <w:rFonts w:cs="Arial"/>
                <w:color w:val="auto"/>
                <w:kern w:val="0"/>
                <w:sz w:val="16"/>
                <w:szCs w:val="16"/>
              </w:rPr>
            </w:pPr>
          </w:p>
        </w:tc>
        <w:tc>
          <w:tcPr>
            <w:tcW w:w="1493" w:type="dxa"/>
            <w:tcBorders>
              <w:top w:val="nil"/>
              <w:left w:val="nil"/>
              <w:bottom w:val="nil"/>
              <w:right w:val="nil"/>
            </w:tcBorders>
            <w:shd w:val="clear" w:color="000000" w:fill="FFFFFF"/>
            <w:noWrap/>
            <w:vAlign w:val="center"/>
            <w:hideMark/>
          </w:tcPr>
          <w:p w14:paraId="126E6DCB" w14:textId="53C5AACE" w:rsidR="006E233B" w:rsidRPr="00894701" w:rsidRDefault="006E233B" w:rsidP="00BF6F3B">
            <w:pPr>
              <w:spacing w:before="120" w:line="240" w:lineRule="auto"/>
              <w:jc w:val="right"/>
              <w:rPr>
                <w:rFonts w:cs="Arial"/>
                <w:color w:val="auto"/>
                <w:kern w:val="0"/>
                <w:sz w:val="16"/>
                <w:szCs w:val="16"/>
              </w:rPr>
            </w:pPr>
            <w:r w:rsidRPr="00894701">
              <w:rPr>
                <w:rFonts w:cs="Arial"/>
                <w:color w:val="auto"/>
                <w:sz w:val="16"/>
                <w:szCs w:val="16"/>
              </w:rPr>
              <w:t>-</w:t>
            </w:r>
          </w:p>
        </w:tc>
        <w:tc>
          <w:tcPr>
            <w:tcW w:w="1560" w:type="dxa"/>
            <w:tcBorders>
              <w:top w:val="nil"/>
              <w:left w:val="nil"/>
              <w:bottom w:val="nil"/>
              <w:right w:val="nil"/>
            </w:tcBorders>
            <w:shd w:val="clear" w:color="000000" w:fill="FFFFFF"/>
            <w:noWrap/>
            <w:vAlign w:val="center"/>
            <w:hideMark/>
          </w:tcPr>
          <w:p w14:paraId="3176C5A3" w14:textId="613676DA" w:rsidR="006E233B" w:rsidRPr="00894701" w:rsidRDefault="006E233B" w:rsidP="00BF6F3B">
            <w:pPr>
              <w:spacing w:before="120" w:line="240" w:lineRule="auto"/>
              <w:jc w:val="right"/>
              <w:rPr>
                <w:rFonts w:cs="Arial"/>
                <w:color w:val="auto"/>
                <w:kern w:val="0"/>
                <w:sz w:val="16"/>
                <w:szCs w:val="16"/>
              </w:rPr>
            </w:pPr>
            <w:r w:rsidRPr="00894701">
              <w:rPr>
                <w:rFonts w:cs="Arial"/>
                <w:color w:val="auto"/>
                <w:sz w:val="16"/>
                <w:szCs w:val="16"/>
              </w:rPr>
              <w:t>-</w:t>
            </w:r>
          </w:p>
        </w:tc>
      </w:tr>
      <w:tr w:rsidR="006E233B" w:rsidRPr="00894701" w14:paraId="5C06F178" w14:textId="77777777" w:rsidTr="004C70CC">
        <w:trPr>
          <w:trHeight w:val="240"/>
          <w:jc w:val="center"/>
        </w:trPr>
        <w:tc>
          <w:tcPr>
            <w:tcW w:w="3261" w:type="dxa"/>
            <w:tcBorders>
              <w:top w:val="nil"/>
              <w:left w:val="nil"/>
              <w:bottom w:val="nil"/>
              <w:right w:val="nil"/>
            </w:tcBorders>
            <w:shd w:val="clear" w:color="000000" w:fill="F7A3B0"/>
            <w:noWrap/>
            <w:vAlign w:val="center"/>
            <w:hideMark/>
          </w:tcPr>
          <w:p w14:paraId="7CD0510E" w14:textId="77777777" w:rsidR="006E233B" w:rsidRPr="00894701" w:rsidRDefault="006E233B" w:rsidP="00BF6F3B">
            <w:pPr>
              <w:spacing w:before="120" w:line="240" w:lineRule="auto"/>
              <w:rPr>
                <w:rFonts w:cs="Arial"/>
                <w:color w:val="auto"/>
                <w:kern w:val="0"/>
                <w:sz w:val="16"/>
                <w:szCs w:val="16"/>
              </w:rPr>
            </w:pPr>
            <w:r w:rsidRPr="00894701">
              <w:rPr>
                <w:rFonts w:cs="Arial"/>
                <w:color w:val="auto"/>
                <w:kern w:val="0"/>
                <w:sz w:val="16"/>
                <w:szCs w:val="16"/>
              </w:rPr>
              <w:t>Social Contribution</w:t>
            </w:r>
          </w:p>
        </w:tc>
        <w:tc>
          <w:tcPr>
            <w:tcW w:w="1842" w:type="dxa"/>
            <w:tcBorders>
              <w:top w:val="nil"/>
              <w:left w:val="nil"/>
              <w:bottom w:val="nil"/>
              <w:right w:val="nil"/>
            </w:tcBorders>
            <w:shd w:val="clear" w:color="000000" w:fill="F7A3B0"/>
            <w:noWrap/>
            <w:vAlign w:val="center"/>
            <w:hideMark/>
          </w:tcPr>
          <w:p w14:paraId="5EC27102" w14:textId="017A771F" w:rsidR="006E233B" w:rsidRPr="00894701" w:rsidRDefault="006E233B" w:rsidP="00BF6F3B">
            <w:pPr>
              <w:spacing w:before="120" w:line="240" w:lineRule="auto"/>
              <w:jc w:val="right"/>
              <w:rPr>
                <w:rFonts w:cs="Arial"/>
                <w:color w:val="auto"/>
                <w:kern w:val="0"/>
                <w:sz w:val="16"/>
                <w:szCs w:val="16"/>
              </w:rPr>
            </w:pPr>
            <w:r w:rsidRPr="00894701">
              <w:rPr>
                <w:rFonts w:cs="Arial"/>
                <w:color w:val="auto"/>
                <w:sz w:val="16"/>
                <w:szCs w:val="16"/>
              </w:rPr>
              <w:t>-</w:t>
            </w:r>
          </w:p>
        </w:tc>
        <w:tc>
          <w:tcPr>
            <w:tcW w:w="1308" w:type="dxa"/>
            <w:tcBorders>
              <w:top w:val="nil"/>
              <w:left w:val="nil"/>
              <w:bottom w:val="nil"/>
              <w:right w:val="nil"/>
            </w:tcBorders>
            <w:shd w:val="clear" w:color="000000" w:fill="F7A3B0"/>
            <w:noWrap/>
            <w:vAlign w:val="center"/>
            <w:hideMark/>
          </w:tcPr>
          <w:p w14:paraId="64763B5B" w14:textId="546CE9CC" w:rsidR="006E233B" w:rsidRPr="00894701" w:rsidRDefault="006E233B" w:rsidP="00BF6F3B">
            <w:pPr>
              <w:spacing w:before="120" w:line="240" w:lineRule="auto"/>
              <w:jc w:val="right"/>
              <w:rPr>
                <w:rFonts w:cs="Arial"/>
                <w:color w:val="auto"/>
                <w:kern w:val="0"/>
                <w:sz w:val="16"/>
                <w:szCs w:val="16"/>
              </w:rPr>
            </w:pPr>
          </w:p>
        </w:tc>
        <w:tc>
          <w:tcPr>
            <w:tcW w:w="2237" w:type="dxa"/>
            <w:tcBorders>
              <w:top w:val="nil"/>
              <w:left w:val="nil"/>
              <w:bottom w:val="nil"/>
              <w:right w:val="nil"/>
            </w:tcBorders>
            <w:shd w:val="clear" w:color="000000" w:fill="F7A3B0"/>
            <w:noWrap/>
            <w:vAlign w:val="center"/>
          </w:tcPr>
          <w:p w14:paraId="26D005E6" w14:textId="2DD4C816" w:rsidR="006E233B" w:rsidRPr="00894701" w:rsidRDefault="008D6AB7" w:rsidP="00BF6F3B">
            <w:pPr>
              <w:spacing w:before="120" w:line="240" w:lineRule="auto"/>
              <w:jc w:val="right"/>
              <w:rPr>
                <w:rFonts w:cs="Arial"/>
                <w:color w:val="auto"/>
                <w:kern w:val="0"/>
                <w:sz w:val="16"/>
                <w:szCs w:val="16"/>
              </w:rPr>
            </w:pPr>
            <w:r w:rsidRPr="00894701">
              <w:rPr>
                <w:rFonts w:cs="Arial"/>
                <w:color w:val="auto"/>
                <w:sz w:val="16"/>
                <w:szCs w:val="16"/>
              </w:rPr>
              <w:t xml:space="preserve">800,160,488 </w:t>
            </w:r>
          </w:p>
        </w:tc>
        <w:tc>
          <w:tcPr>
            <w:tcW w:w="2061" w:type="dxa"/>
            <w:tcBorders>
              <w:top w:val="nil"/>
              <w:left w:val="nil"/>
              <w:bottom w:val="nil"/>
              <w:right w:val="nil"/>
            </w:tcBorders>
            <w:shd w:val="clear" w:color="000000" w:fill="F7A3B0"/>
            <w:noWrap/>
            <w:vAlign w:val="center"/>
          </w:tcPr>
          <w:p w14:paraId="157F1B5A" w14:textId="570CB7E0" w:rsidR="006E233B" w:rsidRPr="00894701" w:rsidRDefault="008D6AB7" w:rsidP="00BF6F3B">
            <w:pPr>
              <w:spacing w:before="120" w:line="240" w:lineRule="auto"/>
              <w:jc w:val="right"/>
              <w:rPr>
                <w:rFonts w:cs="Arial"/>
                <w:color w:val="auto"/>
                <w:kern w:val="0"/>
                <w:sz w:val="16"/>
                <w:szCs w:val="16"/>
              </w:rPr>
            </w:pPr>
            <w:r w:rsidRPr="00894701">
              <w:rPr>
                <w:rFonts w:cs="Arial"/>
                <w:color w:val="auto"/>
                <w:sz w:val="16"/>
                <w:szCs w:val="16"/>
              </w:rPr>
              <w:t xml:space="preserve">800,160,488 </w:t>
            </w:r>
          </w:p>
        </w:tc>
        <w:tc>
          <w:tcPr>
            <w:tcW w:w="298" w:type="dxa"/>
            <w:tcBorders>
              <w:top w:val="nil"/>
              <w:left w:val="nil"/>
              <w:bottom w:val="nil"/>
              <w:right w:val="nil"/>
            </w:tcBorders>
            <w:shd w:val="clear" w:color="000000" w:fill="FFFFFF"/>
            <w:noWrap/>
            <w:vAlign w:val="center"/>
            <w:hideMark/>
          </w:tcPr>
          <w:p w14:paraId="48491A85" w14:textId="7B3F3494" w:rsidR="006E233B" w:rsidRPr="00894701" w:rsidRDefault="006E233B" w:rsidP="00BF6F3B">
            <w:pPr>
              <w:spacing w:before="120" w:line="240" w:lineRule="auto"/>
              <w:jc w:val="right"/>
              <w:rPr>
                <w:rFonts w:cs="Arial"/>
                <w:color w:val="auto"/>
                <w:kern w:val="0"/>
                <w:sz w:val="16"/>
                <w:szCs w:val="16"/>
              </w:rPr>
            </w:pPr>
          </w:p>
        </w:tc>
        <w:tc>
          <w:tcPr>
            <w:tcW w:w="1493" w:type="dxa"/>
            <w:tcBorders>
              <w:top w:val="nil"/>
              <w:left w:val="nil"/>
              <w:bottom w:val="nil"/>
              <w:right w:val="nil"/>
            </w:tcBorders>
            <w:shd w:val="clear" w:color="000000" w:fill="F7A3B0"/>
            <w:noWrap/>
            <w:vAlign w:val="center"/>
            <w:hideMark/>
          </w:tcPr>
          <w:p w14:paraId="378B3D74" w14:textId="42D10B26" w:rsidR="006E233B" w:rsidRPr="00894701" w:rsidRDefault="006E233B" w:rsidP="00BF6F3B">
            <w:pPr>
              <w:spacing w:before="120" w:line="240" w:lineRule="auto"/>
              <w:jc w:val="right"/>
              <w:rPr>
                <w:rFonts w:cs="Arial"/>
                <w:color w:val="auto"/>
                <w:kern w:val="0"/>
                <w:sz w:val="16"/>
                <w:szCs w:val="16"/>
              </w:rPr>
            </w:pPr>
            <w:r w:rsidRPr="00894701">
              <w:rPr>
                <w:rFonts w:cs="Arial"/>
                <w:color w:val="auto"/>
                <w:sz w:val="16"/>
                <w:szCs w:val="16"/>
              </w:rPr>
              <w:t>-</w:t>
            </w:r>
          </w:p>
        </w:tc>
        <w:tc>
          <w:tcPr>
            <w:tcW w:w="1560" w:type="dxa"/>
            <w:tcBorders>
              <w:top w:val="nil"/>
              <w:left w:val="nil"/>
              <w:bottom w:val="nil"/>
              <w:right w:val="nil"/>
            </w:tcBorders>
            <w:shd w:val="clear" w:color="000000" w:fill="F7A3B0"/>
            <w:noWrap/>
            <w:vAlign w:val="center"/>
            <w:hideMark/>
          </w:tcPr>
          <w:p w14:paraId="73C15C83" w14:textId="68A59488" w:rsidR="006E233B" w:rsidRPr="00894701" w:rsidRDefault="006E233B" w:rsidP="00BF6F3B">
            <w:pPr>
              <w:spacing w:before="120" w:line="240" w:lineRule="auto"/>
              <w:jc w:val="right"/>
              <w:rPr>
                <w:rFonts w:cs="Arial"/>
                <w:color w:val="auto"/>
                <w:kern w:val="0"/>
                <w:sz w:val="16"/>
                <w:szCs w:val="16"/>
              </w:rPr>
            </w:pPr>
            <w:r w:rsidRPr="00894701">
              <w:rPr>
                <w:rFonts w:cs="Arial"/>
                <w:color w:val="auto"/>
                <w:sz w:val="16"/>
                <w:szCs w:val="16"/>
              </w:rPr>
              <w:t>800,160,488</w:t>
            </w:r>
          </w:p>
        </w:tc>
      </w:tr>
      <w:tr w:rsidR="006E233B" w:rsidRPr="00894701" w14:paraId="41392363" w14:textId="77777777" w:rsidTr="004C70CC">
        <w:trPr>
          <w:trHeight w:val="240"/>
          <w:jc w:val="center"/>
        </w:trPr>
        <w:tc>
          <w:tcPr>
            <w:tcW w:w="3261" w:type="dxa"/>
            <w:tcBorders>
              <w:top w:val="nil"/>
              <w:left w:val="nil"/>
              <w:bottom w:val="nil"/>
              <w:right w:val="nil"/>
            </w:tcBorders>
            <w:shd w:val="clear" w:color="000000" w:fill="685040"/>
            <w:noWrap/>
            <w:vAlign w:val="center"/>
            <w:hideMark/>
          </w:tcPr>
          <w:p w14:paraId="692D9F85" w14:textId="77777777" w:rsidR="006E233B" w:rsidRPr="00894701" w:rsidRDefault="006E233B" w:rsidP="00BF6F3B">
            <w:pPr>
              <w:spacing w:before="120" w:line="240" w:lineRule="auto"/>
              <w:rPr>
                <w:rFonts w:cs="Arial"/>
                <w:b/>
                <w:bCs/>
                <w:color w:val="FFFFFF" w:themeColor="background1"/>
                <w:kern w:val="0"/>
                <w:sz w:val="16"/>
                <w:szCs w:val="16"/>
              </w:rPr>
            </w:pPr>
            <w:r w:rsidRPr="00894701">
              <w:rPr>
                <w:rFonts w:cs="Arial"/>
                <w:b/>
                <w:bCs/>
                <w:color w:val="FFFFFF" w:themeColor="background1"/>
                <w:kern w:val="0"/>
                <w:sz w:val="16"/>
                <w:szCs w:val="16"/>
              </w:rPr>
              <w:t>Total FY 2018</w:t>
            </w:r>
          </w:p>
        </w:tc>
        <w:tc>
          <w:tcPr>
            <w:tcW w:w="1842" w:type="dxa"/>
            <w:tcBorders>
              <w:top w:val="nil"/>
              <w:left w:val="nil"/>
              <w:bottom w:val="nil"/>
              <w:right w:val="nil"/>
            </w:tcBorders>
            <w:shd w:val="clear" w:color="000000" w:fill="685040"/>
            <w:noWrap/>
            <w:vAlign w:val="center"/>
          </w:tcPr>
          <w:p w14:paraId="164D9B0B" w14:textId="1DF6FBF2" w:rsidR="006E233B" w:rsidRPr="00894701" w:rsidRDefault="008D6AB7" w:rsidP="00BF6F3B">
            <w:pPr>
              <w:spacing w:before="120" w:line="240" w:lineRule="auto"/>
              <w:jc w:val="right"/>
              <w:rPr>
                <w:rFonts w:cs="Arial"/>
                <w:b/>
                <w:bCs/>
                <w:color w:val="FFFFFF" w:themeColor="background1"/>
                <w:kern w:val="0"/>
                <w:sz w:val="16"/>
                <w:szCs w:val="16"/>
              </w:rPr>
            </w:pPr>
            <w:r w:rsidRPr="00894701">
              <w:rPr>
                <w:rFonts w:cs="Arial"/>
                <w:b/>
                <w:bCs/>
                <w:color w:val="FFFFFF"/>
                <w:sz w:val="16"/>
                <w:szCs w:val="16"/>
              </w:rPr>
              <w:t xml:space="preserve">276,018,706 </w:t>
            </w:r>
          </w:p>
        </w:tc>
        <w:tc>
          <w:tcPr>
            <w:tcW w:w="1308" w:type="dxa"/>
            <w:tcBorders>
              <w:top w:val="nil"/>
              <w:left w:val="nil"/>
              <w:bottom w:val="nil"/>
              <w:right w:val="nil"/>
            </w:tcBorders>
            <w:shd w:val="clear" w:color="000000" w:fill="685040"/>
            <w:noWrap/>
            <w:vAlign w:val="center"/>
          </w:tcPr>
          <w:p w14:paraId="3A41B3C9" w14:textId="272C3826" w:rsidR="006E233B" w:rsidRPr="00894701" w:rsidRDefault="008D6AB7" w:rsidP="00BF6F3B">
            <w:pPr>
              <w:spacing w:before="120" w:line="240" w:lineRule="auto"/>
              <w:jc w:val="right"/>
              <w:rPr>
                <w:rFonts w:cs="Arial"/>
                <w:b/>
                <w:bCs/>
                <w:color w:val="FFFFFF" w:themeColor="background1"/>
                <w:kern w:val="0"/>
                <w:sz w:val="16"/>
                <w:szCs w:val="16"/>
              </w:rPr>
            </w:pPr>
            <w:r w:rsidRPr="00894701">
              <w:rPr>
                <w:rFonts w:cs="Arial"/>
                <w:b/>
                <w:bCs/>
                <w:color w:val="FFFFFF"/>
                <w:sz w:val="16"/>
                <w:szCs w:val="16"/>
              </w:rPr>
              <w:t xml:space="preserve">820,502,874 </w:t>
            </w:r>
          </w:p>
        </w:tc>
        <w:tc>
          <w:tcPr>
            <w:tcW w:w="2237" w:type="dxa"/>
            <w:tcBorders>
              <w:top w:val="nil"/>
              <w:left w:val="nil"/>
              <w:bottom w:val="nil"/>
              <w:right w:val="nil"/>
            </w:tcBorders>
            <w:shd w:val="clear" w:color="000000" w:fill="685040"/>
            <w:noWrap/>
            <w:vAlign w:val="center"/>
          </w:tcPr>
          <w:p w14:paraId="059B081B" w14:textId="6672DD59" w:rsidR="006E233B" w:rsidRPr="00894701" w:rsidRDefault="008D6AB7" w:rsidP="00BF6F3B">
            <w:pPr>
              <w:spacing w:before="120" w:line="240" w:lineRule="auto"/>
              <w:jc w:val="right"/>
              <w:rPr>
                <w:rFonts w:cs="Arial"/>
                <w:b/>
                <w:bCs/>
                <w:color w:val="FFFFFF" w:themeColor="background1"/>
                <w:kern w:val="0"/>
                <w:sz w:val="16"/>
                <w:szCs w:val="16"/>
              </w:rPr>
            </w:pPr>
            <w:r w:rsidRPr="00894701">
              <w:rPr>
                <w:rFonts w:cs="Arial"/>
                <w:b/>
                <w:bCs/>
                <w:color w:val="FFFFFF"/>
                <w:sz w:val="16"/>
                <w:szCs w:val="16"/>
              </w:rPr>
              <w:t xml:space="preserve">800,160,488 </w:t>
            </w:r>
          </w:p>
        </w:tc>
        <w:tc>
          <w:tcPr>
            <w:tcW w:w="2061" w:type="dxa"/>
            <w:tcBorders>
              <w:top w:val="nil"/>
              <w:left w:val="nil"/>
              <w:bottom w:val="nil"/>
              <w:right w:val="nil"/>
            </w:tcBorders>
            <w:shd w:val="clear" w:color="000000" w:fill="685040"/>
            <w:noWrap/>
            <w:vAlign w:val="center"/>
          </w:tcPr>
          <w:p w14:paraId="27929E5F" w14:textId="5FA28D7A" w:rsidR="006E233B" w:rsidRPr="00894701" w:rsidRDefault="008D6AB7" w:rsidP="00BF6F3B">
            <w:pPr>
              <w:spacing w:before="120" w:line="240" w:lineRule="auto"/>
              <w:jc w:val="right"/>
              <w:rPr>
                <w:rFonts w:cs="Arial"/>
                <w:b/>
                <w:bCs/>
                <w:color w:val="FFFFFF" w:themeColor="background1"/>
                <w:kern w:val="0"/>
                <w:sz w:val="16"/>
                <w:szCs w:val="16"/>
              </w:rPr>
            </w:pPr>
            <w:r w:rsidRPr="00894701">
              <w:rPr>
                <w:rFonts w:cs="Arial"/>
                <w:b/>
                <w:bCs/>
                <w:color w:val="FFFFFF"/>
                <w:sz w:val="16"/>
                <w:szCs w:val="16"/>
              </w:rPr>
              <w:t xml:space="preserve">1,896,682,068 </w:t>
            </w:r>
          </w:p>
        </w:tc>
        <w:tc>
          <w:tcPr>
            <w:tcW w:w="298" w:type="dxa"/>
            <w:tcBorders>
              <w:top w:val="nil"/>
              <w:left w:val="nil"/>
              <w:bottom w:val="nil"/>
              <w:right w:val="nil"/>
            </w:tcBorders>
            <w:shd w:val="clear" w:color="000000" w:fill="FFFFFF"/>
            <w:noWrap/>
            <w:vAlign w:val="center"/>
            <w:hideMark/>
          </w:tcPr>
          <w:p w14:paraId="3ED25C95" w14:textId="464EFB7C" w:rsidR="006E233B" w:rsidRPr="00894701" w:rsidRDefault="006E233B" w:rsidP="00BF6F3B">
            <w:pPr>
              <w:spacing w:before="120" w:line="240" w:lineRule="auto"/>
              <w:jc w:val="right"/>
              <w:rPr>
                <w:rFonts w:cs="Arial"/>
                <w:color w:val="FFFFFF" w:themeColor="background1"/>
                <w:kern w:val="0"/>
                <w:sz w:val="16"/>
                <w:szCs w:val="16"/>
              </w:rPr>
            </w:pPr>
          </w:p>
        </w:tc>
        <w:tc>
          <w:tcPr>
            <w:tcW w:w="1493" w:type="dxa"/>
            <w:tcBorders>
              <w:top w:val="nil"/>
              <w:left w:val="nil"/>
              <w:bottom w:val="nil"/>
              <w:right w:val="nil"/>
            </w:tcBorders>
            <w:shd w:val="clear" w:color="000000" w:fill="685040"/>
            <w:noWrap/>
            <w:vAlign w:val="center"/>
            <w:hideMark/>
          </w:tcPr>
          <w:p w14:paraId="27369134" w14:textId="5F12969E" w:rsidR="006E233B" w:rsidRPr="00894701" w:rsidRDefault="006E233B" w:rsidP="00BF6F3B">
            <w:pPr>
              <w:spacing w:before="120" w:line="240" w:lineRule="auto"/>
              <w:jc w:val="right"/>
              <w:rPr>
                <w:rFonts w:cs="Arial"/>
                <w:b/>
                <w:bCs/>
                <w:color w:val="FFFFFF" w:themeColor="background1"/>
                <w:kern w:val="0"/>
                <w:sz w:val="16"/>
                <w:szCs w:val="16"/>
              </w:rPr>
            </w:pPr>
            <w:r w:rsidRPr="00894701">
              <w:rPr>
                <w:rFonts w:cs="Arial"/>
                <w:b/>
                <w:bCs/>
                <w:color w:val="FFFFFF"/>
                <w:sz w:val="16"/>
                <w:szCs w:val="16"/>
              </w:rPr>
              <w:t>820,502,874</w:t>
            </w:r>
          </w:p>
        </w:tc>
        <w:tc>
          <w:tcPr>
            <w:tcW w:w="1560" w:type="dxa"/>
            <w:tcBorders>
              <w:top w:val="nil"/>
              <w:left w:val="nil"/>
              <w:bottom w:val="nil"/>
              <w:right w:val="nil"/>
            </w:tcBorders>
            <w:shd w:val="clear" w:color="000000" w:fill="685040"/>
            <w:noWrap/>
            <w:vAlign w:val="center"/>
            <w:hideMark/>
          </w:tcPr>
          <w:p w14:paraId="736D3FE5" w14:textId="7A1A5B9B" w:rsidR="006E233B" w:rsidRPr="00894701" w:rsidRDefault="008D6AB7" w:rsidP="00BF6F3B">
            <w:pPr>
              <w:spacing w:before="120" w:line="240" w:lineRule="auto"/>
              <w:jc w:val="right"/>
              <w:rPr>
                <w:rFonts w:cs="Arial"/>
                <w:b/>
                <w:bCs/>
                <w:color w:val="FFFFFF" w:themeColor="background1"/>
                <w:kern w:val="0"/>
                <w:sz w:val="16"/>
                <w:szCs w:val="16"/>
              </w:rPr>
            </w:pPr>
            <w:r w:rsidRPr="00894701">
              <w:rPr>
                <w:rFonts w:cs="Arial"/>
                <w:b/>
                <w:bCs/>
                <w:color w:val="FFFFFF"/>
                <w:sz w:val="16"/>
                <w:szCs w:val="16"/>
              </w:rPr>
              <w:t xml:space="preserve"> 1,076,179,194</w:t>
            </w:r>
          </w:p>
        </w:tc>
      </w:tr>
    </w:tbl>
    <w:p w14:paraId="63ABBED5" w14:textId="1025E953" w:rsidR="00CE55C8" w:rsidRPr="00894701" w:rsidRDefault="00CE55C8" w:rsidP="00B06F56">
      <w:pPr>
        <w:spacing w:after="0"/>
        <w:jc w:val="both"/>
        <w:rPr>
          <w:rFonts w:cs="Arial"/>
          <w:i/>
          <w:color w:val="auto"/>
          <w:szCs w:val="16"/>
        </w:rPr>
      </w:pPr>
      <w:r w:rsidRPr="00894701">
        <w:rPr>
          <w:rFonts w:cs="Arial"/>
          <w:i/>
          <w:color w:val="auto"/>
          <w:szCs w:val="16"/>
        </w:rPr>
        <w:t>Source: EITI Reporting Templates</w:t>
      </w:r>
    </w:p>
    <w:p w14:paraId="56292840" w14:textId="796992A2" w:rsidR="00CE55C8" w:rsidRPr="00894701" w:rsidRDefault="00CE55C8" w:rsidP="00B06F56">
      <w:pPr>
        <w:spacing w:after="0"/>
        <w:jc w:val="both"/>
        <w:rPr>
          <w:rStyle w:val="Emphasis"/>
          <w:b/>
        </w:rPr>
      </w:pPr>
    </w:p>
    <w:p w14:paraId="31154A7E" w14:textId="7C6DE872" w:rsidR="004B09B6" w:rsidRPr="00894701" w:rsidRDefault="004B09B6" w:rsidP="00B06F56">
      <w:pPr>
        <w:spacing w:after="0" w:line="240" w:lineRule="auto"/>
        <w:rPr>
          <w:rFonts w:asciiTheme="majorHAnsi" w:hAnsiTheme="majorHAnsi"/>
          <w:b/>
          <w:bCs/>
          <w:color w:val="98002E" w:themeColor="accent3"/>
          <w:sz w:val="20"/>
        </w:rPr>
      </w:pPr>
      <w:r w:rsidRPr="00894701">
        <w:rPr>
          <w:rFonts w:asciiTheme="majorHAnsi" w:hAnsiTheme="majorHAnsi"/>
          <w:b/>
          <w:bCs/>
          <w:color w:val="98002E" w:themeColor="accent3"/>
          <w:sz w:val="20"/>
        </w:rPr>
        <w:br w:type="page"/>
      </w:r>
    </w:p>
    <w:p w14:paraId="2095DAEE" w14:textId="77777777" w:rsidR="006531C2" w:rsidRPr="00894701" w:rsidRDefault="006531C2" w:rsidP="00B06F56">
      <w:pPr>
        <w:pStyle w:val="ListParagraph"/>
        <w:ind w:left="0"/>
        <w:jc w:val="center"/>
        <w:rPr>
          <w:rFonts w:asciiTheme="majorHAnsi" w:hAnsiTheme="majorHAnsi"/>
          <w:b/>
          <w:bCs/>
          <w:color w:val="98002E" w:themeColor="accent3"/>
          <w:sz w:val="20"/>
        </w:rPr>
      </w:pPr>
    </w:p>
    <w:p w14:paraId="1A62FD59" w14:textId="1795EFF3" w:rsidR="006531C2" w:rsidRPr="00894701" w:rsidRDefault="006531C2" w:rsidP="00B75F94">
      <w:pPr>
        <w:pStyle w:val="ListParagraph"/>
        <w:spacing w:after="0"/>
        <w:ind w:left="0"/>
        <w:jc w:val="center"/>
        <w:rPr>
          <w:b/>
          <w:bCs/>
          <w:noProof/>
          <w:color w:val="98002E" w:themeColor="accent3"/>
          <w:sz w:val="20"/>
          <w:szCs w:val="20"/>
        </w:rPr>
      </w:pPr>
      <w:bookmarkStart w:id="416" w:name="_Toc146590518"/>
      <w:r w:rsidRPr="00894701">
        <w:rPr>
          <w:rFonts w:asciiTheme="majorHAnsi" w:hAnsiTheme="majorHAnsi"/>
          <w:b/>
          <w:bCs/>
          <w:color w:val="98002E" w:themeColor="accent3"/>
          <w:sz w:val="20"/>
        </w:rPr>
        <w:t xml:space="preserve">Table </w:t>
      </w:r>
      <w:r w:rsidRPr="00894701">
        <w:rPr>
          <w:rFonts w:asciiTheme="majorHAnsi" w:hAnsiTheme="majorHAnsi"/>
          <w:b/>
          <w:bCs/>
          <w:color w:val="98002E" w:themeColor="accent3"/>
          <w:sz w:val="20"/>
        </w:rPr>
        <w:fldChar w:fldCharType="begin"/>
      </w:r>
      <w:r w:rsidRPr="00894701">
        <w:rPr>
          <w:rFonts w:asciiTheme="majorHAnsi" w:hAnsiTheme="majorHAnsi"/>
          <w:b/>
          <w:bCs/>
          <w:color w:val="98002E" w:themeColor="accent3"/>
          <w:sz w:val="20"/>
        </w:rPr>
        <w:instrText xml:space="preserve"> SEQ Table \* ARABIC </w:instrText>
      </w:r>
      <w:r w:rsidRPr="00894701">
        <w:rPr>
          <w:rFonts w:asciiTheme="majorHAnsi" w:hAnsiTheme="majorHAnsi"/>
          <w:b/>
          <w:bCs/>
          <w:color w:val="98002E" w:themeColor="accent3"/>
          <w:sz w:val="20"/>
        </w:rPr>
        <w:fldChar w:fldCharType="separate"/>
      </w:r>
      <w:r w:rsidR="0035303B">
        <w:rPr>
          <w:rFonts w:asciiTheme="majorHAnsi" w:hAnsiTheme="majorHAnsi"/>
          <w:b/>
          <w:bCs/>
          <w:noProof/>
          <w:color w:val="98002E" w:themeColor="accent3"/>
          <w:sz w:val="20"/>
        </w:rPr>
        <w:t>46</w:t>
      </w:r>
      <w:r w:rsidRPr="00894701">
        <w:rPr>
          <w:rFonts w:asciiTheme="majorHAnsi" w:hAnsiTheme="majorHAnsi"/>
          <w:b/>
          <w:bCs/>
          <w:color w:val="98002E" w:themeColor="accent3"/>
          <w:sz w:val="20"/>
        </w:rPr>
        <w:fldChar w:fldCharType="end"/>
      </w:r>
      <w:r w:rsidRPr="00894701">
        <w:rPr>
          <w:rFonts w:asciiTheme="majorHAnsi" w:hAnsiTheme="majorHAnsi"/>
          <w:b/>
          <w:bCs/>
          <w:color w:val="98002E" w:themeColor="accent3"/>
          <w:sz w:val="20"/>
        </w:rPr>
        <w:t xml:space="preserve">: </w:t>
      </w:r>
      <w:r w:rsidR="005411EB" w:rsidRPr="00894701">
        <w:rPr>
          <w:rFonts w:asciiTheme="majorHAnsi" w:hAnsiTheme="majorHAnsi"/>
          <w:b/>
          <w:bCs/>
          <w:color w:val="98002E" w:themeColor="accent3"/>
          <w:sz w:val="20"/>
        </w:rPr>
        <w:t>S</w:t>
      </w:r>
      <w:r w:rsidRPr="00894701">
        <w:rPr>
          <w:rFonts w:asciiTheme="majorHAnsi" w:hAnsiTheme="majorHAnsi"/>
          <w:b/>
          <w:bCs/>
          <w:color w:val="98002E" w:themeColor="accent3"/>
          <w:sz w:val="20"/>
        </w:rPr>
        <w:t>um</w:t>
      </w:r>
      <w:r w:rsidRPr="00894701">
        <w:rPr>
          <w:rFonts w:asciiTheme="majorHAnsi" w:hAnsiTheme="majorHAnsi"/>
          <w:b/>
          <w:bCs/>
          <w:color w:val="98002E"/>
          <w:sz w:val="20"/>
        </w:rPr>
        <w:t>ma</w:t>
      </w:r>
      <w:r w:rsidRPr="00894701">
        <w:rPr>
          <w:rFonts w:asciiTheme="majorHAnsi" w:hAnsiTheme="majorHAnsi"/>
          <w:b/>
          <w:bCs/>
          <w:color w:val="98002E" w:themeColor="accent3"/>
          <w:sz w:val="20"/>
        </w:rPr>
        <w:t xml:space="preserve">ry of revenues and unilateral disclosure </w:t>
      </w:r>
      <w:r w:rsidRPr="00894701">
        <w:rPr>
          <w:b/>
          <w:bCs/>
          <w:noProof/>
          <w:color w:val="98002E" w:themeColor="accent3"/>
          <w:sz w:val="20"/>
          <w:szCs w:val="20"/>
        </w:rPr>
        <w:t>for the fiscal years 2019</w:t>
      </w:r>
      <w:bookmarkEnd w:id="416"/>
    </w:p>
    <w:p w14:paraId="2584C4E3" w14:textId="77777777" w:rsidR="00B75F94" w:rsidRPr="00894701" w:rsidRDefault="00B75F94" w:rsidP="00B75F94">
      <w:pPr>
        <w:spacing w:after="0"/>
        <w:ind w:firstLine="720"/>
        <w:jc w:val="right"/>
        <w:rPr>
          <w:rFonts w:cs="Arial"/>
          <w:i/>
          <w:color w:val="auto"/>
          <w:sz w:val="16"/>
          <w:szCs w:val="16"/>
        </w:rPr>
      </w:pPr>
      <w:r w:rsidRPr="00894701">
        <w:rPr>
          <w:rFonts w:cs="Arial"/>
          <w:i/>
          <w:iCs/>
          <w:color w:val="000000"/>
          <w:szCs w:val="18"/>
          <w:lang w:eastAsia="fr-FR"/>
        </w:rPr>
        <w:t>Amounts in SRD</w:t>
      </w:r>
    </w:p>
    <w:tbl>
      <w:tblPr>
        <w:tblW w:w="14175" w:type="dxa"/>
        <w:jc w:val="center"/>
        <w:tblLook w:val="04A0" w:firstRow="1" w:lastRow="0" w:firstColumn="1" w:lastColumn="0" w:noHBand="0" w:noVBand="1"/>
      </w:tblPr>
      <w:tblGrid>
        <w:gridCol w:w="5245"/>
        <w:gridCol w:w="1275"/>
        <w:gridCol w:w="1308"/>
        <w:gridCol w:w="1527"/>
        <w:gridCol w:w="1843"/>
        <w:gridCol w:w="298"/>
        <w:gridCol w:w="1261"/>
        <w:gridCol w:w="1418"/>
      </w:tblGrid>
      <w:tr w:rsidR="00B85F22" w:rsidRPr="00894701" w14:paraId="0E5FC585" w14:textId="77777777" w:rsidTr="00B75F94">
        <w:trPr>
          <w:trHeight w:val="250"/>
          <w:jc w:val="center"/>
        </w:trPr>
        <w:tc>
          <w:tcPr>
            <w:tcW w:w="5245" w:type="dxa"/>
            <w:vMerge w:val="restart"/>
            <w:tcBorders>
              <w:top w:val="nil"/>
              <w:left w:val="nil"/>
              <w:bottom w:val="single" w:sz="8" w:space="0" w:color="FF0000"/>
              <w:right w:val="nil"/>
            </w:tcBorders>
            <w:shd w:val="clear" w:color="000000" w:fill="800000"/>
            <w:vAlign w:val="center"/>
            <w:hideMark/>
          </w:tcPr>
          <w:p w14:paraId="10BEC875" w14:textId="77777777" w:rsidR="00B85F22" w:rsidRPr="00894701" w:rsidRDefault="00B85F22" w:rsidP="00BF6F3B">
            <w:pPr>
              <w:spacing w:before="120" w:line="240" w:lineRule="auto"/>
              <w:jc w:val="center"/>
              <w:rPr>
                <w:rFonts w:cs="Arial"/>
                <w:b/>
                <w:bCs/>
                <w:color w:val="auto"/>
                <w:kern w:val="0"/>
                <w:sz w:val="16"/>
                <w:szCs w:val="16"/>
              </w:rPr>
            </w:pPr>
            <w:r w:rsidRPr="00894701">
              <w:rPr>
                <w:rFonts w:cs="Arial"/>
                <w:b/>
                <w:bCs/>
                <w:color w:val="auto"/>
                <w:kern w:val="0"/>
                <w:sz w:val="16"/>
                <w:szCs w:val="16"/>
              </w:rPr>
              <w:t xml:space="preserve">Government agency </w:t>
            </w:r>
          </w:p>
        </w:tc>
        <w:tc>
          <w:tcPr>
            <w:tcW w:w="1275" w:type="dxa"/>
            <w:vMerge w:val="restart"/>
            <w:tcBorders>
              <w:top w:val="nil"/>
              <w:left w:val="nil"/>
              <w:bottom w:val="single" w:sz="8" w:space="0" w:color="FF0000"/>
              <w:right w:val="nil"/>
            </w:tcBorders>
            <w:shd w:val="clear" w:color="000000" w:fill="800000"/>
            <w:vAlign w:val="center"/>
            <w:hideMark/>
          </w:tcPr>
          <w:p w14:paraId="021CF930" w14:textId="77777777" w:rsidR="00B85F22" w:rsidRPr="00894701" w:rsidRDefault="00B85F22" w:rsidP="00BF6F3B">
            <w:pPr>
              <w:spacing w:before="120" w:line="240" w:lineRule="auto"/>
              <w:jc w:val="center"/>
              <w:rPr>
                <w:rFonts w:cs="Arial"/>
                <w:b/>
                <w:bCs/>
                <w:color w:val="auto"/>
                <w:kern w:val="0"/>
                <w:sz w:val="16"/>
                <w:szCs w:val="16"/>
              </w:rPr>
            </w:pPr>
            <w:r w:rsidRPr="00894701">
              <w:rPr>
                <w:rFonts w:cs="Arial"/>
                <w:b/>
                <w:bCs/>
                <w:color w:val="auto"/>
                <w:kern w:val="0"/>
                <w:sz w:val="16"/>
                <w:szCs w:val="16"/>
              </w:rPr>
              <w:t xml:space="preserve"> Reconciled figures (a) </w:t>
            </w:r>
          </w:p>
        </w:tc>
        <w:tc>
          <w:tcPr>
            <w:tcW w:w="1308" w:type="dxa"/>
            <w:vMerge w:val="restart"/>
            <w:tcBorders>
              <w:top w:val="nil"/>
              <w:left w:val="nil"/>
              <w:bottom w:val="single" w:sz="8" w:space="0" w:color="FF0000"/>
              <w:right w:val="nil"/>
            </w:tcBorders>
            <w:shd w:val="clear" w:color="000000" w:fill="800000"/>
            <w:vAlign w:val="center"/>
            <w:hideMark/>
          </w:tcPr>
          <w:p w14:paraId="2C906142" w14:textId="77777777" w:rsidR="00B85F22" w:rsidRPr="00894701" w:rsidRDefault="00B85F22" w:rsidP="00BF6F3B">
            <w:pPr>
              <w:spacing w:before="120" w:line="240" w:lineRule="auto"/>
              <w:jc w:val="center"/>
              <w:rPr>
                <w:rFonts w:cs="Arial"/>
                <w:b/>
                <w:bCs/>
                <w:color w:val="auto"/>
                <w:kern w:val="0"/>
                <w:sz w:val="16"/>
                <w:szCs w:val="16"/>
              </w:rPr>
            </w:pPr>
            <w:r w:rsidRPr="00894701">
              <w:rPr>
                <w:rFonts w:cs="Arial"/>
                <w:b/>
                <w:bCs/>
                <w:color w:val="auto"/>
                <w:kern w:val="0"/>
                <w:sz w:val="16"/>
                <w:szCs w:val="16"/>
              </w:rPr>
              <w:t>Unilateral disclosure by Government agency (b)</w:t>
            </w:r>
          </w:p>
        </w:tc>
        <w:tc>
          <w:tcPr>
            <w:tcW w:w="1527" w:type="dxa"/>
            <w:vMerge w:val="restart"/>
            <w:tcBorders>
              <w:top w:val="nil"/>
              <w:left w:val="nil"/>
              <w:bottom w:val="single" w:sz="8" w:space="0" w:color="FF0000"/>
              <w:right w:val="nil"/>
            </w:tcBorders>
            <w:shd w:val="clear" w:color="000000" w:fill="800000"/>
            <w:vAlign w:val="center"/>
            <w:hideMark/>
          </w:tcPr>
          <w:p w14:paraId="39EFEB02" w14:textId="77777777" w:rsidR="00B85F22" w:rsidRPr="00894701" w:rsidRDefault="00B85F22" w:rsidP="00BF6F3B">
            <w:pPr>
              <w:spacing w:before="120" w:line="240" w:lineRule="auto"/>
              <w:jc w:val="center"/>
              <w:rPr>
                <w:rFonts w:cs="Arial"/>
                <w:b/>
                <w:bCs/>
                <w:color w:val="auto"/>
                <w:kern w:val="0"/>
                <w:sz w:val="16"/>
                <w:szCs w:val="16"/>
              </w:rPr>
            </w:pPr>
            <w:r w:rsidRPr="00894701">
              <w:rPr>
                <w:rFonts w:cs="Arial"/>
                <w:b/>
                <w:bCs/>
                <w:color w:val="auto"/>
                <w:kern w:val="0"/>
                <w:sz w:val="16"/>
                <w:szCs w:val="16"/>
              </w:rPr>
              <w:t>Unilateral disclosure by company (c)</w:t>
            </w:r>
          </w:p>
        </w:tc>
        <w:tc>
          <w:tcPr>
            <w:tcW w:w="1843" w:type="dxa"/>
            <w:vMerge w:val="restart"/>
            <w:tcBorders>
              <w:top w:val="nil"/>
              <w:left w:val="nil"/>
              <w:bottom w:val="single" w:sz="8" w:space="0" w:color="FF0000"/>
              <w:right w:val="nil"/>
            </w:tcBorders>
            <w:shd w:val="clear" w:color="000000" w:fill="800000"/>
            <w:vAlign w:val="center"/>
            <w:hideMark/>
          </w:tcPr>
          <w:p w14:paraId="441787E3" w14:textId="77777777" w:rsidR="00B85F22" w:rsidRPr="00894701" w:rsidRDefault="00B85F22" w:rsidP="00BF6F3B">
            <w:pPr>
              <w:spacing w:before="120" w:line="240" w:lineRule="auto"/>
              <w:jc w:val="center"/>
              <w:rPr>
                <w:rFonts w:cs="Arial"/>
                <w:b/>
                <w:bCs/>
                <w:color w:val="auto"/>
                <w:kern w:val="0"/>
                <w:sz w:val="16"/>
                <w:szCs w:val="16"/>
              </w:rPr>
            </w:pPr>
            <w:r w:rsidRPr="00894701">
              <w:rPr>
                <w:rFonts w:cs="Arial"/>
                <w:b/>
                <w:bCs/>
                <w:color w:val="auto"/>
                <w:kern w:val="0"/>
                <w:sz w:val="16"/>
                <w:szCs w:val="16"/>
              </w:rPr>
              <w:t xml:space="preserve">Reported revenue </w:t>
            </w:r>
          </w:p>
          <w:p w14:paraId="55C4F956" w14:textId="77777777" w:rsidR="00B85F22" w:rsidRPr="00894701" w:rsidRDefault="00B85F22" w:rsidP="00BF6F3B">
            <w:pPr>
              <w:spacing w:before="120" w:line="240" w:lineRule="auto"/>
              <w:jc w:val="center"/>
              <w:rPr>
                <w:rFonts w:cs="Arial"/>
                <w:b/>
                <w:bCs/>
                <w:color w:val="auto"/>
                <w:kern w:val="0"/>
                <w:sz w:val="16"/>
                <w:szCs w:val="16"/>
              </w:rPr>
            </w:pPr>
            <w:r w:rsidRPr="00894701">
              <w:rPr>
                <w:rFonts w:cs="Arial"/>
                <w:b/>
                <w:bCs/>
                <w:color w:val="auto"/>
                <w:kern w:val="0"/>
                <w:sz w:val="16"/>
                <w:szCs w:val="16"/>
              </w:rPr>
              <w:t>(c) = (a)+(b)</w:t>
            </w:r>
          </w:p>
        </w:tc>
        <w:tc>
          <w:tcPr>
            <w:tcW w:w="298" w:type="dxa"/>
            <w:tcBorders>
              <w:top w:val="nil"/>
              <w:left w:val="nil"/>
              <w:bottom w:val="nil"/>
              <w:right w:val="nil"/>
            </w:tcBorders>
            <w:shd w:val="clear" w:color="000000" w:fill="FFFFFF"/>
            <w:noWrap/>
            <w:vAlign w:val="bottom"/>
            <w:hideMark/>
          </w:tcPr>
          <w:p w14:paraId="009E4B56" w14:textId="77777777" w:rsidR="00B85F22" w:rsidRPr="00894701" w:rsidRDefault="00B85F22" w:rsidP="00BF6F3B">
            <w:pPr>
              <w:spacing w:before="120" w:line="240" w:lineRule="auto"/>
              <w:jc w:val="right"/>
              <w:rPr>
                <w:rFonts w:cs="Arial"/>
                <w:color w:val="auto"/>
                <w:kern w:val="0"/>
                <w:sz w:val="16"/>
                <w:szCs w:val="16"/>
              </w:rPr>
            </w:pPr>
            <w:r w:rsidRPr="00894701">
              <w:rPr>
                <w:rFonts w:cs="Arial"/>
                <w:color w:val="auto"/>
                <w:kern w:val="0"/>
                <w:sz w:val="16"/>
                <w:szCs w:val="16"/>
              </w:rPr>
              <w:t> </w:t>
            </w:r>
          </w:p>
        </w:tc>
        <w:tc>
          <w:tcPr>
            <w:tcW w:w="2679" w:type="dxa"/>
            <w:gridSpan w:val="2"/>
            <w:tcBorders>
              <w:top w:val="nil"/>
              <w:left w:val="nil"/>
              <w:bottom w:val="single" w:sz="8" w:space="0" w:color="FF0000"/>
              <w:right w:val="nil"/>
            </w:tcBorders>
            <w:shd w:val="clear" w:color="000000" w:fill="800000"/>
            <w:noWrap/>
            <w:vAlign w:val="bottom"/>
            <w:hideMark/>
          </w:tcPr>
          <w:p w14:paraId="53BCD5B8" w14:textId="77777777" w:rsidR="00B85F22" w:rsidRPr="00894701" w:rsidRDefault="00B85F22" w:rsidP="00BF6F3B">
            <w:pPr>
              <w:spacing w:before="120" w:line="240" w:lineRule="auto"/>
              <w:jc w:val="center"/>
              <w:rPr>
                <w:rFonts w:cs="Arial"/>
                <w:b/>
                <w:bCs/>
                <w:color w:val="auto"/>
                <w:kern w:val="0"/>
                <w:sz w:val="16"/>
                <w:szCs w:val="16"/>
              </w:rPr>
            </w:pPr>
            <w:r w:rsidRPr="00894701">
              <w:rPr>
                <w:rFonts w:cs="Arial"/>
                <w:b/>
                <w:bCs/>
                <w:color w:val="auto"/>
                <w:kern w:val="0"/>
                <w:sz w:val="16"/>
                <w:szCs w:val="16"/>
              </w:rPr>
              <w:t>Total revenue by sector</w:t>
            </w:r>
          </w:p>
        </w:tc>
      </w:tr>
      <w:tr w:rsidR="00B85F22" w:rsidRPr="00894701" w14:paraId="70B9F25F" w14:textId="77777777" w:rsidTr="00B75F94">
        <w:trPr>
          <w:trHeight w:val="495"/>
          <w:jc w:val="center"/>
        </w:trPr>
        <w:tc>
          <w:tcPr>
            <w:tcW w:w="5245" w:type="dxa"/>
            <w:vMerge/>
            <w:tcBorders>
              <w:top w:val="nil"/>
              <w:left w:val="nil"/>
              <w:bottom w:val="single" w:sz="8" w:space="0" w:color="FF0000"/>
              <w:right w:val="nil"/>
            </w:tcBorders>
            <w:vAlign w:val="center"/>
            <w:hideMark/>
          </w:tcPr>
          <w:p w14:paraId="0B293DCF" w14:textId="77777777" w:rsidR="00B85F22" w:rsidRPr="00894701" w:rsidRDefault="00B85F22" w:rsidP="00BF6F3B">
            <w:pPr>
              <w:spacing w:before="120" w:line="240" w:lineRule="auto"/>
              <w:rPr>
                <w:rFonts w:cs="Arial"/>
                <w:b/>
                <w:bCs/>
                <w:color w:val="auto"/>
                <w:kern w:val="0"/>
                <w:sz w:val="16"/>
                <w:szCs w:val="16"/>
              </w:rPr>
            </w:pPr>
          </w:p>
        </w:tc>
        <w:tc>
          <w:tcPr>
            <w:tcW w:w="1275" w:type="dxa"/>
            <w:vMerge/>
            <w:tcBorders>
              <w:top w:val="nil"/>
              <w:left w:val="nil"/>
              <w:bottom w:val="single" w:sz="8" w:space="0" w:color="FF0000"/>
              <w:right w:val="nil"/>
            </w:tcBorders>
            <w:vAlign w:val="center"/>
            <w:hideMark/>
          </w:tcPr>
          <w:p w14:paraId="4834F468" w14:textId="77777777" w:rsidR="00B85F22" w:rsidRPr="00894701" w:rsidRDefault="00B85F22" w:rsidP="00BF6F3B">
            <w:pPr>
              <w:spacing w:before="120" w:line="240" w:lineRule="auto"/>
              <w:rPr>
                <w:rFonts w:cs="Arial"/>
                <w:b/>
                <w:bCs/>
                <w:color w:val="auto"/>
                <w:kern w:val="0"/>
                <w:sz w:val="16"/>
                <w:szCs w:val="16"/>
              </w:rPr>
            </w:pPr>
          </w:p>
        </w:tc>
        <w:tc>
          <w:tcPr>
            <w:tcW w:w="1308" w:type="dxa"/>
            <w:vMerge/>
            <w:tcBorders>
              <w:top w:val="nil"/>
              <w:left w:val="nil"/>
              <w:bottom w:val="single" w:sz="8" w:space="0" w:color="FF0000"/>
              <w:right w:val="nil"/>
            </w:tcBorders>
            <w:vAlign w:val="center"/>
            <w:hideMark/>
          </w:tcPr>
          <w:p w14:paraId="32911B30" w14:textId="77777777" w:rsidR="00B85F22" w:rsidRPr="00894701" w:rsidRDefault="00B85F22" w:rsidP="00BF6F3B">
            <w:pPr>
              <w:spacing w:before="120" w:line="240" w:lineRule="auto"/>
              <w:rPr>
                <w:rFonts w:cs="Arial"/>
                <w:b/>
                <w:bCs/>
                <w:color w:val="auto"/>
                <w:kern w:val="0"/>
                <w:sz w:val="16"/>
                <w:szCs w:val="16"/>
              </w:rPr>
            </w:pPr>
          </w:p>
        </w:tc>
        <w:tc>
          <w:tcPr>
            <w:tcW w:w="1527" w:type="dxa"/>
            <w:vMerge/>
            <w:tcBorders>
              <w:top w:val="nil"/>
              <w:left w:val="nil"/>
              <w:bottom w:val="single" w:sz="8" w:space="0" w:color="FF0000"/>
              <w:right w:val="nil"/>
            </w:tcBorders>
            <w:vAlign w:val="center"/>
            <w:hideMark/>
          </w:tcPr>
          <w:p w14:paraId="03CCDF60" w14:textId="77777777" w:rsidR="00B85F22" w:rsidRPr="00894701" w:rsidRDefault="00B85F22" w:rsidP="00BF6F3B">
            <w:pPr>
              <w:spacing w:before="120" w:line="240" w:lineRule="auto"/>
              <w:rPr>
                <w:rFonts w:cs="Arial"/>
                <w:b/>
                <w:bCs/>
                <w:color w:val="auto"/>
                <w:kern w:val="0"/>
                <w:sz w:val="16"/>
                <w:szCs w:val="16"/>
              </w:rPr>
            </w:pPr>
          </w:p>
        </w:tc>
        <w:tc>
          <w:tcPr>
            <w:tcW w:w="1843" w:type="dxa"/>
            <w:vMerge/>
            <w:tcBorders>
              <w:top w:val="nil"/>
              <w:left w:val="nil"/>
              <w:bottom w:val="single" w:sz="8" w:space="0" w:color="FF0000"/>
              <w:right w:val="nil"/>
            </w:tcBorders>
            <w:vAlign w:val="center"/>
            <w:hideMark/>
          </w:tcPr>
          <w:p w14:paraId="65A21EAB" w14:textId="77777777" w:rsidR="00B85F22" w:rsidRPr="00894701" w:rsidRDefault="00B85F22" w:rsidP="00BF6F3B">
            <w:pPr>
              <w:spacing w:before="120" w:line="240" w:lineRule="auto"/>
              <w:rPr>
                <w:rFonts w:cs="Arial"/>
                <w:b/>
                <w:bCs/>
                <w:color w:val="auto"/>
                <w:kern w:val="0"/>
                <w:sz w:val="16"/>
                <w:szCs w:val="16"/>
              </w:rPr>
            </w:pPr>
          </w:p>
        </w:tc>
        <w:tc>
          <w:tcPr>
            <w:tcW w:w="298" w:type="dxa"/>
            <w:tcBorders>
              <w:top w:val="nil"/>
              <w:left w:val="nil"/>
              <w:bottom w:val="nil"/>
              <w:right w:val="nil"/>
            </w:tcBorders>
            <w:shd w:val="clear" w:color="000000" w:fill="FFFFFF"/>
            <w:noWrap/>
            <w:vAlign w:val="bottom"/>
            <w:hideMark/>
          </w:tcPr>
          <w:p w14:paraId="177F7A30" w14:textId="77777777" w:rsidR="00B85F22" w:rsidRPr="00894701" w:rsidRDefault="00B85F22" w:rsidP="00BF6F3B">
            <w:pPr>
              <w:spacing w:before="120" w:line="240" w:lineRule="auto"/>
              <w:jc w:val="right"/>
              <w:rPr>
                <w:rFonts w:cs="Arial"/>
                <w:color w:val="auto"/>
                <w:kern w:val="0"/>
                <w:sz w:val="16"/>
                <w:szCs w:val="16"/>
              </w:rPr>
            </w:pPr>
            <w:r w:rsidRPr="00894701">
              <w:rPr>
                <w:rFonts w:cs="Arial"/>
                <w:color w:val="auto"/>
                <w:kern w:val="0"/>
                <w:sz w:val="16"/>
                <w:szCs w:val="16"/>
              </w:rPr>
              <w:t> </w:t>
            </w:r>
          </w:p>
        </w:tc>
        <w:tc>
          <w:tcPr>
            <w:tcW w:w="1261" w:type="dxa"/>
            <w:tcBorders>
              <w:top w:val="nil"/>
              <w:left w:val="nil"/>
              <w:bottom w:val="single" w:sz="8" w:space="0" w:color="FF0000"/>
              <w:right w:val="nil"/>
            </w:tcBorders>
            <w:shd w:val="clear" w:color="000000" w:fill="800000"/>
            <w:vAlign w:val="center"/>
            <w:hideMark/>
          </w:tcPr>
          <w:p w14:paraId="107F44C7" w14:textId="77777777" w:rsidR="00B85F22" w:rsidRPr="00894701" w:rsidRDefault="00B85F22" w:rsidP="00BF6F3B">
            <w:pPr>
              <w:spacing w:before="120" w:line="240" w:lineRule="auto"/>
              <w:jc w:val="center"/>
              <w:rPr>
                <w:rFonts w:cs="Arial"/>
                <w:b/>
                <w:bCs/>
                <w:color w:val="auto"/>
                <w:kern w:val="0"/>
                <w:sz w:val="16"/>
                <w:szCs w:val="16"/>
              </w:rPr>
            </w:pPr>
            <w:r w:rsidRPr="00894701">
              <w:rPr>
                <w:rFonts w:cs="Arial"/>
                <w:b/>
                <w:bCs/>
                <w:color w:val="auto"/>
                <w:kern w:val="0"/>
                <w:sz w:val="16"/>
                <w:szCs w:val="16"/>
              </w:rPr>
              <w:t>Mining</w:t>
            </w:r>
          </w:p>
        </w:tc>
        <w:tc>
          <w:tcPr>
            <w:tcW w:w="1418" w:type="dxa"/>
            <w:tcBorders>
              <w:top w:val="nil"/>
              <w:left w:val="nil"/>
              <w:bottom w:val="single" w:sz="8" w:space="0" w:color="FF0000"/>
              <w:right w:val="nil"/>
            </w:tcBorders>
            <w:shd w:val="clear" w:color="000000" w:fill="800000"/>
            <w:vAlign w:val="center"/>
            <w:hideMark/>
          </w:tcPr>
          <w:p w14:paraId="7D7E48C0" w14:textId="77777777" w:rsidR="00B85F22" w:rsidRPr="00894701" w:rsidRDefault="00B85F22" w:rsidP="00BF6F3B">
            <w:pPr>
              <w:spacing w:before="120" w:line="240" w:lineRule="auto"/>
              <w:jc w:val="center"/>
              <w:rPr>
                <w:rFonts w:cs="Arial"/>
                <w:b/>
                <w:bCs/>
                <w:color w:val="auto"/>
                <w:kern w:val="0"/>
                <w:sz w:val="16"/>
                <w:szCs w:val="16"/>
              </w:rPr>
            </w:pPr>
            <w:r w:rsidRPr="00894701">
              <w:rPr>
                <w:rFonts w:cs="Arial"/>
                <w:b/>
                <w:bCs/>
                <w:color w:val="auto"/>
                <w:kern w:val="0"/>
                <w:sz w:val="16"/>
                <w:szCs w:val="16"/>
              </w:rPr>
              <w:t>Oil &amp; Gas</w:t>
            </w:r>
          </w:p>
        </w:tc>
      </w:tr>
      <w:tr w:rsidR="00B85F22" w:rsidRPr="00894701" w14:paraId="68BED4C1" w14:textId="77777777" w:rsidTr="004C70CC">
        <w:trPr>
          <w:trHeight w:val="240"/>
          <w:jc w:val="center"/>
        </w:trPr>
        <w:tc>
          <w:tcPr>
            <w:tcW w:w="5245" w:type="dxa"/>
            <w:tcBorders>
              <w:top w:val="nil"/>
              <w:left w:val="nil"/>
              <w:bottom w:val="nil"/>
              <w:right w:val="nil"/>
            </w:tcBorders>
            <w:shd w:val="clear" w:color="000000" w:fill="F7A3B0"/>
            <w:noWrap/>
            <w:vAlign w:val="center"/>
            <w:hideMark/>
          </w:tcPr>
          <w:p w14:paraId="289413D5" w14:textId="77777777" w:rsidR="00B85F22" w:rsidRPr="00894701" w:rsidRDefault="00B85F22" w:rsidP="00BF6F3B">
            <w:pPr>
              <w:spacing w:before="120" w:line="240" w:lineRule="auto"/>
              <w:rPr>
                <w:rFonts w:cs="Arial"/>
                <w:color w:val="auto"/>
                <w:kern w:val="0"/>
                <w:sz w:val="16"/>
                <w:szCs w:val="16"/>
              </w:rPr>
            </w:pPr>
            <w:r w:rsidRPr="00894701">
              <w:rPr>
                <w:rFonts w:cs="Arial"/>
                <w:color w:val="auto"/>
                <w:kern w:val="0"/>
                <w:sz w:val="16"/>
                <w:szCs w:val="16"/>
              </w:rPr>
              <w:t xml:space="preserve">Ministry of Finance and Planning (MoFP) </w:t>
            </w:r>
          </w:p>
        </w:tc>
        <w:tc>
          <w:tcPr>
            <w:tcW w:w="1275" w:type="dxa"/>
            <w:tcBorders>
              <w:top w:val="nil"/>
              <w:left w:val="nil"/>
              <w:bottom w:val="nil"/>
              <w:right w:val="nil"/>
            </w:tcBorders>
            <w:shd w:val="clear" w:color="000000" w:fill="F7A3B0"/>
            <w:noWrap/>
            <w:vAlign w:val="center"/>
          </w:tcPr>
          <w:p w14:paraId="53C9ACD1" w14:textId="603944CA" w:rsidR="00B85F22" w:rsidRPr="00894701" w:rsidRDefault="00F62C68" w:rsidP="00BF6F3B">
            <w:pPr>
              <w:spacing w:before="120" w:line="240" w:lineRule="auto"/>
              <w:jc w:val="right"/>
              <w:rPr>
                <w:rFonts w:cs="Arial"/>
                <w:color w:val="auto"/>
                <w:kern w:val="0"/>
                <w:sz w:val="16"/>
                <w:szCs w:val="16"/>
              </w:rPr>
            </w:pPr>
            <w:r w:rsidRPr="00894701">
              <w:rPr>
                <w:rFonts w:cs="Arial"/>
                <w:color w:val="auto"/>
                <w:sz w:val="16"/>
                <w:szCs w:val="16"/>
              </w:rPr>
              <w:t xml:space="preserve">198,854,576 </w:t>
            </w:r>
          </w:p>
        </w:tc>
        <w:tc>
          <w:tcPr>
            <w:tcW w:w="1308" w:type="dxa"/>
            <w:tcBorders>
              <w:top w:val="nil"/>
              <w:left w:val="nil"/>
              <w:bottom w:val="nil"/>
              <w:right w:val="nil"/>
            </w:tcBorders>
            <w:shd w:val="clear" w:color="000000" w:fill="F7A3B0"/>
            <w:noWrap/>
            <w:vAlign w:val="center"/>
          </w:tcPr>
          <w:p w14:paraId="7AF7B0FA" w14:textId="1010E06A" w:rsidR="00B85F22" w:rsidRPr="00894701" w:rsidRDefault="003626E6" w:rsidP="00BF6F3B">
            <w:pPr>
              <w:spacing w:before="120" w:line="240" w:lineRule="auto"/>
              <w:jc w:val="right"/>
              <w:rPr>
                <w:rFonts w:cs="Arial"/>
                <w:color w:val="auto"/>
                <w:kern w:val="0"/>
                <w:sz w:val="16"/>
                <w:szCs w:val="16"/>
              </w:rPr>
            </w:pPr>
            <w:r w:rsidRPr="00894701">
              <w:rPr>
                <w:rFonts w:cs="Arial"/>
                <w:color w:val="auto"/>
                <w:sz w:val="16"/>
                <w:szCs w:val="16"/>
              </w:rPr>
              <w:t xml:space="preserve">920,074,374 </w:t>
            </w:r>
          </w:p>
        </w:tc>
        <w:tc>
          <w:tcPr>
            <w:tcW w:w="1527" w:type="dxa"/>
            <w:tcBorders>
              <w:top w:val="nil"/>
              <w:left w:val="nil"/>
              <w:bottom w:val="nil"/>
              <w:right w:val="nil"/>
            </w:tcBorders>
            <w:shd w:val="clear" w:color="000000" w:fill="F7A3B0"/>
            <w:noWrap/>
            <w:vAlign w:val="center"/>
            <w:hideMark/>
          </w:tcPr>
          <w:p w14:paraId="0B4D6BF9" w14:textId="00B269FE" w:rsidR="00B85F22" w:rsidRPr="00894701" w:rsidRDefault="00B85F22" w:rsidP="00BF6F3B">
            <w:pPr>
              <w:spacing w:before="120" w:line="240" w:lineRule="auto"/>
              <w:jc w:val="right"/>
              <w:rPr>
                <w:rFonts w:cs="Arial"/>
                <w:color w:val="auto"/>
                <w:kern w:val="0"/>
                <w:sz w:val="16"/>
                <w:szCs w:val="16"/>
              </w:rPr>
            </w:pPr>
            <w:r w:rsidRPr="00894701">
              <w:rPr>
                <w:rFonts w:cs="Arial"/>
                <w:color w:val="auto"/>
                <w:sz w:val="16"/>
                <w:szCs w:val="16"/>
              </w:rPr>
              <w:t>-</w:t>
            </w:r>
          </w:p>
        </w:tc>
        <w:tc>
          <w:tcPr>
            <w:tcW w:w="1843" w:type="dxa"/>
            <w:tcBorders>
              <w:top w:val="nil"/>
              <w:left w:val="nil"/>
              <w:bottom w:val="nil"/>
              <w:right w:val="nil"/>
            </w:tcBorders>
            <w:shd w:val="clear" w:color="000000" w:fill="F7A3B0"/>
            <w:noWrap/>
            <w:vAlign w:val="center"/>
          </w:tcPr>
          <w:p w14:paraId="3433DA64" w14:textId="727DEC9D" w:rsidR="00B85F22" w:rsidRPr="00894701" w:rsidRDefault="00F62C68" w:rsidP="00BF6F3B">
            <w:pPr>
              <w:spacing w:before="120" w:line="240" w:lineRule="auto"/>
              <w:jc w:val="right"/>
              <w:rPr>
                <w:rFonts w:cs="Arial"/>
                <w:color w:val="auto"/>
                <w:kern w:val="0"/>
                <w:sz w:val="16"/>
                <w:szCs w:val="16"/>
              </w:rPr>
            </w:pPr>
            <w:r w:rsidRPr="00894701">
              <w:rPr>
                <w:rFonts w:cs="Arial"/>
                <w:color w:val="auto"/>
                <w:sz w:val="16"/>
                <w:szCs w:val="16"/>
              </w:rPr>
              <w:t xml:space="preserve">1,118,928,950 </w:t>
            </w:r>
          </w:p>
        </w:tc>
        <w:tc>
          <w:tcPr>
            <w:tcW w:w="298" w:type="dxa"/>
            <w:tcBorders>
              <w:top w:val="nil"/>
              <w:left w:val="nil"/>
              <w:bottom w:val="nil"/>
              <w:right w:val="nil"/>
            </w:tcBorders>
            <w:shd w:val="clear" w:color="000000" w:fill="FFFFFF"/>
            <w:vAlign w:val="center"/>
          </w:tcPr>
          <w:p w14:paraId="444E0B3D" w14:textId="1942953C" w:rsidR="00B85F22" w:rsidRPr="00894701" w:rsidRDefault="00B85F22" w:rsidP="00BF6F3B">
            <w:pPr>
              <w:spacing w:before="120" w:line="240" w:lineRule="auto"/>
              <w:jc w:val="right"/>
              <w:rPr>
                <w:rFonts w:cs="Arial"/>
                <w:b/>
                <w:bCs/>
                <w:color w:val="auto"/>
                <w:kern w:val="0"/>
                <w:sz w:val="16"/>
                <w:szCs w:val="16"/>
              </w:rPr>
            </w:pPr>
          </w:p>
        </w:tc>
        <w:tc>
          <w:tcPr>
            <w:tcW w:w="1261" w:type="dxa"/>
            <w:tcBorders>
              <w:top w:val="nil"/>
              <w:left w:val="nil"/>
              <w:bottom w:val="nil"/>
              <w:right w:val="nil"/>
            </w:tcBorders>
            <w:shd w:val="clear" w:color="000000" w:fill="F7A3B0"/>
            <w:noWrap/>
            <w:vAlign w:val="center"/>
          </w:tcPr>
          <w:p w14:paraId="011205FF" w14:textId="63EB4662" w:rsidR="00B85F22" w:rsidRPr="00894701" w:rsidRDefault="003626E6" w:rsidP="00BF6F3B">
            <w:pPr>
              <w:spacing w:before="120" w:line="240" w:lineRule="auto"/>
              <w:jc w:val="right"/>
              <w:rPr>
                <w:rFonts w:cs="Arial"/>
                <w:color w:val="auto"/>
                <w:kern w:val="0"/>
                <w:sz w:val="16"/>
                <w:szCs w:val="16"/>
              </w:rPr>
            </w:pPr>
            <w:r w:rsidRPr="00894701">
              <w:rPr>
                <w:rFonts w:cs="Arial"/>
                <w:color w:val="auto"/>
                <w:sz w:val="16"/>
                <w:szCs w:val="16"/>
              </w:rPr>
              <w:t xml:space="preserve">920,074,374 </w:t>
            </w:r>
          </w:p>
        </w:tc>
        <w:tc>
          <w:tcPr>
            <w:tcW w:w="1418" w:type="dxa"/>
            <w:tcBorders>
              <w:top w:val="nil"/>
              <w:left w:val="nil"/>
              <w:bottom w:val="nil"/>
              <w:right w:val="nil"/>
            </w:tcBorders>
            <w:shd w:val="clear" w:color="000000" w:fill="F7A3B0"/>
            <w:noWrap/>
            <w:vAlign w:val="center"/>
          </w:tcPr>
          <w:p w14:paraId="2B7CAB28" w14:textId="53F80779" w:rsidR="00B85F22" w:rsidRPr="00894701" w:rsidRDefault="00F62C68" w:rsidP="00BF6F3B">
            <w:pPr>
              <w:spacing w:before="120" w:line="240" w:lineRule="auto"/>
              <w:jc w:val="right"/>
              <w:rPr>
                <w:rFonts w:cs="Arial"/>
                <w:color w:val="auto"/>
                <w:kern w:val="0"/>
                <w:sz w:val="16"/>
                <w:szCs w:val="16"/>
              </w:rPr>
            </w:pPr>
            <w:r w:rsidRPr="00894701">
              <w:rPr>
                <w:rFonts w:cs="Arial"/>
                <w:color w:val="auto"/>
                <w:sz w:val="16"/>
                <w:szCs w:val="16"/>
              </w:rPr>
              <w:t xml:space="preserve">198,854,576 </w:t>
            </w:r>
          </w:p>
        </w:tc>
      </w:tr>
      <w:tr w:rsidR="00B85F22" w:rsidRPr="00894701" w14:paraId="43A35023" w14:textId="77777777" w:rsidTr="00B75F94">
        <w:trPr>
          <w:trHeight w:val="240"/>
          <w:jc w:val="center"/>
        </w:trPr>
        <w:tc>
          <w:tcPr>
            <w:tcW w:w="5245" w:type="dxa"/>
            <w:tcBorders>
              <w:top w:val="nil"/>
              <w:left w:val="nil"/>
              <w:bottom w:val="nil"/>
              <w:right w:val="nil"/>
            </w:tcBorders>
            <w:shd w:val="clear" w:color="auto" w:fill="auto"/>
            <w:noWrap/>
            <w:vAlign w:val="center"/>
            <w:hideMark/>
          </w:tcPr>
          <w:p w14:paraId="7BF4D06E" w14:textId="77777777" w:rsidR="00B85F22" w:rsidRPr="00894701" w:rsidRDefault="00B85F22" w:rsidP="00BF6F3B">
            <w:pPr>
              <w:spacing w:before="120" w:line="240" w:lineRule="auto"/>
              <w:rPr>
                <w:rFonts w:cs="Arial"/>
                <w:color w:val="auto"/>
                <w:kern w:val="0"/>
                <w:sz w:val="16"/>
                <w:szCs w:val="16"/>
              </w:rPr>
            </w:pPr>
            <w:r w:rsidRPr="00894701">
              <w:rPr>
                <w:rFonts w:cs="Arial"/>
                <w:color w:val="auto"/>
                <w:kern w:val="0"/>
                <w:sz w:val="16"/>
                <w:szCs w:val="16"/>
              </w:rPr>
              <w:t xml:space="preserve"> Ministry of Natural Resources (MoNR)</w:t>
            </w:r>
          </w:p>
        </w:tc>
        <w:tc>
          <w:tcPr>
            <w:tcW w:w="1275" w:type="dxa"/>
            <w:tcBorders>
              <w:top w:val="nil"/>
              <w:left w:val="nil"/>
              <w:bottom w:val="nil"/>
              <w:right w:val="nil"/>
            </w:tcBorders>
            <w:shd w:val="clear" w:color="000000" w:fill="FFFFFF"/>
            <w:noWrap/>
            <w:vAlign w:val="center"/>
            <w:hideMark/>
          </w:tcPr>
          <w:p w14:paraId="79ED0C16" w14:textId="4A50C179" w:rsidR="00B85F22" w:rsidRPr="00894701" w:rsidRDefault="00B85F22" w:rsidP="00BF6F3B">
            <w:pPr>
              <w:spacing w:before="120" w:line="240" w:lineRule="auto"/>
              <w:jc w:val="right"/>
              <w:rPr>
                <w:rFonts w:cs="Arial"/>
                <w:color w:val="auto"/>
                <w:kern w:val="0"/>
                <w:sz w:val="16"/>
                <w:szCs w:val="16"/>
              </w:rPr>
            </w:pPr>
            <w:r w:rsidRPr="00894701">
              <w:rPr>
                <w:rFonts w:cs="Arial"/>
                <w:color w:val="auto"/>
                <w:sz w:val="16"/>
                <w:szCs w:val="16"/>
              </w:rPr>
              <w:t>-</w:t>
            </w:r>
          </w:p>
        </w:tc>
        <w:tc>
          <w:tcPr>
            <w:tcW w:w="1308" w:type="dxa"/>
            <w:tcBorders>
              <w:top w:val="nil"/>
              <w:left w:val="nil"/>
              <w:bottom w:val="nil"/>
              <w:right w:val="nil"/>
            </w:tcBorders>
            <w:shd w:val="clear" w:color="000000" w:fill="FFFFFF"/>
            <w:noWrap/>
            <w:vAlign w:val="center"/>
            <w:hideMark/>
          </w:tcPr>
          <w:p w14:paraId="15F59936" w14:textId="4A8A94BB" w:rsidR="00B85F22" w:rsidRPr="00894701" w:rsidRDefault="00B85F22" w:rsidP="00BF6F3B">
            <w:pPr>
              <w:spacing w:before="120" w:line="240" w:lineRule="auto"/>
              <w:jc w:val="right"/>
              <w:rPr>
                <w:rFonts w:cs="Arial"/>
                <w:color w:val="auto"/>
                <w:kern w:val="0"/>
                <w:sz w:val="16"/>
                <w:szCs w:val="16"/>
              </w:rPr>
            </w:pPr>
            <w:r w:rsidRPr="00894701">
              <w:rPr>
                <w:rFonts w:cs="Arial"/>
                <w:color w:val="auto"/>
                <w:sz w:val="16"/>
                <w:szCs w:val="16"/>
              </w:rPr>
              <w:t>-</w:t>
            </w:r>
          </w:p>
        </w:tc>
        <w:tc>
          <w:tcPr>
            <w:tcW w:w="1527" w:type="dxa"/>
            <w:tcBorders>
              <w:top w:val="nil"/>
              <w:left w:val="nil"/>
              <w:bottom w:val="nil"/>
              <w:right w:val="nil"/>
            </w:tcBorders>
            <w:shd w:val="clear" w:color="000000" w:fill="FFFFFF"/>
            <w:noWrap/>
            <w:vAlign w:val="center"/>
            <w:hideMark/>
          </w:tcPr>
          <w:p w14:paraId="0A0371C8" w14:textId="62D4C454" w:rsidR="00B85F22" w:rsidRPr="00894701" w:rsidRDefault="00B85F22" w:rsidP="00BF6F3B">
            <w:pPr>
              <w:spacing w:before="120" w:line="240" w:lineRule="auto"/>
              <w:jc w:val="right"/>
              <w:rPr>
                <w:rFonts w:cs="Arial"/>
                <w:color w:val="auto"/>
                <w:kern w:val="0"/>
                <w:sz w:val="16"/>
                <w:szCs w:val="16"/>
              </w:rPr>
            </w:pPr>
            <w:r w:rsidRPr="00894701">
              <w:rPr>
                <w:rFonts w:cs="Arial"/>
                <w:color w:val="auto"/>
                <w:sz w:val="16"/>
                <w:szCs w:val="16"/>
              </w:rPr>
              <w:t>-</w:t>
            </w:r>
          </w:p>
        </w:tc>
        <w:tc>
          <w:tcPr>
            <w:tcW w:w="1843" w:type="dxa"/>
            <w:tcBorders>
              <w:top w:val="nil"/>
              <w:left w:val="nil"/>
              <w:bottom w:val="nil"/>
              <w:right w:val="nil"/>
            </w:tcBorders>
            <w:shd w:val="clear" w:color="000000" w:fill="FFFFFF"/>
            <w:noWrap/>
            <w:vAlign w:val="center"/>
            <w:hideMark/>
          </w:tcPr>
          <w:p w14:paraId="4130ABDF" w14:textId="55863084" w:rsidR="00B85F22" w:rsidRPr="00894701" w:rsidRDefault="00B85F22" w:rsidP="00BF6F3B">
            <w:pPr>
              <w:spacing w:before="120" w:line="240" w:lineRule="auto"/>
              <w:jc w:val="right"/>
              <w:rPr>
                <w:rFonts w:cs="Arial"/>
                <w:color w:val="auto"/>
                <w:kern w:val="0"/>
                <w:sz w:val="16"/>
                <w:szCs w:val="16"/>
              </w:rPr>
            </w:pPr>
            <w:r w:rsidRPr="00894701">
              <w:rPr>
                <w:rFonts w:cs="Arial"/>
                <w:color w:val="auto"/>
                <w:sz w:val="16"/>
                <w:szCs w:val="16"/>
              </w:rPr>
              <w:t>-</w:t>
            </w:r>
          </w:p>
        </w:tc>
        <w:tc>
          <w:tcPr>
            <w:tcW w:w="298" w:type="dxa"/>
            <w:tcBorders>
              <w:top w:val="nil"/>
              <w:left w:val="nil"/>
              <w:bottom w:val="nil"/>
              <w:right w:val="nil"/>
            </w:tcBorders>
            <w:shd w:val="clear" w:color="000000" w:fill="FFFFFF"/>
            <w:noWrap/>
            <w:vAlign w:val="bottom"/>
            <w:hideMark/>
          </w:tcPr>
          <w:p w14:paraId="033E55EB" w14:textId="18000894" w:rsidR="00B85F22" w:rsidRPr="00894701" w:rsidRDefault="00B85F22" w:rsidP="00BF6F3B">
            <w:pPr>
              <w:spacing w:before="120" w:line="240" w:lineRule="auto"/>
              <w:jc w:val="right"/>
              <w:rPr>
                <w:rFonts w:cs="Arial"/>
                <w:color w:val="auto"/>
                <w:kern w:val="0"/>
                <w:sz w:val="16"/>
                <w:szCs w:val="16"/>
              </w:rPr>
            </w:pPr>
          </w:p>
        </w:tc>
        <w:tc>
          <w:tcPr>
            <w:tcW w:w="1261" w:type="dxa"/>
            <w:tcBorders>
              <w:top w:val="nil"/>
              <w:left w:val="nil"/>
              <w:bottom w:val="nil"/>
              <w:right w:val="nil"/>
            </w:tcBorders>
            <w:shd w:val="clear" w:color="000000" w:fill="FFFFFF"/>
            <w:noWrap/>
            <w:vAlign w:val="center"/>
            <w:hideMark/>
          </w:tcPr>
          <w:p w14:paraId="0972CBED" w14:textId="0019B1CC" w:rsidR="00B85F22" w:rsidRPr="00894701" w:rsidRDefault="00B85F22" w:rsidP="00BF6F3B">
            <w:pPr>
              <w:spacing w:before="120" w:line="240" w:lineRule="auto"/>
              <w:jc w:val="right"/>
              <w:rPr>
                <w:rFonts w:cs="Arial"/>
                <w:color w:val="auto"/>
                <w:kern w:val="0"/>
                <w:sz w:val="16"/>
                <w:szCs w:val="16"/>
              </w:rPr>
            </w:pPr>
            <w:r w:rsidRPr="00894701">
              <w:rPr>
                <w:rFonts w:cs="Arial"/>
                <w:color w:val="auto"/>
                <w:sz w:val="16"/>
                <w:szCs w:val="16"/>
              </w:rPr>
              <w:t>-</w:t>
            </w:r>
          </w:p>
        </w:tc>
        <w:tc>
          <w:tcPr>
            <w:tcW w:w="1418" w:type="dxa"/>
            <w:tcBorders>
              <w:top w:val="nil"/>
              <w:left w:val="nil"/>
              <w:bottom w:val="nil"/>
              <w:right w:val="nil"/>
            </w:tcBorders>
            <w:shd w:val="clear" w:color="000000" w:fill="FFFFFF"/>
            <w:noWrap/>
            <w:vAlign w:val="center"/>
            <w:hideMark/>
          </w:tcPr>
          <w:p w14:paraId="1405F561" w14:textId="22DEC7FD" w:rsidR="00B85F22" w:rsidRPr="00894701" w:rsidRDefault="00B85F22" w:rsidP="00BF6F3B">
            <w:pPr>
              <w:spacing w:before="120" w:line="240" w:lineRule="auto"/>
              <w:jc w:val="right"/>
              <w:rPr>
                <w:rFonts w:cs="Arial"/>
                <w:color w:val="auto"/>
                <w:kern w:val="0"/>
                <w:sz w:val="16"/>
                <w:szCs w:val="16"/>
              </w:rPr>
            </w:pPr>
            <w:r w:rsidRPr="00894701">
              <w:rPr>
                <w:rFonts w:cs="Arial"/>
                <w:color w:val="auto"/>
                <w:sz w:val="16"/>
                <w:szCs w:val="16"/>
              </w:rPr>
              <w:t>-</w:t>
            </w:r>
          </w:p>
        </w:tc>
      </w:tr>
      <w:tr w:rsidR="00B85F22" w:rsidRPr="00894701" w14:paraId="187358D4" w14:textId="77777777" w:rsidTr="00B75F94">
        <w:trPr>
          <w:trHeight w:val="240"/>
          <w:jc w:val="center"/>
        </w:trPr>
        <w:tc>
          <w:tcPr>
            <w:tcW w:w="5245" w:type="dxa"/>
            <w:tcBorders>
              <w:top w:val="nil"/>
              <w:left w:val="nil"/>
              <w:bottom w:val="nil"/>
              <w:right w:val="nil"/>
            </w:tcBorders>
            <w:shd w:val="clear" w:color="000000" w:fill="F7A3B0"/>
            <w:noWrap/>
            <w:vAlign w:val="center"/>
            <w:hideMark/>
          </w:tcPr>
          <w:p w14:paraId="6B462B5D" w14:textId="77777777" w:rsidR="00B85F22" w:rsidRPr="00894701" w:rsidRDefault="00B85F22" w:rsidP="00BF6F3B">
            <w:pPr>
              <w:spacing w:before="120" w:line="240" w:lineRule="auto"/>
              <w:rPr>
                <w:rFonts w:cs="Arial"/>
                <w:color w:val="auto"/>
                <w:kern w:val="0"/>
                <w:sz w:val="16"/>
                <w:szCs w:val="16"/>
              </w:rPr>
            </w:pPr>
            <w:r w:rsidRPr="00894701">
              <w:rPr>
                <w:rFonts w:cs="Arial"/>
                <w:color w:val="auto"/>
                <w:kern w:val="0"/>
                <w:sz w:val="16"/>
                <w:szCs w:val="16"/>
              </w:rPr>
              <w:t xml:space="preserve"> Other payments to Ministry of Natural Resources (MoNR)</w:t>
            </w:r>
          </w:p>
        </w:tc>
        <w:tc>
          <w:tcPr>
            <w:tcW w:w="1275" w:type="dxa"/>
            <w:tcBorders>
              <w:top w:val="nil"/>
              <w:left w:val="nil"/>
              <w:bottom w:val="nil"/>
              <w:right w:val="nil"/>
            </w:tcBorders>
            <w:shd w:val="clear" w:color="000000" w:fill="F7A3B0"/>
            <w:noWrap/>
            <w:vAlign w:val="center"/>
            <w:hideMark/>
          </w:tcPr>
          <w:p w14:paraId="7DFA6C71" w14:textId="779AC48F" w:rsidR="00B85F22" w:rsidRPr="00894701" w:rsidRDefault="00B85F22" w:rsidP="00BF6F3B">
            <w:pPr>
              <w:spacing w:before="120" w:line="240" w:lineRule="auto"/>
              <w:jc w:val="right"/>
              <w:rPr>
                <w:rFonts w:cs="Arial"/>
                <w:color w:val="auto"/>
                <w:kern w:val="0"/>
                <w:sz w:val="16"/>
                <w:szCs w:val="16"/>
              </w:rPr>
            </w:pPr>
            <w:r w:rsidRPr="00894701">
              <w:rPr>
                <w:rFonts w:cs="Arial"/>
                <w:color w:val="auto"/>
                <w:sz w:val="16"/>
                <w:szCs w:val="16"/>
              </w:rPr>
              <w:t>-</w:t>
            </w:r>
          </w:p>
        </w:tc>
        <w:tc>
          <w:tcPr>
            <w:tcW w:w="1308" w:type="dxa"/>
            <w:tcBorders>
              <w:top w:val="nil"/>
              <w:left w:val="nil"/>
              <w:bottom w:val="nil"/>
              <w:right w:val="nil"/>
            </w:tcBorders>
            <w:shd w:val="clear" w:color="000000" w:fill="F7A3B0"/>
            <w:noWrap/>
            <w:vAlign w:val="center"/>
            <w:hideMark/>
          </w:tcPr>
          <w:p w14:paraId="0B1F2D5B" w14:textId="19D605EC" w:rsidR="00B85F22" w:rsidRPr="00894701" w:rsidRDefault="00B85F22" w:rsidP="00BF6F3B">
            <w:pPr>
              <w:spacing w:before="120" w:line="240" w:lineRule="auto"/>
              <w:jc w:val="right"/>
              <w:rPr>
                <w:rFonts w:cs="Arial"/>
                <w:color w:val="auto"/>
                <w:kern w:val="0"/>
                <w:sz w:val="16"/>
                <w:szCs w:val="16"/>
              </w:rPr>
            </w:pPr>
            <w:r w:rsidRPr="00894701">
              <w:rPr>
                <w:rFonts w:cs="Arial"/>
                <w:color w:val="auto"/>
                <w:sz w:val="16"/>
                <w:szCs w:val="16"/>
              </w:rPr>
              <w:t>-</w:t>
            </w:r>
          </w:p>
        </w:tc>
        <w:tc>
          <w:tcPr>
            <w:tcW w:w="1527" w:type="dxa"/>
            <w:tcBorders>
              <w:top w:val="nil"/>
              <w:left w:val="nil"/>
              <w:bottom w:val="nil"/>
              <w:right w:val="nil"/>
            </w:tcBorders>
            <w:shd w:val="clear" w:color="000000" w:fill="F7A3B0"/>
            <w:noWrap/>
            <w:vAlign w:val="center"/>
            <w:hideMark/>
          </w:tcPr>
          <w:p w14:paraId="461BAABD" w14:textId="0760829A" w:rsidR="00B85F22" w:rsidRPr="00894701" w:rsidRDefault="00B85F22" w:rsidP="00BF6F3B">
            <w:pPr>
              <w:spacing w:before="120" w:line="240" w:lineRule="auto"/>
              <w:jc w:val="right"/>
              <w:rPr>
                <w:rFonts w:cs="Arial"/>
                <w:color w:val="auto"/>
                <w:kern w:val="0"/>
                <w:sz w:val="16"/>
                <w:szCs w:val="16"/>
              </w:rPr>
            </w:pPr>
            <w:r w:rsidRPr="00894701">
              <w:rPr>
                <w:rFonts w:cs="Arial"/>
                <w:color w:val="auto"/>
                <w:sz w:val="16"/>
                <w:szCs w:val="16"/>
              </w:rPr>
              <w:t>-</w:t>
            </w:r>
          </w:p>
        </w:tc>
        <w:tc>
          <w:tcPr>
            <w:tcW w:w="1843" w:type="dxa"/>
            <w:tcBorders>
              <w:top w:val="nil"/>
              <w:left w:val="nil"/>
              <w:bottom w:val="nil"/>
              <w:right w:val="nil"/>
            </w:tcBorders>
            <w:shd w:val="clear" w:color="000000" w:fill="F7A3B0"/>
            <w:noWrap/>
            <w:vAlign w:val="center"/>
            <w:hideMark/>
          </w:tcPr>
          <w:p w14:paraId="2E71F4B8" w14:textId="17492F73" w:rsidR="00B85F22" w:rsidRPr="00894701" w:rsidRDefault="00B85F22" w:rsidP="00BF6F3B">
            <w:pPr>
              <w:spacing w:before="120" w:line="240" w:lineRule="auto"/>
              <w:jc w:val="right"/>
              <w:rPr>
                <w:rFonts w:cs="Arial"/>
                <w:color w:val="auto"/>
                <w:kern w:val="0"/>
                <w:sz w:val="16"/>
                <w:szCs w:val="16"/>
              </w:rPr>
            </w:pPr>
            <w:r w:rsidRPr="00894701">
              <w:rPr>
                <w:rFonts w:cs="Arial"/>
                <w:color w:val="auto"/>
                <w:sz w:val="16"/>
                <w:szCs w:val="16"/>
              </w:rPr>
              <w:t>-</w:t>
            </w:r>
          </w:p>
        </w:tc>
        <w:tc>
          <w:tcPr>
            <w:tcW w:w="298" w:type="dxa"/>
            <w:tcBorders>
              <w:top w:val="nil"/>
              <w:left w:val="nil"/>
              <w:bottom w:val="nil"/>
              <w:right w:val="nil"/>
            </w:tcBorders>
            <w:shd w:val="clear" w:color="000000" w:fill="FFFFFF"/>
            <w:noWrap/>
            <w:vAlign w:val="center"/>
            <w:hideMark/>
          </w:tcPr>
          <w:p w14:paraId="64C60B70" w14:textId="6DADFECE" w:rsidR="00B85F22" w:rsidRPr="00894701" w:rsidRDefault="00B85F22" w:rsidP="00BF6F3B">
            <w:pPr>
              <w:spacing w:before="120" w:line="240" w:lineRule="auto"/>
              <w:jc w:val="right"/>
              <w:rPr>
                <w:rFonts w:cs="Arial"/>
                <w:color w:val="auto"/>
                <w:kern w:val="0"/>
                <w:sz w:val="16"/>
                <w:szCs w:val="16"/>
              </w:rPr>
            </w:pPr>
          </w:p>
        </w:tc>
        <w:tc>
          <w:tcPr>
            <w:tcW w:w="1261" w:type="dxa"/>
            <w:tcBorders>
              <w:top w:val="nil"/>
              <w:left w:val="nil"/>
              <w:bottom w:val="nil"/>
              <w:right w:val="nil"/>
            </w:tcBorders>
            <w:shd w:val="clear" w:color="000000" w:fill="F7A3B0"/>
            <w:noWrap/>
            <w:vAlign w:val="center"/>
            <w:hideMark/>
          </w:tcPr>
          <w:p w14:paraId="1CB1A44D" w14:textId="5CC08B3E" w:rsidR="00B85F22" w:rsidRPr="00894701" w:rsidRDefault="00B85F22" w:rsidP="00BF6F3B">
            <w:pPr>
              <w:spacing w:before="120" w:line="240" w:lineRule="auto"/>
              <w:jc w:val="right"/>
              <w:rPr>
                <w:rFonts w:cs="Arial"/>
                <w:color w:val="auto"/>
                <w:kern w:val="0"/>
                <w:sz w:val="16"/>
                <w:szCs w:val="16"/>
              </w:rPr>
            </w:pPr>
            <w:r w:rsidRPr="00894701">
              <w:rPr>
                <w:rFonts w:cs="Arial"/>
                <w:color w:val="auto"/>
                <w:sz w:val="16"/>
                <w:szCs w:val="16"/>
              </w:rPr>
              <w:t>-</w:t>
            </w:r>
          </w:p>
        </w:tc>
        <w:tc>
          <w:tcPr>
            <w:tcW w:w="1418" w:type="dxa"/>
            <w:tcBorders>
              <w:top w:val="nil"/>
              <w:left w:val="nil"/>
              <w:bottom w:val="nil"/>
              <w:right w:val="nil"/>
            </w:tcBorders>
            <w:shd w:val="clear" w:color="000000" w:fill="F7A3B0"/>
            <w:noWrap/>
            <w:vAlign w:val="center"/>
            <w:hideMark/>
          </w:tcPr>
          <w:p w14:paraId="65F8E4EE" w14:textId="4BEBC935" w:rsidR="00B85F22" w:rsidRPr="00894701" w:rsidRDefault="00B85F22" w:rsidP="00BF6F3B">
            <w:pPr>
              <w:spacing w:before="120" w:line="240" w:lineRule="auto"/>
              <w:jc w:val="right"/>
              <w:rPr>
                <w:rFonts w:cs="Arial"/>
                <w:color w:val="auto"/>
                <w:kern w:val="0"/>
                <w:sz w:val="16"/>
                <w:szCs w:val="16"/>
              </w:rPr>
            </w:pPr>
            <w:r w:rsidRPr="00894701">
              <w:rPr>
                <w:rFonts w:cs="Arial"/>
                <w:color w:val="auto"/>
                <w:sz w:val="16"/>
                <w:szCs w:val="16"/>
              </w:rPr>
              <w:t>-</w:t>
            </w:r>
          </w:p>
        </w:tc>
      </w:tr>
      <w:tr w:rsidR="00B85F22" w:rsidRPr="00894701" w14:paraId="3FEFC1C0" w14:textId="77777777" w:rsidTr="00B75F94">
        <w:trPr>
          <w:trHeight w:val="240"/>
          <w:jc w:val="center"/>
        </w:trPr>
        <w:tc>
          <w:tcPr>
            <w:tcW w:w="5245" w:type="dxa"/>
            <w:tcBorders>
              <w:top w:val="nil"/>
              <w:left w:val="nil"/>
              <w:bottom w:val="nil"/>
              <w:right w:val="nil"/>
            </w:tcBorders>
            <w:shd w:val="clear" w:color="auto" w:fill="auto"/>
            <w:noWrap/>
            <w:vAlign w:val="center"/>
            <w:hideMark/>
          </w:tcPr>
          <w:p w14:paraId="1C2372BE" w14:textId="77777777" w:rsidR="00B85F22" w:rsidRPr="00894701" w:rsidRDefault="00B85F22" w:rsidP="00BF6F3B">
            <w:pPr>
              <w:spacing w:before="120" w:line="240" w:lineRule="auto"/>
              <w:rPr>
                <w:rFonts w:cs="Arial"/>
                <w:color w:val="auto"/>
                <w:kern w:val="0"/>
                <w:sz w:val="16"/>
                <w:szCs w:val="16"/>
              </w:rPr>
            </w:pPr>
            <w:r w:rsidRPr="00894701">
              <w:rPr>
                <w:rFonts w:cs="Arial"/>
                <w:color w:val="auto"/>
                <w:kern w:val="0"/>
                <w:sz w:val="16"/>
                <w:szCs w:val="16"/>
              </w:rPr>
              <w:t>State Owned Entities</w:t>
            </w:r>
          </w:p>
        </w:tc>
        <w:tc>
          <w:tcPr>
            <w:tcW w:w="1275" w:type="dxa"/>
            <w:tcBorders>
              <w:top w:val="nil"/>
              <w:left w:val="nil"/>
              <w:bottom w:val="nil"/>
              <w:right w:val="nil"/>
            </w:tcBorders>
            <w:shd w:val="clear" w:color="000000" w:fill="FFFFFF"/>
            <w:noWrap/>
            <w:vAlign w:val="center"/>
            <w:hideMark/>
          </w:tcPr>
          <w:p w14:paraId="16F59F91" w14:textId="14234B86" w:rsidR="00B85F22" w:rsidRPr="00894701" w:rsidRDefault="00B85F22" w:rsidP="00BF6F3B">
            <w:pPr>
              <w:spacing w:before="120" w:line="240" w:lineRule="auto"/>
              <w:jc w:val="right"/>
              <w:rPr>
                <w:rFonts w:cs="Arial"/>
                <w:color w:val="auto"/>
                <w:kern w:val="0"/>
                <w:sz w:val="16"/>
                <w:szCs w:val="16"/>
              </w:rPr>
            </w:pPr>
            <w:r w:rsidRPr="00894701">
              <w:rPr>
                <w:rFonts w:cs="Arial"/>
                <w:color w:val="auto"/>
                <w:sz w:val="16"/>
                <w:szCs w:val="16"/>
              </w:rPr>
              <w:t>-</w:t>
            </w:r>
          </w:p>
        </w:tc>
        <w:tc>
          <w:tcPr>
            <w:tcW w:w="1308" w:type="dxa"/>
            <w:tcBorders>
              <w:top w:val="nil"/>
              <w:left w:val="nil"/>
              <w:bottom w:val="nil"/>
              <w:right w:val="nil"/>
            </w:tcBorders>
            <w:shd w:val="clear" w:color="000000" w:fill="FFFFFF"/>
            <w:noWrap/>
            <w:vAlign w:val="center"/>
            <w:hideMark/>
          </w:tcPr>
          <w:p w14:paraId="67F74E85" w14:textId="5B1903E0" w:rsidR="00B85F22" w:rsidRPr="00894701" w:rsidRDefault="00B85F22" w:rsidP="00BF6F3B">
            <w:pPr>
              <w:spacing w:before="120" w:line="240" w:lineRule="auto"/>
              <w:jc w:val="right"/>
              <w:rPr>
                <w:rFonts w:cs="Arial"/>
                <w:color w:val="auto"/>
                <w:kern w:val="0"/>
                <w:sz w:val="16"/>
                <w:szCs w:val="16"/>
              </w:rPr>
            </w:pPr>
            <w:r w:rsidRPr="00894701">
              <w:rPr>
                <w:rFonts w:cs="Arial"/>
                <w:color w:val="auto"/>
                <w:sz w:val="16"/>
                <w:szCs w:val="16"/>
              </w:rPr>
              <w:t>-</w:t>
            </w:r>
          </w:p>
        </w:tc>
        <w:tc>
          <w:tcPr>
            <w:tcW w:w="1527" w:type="dxa"/>
            <w:tcBorders>
              <w:top w:val="nil"/>
              <w:left w:val="nil"/>
              <w:bottom w:val="nil"/>
              <w:right w:val="nil"/>
            </w:tcBorders>
            <w:shd w:val="clear" w:color="000000" w:fill="FFFFFF"/>
            <w:noWrap/>
            <w:vAlign w:val="center"/>
            <w:hideMark/>
          </w:tcPr>
          <w:p w14:paraId="158C4426" w14:textId="397E5583" w:rsidR="00B85F22" w:rsidRPr="00894701" w:rsidRDefault="00B85F22" w:rsidP="00BF6F3B">
            <w:pPr>
              <w:spacing w:before="120" w:line="240" w:lineRule="auto"/>
              <w:jc w:val="right"/>
              <w:rPr>
                <w:rFonts w:cs="Arial"/>
                <w:color w:val="auto"/>
                <w:kern w:val="0"/>
                <w:sz w:val="16"/>
                <w:szCs w:val="16"/>
              </w:rPr>
            </w:pPr>
            <w:r w:rsidRPr="00894701">
              <w:rPr>
                <w:rFonts w:cs="Arial"/>
                <w:color w:val="auto"/>
                <w:sz w:val="16"/>
                <w:szCs w:val="16"/>
              </w:rPr>
              <w:t>-</w:t>
            </w:r>
          </w:p>
        </w:tc>
        <w:tc>
          <w:tcPr>
            <w:tcW w:w="1843" w:type="dxa"/>
            <w:tcBorders>
              <w:top w:val="nil"/>
              <w:left w:val="nil"/>
              <w:bottom w:val="nil"/>
              <w:right w:val="nil"/>
            </w:tcBorders>
            <w:shd w:val="clear" w:color="000000" w:fill="FFFFFF"/>
            <w:noWrap/>
            <w:vAlign w:val="center"/>
            <w:hideMark/>
          </w:tcPr>
          <w:p w14:paraId="411F14A3" w14:textId="0ED27A88" w:rsidR="00B85F22" w:rsidRPr="00894701" w:rsidRDefault="00B85F22" w:rsidP="00BF6F3B">
            <w:pPr>
              <w:spacing w:before="120" w:line="240" w:lineRule="auto"/>
              <w:jc w:val="right"/>
              <w:rPr>
                <w:rFonts w:cs="Arial"/>
                <w:color w:val="auto"/>
                <w:kern w:val="0"/>
                <w:sz w:val="16"/>
                <w:szCs w:val="16"/>
              </w:rPr>
            </w:pPr>
            <w:r w:rsidRPr="00894701">
              <w:rPr>
                <w:rFonts w:cs="Arial"/>
                <w:color w:val="auto"/>
                <w:sz w:val="16"/>
                <w:szCs w:val="16"/>
              </w:rPr>
              <w:t>-</w:t>
            </w:r>
          </w:p>
        </w:tc>
        <w:tc>
          <w:tcPr>
            <w:tcW w:w="298" w:type="dxa"/>
            <w:tcBorders>
              <w:top w:val="nil"/>
              <w:left w:val="nil"/>
              <w:bottom w:val="nil"/>
              <w:right w:val="nil"/>
            </w:tcBorders>
            <w:shd w:val="clear" w:color="000000" w:fill="FFFFFF"/>
            <w:noWrap/>
            <w:vAlign w:val="center"/>
            <w:hideMark/>
          </w:tcPr>
          <w:p w14:paraId="606778D8" w14:textId="3BB3780B" w:rsidR="00B85F22" w:rsidRPr="00894701" w:rsidRDefault="00B85F22" w:rsidP="00BF6F3B">
            <w:pPr>
              <w:spacing w:before="120" w:line="240" w:lineRule="auto"/>
              <w:jc w:val="right"/>
              <w:rPr>
                <w:rFonts w:cs="Arial"/>
                <w:color w:val="auto"/>
                <w:kern w:val="0"/>
                <w:sz w:val="16"/>
                <w:szCs w:val="16"/>
              </w:rPr>
            </w:pPr>
          </w:p>
        </w:tc>
        <w:tc>
          <w:tcPr>
            <w:tcW w:w="1261" w:type="dxa"/>
            <w:tcBorders>
              <w:top w:val="nil"/>
              <w:left w:val="nil"/>
              <w:bottom w:val="nil"/>
              <w:right w:val="nil"/>
            </w:tcBorders>
            <w:shd w:val="clear" w:color="000000" w:fill="FFFFFF"/>
            <w:noWrap/>
            <w:vAlign w:val="center"/>
            <w:hideMark/>
          </w:tcPr>
          <w:p w14:paraId="7C93E92E" w14:textId="653B34C7" w:rsidR="00B85F22" w:rsidRPr="00894701" w:rsidRDefault="00B85F22" w:rsidP="00BF6F3B">
            <w:pPr>
              <w:spacing w:before="120" w:line="240" w:lineRule="auto"/>
              <w:jc w:val="right"/>
              <w:rPr>
                <w:rFonts w:cs="Arial"/>
                <w:color w:val="auto"/>
                <w:kern w:val="0"/>
                <w:sz w:val="16"/>
                <w:szCs w:val="16"/>
              </w:rPr>
            </w:pPr>
            <w:r w:rsidRPr="00894701">
              <w:rPr>
                <w:rFonts w:cs="Arial"/>
                <w:color w:val="auto"/>
                <w:sz w:val="16"/>
                <w:szCs w:val="16"/>
              </w:rPr>
              <w:t>-</w:t>
            </w:r>
          </w:p>
        </w:tc>
        <w:tc>
          <w:tcPr>
            <w:tcW w:w="1418" w:type="dxa"/>
            <w:tcBorders>
              <w:top w:val="nil"/>
              <w:left w:val="nil"/>
              <w:bottom w:val="nil"/>
              <w:right w:val="nil"/>
            </w:tcBorders>
            <w:shd w:val="clear" w:color="000000" w:fill="FFFFFF"/>
            <w:noWrap/>
            <w:vAlign w:val="center"/>
            <w:hideMark/>
          </w:tcPr>
          <w:p w14:paraId="51658D6F" w14:textId="405F7A8B" w:rsidR="00B85F22" w:rsidRPr="00894701" w:rsidRDefault="00B85F22" w:rsidP="00BF6F3B">
            <w:pPr>
              <w:spacing w:before="120" w:line="240" w:lineRule="auto"/>
              <w:jc w:val="right"/>
              <w:rPr>
                <w:rFonts w:cs="Arial"/>
                <w:color w:val="auto"/>
                <w:kern w:val="0"/>
                <w:sz w:val="16"/>
                <w:szCs w:val="16"/>
              </w:rPr>
            </w:pPr>
            <w:r w:rsidRPr="00894701">
              <w:rPr>
                <w:rFonts w:cs="Arial"/>
                <w:color w:val="auto"/>
                <w:sz w:val="16"/>
                <w:szCs w:val="16"/>
              </w:rPr>
              <w:t>-</w:t>
            </w:r>
          </w:p>
        </w:tc>
      </w:tr>
      <w:tr w:rsidR="00B85F22" w:rsidRPr="00894701" w14:paraId="3F5BAA35" w14:textId="77777777" w:rsidTr="004C70CC">
        <w:trPr>
          <w:trHeight w:val="240"/>
          <w:jc w:val="center"/>
        </w:trPr>
        <w:tc>
          <w:tcPr>
            <w:tcW w:w="5245" w:type="dxa"/>
            <w:tcBorders>
              <w:top w:val="nil"/>
              <w:left w:val="nil"/>
              <w:bottom w:val="nil"/>
              <w:right w:val="nil"/>
            </w:tcBorders>
            <w:shd w:val="clear" w:color="000000" w:fill="F7A3B0"/>
            <w:noWrap/>
            <w:vAlign w:val="center"/>
            <w:hideMark/>
          </w:tcPr>
          <w:p w14:paraId="6BE8C833" w14:textId="77777777" w:rsidR="00B85F22" w:rsidRPr="00894701" w:rsidRDefault="00B85F22" w:rsidP="00BF6F3B">
            <w:pPr>
              <w:spacing w:before="120" w:line="240" w:lineRule="auto"/>
              <w:rPr>
                <w:rFonts w:cs="Arial"/>
                <w:color w:val="auto"/>
                <w:kern w:val="0"/>
                <w:sz w:val="16"/>
                <w:szCs w:val="16"/>
              </w:rPr>
            </w:pPr>
            <w:r w:rsidRPr="00894701">
              <w:rPr>
                <w:rFonts w:cs="Arial"/>
                <w:color w:val="auto"/>
                <w:kern w:val="0"/>
                <w:sz w:val="16"/>
                <w:szCs w:val="16"/>
              </w:rPr>
              <w:t>Social Contribution</w:t>
            </w:r>
          </w:p>
        </w:tc>
        <w:tc>
          <w:tcPr>
            <w:tcW w:w="1275" w:type="dxa"/>
            <w:tcBorders>
              <w:top w:val="nil"/>
              <w:left w:val="nil"/>
              <w:bottom w:val="nil"/>
              <w:right w:val="nil"/>
            </w:tcBorders>
            <w:shd w:val="clear" w:color="000000" w:fill="F7A3B0"/>
            <w:noWrap/>
            <w:vAlign w:val="center"/>
            <w:hideMark/>
          </w:tcPr>
          <w:p w14:paraId="5C554A7B" w14:textId="29ECF1F3" w:rsidR="00B85F22" w:rsidRPr="00894701" w:rsidRDefault="00B85F22" w:rsidP="00BF6F3B">
            <w:pPr>
              <w:spacing w:before="120" w:line="240" w:lineRule="auto"/>
              <w:jc w:val="right"/>
              <w:rPr>
                <w:rFonts w:cs="Arial"/>
                <w:color w:val="auto"/>
                <w:kern w:val="0"/>
                <w:sz w:val="16"/>
                <w:szCs w:val="16"/>
              </w:rPr>
            </w:pPr>
          </w:p>
        </w:tc>
        <w:tc>
          <w:tcPr>
            <w:tcW w:w="1308" w:type="dxa"/>
            <w:tcBorders>
              <w:top w:val="nil"/>
              <w:left w:val="nil"/>
              <w:bottom w:val="nil"/>
              <w:right w:val="nil"/>
            </w:tcBorders>
            <w:shd w:val="clear" w:color="000000" w:fill="F7A3B0"/>
            <w:noWrap/>
            <w:vAlign w:val="center"/>
            <w:hideMark/>
          </w:tcPr>
          <w:p w14:paraId="4F17378F" w14:textId="020ACDC0" w:rsidR="00B85F22" w:rsidRPr="00894701" w:rsidRDefault="00B85F22" w:rsidP="00BF6F3B">
            <w:pPr>
              <w:spacing w:before="120" w:line="240" w:lineRule="auto"/>
              <w:jc w:val="right"/>
              <w:rPr>
                <w:rFonts w:cs="Arial"/>
                <w:color w:val="auto"/>
                <w:kern w:val="0"/>
                <w:sz w:val="16"/>
                <w:szCs w:val="16"/>
              </w:rPr>
            </w:pPr>
          </w:p>
        </w:tc>
        <w:tc>
          <w:tcPr>
            <w:tcW w:w="1527" w:type="dxa"/>
            <w:tcBorders>
              <w:top w:val="nil"/>
              <w:left w:val="nil"/>
              <w:bottom w:val="nil"/>
              <w:right w:val="nil"/>
            </w:tcBorders>
            <w:shd w:val="clear" w:color="000000" w:fill="F7A3B0"/>
            <w:noWrap/>
            <w:vAlign w:val="center"/>
          </w:tcPr>
          <w:p w14:paraId="48BB51D9" w14:textId="6D43A00B" w:rsidR="00B85F22" w:rsidRPr="00894701" w:rsidRDefault="003626E6" w:rsidP="00BF6F3B">
            <w:pPr>
              <w:spacing w:before="120" w:line="240" w:lineRule="auto"/>
              <w:jc w:val="right"/>
              <w:rPr>
                <w:rFonts w:cs="Arial"/>
                <w:color w:val="auto"/>
                <w:kern w:val="0"/>
                <w:sz w:val="16"/>
                <w:szCs w:val="16"/>
              </w:rPr>
            </w:pPr>
            <w:r w:rsidRPr="00894701">
              <w:rPr>
                <w:rFonts w:cs="Arial"/>
                <w:color w:val="auto"/>
                <w:sz w:val="16"/>
                <w:szCs w:val="16"/>
              </w:rPr>
              <w:t xml:space="preserve">1,095,150 </w:t>
            </w:r>
          </w:p>
        </w:tc>
        <w:tc>
          <w:tcPr>
            <w:tcW w:w="1843" w:type="dxa"/>
            <w:tcBorders>
              <w:top w:val="nil"/>
              <w:left w:val="nil"/>
              <w:bottom w:val="nil"/>
              <w:right w:val="nil"/>
            </w:tcBorders>
            <w:shd w:val="clear" w:color="000000" w:fill="F7A3B0"/>
            <w:noWrap/>
            <w:vAlign w:val="center"/>
          </w:tcPr>
          <w:p w14:paraId="553FD70F" w14:textId="565FC633" w:rsidR="00B85F22" w:rsidRPr="00894701" w:rsidRDefault="003626E6" w:rsidP="00BF6F3B">
            <w:pPr>
              <w:spacing w:before="120" w:line="240" w:lineRule="auto"/>
              <w:jc w:val="right"/>
              <w:rPr>
                <w:rFonts w:cs="Arial"/>
                <w:color w:val="auto"/>
                <w:kern w:val="0"/>
                <w:sz w:val="16"/>
                <w:szCs w:val="16"/>
              </w:rPr>
            </w:pPr>
            <w:r w:rsidRPr="00894701">
              <w:rPr>
                <w:rFonts w:cs="Arial"/>
                <w:color w:val="auto"/>
                <w:sz w:val="16"/>
                <w:szCs w:val="16"/>
              </w:rPr>
              <w:t xml:space="preserve">1,095,150 </w:t>
            </w:r>
          </w:p>
        </w:tc>
        <w:tc>
          <w:tcPr>
            <w:tcW w:w="298" w:type="dxa"/>
            <w:tcBorders>
              <w:top w:val="nil"/>
              <w:left w:val="nil"/>
              <w:bottom w:val="nil"/>
              <w:right w:val="nil"/>
            </w:tcBorders>
            <w:shd w:val="clear" w:color="000000" w:fill="FFFFFF"/>
            <w:noWrap/>
            <w:vAlign w:val="center"/>
            <w:hideMark/>
          </w:tcPr>
          <w:p w14:paraId="0D2A4381" w14:textId="5026F87A" w:rsidR="00B85F22" w:rsidRPr="00894701" w:rsidRDefault="00B85F22" w:rsidP="00BF6F3B">
            <w:pPr>
              <w:spacing w:before="120" w:line="240" w:lineRule="auto"/>
              <w:jc w:val="right"/>
              <w:rPr>
                <w:rFonts w:cs="Arial"/>
                <w:color w:val="auto"/>
                <w:kern w:val="0"/>
                <w:sz w:val="16"/>
                <w:szCs w:val="16"/>
              </w:rPr>
            </w:pPr>
          </w:p>
        </w:tc>
        <w:tc>
          <w:tcPr>
            <w:tcW w:w="1261" w:type="dxa"/>
            <w:tcBorders>
              <w:top w:val="nil"/>
              <w:left w:val="nil"/>
              <w:bottom w:val="nil"/>
              <w:right w:val="nil"/>
            </w:tcBorders>
            <w:shd w:val="clear" w:color="000000" w:fill="F7A3B0"/>
            <w:noWrap/>
            <w:vAlign w:val="center"/>
            <w:hideMark/>
          </w:tcPr>
          <w:p w14:paraId="296C524E" w14:textId="0D26473C" w:rsidR="00B85F22" w:rsidRPr="00894701" w:rsidRDefault="00B85F22" w:rsidP="00BF6F3B">
            <w:pPr>
              <w:spacing w:before="120" w:line="240" w:lineRule="auto"/>
              <w:jc w:val="right"/>
              <w:rPr>
                <w:rFonts w:cs="Arial"/>
                <w:color w:val="auto"/>
                <w:kern w:val="0"/>
                <w:sz w:val="16"/>
                <w:szCs w:val="16"/>
              </w:rPr>
            </w:pPr>
            <w:r w:rsidRPr="00894701">
              <w:rPr>
                <w:rFonts w:cs="Arial"/>
                <w:color w:val="auto"/>
                <w:sz w:val="16"/>
                <w:szCs w:val="16"/>
              </w:rPr>
              <w:t>-</w:t>
            </w:r>
          </w:p>
        </w:tc>
        <w:tc>
          <w:tcPr>
            <w:tcW w:w="1418" w:type="dxa"/>
            <w:tcBorders>
              <w:top w:val="nil"/>
              <w:left w:val="nil"/>
              <w:bottom w:val="nil"/>
              <w:right w:val="nil"/>
            </w:tcBorders>
            <w:shd w:val="clear" w:color="000000" w:fill="F7A3B0"/>
            <w:noWrap/>
            <w:vAlign w:val="center"/>
            <w:hideMark/>
          </w:tcPr>
          <w:p w14:paraId="3B9E34C8" w14:textId="33436446" w:rsidR="00B85F22" w:rsidRPr="00894701" w:rsidRDefault="00B85F22" w:rsidP="00BF6F3B">
            <w:pPr>
              <w:spacing w:before="120" w:line="240" w:lineRule="auto"/>
              <w:jc w:val="right"/>
              <w:rPr>
                <w:rFonts w:cs="Arial"/>
                <w:color w:val="auto"/>
                <w:kern w:val="0"/>
                <w:sz w:val="16"/>
                <w:szCs w:val="16"/>
              </w:rPr>
            </w:pPr>
          </w:p>
        </w:tc>
      </w:tr>
      <w:tr w:rsidR="003626E6" w:rsidRPr="00894701" w14:paraId="2115024B" w14:textId="77777777" w:rsidTr="004C70CC">
        <w:trPr>
          <w:trHeight w:val="240"/>
          <w:jc w:val="center"/>
        </w:trPr>
        <w:tc>
          <w:tcPr>
            <w:tcW w:w="5245" w:type="dxa"/>
            <w:tcBorders>
              <w:top w:val="nil"/>
              <w:left w:val="nil"/>
              <w:bottom w:val="nil"/>
              <w:right w:val="nil"/>
            </w:tcBorders>
            <w:shd w:val="clear" w:color="000000" w:fill="685040"/>
            <w:noWrap/>
            <w:vAlign w:val="center"/>
            <w:hideMark/>
          </w:tcPr>
          <w:p w14:paraId="3A9D8D05" w14:textId="1F7F6465" w:rsidR="003626E6" w:rsidRPr="00894701" w:rsidRDefault="003626E6" w:rsidP="003626E6">
            <w:pPr>
              <w:spacing w:before="120" w:line="240" w:lineRule="auto"/>
              <w:rPr>
                <w:rFonts w:cs="Arial"/>
                <w:b/>
                <w:bCs/>
                <w:color w:val="FFFFFF" w:themeColor="background1"/>
                <w:kern w:val="0"/>
                <w:sz w:val="16"/>
                <w:szCs w:val="16"/>
              </w:rPr>
            </w:pPr>
            <w:r w:rsidRPr="00894701">
              <w:rPr>
                <w:rFonts w:cs="Arial"/>
                <w:b/>
                <w:bCs/>
                <w:color w:val="FFFFFF" w:themeColor="background1"/>
                <w:kern w:val="0"/>
                <w:sz w:val="16"/>
                <w:szCs w:val="16"/>
              </w:rPr>
              <w:t>Total FY 2019</w:t>
            </w:r>
          </w:p>
        </w:tc>
        <w:tc>
          <w:tcPr>
            <w:tcW w:w="1275" w:type="dxa"/>
            <w:tcBorders>
              <w:top w:val="nil"/>
              <w:left w:val="nil"/>
              <w:bottom w:val="nil"/>
              <w:right w:val="nil"/>
            </w:tcBorders>
            <w:shd w:val="clear" w:color="000000" w:fill="685040"/>
            <w:noWrap/>
            <w:vAlign w:val="center"/>
          </w:tcPr>
          <w:p w14:paraId="4937C385" w14:textId="3B6AB1CA" w:rsidR="003626E6" w:rsidRPr="00894701" w:rsidRDefault="00F62C68" w:rsidP="003626E6">
            <w:pPr>
              <w:spacing w:before="120" w:line="240" w:lineRule="auto"/>
              <w:jc w:val="right"/>
              <w:rPr>
                <w:rFonts w:cs="Arial"/>
                <w:b/>
                <w:bCs/>
                <w:color w:val="FFFFFF" w:themeColor="background1"/>
                <w:kern w:val="0"/>
                <w:sz w:val="16"/>
                <w:szCs w:val="16"/>
              </w:rPr>
            </w:pPr>
            <w:r w:rsidRPr="00894701">
              <w:rPr>
                <w:rFonts w:cs="Arial"/>
                <w:b/>
                <w:bCs/>
                <w:color w:val="FFFFFF"/>
                <w:sz w:val="16"/>
                <w:szCs w:val="18"/>
              </w:rPr>
              <w:t xml:space="preserve">198,854,576 </w:t>
            </w:r>
          </w:p>
        </w:tc>
        <w:tc>
          <w:tcPr>
            <w:tcW w:w="1308" w:type="dxa"/>
            <w:tcBorders>
              <w:top w:val="nil"/>
              <w:left w:val="nil"/>
              <w:bottom w:val="nil"/>
              <w:right w:val="nil"/>
            </w:tcBorders>
            <w:shd w:val="clear" w:color="000000" w:fill="685040"/>
            <w:noWrap/>
            <w:vAlign w:val="center"/>
          </w:tcPr>
          <w:p w14:paraId="7B54A2D3" w14:textId="07335C7E" w:rsidR="003626E6" w:rsidRPr="00894701" w:rsidRDefault="003626E6" w:rsidP="003626E6">
            <w:pPr>
              <w:spacing w:before="120" w:line="240" w:lineRule="auto"/>
              <w:jc w:val="right"/>
              <w:rPr>
                <w:rFonts w:cs="Arial"/>
                <w:b/>
                <w:bCs/>
                <w:color w:val="FFFFFF" w:themeColor="background1"/>
                <w:kern w:val="0"/>
                <w:sz w:val="16"/>
                <w:szCs w:val="16"/>
              </w:rPr>
            </w:pPr>
            <w:r w:rsidRPr="00894701">
              <w:rPr>
                <w:rFonts w:cs="Arial"/>
                <w:b/>
                <w:bCs/>
                <w:color w:val="FFFFFF"/>
                <w:sz w:val="16"/>
                <w:szCs w:val="18"/>
              </w:rPr>
              <w:t xml:space="preserve">920,074,374 </w:t>
            </w:r>
          </w:p>
        </w:tc>
        <w:tc>
          <w:tcPr>
            <w:tcW w:w="1527" w:type="dxa"/>
            <w:tcBorders>
              <w:top w:val="nil"/>
              <w:left w:val="nil"/>
              <w:bottom w:val="nil"/>
              <w:right w:val="nil"/>
            </w:tcBorders>
            <w:shd w:val="clear" w:color="000000" w:fill="685040"/>
            <w:noWrap/>
            <w:vAlign w:val="center"/>
          </w:tcPr>
          <w:p w14:paraId="78F76CDD" w14:textId="586FF389" w:rsidR="003626E6" w:rsidRPr="00894701" w:rsidRDefault="003626E6" w:rsidP="003626E6">
            <w:pPr>
              <w:spacing w:before="120" w:line="240" w:lineRule="auto"/>
              <w:jc w:val="right"/>
              <w:rPr>
                <w:rFonts w:cs="Arial"/>
                <w:b/>
                <w:bCs/>
                <w:color w:val="FFFFFF" w:themeColor="background1"/>
                <w:kern w:val="0"/>
                <w:sz w:val="16"/>
                <w:szCs w:val="16"/>
              </w:rPr>
            </w:pPr>
            <w:r w:rsidRPr="00894701">
              <w:rPr>
                <w:rFonts w:cs="Arial"/>
                <w:b/>
                <w:bCs/>
                <w:color w:val="FFFFFF"/>
                <w:sz w:val="16"/>
                <w:szCs w:val="18"/>
              </w:rPr>
              <w:t xml:space="preserve">1,095,150 </w:t>
            </w:r>
          </w:p>
        </w:tc>
        <w:tc>
          <w:tcPr>
            <w:tcW w:w="1843" w:type="dxa"/>
            <w:tcBorders>
              <w:top w:val="nil"/>
              <w:left w:val="nil"/>
              <w:bottom w:val="nil"/>
              <w:right w:val="nil"/>
            </w:tcBorders>
            <w:shd w:val="clear" w:color="000000" w:fill="685040"/>
            <w:noWrap/>
            <w:vAlign w:val="center"/>
          </w:tcPr>
          <w:p w14:paraId="47184FFF" w14:textId="59DEBD96" w:rsidR="003626E6" w:rsidRPr="00894701" w:rsidRDefault="00F62C68" w:rsidP="003626E6">
            <w:pPr>
              <w:spacing w:before="120" w:line="240" w:lineRule="auto"/>
              <w:jc w:val="right"/>
              <w:rPr>
                <w:rFonts w:cs="Arial"/>
                <w:b/>
                <w:bCs/>
                <w:color w:val="FFFFFF" w:themeColor="background1"/>
                <w:kern w:val="0"/>
                <w:sz w:val="16"/>
                <w:szCs w:val="16"/>
              </w:rPr>
            </w:pPr>
            <w:r w:rsidRPr="00894701">
              <w:rPr>
                <w:rFonts w:cs="Arial"/>
                <w:b/>
                <w:bCs/>
                <w:color w:val="FFFFFF"/>
                <w:sz w:val="16"/>
                <w:szCs w:val="16"/>
              </w:rPr>
              <w:t xml:space="preserve">1,120,024,100 </w:t>
            </w:r>
          </w:p>
        </w:tc>
        <w:tc>
          <w:tcPr>
            <w:tcW w:w="298" w:type="dxa"/>
            <w:tcBorders>
              <w:top w:val="nil"/>
              <w:left w:val="nil"/>
              <w:bottom w:val="nil"/>
              <w:right w:val="nil"/>
            </w:tcBorders>
            <w:shd w:val="clear" w:color="000000" w:fill="FFFFFF"/>
            <w:noWrap/>
            <w:vAlign w:val="center"/>
          </w:tcPr>
          <w:p w14:paraId="0AC1D144" w14:textId="153DF312" w:rsidR="003626E6" w:rsidRPr="00894701" w:rsidRDefault="003626E6" w:rsidP="003626E6">
            <w:pPr>
              <w:spacing w:before="120" w:line="240" w:lineRule="auto"/>
              <w:jc w:val="right"/>
              <w:rPr>
                <w:rFonts w:cs="Arial"/>
                <w:color w:val="FFFFFF" w:themeColor="background1"/>
                <w:kern w:val="0"/>
                <w:sz w:val="16"/>
                <w:szCs w:val="16"/>
              </w:rPr>
            </w:pPr>
            <w:r w:rsidRPr="00894701">
              <w:rPr>
                <w:rFonts w:cs="Arial"/>
                <w:sz w:val="16"/>
                <w:szCs w:val="18"/>
              </w:rPr>
              <w:t> </w:t>
            </w:r>
          </w:p>
        </w:tc>
        <w:tc>
          <w:tcPr>
            <w:tcW w:w="1261" w:type="dxa"/>
            <w:tcBorders>
              <w:top w:val="nil"/>
              <w:left w:val="nil"/>
              <w:bottom w:val="nil"/>
              <w:right w:val="nil"/>
            </w:tcBorders>
            <w:shd w:val="clear" w:color="000000" w:fill="685040"/>
            <w:noWrap/>
            <w:vAlign w:val="center"/>
          </w:tcPr>
          <w:p w14:paraId="4885D932" w14:textId="511C1622" w:rsidR="003626E6" w:rsidRPr="00894701" w:rsidRDefault="003626E6" w:rsidP="003626E6">
            <w:pPr>
              <w:spacing w:before="120" w:line="240" w:lineRule="auto"/>
              <w:jc w:val="right"/>
              <w:rPr>
                <w:rFonts w:cs="Arial"/>
                <w:b/>
                <w:bCs/>
                <w:color w:val="FFFFFF" w:themeColor="background1"/>
                <w:kern w:val="0"/>
                <w:sz w:val="16"/>
                <w:szCs w:val="16"/>
              </w:rPr>
            </w:pPr>
            <w:r w:rsidRPr="00894701">
              <w:rPr>
                <w:rFonts w:cs="Arial"/>
                <w:b/>
                <w:bCs/>
                <w:color w:val="FFFFFF"/>
                <w:sz w:val="16"/>
                <w:szCs w:val="18"/>
              </w:rPr>
              <w:t xml:space="preserve">920,074,374 </w:t>
            </w:r>
          </w:p>
        </w:tc>
        <w:tc>
          <w:tcPr>
            <w:tcW w:w="1418" w:type="dxa"/>
            <w:tcBorders>
              <w:top w:val="nil"/>
              <w:left w:val="nil"/>
              <w:bottom w:val="nil"/>
              <w:right w:val="nil"/>
            </w:tcBorders>
            <w:shd w:val="clear" w:color="000000" w:fill="685040"/>
            <w:noWrap/>
            <w:vAlign w:val="center"/>
          </w:tcPr>
          <w:p w14:paraId="51EA358B" w14:textId="3D89ECBF" w:rsidR="003626E6" w:rsidRPr="00894701" w:rsidRDefault="00F62C68" w:rsidP="003626E6">
            <w:pPr>
              <w:spacing w:before="120" w:line="240" w:lineRule="auto"/>
              <w:jc w:val="right"/>
              <w:rPr>
                <w:rFonts w:cs="Arial"/>
                <w:b/>
                <w:bCs/>
                <w:color w:val="FFFFFF" w:themeColor="background1"/>
                <w:kern w:val="0"/>
                <w:sz w:val="16"/>
                <w:szCs w:val="16"/>
              </w:rPr>
            </w:pPr>
            <w:r w:rsidRPr="00894701">
              <w:rPr>
                <w:rFonts w:cs="Arial"/>
                <w:b/>
                <w:bCs/>
                <w:color w:val="FFFFFF"/>
                <w:sz w:val="16"/>
                <w:szCs w:val="16"/>
              </w:rPr>
              <w:t xml:space="preserve">198,854,576 </w:t>
            </w:r>
          </w:p>
        </w:tc>
      </w:tr>
    </w:tbl>
    <w:p w14:paraId="48EDBEE4" w14:textId="77777777" w:rsidR="006531C2" w:rsidRPr="00894701" w:rsidRDefault="006531C2" w:rsidP="00B75F94">
      <w:pPr>
        <w:spacing w:after="0"/>
        <w:jc w:val="both"/>
        <w:rPr>
          <w:rFonts w:cs="Arial"/>
          <w:i/>
          <w:color w:val="auto"/>
          <w:szCs w:val="16"/>
        </w:rPr>
      </w:pPr>
      <w:r w:rsidRPr="00894701">
        <w:rPr>
          <w:rFonts w:cs="Arial"/>
          <w:i/>
          <w:color w:val="auto"/>
          <w:szCs w:val="16"/>
        </w:rPr>
        <w:t>Source: EITI Reporting Templates</w:t>
      </w:r>
    </w:p>
    <w:p w14:paraId="5DCB7DAA" w14:textId="11E89D14" w:rsidR="00BF6F3B" w:rsidRPr="00894701" w:rsidRDefault="00BF6F3B" w:rsidP="00B75F94">
      <w:pPr>
        <w:spacing w:after="0" w:line="240" w:lineRule="auto"/>
      </w:pPr>
      <w:r w:rsidRPr="00894701">
        <w:br w:type="page"/>
      </w:r>
    </w:p>
    <w:p w14:paraId="23DEB12E" w14:textId="77777777" w:rsidR="006531C2" w:rsidRPr="00894701" w:rsidRDefault="006531C2" w:rsidP="00B75F94">
      <w:pPr>
        <w:spacing w:after="0" w:line="240" w:lineRule="auto"/>
      </w:pPr>
    </w:p>
    <w:p w14:paraId="79A2DE29" w14:textId="6E22F3D3" w:rsidR="006531C2" w:rsidRPr="00894701" w:rsidRDefault="006531C2" w:rsidP="00BF6F3B">
      <w:pPr>
        <w:pStyle w:val="ListParagraph"/>
        <w:spacing w:after="0"/>
        <w:ind w:left="0"/>
        <w:jc w:val="center"/>
        <w:rPr>
          <w:rFonts w:asciiTheme="majorHAnsi" w:hAnsiTheme="majorHAnsi"/>
          <w:b/>
          <w:bCs/>
          <w:color w:val="98002E" w:themeColor="accent3"/>
          <w:sz w:val="20"/>
        </w:rPr>
      </w:pPr>
      <w:bookmarkStart w:id="417" w:name="_Toc146590519"/>
      <w:r w:rsidRPr="00894701">
        <w:rPr>
          <w:rFonts w:asciiTheme="majorHAnsi" w:hAnsiTheme="majorHAnsi"/>
          <w:b/>
          <w:bCs/>
          <w:color w:val="98002E" w:themeColor="accent3"/>
          <w:sz w:val="20"/>
        </w:rPr>
        <w:t xml:space="preserve">Table </w:t>
      </w:r>
      <w:r w:rsidRPr="00894701">
        <w:rPr>
          <w:rFonts w:asciiTheme="majorHAnsi" w:hAnsiTheme="majorHAnsi"/>
          <w:b/>
          <w:bCs/>
          <w:color w:val="98002E" w:themeColor="accent3"/>
          <w:sz w:val="20"/>
        </w:rPr>
        <w:fldChar w:fldCharType="begin"/>
      </w:r>
      <w:r w:rsidRPr="00894701">
        <w:rPr>
          <w:rFonts w:asciiTheme="majorHAnsi" w:hAnsiTheme="majorHAnsi"/>
          <w:b/>
          <w:bCs/>
          <w:color w:val="98002E" w:themeColor="accent3"/>
          <w:sz w:val="20"/>
        </w:rPr>
        <w:instrText xml:space="preserve"> SEQ Table \* ARABIC </w:instrText>
      </w:r>
      <w:r w:rsidRPr="00894701">
        <w:rPr>
          <w:rFonts w:asciiTheme="majorHAnsi" w:hAnsiTheme="majorHAnsi"/>
          <w:b/>
          <w:bCs/>
          <w:color w:val="98002E" w:themeColor="accent3"/>
          <w:sz w:val="20"/>
        </w:rPr>
        <w:fldChar w:fldCharType="separate"/>
      </w:r>
      <w:r w:rsidR="0035303B">
        <w:rPr>
          <w:rFonts w:asciiTheme="majorHAnsi" w:hAnsiTheme="majorHAnsi"/>
          <w:b/>
          <w:bCs/>
          <w:noProof/>
          <w:color w:val="98002E" w:themeColor="accent3"/>
          <w:sz w:val="20"/>
        </w:rPr>
        <w:t>47</w:t>
      </w:r>
      <w:r w:rsidRPr="00894701">
        <w:rPr>
          <w:rFonts w:asciiTheme="majorHAnsi" w:hAnsiTheme="majorHAnsi"/>
          <w:b/>
          <w:bCs/>
          <w:color w:val="98002E" w:themeColor="accent3"/>
          <w:sz w:val="20"/>
        </w:rPr>
        <w:fldChar w:fldCharType="end"/>
      </w:r>
      <w:r w:rsidRPr="00894701">
        <w:rPr>
          <w:rFonts w:asciiTheme="majorHAnsi" w:hAnsiTheme="majorHAnsi"/>
          <w:b/>
          <w:bCs/>
          <w:color w:val="98002E" w:themeColor="accent3"/>
          <w:sz w:val="20"/>
        </w:rPr>
        <w:t xml:space="preserve">: </w:t>
      </w:r>
      <w:r w:rsidR="005411EB" w:rsidRPr="00894701">
        <w:rPr>
          <w:rFonts w:asciiTheme="majorHAnsi" w:hAnsiTheme="majorHAnsi"/>
          <w:b/>
          <w:bCs/>
          <w:color w:val="98002E" w:themeColor="accent3"/>
          <w:sz w:val="20"/>
        </w:rPr>
        <w:t>Su</w:t>
      </w:r>
      <w:r w:rsidRPr="00894701">
        <w:rPr>
          <w:rFonts w:asciiTheme="majorHAnsi" w:hAnsiTheme="majorHAnsi"/>
          <w:b/>
          <w:bCs/>
          <w:color w:val="98002E" w:themeColor="accent3"/>
          <w:sz w:val="20"/>
        </w:rPr>
        <w:t xml:space="preserve">mmary of revenues and unilateral disclosure </w:t>
      </w:r>
      <w:r w:rsidRPr="00894701">
        <w:rPr>
          <w:b/>
          <w:bCs/>
          <w:noProof/>
          <w:color w:val="98002E" w:themeColor="accent3"/>
          <w:sz w:val="20"/>
          <w:szCs w:val="20"/>
        </w:rPr>
        <w:t>for the fiscal years 2020</w:t>
      </w:r>
      <w:bookmarkEnd w:id="417"/>
    </w:p>
    <w:p w14:paraId="7831C39A" w14:textId="77777777" w:rsidR="006531C2" w:rsidRPr="00894701" w:rsidRDefault="006531C2" w:rsidP="00B75F94">
      <w:pPr>
        <w:spacing w:after="0"/>
        <w:ind w:firstLine="720"/>
        <w:jc w:val="right"/>
        <w:rPr>
          <w:rFonts w:cs="Arial"/>
          <w:i/>
          <w:color w:val="auto"/>
          <w:sz w:val="16"/>
          <w:szCs w:val="16"/>
        </w:rPr>
      </w:pPr>
      <w:r w:rsidRPr="00894701">
        <w:rPr>
          <w:rFonts w:cs="Arial"/>
          <w:i/>
          <w:iCs/>
          <w:color w:val="000000"/>
          <w:szCs w:val="18"/>
          <w:lang w:eastAsia="fr-FR"/>
        </w:rPr>
        <w:t>Amounts in SRD</w:t>
      </w:r>
    </w:p>
    <w:tbl>
      <w:tblPr>
        <w:tblW w:w="14175" w:type="dxa"/>
        <w:jc w:val="center"/>
        <w:tblLook w:val="04A0" w:firstRow="1" w:lastRow="0" w:firstColumn="1" w:lastColumn="0" w:noHBand="0" w:noVBand="1"/>
      </w:tblPr>
      <w:tblGrid>
        <w:gridCol w:w="5529"/>
        <w:gridCol w:w="1417"/>
        <w:gridCol w:w="1330"/>
        <w:gridCol w:w="1505"/>
        <w:gridCol w:w="1418"/>
        <w:gridCol w:w="298"/>
        <w:gridCol w:w="1403"/>
        <w:gridCol w:w="1275"/>
      </w:tblGrid>
      <w:tr w:rsidR="00B85F22" w:rsidRPr="00894701" w14:paraId="38D1824F" w14:textId="77777777" w:rsidTr="00FE5EA3">
        <w:trPr>
          <w:trHeight w:val="250"/>
          <w:jc w:val="center"/>
        </w:trPr>
        <w:tc>
          <w:tcPr>
            <w:tcW w:w="5529" w:type="dxa"/>
            <w:vMerge w:val="restart"/>
            <w:tcBorders>
              <w:top w:val="nil"/>
              <w:left w:val="nil"/>
              <w:bottom w:val="single" w:sz="8" w:space="0" w:color="FF0000"/>
              <w:right w:val="nil"/>
            </w:tcBorders>
            <w:shd w:val="clear" w:color="000000" w:fill="800000"/>
            <w:vAlign w:val="center"/>
            <w:hideMark/>
          </w:tcPr>
          <w:p w14:paraId="7DBEEF23" w14:textId="77777777" w:rsidR="00B85F22" w:rsidRPr="00894701" w:rsidRDefault="00B85F22" w:rsidP="00BF6F3B">
            <w:pPr>
              <w:spacing w:before="120" w:line="240" w:lineRule="auto"/>
              <w:jc w:val="center"/>
              <w:rPr>
                <w:rFonts w:cs="Arial"/>
                <w:b/>
                <w:bCs/>
                <w:color w:val="auto"/>
                <w:kern w:val="0"/>
                <w:sz w:val="16"/>
                <w:szCs w:val="16"/>
              </w:rPr>
            </w:pPr>
            <w:r w:rsidRPr="00894701">
              <w:rPr>
                <w:rFonts w:cs="Arial"/>
                <w:b/>
                <w:bCs/>
                <w:color w:val="auto"/>
                <w:kern w:val="0"/>
                <w:sz w:val="16"/>
                <w:szCs w:val="16"/>
              </w:rPr>
              <w:t xml:space="preserve">Government agency </w:t>
            </w:r>
          </w:p>
        </w:tc>
        <w:tc>
          <w:tcPr>
            <w:tcW w:w="1417" w:type="dxa"/>
            <w:vMerge w:val="restart"/>
            <w:tcBorders>
              <w:top w:val="nil"/>
              <w:left w:val="nil"/>
              <w:bottom w:val="single" w:sz="8" w:space="0" w:color="FF0000"/>
              <w:right w:val="nil"/>
            </w:tcBorders>
            <w:shd w:val="clear" w:color="000000" w:fill="800000"/>
            <w:vAlign w:val="center"/>
            <w:hideMark/>
          </w:tcPr>
          <w:p w14:paraId="20E90495" w14:textId="77777777" w:rsidR="00B85F22" w:rsidRPr="00894701" w:rsidRDefault="00B85F22" w:rsidP="00BF6F3B">
            <w:pPr>
              <w:spacing w:before="120" w:line="240" w:lineRule="auto"/>
              <w:jc w:val="center"/>
              <w:rPr>
                <w:rFonts w:cs="Arial"/>
                <w:b/>
                <w:bCs/>
                <w:color w:val="auto"/>
                <w:kern w:val="0"/>
                <w:sz w:val="16"/>
                <w:szCs w:val="16"/>
              </w:rPr>
            </w:pPr>
            <w:r w:rsidRPr="00894701">
              <w:rPr>
                <w:rFonts w:cs="Arial"/>
                <w:b/>
                <w:bCs/>
                <w:color w:val="auto"/>
                <w:kern w:val="0"/>
                <w:sz w:val="16"/>
                <w:szCs w:val="16"/>
              </w:rPr>
              <w:t xml:space="preserve"> Reconciled figures (a) </w:t>
            </w:r>
          </w:p>
        </w:tc>
        <w:tc>
          <w:tcPr>
            <w:tcW w:w="1330" w:type="dxa"/>
            <w:vMerge w:val="restart"/>
            <w:tcBorders>
              <w:top w:val="nil"/>
              <w:left w:val="nil"/>
              <w:bottom w:val="single" w:sz="8" w:space="0" w:color="FF0000"/>
              <w:right w:val="nil"/>
            </w:tcBorders>
            <w:shd w:val="clear" w:color="000000" w:fill="800000"/>
            <w:vAlign w:val="center"/>
            <w:hideMark/>
          </w:tcPr>
          <w:p w14:paraId="26618D24" w14:textId="77777777" w:rsidR="00B85F22" w:rsidRPr="00894701" w:rsidRDefault="00B85F22" w:rsidP="00BF6F3B">
            <w:pPr>
              <w:spacing w:before="120" w:line="240" w:lineRule="auto"/>
              <w:jc w:val="center"/>
              <w:rPr>
                <w:rFonts w:cs="Arial"/>
                <w:b/>
                <w:bCs/>
                <w:color w:val="auto"/>
                <w:kern w:val="0"/>
                <w:sz w:val="16"/>
                <w:szCs w:val="16"/>
              </w:rPr>
            </w:pPr>
            <w:r w:rsidRPr="00894701">
              <w:rPr>
                <w:rFonts w:cs="Arial"/>
                <w:b/>
                <w:bCs/>
                <w:color w:val="auto"/>
                <w:kern w:val="0"/>
                <w:sz w:val="16"/>
                <w:szCs w:val="16"/>
              </w:rPr>
              <w:t>Unilateral disclosure by Government agency (b)</w:t>
            </w:r>
          </w:p>
        </w:tc>
        <w:tc>
          <w:tcPr>
            <w:tcW w:w="1505" w:type="dxa"/>
            <w:vMerge w:val="restart"/>
            <w:tcBorders>
              <w:top w:val="nil"/>
              <w:left w:val="nil"/>
              <w:bottom w:val="single" w:sz="8" w:space="0" w:color="FF0000"/>
              <w:right w:val="nil"/>
            </w:tcBorders>
            <w:shd w:val="clear" w:color="000000" w:fill="800000"/>
            <w:vAlign w:val="center"/>
            <w:hideMark/>
          </w:tcPr>
          <w:p w14:paraId="07705CB9" w14:textId="77777777" w:rsidR="00B85F22" w:rsidRPr="00894701" w:rsidRDefault="00B85F22" w:rsidP="00BF6F3B">
            <w:pPr>
              <w:spacing w:before="120" w:line="240" w:lineRule="auto"/>
              <w:jc w:val="center"/>
              <w:rPr>
                <w:rFonts w:cs="Arial"/>
                <w:b/>
                <w:bCs/>
                <w:color w:val="auto"/>
                <w:kern w:val="0"/>
                <w:sz w:val="16"/>
                <w:szCs w:val="16"/>
              </w:rPr>
            </w:pPr>
            <w:r w:rsidRPr="00894701">
              <w:rPr>
                <w:rFonts w:cs="Arial"/>
                <w:b/>
                <w:bCs/>
                <w:color w:val="auto"/>
                <w:kern w:val="0"/>
                <w:sz w:val="16"/>
                <w:szCs w:val="16"/>
              </w:rPr>
              <w:t>Unilateral disclosure by company (c)</w:t>
            </w:r>
          </w:p>
        </w:tc>
        <w:tc>
          <w:tcPr>
            <w:tcW w:w="1418" w:type="dxa"/>
            <w:vMerge w:val="restart"/>
            <w:tcBorders>
              <w:top w:val="nil"/>
              <w:left w:val="nil"/>
              <w:bottom w:val="single" w:sz="8" w:space="0" w:color="FF0000"/>
              <w:right w:val="nil"/>
            </w:tcBorders>
            <w:shd w:val="clear" w:color="000000" w:fill="800000"/>
            <w:vAlign w:val="center"/>
            <w:hideMark/>
          </w:tcPr>
          <w:p w14:paraId="7CA1D2FC" w14:textId="77777777" w:rsidR="00B85F22" w:rsidRPr="00894701" w:rsidRDefault="00B85F22" w:rsidP="00BF6F3B">
            <w:pPr>
              <w:spacing w:before="120" w:line="240" w:lineRule="auto"/>
              <w:jc w:val="center"/>
              <w:rPr>
                <w:rFonts w:cs="Arial"/>
                <w:b/>
                <w:bCs/>
                <w:color w:val="auto"/>
                <w:kern w:val="0"/>
                <w:sz w:val="16"/>
                <w:szCs w:val="16"/>
              </w:rPr>
            </w:pPr>
            <w:r w:rsidRPr="00894701">
              <w:rPr>
                <w:rFonts w:cs="Arial"/>
                <w:b/>
                <w:bCs/>
                <w:color w:val="auto"/>
                <w:kern w:val="0"/>
                <w:sz w:val="16"/>
                <w:szCs w:val="16"/>
              </w:rPr>
              <w:t xml:space="preserve">Reported revenue </w:t>
            </w:r>
          </w:p>
          <w:p w14:paraId="67280D13" w14:textId="77777777" w:rsidR="00B85F22" w:rsidRPr="00894701" w:rsidRDefault="00B85F22" w:rsidP="00BF6F3B">
            <w:pPr>
              <w:spacing w:before="120" w:line="240" w:lineRule="auto"/>
              <w:jc w:val="center"/>
              <w:rPr>
                <w:rFonts w:cs="Arial"/>
                <w:b/>
                <w:bCs/>
                <w:color w:val="auto"/>
                <w:kern w:val="0"/>
                <w:sz w:val="16"/>
                <w:szCs w:val="16"/>
              </w:rPr>
            </w:pPr>
            <w:r w:rsidRPr="00894701">
              <w:rPr>
                <w:rFonts w:cs="Arial"/>
                <w:b/>
                <w:bCs/>
                <w:color w:val="auto"/>
                <w:kern w:val="0"/>
                <w:sz w:val="16"/>
                <w:szCs w:val="16"/>
              </w:rPr>
              <w:t>(c) = (a)+(b)</w:t>
            </w:r>
          </w:p>
        </w:tc>
        <w:tc>
          <w:tcPr>
            <w:tcW w:w="298" w:type="dxa"/>
            <w:tcBorders>
              <w:top w:val="nil"/>
              <w:left w:val="nil"/>
              <w:bottom w:val="nil"/>
              <w:right w:val="nil"/>
            </w:tcBorders>
            <w:shd w:val="clear" w:color="000000" w:fill="FFFFFF"/>
            <w:noWrap/>
            <w:vAlign w:val="bottom"/>
            <w:hideMark/>
          </w:tcPr>
          <w:p w14:paraId="068A71BD" w14:textId="77777777" w:rsidR="00B85F22" w:rsidRPr="00894701" w:rsidRDefault="00B85F22" w:rsidP="00BF6F3B">
            <w:pPr>
              <w:spacing w:before="120" w:line="240" w:lineRule="auto"/>
              <w:jc w:val="right"/>
              <w:rPr>
                <w:rFonts w:cs="Arial"/>
                <w:color w:val="auto"/>
                <w:kern w:val="0"/>
                <w:sz w:val="16"/>
                <w:szCs w:val="16"/>
              </w:rPr>
            </w:pPr>
            <w:r w:rsidRPr="00894701">
              <w:rPr>
                <w:rFonts w:cs="Arial"/>
                <w:color w:val="auto"/>
                <w:kern w:val="0"/>
                <w:sz w:val="16"/>
                <w:szCs w:val="16"/>
              </w:rPr>
              <w:t> </w:t>
            </w:r>
          </w:p>
        </w:tc>
        <w:tc>
          <w:tcPr>
            <w:tcW w:w="2678" w:type="dxa"/>
            <w:gridSpan w:val="2"/>
            <w:tcBorders>
              <w:top w:val="nil"/>
              <w:left w:val="nil"/>
              <w:bottom w:val="single" w:sz="8" w:space="0" w:color="FF0000"/>
              <w:right w:val="nil"/>
            </w:tcBorders>
            <w:shd w:val="clear" w:color="000000" w:fill="800000"/>
            <w:noWrap/>
            <w:vAlign w:val="bottom"/>
            <w:hideMark/>
          </w:tcPr>
          <w:p w14:paraId="083A1F5A" w14:textId="77777777" w:rsidR="00B85F22" w:rsidRPr="00894701" w:rsidRDefault="00B85F22" w:rsidP="00BF6F3B">
            <w:pPr>
              <w:spacing w:before="120" w:line="240" w:lineRule="auto"/>
              <w:jc w:val="center"/>
              <w:rPr>
                <w:rFonts w:cs="Arial"/>
                <w:b/>
                <w:bCs/>
                <w:color w:val="auto"/>
                <w:kern w:val="0"/>
                <w:sz w:val="16"/>
                <w:szCs w:val="16"/>
              </w:rPr>
            </w:pPr>
            <w:r w:rsidRPr="00894701">
              <w:rPr>
                <w:rFonts w:cs="Arial"/>
                <w:b/>
                <w:bCs/>
                <w:color w:val="auto"/>
                <w:kern w:val="0"/>
                <w:sz w:val="16"/>
                <w:szCs w:val="16"/>
              </w:rPr>
              <w:t>Total revenue by sector</w:t>
            </w:r>
          </w:p>
        </w:tc>
      </w:tr>
      <w:tr w:rsidR="00B85F22" w:rsidRPr="00894701" w14:paraId="34190932" w14:textId="77777777" w:rsidTr="00FE5EA3">
        <w:trPr>
          <w:trHeight w:val="495"/>
          <w:jc w:val="center"/>
        </w:trPr>
        <w:tc>
          <w:tcPr>
            <w:tcW w:w="5529" w:type="dxa"/>
            <w:vMerge/>
            <w:tcBorders>
              <w:top w:val="nil"/>
              <w:left w:val="nil"/>
              <w:bottom w:val="single" w:sz="8" w:space="0" w:color="FF0000"/>
              <w:right w:val="nil"/>
            </w:tcBorders>
            <w:vAlign w:val="center"/>
            <w:hideMark/>
          </w:tcPr>
          <w:p w14:paraId="5880D688" w14:textId="77777777" w:rsidR="00B85F22" w:rsidRPr="00894701" w:rsidRDefault="00B85F22" w:rsidP="00BF6F3B">
            <w:pPr>
              <w:spacing w:before="120" w:line="240" w:lineRule="auto"/>
              <w:rPr>
                <w:rFonts w:cs="Arial"/>
                <w:b/>
                <w:bCs/>
                <w:color w:val="auto"/>
                <w:kern w:val="0"/>
                <w:sz w:val="16"/>
                <w:szCs w:val="16"/>
              </w:rPr>
            </w:pPr>
          </w:p>
        </w:tc>
        <w:tc>
          <w:tcPr>
            <w:tcW w:w="1417" w:type="dxa"/>
            <w:vMerge/>
            <w:tcBorders>
              <w:top w:val="nil"/>
              <w:left w:val="nil"/>
              <w:bottom w:val="single" w:sz="8" w:space="0" w:color="FF0000"/>
              <w:right w:val="nil"/>
            </w:tcBorders>
            <w:vAlign w:val="center"/>
            <w:hideMark/>
          </w:tcPr>
          <w:p w14:paraId="61B30455" w14:textId="77777777" w:rsidR="00B85F22" w:rsidRPr="00894701" w:rsidRDefault="00B85F22" w:rsidP="00BF6F3B">
            <w:pPr>
              <w:spacing w:before="120" w:line="240" w:lineRule="auto"/>
              <w:rPr>
                <w:rFonts w:cs="Arial"/>
                <w:b/>
                <w:bCs/>
                <w:color w:val="auto"/>
                <w:kern w:val="0"/>
                <w:sz w:val="16"/>
                <w:szCs w:val="16"/>
              </w:rPr>
            </w:pPr>
          </w:p>
        </w:tc>
        <w:tc>
          <w:tcPr>
            <w:tcW w:w="1330" w:type="dxa"/>
            <w:vMerge/>
            <w:tcBorders>
              <w:top w:val="nil"/>
              <w:left w:val="nil"/>
              <w:bottom w:val="single" w:sz="8" w:space="0" w:color="FF0000"/>
              <w:right w:val="nil"/>
            </w:tcBorders>
            <w:vAlign w:val="center"/>
            <w:hideMark/>
          </w:tcPr>
          <w:p w14:paraId="2BBA246B" w14:textId="77777777" w:rsidR="00B85F22" w:rsidRPr="00894701" w:rsidRDefault="00B85F22" w:rsidP="00BF6F3B">
            <w:pPr>
              <w:spacing w:before="120" w:line="240" w:lineRule="auto"/>
              <w:rPr>
                <w:rFonts w:cs="Arial"/>
                <w:b/>
                <w:bCs/>
                <w:color w:val="auto"/>
                <w:kern w:val="0"/>
                <w:sz w:val="16"/>
                <w:szCs w:val="16"/>
              </w:rPr>
            </w:pPr>
          </w:p>
        </w:tc>
        <w:tc>
          <w:tcPr>
            <w:tcW w:w="1505" w:type="dxa"/>
            <w:vMerge/>
            <w:tcBorders>
              <w:top w:val="nil"/>
              <w:left w:val="nil"/>
              <w:bottom w:val="single" w:sz="8" w:space="0" w:color="FF0000"/>
              <w:right w:val="nil"/>
            </w:tcBorders>
            <w:vAlign w:val="center"/>
            <w:hideMark/>
          </w:tcPr>
          <w:p w14:paraId="1F13FA29" w14:textId="77777777" w:rsidR="00B85F22" w:rsidRPr="00894701" w:rsidRDefault="00B85F22" w:rsidP="00BF6F3B">
            <w:pPr>
              <w:spacing w:before="120" w:line="240" w:lineRule="auto"/>
              <w:rPr>
                <w:rFonts w:cs="Arial"/>
                <w:b/>
                <w:bCs/>
                <w:color w:val="auto"/>
                <w:kern w:val="0"/>
                <w:sz w:val="16"/>
                <w:szCs w:val="16"/>
              </w:rPr>
            </w:pPr>
          </w:p>
        </w:tc>
        <w:tc>
          <w:tcPr>
            <w:tcW w:w="1418" w:type="dxa"/>
            <w:vMerge/>
            <w:tcBorders>
              <w:top w:val="nil"/>
              <w:left w:val="nil"/>
              <w:bottom w:val="single" w:sz="8" w:space="0" w:color="FF0000"/>
              <w:right w:val="nil"/>
            </w:tcBorders>
            <w:vAlign w:val="center"/>
            <w:hideMark/>
          </w:tcPr>
          <w:p w14:paraId="5C70AFD7" w14:textId="77777777" w:rsidR="00B85F22" w:rsidRPr="00894701" w:rsidRDefault="00B85F22" w:rsidP="00BF6F3B">
            <w:pPr>
              <w:spacing w:before="120" w:line="240" w:lineRule="auto"/>
              <w:rPr>
                <w:rFonts w:cs="Arial"/>
                <w:b/>
                <w:bCs/>
                <w:color w:val="auto"/>
                <w:kern w:val="0"/>
                <w:sz w:val="16"/>
                <w:szCs w:val="16"/>
              </w:rPr>
            </w:pPr>
          </w:p>
        </w:tc>
        <w:tc>
          <w:tcPr>
            <w:tcW w:w="298" w:type="dxa"/>
            <w:tcBorders>
              <w:top w:val="nil"/>
              <w:left w:val="nil"/>
              <w:bottom w:val="nil"/>
              <w:right w:val="nil"/>
            </w:tcBorders>
            <w:shd w:val="clear" w:color="000000" w:fill="FFFFFF"/>
            <w:noWrap/>
            <w:vAlign w:val="bottom"/>
            <w:hideMark/>
          </w:tcPr>
          <w:p w14:paraId="6A16A6BE" w14:textId="77777777" w:rsidR="00B85F22" w:rsidRPr="00894701" w:rsidRDefault="00B85F22" w:rsidP="00BF6F3B">
            <w:pPr>
              <w:spacing w:before="120" w:line="240" w:lineRule="auto"/>
              <w:jc w:val="right"/>
              <w:rPr>
                <w:rFonts w:cs="Arial"/>
                <w:color w:val="auto"/>
                <w:kern w:val="0"/>
                <w:sz w:val="16"/>
                <w:szCs w:val="16"/>
              </w:rPr>
            </w:pPr>
            <w:r w:rsidRPr="00894701">
              <w:rPr>
                <w:rFonts w:cs="Arial"/>
                <w:color w:val="auto"/>
                <w:kern w:val="0"/>
                <w:sz w:val="16"/>
                <w:szCs w:val="16"/>
              </w:rPr>
              <w:t> </w:t>
            </w:r>
          </w:p>
        </w:tc>
        <w:tc>
          <w:tcPr>
            <w:tcW w:w="1403" w:type="dxa"/>
            <w:tcBorders>
              <w:top w:val="nil"/>
              <w:left w:val="nil"/>
              <w:bottom w:val="single" w:sz="8" w:space="0" w:color="FF0000"/>
              <w:right w:val="nil"/>
            </w:tcBorders>
            <w:shd w:val="clear" w:color="000000" w:fill="800000"/>
            <w:vAlign w:val="center"/>
            <w:hideMark/>
          </w:tcPr>
          <w:p w14:paraId="0207A67C" w14:textId="77777777" w:rsidR="00B85F22" w:rsidRPr="00894701" w:rsidRDefault="00B85F22" w:rsidP="00BF6F3B">
            <w:pPr>
              <w:spacing w:before="120" w:line="240" w:lineRule="auto"/>
              <w:jc w:val="center"/>
              <w:rPr>
                <w:rFonts w:cs="Arial"/>
                <w:b/>
                <w:bCs/>
                <w:color w:val="auto"/>
                <w:kern w:val="0"/>
                <w:sz w:val="16"/>
                <w:szCs w:val="16"/>
              </w:rPr>
            </w:pPr>
            <w:r w:rsidRPr="00894701">
              <w:rPr>
                <w:rFonts w:cs="Arial"/>
                <w:b/>
                <w:bCs/>
                <w:color w:val="auto"/>
                <w:kern w:val="0"/>
                <w:sz w:val="16"/>
                <w:szCs w:val="16"/>
              </w:rPr>
              <w:t>Mining</w:t>
            </w:r>
          </w:p>
        </w:tc>
        <w:tc>
          <w:tcPr>
            <w:tcW w:w="1275" w:type="dxa"/>
            <w:tcBorders>
              <w:top w:val="nil"/>
              <w:left w:val="nil"/>
              <w:bottom w:val="single" w:sz="8" w:space="0" w:color="FF0000"/>
              <w:right w:val="nil"/>
            </w:tcBorders>
            <w:shd w:val="clear" w:color="000000" w:fill="800000"/>
            <w:vAlign w:val="center"/>
            <w:hideMark/>
          </w:tcPr>
          <w:p w14:paraId="7A8AA641" w14:textId="77777777" w:rsidR="00B85F22" w:rsidRPr="00894701" w:rsidRDefault="00B85F22" w:rsidP="00BF6F3B">
            <w:pPr>
              <w:spacing w:before="120" w:line="240" w:lineRule="auto"/>
              <w:jc w:val="center"/>
              <w:rPr>
                <w:rFonts w:cs="Arial"/>
                <w:b/>
                <w:bCs/>
                <w:color w:val="auto"/>
                <w:kern w:val="0"/>
                <w:sz w:val="16"/>
                <w:szCs w:val="16"/>
              </w:rPr>
            </w:pPr>
            <w:r w:rsidRPr="00894701">
              <w:rPr>
                <w:rFonts w:cs="Arial"/>
                <w:b/>
                <w:bCs/>
                <w:color w:val="auto"/>
                <w:kern w:val="0"/>
                <w:sz w:val="16"/>
                <w:szCs w:val="16"/>
              </w:rPr>
              <w:t>Oil &amp; Gas</w:t>
            </w:r>
          </w:p>
        </w:tc>
      </w:tr>
      <w:tr w:rsidR="00B85F22" w:rsidRPr="00894701" w14:paraId="4DCFB6D1" w14:textId="77777777" w:rsidTr="004C70CC">
        <w:trPr>
          <w:trHeight w:val="240"/>
          <w:jc w:val="center"/>
        </w:trPr>
        <w:tc>
          <w:tcPr>
            <w:tcW w:w="5529" w:type="dxa"/>
            <w:tcBorders>
              <w:top w:val="nil"/>
              <w:left w:val="nil"/>
              <w:bottom w:val="nil"/>
              <w:right w:val="nil"/>
            </w:tcBorders>
            <w:shd w:val="clear" w:color="000000" w:fill="F7A3B0"/>
            <w:noWrap/>
            <w:vAlign w:val="center"/>
            <w:hideMark/>
          </w:tcPr>
          <w:p w14:paraId="3F829E34" w14:textId="77777777" w:rsidR="00B85F22" w:rsidRPr="00894701" w:rsidRDefault="00B85F22" w:rsidP="00BF6F3B">
            <w:pPr>
              <w:spacing w:before="120" w:line="240" w:lineRule="auto"/>
              <w:rPr>
                <w:rFonts w:cs="Arial"/>
                <w:color w:val="auto"/>
                <w:kern w:val="0"/>
                <w:sz w:val="16"/>
                <w:szCs w:val="16"/>
              </w:rPr>
            </w:pPr>
            <w:r w:rsidRPr="00894701">
              <w:rPr>
                <w:rFonts w:cs="Arial"/>
                <w:color w:val="auto"/>
                <w:kern w:val="0"/>
                <w:sz w:val="16"/>
                <w:szCs w:val="16"/>
              </w:rPr>
              <w:t xml:space="preserve">Ministry of Finance and Planning (MoFP) </w:t>
            </w:r>
          </w:p>
        </w:tc>
        <w:tc>
          <w:tcPr>
            <w:tcW w:w="1417" w:type="dxa"/>
            <w:tcBorders>
              <w:top w:val="nil"/>
              <w:left w:val="nil"/>
              <w:bottom w:val="nil"/>
              <w:right w:val="nil"/>
            </w:tcBorders>
            <w:shd w:val="clear" w:color="000000" w:fill="F7A3B0"/>
            <w:noWrap/>
            <w:vAlign w:val="center"/>
            <w:hideMark/>
          </w:tcPr>
          <w:p w14:paraId="10FBFEF8" w14:textId="6F4C1F6B" w:rsidR="00B85F22" w:rsidRPr="00894701" w:rsidRDefault="003C1E50" w:rsidP="00BF6F3B">
            <w:pPr>
              <w:spacing w:before="120" w:line="240" w:lineRule="auto"/>
              <w:jc w:val="right"/>
              <w:rPr>
                <w:rFonts w:asciiTheme="majorHAnsi" w:hAnsiTheme="majorHAnsi" w:cs="Arial"/>
                <w:color w:val="auto"/>
                <w:kern w:val="0"/>
                <w:sz w:val="16"/>
                <w:szCs w:val="16"/>
              </w:rPr>
            </w:pPr>
            <w:r w:rsidRPr="00894701">
              <w:rPr>
                <w:rFonts w:asciiTheme="majorHAnsi" w:hAnsiTheme="majorHAnsi" w:cs="Arial"/>
                <w:color w:val="auto"/>
                <w:sz w:val="16"/>
                <w:szCs w:val="16"/>
              </w:rPr>
              <w:t xml:space="preserve"> 172,787,336</w:t>
            </w:r>
          </w:p>
        </w:tc>
        <w:tc>
          <w:tcPr>
            <w:tcW w:w="1330" w:type="dxa"/>
            <w:tcBorders>
              <w:top w:val="nil"/>
              <w:left w:val="nil"/>
              <w:bottom w:val="nil"/>
              <w:right w:val="nil"/>
            </w:tcBorders>
            <w:shd w:val="clear" w:color="000000" w:fill="F7A3B0"/>
            <w:noWrap/>
            <w:vAlign w:val="center"/>
            <w:hideMark/>
          </w:tcPr>
          <w:p w14:paraId="2E712DE9" w14:textId="5F545217" w:rsidR="00B85F22" w:rsidRPr="00894701" w:rsidRDefault="00B85F22" w:rsidP="00BF6F3B">
            <w:pPr>
              <w:spacing w:before="120" w:line="240" w:lineRule="auto"/>
              <w:jc w:val="right"/>
              <w:rPr>
                <w:rFonts w:asciiTheme="majorHAnsi" w:hAnsiTheme="majorHAnsi" w:cs="Arial"/>
                <w:color w:val="auto"/>
                <w:kern w:val="0"/>
                <w:sz w:val="16"/>
                <w:szCs w:val="16"/>
              </w:rPr>
            </w:pPr>
            <w:r w:rsidRPr="00894701">
              <w:rPr>
                <w:rFonts w:asciiTheme="majorHAnsi" w:hAnsiTheme="majorHAnsi" w:cs="Arial"/>
                <w:color w:val="auto"/>
                <w:sz w:val="16"/>
                <w:szCs w:val="16"/>
              </w:rPr>
              <w:t>1,402,034,007</w:t>
            </w:r>
          </w:p>
        </w:tc>
        <w:tc>
          <w:tcPr>
            <w:tcW w:w="1505" w:type="dxa"/>
            <w:tcBorders>
              <w:top w:val="nil"/>
              <w:left w:val="nil"/>
              <w:bottom w:val="nil"/>
              <w:right w:val="nil"/>
            </w:tcBorders>
            <w:shd w:val="clear" w:color="000000" w:fill="F7A3B0"/>
            <w:noWrap/>
            <w:vAlign w:val="center"/>
            <w:hideMark/>
          </w:tcPr>
          <w:p w14:paraId="46FB17DD" w14:textId="33EE8402" w:rsidR="00B85F22" w:rsidRPr="00894701" w:rsidRDefault="00B85F22" w:rsidP="00BF6F3B">
            <w:pPr>
              <w:spacing w:before="120" w:line="240" w:lineRule="auto"/>
              <w:jc w:val="right"/>
              <w:rPr>
                <w:rFonts w:asciiTheme="majorHAnsi" w:hAnsiTheme="majorHAnsi" w:cs="Arial"/>
                <w:color w:val="auto"/>
                <w:kern w:val="0"/>
                <w:sz w:val="16"/>
                <w:szCs w:val="16"/>
              </w:rPr>
            </w:pPr>
            <w:r w:rsidRPr="00894701">
              <w:rPr>
                <w:rFonts w:asciiTheme="majorHAnsi" w:hAnsiTheme="majorHAnsi" w:cs="Arial"/>
                <w:color w:val="auto"/>
                <w:sz w:val="16"/>
                <w:szCs w:val="16"/>
              </w:rPr>
              <w:t>-</w:t>
            </w:r>
          </w:p>
        </w:tc>
        <w:tc>
          <w:tcPr>
            <w:tcW w:w="1418" w:type="dxa"/>
            <w:tcBorders>
              <w:top w:val="nil"/>
              <w:left w:val="nil"/>
              <w:bottom w:val="nil"/>
              <w:right w:val="nil"/>
            </w:tcBorders>
            <w:shd w:val="clear" w:color="000000" w:fill="F7A3B0"/>
            <w:noWrap/>
            <w:vAlign w:val="center"/>
            <w:hideMark/>
          </w:tcPr>
          <w:p w14:paraId="29CF596B" w14:textId="565E4960" w:rsidR="00B85F22" w:rsidRPr="00894701" w:rsidRDefault="003C1E50" w:rsidP="00BF6F3B">
            <w:pPr>
              <w:spacing w:before="120" w:line="240" w:lineRule="auto"/>
              <w:jc w:val="right"/>
              <w:rPr>
                <w:rFonts w:asciiTheme="majorHAnsi" w:hAnsiTheme="majorHAnsi" w:cs="Arial"/>
                <w:color w:val="auto"/>
                <w:kern w:val="0"/>
                <w:sz w:val="16"/>
                <w:szCs w:val="16"/>
              </w:rPr>
            </w:pPr>
            <w:r w:rsidRPr="00894701">
              <w:rPr>
                <w:rFonts w:asciiTheme="majorHAnsi" w:hAnsiTheme="majorHAnsi" w:cs="Arial"/>
                <w:color w:val="auto"/>
                <w:sz w:val="16"/>
                <w:szCs w:val="16"/>
              </w:rPr>
              <w:t xml:space="preserve"> 1,574,821,343</w:t>
            </w:r>
          </w:p>
        </w:tc>
        <w:tc>
          <w:tcPr>
            <w:tcW w:w="298" w:type="dxa"/>
            <w:tcBorders>
              <w:top w:val="nil"/>
              <w:left w:val="nil"/>
              <w:bottom w:val="nil"/>
              <w:right w:val="nil"/>
            </w:tcBorders>
            <w:shd w:val="clear" w:color="000000" w:fill="FFFFFF"/>
            <w:vAlign w:val="center"/>
            <w:hideMark/>
          </w:tcPr>
          <w:p w14:paraId="12A63970" w14:textId="2A7CA6DD" w:rsidR="00B85F22" w:rsidRPr="00894701" w:rsidRDefault="00B85F22" w:rsidP="00BF6F3B">
            <w:pPr>
              <w:spacing w:before="120" w:line="240" w:lineRule="auto"/>
              <w:jc w:val="right"/>
              <w:rPr>
                <w:rFonts w:asciiTheme="majorHAnsi" w:hAnsiTheme="majorHAnsi" w:cs="Arial"/>
                <w:b/>
                <w:bCs/>
                <w:color w:val="auto"/>
                <w:kern w:val="0"/>
                <w:sz w:val="16"/>
                <w:szCs w:val="16"/>
              </w:rPr>
            </w:pPr>
          </w:p>
        </w:tc>
        <w:tc>
          <w:tcPr>
            <w:tcW w:w="1403" w:type="dxa"/>
            <w:tcBorders>
              <w:top w:val="nil"/>
              <w:left w:val="nil"/>
              <w:bottom w:val="nil"/>
              <w:right w:val="nil"/>
            </w:tcBorders>
            <w:shd w:val="clear" w:color="000000" w:fill="F7A3B0"/>
            <w:noWrap/>
            <w:vAlign w:val="center"/>
            <w:hideMark/>
          </w:tcPr>
          <w:p w14:paraId="0DF62FD1" w14:textId="3585C318" w:rsidR="00B85F22" w:rsidRPr="00894701" w:rsidRDefault="00B85F22" w:rsidP="00BF6F3B">
            <w:pPr>
              <w:spacing w:before="120" w:line="240" w:lineRule="auto"/>
              <w:jc w:val="right"/>
              <w:rPr>
                <w:rFonts w:asciiTheme="majorHAnsi" w:hAnsiTheme="majorHAnsi" w:cs="Arial"/>
                <w:color w:val="auto"/>
                <w:kern w:val="0"/>
                <w:sz w:val="16"/>
                <w:szCs w:val="16"/>
              </w:rPr>
            </w:pPr>
            <w:r w:rsidRPr="00894701">
              <w:rPr>
                <w:rFonts w:asciiTheme="majorHAnsi" w:hAnsiTheme="majorHAnsi" w:cs="Arial"/>
                <w:color w:val="auto"/>
                <w:sz w:val="16"/>
                <w:szCs w:val="16"/>
              </w:rPr>
              <w:t>1,402,034,007</w:t>
            </w:r>
          </w:p>
        </w:tc>
        <w:tc>
          <w:tcPr>
            <w:tcW w:w="1275" w:type="dxa"/>
            <w:tcBorders>
              <w:top w:val="nil"/>
              <w:left w:val="nil"/>
              <w:bottom w:val="nil"/>
              <w:right w:val="nil"/>
            </w:tcBorders>
            <w:shd w:val="clear" w:color="000000" w:fill="F7A3B0"/>
            <w:noWrap/>
            <w:vAlign w:val="center"/>
          </w:tcPr>
          <w:p w14:paraId="38952C42" w14:textId="7A31CB4D" w:rsidR="00B85F22" w:rsidRPr="00894701" w:rsidRDefault="003C1E50" w:rsidP="00BF6F3B">
            <w:pPr>
              <w:spacing w:before="120" w:line="240" w:lineRule="auto"/>
              <w:jc w:val="right"/>
              <w:rPr>
                <w:rFonts w:asciiTheme="majorHAnsi" w:hAnsiTheme="majorHAnsi" w:cs="Arial"/>
                <w:color w:val="auto"/>
                <w:kern w:val="0"/>
                <w:sz w:val="16"/>
                <w:szCs w:val="16"/>
              </w:rPr>
            </w:pPr>
            <w:r w:rsidRPr="00894701">
              <w:rPr>
                <w:rFonts w:asciiTheme="majorHAnsi" w:hAnsiTheme="majorHAnsi" w:cs="Arial"/>
                <w:color w:val="auto"/>
                <w:sz w:val="16"/>
                <w:szCs w:val="16"/>
              </w:rPr>
              <w:t xml:space="preserve">172,787,336 </w:t>
            </w:r>
          </w:p>
        </w:tc>
      </w:tr>
      <w:tr w:rsidR="00B85F22" w:rsidRPr="00894701" w14:paraId="5303BC5C" w14:textId="77777777" w:rsidTr="00FE5EA3">
        <w:trPr>
          <w:trHeight w:val="240"/>
          <w:jc w:val="center"/>
        </w:trPr>
        <w:tc>
          <w:tcPr>
            <w:tcW w:w="5529" w:type="dxa"/>
            <w:tcBorders>
              <w:top w:val="nil"/>
              <w:left w:val="nil"/>
              <w:bottom w:val="nil"/>
              <w:right w:val="nil"/>
            </w:tcBorders>
            <w:shd w:val="clear" w:color="auto" w:fill="auto"/>
            <w:noWrap/>
            <w:vAlign w:val="center"/>
            <w:hideMark/>
          </w:tcPr>
          <w:p w14:paraId="34A55DC6" w14:textId="77777777" w:rsidR="00B85F22" w:rsidRPr="00894701" w:rsidRDefault="00B85F22" w:rsidP="00BF6F3B">
            <w:pPr>
              <w:spacing w:before="120" w:line="240" w:lineRule="auto"/>
              <w:rPr>
                <w:rFonts w:cs="Arial"/>
                <w:color w:val="auto"/>
                <w:kern w:val="0"/>
                <w:sz w:val="16"/>
                <w:szCs w:val="16"/>
              </w:rPr>
            </w:pPr>
            <w:r w:rsidRPr="00894701">
              <w:rPr>
                <w:rFonts w:cs="Arial"/>
                <w:color w:val="auto"/>
                <w:kern w:val="0"/>
                <w:sz w:val="16"/>
                <w:szCs w:val="16"/>
              </w:rPr>
              <w:t xml:space="preserve"> Ministry of Natural Resources (MoNR)</w:t>
            </w:r>
          </w:p>
        </w:tc>
        <w:tc>
          <w:tcPr>
            <w:tcW w:w="1417" w:type="dxa"/>
            <w:tcBorders>
              <w:top w:val="nil"/>
              <w:left w:val="nil"/>
              <w:bottom w:val="nil"/>
              <w:right w:val="nil"/>
            </w:tcBorders>
            <w:shd w:val="clear" w:color="000000" w:fill="FFFFFF"/>
            <w:noWrap/>
            <w:vAlign w:val="center"/>
            <w:hideMark/>
          </w:tcPr>
          <w:p w14:paraId="470B3358" w14:textId="411430E5" w:rsidR="00B85F22" w:rsidRPr="00894701" w:rsidRDefault="00B85F22" w:rsidP="00BF6F3B">
            <w:pPr>
              <w:spacing w:before="120" w:line="240" w:lineRule="auto"/>
              <w:jc w:val="right"/>
              <w:rPr>
                <w:rFonts w:asciiTheme="majorHAnsi" w:hAnsiTheme="majorHAnsi" w:cs="Arial"/>
                <w:color w:val="auto"/>
                <w:kern w:val="0"/>
                <w:sz w:val="16"/>
                <w:szCs w:val="16"/>
              </w:rPr>
            </w:pPr>
            <w:r w:rsidRPr="00894701">
              <w:rPr>
                <w:rFonts w:asciiTheme="majorHAnsi" w:hAnsiTheme="majorHAnsi" w:cs="Arial"/>
                <w:color w:val="auto"/>
                <w:sz w:val="16"/>
                <w:szCs w:val="16"/>
              </w:rPr>
              <w:t>-</w:t>
            </w:r>
          </w:p>
        </w:tc>
        <w:tc>
          <w:tcPr>
            <w:tcW w:w="1330" w:type="dxa"/>
            <w:tcBorders>
              <w:top w:val="nil"/>
              <w:left w:val="nil"/>
              <w:bottom w:val="nil"/>
              <w:right w:val="nil"/>
            </w:tcBorders>
            <w:shd w:val="clear" w:color="000000" w:fill="FFFFFF"/>
            <w:noWrap/>
            <w:vAlign w:val="center"/>
            <w:hideMark/>
          </w:tcPr>
          <w:p w14:paraId="13BD9C93" w14:textId="713169A7" w:rsidR="00B85F22" w:rsidRPr="00894701" w:rsidRDefault="00B85F22" w:rsidP="00BF6F3B">
            <w:pPr>
              <w:spacing w:before="120" w:line="240" w:lineRule="auto"/>
              <w:jc w:val="right"/>
              <w:rPr>
                <w:rFonts w:asciiTheme="majorHAnsi" w:hAnsiTheme="majorHAnsi" w:cs="Arial"/>
                <w:color w:val="auto"/>
                <w:kern w:val="0"/>
                <w:sz w:val="16"/>
                <w:szCs w:val="16"/>
              </w:rPr>
            </w:pPr>
            <w:r w:rsidRPr="00894701">
              <w:rPr>
                <w:rFonts w:asciiTheme="majorHAnsi" w:hAnsiTheme="majorHAnsi" w:cs="Arial"/>
                <w:color w:val="auto"/>
                <w:sz w:val="16"/>
                <w:szCs w:val="16"/>
              </w:rPr>
              <w:t>-</w:t>
            </w:r>
          </w:p>
        </w:tc>
        <w:tc>
          <w:tcPr>
            <w:tcW w:w="1505" w:type="dxa"/>
            <w:tcBorders>
              <w:top w:val="nil"/>
              <w:left w:val="nil"/>
              <w:bottom w:val="nil"/>
              <w:right w:val="nil"/>
            </w:tcBorders>
            <w:shd w:val="clear" w:color="000000" w:fill="FFFFFF"/>
            <w:noWrap/>
            <w:vAlign w:val="center"/>
            <w:hideMark/>
          </w:tcPr>
          <w:p w14:paraId="6C2C7291" w14:textId="7C35B573" w:rsidR="00B85F22" w:rsidRPr="00894701" w:rsidRDefault="00B85F22" w:rsidP="00BF6F3B">
            <w:pPr>
              <w:spacing w:before="120" w:line="240" w:lineRule="auto"/>
              <w:jc w:val="right"/>
              <w:rPr>
                <w:rFonts w:asciiTheme="majorHAnsi" w:hAnsiTheme="majorHAnsi" w:cs="Arial"/>
                <w:color w:val="auto"/>
                <w:kern w:val="0"/>
                <w:sz w:val="16"/>
                <w:szCs w:val="16"/>
              </w:rPr>
            </w:pPr>
            <w:r w:rsidRPr="00894701">
              <w:rPr>
                <w:rFonts w:asciiTheme="majorHAnsi" w:hAnsiTheme="majorHAnsi" w:cs="Arial"/>
                <w:color w:val="auto"/>
                <w:sz w:val="16"/>
                <w:szCs w:val="16"/>
              </w:rPr>
              <w:t>-</w:t>
            </w:r>
          </w:p>
        </w:tc>
        <w:tc>
          <w:tcPr>
            <w:tcW w:w="1418" w:type="dxa"/>
            <w:tcBorders>
              <w:top w:val="nil"/>
              <w:left w:val="nil"/>
              <w:bottom w:val="nil"/>
              <w:right w:val="nil"/>
            </w:tcBorders>
            <w:shd w:val="clear" w:color="000000" w:fill="FFFFFF"/>
            <w:noWrap/>
            <w:vAlign w:val="center"/>
            <w:hideMark/>
          </w:tcPr>
          <w:p w14:paraId="0034033D" w14:textId="542D6823" w:rsidR="00B85F22" w:rsidRPr="00894701" w:rsidRDefault="00B85F22" w:rsidP="00BF6F3B">
            <w:pPr>
              <w:spacing w:before="120" w:line="240" w:lineRule="auto"/>
              <w:jc w:val="right"/>
              <w:rPr>
                <w:rFonts w:asciiTheme="majorHAnsi" w:hAnsiTheme="majorHAnsi" w:cs="Arial"/>
                <w:color w:val="auto"/>
                <w:kern w:val="0"/>
                <w:sz w:val="16"/>
                <w:szCs w:val="16"/>
              </w:rPr>
            </w:pPr>
            <w:r w:rsidRPr="00894701">
              <w:rPr>
                <w:rFonts w:asciiTheme="majorHAnsi" w:hAnsiTheme="majorHAnsi" w:cs="Arial"/>
                <w:color w:val="auto"/>
                <w:sz w:val="16"/>
                <w:szCs w:val="16"/>
              </w:rPr>
              <w:t>-</w:t>
            </w:r>
          </w:p>
        </w:tc>
        <w:tc>
          <w:tcPr>
            <w:tcW w:w="298" w:type="dxa"/>
            <w:tcBorders>
              <w:top w:val="nil"/>
              <w:left w:val="nil"/>
              <w:bottom w:val="nil"/>
              <w:right w:val="nil"/>
            </w:tcBorders>
            <w:shd w:val="clear" w:color="000000" w:fill="FFFFFF"/>
            <w:noWrap/>
            <w:vAlign w:val="bottom"/>
            <w:hideMark/>
          </w:tcPr>
          <w:p w14:paraId="666CF7A0" w14:textId="6D00D832" w:rsidR="00B85F22" w:rsidRPr="00894701" w:rsidRDefault="00B85F22" w:rsidP="00BF6F3B">
            <w:pPr>
              <w:spacing w:before="120" w:line="240" w:lineRule="auto"/>
              <w:jc w:val="right"/>
              <w:rPr>
                <w:rFonts w:asciiTheme="majorHAnsi" w:hAnsiTheme="majorHAnsi" w:cs="Arial"/>
                <w:color w:val="auto"/>
                <w:kern w:val="0"/>
                <w:sz w:val="16"/>
                <w:szCs w:val="16"/>
              </w:rPr>
            </w:pPr>
          </w:p>
        </w:tc>
        <w:tc>
          <w:tcPr>
            <w:tcW w:w="1403" w:type="dxa"/>
            <w:tcBorders>
              <w:top w:val="nil"/>
              <w:left w:val="nil"/>
              <w:bottom w:val="nil"/>
              <w:right w:val="nil"/>
            </w:tcBorders>
            <w:shd w:val="clear" w:color="000000" w:fill="FFFFFF"/>
            <w:noWrap/>
            <w:vAlign w:val="center"/>
            <w:hideMark/>
          </w:tcPr>
          <w:p w14:paraId="7D64A55E" w14:textId="3E598F84" w:rsidR="00B85F22" w:rsidRPr="00894701" w:rsidRDefault="00B85F22" w:rsidP="00BF6F3B">
            <w:pPr>
              <w:spacing w:before="120" w:line="240" w:lineRule="auto"/>
              <w:jc w:val="right"/>
              <w:rPr>
                <w:rFonts w:asciiTheme="majorHAnsi" w:hAnsiTheme="majorHAnsi" w:cs="Arial"/>
                <w:color w:val="auto"/>
                <w:kern w:val="0"/>
                <w:sz w:val="16"/>
                <w:szCs w:val="16"/>
              </w:rPr>
            </w:pPr>
            <w:r w:rsidRPr="00894701">
              <w:rPr>
                <w:rFonts w:asciiTheme="majorHAnsi" w:hAnsiTheme="majorHAnsi" w:cs="Arial"/>
                <w:color w:val="auto"/>
                <w:sz w:val="16"/>
                <w:szCs w:val="16"/>
              </w:rPr>
              <w:t>-</w:t>
            </w:r>
          </w:p>
        </w:tc>
        <w:tc>
          <w:tcPr>
            <w:tcW w:w="1275" w:type="dxa"/>
            <w:tcBorders>
              <w:top w:val="nil"/>
              <w:left w:val="nil"/>
              <w:bottom w:val="nil"/>
              <w:right w:val="nil"/>
            </w:tcBorders>
            <w:shd w:val="clear" w:color="000000" w:fill="FFFFFF"/>
            <w:noWrap/>
            <w:vAlign w:val="center"/>
            <w:hideMark/>
          </w:tcPr>
          <w:p w14:paraId="1928F31F" w14:textId="6BDC8E73" w:rsidR="00B85F22" w:rsidRPr="00894701" w:rsidRDefault="00B85F22" w:rsidP="00BF6F3B">
            <w:pPr>
              <w:spacing w:before="120" w:line="240" w:lineRule="auto"/>
              <w:jc w:val="right"/>
              <w:rPr>
                <w:rFonts w:asciiTheme="majorHAnsi" w:hAnsiTheme="majorHAnsi" w:cs="Arial"/>
                <w:color w:val="auto"/>
                <w:kern w:val="0"/>
                <w:sz w:val="16"/>
                <w:szCs w:val="16"/>
              </w:rPr>
            </w:pPr>
            <w:r w:rsidRPr="00894701">
              <w:rPr>
                <w:rFonts w:asciiTheme="majorHAnsi" w:hAnsiTheme="majorHAnsi" w:cs="Arial"/>
                <w:color w:val="auto"/>
                <w:sz w:val="16"/>
                <w:szCs w:val="16"/>
              </w:rPr>
              <w:t>-</w:t>
            </w:r>
          </w:p>
        </w:tc>
      </w:tr>
      <w:tr w:rsidR="00B85F22" w:rsidRPr="00894701" w14:paraId="0DDEF368" w14:textId="77777777" w:rsidTr="00FE5EA3">
        <w:trPr>
          <w:trHeight w:val="240"/>
          <w:jc w:val="center"/>
        </w:trPr>
        <w:tc>
          <w:tcPr>
            <w:tcW w:w="5529" w:type="dxa"/>
            <w:tcBorders>
              <w:top w:val="nil"/>
              <w:left w:val="nil"/>
              <w:bottom w:val="nil"/>
              <w:right w:val="nil"/>
            </w:tcBorders>
            <w:shd w:val="clear" w:color="000000" w:fill="F7A3B0"/>
            <w:noWrap/>
            <w:vAlign w:val="center"/>
            <w:hideMark/>
          </w:tcPr>
          <w:p w14:paraId="515DF5EE" w14:textId="77777777" w:rsidR="00B85F22" w:rsidRPr="00894701" w:rsidRDefault="00B85F22" w:rsidP="00BF6F3B">
            <w:pPr>
              <w:spacing w:before="120" w:line="240" w:lineRule="auto"/>
              <w:rPr>
                <w:rFonts w:cs="Arial"/>
                <w:color w:val="auto"/>
                <w:kern w:val="0"/>
                <w:sz w:val="16"/>
                <w:szCs w:val="16"/>
              </w:rPr>
            </w:pPr>
            <w:r w:rsidRPr="00894701">
              <w:rPr>
                <w:rFonts w:cs="Arial"/>
                <w:color w:val="auto"/>
                <w:kern w:val="0"/>
                <w:sz w:val="16"/>
                <w:szCs w:val="16"/>
              </w:rPr>
              <w:t xml:space="preserve"> Other payments to Ministry of Natural Resources (MoNR)</w:t>
            </w:r>
          </w:p>
        </w:tc>
        <w:tc>
          <w:tcPr>
            <w:tcW w:w="1417" w:type="dxa"/>
            <w:tcBorders>
              <w:top w:val="nil"/>
              <w:left w:val="nil"/>
              <w:bottom w:val="nil"/>
              <w:right w:val="nil"/>
            </w:tcBorders>
            <w:shd w:val="clear" w:color="000000" w:fill="F7A3B0"/>
            <w:noWrap/>
            <w:vAlign w:val="center"/>
            <w:hideMark/>
          </w:tcPr>
          <w:p w14:paraId="1CB08381" w14:textId="153261AA" w:rsidR="00B85F22" w:rsidRPr="00894701" w:rsidRDefault="00B85F22" w:rsidP="00BF6F3B">
            <w:pPr>
              <w:spacing w:before="120" w:line="240" w:lineRule="auto"/>
              <w:jc w:val="right"/>
              <w:rPr>
                <w:rFonts w:asciiTheme="majorHAnsi" w:hAnsiTheme="majorHAnsi" w:cs="Arial"/>
                <w:color w:val="auto"/>
                <w:kern w:val="0"/>
                <w:sz w:val="16"/>
                <w:szCs w:val="16"/>
              </w:rPr>
            </w:pPr>
            <w:r w:rsidRPr="00894701">
              <w:rPr>
                <w:rFonts w:asciiTheme="majorHAnsi" w:hAnsiTheme="majorHAnsi" w:cs="Arial"/>
                <w:color w:val="auto"/>
                <w:sz w:val="16"/>
                <w:szCs w:val="16"/>
              </w:rPr>
              <w:t>-</w:t>
            </w:r>
          </w:p>
        </w:tc>
        <w:tc>
          <w:tcPr>
            <w:tcW w:w="1330" w:type="dxa"/>
            <w:tcBorders>
              <w:top w:val="nil"/>
              <w:left w:val="nil"/>
              <w:bottom w:val="nil"/>
              <w:right w:val="nil"/>
            </w:tcBorders>
            <w:shd w:val="clear" w:color="000000" w:fill="F7A3B0"/>
            <w:noWrap/>
            <w:vAlign w:val="center"/>
            <w:hideMark/>
          </w:tcPr>
          <w:p w14:paraId="3AB1AFC0" w14:textId="5847167C" w:rsidR="00B85F22" w:rsidRPr="00894701" w:rsidRDefault="00B85F22" w:rsidP="00BF6F3B">
            <w:pPr>
              <w:spacing w:before="120" w:line="240" w:lineRule="auto"/>
              <w:jc w:val="right"/>
              <w:rPr>
                <w:rFonts w:asciiTheme="majorHAnsi" w:hAnsiTheme="majorHAnsi" w:cs="Arial"/>
                <w:color w:val="auto"/>
                <w:kern w:val="0"/>
                <w:sz w:val="16"/>
                <w:szCs w:val="16"/>
              </w:rPr>
            </w:pPr>
            <w:r w:rsidRPr="00894701">
              <w:rPr>
                <w:rFonts w:asciiTheme="majorHAnsi" w:hAnsiTheme="majorHAnsi" w:cs="Arial"/>
                <w:color w:val="auto"/>
                <w:sz w:val="16"/>
                <w:szCs w:val="16"/>
              </w:rPr>
              <w:t>-</w:t>
            </w:r>
          </w:p>
        </w:tc>
        <w:tc>
          <w:tcPr>
            <w:tcW w:w="1505" w:type="dxa"/>
            <w:tcBorders>
              <w:top w:val="nil"/>
              <w:left w:val="nil"/>
              <w:bottom w:val="nil"/>
              <w:right w:val="nil"/>
            </w:tcBorders>
            <w:shd w:val="clear" w:color="000000" w:fill="F7A3B0"/>
            <w:noWrap/>
            <w:vAlign w:val="center"/>
            <w:hideMark/>
          </w:tcPr>
          <w:p w14:paraId="4DB021F4" w14:textId="1E4BB37C" w:rsidR="00B85F22" w:rsidRPr="00894701" w:rsidRDefault="00B85F22" w:rsidP="00BF6F3B">
            <w:pPr>
              <w:spacing w:before="120" w:line="240" w:lineRule="auto"/>
              <w:jc w:val="right"/>
              <w:rPr>
                <w:rFonts w:asciiTheme="majorHAnsi" w:hAnsiTheme="majorHAnsi" w:cs="Arial"/>
                <w:color w:val="auto"/>
                <w:kern w:val="0"/>
                <w:sz w:val="16"/>
                <w:szCs w:val="16"/>
              </w:rPr>
            </w:pPr>
            <w:r w:rsidRPr="00894701">
              <w:rPr>
                <w:rFonts w:asciiTheme="majorHAnsi" w:hAnsiTheme="majorHAnsi" w:cs="Arial"/>
                <w:color w:val="auto"/>
                <w:sz w:val="16"/>
                <w:szCs w:val="16"/>
              </w:rPr>
              <w:t>-</w:t>
            </w:r>
          </w:p>
        </w:tc>
        <w:tc>
          <w:tcPr>
            <w:tcW w:w="1418" w:type="dxa"/>
            <w:tcBorders>
              <w:top w:val="nil"/>
              <w:left w:val="nil"/>
              <w:bottom w:val="nil"/>
              <w:right w:val="nil"/>
            </w:tcBorders>
            <w:shd w:val="clear" w:color="000000" w:fill="F7A3B0"/>
            <w:noWrap/>
            <w:vAlign w:val="center"/>
            <w:hideMark/>
          </w:tcPr>
          <w:p w14:paraId="7913793C" w14:textId="165DE8FA" w:rsidR="00B85F22" w:rsidRPr="00894701" w:rsidRDefault="00B85F22" w:rsidP="00BF6F3B">
            <w:pPr>
              <w:spacing w:before="120" w:line="240" w:lineRule="auto"/>
              <w:jc w:val="right"/>
              <w:rPr>
                <w:rFonts w:asciiTheme="majorHAnsi" w:hAnsiTheme="majorHAnsi" w:cs="Arial"/>
                <w:color w:val="auto"/>
                <w:kern w:val="0"/>
                <w:sz w:val="16"/>
                <w:szCs w:val="16"/>
              </w:rPr>
            </w:pPr>
            <w:r w:rsidRPr="00894701">
              <w:rPr>
                <w:rFonts w:asciiTheme="majorHAnsi" w:hAnsiTheme="majorHAnsi" w:cs="Arial"/>
                <w:color w:val="auto"/>
                <w:sz w:val="16"/>
                <w:szCs w:val="16"/>
              </w:rPr>
              <w:t>-</w:t>
            </w:r>
          </w:p>
        </w:tc>
        <w:tc>
          <w:tcPr>
            <w:tcW w:w="298" w:type="dxa"/>
            <w:tcBorders>
              <w:top w:val="nil"/>
              <w:left w:val="nil"/>
              <w:bottom w:val="nil"/>
              <w:right w:val="nil"/>
            </w:tcBorders>
            <w:shd w:val="clear" w:color="000000" w:fill="FFFFFF"/>
            <w:noWrap/>
            <w:vAlign w:val="center"/>
            <w:hideMark/>
          </w:tcPr>
          <w:p w14:paraId="7B1EECB4" w14:textId="2BBF7D9D" w:rsidR="00B85F22" w:rsidRPr="00894701" w:rsidRDefault="00B85F22" w:rsidP="00BF6F3B">
            <w:pPr>
              <w:spacing w:before="120" w:line="240" w:lineRule="auto"/>
              <w:jc w:val="right"/>
              <w:rPr>
                <w:rFonts w:asciiTheme="majorHAnsi" w:hAnsiTheme="majorHAnsi" w:cs="Arial"/>
                <w:color w:val="auto"/>
                <w:kern w:val="0"/>
                <w:sz w:val="16"/>
                <w:szCs w:val="16"/>
              </w:rPr>
            </w:pPr>
          </w:p>
        </w:tc>
        <w:tc>
          <w:tcPr>
            <w:tcW w:w="1403" w:type="dxa"/>
            <w:tcBorders>
              <w:top w:val="nil"/>
              <w:left w:val="nil"/>
              <w:bottom w:val="nil"/>
              <w:right w:val="nil"/>
            </w:tcBorders>
            <w:shd w:val="clear" w:color="000000" w:fill="F7A3B0"/>
            <w:noWrap/>
            <w:vAlign w:val="center"/>
            <w:hideMark/>
          </w:tcPr>
          <w:p w14:paraId="6C6BA39C" w14:textId="3AF9DC80" w:rsidR="00B85F22" w:rsidRPr="00894701" w:rsidRDefault="00B85F22" w:rsidP="00BF6F3B">
            <w:pPr>
              <w:spacing w:before="120" w:line="240" w:lineRule="auto"/>
              <w:jc w:val="right"/>
              <w:rPr>
                <w:rFonts w:asciiTheme="majorHAnsi" w:hAnsiTheme="majorHAnsi" w:cs="Arial"/>
                <w:color w:val="auto"/>
                <w:kern w:val="0"/>
                <w:sz w:val="16"/>
                <w:szCs w:val="16"/>
              </w:rPr>
            </w:pPr>
            <w:r w:rsidRPr="00894701">
              <w:rPr>
                <w:rFonts w:asciiTheme="majorHAnsi" w:hAnsiTheme="majorHAnsi" w:cs="Arial"/>
                <w:color w:val="auto"/>
                <w:sz w:val="16"/>
                <w:szCs w:val="16"/>
              </w:rPr>
              <w:t>-</w:t>
            </w:r>
          </w:p>
        </w:tc>
        <w:tc>
          <w:tcPr>
            <w:tcW w:w="1275" w:type="dxa"/>
            <w:tcBorders>
              <w:top w:val="nil"/>
              <w:left w:val="nil"/>
              <w:bottom w:val="nil"/>
              <w:right w:val="nil"/>
            </w:tcBorders>
            <w:shd w:val="clear" w:color="000000" w:fill="F7A3B0"/>
            <w:noWrap/>
            <w:vAlign w:val="center"/>
            <w:hideMark/>
          </w:tcPr>
          <w:p w14:paraId="78707900" w14:textId="491CE800" w:rsidR="00B85F22" w:rsidRPr="00894701" w:rsidRDefault="00B85F22" w:rsidP="00BF6F3B">
            <w:pPr>
              <w:spacing w:before="120" w:line="240" w:lineRule="auto"/>
              <w:jc w:val="right"/>
              <w:rPr>
                <w:rFonts w:asciiTheme="majorHAnsi" w:hAnsiTheme="majorHAnsi" w:cs="Arial"/>
                <w:color w:val="auto"/>
                <w:kern w:val="0"/>
                <w:sz w:val="16"/>
                <w:szCs w:val="16"/>
              </w:rPr>
            </w:pPr>
            <w:r w:rsidRPr="00894701">
              <w:rPr>
                <w:rFonts w:asciiTheme="majorHAnsi" w:hAnsiTheme="majorHAnsi" w:cs="Arial"/>
                <w:color w:val="auto"/>
                <w:sz w:val="16"/>
                <w:szCs w:val="16"/>
              </w:rPr>
              <w:t>-</w:t>
            </w:r>
          </w:p>
        </w:tc>
      </w:tr>
      <w:tr w:rsidR="00B85F22" w:rsidRPr="00894701" w14:paraId="6497C3BA" w14:textId="77777777" w:rsidTr="00FE5EA3">
        <w:trPr>
          <w:trHeight w:val="240"/>
          <w:jc w:val="center"/>
        </w:trPr>
        <w:tc>
          <w:tcPr>
            <w:tcW w:w="5529" w:type="dxa"/>
            <w:tcBorders>
              <w:top w:val="nil"/>
              <w:left w:val="nil"/>
              <w:bottom w:val="nil"/>
              <w:right w:val="nil"/>
            </w:tcBorders>
            <w:shd w:val="clear" w:color="auto" w:fill="auto"/>
            <w:noWrap/>
            <w:vAlign w:val="center"/>
            <w:hideMark/>
          </w:tcPr>
          <w:p w14:paraId="3D2CA0BE" w14:textId="77777777" w:rsidR="00B85F22" w:rsidRPr="00894701" w:rsidRDefault="00B85F22" w:rsidP="00BF6F3B">
            <w:pPr>
              <w:spacing w:before="120" w:line="240" w:lineRule="auto"/>
              <w:rPr>
                <w:rFonts w:cs="Arial"/>
                <w:color w:val="auto"/>
                <w:kern w:val="0"/>
                <w:sz w:val="16"/>
                <w:szCs w:val="16"/>
              </w:rPr>
            </w:pPr>
            <w:r w:rsidRPr="00894701">
              <w:rPr>
                <w:rFonts w:cs="Arial"/>
                <w:color w:val="auto"/>
                <w:kern w:val="0"/>
                <w:sz w:val="16"/>
                <w:szCs w:val="16"/>
              </w:rPr>
              <w:t>State Owned Entities</w:t>
            </w:r>
          </w:p>
        </w:tc>
        <w:tc>
          <w:tcPr>
            <w:tcW w:w="1417" w:type="dxa"/>
            <w:tcBorders>
              <w:top w:val="nil"/>
              <w:left w:val="nil"/>
              <w:bottom w:val="nil"/>
              <w:right w:val="nil"/>
            </w:tcBorders>
            <w:shd w:val="clear" w:color="000000" w:fill="FFFFFF"/>
            <w:noWrap/>
            <w:vAlign w:val="center"/>
            <w:hideMark/>
          </w:tcPr>
          <w:p w14:paraId="741F6932" w14:textId="57E89A4F" w:rsidR="00B85F22" w:rsidRPr="00894701" w:rsidRDefault="00B85F22" w:rsidP="00BF6F3B">
            <w:pPr>
              <w:spacing w:before="120" w:line="240" w:lineRule="auto"/>
              <w:jc w:val="right"/>
              <w:rPr>
                <w:rFonts w:asciiTheme="majorHAnsi" w:hAnsiTheme="majorHAnsi" w:cs="Arial"/>
                <w:color w:val="auto"/>
                <w:kern w:val="0"/>
                <w:sz w:val="16"/>
                <w:szCs w:val="16"/>
              </w:rPr>
            </w:pPr>
            <w:r w:rsidRPr="00894701">
              <w:rPr>
                <w:rFonts w:asciiTheme="majorHAnsi" w:hAnsiTheme="majorHAnsi" w:cs="Arial"/>
                <w:color w:val="auto"/>
                <w:sz w:val="16"/>
                <w:szCs w:val="16"/>
              </w:rPr>
              <w:t>-</w:t>
            </w:r>
          </w:p>
        </w:tc>
        <w:tc>
          <w:tcPr>
            <w:tcW w:w="1330" w:type="dxa"/>
            <w:tcBorders>
              <w:top w:val="nil"/>
              <w:left w:val="nil"/>
              <w:bottom w:val="nil"/>
              <w:right w:val="nil"/>
            </w:tcBorders>
            <w:shd w:val="clear" w:color="000000" w:fill="FFFFFF"/>
            <w:noWrap/>
            <w:vAlign w:val="center"/>
            <w:hideMark/>
          </w:tcPr>
          <w:p w14:paraId="74138AA3" w14:textId="24C26489" w:rsidR="00B85F22" w:rsidRPr="00894701" w:rsidRDefault="00B85F22" w:rsidP="00BF6F3B">
            <w:pPr>
              <w:spacing w:before="120" w:line="240" w:lineRule="auto"/>
              <w:jc w:val="right"/>
              <w:rPr>
                <w:rFonts w:asciiTheme="majorHAnsi" w:hAnsiTheme="majorHAnsi" w:cs="Arial"/>
                <w:color w:val="auto"/>
                <w:kern w:val="0"/>
                <w:sz w:val="16"/>
                <w:szCs w:val="16"/>
              </w:rPr>
            </w:pPr>
            <w:r w:rsidRPr="00894701">
              <w:rPr>
                <w:rFonts w:asciiTheme="majorHAnsi" w:hAnsiTheme="majorHAnsi" w:cs="Arial"/>
                <w:color w:val="auto"/>
                <w:sz w:val="16"/>
                <w:szCs w:val="16"/>
              </w:rPr>
              <w:t>-</w:t>
            </w:r>
          </w:p>
        </w:tc>
        <w:tc>
          <w:tcPr>
            <w:tcW w:w="1505" w:type="dxa"/>
            <w:tcBorders>
              <w:top w:val="nil"/>
              <w:left w:val="nil"/>
              <w:bottom w:val="nil"/>
              <w:right w:val="nil"/>
            </w:tcBorders>
            <w:shd w:val="clear" w:color="000000" w:fill="FFFFFF"/>
            <w:noWrap/>
            <w:vAlign w:val="center"/>
            <w:hideMark/>
          </w:tcPr>
          <w:p w14:paraId="2CBA8993" w14:textId="509795B0" w:rsidR="00B85F22" w:rsidRPr="00894701" w:rsidRDefault="00B85F22" w:rsidP="00BF6F3B">
            <w:pPr>
              <w:spacing w:before="120" w:line="240" w:lineRule="auto"/>
              <w:jc w:val="right"/>
              <w:rPr>
                <w:rFonts w:asciiTheme="majorHAnsi" w:hAnsiTheme="majorHAnsi" w:cs="Arial"/>
                <w:color w:val="auto"/>
                <w:kern w:val="0"/>
                <w:sz w:val="16"/>
                <w:szCs w:val="16"/>
              </w:rPr>
            </w:pPr>
          </w:p>
        </w:tc>
        <w:tc>
          <w:tcPr>
            <w:tcW w:w="1418" w:type="dxa"/>
            <w:tcBorders>
              <w:top w:val="nil"/>
              <w:left w:val="nil"/>
              <w:bottom w:val="nil"/>
              <w:right w:val="nil"/>
            </w:tcBorders>
            <w:shd w:val="clear" w:color="000000" w:fill="FFFFFF"/>
            <w:noWrap/>
            <w:vAlign w:val="center"/>
            <w:hideMark/>
          </w:tcPr>
          <w:p w14:paraId="0B3C97B5" w14:textId="7132BF42" w:rsidR="00B85F22" w:rsidRPr="00894701" w:rsidRDefault="00B85F22" w:rsidP="00BF6F3B">
            <w:pPr>
              <w:spacing w:before="120" w:line="240" w:lineRule="auto"/>
              <w:jc w:val="right"/>
              <w:rPr>
                <w:rFonts w:asciiTheme="majorHAnsi" w:hAnsiTheme="majorHAnsi" w:cs="Arial"/>
                <w:color w:val="auto"/>
                <w:kern w:val="0"/>
                <w:sz w:val="16"/>
                <w:szCs w:val="16"/>
              </w:rPr>
            </w:pPr>
            <w:r w:rsidRPr="00894701">
              <w:rPr>
                <w:rFonts w:asciiTheme="majorHAnsi" w:hAnsiTheme="majorHAnsi" w:cs="Arial"/>
                <w:color w:val="auto"/>
                <w:sz w:val="16"/>
                <w:szCs w:val="16"/>
              </w:rPr>
              <w:t>-</w:t>
            </w:r>
          </w:p>
        </w:tc>
        <w:tc>
          <w:tcPr>
            <w:tcW w:w="298" w:type="dxa"/>
            <w:tcBorders>
              <w:top w:val="nil"/>
              <w:left w:val="nil"/>
              <w:bottom w:val="nil"/>
              <w:right w:val="nil"/>
            </w:tcBorders>
            <w:shd w:val="clear" w:color="000000" w:fill="FFFFFF"/>
            <w:noWrap/>
            <w:vAlign w:val="center"/>
            <w:hideMark/>
          </w:tcPr>
          <w:p w14:paraId="2E94C349" w14:textId="42E0398B" w:rsidR="00B85F22" w:rsidRPr="00894701" w:rsidRDefault="00B85F22" w:rsidP="00BF6F3B">
            <w:pPr>
              <w:spacing w:before="120" w:line="240" w:lineRule="auto"/>
              <w:jc w:val="right"/>
              <w:rPr>
                <w:rFonts w:asciiTheme="majorHAnsi" w:hAnsiTheme="majorHAnsi" w:cs="Arial"/>
                <w:color w:val="auto"/>
                <w:kern w:val="0"/>
                <w:sz w:val="16"/>
                <w:szCs w:val="16"/>
              </w:rPr>
            </w:pPr>
          </w:p>
        </w:tc>
        <w:tc>
          <w:tcPr>
            <w:tcW w:w="1403" w:type="dxa"/>
            <w:tcBorders>
              <w:top w:val="nil"/>
              <w:left w:val="nil"/>
              <w:bottom w:val="nil"/>
              <w:right w:val="nil"/>
            </w:tcBorders>
            <w:shd w:val="clear" w:color="000000" w:fill="FFFFFF"/>
            <w:noWrap/>
            <w:vAlign w:val="center"/>
            <w:hideMark/>
          </w:tcPr>
          <w:p w14:paraId="1C149AC4" w14:textId="79C6DF5F" w:rsidR="00B85F22" w:rsidRPr="00894701" w:rsidRDefault="00B85F22" w:rsidP="00BF6F3B">
            <w:pPr>
              <w:spacing w:before="120" w:line="240" w:lineRule="auto"/>
              <w:jc w:val="right"/>
              <w:rPr>
                <w:rFonts w:asciiTheme="majorHAnsi" w:hAnsiTheme="majorHAnsi" w:cs="Arial"/>
                <w:color w:val="auto"/>
                <w:kern w:val="0"/>
                <w:sz w:val="16"/>
                <w:szCs w:val="16"/>
              </w:rPr>
            </w:pPr>
            <w:r w:rsidRPr="00894701">
              <w:rPr>
                <w:rFonts w:asciiTheme="majorHAnsi" w:hAnsiTheme="majorHAnsi" w:cs="Arial"/>
                <w:color w:val="auto"/>
                <w:sz w:val="16"/>
                <w:szCs w:val="16"/>
              </w:rPr>
              <w:t>-</w:t>
            </w:r>
          </w:p>
        </w:tc>
        <w:tc>
          <w:tcPr>
            <w:tcW w:w="1275" w:type="dxa"/>
            <w:tcBorders>
              <w:top w:val="nil"/>
              <w:left w:val="nil"/>
              <w:bottom w:val="nil"/>
              <w:right w:val="nil"/>
            </w:tcBorders>
            <w:shd w:val="clear" w:color="000000" w:fill="FFFFFF"/>
            <w:noWrap/>
            <w:vAlign w:val="center"/>
            <w:hideMark/>
          </w:tcPr>
          <w:p w14:paraId="5D822379" w14:textId="5D742B7B" w:rsidR="00B85F22" w:rsidRPr="00894701" w:rsidRDefault="00B85F22" w:rsidP="00BF6F3B">
            <w:pPr>
              <w:spacing w:before="120" w:line="240" w:lineRule="auto"/>
              <w:jc w:val="right"/>
              <w:rPr>
                <w:rFonts w:asciiTheme="majorHAnsi" w:hAnsiTheme="majorHAnsi" w:cs="Arial"/>
                <w:color w:val="auto"/>
                <w:kern w:val="0"/>
                <w:sz w:val="16"/>
                <w:szCs w:val="16"/>
              </w:rPr>
            </w:pPr>
          </w:p>
        </w:tc>
      </w:tr>
      <w:tr w:rsidR="00B85F22" w:rsidRPr="00894701" w14:paraId="78994229" w14:textId="77777777" w:rsidTr="004C70CC">
        <w:trPr>
          <w:trHeight w:val="240"/>
          <w:jc w:val="center"/>
        </w:trPr>
        <w:tc>
          <w:tcPr>
            <w:tcW w:w="5529" w:type="dxa"/>
            <w:tcBorders>
              <w:top w:val="nil"/>
              <w:left w:val="nil"/>
              <w:bottom w:val="nil"/>
              <w:right w:val="nil"/>
            </w:tcBorders>
            <w:shd w:val="clear" w:color="000000" w:fill="F7A3B0"/>
            <w:noWrap/>
            <w:vAlign w:val="center"/>
            <w:hideMark/>
          </w:tcPr>
          <w:p w14:paraId="2D3CB08E" w14:textId="77777777" w:rsidR="00B85F22" w:rsidRPr="00894701" w:rsidRDefault="00B85F22" w:rsidP="00BF6F3B">
            <w:pPr>
              <w:spacing w:before="120" w:line="240" w:lineRule="auto"/>
              <w:rPr>
                <w:rFonts w:cs="Arial"/>
                <w:color w:val="auto"/>
                <w:kern w:val="0"/>
                <w:sz w:val="16"/>
                <w:szCs w:val="16"/>
              </w:rPr>
            </w:pPr>
            <w:r w:rsidRPr="00894701">
              <w:rPr>
                <w:rFonts w:cs="Arial"/>
                <w:color w:val="auto"/>
                <w:kern w:val="0"/>
                <w:sz w:val="16"/>
                <w:szCs w:val="16"/>
              </w:rPr>
              <w:t>Social Contribution</w:t>
            </w:r>
          </w:p>
        </w:tc>
        <w:tc>
          <w:tcPr>
            <w:tcW w:w="1417" w:type="dxa"/>
            <w:tcBorders>
              <w:top w:val="nil"/>
              <w:left w:val="nil"/>
              <w:bottom w:val="nil"/>
              <w:right w:val="nil"/>
            </w:tcBorders>
            <w:shd w:val="clear" w:color="000000" w:fill="F7A3B0"/>
            <w:noWrap/>
            <w:vAlign w:val="center"/>
            <w:hideMark/>
          </w:tcPr>
          <w:p w14:paraId="0C4E0657" w14:textId="4CB50425" w:rsidR="00B85F22" w:rsidRPr="00894701" w:rsidRDefault="00B85F22" w:rsidP="00BF6F3B">
            <w:pPr>
              <w:spacing w:before="120" w:line="240" w:lineRule="auto"/>
              <w:jc w:val="right"/>
              <w:rPr>
                <w:rFonts w:asciiTheme="majorHAnsi" w:hAnsiTheme="majorHAnsi" w:cs="Arial"/>
                <w:color w:val="auto"/>
                <w:kern w:val="0"/>
                <w:sz w:val="16"/>
                <w:szCs w:val="16"/>
              </w:rPr>
            </w:pPr>
          </w:p>
        </w:tc>
        <w:tc>
          <w:tcPr>
            <w:tcW w:w="1330" w:type="dxa"/>
            <w:tcBorders>
              <w:top w:val="nil"/>
              <w:left w:val="nil"/>
              <w:bottom w:val="nil"/>
              <w:right w:val="nil"/>
            </w:tcBorders>
            <w:shd w:val="clear" w:color="000000" w:fill="F7A3B0"/>
            <w:noWrap/>
            <w:vAlign w:val="center"/>
            <w:hideMark/>
          </w:tcPr>
          <w:p w14:paraId="2855E769" w14:textId="576CDFF3" w:rsidR="00B85F22" w:rsidRPr="00894701" w:rsidRDefault="00B85F22" w:rsidP="00BF6F3B">
            <w:pPr>
              <w:spacing w:before="120" w:line="240" w:lineRule="auto"/>
              <w:jc w:val="right"/>
              <w:rPr>
                <w:rFonts w:asciiTheme="majorHAnsi" w:hAnsiTheme="majorHAnsi" w:cs="Arial"/>
                <w:color w:val="auto"/>
                <w:kern w:val="0"/>
                <w:sz w:val="16"/>
                <w:szCs w:val="16"/>
              </w:rPr>
            </w:pPr>
          </w:p>
        </w:tc>
        <w:tc>
          <w:tcPr>
            <w:tcW w:w="1505" w:type="dxa"/>
            <w:tcBorders>
              <w:top w:val="nil"/>
              <w:left w:val="nil"/>
              <w:bottom w:val="nil"/>
              <w:right w:val="nil"/>
            </w:tcBorders>
            <w:shd w:val="clear" w:color="000000" w:fill="F7A3B0"/>
            <w:noWrap/>
            <w:vAlign w:val="center"/>
          </w:tcPr>
          <w:p w14:paraId="029B7CA4" w14:textId="63514A99" w:rsidR="00B85F22" w:rsidRPr="00894701" w:rsidRDefault="003626E6" w:rsidP="00BF6F3B">
            <w:pPr>
              <w:spacing w:before="120" w:line="240" w:lineRule="auto"/>
              <w:jc w:val="right"/>
              <w:rPr>
                <w:rFonts w:asciiTheme="majorHAnsi" w:hAnsiTheme="majorHAnsi" w:cs="Arial"/>
                <w:color w:val="auto"/>
                <w:kern w:val="0"/>
                <w:sz w:val="16"/>
                <w:szCs w:val="16"/>
              </w:rPr>
            </w:pPr>
            <w:r w:rsidRPr="00894701">
              <w:rPr>
                <w:rFonts w:asciiTheme="majorHAnsi" w:hAnsiTheme="majorHAnsi" w:cs="Arial"/>
                <w:color w:val="auto"/>
                <w:sz w:val="16"/>
                <w:szCs w:val="16"/>
              </w:rPr>
              <w:t xml:space="preserve">1,007,821 </w:t>
            </w:r>
          </w:p>
        </w:tc>
        <w:tc>
          <w:tcPr>
            <w:tcW w:w="1418" w:type="dxa"/>
            <w:tcBorders>
              <w:top w:val="nil"/>
              <w:left w:val="nil"/>
              <w:bottom w:val="nil"/>
              <w:right w:val="nil"/>
            </w:tcBorders>
            <w:shd w:val="clear" w:color="000000" w:fill="F7A3B0"/>
            <w:noWrap/>
            <w:vAlign w:val="center"/>
            <w:hideMark/>
          </w:tcPr>
          <w:p w14:paraId="22095CB9" w14:textId="40A7B2B6" w:rsidR="00B85F22" w:rsidRPr="00894701" w:rsidRDefault="003626E6" w:rsidP="00BF6F3B">
            <w:pPr>
              <w:spacing w:before="120" w:line="240" w:lineRule="auto"/>
              <w:jc w:val="right"/>
              <w:rPr>
                <w:rFonts w:asciiTheme="majorHAnsi" w:hAnsiTheme="majorHAnsi" w:cs="Arial"/>
                <w:color w:val="auto"/>
                <w:kern w:val="0"/>
                <w:sz w:val="16"/>
                <w:szCs w:val="16"/>
              </w:rPr>
            </w:pPr>
            <w:r w:rsidRPr="00894701">
              <w:rPr>
                <w:rFonts w:asciiTheme="majorHAnsi" w:hAnsiTheme="majorHAnsi" w:cs="Arial"/>
                <w:color w:val="auto"/>
                <w:sz w:val="16"/>
                <w:szCs w:val="16"/>
              </w:rPr>
              <w:t xml:space="preserve"> 1,007,821</w:t>
            </w:r>
          </w:p>
        </w:tc>
        <w:tc>
          <w:tcPr>
            <w:tcW w:w="298" w:type="dxa"/>
            <w:tcBorders>
              <w:top w:val="nil"/>
              <w:left w:val="nil"/>
              <w:bottom w:val="nil"/>
              <w:right w:val="nil"/>
            </w:tcBorders>
            <w:shd w:val="clear" w:color="000000" w:fill="FFFFFF"/>
            <w:noWrap/>
            <w:vAlign w:val="center"/>
            <w:hideMark/>
          </w:tcPr>
          <w:p w14:paraId="5C36E113" w14:textId="251CC313" w:rsidR="00B85F22" w:rsidRPr="00894701" w:rsidRDefault="00B85F22" w:rsidP="00BF6F3B">
            <w:pPr>
              <w:spacing w:before="120" w:line="240" w:lineRule="auto"/>
              <w:jc w:val="right"/>
              <w:rPr>
                <w:rFonts w:asciiTheme="majorHAnsi" w:hAnsiTheme="majorHAnsi" w:cs="Arial"/>
                <w:color w:val="auto"/>
                <w:kern w:val="0"/>
                <w:sz w:val="16"/>
                <w:szCs w:val="16"/>
              </w:rPr>
            </w:pPr>
          </w:p>
        </w:tc>
        <w:tc>
          <w:tcPr>
            <w:tcW w:w="1403" w:type="dxa"/>
            <w:tcBorders>
              <w:top w:val="nil"/>
              <w:left w:val="nil"/>
              <w:bottom w:val="nil"/>
              <w:right w:val="nil"/>
            </w:tcBorders>
            <w:shd w:val="clear" w:color="000000" w:fill="F7A3B0"/>
            <w:noWrap/>
            <w:vAlign w:val="center"/>
            <w:hideMark/>
          </w:tcPr>
          <w:p w14:paraId="40658BC4" w14:textId="5B748325" w:rsidR="00B85F22" w:rsidRPr="00894701" w:rsidRDefault="00B85F22" w:rsidP="00BF6F3B">
            <w:pPr>
              <w:spacing w:before="120" w:line="240" w:lineRule="auto"/>
              <w:jc w:val="right"/>
              <w:rPr>
                <w:rFonts w:asciiTheme="majorHAnsi" w:hAnsiTheme="majorHAnsi" w:cs="Arial"/>
                <w:color w:val="auto"/>
                <w:kern w:val="0"/>
                <w:sz w:val="16"/>
                <w:szCs w:val="16"/>
              </w:rPr>
            </w:pPr>
          </w:p>
        </w:tc>
        <w:tc>
          <w:tcPr>
            <w:tcW w:w="1275" w:type="dxa"/>
            <w:tcBorders>
              <w:top w:val="nil"/>
              <w:left w:val="nil"/>
              <w:bottom w:val="nil"/>
              <w:right w:val="nil"/>
            </w:tcBorders>
            <w:shd w:val="clear" w:color="000000" w:fill="F7A3B0"/>
            <w:noWrap/>
            <w:vAlign w:val="center"/>
            <w:hideMark/>
          </w:tcPr>
          <w:p w14:paraId="12AFAD55" w14:textId="7C7FD5DE" w:rsidR="00B85F22" w:rsidRPr="00894701" w:rsidRDefault="003626E6" w:rsidP="00BF6F3B">
            <w:pPr>
              <w:spacing w:before="120" w:line="240" w:lineRule="auto"/>
              <w:jc w:val="right"/>
              <w:rPr>
                <w:rFonts w:asciiTheme="majorHAnsi" w:hAnsiTheme="majorHAnsi" w:cs="Arial"/>
                <w:color w:val="auto"/>
                <w:kern w:val="0"/>
                <w:sz w:val="16"/>
                <w:szCs w:val="16"/>
              </w:rPr>
            </w:pPr>
            <w:r w:rsidRPr="00894701">
              <w:rPr>
                <w:rFonts w:asciiTheme="majorHAnsi" w:hAnsiTheme="majorHAnsi" w:cs="Arial"/>
                <w:color w:val="auto"/>
                <w:sz w:val="16"/>
                <w:szCs w:val="16"/>
              </w:rPr>
              <w:t xml:space="preserve">1,007,821 </w:t>
            </w:r>
          </w:p>
        </w:tc>
      </w:tr>
      <w:tr w:rsidR="00B85F22" w:rsidRPr="00894701" w14:paraId="59B91802" w14:textId="77777777" w:rsidTr="004C70CC">
        <w:trPr>
          <w:trHeight w:val="240"/>
          <w:jc w:val="center"/>
        </w:trPr>
        <w:tc>
          <w:tcPr>
            <w:tcW w:w="5529" w:type="dxa"/>
            <w:tcBorders>
              <w:top w:val="nil"/>
              <w:left w:val="nil"/>
              <w:bottom w:val="nil"/>
              <w:right w:val="nil"/>
            </w:tcBorders>
            <w:shd w:val="clear" w:color="000000" w:fill="685040"/>
            <w:noWrap/>
            <w:vAlign w:val="center"/>
            <w:hideMark/>
          </w:tcPr>
          <w:p w14:paraId="2A8C0626" w14:textId="6C6C9B19" w:rsidR="00B85F22" w:rsidRPr="00894701" w:rsidRDefault="00B85F22" w:rsidP="00BF6F3B">
            <w:pPr>
              <w:spacing w:before="120" w:line="240" w:lineRule="auto"/>
              <w:rPr>
                <w:rFonts w:cs="Arial"/>
                <w:b/>
                <w:bCs/>
                <w:color w:val="FFFFFF" w:themeColor="background1"/>
                <w:kern w:val="0"/>
                <w:sz w:val="16"/>
                <w:szCs w:val="16"/>
              </w:rPr>
            </w:pPr>
            <w:r w:rsidRPr="00894701">
              <w:rPr>
                <w:rFonts w:cs="Arial"/>
                <w:b/>
                <w:bCs/>
                <w:color w:val="FFFFFF" w:themeColor="background1"/>
                <w:kern w:val="0"/>
                <w:sz w:val="16"/>
                <w:szCs w:val="16"/>
              </w:rPr>
              <w:t>Total FY 2020</w:t>
            </w:r>
          </w:p>
        </w:tc>
        <w:tc>
          <w:tcPr>
            <w:tcW w:w="1417" w:type="dxa"/>
            <w:tcBorders>
              <w:top w:val="nil"/>
              <w:left w:val="nil"/>
              <w:bottom w:val="nil"/>
              <w:right w:val="nil"/>
            </w:tcBorders>
            <w:shd w:val="clear" w:color="000000" w:fill="685040"/>
            <w:noWrap/>
            <w:vAlign w:val="center"/>
            <w:hideMark/>
          </w:tcPr>
          <w:p w14:paraId="58D49EF8" w14:textId="4F3C991D" w:rsidR="00B85F22" w:rsidRPr="00894701" w:rsidRDefault="003C1E50" w:rsidP="00BF6F3B">
            <w:pPr>
              <w:spacing w:before="120" w:line="240" w:lineRule="auto"/>
              <w:jc w:val="right"/>
              <w:rPr>
                <w:rFonts w:asciiTheme="majorHAnsi" w:hAnsiTheme="majorHAnsi" w:cs="Arial"/>
                <w:b/>
                <w:bCs/>
                <w:color w:val="FFFFFF" w:themeColor="background1"/>
                <w:kern w:val="0"/>
                <w:sz w:val="16"/>
                <w:szCs w:val="16"/>
              </w:rPr>
            </w:pPr>
            <w:r w:rsidRPr="00894701">
              <w:rPr>
                <w:rFonts w:asciiTheme="majorHAnsi" w:hAnsiTheme="majorHAnsi" w:cs="Arial"/>
                <w:b/>
                <w:bCs/>
                <w:color w:val="FFFFFF"/>
                <w:sz w:val="16"/>
                <w:szCs w:val="16"/>
              </w:rPr>
              <w:t xml:space="preserve"> 172,787,336</w:t>
            </w:r>
          </w:p>
        </w:tc>
        <w:tc>
          <w:tcPr>
            <w:tcW w:w="1330" w:type="dxa"/>
            <w:tcBorders>
              <w:top w:val="nil"/>
              <w:left w:val="nil"/>
              <w:bottom w:val="nil"/>
              <w:right w:val="nil"/>
            </w:tcBorders>
            <w:shd w:val="clear" w:color="000000" w:fill="685040"/>
            <w:noWrap/>
            <w:vAlign w:val="center"/>
            <w:hideMark/>
          </w:tcPr>
          <w:p w14:paraId="6FE36EA7" w14:textId="3ABD07E8" w:rsidR="00B85F22" w:rsidRPr="00894701" w:rsidRDefault="00B85F22" w:rsidP="00BF6F3B">
            <w:pPr>
              <w:spacing w:before="120" w:line="240" w:lineRule="auto"/>
              <w:jc w:val="right"/>
              <w:rPr>
                <w:rFonts w:asciiTheme="majorHAnsi" w:hAnsiTheme="majorHAnsi" w:cs="Arial"/>
                <w:b/>
                <w:bCs/>
                <w:color w:val="FFFFFF" w:themeColor="background1"/>
                <w:kern w:val="0"/>
                <w:sz w:val="16"/>
                <w:szCs w:val="16"/>
              </w:rPr>
            </w:pPr>
            <w:r w:rsidRPr="00894701">
              <w:rPr>
                <w:rFonts w:asciiTheme="majorHAnsi" w:hAnsiTheme="majorHAnsi" w:cs="Arial"/>
                <w:b/>
                <w:bCs/>
                <w:color w:val="FFFFFF"/>
                <w:sz w:val="16"/>
                <w:szCs w:val="16"/>
              </w:rPr>
              <w:t>1,402,034,007</w:t>
            </w:r>
          </w:p>
        </w:tc>
        <w:tc>
          <w:tcPr>
            <w:tcW w:w="1505" w:type="dxa"/>
            <w:tcBorders>
              <w:top w:val="nil"/>
              <w:left w:val="nil"/>
              <w:bottom w:val="nil"/>
              <w:right w:val="nil"/>
            </w:tcBorders>
            <w:shd w:val="clear" w:color="000000" w:fill="685040"/>
            <w:noWrap/>
            <w:vAlign w:val="center"/>
          </w:tcPr>
          <w:p w14:paraId="0318DF5A" w14:textId="62CAC3ED" w:rsidR="00B85F22" w:rsidRPr="00894701" w:rsidRDefault="003626E6" w:rsidP="00BF6F3B">
            <w:pPr>
              <w:spacing w:before="120" w:line="240" w:lineRule="auto"/>
              <w:jc w:val="right"/>
              <w:rPr>
                <w:rFonts w:asciiTheme="majorHAnsi" w:hAnsiTheme="majorHAnsi" w:cs="Arial"/>
                <w:b/>
                <w:bCs/>
                <w:color w:val="FFFFFF" w:themeColor="background1"/>
                <w:kern w:val="0"/>
                <w:sz w:val="16"/>
                <w:szCs w:val="16"/>
              </w:rPr>
            </w:pPr>
            <w:r w:rsidRPr="00894701">
              <w:rPr>
                <w:rFonts w:asciiTheme="majorHAnsi" w:hAnsiTheme="majorHAnsi" w:cs="Arial"/>
                <w:b/>
                <w:bCs/>
                <w:color w:val="FFFFFF"/>
                <w:sz w:val="16"/>
                <w:szCs w:val="16"/>
              </w:rPr>
              <w:t xml:space="preserve">1,007,821 </w:t>
            </w:r>
          </w:p>
        </w:tc>
        <w:tc>
          <w:tcPr>
            <w:tcW w:w="1418" w:type="dxa"/>
            <w:tcBorders>
              <w:top w:val="nil"/>
              <w:left w:val="nil"/>
              <w:bottom w:val="nil"/>
              <w:right w:val="nil"/>
            </w:tcBorders>
            <w:shd w:val="clear" w:color="000000" w:fill="685040"/>
            <w:noWrap/>
            <w:vAlign w:val="center"/>
            <w:hideMark/>
          </w:tcPr>
          <w:p w14:paraId="6C3D3BB6" w14:textId="17CB4580" w:rsidR="00B85F22" w:rsidRPr="00894701" w:rsidRDefault="003C1E50" w:rsidP="00BF6F3B">
            <w:pPr>
              <w:spacing w:before="120" w:line="240" w:lineRule="auto"/>
              <w:jc w:val="right"/>
              <w:rPr>
                <w:rFonts w:asciiTheme="majorHAnsi" w:hAnsiTheme="majorHAnsi" w:cs="Arial"/>
                <w:b/>
                <w:bCs/>
                <w:color w:val="FFFFFF" w:themeColor="background1"/>
                <w:kern w:val="0"/>
                <w:sz w:val="16"/>
                <w:szCs w:val="16"/>
              </w:rPr>
            </w:pPr>
            <w:r w:rsidRPr="00894701">
              <w:rPr>
                <w:rFonts w:asciiTheme="majorHAnsi" w:hAnsiTheme="majorHAnsi" w:cs="Arial"/>
                <w:b/>
                <w:bCs/>
                <w:color w:val="FFFFFF"/>
                <w:sz w:val="16"/>
                <w:szCs w:val="16"/>
              </w:rPr>
              <w:t xml:space="preserve"> 1,575,829,164</w:t>
            </w:r>
          </w:p>
        </w:tc>
        <w:tc>
          <w:tcPr>
            <w:tcW w:w="298" w:type="dxa"/>
            <w:tcBorders>
              <w:top w:val="nil"/>
              <w:left w:val="nil"/>
              <w:bottom w:val="nil"/>
              <w:right w:val="nil"/>
            </w:tcBorders>
            <w:shd w:val="clear" w:color="000000" w:fill="FFFFFF"/>
            <w:noWrap/>
            <w:vAlign w:val="center"/>
            <w:hideMark/>
          </w:tcPr>
          <w:p w14:paraId="0428A1EB" w14:textId="7E957B0D" w:rsidR="00B85F22" w:rsidRPr="00894701" w:rsidRDefault="00B85F22" w:rsidP="00BF6F3B">
            <w:pPr>
              <w:spacing w:before="120" w:line="240" w:lineRule="auto"/>
              <w:jc w:val="right"/>
              <w:rPr>
                <w:rFonts w:asciiTheme="majorHAnsi" w:hAnsiTheme="majorHAnsi" w:cs="Arial"/>
                <w:color w:val="FFFFFF" w:themeColor="background1"/>
                <w:kern w:val="0"/>
                <w:sz w:val="16"/>
                <w:szCs w:val="16"/>
              </w:rPr>
            </w:pPr>
          </w:p>
        </w:tc>
        <w:tc>
          <w:tcPr>
            <w:tcW w:w="1403" w:type="dxa"/>
            <w:tcBorders>
              <w:top w:val="nil"/>
              <w:left w:val="nil"/>
              <w:bottom w:val="nil"/>
              <w:right w:val="nil"/>
            </w:tcBorders>
            <w:shd w:val="clear" w:color="000000" w:fill="685040"/>
            <w:noWrap/>
            <w:vAlign w:val="center"/>
            <w:hideMark/>
          </w:tcPr>
          <w:p w14:paraId="25D87509" w14:textId="169C3741" w:rsidR="00B85F22" w:rsidRPr="00894701" w:rsidRDefault="00B85F22" w:rsidP="00BF6F3B">
            <w:pPr>
              <w:spacing w:before="120" w:line="240" w:lineRule="auto"/>
              <w:jc w:val="right"/>
              <w:rPr>
                <w:rFonts w:asciiTheme="majorHAnsi" w:hAnsiTheme="majorHAnsi" w:cs="Arial"/>
                <w:b/>
                <w:bCs/>
                <w:color w:val="FFFFFF" w:themeColor="background1"/>
                <w:kern w:val="0"/>
                <w:sz w:val="16"/>
                <w:szCs w:val="16"/>
              </w:rPr>
            </w:pPr>
            <w:r w:rsidRPr="00894701">
              <w:rPr>
                <w:rFonts w:asciiTheme="majorHAnsi" w:hAnsiTheme="majorHAnsi" w:cs="Arial"/>
                <w:b/>
                <w:bCs/>
                <w:color w:val="FFFFFF"/>
                <w:sz w:val="16"/>
                <w:szCs w:val="16"/>
              </w:rPr>
              <w:t>1,402,034,007</w:t>
            </w:r>
          </w:p>
        </w:tc>
        <w:tc>
          <w:tcPr>
            <w:tcW w:w="1275" w:type="dxa"/>
            <w:tcBorders>
              <w:top w:val="nil"/>
              <w:left w:val="nil"/>
              <w:bottom w:val="nil"/>
              <w:right w:val="nil"/>
            </w:tcBorders>
            <w:shd w:val="clear" w:color="000000" w:fill="685040"/>
            <w:noWrap/>
            <w:vAlign w:val="center"/>
            <w:hideMark/>
          </w:tcPr>
          <w:p w14:paraId="7C0EAABD" w14:textId="6C35F047" w:rsidR="00B85F22" w:rsidRPr="00894701" w:rsidRDefault="003626E6">
            <w:pPr>
              <w:spacing w:before="120" w:line="240" w:lineRule="auto"/>
              <w:jc w:val="right"/>
              <w:rPr>
                <w:rFonts w:asciiTheme="majorHAnsi" w:hAnsiTheme="majorHAnsi" w:cs="Arial"/>
                <w:b/>
                <w:bCs/>
                <w:color w:val="FFFFFF" w:themeColor="background1"/>
                <w:kern w:val="0"/>
                <w:sz w:val="16"/>
                <w:szCs w:val="16"/>
              </w:rPr>
            </w:pPr>
            <w:r w:rsidRPr="00894701">
              <w:rPr>
                <w:rFonts w:asciiTheme="majorHAnsi" w:hAnsiTheme="majorHAnsi" w:cs="Arial"/>
                <w:b/>
                <w:bCs/>
                <w:color w:val="FFFFFF"/>
                <w:sz w:val="16"/>
                <w:szCs w:val="16"/>
              </w:rPr>
              <w:t xml:space="preserve"> </w:t>
            </w:r>
            <w:r w:rsidR="003C1E50" w:rsidRPr="00894701">
              <w:rPr>
                <w:rFonts w:asciiTheme="majorHAnsi" w:hAnsiTheme="majorHAnsi" w:cs="Arial"/>
                <w:b/>
                <w:bCs/>
                <w:color w:val="FFFFFF"/>
                <w:sz w:val="16"/>
                <w:szCs w:val="16"/>
              </w:rPr>
              <w:t xml:space="preserve"> 173,795,157</w:t>
            </w:r>
          </w:p>
        </w:tc>
      </w:tr>
    </w:tbl>
    <w:p w14:paraId="6F7B4DE9" w14:textId="77777777" w:rsidR="006531C2" w:rsidRPr="00894701" w:rsidRDefault="006531C2" w:rsidP="00FE5EA3">
      <w:pPr>
        <w:spacing w:after="0"/>
        <w:jc w:val="both"/>
        <w:rPr>
          <w:rFonts w:cs="Arial"/>
          <w:i/>
          <w:color w:val="auto"/>
          <w:szCs w:val="16"/>
        </w:rPr>
      </w:pPr>
      <w:r w:rsidRPr="00894701">
        <w:rPr>
          <w:rFonts w:cs="Arial"/>
          <w:i/>
          <w:color w:val="auto"/>
          <w:szCs w:val="16"/>
        </w:rPr>
        <w:t>Source: EITI Reporting Templates</w:t>
      </w:r>
    </w:p>
    <w:p w14:paraId="79BA42D5" w14:textId="77777777" w:rsidR="006531C2" w:rsidRPr="00894701" w:rsidRDefault="006531C2" w:rsidP="00FE5EA3"/>
    <w:p w14:paraId="2686BF3B" w14:textId="707D1740" w:rsidR="006A0F0C" w:rsidRPr="00894701" w:rsidRDefault="006A0F0C" w:rsidP="00FE5EA3">
      <w:pPr>
        <w:spacing w:after="0" w:line="240" w:lineRule="auto"/>
      </w:pPr>
      <w:r w:rsidRPr="00894701">
        <w:br w:type="page"/>
      </w:r>
    </w:p>
    <w:p w14:paraId="20963BE8" w14:textId="435581EB" w:rsidR="001217F7" w:rsidRPr="00894701" w:rsidRDefault="001217F7" w:rsidP="00DB5584">
      <w:pPr>
        <w:pStyle w:val="AltMinorHeading"/>
        <w:numPr>
          <w:ilvl w:val="2"/>
          <w:numId w:val="100"/>
        </w:numPr>
        <w:spacing w:before="100" w:beforeAutospacing="1" w:after="120"/>
        <w:ind w:right="454"/>
        <w:rPr>
          <w:rStyle w:val="Emphasis"/>
        </w:rPr>
      </w:pPr>
      <w:bookmarkStart w:id="418" w:name="_Toc122478940"/>
      <w:r w:rsidRPr="00894701">
        <w:rPr>
          <w:rStyle w:val="Emphasis"/>
        </w:rPr>
        <w:t>Analysis of total revenues - contribution by sector</w:t>
      </w:r>
      <w:bookmarkEnd w:id="413"/>
      <w:bookmarkEnd w:id="418"/>
      <w:r w:rsidR="00B15653" w:rsidRPr="00894701">
        <w:rPr>
          <w:rStyle w:val="Emphasis"/>
        </w:rPr>
        <w:t xml:space="preserve"> </w:t>
      </w:r>
    </w:p>
    <w:p w14:paraId="3E84F19F" w14:textId="2FC2143A" w:rsidR="001217F7" w:rsidRPr="00894701" w:rsidRDefault="001217F7" w:rsidP="00FE5EA3">
      <w:pPr>
        <w:jc w:val="both"/>
        <w:rPr>
          <w:rFonts w:cs="Arial"/>
          <w:color w:val="auto"/>
          <w:sz w:val="20"/>
        </w:rPr>
      </w:pPr>
      <w:r w:rsidRPr="00894701">
        <w:rPr>
          <w:rFonts w:cs="Arial"/>
          <w:color w:val="auto"/>
          <w:sz w:val="20"/>
        </w:rPr>
        <w:t xml:space="preserve">The analysis of Government revenues by sector contribution indicates that the mining sector contributed </w:t>
      </w:r>
      <w:r w:rsidR="0007066E" w:rsidRPr="00894701">
        <w:rPr>
          <w:rFonts w:cs="Arial"/>
          <w:color w:val="auto"/>
          <w:sz w:val="20"/>
        </w:rPr>
        <w:t>43</w:t>
      </w:r>
      <w:r w:rsidRPr="00894701">
        <w:rPr>
          <w:rFonts w:cs="Arial"/>
          <w:color w:val="auto"/>
          <w:sz w:val="20"/>
        </w:rPr>
        <w:t>%</w:t>
      </w:r>
      <w:r w:rsidR="0007066E" w:rsidRPr="00894701">
        <w:rPr>
          <w:rFonts w:cs="Arial"/>
          <w:color w:val="auto"/>
          <w:sz w:val="20"/>
        </w:rPr>
        <w:t>, 8</w:t>
      </w:r>
      <w:r w:rsidR="00EC6261" w:rsidRPr="00894701">
        <w:rPr>
          <w:rFonts w:cs="Arial"/>
          <w:color w:val="auto"/>
          <w:sz w:val="20"/>
        </w:rPr>
        <w:t>2</w:t>
      </w:r>
      <w:r w:rsidR="0007066E" w:rsidRPr="00894701">
        <w:rPr>
          <w:rFonts w:cs="Arial"/>
          <w:color w:val="auto"/>
          <w:sz w:val="20"/>
        </w:rPr>
        <w:t>% and 89%</w:t>
      </w:r>
      <w:r w:rsidRPr="00894701">
        <w:rPr>
          <w:rFonts w:cs="Arial"/>
          <w:b/>
          <w:color w:val="auto"/>
          <w:sz w:val="20"/>
        </w:rPr>
        <w:t xml:space="preserve"> </w:t>
      </w:r>
      <w:r w:rsidRPr="00894701">
        <w:rPr>
          <w:rFonts w:cs="Arial"/>
          <w:color w:val="auto"/>
          <w:sz w:val="20"/>
        </w:rPr>
        <w:t>of the total extractive revenues during the FY 201</w:t>
      </w:r>
      <w:r w:rsidR="006A0F0C" w:rsidRPr="00894701">
        <w:rPr>
          <w:rFonts w:cs="Arial"/>
          <w:color w:val="auto"/>
          <w:sz w:val="20"/>
        </w:rPr>
        <w:t>8, 2019 and 2020</w:t>
      </w:r>
      <w:r w:rsidRPr="00894701">
        <w:rPr>
          <w:rFonts w:cs="Arial"/>
          <w:color w:val="auto"/>
          <w:sz w:val="20"/>
        </w:rPr>
        <w:t>. The table below shows the contribution of each sector</w:t>
      </w:r>
      <w:r w:rsidR="00CD33C1" w:rsidRPr="00894701">
        <w:rPr>
          <w:rFonts w:cs="Arial"/>
          <w:color w:val="auto"/>
          <w:sz w:val="20"/>
        </w:rPr>
        <w:t>.</w:t>
      </w:r>
    </w:p>
    <w:p w14:paraId="205E105F" w14:textId="7EAB1115" w:rsidR="003F5603" w:rsidRPr="00894701" w:rsidRDefault="003F5603" w:rsidP="00FE5EA3">
      <w:pPr>
        <w:jc w:val="center"/>
        <w:rPr>
          <w:b/>
          <w:bCs/>
          <w:color w:val="98002E" w:themeColor="accent3"/>
          <w:sz w:val="20"/>
          <w:szCs w:val="20"/>
        </w:rPr>
      </w:pPr>
      <w:bookmarkStart w:id="419" w:name="_Toc6924875"/>
      <w:bookmarkStart w:id="420" w:name="_Toc104557756"/>
      <w:bookmarkStart w:id="421" w:name="_Toc146590520"/>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48</w:t>
      </w:r>
      <w:r w:rsidRPr="00894701">
        <w:rPr>
          <w:b/>
          <w:bCs/>
          <w:color w:val="98002E" w:themeColor="accent3"/>
          <w:sz w:val="20"/>
          <w:szCs w:val="20"/>
        </w:rPr>
        <w:fldChar w:fldCharType="end"/>
      </w:r>
      <w:r w:rsidRPr="00894701">
        <w:rPr>
          <w:b/>
          <w:bCs/>
          <w:color w:val="98002E" w:themeColor="accent3"/>
          <w:sz w:val="20"/>
          <w:szCs w:val="20"/>
        </w:rPr>
        <w:t>: Analysis of total revenues by sector</w:t>
      </w:r>
      <w:bookmarkEnd w:id="419"/>
      <w:r w:rsidRPr="00894701">
        <w:rPr>
          <w:b/>
          <w:bCs/>
          <w:color w:val="98002E" w:themeColor="accent3"/>
          <w:sz w:val="20"/>
          <w:szCs w:val="20"/>
        </w:rPr>
        <w:t xml:space="preserve"> for the fiscal years 2018, 2019</w:t>
      </w:r>
      <w:bookmarkEnd w:id="420"/>
      <w:r w:rsidRPr="00894701">
        <w:rPr>
          <w:b/>
          <w:bCs/>
          <w:color w:val="98002E" w:themeColor="accent3"/>
          <w:sz w:val="20"/>
          <w:szCs w:val="20"/>
        </w:rPr>
        <w:t xml:space="preserve"> and 2020</w:t>
      </w:r>
      <w:bookmarkEnd w:id="421"/>
    </w:p>
    <w:tbl>
      <w:tblPr>
        <w:tblW w:w="5000" w:type="pct"/>
        <w:tblCellMar>
          <w:left w:w="70" w:type="dxa"/>
          <w:right w:w="70" w:type="dxa"/>
        </w:tblCellMar>
        <w:tblLook w:val="04A0" w:firstRow="1" w:lastRow="0" w:firstColumn="1" w:lastColumn="0" w:noHBand="0" w:noVBand="1"/>
      </w:tblPr>
      <w:tblGrid>
        <w:gridCol w:w="1662"/>
        <w:gridCol w:w="2646"/>
        <w:gridCol w:w="2646"/>
        <w:gridCol w:w="3439"/>
        <w:gridCol w:w="2568"/>
        <w:gridCol w:w="997"/>
      </w:tblGrid>
      <w:tr w:rsidR="00D56231" w:rsidRPr="00894701" w14:paraId="7F9F7DBA" w14:textId="77777777" w:rsidTr="003C1E50">
        <w:trPr>
          <w:trHeight w:val="397"/>
        </w:trPr>
        <w:tc>
          <w:tcPr>
            <w:tcW w:w="595" w:type="pct"/>
            <w:vMerge w:val="restart"/>
            <w:tcBorders>
              <w:top w:val="nil"/>
              <w:left w:val="nil"/>
              <w:bottom w:val="single" w:sz="8" w:space="0" w:color="FF0000"/>
              <w:right w:val="nil"/>
            </w:tcBorders>
            <w:shd w:val="clear" w:color="000000" w:fill="800000"/>
            <w:vAlign w:val="center"/>
            <w:hideMark/>
          </w:tcPr>
          <w:p w14:paraId="3F56C03F" w14:textId="77777777" w:rsidR="003F5603" w:rsidRPr="00894701" w:rsidRDefault="003F5603" w:rsidP="00FE5EA3">
            <w:pPr>
              <w:spacing w:after="0" w:line="240" w:lineRule="auto"/>
              <w:rPr>
                <w:rFonts w:cs="Arial"/>
                <w:b/>
                <w:bCs/>
                <w:color w:val="auto"/>
                <w:kern w:val="0"/>
                <w:szCs w:val="18"/>
                <w:lang w:eastAsia="fr-FR"/>
              </w:rPr>
            </w:pPr>
            <w:r w:rsidRPr="00894701">
              <w:rPr>
                <w:rFonts w:cs="Arial"/>
                <w:b/>
                <w:bCs/>
                <w:color w:val="auto"/>
                <w:kern w:val="0"/>
                <w:szCs w:val="18"/>
                <w:lang w:eastAsia="fr-FR"/>
              </w:rPr>
              <w:t>Sector</w:t>
            </w:r>
          </w:p>
        </w:tc>
        <w:tc>
          <w:tcPr>
            <w:tcW w:w="948" w:type="pct"/>
            <w:tcBorders>
              <w:top w:val="nil"/>
              <w:left w:val="nil"/>
              <w:bottom w:val="nil"/>
              <w:right w:val="nil"/>
            </w:tcBorders>
            <w:shd w:val="clear" w:color="000000" w:fill="800000"/>
            <w:vAlign w:val="center"/>
            <w:hideMark/>
          </w:tcPr>
          <w:p w14:paraId="7E1A0986" w14:textId="77777777" w:rsidR="003F5603" w:rsidRPr="00894701" w:rsidRDefault="003F5603" w:rsidP="00FE5EA3">
            <w:pPr>
              <w:spacing w:after="0" w:line="240" w:lineRule="auto"/>
              <w:jc w:val="right"/>
              <w:rPr>
                <w:rFonts w:cs="Arial"/>
                <w:b/>
                <w:bCs/>
                <w:color w:val="auto"/>
                <w:kern w:val="0"/>
                <w:szCs w:val="18"/>
                <w:lang w:eastAsia="fr-FR"/>
              </w:rPr>
            </w:pPr>
            <w:r w:rsidRPr="00894701">
              <w:rPr>
                <w:rFonts w:cs="Arial"/>
                <w:b/>
                <w:bCs/>
                <w:color w:val="auto"/>
                <w:kern w:val="0"/>
                <w:szCs w:val="18"/>
                <w:lang w:eastAsia="fr-FR"/>
              </w:rPr>
              <w:t xml:space="preserve"> (*) FY 18 </w:t>
            </w:r>
          </w:p>
        </w:tc>
        <w:tc>
          <w:tcPr>
            <w:tcW w:w="948" w:type="pct"/>
            <w:tcBorders>
              <w:top w:val="nil"/>
              <w:left w:val="nil"/>
              <w:bottom w:val="nil"/>
              <w:right w:val="nil"/>
            </w:tcBorders>
            <w:shd w:val="clear" w:color="000000" w:fill="800000"/>
            <w:vAlign w:val="center"/>
            <w:hideMark/>
          </w:tcPr>
          <w:p w14:paraId="47EC5550" w14:textId="77777777" w:rsidR="003F5603" w:rsidRPr="00894701" w:rsidRDefault="003F5603" w:rsidP="00FE5EA3">
            <w:pPr>
              <w:spacing w:after="0" w:line="240" w:lineRule="auto"/>
              <w:jc w:val="right"/>
              <w:rPr>
                <w:rFonts w:cs="Arial"/>
                <w:b/>
                <w:bCs/>
                <w:color w:val="auto"/>
                <w:kern w:val="0"/>
                <w:szCs w:val="18"/>
                <w:lang w:eastAsia="fr-FR"/>
              </w:rPr>
            </w:pPr>
            <w:r w:rsidRPr="00894701">
              <w:rPr>
                <w:rFonts w:cs="Arial"/>
                <w:b/>
                <w:bCs/>
                <w:color w:val="auto"/>
                <w:kern w:val="0"/>
                <w:szCs w:val="18"/>
                <w:lang w:eastAsia="fr-FR"/>
              </w:rPr>
              <w:t xml:space="preserve"> FY 19 </w:t>
            </w:r>
          </w:p>
        </w:tc>
        <w:tc>
          <w:tcPr>
            <w:tcW w:w="1232" w:type="pct"/>
            <w:tcBorders>
              <w:top w:val="nil"/>
              <w:left w:val="nil"/>
              <w:bottom w:val="nil"/>
              <w:right w:val="nil"/>
            </w:tcBorders>
            <w:shd w:val="clear" w:color="000000" w:fill="800000"/>
            <w:vAlign w:val="center"/>
          </w:tcPr>
          <w:p w14:paraId="58F96420" w14:textId="345AC2FE" w:rsidR="003F5603" w:rsidRPr="00894701" w:rsidRDefault="003F5603" w:rsidP="00FE5EA3">
            <w:pPr>
              <w:spacing w:after="0" w:line="240" w:lineRule="auto"/>
              <w:jc w:val="center"/>
              <w:rPr>
                <w:rFonts w:cs="Arial"/>
                <w:b/>
                <w:bCs/>
                <w:color w:val="auto"/>
                <w:kern w:val="0"/>
                <w:szCs w:val="18"/>
                <w:lang w:eastAsia="fr-FR"/>
              </w:rPr>
            </w:pPr>
            <w:r w:rsidRPr="00894701">
              <w:rPr>
                <w:rFonts w:cs="Arial"/>
                <w:b/>
                <w:bCs/>
                <w:color w:val="auto"/>
                <w:kern w:val="0"/>
                <w:szCs w:val="18"/>
                <w:lang w:eastAsia="fr-FR"/>
              </w:rPr>
              <w:t xml:space="preserve"> FY </w:t>
            </w:r>
            <w:r w:rsidR="00B909B4" w:rsidRPr="00894701">
              <w:rPr>
                <w:rFonts w:cs="Arial"/>
                <w:b/>
                <w:bCs/>
                <w:color w:val="auto"/>
                <w:kern w:val="0"/>
                <w:szCs w:val="18"/>
                <w:lang w:eastAsia="fr-FR"/>
              </w:rPr>
              <w:t>20</w:t>
            </w:r>
          </w:p>
        </w:tc>
        <w:tc>
          <w:tcPr>
            <w:tcW w:w="1277" w:type="pct"/>
            <w:gridSpan w:val="2"/>
            <w:tcBorders>
              <w:top w:val="nil"/>
              <w:left w:val="nil"/>
              <w:bottom w:val="nil"/>
              <w:right w:val="nil"/>
            </w:tcBorders>
            <w:shd w:val="clear" w:color="000000" w:fill="800000"/>
            <w:noWrap/>
            <w:vAlign w:val="center"/>
            <w:hideMark/>
          </w:tcPr>
          <w:p w14:paraId="5091ACD0" w14:textId="130B69B1" w:rsidR="003F5603" w:rsidRPr="00894701" w:rsidRDefault="003F5603" w:rsidP="00FE5EA3">
            <w:pPr>
              <w:spacing w:after="0" w:line="240" w:lineRule="auto"/>
              <w:jc w:val="center"/>
              <w:rPr>
                <w:rFonts w:cs="Arial"/>
                <w:b/>
                <w:bCs/>
                <w:color w:val="auto"/>
                <w:kern w:val="0"/>
                <w:szCs w:val="18"/>
                <w:lang w:eastAsia="fr-FR"/>
              </w:rPr>
            </w:pPr>
            <w:r w:rsidRPr="00894701">
              <w:rPr>
                <w:rFonts w:cs="Arial"/>
                <w:b/>
                <w:bCs/>
                <w:color w:val="auto"/>
                <w:kern w:val="0"/>
                <w:szCs w:val="18"/>
                <w:lang w:eastAsia="fr-FR"/>
              </w:rPr>
              <w:t xml:space="preserve">Variance </w:t>
            </w:r>
            <w:r w:rsidR="009B2D9D" w:rsidRPr="00894701">
              <w:rPr>
                <w:rFonts w:cs="Arial"/>
                <w:b/>
                <w:bCs/>
                <w:color w:val="auto"/>
                <w:kern w:val="0"/>
                <w:szCs w:val="18"/>
                <w:lang w:eastAsia="fr-FR"/>
              </w:rPr>
              <w:t>2019/2020</w:t>
            </w:r>
          </w:p>
        </w:tc>
      </w:tr>
      <w:tr w:rsidR="00D56231" w:rsidRPr="00894701" w14:paraId="01B56B1C" w14:textId="77777777" w:rsidTr="003C1E50">
        <w:trPr>
          <w:trHeight w:val="397"/>
        </w:trPr>
        <w:tc>
          <w:tcPr>
            <w:tcW w:w="595" w:type="pct"/>
            <w:vMerge/>
            <w:tcBorders>
              <w:top w:val="nil"/>
              <w:left w:val="nil"/>
              <w:bottom w:val="single" w:sz="8" w:space="0" w:color="FF0000"/>
              <w:right w:val="nil"/>
            </w:tcBorders>
            <w:vAlign w:val="center"/>
            <w:hideMark/>
          </w:tcPr>
          <w:p w14:paraId="24A7446E" w14:textId="77777777" w:rsidR="003F5603" w:rsidRPr="00894701" w:rsidRDefault="003F5603" w:rsidP="005B2F95">
            <w:pPr>
              <w:spacing w:after="0" w:line="240" w:lineRule="auto"/>
              <w:rPr>
                <w:rFonts w:cs="Arial"/>
                <w:b/>
                <w:bCs/>
                <w:color w:val="auto"/>
                <w:kern w:val="0"/>
                <w:szCs w:val="18"/>
                <w:lang w:eastAsia="fr-FR"/>
              </w:rPr>
            </w:pPr>
          </w:p>
        </w:tc>
        <w:tc>
          <w:tcPr>
            <w:tcW w:w="948" w:type="pct"/>
            <w:tcBorders>
              <w:top w:val="nil"/>
              <w:left w:val="nil"/>
              <w:bottom w:val="single" w:sz="8" w:space="0" w:color="FF0000"/>
              <w:right w:val="nil"/>
            </w:tcBorders>
            <w:shd w:val="clear" w:color="000000" w:fill="800000"/>
            <w:vAlign w:val="center"/>
            <w:hideMark/>
          </w:tcPr>
          <w:p w14:paraId="3FF8ED2D" w14:textId="77777777" w:rsidR="003F5603" w:rsidRPr="00894701" w:rsidRDefault="003F5603" w:rsidP="005B2F95">
            <w:pPr>
              <w:spacing w:after="0" w:line="240" w:lineRule="auto"/>
              <w:jc w:val="right"/>
              <w:rPr>
                <w:rFonts w:cs="Arial"/>
                <w:b/>
                <w:bCs/>
                <w:color w:val="auto"/>
                <w:kern w:val="0"/>
                <w:szCs w:val="18"/>
                <w:lang w:eastAsia="fr-FR"/>
              </w:rPr>
            </w:pPr>
            <w:r w:rsidRPr="00894701">
              <w:rPr>
                <w:rFonts w:cs="Arial"/>
                <w:b/>
                <w:bCs/>
                <w:color w:val="auto"/>
                <w:kern w:val="0"/>
                <w:szCs w:val="18"/>
                <w:lang w:eastAsia="fr-FR"/>
              </w:rPr>
              <w:t xml:space="preserve"> (SRD) </w:t>
            </w:r>
          </w:p>
        </w:tc>
        <w:tc>
          <w:tcPr>
            <w:tcW w:w="948" w:type="pct"/>
            <w:tcBorders>
              <w:top w:val="nil"/>
              <w:left w:val="nil"/>
              <w:bottom w:val="single" w:sz="8" w:space="0" w:color="FF0000"/>
              <w:right w:val="nil"/>
            </w:tcBorders>
            <w:shd w:val="clear" w:color="000000" w:fill="800000"/>
            <w:vAlign w:val="center"/>
            <w:hideMark/>
          </w:tcPr>
          <w:p w14:paraId="4BAFC08C" w14:textId="77777777" w:rsidR="003F5603" w:rsidRPr="00894701" w:rsidRDefault="003F5603" w:rsidP="005B2F95">
            <w:pPr>
              <w:spacing w:after="0" w:line="240" w:lineRule="auto"/>
              <w:jc w:val="right"/>
              <w:rPr>
                <w:rFonts w:cs="Arial"/>
                <w:b/>
                <w:bCs/>
                <w:color w:val="auto"/>
                <w:kern w:val="0"/>
                <w:szCs w:val="18"/>
                <w:lang w:eastAsia="fr-FR"/>
              </w:rPr>
            </w:pPr>
            <w:r w:rsidRPr="00894701">
              <w:rPr>
                <w:rFonts w:cs="Arial"/>
                <w:b/>
                <w:bCs/>
                <w:color w:val="auto"/>
                <w:kern w:val="0"/>
                <w:szCs w:val="18"/>
                <w:lang w:eastAsia="fr-FR"/>
              </w:rPr>
              <w:t xml:space="preserve"> (SRD) </w:t>
            </w:r>
          </w:p>
        </w:tc>
        <w:tc>
          <w:tcPr>
            <w:tcW w:w="1232" w:type="pct"/>
            <w:tcBorders>
              <w:top w:val="nil"/>
              <w:left w:val="nil"/>
              <w:bottom w:val="single" w:sz="8" w:space="0" w:color="FF0000"/>
              <w:right w:val="nil"/>
            </w:tcBorders>
            <w:shd w:val="clear" w:color="000000" w:fill="800000"/>
            <w:vAlign w:val="center"/>
          </w:tcPr>
          <w:p w14:paraId="25755E3B" w14:textId="19090DDB" w:rsidR="003F5603" w:rsidRPr="00894701" w:rsidRDefault="003F5603" w:rsidP="005B2F95">
            <w:pPr>
              <w:spacing w:after="0" w:line="240" w:lineRule="auto"/>
              <w:jc w:val="right"/>
              <w:rPr>
                <w:rFonts w:cs="Arial"/>
                <w:b/>
                <w:bCs/>
                <w:color w:val="auto"/>
                <w:kern w:val="0"/>
                <w:szCs w:val="18"/>
                <w:lang w:eastAsia="fr-FR"/>
              </w:rPr>
            </w:pPr>
            <w:r w:rsidRPr="00894701">
              <w:rPr>
                <w:rFonts w:cs="Arial"/>
                <w:b/>
                <w:bCs/>
                <w:color w:val="auto"/>
                <w:kern w:val="0"/>
                <w:szCs w:val="18"/>
                <w:lang w:eastAsia="fr-FR"/>
              </w:rPr>
              <w:t xml:space="preserve"> (SRD) </w:t>
            </w:r>
          </w:p>
        </w:tc>
        <w:tc>
          <w:tcPr>
            <w:tcW w:w="920" w:type="pct"/>
            <w:tcBorders>
              <w:top w:val="nil"/>
              <w:left w:val="nil"/>
              <w:bottom w:val="single" w:sz="8" w:space="0" w:color="FF0000"/>
              <w:right w:val="nil"/>
            </w:tcBorders>
            <w:shd w:val="clear" w:color="000000" w:fill="800000"/>
            <w:vAlign w:val="center"/>
            <w:hideMark/>
          </w:tcPr>
          <w:p w14:paraId="307A9599" w14:textId="4521E9A2" w:rsidR="003F5603" w:rsidRPr="00894701" w:rsidRDefault="003F5603" w:rsidP="005B2F95">
            <w:pPr>
              <w:spacing w:after="0" w:line="240" w:lineRule="auto"/>
              <w:jc w:val="right"/>
              <w:rPr>
                <w:rFonts w:cs="Arial"/>
                <w:b/>
                <w:bCs/>
                <w:color w:val="auto"/>
                <w:kern w:val="0"/>
                <w:szCs w:val="18"/>
                <w:lang w:eastAsia="fr-FR"/>
              </w:rPr>
            </w:pPr>
            <w:r w:rsidRPr="00894701">
              <w:rPr>
                <w:rFonts w:cs="Arial"/>
                <w:b/>
                <w:bCs/>
                <w:color w:val="auto"/>
                <w:kern w:val="0"/>
                <w:szCs w:val="18"/>
                <w:lang w:eastAsia="fr-FR"/>
              </w:rPr>
              <w:t xml:space="preserve">  (SRD) </w:t>
            </w:r>
          </w:p>
        </w:tc>
        <w:tc>
          <w:tcPr>
            <w:tcW w:w="358" w:type="pct"/>
            <w:tcBorders>
              <w:top w:val="nil"/>
              <w:left w:val="nil"/>
              <w:bottom w:val="single" w:sz="8" w:space="0" w:color="FF0000"/>
              <w:right w:val="nil"/>
            </w:tcBorders>
            <w:shd w:val="clear" w:color="000000" w:fill="800000"/>
            <w:vAlign w:val="center"/>
            <w:hideMark/>
          </w:tcPr>
          <w:p w14:paraId="69C9E725" w14:textId="77777777" w:rsidR="003F5603" w:rsidRPr="00894701" w:rsidRDefault="003F5603" w:rsidP="005B2F95">
            <w:pPr>
              <w:spacing w:after="0" w:line="240" w:lineRule="auto"/>
              <w:jc w:val="right"/>
              <w:rPr>
                <w:rFonts w:cs="Arial"/>
                <w:b/>
                <w:bCs/>
                <w:color w:val="auto"/>
                <w:kern w:val="0"/>
                <w:szCs w:val="18"/>
                <w:lang w:eastAsia="fr-FR"/>
              </w:rPr>
            </w:pPr>
            <w:r w:rsidRPr="00894701">
              <w:rPr>
                <w:rFonts w:cs="Arial"/>
                <w:b/>
                <w:bCs/>
                <w:color w:val="auto"/>
                <w:kern w:val="0"/>
                <w:szCs w:val="18"/>
                <w:lang w:eastAsia="fr-FR"/>
              </w:rPr>
              <w:t xml:space="preserve"> %  </w:t>
            </w:r>
          </w:p>
        </w:tc>
      </w:tr>
      <w:tr w:rsidR="00F62C68" w:rsidRPr="00894701" w14:paraId="50B344D2" w14:textId="77777777" w:rsidTr="004C70CC">
        <w:trPr>
          <w:trHeight w:val="397"/>
        </w:trPr>
        <w:tc>
          <w:tcPr>
            <w:tcW w:w="595" w:type="pct"/>
            <w:tcBorders>
              <w:top w:val="nil"/>
              <w:left w:val="nil"/>
              <w:bottom w:val="nil"/>
              <w:right w:val="nil"/>
            </w:tcBorders>
            <w:shd w:val="clear" w:color="000000" w:fill="F7A3B0"/>
            <w:noWrap/>
            <w:vAlign w:val="center"/>
            <w:hideMark/>
          </w:tcPr>
          <w:p w14:paraId="27DABD88" w14:textId="77777777" w:rsidR="00F62C68" w:rsidRPr="00894701" w:rsidRDefault="00F62C68" w:rsidP="00F62C68">
            <w:pPr>
              <w:spacing w:after="0" w:line="240" w:lineRule="auto"/>
              <w:rPr>
                <w:rFonts w:cs="Arial"/>
                <w:color w:val="auto"/>
                <w:kern w:val="0"/>
                <w:szCs w:val="18"/>
                <w:lang w:eastAsia="fr-FR"/>
              </w:rPr>
            </w:pPr>
            <w:r w:rsidRPr="00894701">
              <w:rPr>
                <w:rFonts w:cs="Arial"/>
                <w:color w:val="auto"/>
                <w:kern w:val="0"/>
                <w:szCs w:val="18"/>
                <w:lang w:eastAsia="fr-FR"/>
              </w:rPr>
              <w:t>Oil &amp; Gas Sector</w:t>
            </w:r>
          </w:p>
        </w:tc>
        <w:tc>
          <w:tcPr>
            <w:tcW w:w="948" w:type="pct"/>
            <w:tcBorders>
              <w:top w:val="nil"/>
              <w:left w:val="nil"/>
              <w:bottom w:val="nil"/>
              <w:right w:val="nil"/>
            </w:tcBorders>
            <w:shd w:val="clear" w:color="000000" w:fill="F7A3B0"/>
            <w:noWrap/>
            <w:vAlign w:val="center"/>
          </w:tcPr>
          <w:p w14:paraId="0DA5D245" w14:textId="438EB5E2" w:rsidR="00F62C68" w:rsidRPr="00894701" w:rsidRDefault="00F62C68" w:rsidP="00F62C68">
            <w:pPr>
              <w:spacing w:after="0" w:line="240" w:lineRule="auto"/>
              <w:jc w:val="right"/>
              <w:rPr>
                <w:rFonts w:cs="Arial"/>
                <w:color w:val="auto"/>
                <w:kern w:val="0"/>
                <w:szCs w:val="18"/>
                <w:lang w:eastAsia="fr-FR"/>
              </w:rPr>
            </w:pPr>
            <w:r w:rsidRPr="00894701">
              <w:rPr>
                <w:rFonts w:cs="Arial"/>
                <w:color w:val="000000"/>
                <w:szCs w:val="18"/>
              </w:rPr>
              <w:t>1,076,179,194</w:t>
            </w:r>
          </w:p>
        </w:tc>
        <w:tc>
          <w:tcPr>
            <w:tcW w:w="948" w:type="pct"/>
            <w:tcBorders>
              <w:top w:val="nil"/>
              <w:left w:val="nil"/>
              <w:bottom w:val="nil"/>
              <w:right w:val="nil"/>
            </w:tcBorders>
            <w:shd w:val="clear" w:color="000000" w:fill="F7A3B0"/>
            <w:noWrap/>
            <w:vAlign w:val="center"/>
          </w:tcPr>
          <w:p w14:paraId="2D804C9A" w14:textId="54E47D83" w:rsidR="00F62C68" w:rsidRPr="00894701" w:rsidRDefault="00F62C68" w:rsidP="00F62C68">
            <w:pPr>
              <w:spacing w:after="0" w:line="240" w:lineRule="auto"/>
              <w:jc w:val="right"/>
              <w:rPr>
                <w:rFonts w:cs="Arial"/>
                <w:color w:val="auto"/>
                <w:kern w:val="0"/>
                <w:szCs w:val="18"/>
                <w:lang w:eastAsia="fr-FR"/>
              </w:rPr>
            </w:pPr>
            <w:r w:rsidRPr="00894701">
              <w:rPr>
                <w:rFonts w:cs="Arial"/>
                <w:color w:val="auto"/>
                <w:szCs w:val="18"/>
              </w:rPr>
              <w:t>199,949,726</w:t>
            </w:r>
          </w:p>
        </w:tc>
        <w:tc>
          <w:tcPr>
            <w:tcW w:w="1232" w:type="pct"/>
            <w:tcBorders>
              <w:top w:val="nil"/>
              <w:left w:val="nil"/>
              <w:bottom w:val="nil"/>
              <w:right w:val="nil"/>
            </w:tcBorders>
            <w:shd w:val="clear" w:color="000000" w:fill="F7A3B0"/>
            <w:vAlign w:val="center"/>
          </w:tcPr>
          <w:p w14:paraId="5B586F46" w14:textId="5CAFDF55" w:rsidR="00F62C68" w:rsidRPr="00894701" w:rsidRDefault="00F62C68" w:rsidP="00F62C68">
            <w:pPr>
              <w:spacing w:after="0" w:line="240" w:lineRule="auto"/>
              <w:jc w:val="right"/>
              <w:rPr>
                <w:rFonts w:cs="Arial"/>
                <w:color w:val="auto"/>
                <w:szCs w:val="18"/>
              </w:rPr>
            </w:pPr>
            <w:r w:rsidRPr="00894701">
              <w:rPr>
                <w:rFonts w:cs="Arial"/>
                <w:color w:val="auto"/>
                <w:szCs w:val="18"/>
              </w:rPr>
              <w:t>173,795,157</w:t>
            </w:r>
          </w:p>
        </w:tc>
        <w:tc>
          <w:tcPr>
            <w:tcW w:w="920" w:type="pct"/>
            <w:tcBorders>
              <w:top w:val="nil"/>
              <w:left w:val="nil"/>
              <w:bottom w:val="nil"/>
              <w:right w:val="nil"/>
            </w:tcBorders>
            <w:shd w:val="clear" w:color="000000" w:fill="F7A3B0"/>
            <w:noWrap/>
            <w:vAlign w:val="center"/>
          </w:tcPr>
          <w:p w14:paraId="2E0777E1" w14:textId="6217AA6D" w:rsidR="00F62C68" w:rsidRPr="00894701" w:rsidRDefault="00F62C68" w:rsidP="00F62C68">
            <w:pPr>
              <w:spacing w:after="0" w:line="240" w:lineRule="auto"/>
              <w:jc w:val="right"/>
              <w:rPr>
                <w:rFonts w:cs="Arial"/>
                <w:color w:val="auto"/>
                <w:kern w:val="0"/>
                <w:szCs w:val="18"/>
                <w:lang w:eastAsia="fr-FR"/>
              </w:rPr>
            </w:pPr>
            <w:r w:rsidRPr="00894701">
              <w:rPr>
                <w:rFonts w:cs="Arial"/>
                <w:color w:val="auto"/>
                <w:szCs w:val="18"/>
              </w:rPr>
              <w:t>26,154,569</w:t>
            </w:r>
          </w:p>
        </w:tc>
        <w:tc>
          <w:tcPr>
            <w:tcW w:w="358" w:type="pct"/>
            <w:tcBorders>
              <w:top w:val="nil"/>
              <w:left w:val="nil"/>
              <w:bottom w:val="nil"/>
              <w:right w:val="nil"/>
            </w:tcBorders>
            <w:shd w:val="clear" w:color="000000" w:fill="F7A3B0"/>
            <w:noWrap/>
            <w:vAlign w:val="center"/>
          </w:tcPr>
          <w:p w14:paraId="6F8EB499" w14:textId="40F1FCAD" w:rsidR="00F62C68" w:rsidRPr="00894701" w:rsidRDefault="00F62C68" w:rsidP="00F62C68">
            <w:pPr>
              <w:spacing w:after="0" w:line="240" w:lineRule="auto"/>
              <w:jc w:val="right"/>
              <w:rPr>
                <w:rFonts w:cs="Arial"/>
                <w:color w:val="auto"/>
                <w:kern w:val="0"/>
                <w:szCs w:val="18"/>
                <w:lang w:eastAsia="fr-FR"/>
              </w:rPr>
            </w:pPr>
            <w:r w:rsidRPr="00894701">
              <w:rPr>
                <w:rFonts w:cs="Arial"/>
                <w:color w:val="auto"/>
                <w:szCs w:val="18"/>
              </w:rPr>
              <w:t>(33%)</w:t>
            </w:r>
          </w:p>
        </w:tc>
      </w:tr>
      <w:tr w:rsidR="00F62C68" w:rsidRPr="00894701" w14:paraId="50725822" w14:textId="77777777" w:rsidTr="004C70CC">
        <w:trPr>
          <w:trHeight w:val="397"/>
        </w:trPr>
        <w:tc>
          <w:tcPr>
            <w:tcW w:w="595" w:type="pct"/>
            <w:tcBorders>
              <w:top w:val="nil"/>
              <w:left w:val="nil"/>
              <w:bottom w:val="nil"/>
              <w:right w:val="nil"/>
            </w:tcBorders>
            <w:shd w:val="clear" w:color="auto" w:fill="auto"/>
            <w:noWrap/>
            <w:vAlign w:val="center"/>
            <w:hideMark/>
          </w:tcPr>
          <w:p w14:paraId="08641438" w14:textId="77777777" w:rsidR="00F62C68" w:rsidRPr="00894701" w:rsidRDefault="00F62C68" w:rsidP="00F62C68">
            <w:pPr>
              <w:spacing w:after="0" w:line="240" w:lineRule="auto"/>
              <w:rPr>
                <w:rFonts w:cs="Arial"/>
                <w:color w:val="auto"/>
                <w:kern w:val="0"/>
                <w:szCs w:val="18"/>
                <w:lang w:eastAsia="fr-FR"/>
              </w:rPr>
            </w:pPr>
            <w:r w:rsidRPr="00894701">
              <w:rPr>
                <w:rFonts w:cs="Arial"/>
                <w:color w:val="auto"/>
                <w:kern w:val="0"/>
                <w:szCs w:val="18"/>
                <w:lang w:eastAsia="fr-FR"/>
              </w:rPr>
              <w:t>Mining Sector</w:t>
            </w:r>
          </w:p>
        </w:tc>
        <w:tc>
          <w:tcPr>
            <w:tcW w:w="948" w:type="pct"/>
            <w:tcBorders>
              <w:top w:val="nil"/>
              <w:left w:val="nil"/>
              <w:bottom w:val="nil"/>
              <w:right w:val="nil"/>
            </w:tcBorders>
            <w:shd w:val="clear" w:color="auto" w:fill="auto"/>
            <w:noWrap/>
            <w:vAlign w:val="center"/>
          </w:tcPr>
          <w:p w14:paraId="0268595A" w14:textId="1E7753F6" w:rsidR="00F62C68" w:rsidRPr="00894701" w:rsidRDefault="00F62C68" w:rsidP="00F62C68">
            <w:pPr>
              <w:spacing w:after="0" w:line="240" w:lineRule="auto"/>
              <w:jc w:val="right"/>
              <w:rPr>
                <w:rFonts w:cs="Arial"/>
                <w:color w:val="auto"/>
                <w:kern w:val="0"/>
                <w:szCs w:val="18"/>
                <w:lang w:eastAsia="fr-FR"/>
              </w:rPr>
            </w:pPr>
            <w:r w:rsidRPr="00894701">
              <w:rPr>
                <w:rFonts w:cs="Arial"/>
                <w:szCs w:val="18"/>
              </w:rPr>
              <w:t>820,502,874</w:t>
            </w:r>
          </w:p>
        </w:tc>
        <w:tc>
          <w:tcPr>
            <w:tcW w:w="948" w:type="pct"/>
            <w:tcBorders>
              <w:top w:val="nil"/>
              <w:left w:val="nil"/>
              <w:bottom w:val="nil"/>
              <w:right w:val="nil"/>
            </w:tcBorders>
            <w:shd w:val="clear" w:color="auto" w:fill="auto"/>
            <w:noWrap/>
            <w:vAlign w:val="center"/>
          </w:tcPr>
          <w:p w14:paraId="78387D3A" w14:textId="62DCD969" w:rsidR="00F62C68" w:rsidRPr="00894701" w:rsidRDefault="00F62C68" w:rsidP="00F62C68">
            <w:pPr>
              <w:spacing w:after="0" w:line="240" w:lineRule="auto"/>
              <w:jc w:val="right"/>
              <w:rPr>
                <w:rFonts w:cs="Arial"/>
                <w:color w:val="auto"/>
                <w:kern w:val="0"/>
                <w:szCs w:val="18"/>
                <w:lang w:eastAsia="fr-FR"/>
              </w:rPr>
            </w:pPr>
            <w:r w:rsidRPr="00894701">
              <w:rPr>
                <w:rFonts w:cs="Arial"/>
                <w:color w:val="auto"/>
                <w:szCs w:val="18"/>
              </w:rPr>
              <w:t>920,074,374</w:t>
            </w:r>
          </w:p>
        </w:tc>
        <w:tc>
          <w:tcPr>
            <w:tcW w:w="1232" w:type="pct"/>
            <w:tcBorders>
              <w:top w:val="nil"/>
              <w:left w:val="nil"/>
              <w:bottom w:val="nil"/>
              <w:right w:val="nil"/>
            </w:tcBorders>
            <w:vAlign w:val="center"/>
          </w:tcPr>
          <w:p w14:paraId="3E8197DB" w14:textId="4D8D7134" w:rsidR="00F62C68" w:rsidRPr="00894701" w:rsidRDefault="00F62C68" w:rsidP="00F62C68">
            <w:pPr>
              <w:spacing w:after="0" w:line="240" w:lineRule="auto"/>
              <w:jc w:val="right"/>
              <w:rPr>
                <w:rFonts w:cs="Arial"/>
                <w:color w:val="auto"/>
                <w:szCs w:val="18"/>
              </w:rPr>
            </w:pPr>
            <w:r w:rsidRPr="00894701">
              <w:rPr>
                <w:rFonts w:cs="Arial"/>
                <w:color w:val="auto"/>
                <w:szCs w:val="18"/>
              </w:rPr>
              <w:t>1,402,034,007</w:t>
            </w:r>
          </w:p>
        </w:tc>
        <w:tc>
          <w:tcPr>
            <w:tcW w:w="920" w:type="pct"/>
            <w:tcBorders>
              <w:top w:val="nil"/>
              <w:left w:val="nil"/>
              <w:bottom w:val="nil"/>
              <w:right w:val="nil"/>
            </w:tcBorders>
            <w:shd w:val="clear" w:color="auto" w:fill="auto"/>
            <w:noWrap/>
            <w:vAlign w:val="center"/>
          </w:tcPr>
          <w:p w14:paraId="2A29085E" w14:textId="463CAC7C" w:rsidR="00F62C68" w:rsidRPr="00894701" w:rsidRDefault="00F62C68" w:rsidP="00F62C68">
            <w:pPr>
              <w:spacing w:after="0" w:line="240" w:lineRule="auto"/>
              <w:jc w:val="right"/>
              <w:rPr>
                <w:rFonts w:cs="Arial"/>
                <w:color w:val="auto"/>
                <w:kern w:val="0"/>
                <w:szCs w:val="18"/>
                <w:lang w:eastAsia="fr-FR"/>
              </w:rPr>
            </w:pPr>
            <w:r w:rsidRPr="00894701">
              <w:rPr>
                <w:rFonts w:cs="Arial"/>
                <w:color w:val="auto"/>
                <w:szCs w:val="18"/>
              </w:rPr>
              <w:t>(481,959,633)</w:t>
            </w:r>
          </w:p>
        </w:tc>
        <w:tc>
          <w:tcPr>
            <w:tcW w:w="358" w:type="pct"/>
            <w:tcBorders>
              <w:top w:val="nil"/>
              <w:left w:val="nil"/>
              <w:bottom w:val="nil"/>
              <w:right w:val="nil"/>
            </w:tcBorders>
            <w:shd w:val="clear" w:color="auto" w:fill="auto"/>
            <w:noWrap/>
            <w:vAlign w:val="center"/>
          </w:tcPr>
          <w:p w14:paraId="0332D718" w14:textId="20B1EDA9" w:rsidR="00F62C68" w:rsidRPr="00894701" w:rsidRDefault="00F62C68" w:rsidP="00F62C68">
            <w:pPr>
              <w:spacing w:after="0" w:line="240" w:lineRule="auto"/>
              <w:jc w:val="right"/>
              <w:rPr>
                <w:rFonts w:cs="Arial"/>
                <w:color w:val="auto"/>
                <w:kern w:val="0"/>
                <w:szCs w:val="18"/>
                <w:lang w:eastAsia="fr-FR"/>
              </w:rPr>
            </w:pPr>
            <w:r w:rsidRPr="00894701">
              <w:rPr>
                <w:rFonts w:cs="Arial"/>
                <w:color w:val="auto"/>
                <w:szCs w:val="18"/>
              </w:rPr>
              <w:t>58%</w:t>
            </w:r>
          </w:p>
        </w:tc>
      </w:tr>
      <w:tr w:rsidR="00F62C68" w:rsidRPr="00894701" w14:paraId="3F69235D" w14:textId="77777777" w:rsidTr="004C70CC">
        <w:trPr>
          <w:trHeight w:val="397"/>
        </w:trPr>
        <w:tc>
          <w:tcPr>
            <w:tcW w:w="595" w:type="pct"/>
            <w:tcBorders>
              <w:top w:val="nil"/>
              <w:left w:val="nil"/>
              <w:bottom w:val="nil"/>
              <w:right w:val="nil"/>
            </w:tcBorders>
            <w:shd w:val="clear" w:color="000000" w:fill="685040"/>
            <w:noWrap/>
            <w:vAlign w:val="center"/>
            <w:hideMark/>
          </w:tcPr>
          <w:p w14:paraId="4DABF4D5" w14:textId="77777777" w:rsidR="00F62C68" w:rsidRPr="00894701" w:rsidRDefault="00F62C68" w:rsidP="00F62C68">
            <w:pPr>
              <w:spacing w:after="0" w:line="240" w:lineRule="auto"/>
              <w:rPr>
                <w:rFonts w:cs="Arial"/>
                <w:b/>
                <w:bCs/>
                <w:color w:val="FFFFFF" w:themeColor="background1"/>
                <w:kern w:val="0"/>
                <w:szCs w:val="18"/>
                <w:lang w:eastAsia="fr-FR"/>
              </w:rPr>
            </w:pPr>
            <w:r w:rsidRPr="00894701">
              <w:rPr>
                <w:rFonts w:cs="Arial"/>
                <w:b/>
                <w:bCs/>
                <w:color w:val="FFFFFF" w:themeColor="background1"/>
                <w:kern w:val="0"/>
                <w:szCs w:val="18"/>
                <w:lang w:eastAsia="fr-FR"/>
              </w:rPr>
              <w:t>Total</w:t>
            </w:r>
          </w:p>
        </w:tc>
        <w:tc>
          <w:tcPr>
            <w:tcW w:w="948" w:type="pct"/>
            <w:tcBorders>
              <w:top w:val="nil"/>
              <w:left w:val="nil"/>
              <w:bottom w:val="nil"/>
              <w:right w:val="nil"/>
            </w:tcBorders>
            <w:shd w:val="clear" w:color="000000" w:fill="685040"/>
            <w:noWrap/>
            <w:vAlign w:val="center"/>
          </w:tcPr>
          <w:p w14:paraId="58DC701C" w14:textId="64F7335A" w:rsidR="00F62C68" w:rsidRPr="00894701" w:rsidRDefault="00F62C68" w:rsidP="00F62C68">
            <w:pPr>
              <w:spacing w:after="0" w:line="240" w:lineRule="auto"/>
              <w:jc w:val="right"/>
              <w:rPr>
                <w:rFonts w:cs="Arial"/>
                <w:b/>
                <w:bCs/>
                <w:color w:val="FFFFFF" w:themeColor="background1"/>
                <w:kern w:val="0"/>
                <w:szCs w:val="18"/>
                <w:lang w:eastAsia="fr-FR"/>
              </w:rPr>
            </w:pPr>
            <w:r w:rsidRPr="00894701">
              <w:rPr>
                <w:rFonts w:cs="Arial"/>
                <w:b/>
                <w:bCs/>
                <w:color w:val="FFFFFF"/>
                <w:szCs w:val="18"/>
              </w:rPr>
              <w:t>1,896,682,068</w:t>
            </w:r>
          </w:p>
        </w:tc>
        <w:tc>
          <w:tcPr>
            <w:tcW w:w="948" w:type="pct"/>
            <w:tcBorders>
              <w:top w:val="nil"/>
              <w:left w:val="nil"/>
              <w:bottom w:val="nil"/>
              <w:right w:val="nil"/>
            </w:tcBorders>
            <w:shd w:val="clear" w:color="000000" w:fill="685040"/>
            <w:noWrap/>
            <w:vAlign w:val="center"/>
          </w:tcPr>
          <w:p w14:paraId="1BC5CF1F" w14:textId="7A79DE0E" w:rsidR="00F62C68" w:rsidRPr="00894701" w:rsidRDefault="00F62C68" w:rsidP="00F62C68">
            <w:pPr>
              <w:spacing w:after="0" w:line="240" w:lineRule="auto"/>
              <w:jc w:val="right"/>
              <w:rPr>
                <w:rFonts w:cs="Arial"/>
                <w:b/>
                <w:bCs/>
                <w:color w:val="FFFFFF" w:themeColor="background1"/>
                <w:kern w:val="0"/>
                <w:szCs w:val="18"/>
                <w:lang w:eastAsia="fr-FR"/>
              </w:rPr>
            </w:pPr>
            <w:r w:rsidRPr="00894701">
              <w:rPr>
                <w:rFonts w:cs="Arial"/>
                <w:b/>
                <w:bCs/>
                <w:color w:val="FFFFFF"/>
                <w:szCs w:val="18"/>
              </w:rPr>
              <w:t>1,120,024,100</w:t>
            </w:r>
          </w:p>
        </w:tc>
        <w:tc>
          <w:tcPr>
            <w:tcW w:w="1232" w:type="pct"/>
            <w:tcBorders>
              <w:top w:val="nil"/>
              <w:left w:val="nil"/>
              <w:bottom w:val="nil"/>
              <w:right w:val="nil"/>
            </w:tcBorders>
            <w:shd w:val="clear" w:color="000000" w:fill="685040"/>
            <w:vAlign w:val="center"/>
          </w:tcPr>
          <w:p w14:paraId="2D10348E" w14:textId="3048C18A" w:rsidR="00F62C68" w:rsidRPr="00894701" w:rsidRDefault="00F62C68" w:rsidP="00F62C68">
            <w:pPr>
              <w:spacing w:after="0" w:line="240" w:lineRule="auto"/>
              <w:jc w:val="right"/>
              <w:rPr>
                <w:rFonts w:cs="Arial"/>
                <w:b/>
                <w:bCs/>
                <w:color w:val="FFFFFF" w:themeColor="background1"/>
                <w:szCs w:val="18"/>
              </w:rPr>
            </w:pPr>
            <w:r w:rsidRPr="00894701">
              <w:rPr>
                <w:rFonts w:cs="Arial"/>
                <w:b/>
                <w:bCs/>
                <w:color w:val="FFFFFF"/>
                <w:szCs w:val="18"/>
              </w:rPr>
              <w:t>1,575,829,164</w:t>
            </w:r>
          </w:p>
        </w:tc>
        <w:tc>
          <w:tcPr>
            <w:tcW w:w="920" w:type="pct"/>
            <w:tcBorders>
              <w:top w:val="nil"/>
              <w:left w:val="nil"/>
              <w:bottom w:val="nil"/>
              <w:right w:val="nil"/>
            </w:tcBorders>
            <w:shd w:val="clear" w:color="000000" w:fill="685040"/>
            <w:noWrap/>
            <w:vAlign w:val="center"/>
          </w:tcPr>
          <w:p w14:paraId="0EA78FC9" w14:textId="10409806" w:rsidR="00F62C68" w:rsidRPr="00894701" w:rsidRDefault="00F62C68" w:rsidP="00F62C68">
            <w:pPr>
              <w:spacing w:after="0" w:line="240" w:lineRule="auto"/>
              <w:jc w:val="right"/>
              <w:rPr>
                <w:rFonts w:cs="Arial"/>
                <w:b/>
                <w:bCs/>
                <w:color w:val="FFFFFF" w:themeColor="background1"/>
                <w:kern w:val="0"/>
                <w:szCs w:val="18"/>
                <w:lang w:eastAsia="fr-FR"/>
              </w:rPr>
            </w:pPr>
            <w:r w:rsidRPr="00894701">
              <w:rPr>
                <w:rFonts w:cs="Arial"/>
                <w:b/>
                <w:bCs/>
                <w:color w:val="FFFFFF"/>
                <w:szCs w:val="18"/>
              </w:rPr>
              <w:t>(455,805,064)</w:t>
            </w:r>
          </w:p>
        </w:tc>
        <w:tc>
          <w:tcPr>
            <w:tcW w:w="358" w:type="pct"/>
            <w:tcBorders>
              <w:top w:val="nil"/>
              <w:left w:val="nil"/>
              <w:bottom w:val="nil"/>
              <w:right w:val="nil"/>
            </w:tcBorders>
            <w:shd w:val="clear" w:color="000000" w:fill="685040"/>
            <w:noWrap/>
            <w:vAlign w:val="center"/>
          </w:tcPr>
          <w:p w14:paraId="4D43DC59" w14:textId="1914CD63" w:rsidR="00F62C68" w:rsidRPr="00894701" w:rsidRDefault="00F62C68" w:rsidP="00F62C68">
            <w:pPr>
              <w:spacing w:after="0" w:line="240" w:lineRule="auto"/>
              <w:jc w:val="right"/>
              <w:rPr>
                <w:rFonts w:cs="Arial"/>
                <w:b/>
                <w:bCs/>
                <w:color w:val="FFFFFF" w:themeColor="background1"/>
                <w:kern w:val="0"/>
                <w:szCs w:val="18"/>
                <w:lang w:eastAsia="fr-FR"/>
              </w:rPr>
            </w:pPr>
            <w:r w:rsidRPr="00894701">
              <w:rPr>
                <w:rFonts w:cs="Arial"/>
                <w:b/>
                <w:bCs/>
                <w:color w:val="FFFFFF"/>
                <w:szCs w:val="18"/>
              </w:rPr>
              <w:t>38%</w:t>
            </w:r>
          </w:p>
        </w:tc>
      </w:tr>
    </w:tbl>
    <w:p w14:paraId="0178184B" w14:textId="511D29B5" w:rsidR="003F5603" w:rsidRPr="00894701" w:rsidRDefault="009B2D9D" w:rsidP="00286081">
      <w:pPr>
        <w:jc w:val="both"/>
        <w:rPr>
          <w:rFonts w:cs="Arial"/>
          <w:color w:val="auto"/>
          <w:sz w:val="20"/>
        </w:rPr>
      </w:pPr>
      <w:r w:rsidRPr="00894701">
        <w:rPr>
          <w:rFonts w:cs="Arial"/>
          <w:i/>
          <w:color w:val="auto"/>
          <w:szCs w:val="18"/>
          <w:lang w:eastAsia="fr-FR"/>
        </w:rPr>
        <w:t>Source: EITI-SR reporting templates</w:t>
      </w:r>
    </w:p>
    <w:p w14:paraId="01E0D3BD" w14:textId="0DC04D64" w:rsidR="00D619D6" w:rsidRDefault="00B03634" w:rsidP="00E252B3">
      <w:pPr>
        <w:spacing w:after="0"/>
        <w:jc w:val="center"/>
        <w:rPr>
          <w:b/>
          <w:i/>
          <w:iCs/>
          <w:sz w:val="20"/>
          <w:szCs w:val="20"/>
        </w:rPr>
      </w:pPr>
      <w:bookmarkStart w:id="422" w:name="_Toc146590578"/>
      <w:r w:rsidRPr="00894701">
        <w:rPr>
          <w:b/>
          <w:i/>
          <w:iCs/>
          <w:sz w:val="20"/>
          <w:szCs w:val="20"/>
        </w:rPr>
        <w:t xml:space="preserve">Figure </w:t>
      </w:r>
      <w:r w:rsidR="00090BCF" w:rsidRPr="00894701">
        <w:rPr>
          <w:b/>
          <w:i/>
          <w:iCs/>
          <w:sz w:val="20"/>
          <w:szCs w:val="20"/>
        </w:rPr>
        <w:fldChar w:fldCharType="begin"/>
      </w:r>
      <w:r w:rsidR="00090BCF" w:rsidRPr="00894701">
        <w:rPr>
          <w:b/>
          <w:i/>
          <w:iCs/>
          <w:sz w:val="20"/>
          <w:szCs w:val="20"/>
        </w:rPr>
        <w:instrText xml:space="preserve"> SEQ Figure \* ARABIC </w:instrText>
      </w:r>
      <w:r w:rsidR="00090BCF" w:rsidRPr="00894701">
        <w:rPr>
          <w:b/>
          <w:i/>
          <w:iCs/>
          <w:sz w:val="20"/>
          <w:szCs w:val="20"/>
        </w:rPr>
        <w:fldChar w:fldCharType="separate"/>
      </w:r>
      <w:r w:rsidR="0035303B">
        <w:rPr>
          <w:b/>
          <w:i/>
          <w:iCs/>
          <w:noProof/>
          <w:sz w:val="20"/>
          <w:szCs w:val="20"/>
        </w:rPr>
        <w:t>13</w:t>
      </w:r>
      <w:r w:rsidR="00090BCF" w:rsidRPr="00894701">
        <w:rPr>
          <w:b/>
          <w:i/>
          <w:iCs/>
          <w:sz w:val="20"/>
          <w:szCs w:val="20"/>
        </w:rPr>
        <w:fldChar w:fldCharType="end"/>
      </w:r>
      <w:r w:rsidRPr="00894701">
        <w:rPr>
          <w:b/>
          <w:i/>
          <w:iCs/>
          <w:sz w:val="20"/>
          <w:szCs w:val="20"/>
        </w:rPr>
        <w:t>: Contribution by sector for the fiscal year 2018, 2019 and 2020</w:t>
      </w:r>
      <w:bookmarkEnd w:id="422"/>
    </w:p>
    <w:tbl>
      <w:tblPr>
        <w:tblStyle w:val="TableGrid"/>
        <w:tblW w:w="13963" w:type="dxa"/>
        <w:tblInd w:w="-5" w:type="dxa"/>
        <w:tblLook w:val="04A0" w:firstRow="1" w:lastRow="0" w:firstColumn="1" w:lastColumn="0" w:noHBand="0" w:noVBand="1"/>
      </w:tblPr>
      <w:tblGrid>
        <w:gridCol w:w="4371"/>
        <w:gridCol w:w="5066"/>
        <w:gridCol w:w="4526"/>
      </w:tblGrid>
      <w:tr w:rsidR="00D619D6" w:rsidRPr="00894701" w14:paraId="582F1B1D" w14:textId="77777777" w:rsidTr="00D619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1" w:type="dxa"/>
          </w:tcPr>
          <w:p w14:paraId="2927B215" w14:textId="77777777" w:rsidR="00D619D6" w:rsidRPr="00894701" w:rsidRDefault="00D619D6" w:rsidP="00C85C83">
            <w:pPr>
              <w:jc w:val="center"/>
              <w:rPr>
                <w:b/>
                <w:bCs/>
                <w:noProof/>
                <w:color w:val="C00000"/>
              </w:rPr>
            </w:pPr>
            <w:r w:rsidRPr="00894701">
              <w:rPr>
                <w:b/>
                <w:bCs/>
                <w:noProof/>
                <w:color w:val="C00000"/>
              </w:rPr>
              <w:t>FY 2018</w:t>
            </w:r>
          </w:p>
        </w:tc>
        <w:tc>
          <w:tcPr>
            <w:tcW w:w="5066" w:type="dxa"/>
          </w:tcPr>
          <w:p w14:paraId="72E7A0DA" w14:textId="77777777" w:rsidR="00D619D6" w:rsidRPr="00894701" w:rsidRDefault="00D619D6" w:rsidP="00C85C83">
            <w:pPr>
              <w:jc w:val="center"/>
              <w:cnfStyle w:val="100000000000" w:firstRow="1" w:lastRow="0" w:firstColumn="0" w:lastColumn="0" w:oddVBand="0" w:evenVBand="0" w:oddHBand="0" w:evenHBand="0" w:firstRowFirstColumn="0" w:firstRowLastColumn="0" w:lastRowFirstColumn="0" w:lastRowLastColumn="0"/>
              <w:rPr>
                <w:b/>
                <w:bCs/>
                <w:noProof/>
                <w:color w:val="C00000"/>
              </w:rPr>
            </w:pPr>
            <w:r w:rsidRPr="00894701">
              <w:rPr>
                <w:b/>
                <w:bCs/>
                <w:noProof/>
                <w:color w:val="C00000"/>
              </w:rPr>
              <w:t>FY 2019</w:t>
            </w:r>
          </w:p>
        </w:tc>
        <w:tc>
          <w:tcPr>
            <w:tcW w:w="4526" w:type="dxa"/>
          </w:tcPr>
          <w:p w14:paraId="3B12B824" w14:textId="77777777" w:rsidR="00D619D6" w:rsidRPr="00894701" w:rsidRDefault="00D619D6" w:rsidP="00C85C83">
            <w:pPr>
              <w:jc w:val="center"/>
              <w:cnfStyle w:val="100000000000" w:firstRow="1" w:lastRow="0" w:firstColumn="0" w:lastColumn="0" w:oddVBand="0" w:evenVBand="0" w:oddHBand="0" w:evenHBand="0" w:firstRowFirstColumn="0" w:firstRowLastColumn="0" w:lastRowFirstColumn="0" w:lastRowLastColumn="0"/>
              <w:rPr>
                <w:b/>
                <w:bCs/>
                <w:noProof/>
                <w:color w:val="C00000"/>
              </w:rPr>
            </w:pPr>
            <w:r w:rsidRPr="00894701">
              <w:rPr>
                <w:b/>
                <w:bCs/>
                <w:noProof/>
                <w:color w:val="C00000"/>
              </w:rPr>
              <w:t>FY 2020</w:t>
            </w:r>
          </w:p>
        </w:tc>
      </w:tr>
      <w:tr w:rsidR="00D619D6" w:rsidRPr="00894701" w14:paraId="5F0DAE37" w14:textId="77777777" w:rsidTr="00D619D6">
        <w:tblPrEx>
          <w:tblCellMar>
            <w:left w:w="70" w:type="dxa"/>
            <w:right w:w="7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1" w:type="dxa"/>
          </w:tcPr>
          <w:p w14:paraId="222FFFCE" w14:textId="77777777" w:rsidR="00D619D6" w:rsidRPr="00894701" w:rsidRDefault="00D619D6" w:rsidP="00C85C83">
            <w:pPr>
              <w:jc w:val="both"/>
              <w:rPr>
                <w:rFonts w:cs="Arial"/>
                <w:color w:val="auto"/>
                <w:sz w:val="20"/>
              </w:rPr>
            </w:pPr>
            <w:r w:rsidRPr="00894701">
              <w:rPr>
                <w:noProof/>
                <w:lang w:val="en-US" w:eastAsia="en-US"/>
              </w:rPr>
              <w:drawing>
                <wp:inline distT="0" distB="0" distL="0" distR="0" wp14:anchorId="2AE16367" wp14:editId="2FE6286C">
                  <wp:extent cx="2918460" cy="1882140"/>
                  <wp:effectExtent l="0" t="0" r="0" b="0"/>
                  <wp:docPr id="19" name="Graphique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50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c>
          <w:tcPr>
            <w:tcW w:w="5066" w:type="dxa"/>
          </w:tcPr>
          <w:p w14:paraId="26753444" w14:textId="77777777" w:rsidR="00D619D6" w:rsidRPr="00894701" w:rsidRDefault="00D619D6" w:rsidP="00C85C83">
            <w:pPr>
              <w:jc w:val="both"/>
              <w:cnfStyle w:val="000000100000" w:firstRow="0" w:lastRow="0" w:firstColumn="0" w:lastColumn="0" w:oddVBand="0" w:evenVBand="0" w:oddHBand="1" w:evenHBand="0" w:firstRowFirstColumn="0" w:firstRowLastColumn="0" w:lastRowFirstColumn="0" w:lastRowLastColumn="0"/>
              <w:rPr>
                <w:rFonts w:cs="Arial"/>
                <w:color w:val="auto"/>
                <w:sz w:val="20"/>
              </w:rPr>
            </w:pPr>
            <w:r w:rsidRPr="00894701">
              <w:rPr>
                <w:noProof/>
                <w:lang w:val="en-US" w:eastAsia="en-US"/>
              </w:rPr>
              <w:drawing>
                <wp:inline distT="0" distB="0" distL="0" distR="0" wp14:anchorId="1013D145" wp14:editId="2BA98A1B">
                  <wp:extent cx="3398520" cy="1889760"/>
                  <wp:effectExtent l="0" t="0" r="0" b="0"/>
                  <wp:docPr id="8" name="Graphique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50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c>
          <w:tcPr>
            <w:tcW w:w="4526" w:type="dxa"/>
          </w:tcPr>
          <w:p w14:paraId="7962D18B" w14:textId="77777777" w:rsidR="00D619D6" w:rsidRPr="00894701" w:rsidRDefault="00D619D6" w:rsidP="00C85C83">
            <w:pPr>
              <w:jc w:val="both"/>
              <w:cnfStyle w:val="000000100000" w:firstRow="0" w:lastRow="0" w:firstColumn="0" w:lastColumn="0" w:oddVBand="0" w:evenVBand="0" w:oddHBand="1" w:evenHBand="0" w:firstRowFirstColumn="0" w:firstRowLastColumn="0" w:lastRowFirstColumn="0" w:lastRowLastColumn="0"/>
              <w:rPr>
                <w:rFonts w:cs="Arial"/>
                <w:color w:val="auto"/>
                <w:sz w:val="20"/>
              </w:rPr>
            </w:pPr>
            <w:r w:rsidRPr="00894701">
              <w:rPr>
                <w:noProof/>
                <w:lang w:val="en-US" w:eastAsia="en-US"/>
              </w:rPr>
              <w:drawing>
                <wp:inline distT="0" distB="0" distL="0" distR="0" wp14:anchorId="10C69F6B" wp14:editId="2224039B">
                  <wp:extent cx="3025140" cy="1905000"/>
                  <wp:effectExtent l="0" t="0" r="0" b="0"/>
                  <wp:docPr id="29" name="Graphique 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50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bl>
    <w:p w14:paraId="5947F49B" w14:textId="61C7286F" w:rsidR="00B03634" w:rsidRPr="00D619D6" w:rsidRDefault="00D619D6" w:rsidP="00D619D6">
      <w:pPr>
        <w:jc w:val="both"/>
        <w:rPr>
          <w:rFonts w:cs="Arial"/>
          <w:color w:val="auto"/>
          <w:sz w:val="20"/>
        </w:rPr>
      </w:pPr>
      <w:r w:rsidRPr="00D619D6">
        <w:rPr>
          <w:rFonts w:cs="Arial"/>
          <w:color w:val="auto"/>
          <w:sz w:val="20"/>
        </w:rPr>
        <w:t>The drop in oil and gas revenues between FY 2018 and 2019 is explained by social contribution payments made during FY 2018 and which are not correlated with the oil and gas production level.</w:t>
      </w:r>
      <w:r w:rsidR="00A67C41">
        <w:rPr>
          <w:rFonts w:cs="Arial"/>
          <w:color w:val="auto"/>
          <w:sz w:val="20"/>
        </w:rPr>
        <w:t xml:space="preserve"> </w:t>
      </w:r>
      <w:r w:rsidR="00A67C41" w:rsidRPr="00D619D6">
        <w:rPr>
          <w:rFonts w:cs="Arial"/>
          <w:color w:val="auto"/>
          <w:sz w:val="20"/>
        </w:rPr>
        <w:t>The Oil and gas revenues during FY 2018 is composed of social contribution amounting to SRD 800 million as detailed in Section 5.3 of this report.</w:t>
      </w:r>
    </w:p>
    <w:p w14:paraId="0C1DA73E" w14:textId="67B92E45" w:rsidR="004863BE" w:rsidRPr="00894701" w:rsidRDefault="004863BE" w:rsidP="00DB5584">
      <w:pPr>
        <w:pStyle w:val="AltMinorHeading"/>
        <w:numPr>
          <w:ilvl w:val="2"/>
          <w:numId w:val="100"/>
        </w:numPr>
        <w:spacing w:before="100" w:beforeAutospacing="1" w:after="120"/>
        <w:ind w:right="454"/>
        <w:rPr>
          <w:rStyle w:val="Emphasis"/>
        </w:rPr>
      </w:pPr>
      <w:bookmarkStart w:id="423" w:name="_Toc119592542"/>
      <w:bookmarkStart w:id="424" w:name="_Toc101350063"/>
      <w:bookmarkStart w:id="425" w:name="_Toc122478941"/>
      <w:bookmarkEnd w:id="423"/>
      <w:r w:rsidRPr="00894701">
        <w:rPr>
          <w:rStyle w:val="Emphasis"/>
        </w:rPr>
        <w:t>Analysis of total revenues - contribution by extractive entity</w:t>
      </w:r>
      <w:bookmarkEnd w:id="424"/>
      <w:bookmarkEnd w:id="425"/>
      <w:r w:rsidR="00B15653" w:rsidRPr="00894701">
        <w:rPr>
          <w:rStyle w:val="Emphasis"/>
        </w:rPr>
        <w:t xml:space="preserve"> </w:t>
      </w:r>
    </w:p>
    <w:p w14:paraId="68A59BCF" w14:textId="33FA7FA6" w:rsidR="004863BE" w:rsidRPr="00894701" w:rsidRDefault="00CD33C1" w:rsidP="00286081">
      <w:pPr>
        <w:pStyle w:val="BodyText"/>
        <w:jc w:val="both"/>
        <w:rPr>
          <w:color w:val="000000" w:themeColor="text1"/>
          <w:sz w:val="20"/>
          <w:szCs w:val="20"/>
        </w:rPr>
      </w:pPr>
      <w:r w:rsidRPr="00894701">
        <w:rPr>
          <w:color w:val="000000" w:themeColor="text1"/>
          <w:sz w:val="20"/>
          <w:szCs w:val="20"/>
        </w:rPr>
        <w:t xml:space="preserve">The analysis of Government revenues by company indicates that five (5) Extractive entities contributed approximately to 100% of the total extractive revenues during the FYs 2018,2019 and 2020. During the FY 2020, Newmont Suriname </w:t>
      </w:r>
      <w:r w:rsidR="0085302F" w:rsidRPr="00894701">
        <w:rPr>
          <w:color w:val="000000" w:themeColor="text1"/>
          <w:sz w:val="20"/>
          <w:szCs w:val="20"/>
        </w:rPr>
        <w:t>LLC</w:t>
      </w:r>
      <w:r w:rsidRPr="00894701">
        <w:rPr>
          <w:color w:val="000000" w:themeColor="text1"/>
          <w:sz w:val="20"/>
          <w:szCs w:val="20"/>
        </w:rPr>
        <w:t>. accounted for almost 64% of the country’s extractive revenues</w:t>
      </w:r>
      <w:r w:rsidR="004863BE" w:rsidRPr="00894701">
        <w:rPr>
          <w:color w:val="000000" w:themeColor="text1"/>
          <w:sz w:val="20"/>
          <w:szCs w:val="20"/>
        </w:rPr>
        <w:t>.</w:t>
      </w:r>
    </w:p>
    <w:p w14:paraId="72BE6B21" w14:textId="4949465A" w:rsidR="009B2D9D" w:rsidRPr="00894701" w:rsidRDefault="009B2D9D" w:rsidP="00286081">
      <w:pPr>
        <w:pStyle w:val="ListParagraph"/>
        <w:spacing w:after="0"/>
        <w:ind w:left="0" w:firstLine="720"/>
        <w:jc w:val="center"/>
        <w:rPr>
          <w:rFonts w:asciiTheme="majorHAnsi" w:hAnsiTheme="majorHAnsi"/>
          <w:b/>
          <w:bCs/>
          <w:color w:val="98002E" w:themeColor="accent3"/>
          <w:sz w:val="20"/>
        </w:rPr>
      </w:pPr>
      <w:bookmarkStart w:id="426" w:name="_Toc104557757"/>
      <w:bookmarkStart w:id="427" w:name="_Toc146590521"/>
      <w:r w:rsidRPr="00894701">
        <w:rPr>
          <w:rFonts w:asciiTheme="majorHAnsi" w:hAnsiTheme="majorHAnsi"/>
          <w:b/>
          <w:bCs/>
          <w:color w:val="98002E" w:themeColor="accent3"/>
          <w:sz w:val="20"/>
        </w:rPr>
        <w:t>Table</w:t>
      </w:r>
      <w:r w:rsidRPr="00894701">
        <w:rPr>
          <w:rFonts w:asciiTheme="majorHAnsi" w:hAnsiTheme="majorHAnsi"/>
          <w:b/>
          <w:bCs/>
          <w:color w:val="98002E" w:themeColor="accent3"/>
        </w:rPr>
        <w:t xml:space="preserve"> </w:t>
      </w:r>
      <w:r w:rsidRPr="00894701">
        <w:rPr>
          <w:rFonts w:asciiTheme="majorHAnsi" w:hAnsiTheme="majorHAnsi"/>
          <w:b/>
          <w:bCs/>
          <w:color w:val="98002E" w:themeColor="accent3"/>
          <w:sz w:val="20"/>
        </w:rPr>
        <w:fldChar w:fldCharType="begin"/>
      </w:r>
      <w:r w:rsidRPr="00894701">
        <w:rPr>
          <w:rFonts w:asciiTheme="majorHAnsi" w:hAnsiTheme="majorHAnsi"/>
          <w:b/>
          <w:bCs/>
          <w:color w:val="98002E" w:themeColor="accent3"/>
          <w:sz w:val="20"/>
        </w:rPr>
        <w:instrText xml:space="preserve"> SEQ Table \* ARABIC </w:instrText>
      </w:r>
      <w:r w:rsidRPr="00894701">
        <w:rPr>
          <w:rFonts w:asciiTheme="majorHAnsi" w:hAnsiTheme="majorHAnsi"/>
          <w:b/>
          <w:bCs/>
          <w:color w:val="98002E" w:themeColor="accent3"/>
          <w:sz w:val="20"/>
        </w:rPr>
        <w:fldChar w:fldCharType="separate"/>
      </w:r>
      <w:r w:rsidR="0035303B">
        <w:rPr>
          <w:rFonts w:asciiTheme="majorHAnsi" w:hAnsiTheme="majorHAnsi"/>
          <w:b/>
          <w:bCs/>
          <w:noProof/>
          <w:color w:val="98002E" w:themeColor="accent3"/>
          <w:sz w:val="20"/>
        </w:rPr>
        <w:t>49</w:t>
      </w:r>
      <w:r w:rsidRPr="00894701">
        <w:rPr>
          <w:rFonts w:asciiTheme="majorHAnsi" w:hAnsiTheme="majorHAnsi"/>
          <w:b/>
          <w:bCs/>
          <w:color w:val="98002E" w:themeColor="accent3"/>
          <w:sz w:val="20"/>
        </w:rPr>
        <w:fldChar w:fldCharType="end"/>
      </w:r>
      <w:r w:rsidRPr="00894701">
        <w:rPr>
          <w:rFonts w:asciiTheme="majorHAnsi" w:hAnsiTheme="majorHAnsi"/>
          <w:b/>
          <w:bCs/>
          <w:color w:val="98002E" w:themeColor="accent3"/>
          <w:sz w:val="20"/>
        </w:rPr>
        <w:t>:Analysis</w:t>
      </w:r>
      <w:r w:rsidRPr="00894701">
        <w:rPr>
          <w:rFonts w:asciiTheme="majorHAnsi" w:hAnsiTheme="majorHAnsi"/>
          <w:b/>
          <w:bCs/>
          <w:color w:val="98002E" w:themeColor="accent3"/>
        </w:rPr>
        <w:t xml:space="preserve"> </w:t>
      </w:r>
      <w:r w:rsidRPr="00894701">
        <w:rPr>
          <w:rFonts w:asciiTheme="majorHAnsi" w:hAnsiTheme="majorHAnsi"/>
          <w:b/>
          <w:bCs/>
          <w:color w:val="98002E" w:themeColor="accent3"/>
          <w:sz w:val="20"/>
        </w:rPr>
        <w:t>of</w:t>
      </w:r>
      <w:r w:rsidRPr="00894701">
        <w:rPr>
          <w:rFonts w:asciiTheme="majorHAnsi" w:hAnsiTheme="majorHAnsi"/>
          <w:b/>
          <w:bCs/>
          <w:color w:val="98002E" w:themeColor="accent3"/>
        </w:rPr>
        <w:t xml:space="preserve"> </w:t>
      </w:r>
      <w:r w:rsidRPr="00894701">
        <w:rPr>
          <w:rFonts w:asciiTheme="majorHAnsi" w:hAnsiTheme="majorHAnsi"/>
          <w:b/>
          <w:bCs/>
          <w:color w:val="98002E" w:themeColor="accent3"/>
          <w:sz w:val="20"/>
        </w:rPr>
        <w:t>total</w:t>
      </w:r>
      <w:r w:rsidRPr="00894701">
        <w:rPr>
          <w:rFonts w:asciiTheme="majorHAnsi" w:hAnsiTheme="majorHAnsi"/>
          <w:b/>
          <w:bCs/>
          <w:color w:val="98002E" w:themeColor="accent3"/>
        </w:rPr>
        <w:t xml:space="preserve"> </w:t>
      </w:r>
      <w:r w:rsidRPr="00894701">
        <w:rPr>
          <w:rFonts w:asciiTheme="majorHAnsi" w:hAnsiTheme="majorHAnsi"/>
          <w:b/>
          <w:bCs/>
          <w:color w:val="98002E" w:themeColor="accent3"/>
          <w:sz w:val="20"/>
        </w:rPr>
        <w:t>revenues</w:t>
      </w:r>
      <w:r w:rsidRPr="00894701">
        <w:rPr>
          <w:rFonts w:asciiTheme="majorHAnsi" w:hAnsiTheme="majorHAnsi"/>
          <w:b/>
          <w:bCs/>
          <w:color w:val="98002E" w:themeColor="accent3"/>
        </w:rPr>
        <w:t xml:space="preserve"> </w:t>
      </w:r>
      <w:r w:rsidRPr="00894701">
        <w:rPr>
          <w:rFonts w:asciiTheme="majorHAnsi" w:hAnsiTheme="majorHAnsi"/>
          <w:b/>
          <w:bCs/>
          <w:color w:val="98002E" w:themeColor="accent3"/>
          <w:sz w:val="20"/>
        </w:rPr>
        <w:t>by</w:t>
      </w:r>
      <w:r w:rsidRPr="00894701">
        <w:rPr>
          <w:rFonts w:asciiTheme="majorHAnsi" w:hAnsiTheme="majorHAnsi"/>
          <w:b/>
          <w:bCs/>
          <w:color w:val="98002E" w:themeColor="accent3"/>
        </w:rPr>
        <w:t xml:space="preserve"> </w:t>
      </w:r>
      <w:r w:rsidRPr="00894701">
        <w:rPr>
          <w:rFonts w:asciiTheme="majorHAnsi" w:hAnsiTheme="majorHAnsi"/>
          <w:b/>
          <w:bCs/>
          <w:color w:val="98002E" w:themeColor="accent3"/>
          <w:sz w:val="20"/>
        </w:rPr>
        <w:t>extractive</w:t>
      </w:r>
      <w:r w:rsidRPr="00894701">
        <w:rPr>
          <w:rFonts w:asciiTheme="majorHAnsi" w:hAnsiTheme="majorHAnsi"/>
          <w:b/>
          <w:bCs/>
          <w:color w:val="98002E" w:themeColor="accent3"/>
        </w:rPr>
        <w:t xml:space="preserve"> </w:t>
      </w:r>
      <w:r w:rsidRPr="00894701">
        <w:rPr>
          <w:rFonts w:asciiTheme="majorHAnsi" w:hAnsiTheme="majorHAnsi"/>
          <w:b/>
          <w:bCs/>
          <w:color w:val="98002E" w:themeColor="accent3"/>
          <w:sz w:val="20"/>
        </w:rPr>
        <w:t>entity for the</w:t>
      </w:r>
      <w:r w:rsidR="00CD33C1" w:rsidRPr="00894701">
        <w:rPr>
          <w:rFonts w:asciiTheme="majorHAnsi" w:hAnsiTheme="majorHAnsi"/>
          <w:b/>
          <w:bCs/>
          <w:color w:val="98002E" w:themeColor="accent3"/>
          <w:sz w:val="20"/>
        </w:rPr>
        <w:t xml:space="preserve"> fiscal</w:t>
      </w:r>
      <w:r w:rsidRPr="00894701">
        <w:rPr>
          <w:rFonts w:asciiTheme="majorHAnsi" w:hAnsiTheme="majorHAnsi"/>
          <w:b/>
          <w:bCs/>
          <w:color w:val="98002E" w:themeColor="accent3"/>
          <w:sz w:val="20"/>
        </w:rPr>
        <w:t xml:space="preserve"> years 2018</w:t>
      </w:r>
      <w:bookmarkEnd w:id="426"/>
      <w:r w:rsidRPr="00894701">
        <w:rPr>
          <w:rFonts w:asciiTheme="majorHAnsi" w:hAnsiTheme="majorHAnsi"/>
          <w:b/>
          <w:bCs/>
          <w:color w:val="98002E" w:themeColor="accent3"/>
          <w:sz w:val="20"/>
        </w:rPr>
        <w:t>, 2019 and 2020</w:t>
      </w:r>
      <w:bookmarkEnd w:id="427"/>
    </w:p>
    <w:tbl>
      <w:tblPr>
        <w:tblW w:w="5000" w:type="pct"/>
        <w:tblCellMar>
          <w:left w:w="70" w:type="dxa"/>
          <w:right w:w="70" w:type="dxa"/>
        </w:tblCellMar>
        <w:tblLook w:val="04A0" w:firstRow="1" w:lastRow="0" w:firstColumn="1" w:lastColumn="0" w:noHBand="0" w:noVBand="1"/>
      </w:tblPr>
      <w:tblGrid>
        <w:gridCol w:w="4823"/>
        <w:gridCol w:w="1153"/>
        <w:gridCol w:w="2443"/>
        <w:gridCol w:w="2496"/>
        <w:gridCol w:w="3043"/>
      </w:tblGrid>
      <w:tr w:rsidR="00D56231" w:rsidRPr="00894701" w14:paraId="311CA52F" w14:textId="77777777" w:rsidTr="004126B0">
        <w:trPr>
          <w:trHeight w:val="227"/>
        </w:trPr>
        <w:tc>
          <w:tcPr>
            <w:tcW w:w="1728" w:type="pct"/>
            <w:vMerge w:val="restart"/>
            <w:tcBorders>
              <w:top w:val="nil"/>
              <w:left w:val="nil"/>
              <w:bottom w:val="nil"/>
              <w:right w:val="nil"/>
            </w:tcBorders>
            <w:shd w:val="clear" w:color="000000" w:fill="800000"/>
            <w:vAlign w:val="center"/>
            <w:hideMark/>
          </w:tcPr>
          <w:p w14:paraId="67A052CF" w14:textId="77777777" w:rsidR="002578C1" w:rsidRPr="00894701" w:rsidRDefault="002578C1" w:rsidP="00286081">
            <w:pPr>
              <w:spacing w:after="0" w:line="240" w:lineRule="auto"/>
              <w:rPr>
                <w:rFonts w:cs="Arial"/>
                <w:b/>
                <w:bCs/>
                <w:color w:val="auto"/>
                <w:kern w:val="0"/>
                <w:sz w:val="16"/>
                <w:szCs w:val="16"/>
                <w:lang w:eastAsia="fr-FR"/>
              </w:rPr>
            </w:pPr>
            <w:r w:rsidRPr="00894701">
              <w:rPr>
                <w:rFonts w:cs="Arial"/>
                <w:b/>
                <w:bCs/>
                <w:color w:val="auto"/>
                <w:kern w:val="0"/>
                <w:sz w:val="16"/>
                <w:szCs w:val="16"/>
                <w:lang w:eastAsia="fr-FR"/>
              </w:rPr>
              <w:t>Extractive entity</w:t>
            </w:r>
          </w:p>
        </w:tc>
        <w:tc>
          <w:tcPr>
            <w:tcW w:w="413" w:type="pct"/>
            <w:vMerge w:val="restart"/>
            <w:tcBorders>
              <w:top w:val="nil"/>
              <w:left w:val="nil"/>
              <w:bottom w:val="nil"/>
              <w:right w:val="nil"/>
            </w:tcBorders>
            <w:shd w:val="clear" w:color="000000" w:fill="800000"/>
            <w:vAlign w:val="center"/>
            <w:hideMark/>
          </w:tcPr>
          <w:p w14:paraId="0C95D014" w14:textId="77777777" w:rsidR="002578C1" w:rsidRPr="00894701" w:rsidRDefault="002578C1" w:rsidP="00286081">
            <w:pPr>
              <w:spacing w:after="0" w:line="240" w:lineRule="auto"/>
              <w:rPr>
                <w:rFonts w:cs="Arial"/>
                <w:b/>
                <w:bCs/>
                <w:color w:val="auto"/>
                <w:kern w:val="0"/>
                <w:sz w:val="16"/>
                <w:szCs w:val="16"/>
                <w:lang w:eastAsia="fr-FR"/>
              </w:rPr>
            </w:pPr>
            <w:r w:rsidRPr="00894701">
              <w:rPr>
                <w:rFonts w:cs="Arial"/>
                <w:b/>
                <w:bCs/>
                <w:color w:val="auto"/>
                <w:kern w:val="0"/>
                <w:sz w:val="16"/>
                <w:szCs w:val="16"/>
                <w:lang w:eastAsia="fr-FR"/>
              </w:rPr>
              <w:t xml:space="preserve">Sector </w:t>
            </w:r>
          </w:p>
        </w:tc>
        <w:tc>
          <w:tcPr>
            <w:tcW w:w="875" w:type="pct"/>
            <w:tcBorders>
              <w:top w:val="nil"/>
              <w:left w:val="nil"/>
              <w:bottom w:val="nil"/>
              <w:right w:val="nil"/>
            </w:tcBorders>
            <w:shd w:val="clear" w:color="000000" w:fill="800000"/>
            <w:vAlign w:val="center"/>
            <w:hideMark/>
          </w:tcPr>
          <w:p w14:paraId="6A5C52EC" w14:textId="77777777" w:rsidR="002578C1" w:rsidRPr="00894701" w:rsidRDefault="002578C1" w:rsidP="00286081">
            <w:pPr>
              <w:spacing w:after="0" w:line="240" w:lineRule="auto"/>
              <w:jc w:val="right"/>
              <w:rPr>
                <w:rFonts w:cs="Arial"/>
                <w:b/>
                <w:bCs/>
                <w:color w:val="auto"/>
                <w:kern w:val="0"/>
                <w:sz w:val="16"/>
                <w:szCs w:val="16"/>
                <w:lang w:eastAsia="fr-FR"/>
              </w:rPr>
            </w:pPr>
            <w:r w:rsidRPr="00894701">
              <w:rPr>
                <w:rFonts w:cs="Arial"/>
                <w:b/>
                <w:bCs/>
                <w:color w:val="auto"/>
                <w:kern w:val="0"/>
                <w:sz w:val="16"/>
                <w:szCs w:val="16"/>
                <w:lang w:eastAsia="fr-FR"/>
              </w:rPr>
              <w:t>FY 2018</w:t>
            </w:r>
          </w:p>
        </w:tc>
        <w:tc>
          <w:tcPr>
            <w:tcW w:w="894" w:type="pct"/>
            <w:tcBorders>
              <w:top w:val="nil"/>
              <w:left w:val="nil"/>
              <w:bottom w:val="nil"/>
              <w:right w:val="nil"/>
            </w:tcBorders>
            <w:shd w:val="clear" w:color="000000" w:fill="800000"/>
            <w:vAlign w:val="center"/>
            <w:hideMark/>
          </w:tcPr>
          <w:p w14:paraId="72E628C2" w14:textId="77777777" w:rsidR="002578C1" w:rsidRPr="00894701" w:rsidRDefault="002578C1" w:rsidP="00286081">
            <w:pPr>
              <w:spacing w:after="0" w:line="240" w:lineRule="auto"/>
              <w:jc w:val="right"/>
              <w:rPr>
                <w:rFonts w:cs="Arial"/>
                <w:b/>
                <w:bCs/>
                <w:color w:val="auto"/>
                <w:kern w:val="0"/>
                <w:sz w:val="16"/>
                <w:szCs w:val="16"/>
                <w:lang w:eastAsia="fr-FR"/>
              </w:rPr>
            </w:pPr>
            <w:r w:rsidRPr="00894701">
              <w:rPr>
                <w:rFonts w:cs="Arial"/>
                <w:b/>
                <w:bCs/>
                <w:color w:val="auto"/>
                <w:kern w:val="0"/>
                <w:sz w:val="16"/>
                <w:szCs w:val="16"/>
                <w:lang w:eastAsia="fr-FR"/>
              </w:rPr>
              <w:t>FY 2019</w:t>
            </w:r>
          </w:p>
        </w:tc>
        <w:tc>
          <w:tcPr>
            <w:tcW w:w="1090" w:type="pct"/>
            <w:tcBorders>
              <w:top w:val="nil"/>
              <w:left w:val="nil"/>
              <w:bottom w:val="nil"/>
              <w:right w:val="nil"/>
            </w:tcBorders>
            <w:shd w:val="clear" w:color="000000" w:fill="800000"/>
            <w:vAlign w:val="center"/>
          </w:tcPr>
          <w:p w14:paraId="2B4ACFDE" w14:textId="005C0C54" w:rsidR="002578C1" w:rsidRPr="00894701" w:rsidRDefault="002578C1" w:rsidP="00286081">
            <w:pPr>
              <w:spacing w:after="0" w:line="240" w:lineRule="auto"/>
              <w:jc w:val="right"/>
              <w:rPr>
                <w:rFonts w:cs="Arial"/>
                <w:b/>
                <w:bCs/>
                <w:color w:val="auto"/>
                <w:kern w:val="0"/>
                <w:sz w:val="16"/>
                <w:szCs w:val="16"/>
                <w:lang w:eastAsia="fr-FR"/>
              </w:rPr>
            </w:pPr>
            <w:r w:rsidRPr="00894701">
              <w:rPr>
                <w:rFonts w:cs="Arial"/>
                <w:b/>
                <w:bCs/>
                <w:color w:val="auto"/>
                <w:kern w:val="0"/>
                <w:sz w:val="16"/>
                <w:szCs w:val="16"/>
                <w:lang w:eastAsia="fr-FR"/>
              </w:rPr>
              <w:t>FY 2020</w:t>
            </w:r>
          </w:p>
        </w:tc>
      </w:tr>
      <w:tr w:rsidR="00D56231" w:rsidRPr="00894701" w14:paraId="33ACE72A" w14:textId="77777777" w:rsidTr="004126B0">
        <w:trPr>
          <w:trHeight w:val="227"/>
        </w:trPr>
        <w:tc>
          <w:tcPr>
            <w:tcW w:w="1728" w:type="pct"/>
            <w:vMerge/>
            <w:tcBorders>
              <w:top w:val="nil"/>
              <w:left w:val="nil"/>
              <w:bottom w:val="nil"/>
              <w:right w:val="nil"/>
            </w:tcBorders>
            <w:vAlign w:val="center"/>
            <w:hideMark/>
          </w:tcPr>
          <w:p w14:paraId="32F9D564" w14:textId="77777777" w:rsidR="002578C1" w:rsidRPr="00894701" w:rsidRDefault="002578C1" w:rsidP="00286081">
            <w:pPr>
              <w:spacing w:after="0" w:line="240" w:lineRule="auto"/>
              <w:rPr>
                <w:rFonts w:cs="Arial"/>
                <w:b/>
                <w:bCs/>
                <w:color w:val="auto"/>
                <w:kern w:val="0"/>
                <w:sz w:val="16"/>
                <w:szCs w:val="16"/>
                <w:lang w:eastAsia="fr-FR"/>
              </w:rPr>
            </w:pPr>
          </w:p>
        </w:tc>
        <w:tc>
          <w:tcPr>
            <w:tcW w:w="413" w:type="pct"/>
            <w:vMerge/>
            <w:tcBorders>
              <w:top w:val="nil"/>
              <w:left w:val="nil"/>
              <w:bottom w:val="nil"/>
              <w:right w:val="nil"/>
            </w:tcBorders>
            <w:vAlign w:val="center"/>
            <w:hideMark/>
          </w:tcPr>
          <w:p w14:paraId="357C3B97" w14:textId="77777777" w:rsidR="002578C1" w:rsidRPr="00894701" w:rsidRDefault="002578C1" w:rsidP="00286081">
            <w:pPr>
              <w:spacing w:after="0" w:line="240" w:lineRule="auto"/>
              <w:rPr>
                <w:rFonts w:cs="Arial"/>
                <w:b/>
                <w:bCs/>
                <w:color w:val="auto"/>
                <w:kern w:val="0"/>
                <w:sz w:val="16"/>
                <w:szCs w:val="16"/>
                <w:lang w:eastAsia="fr-FR"/>
              </w:rPr>
            </w:pPr>
          </w:p>
        </w:tc>
        <w:tc>
          <w:tcPr>
            <w:tcW w:w="875" w:type="pct"/>
            <w:tcBorders>
              <w:top w:val="nil"/>
              <w:left w:val="nil"/>
              <w:bottom w:val="nil"/>
              <w:right w:val="nil"/>
            </w:tcBorders>
            <w:shd w:val="clear" w:color="000000" w:fill="800000"/>
            <w:vAlign w:val="center"/>
            <w:hideMark/>
          </w:tcPr>
          <w:p w14:paraId="7A06D6A9" w14:textId="77777777" w:rsidR="002578C1" w:rsidRPr="00894701" w:rsidRDefault="002578C1" w:rsidP="00286081">
            <w:pPr>
              <w:spacing w:after="0" w:line="240" w:lineRule="auto"/>
              <w:jc w:val="right"/>
              <w:rPr>
                <w:rFonts w:cs="Arial"/>
                <w:b/>
                <w:bCs/>
                <w:color w:val="auto"/>
                <w:kern w:val="0"/>
                <w:sz w:val="16"/>
                <w:szCs w:val="16"/>
                <w:lang w:eastAsia="fr-FR"/>
              </w:rPr>
            </w:pPr>
            <w:r w:rsidRPr="00894701">
              <w:rPr>
                <w:rFonts w:cs="Arial"/>
                <w:b/>
                <w:bCs/>
                <w:color w:val="auto"/>
                <w:kern w:val="0"/>
                <w:sz w:val="16"/>
                <w:szCs w:val="16"/>
                <w:lang w:eastAsia="fr-FR"/>
              </w:rPr>
              <w:t>(SRD)</w:t>
            </w:r>
          </w:p>
        </w:tc>
        <w:tc>
          <w:tcPr>
            <w:tcW w:w="894" w:type="pct"/>
            <w:tcBorders>
              <w:top w:val="nil"/>
              <w:left w:val="nil"/>
              <w:bottom w:val="nil"/>
              <w:right w:val="nil"/>
            </w:tcBorders>
            <w:shd w:val="clear" w:color="000000" w:fill="800000"/>
            <w:vAlign w:val="center"/>
            <w:hideMark/>
          </w:tcPr>
          <w:p w14:paraId="7366042F" w14:textId="16372EC6" w:rsidR="002578C1" w:rsidRPr="00894701" w:rsidRDefault="002578C1" w:rsidP="00286081">
            <w:pPr>
              <w:spacing w:after="0" w:line="240" w:lineRule="auto"/>
              <w:jc w:val="right"/>
              <w:rPr>
                <w:rFonts w:cs="Arial"/>
                <w:b/>
                <w:bCs/>
                <w:color w:val="auto"/>
                <w:kern w:val="0"/>
                <w:sz w:val="16"/>
                <w:szCs w:val="16"/>
                <w:lang w:eastAsia="fr-FR"/>
              </w:rPr>
            </w:pPr>
            <w:r w:rsidRPr="00894701">
              <w:rPr>
                <w:rFonts w:cs="Arial"/>
                <w:b/>
                <w:bCs/>
                <w:color w:val="auto"/>
                <w:kern w:val="0"/>
                <w:sz w:val="16"/>
                <w:szCs w:val="16"/>
                <w:lang w:eastAsia="fr-FR"/>
              </w:rPr>
              <w:t>(SRD)</w:t>
            </w:r>
          </w:p>
        </w:tc>
        <w:tc>
          <w:tcPr>
            <w:tcW w:w="1090" w:type="pct"/>
            <w:tcBorders>
              <w:top w:val="nil"/>
              <w:left w:val="nil"/>
              <w:bottom w:val="nil"/>
              <w:right w:val="nil"/>
            </w:tcBorders>
            <w:shd w:val="clear" w:color="000000" w:fill="800000"/>
            <w:vAlign w:val="center"/>
          </w:tcPr>
          <w:p w14:paraId="7A549791" w14:textId="5B8ACF35" w:rsidR="002578C1" w:rsidRPr="00894701" w:rsidRDefault="002578C1" w:rsidP="00286081">
            <w:pPr>
              <w:spacing w:after="0" w:line="240" w:lineRule="auto"/>
              <w:jc w:val="right"/>
              <w:rPr>
                <w:rFonts w:cs="Arial"/>
                <w:b/>
                <w:bCs/>
                <w:color w:val="auto"/>
                <w:kern w:val="0"/>
                <w:sz w:val="16"/>
                <w:szCs w:val="16"/>
                <w:lang w:eastAsia="fr-FR"/>
              </w:rPr>
            </w:pPr>
            <w:r w:rsidRPr="00894701">
              <w:rPr>
                <w:rFonts w:cs="Arial"/>
                <w:b/>
                <w:bCs/>
                <w:color w:val="auto"/>
                <w:kern w:val="0"/>
                <w:sz w:val="16"/>
                <w:szCs w:val="16"/>
                <w:lang w:eastAsia="fr-FR"/>
              </w:rPr>
              <w:t>(SRD)</w:t>
            </w:r>
          </w:p>
        </w:tc>
      </w:tr>
      <w:tr w:rsidR="00F62C68" w:rsidRPr="00894701" w14:paraId="1582674B" w14:textId="77777777" w:rsidTr="004126B0">
        <w:trPr>
          <w:trHeight w:val="227"/>
        </w:trPr>
        <w:tc>
          <w:tcPr>
            <w:tcW w:w="1728" w:type="pct"/>
            <w:tcBorders>
              <w:top w:val="nil"/>
              <w:left w:val="nil"/>
              <w:bottom w:val="nil"/>
              <w:right w:val="nil"/>
            </w:tcBorders>
            <w:shd w:val="clear" w:color="000000" w:fill="F7A3B0"/>
            <w:noWrap/>
            <w:vAlign w:val="center"/>
            <w:hideMark/>
          </w:tcPr>
          <w:p w14:paraId="0B2D0E74" w14:textId="2BFFD162" w:rsidR="00F62C68" w:rsidRPr="00894701" w:rsidRDefault="00F62C68" w:rsidP="00F62C68">
            <w:pPr>
              <w:spacing w:after="0" w:line="240" w:lineRule="auto"/>
              <w:rPr>
                <w:rFonts w:cs="Arial"/>
                <w:color w:val="auto"/>
                <w:kern w:val="0"/>
                <w:sz w:val="16"/>
                <w:szCs w:val="16"/>
                <w:lang w:eastAsia="fr-FR"/>
              </w:rPr>
            </w:pPr>
            <w:bookmarkStart w:id="428" w:name="RANGE!A27"/>
            <w:bookmarkStart w:id="429" w:name="_Hlk117874298"/>
            <w:r w:rsidRPr="00894701">
              <w:rPr>
                <w:rFonts w:cs="Arial"/>
                <w:color w:val="auto"/>
                <w:sz w:val="16"/>
                <w:szCs w:val="16"/>
              </w:rPr>
              <w:t xml:space="preserve">Newmont Suriname </w:t>
            </w:r>
            <w:bookmarkEnd w:id="428"/>
            <w:r w:rsidR="0085302F" w:rsidRPr="00894701">
              <w:rPr>
                <w:rFonts w:cs="Arial"/>
                <w:color w:val="auto"/>
                <w:sz w:val="16"/>
                <w:szCs w:val="16"/>
              </w:rPr>
              <w:t>LLC</w:t>
            </w:r>
          </w:p>
        </w:tc>
        <w:tc>
          <w:tcPr>
            <w:tcW w:w="413" w:type="pct"/>
            <w:tcBorders>
              <w:top w:val="nil"/>
              <w:left w:val="nil"/>
              <w:bottom w:val="nil"/>
              <w:right w:val="nil"/>
            </w:tcBorders>
            <w:shd w:val="clear" w:color="000000" w:fill="F7A3B0"/>
            <w:noWrap/>
            <w:vAlign w:val="center"/>
            <w:hideMark/>
          </w:tcPr>
          <w:p w14:paraId="5A902399" w14:textId="52E2BE27" w:rsidR="00F62C68" w:rsidRPr="00894701" w:rsidRDefault="00F62C68" w:rsidP="00F62C68">
            <w:pPr>
              <w:spacing w:after="0" w:line="240" w:lineRule="auto"/>
              <w:rPr>
                <w:rFonts w:cs="Arial"/>
                <w:color w:val="auto"/>
                <w:kern w:val="0"/>
                <w:sz w:val="16"/>
                <w:szCs w:val="16"/>
                <w:lang w:eastAsia="fr-FR"/>
              </w:rPr>
            </w:pPr>
            <w:r w:rsidRPr="00894701">
              <w:rPr>
                <w:rFonts w:cs="Arial"/>
                <w:color w:val="auto"/>
                <w:sz w:val="16"/>
                <w:szCs w:val="16"/>
              </w:rPr>
              <w:t>Mining</w:t>
            </w:r>
          </w:p>
        </w:tc>
        <w:tc>
          <w:tcPr>
            <w:tcW w:w="875" w:type="pct"/>
            <w:tcBorders>
              <w:top w:val="nil"/>
              <w:left w:val="nil"/>
              <w:bottom w:val="nil"/>
              <w:right w:val="nil"/>
            </w:tcBorders>
            <w:shd w:val="clear" w:color="000000" w:fill="F7A3B0"/>
            <w:noWrap/>
            <w:vAlign w:val="center"/>
          </w:tcPr>
          <w:p w14:paraId="66B28BE8" w14:textId="5A9D75DE" w:rsidR="00F62C68" w:rsidRPr="00894701" w:rsidRDefault="00F62C68" w:rsidP="00F62C68">
            <w:pPr>
              <w:spacing w:after="0" w:line="240" w:lineRule="auto"/>
              <w:jc w:val="right"/>
              <w:rPr>
                <w:rFonts w:cs="Arial"/>
                <w:color w:val="auto"/>
                <w:kern w:val="0"/>
                <w:sz w:val="16"/>
                <w:szCs w:val="16"/>
                <w:lang w:eastAsia="fr-FR"/>
              </w:rPr>
            </w:pPr>
            <w:r w:rsidRPr="00894701">
              <w:rPr>
                <w:rFonts w:cs="Arial"/>
                <w:color w:val="auto"/>
                <w:sz w:val="16"/>
                <w:szCs w:val="16"/>
              </w:rPr>
              <w:t>477,282,862</w:t>
            </w:r>
          </w:p>
        </w:tc>
        <w:tc>
          <w:tcPr>
            <w:tcW w:w="894" w:type="pct"/>
            <w:tcBorders>
              <w:top w:val="nil"/>
              <w:left w:val="nil"/>
              <w:bottom w:val="nil"/>
              <w:right w:val="nil"/>
            </w:tcBorders>
            <w:shd w:val="clear" w:color="000000" w:fill="F7A3B0"/>
            <w:noWrap/>
            <w:vAlign w:val="center"/>
          </w:tcPr>
          <w:p w14:paraId="6AAE2FA0" w14:textId="65BF9BE4" w:rsidR="00F62C68" w:rsidRPr="00894701" w:rsidRDefault="00F62C68" w:rsidP="00F62C68">
            <w:pPr>
              <w:spacing w:after="0" w:line="240" w:lineRule="auto"/>
              <w:jc w:val="right"/>
              <w:rPr>
                <w:rFonts w:cs="Arial"/>
                <w:color w:val="auto"/>
                <w:kern w:val="0"/>
                <w:sz w:val="16"/>
                <w:szCs w:val="16"/>
                <w:lang w:eastAsia="fr-FR"/>
              </w:rPr>
            </w:pPr>
            <w:r w:rsidRPr="00894701">
              <w:rPr>
                <w:rFonts w:cs="Arial"/>
                <w:color w:val="auto"/>
                <w:sz w:val="16"/>
                <w:szCs w:val="16"/>
              </w:rPr>
              <w:t>507,559,201</w:t>
            </w:r>
          </w:p>
        </w:tc>
        <w:tc>
          <w:tcPr>
            <w:tcW w:w="1090" w:type="pct"/>
            <w:tcBorders>
              <w:top w:val="nil"/>
              <w:left w:val="nil"/>
              <w:bottom w:val="nil"/>
              <w:right w:val="nil"/>
            </w:tcBorders>
            <w:shd w:val="clear" w:color="000000" w:fill="F7A3B0"/>
            <w:vAlign w:val="center"/>
          </w:tcPr>
          <w:p w14:paraId="4456CCA1" w14:textId="02CC564B" w:rsidR="00F62C68" w:rsidRPr="00894701" w:rsidRDefault="00F62C68" w:rsidP="00F62C68">
            <w:pPr>
              <w:spacing w:after="0" w:line="240" w:lineRule="auto"/>
              <w:jc w:val="right"/>
              <w:rPr>
                <w:rFonts w:cs="Arial"/>
                <w:color w:val="auto"/>
                <w:sz w:val="16"/>
                <w:szCs w:val="16"/>
              </w:rPr>
            </w:pPr>
            <w:r w:rsidRPr="00894701">
              <w:rPr>
                <w:rFonts w:cs="Arial"/>
                <w:color w:val="auto"/>
                <w:sz w:val="16"/>
                <w:szCs w:val="16"/>
              </w:rPr>
              <w:t>1,004,113,863</w:t>
            </w:r>
          </w:p>
        </w:tc>
      </w:tr>
      <w:tr w:rsidR="00F62C68" w:rsidRPr="00894701" w14:paraId="68158680" w14:textId="77777777" w:rsidTr="004126B0">
        <w:trPr>
          <w:trHeight w:val="227"/>
        </w:trPr>
        <w:tc>
          <w:tcPr>
            <w:tcW w:w="1728" w:type="pct"/>
            <w:tcBorders>
              <w:top w:val="nil"/>
              <w:left w:val="nil"/>
              <w:bottom w:val="nil"/>
              <w:right w:val="nil"/>
            </w:tcBorders>
            <w:shd w:val="clear" w:color="000000" w:fill="FFFFFF"/>
            <w:noWrap/>
            <w:vAlign w:val="center"/>
            <w:hideMark/>
          </w:tcPr>
          <w:p w14:paraId="46C15A26" w14:textId="06BE8B33" w:rsidR="00F62C68" w:rsidRPr="00894701" w:rsidRDefault="00F62C68" w:rsidP="00F62C68">
            <w:pPr>
              <w:spacing w:after="0" w:line="240" w:lineRule="auto"/>
              <w:rPr>
                <w:rFonts w:cs="Arial"/>
                <w:color w:val="auto"/>
                <w:kern w:val="0"/>
                <w:sz w:val="16"/>
                <w:szCs w:val="16"/>
                <w:lang w:eastAsia="fr-FR"/>
              </w:rPr>
            </w:pPr>
            <w:r w:rsidRPr="00894701">
              <w:rPr>
                <w:rFonts w:cs="Arial"/>
                <w:color w:val="auto"/>
                <w:sz w:val="16"/>
                <w:szCs w:val="16"/>
              </w:rPr>
              <w:t>Rosebel Gold Mines N.V.</w:t>
            </w:r>
          </w:p>
        </w:tc>
        <w:tc>
          <w:tcPr>
            <w:tcW w:w="413" w:type="pct"/>
            <w:tcBorders>
              <w:top w:val="nil"/>
              <w:left w:val="nil"/>
              <w:bottom w:val="nil"/>
              <w:right w:val="nil"/>
            </w:tcBorders>
            <w:shd w:val="clear" w:color="000000" w:fill="FFFFFF"/>
            <w:noWrap/>
            <w:vAlign w:val="center"/>
            <w:hideMark/>
          </w:tcPr>
          <w:p w14:paraId="02AC3C99" w14:textId="477401A2" w:rsidR="00F62C68" w:rsidRPr="00894701" w:rsidRDefault="00F62C68" w:rsidP="00F62C68">
            <w:pPr>
              <w:spacing w:after="0" w:line="240" w:lineRule="auto"/>
              <w:rPr>
                <w:rFonts w:cs="Arial"/>
                <w:color w:val="auto"/>
                <w:kern w:val="0"/>
                <w:sz w:val="16"/>
                <w:szCs w:val="16"/>
                <w:lang w:eastAsia="fr-FR"/>
              </w:rPr>
            </w:pPr>
            <w:r w:rsidRPr="00894701">
              <w:rPr>
                <w:rFonts w:cs="Arial"/>
                <w:color w:val="auto"/>
                <w:sz w:val="16"/>
                <w:szCs w:val="16"/>
              </w:rPr>
              <w:t>Mining</w:t>
            </w:r>
          </w:p>
        </w:tc>
        <w:tc>
          <w:tcPr>
            <w:tcW w:w="875" w:type="pct"/>
            <w:tcBorders>
              <w:top w:val="nil"/>
              <w:left w:val="nil"/>
              <w:bottom w:val="nil"/>
              <w:right w:val="nil"/>
            </w:tcBorders>
            <w:shd w:val="clear" w:color="000000" w:fill="FFFFFF"/>
            <w:noWrap/>
            <w:vAlign w:val="center"/>
          </w:tcPr>
          <w:p w14:paraId="249D766D" w14:textId="74173444" w:rsidR="00F62C68" w:rsidRPr="00894701" w:rsidRDefault="00F62C68" w:rsidP="00F62C68">
            <w:pPr>
              <w:spacing w:after="0" w:line="240" w:lineRule="auto"/>
              <w:jc w:val="right"/>
              <w:rPr>
                <w:rFonts w:cs="Arial"/>
                <w:color w:val="auto"/>
                <w:kern w:val="0"/>
                <w:sz w:val="16"/>
                <w:szCs w:val="16"/>
                <w:lang w:eastAsia="fr-FR"/>
              </w:rPr>
            </w:pPr>
            <w:r w:rsidRPr="00894701">
              <w:rPr>
                <w:rFonts w:cs="Arial"/>
                <w:color w:val="auto"/>
                <w:sz w:val="16"/>
                <w:szCs w:val="16"/>
              </w:rPr>
              <w:t>343,213,785</w:t>
            </w:r>
          </w:p>
        </w:tc>
        <w:tc>
          <w:tcPr>
            <w:tcW w:w="894" w:type="pct"/>
            <w:tcBorders>
              <w:top w:val="nil"/>
              <w:left w:val="nil"/>
              <w:bottom w:val="nil"/>
              <w:right w:val="nil"/>
            </w:tcBorders>
            <w:shd w:val="clear" w:color="000000" w:fill="FFFFFF"/>
            <w:noWrap/>
            <w:vAlign w:val="center"/>
          </w:tcPr>
          <w:p w14:paraId="47D4F9F5" w14:textId="393CF750" w:rsidR="00F62C68" w:rsidRPr="00894701" w:rsidRDefault="00F62C68" w:rsidP="00F62C68">
            <w:pPr>
              <w:spacing w:after="0" w:line="240" w:lineRule="auto"/>
              <w:jc w:val="right"/>
              <w:rPr>
                <w:rFonts w:cs="Arial"/>
                <w:color w:val="auto"/>
                <w:kern w:val="0"/>
                <w:sz w:val="16"/>
                <w:szCs w:val="16"/>
                <w:lang w:eastAsia="fr-FR"/>
              </w:rPr>
            </w:pPr>
            <w:r w:rsidRPr="00894701">
              <w:rPr>
                <w:rFonts w:cs="Arial"/>
                <w:color w:val="auto"/>
                <w:sz w:val="16"/>
                <w:szCs w:val="16"/>
              </w:rPr>
              <w:t>365,360,464</w:t>
            </w:r>
          </w:p>
        </w:tc>
        <w:tc>
          <w:tcPr>
            <w:tcW w:w="1090" w:type="pct"/>
            <w:tcBorders>
              <w:top w:val="nil"/>
              <w:left w:val="nil"/>
              <w:bottom w:val="nil"/>
              <w:right w:val="nil"/>
            </w:tcBorders>
            <w:shd w:val="clear" w:color="000000" w:fill="FFFFFF"/>
            <w:vAlign w:val="center"/>
          </w:tcPr>
          <w:p w14:paraId="62B1A55A" w14:textId="72E8841D" w:rsidR="00F62C68" w:rsidRPr="00894701" w:rsidRDefault="00F62C68" w:rsidP="00F62C68">
            <w:pPr>
              <w:spacing w:after="0" w:line="240" w:lineRule="auto"/>
              <w:jc w:val="right"/>
              <w:rPr>
                <w:rFonts w:cs="Arial"/>
                <w:color w:val="auto"/>
                <w:sz w:val="16"/>
                <w:szCs w:val="16"/>
              </w:rPr>
            </w:pPr>
            <w:r w:rsidRPr="00894701">
              <w:rPr>
                <w:rFonts w:cs="Arial"/>
                <w:color w:val="auto"/>
                <w:sz w:val="16"/>
                <w:szCs w:val="16"/>
              </w:rPr>
              <w:t>397,911,446</w:t>
            </w:r>
          </w:p>
        </w:tc>
      </w:tr>
      <w:tr w:rsidR="00F62C68" w:rsidRPr="00894701" w14:paraId="49B6EE21" w14:textId="77777777" w:rsidTr="004126B0">
        <w:trPr>
          <w:trHeight w:val="227"/>
        </w:trPr>
        <w:tc>
          <w:tcPr>
            <w:tcW w:w="1728" w:type="pct"/>
            <w:tcBorders>
              <w:top w:val="nil"/>
              <w:left w:val="nil"/>
              <w:bottom w:val="nil"/>
              <w:right w:val="nil"/>
            </w:tcBorders>
            <w:shd w:val="clear" w:color="000000" w:fill="F7A3B0"/>
            <w:noWrap/>
            <w:vAlign w:val="center"/>
            <w:hideMark/>
          </w:tcPr>
          <w:p w14:paraId="1CD5C973" w14:textId="416EFB18" w:rsidR="00F62C68" w:rsidRPr="00894701" w:rsidRDefault="00F62C68" w:rsidP="00F62C68">
            <w:pPr>
              <w:spacing w:after="0" w:line="240" w:lineRule="auto"/>
              <w:rPr>
                <w:rFonts w:cs="Arial"/>
                <w:color w:val="auto"/>
                <w:kern w:val="0"/>
                <w:sz w:val="16"/>
                <w:szCs w:val="16"/>
                <w:lang w:val="nl-NL" w:eastAsia="fr-FR"/>
              </w:rPr>
            </w:pPr>
            <w:r w:rsidRPr="00894701">
              <w:rPr>
                <w:rFonts w:cs="Arial"/>
                <w:color w:val="auto"/>
                <w:sz w:val="16"/>
                <w:szCs w:val="16"/>
                <w:lang w:val="nl-NL"/>
              </w:rPr>
              <w:t>Staatsolie Maatschappij Suriname N.V.</w:t>
            </w:r>
          </w:p>
        </w:tc>
        <w:tc>
          <w:tcPr>
            <w:tcW w:w="413" w:type="pct"/>
            <w:tcBorders>
              <w:top w:val="nil"/>
              <w:left w:val="nil"/>
              <w:bottom w:val="nil"/>
              <w:right w:val="nil"/>
            </w:tcBorders>
            <w:shd w:val="clear" w:color="000000" w:fill="F7A3B0"/>
            <w:noWrap/>
            <w:vAlign w:val="center"/>
            <w:hideMark/>
          </w:tcPr>
          <w:p w14:paraId="509DF84C" w14:textId="762BF49A" w:rsidR="00F62C68" w:rsidRPr="00894701" w:rsidRDefault="00F62C68" w:rsidP="00F62C68">
            <w:pPr>
              <w:spacing w:after="0" w:line="240" w:lineRule="auto"/>
              <w:rPr>
                <w:rFonts w:cs="Arial"/>
                <w:color w:val="auto"/>
                <w:kern w:val="0"/>
                <w:sz w:val="16"/>
                <w:szCs w:val="16"/>
                <w:lang w:eastAsia="fr-FR"/>
              </w:rPr>
            </w:pPr>
            <w:r w:rsidRPr="00894701">
              <w:rPr>
                <w:rFonts w:cs="Arial"/>
                <w:color w:val="auto"/>
                <w:sz w:val="16"/>
                <w:szCs w:val="16"/>
              </w:rPr>
              <w:t>Oil &amp; Gas</w:t>
            </w:r>
          </w:p>
        </w:tc>
        <w:tc>
          <w:tcPr>
            <w:tcW w:w="875" w:type="pct"/>
            <w:tcBorders>
              <w:top w:val="nil"/>
              <w:left w:val="nil"/>
              <w:bottom w:val="nil"/>
              <w:right w:val="nil"/>
            </w:tcBorders>
            <w:shd w:val="clear" w:color="000000" w:fill="F7A3B0"/>
            <w:noWrap/>
            <w:vAlign w:val="center"/>
          </w:tcPr>
          <w:p w14:paraId="574B6C4D" w14:textId="5D213462" w:rsidR="00F62C68" w:rsidRPr="00894701" w:rsidRDefault="00F62C68" w:rsidP="00F62C68">
            <w:pPr>
              <w:spacing w:after="0" w:line="240" w:lineRule="auto"/>
              <w:jc w:val="right"/>
              <w:rPr>
                <w:rFonts w:cs="Arial"/>
                <w:color w:val="auto"/>
                <w:kern w:val="0"/>
                <w:sz w:val="16"/>
                <w:szCs w:val="16"/>
                <w:lang w:eastAsia="fr-FR"/>
              </w:rPr>
            </w:pPr>
            <w:r w:rsidRPr="00894701">
              <w:rPr>
                <w:rFonts w:cs="Arial"/>
                <w:color w:val="auto"/>
                <w:sz w:val="16"/>
                <w:szCs w:val="16"/>
              </w:rPr>
              <w:t>1,066,525,550</w:t>
            </w:r>
          </w:p>
        </w:tc>
        <w:tc>
          <w:tcPr>
            <w:tcW w:w="894" w:type="pct"/>
            <w:tcBorders>
              <w:top w:val="nil"/>
              <w:left w:val="nil"/>
              <w:bottom w:val="nil"/>
              <w:right w:val="nil"/>
            </w:tcBorders>
            <w:shd w:val="clear" w:color="000000" w:fill="F7A3B0"/>
            <w:noWrap/>
            <w:vAlign w:val="center"/>
          </w:tcPr>
          <w:p w14:paraId="0386A702" w14:textId="5DE38A83" w:rsidR="00F62C68" w:rsidRPr="00894701" w:rsidRDefault="00F62C68" w:rsidP="00F62C68">
            <w:pPr>
              <w:spacing w:after="0" w:line="240" w:lineRule="auto"/>
              <w:jc w:val="right"/>
              <w:rPr>
                <w:rFonts w:cs="Arial"/>
                <w:color w:val="auto"/>
                <w:kern w:val="0"/>
                <w:sz w:val="16"/>
                <w:szCs w:val="16"/>
                <w:lang w:eastAsia="fr-FR"/>
              </w:rPr>
            </w:pPr>
            <w:r w:rsidRPr="00894701">
              <w:rPr>
                <w:rFonts w:cs="Arial"/>
                <w:color w:val="auto"/>
                <w:sz w:val="16"/>
                <w:szCs w:val="16"/>
              </w:rPr>
              <w:t>195,023,204</w:t>
            </w:r>
          </w:p>
        </w:tc>
        <w:tc>
          <w:tcPr>
            <w:tcW w:w="1090" w:type="pct"/>
            <w:tcBorders>
              <w:top w:val="nil"/>
              <w:left w:val="nil"/>
              <w:bottom w:val="nil"/>
              <w:right w:val="nil"/>
            </w:tcBorders>
            <w:shd w:val="clear" w:color="000000" w:fill="F7A3B0"/>
            <w:vAlign w:val="center"/>
          </w:tcPr>
          <w:p w14:paraId="20CCCA60" w14:textId="7D45A78A" w:rsidR="00F62C68" w:rsidRPr="00894701" w:rsidRDefault="00F62C68" w:rsidP="00F62C68">
            <w:pPr>
              <w:spacing w:after="0" w:line="240" w:lineRule="auto"/>
              <w:jc w:val="right"/>
              <w:rPr>
                <w:rFonts w:cs="Arial"/>
                <w:color w:val="auto"/>
                <w:sz w:val="16"/>
                <w:szCs w:val="16"/>
              </w:rPr>
            </w:pPr>
            <w:r w:rsidRPr="00894701">
              <w:rPr>
                <w:rFonts w:cs="Arial"/>
                <w:color w:val="auto"/>
                <w:sz w:val="16"/>
                <w:szCs w:val="16"/>
              </w:rPr>
              <w:t>168,988,717</w:t>
            </w:r>
          </w:p>
        </w:tc>
      </w:tr>
      <w:tr w:rsidR="00F62C68" w:rsidRPr="00894701" w14:paraId="5F4EA7BD" w14:textId="77777777" w:rsidTr="004126B0">
        <w:trPr>
          <w:trHeight w:val="227"/>
        </w:trPr>
        <w:tc>
          <w:tcPr>
            <w:tcW w:w="1728" w:type="pct"/>
            <w:tcBorders>
              <w:top w:val="nil"/>
              <w:left w:val="nil"/>
              <w:bottom w:val="nil"/>
              <w:right w:val="nil"/>
            </w:tcBorders>
            <w:shd w:val="clear" w:color="000000" w:fill="FFFFFF"/>
            <w:noWrap/>
            <w:vAlign w:val="center"/>
            <w:hideMark/>
          </w:tcPr>
          <w:p w14:paraId="09DA3AF0" w14:textId="19BA287C" w:rsidR="00F62C68" w:rsidRPr="00894701" w:rsidRDefault="00F62C68" w:rsidP="00F62C68">
            <w:pPr>
              <w:spacing w:after="0" w:line="240" w:lineRule="auto"/>
              <w:rPr>
                <w:rFonts w:cs="Arial"/>
                <w:color w:val="auto"/>
                <w:kern w:val="0"/>
                <w:sz w:val="16"/>
                <w:szCs w:val="16"/>
                <w:lang w:eastAsia="fr-FR"/>
              </w:rPr>
            </w:pPr>
            <w:r w:rsidRPr="00894701">
              <w:rPr>
                <w:rFonts w:cs="Arial"/>
                <w:color w:val="auto"/>
                <w:sz w:val="16"/>
                <w:szCs w:val="16"/>
              </w:rPr>
              <w:t>Kosmos Energy Suriname</w:t>
            </w:r>
          </w:p>
        </w:tc>
        <w:tc>
          <w:tcPr>
            <w:tcW w:w="413" w:type="pct"/>
            <w:tcBorders>
              <w:top w:val="nil"/>
              <w:left w:val="nil"/>
              <w:bottom w:val="nil"/>
              <w:right w:val="nil"/>
            </w:tcBorders>
            <w:shd w:val="clear" w:color="000000" w:fill="FFFFFF"/>
            <w:noWrap/>
            <w:vAlign w:val="center"/>
            <w:hideMark/>
          </w:tcPr>
          <w:p w14:paraId="1413BF97" w14:textId="15AFD8FE" w:rsidR="00F62C68" w:rsidRPr="00894701" w:rsidRDefault="00F62C68" w:rsidP="00F62C68">
            <w:pPr>
              <w:spacing w:after="0" w:line="240" w:lineRule="auto"/>
              <w:rPr>
                <w:rFonts w:cs="Arial"/>
                <w:color w:val="auto"/>
                <w:kern w:val="0"/>
                <w:sz w:val="16"/>
                <w:szCs w:val="16"/>
                <w:lang w:eastAsia="fr-FR"/>
              </w:rPr>
            </w:pPr>
            <w:r w:rsidRPr="00894701">
              <w:rPr>
                <w:rFonts w:cs="Arial"/>
                <w:color w:val="auto"/>
                <w:sz w:val="16"/>
                <w:szCs w:val="16"/>
              </w:rPr>
              <w:t>Oil &amp; Gas</w:t>
            </w:r>
          </w:p>
        </w:tc>
        <w:tc>
          <w:tcPr>
            <w:tcW w:w="875" w:type="pct"/>
            <w:tcBorders>
              <w:top w:val="nil"/>
              <w:left w:val="nil"/>
              <w:bottom w:val="nil"/>
              <w:right w:val="nil"/>
            </w:tcBorders>
            <w:shd w:val="clear" w:color="000000" w:fill="FFFFFF"/>
            <w:noWrap/>
            <w:vAlign w:val="center"/>
          </w:tcPr>
          <w:p w14:paraId="54A9B263" w14:textId="7439652C" w:rsidR="00F62C68" w:rsidRPr="00894701" w:rsidRDefault="00F62C68" w:rsidP="00F62C68">
            <w:pPr>
              <w:spacing w:after="0" w:line="240" w:lineRule="auto"/>
              <w:jc w:val="right"/>
              <w:rPr>
                <w:rFonts w:cs="Arial"/>
                <w:color w:val="auto"/>
                <w:kern w:val="0"/>
                <w:sz w:val="16"/>
                <w:szCs w:val="16"/>
                <w:lang w:eastAsia="fr-FR"/>
              </w:rPr>
            </w:pPr>
            <w:r w:rsidRPr="00894701">
              <w:rPr>
                <w:rFonts w:cs="Arial"/>
                <w:color w:val="auto"/>
                <w:sz w:val="16"/>
                <w:szCs w:val="16"/>
              </w:rPr>
              <w:t>6,539,454</w:t>
            </w:r>
          </w:p>
        </w:tc>
        <w:tc>
          <w:tcPr>
            <w:tcW w:w="894" w:type="pct"/>
            <w:tcBorders>
              <w:top w:val="nil"/>
              <w:left w:val="nil"/>
              <w:bottom w:val="nil"/>
              <w:right w:val="nil"/>
            </w:tcBorders>
            <w:shd w:val="clear" w:color="000000" w:fill="FFFFFF"/>
            <w:noWrap/>
            <w:vAlign w:val="center"/>
          </w:tcPr>
          <w:p w14:paraId="0D2D5217" w14:textId="58EB358E" w:rsidR="00F62C68" w:rsidRPr="00894701" w:rsidRDefault="00F62C68" w:rsidP="00F62C68">
            <w:pPr>
              <w:spacing w:after="0" w:line="240" w:lineRule="auto"/>
              <w:jc w:val="right"/>
              <w:rPr>
                <w:rFonts w:cs="Arial"/>
                <w:color w:val="auto"/>
                <w:kern w:val="0"/>
                <w:sz w:val="16"/>
                <w:szCs w:val="16"/>
                <w:lang w:eastAsia="fr-FR"/>
              </w:rPr>
            </w:pPr>
            <w:r w:rsidRPr="00894701">
              <w:rPr>
                <w:rFonts w:cs="Arial"/>
                <w:color w:val="auto"/>
                <w:sz w:val="16"/>
                <w:szCs w:val="16"/>
              </w:rPr>
              <w:t>3,652,829</w:t>
            </w:r>
          </w:p>
        </w:tc>
        <w:tc>
          <w:tcPr>
            <w:tcW w:w="1090" w:type="pct"/>
            <w:tcBorders>
              <w:top w:val="nil"/>
              <w:left w:val="nil"/>
              <w:bottom w:val="nil"/>
              <w:right w:val="nil"/>
            </w:tcBorders>
            <w:shd w:val="clear" w:color="000000" w:fill="FFFFFF"/>
            <w:vAlign w:val="center"/>
          </w:tcPr>
          <w:p w14:paraId="257A5452" w14:textId="52726A11" w:rsidR="00F62C68" w:rsidRPr="00894701" w:rsidRDefault="00F62C68" w:rsidP="00F62C68">
            <w:pPr>
              <w:spacing w:after="0" w:line="240" w:lineRule="auto"/>
              <w:jc w:val="right"/>
              <w:rPr>
                <w:rFonts w:cs="Arial"/>
                <w:color w:val="auto"/>
                <w:sz w:val="16"/>
                <w:szCs w:val="16"/>
              </w:rPr>
            </w:pPr>
            <w:r w:rsidRPr="00894701">
              <w:rPr>
                <w:rFonts w:cs="Arial"/>
                <w:color w:val="auto"/>
                <w:sz w:val="16"/>
                <w:szCs w:val="16"/>
              </w:rPr>
              <w:t>3,669,221</w:t>
            </w:r>
          </w:p>
        </w:tc>
      </w:tr>
      <w:tr w:rsidR="00F62C68" w:rsidRPr="00894701" w14:paraId="1F22DAB3" w14:textId="77777777" w:rsidTr="004126B0">
        <w:trPr>
          <w:trHeight w:val="227"/>
        </w:trPr>
        <w:tc>
          <w:tcPr>
            <w:tcW w:w="1728" w:type="pct"/>
            <w:tcBorders>
              <w:top w:val="nil"/>
              <w:left w:val="nil"/>
              <w:bottom w:val="nil"/>
              <w:right w:val="nil"/>
            </w:tcBorders>
            <w:shd w:val="clear" w:color="000000" w:fill="F7A3B0"/>
            <w:noWrap/>
            <w:vAlign w:val="center"/>
            <w:hideMark/>
          </w:tcPr>
          <w:p w14:paraId="6785DADE" w14:textId="628286CA" w:rsidR="00F62C68" w:rsidRPr="00894701" w:rsidRDefault="00F62C68" w:rsidP="00F62C68">
            <w:pPr>
              <w:spacing w:after="0" w:line="240" w:lineRule="auto"/>
              <w:rPr>
                <w:rFonts w:cs="Arial"/>
                <w:color w:val="auto"/>
                <w:kern w:val="0"/>
                <w:sz w:val="16"/>
                <w:szCs w:val="16"/>
                <w:lang w:eastAsia="fr-FR"/>
              </w:rPr>
            </w:pPr>
            <w:r w:rsidRPr="00894701">
              <w:rPr>
                <w:rFonts w:cs="Arial"/>
                <w:color w:val="auto"/>
                <w:sz w:val="16"/>
                <w:szCs w:val="16"/>
              </w:rPr>
              <w:t>Petronas Suriname Exploration &amp; production B.V.</w:t>
            </w:r>
          </w:p>
        </w:tc>
        <w:tc>
          <w:tcPr>
            <w:tcW w:w="413" w:type="pct"/>
            <w:tcBorders>
              <w:top w:val="nil"/>
              <w:left w:val="nil"/>
              <w:bottom w:val="nil"/>
              <w:right w:val="nil"/>
            </w:tcBorders>
            <w:shd w:val="clear" w:color="000000" w:fill="F7A3B0"/>
            <w:noWrap/>
            <w:vAlign w:val="center"/>
            <w:hideMark/>
          </w:tcPr>
          <w:p w14:paraId="152A755B" w14:textId="4479F17D" w:rsidR="00F62C68" w:rsidRPr="00894701" w:rsidRDefault="00F62C68" w:rsidP="00F62C68">
            <w:pPr>
              <w:spacing w:after="0" w:line="240" w:lineRule="auto"/>
              <w:rPr>
                <w:rFonts w:cs="Arial"/>
                <w:color w:val="auto"/>
                <w:kern w:val="0"/>
                <w:sz w:val="16"/>
                <w:szCs w:val="16"/>
                <w:lang w:eastAsia="fr-FR"/>
              </w:rPr>
            </w:pPr>
            <w:r w:rsidRPr="00894701">
              <w:rPr>
                <w:rFonts w:cs="Arial"/>
                <w:color w:val="auto"/>
                <w:sz w:val="16"/>
                <w:szCs w:val="16"/>
              </w:rPr>
              <w:t>Oil &amp; Gas</w:t>
            </w:r>
          </w:p>
        </w:tc>
        <w:tc>
          <w:tcPr>
            <w:tcW w:w="875" w:type="pct"/>
            <w:tcBorders>
              <w:top w:val="nil"/>
              <w:left w:val="nil"/>
              <w:bottom w:val="nil"/>
              <w:right w:val="nil"/>
            </w:tcBorders>
            <w:shd w:val="clear" w:color="000000" w:fill="F7A3B0"/>
            <w:noWrap/>
            <w:vAlign w:val="center"/>
          </w:tcPr>
          <w:p w14:paraId="18E4DD75" w14:textId="0A5BF415" w:rsidR="00F62C68" w:rsidRPr="00894701" w:rsidRDefault="00F62C68" w:rsidP="00F62C68">
            <w:pPr>
              <w:spacing w:after="0" w:line="240" w:lineRule="auto"/>
              <w:jc w:val="right"/>
              <w:rPr>
                <w:rFonts w:cs="Arial"/>
                <w:color w:val="auto"/>
                <w:kern w:val="0"/>
                <w:sz w:val="16"/>
                <w:szCs w:val="16"/>
                <w:lang w:eastAsia="fr-FR"/>
              </w:rPr>
            </w:pPr>
            <w:r w:rsidRPr="00894701">
              <w:rPr>
                <w:rFonts w:cs="Arial"/>
                <w:color w:val="auto"/>
                <w:sz w:val="16"/>
                <w:szCs w:val="16"/>
              </w:rPr>
              <w:t>2,326,383</w:t>
            </w:r>
          </w:p>
        </w:tc>
        <w:tc>
          <w:tcPr>
            <w:tcW w:w="894" w:type="pct"/>
            <w:tcBorders>
              <w:top w:val="nil"/>
              <w:left w:val="nil"/>
              <w:bottom w:val="nil"/>
              <w:right w:val="nil"/>
            </w:tcBorders>
            <w:shd w:val="clear" w:color="000000" w:fill="F7A3B0"/>
            <w:noWrap/>
            <w:vAlign w:val="center"/>
          </w:tcPr>
          <w:p w14:paraId="1F108A3A" w14:textId="7B3959A7" w:rsidR="00F62C68" w:rsidRPr="00894701" w:rsidRDefault="00922662" w:rsidP="00F62C68">
            <w:pPr>
              <w:spacing w:after="0" w:line="240" w:lineRule="auto"/>
              <w:jc w:val="right"/>
              <w:rPr>
                <w:rFonts w:cs="Arial"/>
                <w:color w:val="auto"/>
                <w:kern w:val="0"/>
                <w:sz w:val="16"/>
                <w:szCs w:val="16"/>
                <w:lang w:eastAsia="fr-FR"/>
              </w:rPr>
            </w:pPr>
            <w:r w:rsidRPr="00894701">
              <w:rPr>
                <w:rFonts w:cs="Arial"/>
                <w:color w:val="auto"/>
                <w:sz w:val="16"/>
                <w:szCs w:val="16"/>
              </w:rPr>
              <w:t>-</w:t>
            </w:r>
          </w:p>
        </w:tc>
        <w:tc>
          <w:tcPr>
            <w:tcW w:w="1090" w:type="pct"/>
            <w:tcBorders>
              <w:top w:val="nil"/>
              <w:left w:val="nil"/>
              <w:bottom w:val="nil"/>
              <w:right w:val="nil"/>
            </w:tcBorders>
            <w:shd w:val="clear" w:color="000000" w:fill="F7A3B0"/>
            <w:vAlign w:val="center"/>
          </w:tcPr>
          <w:p w14:paraId="143003B4" w14:textId="189EA2C8" w:rsidR="00F62C68" w:rsidRPr="00894701" w:rsidRDefault="00922662" w:rsidP="00F62C68">
            <w:pPr>
              <w:spacing w:after="0" w:line="240" w:lineRule="auto"/>
              <w:jc w:val="right"/>
              <w:rPr>
                <w:rFonts w:cs="Arial"/>
                <w:color w:val="auto"/>
                <w:sz w:val="16"/>
                <w:szCs w:val="16"/>
              </w:rPr>
            </w:pPr>
            <w:r w:rsidRPr="00894701">
              <w:rPr>
                <w:rFonts w:cs="Arial"/>
                <w:color w:val="auto"/>
                <w:sz w:val="16"/>
                <w:szCs w:val="16"/>
              </w:rPr>
              <w:t>-</w:t>
            </w:r>
          </w:p>
        </w:tc>
      </w:tr>
      <w:bookmarkEnd w:id="429"/>
      <w:tr w:rsidR="00F62C68" w:rsidRPr="00894701" w14:paraId="62B66D37" w14:textId="77777777" w:rsidTr="004126B0">
        <w:trPr>
          <w:trHeight w:val="227"/>
        </w:trPr>
        <w:tc>
          <w:tcPr>
            <w:tcW w:w="1728" w:type="pct"/>
            <w:tcBorders>
              <w:top w:val="nil"/>
              <w:left w:val="nil"/>
              <w:bottom w:val="nil"/>
              <w:right w:val="nil"/>
            </w:tcBorders>
            <w:shd w:val="clear" w:color="auto" w:fill="auto"/>
            <w:noWrap/>
            <w:vAlign w:val="center"/>
            <w:hideMark/>
          </w:tcPr>
          <w:p w14:paraId="172CC073" w14:textId="356588DD" w:rsidR="00F62C68" w:rsidRPr="00894701" w:rsidRDefault="00F62C68" w:rsidP="00F62C68">
            <w:pPr>
              <w:spacing w:after="0" w:line="240" w:lineRule="auto"/>
              <w:rPr>
                <w:rFonts w:cs="Arial"/>
                <w:color w:val="auto"/>
                <w:kern w:val="0"/>
                <w:sz w:val="16"/>
                <w:szCs w:val="16"/>
                <w:lang w:eastAsia="fr-FR"/>
              </w:rPr>
            </w:pPr>
            <w:r w:rsidRPr="00894701">
              <w:rPr>
                <w:rFonts w:cs="Arial"/>
                <w:color w:val="auto"/>
                <w:sz w:val="16"/>
                <w:szCs w:val="16"/>
              </w:rPr>
              <w:t xml:space="preserve">Other extractive entities </w:t>
            </w:r>
          </w:p>
        </w:tc>
        <w:tc>
          <w:tcPr>
            <w:tcW w:w="413" w:type="pct"/>
            <w:tcBorders>
              <w:top w:val="nil"/>
              <w:left w:val="nil"/>
              <w:bottom w:val="nil"/>
              <w:right w:val="nil"/>
            </w:tcBorders>
            <w:shd w:val="clear" w:color="auto" w:fill="auto"/>
            <w:noWrap/>
            <w:vAlign w:val="center"/>
            <w:hideMark/>
          </w:tcPr>
          <w:p w14:paraId="2ADFB0D4" w14:textId="1340636D" w:rsidR="00F62C68" w:rsidRPr="00894701" w:rsidRDefault="00F62C68" w:rsidP="00F62C68">
            <w:pPr>
              <w:spacing w:after="0" w:line="240" w:lineRule="auto"/>
              <w:rPr>
                <w:rFonts w:cs="Arial"/>
                <w:color w:val="auto"/>
                <w:kern w:val="0"/>
                <w:sz w:val="16"/>
                <w:szCs w:val="16"/>
                <w:lang w:eastAsia="fr-FR"/>
              </w:rPr>
            </w:pPr>
            <w:r w:rsidRPr="00894701">
              <w:rPr>
                <w:rFonts w:cs="Arial"/>
                <w:color w:val="auto"/>
                <w:sz w:val="16"/>
                <w:szCs w:val="16"/>
              </w:rPr>
              <w:t xml:space="preserve"> Others </w:t>
            </w:r>
          </w:p>
        </w:tc>
        <w:tc>
          <w:tcPr>
            <w:tcW w:w="875" w:type="pct"/>
            <w:tcBorders>
              <w:top w:val="nil"/>
              <w:left w:val="nil"/>
              <w:bottom w:val="nil"/>
              <w:right w:val="nil"/>
            </w:tcBorders>
            <w:shd w:val="clear" w:color="auto" w:fill="auto"/>
            <w:noWrap/>
            <w:vAlign w:val="center"/>
          </w:tcPr>
          <w:p w14:paraId="628F7F91" w14:textId="55865453" w:rsidR="00F62C68" w:rsidRPr="00894701" w:rsidRDefault="00F62C68" w:rsidP="00F62C68">
            <w:pPr>
              <w:spacing w:after="0" w:line="240" w:lineRule="auto"/>
              <w:jc w:val="right"/>
              <w:rPr>
                <w:rFonts w:cs="Arial"/>
                <w:color w:val="auto"/>
                <w:kern w:val="0"/>
                <w:sz w:val="16"/>
                <w:szCs w:val="16"/>
                <w:lang w:eastAsia="fr-FR"/>
              </w:rPr>
            </w:pPr>
            <w:r w:rsidRPr="00894701">
              <w:rPr>
                <w:rFonts w:cs="Arial"/>
                <w:color w:val="auto"/>
                <w:sz w:val="16"/>
                <w:szCs w:val="16"/>
              </w:rPr>
              <w:t>794,034</w:t>
            </w:r>
          </w:p>
        </w:tc>
        <w:tc>
          <w:tcPr>
            <w:tcW w:w="894" w:type="pct"/>
            <w:tcBorders>
              <w:top w:val="nil"/>
              <w:left w:val="nil"/>
              <w:bottom w:val="nil"/>
              <w:right w:val="nil"/>
            </w:tcBorders>
            <w:shd w:val="clear" w:color="auto" w:fill="auto"/>
            <w:noWrap/>
            <w:vAlign w:val="center"/>
          </w:tcPr>
          <w:p w14:paraId="361DD39D" w14:textId="1D5DC860" w:rsidR="00F62C68" w:rsidRPr="00894701" w:rsidRDefault="00F62C68" w:rsidP="00F62C68">
            <w:pPr>
              <w:spacing w:after="0" w:line="240" w:lineRule="auto"/>
              <w:jc w:val="right"/>
              <w:rPr>
                <w:rFonts w:cs="Arial"/>
                <w:color w:val="auto"/>
                <w:kern w:val="0"/>
                <w:sz w:val="16"/>
                <w:szCs w:val="16"/>
                <w:lang w:eastAsia="fr-FR"/>
              </w:rPr>
            </w:pPr>
            <w:r w:rsidRPr="00894701">
              <w:rPr>
                <w:rFonts w:cs="Arial"/>
                <w:color w:val="auto"/>
                <w:sz w:val="16"/>
                <w:szCs w:val="16"/>
              </w:rPr>
              <w:t>48,428,402</w:t>
            </w:r>
          </w:p>
        </w:tc>
        <w:tc>
          <w:tcPr>
            <w:tcW w:w="1090" w:type="pct"/>
            <w:tcBorders>
              <w:top w:val="nil"/>
              <w:left w:val="nil"/>
              <w:bottom w:val="nil"/>
              <w:right w:val="nil"/>
            </w:tcBorders>
            <w:vAlign w:val="center"/>
          </w:tcPr>
          <w:p w14:paraId="6508ED51" w14:textId="31DCC4A5" w:rsidR="00F62C68" w:rsidRPr="00894701" w:rsidRDefault="00F62C68" w:rsidP="00F62C68">
            <w:pPr>
              <w:spacing w:after="0" w:line="240" w:lineRule="auto"/>
              <w:jc w:val="right"/>
              <w:rPr>
                <w:rFonts w:cs="Arial"/>
                <w:color w:val="auto"/>
                <w:sz w:val="16"/>
                <w:szCs w:val="16"/>
              </w:rPr>
            </w:pPr>
            <w:r w:rsidRPr="00894701">
              <w:rPr>
                <w:rFonts w:cs="Arial"/>
                <w:color w:val="auto"/>
                <w:sz w:val="16"/>
                <w:szCs w:val="16"/>
              </w:rPr>
              <w:t>1,145,917</w:t>
            </w:r>
          </w:p>
        </w:tc>
      </w:tr>
      <w:tr w:rsidR="00F62C68" w:rsidRPr="00894701" w14:paraId="70E3A72C" w14:textId="77777777" w:rsidTr="004126B0">
        <w:trPr>
          <w:trHeight w:val="227"/>
        </w:trPr>
        <w:tc>
          <w:tcPr>
            <w:tcW w:w="1728" w:type="pct"/>
            <w:tcBorders>
              <w:top w:val="nil"/>
              <w:left w:val="nil"/>
              <w:bottom w:val="nil"/>
              <w:right w:val="nil"/>
            </w:tcBorders>
            <w:shd w:val="clear" w:color="000000" w:fill="685040"/>
            <w:noWrap/>
            <w:vAlign w:val="center"/>
            <w:hideMark/>
          </w:tcPr>
          <w:p w14:paraId="0B88B8D7" w14:textId="7634AD0E" w:rsidR="00F62C68" w:rsidRPr="00894701" w:rsidRDefault="00F62C68" w:rsidP="00F62C68">
            <w:pPr>
              <w:spacing w:after="0" w:line="240" w:lineRule="auto"/>
              <w:rPr>
                <w:rFonts w:cs="Arial"/>
                <w:b/>
                <w:bCs/>
                <w:color w:val="auto"/>
                <w:kern w:val="0"/>
                <w:sz w:val="16"/>
                <w:szCs w:val="16"/>
                <w:lang w:eastAsia="fr-FR"/>
              </w:rPr>
            </w:pPr>
            <w:r w:rsidRPr="00894701">
              <w:rPr>
                <w:rFonts w:cs="Arial"/>
                <w:b/>
                <w:bCs/>
                <w:color w:val="FFFFFF"/>
                <w:sz w:val="16"/>
                <w:szCs w:val="16"/>
              </w:rPr>
              <w:t>Total</w:t>
            </w:r>
          </w:p>
        </w:tc>
        <w:tc>
          <w:tcPr>
            <w:tcW w:w="413" w:type="pct"/>
            <w:tcBorders>
              <w:top w:val="nil"/>
              <w:left w:val="nil"/>
              <w:bottom w:val="nil"/>
              <w:right w:val="nil"/>
            </w:tcBorders>
            <w:shd w:val="clear" w:color="000000" w:fill="685040"/>
            <w:noWrap/>
            <w:vAlign w:val="center"/>
            <w:hideMark/>
          </w:tcPr>
          <w:p w14:paraId="1727CC20" w14:textId="5DDFF283" w:rsidR="00F62C68" w:rsidRPr="00894701" w:rsidRDefault="00F62C68" w:rsidP="00F62C68">
            <w:pPr>
              <w:spacing w:after="0" w:line="240" w:lineRule="auto"/>
              <w:rPr>
                <w:rFonts w:cs="Arial"/>
                <w:b/>
                <w:bCs/>
                <w:color w:val="auto"/>
                <w:kern w:val="0"/>
                <w:sz w:val="16"/>
                <w:szCs w:val="16"/>
                <w:lang w:eastAsia="fr-FR"/>
              </w:rPr>
            </w:pPr>
            <w:r w:rsidRPr="00894701">
              <w:rPr>
                <w:rFonts w:cs="Arial"/>
                <w:b/>
                <w:bCs/>
                <w:color w:val="FFFFFF"/>
                <w:sz w:val="16"/>
                <w:szCs w:val="16"/>
              </w:rPr>
              <w:t> </w:t>
            </w:r>
          </w:p>
        </w:tc>
        <w:tc>
          <w:tcPr>
            <w:tcW w:w="875" w:type="pct"/>
            <w:tcBorders>
              <w:top w:val="nil"/>
              <w:left w:val="nil"/>
              <w:bottom w:val="nil"/>
              <w:right w:val="nil"/>
            </w:tcBorders>
            <w:shd w:val="clear" w:color="000000" w:fill="685040"/>
            <w:noWrap/>
            <w:vAlign w:val="center"/>
          </w:tcPr>
          <w:p w14:paraId="6CCEAE0E" w14:textId="7D70C980" w:rsidR="00F62C68" w:rsidRPr="00894701" w:rsidRDefault="00F62C68" w:rsidP="00F62C68">
            <w:pPr>
              <w:spacing w:after="0" w:line="240" w:lineRule="auto"/>
              <w:jc w:val="right"/>
              <w:rPr>
                <w:rFonts w:cs="Arial"/>
                <w:b/>
                <w:bCs/>
                <w:color w:val="auto"/>
                <w:kern w:val="0"/>
                <w:sz w:val="16"/>
                <w:szCs w:val="16"/>
                <w:lang w:eastAsia="fr-FR"/>
              </w:rPr>
            </w:pPr>
            <w:r w:rsidRPr="00894701">
              <w:rPr>
                <w:rFonts w:cs="Arial"/>
                <w:b/>
                <w:bCs/>
                <w:color w:val="FFFFFF"/>
                <w:sz w:val="16"/>
                <w:szCs w:val="16"/>
              </w:rPr>
              <w:t>1,896,682,068</w:t>
            </w:r>
          </w:p>
        </w:tc>
        <w:tc>
          <w:tcPr>
            <w:tcW w:w="894" w:type="pct"/>
            <w:tcBorders>
              <w:top w:val="nil"/>
              <w:left w:val="nil"/>
              <w:bottom w:val="nil"/>
              <w:right w:val="nil"/>
            </w:tcBorders>
            <w:shd w:val="clear" w:color="000000" w:fill="685040"/>
            <w:noWrap/>
            <w:vAlign w:val="center"/>
          </w:tcPr>
          <w:p w14:paraId="4FF84566" w14:textId="6AEF325A" w:rsidR="00F62C68" w:rsidRPr="00894701" w:rsidRDefault="00F62C68" w:rsidP="00F62C68">
            <w:pPr>
              <w:spacing w:after="0" w:line="240" w:lineRule="auto"/>
              <w:jc w:val="right"/>
              <w:rPr>
                <w:rFonts w:cs="Arial"/>
                <w:b/>
                <w:bCs/>
                <w:color w:val="auto"/>
                <w:kern w:val="0"/>
                <w:sz w:val="16"/>
                <w:szCs w:val="16"/>
                <w:lang w:eastAsia="fr-FR"/>
              </w:rPr>
            </w:pPr>
            <w:r w:rsidRPr="00894701">
              <w:rPr>
                <w:rFonts w:cs="Arial"/>
                <w:b/>
                <w:bCs/>
                <w:color w:val="FFFFFF"/>
                <w:sz w:val="16"/>
                <w:szCs w:val="16"/>
              </w:rPr>
              <w:t>1,120,024,100</w:t>
            </w:r>
          </w:p>
        </w:tc>
        <w:tc>
          <w:tcPr>
            <w:tcW w:w="1090" w:type="pct"/>
            <w:tcBorders>
              <w:top w:val="nil"/>
              <w:left w:val="nil"/>
              <w:bottom w:val="nil"/>
              <w:right w:val="nil"/>
            </w:tcBorders>
            <w:shd w:val="clear" w:color="000000" w:fill="685040"/>
            <w:vAlign w:val="center"/>
          </w:tcPr>
          <w:p w14:paraId="6C627EEF" w14:textId="756B9476" w:rsidR="00F62C68" w:rsidRPr="00894701" w:rsidRDefault="00F62C68" w:rsidP="00F62C68">
            <w:pPr>
              <w:spacing w:after="0" w:line="240" w:lineRule="auto"/>
              <w:jc w:val="right"/>
              <w:rPr>
                <w:rFonts w:cs="Arial"/>
                <w:b/>
                <w:bCs/>
                <w:color w:val="auto"/>
                <w:sz w:val="16"/>
                <w:szCs w:val="16"/>
              </w:rPr>
            </w:pPr>
            <w:r w:rsidRPr="00894701">
              <w:rPr>
                <w:rFonts w:cs="Arial"/>
                <w:b/>
                <w:bCs/>
                <w:color w:val="FFFFFF"/>
                <w:sz w:val="16"/>
                <w:szCs w:val="16"/>
              </w:rPr>
              <w:t>1,575,829,164</w:t>
            </w:r>
          </w:p>
        </w:tc>
      </w:tr>
    </w:tbl>
    <w:p w14:paraId="6540EAED" w14:textId="7396167E" w:rsidR="009B2D9D" w:rsidRPr="00894701" w:rsidRDefault="009B2D9D" w:rsidP="00D139AD">
      <w:pPr>
        <w:pStyle w:val="ListParagraph"/>
        <w:spacing w:after="0"/>
        <w:ind w:left="0"/>
        <w:rPr>
          <w:rFonts w:asciiTheme="majorHAnsi" w:hAnsiTheme="majorHAnsi"/>
          <w:b/>
          <w:bCs/>
          <w:color w:val="98002E" w:themeColor="accent3"/>
          <w:sz w:val="20"/>
        </w:rPr>
      </w:pPr>
      <w:r w:rsidRPr="00894701">
        <w:rPr>
          <w:rFonts w:cs="Arial"/>
          <w:i/>
          <w:color w:val="auto"/>
          <w:szCs w:val="18"/>
          <w:lang w:eastAsia="fr-FR"/>
        </w:rPr>
        <w:t>Source: EITI-SR reporting templates</w:t>
      </w:r>
    </w:p>
    <w:p w14:paraId="3246FA96" w14:textId="07DF0160" w:rsidR="00F62C68" w:rsidRPr="00894701" w:rsidRDefault="00F62C68">
      <w:pPr>
        <w:spacing w:after="0" w:line="240" w:lineRule="auto"/>
        <w:rPr>
          <w:b/>
          <w:i/>
          <w:iCs/>
          <w:sz w:val="20"/>
          <w:szCs w:val="20"/>
        </w:rPr>
      </w:pPr>
      <w:bookmarkStart w:id="430" w:name="_Toc6925688"/>
    </w:p>
    <w:p w14:paraId="719A65FE" w14:textId="592671AA" w:rsidR="009B2D9D" w:rsidRPr="00894701" w:rsidRDefault="009B2D9D" w:rsidP="00286081">
      <w:pPr>
        <w:spacing w:after="0"/>
        <w:jc w:val="center"/>
        <w:rPr>
          <w:b/>
          <w:i/>
          <w:iCs/>
          <w:sz w:val="20"/>
          <w:szCs w:val="20"/>
        </w:rPr>
      </w:pPr>
      <w:bookmarkStart w:id="431" w:name="_Toc146590579"/>
      <w:r w:rsidRPr="00894701">
        <w:rPr>
          <w:b/>
          <w:i/>
          <w:iCs/>
          <w:sz w:val="20"/>
          <w:szCs w:val="20"/>
        </w:rPr>
        <w:t xml:space="preserve">Figure </w:t>
      </w:r>
      <w:r w:rsidR="00090BCF" w:rsidRPr="00894701">
        <w:rPr>
          <w:b/>
          <w:i/>
          <w:iCs/>
          <w:sz w:val="20"/>
          <w:szCs w:val="20"/>
        </w:rPr>
        <w:fldChar w:fldCharType="begin"/>
      </w:r>
      <w:r w:rsidR="00090BCF" w:rsidRPr="00894701">
        <w:rPr>
          <w:b/>
          <w:i/>
          <w:iCs/>
          <w:sz w:val="20"/>
          <w:szCs w:val="20"/>
        </w:rPr>
        <w:instrText xml:space="preserve"> SEQ Figure \* ARABIC </w:instrText>
      </w:r>
      <w:r w:rsidR="00090BCF" w:rsidRPr="00894701">
        <w:rPr>
          <w:b/>
          <w:i/>
          <w:iCs/>
          <w:sz w:val="20"/>
          <w:szCs w:val="20"/>
        </w:rPr>
        <w:fldChar w:fldCharType="separate"/>
      </w:r>
      <w:r w:rsidR="0035303B">
        <w:rPr>
          <w:b/>
          <w:i/>
          <w:iCs/>
          <w:noProof/>
          <w:sz w:val="20"/>
          <w:szCs w:val="20"/>
        </w:rPr>
        <w:t>14</w:t>
      </w:r>
      <w:r w:rsidR="00090BCF" w:rsidRPr="00894701">
        <w:rPr>
          <w:b/>
          <w:i/>
          <w:iCs/>
          <w:sz w:val="20"/>
          <w:szCs w:val="20"/>
        </w:rPr>
        <w:fldChar w:fldCharType="end"/>
      </w:r>
      <w:r w:rsidRPr="00894701">
        <w:rPr>
          <w:b/>
          <w:i/>
          <w:iCs/>
          <w:sz w:val="20"/>
          <w:szCs w:val="20"/>
        </w:rPr>
        <w:t>: top five companies’ contribution</w:t>
      </w:r>
      <w:bookmarkEnd w:id="430"/>
      <w:r w:rsidRPr="00894701">
        <w:rPr>
          <w:b/>
          <w:i/>
          <w:iCs/>
          <w:sz w:val="20"/>
          <w:szCs w:val="20"/>
        </w:rPr>
        <w:t xml:space="preserve"> for the fiscal years 2018, 2019 and 2020</w:t>
      </w:r>
      <w:bookmarkEnd w:id="431"/>
    </w:p>
    <w:tbl>
      <w:tblPr>
        <w:tblStyle w:val="TableGrid"/>
        <w:tblW w:w="5332" w:type="pct"/>
        <w:tblLayout w:type="fixed"/>
        <w:tblLook w:val="04A0" w:firstRow="1" w:lastRow="0" w:firstColumn="1" w:lastColumn="0" w:noHBand="0" w:noVBand="1"/>
      </w:tblPr>
      <w:tblGrid>
        <w:gridCol w:w="5278"/>
        <w:gridCol w:w="4790"/>
        <w:gridCol w:w="4817"/>
      </w:tblGrid>
      <w:tr w:rsidR="00B722F4" w:rsidRPr="00894701" w14:paraId="3F1A9ED4" w14:textId="77777777" w:rsidTr="004C70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3" w:type="pct"/>
          </w:tcPr>
          <w:p w14:paraId="573A53CF" w14:textId="1BAF4535" w:rsidR="0072329A" w:rsidRPr="00894701" w:rsidRDefault="0072329A" w:rsidP="00DF36B5">
            <w:pPr>
              <w:pStyle w:val="BodyText"/>
              <w:spacing w:before="0" w:after="0"/>
              <w:jc w:val="center"/>
              <w:rPr>
                <w:color w:val="000000" w:themeColor="text1"/>
                <w:sz w:val="20"/>
                <w:szCs w:val="20"/>
              </w:rPr>
            </w:pPr>
            <w:r w:rsidRPr="00894701">
              <w:rPr>
                <w:b/>
                <w:bCs/>
                <w:noProof/>
                <w:color w:val="C00000"/>
              </w:rPr>
              <w:t>FY 2018</w:t>
            </w:r>
          </w:p>
        </w:tc>
        <w:tc>
          <w:tcPr>
            <w:tcW w:w="1609" w:type="pct"/>
          </w:tcPr>
          <w:p w14:paraId="73AE201C" w14:textId="2DFEB788" w:rsidR="0072329A" w:rsidRPr="00894701" w:rsidRDefault="0072329A" w:rsidP="00DF36B5">
            <w:pPr>
              <w:pStyle w:val="BodyText"/>
              <w:spacing w:before="0" w:after="0"/>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894701">
              <w:rPr>
                <w:b/>
                <w:bCs/>
                <w:noProof/>
                <w:color w:val="C00000"/>
              </w:rPr>
              <w:t>FY 2019</w:t>
            </w:r>
          </w:p>
        </w:tc>
        <w:tc>
          <w:tcPr>
            <w:tcW w:w="1618" w:type="pct"/>
          </w:tcPr>
          <w:p w14:paraId="7A12D24C" w14:textId="1FD39581" w:rsidR="0072329A" w:rsidRPr="00894701" w:rsidRDefault="0072329A" w:rsidP="00DF36B5">
            <w:pPr>
              <w:pStyle w:val="BodyText"/>
              <w:spacing w:before="0" w:after="0"/>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894701">
              <w:rPr>
                <w:b/>
                <w:bCs/>
                <w:noProof/>
                <w:color w:val="C00000"/>
              </w:rPr>
              <w:t>FY 2020</w:t>
            </w:r>
          </w:p>
        </w:tc>
      </w:tr>
      <w:tr w:rsidR="00B722F4" w:rsidRPr="00894701" w14:paraId="58B4B3A7" w14:textId="77777777" w:rsidTr="00B722F4">
        <w:tblPrEx>
          <w:tblCellMar>
            <w:left w:w="70" w:type="dxa"/>
            <w:right w:w="7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3" w:type="pct"/>
          </w:tcPr>
          <w:p w14:paraId="7B4BF02C" w14:textId="62A9DE70" w:rsidR="009B2D9D" w:rsidRPr="00894701" w:rsidRDefault="006B5928" w:rsidP="00DF36B5">
            <w:pPr>
              <w:pStyle w:val="BodyText"/>
              <w:spacing w:before="0" w:after="0"/>
              <w:rPr>
                <w:color w:val="000000" w:themeColor="text1"/>
                <w:sz w:val="20"/>
                <w:szCs w:val="20"/>
              </w:rPr>
            </w:pPr>
            <w:r w:rsidRPr="00894701">
              <w:rPr>
                <w:noProof/>
                <w:lang w:val="en-US" w:eastAsia="en-US"/>
              </w:rPr>
              <w:drawing>
                <wp:inline distT="0" distB="0" distL="0" distR="0" wp14:anchorId="0FB82B87" wp14:editId="5AAB03F5">
                  <wp:extent cx="3261360" cy="2272145"/>
                  <wp:effectExtent l="0" t="0" r="0" b="0"/>
                  <wp:docPr id="31" name="Graphique 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5000-00001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Pr="00894701" w:rsidDel="006B5928">
              <w:rPr>
                <w:noProof/>
                <w:lang w:val="fr-FR" w:eastAsia="fr-FR"/>
              </w:rPr>
              <w:t xml:space="preserve"> </w:t>
            </w:r>
          </w:p>
        </w:tc>
        <w:tc>
          <w:tcPr>
            <w:tcW w:w="1609" w:type="pct"/>
          </w:tcPr>
          <w:p w14:paraId="2B49BAED" w14:textId="689121CE" w:rsidR="009B2D9D" w:rsidRPr="00894701" w:rsidRDefault="00B722F4" w:rsidP="00DF36B5">
            <w:pPr>
              <w:pStyle w:val="BodyText"/>
              <w:spacing w:before="0" w:after="0"/>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94701">
              <w:rPr>
                <w:noProof/>
                <w:lang w:val="en-US" w:eastAsia="en-US"/>
              </w:rPr>
              <w:drawing>
                <wp:inline distT="0" distB="0" distL="0" distR="0" wp14:anchorId="2AAD9746" wp14:editId="6DC3C61D">
                  <wp:extent cx="4572000" cy="2438400"/>
                  <wp:effectExtent l="0" t="0" r="0" b="0"/>
                  <wp:docPr id="13" name="Graphique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5000-00001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006B5928" w:rsidRPr="00894701" w:rsidDel="006B5928">
              <w:rPr>
                <w:noProof/>
                <w:lang w:val="fr-FR" w:eastAsia="fr-FR"/>
              </w:rPr>
              <w:t xml:space="preserve"> </w:t>
            </w:r>
          </w:p>
        </w:tc>
        <w:tc>
          <w:tcPr>
            <w:tcW w:w="1618" w:type="pct"/>
          </w:tcPr>
          <w:p w14:paraId="4694E226" w14:textId="2D4642FE" w:rsidR="009B2D9D" w:rsidRPr="00894701" w:rsidRDefault="000364E2" w:rsidP="00DF36B5">
            <w:pPr>
              <w:pStyle w:val="BodyText"/>
              <w:spacing w:before="0" w:after="0"/>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94701">
              <w:rPr>
                <w:noProof/>
                <w:lang w:val="en-US" w:eastAsia="en-US"/>
              </w:rPr>
              <w:drawing>
                <wp:inline distT="0" distB="0" distL="0" distR="0" wp14:anchorId="2BAB7F4E" wp14:editId="0A9426E6">
                  <wp:extent cx="3267075" cy="2413000"/>
                  <wp:effectExtent l="0" t="0" r="0" b="0"/>
                  <wp:docPr id="34" name="Graphique 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5000-00001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Pr="00894701" w:rsidDel="006B5928">
              <w:rPr>
                <w:noProof/>
                <w:lang w:val="fr-FR" w:eastAsia="fr-FR"/>
              </w:rPr>
              <w:t xml:space="preserve"> </w:t>
            </w:r>
          </w:p>
        </w:tc>
      </w:tr>
    </w:tbl>
    <w:p w14:paraId="5C337AC2" w14:textId="77777777" w:rsidR="00086C36" w:rsidRPr="00894701" w:rsidRDefault="00086C36" w:rsidP="00286081">
      <w:pPr>
        <w:spacing w:after="0" w:line="240" w:lineRule="auto"/>
        <w:rPr>
          <w:rFonts w:asciiTheme="minorHAnsi" w:hAnsiTheme="minorHAnsi"/>
        </w:rPr>
      </w:pPr>
      <w:r w:rsidRPr="00894701">
        <w:rPr>
          <w:rFonts w:asciiTheme="minorHAnsi" w:hAnsiTheme="minorHAnsi"/>
        </w:rPr>
        <w:br w:type="page"/>
      </w:r>
    </w:p>
    <w:p w14:paraId="5FEF2A00" w14:textId="5093E6CE" w:rsidR="00181AE6" w:rsidRPr="00894701" w:rsidRDefault="00181AE6" w:rsidP="00E27977">
      <w:pPr>
        <w:pStyle w:val="AltMinorHeading"/>
        <w:numPr>
          <w:ilvl w:val="2"/>
          <w:numId w:val="100"/>
        </w:numPr>
        <w:spacing w:before="100" w:beforeAutospacing="1" w:after="120"/>
        <w:ind w:right="454"/>
        <w:rPr>
          <w:rStyle w:val="Emphasis"/>
        </w:rPr>
      </w:pPr>
      <w:bookmarkStart w:id="432" w:name="_Toc101350064"/>
      <w:bookmarkStart w:id="433" w:name="_Toc122478942"/>
      <w:r w:rsidRPr="00894701">
        <w:rPr>
          <w:rStyle w:val="Emphasis"/>
        </w:rPr>
        <w:t>Analysis of total revenues - contribution by revenue stream</w:t>
      </w:r>
      <w:bookmarkEnd w:id="432"/>
      <w:bookmarkEnd w:id="433"/>
      <w:r w:rsidRPr="00894701">
        <w:rPr>
          <w:rStyle w:val="Emphasis"/>
        </w:rPr>
        <w:t xml:space="preserve"> </w:t>
      </w:r>
    </w:p>
    <w:p w14:paraId="752B3D7B" w14:textId="057A2CB5" w:rsidR="00181AE6" w:rsidRPr="00894701" w:rsidRDefault="00CD33C1" w:rsidP="00074980">
      <w:pPr>
        <w:pStyle w:val="BodyText"/>
        <w:spacing w:after="0"/>
        <w:jc w:val="both"/>
        <w:rPr>
          <w:color w:val="auto"/>
          <w:sz w:val="20"/>
          <w:szCs w:val="20"/>
        </w:rPr>
      </w:pPr>
      <w:r w:rsidRPr="00894701">
        <w:rPr>
          <w:color w:val="auto"/>
          <w:sz w:val="20"/>
          <w:szCs w:val="20"/>
        </w:rPr>
        <w:t xml:space="preserve">The analysis of payment flows by contribution shows that Royalty fees represent </w:t>
      </w:r>
      <w:r w:rsidR="00F54453" w:rsidRPr="00894701">
        <w:rPr>
          <w:color w:val="auto"/>
          <w:sz w:val="20"/>
          <w:szCs w:val="20"/>
        </w:rPr>
        <w:t>21</w:t>
      </w:r>
      <w:r w:rsidRPr="00894701">
        <w:rPr>
          <w:color w:val="auto"/>
          <w:sz w:val="20"/>
          <w:szCs w:val="20"/>
        </w:rPr>
        <w:t xml:space="preserve">%, </w:t>
      </w:r>
      <w:r w:rsidR="00F54453" w:rsidRPr="00894701">
        <w:rPr>
          <w:color w:val="auto"/>
          <w:sz w:val="20"/>
          <w:szCs w:val="20"/>
        </w:rPr>
        <w:t>40</w:t>
      </w:r>
      <w:r w:rsidRPr="00894701">
        <w:rPr>
          <w:color w:val="auto"/>
          <w:sz w:val="20"/>
          <w:szCs w:val="20"/>
        </w:rPr>
        <w:t>% and 39% of the total extractive revenues during the FYs 2018, 2019 and 2020 respectively.</w:t>
      </w:r>
    </w:p>
    <w:p w14:paraId="594131B2" w14:textId="66B1C5E1" w:rsidR="0007066E" w:rsidRPr="00894701" w:rsidRDefault="0007066E" w:rsidP="0007066E">
      <w:pPr>
        <w:pStyle w:val="ListParagraph"/>
        <w:spacing w:after="0"/>
        <w:ind w:left="0" w:firstLine="720"/>
        <w:jc w:val="center"/>
        <w:rPr>
          <w:rFonts w:asciiTheme="majorHAnsi" w:hAnsiTheme="majorHAnsi"/>
          <w:b/>
          <w:bCs/>
          <w:color w:val="98002E" w:themeColor="accent3"/>
          <w:sz w:val="20"/>
        </w:rPr>
      </w:pPr>
      <w:bookmarkStart w:id="434" w:name="_Toc146590522"/>
      <w:r w:rsidRPr="00894701">
        <w:rPr>
          <w:rFonts w:asciiTheme="majorHAnsi" w:hAnsiTheme="majorHAnsi"/>
          <w:b/>
          <w:bCs/>
          <w:color w:val="98002E" w:themeColor="accent3"/>
          <w:sz w:val="20"/>
        </w:rPr>
        <w:t>Table</w:t>
      </w:r>
      <w:r w:rsidRPr="00894701">
        <w:rPr>
          <w:rFonts w:asciiTheme="majorHAnsi" w:hAnsiTheme="majorHAnsi"/>
          <w:b/>
          <w:bCs/>
          <w:color w:val="98002E" w:themeColor="accent3"/>
        </w:rPr>
        <w:t xml:space="preserve"> </w:t>
      </w:r>
      <w:r w:rsidRPr="00894701">
        <w:rPr>
          <w:rFonts w:asciiTheme="majorHAnsi" w:hAnsiTheme="majorHAnsi"/>
          <w:b/>
          <w:bCs/>
          <w:color w:val="98002E" w:themeColor="accent3"/>
          <w:sz w:val="20"/>
        </w:rPr>
        <w:fldChar w:fldCharType="begin"/>
      </w:r>
      <w:r w:rsidRPr="00894701">
        <w:rPr>
          <w:rFonts w:asciiTheme="majorHAnsi" w:hAnsiTheme="majorHAnsi"/>
          <w:b/>
          <w:bCs/>
          <w:color w:val="98002E" w:themeColor="accent3"/>
          <w:sz w:val="20"/>
        </w:rPr>
        <w:instrText xml:space="preserve"> SEQ Table \* ARABIC </w:instrText>
      </w:r>
      <w:r w:rsidRPr="00894701">
        <w:rPr>
          <w:rFonts w:asciiTheme="majorHAnsi" w:hAnsiTheme="majorHAnsi"/>
          <w:b/>
          <w:bCs/>
          <w:color w:val="98002E" w:themeColor="accent3"/>
          <w:sz w:val="20"/>
        </w:rPr>
        <w:fldChar w:fldCharType="separate"/>
      </w:r>
      <w:r w:rsidR="0035303B">
        <w:rPr>
          <w:rFonts w:asciiTheme="majorHAnsi" w:hAnsiTheme="majorHAnsi"/>
          <w:b/>
          <w:bCs/>
          <w:noProof/>
          <w:color w:val="98002E" w:themeColor="accent3"/>
          <w:sz w:val="20"/>
        </w:rPr>
        <w:t>50</w:t>
      </w:r>
      <w:r w:rsidRPr="00894701">
        <w:rPr>
          <w:rFonts w:asciiTheme="majorHAnsi" w:hAnsiTheme="majorHAnsi"/>
          <w:b/>
          <w:bCs/>
          <w:color w:val="98002E" w:themeColor="accent3"/>
          <w:sz w:val="20"/>
        </w:rPr>
        <w:fldChar w:fldCharType="end"/>
      </w:r>
      <w:r w:rsidRPr="00894701">
        <w:rPr>
          <w:rFonts w:asciiTheme="majorHAnsi" w:hAnsiTheme="majorHAnsi"/>
          <w:b/>
          <w:bCs/>
          <w:color w:val="98002E" w:themeColor="accent3"/>
          <w:sz w:val="20"/>
        </w:rPr>
        <w:t>:Analysis</w:t>
      </w:r>
      <w:r w:rsidRPr="00894701">
        <w:rPr>
          <w:rFonts w:asciiTheme="majorHAnsi" w:hAnsiTheme="majorHAnsi"/>
          <w:b/>
          <w:bCs/>
          <w:color w:val="98002E" w:themeColor="accent3"/>
        </w:rPr>
        <w:t xml:space="preserve"> </w:t>
      </w:r>
      <w:r w:rsidRPr="00894701">
        <w:rPr>
          <w:rFonts w:asciiTheme="majorHAnsi" w:hAnsiTheme="majorHAnsi"/>
          <w:b/>
          <w:bCs/>
          <w:color w:val="98002E" w:themeColor="accent3"/>
          <w:sz w:val="20"/>
        </w:rPr>
        <w:t>of</w:t>
      </w:r>
      <w:r w:rsidRPr="00894701">
        <w:rPr>
          <w:rFonts w:asciiTheme="majorHAnsi" w:hAnsiTheme="majorHAnsi"/>
          <w:b/>
          <w:bCs/>
          <w:color w:val="98002E" w:themeColor="accent3"/>
        </w:rPr>
        <w:t xml:space="preserve"> </w:t>
      </w:r>
      <w:r w:rsidRPr="00894701">
        <w:rPr>
          <w:rFonts w:asciiTheme="majorHAnsi" w:hAnsiTheme="majorHAnsi"/>
          <w:b/>
          <w:bCs/>
          <w:color w:val="98002E" w:themeColor="accent3"/>
          <w:sz w:val="20"/>
        </w:rPr>
        <w:t>total</w:t>
      </w:r>
      <w:r w:rsidRPr="00894701">
        <w:rPr>
          <w:rFonts w:asciiTheme="majorHAnsi" w:hAnsiTheme="majorHAnsi"/>
          <w:b/>
          <w:bCs/>
          <w:color w:val="98002E" w:themeColor="accent3"/>
        </w:rPr>
        <w:t xml:space="preserve"> </w:t>
      </w:r>
      <w:r w:rsidRPr="00894701">
        <w:rPr>
          <w:rFonts w:asciiTheme="majorHAnsi" w:hAnsiTheme="majorHAnsi"/>
          <w:b/>
          <w:bCs/>
          <w:color w:val="98002E" w:themeColor="accent3"/>
          <w:sz w:val="20"/>
        </w:rPr>
        <w:t>revenues</w:t>
      </w:r>
      <w:r w:rsidRPr="00894701">
        <w:rPr>
          <w:rFonts w:asciiTheme="majorHAnsi" w:hAnsiTheme="majorHAnsi"/>
          <w:b/>
          <w:bCs/>
          <w:color w:val="98002E" w:themeColor="accent3"/>
        </w:rPr>
        <w:t xml:space="preserve"> </w:t>
      </w:r>
      <w:r w:rsidRPr="00894701">
        <w:rPr>
          <w:rFonts w:asciiTheme="majorHAnsi" w:hAnsiTheme="majorHAnsi"/>
          <w:b/>
          <w:bCs/>
          <w:color w:val="98002E" w:themeColor="accent3"/>
          <w:sz w:val="20"/>
        </w:rPr>
        <w:t>by</w:t>
      </w:r>
      <w:r w:rsidRPr="00894701">
        <w:rPr>
          <w:rFonts w:asciiTheme="majorHAnsi" w:hAnsiTheme="majorHAnsi"/>
          <w:b/>
          <w:bCs/>
          <w:color w:val="98002E" w:themeColor="accent3"/>
        </w:rPr>
        <w:t xml:space="preserve"> </w:t>
      </w:r>
      <w:r w:rsidRPr="00894701">
        <w:rPr>
          <w:rFonts w:asciiTheme="majorHAnsi" w:hAnsiTheme="majorHAnsi"/>
          <w:b/>
          <w:bCs/>
          <w:color w:val="98002E" w:themeColor="accent3"/>
          <w:sz w:val="20"/>
        </w:rPr>
        <w:t>extractive</w:t>
      </w:r>
      <w:r w:rsidRPr="00894701">
        <w:rPr>
          <w:rFonts w:asciiTheme="majorHAnsi" w:hAnsiTheme="majorHAnsi"/>
          <w:b/>
          <w:bCs/>
          <w:color w:val="98002E" w:themeColor="accent3"/>
        </w:rPr>
        <w:t xml:space="preserve"> </w:t>
      </w:r>
      <w:r w:rsidRPr="00894701">
        <w:rPr>
          <w:rFonts w:asciiTheme="majorHAnsi" w:hAnsiTheme="majorHAnsi"/>
          <w:b/>
          <w:bCs/>
          <w:color w:val="98002E" w:themeColor="accent3"/>
          <w:sz w:val="20"/>
        </w:rPr>
        <w:t>entity for the fiscal years 2018, 2019 and 2020</w:t>
      </w:r>
      <w:bookmarkEnd w:id="434"/>
    </w:p>
    <w:tbl>
      <w:tblPr>
        <w:tblW w:w="5000" w:type="pct"/>
        <w:tblCellMar>
          <w:left w:w="70" w:type="dxa"/>
          <w:right w:w="70" w:type="dxa"/>
        </w:tblCellMar>
        <w:tblLook w:val="04A0" w:firstRow="1" w:lastRow="0" w:firstColumn="1" w:lastColumn="0" w:noHBand="0" w:noVBand="1"/>
      </w:tblPr>
      <w:tblGrid>
        <w:gridCol w:w="4823"/>
        <w:gridCol w:w="1153"/>
        <w:gridCol w:w="2443"/>
        <w:gridCol w:w="2496"/>
        <w:gridCol w:w="3043"/>
      </w:tblGrid>
      <w:tr w:rsidR="0007066E" w:rsidRPr="00894701" w14:paraId="1C83F945" w14:textId="77777777" w:rsidTr="00074980">
        <w:trPr>
          <w:trHeight w:val="20"/>
        </w:trPr>
        <w:tc>
          <w:tcPr>
            <w:tcW w:w="1728" w:type="pct"/>
            <w:vMerge w:val="restart"/>
            <w:tcBorders>
              <w:top w:val="nil"/>
              <w:left w:val="nil"/>
              <w:bottom w:val="nil"/>
              <w:right w:val="nil"/>
            </w:tcBorders>
            <w:shd w:val="clear" w:color="000000" w:fill="800000"/>
            <w:vAlign w:val="center"/>
            <w:hideMark/>
          </w:tcPr>
          <w:p w14:paraId="351C5D3F" w14:textId="77777777" w:rsidR="0007066E" w:rsidRPr="00894701" w:rsidRDefault="0007066E" w:rsidP="002209C2">
            <w:pPr>
              <w:spacing w:after="0" w:line="240" w:lineRule="auto"/>
              <w:rPr>
                <w:rFonts w:cs="Arial"/>
                <w:b/>
                <w:bCs/>
                <w:color w:val="auto"/>
                <w:kern w:val="0"/>
                <w:sz w:val="16"/>
                <w:szCs w:val="16"/>
                <w:lang w:eastAsia="fr-FR"/>
              </w:rPr>
            </w:pPr>
            <w:r w:rsidRPr="00894701">
              <w:rPr>
                <w:rFonts w:cs="Arial"/>
                <w:b/>
                <w:bCs/>
                <w:color w:val="auto"/>
                <w:kern w:val="0"/>
                <w:sz w:val="16"/>
                <w:szCs w:val="16"/>
                <w:lang w:eastAsia="fr-FR"/>
              </w:rPr>
              <w:t>Extractive entity</w:t>
            </w:r>
          </w:p>
        </w:tc>
        <w:tc>
          <w:tcPr>
            <w:tcW w:w="413" w:type="pct"/>
            <w:vMerge w:val="restart"/>
            <w:tcBorders>
              <w:top w:val="nil"/>
              <w:left w:val="nil"/>
              <w:bottom w:val="nil"/>
              <w:right w:val="nil"/>
            </w:tcBorders>
            <w:shd w:val="clear" w:color="000000" w:fill="800000"/>
            <w:vAlign w:val="center"/>
            <w:hideMark/>
          </w:tcPr>
          <w:p w14:paraId="1C31FCBA" w14:textId="77777777" w:rsidR="0007066E" w:rsidRPr="00894701" w:rsidRDefault="0007066E" w:rsidP="002209C2">
            <w:pPr>
              <w:spacing w:after="0" w:line="240" w:lineRule="auto"/>
              <w:rPr>
                <w:rFonts w:cs="Arial"/>
                <w:b/>
                <w:bCs/>
                <w:color w:val="auto"/>
                <w:kern w:val="0"/>
                <w:sz w:val="16"/>
                <w:szCs w:val="16"/>
                <w:lang w:eastAsia="fr-FR"/>
              </w:rPr>
            </w:pPr>
            <w:r w:rsidRPr="00894701">
              <w:rPr>
                <w:rFonts w:cs="Arial"/>
                <w:b/>
                <w:bCs/>
                <w:color w:val="auto"/>
                <w:kern w:val="0"/>
                <w:sz w:val="16"/>
                <w:szCs w:val="16"/>
                <w:lang w:eastAsia="fr-FR"/>
              </w:rPr>
              <w:t xml:space="preserve">Sector </w:t>
            </w:r>
          </w:p>
        </w:tc>
        <w:tc>
          <w:tcPr>
            <w:tcW w:w="875" w:type="pct"/>
            <w:tcBorders>
              <w:top w:val="nil"/>
              <w:left w:val="nil"/>
              <w:bottom w:val="nil"/>
              <w:right w:val="nil"/>
            </w:tcBorders>
            <w:shd w:val="clear" w:color="000000" w:fill="800000"/>
            <w:vAlign w:val="center"/>
            <w:hideMark/>
          </w:tcPr>
          <w:p w14:paraId="44B91FF2" w14:textId="77777777" w:rsidR="0007066E" w:rsidRPr="00894701" w:rsidRDefault="0007066E" w:rsidP="002209C2">
            <w:pPr>
              <w:spacing w:after="0" w:line="240" w:lineRule="auto"/>
              <w:jc w:val="right"/>
              <w:rPr>
                <w:rFonts w:cs="Arial"/>
                <w:b/>
                <w:bCs/>
                <w:color w:val="auto"/>
                <w:kern w:val="0"/>
                <w:sz w:val="16"/>
                <w:szCs w:val="16"/>
                <w:lang w:eastAsia="fr-FR"/>
              </w:rPr>
            </w:pPr>
            <w:r w:rsidRPr="00894701">
              <w:rPr>
                <w:rFonts w:cs="Arial"/>
                <w:b/>
                <w:bCs/>
                <w:color w:val="auto"/>
                <w:kern w:val="0"/>
                <w:sz w:val="16"/>
                <w:szCs w:val="16"/>
                <w:lang w:eastAsia="fr-FR"/>
              </w:rPr>
              <w:t>FY 2018</w:t>
            </w:r>
          </w:p>
        </w:tc>
        <w:tc>
          <w:tcPr>
            <w:tcW w:w="894" w:type="pct"/>
            <w:tcBorders>
              <w:top w:val="nil"/>
              <w:left w:val="nil"/>
              <w:bottom w:val="nil"/>
              <w:right w:val="nil"/>
            </w:tcBorders>
            <w:shd w:val="clear" w:color="000000" w:fill="800000"/>
            <w:vAlign w:val="center"/>
            <w:hideMark/>
          </w:tcPr>
          <w:p w14:paraId="0D0B5F7C" w14:textId="77777777" w:rsidR="0007066E" w:rsidRPr="00894701" w:rsidRDefault="0007066E" w:rsidP="002209C2">
            <w:pPr>
              <w:spacing w:after="0" w:line="240" w:lineRule="auto"/>
              <w:jc w:val="right"/>
              <w:rPr>
                <w:rFonts w:cs="Arial"/>
                <w:b/>
                <w:bCs/>
                <w:color w:val="auto"/>
                <w:kern w:val="0"/>
                <w:sz w:val="16"/>
                <w:szCs w:val="16"/>
                <w:lang w:eastAsia="fr-FR"/>
              </w:rPr>
            </w:pPr>
            <w:r w:rsidRPr="00894701">
              <w:rPr>
                <w:rFonts w:cs="Arial"/>
                <w:b/>
                <w:bCs/>
                <w:color w:val="auto"/>
                <w:kern w:val="0"/>
                <w:sz w:val="16"/>
                <w:szCs w:val="16"/>
                <w:lang w:eastAsia="fr-FR"/>
              </w:rPr>
              <w:t>FY 2019</w:t>
            </w:r>
          </w:p>
        </w:tc>
        <w:tc>
          <w:tcPr>
            <w:tcW w:w="1090" w:type="pct"/>
            <w:tcBorders>
              <w:top w:val="nil"/>
              <w:left w:val="nil"/>
              <w:bottom w:val="nil"/>
              <w:right w:val="nil"/>
            </w:tcBorders>
            <w:shd w:val="clear" w:color="000000" w:fill="800000"/>
            <w:vAlign w:val="center"/>
          </w:tcPr>
          <w:p w14:paraId="085ABFFD" w14:textId="77777777" w:rsidR="0007066E" w:rsidRPr="00894701" w:rsidRDefault="0007066E" w:rsidP="002209C2">
            <w:pPr>
              <w:spacing w:after="0" w:line="240" w:lineRule="auto"/>
              <w:jc w:val="right"/>
              <w:rPr>
                <w:rFonts w:cs="Arial"/>
                <w:b/>
                <w:bCs/>
                <w:color w:val="auto"/>
                <w:kern w:val="0"/>
                <w:sz w:val="16"/>
                <w:szCs w:val="16"/>
                <w:lang w:eastAsia="fr-FR"/>
              </w:rPr>
            </w:pPr>
            <w:r w:rsidRPr="00894701">
              <w:rPr>
                <w:rFonts w:cs="Arial"/>
                <w:b/>
                <w:bCs/>
                <w:color w:val="auto"/>
                <w:kern w:val="0"/>
                <w:sz w:val="16"/>
                <w:szCs w:val="16"/>
                <w:lang w:eastAsia="fr-FR"/>
              </w:rPr>
              <w:t>FY 2020</w:t>
            </w:r>
          </w:p>
        </w:tc>
      </w:tr>
      <w:tr w:rsidR="0007066E" w:rsidRPr="00894701" w14:paraId="0E099D22" w14:textId="77777777" w:rsidTr="00074980">
        <w:trPr>
          <w:trHeight w:val="20"/>
        </w:trPr>
        <w:tc>
          <w:tcPr>
            <w:tcW w:w="1728" w:type="pct"/>
            <w:vMerge/>
            <w:tcBorders>
              <w:top w:val="nil"/>
              <w:left w:val="nil"/>
              <w:bottom w:val="nil"/>
              <w:right w:val="nil"/>
            </w:tcBorders>
            <w:vAlign w:val="center"/>
            <w:hideMark/>
          </w:tcPr>
          <w:p w14:paraId="0DFE93ED" w14:textId="77777777" w:rsidR="0007066E" w:rsidRPr="00894701" w:rsidRDefault="0007066E" w:rsidP="002209C2">
            <w:pPr>
              <w:spacing w:after="0" w:line="240" w:lineRule="auto"/>
              <w:rPr>
                <w:rFonts w:cs="Arial"/>
                <w:b/>
                <w:bCs/>
                <w:color w:val="auto"/>
                <w:kern w:val="0"/>
                <w:sz w:val="16"/>
                <w:szCs w:val="16"/>
                <w:lang w:eastAsia="fr-FR"/>
              </w:rPr>
            </w:pPr>
          </w:p>
        </w:tc>
        <w:tc>
          <w:tcPr>
            <w:tcW w:w="413" w:type="pct"/>
            <w:vMerge/>
            <w:tcBorders>
              <w:top w:val="nil"/>
              <w:left w:val="nil"/>
              <w:bottom w:val="nil"/>
              <w:right w:val="nil"/>
            </w:tcBorders>
            <w:vAlign w:val="center"/>
            <w:hideMark/>
          </w:tcPr>
          <w:p w14:paraId="7A7DA5FD" w14:textId="77777777" w:rsidR="0007066E" w:rsidRPr="00894701" w:rsidRDefault="0007066E" w:rsidP="002209C2">
            <w:pPr>
              <w:spacing w:after="0" w:line="240" w:lineRule="auto"/>
              <w:rPr>
                <w:rFonts w:cs="Arial"/>
                <w:b/>
                <w:bCs/>
                <w:color w:val="auto"/>
                <w:kern w:val="0"/>
                <w:sz w:val="16"/>
                <w:szCs w:val="16"/>
                <w:lang w:eastAsia="fr-FR"/>
              </w:rPr>
            </w:pPr>
          </w:p>
        </w:tc>
        <w:tc>
          <w:tcPr>
            <w:tcW w:w="875" w:type="pct"/>
            <w:tcBorders>
              <w:top w:val="nil"/>
              <w:left w:val="nil"/>
              <w:bottom w:val="nil"/>
              <w:right w:val="nil"/>
            </w:tcBorders>
            <w:shd w:val="clear" w:color="000000" w:fill="800000"/>
            <w:vAlign w:val="center"/>
            <w:hideMark/>
          </w:tcPr>
          <w:p w14:paraId="4155D245" w14:textId="77777777" w:rsidR="0007066E" w:rsidRPr="00894701" w:rsidRDefault="0007066E" w:rsidP="002209C2">
            <w:pPr>
              <w:spacing w:after="0" w:line="240" w:lineRule="auto"/>
              <w:jc w:val="right"/>
              <w:rPr>
                <w:rFonts w:cs="Arial"/>
                <w:b/>
                <w:bCs/>
                <w:color w:val="auto"/>
                <w:kern w:val="0"/>
                <w:sz w:val="16"/>
                <w:szCs w:val="16"/>
                <w:lang w:eastAsia="fr-FR"/>
              </w:rPr>
            </w:pPr>
            <w:r w:rsidRPr="00894701">
              <w:rPr>
                <w:rFonts w:cs="Arial"/>
                <w:b/>
                <w:bCs/>
                <w:color w:val="auto"/>
                <w:kern w:val="0"/>
                <w:sz w:val="16"/>
                <w:szCs w:val="16"/>
                <w:lang w:eastAsia="fr-FR"/>
              </w:rPr>
              <w:t>(SRD)</w:t>
            </w:r>
          </w:p>
        </w:tc>
        <w:tc>
          <w:tcPr>
            <w:tcW w:w="894" w:type="pct"/>
            <w:tcBorders>
              <w:top w:val="nil"/>
              <w:left w:val="nil"/>
              <w:bottom w:val="nil"/>
              <w:right w:val="nil"/>
            </w:tcBorders>
            <w:shd w:val="clear" w:color="000000" w:fill="800000"/>
            <w:vAlign w:val="center"/>
            <w:hideMark/>
          </w:tcPr>
          <w:p w14:paraId="1470888C" w14:textId="77777777" w:rsidR="0007066E" w:rsidRPr="00894701" w:rsidRDefault="0007066E" w:rsidP="002209C2">
            <w:pPr>
              <w:spacing w:after="0" w:line="240" w:lineRule="auto"/>
              <w:jc w:val="right"/>
              <w:rPr>
                <w:rFonts w:cs="Arial"/>
                <w:b/>
                <w:bCs/>
                <w:color w:val="auto"/>
                <w:kern w:val="0"/>
                <w:sz w:val="16"/>
                <w:szCs w:val="16"/>
                <w:lang w:eastAsia="fr-FR"/>
              </w:rPr>
            </w:pPr>
            <w:r w:rsidRPr="00894701">
              <w:rPr>
                <w:rFonts w:cs="Arial"/>
                <w:b/>
                <w:bCs/>
                <w:color w:val="auto"/>
                <w:kern w:val="0"/>
                <w:sz w:val="16"/>
                <w:szCs w:val="16"/>
                <w:lang w:eastAsia="fr-FR"/>
              </w:rPr>
              <w:t>(SRD)</w:t>
            </w:r>
          </w:p>
        </w:tc>
        <w:tc>
          <w:tcPr>
            <w:tcW w:w="1090" w:type="pct"/>
            <w:tcBorders>
              <w:top w:val="nil"/>
              <w:left w:val="nil"/>
              <w:bottom w:val="nil"/>
              <w:right w:val="nil"/>
            </w:tcBorders>
            <w:shd w:val="clear" w:color="000000" w:fill="800000"/>
            <w:vAlign w:val="center"/>
          </w:tcPr>
          <w:p w14:paraId="3C33106B" w14:textId="77777777" w:rsidR="0007066E" w:rsidRPr="00894701" w:rsidRDefault="0007066E" w:rsidP="002209C2">
            <w:pPr>
              <w:spacing w:after="0" w:line="240" w:lineRule="auto"/>
              <w:jc w:val="right"/>
              <w:rPr>
                <w:rFonts w:cs="Arial"/>
                <w:b/>
                <w:bCs/>
                <w:color w:val="auto"/>
                <w:kern w:val="0"/>
                <w:sz w:val="16"/>
                <w:szCs w:val="16"/>
                <w:lang w:eastAsia="fr-FR"/>
              </w:rPr>
            </w:pPr>
            <w:r w:rsidRPr="00894701">
              <w:rPr>
                <w:rFonts w:cs="Arial"/>
                <w:b/>
                <w:bCs/>
                <w:color w:val="auto"/>
                <w:kern w:val="0"/>
                <w:sz w:val="16"/>
                <w:szCs w:val="16"/>
                <w:lang w:eastAsia="fr-FR"/>
              </w:rPr>
              <w:t>(SRD)</w:t>
            </w:r>
          </w:p>
        </w:tc>
      </w:tr>
      <w:tr w:rsidR="00F62C68" w:rsidRPr="00894701" w14:paraId="552F2F89" w14:textId="77777777" w:rsidTr="00074980">
        <w:trPr>
          <w:trHeight w:val="20"/>
        </w:trPr>
        <w:tc>
          <w:tcPr>
            <w:tcW w:w="1728" w:type="pct"/>
            <w:tcBorders>
              <w:top w:val="nil"/>
              <w:left w:val="nil"/>
              <w:bottom w:val="nil"/>
              <w:right w:val="nil"/>
            </w:tcBorders>
            <w:shd w:val="clear" w:color="000000" w:fill="F7A3B0"/>
            <w:noWrap/>
            <w:vAlign w:val="center"/>
            <w:hideMark/>
          </w:tcPr>
          <w:p w14:paraId="21DDE709" w14:textId="76DC7325" w:rsidR="00F62C68" w:rsidRPr="00894701" w:rsidRDefault="00F62C68" w:rsidP="00F62C68">
            <w:pPr>
              <w:spacing w:after="0" w:line="240" w:lineRule="auto"/>
              <w:rPr>
                <w:rFonts w:cs="Arial"/>
                <w:color w:val="auto"/>
                <w:kern w:val="0"/>
                <w:sz w:val="16"/>
                <w:szCs w:val="16"/>
                <w:lang w:eastAsia="fr-FR"/>
              </w:rPr>
            </w:pPr>
            <w:r w:rsidRPr="00894701">
              <w:rPr>
                <w:rFonts w:cs="Arial"/>
                <w:color w:val="auto"/>
                <w:sz w:val="16"/>
                <w:szCs w:val="16"/>
              </w:rPr>
              <w:t>Royalty fees MoFP</w:t>
            </w:r>
          </w:p>
        </w:tc>
        <w:tc>
          <w:tcPr>
            <w:tcW w:w="413" w:type="pct"/>
            <w:tcBorders>
              <w:top w:val="nil"/>
              <w:left w:val="nil"/>
              <w:bottom w:val="nil"/>
              <w:right w:val="nil"/>
            </w:tcBorders>
            <w:shd w:val="clear" w:color="000000" w:fill="F7A3B0"/>
            <w:noWrap/>
            <w:vAlign w:val="center"/>
            <w:hideMark/>
          </w:tcPr>
          <w:p w14:paraId="58F51B43" w14:textId="130E2F48" w:rsidR="00F62C68" w:rsidRPr="00894701" w:rsidRDefault="00F62C68" w:rsidP="00F62C68">
            <w:pPr>
              <w:spacing w:after="0" w:line="240" w:lineRule="auto"/>
              <w:rPr>
                <w:rFonts w:cs="Arial"/>
                <w:color w:val="auto"/>
                <w:kern w:val="0"/>
                <w:sz w:val="16"/>
                <w:szCs w:val="16"/>
                <w:lang w:eastAsia="fr-FR"/>
              </w:rPr>
            </w:pPr>
            <w:r w:rsidRPr="00894701">
              <w:rPr>
                <w:rFonts w:cs="Arial"/>
                <w:color w:val="auto"/>
                <w:sz w:val="16"/>
                <w:szCs w:val="16"/>
              </w:rPr>
              <w:t> </w:t>
            </w:r>
          </w:p>
        </w:tc>
        <w:tc>
          <w:tcPr>
            <w:tcW w:w="875" w:type="pct"/>
            <w:tcBorders>
              <w:top w:val="nil"/>
              <w:left w:val="nil"/>
              <w:bottom w:val="nil"/>
              <w:right w:val="nil"/>
            </w:tcBorders>
            <w:shd w:val="clear" w:color="000000" w:fill="F7A3B0"/>
            <w:noWrap/>
            <w:vAlign w:val="center"/>
            <w:hideMark/>
          </w:tcPr>
          <w:p w14:paraId="4E23AEC2" w14:textId="43DEEED7" w:rsidR="00F62C68" w:rsidRPr="00894701" w:rsidRDefault="00F62C68" w:rsidP="00F62C68">
            <w:pPr>
              <w:spacing w:after="0" w:line="240" w:lineRule="auto"/>
              <w:jc w:val="right"/>
              <w:rPr>
                <w:rFonts w:cs="Arial"/>
                <w:color w:val="auto"/>
                <w:kern w:val="0"/>
                <w:sz w:val="16"/>
                <w:szCs w:val="16"/>
                <w:lang w:eastAsia="fr-FR"/>
              </w:rPr>
            </w:pPr>
            <w:r w:rsidRPr="00894701">
              <w:rPr>
                <w:rFonts w:cs="Arial"/>
                <w:sz w:val="16"/>
                <w:szCs w:val="16"/>
              </w:rPr>
              <w:t>403,369,450</w:t>
            </w:r>
          </w:p>
        </w:tc>
        <w:tc>
          <w:tcPr>
            <w:tcW w:w="894" w:type="pct"/>
            <w:tcBorders>
              <w:top w:val="nil"/>
              <w:left w:val="nil"/>
              <w:bottom w:val="nil"/>
              <w:right w:val="nil"/>
            </w:tcBorders>
            <w:shd w:val="clear" w:color="000000" w:fill="F7A3B0"/>
            <w:noWrap/>
            <w:vAlign w:val="center"/>
            <w:hideMark/>
          </w:tcPr>
          <w:p w14:paraId="49F42503" w14:textId="5A7D852C" w:rsidR="00F62C68" w:rsidRPr="00894701" w:rsidRDefault="00F62C68" w:rsidP="00F62C68">
            <w:pPr>
              <w:spacing w:after="0" w:line="240" w:lineRule="auto"/>
              <w:jc w:val="right"/>
              <w:rPr>
                <w:rFonts w:cs="Arial"/>
                <w:color w:val="auto"/>
                <w:kern w:val="0"/>
                <w:sz w:val="16"/>
                <w:szCs w:val="16"/>
                <w:lang w:eastAsia="fr-FR"/>
              </w:rPr>
            </w:pPr>
            <w:r w:rsidRPr="00894701">
              <w:rPr>
                <w:rFonts w:cs="Arial"/>
                <w:sz w:val="16"/>
                <w:szCs w:val="16"/>
              </w:rPr>
              <w:t>437,370,930</w:t>
            </w:r>
          </w:p>
        </w:tc>
        <w:tc>
          <w:tcPr>
            <w:tcW w:w="1090" w:type="pct"/>
            <w:tcBorders>
              <w:top w:val="nil"/>
              <w:left w:val="nil"/>
              <w:bottom w:val="nil"/>
              <w:right w:val="nil"/>
            </w:tcBorders>
            <w:shd w:val="clear" w:color="000000" w:fill="F7A3B0"/>
            <w:vAlign w:val="center"/>
          </w:tcPr>
          <w:p w14:paraId="363CCA71" w14:textId="1C6AC560" w:rsidR="00F62C68" w:rsidRPr="00894701" w:rsidRDefault="00F62C68" w:rsidP="00F62C68">
            <w:pPr>
              <w:spacing w:after="0" w:line="240" w:lineRule="auto"/>
              <w:jc w:val="right"/>
              <w:rPr>
                <w:rFonts w:cs="Arial"/>
                <w:color w:val="auto"/>
                <w:sz w:val="16"/>
                <w:szCs w:val="16"/>
              </w:rPr>
            </w:pPr>
            <w:r w:rsidRPr="00894701">
              <w:rPr>
                <w:rFonts w:cs="Arial"/>
                <w:sz w:val="16"/>
                <w:szCs w:val="16"/>
              </w:rPr>
              <w:t>619,195,336</w:t>
            </w:r>
          </w:p>
        </w:tc>
      </w:tr>
      <w:tr w:rsidR="00F62C68" w:rsidRPr="00894701" w14:paraId="17C20217" w14:textId="77777777" w:rsidTr="00074980">
        <w:trPr>
          <w:trHeight w:val="20"/>
        </w:trPr>
        <w:tc>
          <w:tcPr>
            <w:tcW w:w="1728" w:type="pct"/>
            <w:tcBorders>
              <w:top w:val="nil"/>
              <w:left w:val="nil"/>
              <w:bottom w:val="nil"/>
              <w:right w:val="nil"/>
            </w:tcBorders>
            <w:shd w:val="clear" w:color="000000" w:fill="FFFFFF"/>
            <w:noWrap/>
            <w:vAlign w:val="center"/>
            <w:hideMark/>
          </w:tcPr>
          <w:p w14:paraId="0E3F767C" w14:textId="05A3E51C" w:rsidR="00F62C68" w:rsidRPr="00894701" w:rsidRDefault="00F62C68" w:rsidP="00F62C68">
            <w:pPr>
              <w:spacing w:after="0" w:line="240" w:lineRule="auto"/>
              <w:rPr>
                <w:rFonts w:cs="Arial"/>
                <w:color w:val="auto"/>
                <w:kern w:val="0"/>
                <w:sz w:val="16"/>
                <w:szCs w:val="16"/>
                <w:lang w:eastAsia="fr-FR"/>
              </w:rPr>
            </w:pPr>
            <w:r w:rsidRPr="00894701">
              <w:rPr>
                <w:rFonts w:cs="Arial"/>
                <w:color w:val="auto"/>
                <w:sz w:val="16"/>
                <w:szCs w:val="16"/>
              </w:rPr>
              <w:t>Income Tax</w:t>
            </w:r>
          </w:p>
        </w:tc>
        <w:tc>
          <w:tcPr>
            <w:tcW w:w="413" w:type="pct"/>
            <w:tcBorders>
              <w:top w:val="nil"/>
              <w:left w:val="nil"/>
              <w:bottom w:val="nil"/>
              <w:right w:val="nil"/>
            </w:tcBorders>
            <w:shd w:val="clear" w:color="000000" w:fill="FFFFFF"/>
            <w:noWrap/>
            <w:vAlign w:val="center"/>
            <w:hideMark/>
          </w:tcPr>
          <w:p w14:paraId="33B1331D" w14:textId="3BC18792" w:rsidR="00F62C68" w:rsidRPr="00894701" w:rsidRDefault="00F62C68" w:rsidP="00F62C68">
            <w:pPr>
              <w:spacing w:after="0" w:line="240" w:lineRule="auto"/>
              <w:rPr>
                <w:rFonts w:cs="Arial"/>
                <w:color w:val="auto"/>
                <w:kern w:val="0"/>
                <w:sz w:val="16"/>
                <w:szCs w:val="16"/>
                <w:lang w:eastAsia="fr-FR"/>
              </w:rPr>
            </w:pPr>
            <w:r w:rsidRPr="00894701">
              <w:rPr>
                <w:rFonts w:cs="Arial"/>
                <w:color w:val="auto"/>
                <w:sz w:val="16"/>
                <w:szCs w:val="16"/>
              </w:rPr>
              <w:t> </w:t>
            </w:r>
          </w:p>
        </w:tc>
        <w:tc>
          <w:tcPr>
            <w:tcW w:w="875" w:type="pct"/>
            <w:tcBorders>
              <w:top w:val="nil"/>
              <w:left w:val="nil"/>
              <w:bottom w:val="nil"/>
              <w:right w:val="nil"/>
            </w:tcBorders>
            <w:shd w:val="clear" w:color="000000" w:fill="FFFFFF"/>
            <w:noWrap/>
            <w:vAlign w:val="center"/>
            <w:hideMark/>
          </w:tcPr>
          <w:p w14:paraId="30029EA0" w14:textId="4722A5ED" w:rsidR="00F62C68" w:rsidRPr="00894701" w:rsidRDefault="00F62C68" w:rsidP="00F62C68">
            <w:pPr>
              <w:spacing w:after="0" w:line="240" w:lineRule="auto"/>
              <w:jc w:val="right"/>
              <w:rPr>
                <w:rFonts w:cs="Arial"/>
                <w:color w:val="auto"/>
                <w:kern w:val="0"/>
                <w:sz w:val="16"/>
                <w:szCs w:val="16"/>
                <w:lang w:eastAsia="fr-FR"/>
              </w:rPr>
            </w:pPr>
            <w:r w:rsidRPr="00894701">
              <w:rPr>
                <w:rFonts w:cs="Arial"/>
                <w:sz w:val="16"/>
                <w:szCs w:val="16"/>
              </w:rPr>
              <w:t>322,065,235</w:t>
            </w:r>
          </w:p>
        </w:tc>
        <w:tc>
          <w:tcPr>
            <w:tcW w:w="894" w:type="pct"/>
            <w:tcBorders>
              <w:top w:val="nil"/>
              <w:left w:val="nil"/>
              <w:bottom w:val="nil"/>
              <w:right w:val="nil"/>
            </w:tcBorders>
            <w:shd w:val="clear" w:color="000000" w:fill="FFFFFF"/>
            <w:noWrap/>
            <w:vAlign w:val="center"/>
            <w:hideMark/>
          </w:tcPr>
          <w:p w14:paraId="6F8C37B7" w14:textId="17445BD4" w:rsidR="00F62C68" w:rsidRPr="00894701" w:rsidRDefault="00F62C68" w:rsidP="00F62C68">
            <w:pPr>
              <w:spacing w:after="0" w:line="240" w:lineRule="auto"/>
              <w:jc w:val="right"/>
              <w:rPr>
                <w:rFonts w:cs="Arial"/>
                <w:color w:val="auto"/>
                <w:kern w:val="0"/>
                <w:sz w:val="16"/>
                <w:szCs w:val="16"/>
                <w:lang w:eastAsia="fr-FR"/>
              </w:rPr>
            </w:pPr>
            <w:r w:rsidRPr="00894701">
              <w:rPr>
                <w:rFonts w:cs="Arial"/>
                <w:sz w:val="16"/>
                <w:szCs w:val="16"/>
              </w:rPr>
              <w:t>224,019,279</w:t>
            </w:r>
          </w:p>
        </w:tc>
        <w:tc>
          <w:tcPr>
            <w:tcW w:w="1090" w:type="pct"/>
            <w:tcBorders>
              <w:top w:val="nil"/>
              <w:left w:val="nil"/>
              <w:bottom w:val="nil"/>
              <w:right w:val="nil"/>
            </w:tcBorders>
            <w:shd w:val="clear" w:color="000000" w:fill="FFFFFF"/>
            <w:vAlign w:val="center"/>
          </w:tcPr>
          <w:p w14:paraId="71424E48" w14:textId="3483889E" w:rsidR="00F62C68" w:rsidRPr="00894701" w:rsidRDefault="00F62C68" w:rsidP="00F62C68">
            <w:pPr>
              <w:spacing w:after="0" w:line="240" w:lineRule="auto"/>
              <w:jc w:val="right"/>
              <w:rPr>
                <w:rFonts w:cs="Arial"/>
                <w:color w:val="auto"/>
                <w:sz w:val="16"/>
                <w:szCs w:val="16"/>
              </w:rPr>
            </w:pPr>
            <w:r w:rsidRPr="00894701">
              <w:rPr>
                <w:rFonts w:cs="Arial"/>
                <w:sz w:val="16"/>
                <w:szCs w:val="16"/>
              </w:rPr>
              <w:t>594,767,653</w:t>
            </w:r>
          </w:p>
        </w:tc>
      </w:tr>
      <w:tr w:rsidR="00F62C68" w:rsidRPr="00894701" w14:paraId="6385F5BC" w14:textId="77777777" w:rsidTr="00074980">
        <w:trPr>
          <w:trHeight w:val="20"/>
        </w:trPr>
        <w:tc>
          <w:tcPr>
            <w:tcW w:w="1728" w:type="pct"/>
            <w:tcBorders>
              <w:top w:val="nil"/>
              <w:left w:val="nil"/>
              <w:bottom w:val="nil"/>
              <w:right w:val="nil"/>
            </w:tcBorders>
            <w:shd w:val="clear" w:color="000000" w:fill="F7A3B0"/>
            <w:noWrap/>
            <w:vAlign w:val="center"/>
            <w:hideMark/>
          </w:tcPr>
          <w:p w14:paraId="08D6EF6C" w14:textId="3ED74B5F" w:rsidR="00F62C68" w:rsidRPr="00894701" w:rsidRDefault="00F62C68" w:rsidP="00F62C68">
            <w:pPr>
              <w:spacing w:after="0" w:line="240" w:lineRule="auto"/>
              <w:rPr>
                <w:rFonts w:cs="Arial"/>
                <w:color w:val="auto"/>
                <w:kern w:val="0"/>
                <w:sz w:val="16"/>
                <w:szCs w:val="16"/>
                <w:lang w:val="en-US" w:eastAsia="fr-FR"/>
              </w:rPr>
            </w:pPr>
            <w:r w:rsidRPr="00894701">
              <w:rPr>
                <w:rFonts w:cs="Arial"/>
                <w:color w:val="auto"/>
                <w:sz w:val="16"/>
                <w:szCs w:val="16"/>
              </w:rPr>
              <w:t>Wage Tax &amp; OP-premium (AOV)</w:t>
            </w:r>
          </w:p>
        </w:tc>
        <w:tc>
          <w:tcPr>
            <w:tcW w:w="413" w:type="pct"/>
            <w:tcBorders>
              <w:top w:val="nil"/>
              <w:left w:val="nil"/>
              <w:bottom w:val="nil"/>
              <w:right w:val="nil"/>
            </w:tcBorders>
            <w:shd w:val="clear" w:color="000000" w:fill="F7A3B0"/>
            <w:noWrap/>
            <w:vAlign w:val="center"/>
            <w:hideMark/>
          </w:tcPr>
          <w:p w14:paraId="38ABA527" w14:textId="384AA79C" w:rsidR="00F62C68" w:rsidRPr="00894701" w:rsidRDefault="00F62C68" w:rsidP="00F62C68">
            <w:pPr>
              <w:spacing w:after="0" w:line="240" w:lineRule="auto"/>
              <w:rPr>
                <w:rFonts w:cs="Arial"/>
                <w:color w:val="auto"/>
                <w:kern w:val="0"/>
                <w:sz w:val="16"/>
                <w:szCs w:val="16"/>
                <w:lang w:eastAsia="fr-FR"/>
              </w:rPr>
            </w:pPr>
            <w:r w:rsidRPr="00894701">
              <w:rPr>
                <w:rFonts w:cs="Arial"/>
                <w:color w:val="auto"/>
                <w:sz w:val="16"/>
                <w:szCs w:val="16"/>
              </w:rPr>
              <w:t> </w:t>
            </w:r>
          </w:p>
        </w:tc>
        <w:tc>
          <w:tcPr>
            <w:tcW w:w="875" w:type="pct"/>
            <w:tcBorders>
              <w:top w:val="nil"/>
              <w:left w:val="nil"/>
              <w:bottom w:val="nil"/>
              <w:right w:val="nil"/>
            </w:tcBorders>
            <w:shd w:val="clear" w:color="000000" w:fill="F7A3B0"/>
            <w:noWrap/>
            <w:vAlign w:val="center"/>
            <w:hideMark/>
          </w:tcPr>
          <w:p w14:paraId="2BEB955F" w14:textId="351CDC82" w:rsidR="00F62C68" w:rsidRPr="00894701" w:rsidRDefault="00F62C68" w:rsidP="00F62C68">
            <w:pPr>
              <w:spacing w:after="0" w:line="240" w:lineRule="auto"/>
              <w:jc w:val="right"/>
              <w:rPr>
                <w:rFonts w:cs="Arial"/>
                <w:color w:val="auto"/>
                <w:kern w:val="0"/>
                <w:sz w:val="16"/>
                <w:szCs w:val="16"/>
                <w:lang w:eastAsia="fr-FR"/>
              </w:rPr>
            </w:pPr>
            <w:r w:rsidRPr="00894701">
              <w:rPr>
                <w:rFonts w:cs="Arial"/>
                <w:sz w:val="16"/>
                <w:szCs w:val="16"/>
              </w:rPr>
              <w:t>275,733,085</w:t>
            </w:r>
          </w:p>
        </w:tc>
        <w:tc>
          <w:tcPr>
            <w:tcW w:w="894" w:type="pct"/>
            <w:tcBorders>
              <w:top w:val="nil"/>
              <w:left w:val="nil"/>
              <w:bottom w:val="nil"/>
              <w:right w:val="nil"/>
            </w:tcBorders>
            <w:shd w:val="clear" w:color="000000" w:fill="F7A3B0"/>
            <w:noWrap/>
            <w:vAlign w:val="center"/>
            <w:hideMark/>
          </w:tcPr>
          <w:p w14:paraId="07CE2CF1" w14:textId="2F44292A" w:rsidR="00F62C68" w:rsidRPr="00894701" w:rsidRDefault="00F62C68" w:rsidP="00F62C68">
            <w:pPr>
              <w:spacing w:after="0" w:line="240" w:lineRule="auto"/>
              <w:jc w:val="right"/>
              <w:rPr>
                <w:rFonts w:cs="Arial"/>
                <w:color w:val="auto"/>
                <w:kern w:val="0"/>
                <w:sz w:val="16"/>
                <w:szCs w:val="16"/>
                <w:lang w:eastAsia="fr-FR"/>
              </w:rPr>
            </w:pPr>
            <w:r w:rsidRPr="00894701">
              <w:rPr>
                <w:rFonts w:cs="Arial"/>
                <w:sz w:val="16"/>
                <w:szCs w:val="16"/>
              </w:rPr>
              <w:t>338,243,221</w:t>
            </w:r>
          </w:p>
        </w:tc>
        <w:tc>
          <w:tcPr>
            <w:tcW w:w="1090" w:type="pct"/>
            <w:tcBorders>
              <w:top w:val="nil"/>
              <w:left w:val="nil"/>
              <w:bottom w:val="nil"/>
              <w:right w:val="nil"/>
            </w:tcBorders>
            <w:shd w:val="clear" w:color="000000" w:fill="F7A3B0"/>
            <w:vAlign w:val="center"/>
          </w:tcPr>
          <w:p w14:paraId="0B9EBB59" w14:textId="64EC041A" w:rsidR="00F62C68" w:rsidRPr="00894701" w:rsidRDefault="00F62C68" w:rsidP="00F62C68">
            <w:pPr>
              <w:spacing w:after="0" w:line="240" w:lineRule="auto"/>
              <w:jc w:val="right"/>
              <w:rPr>
                <w:rFonts w:cs="Arial"/>
                <w:color w:val="auto"/>
                <w:sz w:val="16"/>
                <w:szCs w:val="16"/>
              </w:rPr>
            </w:pPr>
            <w:r w:rsidRPr="00894701">
              <w:rPr>
                <w:rFonts w:cs="Arial"/>
                <w:sz w:val="16"/>
                <w:szCs w:val="16"/>
              </w:rPr>
              <w:t>339,416,716</w:t>
            </w:r>
          </w:p>
        </w:tc>
      </w:tr>
      <w:tr w:rsidR="00F62C68" w:rsidRPr="00894701" w14:paraId="3F48BE21" w14:textId="77777777" w:rsidTr="00074980">
        <w:trPr>
          <w:trHeight w:val="20"/>
        </w:trPr>
        <w:tc>
          <w:tcPr>
            <w:tcW w:w="1728" w:type="pct"/>
            <w:tcBorders>
              <w:top w:val="nil"/>
              <w:left w:val="nil"/>
              <w:bottom w:val="nil"/>
              <w:right w:val="nil"/>
            </w:tcBorders>
            <w:shd w:val="clear" w:color="000000" w:fill="FFFFFF"/>
            <w:noWrap/>
            <w:vAlign w:val="center"/>
            <w:hideMark/>
          </w:tcPr>
          <w:p w14:paraId="2531142D" w14:textId="54FE5E25" w:rsidR="00F62C68" w:rsidRPr="00894701" w:rsidRDefault="00F62C68" w:rsidP="00F62C68">
            <w:pPr>
              <w:spacing w:after="0" w:line="240" w:lineRule="auto"/>
              <w:rPr>
                <w:rFonts w:cs="Arial"/>
                <w:color w:val="auto"/>
                <w:kern w:val="0"/>
                <w:sz w:val="16"/>
                <w:szCs w:val="16"/>
                <w:lang w:eastAsia="fr-FR"/>
              </w:rPr>
            </w:pPr>
            <w:r w:rsidRPr="00894701">
              <w:rPr>
                <w:rFonts w:cs="Arial"/>
                <w:color w:val="auto"/>
                <w:sz w:val="16"/>
                <w:szCs w:val="16"/>
              </w:rPr>
              <w:t>All other payments MoFP</w:t>
            </w:r>
          </w:p>
        </w:tc>
        <w:tc>
          <w:tcPr>
            <w:tcW w:w="413" w:type="pct"/>
            <w:tcBorders>
              <w:top w:val="nil"/>
              <w:left w:val="nil"/>
              <w:bottom w:val="nil"/>
              <w:right w:val="nil"/>
            </w:tcBorders>
            <w:shd w:val="clear" w:color="000000" w:fill="FFFFFF"/>
            <w:noWrap/>
            <w:vAlign w:val="center"/>
            <w:hideMark/>
          </w:tcPr>
          <w:p w14:paraId="66DFC4E2" w14:textId="56A84665" w:rsidR="00F62C68" w:rsidRPr="00894701" w:rsidRDefault="00F62C68" w:rsidP="00F62C68">
            <w:pPr>
              <w:spacing w:after="0" w:line="240" w:lineRule="auto"/>
              <w:rPr>
                <w:rFonts w:cs="Arial"/>
                <w:color w:val="auto"/>
                <w:kern w:val="0"/>
                <w:sz w:val="16"/>
                <w:szCs w:val="16"/>
                <w:lang w:eastAsia="fr-FR"/>
              </w:rPr>
            </w:pPr>
            <w:r w:rsidRPr="00894701">
              <w:rPr>
                <w:rFonts w:cs="Arial"/>
                <w:color w:val="auto"/>
                <w:sz w:val="16"/>
                <w:szCs w:val="16"/>
              </w:rPr>
              <w:t> </w:t>
            </w:r>
          </w:p>
        </w:tc>
        <w:tc>
          <w:tcPr>
            <w:tcW w:w="875" w:type="pct"/>
            <w:tcBorders>
              <w:top w:val="nil"/>
              <w:left w:val="nil"/>
              <w:bottom w:val="nil"/>
              <w:right w:val="nil"/>
            </w:tcBorders>
            <w:shd w:val="clear" w:color="000000" w:fill="FFFFFF"/>
            <w:noWrap/>
            <w:vAlign w:val="center"/>
            <w:hideMark/>
          </w:tcPr>
          <w:p w14:paraId="3190F755" w14:textId="4D663D19" w:rsidR="00F62C68" w:rsidRPr="00894701" w:rsidRDefault="00F62C68" w:rsidP="00F62C68">
            <w:pPr>
              <w:spacing w:after="0" w:line="240" w:lineRule="auto"/>
              <w:jc w:val="right"/>
              <w:rPr>
                <w:rFonts w:cs="Arial"/>
                <w:color w:val="auto"/>
                <w:kern w:val="0"/>
                <w:sz w:val="16"/>
                <w:szCs w:val="16"/>
                <w:lang w:eastAsia="fr-FR"/>
              </w:rPr>
            </w:pPr>
            <w:r w:rsidRPr="00894701">
              <w:rPr>
                <w:rFonts w:cs="Arial"/>
                <w:sz w:val="16"/>
                <w:szCs w:val="16"/>
              </w:rPr>
              <w:t> </w:t>
            </w:r>
          </w:p>
        </w:tc>
        <w:tc>
          <w:tcPr>
            <w:tcW w:w="894" w:type="pct"/>
            <w:tcBorders>
              <w:top w:val="nil"/>
              <w:left w:val="nil"/>
              <w:bottom w:val="nil"/>
              <w:right w:val="nil"/>
            </w:tcBorders>
            <w:shd w:val="clear" w:color="000000" w:fill="FFFFFF"/>
            <w:noWrap/>
            <w:vAlign w:val="center"/>
            <w:hideMark/>
          </w:tcPr>
          <w:p w14:paraId="216D3A91" w14:textId="6642D83F" w:rsidR="00F62C68" w:rsidRPr="00894701" w:rsidRDefault="00F62C68" w:rsidP="00F62C68">
            <w:pPr>
              <w:spacing w:after="0" w:line="240" w:lineRule="auto"/>
              <w:jc w:val="right"/>
              <w:rPr>
                <w:rFonts w:cs="Arial"/>
                <w:color w:val="auto"/>
                <w:kern w:val="0"/>
                <w:sz w:val="16"/>
                <w:szCs w:val="16"/>
                <w:lang w:eastAsia="fr-FR"/>
              </w:rPr>
            </w:pPr>
            <w:r w:rsidRPr="00894701">
              <w:rPr>
                <w:rFonts w:cs="Arial"/>
                <w:sz w:val="16"/>
                <w:szCs w:val="16"/>
              </w:rPr>
              <w:t>62,716,245</w:t>
            </w:r>
          </w:p>
        </w:tc>
        <w:tc>
          <w:tcPr>
            <w:tcW w:w="1090" w:type="pct"/>
            <w:tcBorders>
              <w:top w:val="nil"/>
              <w:left w:val="nil"/>
              <w:bottom w:val="nil"/>
              <w:right w:val="nil"/>
            </w:tcBorders>
            <w:shd w:val="clear" w:color="000000" w:fill="FFFFFF"/>
            <w:vAlign w:val="center"/>
          </w:tcPr>
          <w:p w14:paraId="766C9979" w14:textId="2D6EE5DE" w:rsidR="00F62C68" w:rsidRPr="00894701" w:rsidRDefault="00F62C68" w:rsidP="00F62C68">
            <w:pPr>
              <w:spacing w:after="0" w:line="240" w:lineRule="auto"/>
              <w:jc w:val="right"/>
              <w:rPr>
                <w:rFonts w:cs="Arial"/>
                <w:color w:val="auto"/>
                <w:sz w:val="16"/>
                <w:szCs w:val="16"/>
              </w:rPr>
            </w:pPr>
            <w:r w:rsidRPr="00894701">
              <w:rPr>
                <w:rFonts w:cs="Arial"/>
                <w:sz w:val="16"/>
                <w:szCs w:val="16"/>
              </w:rPr>
              <w:t>17,584,197</w:t>
            </w:r>
          </w:p>
        </w:tc>
      </w:tr>
      <w:tr w:rsidR="00F62C68" w:rsidRPr="00894701" w14:paraId="7995099C" w14:textId="77777777" w:rsidTr="00074980">
        <w:trPr>
          <w:trHeight w:val="20"/>
        </w:trPr>
        <w:tc>
          <w:tcPr>
            <w:tcW w:w="1728" w:type="pct"/>
            <w:tcBorders>
              <w:top w:val="nil"/>
              <w:left w:val="nil"/>
              <w:bottom w:val="nil"/>
              <w:right w:val="nil"/>
            </w:tcBorders>
            <w:shd w:val="clear" w:color="000000" w:fill="F7A3B0"/>
            <w:noWrap/>
            <w:vAlign w:val="center"/>
            <w:hideMark/>
          </w:tcPr>
          <w:p w14:paraId="64B2C58A" w14:textId="59A0BDD5" w:rsidR="00F62C68" w:rsidRPr="00894701" w:rsidRDefault="00F62C68" w:rsidP="00F62C68">
            <w:pPr>
              <w:spacing w:after="0" w:line="240" w:lineRule="auto"/>
              <w:rPr>
                <w:rFonts w:cs="Arial"/>
                <w:color w:val="auto"/>
                <w:kern w:val="0"/>
                <w:sz w:val="16"/>
                <w:szCs w:val="16"/>
                <w:lang w:eastAsia="fr-FR"/>
              </w:rPr>
            </w:pPr>
            <w:r w:rsidRPr="00894701">
              <w:rPr>
                <w:rFonts w:cs="Arial"/>
                <w:color w:val="auto"/>
                <w:sz w:val="16"/>
                <w:szCs w:val="16"/>
              </w:rPr>
              <w:t>Consent &amp; Statistic rights</w:t>
            </w:r>
          </w:p>
        </w:tc>
        <w:tc>
          <w:tcPr>
            <w:tcW w:w="413" w:type="pct"/>
            <w:tcBorders>
              <w:top w:val="nil"/>
              <w:left w:val="nil"/>
              <w:bottom w:val="nil"/>
              <w:right w:val="nil"/>
            </w:tcBorders>
            <w:shd w:val="clear" w:color="000000" w:fill="F7A3B0"/>
            <w:noWrap/>
            <w:vAlign w:val="center"/>
            <w:hideMark/>
          </w:tcPr>
          <w:p w14:paraId="395118E6" w14:textId="31A9BA19" w:rsidR="00F62C68" w:rsidRPr="00894701" w:rsidRDefault="00F62C68" w:rsidP="00F62C68">
            <w:pPr>
              <w:spacing w:after="0" w:line="240" w:lineRule="auto"/>
              <w:rPr>
                <w:rFonts w:cs="Arial"/>
                <w:color w:val="auto"/>
                <w:kern w:val="0"/>
                <w:sz w:val="16"/>
                <w:szCs w:val="16"/>
                <w:lang w:eastAsia="fr-FR"/>
              </w:rPr>
            </w:pPr>
            <w:r w:rsidRPr="00894701">
              <w:rPr>
                <w:rFonts w:cs="Arial"/>
                <w:color w:val="auto"/>
                <w:sz w:val="16"/>
                <w:szCs w:val="16"/>
              </w:rPr>
              <w:t> </w:t>
            </w:r>
          </w:p>
        </w:tc>
        <w:tc>
          <w:tcPr>
            <w:tcW w:w="875" w:type="pct"/>
            <w:tcBorders>
              <w:top w:val="nil"/>
              <w:left w:val="nil"/>
              <w:bottom w:val="nil"/>
              <w:right w:val="nil"/>
            </w:tcBorders>
            <w:shd w:val="clear" w:color="000000" w:fill="F7A3B0"/>
            <w:noWrap/>
            <w:vAlign w:val="center"/>
            <w:hideMark/>
          </w:tcPr>
          <w:p w14:paraId="7734FA41" w14:textId="12754E97" w:rsidR="00F62C68" w:rsidRPr="00894701" w:rsidRDefault="00F62C68" w:rsidP="00F62C68">
            <w:pPr>
              <w:spacing w:after="0" w:line="240" w:lineRule="auto"/>
              <w:jc w:val="right"/>
              <w:rPr>
                <w:rFonts w:cs="Arial"/>
                <w:color w:val="auto"/>
                <w:kern w:val="0"/>
                <w:sz w:val="16"/>
                <w:szCs w:val="16"/>
                <w:lang w:eastAsia="fr-FR"/>
              </w:rPr>
            </w:pPr>
            <w:r w:rsidRPr="00894701">
              <w:rPr>
                <w:rFonts w:cs="Arial"/>
                <w:sz w:val="16"/>
                <w:szCs w:val="16"/>
              </w:rPr>
              <w:t> </w:t>
            </w:r>
          </w:p>
        </w:tc>
        <w:tc>
          <w:tcPr>
            <w:tcW w:w="894" w:type="pct"/>
            <w:tcBorders>
              <w:top w:val="nil"/>
              <w:left w:val="nil"/>
              <w:bottom w:val="nil"/>
              <w:right w:val="nil"/>
            </w:tcBorders>
            <w:shd w:val="clear" w:color="000000" w:fill="F7A3B0"/>
            <w:noWrap/>
            <w:vAlign w:val="center"/>
            <w:hideMark/>
          </w:tcPr>
          <w:p w14:paraId="4671937D" w14:textId="3954C1A2" w:rsidR="00F62C68" w:rsidRPr="00894701" w:rsidRDefault="00F62C68" w:rsidP="00F62C68">
            <w:pPr>
              <w:spacing w:after="0" w:line="240" w:lineRule="auto"/>
              <w:jc w:val="right"/>
              <w:rPr>
                <w:rFonts w:cs="Arial"/>
                <w:color w:val="auto"/>
                <w:kern w:val="0"/>
                <w:sz w:val="16"/>
                <w:szCs w:val="16"/>
                <w:lang w:eastAsia="fr-FR"/>
              </w:rPr>
            </w:pPr>
            <w:r w:rsidRPr="00894701">
              <w:rPr>
                <w:rFonts w:cs="Arial"/>
                <w:sz w:val="16"/>
                <w:szCs w:val="16"/>
              </w:rPr>
              <w:t> </w:t>
            </w:r>
          </w:p>
        </w:tc>
        <w:tc>
          <w:tcPr>
            <w:tcW w:w="1090" w:type="pct"/>
            <w:tcBorders>
              <w:top w:val="nil"/>
              <w:left w:val="nil"/>
              <w:bottom w:val="nil"/>
              <w:right w:val="nil"/>
            </w:tcBorders>
            <w:shd w:val="clear" w:color="000000" w:fill="F7A3B0"/>
            <w:vAlign w:val="center"/>
          </w:tcPr>
          <w:p w14:paraId="0E33F044" w14:textId="03954856" w:rsidR="00F62C68" w:rsidRPr="00894701" w:rsidRDefault="00F62C68" w:rsidP="00F62C68">
            <w:pPr>
              <w:spacing w:after="0" w:line="240" w:lineRule="auto"/>
              <w:jc w:val="right"/>
              <w:rPr>
                <w:rFonts w:cs="Arial"/>
                <w:color w:val="auto"/>
                <w:sz w:val="16"/>
                <w:szCs w:val="16"/>
              </w:rPr>
            </w:pPr>
            <w:r w:rsidRPr="00894701">
              <w:rPr>
                <w:rFonts w:cs="Arial"/>
                <w:sz w:val="16"/>
                <w:szCs w:val="16"/>
              </w:rPr>
              <w:t>3,766,800</w:t>
            </w:r>
          </w:p>
        </w:tc>
      </w:tr>
      <w:tr w:rsidR="00F62C68" w:rsidRPr="00894701" w14:paraId="0BE06255" w14:textId="77777777" w:rsidTr="00074980">
        <w:trPr>
          <w:trHeight w:val="20"/>
        </w:trPr>
        <w:tc>
          <w:tcPr>
            <w:tcW w:w="1728" w:type="pct"/>
            <w:tcBorders>
              <w:top w:val="nil"/>
              <w:left w:val="nil"/>
              <w:bottom w:val="nil"/>
              <w:right w:val="nil"/>
            </w:tcBorders>
            <w:shd w:val="clear" w:color="auto" w:fill="auto"/>
            <w:noWrap/>
            <w:vAlign w:val="center"/>
            <w:hideMark/>
          </w:tcPr>
          <w:p w14:paraId="659EAC9E" w14:textId="09DB8CE7" w:rsidR="00F62C68" w:rsidRPr="00894701" w:rsidRDefault="00F62C68" w:rsidP="00F62C68">
            <w:pPr>
              <w:spacing w:after="0" w:line="240" w:lineRule="auto"/>
              <w:rPr>
                <w:rFonts w:cs="Arial"/>
                <w:color w:val="auto"/>
                <w:kern w:val="0"/>
                <w:sz w:val="16"/>
                <w:szCs w:val="16"/>
                <w:lang w:eastAsia="fr-FR"/>
              </w:rPr>
            </w:pPr>
            <w:r w:rsidRPr="00894701">
              <w:rPr>
                <w:rFonts w:cs="Arial"/>
                <w:color w:val="auto"/>
                <w:sz w:val="16"/>
                <w:szCs w:val="16"/>
              </w:rPr>
              <w:t>Other</w:t>
            </w:r>
          </w:p>
        </w:tc>
        <w:tc>
          <w:tcPr>
            <w:tcW w:w="413" w:type="pct"/>
            <w:tcBorders>
              <w:top w:val="nil"/>
              <w:left w:val="nil"/>
              <w:bottom w:val="nil"/>
              <w:right w:val="nil"/>
            </w:tcBorders>
            <w:shd w:val="clear" w:color="auto" w:fill="auto"/>
            <w:noWrap/>
            <w:vAlign w:val="center"/>
            <w:hideMark/>
          </w:tcPr>
          <w:p w14:paraId="1351087C" w14:textId="46B91F28" w:rsidR="00F62C68" w:rsidRPr="00894701" w:rsidRDefault="00F62C68" w:rsidP="00F62C68">
            <w:pPr>
              <w:spacing w:after="0" w:line="240" w:lineRule="auto"/>
              <w:rPr>
                <w:rFonts w:cs="Arial"/>
                <w:color w:val="auto"/>
                <w:kern w:val="0"/>
                <w:sz w:val="16"/>
                <w:szCs w:val="16"/>
                <w:lang w:eastAsia="fr-FR"/>
              </w:rPr>
            </w:pPr>
          </w:p>
        </w:tc>
        <w:tc>
          <w:tcPr>
            <w:tcW w:w="875" w:type="pct"/>
            <w:tcBorders>
              <w:top w:val="nil"/>
              <w:left w:val="nil"/>
              <w:bottom w:val="nil"/>
              <w:right w:val="nil"/>
            </w:tcBorders>
            <w:shd w:val="clear" w:color="auto" w:fill="auto"/>
            <w:noWrap/>
            <w:vAlign w:val="center"/>
            <w:hideMark/>
          </w:tcPr>
          <w:p w14:paraId="26BF43C8" w14:textId="1104AE9D" w:rsidR="00F62C68" w:rsidRPr="00894701" w:rsidRDefault="00F62C68" w:rsidP="00F62C68">
            <w:pPr>
              <w:spacing w:after="0" w:line="240" w:lineRule="auto"/>
              <w:jc w:val="right"/>
              <w:rPr>
                <w:rFonts w:cs="Arial"/>
                <w:color w:val="auto"/>
                <w:kern w:val="0"/>
                <w:sz w:val="16"/>
                <w:szCs w:val="16"/>
                <w:lang w:eastAsia="fr-FR"/>
              </w:rPr>
            </w:pPr>
            <w:r w:rsidRPr="00894701">
              <w:rPr>
                <w:rFonts w:cs="Arial"/>
                <w:sz w:val="16"/>
                <w:szCs w:val="16"/>
              </w:rPr>
              <w:t>895,514,298</w:t>
            </w:r>
          </w:p>
        </w:tc>
        <w:tc>
          <w:tcPr>
            <w:tcW w:w="894" w:type="pct"/>
            <w:tcBorders>
              <w:top w:val="nil"/>
              <w:left w:val="nil"/>
              <w:bottom w:val="nil"/>
              <w:right w:val="nil"/>
            </w:tcBorders>
            <w:shd w:val="clear" w:color="auto" w:fill="auto"/>
            <w:noWrap/>
            <w:vAlign w:val="center"/>
            <w:hideMark/>
          </w:tcPr>
          <w:p w14:paraId="1298151E" w14:textId="7BAB6651" w:rsidR="00F62C68" w:rsidRPr="00894701" w:rsidRDefault="00F62C68" w:rsidP="00F62C68">
            <w:pPr>
              <w:spacing w:after="0" w:line="240" w:lineRule="auto"/>
              <w:jc w:val="right"/>
              <w:rPr>
                <w:rFonts w:cs="Arial"/>
                <w:color w:val="auto"/>
                <w:kern w:val="0"/>
                <w:sz w:val="16"/>
                <w:szCs w:val="16"/>
                <w:lang w:eastAsia="fr-FR"/>
              </w:rPr>
            </w:pPr>
            <w:r w:rsidRPr="00894701">
              <w:rPr>
                <w:rFonts w:cs="Arial"/>
                <w:sz w:val="16"/>
                <w:szCs w:val="16"/>
              </w:rPr>
              <w:t>57,674,425</w:t>
            </w:r>
          </w:p>
        </w:tc>
        <w:tc>
          <w:tcPr>
            <w:tcW w:w="1090" w:type="pct"/>
            <w:tcBorders>
              <w:top w:val="nil"/>
              <w:left w:val="nil"/>
              <w:bottom w:val="nil"/>
              <w:right w:val="nil"/>
            </w:tcBorders>
            <w:vAlign w:val="center"/>
          </w:tcPr>
          <w:p w14:paraId="6F6EE1FC" w14:textId="798134D9" w:rsidR="00F62C68" w:rsidRPr="00894701" w:rsidRDefault="00F62C68" w:rsidP="00F62C68">
            <w:pPr>
              <w:spacing w:after="0" w:line="240" w:lineRule="auto"/>
              <w:jc w:val="right"/>
              <w:rPr>
                <w:rFonts w:cs="Arial"/>
                <w:color w:val="auto"/>
                <w:sz w:val="16"/>
                <w:szCs w:val="16"/>
              </w:rPr>
            </w:pPr>
            <w:r w:rsidRPr="00894701">
              <w:rPr>
                <w:rFonts w:cs="Arial"/>
                <w:sz w:val="16"/>
                <w:szCs w:val="16"/>
              </w:rPr>
              <w:t>1,098,462</w:t>
            </w:r>
          </w:p>
        </w:tc>
      </w:tr>
      <w:tr w:rsidR="00F62C68" w:rsidRPr="00894701" w14:paraId="36991F31" w14:textId="77777777" w:rsidTr="00074980">
        <w:trPr>
          <w:trHeight w:val="20"/>
        </w:trPr>
        <w:tc>
          <w:tcPr>
            <w:tcW w:w="1728" w:type="pct"/>
            <w:tcBorders>
              <w:top w:val="nil"/>
              <w:left w:val="nil"/>
              <w:bottom w:val="nil"/>
              <w:right w:val="nil"/>
            </w:tcBorders>
            <w:shd w:val="clear" w:color="000000" w:fill="685040"/>
            <w:noWrap/>
            <w:vAlign w:val="center"/>
            <w:hideMark/>
          </w:tcPr>
          <w:p w14:paraId="3A290C01" w14:textId="14F7FB5C" w:rsidR="00F62C68" w:rsidRPr="00894701" w:rsidRDefault="00F62C68" w:rsidP="00F62C68">
            <w:pPr>
              <w:spacing w:after="0" w:line="240" w:lineRule="auto"/>
              <w:rPr>
                <w:rFonts w:cs="Arial"/>
                <w:b/>
                <w:bCs/>
                <w:color w:val="auto"/>
                <w:kern w:val="0"/>
                <w:sz w:val="16"/>
                <w:szCs w:val="16"/>
                <w:lang w:eastAsia="fr-FR"/>
              </w:rPr>
            </w:pPr>
            <w:r w:rsidRPr="00894701">
              <w:rPr>
                <w:rFonts w:cs="Arial"/>
                <w:b/>
                <w:bCs/>
                <w:color w:val="FFFFFF"/>
                <w:sz w:val="16"/>
                <w:szCs w:val="16"/>
              </w:rPr>
              <w:t>Total</w:t>
            </w:r>
          </w:p>
        </w:tc>
        <w:tc>
          <w:tcPr>
            <w:tcW w:w="413" w:type="pct"/>
            <w:tcBorders>
              <w:top w:val="nil"/>
              <w:left w:val="nil"/>
              <w:bottom w:val="nil"/>
              <w:right w:val="nil"/>
            </w:tcBorders>
            <w:shd w:val="clear" w:color="000000" w:fill="685040"/>
            <w:noWrap/>
            <w:vAlign w:val="center"/>
            <w:hideMark/>
          </w:tcPr>
          <w:p w14:paraId="53BE53E2" w14:textId="338C98F8" w:rsidR="00F62C68" w:rsidRPr="00894701" w:rsidRDefault="00F62C68" w:rsidP="00F62C68">
            <w:pPr>
              <w:spacing w:after="0" w:line="240" w:lineRule="auto"/>
              <w:rPr>
                <w:rFonts w:cs="Arial"/>
                <w:b/>
                <w:bCs/>
                <w:color w:val="auto"/>
                <w:kern w:val="0"/>
                <w:sz w:val="16"/>
                <w:szCs w:val="16"/>
                <w:lang w:eastAsia="fr-FR"/>
              </w:rPr>
            </w:pPr>
            <w:r w:rsidRPr="00894701">
              <w:rPr>
                <w:rFonts w:cs="Arial"/>
                <w:b/>
                <w:bCs/>
                <w:color w:val="FFFFFF"/>
                <w:sz w:val="16"/>
                <w:szCs w:val="16"/>
              </w:rPr>
              <w:t> </w:t>
            </w:r>
          </w:p>
        </w:tc>
        <w:tc>
          <w:tcPr>
            <w:tcW w:w="875" w:type="pct"/>
            <w:tcBorders>
              <w:top w:val="nil"/>
              <w:left w:val="nil"/>
              <w:bottom w:val="nil"/>
              <w:right w:val="nil"/>
            </w:tcBorders>
            <w:shd w:val="clear" w:color="000000" w:fill="685040"/>
            <w:noWrap/>
            <w:vAlign w:val="center"/>
            <w:hideMark/>
          </w:tcPr>
          <w:p w14:paraId="47A4F6EB" w14:textId="6CD559BF" w:rsidR="00F62C68" w:rsidRPr="00894701" w:rsidRDefault="00F62C68" w:rsidP="00F62C68">
            <w:pPr>
              <w:spacing w:after="0" w:line="240" w:lineRule="auto"/>
              <w:jc w:val="right"/>
              <w:rPr>
                <w:rFonts w:cs="Arial"/>
                <w:b/>
                <w:bCs/>
                <w:color w:val="auto"/>
                <w:kern w:val="0"/>
                <w:sz w:val="16"/>
                <w:szCs w:val="16"/>
                <w:lang w:eastAsia="fr-FR"/>
              </w:rPr>
            </w:pPr>
            <w:r w:rsidRPr="00894701">
              <w:rPr>
                <w:rFonts w:cs="Arial"/>
                <w:b/>
                <w:bCs/>
                <w:color w:val="FFFFFF"/>
                <w:sz w:val="16"/>
                <w:szCs w:val="16"/>
              </w:rPr>
              <w:t>1,896,682,068</w:t>
            </w:r>
          </w:p>
        </w:tc>
        <w:tc>
          <w:tcPr>
            <w:tcW w:w="894" w:type="pct"/>
            <w:tcBorders>
              <w:top w:val="nil"/>
              <w:left w:val="nil"/>
              <w:bottom w:val="nil"/>
              <w:right w:val="nil"/>
            </w:tcBorders>
            <w:shd w:val="clear" w:color="000000" w:fill="685040"/>
            <w:noWrap/>
            <w:vAlign w:val="center"/>
            <w:hideMark/>
          </w:tcPr>
          <w:p w14:paraId="1EA16BD7" w14:textId="4FE0EA66" w:rsidR="00F62C68" w:rsidRPr="00894701" w:rsidRDefault="00F62C68" w:rsidP="00F62C68">
            <w:pPr>
              <w:spacing w:after="0" w:line="240" w:lineRule="auto"/>
              <w:jc w:val="right"/>
              <w:rPr>
                <w:rFonts w:cs="Arial"/>
                <w:b/>
                <w:bCs/>
                <w:color w:val="auto"/>
                <w:kern w:val="0"/>
                <w:sz w:val="16"/>
                <w:szCs w:val="16"/>
                <w:lang w:eastAsia="fr-FR"/>
              </w:rPr>
            </w:pPr>
            <w:r w:rsidRPr="00894701">
              <w:rPr>
                <w:rFonts w:cs="Arial"/>
                <w:b/>
                <w:bCs/>
                <w:color w:val="FFFFFF"/>
                <w:sz w:val="16"/>
                <w:szCs w:val="16"/>
              </w:rPr>
              <w:t>1,120,024,100</w:t>
            </w:r>
          </w:p>
        </w:tc>
        <w:tc>
          <w:tcPr>
            <w:tcW w:w="1090" w:type="pct"/>
            <w:tcBorders>
              <w:top w:val="nil"/>
              <w:left w:val="nil"/>
              <w:bottom w:val="nil"/>
              <w:right w:val="nil"/>
            </w:tcBorders>
            <w:shd w:val="clear" w:color="000000" w:fill="685040"/>
            <w:vAlign w:val="center"/>
          </w:tcPr>
          <w:p w14:paraId="31B2E21C" w14:textId="028D2832" w:rsidR="00F62C68" w:rsidRPr="00894701" w:rsidRDefault="00F62C68" w:rsidP="00F62C68">
            <w:pPr>
              <w:spacing w:after="0" w:line="240" w:lineRule="auto"/>
              <w:jc w:val="right"/>
              <w:rPr>
                <w:rFonts w:cs="Arial"/>
                <w:b/>
                <w:bCs/>
                <w:color w:val="auto"/>
                <w:sz w:val="16"/>
                <w:szCs w:val="16"/>
              </w:rPr>
            </w:pPr>
            <w:r w:rsidRPr="00894701">
              <w:rPr>
                <w:rFonts w:cs="Arial"/>
                <w:b/>
                <w:bCs/>
                <w:color w:val="FFFFFF"/>
                <w:sz w:val="16"/>
                <w:szCs w:val="16"/>
              </w:rPr>
              <w:t>1,575,829,164</w:t>
            </w:r>
          </w:p>
        </w:tc>
      </w:tr>
    </w:tbl>
    <w:p w14:paraId="4F8E08DF" w14:textId="77777777" w:rsidR="0017382F" w:rsidRPr="00894701" w:rsidRDefault="0017382F" w:rsidP="00074980">
      <w:pPr>
        <w:spacing w:after="0" w:line="240" w:lineRule="auto"/>
        <w:rPr>
          <w:rStyle w:val="Emphasis"/>
        </w:rPr>
      </w:pPr>
      <w:bookmarkStart w:id="435" w:name="_Toc101350065"/>
    </w:p>
    <w:p w14:paraId="6E9BF012" w14:textId="1602D44F" w:rsidR="006A53B8" w:rsidRPr="00894701" w:rsidRDefault="006A53B8" w:rsidP="00074980">
      <w:pPr>
        <w:spacing w:after="0"/>
        <w:jc w:val="center"/>
        <w:rPr>
          <w:b/>
          <w:i/>
          <w:iCs/>
          <w:sz w:val="20"/>
          <w:szCs w:val="20"/>
        </w:rPr>
      </w:pPr>
      <w:bookmarkStart w:id="436" w:name="_Toc146590580"/>
      <w:r w:rsidRPr="00894701">
        <w:rPr>
          <w:b/>
          <w:i/>
          <w:iCs/>
          <w:sz w:val="20"/>
          <w:szCs w:val="20"/>
        </w:rPr>
        <w:t xml:space="preserve">Figure </w:t>
      </w:r>
      <w:r w:rsidRPr="00894701">
        <w:rPr>
          <w:b/>
          <w:i/>
          <w:iCs/>
          <w:sz w:val="20"/>
          <w:szCs w:val="20"/>
        </w:rPr>
        <w:fldChar w:fldCharType="begin"/>
      </w:r>
      <w:r w:rsidRPr="00894701">
        <w:rPr>
          <w:b/>
          <w:i/>
          <w:iCs/>
          <w:sz w:val="20"/>
          <w:szCs w:val="20"/>
        </w:rPr>
        <w:instrText xml:space="preserve"> SEQ Figure \* ARABIC </w:instrText>
      </w:r>
      <w:r w:rsidRPr="00894701">
        <w:rPr>
          <w:b/>
          <w:i/>
          <w:iCs/>
          <w:sz w:val="20"/>
          <w:szCs w:val="20"/>
        </w:rPr>
        <w:fldChar w:fldCharType="separate"/>
      </w:r>
      <w:r w:rsidR="0035303B">
        <w:rPr>
          <w:b/>
          <w:i/>
          <w:iCs/>
          <w:noProof/>
          <w:sz w:val="20"/>
          <w:szCs w:val="20"/>
        </w:rPr>
        <w:t>15</w:t>
      </w:r>
      <w:r w:rsidRPr="00894701">
        <w:rPr>
          <w:b/>
          <w:i/>
          <w:iCs/>
          <w:sz w:val="20"/>
          <w:szCs w:val="20"/>
        </w:rPr>
        <w:fldChar w:fldCharType="end"/>
      </w:r>
      <w:r w:rsidRPr="00894701">
        <w:rPr>
          <w:b/>
          <w:i/>
          <w:iCs/>
          <w:sz w:val="20"/>
          <w:szCs w:val="20"/>
        </w:rPr>
        <w:t>: top four payment stream for the fiscal years 2018, 2019 and 2020</w:t>
      </w:r>
      <w:bookmarkEnd w:id="436"/>
    </w:p>
    <w:tbl>
      <w:tblPr>
        <w:tblStyle w:val="TableGrid"/>
        <w:tblW w:w="5078" w:type="pct"/>
        <w:tblLook w:val="04A0" w:firstRow="1" w:lastRow="0" w:firstColumn="1" w:lastColumn="0" w:noHBand="0" w:noVBand="1"/>
      </w:tblPr>
      <w:tblGrid>
        <w:gridCol w:w="5033"/>
        <w:gridCol w:w="5180"/>
        <w:gridCol w:w="5720"/>
      </w:tblGrid>
      <w:tr w:rsidR="00F54453" w:rsidRPr="00894701" w14:paraId="323E366D" w14:textId="77777777" w:rsidTr="001C5E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pct"/>
          </w:tcPr>
          <w:p w14:paraId="6F55E30A" w14:textId="77777777" w:rsidR="006A53B8" w:rsidRPr="00894701" w:rsidRDefault="006A53B8" w:rsidP="002209C2">
            <w:pPr>
              <w:pStyle w:val="BodyText"/>
              <w:jc w:val="center"/>
              <w:rPr>
                <w:color w:val="000000" w:themeColor="text1"/>
                <w:sz w:val="20"/>
                <w:szCs w:val="20"/>
              </w:rPr>
            </w:pPr>
            <w:r w:rsidRPr="00894701">
              <w:rPr>
                <w:b/>
                <w:bCs/>
                <w:noProof/>
                <w:color w:val="C00000"/>
              </w:rPr>
              <w:t>FY 2018</w:t>
            </w:r>
          </w:p>
        </w:tc>
        <w:tc>
          <w:tcPr>
            <w:tcW w:w="1598" w:type="pct"/>
          </w:tcPr>
          <w:p w14:paraId="4CF3FB2E" w14:textId="77777777" w:rsidR="006A53B8" w:rsidRPr="00894701" w:rsidRDefault="006A53B8" w:rsidP="002209C2">
            <w:pPr>
              <w:pStyle w:val="BodyText"/>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894701">
              <w:rPr>
                <w:b/>
                <w:bCs/>
                <w:noProof/>
                <w:color w:val="C00000"/>
              </w:rPr>
              <w:t>FY 2019</w:t>
            </w:r>
          </w:p>
        </w:tc>
        <w:tc>
          <w:tcPr>
            <w:tcW w:w="1845" w:type="pct"/>
          </w:tcPr>
          <w:p w14:paraId="46F7F9FD" w14:textId="77777777" w:rsidR="006A53B8" w:rsidRPr="00894701" w:rsidRDefault="006A53B8" w:rsidP="002209C2">
            <w:pPr>
              <w:pStyle w:val="BodyText"/>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894701">
              <w:rPr>
                <w:b/>
                <w:bCs/>
                <w:noProof/>
                <w:color w:val="C00000"/>
              </w:rPr>
              <w:t>FY 2020</w:t>
            </w:r>
          </w:p>
        </w:tc>
      </w:tr>
      <w:tr w:rsidR="00F54453" w:rsidRPr="00894701" w14:paraId="587BCF15" w14:textId="77777777" w:rsidTr="001C5E04">
        <w:tblPrEx>
          <w:tblCellMar>
            <w:left w:w="70" w:type="dxa"/>
            <w:right w:w="7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pct"/>
          </w:tcPr>
          <w:p w14:paraId="17BAD36F" w14:textId="20E5F4C0" w:rsidR="006A53B8" w:rsidRPr="00894701" w:rsidRDefault="006A53B8" w:rsidP="002209C2">
            <w:pPr>
              <w:pStyle w:val="BodyText"/>
              <w:jc w:val="both"/>
              <w:rPr>
                <w:color w:val="000000" w:themeColor="text1"/>
                <w:sz w:val="20"/>
                <w:szCs w:val="20"/>
              </w:rPr>
            </w:pPr>
            <w:r w:rsidRPr="00894701" w:rsidDel="006B5928">
              <w:rPr>
                <w:noProof/>
                <w:lang w:val="fr-FR" w:eastAsia="fr-FR"/>
              </w:rPr>
              <w:t xml:space="preserve"> </w:t>
            </w:r>
            <w:r w:rsidRPr="00894701">
              <w:rPr>
                <w:noProof/>
                <w:lang w:val="en-US" w:eastAsia="en-US"/>
              </w:rPr>
              <w:drawing>
                <wp:inline distT="0" distB="0" distL="0" distR="0" wp14:anchorId="30EB2565" wp14:editId="70A4E971">
                  <wp:extent cx="3107055" cy="2142066"/>
                  <wp:effectExtent l="0" t="0" r="0" b="0"/>
                  <wp:docPr id="40" name="Graphique 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5000-00001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c>
          <w:tcPr>
            <w:tcW w:w="1598" w:type="pct"/>
          </w:tcPr>
          <w:p w14:paraId="754E0903" w14:textId="6AFC40A3" w:rsidR="006A53B8" w:rsidRPr="00894701" w:rsidRDefault="006A53B8" w:rsidP="002209C2">
            <w:pPr>
              <w:pStyle w:val="BodyText"/>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94701" w:rsidDel="006B5928">
              <w:rPr>
                <w:noProof/>
                <w:lang w:val="fr-FR" w:eastAsia="fr-FR"/>
              </w:rPr>
              <w:t xml:space="preserve"> </w:t>
            </w:r>
            <w:r w:rsidR="00F54453" w:rsidRPr="00894701">
              <w:rPr>
                <w:noProof/>
                <w:lang w:val="en-US" w:eastAsia="en-US"/>
              </w:rPr>
              <w:drawing>
                <wp:inline distT="0" distB="0" distL="0" distR="0" wp14:anchorId="6A48AB04" wp14:editId="019C947B">
                  <wp:extent cx="3191510" cy="2028825"/>
                  <wp:effectExtent l="0" t="0" r="8890" b="0"/>
                  <wp:docPr id="41" name="Graphique 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5000-00001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c>
          <w:tcPr>
            <w:tcW w:w="1845" w:type="pct"/>
          </w:tcPr>
          <w:p w14:paraId="4DBCA110" w14:textId="36903621" w:rsidR="006A53B8" w:rsidRPr="00894701" w:rsidRDefault="006A53B8" w:rsidP="002209C2">
            <w:pPr>
              <w:pStyle w:val="BodyText"/>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94701" w:rsidDel="006B5928">
              <w:rPr>
                <w:noProof/>
                <w:lang w:val="fr-FR" w:eastAsia="fr-FR"/>
              </w:rPr>
              <w:t xml:space="preserve"> </w:t>
            </w:r>
            <w:r w:rsidR="00F54453" w:rsidRPr="00894701">
              <w:rPr>
                <w:noProof/>
                <w:lang w:val="en-US" w:eastAsia="en-US"/>
              </w:rPr>
              <w:drawing>
                <wp:inline distT="0" distB="0" distL="0" distR="0" wp14:anchorId="55795B97" wp14:editId="6EF8F30B">
                  <wp:extent cx="3543300" cy="2343150"/>
                  <wp:effectExtent l="0" t="0" r="0" b="0"/>
                  <wp:docPr id="42" name="Graphique 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5000-00001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bl>
    <w:p w14:paraId="3227088E" w14:textId="6BA71DC1" w:rsidR="00A16FEA" w:rsidRPr="00894701" w:rsidRDefault="00A16FEA" w:rsidP="00074980">
      <w:pPr>
        <w:spacing w:after="0"/>
        <w:jc w:val="both"/>
        <w:rPr>
          <w:rFonts w:asciiTheme="majorHAnsi" w:hAnsiTheme="majorHAnsi" w:cs="Arial"/>
          <w:i/>
          <w:color w:val="auto"/>
          <w:szCs w:val="18"/>
        </w:rPr>
        <w:sectPr w:rsidR="00A16FEA" w:rsidRPr="00894701" w:rsidSect="00446B8D">
          <w:footerReference w:type="default" r:id="rId71"/>
          <w:pgSz w:w="16838" w:h="11906" w:orient="landscape" w:code="9"/>
          <w:pgMar w:top="1440" w:right="1440" w:bottom="1440" w:left="1440" w:header="851" w:footer="750" w:gutter="0"/>
          <w:cols w:space="708"/>
          <w:docGrid w:linePitch="360"/>
        </w:sectPr>
      </w:pPr>
      <w:bookmarkStart w:id="437" w:name="_Toc101350071"/>
      <w:bookmarkStart w:id="438" w:name="_Toc104555417"/>
      <w:bookmarkStart w:id="439" w:name="_Toc433375963"/>
      <w:bookmarkStart w:id="440" w:name="_Toc320563510"/>
      <w:bookmarkStart w:id="441" w:name="_Toc458965385"/>
      <w:bookmarkStart w:id="442" w:name="_Toc517996507"/>
      <w:bookmarkStart w:id="443" w:name="_Toc6925757"/>
      <w:bookmarkEnd w:id="435"/>
    </w:p>
    <w:p w14:paraId="11DC9343" w14:textId="77777777" w:rsidR="002F4BAB" w:rsidRPr="00894701" w:rsidRDefault="002F4BAB" w:rsidP="00DA1DED">
      <w:pPr>
        <w:pStyle w:val="ListParagraph"/>
        <w:numPr>
          <w:ilvl w:val="1"/>
          <w:numId w:val="7"/>
        </w:numPr>
        <w:ind w:left="851" w:right="482" w:hanging="851"/>
        <w:outlineLvl w:val="1"/>
        <w:rPr>
          <w:b/>
          <w:sz w:val="28"/>
          <w:szCs w:val="28"/>
        </w:rPr>
      </w:pPr>
      <w:bookmarkStart w:id="444" w:name="_Toc6189187"/>
      <w:bookmarkStart w:id="445" w:name="_Toc6925746"/>
      <w:bookmarkStart w:id="446" w:name="_Toc536180763"/>
      <w:bookmarkStart w:id="447" w:name="_Toc551448"/>
      <w:bookmarkStart w:id="448" w:name="_Toc101350050"/>
      <w:bookmarkStart w:id="449" w:name="_Toc104555408"/>
      <w:bookmarkStart w:id="450" w:name="_Toc122478943"/>
      <w:r w:rsidRPr="00894701">
        <w:rPr>
          <w:b/>
          <w:sz w:val="28"/>
          <w:szCs w:val="28"/>
        </w:rPr>
        <w:t>Revenues collected from</w:t>
      </w:r>
      <w:bookmarkEnd w:id="444"/>
      <w:bookmarkEnd w:id="445"/>
      <w:bookmarkEnd w:id="446"/>
      <w:bookmarkEnd w:id="447"/>
      <w:r w:rsidRPr="00894701">
        <w:rPr>
          <w:b/>
          <w:sz w:val="28"/>
          <w:szCs w:val="28"/>
        </w:rPr>
        <w:t xml:space="preserve"> in-scope companies</w:t>
      </w:r>
      <w:bookmarkEnd w:id="448"/>
      <w:bookmarkEnd w:id="449"/>
      <w:bookmarkEnd w:id="450"/>
    </w:p>
    <w:p w14:paraId="560A2DA8" w14:textId="77777777" w:rsidR="002F4BAB" w:rsidRPr="00894701" w:rsidRDefault="002F4BAB" w:rsidP="00562A5A">
      <w:pPr>
        <w:jc w:val="both"/>
        <w:rPr>
          <w:rFonts w:cs="Arial"/>
          <w:bCs/>
          <w:color w:val="auto"/>
          <w:kern w:val="0"/>
          <w:sz w:val="20"/>
          <w:szCs w:val="20"/>
          <w:lang w:eastAsia="en-US"/>
        </w:rPr>
      </w:pPr>
      <w:r w:rsidRPr="00894701">
        <w:rPr>
          <w:rFonts w:cs="Arial"/>
          <w:bCs/>
          <w:color w:val="auto"/>
          <w:kern w:val="0"/>
          <w:sz w:val="20"/>
          <w:szCs w:val="20"/>
          <w:lang w:eastAsia="en-US"/>
        </w:rPr>
        <w:t>Detailed results of the reconciliation exercises, as well as differences noted between amounts paid by oil and gas companies and received by Government agencies are set out below. The tables below highlight the amounts initially reported and the adjustments made following the reconciliation work, as well as the final amounts and unreconciled differences.</w:t>
      </w:r>
      <w:bookmarkStart w:id="451" w:name="_Toc374900498"/>
      <w:bookmarkStart w:id="452" w:name="_Toc375226630"/>
      <w:bookmarkStart w:id="453" w:name="_Toc390963036"/>
      <w:bookmarkStart w:id="454" w:name="_Toc433375947"/>
      <w:bookmarkStart w:id="455" w:name="_Toc320563503"/>
      <w:bookmarkStart w:id="456" w:name="_Toc380014953"/>
      <w:bookmarkStart w:id="457" w:name="_Toc433400143"/>
    </w:p>
    <w:p w14:paraId="5F866856" w14:textId="78FE4DF9" w:rsidR="002F4BAB" w:rsidRPr="00894701" w:rsidRDefault="002F4BAB" w:rsidP="004278D1">
      <w:pPr>
        <w:pStyle w:val="AltMinorHeading"/>
        <w:numPr>
          <w:ilvl w:val="2"/>
          <w:numId w:val="71"/>
        </w:numPr>
        <w:spacing w:before="0" w:after="120"/>
        <w:ind w:right="454"/>
        <w:rPr>
          <w:rStyle w:val="Emphasis"/>
        </w:rPr>
      </w:pPr>
      <w:bookmarkStart w:id="458" w:name="_Toc101350052"/>
      <w:bookmarkStart w:id="459" w:name="_Toc104555409"/>
      <w:bookmarkStart w:id="460" w:name="_Toc122478944"/>
      <w:r w:rsidRPr="00894701">
        <w:rPr>
          <w:rStyle w:val="Emphasis"/>
        </w:rPr>
        <w:t>Reconciliation results</w:t>
      </w:r>
      <w:bookmarkEnd w:id="458"/>
      <w:bookmarkEnd w:id="459"/>
      <w:bookmarkEnd w:id="460"/>
    </w:p>
    <w:p w14:paraId="425D9112" w14:textId="26A02CB8" w:rsidR="002F4BAB" w:rsidRPr="00894701" w:rsidRDefault="002F4BAB" w:rsidP="002F4BAB">
      <w:pPr>
        <w:pStyle w:val="AltMinorSubHeading"/>
        <w:numPr>
          <w:ilvl w:val="0"/>
          <w:numId w:val="0"/>
        </w:numPr>
        <w:spacing w:before="120" w:after="120"/>
        <w:rPr>
          <w:color w:val="ED1A3B"/>
        </w:rPr>
      </w:pPr>
      <w:bookmarkStart w:id="461" w:name="_Toc101350053"/>
      <w:bookmarkStart w:id="462" w:name="_Toc122478945"/>
      <w:bookmarkEnd w:id="451"/>
      <w:bookmarkEnd w:id="452"/>
      <w:bookmarkEnd w:id="453"/>
      <w:bookmarkEnd w:id="454"/>
      <w:r w:rsidRPr="00894701">
        <w:rPr>
          <w:iCs w:val="0"/>
          <w:color w:val="ED1A3B"/>
        </w:rPr>
        <w:t>5.2.1.(a) Reconciliation by Company</w:t>
      </w:r>
      <w:bookmarkEnd w:id="461"/>
      <w:bookmarkEnd w:id="462"/>
    </w:p>
    <w:bookmarkEnd w:id="455"/>
    <w:bookmarkEnd w:id="456"/>
    <w:bookmarkEnd w:id="457"/>
    <w:p w14:paraId="1A93339C" w14:textId="6C4949B1" w:rsidR="002F4BAB" w:rsidRPr="00894701" w:rsidRDefault="00987A9B" w:rsidP="00DA1DED">
      <w:pPr>
        <w:spacing w:after="0"/>
        <w:jc w:val="both"/>
        <w:rPr>
          <w:rFonts w:cs="Arial"/>
          <w:bCs/>
          <w:color w:val="auto"/>
          <w:kern w:val="0"/>
          <w:sz w:val="20"/>
          <w:szCs w:val="20"/>
          <w:lang w:eastAsia="en-US"/>
        </w:rPr>
      </w:pPr>
      <w:r w:rsidRPr="004E4658">
        <w:rPr>
          <w:rFonts w:cs="Arial"/>
          <w:bCs/>
          <w:color w:val="auto"/>
          <w:kern w:val="0"/>
          <w:sz w:val="20"/>
          <w:szCs w:val="20"/>
          <w:lang w:eastAsia="en-US"/>
        </w:rPr>
        <w:t xml:space="preserve">The table below summarises the differences between the payments reported by extractive entities and receipts reported by Government Agencies. It includes consolidated figures based on the reporting templates prepared by each company and Government Agency, adjustments made by us following </w:t>
      </w:r>
      <w:r>
        <w:rPr>
          <w:rFonts w:cs="Arial"/>
          <w:bCs/>
          <w:color w:val="auto"/>
          <w:kern w:val="0"/>
          <w:sz w:val="20"/>
          <w:szCs w:val="20"/>
          <w:lang w:eastAsia="en-US"/>
        </w:rPr>
        <w:t>the</w:t>
      </w:r>
      <w:r w:rsidRPr="004E4658">
        <w:rPr>
          <w:rFonts w:cs="Arial"/>
          <w:bCs/>
          <w:color w:val="auto"/>
          <w:kern w:val="0"/>
          <w:sz w:val="20"/>
          <w:szCs w:val="20"/>
          <w:lang w:eastAsia="en-US"/>
        </w:rPr>
        <w:t xml:space="preserve"> reconciliation work and the residual, unreconciled differences. Details of the adjustments are presented in Section 5</w:t>
      </w:r>
      <w:r>
        <w:rPr>
          <w:rFonts w:cs="Arial"/>
          <w:bCs/>
          <w:color w:val="auto"/>
          <w:kern w:val="0"/>
          <w:sz w:val="20"/>
          <w:szCs w:val="20"/>
          <w:lang w:eastAsia="en-US"/>
        </w:rPr>
        <w:t>.2.2</w:t>
      </w:r>
      <w:r w:rsidRPr="004E4658">
        <w:rPr>
          <w:rFonts w:cs="Arial"/>
          <w:bCs/>
          <w:color w:val="auto"/>
          <w:kern w:val="0"/>
          <w:sz w:val="20"/>
          <w:szCs w:val="20"/>
          <w:lang w:eastAsia="en-US"/>
        </w:rPr>
        <w:t xml:space="preserve"> of this report and </w:t>
      </w:r>
      <w:r>
        <w:rPr>
          <w:rFonts w:cs="Arial"/>
          <w:bCs/>
          <w:color w:val="auto"/>
          <w:kern w:val="0"/>
          <w:sz w:val="20"/>
          <w:szCs w:val="20"/>
          <w:lang w:eastAsia="en-US"/>
        </w:rPr>
        <w:t>the</w:t>
      </w:r>
      <w:r w:rsidRPr="004E4658">
        <w:rPr>
          <w:rFonts w:cs="Arial"/>
          <w:bCs/>
          <w:color w:val="auto"/>
          <w:kern w:val="0"/>
          <w:sz w:val="20"/>
          <w:szCs w:val="20"/>
          <w:lang w:eastAsia="en-US"/>
        </w:rPr>
        <w:t xml:space="preserve"> reconciliation sheets for each company </w:t>
      </w:r>
      <w:r>
        <w:rPr>
          <w:rFonts w:cs="Arial"/>
          <w:bCs/>
          <w:color w:val="auto"/>
          <w:kern w:val="0"/>
          <w:sz w:val="20"/>
          <w:szCs w:val="20"/>
          <w:lang w:eastAsia="en-US"/>
        </w:rPr>
        <w:t>can be found</w:t>
      </w:r>
      <w:r w:rsidRPr="004E4658">
        <w:rPr>
          <w:rFonts w:cs="Arial"/>
          <w:bCs/>
          <w:color w:val="auto"/>
          <w:kern w:val="0"/>
          <w:sz w:val="20"/>
          <w:szCs w:val="20"/>
          <w:lang w:eastAsia="en-US"/>
        </w:rPr>
        <w:t xml:space="preserve"> in </w:t>
      </w:r>
      <w:r w:rsidRPr="004E4658">
        <w:rPr>
          <w:rFonts w:cs="Arial"/>
          <w:b/>
          <w:color w:val="auto"/>
          <w:kern w:val="0"/>
          <w:sz w:val="20"/>
          <w:szCs w:val="20"/>
          <w:lang w:eastAsia="en-US"/>
        </w:rPr>
        <w:t xml:space="preserve">Annex </w:t>
      </w:r>
      <w:r>
        <w:rPr>
          <w:rFonts w:cs="Arial"/>
          <w:b/>
          <w:color w:val="auto"/>
          <w:kern w:val="0"/>
          <w:sz w:val="20"/>
          <w:szCs w:val="20"/>
          <w:lang w:eastAsia="en-US"/>
        </w:rPr>
        <w:t>6</w:t>
      </w:r>
      <w:r w:rsidRPr="004E4658">
        <w:rPr>
          <w:rFonts w:cs="Arial"/>
          <w:bCs/>
          <w:color w:val="auto"/>
          <w:kern w:val="0"/>
          <w:sz w:val="20"/>
          <w:szCs w:val="20"/>
          <w:lang w:eastAsia="en-US"/>
        </w:rPr>
        <w:t xml:space="preserve"> of this report.</w:t>
      </w:r>
    </w:p>
    <w:p w14:paraId="6DFA5D73" w14:textId="0597A8B4" w:rsidR="002F4BAB" w:rsidRPr="00894701" w:rsidRDefault="002F4BAB" w:rsidP="001A2414">
      <w:pPr>
        <w:pStyle w:val="BodyText"/>
        <w:spacing w:after="0"/>
        <w:jc w:val="right"/>
        <w:rPr>
          <w:b/>
          <w:bCs/>
          <w:color w:val="98002E" w:themeColor="accent3"/>
          <w:sz w:val="20"/>
          <w:szCs w:val="20"/>
        </w:rPr>
      </w:pPr>
      <w:bookmarkStart w:id="463" w:name="_Toc6924846"/>
      <w:bookmarkStart w:id="464" w:name="_Toc104557737"/>
      <w:bookmarkStart w:id="465" w:name="_Toc117539614"/>
      <w:bookmarkStart w:id="466" w:name="_Toc146590523"/>
      <w:r w:rsidRPr="00894701">
        <w:rPr>
          <w:b/>
          <w:bCs/>
          <w:color w:val="98002E" w:themeColor="accent3"/>
          <w:sz w:val="20"/>
          <w:szCs w:val="20"/>
        </w:rPr>
        <w:t xml:space="preserve">Table </w:t>
      </w:r>
      <w:r w:rsidRPr="00894701">
        <w:rPr>
          <w:b/>
          <w:bCs/>
          <w:noProof/>
          <w:color w:val="98002E" w:themeColor="accent3"/>
          <w:sz w:val="20"/>
          <w:szCs w:val="20"/>
        </w:rPr>
        <w:fldChar w:fldCharType="begin"/>
      </w:r>
      <w:r w:rsidRPr="00894701">
        <w:rPr>
          <w:b/>
          <w:bCs/>
          <w:noProof/>
          <w:color w:val="98002E" w:themeColor="accent3"/>
          <w:sz w:val="20"/>
          <w:szCs w:val="20"/>
        </w:rPr>
        <w:instrText xml:space="preserve"> SEQ Table \* ARABIC </w:instrText>
      </w:r>
      <w:r w:rsidRPr="00894701">
        <w:rPr>
          <w:b/>
          <w:bCs/>
          <w:noProof/>
          <w:color w:val="98002E" w:themeColor="accent3"/>
          <w:sz w:val="20"/>
          <w:szCs w:val="20"/>
        </w:rPr>
        <w:fldChar w:fldCharType="separate"/>
      </w:r>
      <w:r w:rsidR="0035303B">
        <w:rPr>
          <w:b/>
          <w:bCs/>
          <w:noProof/>
          <w:color w:val="98002E" w:themeColor="accent3"/>
          <w:sz w:val="20"/>
          <w:szCs w:val="20"/>
        </w:rPr>
        <w:t>51</w:t>
      </w:r>
      <w:r w:rsidRPr="00894701">
        <w:rPr>
          <w:b/>
          <w:bCs/>
          <w:noProof/>
          <w:color w:val="98002E" w:themeColor="accent3"/>
          <w:sz w:val="20"/>
          <w:szCs w:val="20"/>
        </w:rPr>
        <w:fldChar w:fldCharType="end"/>
      </w:r>
      <w:r w:rsidRPr="00894701">
        <w:rPr>
          <w:b/>
          <w:bCs/>
          <w:color w:val="98002E" w:themeColor="accent3"/>
          <w:sz w:val="20"/>
          <w:szCs w:val="20"/>
        </w:rPr>
        <w:t xml:space="preserve">: Reconciliation by </w:t>
      </w:r>
      <w:bookmarkEnd w:id="463"/>
      <w:r w:rsidRPr="00894701">
        <w:rPr>
          <w:b/>
          <w:bCs/>
          <w:color w:val="98002E" w:themeColor="accent3"/>
          <w:sz w:val="20"/>
          <w:szCs w:val="20"/>
        </w:rPr>
        <w:t>oil and gas companies for the fiscal year 201</w:t>
      </w:r>
      <w:bookmarkEnd w:id="464"/>
      <w:r w:rsidRPr="00894701">
        <w:rPr>
          <w:b/>
          <w:bCs/>
          <w:color w:val="98002E" w:themeColor="accent3"/>
          <w:sz w:val="20"/>
          <w:szCs w:val="20"/>
        </w:rPr>
        <w:t>8</w:t>
      </w:r>
      <w:bookmarkEnd w:id="465"/>
      <w:r w:rsidR="001A2414" w:rsidRPr="00894701">
        <w:rPr>
          <w:rFonts w:cs="Arial"/>
          <w:i/>
          <w:iCs/>
          <w:color w:val="000000"/>
          <w:szCs w:val="18"/>
          <w:lang w:eastAsia="fr-FR"/>
        </w:rPr>
        <w:t xml:space="preserve">                                                        Amounts in SRD</w:t>
      </w:r>
      <w:bookmarkEnd w:id="466"/>
    </w:p>
    <w:tbl>
      <w:tblPr>
        <w:tblW w:w="5383" w:type="pct"/>
        <w:jc w:val="center"/>
        <w:tblLayout w:type="fixed"/>
        <w:tblLook w:val="04A0" w:firstRow="1" w:lastRow="0" w:firstColumn="1" w:lastColumn="0" w:noHBand="0" w:noVBand="1"/>
      </w:tblPr>
      <w:tblGrid>
        <w:gridCol w:w="368"/>
        <w:gridCol w:w="3041"/>
        <w:gridCol w:w="1280"/>
        <w:gridCol w:w="1277"/>
        <w:gridCol w:w="1139"/>
        <w:gridCol w:w="1413"/>
        <w:gridCol w:w="1407"/>
        <w:gridCol w:w="1211"/>
        <w:gridCol w:w="1346"/>
        <w:gridCol w:w="1277"/>
        <w:gridCol w:w="1268"/>
      </w:tblGrid>
      <w:tr w:rsidR="004C70CC" w:rsidRPr="00894701" w14:paraId="41774B3C" w14:textId="77777777" w:rsidTr="004C70CC">
        <w:trPr>
          <w:trHeight w:val="20"/>
          <w:tblHeader/>
          <w:jc w:val="center"/>
        </w:trPr>
        <w:tc>
          <w:tcPr>
            <w:tcW w:w="122" w:type="pct"/>
            <w:vMerge w:val="restart"/>
            <w:tcBorders>
              <w:top w:val="nil"/>
              <w:left w:val="nil"/>
              <w:bottom w:val="single" w:sz="8" w:space="0" w:color="FF0000"/>
              <w:right w:val="nil"/>
            </w:tcBorders>
            <w:shd w:val="clear" w:color="000000" w:fill="7A091A"/>
            <w:tcMar>
              <w:left w:w="28" w:type="dxa"/>
              <w:right w:w="28" w:type="dxa"/>
            </w:tcMar>
            <w:vAlign w:val="center"/>
            <w:hideMark/>
          </w:tcPr>
          <w:p w14:paraId="38E002E2" w14:textId="77777777" w:rsidR="002F4BAB" w:rsidRPr="00894701" w:rsidRDefault="002F4BAB" w:rsidP="00931ADB">
            <w:pPr>
              <w:spacing w:before="60" w:after="60" w:line="240" w:lineRule="auto"/>
              <w:jc w:val="center"/>
              <w:rPr>
                <w:rFonts w:cs="Arial"/>
                <w:b/>
                <w:bCs/>
                <w:color w:val="FFFFFF"/>
                <w:kern w:val="0"/>
                <w:sz w:val="16"/>
                <w:szCs w:val="16"/>
              </w:rPr>
            </w:pPr>
            <w:r w:rsidRPr="00894701">
              <w:rPr>
                <w:rFonts w:cs="Arial"/>
                <w:b/>
                <w:bCs/>
                <w:color w:val="FFFFFF"/>
                <w:kern w:val="0"/>
                <w:sz w:val="16"/>
                <w:szCs w:val="16"/>
              </w:rPr>
              <w:t>No.</w:t>
            </w:r>
          </w:p>
        </w:tc>
        <w:tc>
          <w:tcPr>
            <w:tcW w:w="1012" w:type="pct"/>
            <w:vMerge w:val="restart"/>
            <w:tcBorders>
              <w:top w:val="nil"/>
              <w:left w:val="nil"/>
              <w:bottom w:val="single" w:sz="8" w:space="0" w:color="FF0000"/>
              <w:right w:val="single" w:sz="8" w:space="0" w:color="FF0000"/>
            </w:tcBorders>
            <w:shd w:val="clear" w:color="000000" w:fill="7A091A"/>
            <w:tcMar>
              <w:left w:w="28" w:type="dxa"/>
              <w:right w:w="28" w:type="dxa"/>
            </w:tcMar>
            <w:vAlign w:val="center"/>
            <w:hideMark/>
          </w:tcPr>
          <w:p w14:paraId="04DB668E" w14:textId="77777777" w:rsidR="002F4BAB" w:rsidRPr="00894701" w:rsidRDefault="002F4BAB" w:rsidP="00931ADB">
            <w:pPr>
              <w:spacing w:before="60" w:after="60" w:line="240" w:lineRule="auto"/>
              <w:jc w:val="center"/>
              <w:rPr>
                <w:rFonts w:cs="Arial"/>
                <w:b/>
                <w:bCs/>
                <w:color w:val="FFFFFF"/>
                <w:kern w:val="0"/>
                <w:sz w:val="16"/>
                <w:szCs w:val="16"/>
              </w:rPr>
            </w:pPr>
            <w:r w:rsidRPr="00894701">
              <w:rPr>
                <w:rFonts w:cs="Arial"/>
                <w:b/>
                <w:bCs/>
                <w:color w:val="FFFFFF"/>
                <w:kern w:val="0"/>
                <w:sz w:val="16"/>
                <w:szCs w:val="16"/>
              </w:rPr>
              <w:t>Company</w:t>
            </w:r>
          </w:p>
        </w:tc>
        <w:tc>
          <w:tcPr>
            <w:tcW w:w="1230" w:type="pct"/>
            <w:gridSpan w:val="3"/>
            <w:tcBorders>
              <w:top w:val="nil"/>
              <w:left w:val="nil"/>
              <w:bottom w:val="single" w:sz="8" w:space="0" w:color="FF0000"/>
              <w:right w:val="single" w:sz="8" w:space="0" w:color="FF0000"/>
            </w:tcBorders>
            <w:shd w:val="clear" w:color="000000" w:fill="7A091A"/>
            <w:vAlign w:val="center"/>
            <w:hideMark/>
          </w:tcPr>
          <w:p w14:paraId="6FFA0FE1" w14:textId="77777777" w:rsidR="002F4BAB" w:rsidRPr="00894701" w:rsidRDefault="002F4BAB" w:rsidP="00931ADB">
            <w:pPr>
              <w:spacing w:before="60" w:after="60" w:line="240" w:lineRule="auto"/>
              <w:jc w:val="center"/>
              <w:rPr>
                <w:rFonts w:cs="Arial"/>
                <w:b/>
                <w:bCs/>
                <w:color w:val="FFFFFF"/>
                <w:kern w:val="0"/>
                <w:sz w:val="16"/>
                <w:szCs w:val="16"/>
              </w:rPr>
            </w:pPr>
            <w:r w:rsidRPr="00894701">
              <w:rPr>
                <w:rFonts w:cs="Arial"/>
                <w:b/>
                <w:bCs/>
                <w:color w:val="FFFFFF"/>
                <w:kern w:val="0"/>
                <w:sz w:val="16"/>
                <w:szCs w:val="16"/>
              </w:rPr>
              <w:t>Templates originally lodged</w:t>
            </w:r>
          </w:p>
        </w:tc>
        <w:tc>
          <w:tcPr>
            <w:tcW w:w="1341" w:type="pct"/>
            <w:gridSpan w:val="3"/>
            <w:tcBorders>
              <w:top w:val="nil"/>
              <w:left w:val="nil"/>
              <w:bottom w:val="single" w:sz="8" w:space="0" w:color="FF0000"/>
              <w:right w:val="single" w:sz="8" w:space="0" w:color="FF0000"/>
            </w:tcBorders>
            <w:shd w:val="clear" w:color="000000" w:fill="7A091A"/>
            <w:vAlign w:val="center"/>
            <w:hideMark/>
          </w:tcPr>
          <w:p w14:paraId="674010B7" w14:textId="77777777" w:rsidR="002F4BAB" w:rsidRPr="00894701" w:rsidRDefault="002F4BAB" w:rsidP="00931ADB">
            <w:pPr>
              <w:spacing w:before="60" w:after="60" w:line="240" w:lineRule="auto"/>
              <w:jc w:val="center"/>
              <w:rPr>
                <w:rFonts w:cs="Arial"/>
                <w:b/>
                <w:bCs/>
                <w:color w:val="FFFFFF"/>
                <w:kern w:val="0"/>
                <w:sz w:val="16"/>
                <w:szCs w:val="16"/>
              </w:rPr>
            </w:pPr>
            <w:r w:rsidRPr="00894701">
              <w:rPr>
                <w:rFonts w:cs="Arial"/>
                <w:b/>
                <w:bCs/>
                <w:color w:val="FFFFFF"/>
                <w:kern w:val="0"/>
                <w:sz w:val="16"/>
                <w:szCs w:val="16"/>
              </w:rPr>
              <w:t>Adjustments</w:t>
            </w:r>
          </w:p>
        </w:tc>
        <w:tc>
          <w:tcPr>
            <w:tcW w:w="1295" w:type="pct"/>
            <w:gridSpan w:val="3"/>
            <w:tcBorders>
              <w:top w:val="nil"/>
              <w:left w:val="nil"/>
              <w:bottom w:val="single" w:sz="8" w:space="0" w:color="FF0000"/>
              <w:right w:val="nil"/>
            </w:tcBorders>
            <w:shd w:val="clear" w:color="000000" w:fill="7A091A"/>
            <w:vAlign w:val="center"/>
            <w:hideMark/>
          </w:tcPr>
          <w:p w14:paraId="1FCE1E90" w14:textId="77777777" w:rsidR="002F4BAB" w:rsidRPr="00894701" w:rsidRDefault="002F4BAB" w:rsidP="00931ADB">
            <w:pPr>
              <w:spacing w:before="60" w:after="60" w:line="240" w:lineRule="auto"/>
              <w:jc w:val="center"/>
              <w:rPr>
                <w:rFonts w:cs="Arial"/>
                <w:b/>
                <w:bCs/>
                <w:color w:val="FFFFFF"/>
                <w:kern w:val="0"/>
                <w:sz w:val="16"/>
                <w:szCs w:val="16"/>
              </w:rPr>
            </w:pPr>
            <w:r w:rsidRPr="00894701">
              <w:rPr>
                <w:rFonts w:cs="Arial"/>
                <w:b/>
                <w:bCs/>
                <w:color w:val="FFFFFF"/>
                <w:kern w:val="0"/>
                <w:sz w:val="16"/>
                <w:szCs w:val="16"/>
              </w:rPr>
              <w:t>Final amounts</w:t>
            </w:r>
          </w:p>
        </w:tc>
      </w:tr>
      <w:tr w:rsidR="00566A1B" w:rsidRPr="00894701" w14:paraId="400E5FB8" w14:textId="77777777" w:rsidTr="003C1E50">
        <w:trPr>
          <w:trHeight w:val="20"/>
          <w:tblHeader/>
          <w:jc w:val="center"/>
        </w:trPr>
        <w:tc>
          <w:tcPr>
            <w:tcW w:w="122" w:type="pct"/>
            <w:vMerge/>
            <w:tcBorders>
              <w:top w:val="nil"/>
              <w:left w:val="nil"/>
              <w:bottom w:val="single" w:sz="8" w:space="0" w:color="FF0000"/>
              <w:right w:val="nil"/>
            </w:tcBorders>
            <w:vAlign w:val="center"/>
            <w:hideMark/>
          </w:tcPr>
          <w:p w14:paraId="188E1D3B" w14:textId="77777777" w:rsidR="002F4BAB" w:rsidRPr="00894701" w:rsidRDefault="002F4BAB" w:rsidP="00931ADB">
            <w:pPr>
              <w:spacing w:before="60" w:after="60" w:line="240" w:lineRule="auto"/>
              <w:jc w:val="center"/>
              <w:rPr>
                <w:rFonts w:cs="Arial"/>
                <w:b/>
                <w:bCs/>
                <w:color w:val="FFFFFF"/>
                <w:kern w:val="0"/>
                <w:sz w:val="16"/>
                <w:szCs w:val="16"/>
              </w:rPr>
            </w:pPr>
          </w:p>
        </w:tc>
        <w:tc>
          <w:tcPr>
            <w:tcW w:w="1012" w:type="pct"/>
            <w:vMerge/>
            <w:tcBorders>
              <w:top w:val="nil"/>
              <w:left w:val="nil"/>
              <w:bottom w:val="single" w:sz="8" w:space="0" w:color="FF0000"/>
              <w:right w:val="single" w:sz="8" w:space="0" w:color="FF0000"/>
            </w:tcBorders>
            <w:vAlign w:val="center"/>
            <w:hideMark/>
          </w:tcPr>
          <w:p w14:paraId="1F043182" w14:textId="77777777" w:rsidR="002F4BAB" w:rsidRPr="00894701" w:rsidRDefault="002F4BAB" w:rsidP="00931ADB">
            <w:pPr>
              <w:spacing w:before="60" w:after="60" w:line="240" w:lineRule="auto"/>
              <w:jc w:val="center"/>
              <w:rPr>
                <w:rFonts w:cs="Arial"/>
                <w:b/>
                <w:bCs/>
                <w:color w:val="FFFFFF"/>
                <w:kern w:val="0"/>
                <w:sz w:val="16"/>
                <w:szCs w:val="16"/>
              </w:rPr>
            </w:pPr>
          </w:p>
        </w:tc>
        <w:tc>
          <w:tcPr>
            <w:tcW w:w="426" w:type="pct"/>
            <w:tcBorders>
              <w:top w:val="nil"/>
              <w:left w:val="nil"/>
              <w:bottom w:val="single" w:sz="8" w:space="0" w:color="FF0000"/>
              <w:right w:val="nil"/>
            </w:tcBorders>
            <w:shd w:val="clear" w:color="000000" w:fill="7A091A"/>
            <w:vAlign w:val="center"/>
            <w:hideMark/>
          </w:tcPr>
          <w:p w14:paraId="7EEC103B" w14:textId="77777777" w:rsidR="002F4BAB" w:rsidRPr="00894701" w:rsidRDefault="002F4BAB" w:rsidP="00931ADB">
            <w:pPr>
              <w:spacing w:before="60" w:after="60" w:line="240" w:lineRule="auto"/>
              <w:jc w:val="right"/>
              <w:rPr>
                <w:rFonts w:cs="Arial"/>
                <w:b/>
                <w:bCs/>
                <w:color w:val="FFFFFF"/>
                <w:kern w:val="0"/>
                <w:sz w:val="16"/>
                <w:szCs w:val="16"/>
              </w:rPr>
            </w:pPr>
            <w:r w:rsidRPr="00894701">
              <w:rPr>
                <w:rFonts w:cs="Arial"/>
                <w:b/>
                <w:bCs/>
                <w:color w:val="FFFFFF"/>
                <w:kern w:val="0"/>
                <w:sz w:val="16"/>
                <w:szCs w:val="16"/>
              </w:rPr>
              <w:t>Extractive company</w:t>
            </w:r>
            <w:r w:rsidRPr="00894701">
              <w:rPr>
                <w:rFonts w:cs="Arial"/>
                <w:b/>
                <w:bCs/>
                <w:color w:val="FFFFFF"/>
                <w:kern w:val="0"/>
                <w:sz w:val="16"/>
                <w:szCs w:val="16"/>
              </w:rPr>
              <w:br/>
              <w:t>(a)</w:t>
            </w:r>
          </w:p>
        </w:tc>
        <w:tc>
          <w:tcPr>
            <w:tcW w:w="425" w:type="pct"/>
            <w:tcBorders>
              <w:top w:val="nil"/>
              <w:left w:val="nil"/>
              <w:bottom w:val="single" w:sz="8" w:space="0" w:color="FF0000"/>
              <w:right w:val="nil"/>
            </w:tcBorders>
            <w:shd w:val="clear" w:color="000000" w:fill="7A091A"/>
            <w:vAlign w:val="center"/>
            <w:hideMark/>
          </w:tcPr>
          <w:p w14:paraId="413796A1" w14:textId="77777777" w:rsidR="002F4BAB" w:rsidRPr="00894701" w:rsidRDefault="002F4BAB" w:rsidP="00931ADB">
            <w:pPr>
              <w:spacing w:before="60" w:after="60" w:line="240" w:lineRule="auto"/>
              <w:jc w:val="right"/>
              <w:rPr>
                <w:rFonts w:cs="Arial"/>
                <w:b/>
                <w:bCs/>
                <w:color w:val="FFFFFF"/>
                <w:kern w:val="0"/>
                <w:sz w:val="16"/>
                <w:szCs w:val="16"/>
              </w:rPr>
            </w:pPr>
            <w:r w:rsidRPr="00894701">
              <w:rPr>
                <w:rFonts w:cs="Arial"/>
                <w:b/>
                <w:bCs/>
                <w:color w:val="FFFFFF"/>
                <w:kern w:val="0"/>
                <w:sz w:val="16"/>
                <w:szCs w:val="16"/>
              </w:rPr>
              <w:t>Government</w:t>
            </w:r>
            <w:r w:rsidRPr="00894701">
              <w:rPr>
                <w:rFonts w:cs="Arial"/>
                <w:b/>
                <w:bCs/>
                <w:color w:val="FFFFFF"/>
                <w:kern w:val="0"/>
                <w:sz w:val="16"/>
                <w:szCs w:val="16"/>
              </w:rPr>
              <w:br/>
              <w:t>(b)</w:t>
            </w:r>
          </w:p>
        </w:tc>
        <w:tc>
          <w:tcPr>
            <w:tcW w:w="379" w:type="pct"/>
            <w:tcBorders>
              <w:top w:val="nil"/>
              <w:left w:val="nil"/>
              <w:bottom w:val="single" w:sz="8" w:space="0" w:color="FF0000"/>
              <w:right w:val="single" w:sz="8" w:space="0" w:color="FF0000"/>
            </w:tcBorders>
            <w:shd w:val="clear" w:color="000000" w:fill="7A091A"/>
            <w:vAlign w:val="center"/>
            <w:hideMark/>
          </w:tcPr>
          <w:p w14:paraId="0C9A673F" w14:textId="77777777" w:rsidR="002F4BAB" w:rsidRPr="00894701" w:rsidRDefault="002F4BAB" w:rsidP="00931ADB">
            <w:pPr>
              <w:spacing w:before="60" w:after="60" w:line="240" w:lineRule="auto"/>
              <w:jc w:val="right"/>
              <w:rPr>
                <w:rFonts w:cs="Arial"/>
                <w:b/>
                <w:bCs/>
                <w:color w:val="FFFFFF"/>
                <w:kern w:val="0"/>
                <w:sz w:val="16"/>
                <w:szCs w:val="16"/>
              </w:rPr>
            </w:pPr>
            <w:r w:rsidRPr="00894701">
              <w:rPr>
                <w:rFonts w:cs="Arial"/>
                <w:b/>
                <w:bCs/>
                <w:color w:val="FFFFFF"/>
                <w:kern w:val="0"/>
                <w:sz w:val="16"/>
                <w:szCs w:val="16"/>
              </w:rPr>
              <w:t>Difference</w:t>
            </w:r>
            <w:r w:rsidRPr="00894701">
              <w:rPr>
                <w:rFonts w:cs="Arial"/>
                <w:b/>
                <w:bCs/>
                <w:color w:val="FFFFFF"/>
                <w:kern w:val="0"/>
                <w:sz w:val="16"/>
                <w:szCs w:val="16"/>
              </w:rPr>
              <w:br/>
              <w:t>(c) =</w:t>
            </w:r>
            <w:r w:rsidRPr="00894701">
              <w:rPr>
                <w:rFonts w:cs="Arial"/>
                <w:b/>
                <w:bCs/>
                <w:color w:val="FFFFFF"/>
                <w:kern w:val="0"/>
                <w:sz w:val="16"/>
                <w:szCs w:val="16"/>
              </w:rPr>
              <w:br/>
              <w:t>(a - b)</w:t>
            </w:r>
          </w:p>
        </w:tc>
        <w:tc>
          <w:tcPr>
            <w:tcW w:w="470" w:type="pct"/>
            <w:tcBorders>
              <w:top w:val="nil"/>
              <w:left w:val="nil"/>
              <w:bottom w:val="single" w:sz="8" w:space="0" w:color="FF0000"/>
              <w:right w:val="nil"/>
            </w:tcBorders>
            <w:shd w:val="clear" w:color="000000" w:fill="7A091A"/>
            <w:vAlign w:val="center"/>
            <w:hideMark/>
          </w:tcPr>
          <w:p w14:paraId="1A779DAD" w14:textId="77777777" w:rsidR="002F4BAB" w:rsidRPr="00894701" w:rsidRDefault="002F4BAB" w:rsidP="00931ADB">
            <w:pPr>
              <w:spacing w:before="60" w:after="60" w:line="240" w:lineRule="auto"/>
              <w:jc w:val="right"/>
              <w:rPr>
                <w:rFonts w:cs="Arial"/>
                <w:b/>
                <w:bCs/>
                <w:color w:val="FFFFFF"/>
                <w:kern w:val="0"/>
                <w:sz w:val="16"/>
                <w:szCs w:val="16"/>
              </w:rPr>
            </w:pPr>
            <w:r w:rsidRPr="00894701">
              <w:rPr>
                <w:rFonts w:cs="Arial"/>
                <w:b/>
                <w:bCs/>
                <w:color w:val="FFFFFF"/>
                <w:kern w:val="0"/>
                <w:sz w:val="16"/>
                <w:szCs w:val="16"/>
              </w:rPr>
              <w:t>Extractive company</w:t>
            </w:r>
            <w:r w:rsidRPr="00894701">
              <w:rPr>
                <w:rFonts w:cs="Arial"/>
                <w:b/>
                <w:bCs/>
                <w:color w:val="FFFFFF"/>
                <w:kern w:val="0"/>
                <w:sz w:val="16"/>
                <w:szCs w:val="16"/>
              </w:rPr>
              <w:br/>
              <w:t>(d)</w:t>
            </w:r>
          </w:p>
        </w:tc>
        <w:tc>
          <w:tcPr>
            <w:tcW w:w="468" w:type="pct"/>
            <w:tcBorders>
              <w:top w:val="nil"/>
              <w:left w:val="nil"/>
              <w:bottom w:val="single" w:sz="8" w:space="0" w:color="FF0000"/>
              <w:right w:val="nil"/>
            </w:tcBorders>
            <w:shd w:val="clear" w:color="000000" w:fill="7A091A"/>
            <w:vAlign w:val="center"/>
            <w:hideMark/>
          </w:tcPr>
          <w:p w14:paraId="79E8BBC1" w14:textId="77777777" w:rsidR="002F4BAB" w:rsidRPr="00894701" w:rsidRDefault="002F4BAB" w:rsidP="00931ADB">
            <w:pPr>
              <w:spacing w:before="60" w:after="60" w:line="240" w:lineRule="auto"/>
              <w:jc w:val="right"/>
              <w:rPr>
                <w:rFonts w:cs="Arial"/>
                <w:b/>
                <w:bCs/>
                <w:color w:val="FFFFFF"/>
                <w:kern w:val="0"/>
                <w:sz w:val="16"/>
                <w:szCs w:val="16"/>
              </w:rPr>
            </w:pPr>
            <w:r w:rsidRPr="00894701">
              <w:rPr>
                <w:rFonts w:cs="Arial"/>
                <w:b/>
                <w:bCs/>
                <w:color w:val="FFFFFF"/>
                <w:kern w:val="0"/>
                <w:sz w:val="16"/>
                <w:szCs w:val="16"/>
              </w:rPr>
              <w:t>Government</w:t>
            </w:r>
            <w:r w:rsidRPr="00894701">
              <w:rPr>
                <w:rFonts w:cs="Arial"/>
                <w:b/>
                <w:bCs/>
                <w:color w:val="FFFFFF"/>
                <w:kern w:val="0"/>
                <w:sz w:val="16"/>
                <w:szCs w:val="16"/>
              </w:rPr>
              <w:br/>
              <w:t>(e)</w:t>
            </w:r>
          </w:p>
        </w:tc>
        <w:tc>
          <w:tcPr>
            <w:tcW w:w="403" w:type="pct"/>
            <w:tcBorders>
              <w:top w:val="nil"/>
              <w:left w:val="nil"/>
              <w:bottom w:val="single" w:sz="8" w:space="0" w:color="FF0000"/>
              <w:right w:val="single" w:sz="8" w:space="0" w:color="FF0000"/>
            </w:tcBorders>
            <w:shd w:val="clear" w:color="000000" w:fill="7A091A"/>
            <w:vAlign w:val="center"/>
            <w:hideMark/>
          </w:tcPr>
          <w:p w14:paraId="7077C702" w14:textId="77777777" w:rsidR="002F4BAB" w:rsidRPr="00894701" w:rsidRDefault="002F4BAB" w:rsidP="00931ADB">
            <w:pPr>
              <w:spacing w:before="60" w:after="60" w:line="240" w:lineRule="auto"/>
              <w:jc w:val="right"/>
              <w:rPr>
                <w:rFonts w:cs="Arial"/>
                <w:b/>
                <w:bCs/>
                <w:color w:val="FFFFFF"/>
                <w:kern w:val="0"/>
                <w:sz w:val="16"/>
                <w:szCs w:val="16"/>
              </w:rPr>
            </w:pPr>
            <w:r w:rsidRPr="00894701">
              <w:rPr>
                <w:rFonts w:cs="Arial"/>
                <w:b/>
                <w:bCs/>
                <w:color w:val="FFFFFF"/>
                <w:kern w:val="0"/>
                <w:sz w:val="16"/>
                <w:szCs w:val="16"/>
              </w:rPr>
              <w:t>Difference</w:t>
            </w:r>
            <w:r w:rsidRPr="00894701">
              <w:rPr>
                <w:rFonts w:cs="Arial"/>
                <w:b/>
                <w:bCs/>
                <w:color w:val="FFFFFF"/>
                <w:kern w:val="0"/>
                <w:sz w:val="16"/>
                <w:szCs w:val="16"/>
              </w:rPr>
              <w:br/>
              <w:t>(f) = (c-d)</w:t>
            </w:r>
          </w:p>
        </w:tc>
        <w:tc>
          <w:tcPr>
            <w:tcW w:w="448" w:type="pct"/>
            <w:tcBorders>
              <w:top w:val="nil"/>
              <w:left w:val="nil"/>
              <w:bottom w:val="single" w:sz="8" w:space="0" w:color="FF0000"/>
              <w:right w:val="nil"/>
            </w:tcBorders>
            <w:shd w:val="clear" w:color="000000" w:fill="7A091A"/>
            <w:vAlign w:val="center"/>
            <w:hideMark/>
          </w:tcPr>
          <w:p w14:paraId="3E1A8725" w14:textId="77777777" w:rsidR="002F4BAB" w:rsidRPr="00894701" w:rsidRDefault="002F4BAB" w:rsidP="00931ADB">
            <w:pPr>
              <w:spacing w:before="60" w:after="60" w:line="240" w:lineRule="auto"/>
              <w:jc w:val="right"/>
              <w:rPr>
                <w:rFonts w:cs="Arial"/>
                <w:b/>
                <w:bCs/>
                <w:color w:val="FFFFFF"/>
                <w:kern w:val="0"/>
                <w:sz w:val="16"/>
                <w:szCs w:val="16"/>
              </w:rPr>
            </w:pPr>
            <w:r w:rsidRPr="00894701">
              <w:rPr>
                <w:rFonts w:cs="Arial"/>
                <w:b/>
                <w:bCs/>
                <w:color w:val="FFFFFF"/>
                <w:kern w:val="0"/>
                <w:sz w:val="16"/>
                <w:szCs w:val="16"/>
              </w:rPr>
              <w:t>Extractive company</w:t>
            </w:r>
            <w:r w:rsidRPr="00894701">
              <w:rPr>
                <w:rFonts w:cs="Arial"/>
                <w:b/>
                <w:bCs/>
                <w:color w:val="FFFFFF"/>
                <w:kern w:val="0"/>
                <w:sz w:val="16"/>
                <w:szCs w:val="16"/>
              </w:rPr>
              <w:br/>
              <w:t>(g) = (a+d)</w:t>
            </w:r>
          </w:p>
        </w:tc>
        <w:tc>
          <w:tcPr>
            <w:tcW w:w="425" w:type="pct"/>
            <w:tcBorders>
              <w:top w:val="nil"/>
              <w:left w:val="nil"/>
              <w:bottom w:val="single" w:sz="8" w:space="0" w:color="FF0000"/>
              <w:right w:val="nil"/>
            </w:tcBorders>
            <w:shd w:val="clear" w:color="000000" w:fill="7A091A"/>
            <w:vAlign w:val="center"/>
            <w:hideMark/>
          </w:tcPr>
          <w:p w14:paraId="1ABF742E" w14:textId="77777777" w:rsidR="002F4BAB" w:rsidRPr="00894701" w:rsidRDefault="002F4BAB" w:rsidP="00931ADB">
            <w:pPr>
              <w:spacing w:before="60" w:after="60" w:line="240" w:lineRule="auto"/>
              <w:jc w:val="right"/>
              <w:rPr>
                <w:rFonts w:cs="Arial"/>
                <w:b/>
                <w:bCs/>
                <w:color w:val="FFFFFF"/>
                <w:kern w:val="0"/>
                <w:sz w:val="16"/>
                <w:szCs w:val="16"/>
              </w:rPr>
            </w:pPr>
            <w:r w:rsidRPr="00894701">
              <w:rPr>
                <w:rFonts w:cs="Arial"/>
                <w:b/>
                <w:bCs/>
                <w:color w:val="FFFFFF"/>
                <w:kern w:val="0"/>
                <w:sz w:val="16"/>
                <w:szCs w:val="16"/>
              </w:rPr>
              <w:t>Government</w:t>
            </w:r>
            <w:r w:rsidRPr="00894701">
              <w:rPr>
                <w:rFonts w:cs="Arial"/>
                <w:b/>
                <w:bCs/>
                <w:color w:val="FFFFFF"/>
                <w:kern w:val="0"/>
                <w:sz w:val="16"/>
                <w:szCs w:val="16"/>
              </w:rPr>
              <w:br/>
              <w:t>(h) = (b+e)</w:t>
            </w:r>
          </w:p>
        </w:tc>
        <w:tc>
          <w:tcPr>
            <w:tcW w:w="422" w:type="pct"/>
            <w:tcBorders>
              <w:top w:val="nil"/>
              <w:left w:val="nil"/>
              <w:bottom w:val="single" w:sz="8" w:space="0" w:color="FF0000"/>
              <w:right w:val="nil"/>
            </w:tcBorders>
            <w:shd w:val="clear" w:color="000000" w:fill="7A091A"/>
            <w:vAlign w:val="center"/>
            <w:hideMark/>
          </w:tcPr>
          <w:p w14:paraId="3DD8C51B" w14:textId="77777777" w:rsidR="002F4BAB" w:rsidRPr="00894701" w:rsidRDefault="002F4BAB" w:rsidP="00931ADB">
            <w:pPr>
              <w:spacing w:before="60" w:after="60" w:line="240" w:lineRule="auto"/>
              <w:jc w:val="right"/>
              <w:rPr>
                <w:rFonts w:cs="Arial"/>
                <w:b/>
                <w:bCs/>
                <w:color w:val="FFFFFF"/>
                <w:kern w:val="0"/>
                <w:sz w:val="16"/>
                <w:szCs w:val="16"/>
              </w:rPr>
            </w:pPr>
            <w:r w:rsidRPr="00894701">
              <w:rPr>
                <w:rFonts w:cs="Arial"/>
                <w:b/>
                <w:bCs/>
                <w:color w:val="FFFFFF"/>
                <w:kern w:val="0"/>
                <w:sz w:val="16"/>
                <w:szCs w:val="16"/>
              </w:rPr>
              <w:t>Difference</w:t>
            </w:r>
            <w:r w:rsidRPr="00894701">
              <w:rPr>
                <w:rFonts w:cs="Arial"/>
                <w:b/>
                <w:bCs/>
                <w:color w:val="FFFFFF"/>
                <w:kern w:val="0"/>
                <w:sz w:val="16"/>
                <w:szCs w:val="16"/>
              </w:rPr>
              <w:br/>
              <w:t>(i) = (g-h)</w:t>
            </w:r>
          </w:p>
        </w:tc>
      </w:tr>
      <w:tr w:rsidR="003C1E50" w:rsidRPr="00894701" w14:paraId="7C04B2E3" w14:textId="77777777" w:rsidTr="003C1E50">
        <w:trPr>
          <w:trHeight w:val="20"/>
          <w:jc w:val="center"/>
        </w:trPr>
        <w:tc>
          <w:tcPr>
            <w:tcW w:w="122" w:type="pct"/>
            <w:tcBorders>
              <w:top w:val="nil"/>
              <w:left w:val="nil"/>
              <w:bottom w:val="nil"/>
              <w:right w:val="nil"/>
            </w:tcBorders>
            <w:shd w:val="clear" w:color="000000" w:fill="F7A3B0"/>
            <w:noWrap/>
            <w:vAlign w:val="center"/>
            <w:hideMark/>
          </w:tcPr>
          <w:p w14:paraId="027AF78E" w14:textId="77777777" w:rsidR="003C1E50" w:rsidRPr="00894701" w:rsidRDefault="003C1E50" w:rsidP="003C1E50">
            <w:pPr>
              <w:spacing w:before="60" w:after="60" w:line="240" w:lineRule="auto"/>
              <w:rPr>
                <w:rFonts w:cs="Arial"/>
                <w:color w:val="000000"/>
                <w:kern w:val="0"/>
                <w:sz w:val="16"/>
                <w:szCs w:val="16"/>
              </w:rPr>
            </w:pPr>
            <w:r w:rsidRPr="00894701">
              <w:rPr>
                <w:rFonts w:cs="Arial"/>
                <w:color w:val="000000"/>
                <w:kern w:val="0"/>
                <w:sz w:val="16"/>
                <w:szCs w:val="16"/>
              </w:rPr>
              <w:t>1</w:t>
            </w:r>
          </w:p>
        </w:tc>
        <w:tc>
          <w:tcPr>
            <w:tcW w:w="1012" w:type="pct"/>
            <w:tcBorders>
              <w:top w:val="nil"/>
              <w:left w:val="nil"/>
              <w:bottom w:val="nil"/>
              <w:right w:val="single" w:sz="8" w:space="0" w:color="FF0000"/>
            </w:tcBorders>
            <w:shd w:val="clear" w:color="000000" w:fill="F7A3B0"/>
            <w:noWrap/>
            <w:vAlign w:val="center"/>
            <w:hideMark/>
          </w:tcPr>
          <w:p w14:paraId="4277B0AB" w14:textId="77777777" w:rsidR="003C1E50" w:rsidRPr="00894701" w:rsidRDefault="003C1E50" w:rsidP="003C1E50">
            <w:pPr>
              <w:spacing w:before="60" w:after="60" w:line="240" w:lineRule="auto"/>
              <w:rPr>
                <w:rFonts w:cs="Arial"/>
                <w:color w:val="000000"/>
                <w:kern w:val="0"/>
                <w:sz w:val="16"/>
                <w:szCs w:val="16"/>
              </w:rPr>
            </w:pPr>
            <w:r w:rsidRPr="00894701">
              <w:rPr>
                <w:rFonts w:cs="Arial"/>
                <w:color w:val="000000"/>
                <w:kern w:val="0"/>
                <w:sz w:val="16"/>
                <w:szCs w:val="16"/>
              </w:rPr>
              <w:t>Kosmos Energy Suriname</w:t>
            </w:r>
          </w:p>
        </w:tc>
        <w:tc>
          <w:tcPr>
            <w:tcW w:w="426" w:type="pct"/>
            <w:tcBorders>
              <w:top w:val="nil"/>
              <w:left w:val="nil"/>
              <w:bottom w:val="nil"/>
              <w:right w:val="nil"/>
            </w:tcBorders>
            <w:shd w:val="clear" w:color="000000" w:fill="F7A3B0"/>
            <w:noWrap/>
            <w:vAlign w:val="center"/>
          </w:tcPr>
          <w:p w14:paraId="04C15ECD" w14:textId="7C4BB12B"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4,921,502</w:t>
            </w:r>
          </w:p>
        </w:tc>
        <w:tc>
          <w:tcPr>
            <w:tcW w:w="425" w:type="pct"/>
            <w:tcBorders>
              <w:top w:val="nil"/>
              <w:left w:val="nil"/>
              <w:bottom w:val="nil"/>
              <w:right w:val="nil"/>
            </w:tcBorders>
            <w:shd w:val="clear" w:color="000000" w:fill="F7A3B0"/>
            <w:noWrap/>
            <w:vAlign w:val="center"/>
          </w:tcPr>
          <w:p w14:paraId="095E9E51" w14:textId="7ED8C8DD"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4,579,463</w:t>
            </w:r>
          </w:p>
        </w:tc>
        <w:tc>
          <w:tcPr>
            <w:tcW w:w="379" w:type="pct"/>
            <w:tcBorders>
              <w:top w:val="nil"/>
              <w:left w:val="nil"/>
              <w:bottom w:val="nil"/>
              <w:right w:val="single" w:sz="8" w:space="0" w:color="FF0000"/>
            </w:tcBorders>
            <w:shd w:val="clear" w:color="000000" w:fill="F7A3B0"/>
            <w:noWrap/>
            <w:vAlign w:val="center"/>
          </w:tcPr>
          <w:p w14:paraId="0DEC339D" w14:textId="5D9EBBFF"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342,039</w:t>
            </w:r>
          </w:p>
        </w:tc>
        <w:tc>
          <w:tcPr>
            <w:tcW w:w="470" w:type="pct"/>
            <w:tcBorders>
              <w:top w:val="nil"/>
              <w:left w:val="nil"/>
              <w:bottom w:val="nil"/>
              <w:right w:val="nil"/>
            </w:tcBorders>
            <w:shd w:val="clear" w:color="000000" w:fill="F7A3B0"/>
            <w:noWrap/>
            <w:vAlign w:val="center"/>
          </w:tcPr>
          <w:p w14:paraId="3984CBA0" w14:textId="2D9F0D44"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138,751</w:t>
            </w:r>
          </w:p>
        </w:tc>
        <w:tc>
          <w:tcPr>
            <w:tcW w:w="468" w:type="pct"/>
            <w:tcBorders>
              <w:top w:val="nil"/>
              <w:left w:val="nil"/>
              <w:bottom w:val="nil"/>
              <w:right w:val="nil"/>
            </w:tcBorders>
            <w:shd w:val="clear" w:color="000000" w:fill="F7A3B0"/>
            <w:noWrap/>
            <w:vAlign w:val="center"/>
          </w:tcPr>
          <w:p w14:paraId="36849ECE" w14:textId="49CCA532"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480,791</w:t>
            </w:r>
          </w:p>
        </w:tc>
        <w:tc>
          <w:tcPr>
            <w:tcW w:w="403" w:type="pct"/>
            <w:tcBorders>
              <w:top w:val="nil"/>
              <w:left w:val="nil"/>
              <w:bottom w:val="nil"/>
              <w:right w:val="single" w:sz="8" w:space="0" w:color="FF0000"/>
            </w:tcBorders>
            <w:shd w:val="clear" w:color="000000" w:fill="F7A3B0"/>
            <w:noWrap/>
            <w:vAlign w:val="center"/>
          </w:tcPr>
          <w:p w14:paraId="18CD0AF9" w14:textId="4AEA518B"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(342,040)</w:t>
            </w:r>
          </w:p>
        </w:tc>
        <w:tc>
          <w:tcPr>
            <w:tcW w:w="448" w:type="pct"/>
            <w:tcBorders>
              <w:top w:val="nil"/>
              <w:left w:val="nil"/>
              <w:bottom w:val="nil"/>
              <w:right w:val="nil"/>
            </w:tcBorders>
            <w:shd w:val="clear" w:color="000000" w:fill="F7A3B0"/>
            <w:noWrap/>
            <w:vAlign w:val="center"/>
          </w:tcPr>
          <w:p w14:paraId="0D2AA689" w14:textId="1A472E4B"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5,060,253</w:t>
            </w:r>
          </w:p>
        </w:tc>
        <w:tc>
          <w:tcPr>
            <w:tcW w:w="425" w:type="pct"/>
            <w:tcBorders>
              <w:top w:val="nil"/>
              <w:left w:val="nil"/>
              <w:bottom w:val="nil"/>
              <w:right w:val="nil"/>
            </w:tcBorders>
            <w:shd w:val="clear" w:color="000000" w:fill="F7A3B0"/>
            <w:noWrap/>
            <w:vAlign w:val="center"/>
          </w:tcPr>
          <w:p w14:paraId="38439276" w14:textId="37C7C332"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5,060,254</w:t>
            </w:r>
          </w:p>
        </w:tc>
        <w:tc>
          <w:tcPr>
            <w:tcW w:w="422" w:type="pct"/>
            <w:tcBorders>
              <w:top w:val="nil"/>
              <w:left w:val="nil"/>
              <w:bottom w:val="nil"/>
              <w:right w:val="nil"/>
            </w:tcBorders>
            <w:shd w:val="clear" w:color="000000" w:fill="F7A3B0"/>
            <w:noWrap/>
            <w:vAlign w:val="center"/>
          </w:tcPr>
          <w:p w14:paraId="135697A8" w14:textId="059827BD"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(1)</w:t>
            </w:r>
          </w:p>
        </w:tc>
      </w:tr>
      <w:tr w:rsidR="003C1E50" w:rsidRPr="00894701" w14:paraId="0022E7BA" w14:textId="77777777" w:rsidTr="003C1E50">
        <w:trPr>
          <w:trHeight w:val="20"/>
          <w:jc w:val="center"/>
        </w:trPr>
        <w:tc>
          <w:tcPr>
            <w:tcW w:w="122" w:type="pct"/>
            <w:tcBorders>
              <w:top w:val="nil"/>
              <w:left w:val="nil"/>
              <w:bottom w:val="nil"/>
              <w:right w:val="nil"/>
            </w:tcBorders>
            <w:shd w:val="clear" w:color="000000" w:fill="FFFFFF"/>
            <w:vAlign w:val="center"/>
            <w:hideMark/>
          </w:tcPr>
          <w:p w14:paraId="5B4FAAC5" w14:textId="77777777" w:rsidR="003C1E50" w:rsidRPr="00894701" w:rsidRDefault="003C1E50" w:rsidP="003C1E50">
            <w:pPr>
              <w:spacing w:before="60" w:after="60" w:line="240" w:lineRule="auto"/>
              <w:rPr>
                <w:rFonts w:cs="Arial"/>
                <w:color w:val="auto"/>
                <w:kern w:val="0"/>
                <w:sz w:val="16"/>
                <w:szCs w:val="16"/>
              </w:rPr>
            </w:pPr>
            <w:r w:rsidRPr="00894701">
              <w:rPr>
                <w:rFonts w:cs="Arial"/>
                <w:color w:val="auto"/>
                <w:kern w:val="0"/>
                <w:sz w:val="16"/>
                <w:szCs w:val="16"/>
              </w:rPr>
              <w:t>2</w:t>
            </w:r>
          </w:p>
        </w:tc>
        <w:tc>
          <w:tcPr>
            <w:tcW w:w="1012" w:type="pct"/>
            <w:tcBorders>
              <w:top w:val="nil"/>
              <w:left w:val="nil"/>
              <w:bottom w:val="nil"/>
              <w:right w:val="single" w:sz="8" w:space="0" w:color="FF0000"/>
            </w:tcBorders>
            <w:shd w:val="clear" w:color="000000" w:fill="FFFFFF"/>
            <w:vAlign w:val="center"/>
            <w:hideMark/>
          </w:tcPr>
          <w:p w14:paraId="1A572E98" w14:textId="77777777" w:rsidR="003C1E50" w:rsidRPr="00894701" w:rsidRDefault="003C1E50" w:rsidP="003C1E50">
            <w:pPr>
              <w:spacing w:before="60" w:after="60" w:line="240" w:lineRule="auto"/>
              <w:rPr>
                <w:rFonts w:cs="Arial"/>
                <w:color w:val="auto"/>
                <w:kern w:val="0"/>
                <w:sz w:val="16"/>
                <w:szCs w:val="16"/>
              </w:rPr>
            </w:pPr>
            <w:r w:rsidRPr="00894701">
              <w:rPr>
                <w:rFonts w:cs="Arial"/>
                <w:color w:val="auto"/>
                <w:kern w:val="0"/>
                <w:sz w:val="16"/>
                <w:szCs w:val="16"/>
              </w:rPr>
              <w:t>Tullow Oil Plc</w:t>
            </w:r>
          </w:p>
        </w:tc>
        <w:tc>
          <w:tcPr>
            <w:tcW w:w="426" w:type="pct"/>
            <w:tcBorders>
              <w:top w:val="nil"/>
              <w:left w:val="nil"/>
              <w:bottom w:val="nil"/>
              <w:right w:val="nil"/>
            </w:tcBorders>
            <w:shd w:val="clear" w:color="000000" w:fill="FFFFFF"/>
            <w:noWrap/>
            <w:vAlign w:val="center"/>
          </w:tcPr>
          <w:p w14:paraId="1DA34DB2" w14:textId="39393795"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w:t>
            </w:r>
          </w:p>
        </w:tc>
        <w:tc>
          <w:tcPr>
            <w:tcW w:w="425" w:type="pct"/>
            <w:tcBorders>
              <w:top w:val="nil"/>
              <w:left w:val="nil"/>
              <w:bottom w:val="nil"/>
              <w:right w:val="nil"/>
            </w:tcBorders>
            <w:shd w:val="clear" w:color="000000" w:fill="FFFFFF"/>
            <w:noWrap/>
            <w:vAlign w:val="center"/>
          </w:tcPr>
          <w:p w14:paraId="1CE85C4A" w14:textId="63161243"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787,807</w:t>
            </w:r>
          </w:p>
        </w:tc>
        <w:tc>
          <w:tcPr>
            <w:tcW w:w="379" w:type="pct"/>
            <w:tcBorders>
              <w:top w:val="nil"/>
              <w:left w:val="nil"/>
              <w:bottom w:val="nil"/>
              <w:right w:val="single" w:sz="8" w:space="0" w:color="FF0000"/>
            </w:tcBorders>
            <w:shd w:val="clear" w:color="000000" w:fill="FFFFFF"/>
            <w:noWrap/>
            <w:vAlign w:val="center"/>
          </w:tcPr>
          <w:p w14:paraId="19294652" w14:textId="60C78AF3"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(787,807)</w:t>
            </w:r>
          </w:p>
        </w:tc>
        <w:tc>
          <w:tcPr>
            <w:tcW w:w="470" w:type="pct"/>
            <w:tcBorders>
              <w:top w:val="nil"/>
              <w:left w:val="nil"/>
              <w:bottom w:val="nil"/>
              <w:right w:val="nil"/>
            </w:tcBorders>
            <w:shd w:val="clear" w:color="000000" w:fill="FFFFFF"/>
            <w:noWrap/>
            <w:vAlign w:val="center"/>
          </w:tcPr>
          <w:p w14:paraId="5F7B7D8C" w14:textId="622A7AB8"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787,807</w:t>
            </w:r>
          </w:p>
        </w:tc>
        <w:tc>
          <w:tcPr>
            <w:tcW w:w="468" w:type="pct"/>
            <w:tcBorders>
              <w:top w:val="nil"/>
              <w:left w:val="nil"/>
              <w:bottom w:val="nil"/>
              <w:right w:val="nil"/>
            </w:tcBorders>
            <w:shd w:val="clear" w:color="000000" w:fill="FFFFFF"/>
            <w:noWrap/>
            <w:vAlign w:val="center"/>
          </w:tcPr>
          <w:p w14:paraId="1F8C41D2" w14:textId="12B2DB02"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w:t>
            </w:r>
          </w:p>
        </w:tc>
        <w:tc>
          <w:tcPr>
            <w:tcW w:w="403" w:type="pct"/>
            <w:tcBorders>
              <w:top w:val="nil"/>
              <w:left w:val="nil"/>
              <w:bottom w:val="nil"/>
              <w:right w:val="single" w:sz="8" w:space="0" w:color="FF0000"/>
            </w:tcBorders>
            <w:shd w:val="clear" w:color="000000" w:fill="FFFFFF"/>
            <w:noWrap/>
            <w:vAlign w:val="center"/>
          </w:tcPr>
          <w:p w14:paraId="62C5E696" w14:textId="7288A05C"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787,807</w:t>
            </w:r>
          </w:p>
        </w:tc>
        <w:tc>
          <w:tcPr>
            <w:tcW w:w="448" w:type="pct"/>
            <w:tcBorders>
              <w:top w:val="nil"/>
              <w:left w:val="nil"/>
              <w:bottom w:val="nil"/>
              <w:right w:val="nil"/>
            </w:tcBorders>
            <w:shd w:val="clear" w:color="000000" w:fill="FFFFFF"/>
            <w:noWrap/>
            <w:vAlign w:val="center"/>
          </w:tcPr>
          <w:p w14:paraId="5D2BE567" w14:textId="7E7CD1F2"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787,807</w:t>
            </w:r>
          </w:p>
        </w:tc>
        <w:tc>
          <w:tcPr>
            <w:tcW w:w="425" w:type="pct"/>
            <w:tcBorders>
              <w:top w:val="nil"/>
              <w:left w:val="nil"/>
              <w:bottom w:val="nil"/>
              <w:right w:val="nil"/>
            </w:tcBorders>
            <w:shd w:val="clear" w:color="000000" w:fill="FFFFFF"/>
            <w:noWrap/>
            <w:vAlign w:val="center"/>
          </w:tcPr>
          <w:p w14:paraId="780C833F" w14:textId="158F19BE"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787,807</w:t>
            </w:r>
          </w:p>
        </w:tc>
        <w:tc>
          <w:tcPr>
            <w:tcW w:w="422" w:type="pct"/>
            <w:tcBorders>
              <w:top w:val="nil"/>
              <w:left w:val="nil"/>
              <w:bottom w:val="nil"/>
              <w:right w:val="nil"/>
            </w:tcBorders>
            <w:shd w:val="clear" w:color="000000" w:fill="FFFFFF"/>
            <w:noWrap/>
            <w:vAlign w:val="center"/>
          </w:tcPr>
          <w:p w14:paraId="1313F822" w14:textId="2DDB45FF"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w:t>
            </w:r>
          </w:p>
        </w:tc>
      </w:tr>
      <w:tr w:rsidR="003C1E50" w:rsidRPr="00894701" w14:paraId="1AEC83C9" w14:textId="77777777" w:rsidTr="003C1E50">
        <w:trPr>
          <w:trHeight w:val="20"/>
          <w:jc w:val="center"/>
        </w:trPr>
        <w:tc>
          <w:tcPr>
            <w:tcW w:w="122" w:type="pct"/>
            <w:tcBorders>
              <w:top w:val="nil"/>
              <w:left w:val="nil"/>
              <w:bottom w:val="nil"/>
              <w:right w:val="nil"/>
            </w:tcBorders>
            <w:shd w:val="clear" w:color="000000" w:fill="F7A3B0"/>
            <w:noWrap/>
            <w:vAlign w:val="center"/>
            <w:hideMark/>
          </w:tcPr>
          <w:p w14:paraId="562086F6" w14:textId="77777777" w:rsidR="003C1E50" w:rsidRPr="00894701" w:rsidRDefault="003C1E50" w:rsidP="003C1E50">
            <w:pPr>
              <w:spacing w:before="60" w:after="60" w:line="240" w:lineRule="auto"/>
              <w:rPr>
                <w:rFonts w:cs="Arial"/>
                <w:color w:val="000000"/>
                <w:kern w:val="0"/>
                <w:sz w:val="16"/>
                <w:szCs w:val="16"/>
              </w:rPr>
            </w:pPr>
            <w:r w:rsidRPr="00894701">
              <w:rPr>
                <w:rFonts w:cs="Arial"/>
                <w:color w:val="000000"/>
                <w:kern w:val="0"/>
                <w:sz w:val="16"/>
                <w:szCs w:val="16"/>
              </w:rPr>
              <w:t>3</w:t>
            </w:r>
          </w:p>
        </w:tc>
        <w:tc>
          <w:tcPr>
            <w:tcW w:w="1012" w:type="pct"/>
            <w:tcBorders>
              <w:top w:val="nil"/>
              <w:left w:val="nil"/>
              <w:bottom w:val="nil"/>
              <w:right w:val="single" w:sz="8" w:space="0" w:color="FF0000"/>
            </w:tcBorders>
            <w:shd w:val="clear" w:color="000000" w:fill="F7A3B0"/>
            <w:noWrap/>
            <w:vAlign w:val="center"/>
            <w:hideMark/>
          </w:tcPr>
          <w:p w14:paraId="38E674A5" w14:textId="77777777" w:rsidR="003C1E50" w:rsidRPr="00894701" w:rsidRDefault="003C1E50" w:rsidP="003C1E50">
            <w:pPr>
              <w:spacing w:before="60" w:after="60" w:line="240" w:lineRule="auto"/>
              <w:rPr>
                <w:rFonts w:cs="Arial"/>
                <w:color w:val="000000"/>
                <w:kern w:val="0"/>
                <w:sz w:val="16"/>
                <w:szCs w:val="16"/>
              </w:rPr>
            </w:pPr>
            <w:r w:rsidRPr="00894701">
              <w:rPr>
                <w:rFonts w:cs="Arial"/>
                <w:color w:val="000000"/>
                <w:kern w:val="0"/>
                <w:sz w:val="16"/>
                <w:szCs w:val="16"/>
              </w:rPr>
              <w:t xml:space="preserve">Total E&amp;P Suriname B.V. </w:t>
            </w:r>
          </w:p>
        </w:tc>
        <w:tc>
          <w:tcPr>
            <w:tcW w:w="426" w:type="pct"/>
            <w:tcBorders>
              <w:top w:val="nil"/>
              <w:left w:val="nil"/>
              <w:bottom w:val="nil"/>
              <w:right w:val="nil"/>
            </w:tcBorders>
            <w:shd w:val="clear" w:color="000000" w:fill="F7A3B0"/>
            <w:noWrap/>
            <w:vAlign w:val="center"/>
          </w:tcPr>
          <w:p w14:paraId="7C15A7AB" w14:textId="50191569"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w:t>
            </w:r>
          </w:p>
        </w:tc>
        <w:tc>
          <w:tcPr>
            <w:tcW w:w="425" w:type="pct"/>
            <w:tcBorders>
              <w:top w:val="nil"/>
              <w:left w:val="nil"/>
              <w:bottom w:val="nil"/>
              <w:right w:val="nil"/>
            </w:tcBorders>
            <w:shd w:val="clear" w:color="000000" w:fill="F7A3B0"/>
            <w:noWrap/>
            <w:vAlign w:val="center"/>
          </w:tcPr>
          <w:p w14:paraId="65CE4122" w14:textId="6D574BD0"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w:t>
            </w:r>
          </w:p>
        </w:tc>
        <w:tc>
          <w:tcPr>
            <w:tcW w:w="379" w:type="pct"/>
            <w:tcBorders>
              <w:top w:val="nil"/>
              <w:left w:val="nil"/>
              <w:bottom w:val="nil"/>
              <w:right w:val="single" w:sz="8" w:space="0" w:color="FF0000"/>
            </w:tcBorders>
            <w:shd w:val="clear" w:color="000000" w:fill="F7A3B0"/>
            <w:noWrap/>
            <w:vAlign w:val="center"/>
          </w:tcPr>
          <w:p w14:paraId="34A5927D" w14:textId="49044F44"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w:t>
            </w:r>
          </w:p>
        </w:tc>
        <w:tc>
          <w:tcPr>
            <w:tcW w:w="470" w:type="pct"/>
            <w:tcBorders>
              <w:top w:val="nil"/>
              <w:left w:val="nil"/>
              <w:bottom w:val="nil"/>
              <w:right w:val="nil"/>
            </w:tcBorders>
            <w:shd w:val="clear" w:color="000000" w:fill="F7A3B0"/>
            <w:noWrap/>
            <w:vAlign w:val="center"/>
          </w:tcPr>
          <w:p w14:paraId="4EF196C8" w14:textId="4561C256"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000000" w:fill="F7A3B0"/>
            <w:noWrap/>
            <w:vAlign w:val="center"/>
          </w:tcPr>
          <w:p w14:paraId="25325A8A" w14:textId="526946E4"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w:t>
            </w:r>
          </w:p>
        </w:tc>
        <w:tc>
          <w:tcPr>
            <w:tcW w:w="403" w:type="pct"/>
            <w:tcBorders>
              <w:top w:val="nil"/>
              <w:left w:val="nil"/>
              <w:bottom w:val="nil"/>
              <w:right w:val="single" w:sz="8" w:space="0" w:color="FF0000"/>
            </w:tcBorders>
            <w:shd w:val="clear" w:color="000000" w:fill="F7A3B0"/>
            <w:noWrap/>
            <w:vAlign w:val="center"/>
          </w:tcPr>
          <w:p w14:paraId="17C8187B" w14:textId="2BD17704"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w:t>
            </w:r>
          </w:p>
        </w:tc>
        <w:tc>
          <w:tcPr>
            <w:tcW w:w="448" w:type="pct"/>
            <w:tcBorders>
              <w:top w:val="nil"/>
              <w:left w:val="nil"/>
              <w:bottom w:val="nil"/>
              <w:right w:val="nil"/>
            </w:tcBorders>
            <w:shd w:val="clear" w:color="000000" w:fill="F7A3B0"/>
            <w:noWrap/>
            <w:vAlign w:val="center"/>
          </w:tcPr>
          <w:p w14:paraId="725FF0EF" w14:textId="1DCF944B"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w:t>
            </w:r>
          </w:p>
        </w:tc>
        <w:tc>
          <w:tcPr>
            <w:tcW w:w="425" w:type="pct"/>
            <w:tcBorders>
              <w:top w:val="nil"/>
              <w:left w:val="nil"/>
              <w:bottom w:val="nil"/>
              <w:right w:val="nil"/>
            </w:tcBorders>
            <w:shd w:val="clear" w:color="000000" w:fill="F7A3B0"/>
            <w:noWrap/>
            <w:vAlign w:val="center"/>
          </w:tcPr>
          <w:p w14:paraId="65AB0140" w14:textId="3F78D1CB"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w:t>
            </w:r>
          </w:p>
        </w:tc>
        <w:tc>
          <w:tcPr>
            <w:tcW w:w="422" w:type="pct"/>
            <w:tcBorders>
              <w:top w:val="nil"/>
              <w:left w:val="nil"/>
              <w:bottom w:val="nil"/>
              <w:right w:val="nil"/>
            </w:tcBorders>
            <w:shd w:val="clear" w:color="000000" w:fill="F7A3B0"/>
            <w:noWrap/>
            <w:vAlign w:val="center"/>
          </w:tcPr>
          <w:p w14:paraId="6C5BDAF9" w14:textId="19153CB4"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w:t>
            </w:r>
          </w:p>
        </w:tc>
      </w:tr>
      <w:tr w:rsidR="003C1E50" w:rsidRPr="00894701" w14:paraId="62F2047D" w14:textId="77777777" w:rsidTr="003C1E50">
        <w:trPr>
          <w:trHeight w:val="20"/>
          <w:jc w:val="center"/>
        </w:trPr>
        <w:tc>
          <w:tcPr>
            <w:tcW w:w="122" w:type="pct"/>
            <w:tcBorders>
              <w:top w:val="nil"/>
              <w:left w:val="nil"/>
              <w:bottom w:val="nil"/>
              <w:right w:val="nil"/>
            </w:tcBorders>
            <w:shd w:val="clear" w:color="000000" w:fill="FFFFFF"/>
            <w:vAlign w:val="center"/>
            <w:hideMark/>
          </w:tcPr>
          <w:p w14:paraId="7E887D46" w14:textId="77777777" w:rsidR="003C1E50" w:rsidRPr="00894701" w:rsidRDefault="003C1E50" w:rsidP="003C1E50">
            <w:pPr>
              <w:spacing w:before="60" w:after="60" w:line="240" w:lineRule="auto"/>
              <w:rPr>
                <w:rFonts w:cs="Arial"/>
                <w:color w:val="auto"/>
                <w:kern w:val="0"/>
                <w:sz w:val="16"/>
                <w:szCs w:val="16"/>
              </w:rPr>
            </w:pPr>
            <w:r w:rsidRPr="00894701">
              <w:rPr>
                <w:rFonts w:cs="Arial"/>
                <w:color w:val="auto"/>
                <w:kern w:val="0"/>
                <w:sz w:val="16"/>
                <w:szCs w:val="16"/>
              </w:rPr>
              <w:t>4</w:t>
            </w:r>
          </w:p>
        </w:tc>
        <w:tc>
          <w:tcPr>
            <w:tcW w:w="1012" w:type="pct"/>
            <w:tcBorders>
              <w:top w:val="nil"/>
              <w:left w:val="nil"/>
              <w:bottom w:val="nil"/>
              <w:right w:val="single" w:sz="8" w:space="0" w:color="FF0000"/>
            </w:tcBorders>
            <w:shd w:val="clear" w:color="000000" w:fill="FFFFFF"/>
            <w:vAlign w:val="center"/>
            <w:hideMark/>
          </w:tcPr>
          <w:p w14:paraId="553ADCAA" w14:textId="77777777" w:rsidR="003C1E50" w:rsidRPr="00894701" w:rsidRDefault="003C1E50" w:rsidP="003C1E50">
            <w:pPr>
              <w:spacing w:before="60" w:after="60" w:line="240" w:lineRule="auto"/>
              <w:rPr>
                <w:rFonts w:cs="Arial"/>
                <w:color w:val="auto"/>
                <w:kern w:val="0"/>
                <w:sz w:val="16"/>
                <w:szCs w:val="16"/>
              </w:rPr>
            </w:pPr>
            <w:r w:rsidRPr="00894701">
              <w:rPr>
                <w:rFonts w:cs="Arial"/>
                <w:color w:val="auto"/>
                <w:kern w:val="0"/>
                <w:sz w:val="16"/>
                <w:szCs w:val="16"/>
              </w:rPr>
              <w:t>Capricorn Suriname B.V.</w:t>
            </w:r>
          </w:p>
        </w:tc>
        <w:tc>
          <w:tcPr>
            <w:tcW w:w="426" w:type="pct"/>
            <w:tcBorders>
              <w:top w:val="nil"/>
              <w:left w:val="nil"/>
              <w:bottom w:val="nil"/>
              <w:right w:val="nil"/>
            </w:tcBorders>
            <w:shd w:val="clear" w:color="000000" w:fill="FFFFFF"/>
            <w:noWrap/>
            <w:vAlign w:val="center"/>
          </w:tcPr>
          <w:p w14:paraId="4E3057E0" w14:textId="5EC684B4"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w:t>
            </w:r>
          </w:p>
        </w:tc>
        <w:tc>
          <w:tcPr>
            <w:tcW w:w="425" w:type="pct"/>
            <w:tcBorders>
              <w:top w:val="nil"/>
              <w:left w:val="nil"/>
              <w:bottom w:val="nil"/>
              <w:right w:val="nil"/>
            </w:tcBorders>
            <w:shd w:val="clear" w:color="000000" w:fill="FFFFFF"/>
            <w:noWrap/>
            <w:vAlign w:val="center"/>
          </w:tcPr>
          <w:p w14:paraId="2FA7F85B" w14:textId="00DDD9E4"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w:t>
            </w:r>
          </w:p>
        </w:tc>
        <w:tc>
          <w:tcPr>
            <w:tcW w:w="379" w:type="pct"/>
            <w:tcBorders>
              <w:top w:val="nil"/>
              <w:left w:val="nil"/>
              <w:bottom w:val="nil"/>
              <w:right w:val="single" w:sz="8" w:space="0" w:color="FF0000"/>
            </w:tcBorders>
            <w:shd w:val="clear" w:color="000000" w:fill="FFFFFF"/>
            <w:noWrap/>
            <w:vAlign w:val="center"/>
          </w:tcPr>
          <w:p w14:paraId="59EF7594" w14:textId="59FCB3E7"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w:t>
            </w:r>
          </w:p>
        </w:tc>
        <w:tc>
          <w:tcPr>
            <w:tcW w:w="470" w:type="pct"/>
            <w:tcBorders>
              <w:top w:val="nil"/>
              <w:left w:val="nil"/>
              <w:bottom w:val="nil"/>
              <w:right w:val="nil"/>
            </w:tcBorders>
            <w:shd w:val="clear" w:color="000000" w:fill="FFFFFF"/>
            <w:noWrap/>
            <w:vAlign w:val="center"/>
          </w:tcPr>
          <w:p w14:paraId="527E8349" w14:textId="4E8E87F9"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000000" w:fill="FFFFFF"/>
            <w:noWrap/>
            <w:vAlign w:val="center"/>
          </w:tcPr>
          <w:p w14:paraId="5A7F5D29" w14:textId="4D0345B4"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w:t>
            </w:r>
          </w:p>
        </w:tc>
        <w:tc>
          <w:tcPr>
            <w:tcW w:w="403" w:type="pct"/>
            <w:tcBorders>
              <w:top w:val="nil"/>
              <w:left w:val="nil"/>
              <w:bottom w:val="nil"/>
              <w:right w:val="single" w:sz="8" w:space="0" w:color="FF0000"/>
            </w:tcBorders>
            <w:shd w:val="clear" w:color="000000" w:fill="FFFFFF"/>
            <w:noWrap/>
            <w:vAlign w:val="center"/>
          </w:tcPr>
          <w:p w14:paraId="6325DF56" w14:textId="1195F9F6"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w:t>
            </w:r>
          </w:p>
        </w:tc>
        <w:tc>
          <w:tcPr>
            <w:tcW w:w="448" w:type="pct"/>
            <w:tcBorders>
              <w:top w:val="nil"/>
              <w:left w:val="nil"/>
              <w:bottom w:val="nil"/>
              <w:right w:val="nil"/>
            </w:tcBorders>
            <w:shd w:val="clear" w:color="000000" w:fill="FFFFFF"/>
            <w:noWrap/>
            <w:vAlign w:val="center"/>
          </w:tcPr>
          <w:p w14:paraId="3EF5C03B" w14:textId="41A3179A"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w:t>
            </w:r>
          </w:p>
        </w:tc>
        <w:tc>
          <w:tcPr>
            <w:tcW w:w="425" w:type="pct"/>
            <w:tcBorders>
              <w:top w:val="nil"/>
              <w:left w:val="nil"/>
              <w:bottom w:val="nil"/>
              <w:right w:val="nil"/>
            </w:tcBorders>
            <w:shd w:val="clear" w:color="000000" w:fill="FFFFFF"/>
            <w:noWrap/>
            <w:vAlign w:val="center"/>
          </w:tcPr>
          <w:p w14:paraId="74DC770A" w14:textId="28CD427E"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w:t>
            </w:r>
          </w:p>
        </w:tc>
        <w:tc>
          <w:tcPr>
            <w:tcW w:w="422" w:type="pct"/>
            <w:tcBorders>
              <w:top w:val="nil"/>
              <w:left w:val="nil"/>
              <w:bottom w:val="nil"/>
              <w:right w:val="nil"/>
            </w:tcBorders>
            <w:shd w:val="clear" w:color="000000" w:fill="FFFFFF"/>
            <w:noWrap/>
            <w:vAlign w:val="center"/>
          </w:tcPr>
          <w:p w14:paraId="48CFB225" w14:textId="657CA38E"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w:t>
            </w:r>
          </w:p>
        </w:tc>
      </w:tr>
      <w:tr w:rsidR="003C1E50" w:rsidRPr="00894701" w14:paraId="783385C2" w14:textId="77777777" w:rsidTr="003C1E50">
        <w:trPr>
          <w:trHeight w:val="20"/>
          <w:jc w:val="center"/>
        </w:trPr>
        <w:tc>
          <w:tcPr>
            <w:tcW w:w="122" w:type="pct"/>
            <w:tcBorders>
              <w:top w:val="nil"/>
              <w:left w:val="nil"/>
              <w:bottom w:val="nil"/>
              <w:right w:val="nil"/>
            </w:tcBorders>
            <w:shd w:val="clear" w:color="000000" w:fill="F7A3B0"/>
            <w:noWrap/>
            <w:vAlign w:val="center"/>
            <w:hideMark/>
          </w:tcPr>
          <w:p w14:paraId="79A32173" w14:textId="77777777" w:rsidR="003C1E50" w:rsidRPr="00894701" w:rsidRDefault="003C1E50" w:rsidP="003C1E50">
            <w:pPr>
              <w:spacing w:before="60" w:after="60" w:line="240" w:lineRule="auto"/>
              <w:rPr>
                <w:rFonts w:cs="Arial"/>
                <w:color w:val="000000"/>
                <w:kern w:val="0"/>
                <w:sz w:val="16"/>
                <w:szCs w:val="16"/>
              </w:rPr>
            </w:pPr>
            <w:r w:rsidRPr="00894701">
              <w:rPr>
                <w:rFonts w:cs="Arial"/>
                <w:color w:val="000000"/>
                <w:kern w:val="0"/>
                <w:sz w:val="16"/>
                <w:szCs w:val="16"/>
              </w:rPr>
              <w:t>5</w:t>
            </w:r>
          </w:p>
        </w:tc>
        <w:tc>
          <w:tcPr>
            <w:tcW w:w="1012" w:type="pct"/>
            <w:tcBorders>
              <w:top w:val="nil"/>
              <w:left w:val="nil"/>
              <w:bottom w:val="nil"/>
              <w:right w:val="single" w:sz="8" w:space="0" w:color="FF0000"/>
            </w:tcBorders>
            <w:shd w:val="clear" w:color="000000" w:fill="F7A3B0"/>
            <w:noWrap/>
            <w:vAlign w:val="center"/>
            <w:hideMark/>
          </w:tcPr>
          <w:p w14:paraId="02472427" w14:textId="77777777" w:rsidR="003C1E50" w:rsidRPr="00894701" w:rsidRDefault="003C1E50" w:rsidP="003C1E50">
            <w:pPr>
              <w:spacing w:before="60" w:after="60" w:line="240" w:lineRule="auto"/>
              <w:rPr>
                <w:rFonts w:cs="Arial"/>
                <w:color w:val="000000"/>
                <w:kern w:val="0"/>
                <w:sz w:val="16"/>
                <w:szCs w:val="16"/>
              </w:rPr>
            </w:pPr>
            <w:r w:rsidRPr="00894701">
              <w:rPr>
                <w:rFonts w:cs="Arial"/>
                <w:color w:val="000000"/>
                <w:kern w:val="0"/>
                <w:sz w:val="16"/>
                <w:szCs w:val="16"/>
              </w:rPr>
              <w:t>Petronas Suriname Exploration &amp; production B.V.</w:t>
            </w:r>
          </w:p>
        </w:tc>
        <w:tc>
          <w:tcPr>
            <w:tcW w:w="426" w:type="pct"/>
            <w:tcBorders>
              <w:top w:val="nil"/>
              <w:left w:val="nil"/>
              <w:bottom w:val="nil"/>
              <w:right w:val="nil"/>
            </w:tcBorders>
            <w:shd w:val="clear" w:color="000000" w:fill="F7A3B0"/>
            <w:noWrap/>
            <w:vAlign w:val="center"/>
          </w:tcPr>
          <w:p w14:paraId="7E42AAE1" w14:textId="799B58DF"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185,018</w:t>
            </w:r>
          </w:p>
        </w:tc>
        <w:tc>
          <w:tcPr>
            <w:tcW w:w="425" w:type="pct"/>
            <w:tcBorders>
              <w:top w:val="nil"/>
              <w:left w:val="nil"/>
              <w:bottom w:val="nil"/>
              <w:right w:val="nil"/>
            </w:tcBorders>
            <w:shd w:val="clear" w:color="000000" w:fill="F7A3B0"/>
            <w:noWrap/>
            <w:vAlign w:val="center"/>
          </w:tcPr>
          <w:p w14:paraId="5EA27B37" w14:textId="57AD5E7E"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w:t>
            </w:r>
          </w:p>
        </w:tc>
        <w:tc>
          <w:tcPr>
            <w:tcW w:w="379" w:type="pct"/>
            <w:tcBorders>
              <w:top w:val="nil"/>
              <w:left w:val="nil"/>
              <w:bottom w:val="nil"/>
              <w:right w:val="single" w:sz="8" w:space="0" w:color="FF0000"/>
            </w:tcBorders>
            <w:shd w:val="clear" w:color="000000" w:fill="F7A3B0"/>
            <w:noWrap/>
            <w:vAlign w:val="center"/>
          </w:tcPr>
          <w:p w14:paraId="1A5DD91B" w14:textId="310EEECD"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185,018</w:t>
            </w:r>
          </w:p>
        </w:tc>
        <w:tc>
          <w:tcPr>
            <w:tcW w:w="470" w:type="pct"/>
            <w:tcBorders>
              <w:top w:val="nil"/>
              <w:left w:val="nil"/>
              <w:bottom w:val="nil"/>
              <w:right w:val="nil"/>
            </w:tcBorders>
            <w:shd w:val="clear" w:color="000000" w:fill="F7A3B0"/>
            <w:noWrap/>
            <w:vAlign w:val="center"/>
          </w:tcPr>
          <w:p w14:paraId="1D5E9868" w14:textId="24EBFEF3"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000000" w:fill="F7A3B0"/>
            <w:noWrap/>
            <w:vAlign w:val="center"/>
          </w:tcPr>
          <w:p w14:paraId="51099F14" w14:textId="0CA066E7"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w:t>
            </w:r>
          </w:p>
        </w:tc>
        <w:tc>
          <w:tcPr>
            <w:tcW w:w="403" w:type="pct"/>
            <w:tcBorders>
              <w:top w:val="nil"/>
              <w:left w:val="nil"/>
              <w:bottom w:val="nil"/>
              <w:right w:val="single" w:sz="8" w:space="0" w:color="FF0000"/>
            </w:tcBorders>
            <w:shd w:val="clear" w:color="000000" w:fill="F7A3B0"/>
            <w:noWrap/>
            <w:vAlign w:val="center"/>
          </w:tcPr>
          <w:p w14:paraId="79289F2C" w14:textId="00986F5C"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w:t>
            </w:r>
          </w:p>
        </w:tc>
        <w:tc>
          <w:tcPr>
            <w:tcW w:w="448" w:type="pct"/>
            <w:tcBorders>
              <w:top w:val="nil"/>
              <w:left w:val="nil"/>
              <w:bottom w:val="nil"/>
              <w:right w:val="nil"/>
            </w:tcBorders>
            <w:shd w:val="clear" w:color="000000" w:fill="F7A3B0"/>
            <w:noWrap/>
            <w:vAlign w:val="center"/>
          </w:tcPr>
          <w:p w14:paraId="266F642E" w14:textId="72F4BBD0"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185,018</w:t>
            </w:r>
          </w:p>
        </w:tc>
        <w:tc>
          <w:tcPr>
            <w:tcW w:w="425" w:type="pct"/>
            <w:tcBorders>
              <w:top w:val="nil"/>
              <w:left w:val="nil"/>
              <w:bottom w:val="nil"/>
              <w:right w:val="nil"/>
            </w:tcBorders>
            <w:shd w:val="clear" w:color="000000" w:fill="F7A3B0"/>
            <w:noWrap/>
            <w:vAlign w:val="center"/>
          </w:tcPr>
          <w:p w14:paraId="1A6302AB" w14:textId="31D61EE3"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w:t>
            </w:r>
          </w:p>
        </w:tc>
        <w:tc>
          <w:tcPr>
            <w:tcW w:w="422" w:type="pct"/>
            <w:tcBorders>
              <w:top w:val="nil"/>
              <w:left w:val="nil"/>
              <w:bottom w:val="nil"/>
              <w:right w:val="nil"/>
            </w:tcBorders>
            <w:shd w:val="clear" w:color="000000" w:fill="F7A3B0"/>
            <w:noWrap/>
            <w:vAlign w:val="center"/>
          </w:tcPr>
          <w:p w14:paraId="636A184F" w14:textId="7E6BC74C"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185,018</w:t>
            </w:r>
          </w:p>
        </w:tc>
      </w:tr>
      <w:tr w:rsidR="003C1E50" w:rsidRPr="00894701" w14:paraId="789E7E01" w14:textId="77777777" w:rsidTr="003C1E50">
        <w:trPr>
          <w:trHeight w:val="20"/>
          <w:jc w:val="center"/>
        </w:trPr>
        <w:tc>
          <w:tcPr>
            <w:tcW w:w="122" w:type="pct"/>
            <w:tcBorders>
              <w:top w:val="nil"/>
              <w:left w:val="nil"/>
              <w:bottom w:val="nil"/>
              <w:right w:val="nil"/>
            </w:tcBorders>
            <w:shd w:val="clear" w:color="000000" w:fill="FFFFFF"/>
            <w:vAlign w:val="center"/>
            <w:hideMark/>
          </w:tcPr>
          <w:p w14:paraId="6B9F555D" w14:textId="77777777" w:rsidR="003C1E50" w:rsidRPr="00894701" w:rsidRDefault="003C1E50" w:rsidP="003C1E50">
            <w:pPr>
              <w:spacing w:before="60" w:after="60" w:line="240" w:lineRule="auto"/>
              <w:rPr>
                <w:rFonts w:cs="Arial"/>
                <w:color w:val="auto"/>
                <w:kern w:val="0"/>
                <w:sz w:val="16"/>
                <w:szCs w:val="16"/>
              </w:rPr>
            </w:pPr>
            <w:r w:rsidRPr="00894701">
              <w:rPr>
                <w:rFonts w:cs="Arial"/>
                <w:color w:val="auto"/>
                <w:kern w:val="0"/>
                <w:sz w:val="16"/>
                <w:szCs w:val="16"/>
              </w:rPr>
              <w:t>6</w:t>
            </w:r>
          </w:p>
        </w:tc>
        <w:tc>
          <w:tcPr>
            <w:tcW w:w="1012" w:type="pct"/>
            <w:tcBorders>
              <w:top w:val="nil"/>
              <w:left w:val="nil"/>
              <w:bottom w:val="nil"/>
              <w:right w:val="single" w:sz="8" w:space="0" w:color="FF0000"/>
            </w:tcBorders>
            <w:shd w:val="clear" w:color="000000" w:fill="FFFFFF"/>
            <w:vAlign w:val="center"/>
            <w:hideMark/>
          </w:tcPr>
          <w:p w14:paraId="5A9AD495" w14:textId="77777777" w:rsidR="003C1E50" w:rsidRPr="00894701" w:rsidRDefault="003C1E50" w:rsidP="003C1E50">
            <w:pPr>
              <w:spacing w:before="60" w:after="60" w:line="240" w:lineRule="auto"/>
              <w:rPr>
                <w:rFonts w:cs="Arial"/>
                <w:color w:val="auto"/>
                <w:kern w:val="0"/>
                <w:sz w:val="16"/>
                <w:szCs w:val="16"/>
              </w:rPr>
            </w:pPr>
            <w:r w:rsidRPr="00894701">
              <w:rPr>
                <w:rFonts w:cs="Arial"/>
                <w:color w:val="auto"/>
                <w:kern w:val="0"/>
                <w:sz w:val="16"/>
                <w:szCs w:val="16"/>
              </w:rPr>
              <w:t>Challenger Energy Group Plc</w:t>
            </w:r>
          </w:p>
        </w:tc>
        <w:tc>
          <w:tcPr>
            <w:tcW w:w="426" w:type="pct"/>
            <w:tcBorders>
              <w:top w:val="nil"/>
              <w:left w:val="nil"/>
              <w:bottom w:val="nil"/>
              <w:right w:val="nil"/>
            </w:tcBorders>
            <w:shd w:val="clear" w:color="000000" w:fill="FFFFFF"/>
            <w:noWrap/>
            <w:vAlign w:val="center"/>
          </w:tcPr>
          <w:p w14:paraId="00DA4574" w14:textId="07C9B0D7"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w:t>
            </w:r>
          </w:p>
        </w:tc>
        <w:tc>
          <w:tcPr>
            <w:tcW w:w="425" w:type="pct"/>
            <w:tcBorders>
              <w:top w:val="nil"/>
              <w:left w:val="nil"/>
              <w:bottom w:val="nil"/>
              <w:right w:val="nil"/>
            </w:tcBorders>
            <w:shd w:val="clear" w:color="000000" w:fill="FFFFFF"/>
            <w:noWrap/>
            <w:vAlign w:val="center"/>
          </w:tcPr>
          <w:p w14:paraId="50A72724" w14:textId="5F91CFE4"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w:t>
            </w:r>
          </w:p>
        </w:tc>
        <w:tc>
          <w:tcPr>
            <w:tcW w:w="379" w:type="pct"/>
            <w:tcBorders>
              <w:top w:val="nil"/>
              <w:left w:val="nil"/>
              <w:bottom w:val="nil"/>
              <w:right w:val="single" w:sz="8" w:space="0" w:color="FF0000"/>
            </w:tcBorders>
            <w:shd w:val="clear" w:color="000000" w:fill="FFFFFF"/>
            <w:noWrap/>
            <w:vAlign w:val="center"/>
          </w:tcPr>
          <w:p w14:paraId="37956C2B" w14:textId="77E148F9"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w:t>
            </w:r>
          </w:p>
        </w:tc>
        <w:tc>
          <w:tcPr>
            <w:tcW w:w="470" w:type="pct"/>
            <w:tcBorders>
              <w:top w:val="nil"/>
              <w:left w:val="nil"/>
              <w:bottom w:val="nil"/>
              <w:right w:val="nil"/>
            </w:tcBorders>
            <w:shd w:val="clear" w:color="000000" w:fill="FFFFFF"/>
            <w:noWrap/>
            <w:vAlign w:val="center"/>
          </w:tcPr>
          <w:p w14:paraId="7A6375A0" w14:textId="18B96EEC"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000000" w:fill="FFFFFF"/>
            <w:noWrap/>
            <w:vAlign w:val="center"/>
          </w:tcPr>
          <w:p w14:paraId="54A46A51" w14:textId="1CE10DF5"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w:t>
            </w:r>
          </w:p>
        </w:tc>
        <w:tc>
          <w:tcPr>
            <w:tcW w:w="403" w:type="pct"/>
            <w:tcBorders>
              <w:top w:val="nil"/>
              <w:left w:val="nil"/>
              <w:bottom w:val="nil"/>
              <w:right w:val="single" w:sz="8" w:space="0" w:color="FF0000"/>
            </w:tcBorders>
            <w:shd w:val="clear" w:color="000000" w:fill="FFFFFF"/>
            <w:noWrap/>
            <w:vAlign w:val="center"/>
          </w:tcPr>
          <w:p w14:paraId="428F948B" w14:textId="00E128A7"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w:t>
            </w:r>
          </w:p>
        </w:tc>
        <w:tc>
          <w:tcPr>
            <w:tcW w:w="448" w:type="pct"/>
            <w:tcBorders>
              <w:top w:val="nil"/>
              <w:left w:val="nil"/>
              <w:bottom w:val="nil"/>
              <w:right w:val="nil"/>
            </w:tcBorders>
            <w:shd w:val="clear" w:color="000000" w:fill="FFFFFF"/>
            <w:noWrap/>
            <w:vAlign w:val="center"/>
          </w:tcPr>
          <w:p w14:paraId="194280A6" w14:textId="58E14E6E"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w:t>
            </w:r>
          </w:p>
        </w:tc>
        <w:tc>
          <w:tcPr>
            <w:tcW w:w="425" w:type="pct"/>
            <w:tcBorders>
              <w:top w:val="nil"/>
              <w:left w:val="nil"/>
              <w:bottom w:val="nil"/>
              <w:right w:val="nil"/>
            </w:tcBorders>
            <w:shd w:val="clear" w:color="000000" w:fill="FFFFFF"/>
            <w:noWrap/>
            <w:vAlign w:val="center"/>
          </w:tcPr>
          <w:p w14:paraId="274E2637" w14:textId="568AC1E7"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w:t>
            </w:r>
          </w:p>
        </w:tc>
        <w:tc>
          <w:tcPr>
            <w:tcW w:w="422" w:type="pct"/>
            <w:tcBorders>
              <w:top w:val="nil"/>
              <w:left w:val="nil"/>
              <w:bottom w:val="nil"/>
              <w:right w:val="nil"/>
            </w:tcBorders>
            <w:shd w:val="clear" w:color="000000" w:fill="FFFFFF"/>
            <w:noWrap/>
            <w:vAlign w:val="center"/>
          </w:tcPr>
          <w:p w14:paraId="7C1CD183" w14:textId="243DAE76"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w:t>
            </w:r>
          </w:p>
        </w:tc>
      </w:tr>
      <w:tr w:rsidR="003C1E50" w:rsidRPr="00894701" w14:paraId="1469615D" w14:textId="77777777" w:rsidTr="003C1E50">
        <w:trPr>
          <w:trHeight w:val="20"/>
          <w:jc w:val="center"/>
        </w:trPr>
        <w:tc>
          <w:tcPr>
            <w:tcW w:w="122" w:type="pct"/>
            <w:tcBorders>
              <w:top w:val="nil"/>
              <w:left w:val="nil"/>
              <w:bottom w:val="nil"/>
              <w:right w:val="nil"/>
            </w:tcBorders>
            <w:shd w:val="clear" w:color="000000" w:fill="F7A3B0"/>
            <w:noWrap/>
            <w:vAlign w:val="center"/>
            <w:hideMark/>
          </w:tcPr>
          <w:p w14:paraId="7354F076" w14:textId="77777777" w:rsidR="003C1E50" w:rsidRPr="00894701" w:rsidRDefault="003C1E50" w:rsidP="003C1E50">
            <w:pPr>
              <w:spacing w:before="60" w:after="60" w:line="240" w:lineRule="auto"/>
              <w:rPr>
                <w:rFonts w:cs="Arial"/>
                <w:color w:val="000000"/>
                <w:kern w:val="0"/>
                <w:sz w:val="16"/>
                <w:szCs w:val="16"/>
              </w:rPr>
            </w:pPr>
            <w:r w:rsidRPr="00894701">
              <w:rPr>
                <w:rFonts w:cs="Arial"/>
                <w:color w:val="000000"/>
                <w:kern w:val="0"/>
                <w:sz w:val="16"/>
                <w:szCs w:val="16"/>
              </w:rPr>
              <w:t>7</w:t>
            </w:r>
          </w:p>
        </w:tc>
        <w:tc>
          <w:tcPr>
            <w:tcW w:w="1012" w:type="pct"/>
            <w:tcBorders>
              <w:top w:val="nil"/>
              <w:left w:val="nil"/>
              <w:bottom w:val="nil"/>
              <w:right w:val="single" w:sz="8" w:space="0" w:color="FF0000"/>
            </w:tcBorders>
            <w:shd w:val="clear" w:color="000000" w:fill="F7A3B0"/>
            <w:noWrap/>
            <w:vAlign w:val="center"/>
            <w:hideMark/>
          </w:tcPr>
          <w:p w14:paraId="1C99C1B3" w14:textId="77777777" w:rsidR="003C1E50" w:rsidRPr="00894701" w:rsidRDefault="003C1E50" w:rsidP="003C1E50">
            <w:pPr>
              <w:spacing w:before="60" w:after="60" w:line="240" w:lineRule="auto"/>
              <w:rPr>
                <w:rFonts w:cs="Arial"/>
                <w:color w:val="000000"/>
                <w:kern w:val="0"/>
                <w:sz w:val="16"/>
                <w:szCs w:val="16"/>
                <w:lang w:val="nl-NL"/>
              </w:rPr>
            </w:pPr>
            <w:r w:rsidRPr="00894701">
              <w:rPr>
                <w:rFonts w:cs="Arial"/>
                <w:color w:val="000000"/>
                <w:kern w:val="0"/>
                <w:sz w:val="16"/>
                <w:szCs w:val="16"/>
                <w:lang w:val="nl-NL"/>
              </w:rPr>
              <w:t>Staatsolie Maatschappij Suriname N.V.</w:t>
            </w:r>
          </w:p>
        </w:tc>
        <w:tc>
          <w:tcPr>
            <w:tcW w:w="426" w:type="pct"/>
            <w:tcBorders>
              <w:top w:val="nil"/>
              <w:left w:val="nil"/>
              <w:bottom w:val="nil"/>
              <w:right w:val="nil"/>
            </w:tcBorders>
            <w:shd w:val="clear" w:color="000000" w:fill="F7A3B0"/>
            <w:noWrap/>
            <w:vAlign w:val="center"/>
          </w:tcPr>
          <w:p w14:paraId="51A8B9FB" w14:textId="6D5A9BCA"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408,240,614</w:t>
            </w:r>
          </w:p>
        </w:tc>
        <w:tc>
          <w:tcPr>
            <w:tcW w:w="425" w:type="pct"/>
            <w:tcBorders>
              <w:top w:val="nil"/>
              <w:left w:val="nil"/>
              <w:bottom w:val="nil"/>
              <w:right w:val="nil"/>
            </w:tcBorders>
            <w:shd w:val="clear" w:color="000000" w:fill="F7A3B0"/>
            <w:noWrap/>
            <w:vAlign w:val="center"/>
          </w:tcPr>
          <w:p w14:paraId="50F3B6BD" w14:textId="481773B1"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365,393,025</w:t>
            </w:r>
          </w:p>
        </w:tc>
        <w:tc>
          <w:tcPr>
            <w:tcW w:w="379" w:type="pct"/>
            <w:tcBorders>
              <w:top w:val="nil"/>
              <w:left w:val="nil"/>
              <w:bottom w:val="nil"/>
              <w:right w:val="single" w:sz="8" w:space="0" w:color="FF0000"/>
            </w:tcBorders>
            <w:shd w:val="clear" w:color="000000" w:fill="F7A3B0"/>
            <w:noWrap/>
            <w:vAlign w:val="center"/>
          </w:tcPr>
          <w:p w14:paraId="30B6415C" w14:textId="46BE28F0"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42,847,589</w:t>
            </w:r>
          </w:p>
        </w:tc>
        <w:tc>
          <w:tcPr>
            <w:tcW w:w="470" w:type="pct"/>
            <w:tcBorders>
              <w:top w:val="nil"/>
              <w:left w:val="nil"/>
              <w:bottom w:val="nil"/>
              <w:right w:val="nil"/>
            </w:tcBorders>
            <w:shd w:val="clear" w:color="000000" w:fill="F7A3B0"/>
            <w:noWrap/>
            <w:vAlign w:val="center"/>
          </w:tcPr>
          <w:p w14:paraId="5AF631F3" w14:textId="08355EA6"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(114,169,497)</w:t>
            </w:r>
          </w:p>
        </w:tc>
        <w:tc>
          <w:tcPr>
            <w:tcW w:w="468" w:type="pct"/>
            <w:tcBorders>
              <w:top w:val="nil"/>
              <w:left w:val="nil"/>
              <w:bottom w:val="nil"/>
              <w:right w:val="nil"/>
            </w:tcBorders>
            <w:shd w:val="clear" w:color="000000" w:fill="F7A3B0"/>
            <w:noWrap/>
            <w:vAlign w:val="center"/>
          </w:tcPr>
          <w:p w14:paraId="31E714B7" w14:textId="027CC985"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(95,222,380)</w:t>
            </w:r>
          </w:p>
        </w:tc>
        <w:tc>
          <w:tcPr>
            <w:tcW w:w="403" w:type="pct"/>
            <w:tcBorders>
              <w:top w:val="nil"/>
              <w:left w:val="nil"/>
              <w:bottom w:val="nil"/>
              <w:right w:val="single" w:sz="8" w:space="0" w:color="FF0000"/>
            </w:tcBorders>
            <w:shd w:val="clear" w:color="000000" w:fill="F7A3B0"/>
            <w:noWrap/>
            <w:vAlign w:val="center"/>
          </w:tcPr>
          <w:p w14:paraId="0912775E" w14:textId="084BA42C"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(18,947,117)</w:t>
            </w:r>
          </w:p>
        </w:tc>
        <w:tc>
          <w:tcPr>
            <w:tcW w:w="448" w:type="pct"/>
            <w:tcBorders>
              <w:top w:val="nil"/>
              <w:left w:val="nil"/>
              <w:bottom w:val="nil"/>
              <w:right w:val="nil"/>
            </w:tcBorders>
            <w:shd w:val="clear" w:color="000000" w:fill="F7A3B0"/>
            <w:noWrap/>
            <w:vAlign w:val="center"/>
          </w:tcPr>
          <w:p w14:paraId="2479FE2F" w14:textId="58E5EFF2"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294,071,117</w:t>
            </w:r>
          </w:p>
        </w:tc>
        <w:tc>
          <w:tcPr>
            <w:tcW w:w="425" w:type="pct"/>
            <w:tcBorders>
              <w:top w:val="nil"/>
              <w:left w:val="nil"/>
              <w:bottom w:val="nil"/>
              <w:right w:val="nil"/>
            </w:tcBorders>
            <w:shd w:val="clear" w:color="000000" w:fill="F7A3B0"/>
            <w:noWrap/>
            <w:vAlign w:val="center"/>
          </w:tcPr>
          <w:p w14:paraId="77190AEA" w14:textId="0832FE16"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270,170,645</w:t>
            </w:r>
          </w:p>
        </w:tc>
        <w:tc>
          <w:tcPr>
            <w:tcW w:w="422" w:type="pct"/>
            <w:tcBorders>
              <w:top w:val="nil"/>
              <w:left w:val="nil"/>
              <w:bottom w:val="nil"/>
              <w:right w:val="nil"/>
            </w:tcBorders>
            <w:shd w:val="clear" w:color="000000" w:fill="F7A3B0"/>
            <w:noWrap/>
            <w:vAlign w:val="center"/>
          </w:tcPr>
          <w:p w14:paraId="16C4BBE8" w14:textId="274A3AC1"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23,900,472</w:t>
            </w:r>
          </w:p>
        </w:tc>
      </w:tr>
      <w:tr w:rsidR="003C1E50" w:rsidRPr="00894701" w14:paraId="7DF6C11F" w14:textId="77777777" w:rsidTr="003C1E50">
        <w:trPr>
          <w:trHeight w:val="20"/>
          <w:jc w:val="center"/>
        </w:trPr>
        <w:tc>
          <w:tcPr>
            <w:tcW w:w="122" w:type="pct"/>
            <w:tcBorders>
              <w:top w:val="nil"/>
              <w:left w:val="nil"/>
              <w:bottom w:val="nil"/>
              <w:right w:val="nil"/>
            </w:tcBorders>
            <w:shd w:val="clear" w:color="000000" w:fill="FFFFFF"/>
            <w:vAlign w:val="center"/>
            <w:hideMark/>
          </w:tcPr>
          <w:p w14:paraId="29C8FB76" w14:textId="77777777" w:rsidR="003C1E50" w:rsidRPr="00894701" w:rsidRDefault="003C1E50" w:rsidP="003C1E50">
            <w:pPr>
              <w:spacing w:before="60" w:after="60" w:line="240" w:lineRule="auto"/>
              <w:rPr>
                <w:rFonts w:cs="Arial"/>
                <w:color w:val="auto"/>
                <w:kern w:val="0"/>
                <w:sz w:val="16"/>
                <w:szCs w:val="16"/>
              </w:rPr>
            </w:pPr>
            <w:r w:rsidRPr="00894701">
              <w:rPr>
                <w:rFonts w:cs="Arial"/>
                <w:color w:val="auto"/>
                <w:kern w:val="0"/>
                <w:sz w:val="16"/>
                <w:szCs w:val="16"/>
              </w:rPr>
              <w:t>8</w:t>
            </w:r>
          </w:p>
        </w:tc>
        <w:tc>
          <w:tcPr>
            <w:tcW w:w="1012" w:type="pct"/>
            <w:tcBorders>
              <w:top w:val="nil"/>
              <w:left w:val="nil"/>
              <w:bottom w:val="nil"/>
              <w:right w:val="single" w:sz="8" w:space="0" w:color="FF0000"/>
            </w:tcBorders>
            <w:shd w:val="clear" w:color="000000" w:fill="FFFFFF"/>
            <w:vAlign w:val="center"/>
            <w:hideMark/>
          </w:tcPr>
          <w:p w14:paraId="1E63AD12" w14:textId="77777777" w:rsidR="003C1E50" w:rsidRPr="00894701" w:rsidRDefault="003C1E50" w:rsidP="003C1E50">
            <w:pPr>
              <w:spacing w:before="60" w:after="60" w:line="240" w:lineRule="auto"/>
              <w:rPr>
                <w:rFonts w:cs="Arial"/>
                <w:color w:val="auto"/>
                <w:kern w:val="0"/>
                <w:sz w:val="16"/>
                <w:szCs w:val="16"/>
              </w:rPr>
            </w:pPr>
            <w:r w:rsidRPr="00894701">
              <w:rPr>
                <w:rFonts w:cs="Arial"/>
                <w:color w:val="auto"/>
                <w:kern w:val="0"/>
                <w:sz w:val="16"/>
                <w:szCs w:val="16"/>
              </w:rPr>
              <w:t>ExxonMobil Exploration and Production Suriname B.V.</w:t>
            </w:r>
          </w:p>
        </w:tc>
        <w:tc>
          <w:tcPr>
            <w:tcW w:w="426" w:type="pct"/>
            <w:tcBorders>
              <w:top w:val="nil"/>
              <w:left w:val="nil"/>
              <w:bottom w:val="nil"/>
              <w:right w:val="nil"/>
            </w:tcBorders>
            <w:shd w:val="clear" w:color="000000" w:fill="FFFFFF"/>
            <w:noWrap/>
            <w:vAlign w:val="center"/>
          </w:tcPr>
          <w:p w14:paraId="70F33ECA" w14:textId="65BCD0C2"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w:t>
            </w:r>
          </w:p>
        </w:tc>
        <w:tc>
          <w:tcPr>
            <w:tcW w:w="425" w:type="pct"/>
            <w:tcBorders>
              <w:top w:val="nil"/>
              <w:left w:val="nil"/>
              <w:bottom w:val="nil"/>
              <w:right w:val="nil"/>
            </w:tcBorders>
            <w:shd w:val="clear" w:color="000000" w:fill="FFFFFF"/>
            <w:noWrap/>
            <w:vAlign w:val="center"/>
          </w:tcPr>
          <w:p w14:paraId="3EBCAE83" w14:textId="17A189BB"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w:t>
            </w:r>
          </w:p>
        </w:tc>
        <w:tc>
          <w:tcPr>
            <w:tcW w:w="379" w:type="pct"/>
            <w:tcBorders>
              <w:top w:val="nil"/>
              <w:left w:val="nil"/>
              <w:bottom w:val="nil"/>
              <w:right w:val="single" w:sz="8" w:space="0" w:color="FF0000"/>
            </w:tcBorders>
            <w:shd w:val="clear" w:color="000000" w:fill="FFFFFF"/>
            <w:noWrap/>
            <w:vAlign w:val="center"/>
          </w:tcPr>
          <w:p w14:paraId="677FBD6A" w14:textId="2B2D89F3"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w:t>
            </w:r>
          </w:p>
        </w:tc>
        <w:tc>
          <w:tcPr>
            <w:tcW w:w="470" w:type="pct"/>
            <w:tcBorders>
              <w:top w:val="nil"/>
              <w:left w:val="nil"/>
              <w:bottom w:val="nil"/>
              <w:right w:val="nil"/>
            </w:tcBorders>
            <w:shd w:val="clear" w:color="000000" w:fill="FFFFFF"/>
            <w:noWrap/>
            <w:vAlign w:val="center"/>
          </w:tcPr>
          <w:p w14:paraId="2A9285F1" w14:textId="0D11FFE7"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000000" w:fill="FFFFFF"/>
            <w:noWrap/>
            <w:vAlign w:val="center"/>
          </w:tcPr>
          <w:p w14:paraId="522940BF" w14:textId="0693057B"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w:t>
            </w:r>
          </w:p>
        </w:tc>
        <w:tc>
          <w:tcPr>
            <w:tcW w:w="403" w:type="pct"/>
            <w:tcBorders>
              <w:top w:val="nil"/>
              <w:left w:val="nil"/>
              <w:bottom w:val="nil"/>
              <w:right w:val="single" w:sz="8" w:space="0" w:color="FF0000"/>
            </w:tcBorders>
            <w:shd w:val="clear" w:color="000000" w:fill="FFFFFF"/>
            <w:noWrap/>
            <w:vAlign w:val="center"/>
          </w:tcPr>
          <w:p w14:paraId="13A5C332" w14:textId="5145FAE0"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w:t>
            </w:r>
          </w:p>
        </w:tc>
        <w:tc>
          <w:tcPr>
            <w:tcW w:w="448" w:type="pct"/>
            <w:tcBorders>
              <w:top w:val="nil"/>
              <w:left w:val="nil"/>
              <w:bottom w:val="nil"/>
              <w:right w:val="nil"/>
            </w:tcBorders>
            <w:shd w:val="clear" w:color="000000" w:fill="FFFFFF"/>
            <w:noWrap/>
            <w:vAlign w:val="center"/>
          </w:tcPr>
          <w:p w14:paraId="593E068A" w14:textId="04B65040"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w:t>
            </w:r>
          </w:p>
        </w:tc>
        <w:tc>
          <w:tcPr>
            <w:tcW w:w="425" w:type="pct"/>
            <w:tcBorders>
              <w:top w:val="nil"/>
              <w:left w:val="nil"/>
              <w:bottom w:val="nil"/>
              <w:right w:val="nil"/>
            </w:tcBorders>
            <w:shd w:val="clear" w:color="000000" w:fill="FFFFFF"/>
            <w:noWrap/>
            <w:vAlign w:val="center"/>
          </w:tcPr>
          <w:p w14:paraId="3B8DD0DF" w14:textId="613157CD"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w:t>
            </w:r>
          </w:p>
        </w:tc>
        <w:tc>
          <w:tcPr>
            <w:tcW w:w="422" w:type="pct"/>
            <w:tcBorders>
              <w:top w:val="nil"/>
              <w:left w:val="nil"/>
              <w:bottom w:val="nil"/>
              <w:right w:val="nil"/>
            </w:tcBorders>
            <w:shd w:val="clear" w:color="000000" w:fill="FFFFFF"/>
            <w:noWrap/>
            <w:vAlign w:val="center"/>
          </w:tcPr>
          <w:p w14:paraId="4A92D4B3" w14:textId="3D024849"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w:t>
            </w:r>
          </w:p>
        </w:tc>
      </w:tr>
      <w:tr w:rsidR="003C1E50" w:rsidRPr="00894701" w14:paraId="072091CA" w14:textId="77777777" w:rsidTr="003C1E50">
        <w:trPr>
          <w:trHeight w:val="20"/>
          <w:jc w:val="center"/>
        </w:trPr>
        <w:tc>
          <w:tcPr>
            <w:tcW w:w="122" w:type="pct"/>
            <w:tcBorders>
              <w:top w:val="nil"/>
              <w:left w:val="nil"/>
              <w:bottom w:val="single" w:sz="8" w:space="0" w:color="FF0000"/>
              <w:right w:val="nil"/>
            </w:tcBorders>
            <w:shd w:val="clear" w:color="000000" w:fill="7A091A"/>
            <w:vAlign w:val="center"/>
            <w:hideMark/>
          </w:tcPr>
          <w:p w14:paraId="7E5BCA41" w14:textId="77777777" w:rsidR="003C1E50" w:rsidRPr="00894701" w:rsidRDefault="003C1E50" w:rsidP="003C1E50">
            <w:pPr>
              <w:spacing w:before="60" w:after="60" w:line="240" w:lineRule="auto"/>
              <w:rPr>
                <w:rFonts w:cs="Arial"/>
                <w:b/>
                <w:bCs/>
                <w:color w:val="FFFFFF"/>
                <w:kern w:val="0"/>
                <w:sz w:val="16"/>
                <w:szCs w:val="16"/>
              </w:rPr>
            </w:pPr>
            <w:r w:rsidRPr="00894701">
              <w:rPr>
                <w:rFonts w:cs="Arial"/>
                <w:b/>
                <w:bCs/>
                <w:color w:val="FFFFFF"/>
                <w:kern w:val="0"/>
                <w:sz w:val="16"/>
                <w:szCs w:val="16"/>
              </w:rPr>
              <w:t> </w:t>
            </w:r>
          </w:p>
        </w:tc>
        <w:tc>
          <w:tcPr>
            <w:tcW w:w="1012" w:type="pct"/>
            <w:tcBorders>
              <w:top w:val="nil"/>
              <w:left w:val="nil"/>
              <w:bottom w:val="single" w:sz="8" w:space="0" w:color="FF0000"/>
              <w:right w:val="single" w:sz="8" w:space="0" w:color="FF0000"/>
            </w:tcBorders>
            <w:shd w:val="clear" w:color="000000" w:fill="7A091A"/>
            <w:vAlign w:val="center"/>
            <w:hideMark/>
          </w:tcPr>
          <w:p w14:paraId="226B1388" w14:textId="77777777" w:rsidR="003C1E50" w:rsidRPr="00894701" w:rsidRDefault="003C1E50" w:rsidP="003C1E50">
            <w:pPr>
              <w:spacing w:before="60" w:after="60" w:line="240" w:lineRule="auto"/>
              <w:rPr>
                <w:rFonts w:cs="Arial"/>
                <w:b/>
                <w:bCs/>
                <w:color w:val="FFFFFF"/>
                <w:kern w:val="0"/>
                <w:sz w:val="16"/>
                <w:szCs w:val="16"/>
              </w:rPr>
            </w:pPr>
            <w:r w:rsidRPr="00894701">
              <w:rPr>
                <w:rFonts w:cs="Arial"/>
                <w:b/>
                <w:bCs/>
                <w:color w:val="FFFFFF"/>
                <w:kern w:val="0"/>
                <w:sz w:val="16"/>
                <w:szCs w:val="16"/>
              </w:rPr>
              <w:t>Total</w:t>
            </w:r>
          </w:p>
        </w:tc>
        <w:tc>
          <w:tcPr>
            <w:tcW w:w="426" w:type="pct"/>
            <w:tcBorders>
              <w:top w:val="nil"/>
              <w:left w:val="nil"/>
              <w:bottom w:val="single" w:sz="8" w:space="0" w:color="FF0000"/>
              <w:right w:val="nil"/>
            </w:tcBorders>
            <w:shd w:val="clear" w:color="000000" w:fill="7A091A"/>
            <w:vAlign w:val="center"/>
          </w:tcPr>
          <w:p w14:paraId="00D8FBE3" w14:textId="1B9BF92E" w:rsidR="003C1E50" w:rsidRPr="00894701" w:rsidRDefault="003C1E50" w:rsidP="003C1E50">
            <w:pPr>
              <w:spacing w:before="60" w:after="60" w:line="240" w:lineRule="auto"/>
              <w:jc w:val="right"/>
              <w:rPr>
                <w:rFonts w:cs="Arial"/>
                <w:b/>
                <w:bCs/>
                <w:color w:val="FFFFFF"/>
                <w:kern w:val="0"/>
                <w:sz w:val="16"/>
                <w:szCs w:val="16"/>
              </w:rPr>
            </w:pPr>
            <w:r w:rsidRPr="00894701">
              <w:rPr>
                <w:rFonts w:cs="Arial"/>
                <w:b/>
                <w:bCs/>
                <w:color w:val="FFFFFF"/>
                <w:sz w:val="16"/>
                <w:szCs w:val="16"/>
              </w:rPr>
              <w:t>413,347,134</w:t>
            </w:r>
          </w:p>
        </w:tc>
        <w:tc>
          <w:tcPr>
            <w:tcW w:w="425" w:type="pct"/>
            <w:tcBorders>
              <w:top w:val="nil"/>
              <w:left w:val="nil"/>
              <w:bottom w:val="single" w:sz="8" w:space="0" w:color="FF0000"/>
              <w:right w:val="nil"/>
            </w:tcBorders>
            <w:shd w:val="clear" w:color="000000" w:fill="7A091A"/>
            <w:vAlign w:val="center"/>
          </w:tcPr>
          <w:p w14:paraId="1F43DEC7" w14:textId="49B31953" w:rsidR="003C1E50" w:rsidRPr="00894701" w:rsidRDefault="003C1E50" w:rsidP="003C1E50">
            <w:pPr>
              <w:spacing w:before="60" w:after="60" w:line="240" w:lineRule="auto"/>
              <w:jc w:val="right"/>
              <w:rPr>
                <w:rFonts w:cs="Arial"/>
                <w:b/>
                <w:bCs/>
                <w:color w:val="FFFFFF"/>
                <w:kern w:val="0"/>
                <w:sz w:val="16"/>
                <w:szCs w:val="16"/>
              </w:rPr>
            </w:pPr>
            <w:r w:rsidRPr="00894701">
              <w:rPr>
                <w:rFonts w:cs="Arial"/>
                <w:b/>
                <w:bCs/>
                <w:color w:val="FFFFFF"/>
                <w:sz w:val="16"/>
                <w:szCs w:val="16"/>
              </w:rPr>
              <w:t>370,760,295</w:t>
            </w:r>
          </w:p>
        </w:tc>
        <w:tc>
          <w:tcPr>
            <w:tcW w:w="379" w:type="pct"/>
            <w:tcBorders>
              <w:top w:val="nil"/>
              <w:left w:val="nil"/>
              <w:bottom w:val="single" w:sz="8" w:space="0" w:color="FF0000"/>
              <w:right w:val="single" w:sz="8" w:space="0" w:color="FF0000"/>
            </w:tcBorders>
            <w:shd w:val="clear" w:color="000000" w:fill="7A091A"/>
            <w:vAlign w:val="center"/>
          </w:tcPr>
          <w:p w14:paraId="09C62B53" w14:textId="76DF6728" w:rsidR="003C1E50" w:rsidRPr="00894701" w:rsidRDefault="003C1E50" w:rsidP="003C1E50">
            <w:pPr>
              <w:spacing w:before="60" w:after="60" w:line="240" w:lineRule="auto"/>
              <w:jc w:val="right"/>
              <w:rPr>
                <w:rFonts w:cs="Arial"/>
                <w:b/>
                <w:bCs/>
                <w:color w:val="FFFFFF"/>
                <w:kern w:val="0"/>
                <w:sz w:val="16"/>
                <w:szCs w:val="16"/>
              </w:rPr>
            </w:pPr>
            <w:r w:rsidRPr="00894701">
              <w:rPr>
                <w:rFonts w:cs="Arial"/>
                <w:b/>
                <w:bCs/>
                <w:color w:val="FFFFFF"/>
                <w:sz w:val="16"/>
                <w:szCs w:val="16"/>
              </w:rPr>
              <w:t>42,586,839</w:t>
            </w:r>
          </w:p>
        </w:tc>
        <w:tc>
          <w:tcPr>
            <w:tcW w:w="470" w:type="pct"/>
            <w:tcBorders>
              <w:top w:val="nil"/>
              <w:left w:val="nil"/>
              <w:bottom w:val="single" w:sz="8" w:space="0" w:color="FF0000"/>
              <w:right w:val="nil"/>
            </w:tcBorders>
            <w:shd w:val="clear" w:color="000000" w:fill="7A091A"/>
            <w:vAlign w:val="center"/>
          </w:tcPr>
          <w:p w14:paraId="1278C285" w14:textId="738559D9" w:rsidR="003C1E50" w:rsidRPr="00894701" w:rsidRDefault="003C1E50" w:rsidP="003C1E50">
            <w:pPr>
              <w:spacing w:before="60" w:after="60" w:line="240" w:lineRule="auto"/>
              <w:jc w:val="right"/>
              <w:rPr>
                <w:rFonts w:cs="Arial"/>
                <w:b/>
                <w:bCs/>
                <w:color w:val="FFFFFF"/>
                <w:kern w:val="0"/>
                <w:sz w:val="16"/>
                <w:szCs w:val="16"/>
              </w:rPr>
            </w:pPr>
            <w:r w:rsidRPr="00894701">
              <w:rPr>
                <w:rFonts w:cs="Arial"/>
                <w:b/>
                <w:bCs/>
                <w:color w:val="FFFFFF"/>
                <w:sz w:val="16"/>
                <w:szCs w:val="16"/>
              </w:rPr>
              <w:t>(113,242,939)</w:t>
            </w:r>
          </w:p>
        </w:tc>
        <w:tc>
          <w:tcPr>
            <w:tcW w:w="468" w:type="pct"/>
            <w:tcBorders>
              <w:top w:val="nil"/>
              <w:left w:val="nil"/>
              <w:bottom w:val="single" w:sz="8" w:space="0" w:color="FF0000"/>
              <w:right w:val="nil"/>
            </w:tcBorders>
            <w:shd w:val="clear" w:color="000000" w:fill="7A091A"/>
            <w:vAlign w:val="center"/>
          </w:tcPr>
          <w:p w14:paraId="3DCB1C5B" w14:textId="5DD4BE76" w:rsidR="003C1E50" w:rsidRPr="00894701" w:rsidRDefault="003C1E50" w:rsidP="003C1E50">
            <w:pPr>
              <w:spacing w:before="60" w:after="60" w:line="240" w:lineRule="auto"/>
              <w:jc w:val="right"/>
              <w:rPr>
                <w:rFonts w:cs="Arial"/>
                <w:b/>
                <w:bCs/>
                <w:color w:val="FFFFFF"/>
                <w:kern w:val="0"/>
                <w:sz w:val="16"/>
                <w:szCs w:val="16"/>
              </w:rPr>
            </w:pPr>
            <w:r w:rsidRPr="00894701">
              <w:rPr>
                <w:rFonts w:cs="Arial"/>
                <w:b/>
                <w:bCs/>
                <w:color w:val="FFFFFF"/>
                <w:sz w:val="16"/>
                <w:szCs w:val="16"/>
              </w:rPr>
              <w:t>(94,741,589)</w:t>
            </w:r>
          </w:p>
        </w:tc>
        <w:tc>
          <w:tcPr>
            <w:tcW w:w="403" w:type="pct"/>
            <w:tcBorders>
              <w:top w:val="nil"/>
              <w:left w:val="nil"/>
              <w:bottom w:val="single" w:sz="8" w:space="0" w:color="FF0000"/>
              <w:right w:val="single" w:sz="8" w:space="0" w:color="FF0000"/>
            </w:tcBorders>
            <w:shd w:val="clear" w:color="000000" w:fill="7A091A"/>
            <w:vAlign w:val="center"/>
          </w:tcPr>
          <w:p w14:paraId="340B9B73" w14:textId="459B8C9C" w:rsidR="003C1E50" w:rsidRPr="00894701" w:rsidRDefault="003C1E50" w:rsidP="003C1E50">
            <w:pPr>
              <w:spacing w:before="60" w:after="60" w:line="240" w:lineRule="auto"/>
              <w:jc w:val="right"/>
              <w:rPr>
                <w:rFonts w:cs="Arial"/>
                <w:b/>
                <w:bCs/>
                <w:color w:val="FFFFFF"/>
                <w:kern w:val="0"/>
                <w:sz w:val="16"/>
                <w:szCs w:val="16"/>
              </w:rPr>
            </w:pPr>
            <w:r w:rsidRPr="00894701">
              <w:rPr>
                <w:rFonts w:cs="Arial"/>
                <w:b/>
                <w:bCs/>
                <w:color w:val="FFFFFF"/>
                <w:sz w:val="16"/>
                <w:szCs w:val="16"/>
              </w:rPr>
              <w:t>(18,501,350)</w:t>
            </w:r>
          </w:p>
        </w:tc>
        <w:tc>
          <w:tcPr>
            <w:tcW w:w="448" w:type="pct"/>
            <w:tcBorders>
              <w:top w:val="nil"/>
              <w:left w:val="nil"/>
              <w:bottom w:val="single" w:sz="8" w:space="0" w:color="FF0000"/>
              <w:right w:val="nil"/>
            </w:tcBorders>
            <w:shd w:val="clear" w:color="000000" w:fill="7A091A"/>
            <w:vAlign w:val="center"/>
          </w:tcPr>
          <w:p w14:paraId="3C575867" w14:textId="7B6E0B0B" w:rsidR="003C1E50" w:rsidRPr="00894701" w:rsidRDefault="003C1E50" w:rsidP="003C1E50">
            <w:pPr>
              <w:spacing w:before="60" w:after="60" w:line="240" w:lineRule="auto"/>
              <w:jc w:val="right"/>
              <w:rPr>
                <w:rFonts w:cs="Arial"/>
                <w:b/>
                <w:bCs/>
                <w:color w:val="FFFFFF"/>
                <w:kern w:val="0"/>
                <w:sz w:val="16"/>
                <w:szCs w:val="16"/>
              </w:rPr>
            </w:pPr>
            <w:r w:rsidRPr="00894701">
              <w:rPr>
                <w:rFonts w:cs="Arial"/>
                <w:b/>
                <w:bCs/>
                <w:color w:val="FFFFFF"/>
                <w:sz w:val="16"/>
                <w:szCs w:val="16"/>
              </w:rPr>
              <w:t>300,104,195</w:t>
            </w:r>
          </w:p>
        </w:tc>
        <w:tc>
          <w:tcPr>
            <w:tcW w:w="425" w:type="pct"/>
            <w:tcBorders>
              <w:top w:val="nil"/>
              <w:left w:val="nil"/>
              <w:bottom w:val="single" w:sz="8" w:space="0" w:color="FF0000"/>
              <w:right w:val="nil"/>
            </w:tcBorders>
            <w:shd w:val="clear" w:color="000000" w:fill="7A091A"/>
            <w:vAlign w:val="center"/>
          </w:tcPr>
          <w:p w14:paraId="7DE74826" w14:textId="47AAA50C" w:rsidR="003C1E50" w:rsidRPr="00894701" w:rsidRDefault="003C1E50" w:rsidP="003C1E50">
            <w:pPr>
              <w:spacing w:before="60" w:after="60" w:line="240" w:lineRule="auto"/>
              <w:jc w:val="right"/>
              <w:rPr>
                <w:rFonts w:cs="Arial"/>
                <w:b/>
                <w:bCs/>
                <w:color w:val="FFFFFF"/>
                <w:kern w:val="0"/>
                <w:sz w:val="16"/>
                <w:szCs w:val="16"/>
              </w:rPr>
            </w:pPr>
            <w:r w:rsidRPr="00894701">
              <w:rPr>
                <w:rFonts w:cs="Arial"/>
                <w:b/>
                <w:bCs/>
                <w:color w:val="FFFFFF"/>
                <w:sz w:val="16"/>
                <w:szCs w:val="16"/>
              </w:rPr>
              <w:t>276,018,706</w:t>
            </w:r>
          </w:p>
        </w:tc>
        <w:tc>
          <w:tcPr>
            <w:tcW w:w="422" w:type="pct"/>
            <w:tcBorders>
              <w:top w:val="nil"/>
              <w:left w:val="nil"/>
              <w:bottom w:val="single" w:sz="8" w:space="0" w:color="FF0000"/>
              <w:right w:val="single" w:sz="8" w:space="0" w:color="FF0000"/>
            </w:tcBorders>
            <w:shd w:val="clear" w:color="000000" w:fill="7A091A"/>
            <w:vAlign w:val="center"/>
          </w:tcPr>
          <w:p w14:paraId="2CC7C6C0" w14:textId="788AA788" w:rsidR="003C1E50" w:rsidRPr="00894701" w:rsidRDefault="003C1E50" w:rsidP="003C1E50">
            <w:pPr>
              <w:spacing w:before="60" w:after="60" w:line="240" w:lineRule="auto"/>
              <w:jc w:val="right"/>
              <w:rPr>
                <w:rFonts w:cs="Arial"/>
                <w:b/>
                <w:bCs/>
                <w:color w:val="FFFFFF"/>
                <w:kern w:val="0"/>
                <w:sz w:val="16"/>
                <w:szCs w:val="16"/>
              </w:rPr>
            </w:pPr>
            <w:r w:rsidRPr="00894701">
              <w:rPr>
                <w:rFonts w:cs="Arial"/>
                <w:b/>
                <w:bCs/>
                <w:color w:val="FFFFFF"/>
                <w:sz w:val="16"/>
                <w:szCs w:val="16"/>
              </w:rPr>
              <w:t>24,085,489</w:t>
            </w:r>
          </w:p>
        </w:tc>
      </w:tr>
    </w:tbl>
    <w:p w14:paraId="689482E7" w14:textId="7BFECE0B" w:rsidR="002F4BAB" w:rsidRPr="00894701" w:rsidRDefault="002F4BAB" w:rsidP="00931ADB">
      <w:pPr>
        <w:spacing w:after="0" w:line="240" w:lineRule="auto"/>
        <w:rPr>
          <w:b/>
          <w:bCs/>
          <w:color w:val="98002E" w:themeColor="accent3"/>
          <w:sz w:val="20"/>
          <w:szCs w:val="20"/>
        </w:rPr>
      </w:pPr>
      <w:r w:rsidRPr="00894701">
        <w:rPr>
          <w:rFonts w:cs="Arial"/>
          <w:i/>
          <w:color w:val="auto"/>
          <w:szCs w:val="18"/>
        </w:rPr>
        <w:t>Source: EITI Reporting Templates</w:t>
      </w:r>
      <w:bookmarkStart w:id="467" w:name="_Toc117539615"/>
      <w:r w:rsidRPr="00894701">
        <w:rPr>
          <w:b/>
          <w:bCs/>
          <w:color w:val="98002E" w:themeColor="accent3"/>
          <w:sz w:val="20"/>
          <w:szCs w:val="20"/>
        </w:rPr>
        <w:br w:type="page"/>
      </w:r>
    </w:p>
    <w:p w14:paraId="246EC4A4" w14:textId="262FB83D" w:rsidR="002F4BAB" w:rsidRPr="00894701" w:rsidRDefault="002F4BAB" w:rsidP="002F4BAB">
      <w:pPr>
        <w:pStyle w:val="BodyText"/>
        <w:jc w:val="center"/>
        <w:rPr>
          <w:b/>
          <w:bCs/>
          <w:color w:val="98002E" w:themeColor="accent3"/>
          <w:sz w:val="20"/>
          <w:szCs w:val="20"/>
        </w:rPr>
      </w:pPr>
      <w:bookmarkStart w:id="468" w:name="_Toc146590524"/>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52</w:t>
      </w:r>
      <w:r w:rsidRPr="00894701">
        <w:rPr>
          <w:b/>
          <w:bCs/>
          <w:color w:val="98002E" w:themeColor="accent3"/>
          <w:sz w:val="20"/>
          <w:szCs w:val="20"/>
        </w:rPr>
        <w:fldChar w:fldCharType="end"/>
      </w:r>
      <w:r w:rsidRPr="00894701">
        <w:rPr>
          <w:b/>
          <w:bCs/>
          <w:color w:val="98002E" w:themeColor="accent3"/>
          <w:sz w:val="20"/>
          <w:szCs w:val="20"/>
        </w:rPr>
        <w:t>: Reconciliation by oil and gas companies</w:t>
      </w:r>
      <w:r w:rsidR="007E0DF8" w:rsidRPr="00894701">
        <w:rPr>
          <w:b/>
          <w:bCs/>
          <w:color w:val="98002E" w:themeColor="accent3"/>
          <w:sz w:val="20"/>
          <w:szCs w:val="20"/>
        </w:rPr>
        <w:t xml:space="preserve"> </w:t>
      </w:r>
      <w:r w:rsidRPr="00894701">
        <w:rPr>
          <w:b/>
          <w:bCs/>
          <w:color w:val="98002E" w:themeColor="accent3"/>
          <w:sz w:val="20"/>
          <w:szCs w:val="20"/>
        </w:rPr>
        <w:t>for the fiscal year 2019</w:t>
      </w:r>
      <w:bookmarkEnd w:id="467"/>
      <w:bookmarkEnd w:id="468"/>
    </w:p>
    <w:p w14:paraId="487A908F" w14:textId="77777777" w:rsidR="002F4BAB" w:rsidRPr="00894701" w:rsidRDefault="002F4BAB" w:rsidP="002F4BAB">
      <w:pPr>
        <w:spacing w:after="0"/>
        <w:jc w:val="right"/>
        <w:rPr>
          <w:b/>
          <w:bCs/>
          <w:noProof/>
          <w:color w:val="98002E" w:themeColor="accent3"/>
          <w:sz w:val="20"/>
          <w:szCs w:val="20"/>
        </w:rPr>
      </w:pPr>
      <w:r w:rsidRPr="00894701">
        <w:rPr>
          <w:rFonts w:cs="Arial"/>
          <w:i/>
          <w:iCs/>
          <w:color w:val="000000"/>
          <w:szCs w:val="18"/>
          <w:lang w:eastAsia="fr-FR"/>
        </w:rPr>
        <w:t>Amounts in SRD</w:t>
      </w:r>
    </w:p>
    <w:tbl>
      <w:tblPr>
        <w:tblW w:w="5383" w:type="pct"/>
        <w:jc w:val="center"/>
        <w:tblLayout w:type="fixed"/>
        <w:tblLook w:val="04A0" w:firstRow="1" w:lastRow="0" w:firstColumn="1" w:lastColumn="0" w:noHBand="0" w:noVBand="1"/>
      </w:tblPr>
      <w:tblGrid>
        <w:gridCol w:w="368"/>
        <w:gridCol w:w="3041"/>
        <w:gridCol w:w="1280"/>
        <w:gridCol w:w="1277"/>
        <w:gridCol w:w="1139"/>
        <w:gridCol w:w="1413"/>
        <w:gridCol w:w="1407"/>
        <w:gridCol w:w="1211"/>
        <w:gridCol w:w="1346"/>
        <w:gridCol w:w="1277"/>
        <w:gridCol w:w="1268"/>
      </w:tblGrid>
      <w:tr w:rsidR="00CA58C0" w:rsidRPr="00894701" w14:paraId="26395E6C" w14:textId="77777777" w:rsidTr="00CA58C0">
        <w:trPr>
          <w:trHeight w:val="20"/>
          <w:tblHeader/>
          <w:jc w:val="center"/>
        </w:trPr>
        <w:tc>
          <w:tcPr>
            <w:tcW w:w="122" w:type="pct"/>
            <w:vMerge w:val="restart"/>
            <w:tcBorders>
              <w:top w:val="nil"/>
              <w:left w:val="nil"/>
              <w:bottom w:val="single" w:sz="8" w:space="0" w:color="FF0000"/>
              <w:right w:val="nil"/>
            </w:tcBorders>
            <w:shd w:val="clear" w:color="000000" w:fill="7A091A"/>
            <w:tcMar>
              <w:left w:w="28" w:type="dxa"/>
              <w:right w:w="28" w:type="dxa"/>
            </w:tcMar>
            <w:vAlign w:val="center"/>
            <w:hideMark/>
          </w:tcPr>
          <w:p w14:paraId="1E432243" w14:textId="77777777" w:rsidR="00CA58C0" w:rsidRPr="00894701" w:rsidRDefault="00CA58C0" w:rsidP="00EA1802">
            <w:pPr>
              <w:spacing w:before="60" w:after="60" w:line="240" w:lineRule="auto"/>
              <w:jc w:val="center"/>
              <w:rPr>
                <w:rFonts w:cs="Arial"/>
                <w:b/>
                <w:bCs/>
                <w:color w:val="FFFFFF"/>
                <w:kern w:val="0"/>
                <w:sz w:val="16"/>
                <w:szCs w:val="16"/>
              </w:rPr>
            </w:pPr>
            <w:r w:rsidRPr="00894701">
              <w:rPr>
                <w:rFonts w:cs="Arial"/>
                <w:b/>
                <w:bCs/>
                <w:color w:val="FFFFFF"/>
                <w:kern w:val="0"/>
                <w:sz w:val="16"/>
                <w:szCs w:val="16"/>
              </w:rPr>
              <w:t>No.</w:t>
            </w:r>
          </w:p>
        </w:tc>
        <w:tc>
          <w:tcPr>
            <w:tcW w:w="1012" w:type="pct"/>
            <w:vMerge w:val="restart"/>
            <w:tcBorders>
              <w:top w:val="nil"/>
              <w:left w:val="nil"/>
              <w:bottom w:val="single" w:sz="8" w:space="0" w:color="FF0000"/>
              <w:right w:val="single" w:sz="8" w:space="0" w:color="FF0000"/>
            </w:tcBorders>
            <w:shd w:val="clear" w:color="000000" w:fill="7A091A"/>
            <w:tcMar>
              <w:left w:w="28" w:type="dxa"/>
              <w:right w:w="28" w:type="dxa"/>
            </w:tcMar>
            <w:vAlign w:val="center"/>
            <w:hideMark/>
          </w:tcPr>
          <w:p w14:paraId="10862AED" w14:textId="77777777" w:rsidR="00CA58C0" w:rsidRPr="00894701" w:rsidRDefault="00CA58C0" w:rsidP="00EA1802">
            <w:pPr>
              <w:spacing w:before="60" w:after="60" w:line="240" w:lineRule="auto"/>
              <w:jc w:val="center"/>
              <w:rPr>
                <w:rFonts w:cs="Arial"/>
                <w:b/>
                <w:bCs/>
                <w:color w:val="FFFFFF"/>
                <w:kern w:val="0"/>
                <w:sz w:val="16"/>
                <w:szCs w:val="16"/>
              </w:rPr>
            </w:pPr>
            <w:r w:rsidRPr="00894701">
              <w:rPr>
                <w:rFonts w:cs="Arial"/>
                <w:b/>
                <w:bCs/>
                <w:color w:val="FFFFFF"/>
                <w:kern w:val="0"/>
                <w:sz w:val="16"/>
                <w:szCs w:val="16"/>
              </w:rPr>
              <w:t>Company</w:t>
            </w:r>
          </w:p>
        </w:tc>
        <w:tc>
          <w:tcPr>
            <w:tcW w:w="1230" w:type="pct"/>
            <w:gridSpan w:val="3"/>
            <w:tcBorders>
              <w:top w:val="nil"/>
              <w:left w:val="nil"/>
              <w:bottom w:val="single" w:sz="8" w:space="0" w:color="FF0000"/>
              <w:right w:val="single" w:sz="8" w:space="0" w:color="FF0000"/>
            </w:tcBorders>
            <w:shd w:val="clear" w:color="000000" w:fill="7A091A"/>
            <w:vAlign w:val="center"/>
            <w:hideMark/>
          </w:tcPr>
          <w:p w14:paraId="06297DA0" w14:textId="77777777" w:rsidR="00CA58C0" w:rsidRPr="00894701" w:rsidRDefault="00CA58C0" w:rsidP="00EA1802">
            <w:pPr>
              <w:spacing w:before="60" w:after="60" w:line="240" w:lineRule="auto"/>
              <w:jc w:val="center"/>
              <w:rPr>
                <w:rFonts w:cs="Arial"/>
                <w:b/>
                <w:bCs/>
                <w:color w:val="FFFFFF"/>
                <w:kern w:val="0"/>
                <w:sz w:val="16"/>
                <w:szCs w:val="16"/>
              </w:rPr>
            </w:pPr>
            <w:r w:rsidRPr="00894701">
              <w:rPr>
                <w:rFonts w:cs="Arial"/>
                <w:b/>
                <w:bCs/>
                <w:color w:val="FFFFFF"/>
                <w:kern w:val="0"/>
                <w:sz w:val="16"/>
                <w:szCs w:val="16"/>
              </w:rPr>
              <w:t>Templates originally lodged</w:t>
            </w:r>
          </w:p>
        </w:tc>
        <w:tc>
          <w:tcPr>
            <w:tcW w:w="1341" w:type="pct"/>
            <w:gridSpan w:val="3"/>
            <w:tcBorders>
              <w:top w:val="nil"/>
              <w:left w:val="nil"/>
              <w:bottom w:val="single" w:sz="8" w:space="0" w:color="FF0000"/>
              <w:right w:val="single" w:sz="8" w:space="0" w:color="FF0000"/>
            </w:tcBorders>
            <w:shd w:val="clear" w:color="000000" w:fill="7A091A"/>
            <w:vAlign w:val="center"/>
            <w:hideMark/>
          </w:tcPr>
          <w:p w14:paraId="00C50718" w14:textId="77777777" w:rsidR="00CA58C0" w:rsidRPr="00894701" w:rsidRDefault="00CA58C0" w:rsidP="00EA1802">
            <w:pPr>
              <w:spacing w:before="60" w:after="60" w:line="240" w:lineRule="auto"/>
              <w:jc w:val="center"/>
              <w:rPr>
                <w:rFonts w:cs="Arial"/>
                <w:b/>
                <w:bCs/>
                <w:color w:val="FFFFFF"/>
                <w:kern w:val="0"/>
                <w:sz w:val="16"/>
                <w:szCs w:val="16"/>
              </w:rPr>
            </w:pPr>
            <w:r w:rsidRPr="00894701">
              <w:rPr>
                <w:rFonts w:cs="Arial"/>
                <w:b/>
                <w:bCs/>
                <w:color w:val="FFFFFF"/>
                <w:kern w:val="0"/>
                <w:sz w:val="16"/>
                <w:szCs w:val="16"/>
              </w:rPr>
              <w:t>Adjustments</w:t>
            </w:r>
          </w:p>
        </w:tc>
        <w:tc>
          <w:tcPr>
            <w:tcW w:w="1295" w:type="pct"/>
            <w:gridSpan w:val="3"/>
            <w:tcBorders>
              <w:top w:val="nil"/>
              <w:left w:val="nil"/>
              <w:bottom w:val="single" w:sz="8" w:space="0" w:color="FF0000"/>
              <w:right w:val="nil"/>
            </w:tcBorders>
            <w:shd w:val="clear" w:color="000000" w:fill="7A091A"/>
            <w:vAlign w:val="center"/>
            <w:hideMark/>
          </w:tcPr>
          <w:p w14:paraId="21ADDE64" w14:textId="77777777" w:rsidR="00CA58C0" w:rsidRPr="00894701" w:rsidRDefault="00CA58C0" w:rsidP="00EA1802">
            <w:pPr>
              <w:spacing w:before="60" w:after="60" w:line="240" w:lineRule="auto"/>
              <w:jc w:val="center"/>
              <w:rPr>
                <w:rFonts w:cs="Arial"/>
                <w:b/>
                <w:bCs/>
                <w:color w:val="FFFFFF"/>
                <w:kern w:val="0"/>
                <w:sz w:val="16"/>
                <w:szCs w:val="16"/>
              </w:rPr>
            </w:pPr>
            <w:r w:rsidRPr="00894701">
              <w:rPr>
                <w:rFonts w:cs="Arial"/>
                <w:b/>
                <w:bCs/>
                <w:color w:val="FFFFFF"/>
                <w:kern w:val="0"/>
                <w:sz w:val="16"/>
                <w:szCs w:val="16"/>
              </w:rPr>
              <w:t>Final amounts</w:t>
            </w:r>
          </w:p>
        </w:tc>
      </w:tr>
      <w:tr w:rsidR="00CA58C0" w:rsidRPr="00894701" w14:paraId="45A1BFD9" w14:textId="77777777" w:rsidTr="00CA58C0">
        <w:trPr>
          <w:trHeight w:val="20"/>
          <w:tblHeader/>
          <w:jc w:val="center"/>
        </w:trPr>
        <w:tc>
          <w:tcPr>
            <w:tcW w:w="122" w:type="pct"/>
            <w:vMerge/>
            <w:tcBorders>
              <w:top w:val="nil"/>
              <w:left w:val="nil"/>
              <w:bottom w:val="single" w:sz="8" w:space="0" w:color="FF0000"/>
              <w:right w:val="nil"/>
            </w:tcBorders>
            <w:vAlign w:val="center"/>
            <w:hideMark/>
          </w:tcPr>
          <w:p w14:paraId="01E82E24" w14:textId="77777777" w:rsidR="00CA58C0" w:rsidRPr="00894701" w:rsidRDefault="00CA58C0" w:rsidP="00EA1802">
            <w:pPr>
              <w:spacing w:before="60" w:after="60" w:line="240" w:lineRule="auto"/>
              <w:jc w:val="center"/>
              <w:rPr>
                <w:rFonts w:cs="Arial"/>
                <w:b/>
                <w:bCs/>
                <w:color w:val="FFFFFF"/>
                <w:kern w:val="0"/>
                <w:sz w:val="16"/>
                <w:szCs w:val="16"/>
              </w:rPr>
            </w:pPr>
          </w:p>
        </w:tc>
        <w:tc>
          <w:tcPr>
            <w:tcW w:w="1012" w:type="pct"/>
            <w:vMerge/>
            <w:tcBorders>
              <w:top w:val="nil"/>
              <w:left w:val="nil"/>
              <w:bottom w:val="single" w:sz="8" w:space="0" w:color="FF0000"/>
              <w:right w:val="single" w:sz="8" w:space="0" w:color="FF0000"/>
            </w:tcBorders>
            <w:vAlign w:val="center"/>
            <w:hideMark/>
          </w:tcPr>
          <w:p w14:paraId="433ECF31" w14:textId="77777777" w:rsidR="00CA58C0" w:rsidRPr="00894701" w:rsidRDefault="00CA58C0" w:rsidP="00EA1802">
            <w:pPr>
              <w:spacing w:before="60" w:after="60" w:line="240" w:lineRule="auto"/>
              <w:jc w:val="center"/>
              <w:rPr>
                <w:rFonts w:cs="Arial"/>
                <w:b/>
                <w:bCs/>
                <w:color w:val="FFFFFF"/>
                <w:kern w:val="0"/>
                <w:sz w:val="16"/>
                <w:szCs w:val="16"/>
              </w:rPr>
            </w:pPr>
          </w:p>
        </w:tc>
        <w:tc>
          <w:tcPr>
            <w:tcW w:w="426" w:type="pct"/>
            <w:tcBorders>
              <w:top w:val="nil"/>
              <w:left w:val="nil"/>
              <w:bottom w:val="single" w:sz="8" w:space="0" w:color="FF0000"/>
              <w:right w:val="nil"/>
            </w:tcBorders>
            <w:shd w:val="clear" w:color="000000" w:fill="7A091A"/>
            <w:vAlign w:val="center"/>
            <w:hideMark/>
          </w:tcPr>
          <w:p w14:paraId="5B9F5E29" w14:textId="77777777" w:rsidR="00CA58C0" w:rsidRPr="00894701" w:rsidRDefault="00CA58C0" w:rsidP="00EA1802">
            <w:pPr>
              <w:spacing w:before="60" w:after="60" w:line="240" w:lineRule="auto"/>
              <w:jc w:val="right"/>
              <w:rPr>
                <w:rFonts w:cs="Arial"/>
                <w:b/>
                <w:bCs/>
                <w:color w:val="FFFFFF"/>
                <w:kern w:val="0"/>
                <w:sz w:val="16"/>
                <w:szCs w:val="16"/>
              </w:rPr>
            </w:pPr>
            <w:r w:rsidRPr="00894701">
              <w:rPr>
                <w:rFonts w:cs="Arial"/>
                <w:b/>
                <w:bCs/>
                <w:color w:val="FFFFFF"/>
                <w:kern w:val="0"/>
                <w:sz w:val="16"/>
                <w:szCs w:val="16"/>
              </w:rPr>
              <w:t>Extractive company</w:t>
            </w:r>
            <w:r w:rsidRPr="00894701">
              <w:rPr>
                <w:rFonts w:cs="Arial"/>
                <w:b/>
                <w:bCs/>
                <w:color w:val="FFFFFF"/>
                <w:kern w:val="0"/>
                <w:sz w:val="16"/>
                <w:szCs w:val="16"/>
              </w:rPr>
              <w:br/>
              <w:t>(a)</w:t>
            </w:r>
          </w:p>
        </w:tc>
        <w:tc>
          <w:tcPr>
            <w:tcW w:w="425" w:type="pct"/>
            <w:tcBorders>
              <w:top w:val="nil"/>
              <w:left w:val="nil"/>
              <w:bottom w:val="single" w:sz="8" w:space="0" w:color="FF0000"/>
              <w:right w:val="nil"/>
            </w:tcBorders>
            <w:shd w:val="clear" w:color="000000" w:fill="7A091A"/>
            <w:vAlign w:val="center"/>
            <w:hideMark/>
          </w:tcPr>
          <w:p w14:paraId="0BEC2B68" w14:textId="77777777" w:rsidR="00CA58C0" w:rsidRPr="00894701" w:rsidRDefault="00CA58C0" w:rsidP="00EA1802">
            <w:pPr>
              <w:spacing w:before="60" w:after="60" w:line="240" w:lineRule="auto"/>
              <w:jc w:val="right"/>
              <w:rPr>
                <w:rFonts w:cs="Arial"/>
                <w:b/>
                <w:bCs/>
                <w:color w:val="FFFFFF"/>
                <w:kern w:val="0"/>
                <w:sz w:val="16"/>
                <w:szCs w:val="16"/>
              </w:rPr>
            </w:pPr>
            <w:r w:rsidRPr="00894701">
              <w:rPr>
                <w:rFonts w:cs="Arial"/>
                <w:b/>
                <w:bCs/>
                <w:color w:val="FFFFFF"/>
                <w:kern w:val="0"/>
                <w:sz w:val="16"/>
                <w:szCs w:val="16"/>
              </w:rPr>
              <w:t>Government</w:t>
            </w:r>
            <w:r w:rsidRPr="00894701">
              <w:rPr>
                <w:rFonts w:cs="Arial"/>
                <w:b/>
                <w:bCs/>
                <w:color w:val="FFFFFF"/>
                <w:kern w:val="0"/>
                <w:sz w:val="16"/>
                <w:szCs w:val="16"/>
              </w:rPr>
              <w:br/>
              <w:t>(b)</w:t>
            </w:r>
          </w:p>
        </w:tc>
        <w:tc>
          <w:tcPr>
            <w:tcW w:w="379" w:type="pct"/>
            <w:tcBorders>
              <w:top w:val="nil"/>
              <w:left w:val="nil"/>
              <w:bottom w:val="single" w:sz="8" w:space="0" w:color="FF0000"/>
              <w:right w:val="single" w:sz="8" w:space="0" w:color="FF0000"/>
            </w:tcBorders>
            <w:shd w:val="clear" w:color="000000" w:fill="7A091A"/>
            <w:vAlign w:val="center"/>
            <w:hideMark/>
          </w:tcPr>
          <w:p w14:paraId="7E49E675" w14:textId="77777777" w:rsidR="00CA58C0" w:rsidRPr="00894701" w:rsidRDefault="00CA58C0" w:rsidP="00EA1802">
            <w:pPr>
              <w:spacing w:before="60" w:after="60" w:line="240" w:lineRule="auto"/>
              <w:jc w:val="right"/>
              <w:rPr>
                <w:rFonts w:cs="Arial"/>
                <w:b/>
                <w:bCs/>
                <w:color w:val="FFFFFF"/>
                <w:kern w:val="0"/>
                <w:sz w:val="16"/>
                <w:szCs w:val="16"/>
              </w:rPr>
            </w:pPr>
            <w:r w:rsidRPr="00894701">
              <w:rPr>
                <w:rFonts w:cs="Arial"/>
                <w:b/>
                <w:bCs/>
                <w:color w:val="FFFFFF"/>
                <w:kern w:val="0"/>
                <w:sz w:val="16"/>
                <w:szCs w:val="16"/>
              </w:rPr>
              <w:t>Difference</w:t>
            </w:r>
            <w:r w:rsidRPr="00894701">
              <w:rPr>
                <w:rFonts w:cs="Arial"/>
                <w:b/>
                <w:bCs/>
                <w:color w:val="FFFFFF"/>
                <w:kern w:val="0"/>
                <w:sz w:val="16"/>
                <w:szCs w:val="16"/>
              </w:rPr>
              <w:br/>
              <w:t>(c) =</w:t>
            </w:r>
            <w:r w:rsidRPr="00894701">
              <w:rPr>
                <w:rFonts w:cs="Arial"/>
                <w:b/>
                <w:bCs/>
                <w:color w:val="FFFFFF"/>
                <w:kern w:val="0"/>
                <w:sz w:val="16"/>
                <w:szCs w:val="16"/>
              </w:rPr>
              <w:br/>
              <w:t>(a - b)</w:t>
            </w:r>
          </w:p>
        </w:tc>
        <w:tc>
          <w:tcPr>
            <w:tcW w:w="470" w:type="pct"/>
            <w:tcBorders>
              <w:top w:val="nil"/>
              <w:left w:val="nil"/>
              <w:bottom w:val="single" w:sz="8" w:space="0" w:color="FF0000"/>
              <w:right w:val="nil"/>
            </w:tcBorders>
            <w:shd w:val="clear" w:color="000000" w:fill="7A091A"/>
            <w:vAlign w:val="center"/>
            <w:hideMark/>
          </w:tcPr>
          <w:p w14:paraId="741B00C0" w14:textId="77777777" w:rsidR="00CA58C0" w:rsidRPr="00894701" w:rsidRDefault="00CA58C0" w:rsidP="00EA1802">
            <w:pPr>
              <w:spacing w:before="60" w:after="60" w:line="240" w:lineRule="auto"/>
              <w:jc w:val="right"/>
              <w:rPr>
                <w:rFonts w:cs="Arial"/>
                <w:b/>
                <w:bCs/>
                <w:color w:val="FFFFFF"/>
                <w:kern w:val="0"/>
                <w:sz w:val="16"/>
                <w:szCs w:val="16"/>
              </w:rPr>
            </w:pPr>
            <w:r w:rsidRPr="00894701">
              <w:rPr>
                <w:rFonts w:cs="Arial"/>
                <w:b/>
                <w:bCs/>
                <w:color w:val="FFFFFF"/>
                <w:kern w:val="0"/>
                <w:sz w:val="16"/>
                <w:szCs w:val="16"/>
              </w:rPr>
              <w:t>Extractive company</w:t>
            </w:r>
            <w:r w:rsidRPr="00894701">
              <w:rPr>
                <w:rFonts w:cs="Arial"/>
                <w:b/>
                <w:bCs/>
                <w:color w:val="FFFFFF"/>
                <w:kern w:val="0"/>
                <w:sz w:val="16"/>
                <w:szCs w:val="16"/>
              </w:rPr>
              <w:br/>
              <w:t>(d)</w:t>
            </w:r>
          </w:p>
        </w:tc>
        <w:tc>
          <w:tcPr>
            <w:tcW w:w="468" w:type="pct"/>
            <w:tcBorders>
              <w:top w:val="nil"/>
              <w:left w:val="nil"/>
              <w:bottom w:val="single" w:sz="8" w:space="0" w:color="FF0000"/>
              <w:right w:val="nil"/>
            </w:tcBorders>
            <w:shd w:val="clear" w:color="000000" w:fill="7A091A"/>
            <w:vAlign w:val="center"/>
            <w:hideMark/>
          </w:tcPr>
          <w:p w14:paraId="4AF8B578" w14:textId="77777777" w:rsidR="00CA58C0" w:rsidRPr="00894701" w:rsidRDefault="00CA58C0" w:rsidP="00EA1802">
            <w:pPr>
              <w:spacing w:before="60" w:after="60" w:line="240" w:lineRule="auto"/>
              <w:jc w:val="right"/>
              <w:rPr>
                <w:rFonts w:cs="Arial"/>
                <w:b/>
                <w:bCs/>
                <w:color w:val="FFFFFF"/>
                <w:kern w:val="0"/>
                <w:sz w:val="16"/>
                <w:szCs w:val="16"/>
              </w:rPr>
            </w:pPr>
            <w:r w:rsidRPr="00894701">
              <w:rPr>
                <w:rFonts w:cs="Arial"/>
                <w:b/>
                <w:bCs/>
                <w:color w:val="FFFFFF"/>
                <w:kern w:val="0"/>
                <w:sz w:val="16"/>
                <w:szCs w:val="16"/>
              </w:rPr>
              <w:t>Government</w:t>
            </w:r>
            <w:r w:rsidRPr="00894701">
              <w:rPr>
                <w:rFonts w:cs="Arial"/>
                <w:b/>
                <w:bCs/>
                <w:color w:val="FFFFFF"/>
                <w:kern w:val="0"/>
                <w:sz w:val="16"/>
                <w:szCs w:val="16"/>
              </w:rPr>
              <w:br/>
              <w:t>(e)</w:t>
            </w:r>
          </w:p>
        </w:tc>
        <w:tc>
          <w:tcPr>
            <w:tcW w:w="403" w:type="pct"/>
            <w:tcBorders>
              <w:top w:val="nil"/>
              <w:left w:val="nil"/>
              <w:bottom w:val="single" w:sz="8" w:space="0" w:color="FF0000"/>
              <w:right w:val="single" w:sz="8" w:space="0" w:color="FF0000"/>
            </w:tcBorders>
            <w:shd w:val="clear" w:color="000000" w:fill="7A091A"/>
            <w:vAlign w:val="center"/>
            <w:hideMark/>
          </w:tcPr>
          <w:p w14:paraId="42568FD7" w14:textId="77777777" w:rsidR="00CA58C0" w:rsidRPr="00894701" w:rsidRDefault="00CA58C0" w:rsidP="00EA1802">
            <w:pPr>
              <w:spacing w:before="60" w:after="60" w:line="240" w:lineRule="auto"/>
              <w:jc w:val="right"/>
              <w:rPr>
                <w:rFonts w:cs="Arial"/>
                <w:b/>
                <w:bCs/>
                <w:color w:val="FFFFFF"/>
                <w:kern w:val="0"/>
                <w:sz w:val="16"/>
                <w:szCs w:val="16"/>
              </w:rPr>
            </w:pPr>
            <w:r w:rsidRPr="00894701">
              <w:rPr>
                <w:rFonts w:cs="Arial"/>
                <w:b/>
                <w:bCs/>
                <w:color w:val="FFFFFF"/>
                <w:kern w:val="0"/>
                <w:sz w:val="16"/>
                <w:szCs w:val="16"/>
              </w:rPr>
              <w:t>Difference</w:t>
            </w:r>
            <w:r w:rsidRPr="00894701">
              <w:rPr>
                <w:rFonts w:cs="Arial"/>
                <w:b/>
                <w:bCs/>
                <w:color w:val="FFFFFF"/>
                <w:kern w:val="0"/>
                <w:sz w:val="16"/>
                <w:szCs w:val="16"/>
              </w:rPr>
              <w:br/>
              <w:t>(f) = (c-d)</w:t>
            </w:r>
          </w:p>
        </w:tc>
        <w:tc>
          <w:tcPr>
            <w:tcW w:w="448" w:type="pct"/>
            <w:tcBorders>
              <w:top w:val="nil"/>
              <w:left w:val="nil"/>
              <w:bottom w:val="single" w:sz="8" w:space="0" w:color="FF0000"/>
              <w:right w:val="nil"/>
            </w:tcBorders>
            <w:shd w:val="clear" w:color="000000" w:fill="7A091A"/>
            <w:vAlign w:val="center"/>
            <w:hideMark/>
          </w:tcPr>
          <w:p w14:paraId="0DD8FD61" w14:textId="77777777" w:rsidR="00CA58C0" w:rsidRPr="00894701" w:rsidRDefault="00CA58C0" w:rsidP="00EA1802">
            <w:pPr>
              <w:spacing w:before="60" w:after="60" w:line="240" w:lineRule="auto"/>
              <w:jc w:val="right"/>
              <w:rPr>
                <w:rFonts w:cs="Arial"/>
                <w:b/>
                <w:bCs/>
                <w:color w:val="FFFFFF"/>
                <w:kern w:val="0"/>
                <w:sz w:val="16"/>
                <w:szCs w:val="16"/>
              </w:rPr>
            </w:pPr>
            <w:r w:rsidRPr="00894701">
              <w:rPr>
                <w:rFonts w:cs="Arial"/>
                <w:b/>
                <w:bCs/>
                <w:color w:val="FFFFFF"/>
                <w:kern w:val="0"/>
                <w:sz w:val="16"/>
                <w:szCs w:val="16"/>
              </w:rPr>
              <w:t>Extractive company</w:t>
            </w:r>
            <w:r w:rsidRPr="00894701">
              <w:rPr>
                <w:rFonts w:cs="Arial"/>
                <w:b/>
                <w:bCs/>
                <w:color w:val="FFFFFF"/>
                <w:kern w:val="0"/>
                <w:sz w:val="16"/>
                <w:szCs w:val="16"/>
              </w:rPr>
              <w:br/>
              <w:t>(g) = (a+d)</w:t>
            </w:r>
          </w:p>
        </w:tc>
        <w:tc>
          <w:tcPr>
            <w:tcW w:w="425" w:type="pct"/>
            <w:tcBorders>
              <w:top w:val="nil"/>
              <w:left w:val="nil"/>
              <w:bottom w:val="single" w:sz="8" w:space="0" w:color="FF0000"/>
              <w:right w:val="nil"/>
            </w:tcBorders>
            <w:shd w:val="clear" w:color="000000" w:fill="7A091A"/>
            <w:vAlign w:val="center"/>
            <w:hideMark/>
          </w:tcPr>
          <w:p w14:paraId="587D36A6" w14:textId="77777777" w:rsidR="00CA58C0" w:rsidRPr="00894701" w:rsidRDefault="00CA58C0" w:rsidP="00EA1802">
            <w:pPr>
              <w:spacing w:before="60" w:after="60" w:line="240" w:lineRule="auto"/>
              <w:jc w:val="right"/>
              <w:rPr>
                <w:rFonts w:cs="Arial"/>
                <w:b/>
                <w:bCs/>
                <w:color w:val="FFFFFF"/>
                <w:kern w:val="0"/>
                <w:sz w:val="16"/>
                <w:szCs w:val="16"/>
              </w:rPr>
            </w:pPr>
            <w:r w:rsidRPr="00894701">
              <w:rPr>
                <w:rFonts w:cs="Arial"/>
                <w:b/>
                <w:bCs/>
                <w:color w:val="FFFFFF"/>
                <w:kern w:val="0"/>
                <w:sz w:val="16"/>
                <w:szCs w:val="16"/>
              </w:rPr>
              <w:t>Government</w:t>
            </w:r>
            <w:r w:rsidRPr="00894701">
              <w:rPr>
                <w:rFonts w:cs="Arial"/>
                <w:b/>
                <w:bCs/>
                <w:color w:val="FFFFFF"/>
                <w:kern w:val="0"/>
                <w:sz w:val="16"/>
                <w:szCs w:val="16"/>
              </w:rPr>
              <w:br/>
              <w:t>(h) = (b+e)</w:t>
            </w:r>
          </w:p>
        </w:tc>
        <w:tc>
          <w:tcPr>
            <w:tcW w:w="422" w:type="pct"/>
            <w:tcBorders>
              <w:top w:val="nil"/>
              <w:left w:val="nil"/>
              <w:bottom w:val="single" w:sz="8" w:space="0" w:color="FF0000"/>
              <w:right w:val="nil"/>
            </w:tcBorders>
            <w:shd w:val="clear" w:color="000000" w:fill="7A091A"/>
            <w:vAlign w:val="center"/>
            <w:hideMark/>
          </w:tcPr>
          <w:p w14:paraId="56A651EC" w14:textId="77777777" w:rsidR="00CA58C0" w:rsidRPr="00894701" w:rsidRDefault="00CA58C0" w:rsidP="00EA1802">
            <w:pPr>
              <w:spacing w:before="60" w:after="60" w:line="240" w:lineRule="auto"/>
              <w:jc w:val="right"/>
              <w:rPr>
                <w:rFonts w:cs="Arial"/>
                <w:b/>
                <w:bCs/>
                <w:color w:val="FFFFFF"/>
                <w:kern w:val="0"/>
                <w:sz w:val="16"/>
                <w:szCs w:val="16"/>
              </w:rPr>
            </w:pPr>
            <w:r w:rsidRPr="00894701">
              <w:rPr>
                <w:rFonts w:cs="Arial"/>
                <w:b/>
                <w:bCs/>
                <w:color w:val="FFFFFF"/>
                <w:kern w:val="0"/>
                <w:sz w:val="16"/>
                <w:szCs w:val="16"/>
              </w:rPr>
              <w:t>Difference</w:t>
            </w:r>
            <w:r w:rsidRPr="00894701">
              <w:rPr>
                <w:rFonts w:cs="Arial"/>
                <w:b/>
                <w:bCs/>
                <w:color w:val="FFFFFF"/>
                <w:kern w:val="0"/>
                <w:sz w:val="16"/>
                <w:szCs w:val="16"/>
              </w:rPr>
              <w:br/>
              <w:t>(i) = (g-h)</w:t>
            </w:r>
          </w:p>
        </w:tc>
      </w:tr>
      <w:tr w:rsidR="003D4567" w:rsidRPr="00894701" w14:paraId="67AD4DEF" w14:textId="77777777" w:rsidTr="00CA58C0">
        <w:trPr>
          <w:trHeight w:val="20"/>
          <w:jc w:val="center"/>
        </w:trPr>
        <w:tc>
          <w:tcPr>
            <w:tcW w:w="122" w:type="pct"/>
            <w:tcBorders>
              <w:top w:val="nil"/>
              <w:left w:val="nil"/>
              <w:bottom w:val="nil"/>
              <w:right w:val="nil"/>
            </w:tcBorders>
            <w:shd w:val="clear" w:color="000000" w:fill="F7A3B0"/>
            <w:noWrap/>
            <w:vAlign w:val="center"/>
            <w:hideMark/>
          </w:tcPr>
          <w:p w14:paraId="6949BDFF" w14:textId="77777777" w:rsidR="003D4567" w:rsidRPr="00894701" w:rsidRDefault="003D4567" w:rsidP="003D4567">
            <w:pPr>
              <w:spacing w:before="60" w:after="60" w:line="240" w:lineRule="auto"/>
              <w:rPr>
                <w:rFonts w:cs="Arial"/>
                <w:color w:val="000000"/>
                <w:kern w:val="0"/>
                <w:sz w:val="16"/>
                <w:szCs w:val="16"/>
              </w:rPr>
            </w:pPr>
            <w:r w:rsidRPr="00894701">
              <w:rPr>
                <w:rFonts w:cs="Arial"/>
                <w:color w:val="000000"/>
                <w:kern w:val="0"/>
                <w:sz w:val="16"/>
                <w:szCs w:val="16"/>
              </w:rPr>
              <w:t>1</w:t>
            </w:r>
          </w:p>
        </w:tc>
        <w:tc>
          <w:tcPr>
            <w:tcW w:w="1012" w:type="pct"/>
            <w:tcBorders>
              <w:top w:val="nil"/>
              <w:left w:val="nil"/>
              <w:bottom w:val="nil"/>
              <w:right w:val="single" w:sz="8" w:space="0" w:color="FF0000"/>
            </w:tcBorders>
            <w:shd w:val="clear" w:color="000000" w:fill="F7A3B0"/>
            <w:noWrap/>
            <w:vAlign w:val="center"/>
            <w:hideMark/>
          </w:tcPr>
          <w:p w14:paraId="4D0ADB7E" w14:textId="77777777" w:rsidR="003D4567" w:rsidRPr="00894701" w:rsidRDefault="003D4567" w:rsidP="003D4567">
            <w:pPr>
              <w:spacing w:before="60" w:after="60" w:line="240" w:lineRule="auto"/>
              <w:rPr>
                <w:rFonts w:cs="Arial"/>
                <w:color w:val="000000"/>
                <w:kern w:val="0"/>
                <w:sz w:val="16"/>
                <w:szCs w:val="16"/>
              </w:rPr>
            </w:pPr>
            <w:r w:rsidRPr="00894701">
              <w:rPr>
                <w:rFonts w:cs="Arial"/>
                <w:color w:val="000000"/>
                <w:kern w:val="0"/>
                <w:sz w:val="16"/>
                <w:szCs w:val="16"/>
              </w:rPr>
              <w:t>Kosmos Energy Suriname</w:t>
            </w:r>
          </w:p>
        </w:tc>
        <w:tc>
          <w:tcPr>
            <w:tcW w:w="426" w:type="pct"/>
            <w:tcBorders>
              <w:top w:val="nil"/>
              <w:left w:val="nil"/>
              <w:bottom w:val="nil"/>
              <w:right w:val="nil"/>
            </w:tcBorders>
            <w:shd w:val="clear" w:color="000000" w:fill="F7A3B0"/>
            <w:noWrap/>
            <w:vAlign w:val="center"/>
          </w:tcPr>
          <w:p w14:paraId="34935447" w14:textId="2A60CB91"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3,461,534</w:t>
            </w:r>
          </w:p>
        </w:tc>
        <w:tc>
          <w:tcPr>
            <w:tcW w:w="425" w:type="pct"/>
            <w:tcBorders>
              <w:top w:val="nil"/>
              <w:left w:val="nil"/>
              <w:bottom w:val="nil"/>
              <w:right w:val="nil"/>
            </w:tcBorders>
            <w:shd w:val="clear" w:color="000000" w:fill="F7A3B0"/>
            <w:noWrap/>
            <w:vAlign w:val="center"/>
          </w:tcPr>
          <w:p w14:paraId="13150A07" w14:textId="2C29F251"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2,530,730</w:t>
            </w:r>
          </w:p>
        </w:tc>
        <w:tc>
          <w:tcPr>
            <w:tcW w:w="379" w:type="pct"/>
            <w:tcBorders>
              <w:top w:val="nil"/>
              <w:left w:val="nil"/>
              <w:bottom w:val="nil"/>
              <w:right w:val="single" w:sz="8" w:space="0" w:color="FF0000"/>
            </w:tcBorders>
            <w:shd w:val="clear" w:color="000000" w:fill="F7A3B0"/>
            <w:noWrap/>
            <w:vAlign w:val="center"/>
          </w:tcPr>
          <w:p w14:paraId="292E670A" w14:textId="1D4077F7"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930,804</w:t>
            </w:r>
          </w:p>
        </w:tc>
        <w:tc>
          <w:tcPr>
            <w:tcW w:w="470" w:type="pct"/>
            <w:tcBorders>
              <w:top w:val="nil"/>
              <w:left w:val="nil"/>
              <w:bottom w:val="nil"/>
              <w:right w:val="nil"/>
            </w:tcBorders>
            <w:shd w:val="clear" w:color="000000" w:fill="F7A3B0"/>
            <w:noWrap/>
            <w:vAlign w:val="center"/>
          </w:tcPr>
          <w:p w14:paraId="7433C2D2" w14:textId="3AFB3E9F"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000000" w:fill="F7A3B0"/>
            <w:noWrap/>
            <w:vAlign w:val="center"/>
          </w:tcPr>
          <w:p w14:paraId="00C5EA7A" w14:textId="2EDCFF2B"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1,122,099</w:t>
            </w:r>
          </w:p>
        </w:tc>
        <w:tc>
          <w:tcPr>
            <w:tcW w:w="403" w:type="pct"/>
            <w:tcBorders>
              <w:top w:val="nil"/>
              <w:left w:val="nil"/>
              <w:bottom w:val="nil"/>
              <w:right w:val="single" w:sz="8" w:space="0" w:color="FF0000"/>
            </w:tcBorders>
            <w:shd w:val="clear" w:color="000000" w:fill="F7A3B0"/>
            <w:noWrap/>
            <w:vAlign w:val="center"/>
          </w:tcPr>
          <w:p w14:paraId="43C10B49" w14:textId="47059935"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(1,122,099)</w:t>
            </w:r>
          </w:p>
        </w:tc>
        <w:tc>
          <w:tcPr>
            <w:tcW w:w="448" w:type="pct"/>
            <w:tcBorders>
              <w:top w:val="nil"/>
              <w:left w:val="nil"/>
              <w:bottom w:val="nil"/>
              <w:right w:val="nil"/>
            </w:tcBorders>
            <w:shd w:val="clear" w:color="000000" w:fill="F7A3B0"/>
            <w:noWrap/>
            <w:vAlign w:val="center"/>
          </w:tcPr>
          <w:p w14:paraId="5FDAB581" w14:textId="61C9DCEB"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3,461,534</w:t>
            </w:r>
          </w:p>
        </w:tc>
        <w:tc>
          <w:tcPr>
            <w:tcW w:w="425" w:type="pct"/>
            <w:tcBorders>
              <w:top w:val="nil"/>
              <w:left w:val="nil"/>
              <w:bottom w:val="nil"/>
              <w:right w:val="nil"/>
            </w:tcBorders>
            <w:shd w:val="clear" w:color="000000" w:fill="F7A3B0"/>
            <w:noWrap/>
            <w:vAlign w:val="center"/>
          </w:tcPr>
          <w:p w14:paraId="6471EDD4" w14:textId="388507E4"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3,652,829</w:t>
            </w:r>
          </w:p>
        </w:tc>
        <w:tc>
          <w:tcPr>
            <w:tcW w:w="422" w:type="pct"/>
            <w:tcBorders>
              <w:top w:val="nil"/>
              <w:left w:val="nil"/>
              <w:bottom w:val="nil"/>
              <w:right w:val="nil"/>
            </w:tcBorders>
            <w:shd w:val="clear" w:color="000000" w:fill="F7A3B0"/>
            <w:noWrap/>
            <w:vAlign w:val="center"/>
          </w:tcPr>
          <w:p w14:paraId="01BDC14D" w14:textId="294436B0"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(191,295)</w:t>
            </w:r>
          </w:p>
        </w:tc>
      </w:tr>
      <w:tr w:rsidR="003D4567" w:rsidRPr="00894701" w14:paraId="74991111" w14:textId="77777777" w:rsidTr="00CA58C0">
        <w:trPr>
          <w:trHeight w:val="20"/>
          <w:jc w:val="center"/>
        </w:trPr>
        <w:tc>
          <w:tcPr>
            <w:tcW w:w="122" w:type="pct"/>
            <w:tcBorders>
              <w:top w:val="nil"/>
              <w:left w:val="nil"/>
              <w:bottom w:val="nil"/>
              <w:right w:val="nil"/>
            </w:tcBorders>
            <w:shd w:val="clear" w:color="000000" w:fill="FFFFFF"/>
            <w:vAlign w:val="center"/>
            <w:hideMark/>
          </w:tcPr>
          <w:p w14:paraId="7E93B50C" w14:textId="77777777" w:rsidR="003D4567" w:rsidRPr="00894701" w:rsidRDefault="003D4567" w:rsidP="003D4567">
            <w:pPr>
              <w:spacing w:before="60" w:after="60" w:line="240" w:lineRule="auto"/>
              <w:rPr>
                <w:rFonts w:cs="Arial"/>
                <w:color w:val="auto"/>
                <w:kern w:val="0"/>
                <w:sz w:val="16"/>
                <w:szCs w:val="16"/>
              </w:rPr>
            </w:pPr>
            <w:r w:rsidRPr="00894701">
              <w:rPr>
                <w:rFonts w:cs="Arial"/>
                <w:color w:val="auto"/>
                <w:kern w:val="0"/>
                <w:sz w:val="16"/>
                <w:szCs w:val="16"/>
              </w:rPr>
              <w:t>2</w:t>
            </w:r>
          </w:p>
        </w:tc>
        <w:tc>
          <w:tcPr>
            <w:tcW w:w="1012" w:type="pct"/>
            <w:tcBorders>
              <w:top w:val="nil"/>
              <w:left w:val="nil"/>
              <w:bottom w:val="nil"/>
              <w:right w:val="single" w:sz="8" w:space="0" w:color="FF0000"/>
            </w:tcBorders>
            <w:shd w:val="clear" w:color="000000" w:fill="FFFFFF"/>
            <w:vAlign w:val="center"/>
            <w:hideMark/>
          </w:tcPr>
          <w:p w14:paraId="03957B6F" w14:textId="77777777" w:rsidR="003D4567" w:rsidRPr="00894701" w:rsidRDefault="003D4567" w:rsidP="003D4567">
            <w:pPr>
              <w:spacing w:before="60" w:after="60" w:line="240" w:lineRule="auto"/>
              <w:rPr>
                <w:rFonts w:cs="Arial"/>
                <w:color w:val="auto"/>
                <w:kern w:val="0"/>
                <w:sz w:val="16"/>
                <w:szCs w:val="16"/>
              </w:rPr>
            </w:pPr>
            <w:r w:rsidRPr="00894701">
              <w:rPr>
                <w:rFonts w:cs="Arial"/>
                <w:color w:val="auto"/>
                <w:kern w:val="0"/>
                <w:sz w:val="16"/>
                <w:szCs w:val="16"/>
              </w:rPr>
              <w:t>Tullow Oil Plc</w:t>
            </w:r>
          </w:p>
        </w:tc>
        <w:tc>
          <w:tcPr>
            <w:tcW w:w="426" w:type="pct"/>
            <w:tcBorders>
              <w:top w:val="nil"/>
              <w:left w:val="nil"/>
              <w:bottom w:val="nil"/>
              <w:right w:val="nil"/>
            </w:tcBorders>
            <w:shd w:val="clear" w:color="000000" w:fill="FFFFFF"/>
            <w:noWrap/>
            <w:vAlign w:val="center"/>
          </w:tcPr>
          <w:p w14:paraId="18ACFE5C" w14:textId="6CD13692"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w:t>
            </w:r>
          </w:p>
        </w:tc>
        <w:tc>
          <w:tcPr>
            <w:tcW w:w="425" w:type="pct"/>
            <w:tcBorders>
              <w:top w:val="nil"/>
              <w:left w:val="nil"/>
              <w:bottom w:val="nil"/>
              <w:right w:val="nil"/>
            </w:tcBorders>
            <w:shd w:val="clear" w:color="000000" w:fill="FFFFFF"/>
            <w:noWrap/>
            <w:vAlign w:val="center"/>
          </w:tcPr>
          <w:p w14:paraId="3FA6C944" w14:textId="7AF51A22"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178,543</w:t>
            </w:r>
          </w:p>
        </w:tc>
        <w:tc>
          <w:tcPr>
            <w:tcW w:w="379" w:type="pct"/>
            <w:tcBorders>
              <w:top w:val="nil"/>
              <w:left w:val="nil"/>
              <w:bottom w:val="nil"/>
              <w:right w:val="single" w:sz="8" w:space="0" w:color="FF0000"/>
            </w:tcBorders>
            <w:shd w:val="clear" w:color="000000" w:fill="FFFFFF"/>
            <w:noWrap/>
            <w:vAlign w:val="center"/>
          </w:tcPr>
          <w:p w14:paraId="7C84183B" w14:textId="1FF7AC76"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(178,543)</w:t>
            </w:r>
          </w:p>
        </w:tc>
        <w:tc>
          <w:tcPr>
            <w:tcW w:w="470" w:type="pct"/>
            <w:tcBorders>
              <w:top w:val="nil"/>
              <w:left w:val="nil"/>
              <w:bottom w:val="nil"/>
              <w:right w:val="nil"/>
            </w:tcBorders>
            <w:shd w:val="clear" w:color="000000" w:fill="FFFFFF"/>
            <w:noWrap/>
            <w:vAlign w:val="center"/>
          </w:tcPr>
          <w:p w14:paraId="72A28A2A" w14:textId="0F9FBD2A"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178,543</w:t>
            </w:r>
          </w:p>
        </w:tc>
        <w:tc>
          <w:tcPr>
            <w:tcW w:w="468" w:type="pct"/>
            <w:tcBorders>
              <w:top w:val="nil"/>
              <w:left w:val="nil"/>
              <w:bottom w:val="nil"/>
              <w:right w:val="nil"/>
            </w:tcBorders>
            <w:shd w:val="clear" w:color="000000" w:fill="FFFFFF"/>
            <w:noWrap/>
            <w:vAlign w:val="center"/>
          </w:tcPr>
          <w:p w14:paraId="609B5B7A" w14:textId="71B6B0CC"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w:t>
            </w:r>
          </w:p>
        </w:tc>
        <w:tc>
          <w:tcPr>
            <w:tcW w:w="403" w:type="pct"/>
            <w:tcBorders>
              <w:top w:val="nil"/>
              <w:left w:val="nil"/>
              <w:bottom w:val="nil"/>
              <w:right w:val="single" w:sz="8" w:space="0" w:color="FF0000"/>
            </w:tcBorders>
            <w:shd w:val="clear" w:color="000000" w:fill="FFFFFF"/>
            <w:noWrap/>
            <w:vAlign w:val="center"/>
          </w:tcPr>
          <w:p w14:paraId="431138A7" w14:textId="2E0A5900"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178,543</w:t>
            </w:r>
          </w:p>
        </w:tc>
        <w:tc>
          <w:tcPr>
            <w:tcW w:w="448" w:type="pct"/>
            <w:tcBorders>
              <w:top w:val="nil"/>
              <w:left w:val="nil"/>
              <w:bottom w:val="nil"/>
              <w:right w:val="nil"/>
            </w:tcBorders>
            <w:shd w:val="clear" w:color="000000" w:fill="FFFFFF"/>
            <w:noWrap/>
            <w:vAlign w:val="center"/>
          </w:tcPr>
          <w:p w14:paraId="06B736A3" w14:textId="5C3463D0"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178,543</w:t>
            </w:r>
          </w:p>
        </w:tc>
        <w:tc>
          <w:tcPr>
            <w:tcW w:w="425" w:type="pct"/>
            <w:tcBorders>
              <w:top w:val="nil"/>
              <w:left w:val="nil"/>
              <w:bottom w:val="nil"/>
              <w:right w:val="nil"/>
            </w:tcBorders>
            <w:shd w:val="clear" w:color="000000" w:fill="FFFFFF"/>
            <w:noWrap/>
            <w:vAlign w:val="center"/>
          </w:tcPr>
          <w:p w14:paraId="3DB7C822" w14:textId="2699DE63"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178,543</w:t>
            </w:r>
          </w:p>
        </w:tc>
        <w:tc>
          <w:tcPr>
            <w:tcW w:w="422" w:type="pct"/>
            <w:tcBorders>
              <w:top w:val="nil"/>
              <w:left w:val="nil"/>
              <w:bottom w:val="nil"/>
              <w:right w:val="nil"/>
            </w:tcBorders>
            <w:shd w:val="clear" w:color="000000" w:fill="FFFFFF"/>
            <w:noWrap/>
            <w:vAlign w:val="center"/>
          </w:tcPr>
          <w:p w14:paraId="4E858DAD" w14:textId="696EAD96"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w:t>
            </w:r>
          </w:p>
        </w:tc>
      </w:tr>
      <w:tr w:rsidR="003D4567" w:rsidRPr="00894701" w14:paraId="023E3E3E" w14:textId="77777777" w:rsidTr="00CA58C0">
        <w:trPr>
          <w:trHeight w:val="20"/>
          <w:jc w:val="center"/>
        </w:trPr>
        <w:tc>
          <w:tcPr>
            <w:tcW w:w="122" w:type="pct"/>
            <w:tcBorders>
              <w:top w:val="nil"/>
              <w:left w:val="nil"/>
              <w:bottom w:val="nil"/>
              <w:right w:val="nil"/>
            </w:tcBorders>
            <w:shd w:val="clear" w:color="000000" w:fill="F7A3B0"/>
            <w:noWrap/>
            <w:vAlign w:val="center"/>
            <w:hideMark/>
          </w:tcPr>
          <w:p w14:paraId="2F30B69B" w14:textId="77777777" w:rsidR="003D4567" w:rsidRPr="00894701" w:rsidRDefault="003D4567" w:rsidP="003D4567">
            <w:pPr>
              <w:spacing w:before="60" w:after="60" w:line="240" w:lineRule="auto"/>
              <w:rPr>
                <w:rFonts w:cs="Arial"/>
                <w:color w:val="000000"/>
                <w:kern w:val="0"/>
                <w:sz w:val="16"/>
                <w:szCs w:val="16"/>
              </w:rPr>
            </w:pPr>
            <w:r w:rsidRPr="00894701">
              <w:rPr>
                <w:rFonts w:cs="Arial"/>
                <w:color w:val="000000"/>
                <w:kern w:val="0"/>
                <w:sz w:val="16"/>
                <w:szCs w:val="16"/>
              </w:rPr>
              <w:t>3</w:t>
            </w:r>
          </w:p>
        </w:tc>
        <w:tc>
          <w:tcPr>
            <w:tcW w:w="1012" w:type="pct"/>
            <w:tcBorders>
              <w:top w:val="nil"/>
              <w:left w:val="nil"/>
              <w:bottom w:val="nil"/>
              <w:right w:val="single" w:sz="8" w:space="0" w:color="FF0000"/>
            </w:tcBorders>
            <w:shd w:val="clear" w:color="000000" w:fill="F7A3B0"/>
            <w:noWrap/>
            <w:vAlign w:val="center"/>
            <w:hideMark/>
          </w:tcPr>
          <w:p w14:paraId="7ADA34D7" w14:textId="77777777" w:rsidR="003D4567" w:rsidRPr="00894701" w:rsidRDefault="003D4567" w:rsidP="003D4567">
            <w:pPr>
              <w:spacing w:before="60" w:after="60" w:line="240" w:lineRule="auto"/>
              <w:rPr>
                <w:rFonts w:cs="Arial"/>
                <w:color w:val="000000"/>
                <w:kern w:val="0"/>
                <w:sz w:val="16"/>
                <w:szCs w:val="16"/>
              </w:rPr>
            </w:pPr>
            <w:r w:rsidRPr="00894701">
              <w:rPr>
                <w:rFonts w:cs="Arial"/>
                <w:color w:val="000000"/>
                <w:kern w:val="0"/>
                <w:sz w:val="16"/>
                <w:szCs w:val="16"/>
              </w:rPr>
              <w:t xml:space="preserve">Total E&amp;P Suriname B.V. </w:t>
            </w:r>
          </w:p>
        </w:tc>
        <w:tc>
          <w:tcPr>
            <w:tcW w:w="426" w:type="pct"/>
            <w:tcBorders>
              <w:top w:val="nil"/>
              <w:left w:val="nil"/>
              <w:bottom w:val="nil"/>
              <w:right w:val="nil"/>
            </w:tcBorders>
            <w:shd w:val="clear" w:color="000000" w:fill="F7A3B0"/>
            <w:noWrap/>
            <w:vAlign w:val="center"/>
          </w:tcPr>
          <w:p w14:paraId="202A28D3" w14:textId="6CCBA982"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w:t>
            </w:r>
          </w:p>
        </w:tc>
        <w:tc>
          <w:tcPr>
            <w:tcW w:w="425" w:type="pct"/>
            <w:tcBorders>
              <w:top w:val="nil"/>
              <w:left w:val="nil"/>
              <w:bottom w:val="nil"/>
              <w:right w:val="nil"/>
            </w:tcBorders>
            <w:shd w:val="clear" w:color="000000" w:fill="F7A3B0"/>
            <w:noWrap/>
            <w:vAlign w:val="center"/>
          </w:tcPr>
          <w:p w14:paraId="0C6CDEED" w14:textId="78079E1D"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w:t>
            </w:r>
          </w:p>
        </w:tc>
        <w:tc>
          <w:tcPr>
            <w:tcW w:w="379" w:type="pct"/>
            <w:tcBorders>
              <w:top w:val="nil"/>
              <w:left w:val="nil"/>
              <w:bottom w:val="nil"/>
              <w:right w:val="single" w:sz="8" w:space="0" w:color="FF0000"/>
            </w:tcBorders>
            <w:shd w:val="clear" w:color="000000" w:fill="F7A3B0"/>
            <w:noWrap/>
            <w:vAlign w:val="center"/>
          </w:tcPr>
          <w:p w14:paraId="47B0ED62" w14:textId="69211FD5"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w:t>
            </w:r>
          </w:p>
        </w:tc>
        <w:tc>
          <w:tcPr>
            <w:tcW w:w="470" w:type="pct"/>
            <w:tcBorders>
              <w:top w:val="nil"/>
              <w:left w:val="nil"/>
              <w:bottom w:val="nil"/>
              <w:right w:val="nil"/>
            </w:tcBorders>
            <w:shd w:val="clear" w:color="000000" w:fill="F7A3B0"/>
            <w:noWrap/>
            <w:vAlign w:val="center"/>
          </w:tcPr>
          <w:p w14:paraId="698FA6C9" w14:textId="38A6BC00"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000000" w:fill="F7A3B0"/>
            <w:noWrap/>
            <w:vAlign w:val="center"/>
          </w:tcPr>
          <w:p w14:paraId="46FE5339" w14:textId="44A0B865"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w:t>
            </w:r>
          </w:p>
        </w:tc>
        <w:tc>
          <w:tcPr>
            <w:tcW w:w="403" w:type="pct"/>
            <w:tcBorders>
              <w:top w:val="nil"/>
              <w:left w:val="nil"/>
              <w:bottom w:val="nil"/>
              <w:right w:val="single" w:sz="8" w:space="0" w:color="FF0000"/>
            </w:tcBorders>
            <w:shd w:val="clear" w:color="000000" w:fill="F7A3B0"/>
            <w:noWrap/>
            <w:vAlign w:val="center"/>
          </w:tcPr>
          <w:p w14:paraId="25CB8242" w14:textId="6430E42A"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w:t>
            </w:r>
          </w:p>
        </w:tc>
        <w:tc>
          <w:tcPr>
            <w:tcW w:w="448" w:type="pct"/>
            <w:tcBorders>
              <w:top w:val="nil"/>
              <w:left w:val="nil"/>
              <w:bottom w:val="nil"/>
              <w:right w:val="nil"/>
            </w:tcBorders>
            <w:shd w:val="clear" w:color="000000" w:fill="F7A3B0"/>
            <w:noWrap/>
            <w:vAlign w:val="center"/>
          </w:tcPr>
          <w:p w14:paraId="0B50DB92" w14:textId="146DB79F"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w:t>
            </w:r>
          </w:p>
        </w:tc>
        <w:tc>
          <w:tcPr>
            <w:tcW w:w="425" w:type="pct"/>
            <w:tcBorders>
              <w:top w:val="nil"/>
              <w:left w:val="nil"/>
              <w:bottom w:val="nil"/>
              <w:right w:val="nil"/>
            </w:tcBorders>
            <w:shd w:val="clear" w:color="000000" w:fill="F7A3B0"/>
            <w:noWrap/>
            <w:vAlign w:val="center"/>
          </w:tcPr>
          <w:p w14:paraId="38042F5B" w14:textId="37914A37"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w:t>
            </w:r>
          </w:p>
        </w:tc>
        <w:tc>
          <w:tcPr>
            <w:tcW w:w="422" w:type="pct"/>
            <w:tcBorders>
              <w:top w:val="nil"/>
              <w:left w:val="nil"/>
              <w:bottom w:val="nil"/>
              <w:right w:val="nil"/>
            </w:tcBorders>
            <w:shd w:val="clear" w:color="000000" w:fill="F7A3B0"/>
            <w:noWrap/>
            <w:vAlign w:val="center"/>
          </w:tcPr>
          <w:p w14:paraId="13997C32" w14:textId="7F6E520F"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w:t>
            </w:r>
          </w:p>
        </w:tc>
      </w:tr>
      <w:tr w:rsidR="003D4567" w:rsidRPr="00894701" w14:paraId="0A03C6B3" w14:textId="77777777" w:rsidTr="00CA58C0">
        <w:trPr>
          <w:trHeight w:val="20"/>
          <w:jc w:val="center"/>
        </w:trPr>
        <w:tc>
          <w:tcPr>
            <w:tcW w:w="122" w:type="pct"/>
            <w:tcBorders>
              <w:top w:val="nil"/>
              <w:left w:val="nil"/>
              <w:bottom w:val="nil"/>
              <w:right w:val="nil"/>
            </w:tcBorders>
            <w:shd w:val="clear" w:color="000000" w:fill="FFFFFF"/>
            <w:vAlign w:val="center"/>
            <w:hideMark/>
          </w:tcPr>
          <w:p w14:paraId="28E68D38" w14:textId="77777777" w:rsidR="003D4567" w:rsidRPr="00894701" w:rsidRDefault="003D4567" w:rsidP="003D4567">
            <w:pPr>
              <w:spacing w:before="60" w:after="60" w:line="240" w:lineRule="auto"/>
              <w:rPr>
                <w:rFonts w:cs="Arial"/>
                <w:color w:val="auto"/>
                <w:kern w:val="0"/>
                <w:sz w:val="16"/>
                <w:szCs w:val="16"/>
              </w:rPr>
            </w:pPr>
            <w:r w:rsidRPr="00894701">
              <w:rPr>
                <w:rFonts w:cs="Arial"/>
                <w:color w:val="auto"/>
                <w:kern w:val="0"/>
                <w:sz w:val="16"/>
                <w:szCs w:val="16"/>
              </w:rPr>
              <w:t>4</w:t>
            </w:r>
          </w:p>
        </w:tc>
        <w:tc>
          <w:tcPr>
            <w:tcW w:w="1012" w:type="pct"/>
            <w:tcBorders>
              <w:top w:val="nil"/>
              <w:left w:val="nil"/>
              <w:bottom w:val="nil"/>
              <w:right w:val="single" w:sz="8" w:space="0" w:color="FF0000"/>
            </w:tcBorders>
            <w:shd w:val="clear" w:color="000000" w:fill="FFFFFF"/>
            <w:vAlign w:val="center"/>
            <w:hideMark/>
          </w:tcPr>
          <w:p w14:paraId="2FC455C5" w14:textId="77777777" w:rsidR="003D4567" w:rsidRPr="00894701" w:rsidRDefault="003D4567" w:rsidP="003D4567">
            <w:pPr>
              <w:spacing w:before="60" w:after="60" w:line="240" w:lineRule="auto"/>
              <w:rPr>
                <w:rFonts w:cs="Arial"/>
                <w:color w:val="auto"/>
                <w:kern w:val="0"/>
                <w:sz w:val="16"/>
                <w:szCs w:val="16"/>
              </w:rPr>
            </w:pPr>
            <w:r w:rsidRPr="00894701">
              <w:rPr>
                <w:rFonts w:cs="Arial"/>
                <w:color w:val="auto"/>
                <w:kern w:val="0"/>
                <w:sz w:val="16"/>
                <w:szCs w:val="16"/>
              </w:rPr>
              <w:t>Capricorn Suriname B.V.</w:t>
            </w:r>
          </w:p>
        </w:tc>
        <w:tc>
          <w:tcPr>
            <w:tcW w:w="426" w:type="pct"/>
            <w:tcBorders>
              <w:top w:val="nil"/>
              <w:left w:val="nil"/>
              <w:bottom w:val="nil"/>
              <w:right w:val="nil"/>
            </w:tcBorders>
            <w:shd w:val="clear" w:color="000000" w:fill="FFFFFF"/>
            <w:noWrap/>
            <w:vAlign w:val="center"/>
          </w:tcPr>
          <w:p w14:paraId="1A1B286E" w14:textId="6187B6B9"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w:t>
            </w:r>
          </w:p>
        </w:tc>
        <w:tc>
          <w:tcPr>
            <w:tcW w:w="425" w:type="pct"/>
            <w:tcBorders>
              <w:top w:val="nil"/>
              <w:left w:val="nil"/>
              <w:bottom w:val="nil"/>
              <w:right w:val="nil"/>
            </w:tcBorders>
            <w:shd w:val="clear" w:color="000000" w:fill="FFFFFF"/>
            <w:noWrap/>
            <w:vAlign w:val="center"/>
          </w:tcPr>
          <w:p w14:paraId="1EEAD0D7" w14:textId="56142E8F"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w:t>
            </w:r>
          </w:p>
        </w:tc>
        <w:tc>
          <w:tcPr>
            <w:tcW w:w="379" w:type="pct"/>
            <w:tcBorders>
              <w:top w:val="nil"/>
              <w:left w:val="nil"/>
              <w:bottom w:val="nil"/>
              <w:right w:val="single" w:sz="8" w:space="0" w:color="FF0000"/>
            </w:tcBorders>
            <w:shd w:val="clear" w:color="000000" w:fill="FFFFFF"/>
            <w:noWrap/>
            <w:vAlign w:val="center"/>
          </w:tcPr>
          <w:p w14:paraId="315A8985" w14:textId="67ACC9BD"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w:t>
            </w:r>
          </w:p>
        </w:tc>
        <w:tc>
          <w:tcPr>
            <w:tcW w:w="470" w:type="pct"/>
            <w:tcBorders>
              <w:top w:val="nil"/>
              <w:left w:val="nil"/>
              <w:bottom w:val="nil"/>
              <w:right w:val="nil"/>
            </w:tcBorders>
            <w:shd w:val="clear" w:color="000000" w:fill="FFFFFF"/>
            <w:noWrap/>
            <w:vAlign w:val="center"/>
          </w:tcPr>
          <w:p w14:paraId="795A7CBE" w14:textId="4EDCFECE"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000000" w:fill="FFFFFF"/>
            <w:noWrap/>
            <w:vAlign w:val="center"/>
          </w:tcPr>
          <w:p w14:paraId="1F708587" w14:textId="49AC0EB5"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w:t>
            </w:r>
          </w:p>
        </w:tc>
        <w:tc>
          <w:tcPr>
            <w:tcW w:w="403" w:type="pct"/>
            <w:tcBorders>
              <w:top w:val="nil"/>
              <w:left w:val="nil"/>
              <w:bottom w:val="nil"/>
              <w:right w:val="single" w:sz="8" w:space="0" w:color="FF0000"/>
            </w:tcBorders>
            <w:shd w:val="clear" w:color="000000" w:fill="FFFFFF"/>
            <w:noWrap/>
            <w:vAlign w:val="center"/>
          </w:tcPr>
          <w:p w14:paraId="3ABF534D" w14:textId="3B9DE849"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w:t>
            </w:r>
          </w:p>
        </w:tc>
        <w:tc>
          <w:tcPr>
            <w:tcW w:w="448" w:type="pct"/>
            <w:tcBorders>
              <w:top w:val="nil"/>
              <w:left w:val="nil"/>
              <w:bottom w:val="nil"/>
              <w:right w:val="nil"/>
            </w:tcBorders>
            <w:shd w:val="clear" w:color="000000" w:fill="FFFFFF"/>
            <w:noWrap/>
            <w:vAlign w:val="center"/>
          </w:tcPr>
          <w:p w14:paraId="58EB80D8" w14:textId="34FDBD25"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w:t>
            </w:r>
          </w:p>
        </w:tc>
        <w:tc>
          <w:tcPr>
            <w:tcW w:w="425" w:type="pct"/>
            <w:tcBorders>
              <w:top w:val="nil"/>
              <w:left w:val="nil"/>
              <w:bottom w:val="nil"/>
              <w:right w:val="nil"/>
            </w:tcBorders>
            <w:shd w:val="clear" w:color="000000" w:fill="FFFFFF"/>
            <w:noWrap/>
            <w:vAlign w:val="center"/>
          </w:tcPr>
          <w:p w14:paraId="5DBAD06F" w14:textId="217965F5"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w:t>
            </w:r>
          </w:p>
        </w:tc>
        <w:tc>
          <w:tcPr>
            <w:tcW w:w="422" w:type="pct"/>
            <w:tcBorders>
              <w:top w:val="nil"/>
              <w:left w:val="nil"/>
              <w:bottom w:val="nil"/>
              <w:right w:val="nil"/>
            </w:tcBorders>
            <w:shd w:val="clear" w:color="000000" w:fill="FFFFFF"/>
            <w:noWrap/>
            <w:vAlign w:val="center"/>
          </w:tcPr>
          <w:p w14:paraId="62DB16BA" w14:textId="691F233B"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w:t>
            </w:r>
          </w:p>
        </w:tc>
      </w:tr>
      <w:tr w:rsidR="003D4567" w:rsidRPr="00894701" w14:paraId="0752324D" w14:textId="77777777" w:rsidTr="00CA58C0">
        <w:trPr>
          <w:trHeight w:val="20"/>
          <w:jc w:val="center"/>
        </w:trPr>
        <w:tc>
          <w:tcPr>
            <w:tcW w:w="122" w:type="pct"/>
            <w:tcBorders>
              <w:top w:val="nil"/>
              <w:left w:val="nil"/>
              <w:bottom w:val="nil"/>
              <w:right w:val="nil"/>
            </w:tcBorders>
            <w:shd w:val="clear" w:color="000000" w:fill="F7A3B0"/>
            <w:noWrap/>
            <w:vAlign w:val="center"/>
            <w:hideMark/>
          </w:tcPr>
          <w:p w14:paraId="4DEA6E6F" w14:textId="77777777" w:rsidR="003D4567" w:rsidRPr="00894701" w:rsidRDefault="003D4567" w:rsidP="003D4567">
            <w:pPr>
              <w:spacing w:before="60" w:after="60" w:line="240" w:lineRule="auto"/>
              <w:rPr>
                <w:rFonts w:cs="Arial"/>
                <w:color w:val="000000"/>
                <w:kern w:val="0"/>
                <w:sz w:val="16"/>
                <w:szCs w:val="16"/>
              </w:rPr>
            </w:pPr>
            <w:r w:rsidRPr="00894701">
              <w:rPr>
                <w:rFonts w:cs="Arial"/>
                <w:color w:val="000000"/>
                <w:kern w:val="0"/>
                <w:sz w:val="16"/>
                <w:szCs w:val="16"/>
              </w:rPr>
              <w:t>5</w:t>
            </w:r>
          </w:p>
        </w:tc>
        <w:tc>
          <w:tcPr>
            <w:tcW w:w="1012" w:type="pct"/>
            <w:tcBorders>
              <w:top w:val="nil"/>
              <w:left w:val="nil"/>
              <w:bottom w:val="nil"/>
              <w:right w:val="single" w:sz="8" w:space="0" w:color="FF0000"/>
            </w:tcBorders>
            <w:shd w:val="clear" w:color="000000" w:fill="F7A3B0"/>
            <w:noWrap/>
            <w:vAlign w:val="center"/>
            <w:hideMark/>
          </w:tcPr>
          <w:p w14:paraId="359B7503" w14:textId="77777777" w:rsidR="003D4567" w:rsidRPr="00894701" w:rsidRDefault="003D4567" w:rsidP="003D4567">
            <w:pPr>
              <w:spacing w:before="60" w:after="60" w:line="240" w:lineRule="auto"/>
              <w:rPr>
                <w:rFonts w:cs="Arial"/>
                <w:color w:val="000000"/>
                <w:kern w:val="0"/>
                <w:sz w:val="16"/>
                <w:szCs w:val="16"/>
              </w:rPr>
            </w:pPr>
            <w:r w:rsidRPr="00894701">
              <w:rPr>
                <w:rFonts w:cs="Arial"/>
                <w:color w:val="000000"/>
                <w:kern w:val="0"/>
                <w:sz w:val="16"/>
                <w:szCs w:val="16"/>
              </w:rPr>
              <w:t>Petronas Suriname Exploration &amp; production B.V.</w:t>
            </w:r>
          </w:p>
        </w:tc>
        <w:tc>
          <w:tcPr>
            <w:tcW w:w="426" w:type="pct"/>
            <w:tcBorders>
              <w:top w:val="nil"/>
              <w:left w:val="nil"/>
              <w:bottom w:val="nil"/>
              <w:right w:val="nil"/>
            </w:tcBorders>
            <w:shd w:val="clear" w:color="000000" w:fill="F7A3B0"/>
            <w:noWrap/>
            <w:vAlign w:val="center"/>
          </w:tcPr>
          <w:p w14:paraId="27E4C204" w14:textId="628CB8CD"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185,018</w:t>
            </w:r>
          </w:p>
        </w:tc>
        <w:tc>
          <w:tcPr>
            <w:tcW w:w="425" w:type="pct"/>
            <w:tcBorders>
              <w:top w:val="nil"/>
              <w:left w:val="nil"/>
              <w:bottom w:val="nil"/>
              <w:right w:val="nil"/>
            </w:tcBorders>
            <w:shd w:val="clear" w:color="000000" w:fill="F7A3B0"/>
            <w:noWrap/>
            <w:vAlign w:val="center"/>
          </w:tcPr>
          <w:p w14:paraId="0DF3E9B3" w14:textId="6B65FCDD"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w:t>
            </w:r>
          </w:p>
        </w:tc>
        <w:tc>
          <w:tcPr>
            <w:tcW w:w="379" w:type="pct"/>
            <w:tcBorders>
              <w:top w:val="nil"/>
              <w:left w:val="nil"/>
              <w:bottom w:val="nil"/>
              <w:right w:val="single" w:sz="8" w:space="0" w:color="FF0000"/>
            </w:tcBorders>
            <w:shd w:val="clear" w:color="000000" w:fill="F7A3B0"/>
            <w:noWrap/>
            <w:vAlign w:val="center"/>
          </w:tcPr>
          <w:p w14:paraId="61592E20" w14:textId="636AA5EA"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185,018</w:t>
            </w:r>
          </w:p>
        </w:tc>
        <w:tc>
          <w:tcPr>
            <w:tcW w:w="470" w:type="pct"/>
            <w:tcBorders>
              <w:top w:val="nil"/>
              <w:left w:val="nil"/>
              <w:bottom w:val="nil"/>
              <w:right w:val="nil"/>
            </w:tcBorders>
            <w:shd w:val="clear" w:color="000000" w:fill="F7A3B0"/>
            <w:noWrap/>
            <w:vAlign w:val="center"/>
          </w:tcPr>
          <w:p w14:paraId="354B6102" w14:textId="7BA9DA8A"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000000" w:fill="F7A3B0"/>
            <w:noWrap/>
            <w:vAlign w:val="center"/>
          </w:tcPr>
          <w:p w14:paraId="27D56C56" w14:textId="1AFA90F5"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w:t>
            </w:r>
          </w:p>
        </w:tc>
        <w:tc>
          <w:tcPr>
            <w:tcW w:w="403" w:type="pct"/>
            <w:tcBorders>
              <w:top w:val="nil"/>
              <w:left w:val="nil"/>
              <w:bottom w:val="nil"/>
              <w:right w:val="single" w:sz="8" w:space="0" w:color="FF0000"/>
            </w:tcBorders>
            <w:shd w:val="clear" w:color="000000" w:fill="F7A3B0"/>
            <w:noWrap/>
            <w:vAlign w:val="center"/>
          </w:tcPr>
          <w:p w14:paraId="41A9D437" w14:textId="1909AD84"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w:t>
            </w:r>
          </w:p>
        </w:tc>
        <w:tc>
          <w:tcPr>
            <w:tcW w:w="448" w:type="pct"/>
            <w:tcBorders>
              <w:top w:val="nil"/>
              <w:left w:val="nil"/>
              <w:bottom w:val="nil"/>
              <w:right w:val="nil"/>
            </w:tcBorders>
            <w:shd w:val="clear" w:color="000000" w:fill="F7A3B0"/>
            <w:noWrap/>
            <w:vAlign w:val="center"/>
          </w:tcPr>
          <w:p w14:paraId="2B3F2BEE" w14:textId="35525708"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185,018</w:t>
            </w:r>
          </w:p>
        </w:tc>
        <w:tc>
          <w:tcPr>
            <w:tcW w:w="425" w:type="pct"/>
            <w:tcBorders>
              <w:top w:val="nil"/>
              <w:left w:val="nil"/>
              <w:bottom w:val="nil"/>
              <w:right w:val="nil"/>
            </w:tcBorders>
            <w:shd w:val="clear" w:color="000000" w:fill="F7A3B0"/>
            <w:noWrap/>
            <w:vAlign w:val="center"/>
          </w:tcPr>
          <w:p w14:paraId="31851D28" w14:textId="341C2F65"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w:t>
            </w:r>
          </w:p>
        </w:tc>
        <w:tc>
          <w:tcPr>
            <w:tcW w:w="422" w:type="pct"/>
            <w:tcBorders>
              <w:top w:val="nil"/>
              <w:left w:val="nil"/>
              <w:bottom w:val="nil"/>
              <w:right w:val="nil"/>
            </w:tcBorders>
            <w:shd w:val="clear" w:color="000000" w:fill="F7A3B0"/>
            <w:noWrap/>
            <w:vAlign w:val="center"/>
          </w:tcPr>
          <w:p w14:paraId="5ABC5D3F" w14:textId="764B9957"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185,018</w:t>
            </w:r>
          </w:p>
        </w:tc>
      </w:tr>
      <w:tr w:rsidR="003D4567" w:rsidRPr="00894701" w14:paraId="06A796CA" w14:textId="77777777" w:rsidTr="00CA58C0">
        <w:trPr>
          <w:trHeight w:val="20"/>
          <w:jc w:val="center"/>
        </w:trPr>
        <w:tc>
          <w:tcPr>
            <w:tcW w:w="122" w:type="pct"/>
            <w:tcBorders>
              <w:top w:val="nil"/>
              <w:left w:val="nil"/>
              <w:bottom w:val="nil"/>
              <w:right w:val="nil"/>
            </w:tcBorders>
            <w:shd w:val="clear" w:color="000000" w:fill="FFFFFF"/>
            <w:vAlign w:val="center"/>
            <w:hideMark/>
          </w:tcPr>
          <w:p w14:paraId="77606379" w14:textId="77777777" w:rsidR="003D4567" w:rsidRPr="00894701" w:rsidRDefault="003D4567" w:rsidP="003D4567">
            <w:pPr>
              <w:spacing w:before="60" w:after="60" w:line="240" w:lineRule="auto"/>
              <w:rPr>
                <w:rFonts w:cs="Arial"/>
                <w:color w:val="auto"/>
                <w:kern w:val="0"/>
                <w:sz w:val="16"/>
                <w:szCs w:val="16"/>
              </w:rPr>
            </w:pPr>
            <w:r w:rsidRPr="00894701">
              <w:rPr>
                <w:rFonts w:cs="Arial"/>
                <w:color w:val="auto"/>
                <w:kern w:val="0"/>
                <w:sz w:val="16"/>
                <w:szCs w:val="16"/>
              </w:rPr>
              <w:t>6</w:t>
            </w:r>
          </w:p>
        </w:tc>
        <w:tc>
          <w:tcPr>
            <w:tcW w:w="1012" w:type="pct"/>
            <w:tcBorders>
              <w:top w:val="nil"/>
              <w:left w:val="nil"/>
              <w:bottom w:val="nil"/>
              <w:right w:val="single" w:sz="8" w:space="0" w:color="FF0000"/>
            </w:tcBorders>
            <w:shd w:val="clear" w:color="000000" w:fill="FFFFFF"/>
            <w:vAlign w:val="center"/>
            <w:hideMark/>
          </w:tcPr>
          <w:p w14:paraId="47D51F4E" w14:textId="77777777" w:rsidR="003D4567" w:rsidRPr="00894701" w:rsidRDefault="003D4567" w:rsidP="003D4567">
            <w:pPr>
              <w:spacing w:before="60" w:after="60" w:line="240" w:lineRule="auto"/>
              <w:rPr>
                <w:rFonts w:cs="Arial"/>
                <w:color w:val="auto"/>
                <w:kern w:val="0"/>
                <w:sz w:val="16"/>
                <w:szCs w:val="16"/>
              </w:rPr>
            </w:pPr>
            <w:r w:rsidRPr="00894701">
              <w:rPr>
                <w:rFonts w:cs="Arial"/>
                <w:color w:val="auto"/>
                <w:kern w:val="0"/>
                <w:sz w:val="16"/>
                <w:szCs w:val="16"/>
              </w:rPr>
              <w:t>Challenger Energy Group Plc</w:t>
            </w:r>
          </w:p>
        </w:tc>
        <w:tc>
          <w:tcPr>
            <w:tcW w:w="426" w:type="pct"/>
            <w:tcBorders>
              <w:top w:val="nil"/>
              <w:left w:val="nil"/>
              <w:bottom w:val="nil"/>
              <w:right w:val="nil"/>
            </w:tcBorders>
            <w:shd w:val="clear" w:color="000000" w:fill="FFFFFF"/>
            <w:noWrap/>
            <w:vAlign w:val="center"/>
          </w:tcPr>
          <w:p w14:paraId="561EC109" w14:textId="287F8802"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w:t>
            </w:r>
          </w:p>
        </w:tc>
        <w:tc>
          <w:tcPr>
            <w:tcW w:w="425" w:type="pct"/>
            <w:tcBorders>
              <w:top w:val="nil"/>
              <w:left w:val="nil"/>
              <w:bottom w:val="nil"/>
              <w:right w:val="nil"/>
            </w:tcBorders>
            <w:shd w:val="clear" w:color="000000" w:fill="FFFFFF"/>
            <w:noWrap/>
            <w:vAlign w:val="center"/>
          </w:tcPr>
          <w:p w14:paraId="74E05DF8" w14:textId="7B240BA9"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w:t>
            </w:r>
          </w:p>
        </w:tc>
        <w:tc>
          <w:tcPr>
            <w:tcW w:w="379" w:type="pct"/>
            <w:tcBorders>
              <w:top w:val="nil"/>
              <w:left w:val="nil"/>
              <w:bottom w:val="nil"/>
              <w:right w:val="single" w:sz="8" w:space="0" w:color="FF0000"/>
            </w:tcBorders>
            <w:shd w:val="clear" w:color="000000" w:fill="FFFFFF"/>
            <w:noWrap/>
            <w:vAlign w:val="center"/>
          </w:tcPr>
          <w:p w14:paraId="5E81DBEB" w14:textId="06DCEC4D"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w:t>
            </w:r>
          </w:p>
        </w:tc>
        <w:tc>
          <w:tcPr>
            <w:tcW w:w="470" w:type="pct"/>
            <w:tcBorders>
              <w:top w:val="nil"/>
              <w:left w:val="nil"/>
              <w:bottom w:val="nil"/>
              <w:right w:val="nil"/>
            </w:tcBorders>
            <w:shd w:val="clear" w:color="000000" w:fill="FFFFFF"/>
            <w:noWrap/>
            <w:vAlign w:val="center"/>
          </w:tcPr>
          <w:p w14:paraId="36DEA4B5" w14:textId="32C104B3"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000000" w:fill="FFFFFF"/>
            <w:noWrap/>
            <w:vAlign w:val="center"/>
          </w:tcPr>
          <w:p w14:paraId="16618188" w14:textId="0867396F"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w:t>
            </w:r>
          </w:p>
        </w:tc>
        <w:tc>
          <w:tcPr>
            <w:tcW w:w="403" w:type="pct"/>
            <w:tcBorders>
              <w:top w:val="nil"/>
              <w:left w:val="nil"/>
              <w:bottom w:val="nil"/>
              <w:right w:val="single" w:sz="8" w:space="0" w:color="FF0000"/>
            </w:tcBorders>
            <w:shd w:val="clear" w:color="000000" w:fill="FFFFFF"/>
            <w:noWrap/>
            <w:vAlign w:val="center"/>
          </w:tcPr>
          <w:p w14:paraId="35B306B7" w14:textId="12EB6D14"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w:t>
            </w:r>
          </w:p>
        </w:tc>
        <w:tc>
          <w:tcPr>
            <w:tcW w:w="448" w:type="pct"/>
            <w:tcBorders>
              <w:top w:val="nil"/>
              <w:left w:val="nil"/>
              <w:bottom w:val="nil"/>
              <w:right w:val="nil"/>
            </w:tcBorders>
            <w:shd w:val="clear" w:color="000000" w:fill="FFFFFF"/>
            <w:noWrap/>
            <w:vAlign w:val="center"/>
          </w:tcPr>
          <w:p w14:paraId="301558D2" w14:textId="627C7612"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w:t>
            </w:r>
          </w:p>
        </w:tc>
        <w:tc>
          <w:tcPr>
            <w:tcW w:w="425" w:type="pct"/>
            <w:tcBorders>
              <w:top w:val="nil"/>
              <w:left w:val="nil"/>
              <w:bottom w:val="nil"/>
              <w:right w:val="nil"/>
            </w:tcBorders>
            <w:shd w:val="clear" w:color="000000" w:fill="FFFFFF"/>
            <w:noWrap/>
            <w:vAlign w:val="center"/>
          </w:tcPr>
          <w:p w14:paraId="3DFD4EED" w14:textId="14360F3C"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w:t>
            </w:r>
          </w:p>
        </w:tc>
        <w:tc>
          <w:tcPr>
            <w:tcW w:w="422" w:type="pct"/>
            <w:tcBorders>
              <w:top w:val="nil"/>
              <w:left w:val="nil"/>
              <w:bottom w:val="nil"/>
              <w:right w:val="nil"/>
            </w:tcBorders>
            <w:shd w:val="clear" w:color="000000" w:fill="FFFFFF"/>
            <w:noWrap/>
            <w:vAlign w:val="center"/>
          </w:tcPr>
          <w:p w14:paraId="39C99D62" w14:textId="44FA6961"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w:t>
            </w:r>
          </w:p>
        </w:tc>
      </w:tr>
      <w:tr w:rsidR="003D4567" w:rsidRPr="00894701" w14:paraId="72D53D6F" w14:textId="77777777" w:rsidTr="00CA58C0">
        <w:trPr>
          <w:trHeight w:val="20"/>
          <w:jc w:val="center"/>
        </w:trPr>
        <w:tc>
          <w:tcPr>
            <w:tcW w:w="122" w:type="pct"/>
            <w:tcBorders>
              <w:top w:val="nil"/>
              <w:left w:val="nil"/>
              <w:bottom w:val="nil"/>
              <w:right w:val="nil"/>
            </w:tcBorders>
            <w:shd w:val="clear" w:color="000000" w:fill="F7A3B0"/>
            <w:noWrap/>
            <w:vAlign w:val="center"/>
            <w:hideMark/>
          </w:tcPr>
          <w:p w14:paraId="66508338" w14:textId="77777777" w:rsidR="003D4567" w:rsidRPr="00894701" w:rsidRDefault="003D4567" w:rsidP="003D4567">
            <w:pPr>
              <w:spacing w:before="60" w:after="60" w:line="240" w:lineRule="auto"/>
              <w:rPr>
                <w:rFonts w:cs="Arial"/>
                <w:color w:val="000000"/>
                <w:kern w:val="0"/>
                <w:sz w:val="16"/>
                <w:szCs w:val="16"/>
              </w:rPr>
            </w:pPr>
            <w:r w:rsidRPr="00894701">
              <w:rPr>
                <w:rFonts w:cs="Arial"/>
                <w:color w:val="000000"/>
                <w:kern w:val="0"/>
                <w:sz w:val="16"/>
                <w:szCs w:val="16"/>
              </w:rPr>
              <w:t>7</w:t>
            </w:r>
          </w:p>
        </w:tc>
        <w:tc>
          <w:tcPr>
            <w:tcW w:w="1012" w:type="pct"/>
            <w:tcBorders>
              <w:top w:val="nil"/>
              <w:left w:val="nil"/>
              <w:bottom w:val="nil"/>
              <w:right w:val="single" w:sz="8" w:space="0" w:color="FF0000"/>
            </w:tcBorders>
            <w:shd w:val="clear" w:color="000000" w:fill="F7A3B0"/>
            <w:noWrap/>
            <w:vAlign w:val="center"/>
            <w:hideMark/>
          </w:tcPr>
          <w:p w14:paraId="39C6F241" w14:textId="77777777" w:rsidR="003D4567" w:rsidRPr="00894701" w:rsidRDefault="003D4567" w:rsidP="003D4567">
            <w:pPr>
              <w:spacing w:before="60" w:after="60" w:line="240" w:lineRule="auto"/>
              <w:rPr>
                <w:rFonts w:cs="Arial"/>
                <w:color w:val="000000"/>
                <w:kern w:val="0"/>
                <w:sz w:val="16"/>
                <w:szCs w:val="16"/>
                <w:lang w:val="nl-NL"/>
              </w:rPr>
            </w:pPr>
            <w:r w:rsidRPr="00894701">
              <w:rPr>
                <w:rFonts w:cs="Arial"/>
                <w:color w:val="000000"/>
                <w:kern w:val="0"/>
                <w:sz w:val="16"/>
                <w:szCs w:val="16"/>
                <w:lang w:val="nl-NL"/>
              </w:rPr>
              <w:t>Staatsolie Maatschappij Suriname N.V.</w:t>
            </w:r>
          </w:p>
        </w:tc>
        <w:tc>
          <w:tcPr>
            <w:tcW w:w="426" w:type="pct"/>
            <w:tcBorders>
              <w:top w:val="nil"/>
              <w:left w:val="nil"/>
              <w:bottom w:val="nil"/>
              <w:right w:val="nil"/>
            </w:tcBorders>
            <w:shd w:val="clear" w:color="000000" w:fill="F7A3B0"/>
            <w:noWrap/>
            <w:vAlign w:val="center"/>
          </w:tcPr>
          <w:p w14:paraId="20488B92" w14:textId="715CBEBB"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242,948,757</w:t>
            </w:r>
          </w:p>
        </w:tc>
        <w:tc>
          <w:tcPr>
            <w:tcW w:w="425" w:type="pct"/>
            <w:tcBorders>
              <w:top w:val="nil"/>
              <w:left w:val="nil"/>
              <w:bottom w:val="nil"/>
              <w:right w:val="nil"/>
            </w:tcBorders>
            <w:shd w:val="clear" w:color="000000" w:fill="F7A3B0"/>
            <w:noWrap/>
            <w:vAlign w:val="center"/>
          </w:tcPr>
          <w:p w14:paraId="1A1F1F5B" w14:textId="1CCE6410"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245,472,340</w:t>
            </w:r>
          </w:p>
        </w:tc>
        <w:tc>
          <w:tcPr>
            <w:tcW w:w="379" w:type="pct"/>
            <w:tcBorders>
              <w:top w:val="nil"/>
              <w:left w:val="nil"/>
              <w:bottom w:val="nil"/>
              <w:right w:val="single" w:sz="8" w:space="0" w:color="FF0000"/>
            </w:tcBorders>
            <w:shd w:val="clear" w:color="000000" w:fill="F7A3B0"/>
            <w:noWrap/>
            <w:vAlign w:val="center"/>
          </w:tcPr>
          <w:p w14:paraId="3702AC31" w14:textId="0A86158F"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(2,523,583)</w:t>
            </w:r>
          </w:p>
        </w:tc>
        <w:tc>
          <w:tcPr>
            <w:tcW w:w="470" w:type="pct"/>
            <w:tcBorders>
              <w:top w:val="nil"/>
              <w:left w:val="nil"/>
              <w:bottom w:val="nil"/>
              <w:right w:val="nil"/>
            </w:tcBorders>
            <w:shd w:val="clear" w:color="000000" w:fill="F7A3B0"/>
            <w:noWrap/>
            <w:vAlign w:val="center"/>
          </w:tcPr>
          <w:p w14:paraId="7C94AE3C" w14:textId="634C59FA"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(47,925,549)</w:t>
            </w:r>
          </w:p>
        </w:tc>
        <w:tc>
          <w:tcPr>
            <w:tcW w:w="468" w:type="pct"/>
            <w:tcBorders>
              <w:top w:val="nil"/>
              <w:left w:val="nil"/>
              <w:bottom w:val="nil"/>
              <w:right w:val="nil"/>
            </w:tcBorders>
            <w:shd w:val="clear" w:color="000000" w:fill="F7A3B0"/>
            <w:noWrap/>
            <w:vAlign w:val="center"/>
          </w:tcPr>
          <w:p w14:paraId="6EED3D36" w14:textId="69612A7C"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(50,449,136)</w:t>
            </w:r>
          </w:p>
        </w:tc>
        <w:tc>
          <w:tcPr>
            <w:tcW w:w="403" w:type="pct"/>
            <w:tcBorders>
              <w:top w:val="nil"/>
              <w:left w:val="nil"/>
              <w:bottom w:val="nil"/>
              <w:right w:val="single" w:sz="8" w:space="0" w:color="FF0000"/>
            </w:tcBorders>
            <w:shd w:val="clear" w:color="000000" w:fill="F7A3B0"/>
            <w:noWrap/>
            <w:vAlign w:val="center"/>
          </w:tcPr>
          <w:p w14:paraId="1E5245EB" w14:textId="49A7E3E5"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2,523,587</w:t>
            </w:r>
          </w:p>
        </w:tc>
        <w:tc>
          <w:tcPr>
            <w:tcW w:w="448" w:type="pct"/>
            <w:tcBorders>
              <w:top w:val="nil"/>
              <w:left w:val="nil"/>
              <w:bottom w:val="nil"/>
              <w:right w:val="nil"/>
            </w:tcBorders>
            <w:shd w:val="clear" w:color="000000" w:fill="F7A3B0"/>
            <w:noWrap/>
            <w:vAlign w:val="center"/>
          </w:tcPr>
          <w:p w14:paraId="5551013E" w14:textId="1D9D6893"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195,023,208</w:t>
            </w:r>
          </w:p>
        </w:tc>
        <w:tc>
          <w:tcPr>
            <w:tcW w:w="425" w:type="pct"/>
            <w:tcBorders>
              <w:top w:val="nil"/>
              <w:left w:val="nil"/>
              <w:bottom w:val="nil"/>
              <w:right w:val="nil"/>
            </w:tcBorders>
            <w:shd w:val="clear" w:color="000000" w:fill="F7A3B0"/>
            <w:noWrap/>
            <w:vAlign w:val="center"/>
          </w:tcPr>
          <w:p w14:paraId="1FA97C32" w14:textId="357D7727"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195,023,204</w:t>
            </w:r>
          </w:p>
        </w:tc>
        <w:tc>
          <w:tcPr>
            <w:tcW w:w="422" w:type="pct"/>
            <w:tcBorders>
              <w:top w:val="nil"/>
              <w:left w:val="nil"/>
              <w:bottom w:val="nil"/>
              <w:right w:val="nil"/>
            </w:tcBorders>
            <w:shd w:val="clear" w:color="000000" w:fill="F7A3B0"/>
            <w:noWrap/>
            <w:vAlign w:val="center"/>
          </w:tcPr>
          <w:p w14:paraId="440E4761" w14:textId="20B8DC85"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4</w:t>
            </w:r>
          </w:p>
        </w:tc>
      </w:tr>
      <w:tr w:rsidR="003D4567" w:rsidRPr="00894701" w14:paraId="014DD4E2" w14:textId="77777777" w:rsidTr="00CA58C0">
        <w:trPr>
          <w:trHeight w:val="20"/>
          <w:jc w:val="center"/>
        </w:trPr>
        <w:tc>
          <w:tcPr>
            <w:tcW w:w="122" w:type="pct"/>
            <w:tcBorders>
              <w:top w:val="nil"/>
              <w:left w:val="nil"/>
              <w:bottom w:val="nil"/>
              <w:right w:val="nil"/>
            </w:tcBorders>
            <w:shd w:val="clear" w:color="000000" w:fill="FFFFFF"/>
            <w:vAlign w:val="center"/>
            <w:hideMark/>
          </w:tcPr>
          <w:p w14:paraId="79A2CC6C" w14:textId="77777777" w:rsidR="003D4567" w:rsidRPr="00894701" w:rsidRDefault="003D4567" w:rsidP="003D4567">
            <w:pPr>
              <w:spacing w:before="60" w:after="60" w:line="240" w:lineRule="auto"/>
              <w:rPr>
                <w:rFonts w:cs="Arial"/>
                <w:color w:val="auto"/>
                <w:kern w:val="0"/>
                <w:sz w:val="16"/>
                <w:szCs w:val="16"/>
              </w:rPr>
            </w:pPr>
            <w:r w:rsidRPr="00894701">
              <w:rPr>
                <w:rFonts w:cs="Arial"/>
                <w:color w:val="auto"/>
                <w:kern w:val="0"/>
                <w:sz w:val="16"/>
                <w:szCs w:val="16"/>
              </w:rPr>
              <w:t>8</w:t>
            </w:r>
          </w:p>
        </w:tc>
        <w:tc>
          <w:tcPr>
            <w:tcW w:w="1012" w:type="pct"/>
            <w:tcBorders>
              <w:top w:val="nil"/>
              <w:left w:val="nil"/>
              <w:bottom w:val="nil"/>
              <w:right w:val="single" w:sz="8" w:space="0" w:color="FF0000"/>
            </w:tcBorders>
            <w:shd w:val="clear" w:color="000000" w:fill="FFFFFF"/>
            <w:vAlign w:val="center"/>
            <w:hideMark/>
          </w:tcPr>
          <w:p w14:paraId="75894A3C" w14:textId="77777777" w:rsidR="003D4567" w:rsidRPr="00894701" w:rsidRDefault="003D4567" w:rsidP="003D4567">
            <w:pPr>
              <w:spacing w:before="60" w:after="60" w:line="240" w:lineRule="auto"/>
              <w:rPr>
                <w:rFonts w:cs="Arial"/>
                <w:color w:val="auto"/>
                <w:kern w:val="0"/>
                <w:sz w:val="16"/>
                <w:szCs w:val="16"/>
              </w:rPr>
            </w:pPr>
            <w:r w:rsidRPr="00894701">
              <w:rPr>
                <w:rFonts w:cs="Arial"/>
                <w:color w:val="auto"/>
                <w:kern w:val="0"/>
                <w:sz w:val="16"/>
                <w:szCs w:val="16"/>
              </w:rPr>
              <w:t>ExxonMobil Exploration and Production Suriname B.V.</w:t>
            </w:r>
          </w:p>
        </w:tc>
        <w:tc>
          <w:tcPr>
            <w:tcW w:w="426" w:type="pct"/>
            <w:tcBorders>
              <w:top w:val="nil"/>
              <w:left w:val="nil"/>
              <w:bottom w:val="nil"/>
              <w:right w:val="nil"/>
            </w:tcBorders>
            <w:shd w:val="clear" w:color="000000" w:fill="FFFFFF"/>
            <w:noWrap/>
            <w:vAlign w:val="center"/>
          </w:tcPr>
          <w:p w14:paraId="2EF1DB81" w14:textId="71E7D3BD"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w:t>
            </w:r>
          </w:p>
        </w:tc>
        <w:tc>
          <w:tcPr>
            <w:tcW w:w="425" w:type="pct"/>
            <w:tcBorders>
              <w:top w:val="nil"/>
              <w:left w:val="nil"/>
              <w:bottom w:val="nil"/>
              <w:right w:val="nil"/>
            </w:tcBorders>
            <w:shd w:val="clear" w:color="000000" w:fill="FFFFFF"/>
            <w:noWrap/>
            <w:vAlign w:val="center"/>
          </w:tcPr>
          <w:p w14:paraId="0F7EB982" w14:textId="74A4540A"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w:t>
            </w:r>
          </w:p>
        </w:tc>
        <w:tc>
          <w:tcPr>
            <w:tcW w:w="379" w:type="pct"/>
            <w:tcBorders>
              <w:top w:val="nil"/>
              <w:left w:val="nil"/>
              <w:bottom w:val="nil"/>
              <w:right w:val="single" w:sz="8" w:space="0" w:color="FF0000"/>
            </w:tcBorders>
            <w:shd w:val="clear" w:color="000000" w:fill="FFFFFF"/>
            <w:noWrap/>
            <w:vAlign w:val="center"/>
          </w:tcPr>
          <w:p w14:paraId="0B9F7B4F" w14:textId="11D2F1CA"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w:t>
            </w:r>
          </w:p>
        </w:tc>
        <w:tc>
          <w:tcPr>
            <w:tcW w:w="470" w:type="pct"/>
            <w:tcBorders>
              <w:top w:val="nil"/>
              <w:left w:val="nil"/>
              <w:bottom w:val="nil"/>
              <w:right w:val="nil"/>
            </w:tcBorders>
            <w:shd w:val="clear" w:color="000000" w:fill="FFFFFF"/>
            <w:noWrap/>
            <w:vAlign w:val="center"/>
          </w:tcPr>
          <w:p w14:paraId="004A3954" w14:textId="1D796072"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000000" w:fill="FFFFFF"/>
            <w:noWrap/>
            <w:vAlign w:val="center"/>
          </w:tcPr>
          <w:p w14:paraId="3A8604C3" w14:textId="21F44B5C"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w:t>
            </w:r>
          </w:p>
        </w:tc>
        <w:tc>
          <w:tcPr>
            <w:tcW w:w="403" w:type="pct"/>
            <w:tcBorders>
              <w:top w:val="nil"/>
              <w:left w:val="nil"/>
              <w:bottom w:val="nil"/>
              <w:right w:val="single" w:sz="8" w:space="0" w:color="FF0000"/>
            </w:tcBorders>
            <w:shd w:val="clear" w:color="000000" w:fill="FFFFFF"/>
            <w:noWrap/>
            <w:vAlign w:val="center"/>
          </w:tcPr>
          <w:p w14:paraId="42717DFD" w14:textId="1940A262"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w:t>
            </w:r>
          </w:p>
        </w:tc>
        <w:tc>
          <w:tcPr>
            <w:tcW w:w="448" w:type="pct"/>
            <w:tcBorders>
              <w:top w:val="nil"/>
              <w:left w:val="nil"/>
              <w:bottom w:val="nil"/>
              <w:right w:val="nil"/>
            </w:tcBorders>
            <w:shd w:val="clear" w:color="000000" w:fill="FFFFFF"/>
            <w:noWrap/>
            <w:vAlign w:val="center"/>
          </w:tcPr>
          <w:p w14:paraId="16FB3046" w14:textId="34CA5E27"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w:t>
            </w:r>
          </w:p>
        </w:tc>
        <w:tc>
          <w:tcPr>
            <w:tcW w:w="425" w:type="pct"/>
            <w:tcBorders>
              <w:top w:val="nil"/>
              <w:left w:val="nil"/>
              <w:bottom w:val="nil"/>
              <w:right w:val="nil"/>
            </w:tcBorders>
            <w:shd w:val="clear" w:color="000000" w:fill="FFFFFF"/>
            <w:noWrap/>
            <w:vAlign w:val="center"/>
          </w:tcPr>
          <w:p w14:paraId="3D77AD58" w14:textId="46F9801E"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w:t>
            </w:r>
          </w:p>
        </w:tc>
        <w:tc>
          <w:tcPr>
            <w:tcW w:w="422" w:type="pct"/>
            <w:tcBorders>
              <w:top w:val="nil"/>
              <w:left w:val="nil"/>
              <w:bottom w:val="nil"/>
              <w:right w:val="nil"/>
            </w:tcBorders>
            <w:shd w:val="clear" w:color="000000" w:fill="FFFFFF"/>
            <w:noWrap/>
            <w:vAlign w:val="center"/>
          </w:tcPr>
          <w:p w14:paraId="3341E07C" w14:textId="4A07C4B0" w:rsidR="003D4567" w:rsidRPr="00894701" w:rsidRDefault="003D4567" w:rsidP="003D4567">
            <w:pPr>
              <w:spacing w:before="60" w:after="60" w:line="240" w:lineRule="auto"/>
              <w:jc w:val="right"/>
              <w:rPr>
                <w:rFonts w:cs="Arial"/>
                <w:color w:val="auto"/>
                <w:kern w:val="0"/>
                <w:sz w:val="16"/>
                <w:szCs w:val="16"/>
              </w:rPr>
            </w:pPr>
            <w:r w:rsidRPr="00894701">
              <w:rPr>
                <w:rFonts w:cs="Arial"/>
                <w:color w:val="auto"/>
                <w:sz w:val="16"/>
                <w:szCs w:val="16"/>
              </w:rPr>
              <w:t>-</w:t>
            </w:r>
          </w:p>
        </w:tc>
      </w:tr>
      <w:tr w:rsidR="003D4567" w:rsidRPr="00894701" w14:paraId="6C3BA5E5" w14:textId="77777777" w:rsidTr="00CA58C0">
        <w:trPr>
          <w:trHeight w:val="20"/>
          <w:jc w:val="center"/>
        </w:trPr>
        <w:tc>
          <w:tcPr>
            <w:tcW w:w="122" w:type="pct"/>
            <w:tcBorders>
              <w:top w:val="nil"/>
              <w:left w:val="nil"/>
              <w:bottom w:val="single" w:sz="8" w:space="0" w:color="FF0000"/>
              <w:right w:val="nil"/>
            </w:tcBorders>
            <w:shd w:val="clear" w:color="000000" w:fill="7A091A"/>
            <w:vAlign w:val="center"/>
            <w:hideMark/>
          </w:tcPr>
          <w:p w14:paraId="21ECA1CB" w14:textId="77777777" w:rsidR="003D4567" w:rsidRPr="00894701" w:rsidRDefault="003D4567" w:rsidP="003D4567">
            <w:pPr>
              <w:spacing w:before="60" w:after="60" w:line="240" w:lineRule="auto"/>
              <w:rPr>
                <w:rFonts w:cs="Arial"/>
                <w:b/>
                <w:bCs/>
                <w:color w:val="FFFFFF"/>
                <w:kern w:val="0"/>
                <w:sz w:val="16"/>
                <w:szCs w:val="16"/>
              </w:rPr>
            </w:pPr>
            <w:r w:rsidRPr="00894701">
              <w:rPr>
                <w:rFonts w:cs="Arial"/>
                <w:b/>
                <w:bCs/>
                <w:color w:val="FFFFFF"/>
                <w:kern w:val="0"/>
                <w:sz w:val="16"/>
                <w:szCs w:val="16"/>
              </w:rPr>
              <w:t> </w:t>
            </w:r>
          </w:p>
        </w:tc>
        <w:tc>
          <w:tcPr>
            <w:tcW w:w="1012" w:type="pct"/>
            <w:tcBorders>
              <w:top w:val="nil"/>
              <w:left w:val="nil"/>
              <w:bottom w:val="single" w:sz="8" w:space="0" w:color="FF0000"/>
              <w:right w:val="single" w:sz="8" w:space="0" w:color="FF0000"/>
            </w:tcBorders>
            <w:shd w:val="clear" w:color="000000" w:fill="7A091A"/>
            <w:vAlign w:val="center"/>
            <w:hideMark/>
          </w:tcPr>
          <w:p w14:paraId="0E07AB5D" w14:textId="77777777" w:rsidR="003D4567" w:rsidRPr="00894701" w:rsidRDefault="003D4567" w:rsidP="003D4567">
            <w:pPr>
              <w:spacing w:before="60" w:after="60" w:line="240" w:lineRule="auto"/>
              <w:rPr>
                <w:rFonts w:cs="Arial"/>
                <w:b/>
                <w:bCs/>
                <w:color w:val="FFFFFF"/>
                <w:kern w:val="0"/>
                <w:sz w:val="16"/>
                <w:szCs w:val="16"/>
              </w:rPr>
            </w:pPr>
            <w:r w:rsidRPr="00894701">
              <w:rPr>
                <w:rFonts w:cs="Arial"/>
                <w:b/>
                <w:bCs/>
                <w:color w:val="FFFFFF"/>
                <w:kern w:val="0"/>
                <w:sz w:val="16"/>
                <w:szCs w:val="16"/>
              </w:rPr>
              <w:t>Total</w:t>
            </w:r>
          </w:p>
        </w:tc>
        <w:tc>
          <w:tcPr>
            <w:tcW w:w="426" w:type="pct"/>
            <w:tcBorders>
              <w:top w:val="nil"/>
              <w:left w:val="nil"/>
              <w:bottom w:val="single" w:sz="8" w:space="0" w:color="FF0000"/>
              <w:right w:val="nil"/>
            </w:tcBorders>
            <w:shd w:val="clear" w:color="000000" w:fill="7A091A"/>
            <w:vAlign w:val="center"/>
          </w:tcPr>
          <w:p w14:paraId="5745B9C1" w14:textId="01273A94" w:rsidR="003D4567" w:rsidRPr="00894701" w:rsidRDefault="003D4567" w:rsidP="003D4567">
            <w:pPr>
              <w:spacing w:before="60" w:after="60" w:line="240" w:lineRule="auto"/>
              <w:jc w:val="right"/>
              <w:rPr>
                <w:rFonts w:cs="Arial"/>
                <w:b/>
                <w:bCs/>
                <w:color w:val="FFFFFF"/>
                <w:kern w:val="0"/>
                <w:sz w:val="16"/>
                <w:szCs w:val="16"/>
              </w:rPr>
            </w:pPr>
            <w:r w:rsidRPr="00894701">
              <w:rPr>
                <w:rFonts w:cs="Arial"/>
                <w:b/>
                <w:bCs/>
                <w:color w:val="FFFFFF"/>
                <w:sz w:val="16"/>
                <w:szCs w:val="16"/>
              </w:rPr>
              <w:t>246,595,309</w:t>
            </w:r>
          </w:p>
        </w:tc>
        <w:tc>
          <w:tcPr>
            <w:tcW w:w="425" w:type="pct"/>
            <w:tcBorders>
              <w:top w:val="nil"/>
              <w:left w:val="nil"/>
              <w:bottom w:val="single" w:sz="8" w:space="0" w:color="FF0000"/>
              <w:right w:val="nil"/>
            </w:tcBorders>
            <w:shd w:val="clear" w:color="000000" w:fill="7A091A"/>
            <w:vAlign w:val="center"/>
          </w:tcPr>
          <w:p w14:paraId="28F414B1" w14:textId="4A681EAD" w:rsidR="003D4567" w:rsidRPr="00894701" w:rsidRDefault="003D4567" w:rsidP="003D4567">
            <w:pPr>
              <w:spacing w:before="60" w:after="60" w:line="240" w:lineRule="auto"/>
              <w:jc w:val="right"/>
              <w:rPr>
                <w:rFonts w:cs="Arial"/>
                <w:b/>
                <w:bCs/>
                <w:color w:val="FFFFFF"/>
                <w:kern w:val="0"/>
                <w:sz w:val="16"/>
                <w:szCs w:val="16"/>
              </w:rPr>
            </w:pPr>
            <w:r w:rsidRPr="00894701">
              <w:rPr>
                <w:rFonts w:cs="Arial"/>
                <w:b/>
                <w:bCs/>
                <w:color w:val="FFFFFF"/>
                <w:sz w:val="16"/>
                <w:szCs w:val="16"/>
              </w:rPr>
              <w:t>248,181,613</w:t>
            </w:r>
          </w:p>
        </w:tc>
        <w:tc>
          <w:tcPr>
            <w:tcW w:w="379" w:type="pct"/>
            <w:tcBorders>
              <w:top w:val="nil"/>
              <w:left w:val="nil"/>
              <w:bottom w:val="single" w:sz="8" w:space="0" w:color="FF0000"/>
              <w:right w:val="single" w:sz="8" w:space="0" w:color="FF0000"/>
            </w:tcBorders>
            <w:shd w:val="clear" w:color="000000" w:fill="7A091A"/>
            <w:vAlign w:val="center"/>
          </w:tcPr>
          <w:p w14:paraId="36CA97ED" w14:textId="32521F88" w:rsidR="003D4567" w:rsidRPr="00894701" w:rsidRDefault="003D4567" w:rsidP="003D4567">
            <w:pPr>
              <w:spacing w:before="60" w:after="60" w:line="240" w:lineRule="auto"/>
              <w:jc w:val="right"/>
              <w:rPr>
                <w:rFonts w:cs="Arial"/>
                <w:b/>
                <w:bCs/>
                <w:color w:val="FFFFFF"/>
                <w:kern w:val="0"/>
                <w:sz w:val="16"/>
                <w:szCs w:val="16"/>
              </w:rPr>
            </w:pPr>
            <w:r w:rsidRPr="00894701">
              <w:rPr>
                <w:rFonts w:cs="Arial"/>
                <w:b/>
                <w:bCs/>
                <w:color w:val="FFFFFF"/>
                <w:sz w:val="16"/>
                <w:szCs w:val="16"/>
              </w:rPr>
              <w:t>(1,586,304)</w:t>
            </w:r>
          </w:p>
        </w:tc>
        <w:tc>
          <w:tcPr>
            <w:tcW w:w="470" w:type="pct"/>
            <w:tcBorders>
              <w:top w:val="nil"/>
              <w:left w:val="nil"/>
              <w:bottom w:val="single" w:sz="8" w:space="0" w:color="FF0000"/>
              <w:right w:val="nil"/>
            </w:tcBorders>
            <w:shd w:val="clear" w:color="000000" w:fill="7A091A"/>
            <w:vAlign w:val="center"/>
          </w:tcPr>
          <w:p w14:paraId="15333FD5" w14:textId="4C99E898" w:rsidR="003D4567" w:rsidRPr="00894701" w:rsidRDefault="003D4567" w:rsidP="003D4567">
            <w:pPr>
              <w:spacing w:before="60" w:after="60" w:line="240" w:lineRule="auto"/>
              <w:jc w:val="right"/>
              <w:rPr>
                <w:rFonts w:cs="Arial"/>
                <w:b/>
                <w:bCs/>
                <w:color w:val="FFFFFF"/>
                <w:kern w:val="0"/>
                <w:sz w:val="16"/>
                <w:szCs w:val="16"/>
              </w:rPr>
            </w:pPr>
            <w:r w:rsidRPr="00894701">
              <w:rPr>
                <w:rFonts w:cs="Arial"/>
                <w:b/>
                <w:bCs/>
                <w:color w:val="FFFFFF"/>
                <w:sz w:val="16"/>
                <w:szCs w:val="16"/>
              </w:rPr>
              <w:t>(47,747,006)</w:t>
            </w:r>
          </w:p>
        </w:tc>
        <w:tc>
          <w:tcPr>
            <w:tcW w:w="468" w:type="pct"/>
            <w:tcBorders>
              <w:top w:val="nil"/>
              <w:left w:val="nil"/>
              <w:bottom w:val="single" w:sz="8" w:space="0" w:color="FF0000"/>
              <w:right w:val="nil"/>
            </w:tcBorders>
            <w:shd w:val="clear" w:color="000000" w:fill="7A091A"/>
            <w:vAlign w:val="center"/>
          </w:tcPr>
          <w:p w14:paraId="6A2494F6" w14:textId="3A0E02BA" w:rsidR="003D4567" w:rsidRPr="00894701" w:rsidRDefault="003D4567" w:rsidP="003D4567">
            <w:pPr>
              <w:spacing w:before="60" w:after="60" w:line="240" w:lineRule="auto"/>
              <w:jc w:val="right"/>
              <w:rPr>
                <w:rFonts w:cs="Arial"/>
                <w:b/>
                <w:bCs/>
                <w:color w:val="FFFFFF"/>
                <w:kern w:val="0"/>
                <w:sz w:val="16"/>
                <w:szCs w:val="16"/>
              </w:rPr>
            </w:pPr>
            <w:r w:rsidRPr="00894701">
              <w:rPr>
                <w:rFonts w:cs="Arial"/>
                <w:b/>
                <w:bCs/>
                <w:color w:val="FFFFFF"/>
                <w:sz w:val="16"/>
                <w:szCs w:val="16"/>
              </w:rPr>
              <w:t>(49,327,037)</w:t>
            </w:r>
          </w:p>
        </w:tc>
        <w:tc>
          <w:tcPr>
            <w:tcW w:w="403" w:type="pct"/>
            <w:tcBorders>
              <w:top w:val="nil"/>
              <w:left w:val="nil"/>
              <w:bottom w:val="single" w:sz="8" w:space="0" w:color="FF0000"/>
              <w:right w:val="single" w:sz="8" w:space="0" w:color="FF0000"/>
            </w:tcBorders>
            <w:shd w:val="clear" w:color="000000" w:fill="7A091A"/>
            <w:vAlign w:val="center"/>
          </w:tcPr>
          <w:p w14:paraId="18737F41" w14:textId="483536F8" w:rsidR="003D4567" w:rsidRPr="00894701" w:rsidRDefault="003D4567" w:rsidP="003D4567">
            <w:pPr>
              <w:spacing w:before="60" w:after="60" w:line="240" w:lineRule="auto"/>
              <w:jc w:val="right"/>
              <w:rPr>
                <w:rFonts w:cs="Arial"/>
                <w:b/>
                <w:bCs/>
                <w:color w:val="FFFFFF"/>
                <w:kern w:val="0"/>
                <w:sz w:val="16"/>
                <w:szCs w:val="16"/>
              </w:rPr>
            </w:pPr>
            <w:r w:rsidRPr="00894701">
              <w:rPr>
                <w:rFonts w:cs="Arial"/>
                <w:b/>
                <w:bCs/>
                <w:color w:val="FFFFFF"/>
                <w:sz w:val="16"/>
                <w:szCs w:val="16"/>
              </w:rPr>
              <w:t>1,580,031</w:t>
            </w:r>
          </w:p>
        </w:tc>
        <w:tc>
          <w:tcPr>
            <w:tcW w:w="448" w:type="pct"/>
            <w:tcBorders>
              <w:top w:val="nil"/>
              <w:left w:val="nil"/>
              <w:bottom w:val="single" w:sz="8" w:space="0" w:color="FF0000"/>
              <w:right w:val="nil"/>
            </w:tcBorders>
            <w:shd w:val="clear" w:color="000000" w:fill="7A091A"/>
            <w:vAlign w:val="center"/>
          </w:tcPr>
          <w:p w14:paraId="21E5AAF2" w14:textId="5B942E1A" w:rsidR="003D4567" w:rsidRPr="00894701" w:rsidRDefault="003D4567" w:rsidP="003D4567">
            <w:pPr>
              <w:spacing w:before="60" w:after="60" w:line="240" w:lineRule="auto"/>
              <w:jc w:val="right"/>
              <w:rPr>
                <w:rFonts w:cs="Arial"/>
                <w:b/>
                <w:bCs/>
                <w:color w:val="FFFFFF"/>
                <w:kern w:val="0"/>
                <w:sz w:val="16"/>
                <w:szCs w:val="16"/>
              </w:rPr>
            </w:pPr>
            <w:r w:rsidRPr="00894701">
              <w:rPr>
                <w:rFonts w:cs="Arial"/>
                <w:b/>
                <w:bCs/>
                <w:color w:val="FFFFFF"/>
                <w:sz w:val="16"/>
                <w:szCs w:val="16"/>
              </w:rPr>
              <w:t>198,848,303</w:t>
            </w:r>
          </w:p>
        </w:tc>
        <w:tc>
          <w:tcPr>
            <w:tcW w:w="425" w:type="pct"/>
            <w:tcBorders>
              <w:top w:val="nil"/>
              <w:left w:val="nil"/>
              <w:bottom w:val="single" w:sz="8" w:space="0" w:color="FF0000"/>
              <w:right w:val="nil"/>
            </w:tcBorders>
            <w:shd w:val="clear" w:color="000000" w:fill="7A091A"/>
            <w:vAlign w:val="center"/>
          </w:tcPr>
          <w:p w14:paraId="02DBC096" w14:textId="099D8E62" w:rsidR="003D4567" w:rsidRPr="00894701" w:rsidRDefault="003D4567" w:rsidP="003D4567">
            <w:pPr>
              <w:spacing w:before="60" w:after="60" w:line="240" w:lineRule="auto"/>
              <w:jc w:val="right"/>
              <w:rPr>
                <w:rFonts w:cs="Arial"/>
                <w:b/>
                <w:bCs/>
                <w:color w:val="FFFFFF"/>
                <w:kern w:val="0"/>
                <w:sz w:val="16"/>
                <w:szCs w:val="16"/>
              </w:rPr>
            </w:pPr>
            <w:r w:rsidRPr="00894701">
              <w:rPr>
                <w:rFonts w:cs="Arial"/>
                <w:b/>
                <w:bCs/>
                <w:color w:val="FFFFFF"/>
                <w:sz w:val="16"/>
                <w:szCs w:val="16"/>
              </w:rPr>
              <w:t>198,854,576</w:t>
            </w:r>
          </w:p>
        </w:tc>
        <w:tc>
          <w:tcPr>
            <w:tcW w:w="422" w:type="pct"/>
            <w:tcBorders>
              <w:top w:val="nil"/>
              <w:left w:val="nil"/>
              <w:bottom w:val="single" w:sz="8" w:space="0" w:color="FF0000"/>
              <w:right w:val="single" w:sz="8" w:space="0" w:color="FF0000"/>
            </w:tcBorders>
            <w:shd w:val="clear" w:color="000000" w:fill="7A091A"/>
            <w:vAlign w:val="center"/>
          </w:tcPr>
          <w:p w14:paraId="4377F696" w14:textId="7811235F" w:rsidR="003D4567" w:rsidRPr="00894701" w:rsidRDefault="003D4567" w:rsidP="003D4567">
            <w:pPr>
              <w:spacing w:before="60" w:after="60" w:line="240" w:lineRule="auto"/>
              <w:jc w:val="right"/>
              <w:rPr>
                <w:rFonts w:cs="Arial"/>
                <w:b/>
                <w:bCs/>
                <w:color w:val="FFFFFF"/>
                <w:kern w:val="0"/>
                <w:sz w:val="16"/>
                <w:szCs w:val="16"/>
              </w:rPr>
            </w:pPr>
            <w:r w:rsidRPr="00894701">
              <w:rPr>
                <w:rFonts w:cs="Arial"/>
                <w:b/>
                <w:bCs/>
                <w:color w:val="FFFFFF"/>
                <w:sz w:val="16"/>
                <w:szCs w:val="16"/>
              </w:rPr>
              <w:t>(6,273)</w:t>
            </w:r>
          </w:p>
        </w:tc>
      </w:tr>
    </w:tbl>
    <w:p w14:paraId="04460C03" w14:textId="77777777" w:rsidR="002F4BAB" w:rsidRPr="00894701" w:rsidRDefault="002F4BAB" w:rsidP="002F4BAB">
      <w:pPr>
        <w:spacing w:after="0" w:line="240" w:lineRule="auto"/>
        <w:rPr>
          <w:rFonts w:asciiTheme="minorHAnsi" w:hAnsiTheme="minorHAnsi"/>
        </w:rPr>
      </w:pPr>
      <w:r w:rsidRPr="00894701">
        <w:rPr>
          <w:rFonts w:cs="Arial"/>
          <w:i/>
          <w:color w:val="auto"/>
          <w:szCs w:val="18"/>
        </w:rPr>
        <w:t>Source: EITI Reporting Templates</w:t>
      </w:r>
    </w:p>
    <w:p w14:paraId="0E478C76" w14:textId="1D6A3A29" w:rsidR="00E27977" w:rsidRPr="00894701" w:rsidRDefault="00E27977" w:rsidP="002F4BAB">
      <w:pPr>
        <w:spacing w:after="0" w:line="240" w:lineRule="auto"/>
        <w:rPr>
          <w:rFonts w:asciiTheme="minorHAnsi" w:hAnsiTheme="minorHAnsi"/>
        </w:rPr>
      </w:pPr>
      <w:r w:rsidRPr="00894701">
        <w:rPr>
          <w:rFonts w:asciiTheme="minorHAnsi" w:hAnsiTheme="minorHAnsi"/>
        </w:rPr>
        <w:br w:type="page"/>
      </w:r>
    </w:p>
    <w:p w14:paraId="0F45ED98" w14:textId="77777777" w:rsidR="002F4BAB" w:rsidRPr="00894701" w:rsidRDefault="002F4BAB" w:rsidP="002F4BAB">
      <w:pPr>
        <w:spacing w:after="0" w:line="240" w:lineRule="auto"/>
        <w:rPr>
          <w:rFonts w:asciiTheme="minorHAnsi" w:hAnsiTheme="minorHAnsi"/>
        </w:rPr>
      </w:pPr>
    </w:p>
    <w:p w14:paraId="69E43546" w14:textId="0FBBD481" w:rsidR="002F4BAB" w:rsidRPr="00894701" w:rsidRDefault="002F4BAB" w:rsidP="002F4BAB">
      <w:pPr>
        <w:spacing w:after="0"/>
        <w:jc w:val="center"/>
        <w:rPr>
          <w:b/>
          <w:bCs/>
          <w:noProof/>
          <w:color w:val="98002E" w:themeColor="accent3"/>
          <w:sz w:val="20"/>
          <w:szCs w:val="20"/>
        </w:rPr>
      </w:pPr>
      <w:bookmarkStart w:id="469" w:name="_Toc117539616"/>
      <w:bookmarkStart w:id="470" w:name="_Toc146590525"/>
      <w:r w:rsidRPr="00894701">
        <w:rPr>
          <w:b/>
          <w:bCs/>
          <w:noProof/>
          <w:color w:val="98002E" w:themeColor="accent3"/>
          <w:sz w:val="20"/>
          <w:szCs w:val="20"/>
        </w:rPr>
        <w:t xml:space="preserve">Table </w:t>
      </w:r>
      <w:r w:rsidRPr="00894701">
        <w:rPr>
          <w:b/>
          <w:bCs/>
          <w:noProof/>
          <w:color w:val="98002E" w:themeColor="accent3"/>
          <w:sz w:val="20"/>
          <w:szCs w:val="20"/>
        </w:rPr>
        <w:fldChar w:fldCharType="begin"/>
      </w:r>
      <w:r w:rsidRPr="00894701">
        <w:rPr>
          <w:b/>
          <w:bCs/>
          <w:noProof/>
          <w:color w:val="98002E" w:themeColor="accent3"/>
          <w:sz w:val="20"/>
          <w:szCs w:val="20"/>
        </w:rPr>
        <w:instrText xml:space="preserve"> SEQ Table \* ARABIC </w:instrText>
      </w:r>
      <w:r w:rsidRPr="00894701">
        <w:rPr>
          <w:b/>
          <w:bCs/>
          <w:noProof/>
          <w:color w:val="98002E" w:themeColor="accent3"/>
          <w:sz w:val="20"/>
          <w:szCs w:val="20"/>
        </w:rPr>
        <w:fldChar w:fldCharType="separate"/>
      </w:r>
      <w:r w:rsidR="0035303B">
        <w:rPr>
          <w:b/>
          <w:bCs/>
          <w:noProof/>
          <w:color w:val="98002E" w:themeColor="accent3"/>
          <w:sz w:val="20"/>
          <w:szCs w:val="20"/>
        </w:rPr>
        <w:t>53</w:t>
      </w:r>
      <w:r w:rsidRPr="00894701">
        <w:rPr>
          <w:b/>
          <w:bCs/>
          <w:noProof/>
          <w:color w:val="98002E" w:themeColor="accent3"/>
          <w:sz w:val="20"/>
          <w:szCs w:val="20"/>
        </w:rPr>
        <w:fldChar w:fldCharType="end"/>
      </w:r>
      <w:r w:rsidRPr="00894701">
        <w:rPr>
          <w:b/>
          <w:bCs/>
          <w:noProof/>
          <w:color w:val="98002E" w:themeColor="accent3"/>
          <w:sz w:val="20"/>
          <w:szCs w:val="20"/>
        </w:rPr>
        <w:t>: Reconciliation by oil and gas companiesfor the fiscal year 2020</w:t>
      </w:r>
      <w:bookmarkEnd w:id="469"/>
      <w:bookmarkEnd w:id="470"/>
    </w:p>
    <w:p w14:paraId="72DCB749" w14:textId="77777777" w:rsidR="002F4BAB" w:rsidRPr="00894701" w:rsidRDefault="002F4BAB" w:rsidP="002F4BAB">
      <w:pPr>
        <w:spacing w:after="0" w:line="240" w:lineRule="auto"/>
        <w:jc w:val="right"/>
        <w:rPr>
          <w:rFonts w:asciiTheme="minorHAnsi" w:hAnsiTheme="minorHAnsi"/>
        </w:rPr>
      </w:pPr>
      <w:r w:rsidRPr="00894701">
        <w:rPr>
          <w:rFonts w:cs="Arial"/>
          <w:i/>
          <w:iCs/>
          <w:color w:val="000000"/>
          <w:szCs w:val="18"/>
          <w:lang w:eastAsia="fr-FR"/>
        </w:rPr>
        <w:t>Amounts in SRD</w:t>
      </w:r>
    </w:p>
    <w:tbl>
      <w:tblPr>
        <w:tblW w:w="5383" w:type="pct"/>
        <w:jc w:val="center"/>
        <w:tblLayout w:type="fixed"/>
        <w:tblLook w:val="04A0" w:firstRow="1" w:lastRow="0" w:firstColumn="1" w:lastColumn="0" w:noHBand="0" w:noVBand="1"/>
      </w:tblPr>
      <w:tblGrid>
        <w:gridCol w:w="368"/>
        <w:gridCol w:w="3041"/>
        <w:gridCol w:w="1280"/>
        <w:gridCol w:w="1277"/>
        <w:gridCol w:w="1139"/>
        <w:gridCol w:w="1413"/>
        <w:gridCol w:w="1407"/>
        <w:gridCol w:w="1211"/>
        <w:gridCol w:w="1346"/>
        <w:gridCol w:w="1277"/>
        <w:gridCol w:w="1268"/>
      </w:tblGrid>
      <w:tr w:rsidR="00CA58C0" w:rsidRPr="00894701" w14:paraId="386B0F11" w14:textId="77777777" w:rsidTr="00EA1802">
        <w:trPr>
          <w:trHeight w:val="20"/>
          <w:tblHeader/>
          <w:jc w:val="center"/>
        </w:trPr>
        <w:tc>
          <w:tcPr>
            <w:tcW w:w="122" w:type="pct"/>
            <w:vMerge w:val="restart"/>
            <w:tcBorders>
              <w:top w:val="nil"/>
              <w:left w:val="nil"/>
              <w:bottom w:val="single" w:sz="8" w:space="0" w:color="FF0000"/>
              <w:right w:val="nil"/>
            </w:tcBorders>
            <w:shd w:val="clear" w:color="000000" w:fill="7A091A"/>
            <w:tcMar>
              <w:left w:w="28" w:type="dxa"/>
              <w:right w:w="28" w:type="dxa"/>
            </w:tcMar>
            <w:vAlign w:val="center"/>
            <w:hideMark/>
          </w:tcPr>
          <w:p w14:paraId="4284399A" w14:textId="77777777" w:rsidR="00CA58C0" w:rsidRPr="00894701" w:rsidRDefault="00CA58C0" w:rsidP="00EA1802">
            <w:pPr>
              <w:spacing w:before="60" w:after="60" w:line="240" w:lineRule="auto"/>
              <w:jc w:val="center"/>
              <w:rPr>
                <w:rFonts w:cs="Arial"/>
                <w:b/>
                <w:bCs/>
                <w:color w:val="FFFFFF"/>
                <w:kern w:val="0"/>
                <w:sz w:val="16"/>
                <w:szCs w:val="16"/>
              </w:rPr>
            </w:pPr>
            <w:r w:rsidRPr="00894701">
              <w:rPr>
                <w:rFonts w:cs="Arial"/>
                <w:b/>
                <w:bCs/>
                <w:color w:val="FFFFFF"/>
                <w:kern w:val="0"/>
                <w:sz w:val="16"/>
                <w:szCs w:val="16"/>
              </w:rPr>
              <w:t>No.</w:t>
            </w:r>
          </w:p>
        </w:tc>
        <w:tc>
          <w:tcPr>
            <w:tcW w:w="1012" w:type="pct"/>
            <w:vMerge w:val="restart"/>
            <w:tcBorders>
              <w:top w:val="nil"/>
              <w:left w:val="nil"/>
              <w:bottom w:val="single" w:sz="8" w:space="0" w:color="FF0000"/>
              <w:right w:val="single" w:sz="8" w:space="0" w:color="FF0000"/>
            </w:tcBorders>
            <w:shd w:val="clear" w:color="000000" w:fill="7A091A"/>
            <w:tcMar>
              <w:left w:w="28" w:type="dxa"/>
              <w:right w:w="28" w:type="dxa"/>
            </w:tcMar>
            <w:vAlign w:val="center"/>
            <w:hideMark/>
          </w:tcPr>
          <w:p w14:paraId="65A2960B" w14:textId="77777777" w:rsidR="00CA58C0" w:rsidRPr="00894701" w:rsidRDefault="00CA58C0" w:rsidP="00EA1802">
            <w:pPr>
              <w:spacing w:before="60" w:after="60" w:line="240" w:lineRule="auto"/>
              <w:jc w:val="center"/>
              <w:rPr>
                <w:rFonts w:cs="Arial"/>
                <w:b/>
                <w:bCs/>
                <w:color w:val="FFFFFF"/>
                <w:kern w:val="0"/>
                <w:sz w:val="16"/>
                <w:szCs w:val="16"/>
              </w:rPr>
            </w:pPr>
            <w:r w:rsidRPr="00894701">
              <w:rPr>
                <w:rFonts w:cs="Arial"/>
                <w:b/>
                <w:bCs/>
                <w:color w:val="FFFFFF"/>
                <w:kern w:val="0"/>
                <w:sz w:val="16"/>
                <w:szCs w:val="16"/>
              </w:rPr>
              <w:t>Company</w:t>
            </w:r>
          </w:p>
        </w:tc>
        <w:tc>
          <w:tcPr>
            <w:tcW w:w="1230" w:type="pct"/>
            <w:gridSpan w:val="3"/>
            <w:tcBorders>
              <w:top w:val="nil"/>
              <w:left w:val="nil"/>
              <w:bottom w:val="single" w:sz="8" w:space="0" w:color="FF0000"/>
              <w:right w:val="single" w:sz="8" w:space="0" w:color="FF0000"/>
            </w:tcBorders>
            <w:shd w:val="clear" w:color="000000" w:fill="7A091A"/>
            <w:vAlign w:val="center"/>
            <w:hideMark/>
          </w:tcPr>
          <w:p w14:paraId="296320AE" w14:textId="77777777" w:rsidR="00CA58C0" w:rsidRPr="00894701" w:rsidRDefault="00CA58C0" w:rsidP="00EA1802">
            <w:pPr>
              <w:spacing w:before="60" w:after="60" w:line="240" w:lineRule="auto"/>
              <w:jc w:val="center"/>
              <w:rPr>
                <w:rFonts w:cs="Arial"/>
                <w:b/>
                <w:bCs/>
                <w:color w:val="FFFFFF"/>
                <w:kern w:val="0"/>
                <w:sz w:val="16"/>
                <w:szCs w:val="16"/>
              </w:rPr>
            </w:pPr>
            <w:r w:rsidRPr="00894701">
              <w:rPr>
                <w:rFonts w:cs="Arial"/>
                <w:b/>
                <w:bCs/>
                <w:color w:val="FFFFFF"/>
                <w:kern w:val="0"/>
                <w:sz w:val="16"/>
                <w:szCs w:val="16"/>
              </w:rPr>
              <w:t>Templates originally lodged</w:t>
            </w:r>
          </w:p>
        </w:tc>
        <w:tc>
          <w:tcPr>
            <w:tcW w:w="1341" w:type="pct"/>
            <w:gridSpan w:val="3"/>
            <w:tcBorders>
              <w:top w:val="nil"/>
              <w:left w:val="nil"/>
              <w:bottom w:val="single" w:sz="8" w:space="0" w:color="FF0000"/>
              <w:right w:val="single" w:sz="8" w:space="0" w:color="FF0000"/>
            </w:tcBorders>
            <w:shd w:val="clear" w:color="000000" w:fill="7A091A"/>
            <w:vAlign w:val="center"/>
            <w:hideMark/>
          </w:tcPr>
          <w:p w14:paraId="5AE97047" w14:textId="77777777" w:rsidR="00CA58C0" w:rsidRPr="00894701" w:rsidRDefault="00CA58C0" w:rsidP="00EA1802">
            <w:pPr>
              <w:spacing w:before="60" w:after="60" w:line="240" w:lineRule="auto"/>
              <w:jc w:val="center"/>
              <w:rPr>
                <w:rFonts w:cs="Arial"/>
                <w:b/>
                <w:bCs/>
                <w:color w:val="FFFFFF"/>
                <w:kern w:val="0"/>
                <w:sz w:val="16"/>
                <w:szCs w:val="16"/>
              </w:rPr>
            </w:pPr>
            <w:r w:rsidRPr="00894701">
              <w:rPr>
                <w:rFonts w:cs="Arial"/>
                <w:b/>
                <w:bCs/>
                <w:color w:val="FFFFFF"/>
                <w:kern w:val="0"/>
                <w:sz w:val="16"/>
                <w:szCs w:val="16"/>
              </w:rPr>
              <w:t>Adjustments</w:t>
            </w:r>
          </w:p>
        </w:tc>
        <w:tc>
          <w:tcPr>
            <w:tcW w:w="1295" w:type="pct"/>
            <w:gridSpan w:val="3"/>
            <w:tcBorders>
              <w:top w:val="nil"/>
              <w:left w:val="nil"/>
              <w:bottom w:val="single" w:sz="8" w:space="0" w:color="FF0000"/>
              <w:right w:val="nil"/>
            </w:tcBorders>
            <w:shd w:val="clear" w:color="000000" w:fill="7A091A"/>
            <w:vAlign w:val="center"/>
            <w:hideMark/>
          </w:tcPr>
          <w:p w14:paraId="48852F0E" w14:textId="77777777" w:rsidR="00CA58C0" w:rsidRPr="00894701" w:rsidRDefault="00CA58C0" w:rsidP="00EA1802">
            <w:pPr>
              <w:spacing w:before="60" w:after="60" w:line="240" w:lineRule="auto"/>
              <w:jc w:val="center"/>
              <w:rPr>
                <w:rFonts w:cs="Arial"/>
                <w:b/>
                <w:bCs/>
                <w:color w:val="FFFFFF"/>
                <w:kern w:val="0"/>
                <w:sz w:val="16"/>
                <w:szCs w:val="16"/>
              </w:rPr>
            </w:pPr>
            <w:r w:rsidRPr="00894701">
              <w:rPr>
                <w:rFonts w:cs="Arial"/>
                <w:b/>
                <w:bCs/>
                <w:color w:val="FFFFFF"/>
                <w:kern w:val="0"/>
                <w:sz w:val="16"/>
                <w:szCs w:val="16"/>
              </w:rPr>
              <w:t>Final amounts</w:t>
            </w:r>
          </w:p>
        </w:tc>
      </w:tr>
      <w:tr w:rsidR="00CA58C0" w:rsidRPr="00894701" w14:paraId="1AEBB5D8" w14:textId="77777777" w:rsidTr="00EA1802">
        <w:trPr>
          <w:trHeight w:val="20"/>
          <w:tblHeader/>
          <w:jc w:val="center"/>
        </w:trPr>
        <w:tc>
          <w:tcPr>
            <w:tcW w:w="122" w:type="pct"/>
            <w:vMerge/>
            <w:tcBorders>
              <w:top w:val="nil"/>
              <w:left w:val="nil"/>
              <w:bottom w:val="single" w:sz="8" w:space="0" w:color="FF0000"/>
              <w:right w:val="nil"/>
            </w:tcBorders>
            <w:vAlign w:val="center"/>
            <w:hideMark/>
          </w:tcPr>
          <w:p w14:paraId="7E2DD6FD" w14:textId="77777777" w:rsidR="00CA58C0" w:rsidRPr="00894701" w:rsidRDefault="00CA58C0" w:rsidP="00EA1802">
            <w:pPr>
              <w:spacing w:before="60" w:after="60" w:line="240" w:lineRule="auto"/>
              <w:jc w:val="center"/>
              <w:rPr>
                <w:rFonts w:cs="Arial"/>
                <w:b/>
                <w:bCs/>
                <w:color w:val="FFFFFF"/>
                <w:kern w:val="0"/>
                <w:sz w:val="16"/>
                <w:szCs w:val="16"/>
              </w:rPr>
            </w:pPr>
          </w:p>
        </w:tc>
        <w:tc>
          <w:tcPr>
            <w:tcW w:w="1012" w:type="pct"/>
            <w:vMerge/>
            <w:tcBorders>
              <w:top w:val="nil"/>
              <w:left w:val="nil"/>
              <w:bottom w:val="single" w:sz="8" w:space="0" w:color="FF0000"/>
              <w:right w:val="single" w:sz="8" w:space="0" w:color="FF0000"/>
            </w:tcBorders>
            <w:vAlign w:val="center"/>
            <w:hideMark/>
          </w:tcPr>
          <w:p w14:paraId="3F9DA39E" w14:textId="77777777" w:rsidR="00CA58C0" w:rsidRPr="00894701" w:rsidRDefault="00CA58C0" w:rsidP="00EA1802">
            <w:pPr>
              <w:spacing w:before="60" w:after="60" w:line="240" w:lineRule="auto"/>
              <w:jc w:val="center"/>
              <w:rPr>
                <w:rFonts w:cs="Arial"/>
                <w:b/>
                <w:bCs/>
                <w:color w:val="FFFFFF"/>
                <w:kern w:val="0"/>
                <w:sz w:val="16"/>
                <w:szCs w:val="16"/>
              </w:rPr>
            </w:pPr>
          </w:p>
        </w:tc>
        <w:tc>
          <w:tcPr>
            <w:tcW w:w="426" w:type="pct"/>
            <w:tcBorders>
              <w:top w:val="nil"/>
              <w:left w:val="nil"/>
              <w:bottom w:val="single" w:sz="8" w:space="0" w:color="FF0000"/>
              <w:right w:val="nil"/>
            </w:tcBorders>
            <w:shd w:val="clear" w:color="000000" w:fill="7A091A"/>
            <w:vAlign w:val="center"/>
            <w:hideMark/>
          </w:tcPr>
          <w:p w14:paraId="1D9ABA0B" w14:textId="77777777" w:rsidR="00CA58C0" w:rsidRPr="00894701" w:rsidRDefault="00CA58C0" w:rsidP="00EA1802">
            <w:pPr>
              <w:spacing w:before="60" w:after="60" w:line="240" w:lineRule="auto"/>
              <w:jc w:val="right"/>
              <w:rPr>
                <w:rFonts w:cs="Arial"/>
                <w:b/>
                <w:bCs/>
                <w:color w:val="FFFFFF"/>
                <w:kern w:val="0"/>
                <w:sz w:val="16"/>
                <w:szCs w:val="16"/>
              </w:rPr>
            </w:pPr>
            <w:r w:rsidRPr="00894701">
              <w:rPr>
                <w:rFonts w:cs="Arial"/>
                <w:b/>
                <w:bCs/>
                <w:color w:val="FFFFFF"/>
                <w:kern w:val="0"/>
                <w:sz w:val="16"/>
                <w:szCs w:val="16"/>
              </w:rPr>
              <w:t>Extractive company</w:t>
            </w:r>
            <w:r w:rsidRPr="00894701">
              <w:rPr>
                <w:rFonts w:cs="Arial"/>
                <w:b/>
                <w:bCs/>
                <w:color w:val="FFFFFF"/>
                <w:kern w:val="0"/>
                <w:sz w:val="16"/>
                <w:szCs w:val="16"/>
              </w:rPr>
              <w:br/>
              <w:t>(a)</w:t>
            </w:r>
          </w:p>
        </w:tc>
        <w:tc>
          <w:tcPr>
            <w:tcW w:w="425" w:type="pct"/>
            <w:tcBorders>
              <w:top w:val="nil"/>
              <w:left w:val="nil"/>
              <w:bottom w:val="single" w:sz="8" w:space="0" w:color="FF0000"/>
              <w:right w:val="nil"/>
            </w:tcBorders>
            <w:shd w:val="clear" w:color="000000" w:fill="7A091A"/>
            <w:vAlign w:val="center"/>
            <w:hideMark/>
          </w:tcPr>
          <w:p w14:paraId="53E00313" w14:textId="77777777" w:rsidR="00CA58C0" w:rsidRPr="00894701" w:rsidRDefault="00CA58C0" w:rsidP="00EA1802">
            <w:pPr>
              <w:spacing w:before="60" w:after="60" w:line="240" w:lineRule="auto"/>
              <w:jc w:val="right"/>
              <w:rPr>
                <w:rFonts w:cs="Arial"/>
                <w:b/>
                <w:bCs/>
                <w:color w:val="FFFFFF"/>
                <w:kern w:val="0"/>
                <w:sz w:val="16"/>
                <w:szCs w:val="16"/>
              </w:rPr>
            </w:pPr>
            <w:r w:rsidRPr="00894701">
              <w:rPr>
                <w:rFonts w:cs="Arial"/>
                <w:b/>
                <w:bCs/>
                <w:color w:val="FFFFFF"/>
                <w:kern w:val="0"/>
                <w:sz w:val="16"/>
                <w:szCs w:val="16"/>
              </w:rPr>
              <w:t>Government</w:t>
            </w:r>
            <w:r w:rsidRPr="00894701">
              <w:rPr>
                <w:rFonts w:cs="Arial"/>
                <w:b/>
                <w:bCs/>
                <w:color w:val="FFFFFF"/>
                <w:kern w:val="0"/>
                <w:sz w:val="16"/>
                <w:szCs w:val="16"/>
              </w:rPr>
              <w:br/>
              <w:t>(b)</w:t>
            </w:r>
          </w:p>
        </w:tc>
        <w:tc>
          <w:tcPr>
            <w:tcW w:w="379" w:type="pct"/>
            <w:tcBorders>
              <w:top w:val="nil"/>
              <w:left w:val="nil"/>
              <w:bottom w:val="single" w:sz="8" w:space="0" w:color="FF0000"/>
              <w:right w:val="single" w:sz="8" w:space="0" w:color="FF0000"/>
            </w:tcBorders>
            <w:shd w:val="clear" w:color="000000" w:fill="7A091A"/>
            <w:vAlign w:val="center"/>
            <w:hideMark/>
          </w:tcPr>
          <w:p w14:paraId="53E2C9E4" w14:textId="77777777" w:rsidR="00CA58C0" w:rsidRPr="00894701" w:rsidRDefault="00CA58C0" w:rsidP="00EA1802">
            <w:pPr>
              <w:spacing w:before="60" w:after="60" w:line="240" w:lineRule="auto"/>
              <w:jc w:val="right"/>
              <w:rPr>
                <w:rFonts w:cs="Arial"/>
                <w:b/>
                <w:bCs/>
                <w:color w:val="FFFFFF"/>
                <w:kern w:val="0"/>
                <w:sz w:val="16"/>
                <w:szCs w:val="16"/>
              </w:rPr>
            </w:pPr>
            <w:r w:rsidRPr="00894701">
              <w:rPr>
                <w:rFonts w:cs="Arial"/>
                <w:b/>
                <w:bCs/>
                <w:color w:val="FFFFFF"/>
                <w:kern w:val="0"/>
                <w:sz w:val="16"/>
                <w:szCs w:val="16"/>
              </w:rPr>
              <w:t>Difference</w:t>
            </w:r>
            <w:r w:rsidRPr="00894701">
              <w:rPr>
                <w:rFonts w:cs="Arial"/>
                <w:b/>
                <w:bCs/>
                <w:color w:val="FFFFFF"/>
                <w:kern w:val="0"/>
                <w:sz w:val="16"/>
                <w:szCs w:val="16"/>
              </w:rPr>
              <w:br/>
              <w:t>(c) =</w:t>
            </w:r>
            <w:r w:rsidRPr="00894701">
              <w:rPr>
                <w:rFonts w:cs="Arial"/>
                <w:b/>
                <w:bCs/>
                <w:color w:val="FFFFFF"/>
                <w:kern w:val="0"/>
                <w:sz w:val="16"/>
                <w:szCs w:val="16"/>
              </w:rPr>
              <w:br/>
              <w:t>(a - b)</w:t>
            </w:r>
          </w:p>
        </w:tc>
        <w:tc>
          <w:tcPr>
            <w:tcW w:w="470" w:type="pct"/>
            <w:tcBorders>
              <w:top w:val="nil"/>
              <w:left w:val="nil"/>
              <w:bottom w:val="single" w:sz="8" w:space="0" w:color="FF0000"/>
              <w:right w:val="nil"/>
            </w:tcBorders>
            <w:shd w:val="clear" w:color="000000" w:fill="7A091A"/>
            <w:vAlign w:val="center"/>
            <w:hideMark/>
          </w:tcPr>
          <w:p w14:paraId="3E680F70" w14:textId="77777777" w:rsidR="00CA58C0" w:rsidRPr="00894701" w:rsidRDefault="00CA58C0" w:rsidP="00EA1802">
            <w:pPr>
              <w:spacing w:before="60" w:after="60" w:line="240" w:lineRule="auto"/>
              <w:jc w:val="right"/>
              <w:rPr>
                <w:rFonts w:cs="Arial"/>
                <w:b/>
                <w:bCs/>
                <w:color w:val="FFFFFF"/>
                <w:kern w:val="0"/>
                <w:sz w:val="16"/>
                <w:szCs w:val="16"/>
              </w:rPr>
            </w:pPr>
            <w:r w:rsidRPr="00894701">
              <w:rPr>
                <w:rFonts w:cs="Arial"/>
                <w:b/>
                <w:bCs/>
                <w:color w:val="FFFFFF"/>
                <w:kern w:val="0"/>
                <w:sz w:val="16"/>
                <w:szCs w:val="16"/>
              </w:rPr>
              <w:t>Extractive company</w:t>
            </w:r>
            <w:r w:rsidRPr="00894701">
              <w:rPr>
                <w:rFonts w:cs="Arial"/>
                <w:b/>
                <w:bCs/>
                <w:color w:val="FFFFFF"/>
                <w:kern w:val="0"/>
                <w:sz w:val="16"/>
                <w:szCs w:val="16"/>
              </w:rPr>
              <w:br/>
              <w:t>(d)</w:t>
            </w:r>
          </w:p>
        </w:tc>
        <w:tc>
          <w:tcPr>
            <w:tcW w:w="468" w:type="pct"/>
            <w:tcBorders>
              <w:top w:val="nil"/>
              <w:left w:val="nil"/>
              <w:bottom w:val="single" w:sz="8" w:space="0" w:color="FF0000"/>
              <w:right w:val="nil"/>
            </w:tcBorders>
            <w:shd w:val="clear" w:color="000000" w:fill="7A091A"/>
            <w:vAlign w:val="center"/>
            <w:hideMark/>
          </w:tcPr>
          <w:p w14:paraId="39250CD6" w14:textId="77777777" w:rsidR="00CA58C0" w:rsidRPr="00894701" w:rsidRDefault="00CA58C0" w:rsidP="00EA1802">
            <w:pPr>
              <w:spacing w:before="60" w:after="60" w:line="240" w:lineRule="auto"/>
              <w:jc w:val="right"/>
              <w:rPr>
                <w:rFonts w:cs="Arial"/>
                <w:b/>
                <w:bCs/>
                <w:color w:val="FFFFFF"/>
                <w:kern w:val="0"/>
                <w:sz w:val="16"/>
                <w:szCs w:val="16"/>
              </w:rPr>
            </w:pPr>
            <w:r w:rsidRPr="00894701">
              <w:rPr>
                <w:rFonts w:cs="Arial"/>
                <w:b/>
                <w:bCs/>
                <w:color w:val="FFFFFF"/>
                <w:kern w:val="0"/>
                <w:sz w:val="16"/>
                <w:szCs w:val="16"/>
              </w:rPr>
              <w:t>Government</w:t>
            </w:r>
            <w:r w:rsidRPr="00894701">
              <w:rPr>
                <w:rFonts w:cs="Arial"/>
                <w:b/>
                <w:bCs/>
                <w:color w:val="FFFFFF"/>
                <w:kern w:val="0"/>
                <w:sz w:val="16"/>
                <w:szCs w:val="16"/>
              </w:rPr>
              <w:br/>
              <w:t>(e)</w:t>
            </w:r>
          </w:p>
        </w:tc>
        <w:tc>
          <w:tcPr>
            <w:tcW w:w="403" w:type="pct"/>
            <w:tcBorders>
              <w:top w:val="nil"/>
              <w:left w:val="nil"/>
              <w:bottom w:val="single" w:sz="8" w:space="0" w:color="FF0000"/>
              <w:right w:val="single" w:sz="8" w:space="0" w:color="FF0000"/>
            </w:tcBorders>
            <w:shd w:val="clear" w:color="000000" w:fill="7A091A"/>
            <w:vAlign w:val="center"/>
            <w:hideMark/>
          </w:tcPr>
          <w:p w14:paraId="5D6A3CB7" w14:textId="77777777" w:rsidR="00CA58C0" w:rsidRPr="00894701" w:rsidRDefault="00CA58C0" w:rsidP="00EA1802">
            <w:pPr>
              <w:spacing w:before="60" w:after="60" w:line="240" w:lineRule="auto"/>
              <w:jc w:val="right"/>
              <w:rPr>
                <w:rFonts w:cs="Arial"/>
                <w:b/>
                <w:bCs/>
                <w:color w:val="FFFFFF"/>
                <w:kern w:val="0"/>
                <w:sz w:val="16"/>
                <w:szCs w:val="16"/>
              </w:rPr>
            </w:pPr>
            <w:r w:rsidRPr="00894701">
              <w:rPr>
                <w:rFonts w:cs="Arial"/>
                <w:b/>
                <w:bCs/>
                <w:color w:val="FFFFFF"/>
                <w:kern w:val="0"/>
                <w:sz w:val="16"/>
                <w:szCs w:val="16"/>
              </w:rPr>
              <w:t>Difference</w:t>
            </w:r>
            <w:r w:rsidRPr="00894701">
              <w:rPr>
                <w:rFonts w:cs="Arial"/>
                <w:b/>
                <w:bCs/>
                <w:color w:val="FFFFFF"/>
                <w:kern w:val="0"/>
                <w:sz w:val="16"/>
                <w:szCs w:val="16"/>
              </w:rPr>
              <w:br/>
              <w:t>(f) = (c-d)</w:t>
            </w:r>
          </w:p>
        </w:tc>
        <w:tc>
          <w:tcPr>
            <w:tcW w:w="448" w:type="pct"/>
            <w:tcBorders>
              <w:top w:val="nil"/>
              <w:left w:val="nil"/>
              <w:bottom w:val="single" w:sz="8" w:space="0" w:color="FF0000"/>
              <w:right w:val="nil"/>
            </w:tcBorders>
            <w:shd w:val="clear" w:color="000000" w:fill="7A091A"/>
            <w:vAlign w:val="center"/>
            <w:hideMark/>
          </w:tcPr>
          <w:p w14:paraId="4FA8238D" w14:textId="77777777" w:rsidR="00CA58C0" w:rsidRPr="00894701" w:rsidRDefault="00CA58C0" w:rsidP="00EA1802">
            <w:pPr>
              <w:spacing w:before="60" w:after="60" w:line="240" w:lineRule="auto"/>
              <w:jc w:val="right"/>
              <w:rPr>
                <w:rFonts w:cs="Arial"/>
                <w:b/>
                <w:bCs/>
                <w:color w:val="FFFFFF"/>
                <w:kern w:val="0"/>
                <w:sz w:val="16"/>
                <w:szCs w:val="16"/>
              </w:rPr>
            </w:pPr>
            <w:r w:rsidRPr="00894701">
              <w:rPr>
                <w:rFonts w:cs="Arial"/>
                <w:b/>
                <w:bCs/>
                <w:color w:val="FFFFFF"/>
                <w:kern w:val="0"/>
                <w:sz w:val="16"/>
                <w:szCs w:val="16"/>
              </w:rPr>
              <w:t>Extractive company</w:t>
            </w:r>
            <w:r w:rsidRPr="00894701">
              <w:rPr>
                <w:rFonts w:cs="Arial"/>
                <w:b/>
                <w:bCs/>
                <w:color w:val="FFFFFF"/>
                <w:kern w:val="0"/>
                <w:sz w:val="16"/>
                <w:szCs w:val="16"/>
              </w:rPr>
              <w:br/>
              <w:t>(g) = (a+d)</w:t>
            </w:r>
          </w:p>
        </w:tc>
        <w:tc>
          <w:tcPr>
            <w:tcW w:w="425" w:type="pct"/>
            <w:tcBorders>
              <w:top w:val="nil"/>
              <w:left w:val="nil"/>
              <w:bottom w:val="single" w:sz="8" w:space="0" w:color="FF0000"/>
              <w:right w:val="nil"/>
            </w:tcBorders>
            <w:shd w:val="clear" w:color="000000" w:fill="7A091A"/>
            <w:vAlign w:val="center"/>
            <w:hideMark/>
          </w:tcPr>
          <w:p w14:paraId="0068C7B8" w14:textId="77777777" w:rsidR="00CA58C0" w:rsidRPr="00894701" w:rsidRDefault="00CA58C0" w:rsidP="00EA1802">
            <w:pPr>
              <w:spacing w:before="60" w:after="60" w:line="240" w:lineRule="auto"/>
              <w:jc w:val="right"/>
              <w:rPr>
                <w:rFonts w:cs="Arial"/>
                <w:b/>
                <w:bCs/>
                <w:color w:val="FFFFFF"/>
                <w:kern w:val="0"/>
                <w:sz w:val="16"/>
                <w:szCs w:val="16"/>
              </w:rPr>
            </w:pPr>
            <w:r w:rsidRPr="00894701">
              <w:rPr>
                <w:rFonts w:cs="Arial"/>
                <w:b/>
                <w:bCs/>
                <w:color w:val="FFFFFF"/>
                <w:kern w:val="0"/>
                <w:sz w:val="16"/>
                <w:szCs w:val="16"/>
              </w:rPr>
              <w:t>Government</w:t>
            </w:r>
            <w:r w:rsidRPr="00894701">
              <w:rPr>
                <w:rFonts w:cs="Arial"/>
                <w:b/>
                <w:bCs/>
                <w:color w:val="FFFFFF"/>
                <w:kern w:val="0"/>
                <w:sz w:val="16"/>
                <w:szCs w:val="16"/>
              </w:rPr>
              <w:br/>
              <w:t>(h) = (b+e)</w:t>
            </w:r>
          </w:p>
        </w:tc>
        <w:tc>
          <w:tcPr>
            <w:tcW w:w="422" w:type="pct"/>
            <w:tcBorders>
              <w:top w:val="nil"/>
              <w:left w:val="nil"/>
              <w:bottom w:val="single" w:sz="8" w:space="0" w:color="FF0000"/>
              <w:right w:val="nil"/>
            </w:tcBorders>
            <w:shd w:val="clear" w:color="000000" w:fill="7A091A"/>
            <w:vAlign w:val="center"/>
            <w:hideMark/>
          </w:tcPr>
          <w:p w14:paraId="4EC29C1C" w14:textId="77777777" w:rsidR="00CA58C0" w:rsidRPr="00894701" w:rsidRDefault="00CA58C0" w:rsidP="00EA1802">
            <w:pPr>
              <w:spacing w:before="60" w:after="60" w:line="240" w:lineRule="auto"/>
              <w:jc w:val="right"/>
              <w:rPr>
                <w:rFonts w:cs="Arial"/>
                <w:b/>
                <w:bCs/>
                <w:color w:val="FFFFFF"/>
                <w:kern w:val="0"/>
                <w:sz w:val="16"/>
                <w:szCs w:val="16"/>
              </w:rPr>
            </w:pPr>
            <w:r w:rsidRPr="00894701">
              <w:rPr>
                <w:rFonts w:cs="Arial"/>
                <w:b/>
                <w:bCs/>
                <w:color w:val="FFFFFF"/>
                <w:kern w:val="0"/>
                <w:sz w:val="16"/>
                <w:szCs w:val="16"/>
              </w:rPr>
              <w:t>Difference</w:t>
            </w:r>
            <w:r w:rsidRPr="00894701">
              <w:rPr>
                <w:rFonts w:cs="Arial"/>
                <w:b/>
                <w:bCs/>
                <w:color w:val="FFFFFF"/>
                <w:kern w:val="0"/>
                <w:sz w:val="16"/>
                <w:szCs w:val="16"/>
              </w:rPr>
              <w:br/>
              <w:t>(i) = (g-h)</w:t>
            </w:r>
          </w:p>
        </w:tc>
      </w:tr>
      <w:tr w:rsidR="003C1E50" w:rsidRPr="00894701" w14:paraId="1BCB8242" w14:textId="77777777" w:rsidTr="00EA1802">
        <w:trPr>
          <w:trHeight w:val="20"/>
          <w:jc w:val="center"/>
        </w:trPr>
        <w:tc>
          <w:tcPr>
            <w:tcW w:w="122" w:type="pct"/>
            <w:tcBorders>
              <w:top w:val="nil"/>
              <w:left w:val="nil"/>
              <w:bottom w:val="nil"/>
              <w:right w:val="nil"/>
            </w:tcBorders>
            <w:shd w:val="clear" w:color="000000" w:fill="F7A3B0"/>
            <w:noWrap/>
            <w:vAlign w:val="center"/>
            <w:hideMark/>
          </w:tcPr>
          <w:p w14:paraId="5FABCEE6" w14:textId="77777777" w:rsidR="003C1E50" w:rsidRPr="00894701" w:rsidRDefault="003C1E50" w:rsidP="003C1E50">
            <w:pPr>
              <w:spacing w:before="60" w:after="60" w:line="240" w:lineRule="auto"/>
              <w:rPr>
                <w:rFonts w:cs="Arial"/>
                <w:color w:val="000000"/>
                <w:kern w:val="0"/>
                <w:sz w:val="16"/>
                <w:szCs w:val="16"/>
              </w:rPr>
            </w:pPr>
            <w:r w:rsidRPr="00894701">
              <w:rPr>
                <w:rFonts w:cs="Arial"/>
                <w:color w:val="000000"/>
                <w:kern w:val="0"/>
                <w:sz w:val="16"/>
                <w:szCs w:val="16"/>
              </w:rPr>
              <w:t>1</w:t>
            </w:r>
          </w:p>
        </w:tc>
        <w:tc>
          <w:tcPr>
            <w:tcW w:w="1012" w:type="pct"/>
            <w:tcBorders>
              <w:top w:val="nil"/>
              <w:left w:val="nil"/>
              <w:bottom w:val="nil"/>
              <w:right w:val="single" w:sz="8" w:space="0" w:color="FF0000"/>
            </w:tcBorders>
            <w:shd w:val="clear" w:color="000000" w:fill="F7A3B0"/>
            <w:noWrap/>
            <w:vAlign w:val="center"/>
            <w:hideMark/>
          </w:tcPr>
          <w:p w14:paraId="5D2D2691" w14:textId="77777777" w:rsidR="003C1E50" w:rsidRPr="00894701" w:rsidRDefault="003C1E50" w:rsidP="003C1E50">
            <w:pPr>
              <w:spacing w:before="60" w:after="60" w:line="240" w:lineRule="auto"/>
              <w:rPr>
                <w:rFonts w:cs="Arial"/>
                <w:color w:val="000000"/>
                <w:kern w:val="0"/>
                <w:sz w:val="16"/>
                <w:szCs w:val="16"/>
              </w:rPr>
            </w:pPr>
            <w:r w:rsidRPr="00894701">
              <w:rPr>
                <w:rFonts w:cs="Arial"/>
                <w:color w:val="000000"/>
                <w:kern w:val="0"/>
                <w:sz w:val="16"/>
                <w:szCs w:val="16"/>
              </w:rPr>
              <w:t>Kosmos Energy Suriname</w:t>
            </w:r>
          </w:p>
        </w:tc>
        <w:tc>
          <w:tcPr>
            <w:tcW w:w="426" w:type="pct"/>
            <w:tcBorders>
              <w:top w:val="nil"/>
              <w:left w:val="nil"/>
              <w:bottom w:val="nil"/>
              <w:right w:val="nil"/>
            </w:tcBorders>
            <w:shd w:val="clear" w:color="000000" w:fill="F7A3B0"/>
            <w:noWrap/>
            <w:vAlign w:val="center"/>
          </w:tcPr>
          <w:p w14:paraId="282D80CA" w14:textId="7D3C6EC2" w:rsidR="003C1E50" w:rsidRPr="00894701" w:rsidRDefault="003C1E50" w:rsidP="003C1E50">
            <w:pPr>
              <w:spacing w:before="60" w:after="60" w:line="240" w:lineRule="auto"/>
              <w:jc w:val="right"/>
              <w:rPr>
                <w:rFonts w:cs="Arial"/>
                <w:color w:val="000000"/>
                <w:kern w:val="0"/>
                <w:sz w:val="16"/>
                <w:szCs w:val="16"/>
              </w:rPr>
            </w:pPr>
            <w:r w:rsidRPr="00894701">
              <w:rPr>
                <w:rFonts w:cs="Arial"/>
                <w:color w:val="000000"/>
                <w:sz w:val="16"/>
                <w:szCs w:val="16"/>
              </w:rPr>
              <w:t>3,669,221</w:t>
            </w:r>
          </w:p>
        </w:tc>
        <w:tc>
          <w:tcPr>
            <w:tcW w:w="425" w:type="pct"/>
            <w:tcBorders>
              <w:top w:val="nil"/>
              <w:left w:val="nil"/>
              <w:bottom w:val="nil"/>
              <w:right w:val="nil"/>
            </w:tcBorders>
            <w:shd w:val="clear" w:color="000000" w:fill="F7A3B0"/>
            <w:noWrap/>
            <w:vAlign w:val="center"/>
          </w:tcPr>
          <w:p w14:paraId="74B27F60" w14:textId="22CE983E" w:rsidR="003C1E50" w:rsidRPr="00894701" w:rsidRDefault="003C1E50" w:rsidP="003C1E50">
            <w:pPr>
              <w:spacing w:before="60" w:after="60" w:line="240" w:lineRule="auto"/>
              <w:jc w:val="right"/>
              <w:rPr>
                <w:rFonts w:cs="Arial"/>
                <w:color w:val="000000"/>
                <w:kern w:val="0"/>
                <w:sz w:val="16"/>
                <w:szCs w:val="16"/>
              </w:rPr>
            </w:pPr>
            <w:r w:rsidRPr="00894701">
              <w:rPr>
                <w:rFonts w:cs="Arial"/>
                <w:color w:val="000000"/>
                <w:sz w:val="16"/>
                <w:szCs w:val="16"/>
              </w:rPr>
              <w:t>2,933,012</w:t>
            </w:r>
          </w:p>
        </w:tc>
        <w:tc>
          <w:tcPr>
            <w:tcW w:w="379" w:type="pct"/>
            <w:tcBorders>
              <w:top w:val="nil"/>
              <w:left w:val="nil"/>
              <w:bottom w:val="nil"/>
              <w:right w:val="single" w:sz="8" w:space="0" w:color="FF0000"/>
            </w:tcBorders>
            <w:shd w:val="clear" w:color="000000" w:fill="F7A3B0"/>
            <w:noWrap/>
            <w:vAlign w:val="center"/>
          </w:tcPr>
          <w:p w14:paraId="7ECD7657" w14:textId="36190A63" w:rsidR="003C1E50" w:rsidRPr="00894701" w:rsidRDefault="003C1E50" w:rsidP="003C1E50">
            <w:pPr>
              <w:spacing w:before="60" w:after="60" w:line="240" w:lineRule="auto"/>
              <w:jc w:val="right"/>
              <w:rPr>
                <w:rFonts w:cs="Arial"/>
                <w:color w:val="000000"/>
                <w:kern w:val="0"/>
                <w:sz w:val="16"/>
                <w:szCs w:val="16"/>
              </w:rPr>
            </w:pPr>
            <w:r w:rsidRPr="00894701">
              <w:rPr>
                <w:rFonts w:cs="Arial"/>
                <w:color w:val="000000"/>
                <w:sz w:val="16"/>
                <w:szCs w:val="16"/>
              </w:rPr>
              <w:t>736,209</w:t>
            </w:r>
          </w:p>
        </w:tc>
        <w:tc>
          <w:tcPr>
            <w:tcW w:w="470" w:type="pct"/>
            <w:tcBorders>
              <w:top w:val="nil"/>
              <w:left w:val="nil"/>
              <w:bottom w:val="nil"/>
              <w:right w:val="nil"/>
            </w:tcBorders>
            <w:shd w:val="clear" w:color="000000" w:fill="F7A3B0"/>
            <w:noWrap/>
            <w:vAlign w:val="center"/>
          </w:tcPr>
          <w:p w14:paraId="2B41DA2C" w14:textId="7203AB6A" w:rsidR="003C1E50" w:rsidRPr="00894701" w:rsidRDefault="003C1E50" w:rsidP="003C1E50">
            <w:pPr>
              <w:spacing w:before="60" w:after="60" w:line="240" w:lineRule="auto"/>
              <w:jc w:val="right"/>
              <w:rPr>
                <w:rFonts w:cs="Arial"/>
                <w:color w:val="000000"/>
                <w:kern w:val="0"/>
                <w:sz w:val="16"/>
                <w:szCs w:val="16"/>
              </w:rPr>
            </w:pPr>
            <w:r w:rsidRPr="00894701">
              <w:rPr>
                <w:rFonts w:cs="Arial"/>
                <w:color w:val="000000"/>
                <w:sz w:val="16"/>
                <w:szCs w:val="16"/>
              </w:rPr>
              <w:t>-</w:t>
            </w:r>
          </w:p>
        </w:tc>
        <w:tc>
          <w:tcPr>
            <w:tcW w:w="468" w:type="pct"/>
            <w:tcBorders>
              <w:top w:val="nil"/>
              <w:left w:val="nil"/>
              <w:bottom w:val="nil"/>
              <w:right w:val="nil"/>
            </w:tcBorders>
            <w:shd w:val="clear" w:color="000000" w:fill="F7A3B0"/>
            <w:noWrap/>
            <w:vAlign w:val="center"/>
          </w:tcPr>
          <w:p w14:paraId="185B997C" w14:textId="16E07970" w:rsidR="003C1E50" w:rsidRPr="00894701" w:rsidRDefault="003C1E50" w:rsidP="003C1E50">
            <w:pPr>
              <w:spacing w:before="60" w:after="60" w:line="240" w:lineRule="auto"/>
              <w:jc w:val="right"/>
              <w:rPr>
                <w:rFonts w:cs="Arial"/>
                <w:color w:val="000000"/>
                <w:kern w:val="0"/>
                <w:sz w:val="16"/>
                <w:szCs w:val="16"/>
              </w:rPr>
            </w:pPr>
            <w:r w:rsidRPr="00894701">
              <w:rPr>
                <w:rFonts w:cs="Arial"/>
                <w:color w:val="000000"/>
                <w:sz w:val="16"/>
                <w:szCs w:val="16"/>
              </w:rPr>
              <w:t>736,209</w:t>
            </w:r>
          </w:p>
        </w:tc>
        <w:tc>
          <w:tcPr>
            <w:tcW w:w="403" w:type="pct"/>
            <w:tcBorders>
              <w:top w:val="nil"/>
              <w:left w:val="nil"/>
              <w:bottom w:val="nil"/>
              <w:right w:val="single" w:sz="8" w:space="0" w:color="FF0000"/>
            </w:tcBorders>
            <w:shd w:val="clear" w:color="000000" w:fill="F7A3B0"/>
            <w:noWrap/>
            <w:vAlign w:val="center"/>
          </w:tcPr>
          <w:p w14:paraId="0D1BF92D" w14:textId="564D9E1C" w:rsidR="003C1E50" w:rsidRPr="00894701" w:rsidRDefault="003C1E50" w:rsidP="003C1E50">
            <w:pPr>
              <w:spacing w:before="60" w:after="60" w:line="240" w:lineRule="auto"/>
              <w:jc w:val="right"/>
              <w:rPr>
                <w:rFonts w:cs="Arial"/>
                <w:color w:val="000000"/>
                <w:kern w:val="0"/>
                <w:sz w:val="16"/>
                <w:szCs w:val="16"/>
              </w:rPr>
            </w:pPr>
            <w:r w:rsidRPr="00894701">
              <w:rPr>
                <w:rFonts w:cs="Arial"/>
                <w:color w:val="000000"/>
                <w:sz w:val="16"/>
                <w:szCs w:val="16"/>
              </w:rPr>
              <w:t>(736,209)</w:t>
            </w:r>
          </w:p>
        </w:tc>
        <w:tc>
          <w:tcPr>
            <w:tcW w:w="448" w:type="pct"/>
            <w:tcBorders>
              <w:top w:val="nil"/>
              <w:left w:val="nil"/>
              <w:bottom w:val="nil"/>
              <w:right w:val="nil"/>
            </w:tcBorders>
            <w:shd w:val="clear" w:color="000000" w:fill="F7A3B0"/>
            <w:noWrap/>
            <w:vAlign w:val="center"/>
          </w:tcPr>
          <w:p w14:paraId="0532DFA2" w14:textId="5DD9CE2D" w:rsidR="003C1E50" w:rsidRPr="00894701" w:rsidRDefault="003C1E50" w:rsidP="003C1E50">
            <w:pPr>
              <w:spacing w:before="60" w:after="60" w:line="240" w:lineRule="auto"/>
              <w:jc w:val="right"/>
              <w:rPr>
                <w:rFonts w:cs="Arial"/>
                <w:color w:val="000000"/>
                <w:kern w:val="0"/>
                <w:sz w:val="16"/>
                <w:szCs w:val="16"/>
              </w:rPr>
            </w:pPr>
            <w:r w:rsidRPr="00894701">
              <w:rPr>
                <w:rFonts w:cs="Arial"/>
                <w:color w:val="000000"/>
                <w:sz w:val="16"/>
                <w:szCs w:val="16"/>
              </w:rPr>
              <w:t>3,669,221</w:t>
            </w:r>
          </w:p>
        </w:tc>
        <w:tc>
          <w:tcPr>
            <w:tcW w:w="425" w:type="pct"/>
            <w:tcBorders>
              <w:top w:val="nil"/>
              <w:left w:val="nil"/>
              <w:bottom w:val="nil"/>
              <w:right w:val="nil"/>
            </w:tcBorders>
            <w:shd w:val="clear" w:color="000000" w:fill="F7A3B0"/>
            <w:noWrap/>
            <w:vAlign w:val="center"/>
          </w:tcPr>
          <w:p w14:paraId="0BBA0ABE" w14:textId="6DD5887F" w:rsidR="003C1E50" w:rsidRPr="00894701" w:rsidRDefault="003C1E50" w:rsidP="003C1E50">
            <w:pPr>
              <w:spacing w:before="60" w:after="60" w:line="240" w:lineRule="auto"/>
              <w:jc w:val="right"/>
              <w:rPr>
                <w:rFonts w:cs="Arial"/>
                <w:color w:val="000000"/>
                <w:kern w:val="0"/>
                <w:sz w:val="16"/>
                <w:szCs w:val="16"/>
              </w:rPr>
            </w:pPr>
            <w:r w:rsidRPr="00894701">
              <w:rPr>
                <w:rFonts w:cs="Arial"/>
                <w:color w:val="000000"/>
                <w:sz w:val="16"/>
                <w:szCs w:val="16"/>
              </w:rPr>
              <w:t>3,669,221</w:t>
            </w:r>
          </w:p>
        </w:tc>
        <w:tc>
          <w:tcPr>
            <w:tcW w:w="422" w:type="pct"/>
            <w:tcBorders>
              <w:top w:val="nil"/>
              <w:left w:val="nil"/>
              <w:bottom w:val="nil"/>
              <w:right w:val="nil"/>
            </w:tcBorders>
            <w:shd w:val="clear" w:color="000000" w:fill="F7A3B0"/>
            <w:noWrap/>
            <w:vAlign w:val="center"/>
          </w:tcPr>
          <w:p w14:paraId="7B3ADA09" w14:textId="23931CF7" w:rsidR="003C1E50" w:rsidRPr="00894701" w:rsidRDefault="003C1E50" w:rsidP="003C1E50">
            <w:pPr>
              <w:spacing w:before="60" w:after="60" w:line="240" w:lineRule="auto"/>
              <w:jc w:val="right"/>
              <w:rPr>
                <w:rFonts w:cs="Arial"/>
                <w:color w:val="000000"/>
                <w:kern w:val="0"/>
                <w:sz w:val="16"/>
                <w:szCs w:val="16"/>
              </w:rPr>
            </w:pPr>
            <w:r w:rsidRPr="00894701">
              <w:rPr>
                <w:rFonts w:cs="Arial"/>
                <w:color w:val="000000"/>
                <w:sz w:val="16"/>
                <w:szCs w:val="16"/>
              </w:rPr>
              <w:t>-</w:t>
            </w:r>
          </w:p>
        </w:tc>
      </w:tr>
      <w:tr w:rsidR="003C1E50" w:rsidRPr="00894701" w14:paraId="326B5FFB" w14:textId="77777777" w:rsidTr="00EA1802">
        <w:trPr>
          <w:trHeight w:val="20"/>
          <w:jc w:val="center"/>
        </w:trPr>
        <w:tc>
          <w:tcPr>
            <w:tcW w:w="122" w:type="pct"/>
            <w:tcBorders>
              <w:top w:val="nil"/>
              <w:left w:val="nil"/>
              <w:bottom w:val="nil"/>
              <w:right w:val="nil"/>
            </w:tcBorders>
            <w:shd w:val="clear" w:color="000000" w:fill="FFFFFF"/>
            <w:vAlign w:val="center"/>
            <w:hideMark/>
          </w:tcPr>
          <w:p w14:paraId="6950E289" w14:textId="77777777" w:rsidR="003C1E50" w:rsidRPr="00894701" w:rsidRDefault="003C1E50" w:rsidP="003C1E50">
            <w:pPr>
              <w:spacing w:before="60" w:after="60" w:line="240" w:lineRule="auto"/>
              <w:rPr>
                <w:rFonts w:cs="Arial"/>
                <w:color w:val="auto"/>
                <w:kern w:val="0"/>
                <w:sz w:val="16"/>
                <w:szCs w:val="16"/>
              </w:rPr>
            </w:pPr>
            <w:r w:rsidRPr="00894701">
              <w:rPr>
                <w:rFonts w:cs="Arial"/>
                <w:color w:val="auto"/>
                <w:kern w:val="0"/>
                <w:sz w:val="16"/>
                <w:szCs w:val="16"/>
              </w:rPr>
              <w:t>2</w:t>
            </w:r>
          </w:p>
        </w:tc>
        <w:tc>
          <w:tcPr>
            <w:tcW w:w="1012" w:type="pct"/>
            <w:tcBorders>
              <w:top w:val="nil"/>
              <w:left w:val="nil"/>
              <w:bottom w:val="nil"/>
              <w:right w:val="single" w:sz="8" w:space="0" w:color="FF0000"/>
            </w:tcBorders>
            <w:shd w:val="clear" w:color="000000" w:fill="FFFFFF"/>
            <w:vAlign w:val="center"/>
            <w:hideMark/>
          </w:tcPr>
          <w:p w14:paraId="5F0F8353" w14:textId="77777777" w:rsidR="003C1E50" w:rsidRPr="00894701" w:rsidRDefault="003C1E50" w:rsidP="003C1E50">
            <w:pPr>
              <w:spacing w:before="60" w:after="60" w:line="240" w:lineRule="auto"/>
              <w:rPr>
                <w:rFonts w:cs="Arial"/>
                <w:color w:val="auto"/>
                <w:kern w:val="0"/>
                <w:sz w:val="16"/>
                <w:szCs w:val="16"/>
              </w:rPr>
            </w:pPr>
            <w:r w:rsidRPr="00894701">
              <w:rPr>
                <w:rFonts w:cs="Arial"/>
                <w:color w:val="auto"/>
                <w:kern w:val="0"/>
                <w:sz w:val="16"/>
                <w:szCs w:val="16"/>
              </w:rPr>
              <w:t>Tullow Oil Plc</w:t>
            </w:r>
          </w:p>
        </w:tc>
        <w:tc>
          <w:tcPr>
            <w:tcW w:w="426" w:type="pct"/>
            <w:tcBorders>
              <w:top w:val="nil"/>
              <w:left w:val="nil"/>
              <w:bottom w:val="nil"/>
              <w:right w:val="nil"/>
            </w:tcBorders>
            <w:shd w:val="clear" w:color="000000" w:fill="FFFFFF"/>
            <w:noWrap/>
            <w:vAlign w:val="center"/>
          </w:tcPr>
          <w:p w14:paraId="712DF405" w14:textId="7E2EBC78" w:rsidR="003C1E50" w:rsidRPr="00894701" w:rsidRDefault="003C1E50" w:rsidP="003C1E50">
            <w:pPr>
              <w:spacing w:before="60" w:after="60" w:line="240" w:lineRule="auto"/>
              <w:jc w:val="right"/>
              <w:rPr>
                <w:rFonts w:cs="Arial"/>
                <w:color w:val="auto"/>
                <w:kern w:val="0"/>
                <w:sz w:val="16"/>
                <w:szCs w:val="16"/>
              </w:rPr>
            </w:pPr>
            <w:r w:rsidRPr="00894701">
              <w:rPr>
                <w:rFonts w:cs="Arial"/>
                <w:sz w:val="16"/>
                <w:szCs w:val="16"/>
              </w:rPr>
              <w:t>-</w:t>
            </w:r>
          </w:p>
        </w:tc>
        <w:tc>
          <w:tcPr>
            <w:tcW w:w="425" w:type="pct"/>
            <w:tcBorders>
              <w:top w:val="nil"/>
              <w:left w:val="nil"/>
              <w:bottom w:val="nil"/>
              <w:right w:val="nil"/>
            </w:tcBorders>
            <w:shd w:val="clear" w:color="000000" w:fill="FFFFFF"/>
            <w:noWrap/>
            <w:vAlign w:val="center"/>
          </w:tcPr>
          <w:p w14:paraId="0AF7611A" w14:textId="24C675C0" w:rsidR="003C1E50" w:rsidRPr="00894701" w:rsidRDefault="003C1E50" w:rsidP="003C1E50">
            <w:pPr>
              <w:spacing w:before="60" w:after="60" w:line="240" w:lineRule="auto"/>
              <w:jc w:val="right"/>
              <w:rPr>
                <w:rFonts w:cs="Arial"/>
                <w:color w:val="auto"/>
                <w:kern w:val="0"/>
                <w:sz w:val="16"/>
                <w:szCs w:val="16"/>
              </w:rPr>
            </w:pPr>
            <w:r w:rsidRPr="00894701">
              <w:rPr>
                <w:rFonts w:cs="Arial"/>
                <w:sz w:val="16"/>
                <w:szCs w:val="16"/>
              </w:rPr>
              <w:t>-</w:t>
            </w:r>
          </w:p>
        </w:tc>
        <w:tc>
          <w:tcPr>
            <w:tcW w:w="379" w:type="pct"/>
            <w:tcBorders>
              <w:top w:val="nil"/>
              <w:left w:val="nil"/>
              <w:bottom w:val="nil"/>
              <w:right w:val="single" w:sz="8" w:space="0" w:color="FF0000"/>
            </w:tcBorders>
            <w:shd w:val="clear" w:color="000000" w:fill="FFFFFF"/>
            <w:noWrap/>
            <w:vAlign w:val="center"/>
          </w:tcPr>
          <w:p w14:paraId="4F54CA88" w14:textId="7117EDCA" w:rsidR="003C1E50" w:rsidRPr="00894701" w:rsidRDefault="003C1E50" w:rsidP="003C1E50">
            <w:pPr>
              <w:spacing w:before="60" w:after="60" w:line="240" w:lineRule="auto"/>
              <w:jc w:val="right"/>
              <w:rPr>
                <w:rFonts w:cs="Arial"/>
                <w:color w:val="auto"/>
                <w:kern w:val="0"/>
                <w:sz w:val="16"/>
                <w:szCs w:val="16"/>
              </w:rPr>
            </w:pPr>
            <w:r w:rsidRPr="00894701">
              <w:rPr>
                <w:rFonts w:cs="Arial"/>
                <w:sz w:val="16"/>
                <w:szCs w:val="16"/>
              </w:rPr>
              <w:t>-</w:t>
            </w:r>
          </w:p>
        </w:tc>
        <w:tc>
          <w:tcPr>
            <w:tcW w:w="470" w:type="pct"/>
            <w:tcBorders>
              <w:top w:val="nil"/>
              <w:left w:val="nil"/>
              <w:bottom w:val="nil"/>
              <w:right w:val="nil"/>
            </w:tcBorders>
            <w:shd w:val="clear" w:color="000000" w:fill="FFFFFF"/>
            <w:noWrap/>
            <w:vAlign w:val="center"/>
          </w:tcPr>
          <w:p w14:paraId="02EAA411" w14:textId="2BDAFF4A" w:rsidR="003C1E50" w:rsidRPr="00894701" w:rsidRDefault="003C1E50" w:rsidP="003C1E50">
            <w:pPr>
              <w:spacing w:before="60" w:after="60" w:line="240" w:lineRule="auto"/>
              <w:jc w:val="right"/>
              <w:rPr>
                <w:rFonts w:cs="Arial"/>
                <w:color w:val="auto"/>
                <w:kern w:val="0"/>
                <w:sz w:val="16"/>
                <w:szCs w:val="16"/>
              </w:rPr>
            </w:pPr>
            <w:r w:rsidRPr="00894701">
              <w:rPr>
                <w:rFonts w:cs="Arial"/>
                <w:sz w:val="16"/>
                <w:szCs w:val="16"/>
              </w:rPr>
              <w:t>-</w:t>
            </w:r>
          </w:p>
        </w:tc>
        <w:tc>
          <w:tcPr>
            <w:tcW w:w="468" w:type="pct"/>
            <w:tcBorders>
              <w:top w:val="nil"/>
              <w:left w:val="nil"/>
              <w:bottom w:val="nil"/>
              <w:right w:val="nil"/>
            </w:tcBorders>
            <w:shd w:val="clear" w:color="000000" w:fill="FFFFFF"/>
            <w:noWrap/>
            <w:vAlign w:val="center"/>
          </w:tcPr>
          <w:p w14:paraId="7EA4DFC9" w14:textId="07903015" w:rsidR="003C1E50" w:rsidRPr="00894701" w:rsidRDefault="003C1E50" w:rsidP="003C1E50">
            <w:pPr>
              <w:spacing w:before="60" w:after="60" w:line="240" w:lineRule="auto"/>
              <w:jc w:val="right"/>
              <w:rPr>
                <w:rFonts w:cs="Arial"/>
                <w:color w:val="auto"/>
                <w:kern w:val="0"/>
                <w:sz w:val="16"/>
                <w:szCs w:val="16"/>
              </w:rPr>
            </w:pPr>
            <w:r w:rsidRPr="00894701">
              <w:rPr>
                <w:rFonts w:cs="Arial"/>
                <w:sz w:val="16"/>
                <w:szCs w:val="16"/>
              </w:rPr>
              <w:t>-</w:t>
            </w:r>
          </w:p>
        </w:tc>
        <w:tc>
          <w:tcPr>
            <w:tcW w:w="403" w:type="pct"/>
            <w:tcBorders>
              <w:top w:val="nil"/>
              <w:left w:val="nil"/>
              <w:bottom w:val="nil"/>
              <w:right w:val="single" w:sz="8" w:space="0" w:color="FF0000"/>
            </w:tcBorders>
            <w:shd w:val="clear" w:color="000000" w:fill="FFFFFF"/>
            <w:noWrap/>
            <w:vAlign w:val="center"/>
          </w:tcPr>
          <w:p w14:paraId="162A2A65" w14:textId="07C45214" w:rsidR="003C1E50" w:rsidRPr="00894701" w:rsidRDefault="003C1E50" w:rsidP="003C1E50">
            <w:pPr>
              <w:spacing w:before="60" w:after="60" w:line="240" w:lineRule="auto"/>
              <w:jc w:val="right"/>
              <w:rPr>
                <w:rFonts w:cs="Arial"/>
                <w:color w:val="auto"/>
                <w:kern w:val="0"/>
                <w:sz w:val="16"/>
                <w:szCs w:val="16"/>
              </w:rPr>
            </w:pPr>
            <w:r w:rsidRPr="00894701">
              <w:rPr>
                <w:rFonts w:cs="Arial"/>
                <w:sz w:val="16"/>
                <w:szCs w:val="16"/>
              </w:rPr>
              <w:t>-</w:t>
            </w:r>
          </w:p>
        </w:tc>
        <w:tc>
          <w:tcPr>
            <w:tcW w:w="448" w:type="pct"/>
            <w:tcBorders>
              <w:top w:val="nil"/>
              <w:left w:val="nil"/>
              <w:bottom w:val="nil"/>
              <w:right w:val="nil"/>
            </w:tcBorders>
            <w:shd w:val="clear" w:color="000000" w:fill="FFFFFF"/>
            <w:noWrap/>
            <w:vAlign w:val="center"/>
          </w:tcPr>
          <w:p w14:paraId="6AA91F5C" w14:textId="46800D37" w:rsidR="003C1E50" w:rsidRPr="00894701" w:rsidRDefault="003C1E50" w:rsidP="003C1E50">
            <w:pPr>
              <w:spacing w:before="60" w:after="60" w:line="240" w:lineRule="auto"/>
              <w:jc w:val="right"/>
              <w:rPr>
                <w:rFonts w:cs="Arial"/>
                <w:color w:val="auto"/>
                <w:kern w:val="0"/>
                <w:sz w:val="16"/>
                <w:szCs w:val="16"/>
              </w:rPr>
            </w:pPr>
            <w:r w:rsidRPr="00894701">
              <w:rPr>
                <w:rFonts w:cs="Arial"/>
                <w:sz w:val="16"/>
                <w:szCs w:val="16"/>
              </w:rPr>
              <w:t>-</w:t>
            </w:r>
          </w:p>
        </w:tc>
        <w:tc>
          <w:tcPr>
            <w:tcW w:w="425" w:type="pct"/>
            <w:tcBorders>
              <w:top w:val="nil"/>
              <w:left w:val="nil"/>
              <w:bottom w:val="nil"/>
              <w:right w:val="nil"/>
            </w:tcBorders>
            <w:shd w:val="clear" w:color="000000" w:fill="FFFFFF"/>
            <w:noWrap/>
            <w:vAlign w:val="center"/>
          </w:tcPr>
          <w:p w14:paraId="7524EEE0" w14:textId="092B1ADD" w:rsidR="003C1E50" w:rsidRPr="00894701" w:rsidRDefault="003C1E50" w:rsidP="003C1E50">
            <w:pPr>
              <w:spacing w:before="60" w:after="60" w:line="240" w:lineRule="auto"/>
              <w:jc w:val="right"/>
              <w:rPr>
                <w:rFonts w:cs="Arial"/>
                <w:color w:val="auto"/>
                <w:kern w:val="0"/>
                <w:sz w:val="16"/>
                <w:szCs w:val="16"/>
              </w:rPr>
            </w:pPr>
            <w:r w:rsidRPr="00894701">
              <w:rPr>
                <w:rFonts w:cs="Arial"/>
                <w:sz w:val="16"/>
                <w:szCs w:val="16"/>
              </w:rPr>
              <w:t>-</w:t>
            </w:r>
          </w:p>
        </w:tc>
        <w:tc>
          <w:tcPr>
            <w:tcW w:w="422" w:type="pct"/>
            <w:tcBorders>
              <w:top w:val="nil"/>
              <w:left w:val="nil"/>
              <w:bottom w:val="nil"/>
              <w:right w:val="nil"/>
            </w:tcBorders>
            <w:shd w:val="clear" w:color="000000" w:fill="FFFFFF"/>
            <w:noWrap/>
            <w:vAlign w:val="center"/>
          </w:tcPr>
          <w:p w14:paraId="24ECFB24" w14:textId="6DB11FDB" w:rsidR="003C1E50" w:rsidRPr="00894701" w:rsidRDefault="003C1E50" w:rsidP="003C1E50">
            <w:pPr>
              <w:spacing w:before="60" w:after="60" w:line="240" w:lineRule="auto"/>
              <w:jc w:val="right"/>
              <w:rPr>
                <w:rFonts w:cs="Arial"/>
                <w:color w:val="auto"/>
                <w:kern w:val="0"/>
                <w:sz w:val="16"/>
                <w:szCs w:val="16"/>
              </w:rPr>
            </w:pPr>
            <w:r w:rsidRPr="00894701">
              <w:rPr>
                <w:rFonts w:cs="Arial"/>
                <w:sz w:val="16"/>
                <w:szCs w:val="16"/>
              </w:rPr>
              <w:t>-</w:t>
            </w:r>
          </w:p>
        </w:tc>
      </w:tr>
      <w:tr w:rsidR="003C1E50" w:rsidRPr="00894701" w14:paraId="1FDC069D" w14:textId="77777777" w:rsidTr="00EA1802">
        <w:trPr>
          <w:trHeight w:val="20"/>
          <w:jc w:val="center"/>
        </w:trPr>
        <w:tc>
          <w:tcPr>
            <w:tcW w:w="122" w:type="pct"/>
            <w:tcBorders>
              <w:top w:val="nil"/>
              <w:left w:val="nil"/>
              <w:bottom w:val="nil"/>
              <w:right w:val="nil"/>
            </w:tcBorders>
            <w:shd w:val="clear" w:color="000000" w:fill="F7A3B0"/>
            <w:noWrap/>
            <w:vAlign w:val="center"/>
            <w:hideMark/>
          </w:tcPr>
          <w:p w14:paraId="5C4DFA19" w14:textId="77777777" w:rsidR="003C1E50" w:rsidRPr="00894701" w:rsidRDefault="003C1E50" w:rsidP="003C1E50">
            <w:pPr>
              <w:spacing w:before="60" w:after="60" w:line="240" w:lineRule="auto"/>
              <w:rPr>
                <w:rFonts w:cs="Arial"/>
                <w:color w:val="000000"/>
                <w:kern w:val="0"/>
                <w:sz w:val="16"/>
                <w:szCs w:val="16"/>
              </w:rPr>
            </w:pPr>
            <w:r w:rsidRPr="00894701">
              <w:rPr>
                <w:rFonts w:cs="Arial"/>
                <w:color w:val="000000"/>
                <w:kern w:val="0"/>
                <w:sz w:val="16"/>
                <w:szCs w:val="16"/>
              </w:rPr>
              <w:t>3</w:t>
            </w:r>
          </w:p>
        </w:tc>
        <w:tc>
          <w:tcPr>
            <w:tcW w:w="1012" w:type="pct"/>
            <w:tcBorders>
              <w:top w:val="nil"/>
              <w:left w:val="nil"/>
              <w:bottom w:val="nil"/>
              <w:right w:val="single" w:sz="8" w:space="0" w:color="FF0000"/>
            </w:tcBorders>
            <w:shd w:val="clear" w:color="000000" w:fill="F7A3B0"/>
            <w:noWrap/>
            <w:vAlign w:val="center"/>
            <w:hideMark/>
          </w:tcPr>
          <w:p w14:paraId="368069B9" w14:textId="77777777" w:rsidR="003C1E50" w:rsidRPr="00894701" w:rsidRDefault="003C1E50" w:rsidP="003C1E50">
            <w:pPr>
              <w:spacing w:before="60" w:after="60" w:line="240" w:lineRule="auto"/>
              <w:rPr>
                <w:rFonts w:cs="Arial"/>
                <w:color w:val="000000"/>
                <w:kern w:val="0"/>
                <w:sz w:val="16"/>
                <w:szCs w:val="16"/>
              </w:rPr>
            </w:pPr>
            <w:r w:rsidRPr="00894701">
              <w:rPr>
                <w:rFonts w:cs="Arial"/>
                <w:color w:val="000000"/>
                <w:kern w:val="0"/>
                <w:sz w:val="16"/>
                <w:szCs w:val="16"/>
              </w:rPr>
              <w:t xml:space="preserve">Total E&amp;P Suriname B.V. </w:t>
            </w:r>
          </w:p>
        </w:tc>
        <w:tc>
          <w:tcPr>
            <w:tcW w:w="426" w:type="pct"/>
            <w:tcBorders>
              <w:top w:val="nil"/>
              <w:left w:val="nil"/>
              <w:bottom w:val="nil"/>
              <w:right w:val="nil"/>
            </w:tcBorders>
            <w:shd w:val="clear" w:color="000000" w:fill="F7A3B0"/>
            <w:noWrap/>
            <w:vAlign w:val="center"/>
          </w:tcPr>
          <w:p w14:paraId="7764B379" w14:textId="370CA455" w:rsidR="003C1E50" w:rsidRPr="00894701" w:rsidRDefault="003C1E50" w:rsidP="003C1E50">
            <w:pPr>
              <w:spacing w:before="60" w:after="60" w:line="240" w:lineRule="auto"/>
              <w:jc w:val="right"/>
              <w:rPr>
                <w:rFonts w:cs="Arial"/>
                <w:color w:val="000000"/>
                <w:kern w:val="0"/>
                <w:sz w:val="16"/>
                <w:szCs w:val="16"/>
              </w:rPr>
            </w:pPr>
            <w:r w:rsidRPr="00894701">
              <w:rPr>
                <w:rFonts w:cs="Arial"/>
                <w:color w:val="000000"/>
                <w:sz w:val="16"/>
                <w:szCs w:val="16"/>
              </w:rPr>
              <w:t>-</w:t>
            </w:r>
          </w:p>
        </w:tc>
        <w:tc>
          <w:tcPr>
            <w:tcW w:w="425" w:type="pct"/>
            <w:tcBorders>
              <w:top w:val="nil"/>
              <w:left w:val="nil"/>
              <w:bottom w:val="nil"/>
              <w:right w:val="nil"/>
            </w:tcBorders>
            <w:shd w:val="clear" w:color="000000" w:fill="F7A3B0"/>
            <w:noWrap/>
            <w:vAlign w:val="center"/>
          </w:tcPr>
          <w:p w14:paraId="6D461DEB" w14:textId="12EFAE54" w:rsidR="003C1E50" w:rsidRPr="00894701" w:rsidRDefault="003C1E50" w:rsidP="003C1E50">
            <w:pPr>
              <w:spacing w:before="60" w:after="60" w:line="240" w:lineRule="auto"/>
              <w:jc w:val="right"/>
              <w:rPr>
                <w:rFonts w:cs="Arial"/>
                <w:color w:val="000000"/>
                <w:kern w:val="0"/>
                <w:sz w:val="16"/>
                <w:szCs w:val="16"/>
              </w:rPr>
            </w:pPr>
            <w:r w:rsidRPr="00894701">
              <w:rPr>
                <w:rFonts w:cs="Arial"/>
                <w:color w:val="000000"/>
                <w:sz w:val="16"/>
                <w:szCs w:val="16"/>
              </w:rPr>
              <w:t>-</w:t>
            </w:r>
          </w:p>
        </w:tc>
        <w:tc>
          <w:tcPr>
            <w:tcW w:w="379" w:type="pct"/>
            <w:tcBorders>
              <w:top w:val="nil"/>
              <w:left w:val="nil"/>
              <w:bottom w:val="nil"/>
              <w:right w:val="single" w:sz="8" w:space="0" w:color="FF0000"/>
            </w:tcBorders>
            <w:shd w:val="clear" w:color="000000" w:fill="F7A3B0"/>
            <w:noWrap/>
            <w:vAlign w:val="center"/>
          </w:tcPr>
          <w:p w14:paraId="35F6AF0B" w14:textId="27F9623B" w:rsidR="003C1E50" w:rsidRPr="00894701" w:rsidRDefault="003C1E50" w:rsidP="003C1E50">
            <w:pPr>
              <w:spacing w:before="60" w:after="60" w:line="240" w:lineRule="auto"/>
              <w:jc w:val="right"/>
              <w:rPr>
                <w:rFonts w:cs="Arial"/>
                <w:color w:val="000000"/>
                <w:kern w:val="0"/>
                <w:sz w:val="16"/>
                <w:szCs w:val="16"/>
              </w:rPr>
            </w:pPr>
            <w:r w:rsidRPr="00894701">
              <w:rPr>
                <w:rFonts w:cs="Arial"/>
                <w:color w:val="000000"/>
                <w:sz w:val="16"/>
                <w:szCs w:val="16"/>
              </w:rPr>
              <w:t>-</w:t>
            </w:r>
          </w:p>
        </w:tc>
        <w:tc>
          <w:tcPr>
            <w:tcW w:w="470" w:type="pct"/>
            <w:tcBorders>
              <w:top w:val="nil"/>
              <w:left w:val="nil"/>
              <w:bottom w:val="nil"/>
              <w:right w:val="nil"/>
            </w:tcBorders>
            <w:shd w:val="clear" w:color="000000" w:fill="F7A3B0"/>
            <w:noWrap/>
            <w:vAlign w:val="center"/>
          </w:tcPr>
          <w:p w14:paraId="53A5F769" w14:textId="486FF598" w:rsidR="003C1E50" w:rsidRPr="00894701" w:rsidRDefault="003C1E50" w:rsidP="003C1E50">
            <w:pPr>
              <w:spacing w:before="60" w:after="60" w:line="240" w:lineRule="auto"/>
              <w:jc w:val="right"/>
              <w:rPr>
                <w:rFonts w:cs="Arial"/>
                <w:color w:val="000000"/>
                <w:kern w:val="0"/>
                <w:sz w:val="16"/>
                <w:szCs w:val="16"/>
              </w:rPr>
            </w:pPr>
            <w:r w:rsidRPr="00894701">
              <w:rPr>
                <w:rFonts w:cs="Arial"/>
                <w:color w:val="000000"/>
                <w:sz w:val="16"/>
                <w:szCs w:val="16"/>
              </w:rPr>
              <w:t>-</w:t>
            </w:r>
          </w:p>
        </w:tc>
        <w:tc>
          <w:tcPr>
            <w:tcW w:w="468" w:type="pct"/>
            <w:tcBorders>
              <w:top w:val="nil"/>
              <w:left w:val="nil"/>
              <w:bottom w:val="nil"/>
              <w:right w:val="nil"/>
            </w:tcBorders>
            <w:shd w:val="clear" w:color="000000" w:fill="F7A3B0"/>
            <w:noWrap/>
            <w:vAlign w:val="center"/>
          </w:tcPr>
          <w:p w14:paraId="21115CC0" w14:textId="32D20AD2" w:rsidR="003C1E50" w:rsidRPr="00894701" w:rsidRDefault="003C1E50" w:rsidP="003C1E50">
            <w:pPr>
              <w:spacing w:before="60" w:after="60" w:line="240" w:lineRule="auto"/>
              <w:jc w:val="right"/>
              <w:rPr>
                <w:rFonts w:cs="Arial"/>
                <w:color w:val="000000"/>
                <w:kern w:val="0"/>
                <w:sz w:val="16"/>
                <w:szCs w:val="16"/>
              </w:rPr>
            </w:pPr>
            <w:r w:rsidRPr="00894701">
              <w:rPr>
                <w:rFonts w:cs="Arial"/>
                <w:color w:val="000000"/>
                <w:sz w:val="16"/>
                <w:szCs w:val="16"/>
              </w:rPr>
              <w:t>-</w:t>
            </w:r>
          </w:p>
        </w:tc>
        <w:tc>
          <w:tcPr>
            <w:tcW w:w="403" w:type="pct"/>
            <w:tcBorders>
              <w:top w:val="nil"/>
              <w:left w:val="nil"/>
              <w:bottom w:val="nil"/>
              <w:right w:val="single" w:sz="8" w:space="0" w:color="FF0000"/>
            </w:tcBorders>
            <w:shd w:val="clear" w:color="000000" w:fill="F7A3B0"/>
            <w:noWrap/>
            <w:vAlign w:val="center"/>
          </w:tcPr>
          <w:p w14:paraId="321FF0EA" w14:textId="7D18B06F" w:rsidR="003C1E50" w:rsidRPr="00894701" w:rsidRDefault="003C1E50" w:rsidP="003C1E50">
            <w:pPr>
              <w:spacing w:before="60" w:after="60" w:line="240" w:lineRule="auto"/>
              <w:jc w:val="right"/>
              <w:rPr>
                <w:rFonts w:cs="Arial"/>
                <w:color w:val="000000"/>
                <w:kern w:val="0"/>
                <w:sz w:val="16"/>
                <w:szCs w:val="16"/>
              </w:rPr>
            </w:pPr>
            <w:r w:rsidRPr="00894701">
              <w:rPr>
                <w:rFonts w:cs="Arial"/>
                <w:color w:val="000000"/>
                <w:sz w:val="16"/>
                <w:szCs w:val="16"/>
              </w:rPr>
              <w:t>-</w:t>
            </w:r>
          </w:p>
        </w:tc>
        <w:tc>
          <w:tcPr>
            <w:tcW w:w="448" w:type="pct"/>
            <w:tcBorders>
              <w:top w:val="nil"/>
              <w:left w:val="nil"/>
              <w:bottom w:val="nil"/>
              <w:right w:val="nil"/>
            </w:tcBorders>
            <w:shd w:val="clear" w:color="000000" w:fill="F7A3B0"/>
            <w:noWrap/>
            <w:vAlign w:val="center"/>
          </w:tcPr>
          <w:p w14:paraId="0E6A1F92" w14:textId="0E796E99" w:rsidR="003C1E50" w:rsidRPr="00894701" w:rsidRDefault="003C1E50" w:rsidP="003C1E50">
            <w:pPr>
              <w:spacing w:before="60" w:after="60" w:line="240" w:lineRule="auto"/>
              <w:jc w:val="right"/>
              <w:rPr>
                <w:rFonts w:cs="Arial"/>
                <w:color w:val="000000"/>
                <w:kern w:val="0"/>
                <w:sz w:val="16"/>
                <w:szCs w:val="16"/>
              </w:rPr>
            </w:pPr>
            <w:r w:rsidRPr="00894701">
              <w:rPr>
                <w:rFonts w:cs="Arial"/>
                <w:color w:val="000000"/>
                <w:sz w:val="16"/>
                <w:szCs w:val="16"/>
              </w:rPr>
              <w:t>-</w:t>
            </w:r>
          </w:p>
        </w:tc>
        <w:tc>
          <w:tcPr>
            <w:tcW w:w="425" w:type="pct"/>
            <w:tcBorders>
              <w:top w:val="nil"/>
              <w:left w:val="nil"/>
              <w:bottom w:val="nil"/>
              <w:right w:val="nil"/>
            </w:tcBorders>
            <w:shd w:val="clear" w:color="000000" w:fill="F7A3B0"/>
            <w:noWrap/>
            <w:vAlign w:val="center"/>
          </w:tcPr>
          <w:p w14:paraId="1849E05C" w14:textId="09E5D047" w:rsidR="003C1E50" w:rsidRPr="00894701" w:rsidRDefault="003C1E50" w:rsidP="003C1E50">
            <w:pPr>
              <w:spacing w:before="60" w:after="60" w:line="240" w:lineRule="auto"/>
              <w:jc w:val="right"/>
              <w:rPr>
                <w:rFonts w:cs="Arial"/>
                <w:color w:val="000000"/>
                <w:kern w:val="0"/>
                <w:sz w:val="16"/>
                <w:szCs w:val="16"/>
              </w:rPr>
            </w:pPr>
            <w:r w:rsidRPr="00894701">
              <w:rPr>
                <w:rFonts w:cs="Arial"/>
                <w:color w:val="000000"/>
                <w:sz w:val="16"/>
                <w:szCs w:val="16"/>
              </w:rPr>
              <w:t>-</w:t>
            </w:r>
          </w:p>
        </w:tc>
        <w:tc>
          <w:tcPr>
            <w:tcW w:w="422" w:type="pct"/>
            <w:tcBorders>
              <w:top w:val="nil"/>
              <w:left w:val="nil"/>
              <w:bottom w:val="nil"/>
              <w:right w:val="nil"/>
            </w:tcBorders>
            <w:shd w:val="clear" w:color="000000" w:fill="F7A3B0"/>
            <w:noWrap/>
            <w:vAlign w:val="center"/>
          </w:tcPr>
          <w:p w14:paraId="6530E55D" w14:textId="448A2E6F" w:rsidR="003C1E50" w:rsidRPr="00894701" w:rsidRDefault="003C1E50" w:rsidP="003C1E50">
            <w:pPr>
              <w:spacing w:before="60" w:after="60" w:line="240" w:lineRule="auto"/>
              <w:jc w:val="right"/>
              <w:rPr>
                <w:rFonts w:cs="Arial"/>
                <w:color w:val="000000"/>
                <w:kern w:val="0"/>
                <w:sz w:val="16"/>
                <w:szCs w:val="16"/>
              </w:rPr>
            </w:pPr>
            <w:r w:rsidRPr="00894701">
              <w:rPr>
                <w:rFonts w:cs="Arial"/>
                <w:color w:val="000000"/>
                <w:sz w:val="16"/>
                <w:szCs w:val="16"/>
              </w:rPr>
              <w:t>-</w:t>
            </w:r>
          </w:p>
        </w:tc>
      </w:tr>
      <w:tr w:rsidR="003C1E50" w:rsidRPr="00894701" w14:paraId="6409D15F" w14:textId="77777777" w:rsidTr="00EA1802">
        <w:trPr>
          <w:trHeight w:val="20"/>
          <w:jc w:val="center"/>
        </w:trPr>
        <w:tc>
          <w:tcPr>
            <w:tcW w:w="122" w:type="pct"/>
            <w:tcBorders>
              <w:top w:val="nil"/>
              <w:left w:val="nil"/>
              <w:bottom w:val="nil"/>
              <w:right w:val="nil"/>
            </w:tcBorders>
            <w:shd w:val="clear" w:color="000000" w:fill="FFFFFF"/>
            <w:vAlign w:val="center"/>
            <w:hideMark/>
          </w:tcPr>
          <w:p w14:paraId="56F6891B" w14:textId="77777777" w:rsidR="003C1E50" w:rsidRPr="00894701" w:rsidRDefault="003C1E50" w:rsidP="003C1E50">
            <w:pPr>
              <w:spacing w:before="60" w:after="60" w:line="240" w:lineRule="auto"/>
              <w:rPr>
                <w:rFonts w:cs="Arial"/>
                <w:color w:val="auto"/>
                <w:kern w:val="0"/>
                <w:sz w:val="16"/>
                <w:szCs w:val="16"/>
              </w:rPr>
            </w:pPr>
            <w:r w:rsidRPr="00894701">
              <w:rPr>
                <w:rFonts w:cs="Arial"/>
                <w:color w:val="auto"/>
                <w:kern w:val="0"/>
                <w:sz w:val="16"/>
                <w:szCs w:val="16"/>
              </w:rPr>
              <w:t>4</w:t>
            </w:r>
          </w:p>
        </w:tc>
        <w:tc>
          <w:tcPr>
            <w:tcW w:w="1012" w:type="pct"/>
            <w:tcBorders>
              <w:top w:val="nil"/>
              <w:left w:val="nil"/>
              <w:bottom w:val="nil"/>
              <w:right w:val="single" w:sz="8" w:space="0" w:color="FF0000"/>
            </w:tcBorders>
            <w:shd w:val="clear" w:color="000000" w:fill="FFFFFF"/>
            <w:vAlign w:val="center"/>
            <w:hideMark/>
          </w:tcPr>
          <w:p w14:paraId="4AF6A301" w14:textId="77777777" w:rsidR="003C1E50" w:rsidRPr="00894701" w:rsidRDefault="003C1E50" w:rsidP="003C1E50">
            <w:pPr>
              <w:spacing w:before="60" w:after="60" w:line="240" w:lineRule="auto"/>
              <w:rPr>
                <w:rFonts w:cs="Arial"/>
                <w:color w:val="auto"/>
                <w:kern w:val="0"/>
                <w:sz w:val="16"/>
                <w:szCs w:val="16"/>
              </w:rPr>
            </w:pPr>
            <w:r w:rsidRPr="00894701">
              <w:rPr>
                <w:rFonts w:cs="Arial"/>
                <w:color w:val="auto"/>
                <w:kern w:val="0"/>
                <w:sz w:val="16"/>
                <w:szCs w:val="16"/>
              </w:rPr>
              <w:t>Capricorn Suriname B.V.</w:t>
            </w:r>
          </w:p>
        </w:tc>
        <w:tc>
          <w:tcPr>
            <w:tcW w:w="426" w:type="pct"/>
            <w:tcBorders>
              <w:top w:val="nil"/>
              <w:left w:val="nil"/>
              <w:bottom w:val="nil"/>
              <w:right w:val="nil"/>
            </w:tcBorders>
            <w:shd w:val="clear" w:color="000000" w:fill="FFFFFF"/>
            <w:noWrap/>
            <w:vAlign w:val="center"/>
          </w:tcPr>
          <w:p w14:paraId="72D8412A" w14:textId="51EC72B1" w:rsidR="003C1E50" w:rsidRPr="00894701" w:rsidRDefault="003C1E50" w:rsidP="003C1E50">
            <w:pPr>
              <w:spacing w:before="60" w:after="60" w:line="240" w:lineRule="auto"/>
              <w:jc w:val="right"/>
              <w:rPr>
                <w:rFonts w:cs="Arial"/>
                <w:color w:val="auto"/>
                <w:kern w:val="0"/>
                <w:sz w:val="16"/>
                <w:szCs w:val="16"/>
              </w:rPr>
            </w:pPr>
            <w:r w:rsidRPr="00894701">
              <w:rPr>
                <w:rFonts w:cs="Arial"/>
                <w:sz w:val="16"/>
                <w:szCs w:val="16"/>
              </w:rPr>
              <w:t>-</w:t>
            </w:r>
          </w:p>
        </w:tc>
        <w:tc>
          <w:tcPr>
            <w:tcW w:w="425" w:type="pct"/>
            <w:tcBorders>
              <w:top w:val="nil"/>
              <w:left w:val="nil"/>
              <w:bottom w:val="nil"/>
              <w:right w:val="nil"/>
            </w:tcBorders>
            <w:shd w:val="clear" w:color="000000" w:fill="FFFFFF"/>
            <w:noWrap/>
            <w:vAlign w:val="center"/>
          </w:tcPr>
          <w:p w14:paraId="6D48E65C" w14:textId="70D1D758" w:rsidR="003C1E50" w:rsidRPr="00894701" w:rsidRDefault="003C1E50" w:rsidP="003C1E50">
            <w:pPr>
              <w:spacing w:before="60" w:after="60" w:line="240" w:lineRule="auto"/>
              <w:jc w:val="right"/>
              <w:rPr>
                <w:rFonts w:cs="Arial"/>
                <w:color w:val="auto"/>
                <w:kern w:val="0"/>
                <w:sz w:val="16"/>
                <w:szCs w:val="16"/>
              </w:rPr>
            </w:pPr>
            <w:r w:rsidRPr="00894701">
              <w:rPr>
                <w:rFonts w:cs="Arial"/>
                <w:sz w:val="16"/>
                <w:szCs w:val="16"/>
              </w:rPr>
              <w:t>-</w:t>
            </w:r>
          </w:p>
        </w:tc>
        <w:tc>
          <w:tcPr>
            <w:tcW w:w="379" w:type="pct"/>
            <w:tcBorders>
              <w:top w:val="nil"/>
              <w:left w:val="nil"/>
              <w:bottom w:val="nil"/>
              <w:right w:val="single" w:sz="8" w:space="0" w:color="FF0000"/>
            </w:tcBorders>
            <w:shd w:val="clear" w:color="000000" w:fill="FFFFFF"/>
            <w:noWrap/>
            <w:vAlign w:val="center"/>
          </w:tcPr>
          <w:p w14:paraId="20BA4C3D" w14:textId="07F5D7D5" w:rsidR="003C1E50" w:rsidRPr="00894701" w:rsidRDefault="003C1E50" w:rsidP="003C1E50">
            <w:pPr>
              <w:spacing w:before="60" w:after="60" w:line="240" w:lineRule="auto"/>
              <w:jc w:val="right"/>
              <w:rPr>
                <w:rFonts w:cs="Arial"/>
                <w:color w:val="auto"/>
                <w:kern w:val="0"/>
                <w:sz w:val="16"/>
                <w:szCs w:val="16"/>
              </w:rPr>
            </w:pPr>
            <w:r w:rsidRPr="00894701">
              <w:rPr>
                <w:rFonts w:cs="Arial"/>
                <w:sz w:val="16"/>
                <w:szCs w:val="16"/>
              </w:rPr>
              <w:t>-</w:t>
            </w:r>
          </w:p>
        </w:tc>
        <w:tc>
          <w:tcPr>
            <w:tcW w:w="470" w:type="pct"/>
            <w:tcBorders>
              <w:top w:val="nil"/>
              <w:left w:val="nil"/>
              <w:bottom w:val="nil"/>
              <w:right w:val="nil"/>
            </w:tcBorders>
            <w:shd w:val="clear" w:color="000000" w:fill="FFFFFF"/>
            <w:noWrap/>
            <w:vAlign w:val="center"/>
          </w:tcPr>
          <w:p w14:paraId="260B7A88" w14:textId="4B10FF47" w:rsidR="003C1E50" w:rsidRPr="00894701" w:rsidRDefault="003C1E50" w:rsidP="003C1E50">
            <w:pPr>
              <w:spacing w:before="60" w:after="60" w:line="240" w:lineRule="auto"/>
              <w:jc w:val="right"/>
              <w:rPr>
                <w:rFonts w:cs="Arial"/>
                <w:color w:val="auto"/>
                <w:kern w:val="0"/>
                <w:sz w:val="16"/>
                <w:szCs w:val="16"/>
              </w:rPr>
            </w:pPr>
            <w:r w:rsidRPr="00894701">
              <w:rPr>
                <w:rFonts w:cs="Arial"/>
                <w:sz w:val="16"/>
                <w:szCs w:val="16"/>
              </w:rPr>
              <w:t>-</w:t>
            </w:r>
          </w:p>
        </w:tc>
        <w:tc>
          <w:tcPr>
            <w:tcW w:w="468" w:type="pct"/>
            <w:tcBorders>
              <w:top w:val="nil"/>
              <w:left w:val="nil"/>
              <w:bottom w:val="nil"/>
              <w:right w:val="nil"/>
            </w:tcBorders>
            <w:shd w:val="clear" w:color="000000" w:fill="FFFFFF"/>
            <w:noWrap/>
            <w:vAlign w:val="center"/>
          </w:tcPr>
          <w:p w14:paraId="216879FE" w14:textId="5FCA92E4" w:rsidR="003C1E50" w:rsidRPr="00894701" w:rsidRDefault="003C1E50" w:rsidP="003C1E50">
            <w:pPr>
              <w:spacing w:before="60" w:after="60" w:line="240" w:lineRule="auto"/>
              <w:jc w:val="right"/>
              <w:rPr>
                <w:rFonts w:cs="Arial"/>
                <w:color w:val="auto"/>
                <w:kern w:val="0"/>
                <w:sz w:val="16"/>
                <w:szCs w:val="16"/>
              </w:rPr>
            </w:pPr>
            <w:r w:rsidRPr="00894701">
              <w:rPr>
                <w:rFonts w:cs="Arial"/>
                <w:sz w:val="16"/>
                <w:szCs w:val="16"/>
              </w:rPr>
              <w:t>-</w:t>
            </w:r>
          </w:p>
        </w:tc>
        <w:tc>
          <w:tcPr>
            <w:tcW w:w="403" w:type="pct"/>
            <w:tcBorders>
              <w:top w:val="nil"/>
              <w:left w:val="nil"/>
              <w:bottom w:val="nil"/>
              <w:right w:val="single" w:sz="8" w:space="0" w:color="FF0000"/>
            </w:tcBorders>
            <w:shd w:val="clear" w:color="000000" w:fill="FFFFFF"/>
            <w:noWrap/>
            <w:vAlign w:val="center"/>
          </w:tcPr>
          <w:p w14:paraId="401CBCCC" w14:textId="6C780FF5" w:rsidR="003C1E50" w:rsidRPr="00894701" w:rsidRDefault="003C1E50" w:rsidP="003C1E50">
            <w:pPr>
              <w:spacing w:before="60" w:after="60" w:line="240" w:lineRule="auto"/>
              <w:jc w:val="right"/>
              <w:rPr>
                <w:rFonts w:cs="Arial"/>
                <w:color w:val="auto"/>
                <w:kern w:val="0"/>
                <w:sz w:val="16"/>
                <w:szCs w:val="16"/>
              </w:rPr>
            </w:pPr>
            <w:r w:rsidRPr="00894701">
              <w:rPr>
                <w:rFonts w:cs="Arial"/>
                <w:sz w:val="16"/>
                <w:szCs w:val="16"/>
              </w:rPr>
              <w:t>-</w:t>
            </w:r>
          </w:p>
        </w:tc>
        <w:tc>
          <w:tcPr>
            <w:tcW w:w="448" w:type="pct"/>
            <w:tcBorders>
              <w:top w:val="nil"/>
              <w:left w:val="nil"/>
              <w:bottom w:val="nil"/>
              <w:right w:val="nil"/>
            </w:tcBorders>
            <w:shd w:val="clear" w:color="000000" w:fill="FFFFFF"/>
            <w:noWrap/>
            <w:vAlign w:val="center"/>
          </w:tcPr>
          <w:p w14:paraId="2983A871" w14:textId="7869E390" w:rsidR="003C1E50" w:rsidRPr="00894701" w:rsidRDefault="003C1E50" w:rsidP="003C1E50">
            <w:pPr>
              <w:spacing w:before="60" w:after="60" w:line="240" w:lineRule="auto"/>
              <w:jc w:val="right"/>
              <w:rPr>
                <w:rFonts w:cs="Arial"/>
                <w:color w:val="auto"/>
                <w:kern w:val="0"/>
                <w:sz w:val="16"/>
                <w:szCs w:val="16"/>
              </w:rPr>
            </w:pPr>
            <w:r w:rsidRPr="00894701">
              <w:rPr>
                <w:rFonts w:cs="Arial"/>
                <w:sz w:val="16"/>
                <w:szCs w:val="16"/>
              </w:rPr>
              <w:t>-</w:t>
            </w:r>
          </w:p>
        </w:tc>
        <w:tc>
          <w:tcPr>
            <w:tcW w:w="425" w:type="pct"/>
            <w:tcBorders>
              <w:top w:val="nil"/>
              <w:left w:val="nil"/>
              <w:bottom w:val="nil"/>
              <w:right w:val="nil"/>
            </w:tcBorders>
            <w:shd w:val="clear" w:color="000000" w:fill="FFFFFF"/>
            <w:noWrap/>
            <w:vAlign w:val="center"/>
          </w:tcPr>
          <w:p w14:paraId="3AE1B1B8" w14:textId="5F51A111" w:rsidR="003C1E50" w:rsidRPr="00894701" w:rsidRDefault="003C1E50" w:rsidP="003C1E50">
            <w:pPr>
              <w:spacing w:before="60" w:after="60" w:line="240" w:lineRule="auto"/>
              <w:jc w:val="right"/>
              <w:rPr>
                <w:rFonts w:cs="Arial"/>
                <w:color w:val="auto"/>
                <w:kern w:val="0"/>
                <w:sz w:val="16"/>
                <w:szCs w:val="16"/>
              </w:rPr>
            </w:pPr>
            <w:r w:rsidRPr="00894701">
              <w:rPr>
                <w:rFonts w:cs="Arial"/>
                <w:sz w:val="16"/>
                <w:szCs w:val="16"/>
              </w:rPr>
              <w:t>-</w:t>
            </w:r>
          </w:p>
        </w:tc>
        <w:tc>
          <w:tcPr>
            <w:tcW w:w="422" w:type="pct"/>
            <w:tcBorders>
              <w:top w:val="nil"/>
              <w:left w:val="nil"/>
              <w:bottom w:val="nil"/>
              <w:right w:val="nil"/>
            </w:tcBorders>
            <w:shd w:val="clear" w:color="000000" w:fill="FFFFFF"/>
            <w:noWrap/>
            <w:vAlign w:val="center"/>
          </w:tcPr>
          <w:p w14:paraId="7F6BC24C" w14:textId="03A1977F" w:rsidR="003C1E50" w:rsidRPr="00894701" w:rsidRDefault="003C1E50" w:rsidP="003C1E50">
            <w:pPr>
              <w:spacing w:before="60" w:after="60" w:line="240" w:lineRule="auto"/>
              <w:jc w:val="right"/>
              <w:rPr>
                <w:rFonts w:cs="Arial"/>
                <w:color w:val="auto"/>
                <w:kern w:val="0"/>
                <w:sz w:val="16"/>
                <w:szCs w:val="16"/>
              </w:rPr>
            </w:pPr>
            <w:r w:rsidRPr="00894701">
              <w:rPr>
                <w:rFonts w:cs="Arial"/>
                <w:sz w:val="16"/>
                <w:szCs w:val="16"/>
              </w:rPr>
              <w:t>-</w:t>
            </w:r>
          </w:p>
        </w:tc>
      </w:tr>
      <w:tr w:rsidR="003C1E50" w:rsidRPr="00894701" w14:paraId="682AF5CF" w14:textId="77777777" w:rsidTr="00EA1802">
        <w:trPr>
          <w:trHeight w:val="20"/>
          <w:jc w:val="center"/>
        </w:trPr>
        <w:tc>
          <w:tcPr>
            <w:tcW w:w="122" w:type="pct"/>
            <w:tcBorders>
              <w:top w:val="nil"/>
              <w:left w:val="nil"/>
              <w:bottom w:val="nil"/>
              <w:right w:val="nil"/>
            </w:tcBorders>
            <w:shd w:val="clear" w:color="000000" w:fill="F7A3B0"/>
            <w:noWrap/>
            <w:vAlign w:val="center"/>
            <w:hideMark/>
          </w:tcPr>
          <w:p w14:paraId="67B21BC6" w14:textId="77777777" w:rsidR="003C1E50" w:rsidRPr="00894701" w:rsidRDefault="003C1E50" w:rsidP="003C1E50">
            <w:pPr>
              <w:spacing w:before="60" w:after="60" w:line="240" w:lineRule="auto"/>
              <w:rPr>
                <w:rFonts w:cs="Arial"/>
                <w:color w:val="000000"/>
                <w:kern w:val="0"/>
                <w:sz w:val="16"/>
                <w:szCs w:val="16"/>
              </w:rPr>
            </w:pPr>
            <w:r w:rsidRPr="00894701">
              <w:rPr>
                <w:rFonts w:cs="Arial"/>
                <w:color w:val="000000"/>
                <w:kern w:val="0"/>
                <w:sz w:val="16"/>
                <w:szCs w:val="16"/>
              </w:rPr>
              <w:t>5</w:t>
            </w:r>
          </w:p>
        </w:tc>
        <w:tc>
          <w:tcPr>
            <w:tcW w:w="1012" w:type="pct"/>
            <w:tcBorders>
              <w:top w:val="nil"/>
              <w:left w:val="nil"/>
              <w:bottom w:val="nil"/>
              <w:right w:val="single" w:sz="8" w:space="0" w:color="FF0000"/>
            </w:tcBorders>
            <w:shd w:val="clear" w:color="000000" w:fill="F7A3B0"/>
            <w:noWrap/>
            <w:vAlign w:val="center"/>
            <w:hideMark/>
          </w:tcPr>
          <w:p w14:paraId="36E07B35" w14:textId="77777777" w:rsidR="003C1E50" w:rsidRPr="00894701" w:rsidRDefault="003C1E50" w:rsidP="003C1E50">
            <w:pPr>
              <w:spacing w:before="60" w:after="60" w:line="240" w:lineRule="auto"/>
              <w:rPr>
                <w:rFonts w:cs="Arial"/>
                <w:color w:val="000000"/>
                <w:kern w:val="0"/>
                <w:sz w:val="16"/>
                <w:szCs w:val="16"/>
              </w:rPr>
            </w:pPr>
            <w:r w:rsidRPr="00894701">
              <w:rPr>
                <w:rFonts w:cs="Arial"/>
                <w:color w:val="000000"/>
                <w:kern w:val="0"/>
                <w:sz w:val="16"/>
                <w:szCs w:val="16"/>
              </w:rPr>
              <w:t>Petronas Suriname Exploration &amp; production B.V.</w:t>
            </w:r>
          </w:p>
        </w:tc>
        <w:tc>
          <w:tcPr>
            <w:tcW w:w="426" w:type="pct"/>
            <w:tcBorders>
              <w:top w:val="nil"/>
              <w:left w:val="nil"/>
              <w:bottom w:val="nil"/>
              <w:right w:val="nil"/>
            </w:tcBorders>
            <w:shd w:val="clear" w:color="000000" w:fill="F7A3B0"/>
            <w:noWrap/>
            <w:vAlign w:val="center"/>
          </w:tcPr>
          <w:p w14:paraId="5CE378E5" w14:textId="3B257D9D" w:rsidR="003C1E50" w:rsidRPr="00894701" w:rsidRDefault="003C1E50" w:rsidP="003C1E50">
            <w:pPr>
              <w:spacing w:before="60" w:after="60" w:line="240" w:lineRule="auto"/>
              <w:jc w:val="right"/>
              <w:rPr>
                <w:rFonts w:cs="Arial"/>
                <w:color w:val="000000"/>
                <w:kern w:val="0"/>
                <w:sz w:val="16"/>
                <w:szCs w:val="16"/>
              </w:rPr>
            </w:pPr>
            <w:r w:rsidRPr="00894701">
              <w:rPr>
                <w:rFonts w:cs="Arial"/>
                <w:color w:val="000000"/>
                <w:sz w:val="16"/>
                <w:szCs w:val="16"/>
              </w:rPr>
              <w:t>-</w:t>
            </w:r>
          </w:p>
        </w:tc>
        <w:tc>
          <w:tcPr>
            <w:tcW w:w="425" w:type="pct"/>
            <w:tcBorders>
              <w:top w:val="nil"/>
              <w:left w:val="nil"/>
              <w:bottom w:val="nil"/>
              <w:right w:val="nil"/>
            </w:tcBorders>
            <w:shd w:val="clear" w:color="000000" w:fill="F7A3B0"/>
            <w:noWrap/>
            <w:vAlign w:val="center"/>
          </w:tcPr>
          <w:p w14:paraId="1DA1BE76" w14:textId="037E56FD" w:rsidR="003C1E50" w:rsidRPr="00894701" w:rsidRDefault="003C1E50" w:rsidP="003C1E50">
            <w:pPr>
              <w:spacing w:before="60" w:after="60" w:line="240" w:lineRule="auto"/>
              <w:jc w:val="right"/>
              <w:rPr>
                <w:rFonts w:cs="Arial"/>
                <w:color w:val="000000"/>
                <w:kern w:val="0"/>
                <w:sz w:val="16"/>
                <w:szCs w:val="16"/>
              </w:rPr>
            </w:pPr>
            <w:r w:rsidRPr="00894701">
              <w:rPr>
                <w:rFonts w:cs="Arial"/>
                <w:color w:val="000000"/>
                <w:sz w:val="16"/>
                <w:szCs w:val="16"/>
              </w:rPr>
              <w:t>-</w:t>
            </w:r>
          </w:p>
        </w:tc>
        <w:tc>
          <w:tcPr>
            <w:tcW w:w="379" w:type="pct"/>
            <w:tcBorders>
              <w:top w:val="nil"/>
              <w:left w:val="nil"/>
              <w:bottom w:val="nil"/>
              <w:right w:val="single" w:sz="8" w:space="0" w:color="FF0000"/>
            </w:tcBorders>
            <w:shd w:val="clear" w:color="000000" w:fill="F7A3B0"/>
            <w:noWrap/>
            <w:vAlign w:val="center"/>
          </w:tcPr>
          <w:p w14:paraId="61148377" w14:textId="4C1D92EA" w:rsidR="003C1E50" w:rsidRPr="00894701" w:rsidRDefault="003C1E50" w:rsidP="003C1E50">
            <w:pPr>
              <w:spacing w:before="60" w:after="60" w:line="240" w:lineRule="auto"/>
              <w:jc w:val="right"/>
              <w:rPr>
                <w:rFonts w:cs="Arial"/>
                <w:color w:val="000000"/>
                <w:kern w:val="0"/>
                <w:sz w:val="16"/>
                <w:szCs w:val="16"/>
              </w:rPr>
            </w:pPr>
            <w:r w:rsidRPr="00894701">
              <w:rPr>
                <w:rFonts w:cs="Arial"/>
                <w:color w:val="000000"/>
                <w:sz w:val="16"/>
                <w:szCs w:val="16"/>
              </w:rPr>
              <w:t>-</w:t>
            </w:r>
          </w:p>
        </w:tc>
        <w:tc>
          <w:tcPr>
            <w:tcW w:w="470" w:type="pct"/>
            <w:tcBorders>
              <w:top w:val="nil"/>
              <w:left w:val="nil"/>
              <w:bottom w:val="nil"/>
              <w:right w:val="nil"/>
            </w:tcBorders>
            <w:shd w:val="clear" w:color="000000" w:fill="F7A3B0"/>
            <w:noWrap/>
            <w:vAlign w:val="center"/>
          </w:tcPr>
          <w:p w14:paraId="6B045AD3" w14:textId="1EF7FA55" w:rsidR="003C1E50" w:rsidRPr="00894701" w:rsidRDefault="003C1E50" w:rsidP="003C1E50">
            <w:pPr>
              <w:spacing w:before="60" w:after="60" w:line="240" w:lineRule="auto"/>
              <w:jc w:val="right"/>
              <w:rPr>
                <w:rFonts w:cs="Arial"/>
                <w:color w:val="000000"/>
                <w:kern w:val="0"/>
                <w:sz w:val="16"/>
                <w:szCs w:val="16"/>
              </w:rPr>
            </w:pPr>
            <w:r w:rsidRPr="00894701">
              <w:rPr>
                <w:rFonts w:cs="Arial"/>
                <w:color w:val="000000"/>
                <w:sz w:val="16"/>
                <w:szCs w:val="16"/>
              </w:rPr>
              <w:t>-</w:t>
            </w:r>
          </w:p>
        </w:tc>
        <w:tc>
          <w:tcPr>
            <w:tcW w:w="468" w:type="pct"/>
            <w:tcBorders>
              <w:top w:val="nil"/>
              <w:left w:val="nil"/>
              <w:bottom w:val="nil"/>
              <w:right w:val="nil"/>
            </w:tcBorders>
            <w:shd w:val="clear" w:color="000000" w:fill="F7A3B0"/>
            <w:noWrap/>
            <w:vAlign w:val="center"/>
          </w:tcPr>
          <w:p w14:paraId="211D2E64" w14:textId="0F9E26F3" w:rsidR="003C1E50" w:rsidRPr="00894701" w:rsidRDefault="003C1E50" w:rsidP="003C1E50">
            <w:pPr>
              <w:spacing w:before="60" w:after="60" w:line="240" w:lineRule="auto"/>
              <w:jc w:val="right"/>
              <w:rPr>
                <w:rFonts w:cs="Arial"/>
                <w:color w:val="000000"/>
                <w:kern w:val="0"/>
                <w:sz w:val="16"/>
                <w:szCs w:val="16"/>
              </w:rPr>
            </w:pPr>
            <w:r w:rsidRPr="00894701">
              <w:rPr>
                <w:rFonts w:cs="Arial"/>
                <w:color w:val="000000"/>
                <w:sz w:val="16"/>
                <w:szCs w:val="16"/>
              </w:rPr>
              <w:t>-</w:t>
            </w:r>
          </w:p>
        </w:tc>
        <w:tc>
          <w:tcPr>
            <w:tcW w:w="403" w:type="pct"/>
            <w:tcBorders>
              <w:top w:val="nil"/>
              <w:left w:val="nil"/>
              <w:bottom w:val="nil"/>
              <w:right w:val="single" w:sz="8" w:space="0" w:color="FF0000"/>
            </w:tcBorders>
            <w:shd w:val="clear" w:color="000000" w:fill="F7A3B0"/>
            <w:noWrap/>
            <w:vAlign w:val="center"/>
          </w:tcPr>
          <w:p w14:paraId="77896ECB" w14:textId="5D09ED3D" w:rsidR="003C1E50" w:rsidRPr="00894701" w:rsidRDefault="003C1E50" w:rsidP="003C1E50">
            <w:pPr>
              <w:spacing w:before="60" w:after="60" w:line="240" w:lineRule="auto"/>
              <w:jc w:val="right"/>
              <w:rPr>
                <w:rFonts w:cs="Arial"/>
                <w:color w:val="000000"/>
                <w:kern w:val="0"/>
                <w:sz w:val="16"/>
                <w:szCs w:val="16"/>
              </w:rPr>
            </w:pPr>
            <w:r w:rsidRPr="00894701">
              <w:rPr>
                <w:rFonts w:cs="Arial"/>
                <w:color w:val="000000"/>
                <w:sz w:val="16"/>
                <w:szCs w:val="16"/>
              </w:rPr>
              <w:t>-</w:t>
            </w:r>
          </w:p>
        </w:tc>
        <w:tc>
          <w:tcPr>
            <w:tcW w:w="448" w:type="pct"/>
            <w:tcBorders>
              <w:top w:val="nil"/>
              <w:left w:val="nil"/>
              <w:bottom w:val="nil"/>
              <w:right w:val="nil"/>
            </w:tcBorders>
            <w:shd w:val="clear" w:color="000000" w:fill="F7A3B0"/>
            <w:noWrap/>
            <w:vAlign w:val="center"/>
          </w:tcPr>
          <w:p w14:paraId="6E6C51FC" w14:textId="0E0F5EFE" w:rsidR="003C1E50" w:rsidRPr="00894701" w:rsidRDefault="003C1E50" w:rsidP="003C1E50">
            <w:pPr>
              <w:spacing w:before="60" w:after="60" w:line="240" w:lineRule="auto"/>
              <w:jc w:val="right"/>
              <w:rPr>
                <w:rFonts w:cs="Arial"/>
                <w:color w:val="000000"/>
                <w:kern w:val="0"/>
                <w:sz w:val="16"/>
                <w:szCs w:val="16"/>
              </w:rPr>
            </w:pPr>
            <w:r w:rsidRPr="00894701">
              <w:rPr>
                <w:rFonts w:cs="Arial"/>
                <w:color w:val="000000"/>
                <w:sz w:val="16"/>
                <w:szCs w:val="16"/>
              </w:rPr>
              <w:t>-</w:t>
            </w:r>
          </w:p>
        </w:tc>
        <w:tc>
          <w:tcPr>
            <w:tcW w:w="425" w:type="pct"/>
            <w:tcBorders>
              <w:top w:val="nil"/>
              <w:left w:val="nil"/>
              <w:bottom w:val="nil"/>
              <w:right w:val="nil"/>
            </w:tcBorders>
            <w:shd w:val="clear" w:color="000000" w:fill="F7A3B0"/>
            <w:noWrap/>
            <w:vAlign w:val="center"/>
          </w:tcPr>
          <w:p w14:paraId="4C9234A5" w14:textId="01AB9B92" w:rsidR="003C1E50" w:rsidRPr="00894701" w:rsidRDefault="003C1E50" w:rsidP="003C1E50">
            <w:pPr>
              <w:spacing w:before="60" w:after="60" w:line="240" w:lineRule="auto"/>
              <w:jc w:val="right"/>
              <w:rPr>
                <w:rFonts w:cs="Arial"/>
                <w:color w:val="000000"/>
                <w:kern w:val="0"/>
                <w:sz w:val="16"/>
                <w:szCs w:val="16"/>
              </w:rPr>
            </w:pPr>
            <w:r w:rsidRPr="00894701">
              <w:rPr>
                <w:rFonts w:cs="Arial"/>
                <w:color w:val="000000"/>
                <w:sz w:val="16"/>
                <w:szCs w:val="16"/>
              </w:rPr>
              <w:t>-</w:t>
            </w:r>
          </w:p>
        </w:tc>
        <w:tc>
          <w:tcPr>
            <w:tcW w:w="422" w:type="pct"/>
            <w:tcBorders>
              <w:top w:val="nil"/>
              <w:left w:val="nil"/>
              <w:bottom w:val="nil"/>
              <w:right w:val="nil"/>
            </w:tcBorders>
            <w:shd w:val="clear" w:color="000000" w:fill="F7A3B0"/>
            <w:noWrap/>
            <w:vAlign w:val="center"/>
          </w:tcPr>
          <w:p w14:paraId="1FFA80C6" w14:textId="48960D61" w:rsidR="003C1E50" w:rsidRPr="00894701" w:rsidRDefault="003C1E50" w:rsidP="003C1E50">
            <w:pPr>
              <w:spacing w:before="60" w:after="60" w:line="240" w:lineRule="auto"/>
              <w:jc w:val="right"/>
              <w:rPr>
                <w:rFonts w:cs="Arial"/>
                <w:color w:val="000000"/>
                <w:kern w:val="0"/>
                <w:sz w:val="16"/>
                <w:szCs w:val="16"/>
              </w:rPr>
            </w:pPr>
            <w:r w:rsidRPr="00894701">
              <w:rPr>
                <w:rFonts w:cs="Arial"/>
                <w:color w:val="000000"/>
                <w:sz w:val="16"/>
                <w:szCs w:val="16"/>
              </w:rPr>
              <w:t>-</w:t>
            </w:r>
          </w:p>
        </w:tc>
      </w:tr>
      <w:tr w:rsidR="003C1E50" w:rsidRPr="00894701" w14:paraId="58A9B4A9" w14:textId="77777777" w:rsidTr="00EA1802">
        <w:trPr>
          <w:trHeight w:val="20"/>
          <w:jc w:val="center"/>
        </w:trPr>
        <w:tc>
          <w:tcPr>
            <w:tcW w:w="122" w:type="pct"/>
            <w:tcBorders>
              <w:top w:val="nil"/>
              <w:left w:val="nil"/>
              <w:bottom w:val="nil"/>
              <w:right w:val="nil"/>
            </w:tcBorders>
            <w:shd w:val="clear" w:color="000000" w:fill="FFFFFF"/>
            <w:vAlign w:val="center"/>
            <w:hideMark/>
          </w:tcPr>
          <w:p w14:paraId="5324E3C9" w14:textId="77777777" w:rsidR="003C1E50" w:rsidRPr="00894701" w:rsidRDefault="003C1E50" w:rsidP="003C1E50">
            <w:pPr>
              <w:spacing w:before="60" w:after="60" w:line="240" w:lineRule="auto"/>
              <w:rPr>
                <w:rFonts w:cs="Arial"/>
                <w:color w:val="auto"/>
                <w:kern w:val="0"/>
                <w:sz w:val="16"/>
                <w:szCs w:val="16"/>
              </w:rPr>
            </w:pPr>
            <w:r w:rsidRPr="00894701">
              <w:rPr>
                <w:rFonts w:cs="Arial"/>
                <w:color w:val="auto"/>
                <w:kern w:val="0"/>
                <w:sz w:val="16"/>
                <w:szCs w:val="16"/>
              </w:rPr>
              <w:t>6</w:t>
            </w:r>
          </w:p>
        </w:tc>
        <w:tc>
          <w:tcPr>
            <w:tcW w:w="1012" w:type="pct"/>
            <w:tcBorders>
              <w:top w:val="nil"/>
              <w:left w:val="nil"/>
              <w:bottom w:val="nil"/>
              <w:right w:val="single" w:sz="8" w:space="0" w:color="FF0000"/>
            </w:tcBorders>
            <w:shd w:val="clear" w:color="000000" w:fill="FFFFFF"/>
            <w:vAlign w:val="center"/>
            <w:hideMark/>
          </w:tcPr>
          <w:p w14:paraId="49436AD7" w14:textId="77777777" w:rsidR="003C1E50" w:rsidRPr="00894701" w:rsidRDefault="003C1E50" w:rsidP="003C1E50">
            <w:pPr>
              <w:spacing w:before="60" w:after="60" w:line="240" w:lineRule="auto"/>
              <w:rPr>
                <w:rFonts w:cs="Arial"/>
                <w:color w:val="auto"/>
                <w:kern w:val="0"/>
                <w:sz w:val="16"/>
                <w:szCs w:val="16"/>
              </w:rPr>
            </w:pPr>
            <w:r w:rsidRPr="00894701">
              <w:rPr>
                <w:rFonts w:cs="Arial"/>
                <w:color w:val="auto"/>
                <w:kern w:val="0"/>
                <w:sz w:val="16"/>
                <w:szCs w:val="16"/>
              </w:rPr>
              <w:t>Challenger Energy Group Plc</w:t>
            </w:r>
          </w:p>
        </w:tc>
        <w:tc>
          <w:tcPr>
            <w:tcW w:w="426" w:type="pct"/>
            <w:tcBorders>
              <w:top w:val="nil"/>
              <w:left w:val="nil"/>
              <w:bottom w:val="nil"/>
              <w:right w:val="nil"/>
            </w:tcBorders>
            <w:shd w:val="clear" w:color="000000" w:fill="FFFFFF"/>
            <w:noWrap/>
            <w:vAlign w:val="center"/>
          </w:tcPr>
          <w:p w14:paraId="3A668542" w14:textId="09241DBC" w:rsidR="003C1E50" w:rsidRPr="00894701" w:rsidRDefault="003C1E50" w:rsidP="003C1E50">
            <w:pPr>
              <w:spacing w:before="60" w:after="60" w:line="240" w:lineRule="auto"/>
              <w:jc w:val="right"/>
              <w:rPr>
                <w:rFonts w:cs="Arial"/>
                <w:color w:val="auto"/>
                <w:kern w:val="0"/>
                <w:sz w:val="16"/>
                <w:szCs w:val="16"/>
              </w:rPr>
            </w:pPr>
            <w:r w:rsidRPr="00894701">
              <w:rPr>
                <w:rFonts w:cs="Arial"/>
                <w:sz w:val="16"/>
                <w:szCs w:val="16"/>
              </w:rPr>
              <w:t>-</w:t>
            </w:r>
          </w:p>
        </w:tc>
        <w:tc>
          <w:tcPr>
            <w:tcW w:w="425" w:type="pct"/>
            <w:tcBorders>
              <w:top w:val="nil"/>
              <w:left w:val="nil"/>
              <w:bottom w:val="nil"/>
              <w:right w:val="nil"/>
            </w:tcBorders>
            <w:shd w:val="clear" w:color="000000" w:fill="FFFFFF"/>
            <w:noWrap/>
            <w:vAlign w:val="center"/>
          </w:tcPr>
          <w:p w14:paraId="0A1315F0" w14:textId="09B49C56" w:rsidR="003C1E50" w:rsidRPr="00894701" w:rsidRDefault="003C1E50" w:rsidP="003C1E50">
            <w:pPr>
              <w:spacing w:before="60" w:after="60" w:line="240" w:lineRule="auto"/>
              <w:jc w:val="right"/>
              <w:rPr>
                <w:rFonts w:cs="Arial"/>
                <w:color w:val="auto"/>
                <w:kern w:val="0"/>
                <w:sz w:val="16"/>
                <w:szCs w:val="16"/>
              </w:rPr>
            </w:pPr>
            <w:r w:rsidRPr="00894701">
              <w:rPr>
                <w:rFonts w:cs="Arial"/>
                <w:sz w:val="16"/>
                <w:szCs w:val="16"/>
              </w:rPr>
              <w:t>-</w:t>
            </w:r>
          </w:p>
        </w:tc>
        <w:tc>
          <w:tcPr>
            <w:tcW w:w="379" w:type="pct"/>
            <w:tcBorders>
              <w:top w:val="nil"/>
              <w:left w:val="nil"/>
              <w:bottom w:val="nil"/>
              <w:right w:val="single" w:sz="8" w:space="0" w:color="FF0000"/>
            </w:tcBorders>
            <w:shd w:val="clear" w:color="000000" w:fill="FFFFFF"/>
            <w:noWrap/>
            <w:vAlign w:val="center"/>
          </w:tcPr>
          <w:p w14:paraId="193D4D50" w14:textId="12437CAB" w:rsidR="003C1E50" w:rsidRPr="00894701" w:rsidRDefault="003C1E50" w:rsidP="003C1E50">
            <w:pPr>
              <w:spacing w:before="60" w:after="60" w:line="240" w:lineRule="auto"/>
              <w:jc w:val="right"/>
              <w:rPr>
                <w:rFonts w:cs="Arial"/>
                <w:color w:val="auto"/>
                <w:kern w:val="0"/>
                <w:sz w:val="16"/>
                <w:szCs w:val="16"/>
              </w:rPr>
            </w:pPr>
            <w:r w:rsidRPr="00894701">
              <w:rPr>
                <w:rFonts w:cs="Arial"/>
                <w:sz w:val="16"/>
                <w:szCs w:val="16"/>
              </w:rPr>
              <w:t>-</w:t>
            </w:r>
          </w:p>
        </w:tc>
        <w:tc>
          <w:tcPr>
            <w:tcW w:w="470" w:type="pct"/>
            <w:tcBorders>
              <w:top w:val="nil"/>
              <w:left w:val="nil"/>
              <w:bottom w:val="nil"/>
              <w:right w:val="nil"/>
            </w:tcBorders>
            <w:shd w:val="clear" w:color="000000" w:fill="FFFFFF"/>
            <w:noWrap/>
            <w:vAlign w:val="center"/>
          </w:tcPr>
          <w:p w14:paraId="5FCBC795" w14:textId="2228777A" w:rsidR="003C1E50" w:rsidRPr="00894701" w:rsidRDefault="003C1E50" w:rsidP="003C1E50">
            <w:pPr>
              <w:spacing w:before="60" w:after="60" w:line="240" w:lineRule="auto"/>
              <w:jc w:val="right"/>
              <w:rPr>
                <w:rFonts w:cs="Arial"/>
                <w:color w:val="auto"/>
                <w:kern w:val="0"/>
                <w:sz w:val="16"/>
                <w:szCs w:val="16"/>
              </w:rPr>
            </w:pPr>
            <w:r w:rsidRPr="00894701">
              <w:rPr>
                <w:rFonts w:cs="Arial"/>
                <w:sz w:val="16"/>
                <w:szCs w:val="16"/>
              </w:rPr>
              <w:t>-</w:t>
            </w:r>
          </w:p>
        </w:tc>
        <w:tc>
          <w:tcPr>
            <w:tcW w:w="468" w:type="pct"/>
            <w:tcBorders>
              <w:top w:val="nil"/>
              <w:left w:val="nil"/>
              <w:bottom w:val="nil"/>
              <w:right w:val="nil"/>
            </w:tcBorders>
            <w:shd w:val="clear" w:color="000000" w:fill="FFFFFF"/>
            <w:noWrap/>
            <w:vAlign w:val="center"/>
          </w:tcPr>
          <w:p w14:paraId="27B490F2" w14:textId="3AAAF03F" w:rsidR="003C1E50" w:rsidRPr="00894701" w:rsidRDefault="003C1E50" w:rsidP="003C1E50">
            <w:pPr>
              <w:spacing w:before="60" w:after="60" w:line="240" w:lineRule="auto"/>
              <w:jc w:val="right"/>
              <w:rPr>
                <w:rFonts w:cs="Arial"/>
                <w:color w:val="auto"/>
                <w:kern w:val="0"/>
                <w:sz w:val="16"/>
                <w:szCs w:val="16"/>
              </w:rPr>
            </w:pPr>
            <w:r w:rsidRPr="00894701">
              <w:rPr>
                <w:rFonts w:cs="Arial"/>
                <w:sz w:val="16"/>
                <w:szCs w:val="16"/>
              </w:rPr>
              <w:t>-</w:t>
            </w:r>
          </w:p>
        </w:tc>
        <w:tc>
          <w:tcPr>
            <w:tcW w:w="403" w:type="pct"/>
            <w:tcBorders>
              <w:top w:val="nil"/>
              <w:left w:val="nil"/>
              <w:bottom w:val="nil"/>
              <w:right w:val="single" w:sz="8" w:space="0" w:color="FF0000"/>
            </w:tcBorders>
            <w:shd w:val="clear" w:color="000000" w:fill="FFFFFF"/>
            <w:noWrap/>
            <w:vAlign w:val="center"/>
          </w:tcPr>
          <w:p w14:paraId="55296A61" w14:textId="09D8770D" w:rsidR="003C1E50" w:rsidRPr="00894701" w:rsidRDefault="003C1E50" w:rsidP="003C1E50">
            <w:pPr>
              <w:spacing w:before="60" w:after="60" w:line="240" w:lineRule="auto"/>
              <w:jc w:val="right"/>
              <w:rPr>
                <w:rFonts w:cs="Arial"/>
                <w:color w:val="auto"/>
                <w:kern w:val="0"/>
                <w:sz w:val="16"/>
                <w:szCs w:val="16"/>
              </w:rPr>
            </w:pPr>
            <w:r w:rsidRPr="00894701">
              <w:rPr>
                <w:rFonts w:cs="Arial"/>
                <w:sz w:val="16"/>
                <w:szCs w:val="16"/>
              </w:rPr>
              <w:t>-</w:t>
            </w:r>
          </w:p>
        </w:tc>
        <w:tc>
          <w:tcPr>
            <w:tcW w:w="448" w:type="pct"/>
            <w:tcBorders>
              <w:top w:val="nil"/>
              <w:left w:val="nil"/>
              <w:bottom w:val="nil"/>
              <w:right w:val="nil"/>
            </w:tcBorders>
            <w:shd w:val="clear" w:color="000000" w:fill="FFFFFF"/>
            <w:noWrap/>
            <w:vAlign w:val="center"/>
          </w:tcPr>
          <w:p w14:paraId="30E2FC9B" w14:textId="3E188008" w:rsidR="003C1E50" w:rsidRPr="00894701" w:rsidRDefault="003C1E50" w:rsidP="003C1E50">
            <w:pPr>
              <w:spacing w:before="60" w:after="60" w:line="240" w:lineRule="auto"/>
              <w:jc w:val="right"/>
              <w:rPr>
                <w:rFonts w:cs="Arial"/>
                <w:color w:val="auto"/>
                <w:kern w:val="0"/>
                <w:sz w:val="16"/>
                <w:szCs w:val="16"/>
              </w:rPr>
            </w:pPr>
            <w:r w:rsidRPr="00894701">
              <w:rPr>
                <w:rFonts w:cs="Arial"/>
                <w:sz w:val="16"/>
                <w:szCs w:val="16"/>
              </w:rPr>
              <w:t>-</w:t>
            </w:r>
          </w:p>
        </w:tc>
        <w:tc>
          <w:tcPr>
            <w:tcW w:w="425" w:type="pct"/>
            <w:tcBorders>
              <w:top w:val="nil"/>
              <w:left w:val="nil"/>
              <w:bottom w:val="nil"/>
              <w:right w:val="nil"/>
            </w:tcBorders>
            <w:shd w:val="clear" w:color="000000" w:fill="FFFFFF"/>
            <w:noWrap/>
            <w:vAlign w:val="center"/>
          </w:tcPr>
          <w:p w14:paraId="0F019955" w14:textId="3A64F749" w:rsidR="003C1E50" w:rsidRPr="00894701" w:rsidRDefault="003C1E50" w:rsidP="003C1E50">
            <w:pPr>
              <w:spacing w:before="60" w:after="60" w:line="240" w:lineRule="auto"/>
              <w:jc w:val="right"/>
              <w:rPr>
                <w:rFonts w:cs="Arial"/>
                <w:color w:val="auto"/>
                <w:kern w:val="0"/>
                <w:sz w:val="16"/>
                <w:szCs w:val="16"/>
              </w:rPr>
            </w:pPr>
            <w:r w:rsidRPr="00894701">
              <w:rPr>
                <w:rFonts w:cs="Arial"/>
                <w:sz w:val="16"/>
                <w:szCs w:val="16"/>
              </w:rPr>
              <w:t>-</w:t>
            </w:r>
          </w:p>
        </w:tc>
        <w:tc>
          <w:tcPr>
            <w:tcW w:w="422" w:type="pct"/>
            <w:tcBorders>
              <w:top w:val="nil"/>
              <w:left w:val="nil"/>
              <w:bottom w:val="nil"/>
              <w:right w:val="nil"/>
            </w:tcBorders>
            <w:shd w:val="clear" w:color="000000" w:fill="FFFFFF"/>
            <w:noWrap/>
            <w:vAlign w:val="center"/>
          </w:tcPr>
          <w:p w14:paraId="4B640F3F" w14:textId="6D1C4147" w:rsidR="003C1E50" w:rsidRPr="00894701" w:rsidRDefault="003C1E50" w:rsidP="003C1E50">
            <w:pPr>
              <w:spacing w:before="60" w:after="60" w:line="240" w:lineRule="auto"/>
              <w:jc w:val="right"/>
              <w:rPr>
                <w:rFonts w:cs="Arial"/>
                <w:color w:val="auto"/>
                <w:kern w:val="0"/>
                <w:sz w:val="16"/>
                <w:szCs w:val="16"/>
              </w:rPr>
            </w:pPr>
            <w:r w:rsidRPr="00894701">
              <w:rPr>
                <w:rFonts w:cs="Arial"/>
                <w:sz w:val="16"/>
                <w:szCs w:val="16"/>
              </w:rPr>
              <w:t>-</w:t>
            </w:r>
          </w:p>
        </w:tc>
      </w:tr>
      <w:tr w:rsidR="003C1E50" w:rsidRPr="00894701" w14:paraId="2BC61AF2" w14:textId="77777777" w:rsidTr="00EA1802">
        <w:trPr>
          <w:trHeight w:val="20"/>
          <w:jc w:val="center"/>
        </w:trPr>
        <w:tc>
          <w:tcPr>
            <w:tcW w:w="122" w:type="pct"/>
            <w:tcBorders>
              <w:top w:val="nil"/>
              <w:left w:val="nil"/>
              <w:bottom w:val="nil"/>
              <w:right w:val="nil"/>
            </w:tcBorders>
            <w:shd w:val="clear" w:color="000000" w:fill="F7A3B0"/>
            <w:noWrap/>
            <w:vAlign w:val="center"/>
            <w:hideMark/>
          </w:tcPr>
          <w:p w14:paraId="018489E5" w14:textId="77777777" w:rsidR="003C1E50" w:rsidRPr="00894701" w:rsidRDefault="003C1E50" w:rsidP="003C1E50">
            <w:pPr>
              <w:spacing w:before="60" w:after="60" w:line="240" w:lineRule="auto"/>
              <w:rPr>
                <w:rFonts w:cs="Arial"/>
                <w:color w:val="000000"/>
                <w:kern w:val="0"/>
                <w:sz w:val="16"/>
                <w:szCs w:val="16"/>
              </w:rPr>
            </w:pPr>
            <w:r w:rsidRPr="00894701">
              <w:rPr>
                <w:rFonts w:cs="Arial"/>
                <w:color w:val="000000"/>
                <w:kern w:val="0"/>
                <w:sz w:val="16"/>
                <w:szCs w:val="16"/>
              </w:rPr>
              <w:t>7</w:t>
            </w:r>
          </w:p>
        </w:tc>
        <w:tc>
          <w:tcPr>
            <w:tcW w:w="1012" w:type="pct"/>
            <w:tcBorders>
              <w:top w:val="nil"/>
              <w:left w:val="nil"/>
              <w:bottom w:val="nil"/>
              <w:right w:val="single" w:sz="8" w:space="0" w:color="FF0000"/>
            </w:tcBorders>
            <w:shd w:val="clear" w:color="000000" w:fill="F7A3B0"/>
            <w:noWrap/>
            <w:vAlign w:val="center"/>
            <w:hideMark/>
          </w:tcPr>
          <w:p w14:paraId="54AAC924" w14:textId="77777777" w:rsidR="003C1E50" w:rsidRPr="00894701" w:rsidRDefault="003C1E50" w:rsidP="003C1E50">
            <w:pPr>
              <w:spacing w:before="60" w:after="60" w:line="240" w:lineRule="auto"/>
              <w:rPr>
                <w:rFonts w:cs="Arial"/>
                <w:color w:val="000000"/>
                <w:kern w:val="0"/>
                <w:sz w:val="16"/>
                <w:szCs w:val="16"/>
                <w:lang w:val="nl-NL"/>
              </w:rPr>
            </w:pPr>
            <w:r w:rsidRPr="00894701">
              <w:rPr>
                <w:rFonts w:cs="Arial"/>
                <w:color w:val="000000"/>
                <w:kern w:val="0"/>
                <w:sz w:val="16"/>
                <w:szCs w:val="16"/>
                <w:lang w:val="nl-NL"/>
              </w:rPr>
              <w:t>Staatsolie Maatschappij Suriname N.V.</w:t>
            </w:r>
          </w:p>
        </w:tc>
        <w:tc>
          <w:tcPr>
            <w:tcW w:w="426" w:type="pct"/>
            <w:tcBorders>
              <w:top w:val="nil"/>
              <w:left w:val="nil"/>
              <w:bottom w:val="nil"/>
              <w:right w:val="nil"/>
            </w:tcBorders>
            <w:shd w:val="clear" w:color="000000" w:fill="F7A3B0"/>
            <w:noWrap/>
            <w:vAlign w:val="center"/>
          </w:tcPr>
          <w:p w14:paraId="36F357B3" w14:textId="3D1C8566" w:rsidR="003C1E50" w:rsidRPr="00894701" w:rsidRDefault="003C1E50" w:rsidP="003C1E50">
            <w:pPr>
              <w:spacing w:before="60" w:after="60" w:line="240" w:lineRule="auto"/>
              <w:jc w:val="right"/>
              <w:rPr>
                <w:rFonts w:cs="Arial"/>
                <w:color w:val="000000"/>
                <w:kern w:val="0"/>
                <w:sz w:val="16"/>
                <w:szCs w:val="16"/>
              </w:rPr>
            </w:pPr>
            <w:r w:rsidRPr="00894701">
              <w:rPr>
                <w:rFonts w:cs="Arial"/>
                <w:color w:val="000000"/>
                <w:sz w:val="16"/>
                <w:szCs w:val="16"/>
              </w:rPr>
              <w:t>167,382,545</w:t>
            </w:r>
          </w:p>
        </w:tc>
        <w:tc>
          <w:tcPr>
            <w:tcW w:w="425" w:type="pct"/>
            <w:tcBorders>
              <w:top w:val="nil"/>
              <w:left w:val="nil"/>
              <w:bottom w:val="nil"/>
              <w:right w:val="nil"/>
            </w:tcBorders>
            <w:shd w:val="clear" w:color="000000" w:fill="F7A3B0"/>
            <w:noWrap/>
            <w:vAlign w:val="center"/>
          </w:tcPr>
          <w:p w14:paraId="3078495E" w14:textId="701C6723" w:rsidR="003C1E50" w:rsidRPr="00894701" w:rsidRDefault="003C1E50" w:rsidP="003C1E50">
            <w:pPr>
              <w:spacing w:before="60" w:after="60" w:line="240" w:lineRule="auto"/>
              <w:jc w:val="right"/>
              <w:rPr>
                <w:rFonts w:cs="Arial"/>
                <w:color w:val="000000"/>
                <w:kern w:val="0"/>
                <w:sz w:val="16"/>
                <w:szCs w:val="16"/>
              </w:rPr>
            </w:pPr>
            <w:r w:rsidRPr="00894701">
              <w:rPr>
                <w:rFonts w:cs="Arial"/>
                <w:color w:val="000000"/>
                <w:sz w:val="16"/>
                <w:szCs w:val="16"/>
              </w:rPr>
              <w:t>163,848,800</w:t>
            </w:r>
          </w:p>
        </w:tc>
        <w:tc>
          <w:tcPr>
            <w:tcW w:w="379" w:type="pct"/>
            <w:tcBorders>
              <w:top w:val="nil"/>
              <w:left w:val="nil"/>
              <w:bottom w:val="nil"/>
              <w:right w:val="single" w:sz="8" w:space="0" w:color="FF0000"/>
            </w:tcBorders>
            <w:shd w:val="clear" w:color="000000" w:fill="F7A3B0"/>
            <w:noWrap/>
            <w:vAlign w:val="center"/>
          </w:tcPr>
          <w:p w14:paraId="11A35EBD" w14:textId="10DE471A" w:rsidR="003C1E50" w:rsidRPr="00894701" w:rsidRDefault="003C1E50" w:rsidP="003C1E50">
            <w:pPr>
              <w:spacing w:before="60" w:after="60" w:line="240" w:lineRule="auto"/>
              <w:jc w:val="right"/>
              <w:rPr>
                <w:rFonts w:cs="Arial"/>
                <w:color w:val="000000"/>
                <w:kern w:val="0"/>
                <w:sz w:val="16"/>
                <w:szCs w:val="16"/>
              </w:rPr>
            </w:pPr>
            <w:r w:rsidRPr="00894701">
              <w:rPr>
                <w:rFonts w:cs="Arial"/>
                <w:color w:val="000000"/>
                <w:sz w:val="16"/>
                <w:szCs w:val="16"/>
              </w:rPr>
              <w:t>3,533,745</w:t>
            </w:r>
          </w:p>
        </w:tc>
        <w:tc>
          <w:tcPr>
            <w:tcW w:w="470" w:type="pct"/>
            <w:tcBorders>
              <w:top w:val="nil"/>
              <w:left w:val="nil"/>
              <w:bottom w:val="nil"/>
              <w:right w:val="nil"/>
            </w:tcBorders>
            <w:shd w:val="clear" w:color="000000" w:fill="F7A3B0"/>
            <w:noWrap/>
            <w:vAlign w:val="center"/>
          </w:tcPr>
          <w:p w14:paraId="437625FE" w14:textId="6C15BD71" w:rsidR="003C1E50" w:rsidRPr="00894701" w:rsidRDefault="003C1E50" w:rsidP="003C1E50">
            <w:pPr>
              <w:spacing w:before="60" w:after="60" w:line="240" w:lineRule="auto"/>
              <w:jc w:val="right"/>
              <w:rPr>
                <w:rFonts w:cs="Arial"/>
                <w:color w:val="000000"/>
                <w:kern w:val="0"/>
                <w:sz w:val="16"/>
                <w:szCs w:val="16"/>
              </w:rPr>
            </w:pPr>
            <w:r w:rsidRPr="00894701">
              <w:rPr>
                <w:rFonts w:cs="Arial"/>
                <w:color w:val="000000"/>
                <w:sz w:val="16"/>
                <w:szCs w:val="16"/>
              </w:rPr>
              <w:t>1,606,175</w:t>
            </w:r>
          </w:p>
        </w:tc>
        <w:tc>
          <w:tcPr>
            <w:tcW w:w="468" w:type="pct"/>
            <w:tcBorders>
              <w:top w:val="nil"/>
              <w:left w:val="nil"/>
              <w:bottom w:val="nil"/>
              <w:right w:val="nil"/>
            </w:tcBorders>
            <w:shd w:val="clear" w:color="000000" w:fill="F7A3B0"/>
            <w:noWrap/>
            <w:vAlign w:val="center"/>
          </w:tcPr>
          <w:p w14:paraId="269C56FE" w14:textId="2647EE46" w:rsidR="003C1E50" w:rsidRPr="00894701" w:rsidRDefault="003C1E50" w:rsidP="003C1E50">
            <w:pPr>
              <w:spacing w:before="60" w:after="60" w:line="240" w:lineRule="auto"/>
              <w:jc w:val="right"/>
              <w:rPr>
                <w:rFonts w:cs="Arial"/>
                <w:color w:val="000000"/>
                <w:kern w:val="0"/>
                <w:sz w:val="16"/>
                <w:szCs w:val="16"/>
              </w:rPr>
            </w:pPr>
            <w:r w:rsidRPr="00894701">
              <w:rPr>
                <w:rFonts w:cs="Arial"/>
                <w:color w:val="000000"/>
                <w:sz w:val="16"/>
                <w:szCs w:val="16"/>
              </w:rPr>
              <w:t>5,139,917</w:t>
            </w:r>
          </w:p>
        </w:tc>
        <w:tc>
          <w:tcPr>
            <w:tcW w:w="403" w:type="pct"/>
            <w:tcBorders>
              <w:top w:val="nil"/>
              <w:left w:val="nil"/>
              <w:bottom w:val="nil"/>
              <w:right w:val="single" w:sz="8" w:space="0" w:color="FF0000"/>
            </w:tcBorders>
            <w:shd w:val="clear" w:color="000000" w:fill="F7A3B0"/>
            <w:noWrap/>
            <w:vAlign w:val="center"/>
          </w:tcPr>
          <w:p w14:paraId="56C22052" w14:textId="63299E0A" w:rsidR="003C1E50" w:rsidRPr="00894701" w:rsidRDefault="003C1E50" w:rsidP="003C1E50">
            <w:pPr>
              <w:spacing w:before="60" w:after="60" w:line="240" w:lineRule="auto"/>
              <w:jc w:val="right"/>
              <w:rPr>
                <w:rFonts w:cs="Arial"/>
                <w:color w:val="000000"/>
                <w:kern w:val="0"/>
                <w:sz w:val="16"/>
                <w:szCs w:val="16"/>
              </w:rPr>
            </w:pPr>
            <w:r w:rsidRPr="00894701">
              <w:rPr>
                <w:rFonts w:cs="Arial"/>
                <w:color w:val="000000"/>
                <w:sz w:val="16"/>
                <w:szCs w:val="16"/>
              </w:rPr>
              <w:t>(3,533,742)</w:t>
            </w:r>
          </w:p>
        </w:tc>
        <w:tc>
          <w:tcPr>
            <w:tcW w:w="448" w:type="pct"/>
            <w:tcBorders>
              <w:top w:val="nil"/>
              <w:left w:val="nil"/>
              <w:bottom w:val="nil"/>
              <w:right w:val="nil"/>
            </w:tcBorders>
            <w:shd w:val="clear" w:color="000000" w:fill="F7A3B0"/>
            <w:noWrap/>
            <w:vAlign w:val="center"/>
          </w:tcPr>
          <w:p w14:paraId="705EBFA7" w14:textId="473F235B" w:rsidR="003C1E50" w:rsidRPr="00894701" w:rsidRDefault="003C1E50" w:rsidP="003C1E50">
            <w:pPr>
              <w:spacing w:before="60" w:after="60" w:line="240" w:lineRule="auto"/>
              <w:jc w:val="right"/>
              <w:rPr>
                <w:rFonts w:cs="Arial"/>
                <w:color w:val="000000"/>
                <w:kern w:val="0"/>
                <w:sz w:val="16"/>
                <w:szCs w:val="16"/>
              </w:rPr>
            </w:pPr>
            <w:r w:rsidRPr="00894701">
              <w:rPr>
                <w:rFonts w:cs="Arial"/>
                <w:color w:val="000000"/>
                <w:sz w:val="16"/>
                <w:szCs w:val="16"/>
              </w:rPr>
              <w:t>168,988,720</w:t>
            </w:r>
          </w:p>
        </w:tc>
        <w:tc>
          <w:tcPr>
            <w:tcW w:w="425" w:type="pct"/>
            <w:tcBorders>
              <w:top w:val="nil"/>
              <w:left w:val="nil"/>
              <w:bottom w:val="nil"/>
              <w:right w:val="nil"/>
            </w:tcBorders>
            <w:shd w:val="clear" w:color="000000" w:fill="F7A3B0"/>
            <w:noWrap/>
            <w:vAlign w:val="center"/>
          </w:tcPr>
          <w:p w14:paraId="7DEB7003" w14:textId="32FB49AE" w:rsidR="003C1E50" w:rsidRPr="00894701" w:rsidRDefault="003C1E50" w:rsidP="003C1E50">
            <w:pPr>
              <w:spacing w:before="60" w:after="60" w:line="240" w:lineRule="auto"/>
              <w:jc w:val="right"/>
              <w:rPr>
                <w:rFonts w:cs="Arial"/>
                <w:color w:val="000000"/>
                <w:kern w:val="0"/>
                <w:sz w:val="16"/>
                <w:szCs w:val="16"/>
              </w:rPr>
            </w:pPr>
            <w:r w:rsidRPr="00894701">
              <w:rPr>
                <w:rFonts w:cs="Arial"/>
                <w:color w:val="000000"/>
                <w:sz w:val="16"/>
                <w:szCs w:val="16"/>
              </w:rPr>
              <w:t>168,988,717</w:t>
            </w:r>
          </w:p>
        </w:tc>
        <w:tc>
          <w:tcPr>
            <w:tcW w:w="422" w:type="pct"/>
            <w:tcBorders>
              <w:top w:val="nil"/>
              <w:left w:val="nil"/>
              <w:bottom w:val="nil"/>
              <w:right w:val="nil"/>
            </w:tcBorders>
            <w:shd w:val="clear" w:color="000000" w:fill="F7A3B0"/>
            <w:noWrap/>
            <w:vAlign w:val="center"/>
          </w:tcPr>
          <w:p w14:paraId="4C351727" w14:textId="58C132A0" w:rsidR="003C1E50" w:rsidRPr="00894701" w:rsidRDefault="003C1E50" w:rsidP="003C1E50">
            <w:pPr>
              <w:spacing w:before="60" w:after="60" w:line="240" w:lineRule="auto"/>
              <w:jc w:val="right"/>
              <w:rPr>
                <w:rFonts w:cs="Arial"/>
                <w:color w:val="000000"/>
                <w:kern w:val="0"/>
                <w:sz w:val="16"/>
                <w:szCs w:val="16"/>
              </w:rPr>
            </w:pPr>
            <w:r w:rsidRPr="00894701">
              <w:rPr>
                <w:rFonts w:cs="Arial"/>
                <w:color w:val="000000"/>
                <w:sz w:val="16"/>
                <w:szCs w:val="16"/>
              </w:rPr>
              <w:t>3</w:t>
            </w:r>
          </w:p>
        </w:tc>
      </w:tr>
      <w:tr w:rsidR="003C1E50" w:rsidRPr="00894701" w14:paraId="4BC5DD0A" w14:textId="77777777" w:rsidTr="00EA1802">
        <w:trPr>
          <w:trHeight w:val="20"/>
          <w:jc w:val="center"/>
        </w:trPr>
        <w:tc>
          <w:tcPr>
            <w:tcW w:w="122" w:type="pct"/>
            <w:tcBorders>
              <w:top w:val="nil"/>
              <w:left w:val="nil"/>
              <w:bottom w:val="nil"/>
              <w:right w:val="nil"/>
            </w:tcBorders>
            <w:shd w:val="clear" w:color="000000" w:fill="FFFFFF"/>
            <w:vAlign w:val="center"/>
            <w:hideMark/>
          </w:tcPr>
          <w:p w14:paraId="6A047F57" w14:textId="77777777" w:rsidR="003C1E50" w:rsidRPr="00894701" w:rsidRDefault="003C1E50" w:rsidP="003C1E50">
            <w:pPr>
              <w:spacing w:before="60" w:after="60" w:line="240" w:lineRule="auto"/>
              <w:rPr>
                <w:rFonts w:cs="Arial"/>
                <w:color w:val="auto"/>
                <w:kern w:val="0"/>
                <w:sz w:val="16"/>
                <w:szCs w:val="16"/>
              </w:rPr>
            </w:pPr>
            <w:r w:rsidRPr="00894701">
              <w:rPr>
                <w:rFonts w:cs="Arial"/>
                <w:color w:val="auto"/>
                <w:kern w:val="0"/>
                <w:sz w:val="16"/>
                <w:szCs w:val="16"/>
              </w:rPr>
              <w:t>8</w:t>
            </w:r>
          </w:p>
        </w:tc>
        <w:tc>
          <w:tcPr>
            <w:tcW w:w="1012" w:type="pct"/>
            <w:tcBorders>
              <w:top w:val="nil"/>
              <w:left w:val="nil"/>
              <w:bottom w:val="nil"/>
              <w:right w:val="single" w:sz="8" w:space="0" w:color="FF0000"/>
            </w:tcBorders>
            <w:shd w:val="clear" w:color="000000" w:fill="FFFFFF"/>
            <w:vAlign w:val="center"/>
            <w:hideMark/>
          </w:tcPr>
          <w:p w14:paraId="49962D1B" w14:textId="77777777" w:rsidR="003C1E50" w:rsidRPr="00894701" w:rsidRDefault="003C1E50" w:rsidP="003C1E50">
            <w:pPr>
              <w:spacing w:before="60" w:after="60" w:line="240" w:lineRule="auto"/>
              <w:rPr>
                <w:rFonts w:cs="Arial"/>
                <w:color w:val="auto"/>
                <w:kern w:val="0"/>
                <w:sz w:val="16"/>
                <w:szCs w:val="16"/>
              </w:rPr>
            </w:pPr>
            <w:r w:rsidRPr="00894701">
              <w:rPr>
                <w:rFonts w:cs="Arial"/>
                <w:color w:val="auto"/>
                <w:kern w:val="0"/>
                <w:sz w:val="16"/>
                <w:szCs w:val="16"/>
              </w:rPr>
              <w:t>ExxonMobil Exploration and Production Suriname B.V.</w:t>
            </w:r>
          </w:p>
        </w:tc>
        <w:tc>
          <w:tcPr>
            <w:tcW w:w="426" w:type="pct"/>
            <w:tcBorders>
              <w:top w:val="nil"/>
              <w:left w:val="nil"/>
              <w:bottom w:val="nil"/>
              <w:right w:val="nil"/>
            </w:tcBorders>
            <w:shd w:val="clear" w:color="000000" w:fill="FFFFFF"/>
            <w:noWrap/>
            <w:vAlign w:val="center"/>
          </w:tcPr>
          <w:p w14:paraId="214D525B" w14:textId="2BF21F3F"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129,398</w:t>
            </w:r>
          </w:p>
        </w:tc>
        <w:tc>
          <w:tcPr>
            <w:tcW w:w="425" w:type="pct"/>
            <w:tcBorders>
              <w:top w:val="nil"/>
              <w:left w:val="nil"/>
              <w:bottom w:val="nil"/>
              <w:right w:val="nil"/>
            </w:tcBorders>
            <w:shd w:val="clear" w:color="000000" w:fill="FFFFFF"/>
            <w:noWrap/>
            <w:vAlign w:val="center"/>
          </w:tcPr>
          <w:p w14:paraId="2E5D35F7" w14:textId="4DA04DBF"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129,398</w:t>
            </w:r>
          </w:p>
        </w:tc>
        <w:tc>
          <w:tcPr>
            <w:tcW w:w="379" w:type="pct"/>
            <w:tcBorders>
              <w:top w:val="nil"/>
              <w:left w:val="nil"/>
              <w:bottom w:val="nil"/>
              <w:right w:val="single" w:sz="8" w:space="0" w:color="FF0000"/>
            </w:tcBorders>
            <w:shd w:val="clear" w:color="000000" w:fill="FFFFFF"/>
            <w:noWrap/>
            <w:vAlign w:val="center"/>
          </w:tcPr>
          <w:p w14:paraId="48EC1474" w14:textId="6F6150CA"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w:t>
            </w:r>
          </w:p>
        </w:tc>
        <w:tc>
          <w:tcPr>
            <w:tcW w:w="470" w:type="pct"/>
            <w:tcBorders>
              <w:top w:val="nil"/>
              <w:left w:val="nil"/>
              <w:bottom w:val="nil"/>
              <w:right w:val="nil"/>
            </w:tcBorders>
            <w:shd w:val="clear" w:color="000000" w:fill="FFFFFF"/>
            <w:noWrap/>
            <w:vAlign w:val="center"/>
          </w:tcPr>
          <w:p w14:paraId="23D98A2C" w14:textId="2DF0EC6C"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000000" w:fill="FFFFFF"/>
            <w:noWrap/>
            <w:vAlign w:val="center"/>
          </w:tcPr>
          <w:p w14:paraId="6B968044" w14:textId="29A2FBBF"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w:t>
            </w:r>
          </w:p>
        </w:tc>
        <w:tc>
          <w:tcPr>
            <w:tcW w:w="403" w:type="pct"/>
            <w:tcBorders>
              <w:top w:val="nil"/>
              <w:left w:val="nil"/>
              <w:bottom w:val="nil"/>
              <w:right w:val="single" w:sz="8" w:space="0" w:color="FF0000"/>
            </w:tcBorders>
            <w:shd w:val="clear" w:color="000000" w:fill="FFFFFF"/>
            <w:noWrap/>
            <w:vAlign w:val="center"/>
          </w:tcPr>
          <w:p w14:paraId="07C39915" w14:textId="7143B0EC"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w:t>
            </w:r>
          </w:p>
        </w:tc>
        <w:tc>
          <w:tcPr>
            <w:tcW w:w="448" w:type="pct"/>
            <w:tcBorders>
              <w:top w:val="nil"/>
              <w:left w:val="nil"/>
              <w:bottom w:val="nil"/>
              <w:right w:val="nil"/>
            </w:tcBorders>
            <w:shd w:val="clear" w:color="000000" w:fill="FFFFFF"/>
            <w:noWrap/>
            <w:vAlign w:val="center"/>
          </w:tcPr>
          <w:p w14:paraId="75D46F27" w14:textId="069D6CE9"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129,398</w:t>
            </w:r>
          </w:p>
        </w:tc>
        <w:tc>
          <w:tcPr>
            <w:tcW w:w="425" w:type="pct"/>
            <w:tcBorders>
              <w:top w:val="nil"/>
              <w:left w:val="nil"/>
              <w:bottom w:val="nil"/>
              <w:right w:val="nil"/>
            </w:tcBorders>
            <w:shd w:val="clear" w:color="000000" w:fill="FFFFFF"/>
            <w:noWrap/>
            <w:vAlign w:val="center"/>
          </w:tcPr>
          <w:p w14:paraId="71B911AB" w14:textId="4159A913" w:rsidR="003C1E50" w:rsidRPr="00894701" w:rsidRDefault="003C1E50" w:rsidP="003C1E50">
            <w:pPr>
              <w:spacing w:before="60" w:after="60" w:line="240" w:lineRule="auto"/>
              <w:jc w:val="right"/>
              <w:rPr>
                <w:rFonts w:cs="Arial"/>
                <w:color w:val="auto"/>
                <w:kern w:val="0"/>
                <w:sz w:val="16"/>
                <w:szCs w:val="16"/>
              </w:rPr>
            </w:pPr>
            <w:r w:rsidRPr="00894701">
              <w:rPr>
                <w:rFonts w:cs="Arial"/>
                <w:color w:val="auto"/>
                <w:sz w:val="16"/>
                <w:szCs w:val="16"/>
              </w:rPr>
              <w:t>129,398</w:t>
            </w:r>
          </w:p>
        </w:tc>
        <w:tc>
          <w:tcPr>
            <w:tcW w:w="422" w:type="pct"/>
            <w:tcBorders>
              <w:top w:val="nil"/>
              <w:left w:val="nil"/>
              <w:bottom w:val="nil"/>
              <w:right w:val="nil"/>
            </w:tcBorders>
            <w:shd w:val="clear" w:color="000000" w:fill="FFFFFF"/>
            <w:noWrap/>
            <w:vAlign w:val="center"/>
          </w:tcPr>
          <w:p w14:paraId="63E7B98A" w14:textId="1FB4F81D" w:rsidR="003C1E50" w:rsidRPr="00894701" w:rsidRDefault="003C1E50" w:rsidP="003C1E50">
            <w:pPr>
              <w:spacing w:before="60" w:after="60" w:line="240" w:lineRule="auto"/>
              <w:jc w:val="right"/>
              <w:rPr>
                <w:rFonts w:cs="Arial"/>
                <w:color w:val="auto"/>
                <w:kern w:val="0"/>
                <w:sz w:val="16"/>
                <w:szCs w:val="16"/>
              </w:rPr>
            </w:pPr>
            <w:r w:rsidRPr="00894701">
              <w:rPr>
                <w:rFonts w:cs="Arial"/>
                <w:sz w:val="16"/>
                <w:szCs w:val="16"/>
              </w:rPr>
              <w:t>-</w:t>
            </w:r>
          </w:p>
        </w:tc>
      </w:tr>
      <w:tr w:rsidR="003C1E50" w:rsidRPr="00894701" w14:paraId="1A1B7228" w14:textId="77777777" w:rsidTr="00EA1802">
        <w:trPr>
          <w:trHeight w:val="20"/>
          <w:jc w:val="center"/>
        </w:trPr>
        <w:tc>
          <w:tcPr>
            <w:tcW w:w="122" w:type="pct"/>
            <w:tcBorders>
              <w:top w:val="nil"/>
              <w:left w:val="nil"/>
              <w:bottom w:val="single" w:sz="8" w:space="0" w:color="FF0000"/>
              <w:right w:val="nil"/>
            </w:tcBorders>
            <w:shd w:val="clear" w:color="000000" w:fill="7A091A"/>
            <w:vAlign w:val="center"/>
            <w:hideMark/>
          </w:tcPr>
          <w:p w14:paraId="00BDB6C8" w14:textId="77777777" w:rsidR="003C1E50" w:rsidRPr="00894701" w:rsidRDefault="003C1E50" w:rsidP="003C1E50">
            <w:pPr>
              <w:spacing w:before="60" w:after="60" w:line="240" w:lineRule="auto"/>
              <w:rPr>
                <w:rFonts w:cs="Arial"/>
                <w:b/>
                <w:bCs/>
                <w:color w:val="FFFFFF"/>
                <w:kern w:val="0"/>
                <w:sz w:val="16"/>
                <w:szCs w:val="16"/>
              </w:rPr>
            </w:pPr>
            <w:r w:rsidRPr="00894701">
              <w:rPr>
                <w:rFonts w:cs="Arial"/>
                <w:b/>
                <w:bCs/>
                <w:color w:val="FFFFFF"/>
                <w:kern w:val="0"/>
                <w:sz w:val="16"/>
                <w:szCs w:val="16"/>
              </w:rPr>
              <w:t> </w:t>
            </w:r>
          </w:p>
        </w:tc>
        <w:tc>
          <w:tcPr>
            <w:tcW w:w="1012" w:type="pct"/>
            <w:tcBorders>
              <w:top w:val="nil"/>
              <w:left w:val="nil"/>
              <w:bottom w:val="single" w:sz="8" w:space="0" w:color="FF0000"/>
              <w:right w:val="single" w:sz="8" w:space="0" w:color="FF0000"/>
            </w:tcBorders>
            <w:shd w:val="clear" w:color="000000" w:fill="7A091A"/>
            <w:vAlign w:val="center"/>
            <w:hideMark/>
          </w:tcPr>
          <w:p w14:paraId="0919CA96" w14:textId="77777777" w:rsidR="003C1E50" w:rsidRPr="00894701" w:rsidRDefault="003C1E50" w:rsidP="003C1E50">
            <w:pPr>
              <w:spacing w:before="60" w:after="60" w:line="240" w:lineRule="auto"/>
              <w:rPr>
                <w:rFonts w:cs="Arial"/>
                <w:b/>
                <w:bCs/>
                <w:color w:val="FFFFFF"/>
                <w:kern w:val="0"/>
                <w:sz w:val="16"/>
                <w:szCs w:val="16"/>
              </w:rPr>
            </w:pPr>
            <w:r w:rsidRPr="00894701">
              <w:rPr>
                <w:rFonts w:cs="Arial"/>
                <w:b/>
                <w:bCs/>
                <w:color w:val="FFFFFF"/>
                <w:kern w:val="0"/>
                <w:sz w:val="16"/>
                <w:szCs w:val="16"/>
              </w:rPr>
              <w:t>Total</w:t>
            </w:r>
          </w:p>
        </w:tc>
        <w:tc>
          <w:tcPr>
            <w:tcW w:w="426" w:type="pct"/>
            <w:tcBorders>
              <w:top w:val="nil"/>
              <w:left w:val="nil"/>
              <w:bottom w:val="single" w:sz="8" w:space="0" w:color="FF0000"/>
              <w:right w:val="nil"/>
            </w:tcBorders>
            <w:shd w:val="clear" w:color="000000" w:fill="7A091A"/>
            <w:vAlign w:val="center"/>
          </w:tcPr>
          <w:p w14:paraId="3D7D8B40" w14:textId="65750107" w:rsidR="003C1E50" w:rsidRPr="00894701" w:rsidRDefault="003C1E50" w:rsidP="003C1E50">
            <w:pPr>
              <w:spacing w:before="60" w:after="60" w:line="240" w:lineRule="auto"/>
              <w:jc w:val="right"/>
              <w:rPr>
                <w:rFonts w:cs="Arial"/>
                <w:b/>
                <w:bCs/>
                <w:color w:val="FFFFFF"/>
                <w:kern w:val="0"/>
                <w:sz w:val="16"/>
                <w:szCs w:val="16"/>
              </w:rPr>
            </w:pPr>
            <w:r w:rsidRPr="00894701">
              <w:rPr>
                <w:rFonts w:cs="Arial"/>
                <w:b/>
                <w:bCs/>
                <w:color w:val="FFFFFF"/>
                <w:sz w:val="16"/>
                <w:szCs w:val="16"/>
              </w:rPr>
              <w:t>171,181,164</w:t>
            </w:r>
          </w:p>
        </w:tc>
        <w:tc>
          <w:tcPr>
            <w:tcW w:w="425" w:type="pct"/>
            <w:tcBorders>
              <w:top w:val="nil"/>
              <w:left w:val="nil"/>
              <w:bottom w:val="single" w:sz="8" w:space="0" w:color="FF0000"/>
              <w:right w:val="nil"/>
            </w:tcBorders>
            <w:shd w:val="clear" w:color="000000" w:fill="7A091A"/>
            <w:vAlign w:val="center"/>
          </w:tcPr>
          <w:p w14:paraId="1453E26B" w14:textId="2BA7DA80" w:rsidR="003C1E50" w:rsidRPr="00894701" w:rsidRDefault="003C1E50" w:rsidP="003C1E50">
            <w:pPr>
              <w:spacing w:before="60" w:after="60" w:line="240" w:lineRule="auto"/>
              <w:jc w:val="right"/>
              <w:rPr>
                <w:rFonts w:cs="Arial"/>
                <w:b/>
                <w:bCs/>
                <w:color w:val="FFFFFF"/>
                <w:kern w:val="0"/>
                <w:sz w:val="16"/>
                <w:szCs w:val="16"/>
              </w:rPr>
            </w:pPr>
            <w:r w:rsidRPr="00894701">
              <w:rPr>
                <w:rFonts w:cs="Arial"/>
                <w:b/>
                <w:bCs/>
                <w:color w:val="FFFFFF"/>
                <w:sz w:val="16"/>
                <w:szCs w:val="16"/>
              </w:rPr>
              <w:t>166,911,210</w:t>
            </w:r>
          </w:p>
        </w:tc>
        <w:tc>
          <w:tcPr>
            <w:tcW w:w="379" w:type="pct"/>
            <w:tcBorders>
              <w:top w:val="nil"/>
              <w:left w:val="nil"/>
              <w:bottom w:val="single" w:sz="8" w:space="0" w:color="FF0000"/>
              <w:right w:val="single" w:sz="8" w:space="0" w:color="FF0000"/>
            </w:tcBorders>
            <w:shd w:val="clear" w:color="000000" w:fill="7A091A"/>
            <w:vAlign w:val="center"/>
          </w:tcPr>
          <w:p w14:paraId="7121DBAA" w14:textId="1FF202F8" w:rsidR="003C1E50" w:rsidRPr="00894701" w:rsidRDefault="003C1E50" w:rsidP="003C1E50">
            <w:pPr>
              <w:spacing w:before="60" w:after="60" w:line="240" w:lineRule="auto"/>
              <w:jc w:val="right"/>
              <w:rPr>
                <w:rFonts w:cs="Arial"/>
                <w:b/>
                <w:bCs/>
                <w:color w:val="FFFFFF"/>
                <w:kern w:val="0"/>
                <w:sz w:val="16"/>
                <w:szCs w:val="16"/>
              </w:rPr>
            </w:pPr>
            <w:r w:rsidRPr="00894701">
              <w:rPr>
                <w:rFonts w:cs="Arial"/>
                <w:b/>
                <w:bCs/>
                <w:color w:val="FFFFFF"/>
                <w:sz w:val="16"/>
                <w:szCs w:val="16"/>
              </w:rPr>
              <w:t>4,269,954</w:t>
            </w:r>
          </w:p>
        </w:tc>
        <w:tc>
          <w:tcPr>
            <w:tcW w:w="470" w:type="pct"/>
            <w:tcBorders>
              <w:top w:val="nil"/>
              <w:left w:val="nil"/>
              <w:bottom w:val="single" w:sz="8" w:space="0" w:color="FF0000"/>
              <w:right w:val="nil"/>
            </w:tcBorders>
            <w:shd w:val="clear" w:color="000000" w:fill="7A091A"/>
            <w:vAlign w:val="center"/>
          </w:tcPr>
          <w:p w14:paraId="3AF4FCD3" w14:textId="76A816AC" w:rsidR="003C1E50" w:rsidRPr="00894701" w:rsidRDefault="003C1E50" w:rsidP="003C1E50">
            <w:pPr>
              <w:spacing w:before="60" w:after="60" w:line="240" w:lineRule="auto"/>
              <w:jc w:val="right"/>
              <w:rPr>
                <w:rFonts w:cs="Arial"/>
                <w:b/>
                <w:bCs/>
                <w:color w:val="FFFFFF"/>
                <w:kern w:val="0"/>
                <w:sz w:val="16"/>
                <w:szCs w:val="16"/>
              </w:rPr>
            </w:pPr>
            <w:r w:rsidRPr="00894701">
              <w:rPr>
                <w:rFonts w:cs="Arial"/>
                <w:b/>
                <w:bCs/>
                <w:color w:val="FFFFFF"/>
                <w:sz w:val="16"/>
                <w:szCs w:val="16"/>
              </w:rPr>
              <w:t>1,606,175</w:t>
            </w:r>
          </w:p>
        </w:tc>
        <w:tc>
          <w:tcPr>
            <w:tcW w:w="468" w:type="pct"/>
            <w:tcBorders>
              <w:top w:val="nil"/>
              <w:left w:val="nil"/>
              <w:bottom w:val="single" w:sz="8" w:space="0" w:color="FF0000"/>
              <w:right w:val="nil"/>
            </w:tcBorders>
            <w:shd w:val="clear" w:color="000000" w:fill="7A091A"/>
            <w:vAlign w:val="center"/>
          </w:tcPr>
          <w:p w14:paraId="6393EC10" w14:textId="26F60403" w:rsidR="003C1E50" w:rsidRPr="00894701" w:rsidRDefault="003C1E50" w:rsidP="003C1E50">
            <w:pPr>
              <w:spacing w:before="60" w:after="60" w:line="240" w:lineRule="auto"/>
              <w:jc w:val="right"/>
              <w:rPr>
                <w:rFonts w:cs="Arial"/>
                <w:b/>
                <w:bCs/>
                <w:color w:val="FFFFFF"/>
                <w:kern w:val="0"/>
                <w:sz w:val="16"/>
                <w:szCs w:val="16"/>
              </w:rPr>
            </w:pPr>
            <w:r w:rsidRPr="00894701">
              <w:rPr>
                <w:rFonts w:cs="Arial"/>
                <w:b/>
                <w:bCs/>
                <w:color w:val="FFFFFF"/>
                <w:sz w:val="16"/>
                <w:szCs w:val="16"/>
              </w:rPr>
              <w:t>5,876,126</w:t>
            </w:r>
          </w:p>
        </w:tc>
        <w:tc>
          <w:tcPr>
            <w:tcW w:w="403" w:type="pct"/>
            <w:tcBorders>
              <w:top w:val="nil"/>
              <w:left w:val="nil"/>
              <w:bottom w:val="single" w:sz="8" w:space="0" w:color="FF0000"/>
              <w:right w:val="single" w:sz="8" w:space="0" w:color="FF0000"/>
            </w:tcBorders>
            <w:shd w:val="clear" w:color="000000" w:fill="7A091A"/>
            <w:vAlign w:val="center"/>
          </w:tcPr>
          <w:p w14:paraId="3CD4119B" w14:textId="210E18A5" w:rsidR="003C1E50" w:rsidRPr="00894701" w:rsidRDefault="003C1E50" w:rsidP="003C1E50">
            <w:pPr>
              <w:spacing w:before="60" w:after="60" w:line="240" w:lineRule="auto"/>
              <w:jc w:val="right"/>
              <w:rPr>
                <w:rFonts w:cs="Arial"/>
                <w:b/>
                <w:bCs/>
                <w:color w:val="FFFFFF"/>
                <w:kern w:val="0"/>
                <w:sz w:val="16"/>
                <w:szCs w:val="16"/>
              </w:rPr>
            </w:pPr>
            <w:r w:rsidRPr="00894701">
              <w:rPr>
                <w:rFonts w:cs="Arial"/>
                <w:b/>
                <w:bCs/>
                <w:color w:val="FFFFFF"/>
                <w:sz w:val="16"/>
                <w:szCs w:val="16"/>
              </w:rPr>
              <w:t>(4,269,951)</w:t>
            </w:r>
          </w:p>
        </w:tc>
        <w:tc>
          <w:tcPr>
            <w:tcW w:w="448" w:type="pct"/>
            <w:tcBorders>
              <w:top w:val="nil"/>
              <w:left w:val="nil"/>
              <w:bottom w:val="single" w:sz="8" w:space="0" w:color="FF0000"/>
              <w:right w:val="nil"/>
            </w:tcBorders>
            <w:shd w:val="clear" w:color="000000" w:fill="7A091A"/>
            <w:vAlign w:val="center"/>
          </w:tcPr>
          <w:p w14:paraId="2EB44173" w14:textId="74EE8C96" w:rsidR="003C1E50" w:rsidRPr="00894701" w:rsidRDefault="003C1E50" w:rsidP="003C1E50">
            <w:pPr>
              <w:spacing w:before="60" w:after="60" w:line="240" w:lineRule="auto"/>
              <w:jc w:val="right"/>
              <w:rPr>
                <w:rFonts w:cs="Arial"/>
                <w:b/>
                <w:bCs/>
                <w:color w:val="FFFFFF"/>
                <w:kern w:val="0"/>
                <w:sz w:val="16"/>
                <w:szCs w:val="16"/>
              </w:rPr>
            </w:pPr>
            <w:r w:rsidRPr="00894701">
              <w:rPr>
                <w:rFonts w:cs="Arial"/>
                <w:b/>
                <w:bCs/>
                <w:color w:val="FFFFFF"/>
                <w:sz w:val="16"/>
                <w:szCs w:val="16"/>
              </w:rPr>
              <w:t>172,787,339</w:t>
            </w:r>
          </w:p>
        </w:tc>
        <w:tc>
          <w:tcPr>
            <w:tcW w:w="425" w:type="pct"/>
            <w:tcBorders>
              <w:top w:val="nil"/>
              <w:left w:val="nil"/>
              <w:bottom w:val="single" w:sz="8" w:space="0" w:color="FF0000"/>
              <w:right w:val="nil"/>
            </w:tcBorders>
            <w:shd w:val="clear" w:color="000000" w:fill="7A091A"/>
            <w:vAlign w:val="center"/>
          </w:tcPr>
          <w:p w14:paraId="543F9FF5" w14:textId="201DF276" w:rsidR="003C1E50" w:rsidRPr="00894701" w:rsidRDefault="003C1E50" w:rsidP="003C1E50">
            <w:pPr>
              <w:spacing w:before="60" w:after="60" w:line="240" w:lineRule="auto"/>
              <w:jc w:val="right"/>
              <w:rPr>
                <w:rFonts w:cs="Arial"/>
                <w:b/>
                <w:bCs/>
                <w:color w:val="FFFFFF"/>
                <w:kern w:val="0"/>
                <w:sz w:val="16"/>
                <w:szCs w:val="16"/>
              </w:rPr>
            </w:pPr>
            <w:r w:rsidRPr="00894701">
              <w:rPr>
                <w:rFonts w:cs="Arial"/>
                <w:b/>
                <w:bCs/>
                <w:color w:val="FFFFFF"/>
                <w:sz w:val="16"/>
                <w:szCs w:val="16"/>
              </w:rPr>
              <w:t>172,787,336</w:t>
            </w:r>
          </w:p>
        </w:tc>
        <w:tc>
          <w:tcPr>
            <w:tcW w:w="422" w:type="pct"/>
            <w:tcBorders>
              <w:top w:val="nil"/>
              <w:left w:val="nil"/>
              <w:bottom w:val="single" w:sz="8" w:space="0" w:color="FF0000"/>
              <w:right w:val="single" w:sz="8" w:space="0" w:color="FF0000"/>
            </w:tcBorders>
            <w:shd w:val="clear" w:color="000000" w:fill="7A091A"/>
            <w:vAlign w:val="center"/>
          </w:tcPr>
          <w:p w14:paraId="27E86946" w14:textId="54788333" w:rsidR="003C1E50" w:rsidRPr="00894701" w:rsidRDefault="003C1E50" w:rsidP="003C1E50">
            <w:pPr>
              <w:spacing w:before="60" w:after="60" w:line="240" w:lineRule="auto"/>
              <w:jc w:val="right"/>
              <w:rPr>
                <w:rFonts w:cs="Arial"/>
                <w:b/>
                <w:bCs/>
                <w:color w:val="FFFFFF"/>
                <w:kern w:val="0"/>
                <w:sz w:val="16"/>
                <w:szCs w:val="16"/>
              </w:rPr>
            </w:pPr>
            <w:r w:rsidRPr="00894701">
              <w:rPr>
                <w:rFonts w:cs="Arial"/>
                <w:b/>
                <w:bCs/>
                <w:color w:val="FFFFFF"/>
                <w:sz w:val="16"/>
                <w:szCs w:val="16"/>
              </w:rPr>
              <w:t>3</w:t>
            </w:r>
          </w:p>
        </w:tc>
      </w:tr>
    </w:tbl>
    <w:p w14:paraId="32732BAB" w14:textId="77777777" w:rsidR="002F4BAB" w:rsidRPr="00894701" w:rsidRDefault="002F4BAB" w:rsidP="002F4BAB">
      <w:pPr>
        <w:spacing w:after="0" w:line="240" w:lineRule="auto"/>
        <w:rPr>
          <w:rFonts w:asciiTheme="minorHAnsi" w:hAnsiTheme="minorHAnsi"/>
        </w:rPr>
      </w:pPr>
      <w:r w:rsidRPr="00894701">
        <w:rPr>
          <w:rFonts w:cs="Arial"/>
          <w:i/>
          <w:color w:val="auto"/>
          <w:szCs w:val="18"/>
        </w:rPr>
        <w:t>Source: EITI Reporting Templates</w:t>
      </w:r>
    </w:p>
    <w:p w14:paraId="075F1AFD" w14:textId="77777777" w:rsidR="002F4BAB" w:rsidRPr="00894701" w:rsidRDefault="002F4BAB" w:rsidP="002F4BAB">
      <w:pPr>
        <w:spacing w:after="0" w:line="240" w:lineRule="auto"/>
        <w:rPr>
          <w:rFonts w:asciiTheme="minorHAnsi" w:hAnsiTheme="minorHAnsi"/>
        </w:rPr>
      </w:pPr>
      <w:r w:rsidRPr="00894701">
        <w:rPr>
          <w:rFonts w:asciiTheme="minorHAnsi" w:hAnsiTheme="minorHAnsi"/>
        </w:rPr>
        <w:br w:type="page"/>
      </w:r>
    </w:p>
    <w:p w14:paraId="669B038C" w14:textId="77777777" w:rsidR="002F4BAB" w:rsidRPr="00894701" w:rsidRDefault="002F4BAB" w:rsidP="002F4BAB">
      <w:pPr>
        <w:spacing w:after="0" w:line="240" w:lineRule="auto"/>
        <w:rPr>
          <w:rFonts w:asciiTheme="minorHAnsi" w:hAnsiTheme="minorHAnsi"/>
        </w:rPr>
      </w:pPr>
    </w:p>
    <w:p w14:paraId="63E3EF11" w14:textId="1518C50F" w:rsidR="002F4BAB" w:rsidRPr="00894701" w:rsidRDefault="002F4BAB" w:rsidP="002F4BAB">
      <w:pPr>
        <w:pStyle w:val="AltMinorSubHeading"/>
        <w:numPr>
          <w:ilvl w:val="0"/>
          <w:numId w:val="0"/>
        </w:numPr>
        <w:spacing w:before="120" w:after="120"/>
        <w:rPr>
          <w:color w:val="ED1A3B"/>
        </w:rPr>
      </w:pPr>
      <w:bookmarkStart w:id="471" w:name="_Toc101350054"/>
      <w:bookmarkStart w:id="472" w:name="_Toc122478946"/>
      <w:r w:rsidRPr="00894701">
        <w:rPr>
          <w:iCs w:val="0"/>
          <w:color w:val="ED1A3B"/>
        </w:rPr>
        <w:t xml:space="preserve">5.2.1.(b) </w:t>
      </w:r>
      <w:r w:rsidRPr="00894701">
        <w:rPr>
          <w:color w:val="ED1A3B"/>
        </w:rPr>
        <w:t>Reconciliation by revenue stream</w:t>
      </w:r>
      <w:bookmarkEnd w:id="471"/>
      <w:bookmarkEnd w:id="472"/>
    </w:p>
    <w:p w14:paraId="3A575DE1" w14:textId="77777777" w:rsidR="002F4BAB" w:rsidRPr="00894701" w:rsidRDefault="002F4BAB" w:rsidP="002F4BAB">
      <w:pPr>
        <w:jc w:val="both"/>
        <w:rPr>
          <w:rFonts w:cs="Arial"/>
          <w:color w:val="auto"/>
          <w:sz w:val="20"/>
          <w:lang w:eastAsia="fr-FR"/>
        </w:rPr>
      </w:pPr>
      <w:r w:rsidRPr="00894701">
        <w:rPr>
          <w:rFonts w:cs="Arial"/>
          <w:color w:val="auto"/>
          <w:sz w:val="20"/>
          <w:lang w:eastAsia="fr-FR"/>
        </w:rPr>
        <w:t xml:space="preserve">The table below shows the total </w:t>
      </w:r>
      <w:r w:rsidRPr="00894701">
        <w:rPr>
          <w:rFonts w:cs="Arial"/>
          <w:color w:val="auto"/>
          <w:sz w:val="20"/>
        </w:rPr>
        <w:t>initial</w:t>
      </w:r>
      <w:r w:rsidRPr="00894701">
        <w:rPr>
          <w:rFonts w:cs="Arial"/>
          <w:color w:val="auto"/>
          <w:sz w:val="20"/>
          <w:lang w:eastAsia="fr-FR"/>
        </w:rPr>
        <w:t xml:space="preserve"> payments reported by extractive </w:t>
      </w:r>
      <w:r w:rsidRPr="00894701">
        <w:rPr>
          <w:rFonts w:cs="Arial"/>
          <w:bCs/>
          <w:color w:val="auto"/>
          <w:kern w:val="0"/>
          <w:sz w:val="20"/>
          <w:szCs w:val="20"/>
          <w:lang w:eastAsia="en-US"/>
        </w:rPr>
        <w:t>entities</w:t>
      </w:r>
      <w:r w:rsidRPr="00894701">
        <w:rPr>
          <w:rFonts w:cs="Arial"/>
          <w:color w:val="auto"/>
          <w:sz w:val="20"/>
          <w:lang w:eastAsia="fr-FR"/>
        </w:rPr>
        <w:t xml:space="preserve"> and Government Agencies, after adjustments:</w:t>
      </w:r>
    </w:p>
    <w:p w14:paraId="16B7C739" w14:textId="33D41242" w:rsidR="002F4BAB" w:rsidRPr="00894701" w:rsidRDefault="002F4BAB" w:rsidP="00C877AB">
      <w:pPr>
        <w:spacing w:after="0"/>
        <w:jc w:val="right"/>
        <w:rPr>
          <w:b/>
          <w:bCs/>
          <w:noProof/>
          <w:color w:val="98002E" w:themeColor="accent3"/>
          <w:sz w:val="20"/>
          <w:szCs w:val="20"/>
        </w:rPr>
      </w:pPr>
      <w:bookmarkStart w:id="473" w:name="_Toc6924847"/>
      <w:bookmarkStart w:id="474" w:name="_Toc104557738"/>
      <w:bookmarkStart w:id="475" w:name="_Toc117539617"/>
      <w:bookmarkStart w:id="476" w:name="_Toc146590526"/>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54</w:t>
      </w:r>
      <w:r w:rsidRPr="00894701">
        <w:rPr>
          <w:b/>
          <w:bCs/>
          <w:color w:val="98002E" w:themeColor="accent3"/>
          <w:sz w:val="20"/>
          <w:szCs w:val="20"/>
        </w:rPr>
        <w:fldChar w:fldCharType="end"/>
      </w:r>
      <w:r w:rsidRPr="00894701">
        <w:rPr>
          <w:b/>
          <w:bCs/>
          <w:color w:val="98002E" w:themeColor="accent3"/>
          <w:sz w:val="20"/>
          <w:szCs w:val="20"/>
        </w:rPr>
        <w:t>: Reconciliation by revenue stream</w:t>
      </w:r>
      <w:bookmarkEnd w:id="473"/>
      <w:r w:rsidRPr="00894701">
        <w:rPr>
          <w:b/>
          <w:bCs/>
          <w:color w:val="98002E" w:themeColor="accent3"/>
          <w:sz w:val="20"/>
          <w:szCs w:val="20"/>
        </w:rPr>
        <w:t xml:space="preserve"> </w:t>
      </w:r>
      <w:r w:rsidRPr="00894701">
        <w:rPr>
          <w:b/>
          <w:bCs/>
          <w:noProof/>
          <w:color w:val="98002E" w:themeColor="accent3"/>
          <w:sz w:val="20"/>
          <w:szCs w:val="20"/>
        </w:rPr>
        <w:t>for the fiscal year 2018</w:t>
      </w:r>
      <w:bookmarkEnd w:id="474"/>
      <w:bookmarkEnd w:id="475"/>
      <w:r w:rsidR="00C877AB" w:rsidRPr="00894701">
        <w:rPr>
          <w:rFonts w:cs="Arial"/>
          <w:i/>
          <w:iCs/>
          <w:color w:val="000000"/>
          <w:szCs w:val="18"/>
          <w:lang w:eastAsia="fr-FR"/>
        </w:rPr>
        <w:t xml:space="preserve">                                               </w:t>
      </w:r>
      <w:r w:rsidRPr="00894701">
        <w:rPr>
          <w:rFonts w:cs="Arial"/>
          <w:i/>
          <w:iCs/>
          <w:color w:val="000000"/>
          <w:szCs w:val="18"/>
          <w:lang w:eastAsia="fr-FR"/>
        </w:rPr>
        <w:t>Amounts in SRD</w:t>
      </w:r>
      <w:bookmarkEnd w:id="476"/>
    </w:p>
    <w:tbl>
      <w:tblPr>
        <w:tblW w:w="5398" w:type="pct"/>
        <w:jc w:val="center"/>
        <w:tblLayout w:type="fixed"/>
        <w:tblLook w:val="04A0" w:firstRow="1" w:lastRow="0" w:firstColumn="1" w:lastColumn="0" w:noHBand="0" w:noVBand="1"/>
      </w:tblPr>
      <w:tblGrid>
        <w:gridCol w:w="452"/>
        <w:gridCol w:w="2092"/>
        <w:gridCol w:w="1396"/>
        <w:gridCol w:w="1532"/>
        <w:gridCol w:w="1405"/>
        <w:gridCol w:w="1384"/>
        <w:gridCol w:w="1279"/>
        <w:gridCol w:w="1282"/>
        <w:gridCol w:w="1408"/>
        <w:gridCol w:w="1556"/>
        <w:gridCol w:w="1261"/>
      </w:tblGrid>
      <w:tr w:rsidR="002F4BAB" w:rsidRPr="00894701" w14:paraId="57EEA478" w14:textId="77777777" w:rsidTr="00AA49E3">
        <w:trPr>
          <w:trHeight w:val="227"/>
          <w:tblHeader/>
          <w:jc w:val="center"/>
        </w:trPr>
        <w:tc>
          <w:tcPr>
            <w:tcW w:w="150" w:type="pct"/>
            <w:vMerge w:val="restart"/>
            <w:tcBorders>
              <w:top w:val="single" w:sz="8" w:space="0" w:color="FF0000"/>
              <w:left w:val="single" w:sz="8" w:space="0" w:color="FF0000"/>
              <w:bottom w:val="single" w:sz="8" w:space="0" w:color="FF0000"/>
              <w:right w:val="nil"/>
            </w:tcBorders>
            <w:shd w:val="clear" w:color="000000" w:fill="7A091A"/>
            <w:tcMar>
              <w:left w:w="28" w:type="dxa"/>
              <w:right w:w="28" w:type="dxa"/>
            </w:tcMar>
            <w:vAlign w:val="center"/>
            <w:hideMark/>
          </w:tcPr>
          <w:p w14:paraId="23629C71" w14:textId="77777777" w:rsidR="002F4BAB" w:rsidRPr="00894701" w:rsidRDefault="002F4BAB" w:rsidP="002209C2">
            <w:pPr>
              <w:spacing w:after="0" w:line="240" w:lineRule="auto"/>
              <w:rPr>
                <w:rFonts w:cs="Arial"/>
                <w:b/>
                <w:bCs/>
                <w:color w:val="FFFFFF"/>
                <w:kern w:val="0"/>
                <w:sz w:val="16"/>
                <w:szCs w:val="16"/>
              </w:rPr>
            </w:pPr>
            <w:r w:rsidRPr="00894701">
              <w:rPr>
                <w:rFonts w:cs="Arial"/>
                <w:b/>
                <w:bCs/>
                <w:color w:val="FFFFFF"/>
                <w:kern w:val="0"/>
                <w:sz w:val="16"/>
                <w:szCs w:val="16"/>
              </w:rPr>
              <w:t>N°</w:t>
            </w:r>
          </w:p>
        </w:tc>
        <w:tc>
          <w:tcPr>
            <w:tcW w:w="695" w:type="pct"/>
            <w:vMerge w:val="restart"/>
            <w:tcBorders>
              <w:top w:val="single" w:sz="8" w:space="0" w:color="FF0000"/>
              <w:left w:val="nil"/>
              <w:bottom w:val="single" w:sz="8" w:space="0" w:color="FF0000"/>
              <w:right w:val="nil"/>
            </w:tcBorders>
            <w:shd w:val="clear" w:color="000000" w:fill="7A091A"/>
            <w:vAlign w:val="center"/>
            <w:hideMark/>
          </w:tcPr>
          <w:p w14:paraId="19186083" w14:textId="77777777" w:rsidR="002F4BAB" w:rsidRPr="00894701" w:rsidRDefault="002F4BAB" w:rsidP="002209C2">
            <w:pPr>
              <w:spacing w:after="0" w:line="240" w:lineRule="auto"/>
              <w:jc w:val="center"/>
              <w:rPr>
                <w:rFonts w:cs="Arial"/>
                <w:b/>
                <w:bCs/>
                <w:color w:val="FFFFFF"/>
                <w:kern w:val="0"/>
                <w:sz w:val="16"/>
                <w:szCs w:val="16"/>
              </w:rPr>
            </w:pPr>
            <w:r w:rsidRPr="00894701">
              <w:rPr>
                <w:rFonts w:cs="Arial"/>
                <w:b/>
                <w:bCs/>
                <w:color w:val="FFFFFF"/>
                <w:kern w:val="0"/>
                <w:sz w:val="16"/>
                <w:szCs w:val="16"/>
              </w:rPr>
              <w:t>Description of Payment</w:t>
            </w:r>
          </w:p>
        </w:tc>
        <w:tc>
          <w:tcPr>
            <w:tcW w:w="1440" w:type="pct"/>
            <w:gridSpan w:val="3"/>
            <w:tcBorders>
              <w:top w:val="single" w:sz="8" w:space="0" w:color="FF0000"/>
              <w:left w:val="nil"/>
              <w:bottom w:val="single" w:sz="8" w:space="0" w:color="FF0000"/>
              <w:right w:val="nil"/>
            </w:tcBorders>
            <w:shd w:val="clear" w:color="000000" w:fill="7A091A"/>
            <w:vAlign w:val="center"/>
            <w:hideMark/>
          </w:tcPr>
          <w:p w14:paraId="573B43AD" w14:textId="77777777" w:rsidR="002F4BAB" w:rsidRPr="00894701" w:rsidRDefault="002F4BAB" w:rsidP="002209C2">
            <w:pPr>
              <w:spacing w:after="0" w:line="240" w:lineRule="auto"/>
              <w:jc w:val="center"/>
              <w:rPr>
                <w:rFonts w:cs="Arial"/>
                <w:b/>
                <w:bCs/>
                <w:color w:val="FFFFFF"/>
                <w:kern w:val="0"/>
                <w:sz w:val="16"/>
                <w:szCs w:val="16"/>
              </w:rPr>
            </w:pPr>
            <w:r w:rsidRPr="00894701">
              <w:rPr>
                <w:rFonts w:cs="Arial"/>
                <w:b/>
                <w:bCs/>
                <w:color w:val="FFFFFF"/>
                <w:kern w:val="0"/>
                <w:sz w:val="16"/>
                <w:szCs w:val="16"/>
              </w:rPr>
              <w:t>Templates originally lodged</w:t>
            </w:r>
          </w:p>
        </w:tc>
        <w:tc>
          <w:tcPr>
            <w:tcW w:w="1311" w:type="pct"/>
            <w:gridSpan w:val="3"/>
            <w:tcBorders>
              <w:top w:val="single" w:sz="8" w:space="0" w:color="FF0000"/>
              <w:left w:val="nil"/>
              <w:bottom w:val="single" w:sz="8" w:space="0" w:color="FF0000"/>
              <w:right w:val="nil"/>
            </w:tcBorders>
            <w:shd w:val="clear" w:color="000000" w:fill="7A091A"/>
            <w:vAlign w:val="center"/>
            <w:hideMark/>
          </w:tcPr>
          <w:p w14:paraId="17A025A2" w14:textId="77777777" w:rsidR="002F4BAB" w:rsidRPr="00894701" w:rsidRDefault="002F4BAB" w:rsidP="002209C2">
            <w:pPr>
              <w:spacing w:after="0" w:line="240" w:lineRule="auto"/>
              <w:jc w:val="center"/>
              <w:rPr>
                <w:rFonts w:cs="Arial"/>
                <w:b/>
                <w:bCs/>
                <w:color w:val="FFFFFF"/>
                <w:kern w:val="0"/>
                <w:sz w:val="16"/>
                <w:szCs w:val="16"/>
              </w:rPr>
            </w:pPr>
            <w:r w:rsidRPr="00894701">
              <w:rPr>
                <w:rFonts w:cs="Arial"/>
                <w:b/>
                <w:bCs/>
                <w:color w:val="FFFFFF"/>
                <w:kern w:val="0"/>
                <w:sz w:val="16"/>
                <w:szCs w:val="16"/>
              </w:rPr>
              <w:t>Adjustments</w:t>
            </w:r>
          </w:p>
        </w:tc>
        <w:tc>
          <w:tcPr>
            <w:tcW w:w="1404" w:type="pct"/>
            <w:gridSpan w:val="3"/>
            <w:tcBorders>
              <w:top w:val="single" w:sz="8" w:space="0" w:color="FF0000"/>
              <w:left w:val="nil"/>
              <w:bottom w:val="single" w:sz="8" w:space="0" w:color="FF0000"/>
              <w:right w:val="single" w:sz="8" w:space="0" w:color="FF0000"/>
            </w:tcBorders>
            <w:shd w:val="clear" w:color="000000" w:fill="7A091A"/>
            <w:vAlign w:val="center"/>
            <w:hideMark/>
          </w:tcPr>
          <w:p w14:paraId="75D06CE6" w14:textId="77777777" w:rsidR="002F4BAB" w:rsidRPr="00894701" w:rsidRDefault="002F4BAB" w:rsidP="002209C2">
            <w:pPr>
              <w:spacing w:after="0" w:line="240" w:lineRule="auto"/>
              <w:jc w:val="center"/>
              <w:rPr>
                <w:rFonts w:cs="Arial"/>
                <w:b/>
                <w:bCs/>
                <w:color w:val="FFFFFF"/>
                <w:kern w:val="0"/>
                <w:sz w:val="16"/>
                <w:szCs w:val="16"/>
              </w:rPr>
            </w:pPr>
            <w:r w:rsidRPr="00894701">
              <w:rPr>
                <w:rFonts w:cs="Arial"/>
                <w:b/>
                <w:bCs/>
                <w:color w:val="FFFFFF"/>
                <w:kern w:val="0"/>
                <w:sz w:val="16"/>
                <w:szCs w:val="16"/>
              </w:rPr>
              <w:t>Final amounts</w:t>
            </w:r>
          </w:p>
        </w:tc>
      </w:tr>
      <w:tr w:rsidR="002F4BAB" w:rsidRPr="00894701" w14:paraId="31E165A3" w14:textId="77777777" w:rsidTr="00AA49E3">
        <w:trPr>
          <w:trHeight w:val="227"/>
          <w:tblHeader/>
          <w:jc w:val="center"/>
        </w:trPr>
        <w:tc>
          <w:tcPr>
            <w:tcW w:w="150" w:type="pct"/>
            <w:vMerge/>
            <w:tcBorders>
              <w:top w:val="single" w:sz="8" w:space="0" w:color="FF0000"/>
              <w:left w:val="single" w:sz="8" w:space="0" w:color="FF0000"/>
              <w:bottom w:val="single" w:sz="8" w:space="0" w:color="FF0000"/>
              <w:right w:val="nil"/>
            </w:tcBorders>
            <w:tcMar>
              <w:left w:w="28" w:type="dxa"/>
              <w:right w:w="28" w:type="dxa"/>
            </w:tcMar>
            <w:vAlign w:val="center"/>
            <w:hideMark/>
          </w:tcPr>
          <w:p w14:paraId="7928859A" w14:textId="77777777" w:rsidR="002F4BAB" w:rsidRPr="00894701" w:rsidRDefault="002F4BAB" w:rsidP="002209C2">
            <w:pPr>
              <w:spacing w:after="0" w:line="240" w:lineRule="auto"/>
              <w:rPr>
                <w:rFonts w:cs="Arial"/>
                <w:b/>
                <w:bCs/>
                <w:color w:val="FFFFFF"/>
                <w:kern w:val="0"/>
                <w:sz w:val="16"/>
                <w:szCs w:val="16"/>
              </w:rPr>
            </w:pPr>
          </w:p>
        </w:tc>
        <w:tc>
          <w:tcPr>
            <w:tcW w:w="695" w:type="pct"/>
            <w:vMerge/>
            <w:tcBorders>
              <w:top w:val="single" w:sz="8" w:space="0" w:color="FF0000"/>
              <w:left w:val="nil"/>
              <w:bottom w:val="single" w:sz="8" w:space="0" w:color="FF0000"/>
              <w:right w:val="nil"/>
            </w:tcBorders>
            <w:vAlign w:val="center"/>
            <w:hideMark/>
          </w:tcPr>
          <w:p w14:paraId="229A685F" w14:textId="77777777" w:rsidR="002F4BAB" w:rsidRPr="00894701" w:rsidRDefault="002F4BAB" w:rsidP="002209C2">
            <w:pPr>
              <w:spacing w:after="0" w:line="240" w:lineRule="auto"/>
              <w:jc w:val="center"/>
              <w:rPr>
                <w:rFonts w:cs="Arial"/>
                <w:b/>
                <w:bCs/>
                <w:color w:val="FFFFFF"/>
                <w:kern w:val="0"/>
                <w:sz w:val="16"/>
                <w:szCs w:val="16"/>
              </w:rPr>
            </w:pPr>
          </w:p>
        </w:tc>
        <w:tc>
          <w:tcPr>
            <w:tcW w:w="464" w:type="pct"/>
            <w:tcBorders>
              <w:top w:val="nil"/>
              <w:left w:val="nil"/>
              <w:bottom w:val="single" w:sz="8" w:space="0" w:color="FF0000"/>
              <w:right w:val="nil"/>
            </w:tcBorders>
            <w:shd w:val="clear" w:color="000000" w:fill="7A091A"/>
            <w:vAlign w:val="center"/>
            <w:hideMark/>
          </w:tcPr>
          <w:p w14:paraId="18A2CF11" w14:textId="77777777" w:rsidR="002F4BAB" w:rsidRPr="00894701" w:rsidRDefault="002F4BAB" w:rsidP="00C108BA">
            <w:pPr>
              <w:spacing w:after="0" w:line="240" w:lineRule="auto"/>
              <w:jc w:val="right"/>
              <w:rPr>
                <w:rFonts w:cs="Arial"/>
                <w:b/>
                <w:bCs/>
                <w:color w:val="FFFFFF"/>
                <w:kern w:val="0"/>
                <w:sz w:val="16"/>
                <w:szCs w:val="16"/>
              </w:rPr>
            </w:pPr>
            <w:r w:rsidRPr="00894701">
              <w:rPr>
                <w:rFonts w:cs="Arial"/>
                <w:b/>
                <w:bCs/>
                <w:color w:val="FFFFFF"/>
                <w:kern w:val="0"/>
                <w:sz w:val="16"/>
                <w:szCs w:val="16"/>
              </w:rPr>
              <w:t>Extractive company</w:t>
            </w:r>
            <w:r w:rsidRPr="00894701">
              <w:rPr>
                <w:rFonts w:cs="Arial"/>
                <w:b/>
                <w:bCs/>
                <w:color w:val="FFFFFF"/>
                <w:kern w:val="0"/>
                <w:sz w:val="16"/>
                <w:szCs w:val="16"/>
              </w:rPr>
              <w:br/>
              <w:t>(a)</w:t>
            </w:r>
          </w:p>
        </w:tc>
        <w:tc>
          <w:tcPr>
            <w:tcW w:w="509" w:type="pct"/>
            <w:tcBorders>
              <w:top w:val="nil"/>
              <w:left w:val="nil"/>
              <w:bottom w:val="single" w:sz="8" w:space="0" w:color="FF0000"/>
              <w:right w:val="nil"/>
            </w:tcBorders>
            <w:shd w:val="clear" w:color="000000" w:fill="7A091A"/>
            <w:vAlign w:val="center"/>
            <w:hideMark/>
          </w:tcPr>
          <w:p w14:paraId="38EE8EC0" w14:textId="77777777" w:rsidR="002F4BAB" w:rsidRPr="00894701" w:rsidRDefault="002F4BAB" w:rsidP="00C108BA">
            <w:pPr>
              <w:spacing w:after="0" w:line="240" w:lineRule="auto"/>
              <w:jc w:val="right"/>
              <w:rPr>
                <w:rFonts w:cs="Arial"/>
                <w:b/>
                <w:bCs/>
                <w:color w:val="FFFFFF"/>
                <w:kern w:val="0"/>
                <w:sz w:val="16"/>
                <w:szCs w:val="16"/>
              </w:rPr>
            </w:pPr>
            <w:r w:rsidRPr="00894701">
              <w:rPr>
                <w:rFonts w:cs="Arial"/>
                <w:b/>
                <w:bCs/>
                <w:color w:val="FFFFFF"/>
                <w:kern w:val="0"/>
                <w:sz w:val="16"/>
                <w:szCs w:val="16"/>
              </w:rPr>
              <w:t>Government</w:t>
            </w:r>
            <w:r w:rsidRPr="00894701">
              <w:rPr>
                <w:rFonts w:cs="Arial"/>
                <w:b/>
                <w:bCs/>
                <w:color w:val="FFFFFF"/>
                <w:kern w:val="0"/>
                <w:sz w:val="16"/>
                <w:szCs w:val="16"/>
              </w:rPr>
              <w:br/>
              <w:t>(b)</w:t>
            </w:r>
          </w:p>
        </w:tc>
        <w:tc>
          <w:tcPr>
            <w:tcW w:w="467" w:type="pct"/>
            <w:tcBorders>
              <w:top w:val="nil"/>
              <w:left w:val="nil"/>
              <w:bottom w:val="single" w:sz="8" w:space="0" w:color="FF0000"/>
              <w:right w:val="nil"/>
            </w:tcBorders>
            <w:shd w:val="clear" w:color="000000" w:fill="7A091A"/>
            <w:vAlign w:val="center"/>
            <w:hideMark/>
          </w:tcPr>
          <w:p w14:paraId="32E731D8" w14:textId="77777777" w:rsidR="002F4BAB" w:rsidRPr="00894701" w:rsidRDefault="002F4BAB" w:rsidP="00C108BA">
            <w:pPr>
              <w:spacing w:after="0" w:line="240" w:lineRule="auto"/>
              <w:jc w:val="right"/>
              <w:rPr>
                <w:rFonts w:cs="Arial"/>
                <w:b/>
                <w:bCs/>
                <w:color w:val="FFFFFF"/>
                <w:kern w:val="0"/>
                <w:sz w:val="16"/>
                <w:szCs w:val="16"/>
              </w:rPr>
            </w:pPr>
            <w:r w:rsidRPr="00894701">
              <w:rPr>
                <w:rFonts w:cs="Arial"/>
                <w:b/>
                <w:bCs/>
                <w:color w:val="FFFFFF"/>
                <w:kern w:val="0"/>
                <w:sz w:val="16"/>
                <w:szCs w:val="16"/>
              </w:rPr>
              <w:t>Difference</w:t>
            </w:r>
            <w:r w:rsidRPr="00894701">
              <w:rPr>
                <w:rFonts w:cs="Arial"/>
                <w:b/>
                <w:bCs/>
                <w:color w:val="FFFFFF"/>
                <w:kern w:val="0"/>
                <w:sz w:val="16"/>
                <w:szCs w:val="16"/>
              </w:rPr>
              <w:br/>
              <w:t>(c) = (a) - (b)</w:t>
            </w:r>
          </w:p>
        </w:tc>
        <w:tc>
          <w:tcPr>
            <w:tcW w:w="460" w:type="pct"/>
            <w:tcBorders>
              <w:top w:val="nil"/>
              <w:left w:val="nil"/>
              <w:bottom w:val="single" w:sz="8" w:space="0" w:color="FF0000"/>
              <w:right w:val="nil"/>
            </w:tcBorders>
            <w:shd w:val="clear" w:color="000000" w:fill="7A091A"/>
            <w:vAlign w:val="center"/>
            <w:hideMark/>
          </w:tcPr>
          <w:p w14:paraId="6A6FF9FE" w14:textId="77777777" w:rsidR="002F4BAB" w:rsidRPr="00894701" w:rsidRDefault="002F4BAB" w:rsidP="00C108BA">
            <w:pPr>
              <w:spacing w:after="0" w:line="240" w:lineRule="auto"/>
              <w:jc w:val="right"/>
              <w:rPr>
                <w:rFonts w:cs="Arial"/>
                <w:b/>
                <w:bCs/>
                <w:color w:val="FFFFFF"/>
                <w:kern w:val="0"/>
                <w:sz w:val="16"/>
                <w:szCs w:val="16"/>
              </w:rPr>
            </w:pPr>
            <w:r w:rsidRPr="00894701">
              <w:rPr>
                <w:rFonts w:cs="Arial"/>
                <w:b/>
                <w:bCs/>
                <w:color w:val="FFFFFF"/>
                <w:kern w:val="0"/>
                <w:sz w:val="16"/>
                <w:szCs w:val="16"/>
              </w:rPr>
              <w:t>Extractive company</w:t>
            </w:r>
            <w:r w:rsidRPr="00894701">
              <w:rPr>
                <w:rFonts w:cs="Arial"/>
                <w:b/>
                <w:bCs/>
                <w:color w:val="FFFFFF"/>
                <w:kern w:val="0"/>
                <w:sz w:val="16"/>
                <w:szCs w:val="16"/>
              </w:rPr>
              <w:br/>
              <w:t>(d)</w:t>
            </w:r>
          </w:p>
        </w:tc>
        <w:tc>
          <w:tcPr>
            <w:tcW w:w="425" w:type="pct"/>
            <w:tcBorders>
              <w:top w:val="nil"/>
              <w:left w:val="nil"/>
              <w:bottom w:val="single" w:sz="8" w:space="0" w:color="FF0000"/>
              <w:right w:val="nil"/>
            </w:tcBorders>
            <w:shd w:val="clear" w:color="000000" w:fill="7A091A"/>
            <w:vAlign w:val="center"/>
            <w:hideMark/>
          </w:tcPr>
          <w:p w14:paraId="64D66CE6" w14:textId="77777777" w:rsidR="002F4BAB" w:rsidRPr="00894701" w:rsidRDefault="002F4BAB" w:rsidP="00C108BA">
            <w:pPr>
              <w:spacing w:after="0" w:line="240" w:lineRule="auto"/>
              <w:jc w:val="right"/>
              <w:rPr>
                <w:rFonts w:cs="Arial"/>
                <w:b/>
                <w:bCs/>
                <w:color w:val="FFFFFF"/>
                <w:kern w:val="0"/>
                <w:sz w:val="16"/>
                <w:szCs w:val="16"/>
              </w:rPr>
            </w:pPr>
            <w:r w:rsidRPr="00894701">
              <w:rPr>
                <w:rFonts w:cs="Arial"/>
                <w:b/>
                <w:bCs/>
                <w:color w:val="FFFFFF"/>
                <w:kern w:val="0"/>
                <w:sz w:val="16"/>
                <w:szCs w:val="16"/>
              </w:rPr>
              <w:t>Government</w:t>
            </w:r>
            <w:r w:rsidRPr="00894701">
              <w:rPr>
                <w:rFonts w:cs="Arial"/>
                <w:b/>
                <w:bCs/>
                <w:color w:val="FFFFFF"/>
                <w:kern w:val="0"/>
                <w:sz w:val="16"/>
                <w:szCs w:val="16"/>
              </w:rPr>
              <w:br/>
              <w:t>(e)</w:t>
            </w:r>
          </w:p>
        </w:tc>
        <w:tc>
          <w:tcPr>
            <w:tcW w:w="426" w:type="pct"/>
            <w:tcBorders>
              <w:top w:val="nil"/>
              <w:left w:val="nil"/>
              <w:bottom w:val="single" w:sz="8" w:space="0" w:color="FF0000"/>
              <w:right w:val="nil"/>
            </w:tcBorders>
            <w:shd w:val="clear" w:color="000000" w:fill="7A091A"/>
            <w:vAlign w:val="center"/>
            <w:hideMark/>
          </w:tcPr>
          <w:p w14:paraId="111C956A" w14:textId="77777777" w:rsidR="002F4BAB" w:rsidRPr="00894701" w:rsidRDefault="002F4BAB" w:rsidP="00C108BA">
            <w:pPr>
              <w:spacing w:after="0" w:line="240" w:lineRule="auto"/>
              <w:jc w:val="right"/>
              <w:rPr>
                <w:rFonts w:cs="Arial"/>
                <w:b/>
                <w:bCs/>
                <w:color w:val="FFFFFF"/>
                <w:kern w:val="0"/>
                <w:sz w:val="16"/>
                <w:szCs w:val="16"/>
              </w:rPr>
            </w:pPr>
            <w:r w:rsidRPr="00894701">
              <w:rPr>
                <w:rFonts w:cs="Arial"/>
                <w:b/>
                <w:bCs/>
                <w:color w:val="FFFFFF"/>
                <w:kern w:val="0"/>
                <w:sz w:val="16"/>
                <w:szCs w:val="16"/>
              </w:rPr>
              <w:t>Difference</w:t>
            </w:r>
            <w:r w:rsidRPr="00894701">
              <w:rPr>
                <w:rFonts w:cs="Arial"/>
                <w:b/>
                <w:bCs/>
                <w:color w:val="FFFFFF"/>
                <w:kern w:val="0"/>
                <w:sz w:val="16"/>
                <w:szCs w:val="16"/>
              </w:rPr>
              <w:br/>
              <w:t>(f) = (d) - (e)</w:t>
            </w:r>
          </w:p>
        </w:tc>
        <w:tc>
          <w:tcPr>
            <w:tcW w:w="468" w:type="pct"/>
            <w:tcBorders>
              <w:top w:val="nil"/>
              <w:left w:val="nil"/>
              <w:bottom w:val="single" w:sz="8" w:space="0" w:color="FF0000"/>
              <w:right w:val="nil"/>
            </w:tcBorders>
            <w:shd w:val="clear" w:color="000000" w:fill="7A091A"/>
            <w:vAlign w:val="center"/>
            <w:hideMark/>
          </w:tcPr>
          <w:p w14:paraId="109CBF87" w14:textId="77777777" w:rsidR="002F4BAB" w:rsidRPr="00894701" w:rsidRDefault="002F4BAB" w:rsidP="00C108BA">
            <w:pPr>
              <w:spacing w:after="0" w:line="240" w:lineRule="auto"/>
              <w:jc w:val="right"/>
              <w:rPr>
                <w:rFonts w:cs="Arial"/>
                <w:b/>
                <w:bCs/>
                <w:color w:val="FFFFFF"/>
                <w:kern w:val="0"/>
                <w:sz w:val="16"/>
                <w:szCs w:val="16"/>
              </w:rPr>
            </w:pPr>
            <w:r w:rsidRPr="00894701">
              <w:rPr>
                <w:rFonts w:cs="Arial"/>
                <w:b/>
                <w:bCs/>
                <w:color w:val="FFFFFF"/>
                <w:kern w:val="0"/>
                <w:sz w:val="16"/>
                <w:szCs w:val="16"/>
              </w:rPr>
              <w:t>Extractive company</w:t>
            </w:r>
            <w:r w:rsidRPr="00894701">
              <w:rPr>
                <w:rFonts w:cs="Arial"/>
                <w:b/>
                <w:bCs/>
                <w:color w:val="FFFFFF"/>
                <w:kern w:val="0"/>
                <w:sz w:val="16"/>
                <w:szCs w:val="16"/>
              </w:rPr>
              <w:br/>
              <w:t>(g)</w:t>
            </w:r>
          </w:p>
        </w:tc>
        <w:tc>
          <w:tcPr>
            <w:tcW w:w="517" w:type="pct"/>
            <w:tcBorders>
              <w:top w:val="nil"/>
              <w:left w:val="nil"/>
              <w:bottom w:val="single" w:sz="8" w:space="0" w:color="FF0000"/>
              <w:right w:val="nil"/>
            </w:tcBorders>
            <w:shd w:val="clear" w:color="000000" w:fill="7A091A"/>
            <w:vAlign w:val="center"/>
            <w:hideMark/>
          </w:tcPr>
          <w:p w14:paraId="686C6479" w14:textId="77777777" w:rsidR="002F4BAB" w:rsidRPr="00894701" w:rsidRDefault="002F4BAB" w:rsidP="00C108BA">
            <w:pPr>
              <w:spacing w:after="0" w:line="240" w:lineRule="auto"/>
              <w:jc w:val="right"/>
              <w:rPr>
                <w:rFonts w:cs="Arial"/>
                <w:b/>
                <w:bCs/>
                <w:color w:val="FFFFFF"/>
                <w:kern w:val="0"/>
                <w:sz w:val="16"/>
                <w:szCs w:val="16"/>
              </w:rPr>
            </w:pPr>
            <w:r w:rsidRPr="00894701">
              <w:rPr>
                <w:rFonts w:cs="Arial"/>
                <w:b/>
                <w:bCs/>
                <w:color w:val="FFFFFF"/>
                <w:kern w:val="0"/>
                <w:sz w:val="16"/>
                <w:szCs w:val="16"/>
              </w:rPr>
              <w:t>Government</w:t>
            </w:r>
            <w:r w:rsidRPr="00894701">
              <w:rPr>
                <w:rFonts w:cs="Arial"/>
                <w:b/>
                <w:bCs/>
                <w:color w:val="FFFFFF"/>
                <w:kern w:val="0"/>
                <w:sz w:val="16"/>
                <w:szCs w:val="16"/>
              </w:rPr>
              <w:br/>
              <w:t>(h)</w:t>
            </w:r>
          </w:p>
        </w:tc>
        <w:tc>
          <w:tcPr>
            <w:tcW w:w="419" w:type="pct"/>
            <w:tcBorders>
              <w:top w:val="nil"/>
              <w:left w:val="nil"/>
              <w:bottom w:val="single" w:sz="8" w:space="0" w:color="FF0000"/>
              <w:right w:val="single" w:sz="8" w:space="0" w:color="FF0000"/>
            </w:tcBorders>
            <w:shd w:val="clear" w:color="000000" w:fill="7A091A"/>
            <w:vAlign w:val="center"/>
            <w:hideMark/>
          </w:tcPr>
          <w:p w14:paraId="21576C45" w14:textId="77777777" w:rsidR="002F4BAB" w:rsidRPr="00894701" w:rsidRDefault="002F4BAB" w:rsidP="00C108BA">
            <w:pPr>
              <w:spacing w:after="0" w:line="240" w:lineRule="auto"/>
              <w:jc w:val="right"/>
              <w:rPr>
                <w:rFonts w:cs="Arial"/>
                <w:b/>
                <w:bCs/>
                <w:color w:val="FFFFFF"/>
                <w:kern w:val="0"/>
                <w:sz w:val="16"/>
                <w:szCs w:val="16"/>
              </w:rPr>
            </w:pPr>
            <w:r w:rsidRPr="00894701">
              <w:rPr>
                <w:rFonts w:cs="Arial"/>
                <w:b/>
                <w:bCs/>
                <w:color w:val="FFFFFF"/>
                <w:kern w:val="0"/>
                <w:sz w:val="16"/>
                <w:szCs w:val="16"/>
              </w:rPr>
              <w:t>Difference</w:t>
            </w:r>
            <w:r w:rsidRPr="00894701">
              <w:rPr>
                <w:rFonts w:cs="Arial"/>
                <w:b/>
                <w:bCs/>
                <w:color w:val="FFFFFF"/>
                <w:kern w:val="0"/>
                <w:sz w:val="16"/>
                <w:szCs w:val="16"/>
              </w:rPr>
              <w:br/>
              <w:t>(i) = (g) - (h)</w:t>
            </w:r>
          </w:p>
        </w:tc>
      </w:tr>
      <w:tr w:rsidR="00480196" w:rsidRPr="00894701" w14:paraId="1DC1E608" w14:textId="77777777" w:rsidTr="00AA49E3">
        <w:trPr>
          <w:trHeight w:val="227"/>
          <w:jc w:val="center"/>
        </w:trPr>
        <w:tc>
          <w:tcPr>
            <w:tcW w:w="845" w:type="pct"/>
            <w:gridSpan w:val="2"/>
            <w:tcBorders>
              <w:top w:val="single" w:sz="8" w:space="0" w:color="FF0000"/>
              <w:left w:val="single" w:sz="8" w:space="0" w:color="FF0000"/>
              <w:bottom w:val="nil"/>
              <w:right w:val="nil"/>
            </w:tcBorders>
            <w:shd w:val="clear" w:color="000000" w:fill="7A091A"/>
            <w:tcMar>
              <w:left w:w="28" w:type="dxa"/>
              <w:right w:w="28" w:type="dxa"/>
            </w:tcMar>
            <w:vAlign w:val="center"/>
            <w:hideMark/>
          </w:tcPr>
          <w:p w14:paraId="2F04FE80" w14:textId="364E4B41" w:rsidR="00480196" w:rsidRPr="00894701" w:rsidRDefault="00480196" w:rsidP="00480196">
            <w:pPr>
              <w:spacing w:after="0" w:line="240" w:lineRule="auto"/>
              <w:jc w:val="center"/>
              <w:rPr>
                <w:rFonts w:cs="Arial"/>
                <w:b/>
                <w:bCs/>
                <w:color w:val="FFFFFF"/>
                <w:kern w:val="0"/>
                <w:sz w:val="16"/>
                <w:szCs w:val="16"/>
              </w:rPr>
            </w:pPr>
            <w:r w:rsidRPr="00894701">
              <w:rPr>
                <w:rFonts w:cs="Arial"/>
                <w:b/>
                <w:bCs/>
                <w:color w:val="FFFFFF"/>
                <w:kern w:val="0"/>
                <w:sz w:val="16"/>
                <w:szCs w:val="16"/>
              </w:rPr>
              <w:t>A- Bilateral disclosures</w:t>
            </w:r>
          </w:p>
        </w:tc>
        <w:tc>
          <w:tcPr>
            <w:tcW w:w="464" w:type="pct"/>
            <w:tcBorders>
              <w:top w:val="nil"/>
              <w:left w:val="nil"/>
              <w:bottom w:val="nil"/>
              <w:right w:val="nil"/>
            </w:tcBorders>
            <w:shd w:val="clear" w:color="000000" w:fill="7A091A"/>
            <w:vAlign w:val="center"/>
          </w:tcPr>
          <w:p w14:paraId="6DA437A2" w14:textId="09A40BEF" w:rsidR="00480196" w:rsidRPr="00894701" w:rsidRDefault="00480196" w:rsidP="00480196">
            <w:pPr>
              <w:spacing w:after="0" w:line="240" w:lineRule="auto"/>
              <w:jc w:val="right"/>
              <w:rPr>
                <w:rFonts w:cs="Arial"/>
                <w:b/>
                <w:bCs/>
                <w:color w:val="FFFFFF"/>
                <w:kern w:val="0"/>
                <w:sz w:val="16"/>
                <w:szCs w:val="16"/>
              </w:rPr>
            </w:pPr>
            <w:r w:rsidRPr="00894701">
              <w:rPr>
                <w:rFonts w:cs="Arial"/>
                <w:b/>
                <w:bCs/>
                <w:color w:val="FFFFFF"/>
                <w:sz w:val="16"/>
                <w:szCs w:val="16"/>
              </w:rPr>
              <w:t>413,162,116</w:t>
            </w:r>
          </w:p>
        </w:tc>
        <w:tc>
          <w:tcPr>
            <w:tcW w:w="509" w:type="pct"/>
            <w:tcBorders>
              <w:top w:val="nil"/>
              <w:left w:val="nil"/>
              <w:bottom w:val="nil"/>
              <w:right w:val="nil"/>
            </w:tcBorders>
            <w:shd w:val="clear" w:color="000000" w:fill="7A091A"/>
            <w:vAlign w:val="center"/>
          </w:tcPr>
          <w:p w14:paraId="4FF73876" w14:textId="07D8B98D" w:rsidR="00480196" w:rsidRPr="00894701" w:rsidRDefault="00480196" w:rsidP="00480196">
            <w:pPr>
              <w:spacing w:after="0" w:line="240" w:lineRule="auto"/>
              <w:jc w:val="right"/>
              <w:rPr>
                <w:rFonts w:cs="Arial"/>
                <w:b/>
                <w:bCs/>
                <w:color w:val="FFFFFF"/>
                <w:kern w:val="0"/>
                <w:sz w:val="16"/>
                <w:szCs w:val="16"/>
              </w:rPr>
            </w:pPr>
            <w:r w:rsidRPr="00894701">
              <w:rPr>
                <w:rFonts w:cs="Arial"/>
                <w:b/>
                <w:bCs/>
                <w:color w:val="FFFFFF"/>
                <w:sz w:val="16"/>
                <w:szCs w:val="16"/>
              </w:rPr>
              <w:t>370,760,295</w:t>
            </w:r>
          </w:p>
        </w:tc>
        <w:tc>
          <w:tcPr>
            <w:tcW w:w="467" w:type="pct"/>
            <w:tcBorders>
              <w:top w:val="nil"/>
              <w:left w:val="nil"/>
              <w:bottom w:val="nil"/>
              <w:right w:val="nil"/>
            </w:tcBorders>
            <w:shd w:val="clear" w:color="000000" w:fill="7A091A"/>
            <w:vAlign w:val="center"/>
          </w:tcPr>
          <w:p w14:paraId="5A3DF563" w14:textId="2BC93D1E" w:rsidR="00480196" w:rsidRPr="00894701" w:rsidRDefault="00480196" w:rsidP="00480196">
            <w:pPr>
              <w:spacing w:after="0" w:line="240" w:lineRule="auto"/>
              <w:jc w:val="right"/>
              <w:rPr>
                <w:rFonts w:cs="Arial"/>
                <w:b/>
                <w:bCs/>
                <w:color w:val="FFFFFF"/>
                <w:kern w:val="0"/>
                <w:sz w:val="16"/>
                <w:szCs w:val="16"/>
              </w:rPr>
            </w:pPr>
            <w:r w:rsidRPr="00894701">
              <w:rPr>
                <w:rFonts w:cs="Arial"/>
                <w:b/>
                <w:bCs/>
                <w:color w:val="FFFFFF"/>
                <w:sz w:val="16"/>
                <w:szCs w:val="16"/>
              </w:rPr>
              <w:t>42,401,821</w:t>
            </w:r>
          </w:p>
        </w:tc>
        <w:tc>
          <w:tcPr>
            <w:tcW w:w="460" w:type="pct"/>
            <w:tcBorders>
              <w:top w:val="nil"/>
              <w:left w:val="nil"/>
              <w:bottom w:val="nil"/>
              <w:right w:val="nil"/>
            </w:tcBorders>
            <w:shd w:val="clear" w:color="000000" w:fill="7A091A"/>
            <w:vAlign w:val="center"/>
          </w:tcPr>
          <w:p w14:paraId="15FBADBC" w14:textId="1BE01EF7" w:rsidR="00480196" w:rsidRPr="00894701" w:rsidRDefault="00480196" w:rsidP="00480196">
            <w:pPr>
              <w:spacing w:after="0" w:line="240" w:lineRule="auto"/>
              <w:jc w:val="right"/>
              <w:rPr>
                <w:rFonts w:cs="Arial"/>
                <w:b/>
                <w:bCs/>
                <w:color w:val="FFFFFF"/>
                <w:kern w:val="0"/>
                <w:sz w:val="16"/>
                <w:szCs w:val="16"/>
              </w:rPr>
            </w:pPr>
            <w:r w:rsidRPr="00894701">
              <w:rPr>
                <w:rFonts w:cs="Arial"/>
                <w:b/>
                <w:bCs/>
                <w:color w:val="FFFFFF"/>
                <w:sz w:val="16"/>
                <w:szCs w:val="16"/>
              </w:rPr>
              <w:t>(113,242,939)</w:t>
            </w:r>
          </w:p>
        </w:tc>
        <w:tc>
          <w:tcPr>
            <w:tcW w:w="425" w:type="pct"/>
            <w:tcBorders>
              <w:top w:val="nil"/>
              <w:left w:val="nil"/>
              <w:bottom w:val="nil"/>
              <w:right w:val="nil"/>
            </w:tcBorders>
            <w:shd w:val="clear" w:color="000000" w:fill="7A091A"/>
            <w:vAlign w:val="center"/>
          </w:tcPr>
          <w:p w14:paraId="7344C5CF" w14:textId="67F75498" w:rsidR="00480196" w:rsidRPr="00894701" w:rsidRDefault="00480196" w:rsidP="00480196">
            <w:pPr>
              <w:spacing w:after="0" w:line="240" w:lineRule="auto"/>
              <w:jc w:val="right"/>
              <w:rPr>
                <w:rFonts w:cs="Arial"/>
                <w:b/>
                <w:bCs/>
                <w:color w:val="FFFFFF"/>
                <w:kern w:val="0"/>
                <w:sz w:val="16"/>
                <w:szCs w:val="16"/>
              </w:rPr>
            </w:pPr>
            <w:r w:rsidRPr="00894701">
              <w:rPr>
                <w:rFonts w:cs="Arial"/>
                <w:b/>
                <w:bCs/>
                <w:color w:val="FFFFFF"/>
                <w:sz w:val="16"/>
                <w:szCs w:val="16"/>
              </w:rPr>
              <w:t>(94,741,589)</w:t>
            </w:r>
          </w:p>
        </w:tc>
        <w:tc>
          <w:tcPr>
            <w:tcW w:w="426" w:type="pct"/>
            <w:tcBorders>
              <w:top w:val="nil"/>
              <w:left w:val="nil"/>
              <w:bottom w:val="nil"/>
              <w:right w:val="nil"/>
            </w:tcBorders>
            <w:shd w:val="clear" w:color="000000" w:fill="7A091A"/>
            <w:vAlign w:val="center"/>
          </w:tcPr>
          <w:p w14:paraId="30657F1A" w14:textId="59F69593" w:rsidR="00480196" w:rsidRPr="00894701" w:rsidRDefault="00480196" w:rsidP="00480196">
            <w:pPr>
              <w:spacing w:after="0" w:line="240" w:lineRule="auto"/>
              <w:jc w:val="right"/>
              <w:rPr>
                <w:rFonts w:cs="Arial"/>
                <w:b/>
                <w:bCs/>
                <w:color w:val="FFFFFF"/>
                <w:kern w:val="0"/>
                <w:sz w:val="16"/>
                <w:szCs w:val="16"/>
              </w:rPr>
            </w:pPr>
            <w:r w:rsidRPr="00894701">
              <w:rPr>
                <w:rFonts w:cs="Arial"/>
                <w:b/>
                <w:bCs/>
                <w:color w:val="FFFFFF"/>
                <w:sz w:val="16"/>
                <w:szCs w:val="16"/>
              </w:rPr>
              <w:t>(18,501,350)</w:t>
            </w:r>
          </w:p>
        </w:tc>
        <w:tc>
          <w:tcPr>
            <w:tcW w:w="468" w:type="pct"/>
            <w:tcBorders>
              <w:top w:val="nil"/>
              <w:left w:val="nil"/>
              <w:bottom w:val="nil"/>
              <w:right w:val="nil"/>
            </w:tcBorders>
            <w:shd w:val="clear" w:color="000000" w:fill="7A091A"/>
            <w:vAlign w:val="center"/>
          </w:tcPr>
          <w:p w14:paraId="40C9C74F" w14:textId="63F9F97F" w:rsidR="00480196" w:rsidRPr="00894701" w:rsidRDefault="00480196" w:rsidP="00480196">
            <w:pPr>
              <w:spacing w:after="0" w:line="240" w:lineRule="auto"/>
              <w:jc w:val="right"/>
              <w:rPr>
                <w:rFonts w:cs="Arial"/>
                <w:b/>
                <w:bCs/>
                <w:color w:val="FFFFFF"/>
                <w:kern w:val="0"/>
                <w:sz w:val="16"/>
                <w:szCs w:val="16"/>
              </w:rPr>
            </w:pPr>
            <w:r w:rsidRPr="00894701">
              <w:rPr>
                <w:rFonts w:cs="Arial"/>
                <w:b/>
                <w:bCs/>
                <w:color w:val="FFFFFF"/>
                <w:sz w:val="16"/>
                <w:szCs w:val="16"/>
              </w:rPr>
              <w:t>299,919,177</w:t>
            </w:r>
          </w:p>
        </w:tc>
        <w:tc>
          <w:tcPr>
            <w:tcW w:w="517" w:type="pct"/>
            <w:tcBorders>
              <w:top w:val="nil"/>
              <w:left w:val="nil"/>
              <w:bottom w:val="nil"/>
              <w:right w:val="nil"/>
            </w:tcBorders>
            <w:shd w:val="clear" w:color="000000" w:fill="7A091A"/>
            <w:vAlign w:val="center"/>
          </w:tcPr>
          <w:p w14:paraId="17F00AC0" w14:textId="0ACC0A0D" w:rsidR="00480196" w:rsidRPr="00894701" w:rsidRDefault="00480196" w:rsidP="00480196">
            <w:pPr>
              <w:spacing w:after="0" w:line="240" w:lineRule="auto"/>
              <w:jc w:val="right"/>
              <w:rPr>
                <w:rFonts w:cs="Arial"/>
                <w:b/>
                <w:bCs/>
                <w:color w:val="FFFFFF"/>
                <w:kern w:val="0"/>
                <w:sz w:val="16"/>
                <w:szCs w:val="16"/>
              </w:rPr>
            </w:pPr>
            <w:r w:rsidRPr="00894701">
              <w:rPr>
                <w:rFonts w:cs="Arial"/>
                <w:b/>
                <w:bCs/>
                <w:color w:val="FFFFFF"/>
                <w:sz w:val="16"/>
                <w:szCs w:val="16"/>
              </w:rPr>
              <w:t>276,018,706</w:t>
            </w:r>
          </w:p>
        </w:tc>
        <w:tc>
          <w:tcPr>
            <w:tcW w:w="419" w:type="pct"/>
            <w:tcBorders>
              <w:top w:val="nil"/>
              <w:left w:val="nil"/>
              <w:bottom w:val="nil"/>
              <w:right w:val="single" w:sz="8" w:space="0" w:color="FF0000"/>
            </w:tcBorders>
            <w:shd w:val="clear" w:color="000000" w:fill="7A091A"/>
            <w:vAlign w:val="center"/>
          </w:tcPr>
          <w:p w14:paraId="6ED9348D" w14:textId="746EAF2F" w:rsidR="00480196" w:rsidRPr="00894701" w:rsidRDefault="00480196" w:rsidP="00480196">
            <w:pPr>
              <w:spacing w:after="0" w:line="240" w:lineRule="auto"/>
              <w:jc w:val="right"/>
              <w:rPr>
                <w:rFonts w:cs="Arial"/>
                <w:b/>
                <w:bCs/>
                <w:color w:val="FFFFFF"/>
                <w:kern w:val="0"/>
                <w:sz w:val="16"/>
                <w:szCs w:val="16"/>
              </w:rPr>
            </w:pPr>
            <w:r w:rsidRPr="00894701">
              <w:rPr>
                <w:rFonts w:cs="Arial"/>
                <w:b/>
                <w:bCs/>
                <w:color w:val="FFFFFF"/>
                <w:sz w:val="16"/>
                <w:szCs w:val="16"/>
              </w:rPr>
              <w:t>23,900,471</w:t>
            </w:r>
          </w:p>
        </w:tc>
      </w:tr>
      <w:tr w:rsidR="00480196" w:rsidRPr="00894701" w14:paraId="394DC543" w14:textId="77777777" w:rsidTr="00AA49E3">
        <w:trPr>
          <w:trHeight w:val="227"/>
          <w:jc w:val="center"/>
        </w:trPr>
        <w:tc>
          <w:tcPr>
            <w:tcW w:w="845" w:type="pct"/>
            <w:gridSpan w:val="2"/>
            <w:tcBorders>
              <w:top w:val="nil"/>
              <w:left w:val="single" w:sz="8" w:space="0" w:color="FF0000"/>
              <w:bottom w:val="nil"/>
              <w:right w:val="nil"/>
            </w:tcBorders>
            <w:shd w:val="clear" w:color="000000" w:fill="C0A99E"/>
            <w:noWrap/>
            <w:tcMar>
              <w:left w:w="28" w:type="dxa"/>
              <w:right w:w="28" w:type="dxa"/>
            </w:tcMar>
            <w:vAlign w:val="center"/>
            <w:hideMark/>
          </w:tcPr>
          <w:p w14:paraId="32A28E75" w14:textId="77777777" w:rsidR="00480196" w:rsidRPr="00894701" w:rsidRDefault="00480196" w:rsidP="00480196">
            <w:pPr>
              <w:spacing w:after="0" w:line="240" w:lineRule="auto"/>
              <w:rPr>
                <w:rFonts w:cs="Arial"/>
                <w:b/>
                <w:bCs/>
                <w:color w:val="auto"/>
                <w:kern w:val="0"/>
                <w:sz w:val="16"/>
                <w:szCs w:val="16"/>
              </w:rPr>
            </w:pPr>
            <w:r w:rsidRPr="00894701">
              <w:rPr>
                <w:rFonts w:cs="Arial"/>
                <w:b/>
                <w:bCs/>
                <w:color w:val="auto"/>
                <w:kern w:val="0"/>
                <w:sz w:val="16"/>
                <w:szCs w:val="16"/>
              </w:rPr>
              <w:t xml:space="preserve">Ministry of Finance and Planning (MoFP) </w:t>
            </w:r>
          </w:p>
        </w:tc>
        <w:tc>
          <w:tcPr>
            <w:tcW w:w="464" w:type="pct"/>
            <w:tcBorders>
              <w:top w:val="nil"/>
              <w:left w:val="nil"/>
              <w:bottom w:val="nil"/>
              <w:right w:val="nil"/>
            </w:tcBorders>
            <w:shd w:val="clear" w:color="000000" w:fill="C0A99E"/>
            <w:noWrap/>
            <w:vAlign w:val="center"/>
          </w:tcPr>
          <w:p w14:paraId="213FF845" w14:textId="7A49F501" w:rsidR="00480196" w:rsidRPr="00894701" w:rsidRDefault="00480196" w:rsidP="00480196">
            <w:pPr>
              <w:spacing w:after="0" w:line="240" w:lineRule="auto"/>
              <w:jc w:val="right"/>
              <w:rPr>
                <w:rFonts w:cs="Arial"/>
                <w:b/>
                <w:bCs/>
                <w:color w:val="auto"/>
                <w:kern w:val="0"/>
                <w:sz w:val="16"/>
                <w:szCs w:val="16"/>
              </w:rPr>
            </w:pPr>
            <w:r w:rsidRPr="00894701">
              <w:rPr>
                <w:rFonts w:cs="Arial"/>
                <w:b/>
                <w:bCs/>
                <w:color w:val="auto"/>
                <w:sz w:val="16"/>
                <w:szCs w:val="16"/>
              </w:rPr>
              <w:t>413,162,116</w:t>
            </w:r>
          </w:p>
        </w:tc>
        <w:tc>
          <w:tcPr>
            <w:tcW w:w="509" w:type="pct"/>
            <w:tcBorders>
              <w:top w:val="nil"/>
              <w:left w:val="nil"/>
              <w:bottom w:val="nil"/>
              <w:right w:val="nil"/>
            </w:tcBorders>
            <w:shd w:val="clear" w:color="000000" w:fill="C0A99E"/>
            <w:noWrap/>
            <w:vAlign w:val="center"/>
          </w:tcPr>
          <w:p w14:paraId="2E2439C5" w14:textId="02491716" w:rsidR="00480196" w:rsidRPr="00894701" w:rsidRDefault="00480196" w:rsidP="00480196">
            <w:pPr>
              <w:spacing w:after="0" w:line="240" w:lineRule="auto"/>
              <w:jc w:val="right"/>
              <w:rPr>
                <w:rFonts w:cs="Arial"/>
                <w:b/>
                <w:bCs/>
                <w:color w:val="auto"/>
                <w:kern w:val="0"/>
                <w:sz w:val="16"/>
                <w:szCs w:val="16"/>
              </w:rPr>
            </w:pPr>
            <w:r w:rsidRPr="00894701">
              <w:rPr>
                <w:rFonts w:cs="Arial"/>
                <w:b/>
                <w:bCs/>
                <w:color w:val="auto"/>
                <w:sz w:val="16"/>
                <w:szCs w:val="16"/>
              </w:rPr>
              <w:t>370,760,295</w:t>
            </w:r>
          </w:p>
        </w:tc>
        <w:tc>
          <w:tcPr>
            <w:tcW w:w="467" w:type="pct"/>
            <w:tcBorders>
              <w:top w:val="nil"/>
              <w:left w:val="nil"/>
              <w:bottom w:val="nil"/>
              <w:right w:val="nil"/>
            </w:tcBorders>
            <w:shd w:val="clear" w:color="000000" w:fill="C0A99E"/>
            <w:noWrap/>
            <w:vAlign w:val="center"/>
          </w:tcPr>
          <w:p w14:paraId="3EC91814" w14:textId="490753E0" w:rsidR="00480196" w:rsidRPr="00894701" w:rsidRDefault="00480196" w:rsidP="00480196">
            <w:pPr>
              <w:spacing w:after="0" w:line="240" w:lineRule="auto"/>
              <w:jc w:val="right"/>
              <w:rPr>
                <w:rFonts w:cs="Arial"/>
                <w:b/>
                <w:bCs/>
                <w:color w:val="auto"/>
                <w:kern w:val="0"/>
                <w:sz w:val="16"/>
                <w:szCs w:val="16"/>
              </w:rPr>
            </w:pPr>
            <w:r w:rsidRPr="00894701">
              <w:rPr>
                <w:rFonts w:cs="Arial"/>
                <w:b/>
                <w:bCs/>
                <w:color w:val="auto"/>
                <w:sz w:val="16"/>
                <w:szCs w:val="16"/>
              </w:rPr>
              <w:t>42,401,821</w:t>
            </w:r>
          </w:p>
        </w:tc>
        <w:tc>
          <w:tcPr>
            <w:tcW w:w="460" w:type="pct"/>
            <w:tcBorders>
              <w:top w:val="nil"/>
              <w:left w:val="nil"/>
              <w:bottom w:val="nil"/>
              <w:right w:val="nil"/>
            </w:tcBorders>
            <w:shd w:val="clear" w:color="000000" w:fill="C0A99E"/>
            <w:noWrap/>
            <w:vAlign w:val="center"/>
          </w:tcPr>
          <w:p w14:paraId="43AD851E" w14:textId="39298AA6" w:rsidR="00480196" w:rsidRPr="00894701" w:rsidRDefault="00480196" w:rsidP="00480196">
            <w:pPr>
              <w:spacing w:after="0" w:line="240" w:lineRule="auto"/>
              <w:jc w:val="right"/>
              <w:rPr>
                <w:rFonts w:cs="Arial"/>
                <w:b/>
                <w:bCs/>
                <w:color w:val="auto"/>
                <w:kern w:val="0"/>
                <w:sz w:val="16"/>
                <w:szCs w:val="16"/>
              </w:rPr>
            </w:pPr>
            <w:r w:rsidRPr="00894701">
              <w:rPr>
                <w:rFonts w:cs="Arial"/>
                <w:b/>
                <w:bCs/>
                <w:color w:val="auto"/>
                <w:sz w:val="16"/>
                <w:szCs w:val="16"/>
              </w:rPr>
              <w:t>(113,242,939)</w:t>
            </w:r>
          </w:p>
        </w:tc>
        <w:tc>
          <w:tcPr>
            <w:tcW w:w="425" w:type="pct"/>
            <w:tcBorders>
              <w:top w:val="nil"/>
              <w:left w:val="nil"/>
              <w:bottom w:val="nil"/>
              <w:right w:val="nil"/>
            </w:tcBorders>
            <w:shd w:val="clear" w:color="000000" w:fill="C0A99E"/>
            <w:noWrap/>
            <w:vAlign w:val="center"/>
          </w:tcPr>
          <w:p w14:paraId="72D89F2B" w14:textId="09B8DDB9" w:rsidR="00480196" w:rsidRPr="00894701" w:rsidRDefault="00480196" w:rsidP="00480196">
            <w:pPr>
              <w:spacing w:after="0" w:line="240" w:lineRule="auto"/>
              <w:jc w:val="right"/>
              <w:rPr>
                <w:rFonts w:cs="Arial"/>
                <w:b/>
                <w:bCs/>
                <w:color w:val="auto"/>
                <w:kern w:val="0"/>
                <w:sz w:val="16"/>
                <w:szCs w:val="16"/>
              </w:rPr>
            </w:pPr>
            <w:r w:rsidRPr="00894701">
              <w:rPr>
                <w:rFonts w:cs="Arial"/>
                <w:b/>
                <w:bCs/>
                <w:color w:val="auto"/>
                <w:sz w:val="16"/>
                <w:szCs w:val="16"/>
              </w:rPr>
              <w:t>(94,741,589)</w:t>
            </w:r>
          </w:p>
        </w:tc>
        <w:tc>
          <w:tcPr>
            <w:tcW w:w="426" w:type="pct"/>
            <w:tcBorders>
              <w:top w:val="nil"/>
              <w:left w:val="nil"/>
              <w:bottom w:val="nil"/>
              <w:right w:val="nil"/>
            </w:tcBorders>
            <w:shd w:val="clear" w:color="000000" w:fill="C0A99E"/>
            <w:noWrap/>
            <w:vAlign w:val="center"/>
          </w:tcPr>
          <w:p w14:paraId="7B5F3B90" w14:textId="141EA667" w:rsidR="00480196" w:rsidRPr="00894701" w:rsidRDefault="00480196" w:rsidP="00480196">
            <w:pPr>
              <w:spacing w:after="0" w:line="240" w:lineRule="auto"/>
              <w:jc w:val="right"/>
              <w:rPr>
                <w:rFonts w:cs="Arial"/>
                <w:b/>
                <w:bCs/>
                <w:color w:val="auto"/>
                <w:kern w:val="0"/>
                <w:sz w:val="16"/>
                <w:szCs w:val="16"/>
              </w:rPr>
            </w:pPr>
            <w:r w:rsidRPr="00894701">
              <w:rPr>
                <w:rFonts w:cs="Arial"/>
                <w:b/>
                <w:bCs/>
                <w:color w:val="auto"/>
                <w:sz w:val="16"/>
                <w:szCs w:val="16"/>
              </w:rPr>
              <w:t>(18,501,350)</w:t>
            </w:r>
          </w:p>
        </w:tc>
        <w:tc>
          <w:tcPr>
            <w:tcW w:w="468" w:type="pct"/>
            <w:tcBorders>
              <w:top w:val="nil"/>
              <w:left w:val="nil"/>
              <w:bottom w:val="nil"/>
              <w:right w:val="nil"/>
            </w:tcBorders>
            <w:shd w:val="clear" w:color="000000" w:fill="C0A99E"/>
            <w:noWrap/>
            <w:vAlign w:val="center"/>
          </w:tcPr>
          <w:p w14:paraId="0F7D08C3" w14:textId="76E266A0" w:rsidR="00480196" w:rsidRPr="00894701" w:rsidRDefault="00480196" w:rsidP="00480196">
            <w:pPr>
              <w:spacing w:after="0" w:line="240" w:lineRule="auto"/>
              <w:jc w:val="right"/>
              <w:rPr>
                <w:rFonts w:cs="Arial"/>
                <w:b/>
                <w:bCs/>
                <w:color w:val="auto"/>
                <w:kern w:val="0"/>
                <w:sz w:val="16"/>
                <w:szCs w:val="16"/>
              </w:rPr>
            </w:pPr>
            <w:r w:rsidRPr="00894701">
              <w:rPr>
                <w:rFonts w:cs="Arial"/>
                <w:b/>
                <w:bCs/>
                <w:color w:val="auto"/>
                <w:sz w:val="16"/>
                <w:szCs w:val="16"/>
              </w:rPr>
              <w:t>299,919,177</w:t>
            </w:r>
          </w:p>
        </w:tc>
        <w:tc>
          <w:tcPr>
            <w:tcW w:w="517" w:type="pct"/>
            <w:tcBorders>
              <w:top w:val="nil"/>
              <w:left w:val="nil"/>
              <w:bottom w:val="nil"/>
              <w:right w:val="nil"/>
            </w:tcBorders>
            <w:shd w:val="clear" w:color="000000" w:fill="C0A99E"/>
            <w:noWrap/>
            <w:vAlign w:val="center"/>
          </w:tcPr>
          <w:p w14:paraId="4AC5E7A6" w14:textId="66880494" w:rsidR="00480196" w:rsidRPr="00894701" w:rsidRDefault="00480196" w:rsidP="00480196">
            <w:pPr>
              <w:spacing w:after="0" w:line="240" w:lineRule="auto"/>
              <w:jc w:val="right"/>
              <w:rPr>
                <w:rFonts w:cs="Arial"/>
                <w:b/>
                <w:bCs/>
                <w:color w:val="auto"/>
                <w:kern w:val="0"/>
                <w:sz w:val="16"/>
                <w:szCs w:val="16"/>
              </w:rPr>
            </w:pPr>
            <w:r w:rsidRPr="00894701">
              <w:rPr>
                <w:rFonts w:cs="Arial"/>
                <w:b/>
                <w:bCs/>
                <w:color w:val="auto"/>
                <w:sz w:val="16"/>
                <w:szCs w:val="16"/>
              </w:rPr>
              <w:t>276,018,706</w:t>
            </w:r>
          </w:p>
        </w:tc>
        <w:tc>
          <w:tcPr>
            <w:tcW w:w="419" w:type="pct"/>
            <w:tcBorders>
              <w:top w:val="nil"/>
              <w:left w:val="nil"/>
              <w:bottom w:val="nil"/>
              <w:right w:val="nil"/>
            </w:tcBorders>
            <w:shd w:val="clear" w:color="000000" w:fill="C0A99E"/>
            <w:noWrap/>
            <w:vAlign w:val="center"/>
          </w:tcPr>
          <w:p w14:paraId="255497BC" w14:textId="0B2496BB" w:rsidR="00480196" w:rsidRPr="00894701" w:rsidRDefault="00480196" w:rsidP="00480196">
            <w:pPr>
              <w:spacing w:after="0" w:line="240" w:lineRule="auto"/>
              <w:jc w:val="right"/>
              <w:rPr>
                <w:rFonts w:cs="Arial"/>
                <w:b/>
                <w:bCs/>
                <w:color w:val="auto"/>
                <w:kern w:val="0"/>
                <w:sz w:val="16"/>
                <w:szCs w:val="16"/>
              </w:rPr>
            </w:pPr>
            <w:r w:rsidRPr="00894701">
              <w:rPr>
                <w:rFonts w:cs="Arial"/>
                <w:b/>
                <w:bCs/>
                <w:color w:val="auto"/>
                <w:sz w:val="16"/>
                <w:szCs w:val="16"/>
              </w:rPr>
              <w:t>23,900,471</w:t>
            </w:r>
          </w:p>
        </w:tc>
      </w:tr>
      <w:tr w:rsidR="002F4BAB" w:rsidRPr="00894701" w14:paraId="3E5E1BB1" w14:textId="77777777" w:rsidTr="00AA49E3">
        <w:trPr>
          <w:trHeight w:val="227"/>
          <w:jc w:val="center"/>
        </w:trPr>
        <w:tc>
          <w:tcPr>
            <w:tcW w:w="150" w:type="pct"/>
            <w:tcBorders>
              <w:top w:val="nil"/>
              <w:left w:val="single" w:sz="8" w:space="0" w:color="FF0000"/>
              <w:bottom w:val="nil"/>
              <w:right w:val="nil"/>
            </w:tcBorders>
            <w:shd w:val="clear" w:color="000000" w:fill="F7A3B0"/>
            <w:noWrap/>
            <w:tcMar>
              <w:left w:w="28" w:type="dxa"/>
              <w:right w:w="28" w:type="dxa"/>
            </w:tcMar>
            <w:vAlign w:val="center"/>
            <w:hideMark/>
          </w:tcPr>
          <w:p w14:paraId="77957D7E" w14:textId="77777777"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1.1</w:t>
            </w:r>
          </w:p>
        </w:tc>
        <w:tc>
          <w:tcPr>
            <w:tcW w:w="695" w:type="pct"/>
            <w:tcBorders>
              <w:top w:val="nil"/>
              <w:left w:val="nil"/>
              <w:bottom w:val="nil"/>
              <w:right w:val="nil"/>
            </w:tcBorders>
            <w:shd w:val="clear" w:color="000000" w:fill="F7A3B0"/>
            <w:noWrap/>
            <w:vAlign w:val="center"/>
            <w:hideMark/>
          </w:tcPr>
          <w:p w14:paraId="3CFC4907" w14:textId="5DB4D111"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Concession</w:t>
            </w:r>
            <w:r w:rsidR="00AA49E3" w:rsidRPr="00894701">
              <w:rPr>
                <w:rFonts w:cs="Arial"/>
                <w:color w:val="000000"/>
                <w:kern w:val="0"/>
                <w:sz w:val="16"/>
                <w:szCs w:val="16"/>
              </w:rPr>
              <w:t xml:space="preserve"> </w:t>
            </w:r>
            <w:r w:rsidRPr="00894701">
              <w:rPr>
                <w:rFonts w:cs="Arial"/>
                <w:color w:val="000000"/>
                <w:kern w:val="0"/>
                <w:sz w:val="16"/>
                <w:szCs w:val="16"/>
              </w:rPr>
              <w:t>Fees</w:t>
            </w:r>
          </w:p>
        </w:tc>
        <w:tc>
          <w:tcPr>
            <w:tcW w:w="464" w:type="pct"/>
            <w:tcBorders>
              <w:top w:val="nil"/>
              <w:left w:val="nil"/>
              <w:bottom w:val="nil"/>
              <w:right w:val="nil"/>
            </w:tcBorders>
            <w:shd w:val="clear" w:color="000000" w:fill="F7A3B0"/>
            <w:noWrap/>
            <w:vAlign w:val="center"/>
          </w:tcPr>
          <w:p w14:paraId="358A6DEE"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509" w:type="pct"/>
            <w:tcBorders>
              <w:top w:val="nil"/>
              <w:left w:val="nil"/>
              <w:bottom w:val="nil"/>
              <w:right w:val="nil"/>
            </w:tcBorders>
            <w:shd w:val="clear" w:color="000000" w:fill="F7A3B0"/>
            <w:noWrap/>
            <w:vAlign w:val="center"/>
          </w:tcPr>
          <w:p w14:paraId="1AA81BE1"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467" w:type="pct"/>
            <w:tcBorders>
              <w:top w:val="nil"/>
              <w:left w:val="nil"/>
              <w:bottom w:val="nil"/>
              <w:right w:val="nil"/>
            </w:tcBorders>
            <w:shd w:val="clear" w:color="000000" w:fill="F7A3B0"/>
            <w:noWrap/>
            <w:vAlign w:val="center"/>
          </w:tcPr>
          <w:p w14:paraId="3E42471A"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460" w:type="pct"/>
            <w:tcBorders>
              <w:top w:val="nil"/>
              <w:left w:val="nil"/>
              <w:bottom w:val="nil"/>
              <w:right w:val="nil"/>
            </w:tcBorders>
            <w:shd w:val="clear" w:color="000000" w:fill="F7A3B0"/>
            <w:noWrap/>
            <w:vAlign w:val="center"/>
          </w:tcPr>
          <w:p w14:paraId="0FAE8B69"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425" w:type="pct"/>
            <w:tcBorders>
              <w:top w:val="nil"/>
              <w:left w:val="nil"/>
              <w:bottom w:val="nil"/>
              <w:right w:val="nil"/>
            </w:tcBorders>
            <w:shd w:val="clear" w:color="000000" w:fill="F7A3B0"/>
            <w:noWrap/>
            <w:vAlign w:val="center"/>
          </w:tcPr>
          <w:p w14:paraId="36270241"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426" w:type="pct"/>
            <w:tcBorders>
              <w:top w:val="nil"/>
              <w:left w:val="nil"/>
              <w:bottom w:val="nil"/>
              <w:right w:val="nil"/>
            </w:tcBorders>
            <w:shd w:val="clear" w:color="000000" w:fill="F7A3B0"/>
            <w:noWrap/>
            <w:vAlign w:val="center"/>
          </w:tcPr>
          <w:p w14:paraId="118E398E"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000000" w:fill="F7A3B0"/>
            <w:noWrap/>
            <w:vAlign w:val="center"/>
          </w:tcPr>
          <w:p w14:paraId="1842AA12"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517" w:type="pct"/>
            <w:tcBorders>
              <w:top w:val="nil"/>
              <w:left w:val="nil"/>
              <w:bottom w:val="nil"/>
              <w:right w:val="nil"/>
            </w:tcBorders>
            <w:shd w:val="clear" w:color="000000" w:fill="F7A3B0"/>
            <w:noWrap/>
            <w:vAlign w:val="center"/>
          </w:tcPr>
          <w:p w14:paraId="508331D4"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419" w:type="pct"/>
            <w:tcBorders>
              <w:top w:val="nil"/>
              <w:left w:val="nil"/>
              <w:bottom w:val="nil"/>
              <w:right w:val="single" w:sz="8" w:space="0" w:color="FF0000"/>
            </w:tcBorders>
            <w:shd w:val="clear" w:color="000000" w:fill="F7A3B0"/>
            <w:noWrap/>
            <w:vAlign w:val="center"/>
          </w:tcPr>
          <w:p w14:paraId="541B822F"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r>
      <w:tr w:rsidR="002F4BAB" w:rsidRPr="00894701" w14:paraId="745DC58E" w14:textId="77777777" w:rsidTr="00AA49E3">
        <w:trPr>
          <w:trHeight w:val="227"/>
          <w:jc w:val="center"/>
        </w:trPr>
        <w:tc>
          <w:tcPr>
            <w:tcW w:w="150" w:type="pct"/>
            <w:tcBorders>
              <w:top w:val="nil"/>
              <w:left w:val="single" w:sz="8" w:space="0" w:color="FF0000"/>
              <w:bottom w:val="nil"/>
              <w:right w:val="nil"/>
            </w:tcBorders>
            <w:shd w:val="clear" w:color="000000" w:fill="FFFFFF"/>
            <w:noWrap/>
            <w:tcMar>
              <w:left w:w="28" w:type="dxa"/>
              <w:right w:w="28" w:type="dxa"/>
            </w:tcMar>
            <w:vAlign w:val="center"/>
            <w:hideMark/>
          </w:tcPr>
          <w:p w14:paraId="3B592E3E" w14:textId="77777777" w:rsidR="002F4BAB" w:rsidRPr="00894701" w:rsidRDefault="002F4BAB" w:rsidP="002209C2">
            <w:pPr>
              <w:spacing w:after="0" w:line="240" w:lineRule="auto"/>
              <w:rPr>
                <w:rFonts w:cs="Arial"/>
                <w:color w:val="auto"/>
                <w:kern w:val="0"/>
                <w:sz w:val="16"/>
                <w:szCs w:val="16"/>
              </w:rPr>
            </w:pPr>
            <w:r w:rsidRPr="00894701">
              <w:rPr>
                <w:rFonts w:cs="Arial"/>
                <w:color w:val="auto"/>
                <w:kern w:val="0"/>
                <w:sz w:val="16"/>
                <w:szCs w:val="16"/>
              </w:rPr>
              <w:t>1.2</w:t>
            </w:r>
          </w:p>
        </w:tc>
        <w:tc>
          <w:tcPr>
            <w:tcW w:w="695" w:type="pct"/>
            <w:tcBorders>
              <w:top w:val="nil"/>
              <w:left w:val="nil"/>
              <w:bottom w:val="nil"/>
              <w:right w:val="nil"/>
            </w:tcBorders>
            <w:shd w:val="clear" w:color="000000" w:fill="FFFFFF"/>
            <w:vAlign w:val="center"/>
            <w:hideMark/>
          </w:tcPr>
          <w:p w14:paraId="674FCB4D" w14:textId="241D0DC9" w:rsidR="002F4BAB" w:rsidRPr="00894701" w:rsidRDefault="002F4BAB" w:rsidP="002209C2">
            <w:pPr>
              <w:spacing w:after="0" w:line="240" w:lineRule="auto"/>
              <w:rPr>
                <w:rFonts w:cs="Arial"/>
                <w:color w:val="auto"/>
                <w:kern w:val="0"/>
                <w:sz w:val="16"/>
                <w:szCs w:val="16"/>
              </w:rPr>
            </w:pPr>
            <w:r w:rsidRPr="00894701">
              <w:rPr>
                <w:rFonts w:cs="Arial"/>
                <w:color w:val="auto"/>
                <w:kern w:val="0"/>
                <w:sz w:val="16"/>
                <w:szCs w:val="16"/>
              </w:rPr>
              <w:t>Exploration</w:t>
            </w:r>
            <w:r w:rsidR="00AA49E3" w:rsidRPr="00894701">
              <w:rPr>
                <w:rFonts w:cs="Arial"/>
                <w:color w:val="auto"/>
                <w:kern w:val="0"/>
                <w:sz w:val="16"/>
                <w:szCs w:val="16"/>
              </w:rPr>
              <w:t xml:space="preserve"> </w:t>
            </w:r>
            <w:r w:rsidRPr="00894701">
              <w:rPr>
                <w:rFonts w:cs="Arial"/>
                <w:color w:val="auto"/>
                <w:kern w:val="0"/>
                <w:sz w:val="16"/>
                <w:szCs w:val="16"/>
              </w:rPr>
              <w:t>fees</w:t>
            </w:r>
            <w:r w:rsidR="00AA49E3" w:rsidRPr="00894701">
              <w:rPr>
                <w:rFonts w:cs="Arial"/>
                <w:color w:val="auto"/>
                <w:kern w:val="0"/>
                <w:sz w:val="16"/>
                <w:szCs w:val="16"/>
              </w:rPr>
              <w:t xml:space="preserve"> </w:t>
            </w:r>
            <w:r w:rsidRPr="00894701">
              <w:rPr>
                <w:rFonts w:cs="Arial"/>
                <w:color w:val="auto"/>
                <w:kern w:val="0"/>
                <w:sz w:val="16"/>
                <w:szCs w:val="16"/>
              </w:rPr>
              <w:t>yearly</w:t>
            </w:r>
            <w:r w:rsidR="00AA49E3" w:rsidRPr="00894701">
              <w:rPr>
                <w:rFonts w:cs="Arial"/>
                <w:color w:val="auto"/>
                <w:kern w:val="0"/>
                <w:sz w:val="16"/>
                <w:szCs w:val="16"/>
              </w:rPr>
              <w:t xml:space="preserve"> </w:t>
            </w:r>
            <w:r w:rsidRPr="00894701">
              <w:rPr>
                <w:rFonts w:cs="Arial"/>
                <w:color w:val="auto"/>
                <w:kern w:val="0"/>
                <w:sz w:val="16"/>
                <w:szCs w:val="16"/>
              </w:rPr>
              <w:t>MoF</w:t>
            </w:r>
            <w:r w:rsidR="00AA49E3" w:rsidRPr="00894701">
              <w:rPr>
                <w:rFonts w:cs="Arial"/>
                <w:color w:val="auto"/>
                <w:kern w:val="0"/>
                <w:sz w:val="16"/>
                <w:szCs w:val="16"/>
              </w:rPr>
              <w:t>P</w:t>
            </w:r>
          </w:p>
        </w:tc>
        <w:tc>
          <w:tcPr>
            <w:tcW w:w="464" w:type="pct"/>
            <w:tcBorders>
              <w:top w:val="nil"/>
              <w:left w:val="nil"/>
              <w:bottom w:val="nil"/>
              <w:right w:val="nil"/>
            </w:tcBorders>
            <w:shd w:val="clear" w:color="000000" w:fill="FFFFFF"/>
            <w:noWrap/>
            <w:vAlign w:val="center"/>
          </w:tcPr>
          <w:p w14:paraId="7B372D73"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509" w:type="pct"/>
            <w:tcBorders>
              <w:top w:val="nil"/>
              <w:left w:val="nil"/>
              <w:bottom w:val="nil"/>
              <w:right w:val="nil"/>
            </w:tcBorders>
            <w:shd w:val="clear" w:color="000000" w:fill="FFFFFF"/>
            <w:noWrap/>
            <w:vAlign w:val="center"/>
          </w:tcPr>
          <w:p w14:paraId="0ED784E0"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467" w:type="pct"/>
            <w:tcBorders>
              <w:top w:val="nil"/>
              <w:left w:val="nil"/>
              <w:bottom w:val="nil"/>
              <w:right w:val="nil"/>
            </w:tcBorders>
            <w:shd w:val="clear" w:color="000000" w:fill="FFFFFF"/>
            <w:noWrap/>
            <w:vAlign w:val="center"/>
          </w:tcPr>
          <w:p w14:paraId="7D112EA8"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460" w:type="pct"/>
            <w:tcBorders>
              <w:top w:val="nil"/>
              <w:left w:val="nil"/>
              <w:bottom w:val="nil"/>
              <w:right w:val="nil"/>
            </w:tcBorders>
            <w:shd w:val="clear" w:color="000000" w:fill="FFFFFF"/>
            <w:noWrap/>
            <w:vAlign w:val="center"/>
          </w:tcPr>
          <w:p w14:paraId="1737E675"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425" w:type="pct"/>
            <w:tcBorders>
              <w:top w:val="nil"/>
              <w:left w:val="nil"/>
              <w:bottom w:val="nil"/>
              <w:right w:val="nil"/>
            </w:tcBorders>
            <w:shd w:val="clear" w:color="000000" w:fill="FFFFFF"/>
            <w:noWrap/>
            <w:vAlign w:val="center"/>
          </w:tcPr>
          <w:p w14:paraId="5690E10E"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426" w:type="pct"/>
            <w:tcBorders>
              <w:top w:val="nil"/>
              <w:left w:val="nil"/>
              <w:bottom w:val="nil"/>
              <w:right w:val="nil"/>
            </w:tcBorders>
            <w:shd w:val="clear" w:color="000000" w:fill="FFFFFF"/>
            <w:noWrap/>
            <w:vAlign w:val="center"/>
          </w:tcPr>
          <w:p w14:paraId="0F16CC07"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000000" w:fill="FFFFFF"/>
            <w:noWrap/>
            <w:vAlign w:val="center"/>
          </w:tcPr>
          <w:p w14:paraId="789DD845"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517" w:type="pct"/>
            <w:tcBorders>
              <w:top w:val="nil"/>
              <w:left w:val="nil"/>
              <w:bottom w:val="nil"/>
              <w:right w:val="nil"/>
            </w:tcBorders>
            <w:shd w:val="clear" w:color="000000" w:fill="FFFFFF"/>
            <w:noWrap/>
            <w:vAlign w:val="center"/>
          </w:tcPr>
          <w:p w14:paraId="5A7EC3F4"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419" w:type="pct"/>
            <w:tcBorders>
              <w:top w:val="nil"/>
              <w:left w:val="nil"/>
              <w:bottom w:val="nil"/>
              <w:right w:val="single" w:sz="8" w:space="0" w:color="FF0000"/>
            </w:tcBorders>
            <w:shd w:val="clear" w:color="000000" w:fill="FFFFFF"/>
            <w:noWrap/>
            <w:vAlign w:val="center"/>
          </w:tcPr>
          <w:p w14:paraId="4C304F44"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r>
      <w:tr w:rsidR="002F4BAB" w:rsidRPr="00894701" w14:paraId="63B642A4" w14:textId="77777777" w:rsidTr="00AA49E3">
        <w:trPr>
          <w:trHeight w:val="227"/>
          <w:jc w:val="center"/>
        </w:trPr>
        <w:tc>
          <w:tcPr>
            <w:tcW w:w="150" w:type="pct"/>
            <w:tcBorders>
              <w:top w:val="nil"/>
              <w:left w:val="single" w:sz="8" w:space="0" w:color="FF0000"/>
              <w:bottom w:val="nil"/>
              <w:right w:val="nil"/>
            </w:tcBorders>
            <w:shd w:val="clear" w:color="000000" w:fill="F7A3B0"/>
            <w:noWrap/>
            <w:tcMar>
              <w:left w:w="28" w:type="dxa"/>
              <w:right w:w="28" w:type="dxa"/>
            </w:tcMar>
            <w:vAlign w:val="center"/>
            <w:hideMark/>
          </w:tcPr>
          <w:p w14:paraId="4C70E154" w14:textId="77777777"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1.3</w:t>
            </w:r>
          </w:p>
        </w:tc>
        <w:tc>
          <w:tcPr>
            <w:tcW w:w="695" w:type="pct"/>
            <w:tcBorders>
              <w:top w:val="nil"/>
              <w:left w:val="nil"/>
              <w:bottom w:val="nil"/>
              <w:right w:val="nil"/>
            </w:tcBorders>
            <w:shd w:val="clear" w:color="000000" w:fill="F7A3B0"/>
            <w:noWrap/>
            <w:vAlign w:val="center"/>
            <w:hideMark/>
          </w:tcPr>
          <w:p w14:paraId="21814063" w14:textId="73E13ECF"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Exploitation</w:t>
            </w:r>
            <w:r w:rsidR="00AA49E3" w:rsidRPr="00894701">
              <w:rPr>
                <w:rFonts w:cs="Arial"/>
                <w:color w:val="000000"/>
                <w:kern w:val="0"/>
                <w:sz w:val="16"/>
                <w:szCs w:val="16"/>
              </w:rPr>
              <w:t xml:space="preserve"> </w:t>
            </w:r>
            <w:r w:rsidRPr="00894701">
              <w:rPr>
                <w:rFonts w:cs="Arial"/>
                <w:color w:val="000000"/>
                <w:kern w:val="0"/>
                <w:sz w:val="16"/>
                <w:szCs w:val="16"/>
              </w:rPr>
              <w:t>fee</w:t>
            </w:r>
            <w:r w:rsidR="00AA49E3" w:rsidRPr="00894701">
              <w:rPr>
                <w:rFonts w:cs="Arial"/>
                <w:color w:val="000000"/>
                <w:kern w:val="0"/>
                <w:sz w:val="16"/>
                <w:szCs w:val="16"/>
              </w:rPr>
              <w:t xml:space="preserve"> </w:t>
            </w:r>
            <w:r w:rsidRPr="00894701">
              <w:rPr>
                <w:rFonts w:cs="Arial"/>
                <w:color w:val="000000"/>
                <w:kern w:val="0"/>
                <w:sz w:val="16"/>
                <w:szCs w:val="16"/>
              </w:rPr>
              <w:t>yearly</w:t>
            </w:r>
            <w:r w:rsidR="00AA49E3" w:rsidRPr="00894701">
              <w:rPr>
                <w:rFonts w:cs="Arial"/>
                <w:color w:val="000000"/>
                <w:kern w:val="0"/>
                <w:sz w:val="16"/>
                <w:szCs w:val="16"/>
              </w:rPr>
              <w:t xml:space="preserve"> </w:t>
            </w:r>
            <w:r w:rsidRPr="00894701">
              <w:rPr>
                <w:rFonts w:cs="Arial"/>
                <w:color w:val="000000"/>
                <w:kern w:val="0"/>
                <w:sz w:val="16"/>
                <w:szCs w:val="16"/>
              </w:rPr>
              <w:t>MoF</w:t>
            </w:r>
            <w:r w:rsidR="00AA49E3" w:rsidRPr="00894701">
              <w:rPr>
                <w:rFonts w:cs="Arial"/>
                <w:color w:val="000000"/>
                <w:kern w:val="0"/>
                <w:sz w:val="16"/>
                <w:szCs w:val="16"/>
              </w:rPr>
              <w:t>P</w:t>
            </w:r>
          </w:p>
        </w:tc>
        <w:tc>
          <w:tcPr>
            <w:tcW w:w="464" w:type="pct"/>
            <w:tcBorders>
              <w:top w:val="nil"/>
              <w:left w:val="nil"/>
              <w:bottom w:val="nil"/>
              <w:right w:val="nil"/>
            </w:tcBorders>
            <w:shd w:val="clear" w:color="000000" w:fill="F7A3B0"/>
            <w:noWrap/>
            <w:vAlign w:val="center"/>
          </w:tcPr>
          <w:p w14:paraId="768FECE1"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509" w:type="pct"/>
            <w:tcBorders>
              <w:top w:val="nil"/>
              <w:left w:val="nil"/>
              <w:bottom w:val="nil"/>
              <w:right w:val="nil"/>
            </w:tcBorders>
            <w:shd w:val="clear" w:color="000000" w:fill="F7A3B0"/>
            <w:noWrap/>
            <w:vAlign w:val="center"/>
          </w:tcPr>
          <w:p w14:paraId="0A7F688E"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467" w:type="pct"/>
            <w:tcBorders>
              <w:top w:val="nil"/>
              <w:left w:val="nil"/>
              <w:bottom w:val="nil"/>
              <w:right w:val="nil"/>
            </w:tcBorders>
            <w:shd w:val="clear" w:color="000000" w:fill="F7A3B0"/>
            <w:noWrap/>
            <w:vAlign w:val="center"/>
          </w:tcPr>
          <w:p w14:paraId="54DAC9F4"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460" w:type="pct"/>
            <w:tcBorders>
              <w:top w:val="nil"/>
              <w:left w:val="nil"/>
              <w:bottom w:val="nil"/>
              <w:right w:val="nil"/>
            </w:tcBorders>
            <w:shd w:val="clear" w:color="000000" w:fill="F7A3B0"/>
            <w:noWrap/>
            <w:vAlign w:val="center"/>
          </w:tcPr>
          <w:p w14:paraId="68828296"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425" w:type="pct"/>
            <w:tcBorders>
              <w:top w:val="nil"/>
              <w:left w:val="nil"/>
              <w:bottom w:val="nil"/>
              <w:right w:val="nil"/>
            </w:tcBorders>
            <w:shd w:val="clear" w:color="000000" w:fill="F7A3B0"/>
            <w:noWrap/>
            <w:vAlign w:val="center"/>
          </w:tcPr>
          <w:p w14:paraId="71D89260"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426" w:type="pct"/>
            <w:tcBorders>
              <w:top w:val="nil"/>
              <w:left w:val="nil"/>
              <w:bottom w:val="nil"/>
              <w:right w:val="nil"/>
            </w:tcBorders>
            <w:shd w:val="clear" w:color="000000" w:fill="F7A3B0"/>
            <w:noWrap/>
            <w:vAlign w:val="center"/>
          </w:tcPr>
          <w:p w14:paraId="1C745D92"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000000" w:fill="F7A3B0"/>
            <w:noWrap/>
            <w:vAlign w:val="center"/>
          </w:tcPr>
          <w:p w14:paraId="373664B5"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517" w:type="pct"/>
            <w:tcBorders>
              <w:top w:val="nil"/>
              <w:left w:val="nil"/>
              <w:bottom w:val="nil"/>
              <w:right w:val="nil"/>
            </w:tcBorders>
            <w:shd w:val="clear" w:color="000000" w:fill="F7A3B0"/>
            <w:noWrap/>
            <w:vAlign w:val="center"/>
          </w:tcPr>
          <w:p w14:paraId="3CC25636"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419" w:type="pct"/>
            <w:tcBorders>
              <w:top w:val="nil"/>
              <w:left w:val="nil"/>
              <w:bottom w:val="nil"/>
              <w:right w:val="single" w:sz="8" w:space="0" w:color="FF0000"/>
            </w:tcBorders>
            <w:shd w:val="clear" w:color="000000" w:fill="F7A3B0"/>
            <w:noWrap/>
            <w:vAlign w:val="center"/>
          </w:tcPr>
          <w:p w14:paraId="06722306"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r>
      <w:tr w:rsidR="002F4BAB" w:rsidRPr="00894701" w14:paraId="0B4B7012" w14:textId="77777777" w:rsidTr="00AA49E3">
        <w:trPr>
          <w:trHeight w:val="227"/>
          <w:jc w:val="center"/>
        </w:trPr>
        <w:tc>
          <w:tcPr>
            <w:tcW w:w="150" w:type="pct"/>
            <w:tcBorders>
              <w:top w:val="nil"/>
              <w:left w:val="single" w:sz="8" w:space="0" w:color="FF0000"/>
              <w:bottom w:val="nil"/>
              <w:right w:val="nil"/>
            </w:tcBorders>
            <w:shd w:val="clear" w:color="000000" w:fill="FFFFFF"/>
            <w:noWrap/>
            <w:tcMar>
              <w:left w:w="28" w:type="dxa"/>
              <w:right w:w="28" w:type="dxa"/>
            </w:tcMar>
            <w:vAlign w:val="center"/>
            <w:hideMark/>
          </w:tcPr>
          <w:p w14:paraId="622786E3" w14:textId="77777777" w:rsidR="002F4BAB" w:rsidRPr="00894701" w:rsidRDefault="002F4BAB" w:rsidP="002209C2">
            <w:pPr>
              <w:spacing w:after="0" w:line="240" w:lineRule="auto"/>
              <w:rPr>
                <w:rFonts w:cs="Arial"/>
                <w:color w:val="auto"/>
                <w:kern w:val="0"/>
                <w:sz w:val="16"/>
                <w:szCs w:val="16"/>
              </w:rPr>
            </w:pPr>
            <w:r w:rsidRPr="00894701">
              <w:rPr>
                <w:rFonts w:cs="Arial"/>
                <w:color w:val="auto"/>
                <w:kern w:val="0"/>
                <w:sz w:val="16"/>
                <w:szCs w:val="16"/>
              </w:rPr>
              <w:t>1.4</w:t>
            </w:r>
          </w:p>
        </w:tc>
        <w:tc>
          <w:tcPr>
            <w:tcW w:w="695" w:type="pct"/>
            <w:tcBorders>
              <w:top w:val="nil"/>
              <w:left w:val="nil"/>
              <w:bottom w:val="nil"/>
              <w:right w:val="nil"/>
            </w:tcBorders>
            <w:shd w:val="clear" w:color="000000" w:fill="FFFFFF"/>
            <w:vAlign w:val="center"/>
            <w:hideMark/>
          </w:tcPr>
          <w:p w14:paraId="216E8F3A" w14:textId="363CB45F" w:rsidR="002F4BAB" w:rsidRPr="00894701" w:rsidRDefault="002F4BAB" w:rsidP="002209C2">
            <w:pPr>
              <w:spacing w:after="0" w:line="240" w:lineRule="auto"/>
              <w:rPr>
                <w:rFonts w:cs="Arial"/>
                <w:color w:val="auto"/>
                <w:kern w:val="0"/>
                <w:sz w:val="16"/>
                <w:szCs w:val="16"/>
              </w:rPr>
            </w:pPr>
            <w:r w:rsidRPr="00894701">
              <w:rPr>
                <w:rFonts w:cs="Arial"/>
                <w:color w:val="auto"/>
                <w:kern w:val="0"/>
                <w:sz w:val="16"/>
                <w:szCs w:val="16"/>
              </w:rPr>
              <w:t>Fee</w:t>
            </w:r>
            <w:r w:rsidR="00AA49E3" w:rsidRPr="00894701">
              <w:rPr>
                <w:rFonts w:cs="Arial"/>
                <w:color w:val="auto"/>
                <w:kern w:val="0"/>
                <w:sz w:val="16"/>
                <w:szCs w:val="16"/>
              </w:rPr>
              <w:t xml:space="preserve"> </w:t>
            </w:r>
            <w:r w:rsidRPr="00894701">
              <w:rPr>
                <w:rFonts w:cs="Arial"/>
                <w:color w:val="auto"/>
                <w:kern w:val="0"/>
                <w:sz w:val="16"/>
                <w:szCs w:val="16"/>
              </w:rPr>
              <w:t>Quarry</w:t>
            </w:r>
            <w:r w:rsidR="00AA49E3" w:rsidRPr="00894701">
              <w:rPr>
                <w:rFonts w:cs="Arial"/>
                <w:color w:val="auto"/>
                <w:kern w:val="0"/>
                <w:sz w:val="16"/>
                <w:szCs w:val="16"/>
              </w:rPr>
              <w:t xml:space="preserve"> </w:t>
            </w:r>
            <w:r w:rsidRPr="00894701">
              <w:rPr>
                <w:rFonts w:cs="Arial"/>
                <w:color w:val="auto"/>
                <w:kern w:val="0"/>
                <w:sz w:val="16"/>
                <w:szCs w:val="16"/>
              </w:rPr>
              <w:t>building</w:t>
            </w:r>
            <w:r w:rsidR="00AA49E3" w:rsidRPr="00894701">
              <w:rPr>
                <w:rFonts w:cs="Arial"/>
                <w:color w:val="auto"/>
                <w:kern w:val="0"/>
                <w:sz w:val="16"/>
                <w:szCs w:val="16"/>
              </w:rPr>
              <w:t xml:space="preserve"> </w:t>
            </w:r>
            <w:r w:rsidRPr="00894701">
              <w:rPr>
                <w:rFonts w:cs="Arial"/>
                <w:color w:val="auto"/>
                <w:kern w:val="0"/>
                <w:sz w:val="16"/>
                <w:szCs w:val="16"/>
              </w:rPr>
              <w:t>materials</w:t>
            </w:r>
          </w:p>
        </w:tc>
        <w:tc>
          <w:tcPr>
            <w:tcW w:w="464" w:type="pct"/>
            <w:tcBorders>
              <w:top w:val="nil"/>
              <w:left w:val="nil"/>
              <w:bottom w:val="nil"/>
              <w:right w:val="nil"/>
            </w:tcBorders>
            <w:shd w:val="clear" w:color="000000" w:fill="FFFFFF"/>
            <w:noWrap/>
            <w:vAlign w:val="center"/>
          </w:tcPr>
          <w:p w14:paraId="297978F7"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509" w:type="pct"/>
            <w:tcBorders>
              <w:top w:val="nil"/>
              <w:left w:val="nil"/>
              <w:bottom w:val="nil"/>
              <w:right w:val="nil"/>
            </w:tcBorders>
            <w:shd w:val="clear" w:color="000000" w:fill="FFFFFF"/>
            <w:noWrap/>
            <w:vAlign w:val="center"/>
          </w:tcPr>
          <w:p w14:paraId="34226DDA"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467" w:type="pct"/>
            <w:tcBorders>
              <w:top w:val="nil"/>
              <w:left w:val="nil"/>
              <w:bottom w:val="nil"/>
              <w:right w:val="nil"/>
            </w:tcBorders>
            <w:shd w:val="clear" w:color="000000" w:fill="FFFFFF"/>
            <w:noWrap/>
            <w:vAlign w:val="center"/>
          </w:tcPr>
          <w:p w14:paraId="27DD2109"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460" w:type="pct"/>
            <w:tcBorders>
              <w:top w:val="nil"/>
              <w:left w:val="nil"/>
              <w:bottom w:val="nil"/>
              <w:right w:val="nil"/>
            </w:tcBorders>
            <w:shd w:val="clear" w:color="000000" w:fill="FFFFFF"/>
            <w:noWrap/>
            <w:vAlign w:val="center"/>
          </w:tcPr>
          <w:p w14:paraId="69490BC4"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425" w:type="pct"/>
            <w:tcBorders>
              <w:top w:val="nil"/>
              <w:left w:val="nil"/>
              <w:bottom w:val="nil"/>
              <w:right w:val="nil"/>
            </w:tcBorders>
            <w:shd w:val="clear" w:color="000000" w:fill="FFFFFF"/>
            <w:noWrap/>
            <w:vAlign w:val="center"/>
          </w:tcPr>
          <w:p w14:paraId="32555291"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426" w:type="pct"/>
            <w:tcBorders>
              <w:top w:val="nil"/>
              <w:left w:val="nil"/>
              <w:bottom w:val="nil"/>
              <w:right w:val="nil"/>
            </w:tcBorders>
            <w:shd w:val="clear" w:color="000000" w:fill="FFFFFF"/>
            <w:noWrap/>
            <w:vAlign w:val="center"/>
          </w:tcPr>
          <w:p w14:paraId="0E4D61E4"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000000" w:fill="FFFFFF"/>
            <w:noWrap/>
            <w:vAlign w:val="center"/>
          </w:tcPr>
          <w:p w14:paraId="49B119CE"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517" w:type="pct"/>
            <w:tcBorders>
              <w:top w:val="nil"/>
              <w:left w:val="nil"/>
              <w:bottom w:val="nil"/>
              <w:right w:val="nil"/>
            </w:tcBorders>
            <w:shd w:val="clear" w:color="000000" w:fill="FFFFFF"/>
            <w:noWrap/>
            <w:vAlign w:val="center"/>
          </w:tcPr>
          <w:p w14:paraId="2A37D399"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419" w:type="pct"/>
            <w:tcBorders>
              <w:top w:val="nil"/>
              <w:left w:val="nil"/>
              <w:bottom w:val="nil"/>
              <w:right w:val="single" w:sz="8" w:space="0" w:color="FF0000"/>
            </w:tcBorders>
            <w:shd w:val="clear" w:color="000000" w:fill="FFFFFF"/>
            <w:noWrap/>
            <w:vAlign w:val="center"/>
          </w:tcPr>
          <w:p w14:paraId="3ABD4D4E"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r>
      <w:tr w:rsidR="002F4BAB" w:rsidRPr="00894701" w14:paraId="46934A13" w14:textId="77777777" w:rsidTr="00AA49E3">
        <w:trPr>
          <w:trHeight w:val="227"/>
          <w:jc w:val="center"/>
        </w:trPr>
        <w:tc>
          <w:tcPr>
            <w:tcW w:w="150" w:type="pct"/>
            <w:tcBorders>
              <w:top w:val="nil"/>
              <w:left w:val="single" w:sz="8" w:space="0" w:color="FF0000"/>
              <w:bottom w:val="nil"/>
              <w:right w:val="nil"/>
            </w:tcBorders>
            <w:shd w:val="clear" w:color="000000" w:fill="F7A3B0"/>
            <w:noWrap/>
            <w:tcMar>
              <w:left w:w="28" w:type="dxa"/>
              <w:right w:w="28" w:type="dxa"/>
            </w:tcMar>
            <w:vAlign w:val="center"/>
            <w:hideMark/>
          </w:tcPr>
          <w:p w14:paraId="681727FF" w14:textId="77777777"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1.5</w:t>
            </w:r>
          </w:p>
        </w:tc>
        <w:tc>
          <w:tcPr>
            <w:tcW w:w="695" w:type="pct"/>
            <w:tcBorders>
              <w:top w:val="nil"/>
              <w:left w:val="nil"/>
              <w:bottom w:val="nil"/>
              <w:right w:val="nil"/>
            </w:tcBorders>
            <w:shd w:val="clear" w:color="000000" w:fill="F7A3B0"/>
            <w:noWrap/>
            <w:vAlign w:val="center"/>
            <w:hideMark/>
          </w:tcPr>
          <w:p w14:paraId="5B664A16" w14:textId="01EB26F6"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Application</w:t>
            </w:r>
            <w:r w:rsidR="00AA49E3" w:rsidRPr="00894701">
              <w:rPr>
                <w:rFonts w:cs="Arial"/>
                <w:color w:val="000000"/>
                <w:kern w:val="0"/>
                <w:sz w:val="16"/>
                <w:szCs w:val="16"/>
              </w:rPr>
              <w:t xml:space="preserve"> </w:t>
            </w:r>
            <w:r w:rsidRPr="00894701">
              <w:rPr>
                <w:rFonts w:cs="Arial"/>
                <w:color w:val="000000"/>
                <w:kern w:val="0"/>
                <w:sz w:val="16"/>
                <w:szCs w:val="16"/>
              </w:rPr>
              <w:t>fees</w:t>
            </w:r>
          </w:p>
        </w:tc>
        <w:tc>
          <w:tcPr>
            <w:tcW w:w="464" w:type="pct"/>
            <w:tcBorders>
              <w:top w:val="nil"/>
              <w:left w:val="nil"/>
              <w:bottom w:val="nil"/>
              <w:right w:val="nil"/>
            </w:tcBorders>
            <w:shd w:val="clear" w:color="000000" w:fill="F7A3B0"/>
            <w:noWrap/>
            <w:vAlign w:val="center"/>
          </w:tcPr>
          <w:p w14:paraId="7E350FC5"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509" w:type="pct"/>
            <w:tcBorders>
              <w:top w:val="nil"/>
              <w:left w:val="nil"/>
              <w:bottom w:val="nil"/>
              <w:right w:val="nil"/>
            </w:tcBorders>
            <w:shd w:val="clear" w:color="000000" w:fill="F7A3B0"/>
            <w:noWrap/>
            <w:vAlign w:val="center"/>
          </w:tcPr>
          <w:p w14:paraId="54AAFA57"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467" w:type="pct"/>
            <w:tcBorders>
              <w:top w:val="nil"/>
              <w:left w:val="nil"/>
              <w:bottom w:val="nil"/>
              <w:right w:val="nil"/>
            </w:tcBorders>
            <w:shd w:val="clear" w:color="000000" w:fill="F7A3B0"/>
            <w:noWrap/>
            <w:vAlign w:val="center"/>
          </w:tcPr>
          <w:p w14:paraId="3E52CC86"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460" w:type="pct"/>
            <w:tcBorders>
              <w:top w:val="nil"/>
              <w:left w:val="nil"/>
              <w:bottom w:val="nil"/>
              <w:right w:val="nil"/>
            </w:tcBorders>
            <w:shd w:val="clear" w:color="000000" w:fill="F7A3B0"/>
            <w:noWrap/>
            <w:vAlign w:val="center"/>
          </w:tcPr>
          <w:p w14:paraId="097D0042"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425" w:type="pct"/>
            <w:tcBorders>
              <w:top w:val="nil"/>
              <w:left w:val="nil"/>
              <w:bottom w:val="nil"/>
              <w:right w:val="nil"/>
            </w:tcBorders>
            <w:shd w:val="clear" w:color="000000" w:fill="F7A3B0"/>
            <w:noWrap/>
            <w:vAlign w:val="center"/>
          </w:tcPr>
          <w:p w14:paraId="1B7F93B5"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426" w:type="pct"/>
            <w:tcBorders>
              <w:top w:val="nil"/>
              <w:left w:val="nil"/>
              <w:bottom w:val="nil"/>
              <w:right w:val="nil"/>
            </w:tcBorders>
            <w:shd w:val="clear" w:color="000000" w:fill="F7A3B0"/>
            <w:noWrap/>
            <w:vAlign w:val="center"/>
          </w:tcPr>
          <w:p w14:paraId="08525548"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000000" w:fill="F7A3B0"/>
            <w:noWrap/>
            <w:vAlign w:val="center"/>
          </w:tcPr>
          <w:p w14:paraId="599E6C6B"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517" w:type="pct"/>
            <w:tcBorders>
              <w:top w:val="nil"/>
              <w:left w:val="nil"/>
              <w:bottom w:val="nil"/>
              <w:right w:val="nil"/>
            </w:tcBorders>
            <w:shd w:val="clear" w:color="000000" w:fill="F7A3B0"/>
            <w:noWrap/>
            <w:vAlign w:val="center"/>
          </w:tcPr>
          <w:p w14:paraId="2DB226BB"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419" w:type="pct"/>
            <w:tcBorders>
              <w:top w:val="nil"/>
              <w:left w:val="nil"/>
              <w:bottom w:val="nil"/>
              <w:right w:val="single" w:sz="8" w:space="0" w:color="FF0000"/>
            </w:tcBorders>
            <w:shd w:val="clear" w:color="000000" w:fill="F7A3B0"/>
            <w:noWrap/>
            <w:vAlign w:val="center"/>
          </w:tcPr>
          <w:p w14:paraId="26848FF4"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r>
      <w:tr w:rsidR="00480196" w:rsidRPr="00894701" w14:paraId="725924D1" w14:textId="77777777" w:rsidTr="00AA49E3">
        <w:trPr>
          <w:trHeight w:val="227"/>
          <w:jc w:val="center"/>
        </w:trPr>
        <w:tc>
          <w:tcPr>
            <w:tcW w:w="150" w:type="pct"/>
            <w:tcBorders>
              <w:top w:val="nil"/>
              <w:left w:val="single" w:sz="8" w:space="0" w:color="FF0000"/>
              <w:bottom w:val="nil"/>
              <w:right w:val="nil"/>
            </w:tcBorders>
            <w:shd w:val="clear" w:color="000000" w:fill="FFFFFF"/>
            <w:noWrap/>
            <w:tcMar>
              <w:left w:w="28" w:type="dxa"/>
              <w:right w:w="28" w:type="dxa"/>
            </w:tcMar>
            <w:vAlign w:val="center"/>
            <w:hideMark/>
          </w:tcPr>
          <w:p w14:paraId="1B8D8ADA" w14:textId="77777777" w:rsidR="00480196" w:rsidRPr="00894701" w:rsidRDefault="00480196" w:rsidP="00480196">
            <w:pPr>
              <w:spacing w:after="0" w:line="240" w:lineRule="auto"/>
              <w:rPr>
                <w:rFonts w:cs="Arial"/>
                <w:color w:val="auto"/>
                <w:kern w:val="0"/>
                <w:sz w:val="16"/>
                <w:szCs w:val="16"/>
              </w:rPr>
            </w:pPr>
            <w:r w:rsidRPr="00894701">
              <w:rPr>
                <w:rFonts w:cs="Arial"/>
                <w:color w:val="auto"/>
                <w:kern w:val="0"/>
                <w:sz w:val="16"/>
                <w:szCs w:val="16"/>
              </w:rPr>
              <w:t>1.6</w:t>
            </w:r>
          </w:p>
        </w:tc>
        <w:tc>
          <w:tcPr>
            <w:tcW w:w="695" w:type="pct"/>
            <w:tcBorders>
              <w:top w:val="nil"/>
              <w:left w:val="nil"/>
              <w:bottom w:val="nil"/>
              <w:right w:val="nil"/>
            </w:tcBorders>
            <w:shd w:val="clear" w:color="000000" w:fill="FFFFFF"/>
            <w:vAlign w:val="center"/>
            <w:hideMark/>
          </w:tcPr>
          <w:p w14:paraId="20149FC5" w14:textId="5506002A" w:rsidR="00480196" w:rsidRPr="00894701" w:rsidRDefault="00480196" w:rsidP="00480196">
            <w:pPr>
              <w:spacing w:after="0" w:line="240" w:lineRule="auto"/>
              <w:rPr>
                <w:rFonts w:cs="Arial"/>
                <w:color w:val="auto"/>
                <w:kern w:val="0"/>
                <w:sz w:val="16"/>
                <w:szCs w:val="16"/>
              </w:rPr>
            </w:pPr>
            <w:r w:rsidRPr="00894701">
              <w:rPr>
                <w:rFonts w:cs="Arial"/>
                <w:color w:val="auto"/>
                <w:kern w:val="0"/>
                <w:sz w:val="16"/>
                <w:szCs w:val="16"/>
              </w:rPr>
              <w:t>Income Tax</w:t>
            </w:r>
          </w:p>
        </w:tc>
        <w:tc>
          <w:tcPr>
            <w:tcW w:w="464" w:type="pct"/>
            <w:tcBorders>
              <w:top w:val="nil"/>
              <w:left w:val="nil"/>
              <w:bottom w:val="nil"/>
              <w:right w:val="nil"/>
            </w:tcBorders>
            <w:shd w:val="clear" w:color="000000" w:fill="FFFFFF"/>
            <w:noWrap/>
            <w:vAlign w:val="center"/>
          </w:tcPr>
          <w:p w14:paraId="5242027C" w14:textId="15B74C2B" w:rsidR="00480196" w:rsidRPr="00894701" w:rsidRDefault="00480196" w:rsidP="00480196">
            <w:pPr>
              <w:spacing w:after="0" w:line="240" w:lineRule="auto"/>
              <w:jc w:val="right"/>
              <w:rPr>
                <w:rFonts w:cs="Arial"/>
                <w:color w:val="auto"/>
                <w:kern w:val="0"/>
                <w:sz w:val="16"/>
                <w:szCs w:val="16"/>
              </w:rPr>
            </w:pPr>
            <w:r w:rsidRPr="00894701">
              <w:rPr>
                <w:rFonts w:cs="Arial"/>
                <w:sz w:val="16"/>
                <w:szCs w:val="16"/>
              </w:rPr>
              <w:t>116,457,416</w:t>
            </w:r>
          </w:p>
        </w:tc>
        <w:tc>
          <w:tcPr>
            <w:tcW w:w="509" w:type="pct"/>
            <w:tcBorders>
              <w:top w:val="nil"/>
              <w:left w:val="nil"/>
              <w:bottom w:val="nil"/>
              <w:right w:val="nil"/>
            </w:tcBorders>
            <w:shd w:val="clear" w:color="000000" w:fill="FFFFFF"/>
            <w:noWrap/>
            <w:vAlign w:val="center"/>
          </w:tcPr>
          <w:p w14:paraId="4966388C" w14:textId="33F1C4FF" w:rsidR="00480196" w:rsidRPr="00894701" w:rsidRDefault="00480196" w:rsidP="00480196">
            <w:pPr>
              <w:spacing w:after="0" w:line="240" w:lineRule="auto"/>
              <w:jc w:val="right"/>
              <w:rPr>
                <w:rFonts w:cs="Arial"/>
                <w:color w:val="auto"/>
                <w:kern w:val="0"/>
                <w:sz w:val="16"/>
                <w:szCs w:val="16"/>
              </w:rPr>
            </w:pPr>
            <w:r w:rsidRPr="00894701">
              <w:rPr>
                <w:rFonts w:cs="Arial"/>
                <w:sz w:val="16"/>
                <w:szCs w:val="16"/>
              </w:rPr>
              <w:t>79,476,693</w:t>
            </w:r>
          </w:p>
        </w:tc>
        <w:tc>
          <w:tcPr>
            <w:tcW w:w="467" w:type="pct"/>
            <w:tcBorders>
              <w:top w:val="nil"/>
              <w:left w:val="nil"/>
              <w:bottom w:val="nil"/>
              <w:right w:val="nil"/>
            </w:tcBorders>
            <w:shd w:val="clear" w:color="000000" w:fill="FFFFFF"/>
            <w:noWrap/>
            <w:vAlign w:val="center"/>
          </w:tcPr>
          <w:p w14:paraId="7194231B" w14:textId="5D1F2707" w:rsidR="00480196" w:rsidRPr="00894701" w:rsidRDefault="00480196" w:rsidP="00480196">
            <w:pPr>
              <w:spacing w:after="0" w:line="240" w:lineRule="auto"/>
              <w:jc w:val="right"/>
              <w:rPr>
                <w:rFonts w:cs="Arial"/>
                <w:color w:val="auto"/>
                <w:kern w:val="0"/>
                <w:sz w:val="16"/>
                <w:szCs w:val="16"/>
              </w:rPr>
            </w:pPr>
            <w:r w:rsidRPr="00894701">
              <w:rPr>
                <w:rFonts w:cs="Arial"/>
                <w:sz w:val="16"/>
                <w:szCs w:val="16"/>
              </w:rPr>
              <w:t>36,980,723</w:t>
            </w:r>
          </w:p>
        </w:tc>
        <w:tc>
          <w:tcPr>
            <w:tcW w:w="460" w:type="pct"/>
            <w:tcBorders>
              <w:top w:val="nil"/>
              <w:left w:val="nil"/>
              <w:bottom w:val="nil"/>
              <w:right w:val="nil"/>
            </w:tcBorders>
            <w:shd w:val="clear" w:color="000000" w:fill="FFFFFF"/>
            <w:noWrap/>
            <w:vAlign w:val="center"/>
          </w:tcPr>
          <w:p w14:paraId="5B13B140" w14:textId="0F2920D2" w:rsidR="00480196" w:rsidRPr="00894701" w:rsidRDefault="00480196" w:rsidP="00480196">
            <w:pPr>
              <w:spacing w:after="0" w:line="240" w:lineRule="auto"/>
              <w:jc w:val="right"/>
              <w:rPr>
                <w:rFonts w:cs="Arial"/>
                <w:color w:val="auto"/>
                <w:kern w:val="0"/>
                <w:sz w:val="16"/>
                <w:szCs w:val="16"/>
              </w:rPr>
            </w:pPr>
            <w:r w:rsidRPr="00894701">
              <w:rPr>
                <w:rFonts w:cs="Arial"/>
                <w:sz w:val="16"/>
                <w:szCs w:val="16"/>
              </w:rPr>
              <w:t>(39,595,521)</w:t>
            </w:r>
          </w:p>
        </w:tc>
        <w:tc>
          <w:tcPr>
            <w:tcW w:w="425" w:type="pct"/>
            <w:tcBorders>
              <w:top w:val="nil"/>
              <w:left w:val="nil"/>
              <w:bottom w:val="nil"/>
              <w:right w:val="nil"/>
            </w:tcBorders>
            <w:shd w:val="clear" w:color="000000" w:fill="FFFFFF"/>
            <w:noWrap/>
            <w:vAlign w:val="center"/>
          </w:tcPr>
          <w:p w14:paraId="1D83DA90" w14:textId="37DCD3A2" w:rsidR="00480196" w:rsidRPr="00894701" w:rsidRDefault="00480196" w:rsidP="00480196">
            <w:pPr>
              <w:spacing w:after="0" w:line="240" w:lineRule="auto"/>
              <w:jc w:val="right"/>
              <w:rPr>
                <w:rFonts w:cs="Arial"/>
                <w:color w:val="auto"/>
                <w:kern w:val="0"/>
                <w:sz w:val="16"/>
                <w:szCs w:val="16"/>
              </w:rPr>
            </w:pPr>
            <w:r w:rsidRPr="00894701">
              <w:rPr>
                <w:rFonts w:cs="Arial"/>
                <w:sz w:val="16"/>
                <w:szCs w:val="16"/>
              </w:rPr>
              <w:t>(2,615,276)</w:t>
            </w:r>
          </w:p>
        </w:tc>
        <w:tc>
          <w:tcPr>
            <w:tcW w:w="426" w:type="pct"/>
            <w:tcBorders>
              <w:top w:val="nil"/>
              <w:left w:val="nil"/>
              <w:bottom w:val="nil"/>
              <w:right w:val="nil"/>
            </w:tcBorders>
            <w:shd w:val="clear" w:color="000000" w:fill="FFFFFF"/>
            <w:noWrap/>
            <w:vAlign w:val="center"/>
          </w:tcPr>
          <w:p w14:paraId="666498E2" w14:textId="2DAFC24C" w:rsidR="00480196" w:rsidRPr="00894701" w:rsidRDefault="00480196" w:rsidP="00480196">
            <w:pPr>
              <w:spacing w:after="0" w:line="240" w:lineRule="auto"/>
              <w:jc w:val="right"/>
              <w:rPr>
                <w:rFonts w:cs="Arial"/>
                <w:color w:val="auto"/>
                <w:kern w:val="0"/>
                <w:sz w:val="16"/>
                <w:szCs w:val="16"/>
              </w:rPr>
            </w:pPr>
            <w:r w:rsidRPr="00894701">
              <w:rPr>
                <w:rFonts w:cs="Arial"/>
                <w:sz w:val="16"/>
                <w:szCs w:val="16"/>
              </w:rPr>
              <w:t>(36,980,245)</w:t>
            </w:r>
          </w:p>
        </w:tc>
        <w:tc>
          <w:tcPr>
            <w:tcW w:w="468" w:type="pct"/>
            <w:tcBorders>
              <w:top w:val="nil"/>
              <w:left w:val="nil"/>
              <w:bottom w:val="nil"/>
              <w:right w:val="nil"/>
            </w:tcBorders>
            <w:shd w:val="clear" w:color="000000" w:fill="FFFFFF"/>
            <w:noWrap/>
            <w:vAlign w:val="center"/>
          </w:tcPr>
          <w:p w14:paraId="3C49F663" w14:textId="4ABDAC49" w:rsidR="00480196" w:rsidRPr="00894701" w:rsidRDefault="00480196" w:rsidP="00480196">
            <w:pPr>
              <w:spacing w:after="0" w:line="240" w:lineRule="auto"/>
              <w:jc w:val="right"/>
              <w:rPr>
                <w:rFonts w:cs="Arial"/>
                <w:color w:val="auto"/>
                <w:kern w:val="0"/>
                <w:sz w:val="16"/>
                <w:szCs w:val="16"/>
              </w:rPr>
            </w:pPr>
            <w:r w:rsidRPr="00894701">
              <w:rPr>
                <w:rFonts w:cs="Arial"/>
                <w:sz w:val="16"/>
                <w:szCs w:val="16"/>
              </w:rPr>
              <w:t>76,861,895</w:t>
            </w:r>
          </w:p>
        </w:tc>
        <w:tc>
          <w:tcPr>
            <w:tcW w:w="517" w:type="pct"/>
            <w:tcBorders>
              <w:top w:val="nil"/>
              <w:left w:val="nil"/>
              <w:bottom w:val="nil"/>
              <w:right w:val="nil"/>
            </w:tcBorders>
            <w:shd w:val="clear" w:color="000000" w:fill="FFFFFF"/>
            <w:noWrap/>
            <w:vAlign w:val="center"/>
          </w:tcPr>
          <w:p w14:paraId="7C7DF719" w14:textId="69873BB7" w:rsidR="00480196" w:rsidRPr="00894701" w:rsidRDefault="00480196" w:rsidP="00480196">
            <w:pPr>
              <w:spacing w:after="0" w:line="240" w:lineRule="auto"/>
              <w:jc w:val="right"/>
              <w:rPr>
                <w:rFonts w:cs="Arial"/>
                <w:color w:val="auto"/>
                <w:kern w:val="0"/>
                <w:sz w:val="16"/>
                <w:szCs w:val="16"/>
              </w:rPr>
            </w:pPr>
            <w:r w:rsidRPr="00894701">
              <w:rPr>
                <w:rFonts w:cs="Arial"/>
                <w:sz w:val="16"/>
                <w:szCs w:val="16"/>
              </w:rPr>
              <w:t>76,861,417</w:t>
            </w:r>
          </w:p>
        </w:tc>
        <w:tc>
          <w:tcPr>
            <w:tcW w:w="419" w:type="pct"/>
            <w:tcBorders>
              <w:top w:val="nil"/>
              <w:left w:val="nil"/>
              <w:bottom w:val="nil"/>
              <w:right w:val="single" w:sz="8" w:space="0" w:color="FF0000"/>
            </w:tcBorders>
            <w:shd w:val="clear" w:color="000000" w:fill="FFFFFF"/>
            <w:noWrap/>
            <w:vAlign w:val="center"/>
          </w:tcPr>
          <w:p w14:paraId="077D70B3" w14:textId="040ADB76" w:rsidR="00480196" w:rsidRPr="00894701" w:rsidRDefault="00480196" w:rsidP="00480196">
            <w:pPr>
              <w:spacing w:after="0" w:line="240" w:lineRule="auto"/>
              <w:jc w:val="right"/>
              <w:rPr>
                <w:rFonts w:cs="Arial"/>
                <w:color w:val="auto"/>
                <w:kern w:val="0"/>
                <w:sz w:val="16"/>
                <w:szCs w:val="16"/>
              </w:rPr>
            </w:pPr>
            <w:r w:rsidRPr="00894701">
              <w:rPr>
                <w:rFonts w:cs="Arial"/>
                <w:sz w:val="16"/>
                <w:szCs w:val="16"/>
              </w:rPr>
              <w:t>478</w:t>
            </w:r>
          </w:p>
        </w:tc>
      </w:tr>
      <w:tr w:rsidR="00480196" w:rsidRPr="00894701" w14:paraId="503234D1" w14:textId="77777777" w:rsidTr="00AA49E3">
        <w:trPr>
          <w:trHeight w:val="227"/>
          <w:jc w:val="center"/>
        </w:trPr>
        <w:tc>
          <w:tcPr>
            <w:tcW w:w="150" w:type="pct"/>
            <w:tcBorders>
              <w:top w:val="nil"/>
              <w:left w:val="single" w:sz="8" w:space="0" w:color="FF0000"/>
              <w:bottom w:val="nil"/>
              <w:right w:val="nil"/>
            </w:tcBorders>
            <w:shd w:val="clear" w:color="000000" w:fill="F7A3B0"/>
            <w:noWrap/>
            <w:tcMar>
              <w:left w:w="28" w:type="dxa"/>
              <w:right w:w="28" w:type="dxa"/>
            </w:tcMar>
            <w:vAlign w:val="center"/>
            <w:hideMark/>
          </w:tcPr>
          <w:p w14:paraId="60E6630E" w14:textId="77777777" w:rsidR="00480196" w:rsidRPr="00894701" w:rsidRDefault="00480196" w:rsidP="00480196">
            <w:pPr>
              <w:spacing w:after="0" w:line="240" w:lineRule="auto"/>
              <w:rPr>
                <w:rFonts w:cs="Arial"/>
                <w:color w:val="000000"/>
                <w:kern w:val="0"/>
                <w:sz w:val="16"/>
                <w:szCs w:val="16"/>
              </w:rPr>
            </w:pPr>
            <w:r w:rsidRPr="00894701">
              <w:rPr>
                <w:rFonts w:cs="Arial"/>
                <w:color w:val="000000"/>
                <w:kern w:val="0"/>
                <w:sz w:val="16"/>
                <w:szCs w:val="16"/>
              </w:rPr>
              <w:t>1.7</w:t>
            </w:r>
          </w:p>
        </w:tc>
        <w:tc>
          <w:tcPr>
            <w:tcW w:w="695" w:type="pct"/>
            <w:tcBorders>
              <w:top w:val="nil"/>
              <w:left w:val="nil"/>
              <w:bottom w:val="nil"/>
              <w:right w:val="nil"/>
            </w:tcBorders>
            <w:shd w:val="clear" w:color="000000" w:fill="F7A3B0"/>
            <w:noWrap/>
            <w:vAlign w:val="center"/>
            <w:hideMark/>
          </w:tcPr>
          <w:p w14:paraId="0172F71E" w14:textId="0289E368" w:rsidR="00480196" w:rsidRPr="00894701" w:rsidRDefault="00480196" w:rsidP="00480196">
            <w:pPr>
              <w:spacing w:after="0" w:line="240" w:lineRule="auto"/>
              <w:rPr>
                <w:rFonts w:cs="Arial"/>
                <w:color w:val="000000"/>
                <w:kern w:val="0"/>
                <w:sz w:val="16"/>
                <w:szCs w:val="16"/>
              </w:rPr>
            </w:pPr>
            <w:r w:rsidRPr="00894701">
              <w:rPr>
                <w:rFonts w:cs="Arial"/>
                <w:color w:val="000000"/>
                <w:kern w:val="0"/>
                <w:sz w:val="16"/>
                <w:szCs w:val="16"/>
              </w:rPr>
              <w:t>Sales Tax</w:t>
            </w:r>
          </w:p>
        </w:tc>
        <w:tc>
          <w:tcPr>
            <w:tcW w:w="464" w:type="pct"/>
            <w:tcBorders>
              <w:top w:val="nil"/>
              <w:left w:val="nil"/>
              <w:bottom w:val="nil"/>
              <w:right w:val="nil"/>
            </w:tcBorders>
            <w:shd w:val="clear" w:color="000000" w:fill="F7A3B0"/>
            <w:noWrap/>
            <w:vAlign w:val="center"/>
          </w:tcPr>
          <w:p w14:paraId="327EE402" w14:textId="2F91FAA3" w:rsidR="00480196" w:rsidRPr="00894701" w:rsidRDefault="00480196" w:rsidP="00480196">
            <w:pPr>
              <w:spacing w:after="0" w:line="240" w:lineRule="auto"/>
              <w:jc w:val="right"/>
              <w:rPr>
                <w:rFonts w:cs="Arial"/>
                <w:color w:val="auto"/>
                <w:kern w:val="0"/>
                <w:sz w:val="16"/>
                <w:szCs w:val="16"/>
              </w:rPr>
            </w:pPr>
            <w:r w:rsidRPr="00894701">
              <w:rPr>
                <w:rFonts w:cs="Arial"/>
                <w:color w:val="000000"/>
                <w:sz w:val="16"/>
                <w:szCs w:val="16"/>
              </w:rPr>
              <w:t>-</w:t>
            </w:r>
          </w:p>
        </w:tc>
        <w:tc>
          <w:tcPr>
            <w:tcW w:w="509" w:type="pct"/>
            <w:tcBorders>
              <w:top w:val="nil"/>
              <w:left w:val="nil"/>
              <w:bottom w:val="nil"/>
              <w:right w:val="nil"/>
            </w:tcBorders>
            <w:shd w:val="clear" w:color="000000" w:fill="F7A3B0"/>
            <w:noWrap/>
            <w:vAlign w:val="center"/>
          </w:tcPr>
          <w:p w14:paraId="48FDFDB7" w14:textId="0E48FE9C" w:rsidR="00480196" w:rsidRPr="00894701" w:rsidRDefault="00480196" w:rsidP="00480196">
            <w:pPr>
              <w:spacing w:after="0" w:line="240" w:lineRule="auto"/>
              <w:jc w:val="right"/>
              <w:rPr>
                <w:rFonts w:cs="Arial"/>
                <w:color w:val="auto"/>
                <w:kern w:val="0"/>
                <w:sz w:val="16"/>
                <w:szCs w:val="16"/>
              </w:rPr>
            </w:pPr>
            <w:r w:rsidRPr="00894701">
              <w:rPr>
                <w:rFonts w:cs="Arial"/>
                <w:color w:val="000000"/>
                <w:sz w:val="16"/>
                <w:szCs w:val="16"/>
              </w:rPr>
              <w:t>-</w:t>
            </w:r>
          </w:p>
        </w:tc>
        <w:tc>
          <w:tcPr>
            <w:tcW w:w="467" w:type="pct"/>
            <w:tcBorders>
              <w:top w:val="nil"/>
              <w:left w:val="nil"/>
              <w:bottom w:val="nil"/>
              <w:right w:val="nil"/>
            </w:tcBorders>
            <w:shd w:val="clear" w:color="000000" w:fill="F7A3B0"/>
            <w:noWrap/>
            <w:vAlign w:val="center"/>
          </w:tcPr>
          <w:p w14:paraId="52FB246B" w14:textId="215C4D69" w:rsidR="00480196" w:rsidRPr="00894701" w:rsidRDefault="00480196" w:rsidP="00480196">
            <w:pPr>
              <w:spacing w:after="0" w:line="240" w:lineRule="auto"/>
              <w:jc w:val="right"/>
              <w:rPr>
                <w:rFonts w:cs="Arial"/>
                <w:color w:val="auto"/>
                <w:kern w:val="0"/>
                <w:sz w:val="16"/>
                <w:szCs w:val="16"/>
              </w:rPr>
            </w:pPr>
            <w:r w:rsidRPr="00894701">
              <w:rPr>
                <w:rFonts w:cs="Arial"/>
                <w:color w:val="000000"/>
                <w:sz w:val="16"/>
                <w:szCs w:val="16"/>
              </w:rPr>
              <w:t>-</w:t>
            </w:r>
          </w:p>
        </w:tc>
        <w:tc>
          <w:tcPr>
            <w:tcW w:w="460" w:type="pct"/>
            <w:tcBorders>
              <w:top w:val="nil"/>
              <w:left w:val="nil"/>
              <w:bottom w:val="nil"/>
              <w:right w:val="nil"/>
            </w:tcBorders>
            <w:shd w:val="clear" w:color="000000" w:fill="F7A3B0"/>
            <w:noWrap/>
            <w:vAlign w:val="center"/>
          </w:tcPr>
          <w:p w14:paraId="07B0F13E" w14:textId="6D128B76" w:rsidR="00480196" w:rsidRPr="00894701" w:rsidRDefault="00480196" w:rsidP="00480196">
            <w:pPr>
              <w:spacing w:after="0" w:line="240" w:lineRule="auto"/>
              <w:jc w:val="right"/>
              <w:rPr>
                <w:rFonts w:cs="Arial"/>
                <w:color w:val="auto"/>
                <w:kern w:val="0"/>
                <w:sz w:val="16"/>
                <w:szCs w:val="16"/>
              </w:rPr>
            </w:pPr>
            <w:r w:rsidRPr="00894701">
              <w:rPr>
                <w:rFonts w:cs="Arial"/>
                <w:color w:val="000000"/>
                <w:sz w:val="16"/>
                <w:szCs w:val="16"/>
              </w:rPr>
              <w:t>-</w:t>
            </w:r>
          </w:p>
        </w:tc>
        <w:tc>
          <w:tcPr>
            <w:tcW w:w="425" w:type="pct"/>
            <w:tcBorders>
              <w:top w:val="nil"/>
              <w:left w:val="nil"/>
              <w:bottom w:val="nil"/>
              <w:right w:val="nil"/>
            </w:tcBorders>
            <w:shd w:val="clear" w:color="000000" w:fill="F7A3B0"/>
            <w:noWrap/>
            <w:vAlign w:val="center"/>
          </w:tcPr>
          <w:p w14:paraId="2A239F3B" w14:textId="7B7D114B" w:rsidR="00480196" w:rsidRPr="00894701" w:rsidRDefault="00480196" w:rsidP="00480196">
            <w:pPr>
              <w:spacing w:after="0" w:line="240" w:lineRule="auto"/>
              <w:jc w:val="right"/>
              <w:rPr>
                <w:rFonts w:cs="Arial"/>
                <w:color w:val="auto"/>
                <w:kern w:val="0"/>
                <w:sz w:val="16"/>
                <w:szCs w:val="16"/>
              </w:rPr>
            </w:pPr>
            <w:r w:rsidRPr="00894701">
              <w:rPr>
                <w:rFonts w:cs="Arial"/>
                <w:color w:val="000000"/>
                <w:sz w:val="16"/>
                <w:szCs w:val="16"/>
              </w:rPr>
              <w:t>-</w:t>
            </w:r>
          </w:p>
        </w:tc>
        <w:tc>
          <w:tcPr>
            <w:tcW w:w="426" w:type="pct"/>
            <w:tcBorders>
              <w:top w:val="nil"/>
              <w:left w:val="nil"/>
              <w:bottom w:val="nil"/>
              <w:right w:val="nil"/>
            </w:tcBorders>
            <w:shd w:val="clear" w:color="000000" w:fill="F7A3B0"/>
            <w:noWrap/>
            <w:vAlign w:val="center"/>
          </w:tcPr>
          <w:p w14:paraId="33A06DC1" w14:textId="080D6BF3" w:rsidR="00480196" w:rsidRPr="00894701" w:rsidRDefault="00480196" w:rsidP="00480196">
            <w:pPr>
              <w:spacing w:after="0" w:line="240" w:lineRule="auto"/>
              <w:jc w:val="right"/>
              <w:rPr>
                <w:rFonts w:cs="Arial"/>
                <w:color w:val="auto"/>
                <w:kern w:val="0"/>
                <w:sz w:val="16"/>
                <w:szCs w:val="16"/>
              </w:rPr>
            </w:pPr>
            <w:r w:rsidRPr="00894701">
              <w:rPr>
                <w:rFonts w:cs="Arial"/>
                <w:color w:val="000000"/>
                <w:sz w:val="16"/>
                <w:szCs w:val="16"/>
              </w:rPr>
              <w:t>-</w:t>
            </w:r>
          </w:p>
        </w:tc>
        <w:tc>
          <w:tcPr>
            <w:tcW w:w="468" w:type="pct"/>
            <w:tcBorders>
              <w:top w:val="nil"/>
              <w:left w:val="nil"/>
              <w:bottom w:val="nil"/>
              <w:right w:val="nil"/>
            </w:tcBorders>
            <w:shd w:val="clear" w:color="000000" w:fill="F7A3B0"/>
            <w:noWrap/>
            <w:vAlign w:val="center"/>
          </w:tcPr>
          <w:p w14:paraId="2C9F5E5B" w14:textId="05F30CF1" w:rsidR="00480196" w:rsidRPr="00894701" w:rsidRDefault="00480196" w:rsidP="00480196">
            <w:pPr>
              <w:spacing w:after="0" w:line="240" w:lineRule="auto"/>
              <w:jc w:val="right"/>
              <w:rPr>
                <w:rFonts w:cs="Arial"/>
                <w:color w:val="auto"/>
                <w:kern w:val="0"/>
                <w:sz w:val="16"/>
                <w:szCs w:val="16"/>
              </w:rPr>
            </w:pPr>
            <w:r w:rsidRPr="00894701">
              <w:rPr>
                <w:rFonts w:cs="Arial"/>
                <w:color w:val="000000"/>
                <w:sz w:val="16"/>
                <w:szCs w:val="16"/>
              </w:rPr>
              <w:t>-</w:t>
            </w:r>
          </w:p>
        </w:tc>
        <w:tc>
          <w:tcPr>
            <w:tcW w:w="517" w:type="pct"/>
            <w:tcBorders>
              <w:top w:val="nil"/>
              <w:left w:val="nil"/>
              <w:bottom w:val="nil"/>
              <w:right w:val="nil"/>
            </w:tcBorders>
            <w:shd w:val="clear" w:color="000000" w:fill="F7A3B0"/>
            <w:noWrap/>
            <w:vAlign w:val="center"/>
          </w:tcPr>
          <w:p w14:paraId="78F38958" w14:textId="58442DD9" w:rsidR="00480196" w:rsidRPr="00894701" w:rsidRDefault="00480196" w:rsidP="00480196">
            <w:pPr>
              <w:spacing w:after="0" w:line="240" w:lineRule="auto"/>
              <w:jc w:val="right"/>
              <w:rPr>
                <w:rFonts w:cs="Arial"/>
                <w:color w:val="auto"/>
                <w:kern w:val="0"/>
                <w:sz w:val="16"/>
                <w:szCs w:val="16"/>
              </w:rPr>
            </w:pPr>
            <w:r w:rsidRPr="00894701">
              <w:rPr>
                <w:rFonts w:cs="Arial"/>
                <w:color w:val="000000"/>
                <w:sz w:val="16"/>
                <w:szCs w:val="16"/>
              </w:rPr>
              <w:t>-</w:t>
            </w:r>
          </w:p>
        </w:tc>
        <w:tc>
          <w:tcPr>
            <w:tcW w:w="419" w:type="pct"/>
            <w:tcBorders>
              <w:top w:val="nil"/>
              <w:left w:val="nil"/>
              <w:bottom w:val="nil"/>
              <w:right w:val="single" w:sz="8" w:space="0" w:color="FF0000"/>
            </w:tcBorders>
            <w:shd w:val="clear" w:color="000000" w:fill="F7A3B0"/>
            <w:noWrap/>
            <w:vAlign w:val="center"/>
          </w:tcPr>
          <w:p w14:paraId="31E8EF54" w14:textId="4A9FD5CB" w:rsidR="00480196" w:rsidRPr="00894701" w:rsidRDefault="00480196" w:rsidP="00480196">
            <w:pPr>
              <w:spacing w:after="0" w:line="240" w:lineRule="auto"/>
              <w:jc w:val="right"/>
              <w:rPr>
                <w:rFonts w:cs="Arial"/>
                <w:color w:val="auto"/>
                <w:kern w:val="0"/>
                <w:sz w:val="16"/>
                <w:szCs w:val="16"/>
              </w:rPr>
            </w:pPr>
            <w:r w:rsidRPr="00894701">
              <w:rPr>
                <w:rFonts w:cs="Arial"/>
                <w:color w:val="000000"/>
                <w:sz w:val="16"/>
                <w:szCs w:val="16"/>
              </w:rPr>
              <w:t>-</w:t>
            </w:r>
          </w:p>
        </w:tc>
      </w:tr>
      <w:tr w:rsidR="00480196" w:rsidRPr="00894701" w14:paraId="401255E9" w14:textId="77777777" w:rsidTr="00AA49E3">
        <w:trPr>
          <w:trHeight w:val="227"/>
          <w:jc w:val="center"/>
        </w:trPr>
        <w:tc>
          <w:tcPr>
            <w:tcW w:w="150" w:type="pct"/>
            <w:tcBorders>
              <w:top w:val="nil"/>
              <w:left w:val="single" w:sz="8" w:space="0" w:color="FF0000"/>
              <w:bottom w:val="nil"/>
              <w:right w:val="nil"/>
            </w:tcBorders>
            <w:shd w:val="clear" w:color="000000" w:fill="FFFFFF"/>
            <w:noWrap/>
            <w:tcMar>
              <w:left w:w="28" w:type="dxa"/>
              <w:right w:w="28" w:type="dxa"/>
            </w:tcMar>
            <w:vAlign w:val="center"/>
            <w:hideMark/>
          </w:tcPr>
          <w:p w14:paraId="312124D2" w14:textId="77777777" w:rsidR="00480196" w:rsidRPr="00894701" w:rsidRDefault="00480196" w:rsidP="00480196">
            <w:pPr>
              <w:spacing w:after="0" w:line="240" w:lineRule="auto"/>
              <w:rPr>
                <w:rFonts w:cs="Arial"/>
                <w:color w:val="auto"/>
                <w:kern w:val="0"/>
                <w:sz w:val="16"/>
                <w:szCs w:val="16"/>
              </w:rPr>
            </w:pPr>
            <w:r w:rsidRPr="00894701">
              <w:rPr>
                <w:rFonts w:cs="Arial"/>
                <w:color w:val="auto"/>
                <w:kern w:val="0"/>
                <w:sz w:val="16"/>
                <w:szCs w:val="16"/>
              </w:rPr>
              <w:t>1.8</w:t>
            </w:r>
          </w:p>
        </w:tc>
        <w:tc>
          <w:tcPr>
            <w:tcW w:w="695" w:type="pct"/>
            <w:tcBorders>
              <w:top w:val="nil"/>
              <w:left w:val="nil"/>
              <w:bottom w:val="nil"/>
              <w:right w:val="nil"/>
            </w:tcBorders>
            <w:shd w:val="clear" w:color="000000" w:fill="FFFFFF"/>
            <w:vAlign w:val="center"/>
            <w:hideMark/>
          </w:tcPr>
          <w:p w14:paraId="5F8E5F88" w14:textId="28227139" w:rsidR="00480196" w:rsidRPr="00894701" w:rsidRDefault="00480196" w:rsidP="00480196">
            <w:pPr>
              <w:spacing w:after="0" w:line="240" w:lineRule="auto"/>
              <w:rPr>
                <w:rFonts w:cs="Arial"/>
                <w:color w:val="auto"/>
                <w:kern w:val="0"/>
                <w:sz w:val="16"/>
                <w:szCs w:val="16"/>
              </w:rPr>
            </w:pPr>
            <w:r w:rsidRPr="00894701">
              <w:rPr>
                <w:rFonts w:cs="Arial"/>
                <w:color w:val="auto"/>
                <w:kern w:val="0"/>
                <w:sz w:val="16"/>
                <w:szCs w:val="16"/>
              </w:rPr>
              <w:t>Cash Dividends</w:t>
            </w:r>
          </w:p>
        </w:tc>
        <w:tc>
          <w:tcPr>
            <w:tcW w:w="464" w:type="pct"/>
            <w:tcBorders>
              <w:top w:val="nil"/>
              <w:left w:val="nil"/>
              <w:bottom w:val="nil"/>
              <w:right w:val="nil"/>
            </w:tcBorders>
            <w:shd w:val="clear" w:color="000000" w:fill="FFFFFF"/>
            <w:noWrap/>
            <w:vAlign w:val="center"/>
          </w:tcPr>
          <w:p w14:paraId="73F3DD0A" w14:textId="70D99F2A" w:rsidR="00480196" w:rsidRPr="00894701" w:rsidRDefault="00480196" w:rsidP="00480196">
            <w:pPr>
              <w:spacing w:after="0" w:line="240" w:lineRule="auto"/>
              <w:jc w:val="right"/>
              <w:rPr>
                <w:rFonts w:cs="Arial"/>
                <w:color w:val="auto"/>
                <w:kern w:val="0"/>
                <w:sz w:val="16"/>
                <w:szCs w:val="16"/>
              </w:rPr>
            </w:pPr>
            <w:r w:rsidRPr="00894701">
              <w:rPr>
                <w:rFonts w:cs="Arial"/>
                <w:sz w:val="16"/>
                <w:szCs w:val="16"/>
              </w:rPr>
              <w:t>161,356,000</w:t>
            </w:r>
          </w:p>
        </w:tc>
        <w:tc>
          <w:tcPr>
            <w:tcW w:w="509" w:type="pct"/>
            <w:tcBorders>
              <w:top w:val="nil"/>
              <w:left w:val="nil"/>
              <w:bottom w:val="nil"/>
              <w:right w:val="nil"/>
            </w:tcBorders>
            <w:shd w:val="clear" w:color="000000" w:fill="FFFFFF"/>
            <w:noWrap/>
            <w:vAlign w:val="center"/>
          </w:tcPr>
          <w:p w14:paraId="6D73B367" w14:textId="67BC06F7" w:rsidR="00480196" w:rsidRPr="00894701" w:rsidRDefault="00480196" w:rsidP="00480196">
            <w:pPr>
              <w:spacing w:after="0" w:line="240" w:lineRule="auto"/>
              <w:jc w:val="right"/>
              <w:rPr>
                <w:rFonts w:cs="Arial"/>
                <w:color w:val="auto"/>
                <w:kern w:val="0"/>
                <w:sz w:val="16"/>
                <w:szCs w:val="16"/>
              </w:rPr>
            </w:pPr>
            <w:r w:rsidRPr="00894701">
              <w:rPr>
                <w:rFonts w:cs="Arial"/>
                <w:sz w:val="16"/>
                <w:szCs w:val="16"/>
              </w:rPr>
              <w:t>174,436,000</w:t>
            </w:r>
          </w:p>
        </w:tc>
        <w:tc>
          <w:tcPr>
            <w:tcW w:w="467" w:type="pct"/>
            <w:tcBorders>
              <w:top w:val="nil"/>
              <w:left w:val="nil"/>
              <w:bottom w:val="nil"/>
              <w:right w:val="nil"/>
            </w:tcBorders>
            <w:shd w:val="clear" w:color="000000" w:fill="FFFFFF"/>
            <w:noWrap/>
            <w:vAlign w:val="center"/>
          </w:tcPr>
          <w:p w14:paraId="0AB6707B" w14:textId="3364238C" w:rsidR="00480196" w:rsidRPr="00894701" w:rsidRDefault="00480196" w:rsidP="00480196">
            <w:pPr>
              <w:spacing w:after="0" w:line="240" w:lineRule="auto"/>
              <w:jc w:val="right"/>
              <w:rPr>
                <w:rFonts w:cs="Arial"/>
                <w:color w:val="auto"/>
                <w:kern w:val="0"/>
                <w:sz w:val="16"/>
                <w:szCs w:val="16"/>
              </w:rPr>
            </w:pPr>
            <w:r w:rsidRPr="00894701">
              <w:rPr>
                <w:rFonts w:cs="Arial"/>
                <w:sz w:val="16"/>
                <w:szCs w:val="16"/>
              </w:rPr>
              <w:t>(13,080,000)</w:t>
            </w:r>
          </w:p>
        </w:tc>
        <w:tc>
          <w:tcPr>
            <w:tcW w:w="460" w:type="pct"/>
            <w:tcBorders>
              <w:top w:val="nil"/>
              <w:left w:val="nil"/>
              <w:bottom w:val="nil"/>
              <w:right w:val="nil"/>
            </w:tcBorders>
            <w:shd w:val="clear" w:color="000000" w:fill="FFFFFF"/>
            <w:noWrap/>
            <w:vAlign w:val="center"/>
          </w:tcPr>
          <w:p w14:paraId="1405CE1E" w14:textId="23B48854" w:rsidR="00480196" w:rsidRPr="00894701" w:rsidRDefault="00480196" w:rsidP="00480196">
            <w:pPr>
              <w:spacing w:after="0" w:line="240" w:lineRule="auto"/>
              <w:jc w:val="right"/>
              <w:rPr>
                <w:rFonts w:cs="Arial"/>
                <w:color w:val="auto"/>
                <w:kern w:val="0"/>
                <w:sz w:val="16"/>
                <w:szCs w:val="16"/>
              </w:rPr>
            </w:pPr>
            <w:r w:rsidRPr="00894701">
              <w:rPr>
                <w:rFonts w:cs="Arial"/>
                <w:sz w:val="16"/>
                <w:szCs w:val="16"/>
              </w:rPr>
              <w:t>(54,861,040)</w:t>
            </w:r>
          </w:p>
        </w:tc>
        <w:tc>
          <w:tcPr>
            <w:tcW w:w="425" w:type="pct"/>
            <w:tcBorders>
              <w:top w:val="nil"/>
              <w:left w:val="nil"/>
              <w:bottom w:val="nil"/>
              <w:right w:val="nil"/>
            </w:tcBorders>
            <w:shd w:val="clear" w:color="000000" w:fill="FFFFFF"/>
            <w:noWrap/>
            <w:vAlign w:val="center"/>
          </w:tcPr>
          <w:p w14:paraId="3DC1078D" w14:textId="5FDEC984" w:rsidR="00480196" w:rsidRPr="00894701" w:rsidRDefault="00480196" w:rsidP="00480196">
            <w:pPr>
              <w:spacing w:after="0" w:line="240" w:lineRule="auto"/>
              <w:jc w:val="right"/>
              <w:rPr>
                <w:rFonts w:cs="Arial"/>
                <w:color w:val="auto"/>
                <w:kern w:val="0"/>
                <w:sz w:val="16"/>
                <w:szCs w:val="16"/>
              </w:rPr>
            </w:pPr>
            <w:r w:rsidRPr="00894701">
              <w:rPr>
                <w:rFonts w:cs="Arial"/>
                <w:sz w:val="16"/>
                <w:szCs w:val="16"/>
              </w:rPr>
              <w:t>(91,841,040)</w:t>
            </w:r>
          </w:p>
        </w:tc>
        <w:tc>
          <w:tcPr>
            <w:tcW w:w="426" w:type="pct"/>
            <w:tcBorders>
              <w:top w:val="nil"/>
              <w:left w:val="nil"/>
              <w:bottom w:val="nil"/>
              <w:right w:val="nil"/>
            </w:tcBorders>
            <w:shd w:val="clear" w:color="000000" w:fill="FFFFFF"/>
            <w:noWrap/>
            <w:vAlign w:val="center"/>
          </w:tcPr>
          <w:p w14:paraId="314B7DF8" w14:textId="00E5C657" w:rsidR="00480196" w:rsidRPr="00894701" w:rsidRDefault="00480196" w:rsidP="00480196">
            <w:pPr>
              <w:spacing w:after="0" w:line="240" w:lineRule="auto"/>
              <w:jc w:val="right"/>
              <w:rPr>
                <w:rFonts w:cs="Arial"/>
                <w:color w:val="auto"/>
                <w:kern w:val="0"/>
                <w:sz w:val="16"/>
                <w:szCs w:val="16"/>
              </w:rPr>
            </w:pPr>
            <w:r w:rsidRPr="00894701">
              <w:rPr>
                <w:rFonts w:cs="Arial"/>
                <w:sz w:val="16"/>
                <w:szCs w:val="16"/>
              </w:rPr>
              <w:t>36,980,000</w:t>
            </w:r>
          </w:p>
        </w:tc>
        <w:tc>
          <w:tcPr>
            <w:tcW w:w="468" w:type="pct"/>
            <w:tcBorders>
              <w:top w:val="nil"/>
              <w:left w:val="nil"/>
              <w:bottom w:val="nil"/>
              <w:right w:val="nil"/>
            </w:tcBorders>
            <w:shd w:val="clear" w:color="000000" w:fill="FFFFFF"/>
            <w:noWrap/>
            <w:vAlign w:val="center"/>
          </w:tcPr>
          <w:p w14:paraId="382C7374" w14:textId="09F6B4FA" w:rsidR="00480196" w:rsidRPr="00894701" w:rsidRDefault="00480196" w:rsidP="00480196">
            <w:pPr>
              <w:spacing w:after="0" w:line="240" w:lineRule="auto"/>
              <w:jc w:val="right"/>
              <w:rPr>
                <w:rFonts w:cs="Arial"/>
                <w:color w:val="auto"/>
                <w:kern w:val="0"/>
                <w:sz w:val="16"/>
                <w:szCs w:val="16"/>
              </w:rPr>
            </w:pPr>
            <w:r w:rsidRPr="00894701">
              <w:rPr>
                <w:rFonts w:cs="Arial"/>
                <w:sz w:val="16"/>
                <w:szCs w:val="16"/>
              </w:rPr>
              <w:t>106,494,960</w:t>
            </w:r>
          </w:p>
        </w:tc>
        <w:tc>
          <w:tcPr>
            <w:tcW w:w="517" w:type="pct"/>
            <w:tcBorders>
              <w:top w:val="nil"/>
              <w:left w:val="nil"/>
              <w:bottom w:val="nil"/>
              <w:right w:val="nil"/>
            </w:tcBorders>
            <w:shd w:val="clear" w:color="000000" w:fill="FFFFFF"/>
            <w:noWrap/>
            <w:vAlign w:val="center"/>
          </w:tcPr>
          <w:p w14:paraId="1C55F33F" w14:textId="5889853B" w:rsidR="00480196" w:rsidRPr="00894701" w:rsidRDefault="00480196" w:rsidP="00480196">
            <w:pPr>
              <w:spacing w:after="0" w:line="240" w:lineRule="auto"/>
              <w:jc w:val="right"/>
              <w:rPr>
                <w:rFonts w:cs="Arial"/>
                <w:color w:val="auto"/>
                <w:kern w:val="0"/>
                <w:sz w:val="16"/>
                <w:szCs w:val="16"/>
              </w:rPr>
            </w:pPr>
            <w:r w:rsidRPr="00894701">
              <w:rPr>
                <w:rFonts w:cs="Arial"/>
                <w:sz w:val="16"/>
                <w:szCs w:val="16"/>
              </w:rPr>
              <w:t>82,594,960</w:t>
            </w:r>
          </w:p>
        </w:tc>
        <w:tc>
          <w:tcPr>
            <w:tcW w:w="419" w:type="pct"/>
            <w:tcBorders>
              <w:top w:val="nil"/>
              <w:left w:val="nil"/>
              <w:bottom w:val="nil"/>
              <w:right w:val="single" w:sz="8" w:space="0" w:color="FF0000"/>
            </w:tcBorders>
            <w:shd w:val="clear" w:color="000000" w:fill="FFFFFF"/>
            <w:noWrap/>
            <w:vAlign w:val="center"/>
          </w:tcPr>
          <w:p w14:paraId="28618404" w14:textId="2EC9066F" w:rsidR="00480196" w:rsidRPr="00894701" w:rsidRDefault="00480196" w:rsidP="00480196">
            <w:pPr>
              <w:spacing w:after="0" w:line="240" w:lineRule="auto"/>
              <w:jc w:val="right"/>
              <w:rPr>
                <w:rFonts w:cs="Arial"/>
                <w:color w:val="auto"/>
                <w:kern w:val="0"/>
                <w:sz w:val="16"/>
                <w:szCs w:val="16"/>
              </w:rPr>
            </w:pPr>
            <w:r w:rsidRPr="00894701">
              <w:rPr>
                <w:rFonts w:cs="Arial"/>
                <w:sz w:val="16"/>
                <w:szCs w:val="16"/>
              </w:rPr>
              <w:t>23,900,000</w:t>
            </w:r>
          </w:p>
        </w:tc>
      </w:tr>
      <w:tr w:rsidR="00480196" w:rsidRPr="00894701" w14:paraId="7F97445B" w14:textId="77777777" w:rsidTr="00AA49E3">
        <w:trPr>
          <w:trHeight w:val="227"/>
          <w:jc w:val="center"/>
        </w:trPr>
        <w:tc>
          <w:tcPr>
            <w:tcW w:w="150" w:type="pct"/>
            <w:tcBorders>
              <w:top w:val="nil"/>
              <w:left w:val="single" w:sz="8" w:space="0" w:color="FF0000"/>
              <w:bottom w:val="nil"/>
              <w:right w:val="nil"/>
            </w:tcBorders>
            <w:shd w:val="clear" w:color="000000" w:fill="F7A3B0"/>
            <w:noWrap/>
            <w:tcMar>
              <w:left w:w="28" w:type="dxa"/>
              <w:right w:w="28" w:type="dxa"/>
            </w:tcMar>
            <w:vAlign w:val="center"/>
            <w:hideMark/>
          </w:tcPr>
          <w:p w14:paraId="1A7697ED" w14:textId="77777777" w:rsidR="00480196" w:rsidRPr="00894701" w:rsidRDefault="00480196" w:rsidP="00480196">
            <w:pPr>
              <w:spacing w:after="0" w:line="240" w:lineRule="auto"/>
              <w:rPr>
                <w:rFonts w:cs="Arial"/>
                <w:color w:val="000000"/>
                <w:kern w:val="0"/>
                <w:sz w:val="16"/>
                <w:szCs w:val="16"/>
              </w:rPr>
            </w:pPr>
            <w:r w:rsidRPr="00894701">
              <w:rPr>
                <w:rFonts w:cs="Arial"/>
                <w:color w:val="000000"/>
                <w:kern w:val="0"/>
                <w:sz w:val="16"/>
                <w:szCs w:val="16"/>
              </w:rPr>
              <w:t>1.9</w:t>
            </w:r>
          </w:p>
        </w:tc>
        <w:tc>
          <w:tcPr>
            <w:tcW w:w="695" w:type="pct"/>
            <w:tcBorders>
              <w:top w:val="nil"/>
              <w:left w:val="nil"/>
              <w:bottom w:val="nil"/>
              <w:right w:val="nil"/>
            </w:tcBorders>
            <w:shd w:val="clear" w:color="000000" w:fill="F7A3B0"/>
            <w:noWrap/>
            <w:vAlign w:val="center"/>
            <w:hideMark/>
          </w:tcPr>
          <w:p w14:paraId="52AF0F20" w14:textId="69381833" w:rsidR="00480196" w:rsidRPr="00894701" w:rsidRDefault="00480196" w:rsidP="00480196">
            <w:pPr>
              <w:spacing w:after="0" w:line="240" w:lineRule="auto"/>
              <w:rPr>
                <w:rFonts w:cs="Arial"/>
                <w:color w:val="000000"/>
                <w:kern w:val="0"/>
                <w:sz w:val="16"/>
                <w:szCs w:val="16"/>
              </w:rPr>
            </w:pPr>
            <w:r w:rsidRPr="00894701">
              <w:rPr>
                <w:rFonts w:cs="Arial"/>
                <w:color w:val="000000"/>
                <w:kern w:val="0"/>
                <w:sz w:val="16"/>
                <w:szCs w:val="16"/>
              </w:rPr>
              <w:t>Dividend Tax</w:t>
            </w:r>
          </w:p>
        </w:tc>
        <w:tc>
          <w:tcPr>
            <w:tcW w:w="464" w:type="pct"/>
            <w:tcBorders>
              <w:top w:val="nil"/>
              <w:left w:val="nil"/>
              <w:bottom w:val="nil"/>
              <w:right w:val="nil"/>
            </w:tcBorders>
            <w:shd w:val="clear" w:color="000000" w:fill="F7A3B0"/>
            <w:noWrap/>
            <w:vAlign w:val="center"/>
          </w:tcPr>
          <w:p w14:paraId="20E42907" w14:textId="710891F5" w:rsidR="00480196" w:rsidRPr="00894701" w:rsidRDefault="00480196" w:rsidP="00480196">
            <w:pPr>
              <w:spacing w:after="0" w:line="240" w:lineRule="auto"/>
              <w:jc w:val="right"/>
              <w:rPr>
                <w:rFonts w:cs="Arial"/>
                <w:color w:val="auto"/>
                <w:kern w:val="0"/>
                <w:sz w:val="16"/>
                <w:szCs w:val="16"/>
              </w:rPr>
            </w:pPr>
            <w:r w:rsidRPr="00894701">
              <w:rPr>
                <w:rFonts w:cs="Arial"/>
                <w:color w:val="000000"/>
                <w:sz w:val="16"/>
                <w:szCs w:val="16"/>
              </w:rPr>
              <w:t>-</w:t>
            </w:r>
          </w:p>
        </w:tc>
        <w:tc>
          <w:tcPr>
            <w:tcW w:w="509" w:type="pct"/>
            <w:tcBorders>
              <w:top w:val="nil"/>
              <w:left w:val="nil"/>
              <w:bottom w:val="nil"/>
              <w:right w:val="nil"/>
            </w:tcBorders>
            <w:shd w:val="clear" w:color="000000" w:fill="F7A3B0"/>
            <w:noWrap/>
            <w:vAlign w:val="center"/>
          </w:tcPr>
          <w:p w14:paraId="6C06A252" w14:textId="70D468B3" w:rsidR="00480196" w:rsidRPr="00894701" w:rsidRDefault="00480196" w:rsidP="00480196">
            <w:pPr>
              <w:spacing w:after="0" w:line="240" w:lineRule="auto"/>
              <w:jc w:val="right"/>
              <w:rPr>
                <w:rFonts w:cs="Arial"/>
                <w:color w:val="auto"/>
                <w:kern w:val="0"/>
                <w:sz w:val="16"/>
                <w:szCs w:val="16"/>
              </w:rPr>
            </w:pPr>
            <w:r w:rsidRPr="00894701">
              <w:rPr>
                <w:rFonts w:cs="Arial"/>
                <w:color w:val="000000"/>
                <w:sz w:val="16"/>
                <w:szCs w:val="16"/>
              </w:rPr>
              <w:t>-</w:t>
            </w:r>
          </w:p>
        </w:tc>
        <w:tc>
          <w:tcPr>
            <w:tcW w:w="467" w:type="pct"/>
            <w:tcBorders>
              <w:top w:val="nil"/>
              <w:left w:val="nil"/>
              <w:bottom w:val="nil"/>
              <w:right w:val="nil"/>
            </w:tcBorders>
            <w:shd w:val="clear" w:color="000000" w:fill="F7A3B0"/>
            <w:noWrap/>
            <w:vAlign w:val="center"/>
          </w:tcPr>
          <w:p w14:paraId="558E0725" w14:textId="1FC18F3E" w:rsidR="00480196" w:rsidRPr="00894701" w:rsidRDefault="00480196" w:rsidP="00480196">
            <w:pPr>
              <w:spacing w:after="0" w:line="240" w:lineRule="auto"/>
              <w:jc w:val="right"/>
              <w:rPr>
                <w:rFonts w:cs="Arial"/>
                <w:color w:val="auto"/>
                <w:kern w:val="0"/>
                <w:sz w:val="16"/>
                <w:szCs w:val="16"/>
              </w:rPr>
            </w:pPr>
            <w:r w:rsidRPr="00894701">
              <w:rPr>
                <w:rFonts w:cs="Arial"/>
                <w:color w:val="000000"/>
                <w:sz w:val="16"/>
                <w:szCs w:val="16"/>
              </w:rPr>
              <w:t>-</w:t>
            </w:r>
          </w:p>
        </w:tc>
        <w:tc>
          <w:tcPr>
            <w:tcW w:w="460" w:type="pct"/>
            <w:tcBorders>
              <w:top w:val="nil"/>
              <w:left w:val="nil"/>
              <w:bottom w:val="nil"/>
              <w:right w:val="nil"/>
            </w:tcBorders>
            <w:shd w:val="clear" w:color="000000" w:fill="F7A3B0"/>
            <w:noWrap/>
            <w:vAlign w:val="center"/>
          </w:tcPr>
          <w:p w14:paraId="44B4EAE3" w14:textId="5FA10CDF" w:rsidR="00480196" w:rsidRPr="00894701" w:rsidRDefault="00480196" w:rsidP="00480196">
            <w:pPr>
              <w:spacing w:after="0" w:line="240" w:lineRule="auto"/>
              <w:jc w:val="right"/>
              <w:rPr>
                <w:rFonts w:cs="Arial"/>
                <w:color w:val="auto"/>
                <w:kern w:val="0"/>
                <w:sz w:val="16"/>
                <w:szCs w:val="16"/>
              </w:rPr>
            </w:pPr>
            <w:r w:rsidRPr="00894701">
              <w:rPr>
                <w:rFonts w:cs="Arial"/>
                <w:color w:val="000000"/>
                <w:sz w:val="16"/>
                <w:szCs w:val="16"/>
              </w:rPr>
              <w:t>-</w:t>
            </w:r>
          </w:p>
        </w:tc>
        <w:tc>
          <w:tcPr>
            <w:tcW w:w="425" w:type="pct"/>
            <w:tcBorders>
              <w:top w:val="nil"/>
              <w:left w:val="nil"/>
              <w:bottom w:val="nil"/>
              <w:right w:val="nil"/>
            </w:tcBorders>
            <w:shd w:val="clear" w:color="000000" w:fill="F7A3B0"/>
            <w:noWrap/>
            <w:vAlign w:val="center"/>
          </w:tcPr>
          <w:p w14:paraId="6BA3D523" w14:textId="4077AE90" w:rsidR="00480196" w:rsidRPr="00894701" w:rsidRDefault="00480196" w:rsidP="00480196">
            <w:pPr>
              <w:spacing w:after="0" w:line="240" w:lineRule="auto"/>
              <w:jc w:val="right"/>
              <w:rPr>
                <w:rFonts w:cs="Arial"/>
                <w:color w:val="auto"/>
                <w:kern w:val="0"/>
                <w:sz w:val="16"/>
                <w:szCs w:val="16"/>
              </w:rPr>
            </w:pPr>
            <w:r w:rsidRPr="00894701">
              <w:rPr>
                <w:rFonts w:cs="Arial"/>
                <w:color w:val="000000"/>
                <w:sz w:val="16"/>
                <w:szCs w:val="16"/>
              </w:rPr>
              <w:t>-</w:t>
            </w:r>
          </w:p>
        </w:tc>
        <w:tc>
          <w:tcPr>
            <w:tcW w:w="426" w:type="pct"/>
            <w:tcBorders>
              <w:top w:val="nil"/>
              <w:left w:val="nil"/>
              <w:bottom w:val="nil"/>
              <w:right w:val="nil"/>
            </w:tcBorders>
            <w:shd w:val="clear" w:color="000000" w:fill="F7A3B0"/>
            <w:noWrap/>
            <w:vAlign w:val="center"/>
          </w:tcPr>
          <w:p w14:paraId="07349548" w14:textId="4A70A533" w:rsidR="00480196" w:rsidRPr="00894701" w:rsidRDefault="00480196" w:rsidP="00480196">
            <w:pPr>
              <w:spacing w:after="0" w:line="240" w:lineRule="auto"/>
              <w:jc w:val="right"/>
              <w:rPr>
                <w:rFonts w:cs="Arial"/>
                <w:color w:val="auto"/>
                <w:kern w:val="0"/>
                <w:sz w:val="16"/>
                <w:szCs w:val="16"/>
              </w:rPr>
            </w:pPr>
            <w:r w:rsidRPr="00894701">
              <w:rPr>
                <w:rFonts w:cs="Arial"/>
                <w:color w:val="000000"/>
                <w:sz w:val="16"/>
                <w:szCs w:val="16"/>
              </w:rPr>
              <w:t>-</w:t>
            </w:r>
          </w:p>
        </w:tc>
        <w:tc>
          <w:tcPr>
            <w:tcW w:w="468" w:type="pct"/>
            <w:tcBorders>
              <w:top w:val="nil"/>
              <w:left w:val="nil"/>
              <w:bottom w:val="nil"/>
              <w:right w:val="nil"/>
            </w:tcBorders>
            <w:shd w:val="clear" w:color="000000" w:fill="F7A3B0"/>
            <w:noWrap/>
            <w:vAlign w:val="center"/>
          </w:tcPr>
          <w:p w14:paraId="074F9E7C" w14:textId="5E7E7C07" w:rsidR="00480196" w:rsidRPr="00894701" w:rsidRDefault="00480196" w:rsidP="00480196">
            <w:pPr>
              <w:spacing w:after="0" w:line="240" w:lineRule="auto"/>
              <w:jc w:val="right"/>
              <w:rPr>
                <w:rFonts w:cs="Arial"/>
                <w:color w:val="auto"/>
                <w:kern w:val="0"/>
                <w:sz w:val="16"/>
                <w:szCs w:val="16"/>
              </w:rPr>
            </w:pPr>
            <w:r w:rsidRPr="00894701">
              <w:rPr>
                <w:rFonts w:cs="Arial"/>
                <w:color w:val="000000"/>
                <w:sz w:val="16"/>
                <w:szCs w:val="16"/>
              </w:rPr>
              <w:t>-</w:t>
            </w:r>
          </w:p>
        </w:tc>
        <w:tc>
          <w:tcPr>
            <w:tcW w:w="517" w:type="pct"/>
            <w:tcBorders>
              <w:top w:val="nil"/>
              <w:left w:val="nil"/>
              <w:bottom w:val="nil"/>
              <w:right w:val="nil"/>
            </w:tcBorders>
            <w:shd w:val="clear" w:color="000000" w:fill="F7A3B0"/>
            <w:noWrap/>
            <w:vAlign w:val="center"/>
          </w:tcPr>
          <w:p w14:paraId="147FBEC9" w14:textId="356904F7" w:rsidR="00480196" w:rsidRPr="00894701" w:rsidRDefault="00480196" w:rsidP="00480196">
            <w:pPr>
              <w:spacing w:after="0" w:line="240" w:lineRule="auto"/>
              <w:jc w:val="right"/>
              <w:rPr>
                <w:rFonts w:cs="Arial"/>
                <w:color w:val="auto"/>
                <w:kern w:val="0"/>
                <w:sz w:val="16"/>
                <w:szCs w:val="16"/>
              </w:rPr>
            </w:pPr>
            <w:r w:rsidRPr="00894701">
              <w:rPr>
                <w:rFonts w:cs="Arial"/>
                <w:color w:val="000000"/>
                <w:sz w:val="16"/>
                <w:szCs w:val="16"/>
              </w:rPr>
              <w:t>-</w:t>
            </w:r>
          </w:p>
        </w:tc>
        <w:tc>
          <w:tcPr>
            <w:tcW w:w="419" w:type="pct"/>
            <w:tcBorders>
              <w:top w:val="nil"/>
              <w:left w:val="nil"/>
              <w:bottom w:val="nil"/>
              <w:right w:val="single" w:sz="8" w:space="0" w:color="FF0000"/>
            </w:tcBorders>
            <w:shd w:val="clear" w:color="000000" w:fill="F7A3B0"/>
            <w:noWrap/>
            <w:vAlign w:val="center"/>
          </w:tcPr>
          <w:p w14:paraId="03C6E04B" w14:textId="18F04B34" w:rsidR="00480196" w:rsidRPr="00894701" w:rsidRDefault="00480196" w:rsidP="00480196">
            <w:pPr>
              <w:spacing w:after="0" w:line="240" w:lineRule="auto"/>
              <w:jc w:val="right"/>
              <w:rPr>
                <w:rFonts w:cs="Arial"/>
                <w:color w:val="auto"/>
                <w:kern w:val="0"/>
                <w:sz w:val="16"/>
                <w:szCs w:val="16"/>
              </w:rPr>
            </w:pPr>
            <w:r w:rsidRPr="00894701">
              <w:rPr>
                <w:rFonts w:cs="Arial"/>
                <w:color w:val="000000"/>
                <w:sz w:val="16"/>
                <w:szCs w:val="16"/>
              </w:rPr>
              <w:t>-</w:t>
            </w:r>
          </w:p>
        </w:tc>
      </w:tr>
      <w:tr w:rsidR="00480196" w:rsidRPr="00894701" w14:paraId="11793638" w14:textId="77777777" w:rsidTr="00AA49E3">
        <w:trPr>
          <w:trHeight w:val="227"/>
          <w:jc w:val="center"/>
        </w:trPr>
        <w:tc>
          <w:tcPr>
            <w:tcW w:w="150" w:type="pct"/>
            <w:tcBorders>
              <w:top w:val="nil"/>
              <w:left w:val="single" w:sz="8" w:space="0" w:color="FF0000"/>
              <w:bottom w:val="nil"/>
              <w:right w:val="nil"/>
            </w:tcBorders>
            <w:shd w:val="clear" w:color="000000" w:fill="FFFFFF"/>
            <w:noWrap/>
            <w:tcMar>
              <w:left w:w="28" w:type="dxa"/>
              <w:right w:w="28" w:type="dxa"/>
            </w:tcMar>
            <w:vAlign w:val="center"/>
            <w:hideMark/>
          </w:tcPr>
          <w:p w14:paraId="69265037" w14:textId="77777777" w:rsidR="00480196" w:rsidRPr="00894701" w:rsidRDefault="00480196" w:rsidP="00480196">
            <w:pPr>
              <w:spacing w:after="0" w:line="240" w:lineRule="auto"/>
              <w:rPr>
                <w:rFonts w:cs="Arial"/>
                <w:color w:val="auto"/>
                <w:kern w:val="0"/>
                <w:sz w:val="16"/>
                <w:szCs w:val="16"/>
              </w:rPr>
            </w:pPr>
            <w:r w:rsidRPr="00894701">
              <w:rPr>
                <w:rFonts w:cs="Arial"/>
                <w:color w:val="auto"/>
                <w:kern w:val="0"/>
                <w:sz w:val="16"/>
                <w:szCs w:val="16"/>
              </w:rPr>
              <w:t>1.10</w:t>
            </w:r>
          </w:p>
        </w:tc>
        <w:tc>
          <w:tcPr>
            <w:tcW w:w="695" w:type="pct"/>
            <w:tcBorders>
              <w:top w:val="nil"/>
              <w:left w:val="nil"/>
              <w:bottom w:val="nil"/>
              <w:right w:val="nil"/>
            </w:tcBorders>
            <w:shd w:val="clear" w:color="000000" w:fill="FFFFFF"/>
            <w:vAlign w:val="center"/>
            <w:hideMark/>
          </w:tcPr>
          <w:p w14:paraId="7DE0433D" w14:textId="1D33183B" w:rsidR="00480196" w:rsidRPr="00894701" w:rsidRDefault="00480196" w:rsidP="00480196">
            <w:pPr>
              <w:spacing w:after="0" w:line="240" w:lineRule="auto"/>
              <w:rPr>
                <w:rFonts w:cs="Arial"/>
                <w:color w:val="auto"/>
                <w:kern w:val="0"/>
                <w:sz w:val="16"/>
                <w:szCs w:val="16"/>
              </w:rPr>
            </w:pPr>
            <w:r w:rsidRPr="00894701">
              <w:rPr>
                <w:rFonts w:cs="Arial"/>
                <w:color w:val="auto"/>
                <w:kern w:val="0"/>
                <w:sz w:val="16"/>
                <w:szCs w:val="16"/>
              </w:rPr>
              <w:t>Wage Tax &amp; OP-premium (AOV)</w:t>
            </w:r>
          </w:p>
        </w:tc>
        <w:tc>
          <w:tcPr>
            <w:tcW w:w="464" w:type="pct"/>
            <w:tcBorders>
              <w:top w:val="nil"/>
              <w:left w:val="nil"/>
              <w:bottom w:val="nil"/>
              <w:right w:val="nil"/>
            </w:tcBorders>
            <w:shd w:val="clear" w:color="000000" w:fill="FFFFFF"/>
            <w:noWrap/>
            <w:vAlign w:val="center"/>
          </w:tcPr>
          <w:p w14:paraId="1F8085A1" w14:textId="5581CAB4" w:rsidR="00480196" w:rsidRPr="00894701" w:rsidRDefault="00480196" w:rsidP="00480196">
            <w:pPr>
              <w:spacing w:after="0" w:line="240" w:lineRule="auto"/>
              <w:jc w:val="right"/>
              <w:rPr>
                <w:rFonts w:cs="Arial"/>
                <w:color w:val="auto"/>
                <w:kern w:val="0"/>
                <w:sz w:val="16"/>
                <w:szCs w:val="16"/>
              </w:rPr>
            </w:pPr>
            <w:r w:rsidRPr="00894701">
              <w:rPr>
                <w:rFonts w:cs="Arial"/>
                <w:sz w:val="16"/>
                <w:szCs w:val="16"/>
              </w:rPr>
              <w:t>135,348,700</w:t>
            </w:r>
          </w:p>
        </w:tc>
        <w:tc>
          <w:tcPr>
            <w:tcW w:w="509" w:type="pct"/>
            <w:tcBorders>
              <w:top w:val="nil"/>
              <w:left w:val="nil"/>
              <w:bottom w:val="nil"/>
              <w:right w:val="nil"/>
            </w:tcBorders>
            <w:shd w:val="clear" w:color="000000" w:fill="FFFFFF"/>
            <w:noWrap/>
            <w:vAlign w:val="center"/>
          </w:tcPr>
          <w:p w14:paraId="20933EBE" w14:textId="6F4A39CC" w:rsidR="00480196" w:rsidRPr="00894701" w:rsidRDefault="00480196" w:rsidP="00480196">
            <w:pPr>
              <w:spacing w:after="0" w:line="240" w:lineRule="auto"/>
              <w:jc w:val="right"/>
              <w:rPr>
                <w:rFonts w:cs="Arial"/>
                <w:color w:val="auto"/>
                <w:kern w:val="0"/>
                <w:sz w:val="16"/>
                <w:szCs w:val="16"/>
              </w:rPr>
            </w:pPr>
            <w:r w:rsidRPr="00894701">
              <w:rPr>
                <w:rFonts w:cs="Arial"/>
                <w:sz w:val="16"/>
                <w:szCs w:val="16"/>
              </w:rPr>
              <w:t>116,847,602</w:t>
            </w:r>
          </w:p>
        </w:tc>
        <w:tc>
          <w:tcPr>
            <w:tcW w:w="467" w:type="pct"/>
            <w:tcBorders>
              <w:top w:val="nil"/>
              <w:left w:val="nil"/>
              <w:bottom w:val="nil"/>
              <w:right w:val="nil"/>
            </w:tcBorders>
            <w:shd w:val="clear" w:color="000000" w:fill="FFFFFF"/>
            <w:noWrap/>
            <w:vAlign w:val="center"/>
          </w:tcPr>
          <w:p w14:paraId="4BDABCEA" w14:textId="0D984238" w:rsidR="00480196" w:rsidRPr="00894701" w:rsidRDefault="00480196" w:rsidP="00480196">
            <w:pPr>
              <w:spacing w:after="0" w:line="240" w:lineRule="auto"/>
              <w:jc w:val="right"/>
              <w:rPr>
                <w:rFonts w:cs="Arial"/>
                <w:color w:val="auto"/>
                <w:kern w:val="0"/>
                <w:sz w:val="16"/>
                <w:szCs w:val="16"/>
              </w:rPr>
            </w:pPr>
            <w:r w:rsidRPr="00894701">
              <w:rPr>
                <w:rFonts w:cs="Arial"/>
                <w:sz w:val="16"/>
                <w:szCs w:val="16"/>
              </w:rPr>
              <w:t>18,501,098</w:t>
            </w:r>
          </w:p>
        </w:tc>
        <w:tc>
          <w:tcPr>
            <w:tcW w:w="460" w:type="pct"/>
            <w:tcBorders>
              <w:top w:val="nil"/>
              <w:left w:val="nil"/>
              <w:bottom w:val="nil"/>
              <w:right w:val="nil"/>
            </w:tcBorders>
            <w:shd w:val="clear" w:color="000000" w:fill="FFFFFF"/>
            <w:noWrap/>
            <w:vAlign w:val="center"/>
          </w:tcPr>
          <w:p w14:paraId="218E3833" w14:textId="2531229B" w:rsidR="00480196" w:rsidRPr="00894701" w:rsidRDefault="00480196" w:rsidP="00480196">
            <w:pPr>
              <w:spacing w:after="0" w:line="240" w:lineRule="auto"/>
              <w:jc w:val="right"/>
              <w:rPr>
                <w:rFonts w:cs="Arial"/>
                <w:color w:val="auto"/>
                <w:kern w:val="0"/>
                <w:sz w:val="16"/>
                <w:szCs w:val="16"/>
              </w:rPr>
            </w:pPr>
            <w:r w:rsidRPr="00894701">
              <w:rPr>
                <w:rFonts w:cs="Arial"/>
                <w:sz w:val="16"/>
                <w:szCs w:val="16"/>
              </w:rPr>
              <w:t>(18,786,378)</w:t>
            </w:r>
          </w:p>
        </w:tc>
        <w:tc>
          <w:tcPr>
            <w:tcW w:w="425" w:type="pct"/>
            <w:tcBorders>
              <w:top w:val="nil"/>
              <w:left w:val="nil"/>
              <w:bottom w:val="nil"/>
              <w:right w:val="nil"/>
            </w:tcBorders>
            <w:shd w:val="clear" w:color="000000" w:fill="FFFFFF"/>
            <w:noWrap/>
            <w:vAlign w:val="center"/>
          </w:tcPr>
          <w:p w14:paraId="680EB22D" w14:textId="690959FD" w:rsidR="00480196" w:rsidRPr="00894701" w:rsidRDefault="00480196" w:rsidP="00480196">
            <w:pPr>
              <w:spacing w:after="0" w:line="240" w:lineRule="auto"/>
              <w:jc w:val="right"/>
              <w:rPr>
                <w:rFonts w:cs="Arial"/>
                <w:color w:val="auto"/>
                <w:kern w:val="0"/>
                <w:sz w:val="16"/>
                <w:szCs w:val="16"/>
              </w:rPr>
            </w:pPr>
            <w:r w:rsidRPr="00894701">
              <w:rPr>
                <w:rFonts w:cs="Arial"/>
                <w:sz w:val="16"/>
                <w:szCs w:val="16"/>
              </w:rPr>
              <w:t>(285,273)</w:t>
            </w:r>
          </w:p>
        </w:tc>
        <w:tc>
          <w:tcPr>
            <w:tcW w:w="426" w:type="pct"/>
            <w:tcBorders>
              <w:top w:val="nil"/>
              <w:left w:val="nil"/>
              <w:bottom w:val="nil"/>
              <w:right w:val="nil"/>
            </w:tcBorders>
            <w:shd w:val="clear" w:color="000000" w:fill="FFFFFF"/>
            <w:noWrap/>
            <w:vAlign w:val="center"/>
          </w:tcPr>
          <w:p w14:paraId="16D6444A" w14:textId="26CE3C44" w:rsidR="00480196" w:rsidRPr="00894701" w:rsidRDefault="00480196" w:rsidP="00480196">
            <w:pPr>
              <w:spacing w:after="0" w:line="240" w:lineRule="auto"/>
              <w:jc w:val="right"/>
              <w:rPr>
                <w:rFonts w:cs="Arial"/>
                <w:color w:val="auto"/>
                <w:kern w:val="0"/>
                <w:sz w:val="16"/>
                <w:szCs w:val="16"/>
              </w:rPr>
            </w:pPr>
            <w:r w:rsidRPr="00894701">
              <w:rPr>
                <w:rFonts w:cs="Arial"/>
                <w:sz w:val="16"/>
                <w:szCs w:val="16"/>
              </w:rPr>
              <w:t>(18,501,105)</w:t>
            </w:r>
          </w:p>
        </w:tc>
        <w:tc>
          <w:tcPr>
            <w:tcW w:w="468" w:type="pct"/>
            <w:tcBorders>
              <w:top w:val="nil"/>
              <w:left w:val="nil"/>
              <w:bottom w:val="nil"/>
              <w:right w:val="nil"/>
            </w:tcBorders>
            <w:shd w:val="clear" w:color="000000" w:fill="FFFFFF"/>
            <w:noWrap/>
            <w:vAlign w:val="center"/>
          </w:tcPr>
          <w:p w14:paraId="3506797D" w14:textId="50EAD21F" w:rsidR="00480196" w:rsidRPr="00894701" w:rsidRDefault="00480196" w:rsidP="00480196">
            <w:pPr>
              <w:spacing w:after="0" w:line="240" w:lineRule="auto"/>
              <w:jc w:val="right"/>
              <w:rPr>
                <w:rFonts w:cs="Arial"/>
                <w:color w:val="auto"/>
                <w:kern w:val="0"/>
                <w:sz w:val="16"/>
                <w:szCs w:val="16"/>
              </w:rPr>
            </w:pPr>
            <w:r w:rsidRPr="00894701">
              <w:rPr>
                <w:rFonts w:cs="Arial"/>
                <w:sz w:val="16"/>
                <w:szCs w:val="16"/>
              </w:rPr>
              <w:t>116,562,322</w:t>
            </w:r>
          </w:p>
        </w:tc>
        <w:tc>
          <w:tcPr>
            <w:tcW w:w="517" w:type="pct"/>
            <w:tcBorders>
              <w:top w:val="nil"/>
              <w:left w:val="nil"/>
              <w:bottom w:val="nil"/>
              <w:right w:val="nil"/>
            </w:tcBorders>
            <w:shd w:val="clear" w:color="000000" w:fill="FFFFFF"/>
            <w:noWrap/>
            <w:vAlign w:val="center"/>
          </w:tcPr>
          <w:p w14:paraId="546F8980" w14:textId="5B8BCBCC" w:rsidR="00480196" w:rsidRPr="00894701" w:rsidRDefault="00480196" w:rsidP="00480196">
            <w:pPr>
              <w:spacing w:after="0" w:line="240" w:lineRule="auto"/>
              <w:jc w:val="right"/>
              <w:rPr>
                <w:rFonts w:cs="Arial"/>
                <w:color w:val="auto"/>
                <w:kern w:val="0"/>
                <w:sz w:val="16"/>
                <w:szCs w:val="16"/>
              </w:rPr>
            </w:pPr>
            <w:r w:rsidRPr="00894701">
              <w:rPr>
                <w:rFonts w:cs="Arial"/>
                <w:sz w:val="16"/>
                <w:szCs w:val="16"/>
              </w:rPr>
              <w:t>116,562,329</w:t>
            </w:r>
          </w:p>
        </w:tc>
        <w:tc>
          <w:tcPr>
            <w:tcW w:w="419" w:type="pct"/>
            <w:tcBorders>
              <w:top w:val="nil"/>
              <w:left w:val="nil"/>
              <w:bottom w:val="nil"/>
              <w:right w:val="single" w:sz="8" w:space="0" w:color="FF0000"/>
            </w:tcBorders>
            <w:shd w:val="clear" w:color="000000" w:fill="FFFFFF"/>
            <w:noWrap/>
            <w:vAlign w:val="center"/>
          </w:tcPr>
          <w:p w14:paraId="55FACC37" w14:textId="1D163777" w:rsidR="00480196" w:rsidRPr="00894701" w:rsidRDefault="00480196" w:rsidP="00480196">
            <w:pPr>
              <w:spacing w:after="0" w:line="240" w:lineRule="auto"/>
              <w:jc w:val="right"/>
              <w:rPr>
                <w:rFonts w:cs="Arial"/>
                <w:color w:val="auto"/>
                <w:kern w:val="0"/>
                <w:sz w:val="16"/>
                <w:szCs w:val="16"/>
              </w:rPr>
            </w:pPr>
            <w:r w:rsidRPr="00894701">
              <w:rPr>
                <w:rFonts w:cs="Arial"/>
                <w:sz w:val="16"/>
                <w:szCs w:val="16"/>
              </w:rPr>
              <w:t>(7)</w:t>
            </w:r>
          </w:p>
        </w:tc>
      </w:tr>
      <w:tr w:rsidR="002F4BAB" w:rsidRPr="00894701" w14:paraId="6B59EB57" w14:textId="77777777" w:rsidTr="00AA49E3">
        <w:trPr>
          <w:trHeight w:val="227"/>
          <w:jc w:val="center"/>
        </w:trPr>
        <w:tc>
          <w:tcPr>
            <w:tcW w:w="150" w:type="pct"/>
            <w:tcBorders>
              <w:top w:val="nil"/>
              <w:left w:val="single" w:sz="8" w:space="0" w:color="FF0000"/>
              <w:bottom w:val="nil"/>
              <w:right w:val="nil"/>
            </w:tcBorders>
            <w:shd w:val="clear" w:color="000000" w:fill="F7A3B0"/>
            <w:noWrap/>
            <w:tcMar>
              <w:left w:w="28" w:type="dxa"/>
              <w:right w:w="28" w:type="dxa"/>
            </w:tcMar>
            <w:vAlign w:val="center"/>
            <w:hideMark/>
          </w:tcPr>
          <w:p w14:paraId="7221CCD2" w14:textId="77777777"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1.11</w:t>
            </w:r>
          </w:p>
        </w:tc>
        <w:tc>
          <w:tcPr>
            <w:tcW w:w="695" w:type="pct"/>
            <w:tcBorders>
              <w:top w:val="nil"/>
              <w:left w:val="nil"/>
              <w:bottom w:val="nil"/>
              <w:right w:val="nil"/>
            </w:tcBorders>
            <w:shd w:val="clear" w:color="000000" w:fill="F7A3B0"/>
            <w:noWrap/>
            <w:vAlign w:val="center"/>
            <w:hideMark/>
          </w:tcPr>
          <w:p w14:paraId="15BB8343" w14:textId="37AFA328"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Royalty</w:t>
            </w:r>
            <w:r w:rsidR="00AA49E3" w:rsidRPr="00894701">
              <w:rPr>
                <w:rFonts w:cs="Arial"/>
                <w:color w:val="000000"/>
                <w:kern w:val="0"/>
                <w:sz w:val="16"/>
                <w:szCs w:val="16"/>
              </w:rPr>
              <w:t xml:space="preserve"> </w:t>
            </w:r>
            <w:r w:rsidRPr="00894701">
              <w:rPr>
                <w:rFonts w:cs="Arial"/>
                <w:color w:val="000000"/>
                <w:kern w:val="0"/>
                <w:sz w:val="16"/>
                <w:szCs w:val="16"/>
              </w:rPr>
              <w:t>fees</w:t>
            </w:r>
            <w:r w:rsidR="00AA49E3" w:rsidRPr="00894701">
              <w:rPr>
                <w:rFonts w:cs="Arial"/>
                <w:color w:val="000000"/>
                <w:kern w:val="0"/>
                <w:sz w:val="16"/>
                <w:szCs w:val="16"/>
              </w:rPr>
              <w:t xml:space="preserve"> </w:t>
            </w:r>
            <w:r w:rsidRPr="00894701">
              <w:rPr>
                <w:rFonts w:cs="Arial"/>
                <w:color w:val="000000"/>
                <w:kern w:val="0"/>
                <w:sz w:val="16"/>
                <w:szCs w:val="16"/>
              </w:rPr>
              <w:t>MoF</w:t>
            </w:r>
          </w:p>
        </w:tc>
        <w:tc>
          <w:tcPr>
            <w:tcW w:w="464" w:type="pct"/>
            <w:tcBorders>
              <w:top w:val="nil"/>
              <w:left w:val="nil"/>
              <w:bottom w:val="nil"/>
              <w:right w:val="nil"/>
            </w:tcBorders>
            <w:shd w:val="clear" w:color="000000" w:fill="F7A3B0"/>
            <w:noWrap/>
            <w:vAlign w:val="center"/>
          </w:tcPr>
          <w:p w14:paraId="55A75544"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auto"/>
                <w:sz w:val="16"/>
                <w:szCs w:val="16"/>
              </w:rPr>
              <w:t>-</w:t>
            </w:r>
          </w:p>
        </w:tc>
        <w:tc>
          <w:tcPr>
            <w:tcW w:w="509" w:type="pct"/>
            <w:tcBorders>
              <w:top w:val="nil"/>
              <w:left w:val="nil"/>
              <w:bottom w:val="nil"/>
              <w:right w:val="nil"/>
            </w:tcBorders>
            <w:shd w:val="clear" w:color="000000" w:fill="F7A3B0"/>
            <w:noWrap/>
            <w:vAlign w:val="center"/>
          </w:tcPr>
          <w:p w14:paraId="0F7EE6D3"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auto"/>
                <w:sz w:val="16"/>
                <w:szCs w:val="16"/>
              </w:rPr>
              <w:t>-</w:t>
            </w:r>
          </w:p>
        </w:tc>
        <w:tc>
          <w:tcPr>
            <w:tcW w:w="467" w:type="pct"/>
            <w:tcBorders>
              <w:top w:val="nil"/>
              <w:left w:val="nil"/>
              <w:bottom w:val="nil"/>
              <w:right w:val="nil"/>
            </w:tcBorders>
            <w:shd w:val="clear" w:color="000000" w:fill="F7A3B0"/>
            <w:noWrap/>
            <w:vAlign w:val="center"/>
          </w:tcPr>
          <w:p w14:paraId="1269ED52"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auto"/>
                <w:sz w:val="16"/>
                <w:szCs w:val="16"/>
              </w:rPr>
              <w:t>-</w:t>
            </w:r>
          </w:p>
        </w:tc>
        <w:tc>
          <w:tcPr>
            <w:tcW w:w="460" w:type="pct"/>
            <w:tcBorders>
              <w:top w:val="nil"/>
              <w:left w:val="nil"/>
              <w:bottom w:val="nil"/>
              <w:right w:val="nil"/>
            </w:tcBorders>
            <w:shd w:val="clear" w:color="000000" w:fill="F7A3B0"/>
            <w:noWrap/>
            <w:vAlign w:val="center"/>
          </w:tcPr>
          <w:p w14:paraId="04C20CE7"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auto"/>
                <w:sz w:val="16"/>
                <w:szCs w:val="16"/>
              </w:rPr>
              <w:t>-</w:t>
            </w:r>
          </w:p>
        </w:tc>
        <w:tc>
          <w:tcPr>
            <w:tcW w:w="425" w:type="pct"/>
            <w:tcBorders>
              <w:top w:val="nil"/>
              <w:left w:val="nil"/>
              <w:bottom w:val="nil"/>
              <w:right w:val="nil"/>
            </w:tcBorders>
            <w:shd w:val="clear" w:color="000000" w:fill="F7A3B0"/>
            <w:noWrap/>
            <w:vAlign w:val="center"/>
          </w:tcPr>
          <w:p w14:paraId="2375B08B"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auto"/>
                <w:sz w:val="16"/>
                <w:szCs w:val="16"/>
              </w:rPr>
              <w:t>-</w:t>
            </w:r>
          </w:p>
        </w:tc>
        <w:tc>
          <w:tcPr>
            <w:tcW w:w="426" w:type="pct"/>
            <w:tcBorders>
              <w:top w:val="nil"/>
              <w:left w:val="nil"/>
              <w:bottom w:val="nil"/>
              <w:right w:val="nil"/>
            </w:tcBorders>
            <w:shd w:val="clear" w:color="000000" w:fill="F7A3B0"/>
            <w:noWrap/>
            <w:vAlign w:val="center"/>
          </w:tcPr>
          <w:p w14:paraId="750287EE"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000000" w:fill="F7A3B0"/>
            <w:noWrap/>
            <w:vAlign w:val="center"/>
          </w:tcPr>
          <w:p w14:paraId="7D25A194"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auto"/>
                <w:sz w:val="16"/>
                <w:szCs w:val="16"/>
              </w:rPr>
              <w:t>-</w:t>
            </w:r>
          </w:p>
        </w:tc>
        <w:tc>
          <w:tcPr>
            <w:tcW w:w="517" w:type="pct"/>
            <w:tcBorders>
              <w:top w:val="nil"/>
              <w:left w:val="nil"/>
              <w:bottom w:val="nil"/>
              <w:right w:val="nil"/>
            </w:tcBorders>
            <w:shd w:val="clear" w:color="000000" w:fill="F7A3B0"/>
            <w:noWrap/>
            <w:vAlign w:val="center"/>
          </w:tcPr>
          <w:p w14:paraId="27B4AF2A"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auto"/>
                <w:sz w:val="16"/>
                <w:szCs w:val="16"/>
              </w:rPr>
              <w:t>-</w:t>
            </w:r>
          </w:p>
        </w:tc>
        <w:tc>
          <w:tcPr>
            <w:tcW w:w="419" w:type="pct"/>
            <w:tcBorders>
              <w:top w:val="nil"/>
              <w:left w:val="nil"/>
              <w:bottom w:val="nil"/>
              <w:right w:val="single" w:sz="8" w:space="0" w:color="FF0000"/>
            </w:tcBorders>
            <w:shd w:val="clear" w:color="000000" w:fill="F7A3B0"/>
            <w:noWrap/>
            <w:vAlign w:val="center"/>
          </w:tcPr>
          <w:p w14:paraId="59B0B699"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auto"/>
                <w:sz w:val="16"/>
                <w:szCs w:val="16"/>
              </w:rPr>
              <w:t>-</w:t>
            </w:r>
          </w:p>
        </w:tc>
      </w:tr>
      <w:tr w:rsidR="002F4BAB" w:rsidRPr="00894701" w14:paraId="0089146A" w14:textId="77777777" w:rsidTr="00AA49E3">
        <w:trPr>
          <w:trHeight w:val="227"/>
          <w:jc w:val="center"/>
        </w:trPr>
        <w:tc>
          <w:tcPr>
            <w:tcW w:w="150" w:type="pct"/>
            <w:tcBorders>
              <w:top w:val="nil"/>
              <w:left w:val="single" w:sz="8" w:space="0" w:color="FF0000"/>
              <w:bottom w:val="nil"/>
              <w:right w:val="nil"/>
            </w:tcBorders>
            <w:shd w:val="clear" w:color="000000" w:fill="FFFFFF"/>
            <w:noWrap/>
            <w:tcMar>
              <w:left w:w="28" w:type="dxa"/>
              <w:right w:w="28" w:type="dxa"/>
            </w:tcMar>
            <w:vAlign w:val="center"/>
            <w:hideMark/>
          </w:tcPr>
          <w:p w14:paraId="73A647B0" w14:textId="77777777" w:rsidR="002F4BAB" w:rsidRPr="00894701" w:rsidRDefault="002F4BAB" w:rsidP="002209C2">
            <w:pPr>
              <w:spacing w:after="0" w:line="240" w:lineRule="auto"/>
              <w:rPr>
                <w:rFonts w:cs="Arial"/>
                <w:color w:val="auto"/>
                <w:kern w:val="0"/>
                <w:sz w:val="16"/>
                <w:szCs w:val="16"/>
              </w:rPr>
            </w:pPr>
            <w:r w:rsidRPr="00894701">
              <w:rPr>
                <w:rFonts w:cs="Arial"/>
                <w:color w:val="auto"/>
                <w:kern w:val="0"/>
                <w:sz w:val="16"/>
                <w:szCs w:val="16"/>
              </w:rPr>
              <w:t>1.12</w:t>
            </w:r>
          </w:p>
        </w:tc>
        <w:tc>
          <w:tcPr>
            <w:tcW w:w="695" w:type="pct"/>
            <w:tcBorders>
              <w:top w:val="nil"/>
              <w:left w:val="nil"/>
              <w:bottom w:val="nil"/>
              <w:right w:val="nil"/>
            </w:tcBorders>
            <w:shd w:val="clear" w:color="000000" w:fill="FFFFFF"/>
            <w:vAlign w:val="center"/>
            <w:hideMark/>
          </w:tcPr>
          <w:p w14:paraId="4D19181C" w14:textId="27E43116" w:rsidR="002F4BAB" w:rsidRPr="00894701" w:rsidRDefault="002F4BAB" w:rsidP="002209C2">
            <w:pPr>
              <w:spacing w:after="0" w:line="240" w:lineRule="auto"/>
              <w:rPr>
                <w:rFonts w:cs="Arial"/>
                <w:color w:val="auto"/>
                <w:kern w:val="0"/>
                <w:sz w:val="16"/>
                <w:szCs w:val="16"/>
              </w:rPr>
            </w:pPr>
            <w:r w:rsidRPr="00894701">
              <w:rPr>
                <w:rFonts w:cs="Arial"/>
                <w:color w:val="auto"/>
                <w:kern w:val="0"/>
                <w:sz w:val="16"/>
                <w:szCs w:val="16"/>
              </w:rPr>
              <w:t>Royalty</w:t>
            </w:r>
            <w:r w:rsidR="00AA49E3" w:rsidRPr="00894701">
              <w:rPr>
                <w:rFonts w:cs="Arial"/>
                <w:color w:val="auto"/>
                <w:kern w:val="0"/>
                <w:sz w:val="16"/>
                <w:szCs w:val="16"/>
              </w:rPr>
              <w:t xml:space="preserve"> </w:t>
            </w:r>
            <w:r w:rsidRPr="00894701">
              <w:rPr>
                <w:rFonts w:cs="Arial"/>
                <w:color w:val="auto"/>
                <w:kern w:val="0"/>
                <w:sz w:val="16"/>
                <w:szCs w:val="16"/>
              </w:rPr>
              <w:t>fees</w:t>
            </w:r>
            <w:r w:rsidR="00AA49E3" w:rsidRPr="00894701">
              <w:rPr>
                <w:rFonts w:cs="Arial"/>
                <w:color w:val="auto"/>
                <w:kern w:val="0"/>
                <w:sz w:val="16"/>
                <w:szCs w:val="16"/>
              </w:rPr>
              <w:t xml:space="preserve"> </w:t>
            </w:r>
            <w:r w:rsidRPr="00894701">
              <w:rPr>
                <w:rFonts w:cs="Arial"/>
                <w:color w:val="auto"/>
                <w:kern w:val="0"/>
                <w:sz w:val="16"/>
                <w:szCs w:val="16"/>
              </w:rPr>
              <w:t>in-kind</w:t>
            </w:r>
          </w:p>
        </w:tc>
        <w:tc>
          <w:tcPr>
            <w:tcW w:w="464" w:type="pct"/>
            <w:tcBorders>
              <w:top w:val="nil"/>
              <w:left w:val="nil"/>
              <w:bottom w:val="nil"/>
              <w:right w:val="nil"/>
            </w:tcBorders>
            <w:shd w:val="clear" w:color="000000" w:fill="FFFFFF"/>
            <w:noWrap/>
            <w:vAlign w:val="center"/>
          </w:tcPr>
          <w:p w14:paraId="56BEB6AC"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509" w:type="pct"/>
            <w:tcBorders>
              <w:top w:val="nil"/>
              <w:left w:val="nil"/>
              <w:bottom w:val="nil"/>
              <w:right w:val="nil"/>
            </w:tcBorders>
            <w:shd w:val="clear" w:color="000000" w:fill="FFFFFF"/>
            <w:noWrap/>
            <w:vAlign w:val="center"/>
          </w:tcPr>
          <w:p w14:paraId="6D72CFC7"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467" w:type="pct"/>
            <w:tcBorders>
              <w:top w:val="nil"/>
              <w:left w:val="nil"/>
              <w:bottom w:val="nil"/>
              <w:right w:val="nil"/>
            </w:tcBorders>
            <w:shd w:val="clear" w:color="000000" w:fill="FFFFFF"/>
            <w:noWrap/>
            <w:vAlign w:val="center"/>
          </w:tcPr>
          <w:p w14:paraId="689A09B0"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460" w:type="pct"/>
            <w:tcBorders>
              <w:top w:val="nil"/>
              <w:left w:val="nil"/>
              <w:bottom w:val="nil"/>
              <w:right w:val="nil"/>
            </w:tcBorders>
            <w:shd w:val="clear" w:color="000000" w:fill="FFFFFF"/>
            <w:noWrap/>
            <w:vAlign w:val="center"/>
          </w:tcPr>
          <w:p w14:paraId="7872A3A3"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425" w:type="pct"/>
            <w:tcBorders>
              <w:top w:val="nil"/>
              <w:left w:val="nil"/>
              <w:bottom w:val="nil"/>
              <w:right w:val="nil"/>
            </w:tcBorders>
            <w:shd w:val="clear" w:color="000000" w:fill="FFFFFF"/>
            <w:noWrap/>
            <w:vAlign w:val="center"/>
          </w:tcPr>
          <w:p w14:paraId="60FCAA56"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426" w:type="pct"/>
            <w:tcBorders>
              <w:top w:val="nil"/>
              <w:left w:val="nil"/>
              <w:bottom w:val="nil"/>
              <w:right w:val="nil"/>
            </w:tcBorders>
            <w:shd w:val="clear" w:color="000000" w:fill="FFFFFF"/>
            <w:noWrap/>
            <w:vAlign w:val="center"/>
          </w:tcPr>
          <w:p w14:paraId="581F847A"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000000" w:fill="FFFFFF"/>
            <w:noWrap/>
            <w:vAlign w:val="center"/>
          </w:tcPr>
          <w:p w14:paraId="4C2A10FD"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517" w:type="pct"/>
            <w:tcBorders>
              <w:top w:val="nil"/>
              <w:left w:val="nil"/>
              <w:bottom w:val="nil"/>
              <w:right w:val="nil"/>
            </w:tcBorders>
            <w:shd w:val="clear" w:color="000000" w:fill="FFFFFF"/>
            <w:noWrap/>
            <w:vAlign w:val="center"/>
          </w:tcPr>
          <w:p w14:paraId="04DA9D7E"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419" w:type="pct"/>
            <w:tcBorders>
              <w:top w:val="nil"/>
              <w:left w:val="nil"/>
              <w:bottom w:val="nil"/>
              <w:right w:val="single" w:sz="8" w:space="0" w:color="FF0000"/>
            </w:tcBorders>
            <w:shd w:val="clear" w:color="000000" w:fill="FFFFFF"/>
            <w:noWrap/>
            <w:vAlign w:val="center"/>
          </w:tcPr>
          <w:p w14:paraId="51D8AD9C"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r>
      <w:tr w:rsidR="002F4BAB" w:rsidRPr="00894701" w14:paraId="70C886BB" w14:textId="77777777" w:rsidTr="00AA49E3">
        <w:trPr>
          <w:trHeight w:val="227"/>
          <w:jc w:val="center"/>
        </w:trPr>
        <w:tc>
          <w:tcPr>
            <w:tcW w:w="150" w:type="pct"/>
            <w:tcBorders>
              <w:top w:val="nil"/>
              <w:left w:val="single" w:sz="8" w:space="0" w:color="FF0000"/>
              <w:bottom w:val="nil"/>
              <w:right w:val="nil"/>
            </w:tcBorders>
            <w:shd w:val="clear" w:color="000000" w:fill="F7A3B0"/>
            <w:noWrap/>
            <w:tcMar>
              <w:left w:w="28" w:type="dxa"/>
              <w:right w:w="28" w:type="dxa"/>
            </w:tcMar>
            <w:vAlign w:val="center"/>
            <w:hideMark/>
          </w:tcPr>
          <w:p w14:paraId="25E0D8B6" w14:textId="77777777"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1.13</w:t>
            </w:r>
          </w:p>
        </w:tc>
        <w:tc>
          <w:tcPr>
            <w:tcW w:w="695" w:type="pct"/>
            <w:tcBorders>
              <w:top w:val="nil"/>
              <w:left w:val="nil"/>
              <w:bottom w:val="nil"/>
              <w:right w:val="nil"/>
            </w:tcBorders>
            <w:shd w:val="clear" w:color="000000" w:fill="F7A3B0"/>
            <w:noWrap/>
            <w:vAlign w:val="center"/>
            <w:hideMark/>
          </w:tcPr>
          <w:p w14:paraId="3DE68C6B" w14:textId="1840E367"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Import</w:t>
            </w:r>
            <w:r w:rsidR="00AA49E3" w:rsidRPr="00894701">
              <w:rPr>
                <w:rFonts w:cs="Arial"/>
                <w:color w:val="000000"/>
                <w:kern w:val="0"/>
                <w:sz w:val="16"/>
                <w:szCs w:val="16"/>
              </w:rPr>
              <w:t xml:space="preserve"> </w:t>
            </w:r>
            <w:r w:rsidRPr="00894701">
              <w:rPr>
                <w:rFonts w:cs="Arial"/>
                <w:color w:val="000000"/>
                <w:kern w:val="0"/>
                <w:sz w:val="16"/>
                <w:szCs w:val="16"/>
              </w:rPr>
              <w:t>Duties</w:t>
            </w:r>
          </w:p>
        </w:tc>
        <w:tc>
          <w:tcPr>
            <w:tcW w:w="464" w:type="pct"/>
            <w:tcBorders>
              <w:top w:val="nil"/>
              <w:left w:val="nil"/>
              <w:bottom w:val="nil"/>
              <w:right w:val="nil"/>
            </w:tcBorders>
            <w:shd w:val="clear" w:color="000000" w:fill="F7A3B0"/>
            <w:noWrap/>
            <w:vAlign w:val="center"/>
          </w:tcPr>
          <w:p w14:paraId="50A5C318"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auto"/>
                <w:sz w:val="16"/>
                <w:szCs w:val="16"/>
              </w:rPr>
              <w:t>-</w:t>
            </w:r>
          </w:p>
        </w:tc>
        <w:tc>
          <w:tcPr>
            <w:tcW w:w="509" w:type="pct"/>
            <w:tcBorders>
              <w:top w:val="nil"/>
              <w:left w:val="nil"/>
              <w:bottom w:val="nil"/>
              <w:right w:val="nil"/>
            </w:tcBorders>
            <w:shd w:val="clear" w:color="000000" w:fill="F7A3B0"/>
            <w:noWrap/>
            <w:vAlign w:val="center"/>
          </w:tcPr>
          <w:p w14:paraId="023A4631"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auto"/>
                <w:sz w:val="16"/>
                <w:szCs w:val="16"/>
              </w:rPr>
              <w:t>-</w:t>
            </w:r>
          </w:p>
        </w:tc>
        <w:tc>
          <w:tcPr>
            <w:tcW w:w="467" w:type="pct"/>
            <w:tcBorders>
              <w:top w:val="nil"/>
              <w:left w:val="nil"/>
              <w:bottom w:val="nil"/>
              <w:right w:val="nil"/>
            </w:tcBorders>
            <w:shd w:val="clear" w:color="000000" w:fill="F7A3B0"/>
            <w:noWrap/>
            <w:vAlign w:val="center"/>
          </w:tcPr>
          <w:p w14:paraId="10A36A72"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auto"/>
                <w:sz w:val="16"/>
                <w:szCs w:val="16"/>
              </w:rPr>
              <w:t>-</w:t>
            </w:r>
          </w:p>
        </w:tc>
        <w:tc>
          <w:tcPr>
            <w:tcW w:w="460" w:type="pct"/>
            <w:tcBorders>
              <w:top w:val="nil"/>
              <w:left w:val="nil"/>
              <w:bottom w:val="nil"/>
              <w:right w:val="nil"/>
            </w:tcBorders>
            <w:shd w:val="clear" w:color="000000" w:fill="F7A3B0"/>
            <w:noWrap/>
            <w:vAlign w:val="center"/>
          </w:tcPr>
          <w:p w14:paraId="68374412"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auto"/>
                <w:sz w:val="16"/>
                <w:szCs w:val="16"/>
              </w:rPr>
              <w:t>-</w:t>
            </w:r>
          </w:p>
        </w:tc>
        <w:tc>
          <w:tcPr>
            <w:tcW w:w="425" w:type="pct"/>
            <w:tcBorders>
              <w:top w:val="nil"/>
              <w:left w:val="nil"/>
              <w:bottom w:val="nil"/>
              <w:right w:val="nil"/>
            </w:tcBorders>
            <w:shd w:val="clear" w:color="000000" w:fill="F7A3B0"/>
            <w:noWrap/>
            <w:vAlign w:val="center"/>
          </w:tcPr>
          <w:p w14:paraId="2B3B6146"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auto"/>
                <w:sz w:val="16"/>
                <w:szCs w:val="16"/>
              </w:rPr>
              <w:t>-</w:t>
            </w:r>
          </w:p>
        </w:tc>
        <w:tc>
          <w:tcPr>
            <w:tcW w:w="426" w:type="pct"/>
            <w:tcBorders>
              <w:top w:val="nil"/>
              <w:left w:val="nil"/>
              <w:bottom w:val="nil"/>
              <w:right w:val="nil"/>
            </w:tcBorders>
            <w:shd w:val="clear" w:color="000000" w:fill="F7A3B0"/>
            <w:noWrap/>
            <w:vAlign w:val="center"/>
          </w:tcPr>
          <w:p w14:paraId="200F8223"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000000" w:fill="F7A3B0"/>
            <w:noWrap/>
            <w:vAlign w:val="center"/>
          </w:tcPr>
          <w:p w14:paraId="0E004C0A"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auto"/>
                <w:sz w:val="16"/>
                <w:szCs w:val="16"/>
              </w:rPr>
              <w:t>-</w:t>
            </w:r>
          </w:p>
        </w:tc>
        <w:tc>
          <w:tcPr>
            <w:tcW w:w="517" w:type="pct"/>
            <w:tcBorders>
              <w:top w:val="nil"/>
              <w:left w:val="nil"/>
              <w:bottom w:val="nil"/>
              <w:right w:val="nil"/>
            </w:tcBorders>
            <w:shd w:val="clear" w:color="000000" w:fill="F7A3B0"/>
            <w:noWrap/>
            <w:vAlign w:val="center"/>
          </w:tcPr>
          <w:p w14:paraId="3C71CE82"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auto"/>
                <w:sz w:val="16"/>
                <w:szCs w:val="16"/>
              </w:rPr>
              <w:t>-</w:t>
            </w:r>
          </w:p>
        </w:tc>
        <w:tc>
          <w:tcPr>
            <w:tcW w:w="419" w:type="pct"/>
            <w:tcBorders>
              <w:top w:val="nil"/>
              <w:left w:val="nil"/>
              <w:bottom w:val="nil"/>
              <w:right w:val="single" w:sz="8" w:space="0" w:color="FF0000"/>
            </w:tcBorders>
            <w:shd w:val="clear" w:color="000000" w:fill="F7A3B0"/>
            <w:noWrap/>
            <w:vAlign w:val="center"/>
          </w:tcPr>
          <w:p w14:paraId="750C37E0"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auto"/>
                <w:sz w:val="16"/>
                <w:szCs w:val="16"/>
              </w:rPr>
              <w:t>-</w:t>
            </w:r>
          </w:p>
        </w:tc>
      </w:tr>
      <w:tr w:rsidR="002F4BAB" w:rsidRPr="00894701" w14:paraId="297B2BCA" w14:textId="77777777" w:rsidTr="00AA49E3">
        <w:trPr>
          <w:trHeight w:val="227"/>
          <w:jc w:val="center"/>
        </w:trPr>
        <w:tc>
          <w:tcPr>
            <w:tcW w:w="150" w:type="pct"/>
            <w:tcBorders>
              <w:top w:val="nil"/>
              <w:left w:val="single" w:sz="8" w:space="0" w:color="FF0000"/>
              <w:bottom w:val="nil"/>
              <w:right w:val="nil"/>
            </w:tcBorders>
            <w:shd w:val="clear" w:color="000000" w:fill="FFFFFF"/>
            <w:noWrap/>
            <w:tcMar>
              <w:left w:w="28" w:type="dxa"/>
              <w:right w:w="28" w:type="dxa"/>
            </w:tcMar>
            <w:vAlign w:val="center"/>
            <w:hideMark/>
          </w:tcPr>
          <w:p w14:paraId="57E5A599" w14:textId="77777777" w:rsidR="002F4BAB" w:rsidRPr="00894701" w:rsidRDefault="002F4BAB" w:rsidP="002209C2">
            <w:pPr>
              <w:spacing w:after="0" w:line="240" w:lineRule="auto"/>
              <w:rPr>
                <w:rFonts w:cs="Arial"/>
                <w:color w:val="auto"/>
                <w:kern w:val="0"/>
                <w:sz w:val="16"/>
                <w:szCs w:val="16"/>
              </w:rPr>
            </w:pPr>
            <w:r w:rsidRPr="00894701">
              <w:rPr>
                <w:rFonts w:cs="Arial"/>
                <w:color w:val="auto"/>
                <w:kern w:val="0"/>
                <w:sz w:val="16"/>
                <w:szCs w:val="16"/>
              </w:rPr>
              <w:t>1.14</w:t>
            </w:r>
          </w:p>
        </w:tc>
        <w:tc>
          <w:tcPr>
            <w:tcW w:w="695" w:type="pct"/>
            <w:tcBorders>
              <w:top w:val="nil"/>
              <w:left w:val="nil"/>
              <w:bottom w:val="nil"/>
              <w:right w:val="nil"/>
            </w:tcBorders>
            <w:shd w:val="clear" w:color="000000" w:fill="FFFFFF"/>
            <w:vAlign w:val="center"/>
            <w:hideMark/>
          </w:tcPr>
          <w:p w14:paraId="200ECD8E" w14:textId="22A9B160" w:rsidR="002F4BAB" w:rsidRPr="00894701" w:rsidRDefault="002F4BAB" w:rsidP="002209C2">
            <w:pPr>
              <w:spacing w:after="0" w:line="240" w:lineRule="auto"/>
              <w:rPr>
                <w:rFonts w:cs="Arial"/>
                <w:color w:val="auto"/>
                <w:kern w:val="0"/>
                <w:sz w:val="16"/>
                <w:szCs w:val="16"/>
              </w:rPr>
            </w:pPr>
            <w:r w:rsidRPr="00894701">
              <w:rPr>
                <w:rFonts w:cs="Arial"/>
                <w:color w:val="auto"/>
                <w:kern w:val="0"/>
                <w:sz w:val="16"/>
                <w:szCs w:val="16"/>
              </w:rPr>
              <w:t>Consent</w:t>
            </w:r>
            <w:r w:rsidR="00AA49E3" w:rsidRPr="00894701">
              <w:rPr>
                <w:rFonts w:cs="Arial"/>
                <w:color w:val="auto"/>
                <w:kern w:val="0"/>
                <w:sz w:val="16"/>
                <w:szCs w:val="16"/>
              </w:rPr>
              <w:t xml:space="preserve"> </w:t>
            </w:r>
            <w:r w:rsidRPr="00894701">
              <w:rPr>
                <w:rFonts w:cs="Arial"/>
                <w:color w:val="auto"/>
                <w:kern w:val="0"/>
                <w:sz w:val="16"/>
                <w:szCs w:val="16"/>
              </w:rPr>
              <w:t>&amp;</w:t>
            </w:r>
            <w:r w:rsidR="00AA49E3" w:rsidRPr="00894701">
              <w:rPr>
                <w:rFonts w:cs="Arial"/>
                <w:color w:val="auto"/>
                <w:kern w:val="0"/>
                <w:sz w:val="16"/>
                <w:szCs w:val="16"/>
              </w:rPr>
              <w:t xml:space="preserve"> </w:t>
            </w:r>
            <w:r w:rsidRPr="00894701">
              <w:rPr>
                <w:rFonts w:cs="Arial"/>
                <w:color w:val="auto"/>
                <w:kern w:val="0"/>
                <w:sz w:val="16"/>
                <w:szCs w:val="16"/>
              </w:rPr>
              <w:t>Statistic</w:t>
            </w:r>
            <w:r w:rsidR="00AA49E3" w:rsidRPr="00894701">
              <w:rPr>
                <w:rFonts w:cs="Arial"/>
                <w:color w:val="auto"/>
                <w:kern w:val="0"/>
                <w:sz w:val="16"/>
                <w:szCs w:val="16"/>
              </w:rPr>
              <w:t xml:space="preserve"> </w:t>
            </w:r>
            <w:r w:rsidRPr="00894701">
              <w:rPr>
                <w:rFonts w:cs="Arial"/>
                <w:color w:val="auto"/>
                <w:kern w:val="0"/>
                <w:sz w:val="16"/>
                <w:szCs w:val="16"/>
              </w:rPr>
              <w:t>rights</w:t>
            </w:r>
          </w:p>
        </w:tc>
        <w:tc>
          <w:tcPr>
            <w:tcW w:w="464" w:type="pct"/>
            <w:tcBorders>
              <w:top w:val="nil"/>
              <w:left w:val="nil"/>
              <w:bottom w:val="nil"/>
              <w:right w:val="nil"/>
            </w:tcBorders>
            <w:shd w:val="clear" w:color="000000" w:fill="FFFFFF"/>
            <w:noWrap/>
            <w:vAlign w:val="center"/>
          </w:tcPr>
          <w:p w14:paraId="72F0746F"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509" w:type="pct"/>
            <w:tcBorders>
              <w:top w:val="nil"/>
              <w:left w:val="nil"/>
              <w:bottom w:val="nil"/>
              <w:right w:val="nil"/>
            </w:tcBorders>
            <w:shd w:val="clear" w:color="000000" w:fill="FFFFFF"/>
            <w:noWrap/>
            <w:vAlign w:val="center"/>
          </w:tcPr>
          <w:p w14:paraId="0DAFBAD7"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467" w:type="pct"/>
            <w:tcBorders>
              <w:top w:val="nil"/>
              <w:left w:val="nil"/>
              <w:bottom w:val="nil"/>
              <w:right w:val="nil"/>
            </w:tcBorders>
            <w:shd w:val="clear" w:color="000000" w:fill="FFFFFF"/>
            <w:noWrap/>
            <w:vAlign w:val="center"/>
          </w:tcPr>
          <w:p w14:paraId="299F8EF7"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460" w:type="pct"/>
            <w:tcBorders>
              <w:top w:val="nil"/>
              <w:left w:val="nil"/>
              <w:bottom w:val="nil"/>
              <w:right w:val="nil"/>
            </w:tcBorders>
            <w:shd w:val="clear" w:color="000000" w:fill="FFFFFF"/>
            <w:noWrap/>
            <w:vAlign w:val="center"/>
          </w:tcPr>
          <w:p w14:paraId="693C70CC"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425" w:type="pct"/>
            <w:tcBorders>
              <w:top w:val="nil"/>
              <w:left w:val="nil"/>
              <w:bottom w:val="nil"/>
              <w:right w:val="nil"/>
            </w:tcBorders>
            <w:shd w:val="clear" w:color="000000" w:fill="FFFFFF"/>
            <w:noWrap/>
            <w:vAlign w:val="center"/>
          </w:tcPr>
          <w:p w14:paraId="4EC01E7F"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426" w:type="pct"/>
            <w:tcBorders>
              <w:top w:val="nil"/>
              <w:left w:val="nil"/>
              <w:bottom w:val="nil"/>
              <w:right w:val="nil"/>
            </w:tcBorders>
            <w:shd w:val="clear" w:color="000000" w:fill="FFFFFF"/>
            <w:noWrap/>
            <w:vAlign w:val="center"/>
          </w:tcPr>
          <w:p w14:paraId="3B5EC68D"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000000" w:fill="FFFFFF"/>
            <w:noWrap/>
            <w:vAlign w:val="center"/>
          </w:tcPr>
          <w:p w14:paraId="3DF3F5F3"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517" w:type="pct"/>
            <w:tcBorders>
              <w:top w:val="nil"/>
              <w:left w:val="nil"/>
              <w:bottom w:val="nil"/>
              <w:right w:val="nil"/>
            </w:tcBorders>
            <w:shd w:val="clear" w:color="000000" w:fill="FFFFFF"/>
            <w:noWrap/>
            <w:vAlign w:val="center"/>
          </w:tcPr>
          <w:p w14:paraId="532F463D"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c>
          <w:tcPr>
            <w:tcW w:w="419" w:type="pct"/>
            <w:tcBorders>
              <w:top w:val="nil"/>
              <w:left w:val="nil"/>
              <w:bottom w:val="nil"/>
              <w:right w:val="single" w:sz="8" w:space="0" w:color="FF0000"/>
            </w:tcBorders>
            <w:shd w:val="clear" w:color="000000" w:fill="FFFFFF"/>
            <w:noWrap/>
            <w:vAlign w:val="center"/>
          </w:tcPr>
          <w:p w14:paraId="57A67FA1"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w:t>
            </w:r>
          </w:p>
        </w:tc>
      </w:tr>
      <w:tr w:rsidR="002F4BAB" w:rsidRPr="00894701" w14:paraId="7630BEE0" w14:textId="77777777" w:rsidTr="00AA49E3">
        <w:trPr>
          <w:trHeight w:val="227"/>
          <w:jc w:val="center"/>
        </w:trPr>
        <w:tc>
          <w:tcPr>
            <w:tcW w:w="150" w:type="pct"/>
            <w:tcBorders>
              <w:top w:val="nil"/>
              <w:left w:val="single" w:sz="8" w:space="0" w:color="FF0000"/>
              <w:bottom w:val="nil"/>
              <w:right w:val="nil"/>
            </w:tcBorders>
            <w:shd w:val="clear" w:color="000000" w:fill="F7A3B0"/>
            <w:noWrap/>
            <w:tcMar>
              <w:left w:w="28" w:type="dxa"/>
              <w:right w:w="28" w:type="dxa"/>
            </w:tcMar>
            <w:vAlign w:val="center"/>
            <w:hideMark/>
          </w:tcPr>
          <w:p w14:paraId="754BB83A" w14:textId="77777777"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1.15</w:t>
            </w:r>
          </w:p>
        </w:tc>
        <w:tc>
          <w:tcPr>
            <w:tcW w:w="695" w:type="pct"/>
            <w:tcBorders>
              <w:top w:val="nil"/>
              <w:left w:val="nil"/>
              <w:bottom w:val="nil"/>
              <w:right w:val="nil"/>
            </w:tcBorders>
            <w:shd w:val="clear" w:color="000000" w:fill="F7A3B0"/>
            <w:noWrap/>
            <w:vAlign w:val="center"/>
            <w:hideMark/>
          </w:tcPr>
          <w:p w14:paraId="74E76CB9" w14:textId="4C3308E3"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Rental</w:t>
            </w:r>
            <w:r w:rsidR="00AA49E3" w:rsidRPr="00894701">
              <w:rPr>
                <w:rFonts w:cs="Arial"/>
                <w:color w:val="000000"/>
                <w:kern w:val="0"/>
                <w:sz w:val="16"/>
                <w:szCs w:val="16"/>
              </w:rPr>
              <w:t xml:space="preserve"> </w:t>
            </w:r>
            <w:r w:rsidRPr="00894701">
              <w:rPr>
                <w:rFonts w:cs="Arial"/>
                <w:color w:val="000000"/>
                <w:kern w:val="0"/>
                <w:sz w:val="16"/>
                <w:szCs w:val="16"/>
              </w:rPr>
              <w:t>value</w:t>
            </w:r>
            <w:r w:rsidR="00AA49E3" w:rsidRPr="00894701">
              <w:rPr>
                <w:rFonts w:cs="Arial"/>
                <w:color w:val="000000"/>
                <w:kern w:val="0"/>
                <w:sz w:val="16"/>
                <w:szCs w:val="16"/>
              </w:rPr>
              <w:t xml:space="preserve"> </w:t>
            </w:r>
            <w:r w:rsidRPr="00894701">
              <w:rPr>
                <w:rFonts w:cs="Arial"/>
                <w:color w:val="000000"/>
                <w:kern w:val="0"/>
                <w:sz w:val="16"/>
                <w:szCs w:val="16"/>
              </w:rPr>
              <w:t>taxes</w:t>
            </w:r>
          </w:p>
        </w:tc>
        <w:tc>
          <w:tcPr>
            <w:tcW w:w="464" w:type="pct"/>
            <w:tcBorders>
              <w:top w:val="nil"/>
              <w:left w:val="nil"/>
              <w:bottom w:val="nil"/>
              <w:right w:val="nil"/>
            </w:tcBorders>
            <w:shd w:val="clear" w:color="000000" w:fill="F7A3B0"/>
            <w:noWrap/>
            <w:vAlign w:val="center"/>
          </w:tcPr>
          <w:p w14:paraId="6D42E586"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auto"/>
                <w:sz w:val="16"/>
                <w:szCs w:val="16"/>
              </w:rPr>
              <w:t>-</w:t>
            </w:r>
          </w:p>
        </w:tc>
        <w:tc>
          <w:tcPr>
            <w:tcW w:w="509" w:type="pct"/>
            <w:tcBorders>
              <w:top w:val="nil"/>
              <w:left w:val="nil"/>
              <w:bottom w:val="nil"/>
              <w:right w:val="nil"/>
            </w:tcBorders>
            <w:shd w:val="clear" w:color="000000" w:fill="F7A3B0"/>
            <w:noWrap/>
            <w:vAlign w:val="center"/>
          </w:tcPr>
          <w:p w14:paraId="3A6C2A4F"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auto"/>
                <w:sz w:val="16"/>
                <w:szCs w:val="16"/>
              </w:rPr>
              <w:t>-</w:t>
            </w:r>
          </w:p>
        </w:tc>
        <w:tc>
          <w:tcPr>
            <w:tcW w:w="467" w:type="pct"/>
            <w:tcBorders>
              <w:top w:val="nil"/>
              <w:left w:val="nil"/>
              <w:bottom w:val="nil"/>
              <w:right w:val="nil"/>
            </w:tcBorders>
            <w:shd w:val="clear" w:color="000000" w:fill="F7A3B0"/>
            <w:noWrap/>
            <w:vAlign w:val="center"/>
          </w:tcPr>
          <w:p w14:paraId="629FF070"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auto"/>
                <w:sz w:val="16"/>
                <w:szCs w:val="16"/>
              </w:rPr>
              <w:t>-</w:t>
            </w:r>
          </w:p>
        </w:tc>
        <w:tc>
          <w:tcPr>
            <w:tcW w:w="460" w:type="pct"/>
            <w:tcBorders>
              <w:top w:val="nil"/>
              <w:left w:val="nil"/>
              <w:bottom w:val="nil"/>
              <w:right w:val="nil"/>
            </w:tcBorders>
            <w:shd w:val="clear" w:color="000000" w:fill="F7A3B0"/>
            <w:noWrap/>
            <w:vAlign w:val="center"/>
          </w:tcPr>
          <w:p w14:paraId="2CD7ED6D"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auto"/>
                <w:sz w:val="16"/>
                <w:szCs w:val="16"/>
              </w:rPr>
              <w:t>-</w:t>
            </w:r>
          </w:p>
        </w:tc>
        <w:tc>
          <w:tcPr>
            <w:tcW w:w="425" w:type="pct"/>
            <w:tcBorders>
              <w:top w:val="nil"/>
              <w:left w:val="nil"/>
              <w:bottom w:val="nil"/>
              <w:right w:val="nil"/>
            </w:tcBorders>
            <w:shd w:val="clear" w:color="000000" w:fill="F7A3B0"/>
            <w:noWrap/>
            <w:vAlign w:val="center"/>
          </w:tcPr>
          <w:p w14:paraId="72BC4849"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auto"/>
                <w:sz w:val="16"/>
                <w:szCs w:val="16"/>
              </w:rPr>
              <w:t>-</w:t>
            </w:r>
          </w:p>
        </w:tc>
        <w:tc>
          <w:tcPr>
            <w:tcW w:w="426" w:type="pct"/>
            <w:tcBorders>
              <w:top w:val="nil"/>
              <w:left w:val="nil"/>
              <w:bottom w:val="nil"/>
              <w:right w:val="nil"/>
            </w:tcBorders>
            <w:shd w:val="clear" w:color="000000" w:fill="F7A3B0"/>
            <w:noWrap/>
            <w:vAlign w:val="center"/>
          </w:tcPr>
          <w:p w14:paraId="3C2E029E"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000000" w:fill="F7A3B0"/>
            <w:noWrap/>
            <w:vAlign w:val="center"/>
          </w:tcPr>
          <w:p w14:paraId="4C274908"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auto"/>
                <w:sz w:val="16"/>
                <w:szCs w:val="16"/>
              </w:rPr>
              <w:t>-</w:t>
            </w:r>
          </w:p>
        </w:tc>
        <w:tc>
          <w:tcPr>
            <w:tcW w:w="517" w:type="pct"/>
            <w:tcBorders>
              <w:top w:val="nil"/>
              <w:left w:val="nil"/>
              <w:bottom w:val="nil"/>
              <w:right w:val="nil"/>
            </w:tcBorders>
            <w:shd w:val="clear" w:color="000000" w:fill="F7A3B0"/>
            <w:noWrap/>
            <w:vAlign w:val="center"/>
          </w:tcPr>
          <w:p w14:paraId="1A298562"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auto"/>
                <w:sz w:val="16"/>
                <w:szCs w:val="16"/>
              </w:rPr>
              <w:t>-</w:t>
            </w:r>
          </w:p>
        </w:tc>
        <w:tc>
          <w:tcPr>
            <w:tcW w:w="419" w:type="pct"/>
            <w:tcBorders>
              <w:top w:val="nil"/>
              <w:left w:val="nil"/>
              <w:bottom w:val="nil"/>
              <w:right w:val="single" w:sz="8" w:space="0" w:color="FF0000"/>
            </w:tcBorders>
            <w:shd w:val="clear" w:color="000000" w:fill="F7A3B0"/>
            <w:noWrap/>
            <w:vAlign w:val="center"/>
          </w:tcPr>
          <w:p w14:paraId="45EED366"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auto"/>
                <w:sz w:val="16"/>
                <w:szCs w:val="16"/>
              </w:rPr>
              <w:t>-</w:t>
            </w:r>
          </w:p>
        </w:tc>
      </w:tr>
      <w:tr w:rsidR="002F4BAB" w:rsidRPr="00894701" w14:paraId="21A7C200" w14:textId="77777777" w:rsidTr="00AA49E3">
        <w:trPr>
          <w:trHeight w:val="227"/>
          <w:jc w:val="center"/>
        </w:trPr>
        <w:tc>
          <w:tcPr>
            <w:tcW w:w="150" w:type="pct"/>
            <w:tcBorders>
              <w:top w:val="nil"/>
              <w:left w:val="single" w:sz="8" w:space="0" w:color="FF0000"/>
              <w:bottom w:val="nil"/>
              <w:right w:val="nil"/>
            </w:tcBorders>
            <w:shd w:val="clear" w:color="auto" w:fill="auto"/>
            <w:noWrap/>
            <w:tcMar>
              <w:left w:w="28" w:type="dxa"/>
              <w:right w:w="28" w:type="dxa"/>
            </w:tcMar>
            <w:vAlign w:val="center"/>
            <w:hideMark/>
          </w:tcPr>
          <w:p w14:paraId="47179AE0" w14:textId="77777777"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1.16</w:t>
            </w:r>
          </w:p>
        </w:tc>
        <w:tc>
          <w:tcPr>
            <w:tcW w:w="695" w:type="pct"/>
            <w:tcBorders>
              <w:top w:val="nil"/>
              <w:left w:val="nil"/>
              <w:bottom w:val="nil"/>
              <w:right w:val="nil"/>
            </w:tcBorders>
            <w:shd w:val="clear" w:color="auto" w:fill="auto"/>
            <w:noWrap/>
            <w:vAlign w:val="center"/>
            <w:hideMark/>
          </w:tcPr>
          <w:p w14:paraId="6F9D54D2" w14:textId="01BFCBA9"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Canon/Lease</w:t>
            </w:r>
            <w:r w:rsidR="00AA49E3" w:rsidRPr="00894701">
              <w:rPr>
                <w:rFonts w:cs="Arial"/>
                <w:color w:val="000000"/>
                <w:kern w:val="0"/>
                <w:sz w:val="16"/>
                <w:szCs w:val="16"/>
              </w:rPr>
              <w:t xml:space="preserve"> </w:t>
            </w:r>
            <w:r w:rsidRPr="00894701">
              <w:rPr>
                <w:rFonts w:cs="Arial"/>
                <w:color w:val="000000"/>
                <w:kern w:val="0"/>
                <w:sz w:val="16"/>
                <w:szCs w:val="16"/>
              </w:rPr>
              <w:t>or</w:t>
            </w:r>
            <w:r w:rsidR="00AA49E3" w:rsidRPr="00894701">
              <w:rPr>
                <w:rFonts w:cs="Arial"/>
                <w:color w:val="000000"/>
                <w:kern w:val="0"/>
                <w:sz w:val="16"/>
                <w:szCs w:val="16"/>
              </w:rPr>
              <w:t xml:space="preserve"> </w:t>
            </w:r>
            <w:r w:rsidRPr="00894701">
              <w:rPr>
                <w:rFonts w:cs="Arial"/>
                <w:color w:val="000000"/>
                <w:kern w:val="0"/>
                <w:sz w:val="16"/>
                <w:szCs w:val="16"/>
              </w:rPr>
              <w:t>Land</w:t>
            </w:r>
            <w:r w:rsidR="00AA49E3" w:rsidRPr="00894701">
              <w:rPr>
                <w:rFonts w:cs="Arial"/>
                <w:color w:val="000000"/>
                <w:kern w:val="0"/>
                <w:sz w:val="16"/>
                <w:szCs w:val="16"/>
              </w:rPr>
              <w:t xml:space="preserve"> </w:t>
            </w:r>
            <w:r w:rsidRPr="00894701">
              <w:rPr>
                <w:rFonts w:cs="Arial"/>
                <w:color w:val="000000"/>
                <w:kern w:val="0"/>
                <w:sz w:val="16"/>
                <w:szCs w:val="16"/>
              </w:rPr>
              <w:t>Rent</w:t>
            </w:r>
          </w:p>
        </w:tc>
        <w:tc>
          <w:tcPr>
            <w:tcW w:w="464" w:type="pct"/>
            <w:tcBorders>
              <w:top w:val="nil"/>
              <w:left w:val="nil"/>
              <w:bottom w:val="nil"/>
              <w:right w:val="nil"/>
            </w:tcBorders>
            <w:shd w:val="clear" w:color="auto" w:fill="auto"/>
            <w:noWrap/>
            <w:vAlign w:val="center"/>
          </w:tcPr>
          <w:p w14:paraId="01CBE724"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auto"/>
                <w:sz w:val="16"/>
                <w:szCs w:val="16"/>
              </w:rPr>
              <w:t>-</w:t>
            </w:r>
          </w:p>
        </w:tc>
        <w:tc>
          <w:tcPr>
            <w:tcW w:w="509" w:type="pct"/>
            <w:tcBorders>
              <w:top w:val="nil"/>
              <w:left w:val="nil"/>
              <w:bottom w:val="nil"/>
              <w:right w:val="nil"/>
            </w:tcBorders>
            <w:shd w:val="clear" w:color="auto" w:fill="auto"/>
            <w:noWrap/>
            <w:vAlign w:val="center"/>
          </w:tcPr>
          <w:p w14:paraId="066F0475"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auto"/>
                <w:sz w:val="16"/>
                <w:szCs w:val="16"/>
              </w:rPr>
              <w:t>-</w:t>
            </w:r>
          </w:p>
        </w:tc>
        <w:tc>
          <w:tcPr>
            <w:tcW w:w="467" w:type="pct"/>
            <w:tcBorders>
              <w:top w:val="nil"/>
              <w:left w:val="nil"/>
              <w:bottom w:val="nil"/>
              <w:right w:val="nil"/>
            </w:tcBorders>
            <w:shd w:val="clear" w:color="auto" w:fill="auto"/>
            <w:noWrap/>
            <w:vAlign w:val="center"/>
          </w:tcPr>
          <w:p w14:paraId="6C0AAEB5"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auto"/>
                <w:sz w:val="16"/>
                <w:szCs w:val="16"/>
              </w:rPr>
              <w:t>-</w:t>
            </w:r>
          </w:p>
        </w:tc>
        <w:tc>
          <w:tcPr>
            <w:tcW w:w="460" w:type="pct"/>
            <w:tcBorders>
              <w:top w:val="nil"/>
              <w:left w:val="nil"/>
              <w:bottom w:val="nil"/>
              <w:right w:val="nil"/>
            </w:tcBorders>
            <w:shd w:val="clear" w:color="auto" w:fill="auto"/>
            <w:noWrap/>
            <w:vAlign w:val="center"/>
          </w:tcPr>
          <w:p w14:paraId="70DD3B0C"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auto"/>
                <w:sz w:val="16"/>
                <w:szCs w:val="16"/>
              </w:rPr>
              <w:t>-</w:t>
            </w:r>
          </w:p>
        </w:tc>
        <w:tc>
          <w:tcPr>
            <w:tcW w:w="425" w:type="pct"/>
            <w:tcBorders>
              <w:top w:val="nil"/>
              <w:left w:val="nil"/>
              <w:bottom w:val="nil"/>
              <w:right w:val="nil"/>
            </w:tcBorders>
            <w:shd w:val="clear" w:color="auto" w:fill="auto"/>
            <w:noWrap/>
            <w:vAlign w:val="center"/>
          </w:tcPr>
          <w:p w14:paraId="722F1C3D"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auto"/>
                <w:sz w:val="16"/>
                <w:szCs w:val="16"/>
              </w:rPr>
              <w:t>-</w:t>
            </w:r>
          </w:p>
        </w:tc>
        <w:tc>
          <w:tcPr>
            <w:tcW w:w="426" w:type="pct"/>
            <w:tcBorders>
              <w:top w:val="nil"/>
              <w:left w:val="nil"/>
              <w:bottom w:val="nil"/>
              <w:right w:val="nil"/>
            </w:tcBorders>
            <w:shd w:val="clear" w:color="auto" w:fill="auto"/>
            <w:noWrap/>
            <w:vAlign w:val="center"/>
          </w:tcPr>
          <w:p w14:paraId="145B4B1F"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auto" w:fill="auto"/>
            <w:noWrap/>
            <w:vAlign w:val="center"/>
          </w:tcPr>
          <w:p w14:paraId="0D5D9A97"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auto"/>
                <w:sz w:val="16"/>
                <w:szCs w:val="16"/>
              </w:rPr>
              <w:t>-</w:t>
            </w:r>
          </w:p>
        </w:tc>
        <w:tc>
          <w:tcPr>
            <w:tcW w:w="517" w:type="pct"/>
            <w:tcBorders>
              <w:top w:val="nil"/>
              <w:left w:val="nil"/>
              <w:bottom w:val="nil"/>
              <w:right w:val="nil"/>
            </w:tcBorders>
            <w:shd w:val="clear" w:color="auto" w:fill="auto"/>
            <w:noWrap/>
            <w:vAlign w:val="center"/>
          </w:tcPr>
          <w:p w14:paraId="5B003A6B"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auto"/>
                <w:sz w:val="16"/>
                <w:szCs w:val="16"/>
              </w:rPr>
              <w:t>-</w:t>
            </w:r>
          </w:p>
        </w:tc>
        <w:tc>
          <w:tcPr>
            <w:tcW w:w="419" w:type="pct"/>
            <w:tcBorders>
              <w:top w:val="nil"/>
              <w:left w:val="nil"/>
              <w:bottom w:val="nil"/>
              <w:right w:val="single" w:sz="8" w:space="0" w:color="FF0000"/>
            </w:tcBorders>
            <w:shd w:val="clear" w:color="auto" w:fill="auto"/>
            <w:noWrap/>
            <w:vAlign w:val="center"/>
          </w:tcPr>
          <w:p w14:paraId="32CDF11D"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auto"/>
                <w:sz w:val="16"/>
                <w:szCs w:val="16"/>
              </w:rPr>
              <w:t>-</w:t>
            </w:r>
          </w:p>
        </w:tc>
      </w:tr>
      <w:tr w:rsidR="002F4BAB" w:rsidRPr="00894701" w14:paraId="4F5C7CA6" w14:textId="77777777" w:rsidTr="00AA49E3">
        <w:trPr>
          <w:trHeight w:val="227"/>
          <w:jc w:val="center"/>
        </w:trPr>
        <w:tc>
          <w:tcPr>
            <w:tcW w:w="150" w:type="pct"/>
            <w:tcBorders>
              <w:top w:val="nil"/>
              <w:left w:val="single" w:sz="8" w:space="0" w:color="FF0000"/>
              <w:bottom w:val="nil"/>
              <w:right w:val="nil"/>
            </w:tcBorders>
            <w:shd w:val="clear" w:color="000000" w:fill="F7A3B0"/>
            <w:noWrap/>
            <w:tcMar>
              <w:left w:w="28" w:type="dxa"/>
              <w:right w:w="28" w:type="dxa"/>
            </w:tcMar>
            <w:vAlign w:val="center"/>
            <w:hideMark/>
          </w:tcPr>
          <w:p w14:paraId="3BCA3305" w14:textId="77777777"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1.17</w:t>
            </w:r>
          </w:p>
        </w:tc>
        <w:tc>
          <w:tcPr>
            <w:tcW w:w="695" w:type="pct"/>
            <w:tcBorders>
              <w:top w:val="nil"/>
              <w:left w:val="nil"/>
              <w:bottom w:val="nil"/>
              <w:right w:val="nil"/>
            </w:tcBorders>
            <w:shd w:val="clear" w:color="000000" w:fill="F7A3B0"/>
            <w:noWrap/>
            <w:vAlign w:val="center"/>
            <w:hideMark/>
          </w:tcPr>
          <w:p w14:paraId="5714296C" w14:textId="763AE8C5"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All</w:t>
            </w:r>
            <w:r w:rsidR="00AA49E3" w:rsidRPr="00894701">
              <w:rPr>
                <w:rFonts w:cs="Arial"/>
                <w:color w:val="000000"/>
                <w:kern w:val="0"/>
                <w:sz w:val="16"/>
                <w:szCs w:val="16"/>
              </w:rPr>
              <w:t xml:space="preserve"> </w:t>
            </w:r>
            <w:r w:rsidRPr="00894701">
              <w:rPr>
                <w:rFonts w:cs="Arial"/>
                <w:color w:val="000000"/>
                <w:kern w:val="0"/>
                <w:sz w:val="16"/>
                <w:szCs w:val="16"/>
              </w:rPr>
              <w:t>other</w:t>
            </w:r>
            <w:r w:rsidR="00AA49E3" w:rsidRPr="00894701">
              <w:rPr>
                <w:rFonts w:cs="Arial"/>
                <w:color w:val="000000"/>
                <w:kern w:val="0"/>
                <w:sz w:val="16"/>
                <w:szCs w:val="16"/>
              </w:rPr>
              <w:t xml:space="preserve"> </w:t>
            </w:r>
            <w:r w:rsidRPr="00894701">
              <w:rPr>
                <w:rFonts w:cs="Arial"/>
                <w:color w:val="000000"/>
                <w:kern w:val="0"/>
                <w:sz w:val="16"/>
                <w:szCs w:val="16"/>
              </w:rPr>
              <w:t>payments</w:t>
            </w:r>
            <w:r w:rsidR="004012CA" w:rsidRPr="00894701">
              <w:rPr>
                <w:rFonts w:cs="Arial"/>
                <w:color w:val="000000"/>
                <w:kern w:val="0"/>
                <w:sz w:val="16"/>
                <w:szCs w:val="16"/>
              </w:rPr>
              <w:t xml:space="preserve"> </w:t>
            </w:r>
            <w:r w:rsidRPr="00894701">
              <w:rPr>
                <w:rFonts w:cs="Arial"/>
                <w:color w:val="000000"/>
                <w:kern w:val="0"/>
                <w:sz w:val="16"/>
                <w:szCs w:val="16"/>
              </w:rPr>
              <w:t>(signature bonus,</w:t>
            </w:r>
            <w:r w:rsidR="00AA49E3" w:rsidRPr="00894701">
              <w:rPr>
                <w:rFonts w:cs="Arial"/>
                <w:color w:val="000000"/>
                <w:kern w:val="0"/>
                <w:sz w:val="16"/>
                <w:szCs w:val="16"/>
              </w:rPr>
              <w:t xml:space="preserve"> </w:t>
            </w:r>
            <w:r w:rsidRPr="00894701">
              <w:rPr>
                <w:rFonts w:cs="Arial"/>
                <w:color w:val="000000"/>
                <w:kern w:val="0"/>
                <w:sz w:val="16"/>
                <w:szCs w:val="16"/>
              </w:rPr>
              <w:t>bidding</w:t>
            </w:r>
            <w:r w:rsidR="004012CA" w:rsidRPr="00894701">
              <w:rPr>
                <w:rFonts w:cs="Arial"/>
                <w:color w:val="000000"/>
                <w:kern w:val="0"/>
                <w:sz w:val="16"/>
                <w:szCs w:val="16"/>
              </w:rPr>
              <w:t xml:space="preserve"> </w:t>
            </w:r>
            <w:r w:rsidRPr="00894701">
              <w:rPr>
                <w:rFonts w:cs="Arial"/>
                <w:color w:val="000000"/>
                <w:kern w:val="0"/>
                <w:sz w:val="16"/>
                <w:szCs w:val="16"/>
              </w:rPr>
              <w:t>fees,</w:t>
            </w:r>
            <w:r w:rsidR="00AA49E3" w:rsidRPr="00894701">
              <w:rPr>
                <w:rFonts w:cs="Arial"/>
                <w:color w:val="000000"/>
                <w:kern w:val="0"/>
                <w:sz w:val="16"/>
                <w:szCs w:val="16"/>
              </w:rPr>
              <w:t xml:space="preserve"> </w:t>
            </w:r>
            <w:r w:rsidRPr="00894701">
              <w:rPr>
                <w:rFonts w:cs="Arial"/>
                <w:color w:val="000000"/>
                <w:kern w:val="0"/>
                <w:sz w:val="16"/>
                <w:szCs w:val="16"/>
              </w:rPr>
              <w:t>penalties,</w:t>
            </w:r>
            <w:r w:rsidR="00AA49E3" w:rsidRPr="00894701">
              <w:rPr>
                <w:rFonts w:cs="Arial"/>
                <w:color w:val="000000"/>
                <w:kern w:val="0"/>
                <w:sz w:val="16"/>
                <w:szCs w:val="16"/>
              </w:rPr>
              <w:t xml:space="preserve"> </w:t>
            </w:r>
            <w:r w:rsidRPr="00894701">
              <w:rPr>
                <w:rFonts w:cs="Arial"/>
                <w:color w:val="000000"/>
                <w:kern w:val="0"/>
                <w:sz w:val="16"/>
                <w:szCs w:val="16"/>
              </w:rPr>
              <w:t>petroleum</w:t>
            </w:r>
            <w:r w:rsidR="004012CA" w:rsidRPr="00894701">
              <w:rPr>
                <w:rFonts w:cs="Arial"/>
                <w:color w:val="000000"/>
                <w:kern w:val="0"/>
                <w:sz w:val="16"/>
                <w:szCs w:val="16"/>
              </w:rPr>
              <w:t xml:space="preserve"> </w:t>
            </w:r>
            <w:r w:rsidRPr="00894701">
              <w:rPr>
                <w:rFonts w:cs="Arial"/>
                <w:color w:val="000000"/>
                <w:kern w:val="0"/>
                <w:sz w:val="16"/>
                <w:szCs w:val="16"/>
              </w:rPr>
              <w:t>levy)</w:t>
            </w:r>
          </w:p>
        </w:tc>
        <w:tc>
          <w:tcPr>
            <w:tcW w:w="464" w:type="pct"/>
            <w:tcBorders>
              <w:top w:val="nil"/>
              <w:left w:val="nil"/>
              <w:bottom w:val="nil"/>
              <w:right w:val="nil"/>
            </w:tcBorders>
            <w:shd w:val="clear" w:color="000000" w:fill="F7A3B0"/>
            <w:noWrap/>
            <w:vAlign w:val="center"/>
          </w:tcPr>
          <w:p w14:paraId="3B85EF93"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auto"/>
                <w:sz w:val="16"/>
                <w:szCs w:val="16"/>
              </w:rPr>
              <w:t>-</w:t>
            </w:r>
          </w:p>
        </w:tc>
        <w:tc>
          <w:tcPr>
            <w:tcW w:w="509" w:type="pct"/>
            <w:tcBorders>
              <w:top w:val="nil"/>
              <w:left w:val="nil"/>
              <w:bottom w:val="nil"/>
              <w:right w:val="nil"/>
            </w:tcBorders>
            <w:shd w:val="clear" w:color="000000" w:fill="F7A3B0"/>
            <w:noWrap/>
            <w:vAlign w:val="center"/>
          </w:tcPr>
          <w:p w14:paraId="1C449DFD"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auto"/>
                <w:sz w:val="16"/>
                <w:szCs w:val="16"/>
              </w:rPr>
              <w:t>-</w:t>
            </w:r>
          </w:p>
        </w:tc>
        <w:tc>
          <w:tcPr>
            <w:tcW w:w="467" w:type="pct"/>
            <w:tcBorders>
              <w:top w:val="nil"/>
              <w:left w:val="nil"/>
              <w:bottom w:val="nil"/>
              <w:right w:val="nil"/>
            </w:tcBorders>
            <w:shd w:val="clear" w:color="000000" w:fill="F7A3B0"/>
            <w:noWrap/>
            <w:vAlign w:val="center"/>
          </w:tcPr>
          <w:p w14:paraId="0F6DC69C"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auto"/>
                <w:sz w:val="16"/>
                <w:szCs w:val="16"/>
              </w:rPr>
              <w:t>-</w:t>
            </w:r>
          </w:p>
        </w:tc>
        <w:tc>
          <w:tcPr>
            <w:tcW w:w="460" w:type="pct"/>
            <w:tcBorders>
              <w:top w:val="nil"/>
              <w:left w:val="nil"/>
              <w:bottom w:val="nil"/>
              <w:right w:val="nil"/>
            </w:tcBorders>
            <w:shd w:val="clear" w:color="000000" w:fill="F7A3B0"/>
            <w:noWrap/>
            <w:vAlign w:val="center"/>
          </w:tcPr>
          <w:p w14:paraId="0168FE08"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auto"/>
                <w:sz w:val="16"/>
                <w:szCs w:val="16"/>
              </w:rPr>
              <w:t>-</w:t>
            </w:r>
          </w:p>
        </w:tc>
        <w:tc>
          <w:tcPr>
            <w:tcW w:w="425" w:type="pct"/>
            <w:tcBorders>
              <w:top w:val="nil"/>
              <w:left w:val="nil"/>
              <w:bottom w:val="nil"/>
              <w:right w:val="nil"/>
            </w:tcBorders>
            <w:shd w:val="clear" w:color="000000" w:fill="F7A3B0"/>
            <w:noWrap/>
            <w:vAlign w:val="center"/>
          </w:tcPr>
          <w:p w14:paraId="33E62497"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auto"/>
                <w:sz w:val="16"/>
                <w:szCs w:val="16"/>
              </w:rPr>
              <w:t>-</w:t>
            </w:r>
          </w:p>
        </w:tc>
        <w:tc>
          <w:tcPr>
            <w:tcW w:w="426" w:type="pct"/>
            <w:tcBorders>
              <w:top w:val="nil"/>
              <w:left w:val="nil"/>
              <w:bottom w:val="nil"/>
              <w:right w:val="nil"/>
            </w:tcBorders>
            <w:shd w:val="clear" w:color="000000" w:fill="F7A3B0"/>
            <w:noWrap/>
            <w:vAlign w:val="center"/>
          </w:tcPr>
          <w:p w14:paraId="1F168ABA"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000000" w:fill="F7A3B0"/>
            <w:noWrap/>
            <w:vAlign w:val="center"/>
          </w:tcPr>
          <w:p w14:paraId="3ED4C6B1"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auto"/>
                <w:sz w:val="16"/>
                <w:szCs w:val="16"/>
              </w:rPr>
              <w:t>-</w:t>
            </w:r>
          </w:p>
        </w:tc>
        <w:tc>
          <w:tcPr>
            <w:tcW w:w="517" w:type="pct"/>
            <w:tcBorders>
              <w:top w:val="nil"/>
              <w:left w:val="nil"/>
              <w:bottom w:val="nil"/>
              <w:right w:val="nil"/>
            </w:tcBorders>
            <w:shd w:val="clear" w:color="000000" w:fill="F7A3B0"/>
            <w:noWrap/>
            <w:vAlign w:val="center"/>
          </w:tcPr>
          <w:p w14:paraId="03D75094"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auto"/>
                <w:sz w:val="16"/>
                <w:szCs w:val="16"/>
              </w:rPr>
              <w:t>-</w:t>
            </w:r>
          </w:p>
        </w:tc>
        <w:tc>
          <w:tcPr>
            <w:tcW w:w="419" w:type="pct"/>
            <w:tcBorders>
              <w:top w:val="nil"/>
              <w:left w:val="nil"/>
              <w:bottom w:val="nil"/>
              <w:right w:val="single" w:sz="8" w:space="0" w:color="FF0000"/>
            </w:tcBorders>
            <w:shd w:val="clear" w:color="000000" w:fill="F7A3B0"/>
            <w:noWrap/>
            <w:vAlign w:val="center"/>
          </w:tcPr>
          <w:p w14:paraId="763AF882"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auto"/>
                <w:sz w:val="16"/>
                <w:szCs w:val="16"/>
              </w:rPr>
              <w:t>-</w:t>
            </w:r>
          </w:p>
        </w:tc>
      </w:tr>
      <w:tr w:rsidR="002F4BAB" w:rsidRPr="00894701" w14:paraId="760E1633" w14:textId="77777777" w:rsidTr="00AA49E3">
        <w:trPr>
          <w:trHeight w:val="227"/>
          <w:jc w:val="center"/>
        </w:trPr>
        <w:tc>
          <w:tcPr>
            <w:tcW w:w="845" w:type="pct"/>
            <w:gridSpan w:val="2"/>
            <w:tcBorders>
              <w:top w:val="nil"/>
              <w:left w:val="single" w:sz="8" w:space="0" w:color="FF0000"/>
              <w:bottom w:val="nil"/>
              <w:right w:val="nil"/>
            </w:tcBorders>
            <w:shd w:val="clear" w:color="000000" w:fill="C0A99E"/>
            <w:noWrap/>
            <w:tcMar>
              <w:left w:w="28" w:type="dxa"/>
              <w:right w:w="28" w:type="dxa"/>
            </w:tcMar>
            <w:vAlign w:val="center"/>
            <w:hideMark/>
          </w:tcPr>
          <w:p w14:paraId="2A26DC06" w14:textId="77777777" w:rsidR="002F4BAB" w:rsidRPr="00894701" w:rsidRDefault="002F4BAB" w:rsidP="002209C2">
            <w:pPr>
              <w:spacing w:after="0" w:line="240" w:lineRule="auto"/>
              <w:rPr>
                <w:rFonts w:cs="Arial"/>
                <w:b/>
                <w:bCs/>
                <w:color w:val="auto"/>
                <w:kern w:val="0"/>
                <w:sz w:val="16"/>
                <w:szCs w:val="16"/>
              </w:rPr>
            </w:pPr>
            <w:r w:rsidRPr="00894701">
              <w:rPr>
                <w:rFonts w:cs="Arial"/>
                <w:b/>
                <w:bCs/>
                <w:color w:val="auto"/>
                <w:kern w:val="0"/>
                <w:sz w:val="16"/>
                <w:szCs w:val="16"/>
              </w:rPr>
              <w:t xml:space="preserve"> Ministry of Natural Resources (MNR)</w:t>
            </w:r>
          </w:p>
        </w:tc>
        <w:tc>
          <w:tcPr>
            <w:tcW w:w="464" w:type="pct"/>
            <w:tcBorders>
              <w:top w:val="nil"/>
              <w:left w:val="nil"/>
              <w:bottom w:val="nil"/>
              <w:right w:val="nil"/>
            </w:tcBorders>
            <w:shd w:val="clear" w:color="000000" w:fill="C0A99E"/>
            <w:noWrap/>
            <w:vAlign w:val="center"/>
          </w:tcPr>
          <w:p w14:paraId="2FD3A55A" w14:textId="77777777" w:rsidR="002F4BAB" w:rsidRPr="00894701" w:rsidRDefault="002F4BAB" w:rsidP="002209C2">
            <w:pPr>
              <w:spacing w:after="0" w:line="240" w:lineRule="auto"/>
              <w:jc w:val="right"/>
              <w:rPr>
                <w:rFonts w:cs="Arial"/>
                <w:b/>
                <w:bCs/>
                <w:color w:val="auto"/>
                <w:kern w:val="0"/>
                <w:sz w:val="16"/>
                <w:szCs w:val="16"/>
              </w:rPr>
            </w:pPr>
            <w:r w:rsidRPr="00894701">
              <w:rPr>
                <w:rFonts w:cs="Arial"/>
                <w:b/>
                <w:bCs/>
                <w:color w:val="auto"/>
                <w:sz w:val="16"/>
                <w:szCs w:val="16"/>
              </w:rPr>
              <w:t>185,018</w:t>
            </w:r>
          </w:p>
        </w:tc>
        <w:tc>
          <w:tcPr>
            <w:tcW w:w="509" w:type="pct"/>
            <w:tcBorders>
              <w:top w:val="nil"/>
              <w:left w:val="nil"/>
              <w:bottom w:val="nil"/>
              <w:right w:val="nil"/>
            </w:tcBorders>
            <w:shd w:val="clear" w:color="000000" w:fill="C0A99E"/>
            <w:noWrap/>
            <w:vAlign w:val="center"/>
          </w:tcPr>
          <w:p w14:paraId="657B38FF" w14:textId="77777777" w:rsidR="002F4BAB" w:rsidRPr="00894701" w:rsidRDefault="002F4BAB" w:rsidP="002209C2">
            <w:pPr>
              <w:spacing w:after="0" w:line="240" w:lineRule="auto"/>
              <w:jc w:val="right"/>
              <w:rPr>
                <w:rFonts w:cs="Arial"/>
                <w:b/>
                <w:bCs/>
                <w:color w:val="auto"/>
                <w:kern w:val="0"/>
                <w:sz w:val="16"/>
                <w:szCs w:val="16"/>
              </w:rPr>
            </w:pPr>
            <w:r w:rsidRPr="00894701">
              <w:rPr>
                <w:rFonts w:cs="Arial"/>
                <w:b/>
                <w:bCs/>
                <w:color w:val="auto"/>
                <w:sz w:val="16"/>
                <w:szCs w:val="16"/>
              </w:rPr>
              <w:t>-</w:t>
            </w:r>
          </w:p>
        </w:tc>
        <w:tc>
          <w:tcPr>
            <w:tcW w:w="467" w:type="pct"/>
            <w:tcBorders>
              <w:top w:val="nil"/>
              <w:left w:val="nil"/>
              <w:bottom w:val="nil"/>
              <w:right w:val="nil"/>
            </w:tcBorders>
            <w:shd w:val="clear" w:color="000000" w:fill="C0A99E"/>
            <w:noWrap/>
            <w:vAlign w:val="center"/>
          </w:tcPr>
          <w:p w14:paraId="43467D88" w14:textId="77777777" w:rsidR="002F4BAB" w:rsidRPr="00894701" w:rsidRDefault="002F4BAB" w:rsidP="002209C2">
            <w:pPr>
              <w:spacing w:after="0" w:line="240" w:lineRule="auto"/>
              <w:jc w:val="right"/>
              <w:rPr>
                <w:rFonts w:cs="Arial"/>
                <w:b/>
                <w:bCs/>
                <w:color w:val="auto"/>
                <w:kern w:val="0"/>
                <w:sz w:val="16"/>
                <w:szCs w:val="16"/>
              </w:rPr>
            </w:pPr>
            <w:r w:rsidRPr="00894701">
              <w:rPr>
                <w:rFonts w:cs="Arial"/>
                <w:b/>
                <w:bCs/>
                <w:color w:val="auto"/>
                <w:sz w:val="16"/>
                <w:szCs w:val="16"/>
              </w:rPr>
              <w:t>185,018</w:t>
            </w:r>
          </w:p>
        </w:tc>
        <w:tc>
          <w:tcPr>
            <w:tcW w:w="460" w:type="pct"/>
            <w:tcBorders>
              <w:top w:val="nil"/>
              <w:left w:val="nil"/>
              <w:bottom w:val="nil"/>
              <w:right w:val="nil"/>
            </w:tcBorders>
            <w:shd w:val="clear" w:color="000000" w:fill="C0A99E"/>
            <w:noWrap/>
            <w:vAlign w:val="center"/>
          </w:tcPr>
          <w:p w14:paraId="024A9DA8" w14:textId="77777777" w:rsidR="002F4BAB" w:rsidRPr="00894701" w:rsidRDefault="002F4BAB" w:rsidP="002209C2">
            <w:pPr>
              <w:spacing w:after="0" w:line="240" w:lineRule="auto"/>
              <w:jc w:val="right"/>
              <w:rPr>
                <w:rFonts w:cs="Arial"/>
                <w:b/>
                <w:bCs/>
                <w:color w:val="auto"/>
                <w:kern w:val="0"/>
                <w:sz w:val="16"/>
                <w:szCs w:val="16"/>
              </w:rPr>
            </w:pPr>
            <w:r w:rsidRPr="00894701">
              <w:rPr>
                <w:rFonts w:cs="Arial"/>
                <w:b/>
                <w:bCs/>
                <w:color w:val="auto"/>
                <w:sz w:val="16"/>
                <w:szCs w:val="16"/>
              </w:rPr>
              <w:t>-</w:t>
            </w:r>
          </w:p>
        </w:tc>
        <w:tc>
          <w:tcPr>
            <w:tcW w:w="425" w:type="pct"/>
            <w:tcBorders>
              <w:top w:val="nil"/>
              <w:left w:val="nil"/>
              <w:bottom w:val="nil"/>
              <w:right w:val="nil"/>
            </w:tcBorders>
            <w:shd w:val="clear" w:color="000000" w:fill="C0A99E"/>
            <w:noWrap/>
            <w:vAlign w:val="center"/>
          </w:tcPr>
          <w:p w14:paraId="038EE1F1" w14:textId="77777777" w:rsidR="002F4BAB" w:rsidRPr="00894701" w:rsidRDefault="002F4BAB" w:rsidP="002209C2">
            <w:pPr>
              <w:spacing w:after="0" w:line="240" w:lineRule="auto"/>
              <w:jc w:val="right"/>
              <w:rPr>
                <w:rFonts w:cs="Arial"/>
                <w:b/>
                <w:bCs/>
                <w:color w:val="auto"/>
                <w:kern w:val="0"/>
                <w:sz w:val="16"/>
                <w:szCs w:val="16"/>
              </w:rPr>
            </w:pPr>
            <w:r w:rsidRPr="00894701">
              <w:rPr>
                <w:rFonts w:cs="Arial"/>
                <w:b/>
                <w:bCs/>
                <w:color w:val="auto"/>
                <w:sz w:val="16"/>
                <w:szCs w:val="16"/>
              </w:rPr>
              <w:t>-</w:t>
            </w:r>
          </w:p>
        </w:tc>
        <w:tc>
          <w:tcPr>
            <w:tcW w:w="426" w:type="pct"/>
            <w:tcBorders>
              <w:top w:val="nil"/>
              <w:left w:val="nil"/>
              <w:bottom w:val="nil"/>
              <w:right w:val="nil"/>
            </w:tcBorders>
            <w:shd w:val="clear" w:color="000000" w:fill="C0A99E"/>
            <w:noWrap/>
            <w:vAlign w:val="center"/>
          </w:tcPr>
          <w:p w14:paraId="1B7E9EF7" w14:textId="77777777" w:rsidR="002F4BAB" w:rsidRPr="00894701" w:rsidRDefault="002F4BAB" w:rsidP="002209C2">
            <w:pPr>
              <w:spacing w:after="0" w:line="240" w:lineRule="auto"/>
              <w:jc w:val="right"/>
              <w:rPr>
                <w:rFonts w:cs="Arial"/>
                <w:b/>
                <w:bCs/>
                <w:color w:val="auto"/>
                <w:kern w:val="0"/>
                <w:sz w:val="16"/>
                <w:szCs w:val="16"/>
              </w:rPr>
            </w:pPr>
            <w:r w:rsidRPr="00894701">
              <w:rPr>
                <w:rFonts w:cs="Arial"/>
                <w:b/>
                <w:bCs/>
                <w:color w:val="auto"/>
                <w:sz w:val="16"/>
                <w:szCs w:val="16"/>
              </w:rPr>
              <w:t>-</w:t>
            </w:r>
          </w:p>
        </w:tc>
        <w:tc>
          <w:tcPr>
            <w:tcW w:w="468" w:type="pct"/>
            <w:tcBorders>
              <w:top w:val="nil"/>
              <w:left w:val="nil"/>
              <w:bottom w:val="nil"/>
              <w:right w:val="nil"/>
            </w:tcBorders>
            <w:shd w:val="clear" w:color="000000" w:fill="C0A99E"/>
            <w:noWrap/>
            <w:vAlign w:val="center"/>
          </w:tcPr>
          <w:p w14:paraId="63A52DFB" w14:textId="77777777" w:rsidR="002F4BAB" w:rsidRPr="00894701" w:rsidRDefault="002F4BAB" w:rsidP="002209C2">
            <w:pPr>
              <w:spacing w:after="0" w:line="240" w:lineRule="auto"/>
              <w:jc w:val="right"/>
              <w:rPr>
                <w:rFonts w:cs="Arial"/>
                <w:b/>
                <w:bCs/>
                <w:color w:val="auto"/>
                <w:kern w:val="0"/>
                <w:sz w:val="16"/>
                <w:szCs w:val="16"/>
              </w:rPr>
            </w:pPr>
            <w:r w:rsidRPr="00894701">
              <w:rPr>
                <w:rFonts w:cs="Arial"/>
                <w:b/>
                <w:bCs/>
                <w:color w:val="auto"/>
                <w:sz w:val="16"/>
                <w:szCs w:val="16"/>
              </w:rPr>
              <w:t>185,018</w:t>
            </w:r>
          </w:p>
        </w:tc>
        <w:tc>
          <w:tcPr>
            <w:tcW w:w="517" w:type="pct"/>
            <w:tcBorders>
              <w:top w:val="nil"/>
              <w:left w:val="nil"/>
              <w:bottom w:val="nil"/>
              <w:right w:val="nil"/>
            </w:tcBorders>
            <w:shd w:val="clear" w:color="000000" w:fill="C0A99E"/>
            <w:noWrap/>
            <w:vAlign w:val="center"/>
          </w:tcPr>
          <w:p w14:paraId="52E1D2FB" w14:textId="77777777" w:rsidR="002F4BAB" w:rsidRPr="00894701" w:rsidRDefault="002F4BAB" w:rsidP="002209C2">
            <w:pPr>
              <w:spacing w:after="0" w:line="240" w:lineRule="auto"/>
              <w:jc w:val="right"/>
              <w:rPr>
                <w:rFonts w:cs="Arial"/>
                <w:b/>
                <w:bCs/>
                <w:color w:val="auto"/>
                <w:kern w:val="0"/>
                <w:sz w:val="16"/>
                <w:szCs w:val="16"/>
              </w:rPr>
            </w:pPr>
            <w:r w:rsidRPr="00894701">
              <w:rPr>
                <w:rFonts w:cs="Arial"/>
                <w:b/>
                <w:bCs/>
                <w:color w:val="auto"/>
                <w:sz w:val="16"/>
                <w:szCs w:val="16"/>
              </w:rPr>
              <w:t>-</w:t>
            </w:r>
          </w:p>
        </w:tc>
        <w:tc>
          <w:tcPr>
            <w:tcW w:w="419" w:type="pct"/>
            <w:tcBorders>
              <w:top w:val="nil"/>
              <w:left w:val="nil"/>
              <w:bottom w:val="nil"/>
              <w:right w:val="nil"/>
            </w:tcBorders>
            <w:shd w:val="clear" w:color="000000" w:fill="C0A99E"/>
            <w:noWrap/>
            <w:vAlign w:val="center"/>
          </w:tcPr>
          <w:p w14:paraId="3C67D2C8" w14:textId="77777777" w:rsidR="002F4BAB" w:rsidRPr="00894701" w:rsidRDefault="002F4BAB" w:rsidP="002209C2">
            <w:pPr>
              <w:spacing w:after="0" w:line="240" w:lineRule="auto"/>
              <w:jc w:val="right"/>
              <w:rPr>
                <w:rFonts w:cs="Arial"/>
                <w:b/>
                <w:bCs/>
                <w:color w:val="auto"/>
                <w:kern w:val="0"/>
                <w:sz w:val="16"/>
                <w:szCs w:val="16"/>
              </w:rPr>
            </w:pPr>
            <w:r w:rsidRPr="00894701">
              <w:rPr>
                <w:rFonts w:cs="Arial"/>
                <w:b/>
                <w:bCs/>
                <w:color w:val="auto"/>
                <w:sz w:val="16"/>
                <w:szCs w:val="16"/>
              </w:rPr>
              <w:t>185,018</w:t>
            </w:r>
          </w:p>
        </w:tc>
      </w:tr>
      <w:tr w:rsidR="00AA49E3" w:rsidRPr="00894701" w14:paraId="44D07BFD" w14:textId="77777777" w:rsidTr="00AA49E3">
        <w:trPr>
          <w:trHeight w:val="227"/>
          <w:jc w:val="center"/>
        </w:trPr>
        <w:tc>
          <w:tcPr>
            <w:tcW w:w="150" w:type="pct"/>
            <w:tcBorders>
              <w:top w:val="nil"/>
              <w:left w:val="single" w:sz="8" w:space="0" w:color="FF0000"/>
              <w:bottom w:val="nil"/>
              <w:right w:val="nil"/>
            </w:tcBorders>
            <w:shd w:val="clear" w:color="000000" w:fill="F7A3B0"/>
            <w:noWrap/>
            <w:tcMar>
              <w:left w:w="28" w:type="dxa"/>
              <w:right w:w="28" w:type="dxa"/>
            </w:tcMar>
            <w:vAlign w:val="center"/>
            <w:hideMark/>
          </w:tcPr>
          <w:p w14:paraId="157690AD"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2.1</w:t>
            </w:r>
          </w:p>
        </w:tc>
        <w:tc>
          <w:tcPr>
            <w:tcW w:w="695" w:type="pct"/>
            <w:tcBorders>
              <w:top w:val="nil"/>
              <w:left w:val="nil"/>
              <w:bottom w:val="nil"/>
              <w:right w:val="nil"/>
            </w:tcBorders>
            <w:shd w:val="clear" w:color="000000" w:fill="F7A3B0"/>
            <w:noWrap/>
            <w:vAlign w:val="center"/>
            <w:hideMark/>
          </w:tcPr>
          <w:p w14:paraId="0098F0ED" w14:textId="1602DB19" w:rsidR="00AA49E3" w:rsidRPr="00894701" w:rsidRDefault="00AA49E3" w:rsidP="00AA49E3">
            <w:pPr>
              <w:spacing w:after="0" w:line="240" w:lineRule="auto"/>
              <w:rPr>
                <w:rFonts w:cs="Arial"/>
                <w:color w:val="auto"/>
                <w:kern w:val="0"/>
                <w:sz w:val="16"/>
                <w:szCs w:val="16"/>
              </w:rPr>
            </w:pPr>
            <w:r w:rsidRPr="00894701">
              <w:rPr>
                <w:rFonts w:cs="Arial"/>
                <w:color w:val="000000"/>
                <w:kern w:val="0"/>
                <w:sz w:val="16"/>
                <w:szCs w:val="16"/>
              </w:rPr>
              <w:t>Concession Fees</w:t>
            </w:r>
          </w:p>
        </w:tc>
        <w:tc>
          <w:tcPr>
            <w:tcW w:w="464" w:type="pct"/>
            <w:tcBorders>
              <w:top w:val="nil"/>
              <w:left w:val="nil"/>
              <w:bottom w:val="nil"/>
              <w:right w:val="nil"/>
            </w:tcBorders>
            <w:shd w:val="clear" w:color="000000" w:fill="F7A3B0"/>
            <w:noWrap/>
            <w:vAlign w:val="center"/>
          </w:tcPr>
          <w:p w14:paraId="065F70CB"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509" w:type="pct"/>
            <w:tcBorders>
              <w:top w:val="nil"/>
              <w:left w:val="nil"/>
              <w:bottom w:val="nil"/>
              <w:right w:val="nil"/>
            </w:tcBorders>
            <w:shd w:val="clear" w:color="000000" w:fill="F7A3B0"/>
            <w:noWrap/>
            <w:vAlign w:val="center"/>
          </w:tcPr>
          <w:p w14:paraId="1676D42C"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7" w:type="pct"/>
            <w:tcBorders>
              <w:top w:val="nil"/>
              <w:left w:val="nil"/>
              <w:bottom w:val="nil"/>
              <w:right w:val="nil"/>
            </w:tcBorders>
            <w:shd w:val="clear" w:color="000000" w:fill="F7A3B0"/>
            <w:noWrap/>
            <w:vAlign w:val="center"/>
          </w:tcPr>
          <w:p w14:paraId="67B65257"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0" w:type="pct"/>
            <w:tcBorders>
              <w:top w:val="nil"/>
              <w:left w:val="nil"/>
              <w:bottom w:val="nil"/>
              <w:right w:val="nil"/>
            </w:tcBorders>
            <w:shd w:val="clear" w:color="000000" w:fill="F7A3B0"/>
            <w:noWrap/>
            <w:vAlign w:val="center"/>
          </w:tcPr>
          <w:p w14:paraId="5881B092"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25" w:type="pct"/>
            <w:tcBorders>
              <w:top w:val="nil"/>
              <w:left w:val="nil"/>
              <w:bottom w:val="nil"/>
              <w:right w:val="nil"/>
            </w:tcBorders>
            <w:shd w:val="clear" w:color="000000" w:fill="F7A3B0"/>
            <w:noWrap/>
            <w:vAlign w:val="center"/>
          </w:tcPr>
          <w:p w14:paraId="025FC2B6"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26" w:type="pct"/>
            <w:tcBorders>
              <w:top w:val="nil"/>
              <w:left w:val="nil"/>
              <w:bottom w:val="nil"/>
              <w:right w:val="nil"/>
            </w:tcBorders>
            <w:shd w:val="clear" w:color="000000" w:fill="F7A3B0"/>
            <w:noWrap/>
            <w:vAlign w:val="center"/>
          </w:tcPr>
          <w:p w14:paraId="2EBD6249"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000000" w:fill="F7A3B0"/>
            <w:noWrap/>
            <w:vAlign w:val="center"/>
          </w:tcPr>
          <w:p w14:paraId="32705DC5"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517" w:type="pct"/>
            <w:tcBorders>
              <w:top w:val="nil"/>
              <w:left w:val="nil"/>
              <w:bottom w:val="nil"/>
              <w:right w:val="nil"/>
            </w:tcBorders>
            <w:shd w:val="clear" w:color="000000" w:fill="F7A3B0"/>
            <w:noWrap/>
            <w:vAlign w:val="center"/>
          </w:tcPr>
          <w:p w14:paraId="1BCA117B"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19" w:type="pct"/>
            <w:tcBorders>
              <w:top w:val="nil"/>
              <w:left w:val="nil"/>
              <w:bottom w:val="nil"/>
              <w:right w:val="single" w:sz="8" w:space="0" w:color="FF0000"/>
            </w:tcBorders>
            <w:shd w:val="clear" w:color="000000" w:fill="F7A3B0"/>
            <w:noWrap/>
            <w:vAlign w:val="center"/>
          </w:tcPr>
          <w:p w14:paraId="320D5707" w14:textId="77777777" w:rsidR="00AA49E3" w:rsidRPr="00894701" w:rsidRDefault="00AA49E3" w:rsidP="00AA49E3">
            <w:pPr>
              <w:spacing w:after="0" w:line="240" w:lineRule="auto"/>
              <w:jc w:val="right"/>
              <w:rPr>
                <w:rFonts w:cs="Arial"/>
                <w:color w:val="000000"/>
                <w:kern w:val="0"/>
                <w:sz w:val="16"/>
                <w:szCs w:val="16"/>
              </w:rPr>
            </w:pPr>
          </w:p>
        </w:tc>
      </w:tr>
      <w:tr w:rsidR="00AA49E3" w:rsidRPr="00894701" w14:paraId="388314D4" w14:textId="77777777" w:rsidTr="00AA49E3">
        <w:trPr>
          <w:trHeight w:val="227"/>
          <w:jc w:val="center"/>
        </w:trPr>
        <w:tc>
          <w:tcPr>
            <w:tcW w:w="150" w:type="pct"/>
            <w:tcBorders>
              <w:top w:val="nil"/>
              <w:left w:val="single" w:sz="8" w:space="0" w:color="FF0000"/>
              <w:bottom w:val="nil"/>
              <w:right w:val="nil"/>
            </w:tcBorders>
            <w:shd w:val="clear" w:color="auto" w:fill="auto"/>
            <w:noWrap/>
            <w:tcMar>
              <w:left w:w="28" w:type="dxa"/>
              <w:right w:w="28" w:type="dxa"/>
            </w:tcMar>
            <w:vAlign w:val="center"/>
            <w:hideMark/>
          </w:tcPr>
          <w:p w14:paraId="0D316797"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2.2</w:t>
            </w:r>
          </w:p>
        </w:tc>
        <w:tc>
          <w:tcPr>
            <w:tcW w:w="695" w:type="pct"/>
            <w:tcBorders>
              <w:top w:val="nil"/>
              <w:left w:val="nil"/>
              <w:bottom w:val="nil"/>
              <w:right w:val="nil"/>
            </w:tcBorders>
            <w:shd w:val="clear" w:color="auto" w:fill="auto"/>
            <w:noWrap/>
            <w:vAlign w:val="center"/>
            <w:hideMark/>
          </w:tcPr>
          <w:p w14:paraId="3B5FB4B1" w14:textId="2BA988F7" w:rsidR="00AA49E3" w:rsidRPr="00894701" w:rsidRDefault="00AA49E3" w:rsidP="00AA49E3">
            <w:pPr>
              <w:spacing w:after="0" w:line="240" w:lineRule="auto"/>
              <w:rPr>
                <w:rFonts w:cs="Arial"/>
                <w:color w:val="auto"/>
                <w:kern w:val="0"/>
                <w:sz w:val="16"/>
                <w:szCs w:val="16"/>
              </w:rPr>
            </w:pPr>
            <w:r w:rsidRPr="00894701">
              <w:rPr>
                <w:rFonts w:cs="Arial"/>
                <w:color w:val="000000"/>
                <w:kern w:val="0"/>
                <w:sz w:val="16"/>
                <w:szCs w:val="16"/>
              </w:rPr>
              <w:t>Exploration fees yearly</w:t>
            </w:r>
          </w:p>
        </w:tc>
        <w:tc>
          <w:tcPr>
            <w:tcW w:w="464" w:type="pct"/>
            <w:tcBorders>
              <w:top w:val="nil"/>
              <w:left w:val="nil"/>
              <w:bottom w:val="nil"/>
              <w:right w:val="nil"/>
            </w:tcBorders>
            <w:shd w:val="clear" w:color="auto" w:fill="auto"/>
            <w:noWrap/>
            <w:vAlign w:val="center"/>
          </w:tcPr>
          <w:p w14:paraId="61A3C3EA"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509" w:type="pct"/>
            <w:tcBorders>
              <w:top w:val="nil"/>
              <w:left w:val="nil"/>
              <w:bottom w:val="nil"/>
              <w:right w:val="nil"/>
            </w:tcBorders>
            <w:shd w:val="clear" w:color="auto" w:fill="auto"/>
            <w:noWrap/>
            <w:vAlign w:val="center"/>
          </w:tcPr>
          <w:p w14:paraId="629FCB23"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7" w:type="pct"/>
            <w:tcBorders>
              <w:top w:val="nil"/>
              <w:left w:val="nil"/>
              <w:bottom w:val="nil"/>
              <w:right w:val="nil"/>
            </w:tcBorders>
            <w:shd w:val="clear" w:color="auto" w:fill="auto"/>
            <w:noWrap/>
            <w:vAlign w:val="center"/>
          </w:tcPr>
          <w:p w14:paraId="2740E378"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0" w:type="pct"/>
            <w:tcBorders>
              <w:top w:val="nil"/>
              <w:left w:val="nil"/>
              <w:bottom w:val="nil"/>
              <w:right w:val="nil"/>
            </w:tcBorders>
            <w:shd w:val="clear" w:color="auto" w:fill="auto"/>
            <w:noWrap/>
            <w:vAlign w:val="center"/>
          </w:tcPr>
          <w:p w14:paraId="7F633FB1"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25" w:type="pct"/>
            <w:tcBorders>
              <w:top w:val="nil"/>
              <w:left w:val="nil"/>
              <w:bottom w:val="nil"/>
              <w:right w:val="nil"/>
            </w:tcBorders>
            <w:shd w:val="clear" w:color="auto" w:fill="auto"/>
            <w:noWrap/>
            <w:vAlign w:val="center"/>
          </w:tcPr>
          <w:p w14:paraId="1D8F65FC"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26" w:type="pct"/>
            <w:tcBorders>
              <w:top w:val="nil"/>
              <w:left w:val="nil"/>
              <w:bottom w:val="nil"/>
              <w:right w:val="nil"/>
            </w:tcBorders>
            <w:shd w:val="clear" w:color="auto" w:fill="auto"/>
            <w:noWrap/>
            <w:vAlign w:val="center"/>
          </w:tcPr>
          <w:p w14:paraId="2148319E"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auto" w:fill="auto"/>
            <w:noWrap/>
            <w:vAlign w:val="center"/>
          </w:tcPr>
          <w:p w14:paraId="69A42F4C"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517" w:type="pct"/>
            <w:tcBorders>
              <w:top w:val="nil"/>
              <w:left w:val="nil"/>
              <w:bottom w:val="nil"/>
              <w:right w:val="nil"/>
            </w:tcBorders>
            <w:shd w:val="clear" w:color="auto" w:fill="auto"/>
            <w:noWrap/>
            <w:vAlign w:val="center"/>
          </w:tcPr>
          <w:p w14:paraId="5AB75997"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19" w:type="pct"/>
            <w:tcBorders>
              <w:top w:val="nil"/>
              <w:left w:val="nil"/>
              <w:bottom w:val="nil"/>
              <w:right w:val="single" w:sz="8" w:space="0" w:color="FF0000"/>
            </w:tcBorders>
            <w:shd w:val="clear" w:color="auto" w:fill="auto"/>
            <w:noWrap/>
            <w:vAlign w:val="center"/>
          </w:tcPr>
          <w:p w14:paraId="46F4CDAC" w14:textId="77777777" w:rsidR="00AA49E3" w:rsidRPr="00894701" w:rsidRDefault="00AA49E3" w:rsidP="00AA49E3">
            <w:pPr>
              <w:spacing w:after="0" w:line="240" w:lineRule="auto"/>
              <w:jc w:val="right"/>
              <w:rPr>
                <w:rFonts w:cs="Arial"/>
                <w:color w:val="000000"/>
                <w:kern w:val="0"/>
                <w:sz w:val="16"/>
                <w:szCs w:val="16"/>
              </w:rPr>
            </w:pPr>
          </w:p>
        </w:tc>
      </w:tr>
      <w:tr w:rsidR="00AA49E3" w:rsidRPr="00894701" w14:paraId="083ED2EC" w14:textId="77777777" w:rsidTr="00AA49E3">
        <w:trPr>
          <w:trHeight w:val="227"/>
          <w:jc w:val="center"/>
        </w:trPr>
        <w:tc>
          <w:tcPr>
            <w:tcW w:w="150" w:type="pct"/>
            <w:tcBorders>
              <w:top w:val="nil"/>
              <w:left w:val="single" w:sz="8" w:space="0" w:color="FF0000"/>
              <w:bottom w:val="nil"/>
              <w:right w:val="nil"/>
            </w:tcBorders>
            <w:shd w:val="clear" w:color="000000" w:fill="F7A3B0"/>
            <w:noWrap/>
            <w:tcMar>
              <w:left w:w="28" w:type="dxa"/>
              <w:right w:w="28" w:type="dxa"/>
            </w:tcMar>
            <w:vAlign w:val="center"/>
            <w:hideMark/>
          </w:tcPr>
          <w:p w14:paraId="17C2DE96"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2.3</w:t>
            </w:r>
          </w:p>
        </w:tc>
        <w:tc>
          <w:tcPr>
            <w:tcW w:w="695" w:type="pct"/>
            <w:tcBorders>
              <w:top w:val="nil"/>
              <w:left w:val="nil"/>
              <w:bottom w:val="nil"/>
              <w:right w:val="nil"/>
            </w:tcBorders>
            <w:shd w:val="clear" w:color="000000" w:fill="F7A3B0"/>
            <w:noWrap/>
            <w:vAlign w:val="center"/>
            <w:hideMark/>
          </w:tcPr>
          <w:p w14:paraId="29E1E49B" w14:textId="4A9D9A37" w:rsidR="00AA49E3" w:rsidRPr="00894701" w:rsidRDefault="00AA49E3" w:rsidP="00AA49E3">
            <w:pPr>
              <w:spacing w:after="0" w:line="240" w:lineRule="auto"/>
              <w:rPr>
                <w:rFonts w:cs="Arial"/>
                <w:color w:val="auto"/>
                <w:kern w:val="0"/>
                <w:sz w:val="16"/>
                <w:szCs w:val="16"/>
              </w:rPr>
            </w:pPr>
            <w:r w:rsidRPr="00894701">
              <w:rPr>
                <w:rFonts w:cs="Arial"/>
                <w:color w:val="000000"/>
                <w:kern w:val="0"/>
                <w:sz w:val="16"/>
                <w:szCs w:val="16"/>
              </w:rPr>
              <w:t>Exploitation fees yearly</w:t>
            </w:r>
          </w:p>
        </w:tc>
        <w:tc>
          <w:tcPr>
            <w:tcW w:w="464" w:type="pct"/>
            <w:tcBorders>
              <w:top w:val="nil"/>
              <w:left w:val="nil"/>
              <w:bottom w:val="nil"/>
              <w:right w:val="nil"/>
            </w:tcBorders>
            <w:shd w:val="clear" w:color="000000" w:fill="F7A3B0"/>
            <w:noWrap/>
            <w:vAlign w:val="center"/>
          </w:tcPr>
          <w:p w14:paraId="5A0BC60E"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509" w:type="pct"/>
            <w:tcBorders>
              <w:top w:val="nil"/>
              <w:left w:val="nil"/>
              <w:bottom w:val="nil"/>
              <w:right w:val="nil"/>
            </w:tcBorders>
            <w:shd w:val="clear" w:color="000000" w:fill="F7A3B0"/>
            <w:noWrap/>
            <w:vAlign w:val="center"/>
          </w:tcPr>
          <w:p w14:paraId="10B9E653"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7" w:type="pct"/>
            <w:tcBorders>
              <w:top w:val="nil"/>
              <w:left w:val="nil"/>
              <w:bottom w:val="nil"/>
              <w:right w:val="nil"/>
            </w:tcBorders>
            <w:shd w:val="clear" w:color="000000" w:fill="F7A3B0"/>
            <w:noWrap/>
            <w:vAlign w:val="center"/>
          </w:tcPr>
          <w:p w14:paraId="46C5AC75"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0" w:type="pct"/>
            <w:tcBorders>
              <w:top w:val="nil"/>
              <w:left w:val="nil"/>
              <w:bottom w:val="nil"/>
              <w:right w:val="nil"/>
            </w:tcBorders>
            <w:shd w:val="clear" w:color="000000" w:fill="F7A3B0"/>
            <w:noWrap/>
            <w:vAlign w:val="center"/>
          </w:tcPr>
          <w:p w14:paraId="2875E816"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25" w:type="pct"/>
            <w:tcBorders>
              <w:top w:val="nil"/>
              <w:left w:val="nil"/>
              <w:bottom w:val="nil"/>
              <w:right w:val="nil"/>
            </w:tcBorders>
            <w:shd w:val="clear" w:color="000000" w:fill="F7A3B0"/>
            <w:noWrap/>
            <w:vAlign w:val="center"/>
          </w:tcPr>
          <w:p w14:paraId="4E5556D4"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26" w:type="pct"/>
            <w:tcBorders>
              <w:top w:val="nil"/>
              <w:left w:val="nil"/>
              <w:bottom w:val="nil"/>
              <w:right w:val="nil"/>
            </w:tcBorders>
            <w:shd w:val="clear" w:color="000000" w:fill="F7A3B0"/>
            <w:noWrap/>
            <w:vAlign w:val="center"/>
          </w:tcPr>
          <w:p w14:paraId="3AF0DDC1"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000000" w:fill="F7A3B0"/>
            <w:noWrap/>
            <w:vAlign w:val="center"/>
          </w:tcPr>
          <w:p w14:paraId="45780DAE"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517" w:type="pct"/>
            <w:tcBorders>
              <w:top w:val="nil"/>
              <w:left w:val="nil"/>
              <w:bottom w:val="nil"/>
              <w:right w:val="nil"/>
            </w:tcBorders>
            <w:shd w:val="clear" w:color="000000" w:fill="F7A3B0"/>
            <w:noWrap/>
            <w:vAlign w:val="center"/>
          </w:tcPr>
          <w:p w14:paraId="29B19A83"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19" w:type="pct"/>
            <w:tcBorders>
              <w:top w:val="nil"/>
              <w:left w:val="nil"/>
              <w:bottom w:val="nil"/>
              <w:right w:val="single" w:sz="8" w:space="0" w:color="FF0000"/>
            </w:tcBorders>
            <w:shd w:val="clear" w:color="000000" w:fill="F7A3B0"/>
            <w:noWrap/>
            <w:vAlign w:val="center"/>
          </w:tcPr>
          <w:p w14:paraId="1D816650" w14:textId="77777777" w:rsidR="00AA49E3" w:rsidRPr="00894701" w:rsidRDefault="00AA49E3" w:rsidP="00AA49E3">
            <w:pPr>
              <w:spacing w:after="0" w:line="240" w:lineRule="auto"/>
              <w:jc w:val="right"/>
              <w:rPr>
                <w:rFonts w:cs="Arial"/>
                <w:color w:val="000000"/>
                <w:kern w:val="0"/>
                <w:sz w:val="16"/>
                <w:szCs w:val="16"/>
              </w:rPr>
            </w:pPr>
          </w:p>
        </w:tc>
      </w:tr>
      <w:tr w:rsidR="00AA49E3" w:rsidRPr="00894701" w14:paraId="602328DA" w14:textId="77777777" w:rsidTr="00AA49E3">
        <w:trPr>
          <w:trHeight w:val="227"/>
          <w:jc w:val="center"/>
        </w:trPr>
        <w:tc>
          <w:tcPr>
            <w:tcW w:w="150" w:type="pct"/>
            <w:tcBorders>
              <w:top w:val="nil"/>
              <w:left w:val="single" w:sz="8" w:space="0" w:color="FF0000"/>
              <w:bottom w:val="nil"/>
              <w:right w:val="nil"/>
            </w:tcBorders>
            <w:shd w:val="clear" w:color="auto" w:fill="auto"/>
            <w:noWrap/>
            <w:tcMar>
              <w:left w:w="28" w:type="dxa"/>
              <w:right w:w="28" w:type="dxa"/>
            </w:tcMar>
            <w:vAlign w:val="center"/>
            <w:hideMark/>
          </w:tcPr>
          <w:p w14:paraId="6D2E62A0"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2.4</w:t>
            </w:r>
          </w:p>
        </w:tc>
        <w:tc>
          <w:tcPr>
            <w:tcW w:w="695" w:type="pct"/>
            <w:tcBorders>
              <w:top w:val="nil"/>
              <w:left w:val="nil"/>
              <w:bottom w:val="nil"/>
              <w:right w:val="nil"/>
            </w:tcBorders>
            <w:shd w:val="clear" w:color="auto" w:fill="auto"/>
            <w:noWrap/>
            <w:vAlign w:val="center"/>
            <w:hideMark/>
          </w:tcPr>
          <w:p w14:paraId="278A8B7D" w14:textId="67D8242B" w:rsidR="00AA49E3" w:rsidRPr="00894701" w:rsidRDefault="00AA49E3" w:rsidP="00AA49E3">
            <w:pPr>
              <w:spacing w:after="0" w:line="240" w:lineRule="auto"/>
              <w:rPr>
                <w:rFonts w:cs="Arial"/>
                <w:color w:val="auto"/>
                <w:kern w:val="0"/>
                <w:sz w:val="16"/>
                <w:szCs w:val="16"/>
              </w:rPr>
            </w:pPr>
            <w:r w:rsidRPr="00894701">
              <w:rPr>
                <w:rFonts w:cs="Arial"/>
                <w:color w:val="000000"/>
                <w:kern w:val="0"/>
                <w:sz w:val="16"/>
                <w:szCs w:val="16"/>
              </w:rPr>
              <w:t>Fees Quarry building materials</w:t>
            </w:r>
          </w:p>
        </w:tc>
        <w:tc>
          <w:tcPr>
            <w:tcW w:w="464" w:type="pct"/>
            <w:tcBorders>
              <w:top w:val="nil"/>
              <w:left w:val="nil"/>
              <w:bottom w:val="nil"/>
              <w:right w:val="nil"/>
            </w:tcBorders>
            <w:shd w:val="clear" w:color="auto" w:fill="auto"/>
            <w:noWrap/>
            <w:vAlign w:val="center"/>
          </w:tcPr>
          <w:p w14:paraId="0915FB87"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509" w:type="pct"/>
            <w:tcBorders>
              <w:top w:val="nil"/>
              <w:left w:val="nil"/>
              <w:bottom w:val="nil"/>
              <w:right w:val="nil"/>
            </w:tcBorders>
            <w:shd w:val="clear" w:color="auto" w:fill="auto"/>
            <w:noWrap/>
            <w:vAlign w:val="center"/>
          </w:tcPr>
          <w:p w14:paraId="2B5F179A"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7" w:type="pct"/>
            <w:tcBorders>
              <w:top w:val="nil"/>
              <w:left w:val="nil"/>
              <w:bottom w:val="nil"/>
              <w:right w:val="nil"/>
            </w:tcBorders>
            <w:shd w:val="clear" w:color="auto" w:fill="auto"/>
            <w:noWrap/>
            <w:vAlign w:val="center"/>
          </w:tcPr>
          <w:p w14:paraId="7A193334"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0" w:type="pct"/>
            <w:tcBorders>
              <w:top w:val="nil"/>
              <w:left w:val="nil"/>
              <w:bottom w:val="nil"/>
              <w:right w:val="nil"/>
            </w:tcBorders>
            <w:shd w:val="clear" w:color="auto" w:fill="auto"/>
            <w:noWrap/>
            <w:vAlign w:val="center"/>
          </w:tcPr>
          <w:p w14:paraId="33CE3DF0"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25" w:type="pct"/>
            <w:tcBorders>
              <w:top w:val="nil"/>
              <w:left w:val="nil"/>
              <w:bottom w:val="nil"/>
              <w:right w:val="nil"/>
            </w:tcBorders>
            <w:shd w:val="clear" w:color="auto" w:fill="auto"/>
            <w:noWrap/>
            <w:vAlign w:val="center"/>
          </w:tcPr>
          <w:p w14:paraId="0A2AF755"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26" w:type="pct"/>
            <w:tcBorders>
              <w:top w:val="nil"/>
              <w:left w:val="nil"/>
              <w:bottom w:val="nil"/>
              <w:right w:val="nil"/>
            </w:tcBorders>
            <w:shd w:val="clear" w:color="auto" w:fill="auto"/>
            <w:noWrap/>
            <w:vAlign w:val="center"/>
          </w:tcPr>
          <w:p w14:paraId="2D5F34DF"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auto" w:fill="auto"/>
            <w:noWrap/>
            <w:vAlign w:val="center"/>
          </w:tcPr>
          <w:p w14:paraId="387C234F"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517" w:type="pct"/>
            <w:tcBorders>
              <w:top w:val="nil"/>
              <w:left w:val="nil"/>
              <w:bottom w:val="nil"/>
              <w:right w:val="nil"/>
            </w:tcBorders>
            <w:shd w:val="clear" w:color="auto" w:fill="auto"/>
            <w:noWrap/>
            <w:vAlign w:val="center"/>
          </w:tcPr>
          <w:p w14:paraId="0D634E71"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19" w:type="pct"/>
            <w:tcBorders>
              <w:top w:val="nil"/>
              <w:left w:val="nil"/>
              <w:bottom w:val="nil"/>
              <w:right w:val="single" w:sz="8" w:space="0" w:color="FF0000"/>
            </w:tcBorders>
            <w:shd w:val="clear" w:color="auto" w:fill="auto"/>
            <w:noWrap/>
            <w:vAlign w:val="center"/>
          </w:tcPr>
          <w:p w14:paraId="35C4F621" w14:textId="77777777" w:rsidR="00AA49E3" w:rsidRPr="00894701" w:rsidRDefault="00AA49E3" w:rsidP="00AA49E3">
            <w:pPr>
              <w:spacing w:after="0" w:line="240" w:lineRule="auto"/>
              <w:jc w:val="right"/>
              <w:rPr>
                <w:rFonts w:cs="Arial"/>
                <w:color w:val="000000"/>
                <w:kern w:val="0"/>
                <w:sz w:val="16"/>
                <w:szCs w:val="16"/>
              </w:rPr>
            </w:pPr>
          </w:p>
        </w:tc>
      </w:tr>
      <w:tr w:rsidR="00AA49E3" w:rsidRPr="00894701" w14:paraId="06F25CFC" w14:textId="77777777" w:rsidTr="00AA49E3">
        <w:trPr>
          <w:trHeight w:val="227"/>
          <w:jc w:val="center"/>
        </w:trPr>
        <w:tc>
          <w:tcPr>
            <w:tcW w:w="150" w:type="pct"/>
            <w:tcBorders>
              <w:top w:val="nil"/>
              <w:left w:val="single" w:sz="8" w:space="0" w:color="FF0000"/>
              <w:bottom w:val="nil"/>
              <w:right w:val="nil"/>
            </w:tcBorders>
            <w:shd w:val="clear" w:color="000000" w:fill="F7A3B0"/>
            <w:noWrap/>
            <w:tcMar>
              <w:left w:w="28" w:type="dxa"/>
              <w:right w:w="28" w:type="dxa"/>
            </w:tcMar>
            <w:vAlign w:val="center"/>
            <w:hideMark/>
          </w:tcPr>
          <w:p w14:paraId="3FE31D5E"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2.5</w:t>
            </w:r>
          </w:p>
        </w:tc>
        <w:tc>
          <w:tcPr>
            <w:tcW w:w="695" w:type="pct"/>
            <w:tcBorders>
              <w:top w:val="nil"/>
              <w:left w:val="nil"/>
              <w:bottom w:val="nil"/>
              <w:right w:val="nil"/>
            </w:tcBorders>
            <w:shd w:val="clear" w:color="000000" w:fill="F7A3B0"/>
            <w:noWrap/>
            <w:vAlign w:val="center"/>
            <w:hideMark/>
          </w:tcPr>
          <w:p w14:paraId="06EA87C1" w14:textId="49061B73" w:rsidR="00AA49E3" w:rsidRPr="00894701" w:rsidRDefault="00AA49E3" w:rsidP="00AA49E3">
            <w:pPr>
              <w:spacing w:after="0" w:line="240" w:lineRule="auto"/>
              <w:rPr>
                <w:rFonts w:cs="Arial"/>
                <w:color w:val="auto"/>
                <w:kern w:val="0"/>
                <w:sz w:val="16"/>
                <w:szCs w:val="16"/>
              </w:rPr>
            </w:pPr>
            <w:r w:rsidRPr="00894701">
              <w:rPr>
                <w:rFonts w:cs="Arial"/>
                <w:color w:val="000000"/>
                <w:kern w:val="0"/>
                <w:sz w:val="16"/>
                <w:szCs w:val="16"/>
              </w:rPr>
              <w:t>Application fees</w:t>
            </w:r>
          </w:p>
        </w:tc>
        <w:tc>
          <w:tcPr>
            <w:tcW w:w="464" w:type="pct"/>
            <w:tcBorders>
              <w:top w:val="nil"/>
              <w:left w:val="nil"/>
              <w:bottom w:val="nil"/>
              <w:right w:val="nil"/>
            </w:tcBorders>
            <w:shd w:val="clear" w:color="000000" w:fill="F7A3B0"/>
            <w:noWrap/>
            <w:vAlign w:val="center"/>
          </w:tcPr>
          <w:p w14:paraId="6E669A1A"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509" w:type="pct"/>
            <w:tcBorders>
              <w:top w:val="nil"/>
              <w:left w:val="nil"/>
              <w:bottom w:val="nil"/>
              <w:right w:val="nil"/>
            </w:tcBorders>
            <w:shd w:val="clear" w:color="000000" w:fill="F7A3B0"/>
            <w:noWrap/>
            <w:vAlign w:val="center"/>
          </w:tcPr>
          <w:p w14:paraId="7132D0FA"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7" w:type="pct"/>
            <w:tcBorders>
              <w:top w:val="nil"/>
              <w:left w:val="nil"/>
              <w:bottom w:val="nil"/>
              <w:right w:val="nil"/>
            </w:tcBorders>
            <w:shd w:val="clear" w:color="000000" w:fill="F7A3B0"/>
            <w:noWrap/>
            <w:vAlign w:val="center"/>
          </w:tcPr>
          <w:p w14:paraId="4587F8A3"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0" w:type="pct"/>
            <w:tcBorders>
              <w:top w:val="nil"/>
              <w:left w:val="nil"/>
              <w:bottom w:val="nil"/>
              <w:right w:val="nil"/>
            </w:tcBorders>
            <w:shd w:val="clear" w:color="000000" w:fill="F7A3B0"/>
            <w:noWrap/>
            <w:vAlign w:val="center"/>
          </w:tcPr>
          <w:p w14:paraId="0C5A5BC3"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25" w:type="pct"/>
            <w:tcBorders>
              <w:top w:val="nil"/>
              <w:left w:val="nil"/>
              <w:bottom w:val="nil"/>
              <w:right w:val="nil"/>
            </w:tcBorders>
            <w:shd w:val="clear" w:color="000000" w:fill="F7A3B0"/>
            <w:noWrap/>
            <w:vAlign w:val="center"/>
          </w:tcPr>
          <w:p w14:paraId="017EF374"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26" w:type="pct"/>
            <w:tcBorders>
              <w:top w:val="nil"/>
              <w:left w:val="nil"/>
              <w:bottom w:val="nil"/>
              <w:right w:val="nil"/>
            </w:tcBorders>
            <w:shd w:val="clear" w:color="000000" w:fill="F7A3B0"/>
            <w:noWrap/>
            <w:vAlign w:val="center"/>
          </w:tcPr>
          <w:p w14:paraId="7E4E51AC"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000000" w:fill="F7A3B0"/>
            <w:noWrap/>
            <w:vAlign w:val="center"/>
          </w:tcPr>
          <w:p w14:paraId="1DA03DF5"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517" w:type="pct"/>
            <w:tcBorders>
              <w:top w:val="nil"/>
              <w:left w:val="nil"/>
              <w:bottom w:val="nil"/>
              <w:right w:val="nil"/>
            </w:tcBorders>
            <w:shd w:val="clear" w:color="000000" w:fill="F7A3B0"/>
            <w:noWrap/>
            <w:vAlign w:val="center"/>
          </w:tcPr>
          <w:p w14:paraId="2775926F"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19" w:type="pct"/>
            <w:tcBorders>
              <w:top w:val="nil"/>
              <w:left w:val="nil"/>
              <w:bottom w:val="nil"/>
              <w:right w:val="single" w:sz="8" w:space="0" w:color="FF0000"/>
            </w:tcBorders>
            <w:shd w:val="clear" w:color="000000" w:fill="F7A3B0"/>
            <w:noWrap/>
            <w:vAlign w:val="center"/>
          </w:tcPr>
          <w:p w14:paraId="647F692A" w14:textId="77777777" w:rsidR="00AA49E3" w:rsidRPr="00894701" w:rsidRDefault="00AA49E3" w:rsidP="00AA49E3">
            <w:pPr>
              <w:spacing w:after="0" w:line="240" w:lineRule="auto"/>
              <w:jc w:val="right"/>
              <w:rPr>
                <w:rFonts w:cs="Arial"/>
                <w:color w:val="000000"/>
                <w:kern w:val="0"/>
                <w:sz w:val="16"/>
                <w:szCs w:val="16"/>
              </w:rPr>
            </w:pPr>
          </w:p>
        </w:tc>
      </w:tr>
      <w:tr w:rsidR="00AA49E3" w:rsidRPr="00894701" w14:paraId="29F67D25" w14:textId="77777777" w:rsidTr="00AA49E3">
        <w:trPr>
          <w:trHeight w:val="227"/>
          <w:jc w:val="center"/>
        </w:trPr>
        <w:tc>
          <w:tcPr>
            <w:tcW w:w="150" w:type="pct"/>
            <w:tcBorders>
              <w:top w:val="nil"/>
              <w:left w:val="single" w:sz="8" w:space="0" w:color="FF0000"/>
              <w:bottom w:val="nil"/>
              <w:right w:val="nil"/>
            </w:tcBorders>
            <w:shd w:val="clear" w:color="auto" w:fill="auto"/>
            <w:noWrap/>
            <w:tcMar>
              <w:left w:w="28" w:type="dxa"/>
              <w:right w:w="28" w:type="dxa"/>
            </w:tcMar>
            <w:vAlign w:val="center"/>
            <w:hideMark/>
          </w:tcPr>
          <w:p w14:paraId="1AE5D22B"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2.6</w:t>
            </w:r>
          </w:p>
        </w:tc>
        <w:tc>
          <w:tcPr>
            <w:tcW w:w="695" w:type="pct"/>
            <w:tcBorders>
              <w:top w:val="nil"/>
              <w:left w:val="nil"/>
              <w:bottom w:val="nil"/>
              <w:right w:val="nil"/>
            </w:tcBorders>
            <w:shd w:val="clear" w:color="auto" w:fill="auto"/>
            <w:noWrap/>
            <w:vAlign w:val="center"/>
            <w:hideMark/>
          </w:tcPr>
          <w:p w14:paraId="7DBC6BF2" w14:textId="671E67C3" w:rsidR="00AA49E3" w:rsidRPr="00894701" w:rsidRDefault="00AA49E3" w:rsidP="00AA49E3">
            <w:pPr>
              <w:spacing w:after="0" w:line="240" w:lineRule="auto"/>
              <w:rPr>
                <w:rFonts w:cs="Arial"/>
                <w:color w:val="auto"/>
                <w:kern w:val="0"/>
                <w:sz w:val="16"/>
                <w:szCs w:val="16"/>
              </w:rPr>
            </w:pPr>
            <w:r w:rsidRPr="00894701">
              <w:rPr>
                <w:rFonts w:cs="Arial"/>
                <w:color w:val="000000"/>
                <w:kern w:val="0"/>
                <w:sz w:val="16"/>
                <w:szCs w:val="16"/>
              </w:rPr>
              <w:t>Royalty fees</w:t>
            </w:r>
          </w:p>
        </w:tc>
        <w:tc>
          <w:tcPr>
            <w:tcW w:w="464" w:type="pct"/>
            <w:tcBorders>
              <w:top w:val="nil"/>
              <w:left w:val="nil"/>
              <w:bottom w:val="nil"/>
              <w:right w:val="nil"/>
            </w:tcBorders>
            <w:shd w:val="clear" w:color="auto" w:fill="auto"/>
            <w:noWrap/>
            <w:vAlign w:val="center"/>
          </w:tcPr>
          <w:p w14:paraId="40862930"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509" w:type="pct"/>
            <w:tcBorders>
              <w:top w:val="nil"/>
              <w:left w:val="nil"/>
              <w:bottom w:val="nil"/>
              <w:right w:val="nil"/>
            </w:tcBorders>
            <w:shd w:val="clear" w:color="auto" w:fill="auto"/>
            <w:noWrap/>
            <w:vAlign w:val="center"/>
          </w:tcPr>
          <w:p w14:paraId="75E6DD18"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7" w:type="pct"/>
            <w:tcBorders>
              <w:top w:val="nil"/>
              <w:left w:val="nil"/>
              <w:bottom w:val="nil"/>
              <w:right w:val="nil"/>
            </w:tcBorders>
            <w:shd w:val="clear" w:color="auto" w:fill="auto"/>
            <w:noWrap/>
            <w:vAlign w:val="center"/>
          </w:tcPr>
          <w:p w14:paraId="34BCC693"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0" w:type="pct"/>
            <w:tcBorders>
              <w:top w:val="nil"/>
              <w:left w:val="nil"/>
              <w:bottom w:val="nil"/>
              <w:right w:val="nil"/>
            </w:tcBorders>
            <w:shd w:val="clear" w:color="auto" w:fill="auto"/>
            <w:noWrap/>
            <w:vAlign w:val="center"/>
          </w:tcPr>
          <w:p w14:paraId="491ABBC3"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25" w:type="pct"/>
            <w:tcBorders>
              <w:top w:val="nil"/>
              <w:left w:val="nil"/>
              <w:bottom w:val="nil"/>
              <w:right w:val="nil"/>
            </w:tcBorders>
            <w:shd w:val="clear" w:color="auto" w:fill="auto"/>
            <w:noWrap/>
            <w:vAlign w:val="center"/>
          </w:tcPr>
          <w:p w14:paraId="21A1F0D2"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26" w:type="pct"/>
            <w:tcBorders>
              <w:top w:val="nil"/>
              <w:left w:val="nil"/>
              <w:bottom w:val="nil"/>
              <w:right w:val="nil"/>
            </w:tcBorders>
            <w:shd w:val="clear" w:color="auto" w:fill="auto"/>
            <w:noWrap/>
            <w:vAlign w:val="center"/>
          </w:tcPr>
          <w:p w14:paraId="5CA07EFB"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auto" w:fill="auto"/>
            <w:noWrap/>
            <w:vAlign w:val="center"/>
          </w:tcPr>
          <w:p w14:paraId="14344318"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517" w:type="pct"/>
            <w:tcBorders>
              <w:top w:val="nil"/>
              <w:left w:val="nil"/>
              <w:bottom w:val="nil"/>
              <w:right w:val="nil"/>
            </w:tcBorders>
            <w:shd w:val="clear" w:color="auto" w:fill="auto"/>
            <w:noWrap/>
            <w:vAlign w:val="center"/>
          </w:tcPr>
          <w:p w14:paraId="33FEB661"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19" w:type="pct"/>
            <w:tcBorders>
              <w:top w:val="nil"/>
              <w:left w:val="nil"/>
              <w:bottom w:val="nil"/>
              <w:right w:val="single" w:sz="8" w:space="0" w:color="FF0000"/>
            </w:tcBorders>
            <w:shd w:val="clear" w:color="auto" w:fill="auto"/>
            <w:noWrap/>
            <w:vAlign w:val="center"/>
          </w:tcPr>
          <w:p w14:paraId="4DA765BA" w14:textId="77777777" w:rsidR="00AA49E3" w:rsidRPr="00894701" w:rsidRDefault="00AA49E3" w:rsidP="00AA49E3">
            <w:pPr>
              <w:spacing w:after="0" w:line="240" w:lineRule="auto"/>
              <w:jc w:val="right"/>
              <w:rPr>
                <w:rFonts w:cs="Arial"/>
                <w:color w:val="000000"/>
                <w:kern w:val="0"/>
                <w:sz w:val="16"/>
                <w:szCs w:val="16"/>
              </w:rPr>
            </w:pPr>
          </w:p>
        </w:tc>
      </w:tr>
      <w:tr w:rsidR="00AA49E3" w:rsidRPr="00894701" w14:paraId="636DFAD5" w14:textId="77777777" w:rsidTr="00AA49E3">
        <w:trPr>
          <w:trHeight w:val="227"/>
          <w:jc w:val="center"/>
        </w:trPr>
        <w:tc>
          <w:tcPr>
            <w:tcW w:w="150" w:type="pct"/>
            <w:tcBorders>
              <w:top w:val="nil"/>
              <w:left w:val="single" w:sz="8" w:space="0" w:color="FF0000"/>
              <w:bottom w:val="nil"/>
              <w:right w:val="nil"/>
            </w:tcBorders>
            <w:shd w:val="clear" w:color="000000" w:fill="F7A3B0"/>
            <w:noWrap/>
            <w:tcMar>
              <w:left w:w="28" w:type="dxa"/>
              <w:right w:w="28" w:type="dxa"/>
            </w:tcMar>
            <w:vAlign w:val="center"/>
            <w:hideMark/>
          </w:tcPr>
          <w:p w14:paraId="702BAF7B"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2.7</w:t>
            </w:r>
          </w:p>
        </w:tc>
        <w:tc>
          <w:tcPr>
            <w:tcW w:w="695" w:type="pct"/>
            <w:tcBorders>
              <w:top w:val="nil"/>
              <w:left w:val="nil"/>
              <w:bottom w:val="nil"/>
              <w:right w:val="nil"/>
            </w:tcBorders>
            <w:shd w:val="clear" w:color="000000" w:fill="F7A3B0"/>
            <w:noWrap/>
            <w:vAlign w:val="center"/>
            <w:hideMark/>
          </w:tcPr>
          <w:p w14:paraId="56F806FB" w14:textId="7B08023D" w:rsidR="00AA49E3" w:rsidRPr="00894701" w:rsidRDefault="00AA49E3" w:rsidP="00AA49E3">
            <w:pPr>
              <w:spacing w:after="0" w:line="240" w:lineRule="auto"/>
              <w:rPr>
                <w:rFonts w:cs="Arial"/>
                <w:color w:val="auto"/>
                <w:kern w:val="0"/>
                <w:sz w:val="16"/>
                <w:szCs w:val="16"/>
              </w:rPr>
            </w:pPr>
            <w:r w:rsidRPr="00894701">
              <w:rPr>
                <w:rFonts w:cs="Arial"/>
                <w:color w:val="000000"/>
                <w:kern w:val="0"/>
                <w:sz w:val="16"/>
                <w:szCs w:val="16"/>
              </w:rPr>
              <w:t>Royalty fees in-kind</w:t>
            </w:r>
          </w:p>
        </w:tc>
        <w:tc>
          <w:tcPr>
            <w:tcW w:w="464" w:type="pct"/>
            <w:tcBorders>
              <w:top w:val="nil"/>
              <w:left w:val="nil"/>
              <w:bottom w:val="nil"/>
              <w:right w:val="nil"/>
            </w:tcBorders>
            <w:shd w:val="clear" w:color="000000" w:fill="F7A3B0"/>
            <w:noWrap/>
            <w:vAlign w:val="center"/>
          </w:tcPr>
          <w:p w14:paraId="0430AA6C"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509" w:type="pct"/>
            <w:tcBorders>
              <w:top w:val="nil"/>
              <w:left w:val="nil"/>
              <w:bottom w:val="nil"/>
              <w:right w:val="nil"/>
            </w:tcBorders>
            <w:shd w:val="clear" w:color="000000" w:fill="F7A3B0"/>
            <w:noWrap/>
            <w:vAlign w:val="center"/>
          </w:tcPr>
          <w:p w14:paraId="5A069F8A"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7" w:type="pct"/>
            <w:tcBorders>
              <w:top w:val="nil"/>
              <w:left w:val="nil"/>
              <w:bottom w:val="nil"/>
              <w:right w:val="nil"/>
            </w:tcBorders>
            <w:shd w:val="clear" w:color="000000" w:fill="F7A3B0"/>
            <w:noWrap/>
            <w:vAlign w:val="center"/>
          </w:tcPr>
          <w:p w14:paraId="4B2354B6"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0" w:type="pct"/>
            <w:tcBorders>
              <w:top w:val="nil"/>
              <w:left w:val="nil"/>
              <w:bottom w:val="nil"/>
              <w:right w:val="nil"/>
            </w:tcBorders>
            <w:shd w:val="clear" w:color="000000" w:fill="F7A3B0"/>
            <w:noWrap/>
            <w:vAlign w:val="center"/>
          </w:tcPr>
          <w:p w14:paraId="2575B352"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25" w:type="pct"/>
            <w:tcBorders>
              <w:top w:val="nil"/>
              <w:left w:val="nil"/>
              <w:bottom w:val="nil"/>
              <w:right w:val="nil"/>
            </w:tcBorders>
            <w:shd w:val="clear" w:color="000000" w:fill="F7A3B0"/>
            <w:noWrap/>
            <w:vAlign w:val="center"/>
          </w:tcPr>
          <w:p w14:paraId="2F6D052A"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26" w:type="pct"/>
            <w:tcBorders>
              <w:top w:val="nil"/>
              <w:left w:val="nil"/>
              <w:bottom w:val="nil"/>
              <w:right w:val="nil"/>
            </w:tcBorders>
            <w:shd w:val="clear" w:color="000000" w:fill="F7A3B0"/>
            <w:noWrap/>
            <w:vAlign w:val="center"/>
          </w:tcPr>
          <w:p w14:paraId="046BF4D4"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000000" w:fill="F7A3B0"/>
            <w:noWrap/>
            <w:vAlign w:val="center"/>
          </w:tcPr>
          <w:p w14:paraId="3C9C10F4"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517" w:type="pct"/>
            <w:tcBorders>
              <w:top w:val="nil"/>
              <w:left w:val="nil"/>
              <w:bottom w:val="nil"/>
              <w:right w:val="nil"/>
            </w:tcBorders>
            <w:shd w:val="clear" w:color="000000" w:fill="F7A3B0"/>
            <w:noWrap/>
            <w:vAlign w:val="center"/>
          </w:tcPr>
          <w:p w14:paraId="4A43335C"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19" w:type="pct"/>
            <w:tcBorders>
              <w:top w:val="nil"/>
              <w:left w:val="nil"/>
              <w:bottom w:val="nil"/>
              <w:right w:val="single" w:sz="8" w:space="0" w:color="FF0000"/>
            </w:tcBorders>
            <w:shd w:val="clear" w:color="000000" w:fill="F7A3B0"/>
            <w:noWrap/>
            <w:vAlign w:val="center"/>
          </w:tcPr>
          <w:p w14:paraId="0F163EA5" w14:textId="77777777" w:rsidR="00AA49E3" w:rsidRPr="00894701" w:rsidRDefault="00AA49E3" w:rsidP="00AA49E3">
            <w:pPr>
              <w:spacing w:after="0" w:line="240" w:lineRule="auto"/>
              <w:jc w:val="right"/>
              <w:rPr>
                <w:rFonts w:cs="Arial"/>
                <w:color w:val="000000"/>
                <w:kern w:val="0"/>
                <w:sz w:val="16"/>
                <w:szCs w:val="16"/>
              </w:rPr>
            </w:pPr>
          </w:p>
        </w:tc>
      </w:tr>
      <w:tr w:rsidR="00AA49E3" w:rsidRPr="00894701" w14:paraId="1950FA40" w14:textId="77777777" w:rsidTr="00AA49E3">
        <w:trPr>
          <w:trHeight w:val="227"/>
          <w:jc w:val="center"/>
        </w:trPr>
        <w:tc>
          <w:tcPr>
            <w:tcW w:w="150" w:type="pct"/>
            <w:tcBorders>
              <w:top w:val="nil"/>
              <w:left w:val="single" w:sz="8" w:space="0" w:color="FF0000"/>
              <w:bottom w:val="nil"/>
              <w:right w:val="nil"/>
            </w:tcBorders>
            <w:shd w:val="clear" w:color="auto" w:fill="auto"/>
            <w:noWrap/>
            <w:tcMar>
              <w:left w:w="28" w:type="dxa"/>
              <w:right w:w="28" w:type="dxa"/>
            </w:tcMar>
            <w:vAlign w:val="center"/>
            <w:hideMark/>
          </w:tcPr>
          <w:p w14:paraId="0D3CB4BE"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2.8</w:t>
            </w:r>
          </w:p>
        </w:tc>
        <w:tc>
          <w:tcPr>
            <w:tcW w:w="695" w:type="pct"/>
            <w:tcBorders>
              <w:top w:val="nil"/>
              <w:left w:val="nil"/>
              <w:bottom w:val="nil"/>
              <w:right w:val="nil"/>
            </w:tcBorders>
            <w:shd w:val="clear" w:color="auto" w:fill="auto"/>
            <w:noWrap/>
            <w:vAlign w:val="center"/>
            <w:hideMark/>
          </w:tcPr>
          <w:p w14:paraId="6CEE9E0F" w14:textId="3E18D253" w:rsidR="00AA49E3" w:rsidRPr="00894701" w:rsidRDefault="00AA49E3" w:rsidP="00AA49E3">
            <w:pPr>
              <w:spacing w:after="0" w:line="240" w:lineRule="auto"/>
              <w:rPr>
                <w:rFonts w:cs="Arial"/>
                <w:color w:val="auto"/>
                <w:kern w:val="0"/>
                <w:sz w:val="16"/>
                <w:szCs w:val="16"/>
              </w:rPr>
            </w:pPr>
            <w:r w:rsidRPr="00894701">
              <w:rPr>
                <w:rFonts w:cs="Arial"/>
                <w:color w:val="000000"/>
                <w:kern w:val="0"/>
                <w:sz w:val="16"/>
                <w:szCs w:val="16"/>
              </w:rPr>
              <w:t>Canon/Lease or Land Rent</w:t>
            </w:r>
          </w:p>
        </w:tc>
        <w:tc>
          <w:tcPr>
            <w:tcW w:w="464" w:type="pct"/>
            <w:tcBorders>
              <w:top w:val="nil"/>
              <w:left w:val="nil"/>
              <w:bottom w:val="nil"/>
              <w:right w:val="nil"/>
            </w:tcBorders>
            <w:shd w:val="clear" w:color="auto" w:fill="auto"/>
            <w:noWrap/>
            <w:vAlign w:val="center"/>
          </w:tcPr>
          <w:p w14:paraId="193298C4"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509" w:type="pct"/>
            <w:tcBorders>
              <w:top w:val="nil"/>
              <w:left w:val="nil"/>
              <w:bottom w:val="nil"/>
              <w:right w:val="nil"/>
            </w:tcBorders>
            <w:shd w:val="clear" w:color="auto" w:fill="auto"/>
            <w:noWrap/>
            <w:vAlign w:val="center"/>
          </w:tcPr>
          <w:p w14:paraId="451B5FA9"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7" w:type="pct"/>
            <w:tcBorders>
              <w:top w:val="nil"/>
              <w:left w:val="nil"/>
              <w:bottom w:val="nil"/>
              <w:right w:val="nil"/>
            </w:tcBorders>
            <w:shd w:val="clear" w:color="auto" w:fill="auto"/>
            <w:noWrap/>
            <w:vAlign w:val="center"/>
          </w:tcPr>
          <w:p w14:paraId="4631A2AC"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0" w:type="pct"/>
            <w:tcBorders>
              <w:top w:val="nil"/>
              <w:left w:val="nil"/>
              <w:bottom w:val="nil"/>
              <w:right w:val="nil"/>
            </w:tcBorders>
            <w:shd w:val="clear" w:color="auto" w:fill="auto"/>
            <w:noWrap/>
            <w:vAlign w:val="center"/>
          </w:tcPr>
          <w:p w14:paraId="793A76E0"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25" w:type="pct"/>
            <w:tcBorders>
              <w:top w:val="nil"/>
              <w:left w:val="nil"/>
              <w:bottom w:val="nil"/>
              <w:right w:val="nil"/>
            </w:tcBorders>
            <w:shd w:val="clear" w:color="auto" w:fill="auto"/>
            <w:noWrap/>
            <w:vAlign w:val="center"/>
          </w:tcPr>
          <w:p w14:paraId="52EF59C6"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26" w:type="pct"/>
            <w:tcBorders>
              <w:top w:val="nil"/>
              <w:left w:val="nil"/>
              <w:bottom w:val="nil"/>
              <w:right w:val="nil"/>
            </w:tcBorders>
            <w:shd w:val="clear" w:color="auto" w:fill="auto"/>
            <w:noWrap/>
            <w:vAlign w:val="center"/>
          </w:tcPr>
          <w:p w14:paraId="4353D812"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auto" w:fill="auto"/>
            <w:noWrap/>
            <w:vAlign w:val="center"/>
          </w:tcPr>
          <w:p w14:paraId="02950DE6"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517" w:type="pct"/>
            <w:tcBorders>
              <w:top w:val="nil"/>
              <w:left w:val="nil"/>
              <w:bottom w:val="nil"/>
              <w:right w:val="nil"/>
            </w:tcBorders>
            <w:shd w:val="clear" w:color="auto" w:fill="auto"/>
            <w:noWrap/>
            <w:vAlign w:val="center"/>
          </w:tcPr>
          <w:p w14:paraId="2B42DE7D"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19" w:type="pct"/>
            <w:tcBorders>
              <w:top w:val="nil"/>
              <w:left w:val="nil"/>
              <w:bottom w:val="nil"/>
              <w:right w:val="single" w:sz="8" w:space="0" w:color="FF0000"/>
            </w:tcBorders>
            <w:shd w:val="clear" w:color="auto" w:fill="auto"/>
            <w:noWrap/>
            <w:vAlign w:val="center"/>
          </w:tcPr>
          <w:p w14:paraId="3F5E2227" w14:textId="77777777" w:rsidR="00AA49E3" w:rsidRPr="00894701" w:rsidRDefault="00AA49E3" w:rsidP="00AA49E3">
            <w:pPr>
              <w:spacing w:after="0" w:line="240" w:lineRule="auto"/>
              <w:jc w:val="right"/>
              <w:rPr>
                <w:rFonts w:cs="Arial"/>
                <w:color w:val="000000"/>
                <w:kern w:val="0"/>
                <w:sz w:val="16"/>
                <w:szCs w:val="16"/>
              </w:rPr>
            </w:pPr>
          </w:p>
        </w:tc>
      </w:tr>
      <w:tr w:rsidR="00AA49E3" w:rsidRPr="00894701" w14:paraId="4135CD11" w14:textId="77777777" w:rsidTr="00AA49E3">
        <w:trPr>
          <w:trHeight w:val="227"/>
          <w:jc w:val="center"/>
        </w:trPr>
        <w:tc>
          <w:tcPr>
            <w:tcW w:w="150" w:type="pct"/>
            <w:tcBorders>
              <w:top w:val="nil"/>
              <w:left w:val="single" w:sz="8" w:space="0" w:color="FF0000"/>
              <w:bottom w:val="nil"/>
              <w:right w:val="nil"/>
            </w:tcBorders>
            <w:shd w:val="clear" w:color="000000" w:fill="F7A3B0"/>
            <w:noWrap/>
            <w:tcMar>
              <w:left w:w="28" w:type="dxa"/>
              <w:right w:w="28" w:type="dxa"/>
            </w:tcMar>
            <w:vAlign w:val="center"/>
            <w:hideMark/>
          </w:tcPr>
          <w:p w14:paraId="529D390C"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2.9</w:t>
            </w:r>
          </w:p>
        </w:tc>
        <w:tc>
          <w:tcPr>
            <w:tcW w:w="695" w:type="pct"/>
            <w:tcBorders>
              <w:top w:val="nil"/>
              <w:left w:val="nil"/>
              <w:bottom w:val="nil"/>
              <w:right w:val="nil"/>
            </w:tcBorders>
            <w:shd w:val="clear" w:color="000000" w:fill="F7A3B0"/>
            <w:noWrap/>
            <w:vAlign w:val="center"/>
            <w:hideMark/>
          </w:tcPr>
          <w:p w14:paraId="74A26C5B" w14:textId="2864C0D7" w:rsidR="00AA49E3" w:rsidRPr="00894701" w:rsidRDefault="00AA49E3" w:rsidP="00AA49E3">
            <w:pPr>
              <w:spacing w:after="0" w:line="240" w:lineRule="auto"/>
              <w:rPr>
                <w:rFonts w:cs="Arial"/>
                <w:color w:val="auto"/>
                <w:kern w:val="0"/>
                <w:sz w:val="16"/>
                <w:szCs w:val="16"/>
              </w:rPr>
            </w:pPr>
            <w:r w:rsidRPr="00894701">
              <w:rPr>
                <w:rFonts w:cs="Arial"/>
                <w:color w:val="000000"/>
                <w:kern w:val="0"/>
                <w:sz w:val="16"/>
                <w:szCs w:val="16"/>
              </w:rPr>
              <w:t>All</w:t>
            </w:r>
            <w:r w:rsidR="004012CA" w:rsidRPr="00894701">
              <w:rPr>
                <w:rFonts w:cs="Arial"/>
                <w:color w:val="000000"/>
                <w:kern w:val="0"/>
                <w:sz w:val="16"/>
                <w:szCs w:val="16"/>
              </w:rPr>
              <w:t xml:space="preserve"> </w:t>
            </w:r>
            <w:r w:rsidRPr="00894701">
              <w:rPr>
                <w:rFonts w:cs="Arial"/>
                <w:color w:val="000000"/>
                <w:kern w:val="0"/>
                <w:sz w:val="16"/>
                <w:szCs w:val="16"/>
              </w:rPr>
              <w:t>other</w:t>
            </w:r>
            <w:r w:rsidR="004012CA" w:rsidRPr="00894701">
              <w:rPr>
                <w:rFonts w:cs="Arial"/>
                <w:color w:val="000000"/>
                <w:kern w:val="0"/>
                <w:sz w:val="16"/>
                <w:szCs w:val="16"/>
              </w:rPr>
              <w:t xml:space="preserve"> </w:t>
            </w:r>
            <w:r w:rsidRPr="00894701">
              <w:rPr>
                <w:rFonts w:cs="Arial"/>
                <w:color w:val="000000"/>
                <w:kern w:val="0"/>
                <w:sz w:val="16"/>
                <w:szCs w:val="16"/>
              </w:rPr>
              <w:t>payments</w:t>
            </w:r>
            <w:r w:rsidR="004012CA" w:rsidRPr="00894701">
              <w:rPr>
                <w:rFonts w:cs="Arial"/>
                <w:color w:val="000000"/>
                <w:kern w:val="0"/>
                <w:sz w:val="16"/>
                <w:szCs w:val="16"/>
              </w:rPr>
              <w:t xml:space="preserve"> </w:t>
            </w:r>
            <w:r w:rsidRPr="00894701">
              <w:rPr>
                <w:rFonts w:cs="Arial"/>
                <w:color w:val="000000"/>
                <w:kern w:val="0"/>
                <w:sz w:val="16"/>
                <w:szCs w:val="16"/>
              </w:rPr>
              <w:t>(signature</w:t>
            </w:r>
            <w:r w:rsidR="004012CA" w:rsidRPr="00894701">
              <w:rPr>
                <w:rFonts w:cs="Arial"/>
                <w:color w:val="000000"/>
                <w:kern w:val="0"/>
                <w:sz w:val="16"/>
                <w:szCs w:val="16"/>
              </w:rPr>
              <w:t xml:space="preserve"> </w:t>
            </w:r>
            <w:r w:rsidRPr="00894701">
              <w:rPr>
                <w:rFonts w:cs="Arial"/>
                <w:color w:val="000000"/>
                <w:kern w:val="0"/>
                <w:sz w:val="16"/>
                <w:szCs w:val="16"/>
              </w:rPr>
              <w:t>bonuses,</w:t>
            </w:r>
            <w:r w:rsidR="004012CA" w:rsidRPr="00894701">
              <w:rPr>
                <w:rFonts w:cs="Arial"/>
                <w:color w:val="000000"/>
                <w:kern w:val="0"/>
                <w:sz w:val="16"/>
                <w:szCs w:val="16"/>
              </w:rPr>
              <w:t xml:space="preserve"> </w:t>
            </w:r>
            <w:r w:rsidRPr="00894701">
              <w:rPr>
                <w:rFonts w:cs="Arial"/>
                <w:color w:val="000000"/>
                <w:kern w:val="0"/>
                <w:sz w:val="16"/>
                <w:szCs w:val="16"/>
              </w:rPr>
              <w:t>bidding</w:t>
            </w:r>
            <w:r w:rsidR="004012CA" w:rsidRPr="00894701">
              <w:rPr>
                <w:rFonts w:cs="Arial"/>
                <w:color w:val="000000"/>
                <w:kern w:val="0"/>
                <w:sz w:val="16"/>
                <w:szCs w:val="16"/>
              </w:rPr>
              <w:t xml:space="preserve"> </w:t>
            </w:r>
            <w:r w:rsidRPr="00894701">
              <w:rPr>
                <w:rFonts w:cs="Arial"/>
                <w:color w:val="000000"/>
                <w:kern w:val="0"/>
                <w:sz w:val="16"/>
                <w:szCs w:val="16"/>
              </w:rPr>
              <w:t>fees,</w:t>
            </w:r>
            <w:r w:rsidR="004012CA" w:rsidRPr="00894701">
              <w:rPr>
                <w:rFonts w:cs="Arial"/>
                <w:color w:val="000000"/>
                <w:kern w:val="0"/>
                <w:sz w:val="16"/>
                <w:szCs w:val="16"/>
              </w:rPr>
              <w:t xml:space="preserve"> </w:t>
            </w:r>
            <w:r w:rsidRPr="00894701">
              <w:rPr>
                <w:rFonts w:cs="Arial"/>
                <w:color w:val="000000"/>
                <w:kern w:val="0"/>
                <w:sz w:val="16"/>
                <w:szCs w:val="16"/>
              </w:rPr>
              <w:t>penalties,</w:t>
            </w:r>
            <w:r w:rsidR="004012CA" w:rsidRPr="00894701">
              <w:rPr>
                <w:rFonts w:cs="Arial"/>
                <w:color w:val="000000"/>
                <w:kern w:val="0"/>
                <w:sz w:val="16"/>
                <w:szCs w:val="16"/>
              </w:rPr>
              <w:t xml:space="preserve"> </w:t>
            </w:r>
            <w:r w:rsidRPr="00894701">
              <w:rPr>
                <w:rFonts w:cs="Arial"/>
                <w:color w:val="000000"/>
                <w:kern w:val="0"/>
                <w:sz w:val="16"/>
                <w:szCs w:val="16"/>
              </w:rPr>
              <w:t>petroleum</w:t>
            </w:r>
            <w:r w:rsidR="004012CA" w:rsidRPr="00894701">
              <w:rPr>
                <w:rFonts w:cs="Arial"/>
                <w:color w:val="000000"/>
                <w:kern w:val="0"/>
                <w:sz w:val="16"/>
                <w:szCs w:val="16"/>
              </w:rPr>
              <w:t xml:space="preserve"> </w:t>
            </w:r>
            <w:r w:rsidRPr="00894701">
              <w:rPr>
                <w:rFonts w:cs="Arial"/>
                <w:color w:val="000000"/>
                <w:kern w:val="0"/>
                <w:sz w:val="16"/>
                <w:szCs w:val="16"/>
              </w:rPr>
              <w:t>levies)</w:t>
            </w:r>
          </w:p>
        </w:tc>
        <w:tc>
          <w:tcPr>
            <w:tcW w:w="464" w:type="pct"/>
            <w:tcBorders>
              <w:top w:val="nil"/>
              <w:left w:val="nil"/>
              <w:bottom w:val="nil"/>
              <w:right w:val="nil"/>
            </w:tcBorders>
            <w:shd w:val="clear" w:color="000000" w:fill="F7A3B0"/>
            <w:noWrap/>
            <w:vAlign w:val="center"/>
          </w:tcPr>
          <w:p w14:paraId="1623C796"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185,018</w:t>
            </w:r>
          </w:p>
        </w:tc>
        <w:tc>
          <w:tcPr>
            <w:tcW w:w="509" w:type="pct"/>
            <w:tcBorders>
              <w:top w:val="nil"/>
              <w:left w:val="nil"/>
              <w:bottom w:val="nil"/>
              <w:right w:val="nil"/>
            </w:tcBorders>
            <w:shd w:val="clear" w:color="000000" w:fill="F7A3B0"/>
            <w:noWrap/>
            <w:vAlign w:val="center"/>
          </w:tcPr>
          <w:p w14:paraId="75AC87F3"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7" w:type="pct"/>
            <w:tcBorders>
              <w:top w:val="nil"/>
              <w:left w:val="nil"/>
              <w:bottom w:val="nil"/>
              <w:right w:val="nil"/>
            </w:tcBorders>
            <w:shd w:val="clear" w:color="000000" w:fill="F7A3B0"/>
            <w:noWrap/>
            <w:vAlign w:val="center"/>
          </w:tcPr>
          <w:p w14:paraId="76E879E6"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185,018</w:t>
            </w:r>
          </w:p>
        </w:tc>
        <w:tc>
          <w:tcPr>
            <w:tcW w:w="460" w:type="pct"/>
            <w:tcBorders>
              <w:top w:val="nil"/>
              <w:left w:val="nil"/>
              <w:bottom w:val="nil"/>
              <w:right w:val="nil"/>
            </w:tcBorders>
            <w:shd w:val="clear" w:color="000000" w:fill="F7A3B0"/>
            <w:noWrap/>
            <w:vAlign w:val="center"/>
          </w:tcPr>
          <w:p w14:paraId="4F9959E0"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25" w:type="pct"/>
            <w:tcBorders>
              <w:top w:val="nil"/>
              <w:left w:val="nil"/>
              <w:bottom w:val="nil"/>
              <w:right w:val="nil"/>
            </w:tcBorders>
            <w:shd w:val="clear" w:color="000000" w:fill="F7A3B0"/>
            <w:noWrap/>
            <w:vAlign w:val="center"/>
          </w:tcPr>
          <w:p w14:paraId="4919C0D0"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26" w:type="pct"/>
            <w:tcBorders>
              <w:top w:val="nil"/>
              <w:left w:val="nil"/>
              <w:bottom w:val="nil"/>
              <w:right w:val="nil"/>
            </w:tcBorders>
            <w:shd w:val="clear" w:color="000000" w:fill="F7A3B0"/>
            <w:noWrap/>
            <w:vAlign w:val="center"/>
          </w:tcPr>
          <w:p w14:paraId="7C06CE9D"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000000" w:fill="F7A3B0"/>
            <w:noWrap/>
            <w:vAlign w:val="center"/>
          </w:tcPr>
          <w:p w14:paraId="2C31622F"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185,018</w:t>
            </w:r>
          </w:p>
        </w:tc>
        <w:tc>
          <w:tcPr>
            <w:tcW w:w="517" w:type="pct"/>
            <w:tcBorders>
              <w:top w:val="nil"/>
              <w:left w:val="nil"/>
              <w:bottom w:val="nil"/>
              <w:right w:val="nil"/>
            </w:tcBorders>
            <w:shd w:val="clear" w:color="000000" w:fill="F7A3B0"/>
            <w:noWrap/>
            <w:vAlign w:val="center"/>
          </w:tcPr>
          <w:p w14:paraId="7D90765E"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19" w:type="pct"/>
            <w:tcBorders>
              <w:top w:val="nil"/>
              <w:left w:val="nil"/>
              <w:bottom w:val="nil"/>
              <w:right w:val="single" w:sz="8" w:space="0" w:color="FF0000"/>
            </w:tcBorders>
            <w:shd w:val="clear" w:color="000000" w:fill="F7A3B0"/>
            <w:noWrap/>
            <w:vAlign w:val="center"/>
          </w:tcPr>
          <w:p w14:paraId="2A19F76D"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185,018</w:t>
            </w:r>
          </w:p>
        </w:tc>
      </w:tr>
      <w:tr w:rsidR="002F4BAB" w:rsidRPr="00894701" w14:paraId="1403A777" w14:textId="77777777" w:rsidTr="00AA49E3">
        <w:trPr>
          <w:trHeight w:val="227"/>
          <w:jc w:val="center"/>
        </w:trPr>
        <w:tc>
          <w:tcPr>
            <w:tcW w:w="845" w:type="pct"/>
            <w:gridSpan w:val="2"/>
            <w:tcBorders>
              <w:top w:val="nil"/>
              <w:left w:val="single" w:sz="8" w:space="0" w:color="FF0000"/>
              <w:bottom w:val="nil"/>
              <w:right w:val="nil"/>
            </w:tcBorders>
            <w:shd w:val="clear" w:color="000000" w:fill="C0A99E"/>
            <w:noWrap/>
            <w:tcMar>
              <w:left w:w="28" w:type="dxa"/>
              <w:right w:w="28" w:type="dxa"/>
            </w:tcMar>
            <w:vAlign w:val="center"/>
            <w:hideMark/>
          </w:tcPr>
          <w:p w14:paraId="4808CF0E" w14:textId="3DB07B00" w:rsidR="002F4BAB" w:rsidRPr="00894701" w:rsidRDefault="002F4BAB" w:rsidP="002209C2">
            <w:pPr>
              <w:spacing w:after="0" w:line="240" w:lineRule="auto"/>
              <w:rPr>
                <w:rFonts w:cs="Arial"/>
                <w:b/>
                <w:bCs/>
                <w:color w:val="auto"/>
                <w:kern w:val="0"/>
                <w:sz w:val="16"/>
                <w:szCs w:val="16"/>
              </w:rPr>
            </w:pPr>
            <w:r w:rsidRPr="00894701">
              <w:rPr>
                <w:rFonts w:cs="Arial"/>
                <w:b/>
                <w:bCs/>
                <w:color w:val="auto"/>
                <w:kern w:val="0"/>
                <w:sz w:val="16"/>
                <w:szCs w:val="16"/>
              </w:rPr>
              <w:t>Other payments to Ministry of Natural Resources (MNR)</w:t>
            </w:r>
          </w:p>
        </w:tc>
        <w:tc>
          <w:tcPr>
            <w:tcW w:w="464" w:type="pct"/>
            <w:tcBorders>
              <w:top w:val="nil"/>
              <w:left w:val="nil"/>
              <w:bottom w:val="nil"/>
              <w:right w:val="nil"/>
            </w:tcBorders>
            <w:shd w:val="clear" w:color="000000" w:fill="C0A99E"/>
            <w:noWrap/>
            <w:vAlign w:val="center"/>
          </w:tcPr>
          <w:p w14:paraId="14FC29AD" w14:textId="77777777" w:rsidR="002F4BAB" w:rsidRPr="00894701" w:rsidRDefault="002F4BAB" w:rsidP="002209C2">
            <w:pPr>
              <w:spacing w:after="0" w:line="240" w:lineRule="auto"/>
              <w:jc w:val="right"/>
              <w:rPr>
                <w:rFonts w:cs="Arial"/>
                <w:b/>
                <w:bCs/>
                <w:color w:val="auto"/>
                <w:kern w:val="0"/>
                <w:sz w:val="16"/>
                <w:szCs w:val="16"/>
              </w:rPr>
            </w:pPr>
            <w:r w:rsidRPr="00894701">
              <w:rPr>
                <w:rFonts w:cs="Arial"/>
                <w:color w:val="auto"/>
                <w:sz w:val="16"/>
                <w:szCs w:val="16"/>
              </w:rPr>
              <w:t>-</w:t>
            </w:r>
          </w:p>
        </w:tc>
        <w:tc>
          <w:tcPr>
            <w:tcW w:w="509" w:type="pct"/>
            <w:tcBorders>
              <w:top w:val="nil"/>
              <w:left w:val="nil"/>
              <w:bottom w:val="nil"/>
              <w:right w:val="nil"/>
            </w:tcBorders>
            <w:shd w:val="clear" w:color="000000" w:fill="C0A99E"/>
            <w:noWrap/>
            <w:vAlign w:val="center"/>
          </w:tcPr>
          <w:p w14:paraId="28D7804E" w14:textId="77777777" w:rsidR="002F4BAB" w:rsidRPr="00894701" w:rsidRDefault="002F4BAB" w:rsidP="002209C2">
            <w:pPr>
              <w:spacing w:after="0" w:line="240" w:lineRule="auto"/>
              <w:jc w:val="right"/>
              <w:rPr>
                <w:rFonts w:cs="Arial"/>
                <w:b/>
                <w:bCs/>
                <w:color w:val="auto"/>
                <w:kern w:val="0"/>
                <w:sz w:val="16"/>
                <w:szCs w:val="16"/>
              </w:rPr>
            </w:pPr>
            <w:r w:rsidRPr="00894701">
              <w:rPr>
                <w:rFonts w:cs="Arial"/>
                <w:color w:val="auto"/>
                <w:sz w:val="16"/>
                <w:szCs w:val="16"/>
              </w:rPr>
              <w:t>-</w:t>
            </w:r>
          </w:p>
        </w:tc>
        <w:tc>
          <w:tcPr>
            <w:tcW w:w="467" w:type="pct"/>
            <w:tcBorders>
              <w:top w:val="nil"/>
              <w:left w:val="nil"/>
              <w:bottom w:val="nil"/>
              <w:right w:val="nil"/>
            </w:tcBorders>
            <w:shd w:val="clear" w:color="000000" w:fill="C0A99E"/>
            <w:noWrap/>
            <w:vAlign w:val="center"/>
          </w:tcPr>
          <w:p w14:paraId="6E61FB7D" w14:textId="77777777" w:rsidR="002F4BAB" w:rsidRPr="00894701" w:rsidRDefault="002F4BAB" w:rsidP="002209C2">
            <w:pPr>
              <w:spacing w:after="0" w:line="240" w:lineRule="auto"/>
              <w:jc w:val="right"/>
              <w:rPr>
                <w:rFonts w:cs="Arial"/>
                <w:b/>
                <w:bCs/>
                <w:color w:val="auto"/>
                <w:kern w:val="0"/>
                <w:sz w:val="16"/>
                <w:szCs w:val="16"/>
              </w:rPr>
            </w:pPr>
            <w:r w:rsidRPr="00894701">
              <w:rPr>
                <w:rFonts w:cs="Arial"/>
                <w:color w:val="auto"/>
                <w:sz w:val="16"/>
                <w:szCs w:val="16"/>
              </w:rPr>
              <w:t>-</w:t>
            </w:r>
          </w:p>
        </w:tc>
        <w:tc>
          <w:tcPr>
            <w:tcW w:w="460" w:type="pct"/>
            <w:tcBorders>
              <w:top w:val="nil"/>
              <w:left w:val="nil"/>
              <w:bottom w:val="nil"/>
              <w:right w:val="nil"/>
            </w:tcBorders>
            <w:shd w:val="clear" w:color="000000" w:fill="C0A99E"/>
            <w:noWrap/>
            <w:vAlign w:val="center"/>
          </w:tcPr>
          <w:p w14:paraId="3FF9CB5E" w14:textId="77777777" w:rsidR="002F4BAB" w:rsidRPr="00894701" w:rsidRDefault="002F4BAB" w:rsidP="002209C2">
            <w:pPr>
              <w:spacing w:after="0" w:line="240" w:lineRule="auto"/>
              <w:jc w:val="right"/>
              <w:rPr>
                <w:rFonts w:cs="Arial"/>
                <w:b/>
                <w:bCs/>
                <w:color w:val="auto"/>
                <w:kern w:val="0"/>
                <w:sz w:val="16"/>
                <w:szCs w:val="16"/>
              </w:rPr>
            </w:pPr>
            <w:r w:rsidRPr="00894701">
              <w:rPr>
                <w:rFonts w:cs="Arial"/>
                <w:color w:val="auto"/>
                <w:sz w:val="16"/>
                <w:szCs w:val="16"/>
              </w:rPr>
              <w:t>-</w:t>
            </w:r>
          </w:p>
        </w:tc>
        <w:tc>
          <w:tcPr>
            <w:tcW w:w="425" w:type="pct"/>
            <w:tcBorders>
              <w:top w:val="nil"/>
              <w:left w:val="nil"/>
              <w:bottom w:val="nil"/>
              <w:right w:val="nil"/>
            </w:tcBorders>
            <w:shd w:val="clear" w:color="000000" w:fill="C0A99E"/>
            <w:noWrap/>
            <w:vAlign w:val="center"/>
          </w:tcPr>
          <w:p w14:paraId="6CFBB0C9" w14:textId="77777777" w:rsidR="002F4BAB" w:rsidRPr="00894701" w:rsidRDefault="002F4BAB" w:rsidP="002209C2">
            <w:pPr>
              <w:spacing w:after="0" w:line="240" w:lineRule="auto"/>
              <w:jc w:val="right"/>
              <w:rPr>
                <w:rFonts w:cs="Arial"/>
                <w:b/>
                <w:bCs/>
                <w:color w:val="auto"/>
                <w:kern w:val="0"/>
                <w:sz w:val="16"/>
                <w:szCs w:val="16"/>
              </w:rPr>
            </w:pPr>
            <w:r w:rsidRPr="00894701">
              <w:rPr>
                <w:rFonts w:cs="Arial"/>
                <w:color w:val="auto"/>
                <w:sz w:val="16"/>
                <w:szCs w:val="16"/>
              </w:rPr>
              <w:t>-</w:t>
            </w:r>
          </w:p>
        </w:tc>
        <w:tc>
          <w:tcPr>
            <w:tcW w:w="426" w:type="pct"/>
            <w:tcBorders>
              <w:top w:val="nil"/>
              <w:left w:val="nil"/>
              <w:bottom w:val="nil"/>
              <w:right w:val="nil"/>
            </w:tcBorders>
            <w:shd w:val="clear" w:color="000000" w:fill="C0A99E"/>
            <w:noWrap/>
            <w:vAlign w:val="center"/>
          </w:tcPr>
          <w:p w14:paraId="0EB9EE7B" w14:textId="77777777" w:rsidR="002F4BAB" w:rsidRPr="00894701" w:rsidRDefault="002F4BAB" w:rsidP="002209C2">
            <w:pPr>
              <w:spacing w:after="0" w:line="240" w:lineRule="auto"/>
              <w:jc w:val="right"/>
              <w:rPr>
                <w:rFonts w:cs="Arial"/>
                <w:b/>
                <w:bCs/>
                <w:color w:val="auto"/>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000000" w:fill="C0A99E"/>
            <w:noWrap/>
            <w:vAlign w:val="center"/>
          </w:tcPr>
          <w:p w14:paraId="0DFEA80C" w14:textId="77777777" w:rsidR="002F4BAB" w:rsidRPr="00894701" w:rsidRDefault="002F4BAB" w:rsidP="002209C2">
            <w:pPr>
              <w:spacing w:after="0" w:line="240" w:lineRule="auto"/>
              <w:jc w:val="right"/>
              <w:rPr>
                <w:rFonts w:cs="Arial"/>
                <w:b/>
                <w:bCs/>
                <w:color w:val="auto"/>
                <w:kern w:val="0"/>
                <w:sz w:val="16"/>
                <w:szCs w:val="16"/>
              </w:rPr>
            </w:pPr>
            <w:r w:rsidRPr="00894701">
              <w:rPr>
                <w:rFonts w:cs="Arial"/>
                <w:color w:val="auto"/>
                <w:sz w:val="16"/>
                <w:szCs w:val="16"/>
              </w:rPr>
              <w:t>-</w:t>
            </w:r>
          </w:p>
        </w:tc>
        <w:tc>
          <w:tcPr>
            <w:tcW w:w="517" w:type="pct"/>
            <w:tcBorders>
              <w:top w:val="nil"/>
              <w:left w:val="nil"/>
              <w:bottom w:val="nil"/>
              <w:right w:val="nil"/>
            </w:tcBorders>
            <w:shd w:val="clear" w:color="000000" w:fill="C0A99E"/>
            <w:noWrap/>
            <w:vAlign w:val="center"/>
          </w:tcPr>
          <w:p w14:paraId="7D819325" w14:textId="77777777" w:rsidR="002F4BAB" w:rsidRPr="00894701" w:rsidRDefault="002F4BAB" w:rsidP="002209C2">
            <w:pPr>
              <w:spacing w:after="0" w:line="240" w:lineRule="auto"/>
              <w:jc w:val="right"/>
              <w:rPr>
                <w:rFonts w:cs="Arial"/>
                <w:b/>
                <w:bCs/>
                <w:color w:val="auto"/>
                <w:kern w:val="0"/>
                <w:sz w:val="16"/>
                <w:szCs w:val="16"/>
              </w:rPr>
            </w:pPr>
            <w:r w:rsidRPr="00894701">
              <w:rPr>
                <w:rFonts w:cs="Arial"/>
                <w:color w:val="auto"/>
                <w:sz w:val="16"/>
                <w:szCs w:val="16"/>
              </w:rPr>
              <w:t>-</w:t>
            </w:r>
          </w:p>
        </w:tc>
        <w:tc>
          <w:tcPr>
            <w:tcW w:w="419" w:type="pct"/>
            <w:tcBorders>
              <w:top w:val="nil"/>
              <w:left w:val="nil"/>
              <w:bottom w:val="nil"/>
              <w:right w:val="nil"/>
            </w:tcBorders>
            <w:shd w:val="clear" w:color="000000" w:fill="C0A99E"/>
            <w:noWrap/>
            <w:vAlign w:val="center"/>
          </w:tcPr>
          <w:p w14:paraId="6EF6FAE2" w14:textId="77777777" w:rsidR="002F4BAB" w:rsidRPr="00894701" w:rsidRDefault="002F4BAB" w:rsidP="002209C2">
            <w:pPr>
              <w:spacing w:after="0" w:line="240" w:lineRule="auto"/>
              <w:jc w:val="right"/>
              <w:rPr>
                <w:rFonts w:cs="Arial"/>
                <w:b/>
                <w:bCs/>
                <w:color w:val="auto"/>
                <w:kern w:val="0"/>
                <w:sz w:val="16"/>
                <w:szCs w:val="16"/>
              </w:rPr>
            </w:pPr>
            <w:r w:rsidRPr="00894701">
              <w:rPr>
                <w:rFonts w:cs="Arial"/>
                <w:color w:val="auto"/>
                <w:sz w:val="16"/>
                <w:szCs w:val="16"/>
              </w:rPr>
              <w:t>-</w:t>
            </w:r>
          </w:p>
        </w:tc>
      </w:tr>
      <w:tr w:rsidR="00AA49E3" w:rsidRPr="00894701" w14:paraId="7C83E8FB" w14:textId="77777777" w:rsidTr="00AA49E3">
        <w:trPr>
          <w:trHeight w:val="227"/>
          <w:jc w:val="center"/>
        </w:trPr>
        <w:tc>
          <w:tcPr>
            <w:tcW w:w="150" w:type="pct"/>
            <w:tcBorders>
              <w:top w:val="nil"/>
              <w:left w:val="single" w:sz="8" w:space="0" w:color="FF0000"/>
              <w:bottom w:val="nil"/>
              <w:right w:val="nil"/>
            </w:tcBorders>
            <w:shd w:val="clear" w:color="000000" w:fill="F7A3B0"/>
            <w:noWrap/>
            <w:tcMar>
              <w:left w:w="28" w:type="dxa"/>
              <w:right w:w="28" w:type="dxa"/>
            </w:tcMar>
            <w:vAlign w:val="center"/>
            <w:hideMark/>
          </w:tcPr>
          <w:p w14:paraId="6B3C4157"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3.1</w:t>
            </w:r>
          </w:p>
        </w:tc>
        <w:tc>
          <w:tcPr>
            <w:tcW w:w="695" w:type="pct"/>
            <w:tcBorders>
              <w:top w:val="nil"/>
              <w:left w:val="nil"/>
              <w:bottom w:val="nil"/>
              <w:right w:val="nil"/>
            </w:tcBorders>
            <w:shd w:val="clear" w:color="000000" w:fill="F7A3B0"/>
            <w:noWrap/>
            <w:vAlign w:val="center"/>
            <w:hideMark/>
          </w:tcPr>
          <w:p w14:paraId="01A3A0E4" w14:textId="373B8B1A"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Transfer fees</w:t>
            </w:r>
          </w:p>
        </w:tc>
        <w:tc>
          <w:tcPr>
            <w:tcW w:w="464" w:type="pct"/>
            <w:tcBorders>
              <w:top w:val="nil"/>
              <w:left w:val="nil"/>
              <w:bottom w:val="nil"/>
              <w:right w:val="nil"/>
            </w:tcBorders>
            <w:shd w:val="clear" w:color="000000" w:fill="F7A3B0"/>
            <w:noWrap/>
            <w:vAlign w:val="center"/>
          </w:tcPr>
          <w:p w14:paraId="7D600F16"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509" w:type="pct"/>
            <w:tcBorders>
              <w:top w:val="nil"/>
              <w:left w:val="nil"/>
              <w:bottom w:val="nil"/>
              <w:right w:val="nil"/>
            </w:tcBorders>
            <w:shd w:val="clear" w:color="000000" w:fill="F7A3B0"/>
            <w:noWrap/>
            <w:vAlign w:val="center"/>
          </w:tcPr>
          <w:p w14:paraId="692FAB0A"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7" w:type="pct"/>
            <w:tcBorders>
              <w:top w:val="nil"/>
              <w:left w:val="nil"/>
              <w:bottom w:val="nil"/>
              <w:right w:val="nil"/>
            </w:tcBorders>
            <w:shd w:val="clear" w:color="000000" w:fill="F7A3B0"/>
            <w:noWrap/>
            <w:vAlign w:val="center"/>
          </w:tcPr>
          <w:p w14:paraId="64C18129"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0" w:type="pct"/>
            <w:tcBorders>
              <w:top w:val="nil"/>
              <w:left w:val="nil"/>
              <w:bottom w:val="nil"/>
              <w:right w:val="nil"/>
            </w:tcBorders>
            <w:shd w:val="clear" w:color="000000" w:fill="F7A3B0"/>
            <w:noWrap/>
            <w:vAlign w:val="center"/>
          </w:tcPr>
          <w:p w14:paraId="6E84FCA0"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25" w:type="pct"/>
            <w:tcBorders>
              <w:top w:val="nil"/>
              <w:left w:val="nil"/>
              <w:bottom w:val="nil"/>
              <w:right w:val="nil"/>
            </w:tcBorders>
            <w:shd w:val="clear" w:color="000000" w:fill="F7A3B0"/>
            <w:noWrap/>
            <w:vAlign w:val="center"/>
          </w:tcPr>
          <w:p w14:paraId="7EDC7431"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26" w:type="pct"/>
            <w:tcBorders>
              <w:top w:val="nil"/>
              <w:left w:val="nil"/>
              <w:bottom w:val="nil"/>
              <w:right w:val="nil"/>
            </w:tcBorders>
            <w:shd w:val="clear" w:color="000000" w:fill="F7A3B0"/>
            <w:noWrap/>
            <w:vAlign w:val="center"/>
          </w:tcPr>
          <w:p w14:paraId="6A62758F"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000000" w:fill="F7A3B0"/>
            <w:noWrap/>
            <w:vAlign w:val="center"/>
          </w:tcPr>
          <w:p w14:paraId="5E44CF3B"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517" w:type="pct"/>
            <w:tcBorders>
              <w:top w:val="nil"/>
              <w:left w:val="nil"/>
              <w:bottom w:val="nil"/>
              <w:right w:val="nil"/>
            </w:tcBorders>
            <w:shd w:val="clear" w:color="000000" w:fill="F7A3B0"/>
            <w:noWrap/>
            <w:vAlign w:val="center"/>
          </w:tcPr>
          <w:p w14:paraId="10CEF3F0"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19" w:type="pct"/>
            <w:tcBorders>
              <w:top w:val="nil"/>
              <w:left w:val="nil"/>
              <w:bottom w:val="nil"/>
              <w:right w:val="single" w:sz="8" w:space="0" w:color="FF0000"/>
            </w:tcBorders>
            <w:shd w:val="clear" w:color="000000" w:fill="F7A3B0"/>
            <w:noWrap/>
            <w:vAlign w:val="center"/>
          </w:tcPr>
          <w:p w14:paraId="6E70E812" w14:textId="77777777" w:rsidR="00AA49E3" w:rsidRPr="00894701" w:rsidRDefault="00AA49E3" w:rsidP="00AA49E3">
            <w:pPr>
              <w:spacing w:after="0" w:line="240" w:lineRule="auto"/>
              <w:jc w:val="right"/>
              <w:rPr>
                <w:rFonts w:cs="Arial"/>
                <w:color w:val="000000"/>
                <w:kern w:val="0"/>
                <w:sz w:val="16"/>
                <w:szCs w:val="16"/>
              </w:rPr>
            </w:pPr>
          </w:p>
        </w:tc>
      </w:tr>
      <w:tr w:rsidR="00AA49E3" w:rsidRPr="00894701" w14:paraId="0E535B44" w14:textId="77777777" w:rsidTr="00AA49E3">
        <w:trPr>
          <w:trHeight w:val="227"/>
          <w:jc w:val="center"/>
        </w:trPr>
        <w:tc>
          <w:tcPr>
            <w:tcW w:w="150" w:type="pct"/>
            <w:tcBorders>
              <w:top w:val="nil"/>
              <w:left w:val="single" w:sz="8" w:space="0" w:color="FF0000"/>
              <w:bottom w:val="nil"/>
              <w:right w:val="nil"/>
            </w:tcBorders>
            <w:shd w:val="clear" w:color="auto" w:fill="auto"/>
            <w:noWrap/>
            <w:tcMar>
              <w:left w:w="28" w:type="dxa"/>
              <w:right w:w="28" w:type="dxa"/>
            </w:tcMar>
            <w:vAlign w:val="center"/>
            <w:hideMark/>
          </w:tcPr>
          <w:p w14:paraId="6B8DDB7E"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3.2</w:t>
            </w:r>
          </w:p>
        </w:tc>
        <w:tc>
          <w:tcPr>
            <w:tcW w:w="695" w:type="pct"/>
            <w:tcBorders>
              <w:top w:val="nil"/>
              <w:left w:val="nil"/>
              <w:bottom w:val="nil"/>
              <w:right w:val="nil"/>
            </w:tcBorders>
            <w:shd w:val="clear" w:color="auto" w:fill="auto"/>
            <w:noWrap/>
            <w:vAlign w:val="center"/>
            <w:hideMark/>
          </w:tcPr>
          <w:p w14:paraId="3C2A69C8" w14:textId="723A26F8"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Abandonment provisions</w:t>
            </w:r>
          </w:p>
        </w:tc>
        <w:tc>
          <w:tcPr>
            <w:tcW w:w="464" w:type="pct"/>
            <w:tcBorders>
              <w:top w:val="nil"/>
              <w:left w:val="nil"/>
              <w:bottom w:val="nil"/>
              <w:right w:val="nil"/>
            </w:tcBorders>
            <w:shd w:val="clear" w:color="auto" w:fill="auto"/>
            <w:noWrap/>
            <w:vAlign w:val="center"/>
          </w:tcPr>
          <w:p w14:paraId="422904FC"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509" w:type="pct"/>
            <w:tcBorders>
              <w:top w:val="nil"/>
              <w:left w:val="nil"/>
              <w:bottom w:val="nil"/>
              <w:right w:val="nil"/>
            </w:tcBorders>
            <w:shd w:val="clear" w:color="auto" w:fill="auto"/>
            <w:noWrap/>
            <w:vAlign w:val="center"/>
          </w:tcPr>
          <w:p w14:paraId="3AB0FD88"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7" w:type="pct"/>
            <w:tcBorders>
              <w:top w:val="nil"/>
              <w:left w:val="nil"/>
              <w:bottom w:val="nil"/>
              <w:right w:val="nil"/>
            </w:tcBorders>
            <w:shd w:val="clear" w:color="auto" w:fill="auto"/>
            <w:noWrap/>
            <w:vAlign w:val="center"/>
          </w:tcPr>
          <w:p w14:paraId="32FB16E9"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0" w:type="pct"/>
            <w:tcBorders>
              <w:top w:val="nil"/>
              <w:left w:val="nil"/>
              <w:bottom w:val="nil"/>
              <w:right w:val="nil"/>
            </w:tcBorders>
            <w:shd w:val="clear" w:color="auto" w:fill="auto"/>
            <w:noWrap/>
            <w:vAlign w:val="center"/>
          </w:tcPr>
          <w:p w14:paraId="65AAAD94"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25" w:type="pct"/>
            <w:tcBorders>
              <w:top w:val="nil"/>
              <w:left w:val="nil"/>
              <w:bottom w:val="nil"/>
              <w:right w:val="nil"/>
            </w:tcBorders>
            <w:shd w:val="clear" w:color="auto" w:fill="auto"/>
            <w:noWrap/>
            <w:vAlign w:val="center"/>
          </w:tcPr>
          <w:p w14:paraId="5FD1E4CD"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26" w:type="pct"/>
            <w:tcBorders>
              <w:top w:val="nil"/>
              <w:left w:val="nil"/>
              <w:bottom w:val="nil"/>
              <w:right w:val="nil"/>
            </w:tcBorders>
            <w:shd w:val="clear" w:color="auto" w:fill="auto"/>
            <w:noWrap/>
            <w:vAlign w:val="center"/>
          </w:tcPr>
          <w:p w14:paraId="124364BE"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auto" w:fill="auto"/>
            <w:noWrap/>
            <w:vAlign w:val="center"/>
          </w:tcPr>
          <w:p w14:paraId="3E7C7F73"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517" w:type="pct"/>
            <w:tcBorders>
              <w:top w:val="nil"/>
              <w:left w:val="nil"/>
              <w:bottom w:val="nil"/>
              <w:right w:val="nil"/>
            </w:tcBorders>
            <w:shd w:val="clear" w:color="auto" w:fill="auto"/>
            <w:noWrap/>
            <w:vAlign w:val="center"/>
          </w:tcPr>
          <w:p w14:paraId="493241FB"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19" w:type="pct"/>
            <w:tcBorders>
              <w:top w:val="nil"/>
              <w:left w:val="nil"/>
              <w:bottom w:val="nil"/>
              <w:right w:val="single" w:sz="8" w:space="0" w:color="FF0000"/>
            </w:tcBorders>
            <w:shd w:val="clear" w:color="auto" w:fill="auto"/>
            <w:noWrap/>
            <w:vAlign w:val="center"/>
          </w:tcPr>
          <w:p w14:paraId="281A26E8" w14:textId="77777777" w:rsidR="00AA49E3" w:rsidRPr="00894701" w:rsidRDefault="00AA49E3" w:rsidP="00AA49E3">
            <w:pPr>
              <w:spacing w:after="0" w:line="240" w:lineRule="auto"/>
              <w:jc w:val="right"/>
              <w:rPr>
                <w:rFonts w:cs="Arial"/>
                <w:color w:val="000000"/>
                <w:kern w:val="0"/>
                <w:sz w:val="16"/>
                <w:szCs w:val="16"/>
              </w:rPr>
            </w:pPr>
          </w:p>
        </w:tc>
      </w:tr>
      <w:tr w:rsidR="00AA49E3" w:rsidRPr="00894701" w14:paraId="2C990586" w14:textId="77777777" w:rsidTr="00AA49E3">
        <w:trPr>
          <w:trHeight w:val="227"/>
          <w:jc w:val="center"/>
        </w:trPr>
        <w:tc>
          <w:tcPr>
            <w:tcW w:w="150" w:type="pct"/>
            <w:tcBorders>
              <w:top w:val="nil"/>
              <w:left w:val="single" w:sz="8" w:space="0" w:color="FF0000"/>
              <w:bottom w:val="nil"/>
              <w:right w:val="nil"/>
            </w:tcBorders>
            <w:shd w:val="clear" w:color="000000" w:fill="F7A3B0"/>
            <w:noWrap/>
            <w:tcMar>
              <w:left w:w="28" w:type="dxa"/>
              <w:right w:w="28" w:type="dxa"/>
            </w:tcMar>
            <w:vAlign w:val="center"/>
            <w:hideMark/>
          </w:tcPr>
          <w:p w14:paraId="2EE0F009"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3.3</w:t>
            </w:r>
          </w:p>
        </w:tc>
        <w:tc>
          <w:tcPr>
            <w:tcW w:w="695" w:type="pct"/>
            <w:tcBorders>
              <w:top w:val="nil"/>
              <w:left w:val="nil"/>
              <w:bottom w:val="nil"/>
              <w:right w:val="nil"/>
            </w:tcBorders>
            <w:shd w:val="clear" w:color="000000" w:fill="F7A3B0"/>
            <w:noWrap/>
            <w:vAlign w:val="center"/>
            <w:hideMark/>
          </w:tcPr>
          <w:p w14:paraId="066542D1" w14:textId="63B401C5"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Annual administrative charges</w:t>
            </w:r>
          </w:p>
        </w:tc>
        <w:tc>
          <w:tcPr>
            <w:tcW w:w="464" w:type="pct"/>
            <w:tcBorders>
              <w:top w:val="nil"/>
              <w:left w:val="nil"/>
              <w:bottom w:val="nil"/>
              <w:right w:val="nil"/>
            </w:tcBorders>
            <w:shd w:val="clear" w:color="000000" w:fill="F7A3B0"/>
            <w:noWrap/>
            <w:vAlign w:val="center"/>
          </w:tcPr>
          <w:p w14:paraId="75C11295"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509" w:type="pct"/>
            <w:tcBorders>
              <w:top w:val="nil"/>
              <w:left w:val="nil"/>
              <w:bottom w:val="nil"/>
              <w:right w:val="nil"/>
            </w:tcBorders>
            <w:shd w:val="clear" w:color="000000" w:fill="F7A3B0"/>
            <w:noWrap/>
            <w:vAlign w:val="center"/>
          </w:tcPr>
          <w:p w14:paraId="0AF2C2FC"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7" w:type="pct"/>
            <w:tcBorders>
              <w:top w:val="nil"/>
              <w:left w:val="nil"/>
              <w:bottom w:val="nil"/>
              <w:right w:val="nil"/>
            </w:tcBorders>
            <w:shd w:val="clear" w:color="000000" w:fill="F7A3B0"/>
            <w:noWrap/>
            <w:vAlign w:val="center"/>
          </w:tcPr>
          <w:p w14:paraId="1E2F03E8"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0" w:type="pct"/>
            <w:tcBorders>
              <w:top w:val="nil"/>
              <w:left w:val="nil"/>
              <w:bottom w:val="nil"/>
              <w:right w:val="nil"/>
            </w:tcBorders>
            <w:shd w:val="clear" w:color="000000" w:fill="F7A3B0"/>
            <w:noWrap/>
            <w:vAlign w:val="center"/>
          </w:tcPr>
          <w:p w14:paraId="0CB5A444"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25" w:type="pct"/>
            <w:tcBorders>
              <w:top w:val="nil"/>
              <w:left w:val="nil"/>
              <w:bottom w:val="nil"/>
              <w:right w:val="nil"/>
            </w:tcBorders>
            <w:shd w:val="clear" w:color="000000" w:fill="F7A3B0"/>
            <w:noWrap/>
            <w:vAlign w:val="center"/>
          </w:tcPr>
          <w:p w14:paraId="2F6B7509"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26" w:type="pct"/>
            <w:tcBorders>
              <w:top w:val="nil"/>
              <w:left w:val="nil"/>
              <w:bottom w:val="nil"/>
              <w:right w:val="nil"/>
            </w:tcBorders>
            <w:shd w:val="clear" w:color="000000" w:fill="F7A3B0"/>
            <w:noWrap/>
            <w:vAlign w:val="center"/>
          </w:tcPr>
          <w:p w14:paraId="487593D0"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000000" w:fill="F7A3B0"/>
            <w:noWrap/>
            <w:vAlign w:val="center"/>
          </w:tcPr>
          <w:p w14:paraId="61B47F95"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517" w:type="pct"/>
            <w:tcBorders>
              <w:top w:val="nil"/>
              <w:left w:val="nil"/>
              <w:bottom w:val="nil"/>
              <w:right w:val="nil"/>
            </w:tcBorders>
            <w:shd w:val="clear" w:color="000000" w:fill="F7A3B0"/>
            <w:noWrap/>
            <w:vAlign w:val="center"/>
          </w:tcPr>
          <w:p w14:paraId="648F5BFB"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19" w:type="pct"/>
            <w:tcBorders>
              <w:top w:val="nil"/>
              <w:left w:val="nil"/>
              <w:bottom w:val="nil"/>
              <w:right w:val="single" w:sz="8" w:space="0" w:color="FF0000"/>
            </w:tcBorders>
            <w:shd w:val="clear" w:color="000000" w:fill="F7A3B0"/>
            <w:noWrap/>
            <w:vAlign w:val="center"/>
          </w:tcPr>
          <w:p w14:paraId="6AC898C1" w14:textId="77777777" w:rsidR="00AA49E3" w:rsidRPr="00894701" w:rsidRDefault="00AA49E3" w:rsidP="00AA49E3">
            <w:pPr>
              <w:spacing w:after="0" w:line="240" w:lineRule="auto"/>
              <w:jc w:val="right"/>
              <w:rPr>
                <w:rFonts w:cs="Arial"/>
                <w:color w:val="000000"/>
                <w:kern w:val="0"/>
                <w:sz w:val="16"/>
                <w:szCs w:val="16"/>
              </w:rPr>
            </w:pPr>
          </w:p>
        </w:tc>
      </w:tr>
      <w:tr w:rsidR="00AA49E3" w:rsidRPr="00894701" w14:paraId="46628001" w14:textId="77777777" w:rsidTr="00AA49E3">
        <w:trPr>
          <w:trHeight w:val="227"/>
          <w:jc w:val="center"/>
        </w:trPr>
        <w:tc>
          <w:tcPr>
            <w:tcW w:w="150" w:type="pct"/>
            <w:tcBorders>
              <w:top w:val="nil"/>
              <w:left w:val="single" w:sz="8" w:space="0" w:color="FF0000"/>
              <w:bottom w:val="nil"/>
              <w:right w:val="nil"/>
            </w:tcBorders>
            <w:shd w:val="clear" w:color="auto" w:fill="auto"/>
            <w:noWrap/>
            <w:tcMar>
              <w:left w:w="28" w:type="dxa"/>
              <w:right w:w="28" w:type="dxa"/>
            </w:tcMar>
            <w:vAlign w:val="center"/>
            <w:hideMark/>
          </w:tcPr>
          <w:p w14:paraId="05759E41"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3.4</w:t>
            </w:r>
          </w:p>
        </w:tc>
        <w:tc>
          <w:tcPr>
            <w:tcW w:w="695" w:type="pct"/>
            <w:tcBorders>
              <w:top w:val="nil"/>
              <w:left w:val="nil"/>
              <w:bottom w:val="nil"/>
              <w:right w:val="nil"/>
            </w:tcBorders>
            <w:shd w:val="clear" w:color="auto" w:fill="auto"/>
            <w:noWrap/>
            <w:vAlign w:val="center"/>
            <w:hideMark/>
          </w:tcPr>
          <w:p w14:paraId="0C44DC6A" w14:textId="3114034A"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Training</w:t>
            </w:r>
          </w:p>
        </w:tc>
        <w:tc>
          <w:tcPr>
            <w:tcW w:w="464" w:type="pct"/>
            <w:tcBorders>
              <w:top w:val="nil"/>
              <w:left w:val="nil"/>
              <w:bottom w:val="nil"/>
              <w:right w:val="nil"/>
            </w:tcBorders>
            <w:shd w:val="clear" w:color="auto" w:fill="auto"/>
            <w:noWrap/>
            <w:vAlign w:val="center"/>
          </w:tcPr>
          <w:p w14:paraId="48C875D8"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509" w:type="pct"/>
            <w:tcBorders>
              <w:top w:val="nil"/>
              <w:left w:val="nil"/>
              <w:bottom w:val="nil"/>
              <w:right w:val="nil"/>
            </w:tcBorders>
            <w:shd w:val="clear" w:color="auto" w:fill="auto"/>
            <w:noWrap/>
            <w:vAlign w:val="center"/>
          </w:tcPr>
          <w:p w14:paraId="4D5DC72B"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7" w:type="pct"/>
            <w:tcBorders>
              <w:top w:val="nil"/>
              <w:left w:val="nil"/>
              <w:bottom w:val="nil"/>
              <w:right w:val="nil"/>
            </w:tcBorders>
            <w:shd w:val="clear" w:color="auto" w:fill="auto"/>
            <w:noWrap/>
            <w:vAlign w:val="center"/>
          </w:tcPr>
          <w:p w14:paraId="21AEA573"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0" w:type="pct"/>
            <w:tcBorders>
              <w:top w:val="nil"/>
              <w:left w:val="nil"/>
              <w:bottom w:val="nil"/>
              <w:right w:val="nil"/>
            </w:tcBorders>
            <w:shd w:val="clear" w:color="auto" w:fill="auto"/>
            <w:noWrap/>
            <w:vAlign w:val="center"/>
          </w:tcPr>
          <w:p w14:paraId="440DE4AD"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25" w:type="pct"/>
            <w:tcBorders>
              <w:top w:val="nil"/>
              <w:left w:val="nil"/>
              <w:bottom w:val="nil"/>
              <w:right w:val="nil"/>
            </w:tcBorders>
            <w:shd w:val="clear" w:color="auto" w:fill="auto"/>
            <w:noWrap/>
            <w:vAlign w:val="center"/>
          </w:tcPr>
          <w:p w14:paraId="640A87A7"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26" w:type="pct"/>
            <w:tcBorders>
              <w:top w:val="nil"/>
              <w:left w:val="nil"/>
              <w:bottom w:val="nil"/>
              <w:right w:val="nil"/>
            </w:tcBorders>
            <w:shd w:val="clear" w:color="auto" w:fill="auto"/>
            <w:noWrap/>
            <w:vAlign w:val="center"/>
          </w:tcPr>
          <w:p w14:paraId="03030476"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auto" w:fill="auto"/>
            <w:noWrap/>
            <w:vAlign w:val="center"/>
          </w:tcPr>
          <w:p w14:paraId="25CEE0D6"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517" w:type="pct"/>
            <w:tcBorders>
              <w:top w:val="nil"/>
              <w:left w:val="nil"/>
              <w:bottom w:val="nil"/>
              <w:right w:val="nil"/>
            </w:tcBorders>
            <w:shd w:val="clear" w:color="auto" w:fill="auto"/>
            <w:noWrap/>
            <w:vAlign w:val="center"/>
          </w:tcPr>
          <w:p w14:paraId="0C942D8A"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19" w:type="pct"/>
            <w:tcBorders>
              <w:top w:val="nil"/>
              <w:left w:val="nil"/>
              <w:bottom w:val="nil"/>
              <w:right w:val="single" w:sz="8" w:space="0" w:color="FF0000"/>
            </w:tcBorders>
            <w:shd w:val="clear" w:color="auto" w:fill="auto"/>
            <w:noWrap/>
            <w:vAlign w:val="center"/>
          </w:tcPr>
          <w:p w14:paraId="2BA3CFAA" w14:textId="77777777" w:rsidR="00AA49E3" w:rsidRPr="00894701" w:rsidRDefault="00AA49E3" w:rsidP="00AA49E3">
            <w:pPr>
              <w:spacing w:after="0" w:line="240" w:lineRule="auto"/>
              <w:jc w:val="right"/>
              <w:rPr>
                <w:rFonts w:cs="Arial"/>
                <w:color w:val="000000"/>
                <w:kern w:val="0"/>
                <w:sz w:val="16"/>
                <w:szCs w:val="16"/>
              </w:rPr>
            </w:pPr>
          </w:p>
        </w:tc>
      </w:tr>
      <w:tr w:rsidR="00AA49E3" w:rsidRPr="00894701" w14:paraId="24BE2222" w14:textId="77777777" w:rsidTr="00AA49E3">
        <w:trPr>
          <w:trHeight w:val="227"/>
          <w:jc w:val="center"/>
        </w:trPr>
        <w:tc>
          <w:tcPr>
            <w:tcW w:w="150" w:type="pct"/>
            <w:tcBorders>
              <w:top w:val="nil"/>
              <w:left w:val="single" w:sz="8" w:space="0" w:color="FF0000"/>
              <w:bottom w:val="nil"/>
              <w:right w:val="nil"/>
            </w:tcBorders>
            <w:shd w:val="clear" w:color="000000" w:fill="F7A3B0"/>
            <w:noWrap/>
            <w:tcMar>
              <w:left w:w="28" w:type="dxa"/>
              <w:right w:w="28" w:type="dxa"/>
            </w:tcMar>
            <w:vAlign w:val="center"/>
            <w:hideMark/>
          </w:tcPr>
          <w:p w14:paraId="4BD578A2"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3.5</w:t>
            </w:r>
          </w:p>
        </w:tc>
        <w:tc>
          <w:tcPr>
            <w:tcW w:w="695" w:type="pct"/>
            <w:tcBorders>
              <w:top w:val="nil"/>
              <w:left w:val="nil"/>
              <w:bottom w:val="nil"/>
              <w:right w:val="nil"/>
            </w:tcBorders>
            <w:shd w:val="clear" w:color="000000" w:fill="F7A3B0"/>
            <w:noWrap/>
            <w:vAlign w:val="center"/>
            <w:hideMark/>
          </w:tcPr>
          <w:p w14:paraId="5781C9A0" w14:textId="09E152FB"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R&amp;D</w:t>
            </w:r>
          </w:p>
        </w:tc>
        <w:tc>
          <w:tcPr>
            <w:tcW w:w="464" w:type="pct"/>
            <w:tcBorders>
              <w:top w:val="nil"/>
              <w:left w:val="nil"/>
              <w:bottom w:val="nil"/>
              <w:right w:val="nil"/>
            </w:tcBorders>
            <w:shd w:val="clear" w:color="000000" w:fill="F7A3B0"/>
            <w:noWrap/>
            <w:vAlign w:val="center"/>
          </w:tcPr>
          <w:p w14:paraId="2920D2BF"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509" w:type="pct"/>
            <w:tcBorders>
              <w:top w:val="nil"/>
              <w:left w:val="nil"/>
              <w:bottom w:val="nil"/>
              <w:right w:val="nil"/>
            </w:tcBorders>
            <w:shd w:val="clear" w:color="000000" w:fill="F7A3B0"/>
            <w:noWrap/>
            <w:vAlign w:val="center"/>
          </w:tcPr>
          <w:p w14:paraId="6B41B822"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7" w:type="pct"/>
            <w:tcBorders>
              <w:top w:val="nil"/>
              <w:left w:val="nil"/>
              <w:bottom w:val="nil"/>
              <w:right w:val="nil"/>
            </w:tcBorders>
            <w:shd w:val="clear" w:color="000000" w:fill="F7A3B0"/>
            <w:noWrap/>
            <w:vAlign w:val="center"/>
          </w:tcPr>
          <w:p w14:paraId="5341ECE2"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0" w:type="pct"/>
            <w:tcBorders>
              <w:top w:val="nil"/>
              <w:left w:val="nil"/>
              <w:bottom w:val="nil"/>
              <w:right w:val="nil"/>
            </w:tcBorders>
            <w:shd w:val="clear" w:color="000000" w:fill="F7A3B0"/>
            <w:noWrap/>
            <w:vAlign w:val="center"/>
          </w:tcPr>
          <w:p w14:paraId="23296FBF"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25" w:type="pct"/>
            <w:tcBorders>
              <w:top w:val="nil"/>
              <w:left w:val="nil"/>
              <w:bottom w:val="nil"/>
              <w:right w:val="nil"/>
            </w:tcBorders>
            <w:shd w:val="clear" w:color="000000" w:fill="F7A3B0"/>
            <w:noWrap/>
            <w:vAlign w:val="center"/>
          </w:tcPr>
          <w:p w14:paraId="07B0BD78"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26" w:type="pct"/>
            <w:tcBorders>
              <w:top w:val="nil"/>
              <w:left w:val="nil"/>
              <w:bottom w:val="nil"/>
              <w:right w:val="nil"/>
            </w:tcBorders>
            <w:shd w:val="clear" w:color="000000" w:fill="F7A3B0"/>
            <w:noWrap/>
            <w:vAlign w:val="center"/>
          </w:tcPr>
          <w:p w14:paraId="22615839"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000000" w:fill="F7A3B0"/>
            <w:noWrap/>
            <w:vAlign w:val="center"/>
          </w:tcPr>
          <w:p w14:paraId="0B823BF5"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517" w:type="pct"/>
            <w:tcBorders>
              <w:top w:val="nil"/>
              <w:left w:val="nil"/>
              <w:bottom w:val="nil"/>
              <w:right w:val="nil"/>
            </w:tcBorders>
            <w:shd w:val="clear" w:color="000000" w:fill="F7A3B0"/>
            <w:noWrap/>
            <w:vAlign w:val="center"/>
          </w:tcPr>
          <w:p w14:paraId="1E42D0CA"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19" w:type="pct"/>
            <w:tcBorders>
              <w:top w:val="nil"/>
              <w:left w:val="nil"/>
              <w:bottom w:val="nil"/>
              <w:right w:val="single" w:sz="8" w:space="0" w:color="FF0000"/>
            </w:tcBorders>
            <w:shd w:val="clear" w:color="000000" w:fill="F7A3B0"/>
            <w:noWrap/>
            <w:vAlign w:val="center"/>
          </w:tcPr>
          <w:p w14:paraId="0450A45C" w14:textId="77777777" w:rsidR="00AA49E3" w:rsidRPr="00894701" w:rsidRDefault="00AA49E3" w:rsidP="00AA49E3">
            <w:pPr>
              <w:spacing w:after="0" w:line="240" w:lineRule="auto"/>
              <w:jc w:val="right"/>
              <w:rPr>
                <w:rFonts w:cs="Arial"/>
                <w:color w:val="000000"/>
                <w:kern w:val="0"/>
                <w:sz w:val="16"/>
                <w:szCs w:val="16"/>
              </w:rPr>
            </w:pPr>
          </w:p>
        </w:tc>
      </w:tr>
      <w:tr w:rsidR="00AA49E3" w:rsidRPr="00894701" w14:paraId="336AD3AF" w14:textId="77777777" w:rsidTr="00AA49E3">
        <w:trPr>
          <w:trHeight w:val="227"/>
          <w:jc w:val="center"/>
        </w:trPr>
        <w:tc>
          <w:tcPr>
            <w:tcW w:w="150" w:type="pct"/>
            <w:tcBorders>
              <w:top w:val="nil"/>
              <w:left w:val="single" w:sz="8" w:space="0" w:color="FF0000"/>
              <w:bottom w:val="nil"/>
              <w:right w:val="nil"/>
            </w:tcBorders>
            <w:shd w:val="clear" w:color="auto" w:fill="auto"/>
            <w:noWrap/>
            <w:tcMar>
              <w:left w:w="28" w:type="dxa"/>
              <w:right w:w="28" w:type="dxa"/>
            </w:tcMar>
            <w:vAlign w:val="center"/>
            <w:hideMark/>
          </w:tcPr>
          <w:p w14:paraId="2D303B7C"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3.6</w:t>
            </w:r>
          </w:p>
        </w:tc>
        <w:tc>
          <w:tcPr>
            <w:tcW w:w="695" w:type="pct"/>
            <w:tcBorders>
              <w:top w:val="nil"/>
              <w:left w:val="nil"/>
              <w:bottom w:val="nil"/>
              <w:right w:val="nil"/>
            </w:tcBorders>
            <w:shd w:val="clear" w:color="auto" w:fill="auto"/>
            <w:noWrap/>
            <w:vAlign w:val="center"/>
            <w:hideMark/>
          </w:tcPr>
          <w:p w14:paraId="2E66C250" w14:textId="3EA96C9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Production bonus</w:t>
            </w:r>
          </w:p>
        </w:tc>
        <w:tc>
          <w:tcPr>
            <w:tcW w:w="464" w:type="pct"/>
            <w:tcBorders>
              <w:top w:val="nil"/>
              <w:left w:val="nil"/>
              <w:bottom w:val="nil"/>
              <w:right w:val="nil"/>
            </w:tcBorders>
            <w:shd w:val="clear" w:color="auto" w:fill="auto"/>
            <w:noWrap/>
            <w:vAlign w:val="center"/>
          </w:tcPr>
          <w:p w14:paraId="37394EBB"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509" w:type="pct"/>
            <w:tcBorders>
              <w:top w:val="nil"/>
              <w:left w:val="nil"/>
              <w:bottom w:val="nil"/>
              <w:right w:val="nil"/>
            </w:tcBorders>
            <w:shd w:val="clear" w:color="auto" w:fill="auto"/>
            <w:noWrap/>
            <w:vAlign w:val="center"/>
          </w:tcPr>
          <w:p w14:paraId="2C8E2357"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7" w:type="pct"/>
            <w:tcBorders>
              <w:top w:val="nil"/>
              <w:left w:val="nil"/>
              <w:bottom w:val="nil"/>
              <w:right w:val="nil"/>
            </w:tcBorders>
            <w:shd w:val="clear" w:color="auto" w:fill="auto"/>
            <w:noWrap/>
            <w:vAlign w:val="center"/>
          </w:tcPr>
          <w:p w14:paraId="63EE9E6A"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0" w:type="pct"/>
            <w:tcBorders>
              <w:top w:val="nil"/>
              <w:left w:val="nil"/>
              <w:bottom w:val="nil"/>
              <w:right w:val="nil"/>
            </w:tcBorders>
            <w:shd w:val="clear" w:color="auto" w:fill="auto"/>
            <w:noWrap/>
            <w:vAlign w:val="center"/>
          </w:tcPr>
          <w:p w14:paraId="5440323B"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25" w:type="pct"/>
            <w:tcBorders>
              <w:top w:val="nil"/>
              <w:left w:val="nil"/>
              <w:bottom w:val="nil"/>
              <w:right w:val="nil"/>
            </w:tcBorders>
            <w:shd w:val="clear" w:color="auto" w:fill="auto"/>
            <w:noWrap/>
            <w:vAlign w:val="center"/>
          </w:tcPr>
          <w:p w14:paraId="3DD3E696"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26" w:type="pct"/>
            <w:tcBorders>
              <w:top w:val="nil"/>
              <w:left w:val="nil"/>
              <w:bottom w:val="nil"/>
              <w:right w:val="nil"/>
            </w:tcBorders>
            <w:shd w:val="clear" w:color="auto" w:fill="auto"/>
            <w:noWrap/>
            <w:vAlign w:val="center"/>
          </w:tcPr>
          <w:p w14:paraId="0541EA94"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auto" w:fill="auto"/>
            <w:noWrap/>
            <w:vAlign w:val="center"/>
          </w:tcPr>
          <w:p w14:paraId="4CD0DA53"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517" w:type="pct"/>
            <w:tcBorders>
              <w:top w:val="nil"/>
              <w:left w:val="nil"/>
              <w:bottom w:val="nil"/>
              <w:right w:val="nil"/>
            </w:tcBorders>
            <w:shd w:val="clear" w:color="auto" w:fill="auto"/>
            <w:noWrap/>
            <w:vAlign w:val="center"/>
          </w:tcPr>
          <w:p w14:paraId="03548297"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19" w:type="pct"/>
            <w:tcBorders>
              <w:top w:val="nil"/>
              <w:left w:val="nil"/>
              <w:bottom w:val="nil"/>
              <w:right w:val="single" w:sz="8" w:space="0" w:color="FF0000"/>
            </w:tcBorders>
            <w:shd w:val="clear" w:color="auto" w:fill="auto"/>
            <w:noWrap/>
            <w:vAlign w:val="center"/>
          </w:tcPr>
          <w:p w14:paraId="5C228590" w14:textId="77777777" w:rsidR="00AA49E3" w:rsidRPr="00894701" w:rsidRDefault="00AA49E3" w:rsidP="00AA49E3">
            <w:pPr>
              <w:spacing w:after="0" w:line="240" w:lineRule="auto"/>
              <w:jc w:val="right"/>
              <w:rPr>
                <w:rFonts w:cs="Arial"/>
                <w:color w:val="000000"/>
                <w:kern w:val="0"/>
                <w:sz w:val="16"/>
                <w:szCs w:val="16"/>
              </w:rPr>
            </w:pPr>
          </w:p>
        </w:tc>
      </w:tr>
      <w:tr w:rsidR="00AA49E3" w:rsidRPr="00894701" w14:paraId="0C5651DB" w14:textId="77777777" w:rsidTr="00AA49E3">
        <w:trPr>
          <w:trHeight w:val="227"/>
          <w:jc w:val="center"/>
        </w:trPr>
        <w:tc>
          <w:tcPr>
            <w:tcW w:w="150" w:type="pct"/>
            <w:tcBorders>
              <w:top w:val="nil"/>
              <w:left w:val="single" w:sz="8" w:space="0" w:color="FF0000"/>
              <w:bottom w:val="nil"/>
              <w:right w:val="nil"/>
            </w:tcBorders>
            <w:shd w:val="clear" w:color="000000" w:fill="F7A3B0"/>
            <w:noWrap/>
            <w:tcMar>
              <w:left w:w="28" w:type="dxa"/>
              <w:right w:w="28" w:type="dxa"/>
            </w:tcMar>
            <w:vAlign w:val="center"/>
            <w:hideMark/>
          </w:tcPr>
          <w:p w14:paraId="2447C069"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3.7</w:t>
            </w:r>
          </w:p>
        </w:tc>
        <w:tc>
          <w:tcPr>
            <w:tcW w:w="695" w:type="pct"/>
            <w:tcBorders>
              <w:top w:val="nil"/>
              <w:left w:val="nil"/>
              <w:bottom w:val="nil"/>
              <w:right w:val="nil"/>
            </w:tcBorders>
            <w:shd w:val="clear" w:color="000000" w:fill="F7A3B0"/>
            <w:noWrap/>
            <w:vAlign w:val="center"/>
            <w:hideMark/>
          </w:tcPr>
          <w:p w14:paraId="6FAD3BD5" w14:textId="188F2954"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Technical assistance</w:t>
            </w:r>
          </w:p>
        </w:tc>
        <w:tc>
          <w:tcPr>
            <w:tcW w:w="464" w:type="pct"/>
            <w:tcBorders>
              <w:top w:val="nil"/>
              <w:left w:val="nil"/>
              <w:bottom w:val="nil"/>
              <w:right w:val="nil"/>
            </w:tcBorders>
            <w:shd w:val="clear" w:color="000000" w:fill="F7A3B0"/>
            <w:noWrap/>
            <w:vAlign w:val="center"/>
          </w:tcPr>
          <w:p w14:paraId="63DD435A"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509" w:type="pct"/>
            <w:tcBorders>
              <w:top w:val="nil"/>
              <w:left w:val="nil"/>
              <w:bottom w:val="nil"/>
              <w:right w:val="nil"/>
            </w:tcBorders>
            <w:shd w:val="clear" w:color="000000" w:fill="F7A3B0"/>
            <w:noWrap/>
            <w:vAlign w:val="center"/>
          </w:tcPr>
          <w:p w14:paraId="3A6DBFF8"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7" w:type="pct"/>
            <w:tcBorders>
              <w:top w:val="nil"/>
              <w:left w:val="nil"/>
              <w:bottom w:val="nil"/>
              <w:right w:val="nil"/>
            </w:tcBorders>
            <w:shd w:val="clear" w:color="000000" w:fill="F7A3B0"/>
            <w:noWrap/>
            <w:vAlign w:val="center"/>
          </w:tcPr>
          <w:p w14:paraId="1F6A52A1"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0" w:type="pct"/>
            <w:tcBorders>
              <w:top w:val="nil"/>
              <w:left w:val="nil"/>
              <w:bottom w:val="nil"/>
              <w:right w:val="nil"/>
            </w:tcBorders>
            <w:shd w:val="clear" w:color="000000" w:fill="F7A3B0"/>
            <w:noWrap/>
            <w:vAlign w:val="center"/>
          </w:tcPr>
          <w:p w14:paraId="4CF0B38B"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25" w:type="pct"/>
            <w:tcBorders>
              <w:top w:val="nil"/>
              <w:left w:val="nil"/>
              <w:bottom w:val="nil"/>
              <w:right w:val="nil"/>
            </w:tcBorders>
            <w:shd w:val="clear" w:color="000000" w:fill="F7A3B0"/>
            <w:noWrap/>
            <w:vAlign w:val="center"/>
          </w:tcPr>
          <w:p w14:paraId="4924B928"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26" w:type="pct"/>
            <w:tcBorders>
              <w:top w:val="nil"/>
              <w:left w:val="nil"/>
              <w:bottom w:val="nil"/>
              <w:right w:val="nil"/>
            </w:tcBorders>
            <w:shd w:val="clear" w:color="000000" w:fill="F7A3B0"/>
            <w:noWrap/>
            <w:vAlign w:val="center"/>
          </w:tcPr>
          <w:p w14:paraId="20E00F52"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000000" w:fill="F7A3B0"/>
            <w:noWrap/>
            <w:vAlign w:val="center"/>
          </w:tcPr>
          <w:p w14:paraId="4EB883D2"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517" w:type="pct"/>
            <w:tcBorders>
              <w:top w:val="nil"/>
              <w:left w:val="nil"/>
              <w:bottom w:val="nil"/>
              <w:right w:val="nil"/>
            </w:tcBorders>
            <w:shd w:val="clear" w:color="000000" w:fill="F7A3B0"/>
            <w:noWrap/>
            <w:vAlign w:val="center"/>
          </w:tcPr>
          <w:p w14:paraId="17A5F0A0"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19" w:type="pct"/>
            <w:tcBorders>
              <w:top w:val="nil"/>
              <w:left w:val="nil"/>
              <w:bottom w:val="nil"/>
              <w:right w:val="single" w:sz="8" w:space="0" w:color="FF0000"/>
            </w:tcBorders>
            <w:shd w:val="clear" w:color="000000" w:fill="F7A3B0"/>
            <w:noWrap/>
            <w:vAlign w:val="center"/>
          </w:tcPr>
          <w:p w14:paraId="540CDBBA" w14:textId="77777777" w:rsidR="00AA49E3" w:rsidRPr="00894701" w:rsidRDefault="00AA49E3" w:rsidP="00AA49E3">
            <w:pPr>
              <w:spacing w:after="0" w:line="240" w:lineRule="auto"/>
              <w:jc w:val="right"/>
              <w:rPr>
                <w:rFonts w:cs="Arial"/>
                <w:color w:val="000000"/>
                <w:kern w:val="0"/>
                <w:sz w:val="16"/>
                <w:szCs w:val="16"/>
              </w:rPr>
            </w:pPr>
          </w:p>
        </w:tc>
      </w:tr>
      <w:tr w:rsidR="00AA49E3" w:rsidRPr="00894701" w14:paraId="4DFE6DDF" w14:textId="77777777" w:rsidTr="00AA49E3">
        <w:trPr>
          <w:trHeight w:val="227"/>
          <w:jc w:val="center"/>
        </w:trPr>
        <w:tc>
          <w:tcPr>
            <w:tcW w:w="150" w:type="pct"/>
            <w:tcBorders>
              <w:top w:val="nil"/>
              <w:left w:val="single" w:sz="8" w:space="0" w:color="FF0000"/>
              <w:bottom w:val="nil"/>
              <w:right w:val="nil"/>
            </w:tcBorders>
            <w:shd w:val="clear" w:color="auto" w:fill="auto"/>
            <w:noWrap/>
            <w:tcMar>
              <w:left w:w="28" w:type="dxa"/>
              <w:right w:w="28" w:type="dxa"/>
            </w:tcMar>
            <w:vAlign w:val="center"/>
            <w:hideMark/>
          </w:tcPr>
          <w:p w14:paraId="668EE585"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3.8</w:t>
            </w:r>
          </w:p>
        </w:tc>
        <w:tc>
          <w:tcPr>
            <w:tcW w:w="695" w:type="pct"/>
            <w:tcBorders>
              <w:top w:val="nil"/>
              <w:left w:val="nil"/>
              <w:bottom w:val="nil"/>
              <w:right w:val="nil"/>
            </w:tcBorders>
            <w:shd w:val="clear" w:color="auto" w:fill="auto"/>
            <w:noWrap/>
            <w:vAlign w:val="center"/>
            <w:hideMark/>
          </w:tcPr>
          <w:p w14:paraId="13080A8B" w14:textId="4606EAE2"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Scholarships</w:t>
            </w:r>
          </w:p>
        </w:tc>
        <w:tc>
          <w:tcPr>
            <w:tcW w:w="464" w:type="pct"/>
            <w:tcBorders>
              <w:top w:val="nil"/>
              <w:left w:val="nil"/>
              <w:bottom w:val="nil"/>
              <w:right w:val="nil"/>
            </w:tcBorders>
            <w:shd w:val="clear" w:color="auto" w:fill="auto"/>
            <w:noWrap/>
            <w:vAlign w:val="center"/>
          </w:tcPr>
          <w:p w14:paraId="36892733"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509" w:type="pct"/>
            <w:tcBorders>
              <w:top w:val="nil"/>
              <w:left w:val="nil"/>
              <w:bottom w:val="nil"/>
              <w:right w:val="nil"/>
            </w:tcBorders>
            <w:shd w:val="clear" w:color="auto" w:fill="auto"/>
            <w:noWrap/>
            <w:vAlign w:val="center"/>
          </w:tcPr>
          <w:p w14:paraId="46B1ABEA"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7" w:type="pct"/>
            <w:tcBorders>
              <w:top w:val="nil"/>
              <w:left w:val="nil"/>
              <w:bottom w:val="nil"/>
              <w:right w:val="nil"/>
            </w:tcBorders>
            <w:shd w:val="clear" w:color="auto" w:fill="auto"/>
            <w:noWrap/>
            <w:vAlign w:val="center"/>
          </w:tcPr>
          <w:p w14:paraId="291D086D"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0" w:type="pct"/>
            <w:tcBorders>
              <w:top w:val="nil"/>
              <w:left w:val="nil"/>
              <w:bottom w:val="nil"/>
              <w:right w:val="nil"/>
            </w:tcBorders>
            <w:shd w:val="clear" w:color="auto" w:fill="auto"/>
            <w:noWrap/>
            <w:vAlign w:val="center"/>
          </w:tcPr>
          <w:p w14:paraId="59D8FDF6"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25" w:type="pct"/>
            <w:tcBorders>
              <w:top w:val="nil"/>
              <w:left w:val="nil"/>
              <w:bottom w:val="nil"/>
              <w:right w:val="nil"/>
            </w:tcBorders>
            <w:shd w:val="clear" w:color="auto" w:fill="auto"/>
            <w:noWrap/>
            <w:vAlign w:val="center"/>
          </w:tcPr>
          <w:p w14:paraId="7493A154"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26" w:type="pct"/>
            <w:tcBorders>
              <w:top w:val="nil"/>
              <w:left w:val="nil"/>
              <w:bottom w:val="nil"/>
              <w:right w:val="nil"/>
            </w:tcBorders>
            <w:shd w:val="clear" w:color="auto" w:fill="auto"/>
            <w:noWrap/>
            <w:vAlign w:val="center"/>
          </w:tcPr>
          <w:p w14:paraId="5EA100FC"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auto" w:fill="auto"/>
            <w:noWrap/>
            <w:vAlign w:val="center"/>
          </w:tcPr>
          <w:p w14:paraId="61AFABEC"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517" w:type="pct"/>
            <w:tcBorders>
              <w:top w:val="nil"/>
              <w:left w:val="nil"/>
              <w:bottom w:val="nil"/>
              <w:right w:val="nil"/>
            </w:tcBorders>
            <w:shd w:val="clear" w:color="auto" w:fill="auto"/>
            <w:noWrap/>
            <w:vAlign w:val="center"/>
          </w:tcPr>
          <w:p w14:paraId="2B63578D"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19" w:type="pct"/>
            <w:tcBorders>
              <w:top w:val="nil"/>
              <w:left w:val="nil"/>
              <w:bottom w:val="nil"/>
              <w:right w:val="single" w:sz="8" w:space="0" w:color="FF0000"/>
            </w:tcBorders>
            <w:shd w:val="clear" w:color="auto" w:fill="auto"/>
            <w:noWrap/>
            <w:vAlign w:val="center"/>
          </w:tcPr>
          <w:p w14:paraId="1D227565" w14:textId="77777777" w:rsidR="00AA49E3" w:rsidRPr="00894701" w:rsidRDefault="00AA49E3" w:rsidP="00AA49E3">
            <w:pPr>
              <w:spacing w:after="0" w:line="240" w:lineRule="auto"/>
              <w:jc w:val="right"/>
              <w:rPr>
                <w:rFonts w:cs="Arial"/>
                <w:color w:val="000000"/>
                <w:kern w:val="0"/>
                <w:sz w:val="16"/>
                <w:szCs w:val="16"/>
              </w:rPr>
            </w:pPr>
          </w:p>
        </w:tc>
      </w:tr>
      <w:tr w:rsidR="00AA49E3" w:rsidRPr="00894701" w14:paraId="7107FB54" w14:textId="77777777" w:rsidTr="00AA49E3">
        <w:trPr>
          <w:trHeight w:val="227"/>
          <w:jc w:val="center"/>
        </w:trPr>
        <w:tc>
          <w:tcPr>
            <w:tcW w:w="150" w:type="pct"/>
            <w:tcBorders>
              <w:top w:val="nil"/>
              <w:left w:val="single" w:sz="8" w:space="0" w:color="FF0000"/>
              <w:bottom w:val="nil"/>
              <w:right w:val="nil"/>
            </w:tcBorders>
            <w:shd w:val="clear" w:color="000000" w:fill="F7A3B0"/>
            <w:noWrap/>
            <w:tcMar>
              <w:left w:w="28" w:type="dxa"/>
              <w:right w:w="28" w:type="dxa"/>
            </w:tcMar>
            <w:vAlign w:val="center"/>
            <w:hideMark/>
          </w:tcPr>
          <w:p w14:paraId="34C9D71C"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3.9</w:t>
            </w:r>
          </w:p>
        </w:tc>
        <w:tc>
          <w:tcPr>
            <w:tcW w:w="695" w:type="pct"/>
            <w:tcBorders>
              <w:top w:val="nil"/>
              <w:left w:val="nil"/>
              <w:bottom w:val="nil"/>
              <w:right w:val="nil"/>
            </w:tcBorders>
            <w:shd w:val="clear" w:color="000000" w:fill="F7A3B0"/>
            <w:noWrap/>
            <w:vAlign w:val="center"/>
            <w:hideMark/>
          </w:tcPr>
          <w:p w14:paraId="3E4E1182" w14:textId="174F3B0B"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P.S.C. Holding fees</w:t>
            </w:r>
          </w:p>
        </w:tc>
        <w:tc>
          <w:tcPr>
            <w:tcW w:w="464" w:type="pct"/>
            <w:tcBorders>
              <w:top w:val="nil"/>
              <w:left w:val="nil"/>
              <w:bottom w:val="nil"/>
              <w:right w:val="nil"/>
            </w:tcBorders>
            <w:shd w:val="clear" w:color="000000" w:fill="F7A3B0"/>
            <w:noWrap/>
            <w:vAlign w:val="center"/>
          </w:tcPr>
          <w:p w14:paraId="540274E1"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509" w:type="pct"/>
            <w:tcBorders>
              <w:top w:val="nil"/>
              <w:left w:val="nil"/>
              <w:bottom w:val="nil"/>
              <w:right w:val="nil"/>
            </w:tcBorders>
            <w:shd w:val="clear" w:color="000000" w:fill="F7A3B0"/>
            <w:noWrap/>
            <w:vAlign w:val="center"/>
          </w:tcPr>
          <w:p w14:paraId="7D4AAE9B"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7" w:type="pct"/>
            <w:tcBorders>
              <w:top w:val="nil"/>
              <w:left w:val="nil"/>
              <w:bottom w:val="nil"/>
              <w:right w:val="nil"/>
            </w:tcBorders>
            <w:shd w:val="clear" w:color="000000" w:fill="F7A3B0"/>
            <w:noWrap/>
            <w:vAlign w:val="center"/>
          </w:tcPr>
          <w:p w14:paraId="35196C77"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0" w:type="pct"/>
            <w:tcBorders>
              <w:top w:val="nil"/>
              <w:left w:val="nil"/>
              <w:bottom w:val="nil"/>
              <w:right w:val="nil"/>
            </w:tcBorders>
            <w:shd w:val="clear" w:color="000000" w:fill="F7A3B0"/>
            <w:noWrap/>
            <w:vAlign w:val="center"/>
          </w:tcPr>
          <w:p w14:paraId="2B62EA52"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25" w:type="pct"/>
            <w:tcBorders>
              <w:top w:val="nil"/>
              <w:left w:val="nil"/>
              <w:bottom w:val="nil"/>
              <w:right w:val="nil"/>
            </w:tcBorders>
            <w:shd w:val="clear" w:color="000000" w:fill="F7A3B0"/>
            <w:noWrap/>
            <w:vAlign w:val="center"/>
          </w:tcPr>
          <w:p w14:paraId="0CC42482"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26" w:type="pct"/>
            <w:tcBorders>
              <w:top w:val="nil"/>
              <w:left w:val="nil"/>
              <w:bottom w:val="nil"/>
              <w:right w:val="nil"/>
            </w:tcBorders>
            <w:shd w:val="clear" w:color="000000" w:fill="F7A3B0"/>
            <w:noWrap/>
            <w:vAlign w:val="center"/>
          </w:tcPr>
          <w:p w14:paraId="5BB94519"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000000" w:fill="F7A3B0"/>
            <w:noWrap/>
            <w:vAlign w:val="center"/>
          </w:tcPr>
          <w:p w14:paraId="6D9CC0EC"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517" w:type="pct"/>
            <w:tcBorders>
              <w:top w:val="nil"/>
              <w:left w:val="nil"/>
              <w:bottom w:val="nil"/>
              <w:right w:val="nil"/>
            </w:tcBorders>
            <w:shd w:val="clear" w:color="000000" w:fill="F7A3B0"/>
            <w:noWrap/>
            <w:vAlign w:val="center"/>
          </w:tcPr>
          <w:p w14:paraId="31A20CB4"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19" w:type="pct"/>
            <w:tcBorders>
              <w:top w:val="nil"/>
              <w:left w:val="nil"/>
              <w:bottom w:val="nil"/>
              <w:right w:val="single" w:sz="8" w:space="0" w:color="FF0000"/>
            </w:tcBorders>
            <w:shd w:val="clear" w:color="000000" w:fill="F7A3B0"/>
            <w:noWrap/>
            <w:vAlign w:val="center"/>
          </w:tcPr>
          <w:p w14:paraId="30CE2FAE" w14:textId="77777777" w:rsidR="00AA49E3" w:rsidRPr="00894701" w:rsidRDefault="00AA49E3" w:rsidP="00AA49E3">
            <w:pPr>
              <w:spacing w:after="0" w:line="240" w:lineRule="auto"/>
              <w:jc w:val="right"/>
              <w:rPr>
                <w:rFonts w:cs="Arial"/>
                <w:color w:val="000000"/>
                <w:kern w:val="0"/>
                <w:sz w:val="16"/>
                <w:szCs w:val="16"/>
              </w:rPr>
            </w:pPr>
          </w:p>
        </w:tc>
      </w:tr>
      <w:tr w:rsidR="00AA49E3" w:rsidRPr="00894701" w14:paraId="1D1329C9" w14:textId="77777777" w:rsidTr="00AA49E3">
        <w:trPr>
          <w:trHeight w:val="227"/>
          <w:jc w:val="center"/>
        </w:trPr>
        <w:tc>
          <w:tcPr>
            <w:tcW w:w="150" w:type="pct"/>
            <w:tcBorders>
              <w:top w:val="nil"/>
              <w:left w:val="single" w:sz="8" w:space="0" w:color="FF0000"/>
              <w:bottom w:val="nil"/>
              <w:right w:val="nil"/>
            </w:tcBorders>
            <w:shd w:val="clear" w:color="auto" w:fill="auto"/>
            <w:noWrap/>
            <w:tcMar>
              <w:left w:w="28" w:type="dxa"/>
              <w:right w:w="28" w:type="dxa"/>
            </w:tcMar>
            <w:vAlign w:val="center"/>
            <w:hideMark/>
          </w:tcPr>
          <w:p w14:paraId="5A41AC8A"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3.1</w:t>
            </w:r>
          </w:p>
        </w:tc>
        <w:tc>
          <w:tcPr>
            <w:tcW w:w="695" w:type="pct"/>
            <w:tcBorders>
              <w:top w:val="nil"/>
              <w:left w:val="nil"/>
              <w:bottom w:val="nil"/>
              <w:right w:val="nil"/>
            </w:tcBorders>
            <w:shd w:val="clear" w:color="auto" w:fill="auto"/>
            <w:noWrap/>
            <w:vAlign w:val="center"/>
            <w:hideMark/>
          </w:tcPr>
          <w:p w14:paraId="2485210C" w14:textId="636363B4"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All other payments</w:t>
            </w:r>
          </w:p>
        </w:tc>
        <w:tc>
          <w:tcPr>
            <w:tcW w:w="464" w:type="pct"/>
            <w:tcBorders>
              <w:top w:val="nil"/>
              <w:left w:val="nil"/>
              <w:bottom w:val="nil"/>
              <w:right w:val="nil"/>
            </w:tcBorders>
            <w:shd w:val="clear" w:color="auto" w:fill="auto"/>
            <w:noWrap/>
            <w:vAlign w:val="center"/>
          </w:tcPr>
          <w:p w14:paraId="225186F4"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509" w:type="pct"/>
            <w:tcBorders>
              <w:top w:val="nil"/>
              <w:left w:val="nil"/>
              <w:bottom w:val="nil"/>
              <w:right w:val="nil"/>
            </w:tcBorders>
            <w:shd w:val="clear" w:color="auto" w:fill="auto"/>
            <w:noWrap/>
            <w:vAlign w:val="center"/>
          </w:tcPr>
          <w:p w14:paraId="2CB2FDF5"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7" w:type="pct"/>
            <w:tcBorders>
              <w:top w:val="nil"/>
              <w:left w:val="nil"/>
              <w:bottom w:val="nil"/>
              <w:right w:val="nil"/>
            </w:tcBorders>
            <w:shd w:val="clear" w:color="auto" w:fill="auto"/>
            <w:noWrap/>
            <w:vAlign w:val="center"/>
          </w:tcPr>
          <w:p w14:paraId="69C56622"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0" w:type="pct"/>
            <w:tcBorders>
              <w:top w:val="nil"/>
              <w:left w:val="nil"/>
              <w:bottom w:val="nil"/>
              <w:right w:val="nil"/>
            </w:tcBorders>
            <w:shd w:val="clear" w:color="auto" w:fill="auto"/>
            <w:noWrap/>
            <w:vAlign w:val="center"/>
          </w:tcPr>
          <w:p w14:paraId="54EC2727"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25" w:type="pct"/>
            <w:tcBorders>
              <w:top w:val="nil"/>
              <w:left w:val="nil"/>
              <w:bottom w:val="nil"/>
              <w:right w:val="nil"/>
            </w:tcBorders>
            <w:shd w:val="clear" w:color="auto" w:fill="auto"/>
            <w:noWrap/>
            <w:vAlign w:val="center"/>
          </w:tcPr>
          <w:p w14:paraId="02A6E63A"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26" w:type="pct"/>
            <w:tcBorders>
              <w:top w:val="nil"/>
              <w:left w:val="nil"/>
              <w:bottom w:val="nil"/>
              <w:right w:val="nil"/>
            </w:tcBorders>
            <w:shd w:val="clear" w:color="auto" w:fill="auto"/>
            <w:noWrap/>
            <w:vAlign w:val="center"/>
          </w:tcPr>
          <w:p w14:paraId="57DAF77D"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auto" w:fill="auto"/>
            <w:noWrap/>
            <w:vAlign w:val="center"/>
          </w:tcPr>
          <w:p w14:paraId="06556E00"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517" w:type="pct"/>
            <w:tcBorders>
              <w:top w:val="nil"/>
              <w:left w:val="nil"/>
              <w:bottom w:val="nil"/>
              <w:right w:val="nil"/>
            </w:tcBorders>
            <w:shd w:val="clear" w:color="auto" w:fill="auto"/>
            <w:noWrap/>
            <w:vAlign w:val="center"/>
          </w:tcPr>
          <w:p w14:paraId="1669BC96" w14:textId="77777777" w:rsidR="00AA49E3" w:rsidRPr="00894701" w:rsidRDefault="00AA49E3" w:rsidP="00AA49E3">
            <w:pPr>
              <w:spacing w:after="0" w:line="240" w:lineRule="auto"/>
              <w:jc w:val="right"/>
              <w:rPr>
                <w:rFonts w:cs="Arial"/>
                <w:color w:val="000000"/>
                <w:kern w:val="0"/>
                <w:sz w:val="16"/>
                <w:szCs w:val="16"/>
              </w:rPr>
            </w:pPr>
            <w:r w:rsidRPr="00894701">
              <w:rPr>
                <w:rFonts w:cs="Arial"/>
                <w:color w:val="auto"/>
                <w:sz w:val="16"/>
                <w:szCs w:val="16"/>
              </w:rPr>
              <w:t>-</w:t>
            </w:r>
          </w:p>
        </w:tc>
        <w:tc>
          <w:tcPr>
            <w:tcW w:w="419" w:type="pct"/>
            <w:tcBorders>
              <w:top w:val="nil"/>
              <w:left w:val="nil"/>
              <w:bottom w:val="nil"/>
              <w:right w:val="single" w:sz="8" w:space="0" w:color="FF0000"/>
            </w:tcBorders>
            <w:shd w:val="clear" w:color="auto" w:fill="auto"/>
            <w:noWrap/>
            <w:vAlign w:val="center"/>
          </w:tcPr>
          <w:p w14:paraId="71747E03" w14:textId="77777777" w:rsidR="00AA49E3" w:rsidRPr="00894701" w:rsidRDefault="00AA49E3" w:rsidP="00AA49E3">
            <w:pPr>
              <w:spacing w:after="0" w:line="240" w:lineRule="auto"/>
              <w:jc w:val="right"/>
              <w:rPr>
                <w:rFonts w:cs="Arial"/>
                <w:color w:val="000000"/>
                <w:kern w:val="0"/>
                <w:sz w:val="16"/>
                <w:szCs w:val="16"/>
              </w:rPr>
            </w:pPr>
          </w:p>
        </w:tc>
      </w:tr>
      <w:tr w:rsidR="002F4BAB" w:rsidRPr="00894701" w14:paraId="0CCC9B11" w14:textId="77777777" w:rsidTr="00AA49E3">
        <w:trPr>
          <w:trHeight w:val="227"/>
          <w:jc w:val="center"/>
        </w:trPr>
        <w:tc>
          <w:tcPr>
            <w:tcW w:w="845" w:type="pct"/>
            <w:gridSpan w:val="2"/>
            <w:tcBorders>
              <w:top w:val="nil"/>
              <w:left w:val="single" w:sz="8" w:space="0" w:color="FF0000"/>
              <w:bottom w:val="nil"/>
              <w:right w:val="nil"/>
            </w:tcBorders>
            <w:shd w:val="clear" w:color="000000" w:fill="C0A99E"/>
            <w:noWrap/>
            <w:tcMar>
              <w:left w:w="28" w:type="dxa"/>
              <w:right w:w="28" w:type="dxa"/>
            </w:tcMar>
            <w:vAlign w:val="center"/>
            <w:hideMark/>
          </w:tcPr>
          <w:p w14:paraId="0336BEB1" w14:textId="77777777" w:rsidR="002F4BAB" w:rsidRPr="00894701" w:rsidRDefault="002F4BAB" w:rsidP="002209C2">
            <w:pPr>
              <w:spacing w:after="0" w:line="240" w:lineRule="auto"/>
              <w:rPr>
                <w:rFonts w:cs="Arial"/>
                <w:b/>
                <w:bCs/>
                <w:color w:val="auto"/>
                <w:kern w:val="0"/>
                <w:sz w:val="16"/>
                <w:szCs w:val="16"/>
              </w:rPr>
            </w:pPr>
            <w:r w:rsidRPr="00894701">
              <w:rPr>
                <w:rFonts w:cs="Arial"/>
                <w:b/>
                <w:bCs/>
                <w:color w:val="auto"/>
                <w:kern w:val="0"/>
                <w:sz w:val="16"/>
                <w:szCs w:val="16"/>
              </w:rPr>
              <w:t>State Owned Entities</w:t>
            </w:r>
          </w:p>
        </w:tc>
        <w:tc>
          <w:tcPr>
            <w:tcW w:w="464" w:type="pct"/>
            <w:tcBorders>
              <w:top w:val="nil"/>
              <w:left w:val="nil"/>
              <w:bottom w:val="nil"/>
              <w:right w:val="nil"/>
            </w:tcBorders>
            <w:shd w:val="clear" w:color="000000" w:fill="C0A99E"/>
            <w:noWrap/>
            <w:vAlign w:val="center"/>
          </w:tcPr>
          <w:p w14:paraId="663E4864" w14:textId="77777777" w:rsidR="002F4BAB" w:rsidRPr="00894701" w:rsidRDefault="002F4BAB" w:rsidP="002209C2">
            <w:pPr>
              <w:spacing w:after="0" w:line="240" w:lineRule="auto"/>
              <w:jc w:val="right"/>
              <w:rPr>
                <w:rFonts w:cs="Arial"/>
                <w:b/>
                <w:bCs/>
                <w:color w:val="auto"/>
                <w:kern w:val="0"/>
                <w:sz w:val="16"/>
                <w:szCs w:val="16"/>
              </w:rPr>
            </w:pPr>
            <w:r w:rsidRPr="00894701">
              <w:rPr>
                <w:rFonts w:cs="Arial"/>
                <w:color w:val="auto"/>
                <w:sz w:val="16"/>
                <w:szCs w:val="16"/>
              </w:rPr>
              <w:t>-</w:t>
            </w:r>
          </w:p>
        </w:tc>
        <w:tc>
          <w:tcPr>
            <w:tcW w:w="509" w:type="pct"/>
            <w:tcBorders>
              <w:top w:val="nil"/>
              <w:left w:val="nil"/>
              <w:bottom w:val="nil"/>
              <w:right w:val="nil"/>
            </w:tcBorders>
            <w:shd w:val="clear" w:color="000000" w:fill="C0A99E"/>
            <w:noWrap/>
            <w:vAlign w:val="center"/>
          </w:tcPr>
          <w:p w14:paraId="7E6C1817" w14:textId="77777777" w:rsidR="002F4BAB" w:rsidRPr="00894701" w:rsidRDefault="002F4BAB" w:rsidP="002209C2">
            <w:pPr>
              <w:spacing w:after="0" w:line="240" w:lineRule="auto"/>
              <w:jc w:val="right"/>
              <w:rPr>
                <w:rFonts w:cs="Arial"/>
                <w:b/>
                <w:bCs/>
                <w:color w:val="auto"/>
                <w:kern w:val="0"/>
                <w:sz w:val="16"/>
                <w:szCs w:val="16"/>
              </w:rPr>
            </w:pPr>
            <w:r w:rsidRPr="00894701">
              <w:rPr>
                <w:rFonts w:cs="Arial"/>
                <w:color w:val="auto"/>
                <w:sz w:val="16"/>
                <w:szCs w:val="16"/>
              </w:rPr>
              <w:t>-</w:t>
            </w:r>
          </w:p>
        </w:tc>
        <w:tc>
          <w:tcPr>
            <w:tcW w:w="467" w:type="pct"/>
            <w:tcBorders>
              <w:top w:val="nil"/>
              <w:left w:val="nil"/>
              <w:bottom w:val="nil"/>
              <w:right w:val="nil"/>
            </w:tcBorders>
            <w:shd w:val="clear" w:color="000000" w:fill="C0A99E"/>
            <w:noWrap/>
            <w:vAlign w:val="center"/>
          </w:tcPr>
          <w:p w14:paraId="13E5338D" w14:textId="77777777" w:rsidR="002F4BAB" w:rsidRPr="00894701" w:rsidRDefault="002F4BAB" w:rsidP="002209C2">
            <w:pPr>
              <w:spacing w:after="0" w:line="240" w:lineRule="auto"/>
              <w:jc w:val="right"/>
              <w:rPr>
                <w:rFonts w:cs="Arial"/>
                <w:b/>
                <w:bCs/>
                <w:color w:val="auto"/>
                <w:kern w:val="0"/>
                <w:sz w:val="16"/>
                <w:szCs w:val="16"/>
              </w:rPr>
            </w:pPr>
            <w:r w:rsidRPr="00894701">
              <w:rPr>
                <w:rFonts w:cs="Arial"/>
                <w:color w:val="auto"/>
                <w:sz w:val="16"/>
                <w:szCs w:val="16"/>
              </w:rPr>
              <w:t>-</w:t>
            </w:r>
          </w:p>
        </w:tc>
        <w:tc>
          <w:tcPr>
            <w:tcW w:w="460" w:type="pct"/>
            <w:tcBorders>
              <w:top w:val="nil"/>
              <w:left w:val="nil"/>
              <w:bottom w:val="nil"/>
              <w:right w:val="nil"/>
            </w:tcBorders>
            <w:shd w:val="clear" w:color="000000" w:fill="C0A99E"/>
            <w:noWrap/>
            <w:vAlign w:val="center"/>
          </w:tcPr>
          <w:p w14:paraId="5AF7722D" w14:textId="77777777" w:rsidR="002F4BAB" w:rsidRPr="00894701" w:rsidRDefault="002F4BAB" w:rsidP="002209C2">
            <w:pPr>
              <w:spacing w:after="0" w:line="240" w:lineRule="auto"/>
              <w:jc w:val="right"/>
              <w:rPr>
                <w:rFonts w:cs="Arial"/>
                <w:b/>
                <w:bCs/>
                <w:color w:val="auto"/>
                <w:kern w:val="0"/>
                <w:sz w:val="16"/>
                <w:szCs w:val="16"/>
              </w:rPr>
            </w:pPr>
            <w:r w:rsidRPr="00894701">
              <w:rPr>
                <w:rFonts w:cs="Arial"/>
                <w:color w:val="auto"/>
                <w:sz w:val="16"/>
                <w:szCs w:val="16"/>
              </w:rPr>
              <w:t>-</w:t>
            </w:r>
          </w:p>
        </w:tc>
        <w:tc>
          <w:tcPr>
            <w:tcW w:w="425" w:type="pct"/>
            <w:tcBorders>
              <w:top w:val="nil"/>
              <w:left w:val="nil"/>
              <w:bottom w:val="nil"/>
              <w:right w:val="nil"/>
            </w:tcBorders>
            <w:shd w:val="clear" w:color="000000" w:fill="C0A99E"/>
            <w:noWrap/>
            <w:vAlign w:val="center"/>
          </w:tcPr>
          <w:p w14:paraId="61E40CE6" w14:textId="77777777" w:rsidR="002F4BAB" w:rsidRPr="00894701" w:rsidRDefault="002F4BAB" w:rsidP="002209C2">
            <w:pPr>
              <w:spacing w:after="0" w:line="240" w:lineRule="auto"/>
              <w:jc w:val="right"/>
              <w:rPr>
                <w:rFonts w:cs="Arial"/>
                <w:b/>
                <w:bCs/>
                <w:color w:val="auto"/>
                <w:kern w:val="0"/>
                <w:sz w:val="16"/>
                <w:szCs w:val="16"/>
              </w:rPr>
            </w:pPr>
            <w:r w:rsidRPr="00894701">
              <w:rPr>
                <w:rFonts w:cs="Arial"/>
                <w:color w:val="auto"/>
                <w:sz w:val="16"/>
                <w:szCs w:val="16"/>
              </w:rPr>
              <w:t>-</w:t>
            </w:r>
          </w:p>
        </w:tc>
        <w:tc>
          <w:tcPr>
            <w:tcW w:w="426" w:type="pct"/>
            <w:tcBorders>
              <w:top w:val="nil"/>
              <w:left w:val="nil"/>
              <w:bottom w:val="nil"/>
              <w:right w:val="nil"/>
            </w:tcBorders>
            <w:shd w:val="clear" w:color="000000" w:fill="C0A99E"/>
            <w:noWrap/>
            <w:vAlign w:val="center"/>
          </w:tcPr>
          <w:p w14:paraId="04CFCA9F" w14:textId="77777777" w:rsidR="002F4BAB" w:rsidRPr="00894701" w:rsidRDefault="002F4BAB" w:rsidP="002209C2">
            <w:pPr>
              <w:spacing w:after="0" w:line="240" w:lineRule="auto"/>
              <w:jc w:val="right"/>
              <w:rPr>
                <w:rFonts w:cs="Arial"/>
                <w:b/>
                <w:bCs/>
                <w:color w:val="auto"/>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000000" w:fill="C0A99E"/>
            <w:noWrap/>
            <w:vAlign w:val="center"/>
          </w:tcPr>
          <w:p w14:paraId="329CDAED" w14:textId="77777777" w:rsidR="002F4BAB" w:rsidRPr="00894701" w:rsidRDefault="002F4BAB" w:rsidP="002209C2">
            <w:pPr>
              <w:spacing w:after="0" w:line="240" w:lineRule="auto"/>
              <w:jc w:val="right"/>
              <w:rPr>
                <w:rFonts w:cs="Arial"/>
                <w:b/>
                <w:bCs/>
                <w:color w:val="auto"/>
                <w:kern w:val="0"/>
                <w:sz w:val="16"/>
                <w:szCs w:val="16"/>
              </w:rPr>
            </w:pPr>
            <w:r w:rsidRPr="00894701">
              <w:rPr>
                <w:rFonts w:cs="Arial"/>
                <w:color w:val="auto"/>
                <w:sz w:val="16"/>
                <w:szCs w:val="16"/>
              </w:rPr>
              <w:t>-</w:t>
            </w:r>
          </w:p>
        </w:tc>
        <w:tc>
          <w:tcPr>
            <w:tcW w:w="517" w:type="pct"/>
            <w:tcBorders>
              <w:top w:val="nil"/>
              <w:left w:val="nil"/>
              <w:bottom w:val="nil"/>
              <w:right w:val="nil"/>
            </w:tcBorders>
            <w:shd w:val="clear" w:color="000000" w:fill="C0A99E"/>
            <w:noWrap/>
            <w:vAlign w:val="center"/>
          </w:tcPr>
          <w:p w14:paraId="46879388" w14:textId="77777777" w:rsidR="002F4BAB" w:rsidRPr="00894701" w:rsidRDefault="002F4BAB" w:rsidP="002209C2">
            <w:pPr>
              <w:spacing w:after="0" w:line="240" w:lineRule="auto"/>
              <w:jc w:val="right"/>
              <w:rPr>
                <w:rFonts w:cs="Arial"/>
                <w:b/>
                <w:bCs/>
                <w:color w:val="auto"/>
                <w:kern w:val="0"/>
                <w:sz w:val="16"/>
                <w:szCs w:val="16"/>
              </w:rPr>
            </w:pPr>
            <w:r w:rsidRPr="00894701">
              <w:rPr>
                <w:rFonts w:cs="Arial"/>
                <w:color w:val="auto"/>
                <w:sz w:val="16"/>
                <w:szCs w:val="16"/>
              </w:rPr>
              <w:t>-</w:t>
            </w:r>
          </w:p>
        </w:tc>
        <w:tc>
          <w:tcPr>
            <w:tcW w:w="419" w:type="pct"/>
            <w:tcBorders>
              <w:top w:val="nil"/>
              <w:left w:val="nil"/>
              <w:bottom w:val="nil"/>
              <w:right w:val="nil"/>
            </w:tcBorders>
            <w:shd w:val="clear" w:color="000000" w:fill="C0A99E"/>
            <w:noWrap/>
            <w:vAlign w:val="center"/>
          </w:tcPr>
          <w:p w14:paraId="5A33B5A7" w14:textId="77777777" w:rsidR="002F4BAB" w:rsidRPr="00894701" w:rsidRDefault="002F4BAB" w:rsidP="002209C2">
            <w:pPr>
              <w:spacing w:after="0" w:line="240" w:lineRule="auto"/>
              <w:jc w:val="right"/>
              <w:rPr>
                <w:rFonts w:cs="Arial"/>
                <w:b/>
                <w:bCs/>
                <w:color w:val="auto"/>
                <w:kern w:val="0"/>
                <w:sz w:val="16"/>
                <w:szCs w:val="16"/>
              </w:rPr>
            </w:pPr>
            <w:r w:rsidRPr="00894701">
              <w:rPr>
                <w:rFonts w:cs="Arial"/>
                <w:color w:val="auto"/>
                <w:sz w:val="16"/>
                <w:szCs w:val="16"/>
              </w:rPr>
              <w:t>-</w:t>
            </w:r>
          </w:p>
        </w:tc>
      </w:tr>
      <w:tr w:rsidR="002F4BAB" w:rsidRPr="00894701" w14:paraId="67A3B508" w14:textId="77777777" w:rsidTr="00AA49E3">
        <w:trPr>
          <w:trHeight w:val="227"/>
          <w:jc w:val="center"/>
        </w:trPr>
        <w:tc>
          <w:tcPr>
            <w:tcW w:w="150" w:type="pct"/>
            <w:tcBorders>
              <w:top w:val="nil"/>
              <w:left w:val="single" w:sz="8" w:space="0" w:color="FF0000"/>
              <w:bottom w:val="nil"/>
              <w:right w:val="nil"/>
            </w:tcBorders>
            <w:shd w:val="clear" w:color="auto" w:fill="auto"/>
            <w:noWrap/>
            <w:tcMar>
              <w:left w:w="28" w:type="dxa"/>
              <w:right w:w="28" w:type="dxa"/>
            </w:tcMar>
            <w:vAlign w:val="center"/>
            <w:hideMark/>
          </w:tcPr>
          <w:p w14:paraId="20659506" w14:textId="77777777"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5.1</w:t>
            </w:r>
          </w:p>
        </w:tc>
        <w:tc>
          <w:tcPr>
            <w:tcW w:w="695" w:type="pct"/>
            <w:tcBorders>
              <w:top w:val="nil"/>
              <w:left w:val="nil"/>
              <w:bottom w:val="nil"/>
              <w:right w:val="nil"/>
            </w:tcBorders>
            <w:shd w:val="clear" w:color="auto" w:fill="auto"/>
            <w:noWrap/>
            <w:vAlign w:val="center"/>
            <w:hideMark/>
          </w:tcPr>
          <w:p w14:paraId="7412C358" w14:textId="77777777"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Products in-kind</w:t>
            </w:r>
          </w:p>
        </w:tc>
        <w:tc>
          <w:tcPr>
            <w:tcW w:w="464" w:type="pct"/>
            <w:tcBorders>
              <w:top w:val="nil"/>
              <w:left w:val="nil"/>
              <w:bottom w:val="nil"/>
              <w:right w:val="nil"/>
            </w:tcBorders>
            <w:shd w:val="clear" w:color="auto" w:fill="auto"/>
            <w:noWrap/>
            <w:vAlign w:val="center"/>
          </w:tcPr>
          <w:p w14:paraId="0EDD01B4"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auto"/>
                <w:sz w:val="16"/>
                <w:szCs w:val="16"/>
              </w:rPr>
              <w:t>-</w:t>
            </w:r>
          </w:p>
        </w:tc>
        <w:tc>
          <w:tcPr>
            <w:tcW w:w="509" w:type="pct"/>
            <w:tcBorders>
              <w:top w:val="nil"/>
              <w:left w:val="nil"/>
              <w:bottom w:val="nil"/>
              <w:right w:val="nil"/>
            </w:tcBorders>
            <w:shd w:val="clear" w:color="auto" w:fill="auto"/>
            <w:noWrap/>
            <w:vAlign w:val="center"/>
          </w:tcPr>
          <w:p w14:paraId="4F971E3F"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auto"/>
                <w:sz w:val="16"/>
                <w:szCs w:val="16"/>
              </w:rPr>
              <w:t>-</w:t>
            </w:r>
          </w:p>
        </w:tc>
        <w:tc>
          <w:tcPr>
            <w:tcW w:w="467" w:type="pct"/>
            <w:tcBorders>
              <w:top w:val="nil"/>
              <w:left w:val="nil"/>
              <w:bottom w:val="nil"/>
              <w:right w:val="nil"/>
            </w:tcBorders>
            <w:shd w:val="clear" w:color="auto" w:fill="auto"/>
            <w:noWrap/>
            <w:vAlign w:val="center"/>
          </w:tcPr>
          <w:p w14:paraId="73703824"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auto"/>
                <w:sz w:val="16"/>
                <w:szCs w:val="16"/>
              </w:rPr>
              <w:t>-</w:t>
            </w:r>
          </w:p>
        </w:tc>
        <w:tc>
          <w:tcPr>
            <w:tcW w:w="460" w:type="pct"/>
            <w:tcBorders>
              <w:top w:val="nil"/>
              <w:left w:val="nil"/>
              <w:bottom w:val="nil"/>
              <w:right w:val="nil"/>
            </w:tcBorders>
            <w:shd w:val="clear" w:color="auto" w:fill="auto"/>
            <w:noWrap/>
            <w:vAlign w:val="center"/>
          </w:tcPr>
          <w:p w14:paraId="3326B471"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auto"/>
                <w:sz w:val="16"/>
                <w:szCs w:val="16"/>
              </w:rPr>
              <w:t>-</w:t>
            </w:r>
          </w:p>
        </w:tc>
        <w:tc>
          <w:tcPr>
            <w:tcW w:w="425" w:type="pct"/>
            <w:tcBorders>
              <w:top w:val="nil"/>
              <w:left w:val="nil"/>
              <w:bottom w:val="nil"/>
              <w:right w:val="nil"/>
            </w:tcBorders>
            <w:shd w:val="clear" w:color="auto" w:fill="auto"/>
            <w:noWrap/>
            <w:vAlign w:val="center"/>
          </w:tcPr>
          <w:p w14:paraId="6EE51429"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auto"/>
                <w:sz w:val="16"/>
                <w:szCs w:val="16"/>
              </w:rPr>
              <w:t>-</w:t>
            </w:r>
          </w:p>
        </w:tc>
        <w:tc>
          <w:tcPr>
            <w:tcW w:w="426" w:type="pct"/>
            <w:tcBorders>
              <w:top w:val="nil"/>
              <w:left w:val="nil"/>
              <w:bottom w:val="nil"/>
              <w:right w:val="nil"/>
            </w:tcBorders>
            <w:shd w:val="clear" w:color="auto" w:fill="auto"/>
            <w:noWrap/>
            <w:vAlign w:val="center"/>
          </w:tcPr>
          <w:p w14:paraId="6543632D"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auto" w:fill="auto"/>
            <w:noWrap/>
            <w:vAlign w:val="center"/>
          </w:tcPr>
          <w:p w14:paraId="65409FF8"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auto"/>
                <w:sz w:val="16"/>
                <w:szCs w:val="16"/>
              </w:rPr>
              <w:t>-</w:t>
            </w:r>
          </w:p>
        </w:tc>
        <w:tc>
          <w:tcPr>
            <w:tcW w:w="517" w:type="pct"/>
            <w:tcBorders>
              <w:top w:val="nil"/>
              <w:left w:val="nil"/>
              <w:bottom w:val="nil"/>
              <w:right w:val="nil"/>
            </w:tcBorders>
            <w:shd w:val="clear" w:color="auto" w:fill="auto"/>
            <w:noWrap/>
            <w:vAlign w:val="center"/>
          </w:tcPr>
          <w:p w14:paraId="7B45D923"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auto"/>
                <w:sz w:val="16"/>
                <w:szCs w:val="16"/>
              </w:rPr>
              <w:t>-</w:t>
            </w:r>
          </w:p>
        </w:tc>
        <w:tc>
          <w:tcPr>
            <w:tcW w:w="419" w:type="pct"/>
            <w:tcBorders>
              <w:top w:val="nil"/>
              <w:left w:val="nil"/>
              <w:bottom w:val="nil"/>
              <w:right w:val="single" w:sz="8" w:space="0" w:color="FF0000"/>
            </w:tcBorders>
            <w:shd w:val="clear" w:color="auto" w:fill="auto"/>
            <w:noWrap/>
            <w:vAlign w:val="center"/>
          </w:tcPr>
          <w:p w14:paraId="41A81112" w14:textId="77777777" w:rsidR="002F4BAB" w:rsidRPr="00894701" w:rsidRDefault="002F4BAB" w:rsidP="002209C2">
            <w:pPr>
              <w:spacing w:after="0" w:line="240" w:lineRule="auto"/>
              <w:jc w:val="right"/>
              <w:rPr>
                <w:rFonts w:cs="Arial"/>
                <w:color w:val="000000"/>
                <w:kern w:val="0"/>
                <w:sz w:val="16"/>
                <w:szCs w:val="16"/>
              </w:rPr>
            </w:pPr>
          </w:p>
        </w:tc>
      </w:tr>
      <w:tr w:rsidR="00480196" w:rsidRPr="00894701" w14:paraId="36ECE6C1" w14:textId="77777777" w:rsidTr="00AA49E3">
        <w:trPr>
          <w:trHeight w:val="227"/>
          <w:jc w:val="center"/>
        </w:trPr>
        <w:tc>
          <w:tcPr>
            <w:tcW w:w="150" w:type="pct"/>
            <w:tcBorders>
              <w:top w:val="nil"/>
              <w:left w:val="single" w:sz="8" w:space="0" w:color="FF0000"/>
              <w:bottom w:val="single" w:sz="8" w:space="0" w:color="FF0000"/>
              <w:right w:val="nil"/>
            </w:tcBorders>
            <w:shd w:val="clear" w:color="000000" w:fill="7A091A"/>
            <w:tcMar>
              <w:left w:w="28" w:type="dxa"/>
              <w:right w:w="28" w:type="dxa"/>
            </w:tcMar>
            <w:vAlign w:val="center"/>
            <w:hideMark/>
          </w:tcPr>
          <w:p w14:paraId="0E64D76A" w14:textId="77777777" w:rsidR="00480196" w:rsidRPr="00894701" w:rsidRDefault="00480196" w:rsidP="00480196">
            <w:pPr>
              <w:spacing w:after="0" w:line="240" w:lineRule="auto"/>
              <w:rPr>
                <w:rFonts w:cs="Arial"/>
                <w:b/>
                <w:bCs/>
                <w:color w:val="FFFFFF"/>
                <w:kern w:val="0"/>
                <w:sz w:val="16"/>
                <w:szCs w:val="16"/>
              </w:rPr>
            </w:pPr>
            <w:r w:rsidRPr="00894701">
              <w:rPr>
                <w:rFonts w:cs="Arial"/>
                <w:b/>
                <w:bCs/>
                <w:color w:val="FFFFFF"/>
                <w:kern w:val="0"/>
                <w:sz w:val="16"/>
                <w:szCs w:val="16"/>
              </w:rPr>
              <w:t> </w:t>
            </w:r>
          </w:p>
        </w:tc>
        <w:tc>
          <w:tcPr>
            <w:tcW w:w="695" w:type="pct"/>
            <w:tcBorders>
              <w:top w:val="nil"/>
              <w:left w:val="nil"/>
              <w:bottom w:val="single" w:sz="8" w:space="0" w:color="FF0000"/>
              <w:right w:val="nil"/>
            </w:tcBorders>
            <w:shd w:val="clear" w:color="000000" w:fill="7A091A"/>
            <w:vAlign w:val="center"/>
            <w:hideMark/>
          </w:tcPr>
          <w:p w14:paraId="4DA8B960" w14:textId="21008D25" w:rsidR="00480196" w:rsidRPr="00894701" w:rsidRDefault="00480196" w:rsidP="00480196">
            <w:pPr>
              <w:spacing w:after="0" w:line="240" w:lineRule="auto"/>
              <w:rPr>
                <w:rFonts w:cs="Arial"/>
                <w:b/>
                <w:bCs/>
                <w:color w:val="FFFFFF"/>
                <w:kern w:val="0"/>
                <w:sz w:val="16"/>
                <w:szCs w:val="16"/>
              </w:rPr>
            </w:pPr>
            <w:r w:rsidRPr="00894701">
              <w:rPr>
                <w:rFonts w:cs="Arial"/>
                <w:b/>
                <w:bCs/>
                <w:color w:val="FFFFFF"/>
                <w:kern w:val="0"/>
                <w:sz w:val="16"/>
                <w:szCs w:val="16"/>
              </w:rPr>
              <w:t>Total payments</w:t>
            </w:r>
          </w:p>
        </w:tc>
        <w:tc>
          <w:tcPr>
            <w:tcW w:w="464" w:type="pct"/>
            <w:tcBorders>
              <w:top w:val="nil"/>
              <w:left w:val="nil"/>
              <w:bottom w:val="single" w:sz="8" w:space="0" w:color="FF0000"/>
              <w:right w:val="nil"/>
            </w:tcBorders>
            <w:shd w:val="clear" w:color="000000" w:fill="7A091A"/>
            <w:vAlign w:val="center"/>
          </w:tcPr>
          <w:p w14:paraId="5CDC76BC" w14:textId="785A8859" w:rsidR="00480196" w:rsidRPr="00894701" w:rsidRDefault="00480196" w:rsidP="00480196">
            <w:pPr>
              <w:spacing w:after="0" w:line="240" w:lineRule="auto"/>
              <w:jc w:val="right"/>
              <w:rPr>
                <w:rFonts w:cs="Arial"/>
                <w:b/>
                <w:bCs/>
                <w:color w:val="FFFFFF"/>
                <w:kern w:val="0"/>
                <w:sz w:val="16"/>
                <w:szCs w:val="16"/>
              </w:rPr>
            </w:pPr>
            <w:r w:rsidRPr="00894701">
              <w:rPr>
                <w:rFonts w:cs="Arial"/>
                <w:b/>
                <w:bCs/>
                <w:color w:val="FFFFFF"/>
                <w:sz w:val="16"/>
                <w:szCs w:val="16"/>
              </w:rPr>
              <w:t>413,347,134</w:t>
            </w:r>
          </w:p>
        </w:tc>
        <w:tc>
          <w:tcPr>
            <w:tcW w:w="509" w:type="pct"/>
            <w:tcBorders>
              <w:top w:val="nil"/>
              <w:left w:val="nil"/>
              <w:bottom w:val="single" w:sz="8" w:space="0" w:color="FF0000"/>
              <w:right w:val="nil"/>
            </w:tcBorders>
            <w:shd w:val="clear" w:color="000000" w:fill="7A091A"/>
            <w:vAlign w:val="center"/>
          </w:tcPr>
          <w:p w14:paraId="10C3E27E" w14:textId="442DC068" w:rsidR="00480196" w:rsidRPr="00894701" w:rsidRDefault="00480196" w:rsidP="00480196">
            <w:pPr>
              <w:spacing w:after="0" w:line="240" w:lineRule="auto"/>
              <w:jc w:val="right"/>
              <w:rPr>
                <w:rFonts w:cs="Arial"/>
                <w:b/>
                <w:bCs/>
                <w:color w:val="FFFFFF"/>
                <w:kern w:val="0"/>
                <w:sz w:val="16"/>
                <w:szCs w:val="16"/>
              </w:rPr>
            </w:pPr>
            <w:r w:rsidRPr="00894701">
              <w:rPr>
                <w:rFonts w:cs="Arial"/>
                <w:b/>
                <w:bCs/>
                <w:color w:val="FFFFFF"/>
                <w:sz w:val="16"/>
                <w:szCs w:val="16"/>
              </w:rPr>
              <w:t>370,760,295</w:t>
            </w:r>
          </w:p>
        </w:tc>
        <w:tc>
          <w:tcPr>
            <w:tcW w:w="467" w:type="pct"/>
            <w:tcBorders>
              <w:top w:val="nil"/>
              <w:left w:val="nil"/>
              <w:bottom w:val="single" w:sz="8" w:space="0" w:color="FF0000"/>
              <w:right w:val="nil"/>
            </w:tcBorders>
            <w:shd w:val="clear" w:color="000000" w:fill="7A091A"/>
            <w:vAlign w:val="center"/>
          </w:tcPr>
          <w:p w14:paraId="45D4A73B" w14:textId="2A3B3C36" w:rsidR="00480196" w:rsidRPr="00894701" w:rsidRDefault="00480196" w:rsidP="00480196">
            <w:pPr>
              <w:spacing w:after="0" w:line="240" w:lineRule="auto"/>
              <w:jc w:val="right"/>
              <w:rPr>
                <w:rFonts w:cs="Arial"/>
                <w:b/>
                <w:bCs/>
                <w:color w:val="FFFFFF"/>
                <w:kern w:val="0"/>
                <w:sz w:val="16"/>
                <w:szCs w:val="16"/>
              </w:rPr>
            </w:pPr>
            <w:r w:rsidRPr="00894701">
              <w:rPr>
                <w:rFonts w:cs="Arial"/>
                <w:b/>
                <w:bCs/>
                <w:color w:val="FFFFFF"/>
                <w:sz w:val="16"/>
                <w:szCs w:val="16"/>
              </w:rPr>
              <w:t>42,586,839</w:t>
            </w:r>
          </w:p>
        </w:tc>
        <w:tc>
          <w:tcPr>
            <w:tcW w:w="460" w:type="pct"/>
            <w:tcBorders>
              <w:top w:val="nil"/>
              <w:left w:val="nil"/>
              <w:bottom w:val="single" w:sz="8" w:space="0" w:color="FF0000"/>
              <w:right w:val="nil"/>
            </w:tcBorders>
            <w:shd w:val="clear" w:color="000000" w:fill="7A091A"/>
            <w:vAlign w:val="center"/>
          </w:tcPr>
          <w:p w14:paraId="0A2069C3" w14:textId="3D81A2B5" w:rsidR="00480196" w:rsidRPr="00894701" w:rsidRDefault="00480196" w:rsidP="00480196">
            <w:pPr>
              <w:spacing w:after="0" w:line="240" w:lineRule="auto"/>
              <w:jc w:val="right"/>
              <w:rPr>
                <w:rFonts w:cs="Arial"/>
                <w:b/>
                <w:bCs/>
                <w:color w:val="FFFFFF"/>
                <w:kern w:val="0"/>
                <w:sz w:val="16"/>
                <w:szCs w:val="16"/>
              </w:rPr>
            </w:pPr>
            <w:r w:rsidRPr="00894701">
              <w:rPr>
                <w:rFonts w:cs="Arial"/>
                <w:b/>
                <w:bCs/>
                <w:color w:val="FFFFFF"/>
                <w:sz w:val="16"/>
                <w:szCs w:val="16"/>
              </w:rPr>
              <w:t>(113,242,939)</w:t>
            </w:r>
          </w:p>
        </w:tc>
        <w:tc>
          <w:tcPr>
            <w:tcW w:w="425" w:type="pct"/>
            <w:tcBorders>
              <w:top w:val="nil"/>
              <w:left w:val="nil"/>
              <w:bottom w:val="single" w:sz="8" w:space="0" w:color="FF0000"/>
              <w:right w:val="nil"/>
            </w:tcBorders>
            <w:shd w:val="clear" w:color="000000" w:fill="7A091A"/>
            <w:vAlign w:val="center"/>
          </w:tcPr>
          <w:p w14:paraId="188623D3" w14:textId="314BD159" w:rsidR="00480196" w:rsidRPr="00894701" w:rsidRDefault="00480196" w:rsidP="00480196">
            <w:pPr>
              <w:spacing w:after="0" w:line="240" w:lineRule="auto"/>
              <w:jc w:val="right"/>
              <w:rPr>
                <w:rFonts w:cs="Arial"/>
                <w:b/>
                <w:bCs/>
                <w:color w:val="FFFFFF"/>
                <w:kern w:val="0"/>
                <w:sz w:val="16"/>
                <w:szCs w:val="16"/>
              </w:rPr>
            </w:pPr>
            <w:r w:rsidRPr="00894701">
              <w:rPr>
                <w:rFonts w:cs="Arial"/>
                <w:b/>
                <w:bCs/>
                <w:color w:val="FFFFFF"/>
                <w:sz w:val="16"/>
                <w:szCs w:val="16"/>
              </w:rPr>
              <w:t>(94,741,589)</w:t>
            </w:r>
          </w:p>
        </w:tc>
        <w:tc>
          <w:tcPr>
            <w:tcW w:w="426" w:type="pct"/>
            <w:tcBorders>
              <w:top w:val="nil"/>
              <w:left w:val="nil"/>
              <w:bottom w:val="single" w:sz="8" w:space="0" w:color="FF0000"/>
              <w:right w:val="nil"/>
            </w:tcBorders>
            <w:shd w:val="clear" w:color="000000" w:fill="7A091A"/>
            <w:vAlign w:val="center"/>
          </w:tcPr>
          <w:p w14:paraId="6D192227" w14:textId="44AB03C5" w:rsidR="00480196" w:rsidRPr="00894701" w:rsidRDefault="00480196" w:rsidP="00480196">
            <w:pPr>
              <w:spacing w:after="0" w:line="240" w:lineRule="auto"/>
              <w:jc w:val="right"/>
              <w:rPr>
                <w:rFonts w:cs="Arial"/>
                <w:b/>
                <w:bCs/>
                <w:color w:val="FFFFFF"/>
                <w:kern w:val="0"/>
                <w:sz w:val="16"/>
                <w:szCs w:val="16"/>
              </w:rPr>
            </w:pPr>
            <w:r w:rsidRPr="00894701">
              <w:rPr>
                <w:rFonts w:cs="Arial"/>
                <w:b/>
                <w:bCs/>
                <w:color w:val="FFFFFF"/>
                <w:sz w:val="16"/>
                <w:szCs w:val="16"/>
              </w:rPr>
              <w:t>(18,501,350)</w:t>
            </w:r>
          </w:p>
        </w:tc>
        <w:tc>
          <w:tcPr>
            <w:tcW w:w="468" w:type="pct"/>
            <w:tcBorders>
              <w:top w:val="nil"/>
              <w:left w:val="nil"/>
              <w:bottom w:val="single" w:sz="8" w:space="0" w:color="FF0000"/>
              <w:right w:val="nil"/>
            </w:tcBorders>
            <w:shd w:val="clear" w:color="000000" w:fill="7A091A"/>
            <w:vAlign w:val="center"/>
          </w:tcPr>
          <w:p w14:paraId="78401D76" w14:textId="6FBC7E7F" w:rsidR="00480196" w:rsidRPr="00894701" w:rsidRDefault="00480196" w:rsidP="00480196">
            <w:pPr>
              <w:spacing w:after="0" w:line="240" w:lineRule="auto"/>
              <w:jc w:val="right"/>
              <w:rPr>
                <w:rFonts w:cs="Arial"/>
                <w:b/>
                <w:bCs/>
                <w:color w:val="FFFFFF"/>
                <w:kern w:val="0"/>
                <w:sz w:val="16"/>
                <w:szCs w:val="16"/>
              </w:rPr>
            </w:pPr>
            <w:r w:rsidRPr="00894701">
              <w:rPr>
                <w:rFonts w:cs="Arial"/>
                <w:b/>
                <w:bCs/>
                <w:color w:val="FFFFFF"/>
                <w:sz w:val="16"/>
                <w:szCs w:val="16"/>
              </w:rPr>
              <w:t>300,104,195</w:t>
            </w:r>
          </w:p>
        </w:tc>
        <w:tc>
          <w:tcPr>
            <w:tcW w:w="517" w:type="pct"/>
            <w:tcBorders>
              <w:top w:val="nil"/>
              <w:left w:val="nil"/>
              <w:bottom w:val="single" w:sz="8" w:space="0" w:color="FF0000"/>
              <w:right w:val="nil"/>
            </w:tcBorders>
            <w:shd w:val="clear" w:color="000000" w:fill="7A091A"/>
            <w:vAlign w:val="center"/>
          </w:tcPr>
          <w:p w14:paraId="4EB73C44" w14:textId="2D4DB77D" w:rsidR="00480196" w:rsidRPr="00894701" w:rsidRDefault="00480196" w:rsidP="00480196">
            <w:pPr>
              <w:spacing w:after="0" w:line="240" w:lineRule="auto"/>
              <w:jc w:val="right"/>
              <w:rPr>
                <w:rFonts w:cs="Arial"/>
                <w:b/>
                <w:bCs/>
                <w:color w:val="FFFFFF"/>
                <w:kern w:val="0"/>
                <w:sz w:val="16"/>
                <w:szCs w:val="16"/>
              </w:rPr>
            </w:pPr>
            <w:r w:rsidRPr="00894701">
              <w:rPr>
                <w:rFonts w:cs="Arial"/>
                <w:b/>
                <w:bCs/>
                <w:color w:val="FFFFFF"/>
                <w:sz w:val="16"/>
                <w:szCs w:val="16"/>
              </w:rPr>
              <w:t>276,018,706</w:t>
            </w:r>
          </w:p>
        </w:tc>
        <w:tc>
          <w:tcPr>
            <w:tcW w:w="419" w:type="pct"/>
            <w:tcBorders>
              <w:top w:val="nil"/>
              <w:left w:val="nil"/>
              <w:bottom w:val="single" w:sz="8" w:space="0" w:color="FF0000"/>
              <w:right w:val="nil"/>
            </w:tcBorders>
            <w:shd w:val="clear" w:color="000000" w:fill="7A091A"/>
            <w:vAlign w:val="center"/>
          </w:tcPr>
          <w:p w14:paraId="668FD50B" w14:textId="1984F8E0" w:rsidR="00480196" w:rsidRPr="00894701" w:rsidRDefault="00480196" w:rsidP="00480196">
            <w:pPr>
              <w:spacing w:after="0" w:line="240" w:lineRule="auto"/>
              <w:jc w:val="right"/>
              <w:rPr>
                <w:rFonts w:cs="Arial"/>
                <w:b/>
                <w:bCs/>
                <w:color w:val="FFFFFF"/>
                <w:kern w:val="0"/>
                <w:sz w:val="16"/>
                <w:szCs w:val="16"/>
              </w:rPr>
            </w:pPr>
            <w:r w:rsidRPr="00894701">
              <w:rPr>
                <w:rFonts w:cs="Arial"/>
                <w:b/>
                <w:bCs/>
                <w:color w:val="FFFFFF"/>
                <w:sz w:val="16"/>
                <w:szCs w:val="16"/>
              </w:rPr>
              <w:t>24,085,489</w:t>
            </w:r>
          </w:p>
        </w:tc>
      </w:tr>
    </w:tbl>
    <w:p w14:paraId="67906D8F" w14:textId="32037FEF" w:rsidR="002F4BAB" w:rsidRPr="00894701" w:rsidRDefault="002F4BAB" w:rsidP="00D46191">
      <w:pPr>
        <w:spacing w:after="0" w:line="240" w:lineRule="auto"/>
        <w:rPr>
          <w:rFonts w:asciiTheme="minorHAnsi" w:hAnsiTheme="minorHAnsi"/>
        </w:rPr>
      </w:pPr>
      <w:r w:rsidRPr="00894701">
        <w:rPr>
          <w:rFonts w:cs="Arial"/>
          <w:i/>
          <w:color w:val="auto"/>
          <w:szCs w:val="18"/>
        </w:rPr>
        <w:t>Source: EITI Reporting Templates</w:t>
      </w:r>
      <w:r w:rsidRPr="00894701">
        <w:rPr>
          <w:rFonts w:asciiTheme="minorHAnsi" w:hAnsiTheme="minorHAnsi"/>
        </w:rPr>
        <w:br w:type="page"/>
      </w:r>
    </w:p>
    <w:p w14:paraId="2AC7E8BB" w14:textId="69CD4D0F" w:rsidR="002F4BAB" w:rsidRPr="00894701" w:rsidRDefault="002F4BAB" w:rsidP="002F4BAB">
      <w:pPr>
        <w:spacing w:after="0"/>
        <w:jc w:val="center"/>
        <w:rPr>
          <w:b/>
          <w:bCs/>
          <w:noProof/>
          <w:color w:val="98002E" w:themeColor="accent3"/>
          <w:sz w:val="20"/>
          <w:szCs w:val="20"/>
        </w:rPr>
      </w:pPr>
      <w:bookmarkStart w:id="477" w:name="_Toc117539618"/>
      <w:bookmarkStart w:id="478" w:name="_Toc146590527"/>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55</w:t>
      </w:r>
      <w:r w:rsidRPr="00894701">
        <w:rPr>
          <w:b/>
          <w:bCs/>
          <w:color w:val="98002E" w:themeColor="accent3"/>
          <w:sz w:val="20"/>
          <w:szCs w:val="20"/>
        </w:rPr>
        <w:fldChar w:fldCharType="end"/>
      </w:r>
      <w:r w:rsidRPr="00894701">
        <w:rPr>
          <w:b/>
          <w:bCs/>
          <w:color w:val="98002E" w:themeColor="accent3"/>
          <w:sz w:val="20"/>
          <w:szCs w:val="20"/>
        </w:rPr>
        <w:t xml:space="preserve">: Reconciliation by revenue stream </w:t>
      </w:r>
      <w:r w:rsidRPr="00894701">
        <w:rPr>
          <w:b/>
          <w:bCs/>
          <w:noProof/>
          <w:color w:val="98002E" w:themeColor="accent3"/>
          <w:sz w:val="20"/>
          <w:szCs w:val="20"/>
        </w:rPr>
        <w:t>for the fiscal year 2019</w:t>
      </w:r>
      <w:bookmarkEnd w:id="477"/>
      <w:bookmarkEnd w:id="478"/>
    </w:p>
    <w:p w14:paraId="52382958" w14:textId="77777777" w:rsidR="002F4BAB" w:rsidRPr="00894701" w:rsidRDefault="002F4BAB" w:rsidP="002F4BAB">
      <w:pPr>
        <w:spacing w:after="0"/>
        <w:jc w:val="right"/>
        <w:rPr>
          <w:rFonts w:cs="Arial"/>
          <w:i/>
          <w:iCs/>
          <w:color w:val="000000"/>
          <w:szCs w:val="18"/>
          <w:lang w:eastAsia="fr-FR"/>
        </w:rPr>
      </w:pPr>
      <w:r w:rsidRPr="00894701">
        <w:rPr>
          <w:rFonts w:cs="Arial"/>
          <w:i/>
          <w:iCs/>
          <w:color w:val="000000"/>
          <w:szCs w:val="18"/>
          <w:lang w:eastAsia="fr-FR"/>
        </w:rPr>
        <w:t>Amounts in SRD</w:t>
      </w:r>
    </w:p>
    <w:tbl>
      <w:tblPr>
        <w:tblW w:w="5438" w:type="pct"/>
        <w:jc w:val="center"/>
        <w:tblLayout w:type="fixed"/>
        <w:tblLook w:val="04A0" w:firstRow="1" w:lastRow="0" w:firstColumn="1" w:lastColumn="0" w:noHBand="0" w:noVBand="1"/>
      </w:tblPr>
      <w:tblGrid>
        <w:gridCol w:w="449"/>
        <w:gridCol w:w="2377"/>
        <w:gridCol w:w="1410"/>
        <w:gridCol w:w="1552"/>
        <w:gridCol w:w="1307"/>
        <w:gridCol w:w="1264"/>
        <w:gridCol w:w="1276"/>
        <w:gridCol w:w="1146"/>
        <w:gridCol w:w="1410"/>
        <w:gridCol w:w="1419"/>
        <w:gridCol w:w="1549"/>
      </w:tblGrid>
      <w:tr w:rsidR="002F4BAB" w:rsidRPr="00894701" w14:paraId="4C77F7B7" w14:textId="77777777" w:rsidTr="00AA49E3">
        <w:trPr>
          <w:trHeight w:val="227"/>
          <w:tblHeader/>
          <w:jc w:val="center"/>
        </w:trPr>
        <w:tc>
          <w:tcPr>
            <w:tcW w:w="148" w:type="pct"/>
            <w:vMerge w:val="restart"/>
            <w:tcBorders>
              <w:top w:val="single" w:sz="8" w:space="0" w:color="FF0000"/>
              <w:left w:val="single" w:sz="8" w:space="0" w:color="FF0000"/>
              <w:bottom w:val="single" w:sz="8" w:space="0" w:color="FF0000"/>
              <w:right w:val="nil"/>
            </w:tcBorders>
            <w:shd w:val="clear" w:color="000000" w:fill="7A091A"/>
            <w:tcMar>
              <w:left w:w="28" w:type="dxa"/>
              <w:right w:w="28" w:type="dxa"/>
            </w:tcMar>
            <w:vAlign w:val="center"/>
            <w:hideMark/>
          </w:tcPr>
          <w:p w14:paraId="4F9705E3" w14:textId="77777777" w:rsidR="002F4BAB" w:rsidRPr="00894701" w:rsidRDefault="002F4BAB" w:rsidP="002209C2">
            <w:pPr>
              <w:spacing w:after="0" w:line="240" w:lineRule="auto"/>
              <w:jc w:val="center"/>
              <w:rPr>
                <w:rFonts w:cs="Arial"/>
                <w:b/>
                <w:bCs/>
                <w:color w:val="FFFFFF"/>
                <w:kern w:val="0"/>
                <w:sz w:val="16"/>
                <w:szCs w:val="16"/>
              </w:rPr>
            </w:pPr>
            <w:r w:rsidRPr="00894701">
              <w:rPr>
                <w:rFonts w:cs="Arial"/>
                <w:b/>
                <w:bCs/>
                <w:color w:val="FFFFFF"/>
                <w:kern w:val="0"/>
                <w:sz w:val="16"/>
                <w:szCs w:val="16"/>
              </w:rPr>
              <w:t>N°</w:t>
            </w:r>
          </w:p>
        </w:tc>
        <w:tc>
          <w:tcPr>
            <w:tcW w:w="784" w:type="pct"/>
            <w:vMerge w:val="restart"/>
            <w:tcBorders>
              <w:top w:val="single" w:sz="8" w:space="0" w:color="FF0000"/>
              <w:left w:val="nil"/>
              <w:bottom w:val="single" w:sz="8" w:space="0" w:color="FF0000"/>
              <w:right w:val="nil"/>
            </w:tcBorders>
            <w:shd w:val="clear" w:color="000000" w:fill="7A091A"/>
            <w:vAlign w:val="center"/>
            <w:hideMark/>
          </w:tcPr>
          <w:p w14:paraId="6FC9A509" w14:textId="77777777" w:rsidR="002F4BAB" w:rsidRPr="00894701" w:rsidRDefault="002F4BAB" w:rsidP="002209C2">
            <w:pPr>
              <w:spacing w:after="0" w:line="240" w:lineRule="auto"/>
              <w:jc w:val="center"/>
              <w:rPr>
                <w:rFonts w:cs="Arial"/>
                <w:b/>
                <w:bCs/>
                <w:color w:val="FFFFFF"/>
                <w:kern w:val="0"/>
                <w:sz w:val="16"/>
                <w:szCs w:val="16"/>
              </w:rPr>
            </w:pPr>
            <w:r w:rsidRPr="00894701">
              <w:rPr>
                <w:rFonts w:cs="Arial"/>
                <w:b/>
                <w:bCs/>
                <w:color w:val="FFFFFF"/>
                <w:kern w:val="0"/>
                <w:sz w:val="16"/>
                <w:szCs w:val="16"/>
              </w:rPr>
              <w:t>Description of Payment</w:t>
            </w:r>
          </w:p>
        </w:tc>
        <w:tc>
          <w:tcPr>
            <w:tcW w:w="1408" w:type="pct"/>
            <w:gridSpan w:val="3"/>
            <w:tcBorders>
              <w:top w:val="single" w:sz="8" w:space="0" w:color="FF0000"/>
              <w:left w:val="nil"/>
              <w:bottom w:val="single" w:sz="8" w:space="0" w:color="FF0000"/>
              <w:right w:val="nil"/>
            </w:tcBorders>
            <w:shd w:val="clear" w:color="000000" w:fill="7A091A"/>
            <w:vAlign w:val="center"/>
            <w:hideMark/>
          </w:tcPr>
          <w:p w14:paraId="25CD46BA" w14:textId="77777777" w:rsidR="002F4BAB" w:rsidRPr="00894701" w:rsidRDefault="002F4BAB" w:rsidP="002209C2">
            <w:pPr>
              <w:spacing w:after="0" w:line="240" w:lineRule="auto"/>
              <w:jc w:val="center"/>
              <w:rPr>
                <w:rFonts w:cs="Arial"/>
                <w:b/>
                <w:bCs/>
                <w:color w:val="FFFFFF"/>
                <w:kern w:val="0"/>
                <w:sz w:val="16"/>
                <w:szCs w:val="16"/>
              </w:rPr>
            </w:pPr>
            <w:r w:rsidRPr="00894701">
              <w:rPr>
                <w:rFonts w:cs="Arial"/>
                <w:b/>
                <w:bCs/>
                <w:color w:val="FFFFFF"/>
                <w:kern w:val="0"/>
                <w:sz w:val="16"/>
                <w:szCs w:val="16"/>
              </w:rPr>
              <w:t xml:space="preserve"> Templates originally lodged </w:t>
            </w:r>
          </w:p>
        </w:tc>
        <w:tc>
          <w:tcPr>
            <w:tcW w:w="1216" w:type="pct"/>
            <w:gridSpan w:val="3"/>
            <w:tcBorders>
              <w:top w:val="single" w:sz="8" w:space="0" w:color="FF0000"/>
              <w:left w:val="nil"/>
              <w:bottom w:val="single" w:sz="8" w:space="0" w:color="FF0000"/>
              <w:right w:val="nil"/>
            </w:tcBorders>
            <w:shd w:val="clear" w:color="000000" w:fill="7A091A"/>
            <w:vAlign w:val="center"/>
            <w:hideMark/>
          </w:tcPr>
          <w:p w14:paraId="4F1F1C2B" w14:textId="77777777" w:rsidR="002F4BAB" w:rsidRPr="00894701" w:rsidRDefault="002F4BAB" w:rsidP="002209C2">
            <w:pPr>
              <w:spacing w:after="0" w:line="240" w:lineRule="auto"/>
              <w:jc w:val="center"/>
              <w:rPr>
                <w:rFonts w:cs="Arial"/>
                <w:b/>
                <w:bCs/>
                <w:color w:val="FFFFFF"/>
                <w:kern w:val="0"/>
                <w:sz w:val="16"/>
                <w:szCs w:val="16"/>
              </w:rPr>
            </w:pPr>
            <w:r w:rsidRPr="00894701">
              <w:rPr>
                <w:rFonts w:cs="Arial"/>
                <w:b/>
                <w:bCs/>
                <w:color w:val="FFFFFF"/>
                <w:kern w:val="0"/>
                <w:sz w:val="16"/>
                <w:szCs w:val="16"/>
              </w:rPr>
              <w:t xml:space="preserve"> Adjustments </w:t>
            </w:r>
          </w:p>
        </w:tc>
        <w:tc>
          <w:tcPr>
            <w:tcW w:w="1444" w:type="pct"/>
            <w:gridSpan w:val="3"/>
            <w:tcBorders>
              <w:top w:val="single" w:sz="8" w:space="0" w:color="FF0000"/>
              <w:left w:val="nil"/>
              <w:bottom w:val="single" w:sz="8" w:space="0" w:color="FF0000"/>
              <w:right w:val="single" w:sz="8" w:space="0" w:color="FF0000"/>
            </w:tcBorders>
            <w:shd w:val="clear" w:color="000000" w:fill="7A091A"/>
            <w:vAlign w:val="center"/>
            <w:hideMark/>
          </w:tcPr>
          <w:p w14:paraId="77888C36" w14:textId="77777777" w:rsidR="002F4BAB" w:rsidRPr="00894701" w:rsidRDefault="002F4BAB" w:rsidP="002209C2">
            <w:pPr>
              <w:spacing w:after="0" w:line="240" w:lineRule="auto"/>
              <w:jc w:val="center"/>
              <w:rPr>
                <w:rFonts w:cs="Arial"/>
                <w:b/>
                <w:bCs/>
                <w:color w:val="FFFFFF"/>
                <w:kern w:val="0"/>
                <w:sz w:val="16"/>
                <w:szCs w:val="16"/>
              </w:rPr>
            </w:pPr>
            <w:r w:rsidRPr="00894701">
              <w:rPr>
                <w:rFonts w:cs="Arial"/>
                <w:b/>
                <w:bCs/>
                <w:color w:val="FFFFFF"/>
                <w:kern w:val="0"/>
                <w:sz w:val="16"/>
                <w:szCs w:val="16"/>
              </w:rPr>
              <w:t xml:space="preserve"> Final amounts </w:t>
            </w:r>
          </w:p>
        </w:tc>
      </w:tr>
      <w:tr w:rsidR="002F4BAB" w:rsidRPr="00894701" w14:paraId="77421845" w14:textId="77777777" w:rsidTr="00AA49E3">
        <w:trPr>
          <w:trHeight w:val="227"/>
          <w:tblHeader/>
          <w:jc w:val="center"/>
        </w:trPr>
        <w:tc>
          <w:tcPr>
            <w:tcW w:w="148" w:type="pct"/>
            <w:vMerge/>
            <w:tcBorders>
              <w:top w:val="single" w:sz="8" w:space="0" w:color="FF0000"/>
              <w:left w:val="single" w:sz="8" w:space="0" w:color="FF0000"/>
              <w:bottom w:val="single" w:sz="8" w:space="0" w:color="FF0000"/>
              <w:right w:val="nil"/>
            </w:tcBorders>
            <w:tcMar>
              <w:left w:w="28" w:type="dxa"/>
              <w:right w:w="28" w:type="dxa"/>
            </w:tcMar>
            <w:vAlign w:val="center"/>
            <w:hideMark/>
          </w:tcPr>
          <w:p w14:paraId="31670A50" w14:textId="77777777" w:rsidR="002F4BAB" w:rsidRPr="00894701" w:rsidRDefault="002F4BAB" w:rsidP="002209C2">
            <w:pPr>
              <w:spacing w:after="0" w:line="240" w:lineRule="auto"/>
              <w:rPr>
                <w:rFonts w:cs="Arial"/>
                <w:b/>
                <w:bCs/>
                <w:color w:val="FFFFFF"/>
                <w:kern w:val="0"/>
                <w:sz w:val="16"/>
                <w:szCs w:val="16"/>
              </w:rPr>
            </w:pPr>
          </w:p>
        </w:tc>
        <w:tc>
          <w:tcPr>
            <w:tcW w:w="784" w:type="pct"/>
            <w:vMerge/>
            <w:tcBorders>
              <w:top w:val="single" w:sz="8" w:space="0" w:color="FF0000"/>
              <w:left w:val="nil"/>
              <w:bottom w:val="single" w:sz="8" w:space="0" w:color="FF0000"/>
              <w:right w:val="nil"/>
            </w:tcBorders>
            <w:vAlign w:val="center"/>
            <w:hideMark/>
          </w:tcPr>
          <w:p w14:paraId="590368F1" w14:textId="77777777" w:rsidR="002F4BAB" w:rsidRPr="00894701" w:rsidRDefault="002F4BAB" w:rsidP="002209C2">
            <w:pPr>
              <w:spacing w:after="0" w:line="240" w:lineRule="auto"/>
              <w:rPr>
                <w:rFonts w:cs="Arial"/>
                <w:b/>
                <w:bCs/>
                <w:color w:val="FFFFFF"/>
                <w:kern w:val="0"/>
                <w:sz w:val="16"/>
                <w:szCs w:val="16"/>
              </w:rPr>
            </w:pPr>
          </w:p>
        </w:tc>
        <w:tc>
          <w:tcPr>
            <w:tcW w:w="465" w:type="pct"/>
            <w:tcBorders>
              <w:top w:val="nil"/>
              <w:left w:val="nil"/>
              <w:bottom w:val="single" w:sz="8" w:space="0" w:color="FF0000"/>
              <w:right w:val="nil"/>
            </w:tcBorders>
            <w:shd w:val="clear" w:color="000000" w:fill="7A091A"/>
            <w:vAlign w:val="center"/>
            <w:hideMark/>
          </w:tcPr>
          <w:p w14:paraId="72DDC322" w14:textId="77777777" w:rsidR="002F4BAB" w:rsidRPr="00894701" w:rsidRDefault="002F4BAB" w:rsidP="00C108BA">
            <w:pPr>
              <w:spacing w:after="0" w:line="240" w:lineRule="auto"/>
              <w:jc w:val="right"/>
              <w:rPr>
                <w:rFonts w:cs="Arial"/>
                <w:b/>
                <w:bCs/>
                <w:color w:val="FFFFFF"/>
                <w:kern w:val="0"/>
                <w:sz w:val="16"/>
                <w:szCs w:val="16"/>
              </w:rPr>
            </w:pPr>
            <w:r w:rsidRPr="00894701">
              <w:rPr>
                <w:rFonts w:cs="Arial"/>
                <w:b/>
                <w:bCs/>
                <w:color w:val="FFFFFF"/>
                <w:kern w:val="0"/>
                <w:sz w:val="16"/>
                <w:szCs w:val="16"/>
              </w:rPr>
              <w:t xml:space="preserve"> Extractive company</w:t>
            </w:r>
            <w:r w:rsidRPr="00894701">
              <w:rPr>
                <w:rFonts w:cs="Arial"/>
                <w:b/>
                <w:bCs/>
                <w:color w:val="FFFFFF"/>
                <w:kern w:val="0"/>
                <w:sz w:val="16"/>
                <w:szCs w:val="16"/>
              </w:rPr>
              <w:br/>
              <w:t xml:space="preserve">(a) </w:t>
            </w:r>
          </w:p>
        </w:tc>
        <w:tc>
          <w:tcPr>
            <w:tcW w:w="512" w:type="pct"/>
            <w:tcBorders>
              <w:top w:val="nil"/>
              <w:left w:val="nil"/>
              <w:bottom w:val="single" w:sz="8" w:space="0" w:color="FF0000"/>
              <w:right w:val="nil"/>
            </w:tcBorders>
            <w:shd w:val="clear" w:color="000000" w:fill="7A091A"/>
            <w:vAlign w:val="center"/>
            <w:hideMark/>
          </w:tcPr>
          <w:p w14:paraId="4093EA89" w14:textId="77777777" w:rsidR="002F4BAB" w:rsidRPr="00894701" w:rsidRDefault="002F4BAB" w:rsidP="00C108BA">
            <w:pPr>
              <w:spacing w:after="0" w:line="240" w:lineRule="auto"/>
              <w:jc w:val="right"/>
              <w:rPr>
                <w:rFonts w:cs="Arial"/>
                <w:b/>
                <w:bCs/>
                <w:color w:val="FFFFFF"/>
                <w:kern w:val="0"/>
                <w:sz w:val="16"/>
                <w:szCs w:val="16"/>
              </w:rPr>
            </w:pPr>
            <w:r w:rsidRPr="00894701">
              <w:rPr>
                <w:rFonts w:cs="Arial"/>
                <w:b/>
                <w:bCs/>
                <w:color w:val="FFFFFF"/>
                <w:kern w:val="0"/>
                <w:sz w:val="16"/>
                <w:szCs w:val="16"/>
              </w:rPr>
              <w:t xml:space="preserve"> Government</w:t>
            </w:r>
            <w:r w:rsidRPr="00894701">
              <w:rPr>
                <w:rFonts w:cs="Arial"/>
                <w:b/>
                <w:bCs/>
                <w:color w:val="FFFFFF"/>
                <w:kern w:val="0"/>
                <w:sz w:val="16"/>
                <w:szCs w:val="16"/>
              </w:rPr>
              <w:br/>
              <w:t xml:space="preserve">(b) </w:t>
            </w:r>
          </w:p>
        </w:tc>
        <w:tc>
          <w:tcPr>
            <w:tcW w:w="431" w:type="pct"/>
            <w:tcBorders>
              <w:top w:val="nil"/>
              <w:left w:val="nil"/>
              <w:bottom w:val="single" w:sz="8" w:space="0" w:color="FF0000"/>
              <w:right w:val="nil"/>
            </w:tcBorders>
            <w:shd w:val="clear" w:color="000000" w:fill="7A091A"/>
            <w:vAlign w:val="center"/>
            <w:hideMark/>
          </w:tcPr>
          <w:p w14:paraId="059954ED" w14:textId="77777777" w:rsidR="002F4BAB" w:rsidRPr="00894701" w:rsidRDefault="002F4BAB" w:rsidP="00C108BA">
            <w:pPr>
              <w:spacing w:after="0" w:line="240" w:lineRule="auto"/>
              <w:jc w:val="right"/>
              <w:rPr>
                <w:rFonts w:cs="Arial"/>
                <w:b/>
                <w:bCs/>
                <w:color w:val="FFFFFF"/>
                <w:kern w:val="0"/>
                <w:sz w:val="16"/>
                <w:szCs w:val="16"/>
              </w:rPr>
            </w:pPr>
            <w:r w:rsidRPr="00894701">
              <w:rPr>
                <w:rFonts w:cs="Arial"/>
                <w:b/>
                <w:bCs/>
                <w:color w:val="FFFFFF"/>
                <w:kern w:val="0"/>
                <w:sz w:val="16"/>
                <w:szCs w:val="16"/>
              </w:rPr>
              <w:t xml:space="preserve"> Difference</w:t>
            </w:r>
            <w:r w:rsidRPr="00894701">
              <w:rPr>
                <w:rFonts w:cs="Arial"/>
                <w:b/>
                <w:bCs/>
                <w:color w:val="FFFFFF"/>
                <w:kern w:val="0"/>
                <w:sz w:val="16"/>
                <w:szCs w:val="16"/>
              </w:rPr>
              <w:br/>
              <w:t xml:space="preserve">(c) = (a) - (b) </w:t>
            </w:r>
          </w:p>
        </w:tc>
        <w:tc>
          <w:tcPr>
            <w:tcW w:w="417" w:type="pct"/>
            <w:tcBorders>
              <w:top w:val="nil"/>
              <w:left w:val="nil"/>
              <w:bottom w:val="single" w:sz="8" w:space="0" w:color="FF0000"/>
              <w:right w:val="nil"/>
            </w:tcBorders>
            <w:shd w:val="clear" w:color="000000" w:fill="7A091A"/>
            <w:vAlign w:val="center"/>
            <w:hideMark/>
          </w:tcPr>
          <w:p w14:paraId="665BC2B1" w14:textId="77777777" w:rsidR="002F4BAB" w:rsidRPr="00894701" w:rsidRDefault="002F4BAB" w:rsidP="00C108BA">
            <w:pPr>
              <w:spacing w:after="0" w:line="240" w:lineRule="auto"/>
              <w:jc w:val="right"/>
              <w:rPr>
                <w:rFonts w:cs="Arial"/>
                <w:b/>
                <w:bCs/>
                <w:color w:val="FFFFFF"/>
                <w:kern w:val="0"/>
                <w:sz w:val="16"/>
                <w:szCs w:val="16"/>
              </w:rPr>
            </w:pPr>
            <w:r w:rsidRPr="00894701">
              <w:rPr>
                <w:rFonts w:cs="Arial"/>
                <w:b/>
                <w:bCs/>
                <w:color w:val="FFFFFF"/>
                <w:kern w:val="0"/>
                <w:sz w:val="16"/>
                <w:szCs w:val="16"/>
              </w:rPr>
              <w:t xml:space="preserve"> Extractive company</w:t>
            </w:r>
            <w:r w:rsidRPr="00894701">
              <w:rPr>
                <w:rFonts w:cs="Arial"/>
                <w:b/>
                <w:bCs/>
                <w:color w:val="FFFFFF"/>
                <w:kern w:val="0"/>
                <w:sz w:val="16"/>
                <w:szCs w:val="16"/>
              </w:rPr>
              <w:br/>
              <w:t xml:space="preserve">(d) </w:t>
            </w:r>
          </w:p>
        </w:tc>
        <w:tc>
          <w:tcPr>
            <w:tcW w:w="421" w:type="pct"/>
            <w:tcBorders>
              <w:top w:val="nil"/>
              <w:left w:val="nil"/>
              <w:bottom w:val="single" w:sz="8" w:space="0" w:color="FF0000"/>
              <w:right w:val="nil"/>
            </w:tcBorders>
            <w:shd w:val="clear" w:color="000000" w:fill="7A091A"/>
            <w:vAlign w:val="center"/>
            <w:hideMark/>
          </w:tcPr>
          <w:p w14:paraId="6948DBC9" w14:textId="77777777" w:rsidR="002F4BAB" w:rsidRPr="00894701" w:rsidRDefault="002F4BAB" w:rsidP="00C108BA">
            <w:pPr>
              <w:spacing w:after="0" w:line="240" w:lineRule="auto"/>
              <w:jc w:val="right"/>
              <w:rPr>
                <w:rFonts w:cs="Arial"/>
                <w:b/>
                <w:bCs/>
                <w:color w:val="FFFFFF"/>
                <w:kern w:val="0"/>
                <w:sz w:val="16"/>
                <w:szCs w:val="16"/>
              </w:rPr>
            </w:pPr>
            <w:r w:rsidRPr="00894701">
              <w:rPr>
                <w:rFonts w:cs="Arial"/>
                <w:b/>
                <w:bCs/>
                <w:color w:val="FFFFFF"/>
                <w:kern w:val="0"/>
                <w:sz w:val="16"/>
                <w:szCs w:val="16"/>
              </w:rPr>
              <w:t xml:space="preserve"> Government</w:t>
            </w:r>
            <w:r w:rsidRPr="00894701">
              <w:rPr>
                <w:rFonts w:cs="Arial"/>
                <w:b/>
                <w:bCs/>
                <w:color w:val="FFFFFF"/>
                <w:kern w:val="0"/>
                <w:sz w:val="16"/>
                <w:szCs w:val="16"/>
              </w:rPr>
              <w:br/>
              <w:t xml:space="preserve">(e)  </w:t>
            </w:r>
          </w:p>
        </w:tc>
        <w:tc>
          <w:tcPr>
            <w:tcW w:w="378" w:type="pct"/>
            <w:tcBorders>
              <w:top w:val="nil"/>
              <w:left w:val="nil"/>
              <w:bottom w:val="single" w:sz="8" w:space="0" w:color="FF0000"/>
              <w:right w:val="nil"/>
            </w:tcBorders>
            <w:shd w:val="clear" w:color="000000" w:fill="7A091A"/>
            <w:vAlign w:val="center"/>
            <w:hideMark/>
          </w:tcPr>
          <w:p w14:paraId="2B24A5E8" w14:textId="77777777" w:rsidR="002F4BAB" w:rsidRPr="00894701" w:rsidRDefault="002F4BAB" w:rsidP="00C108BA">
            <w:pPr>
              <w:spacing w:after="0" w:line="240" w:lineRule="auto"/>
              <w:jc w:val="right"/>
              <w:rPr>
                <w:rFonts w:cs="Arial"/>
                <w:b/>
                <w:bCs/>
                <w:color w:val="FFFFFF"/>
                <w:kern w:val="0"/>
                <w:sz w:val="16"/>
                <w:szCs w:val="16"/>
              </w:rPr>
            </w:pPr>
            <w:r w:rsidRPr="00894701">
              <w:rPr>
                <w:rFonts w:cs="Arial"/>
                <w:b/>
                <w:bCs/>
                <w:color w:val="FFFFFF"/>
                <w:kern w:val="0"/>
                <w:sz w:val="16"/>
                <w:szCs w:val="16"/>
              </w:rPr>
              <w:t xml:space="preserve"> Difference</w:t>
            </w:r>
            <w:r w:rsidRPr="00894701">
              <w:rPr>
                <w:rFonts w:cs="Arial"/>
                <w:b/>
                <w:bCs/>
                <w:color w:val="FFFFFF"/>
                <w:kern w:val="0"/>
                <w:sz w:val="16"/>
                <w:szCs w:val="16"/>
              </w:rPr>
              <w:br/>
              <w:t xml:space="preserve">(f) = (d) - (e)  </w:t>
            </w:r>
          </w:p>
        </w:tc>
        <w:tc>
          <w:tcPr>
            <w:tcW w:w="465" w:type="pct"/>
            <w:tcBorders>
              <w:top w:val="nil"/>
              <w:left w:val="nil"/>
              <w:bottom w:val="single" w:sz="8" w:space="0" w:color="FF0000"/>
              <w:right w:val="nil"/>
            </w:tcBorders>
            <w:shd w:val="clear" w:color="000000" w:fill="7A091A"/>
            <w:vAlign w:val="center"/>
            <w:hideMark/>
          </w:tcPr>
          <w:p w14:paraId="37FD80BC" w14:textId="77777777" w:rsidR="002F4BAB" w:rsidRPr="00894701" w:rsidRDefault="002F4BAB" w:rsidP="00C108BA">
            <w:pPr>
              <w:spacing w:after="0" w:line="240" w:lineRule="auto"/>
              <w:jc w:val="right"/>
              <w:rPr>
                <w:rFonts w:cs="Arial"/>
                <w:b/>
                <w:bCs/>
                <w:color w:val="FFFFFF"/>
                <w:kern w:val="0"/>
                <w:sz w:val="16"/>
                <w:szCs w:val="16"/>
              </w:rPr>
            </w:pPr>
            <w:r w:rsidRPr="00894701">
              <w:rPr>
                <w:rFonts w:cs="Arial"/>
                <w:b/>
                <w:bCs/>
                <w:color w:val="FFFFFF"/>
                <w:kern w:val="0"/>
                <w:sz w:val="16"/>
                <w:szCs w:val="16"/>
              </w:rPr>
              <w:t xml:space="preserve"> Extractive company</w:t>
            </w:r>
            <w:r w:rsidRPr="00894701">
              <w:rPr>
                <w:rFonts w:cs="Arial"/>
                <w:b/>
                <w:bCs/>
                <w:color w:val="FFFFFF"/>
                <w:kern w:val="0"/>
                <w:sz w:val="16"/>
                <w:szCs w:val="16"/>
              </w:rPr>
              <w:br/>
              <w:t xml:space="preserve">(g) </w:t>
            </w:r>
          </w:p>
        </w:tc>
        <w:tc>
          <w:tcPr>
            <w:tcW w:w="468" w:type="pct"/>
            <w:tcBorders>
              <w:top w:val="nil"/>
              <w:left w:val="nil"/>
              <w:bottom w:val="single" w:sz="8" w:space="0" w:color="FF0000"/>
              <w:right w:val="nil"/>
            </w:tcBorders>
            <w:shd w:val="clear" w:color="000000" w:fill="7A091A"/>
            <w:vAlign w:val="center"/>
            <w:hideMark/>
          </w:tcPr>
          <w:p w14:paraId="134082C4" w14:textId="77777777" w:rsidR="002F4BAB" w:rsidRPr="00894701" w:rsidRDefault="002F4BAB" w:rsidP="00C108BA">
            <w:pPr>
              <w:spacing w:after="0" w:line="240" w:lineRule="auto"/>
              <w:jc w:val="right"/>
              <w:rPr>
                <w:rFonts w:cs="Arial"/>
                <w:b/>
                <w:bCs/>
                <w:color w:val="FFFFFF"/>
                <w:kern w:val="0"/>
                <w:sz w:val="16"/>
                <w:szCs w:val="16"/>
              </w:rPr>
            </w:pPr>
            <w:r w:rsidRPr="00894701">
              <w:rPr>
                <w:rFonts w:cs="Arial"/>
                <w:b/>
                <w:bCs/>
                <w:color w:val="FFFFFF"/>
                <w:kern w:val="0"/>
                <w:sz w:val="16"/>
                <w:szCs w:val="16"/>
              </w:rPr>
              <w:t xml:space="preserve"> Government</w:t>
            </w:r>
            <w:r w:rsidRPr="00894701">
              <w:rPr>
                <w:rFonts w:cs="Arial"/>
                <w:b/>
                <w:bCs/>
                <w:color w:val="FFFFFF"/>
                <w:kern w:val="0"/>
                <w:sz w:val="16"/>
                <w:szCs w:val="16"/>
              </w:rPr>
              <w:br/>
              <w:t xml:space="preserve">(h) </w:t>
            </w:r>
          </w:p>
        </w:tc>
        <w:tc>
          <w:tcPr>
            <w:tcW w:w="511" w:type="pct"/>
            <w:tcBorders>
              <w:top w:val="nil"/>
              <w:left w:val="nil"/>
              <w:bottom w:val="single" w:sz="8" w:space="0" w:color="FF0000"/>
              <w:right w:val="single" w:sz="8" w:space="0" w:color="FF0000"/>
            </w:tcBorders>
            <w:shd w:val="clear" w:color="000000" w:fill="7A091A"/>
            <w:vAlign w:val="center"/>
            <w:hideMark/>
          </w:tcPr>
          <w:p w14:paraId="2CE56435" w14:textId="77777777" w:rsidR="002F4BAB" w:rsidRPr="00894701" w:rsidRDefault="002F4BAB" w:rsidP="00C108BA">
            <w:pPr>
              <w:spacing w:after="0" w:line="240" w:lineRule="auto"/>
              <w:jc w:val="right"/>
              <w:rPr>
                <w:rFonts w:cs="Arial"/>
                <w:b/>
                <w:bCs/>
                <w:color w:val="FFFFFF"/>
                <w:kern w:val="0"/>
                <w:sz w:val="16"/>
                <w:szCs w:val="16"/>
              </w:rPr>
            </w:pPr>
            <w:r w:rsidRPr="00894701">
              <w:rPr>
                <w:rFonts w:cs="Arial"/>
                <w:b/>
                <w:bCs/>
                <w:color w:val="FFFFFF"/>
                <w:kern w:val="0"/>
                <w:sz w:val="16"/>
                <w:szCs w:val="16"/>
              </w:rPr>
              <w:t xml:space="preserve"> Difference</w:t>
            </w:r>
            <w:r w:rsidRPr="00894701">
              <w:rPr>
                <w:rFonts w:cs="Arial"/>
                <w:b/>
                <w:bCs/>
                <w:color w:val="FFFFFF"/>
                <w:kern w:val="0"/>
                <w:sz w:val="16"/>
                <w:szCs w:val="16"/>
              </w:rPr>
              <w:br/>
              <w:t xml:space="preserve">(i) = (g) - (h) </w:t>
            </w:r>
          </w:p>
        </w:tc>
      </w:tr>
      <w:tr w:rsidR="00BA216C" w:rsidRPr="00894701" w14:paraId="522FBE6C" w14:textId="77777777" w:rsidTr="009052AC">
        <w:trPr>
          <w:trHeight w:val="227"/>
          <w:jc w:val="center"/>
        </w:trPr>
        <w:tc>
          <w:tcPr>
            <w:tcW w:w="932" w:type="pct"/>
            <w:gridSpan w:val="2"/>
            <w:tcBorders>
              <w:top w:val="single" w:sz="8" w:space="0" w:color="FF0000"/>
              <w:left w:val="single" w:sz="8" w:space="0" w:color="FF0000"/>
              <w:bottom w:val="nil"/>
              <w:right w:val="nil"/>
            </w:tcBorders>
            <w:shd w:val="clear" w:color="000000" w:fill="7A091A"/>
            <w:tcMar>
              <w:left w:w="28" w:type="dxa"/>
              <w:right w:w="28" w:type="dxa"/>
            </w:tcMar>
            <w:vAlign w:val="center"/>
            <w:hideMark/>
          </w:tcPr>
          <w:p w14:paraId="3DAA1929" w14:textId="366B8911" w:rsidR="00BA216C" w:rsidRPr="00894701" w:rsidRDefault="00BA216C" w:rsidP="00BA216C">
            <w:pPr>
              <w:spacing w:after="0" w:line="240" w:lineRule="auto"/>
              <w:jc w:val="center"/>
              <w:rPr>
                <w:rFonts w:cs="Arial"/>
                <w:b/>
                <w:bCs/>
                <w:color w:val="FFFFFF"/>
                <w:kern w:val="0"/>
                <w:sz w:val="16"/>
                <w:szCs w:val="16"/>
              </w:rPr>
            </w:pPr>
            <w:r w:rsidRPr="00894701">
              <w:rPr>
                <w:rFonts w:cs="Arial"/>
                <w:b/>
                <w:bCs/>
                <w:color w:val="FFFFFF"/>
                <w:kern w:val="0"/>
                <w:sz w:val="16"/>
                <w:szCs w:val="16"/>
              </w:rPr>
              <w:t>A- Bilateral disclosures</w:t>
            </w:r>
          </w:p>
        </w:tc>
        <w:tc>
          <w:tcPr>
            <w:tcW w:w="465" w:type="pct"/>
            <w:tcBorders>
              <w:top w:val="nil"/>
              <w:left w:val="nil"/>
              <w:bottom w:val="nil"/>
              <w:right w:val="nil"/>
            </w:tcBorders>
            <w:shd w:val="clear" w:color="000000" w:fill="7A091A"/>
            <w:vAlign w:val="center"/>
          </w:tcPr>
          <w:p w14:paraId="41940ABE" w14:textId="2E168EE1" w:rsidR="00BA216C" w:rsidRPr="00894701" w:rsidRDefault="00BA216C" w:rsidP="00BA216C">
            <w:pPr>
              <w:spacing w:after="0" w:line="240" w:lineRule="auto"/>
              <w:jc w:val="right"/>
              <w:rPr>
                <w:rFonts w:cs="Arial"/>
                <w:b/>
                <w:bCs/>
                <w:color w:val="auto"/>
                <w:kern w:val="0"/>
                <w:sz w:val="16"/>
                <w:szCs w:val="16"/>
              </w:rPr>
            </w:pPr>
            <w:r w:rsidRPr="00894701">
              <w:rPr>
                <w:rFonts w:cs="Arial"/>
                <w:b/>
                <w:bCs/>
                <w:color w:val="auto"/>
                <w:sz w:val="16"/>
                <w:szCs w:val="16"/>
              </w:rPr>
              <w:t>246,410,291</w:t>
            </w:r>
          </w:p>
        </w:tc>
        <w:tc>
          <w:tcPr>
            <w:tcW w:w="512" w:type="pct"/>
            <w:tcBorders>
              <w:top w:val="nil"/>
              <w:left w:val="nil"/>
              <w:bottom w:val="nil"/>
              <w:right w:val="nil"/>
            </w:tcBorders>
            <w:shd w:val="clear" w:color="000000" w:fill="7A091A"/>
            <w:vAlign w:val="center"/>
          </w:tcPr>
          <w:p w14:paraId="676CF47C" w14:textId="25941F8C" w:rsidR="00BA216C" w:rsidRPr="00894701" w:rsidRDefault="00BA216C" w:rsidP="00BA216C">
            <w:pPr>
              <w:spacing w:after="0" w:line="240" w:lineRule="auto"/>
              <w:jc w:val="right"/>
              <w:rPr>
                <w:rFonts w:cs="Arial"/>
                <w:b/>
                <w:bCs/>
                <w:color w:val="auto"/>
                <w:kern w:val="0"/>
                <w:sz w:val="16"/>
                <w:szCs w:val="16"/>
              </w:rPr>
            </w:pPr>
            <w:r w:rsidRPr="00894701">
              <w:rPr>
                <w:rFonts w:cs="Arial"/>
                <w:b/>
                <w:bCs/>
                <w:color w:val="auto"/>
                <w:sz w:val="16"/>
                <w:szCs w:val="16"/>
              </w:rPr>
              <w:t>248,181,613</w:t>
            </w:r>
          </w:p>
        </w:tc>
        <w:tc>
          <w:tcPr>
            <w:tcW w:w="431" w:type="pct"/>
            <w:tcBorders>
              <w:top w:val="nil"/>
              <w:left w:val="nil"/>
              <w:bottom w:val="nil"/>
              <w:right w:val="nil"/>
            </w:tcBorders>
            <w:shd w:val="clear" w:color="000000" w:fill="7A091A"/>
            <w:vAlign w:val="center"/>
          </w:tcPr>
          <w:p w14:paraId="59EC349A" w14:textId="44BC35FE" w:rsidR="00BA216C" w:rsidRPr="00894701" w:rsidRDefault="00BA216C" w:rsidP="00BA216C">
            <w:pPr>
              <w:spacing w:after="0" w:line="240" w:lineRule="auto"/>
              <w:jc w:val="right"/>
              <w:rPr>
                <w:rFonts w:cs="Arial"/>
                <w:b/>
                <w:bCs/>
                <w:color w:val="auto"/>
                <w:kern w:val="0"/>
                <w:sz w:val="16"/>
                <w:szCs w:val="16"/>
              </w:rPr>
            </w:pPr>
            <w:r w:rsidRPr="00894701">
              <w:rPr>
                <w:rFonts w:cs="Arial"/>
                <w:b/>
                <w:bCs/>
                <w:color w:val="auto"/>
                <w:sz w:val="16"/>
                <w:szCs w:val="16"/>
              </w:rPr>
              <w:t>(1,771,322)</w:t>
            </w:r>
          </w:p>
        </w:tc>
        <w:tc>
          <w:tcPr>
            <w:tcW w:w="417" w:type="pct"/>
            <w:tcBorders>
              <w:top w:val="nil"/>
              <w:left w:val="nil"/>
              <w:bottom w:val="nil"/>
              <w:right w:val="nil"/>
            </w:tcBorders>
            <w:shd w:val="clear" w:color="000000" w:fill="7A091A"/>
            <w:vAlign w:val="center"/>
          </w:tcPr>
          <w:p w14:paraId="55AAE5F0" w14:textId="52242A6A" w:rsidR="00BA216C" w:rsidRPr="00894701" w:rsidRDefault="00BA216C" w:rsidP="00BA216C">
            <w:pPr>
              <w:spacing w:after="0" w:line="240" w:lineRule="auto"/>
              <w:jc w:val="right"/>
              <w:rPr>
                <w:rFonts w:cs="Arial"/>
                <w:b/>
                <w:bCs/>
                <w:color w:val="auto"/>
                <w:kern w:val="0"/>
                <w:sz w:val="16"/>
                <w:szCs w:val="16"/>
              </w:rPr>
            </w:pPr>
            <w:r w:rsidRPr="00894701">
              <w:rPr>
                <w:rFonts w:cs="Arial"/>
                <w:b/>
                <w:bCs/>
                <w:color w:val="auto"/>
                <w:sz w:val="16"/>
                <w:szCs w:val="16"/>
              </w:rPr>
              <w:t>(47,747,006)</w:t>
            </w:r>
          </w:p>
        </w:tc>
        <w:tc>
          <w:tcPr>
            <w:tcW w:w="421" w:type="pct"/>
            <w:tcBorders>
              <w:top w:val="nil"/>
              <w:left w:val="nil"/>
              <w:bottom w:val="nil"/>
              <w:right w:val="nil"/>
            </w:tcBorders>
            <w:shd w:val="clear" w:color="000000" w:fill="7A091A"/>
            <w:vAlign w:val="center"/>
          </w:tcPr>
          <w:p w14:paraId="18441AE8" w14:textId="5BDCBD9C" w:rsidR="00BA216C" w:rsidRPr="00894701" w:rsidRDefault="00BA216C" w:rsidP="00BA216C">
            <w:pPr>
              <w:spacing w:after="0" w:line="240" w:lineRule="auto"/>
              <w:jc w:val="right"/>
              <w:rPr>
                <w:rFonts w:cs="Arial"/>
                <w:b/>
                <w:bCs/>
                <w:color w:val="auto"/>
                <w:kern w:val="0"/>
                <w:sz w:val="16"/>
                <w:szCs w:val="16"/>
              </w:rPr>
            </w:pPr>
            <w:r w:rsidRPr="00894701">
              <w:rPr>
                <w:rFonts w:cs="Arial"/>
                <w:b/>
                <w:bCs/>
                <w:color w:val="auto"/>
                <w:sz w:val="16"/>
                <w:szCs w:val="16"/>
              </w:rPr>
              <w:t>(49,327,037)</w:t>
            </w:r>
          </w:p>
        </w:tc>
        <w:tc>
          <w:tcPr>
            <w:tcW w:w="378" w:type="pct"/>
            <w:tcBorders>
              <w:top w:val="nil"/>
              <w:left w:val="nil"/>
              <w:bottom w:val="nil"/>
              <w:right w:val="nil"/>
            </w:tcBorders>
            <w:shd w:val="clear" w:color="000000" w:fill="7A091A"/>
            <w:vAlign w:val="center"/>
          </w:tcPr>
          <w:p w14:paraId="07C8ED48" w14:textId="261F54C1" w:rsidR="00BA216C" w:rsidRPr="00894701" w:rsidRDefault="00BA216C" w:rsidP="00BA216C">
            <w:pPr>
              <w:spacing w:after="0" w:line="240" w:lineRule="auto"/>
              <w:jc w:val="right"/>
              <w:rPr>
                <w:rFonts w:cs="Arial"/>
                <w:b/>
                <w:bCs/>
                <w:color w:val="auto"/>
                <w:kern w:val="0"/>
                <w:sz w:val="16"/>
                <w:szCs w:val="16"/>
              </w:rPr>
            </w:pPr>
            <w:r w:rsidRPr="00894701">
              <w:rPr>
                <w:rFonts w:cs="Arial"/>
                <w:b/>
                <w:bCs/>
                <w:color w:val="auto"/>
                <w:sz w:val="16"/>
                <w:szCs w:val="16"/>
              </w:rPr>
              <w:t>1,580,031</w:t>
            </w:r>
          </w:p>
        </w:tc>
        <w:tc>
          <w:tcPr>
            <w:tcW w:w="465" w:type="pct"/>
            <w:tcBorders>
              <w:top w:val="nil"/>
              <w:left w:val="nil"/>
              <w:bottom w:val="nil"/>
              <w:right w:val="nil"/>
            </w:tcBorders>
            <w:shd w:val="clear" w:color="000000" w:fill="7A091A"/>
            <w:vAlign w:val="center"/>
          </w:tcPr>
          <w:p w14:paraId="4243A312" w14:textId="46AA8E0B" w:rsidR="00BA216C" w:rsidRPr="00894701" w:rsidRDefault="00BA216C" w:rsidP="00BA216C">
            <w:pPr>
              <w:spacing w:after="0" w:line="240" w:lineRule="auto"/>
              <w:jc w:val="right"/>
              <w:rPr>
                <w:rFonts w:cs="Arial"/>
                <w:b/>
                <w:bCs/>
                <w:color w:val="auto"/>
                <w:kern w:val="0"/>
                <w:sz w:val="16"/>
                <w:szCs w:val="16"/>
              </w:rPr>
            </w:pPr>
            <w:r w:rsidRPr="00894701">
              <w:rPr>
                <w:rFonts w:cs="Arial"/>
                <w:b/>
                <w:bCs/>
                <w:color w:val="auto"/>
                <w:sz w:val="16"/>
                <w:szCs w:val="16"/>
              </w:rPr>
              <w:t>198,663,285</w:t>
            </w:r>
          </w:p>
        </w:tc>
        <w:tc>
          <w:tcPr>
            <w:tcW w:w="468" w:type="pct"/>
            <w:tcBorders>
              <w:top w:val="nil"/>
              <w:left w:val="nil"/>
              <w:bottom w:val="nil"/>
              <w:right w:val="nil"/>
            </w:tcBorders>
            <w:shd w:val="clear" w:color="000000" w:fill="7A091A"/>
            <w:vAlign w:val="center"/>
          </w:tcPr>
          <w:p w14:paraId="37D3C10E" w14:textId="5D0B2576" w:rsidR="00BA216C" w:rsidRPr="00894701" w:rsidRDefault="00BA216C" w:rsidP="00BA216C">
            <w:pPr>
              <w:spacing w:after="0" w:line="240" w:lineRule="auto"/>
              <w:jc w:val="right"/>
              <w:rPr>
                <w:rFonts w:cs="Arial"/>
                <w:b/>
                <w:bCs/>
                <w:color w:val="auto"/>
                <w:kern w:val="0"/>
                <w:sz w:val="16"/>
                <w:szCs w:val="16"/>
              </w:rPr>
            </w:pPr>
            <w:r w:rsidRPr="00894701">
              <w:rPr>
                <w:rFonts w:cs="Arial"/>
                <w:b/>
                <w:bCs/>
                <w:color w:val="auto"/>
                <w:sz w:val="16"/>
                <w:szCs w:val="16"/>
              </w:rPr>
              <w:t>198,854,576</w:t>
            </w:r>
          </w:p>
        </w:tc>
        <w:tc>
          <w:tcPr>
            <w:tcW w:w="511" w:type="pct"/>
            <w:tcBorders>
              <w:top w:val="nil"/>
              <w:left w:val="nil"/>
              <w:bottom w:val="nil"/>
              <w:right w:val="single" w:sz="8" w:space="0" w:color="FF0000"/>
            </w:tcBorders>
            <w:shd w:val="clear" w:color="000000" w:fill="7A091A"/>
            <w:vAlign w:val="center"/>
          </w:tcPr>
          <w:p w14:paraId="51A215EB" w14:textId="5CBE6D75" w:rsidR="00BA216C" w:rsidRPr="00894701" w:rsidRDefault="00BA216C" w:rsidP="00BA216C">
            <w:pPr>
              <w:spacing w:after="0" w:line="240" w:lineRule="auto"/>
              <w:jc w:val="right"/>
              <w:rPr>
                <w:rFonts w:cs="Arial"/>
                <w:b/>
                <w:bCs/>
                <w:color w:val="auto"/>
                <w:kern w:val="0"/>
                <w:sz w:val="16"/>
                <w:szCs w:val="16"/>
              </w:rPr>
            </w:pPr>
            <w:r w:rsidRPr="00894701">
              <w:rPr>
                <w:rFonts w:cs="Arial"/>
                <w:b/>
                <w:bCs/>
                <w:color w:val="auto"/>
                <w:sz w:val="16"/>
                <w:szCs w:val="16"/>
              </w:rPr>
              <w:t>(191,291)</w:t>
            </w:r>
          </w:p>
        </w:tc>
      </w:tr>
      <w:tr w:rsidR="00BA216C" w:rsidRPr="00894701" w14:paraId="01620E14" w14:textId="77777777" w:rsidTr="009052AC">
        <w:trPr>
          <w:trHeight w:val="227"/>
          <w:jc w:val="center"/>
        </w:trPr>
        <w:tc>
          <w:tcPr>
            <w:tcW w:w="932" w:type="pct"/>
            <w:gridSpan w:val="2"/>
            <w:tcBorders>
              <w:top w:val="nil"/>
              <w:left w:val="single" w:sz="8" w:space="0" w:color="FF0000"/>
              <w:bottom w:val="nil"/>
              <w:right w:val="nil"/>
            </w:tcBorders>
            <w:shd w:val="clear" w:color="000000" w:fill="C0A99E"/>
            <w:noWrap/>
            <w:tcMar>
              <w:left w:w="28" w:type="dxa"/>
              <w:right w:w="28" w:type="dxa"/>
            </w:tcMar>
            <w:vAlign w:val="center"/>
            <w:hideMark/>
          </w:tcPr>
          <w:p w14:paraId="0CA91E36" w14:textId="77777777" w:rsidR="00BA216C" w:rsidRPr="00894701" w:rsidRDefault="00BA216C" w:rsidP="00BA216C">
            <w:pPr>
              <w:spacing w:after="0" w:line="240" w:lineRule="auto"/>
              <w:rPr>
                <w:rFonts w:cs="Arial"/>
                <w:b/>
                <w:bCs/>
                <w:color w:val="auto"/>
                <w:kern w:val="0"/>
                <w:sz w:val="16"/>
                <w:szCs w:val="16"/>
              </w:rPr>
            </w:pPr>
            <w:r w:rsidRPr="00894701">
              <w:rPr>
                <w:rFonts w:cs="Arial"/>
                <w:b/>
                <w:bCs/>
                <w:color w:val="auto"/>
                <w:kern w:val="0"/>
                <w:sz w:val="16"/>
                <w:szCs w:val="16"/>
              </w:rPr>
              <w:t>Ministry of Finance and Planning (MoFP)</w:t>
            </w:r>
          </w:p>
        </w:tc>
        <w:tc>
          <w:tcPr>
            <w:tcW w:w="465" w:type="pct"/>
            <w:tcBorders>
              <w:top w:val="nil"/>
              <w:left w:val="nil"/>
              <w:bottom w:val="nil"/>
              <w:right w:val="nil"/>
            </w:tcBorders>
            <w:shd w:val="clear" w:color="000000" w:fill="C0A99E"/>
            <w:noWrap/>
            <w:vAlign w:val="center"/>
          </w:tcPr>
          <w:p w14:paraId="4EF8C373" w14:textId="1D4C6146" w:rsidR="00BA216C" w:rsidRPr="00894701" w:rsidRDefault="00BA216C" w:rsidP="00BA216C">
            <w:pPr>
              <w:spacing w:after="0" w:line="240" w:lineRule="auto"/>
              <w:jc w:val="right"/>
              <w:rPr>
                <w:rFonts w:cs="Arial"/>
                <w:b/>
                <w:bCs/>
                <w:color w:val="auto"/>
                <w:kern w:val="0"/>
                <w:sz w:val="16"/>
                <w:szCs w:val="16"/>
              </w:rPr>
            </w:pPr>
            <w:r w:rsidRPr="00894701">
              <w:rPr>
                <w:rFonts w:cs="Arial"/>
                <w:b/>
                <w:bCs/>
                <w:color w:val="auto"/>
                <w:sz w:val="16"/>
                <w:szCs w:val="16"/>
              </w:rPr>
              <w:t>246,410,291</w:t>
            </w:r>
          </w:p>
        </w:tc>
        <w:tc>
          <w:tcPr>
            <w:tcW w:w="512" w:type="pct"/>
            <w:tcBorders>
              <w:top w:val="nil"/>
              <w:left w:val="nil"/>
              <w:bottom w:val="nil"/>
              <w:right w:val="nil"/>
            </w:tcBorders>
            <w:shd w:val="clear" w:color="000000" w:fill="C0A99E"/>
            <w:noWrap/>
            <w:vAlign w:val="center"/>
          </w:tcPr>
          <w:p w14:paraId="386EF7B5" w14:textId="163C813D" w:rsidR="00BA216C" w:rsidRPr="00894701" w:rsidRDefault="00BA216C" w:rsidP="00BA216C">
            <w:pPr>
              <w:spacing w:after="0" w:line="240" w:lineRule="auto"/>
              <w:jc w:val="right"/>
              <w:rPr>
                <w:rFonts w:cs="Arial"/>
                <w:b/>
                <w:bCs/>
                <w:color w:val="auto"/>
                <w:kern w:val="0"/>
                <w:sz w:val="16"/>
                <w:szCs w:val="16"/>
              </w:rPr>
            </w:pPr>
            <w:r w:rsidRPr="00894701">
              <w:rPr>
                <w:rFonts w:cs="Arial"/>
                <w:b/>
                <w:bCs/>
                <w:color w:val="auto"/>
                <w:sz w:val="16"/>
                <w:szCs w:val="16"/>
              </w:rPr>
              <w:t>248,181,613</w:t>
            </w:r>
          </w:p>
        </w:tc>
        <w:tc>
          <w:tcPr>
            <w:tcW w:w="431" w:type="pct"/>
            <w:tcBorders>
              <w:top w:val="nil"/>
              <w:left w:val="nil"/>
              <w:bottom w:val="nil"/>
              <w:right w:val="nil"/>
            </w:tcBorders>
            <w:shd w:val="clear" w:color="000000" w:fill="C0A99E"/>
            <w:noWrap/>
            <w:vAlign w:val="center"/>
          </w:tcPr>
          <w:p w14:paraId="1421A7EF" w14:textId="2A36CD97" w:rsidR="00BA216C" w:rsidRPr="00894701" w:rsidRDefault="00BA216C" w:rsidP="00BA216C">
            <w:pPr>
              <w:spacing w:after="0" w:line="240" w:lineRule="auto"/>
              <w:jc w:val="right"/>
              <w:rPr>
                <w:rFonts w:cs="Arial"/>
                <w:b/>
                <w:bCs/>
                <w:color w:val="auto"/>
                <w:kern w:val="0"/>
                <w:sz w:val="16"/>
                <w:szCs w:val="16"/>
              </w:rPr>
            </w:pPr>
            <w:r w:rsidRPr="00894701">
              <w:rPr>
                <w:rFonts w:cs="Arial"/>
                <w:b/>
                <w:bCs/>
                <w:color w:val="auto"/>
                <w:sz w:val="16"/>
                <w:szCs w:val="16"/>
              </w:rPr>
              <w:t>(1,771,322)</w:t>
            </w:r>
          </w:p>
        </w:tc>
        <w:tc>
          <w:tcPr>
            <w:tcW w:w="417" w:type="pct"/>
            <w:tcBorders>
              <w:top w:val="nil"/>
              <w:left w:val="nil"/>
              <w:bottom w:val="nil"/>
              <w:right w:val="nil"/>
            </w:tcBorders>
            <w:shd w:val="clear" w:color="000000" w:fill="C0A99E"/>
            <w:noWrap/>
            <w:vAlign w:val="center"/>
          </w:tcPr>
          <w:p w14:paraId="6A3432BF" w14:textId="1379D7D3" w:rsidR="00BA216C" w:rsidRPr="00894701" w:rsidRDefault="00BA216C" w:rsidP="00BA216C">
            <w:pPr>
              <w:spacing w:after="0" w:line="240" w:lineRule="auto"/>
              <w:jc w:val="right"/>
              <w:rPr>
                <w:rFonts w:cs="Arial"/>
                <w:b/>
                <w:bCs/>
                <w:color w:val="auto"/>
                <w:kern w:val="0"/>
                <w:sz w:val="16"/>
                <w:szCs w:val="16"/>
              </w:rPr>
            </w:pPr>
            <w:r w:rsidRPr="00894701">
              <w:rPr>
                <w:rFonts w:cs="Arial"/>
                <w:b/>
                <w:bCs/>
                <w:color w:val="auto"/>
                <w:sz w:val="16"/>
                <w:szCs w:val="16"/>
              </w:rPr>
              <w:t>(47,747,006)</w:t>
            </w:r>
          </w:p>
        </w:tc>
        <w:tc>
          <w:tcPr>
            <w:tcW w:w="421" w:type="pct"/>
            <w:tcBorders>
              <w:top w:val="nil"/>
              <w:left w:val="nil"/>
              <w:bottom w:val="nil"/>
              <w:right w:val="nil"/>
            </w:tcBorders>
            <w:shd w:val="clear" w:color="000000" w:fill="C0A99E"/>
            <w:noWrap/>
            <w:vAlign w:val="center"/>
          </w:tcPr>
          <w:p w14:paraId="6F8BA8B1" w14:textId="44597572" w:rsidR="00BA216C" w:rsidRPr="00894701" w:rsidRDefault="00BA216C" w:rsidP="00BA216C">
            <w:pPr>
              <w:spacing w:after="0" w:line="240" w:lineRule="auto"/>
              <w:jc w:val="right"/>
              <w:rPr>
                <w:rFonts w:cs="Arial"/>
                <w:b/>
                <w:bCs/>
                <w:color w:val="auto"/>
                <w:kern w:val="0"/>
                <w:sz w:val="16"/>
                <w:szCs w:val="16"/>
              </w:rPr>
            </w:pPr>
            <w:r w:rsidRPr="00894701">
              <w:rPr>
                <w:rFonts w:cs="Arial"/>
                <w:b/>
                <w:bCs/>
                <w:color w:val="auto"/>
                <w:sz w:val="16"/>
                <w:szCs w:val="16"/>
              </w:rPr>
              <w:t>(49,327,037)</w:t>
            </w:r>
          </w:p>
        </w:tc>
        <w:tc>
          <w:tcPr>
            <w:tcW w:w="378" w:type="pct"/>
            <w:tcBorders>
              <w:top w:val="nil"/>
              <w:left w:val="nil"/>
              <w:bottom w:val="nil"/>
              <w:right w:val="nil"/>
            </w:tcBorders>
            <w:shd w:val="clear" w:color="000000" w:fill="C0A99E"/>
            <w:noWrap/>
            <w:vAlign w:val="center"/>
          </w:tcPr>
          <w:p w14:paraId="5BD3904D" w14:textId="36FB6E4E" w:rsidR="00BA216C" w:rsidRPr="00894701" w:rsidRDefault="00BA216C" w:rsidP="00BA216C">
            <w:pPr>
              <w:spacing w:after="0" w:line="240" w:lineRule="auto"/>
              <w:jc w:val="right"/>
              <w:rPr>
                <w:rFonts w:cs="Arial"/>
                <w:b/>
                <w:bCs/>
                <w:color w:val="auto"/>
                <w:kern w:val="0"/>
                <w:sz w:val="16"/>
                <w:szCs w:val="16"/>
              </w:rPr>
            </w:pPr>
            <w:r w:rsidRPr="00894701">
              <w:rPr>
                <w:rFonts w:cs="Arial"/>
                <w:b/>
                <w:bCs/>
                <w:color w:val="auto"/>
                <w:sz w:val="16"/>
                <w:szCs w:val="16"/>
              </w:rPr>
              <w:t>1,580,031</w:t>
            </w:r>
          </w:p>
        </w:tc>
        <w:tc>
          <w:tcPr>
            <w:tcW w:w="465" w:type="pct"/>
            <w:tcBorders>
              <w:top w:val="nil"/>
              <w:left w:val="nil"/>
              <w:bottom w:val="nil"/>
              <w:right w:val="nil"/>
            </w:tcBorders>
            <w:shd w:val="clear" w:color="000000" w:fill="C0A99E"/>
            <w:noWrap/>
            <w:vAlign w:val="center"/>
          </w:tcPr>
          <w:p w14:paraId="5E53B981" w14:textId="66C382A5" w:rsidR="00BA216C" w:rsidRPr="00894701" w:rsidRDefault="00BA216C" w:rsidP="00BA216C">
            <w:pPr>
              <w:spacing w:after="0" w:line="240" w:lineRule="auto"/>
              <w:jc w:val="right"/>
              <w:rPr>
                <w:rFonts w:cs="Arial"/>
                <w:b/>
                <w:bCs/>
                <w:color w:val="auto"/>
                <w:kern w:val="0"/>
                <w:sz w:val="16"/>
                <w:szCs w:val="16"/>
              </w:rPr>
            </w:pPr>
            <w:r w:rsidRPr="00894701">
              <w:rPr>
                <w:rFonts w:cs="Arial"/>
                <w:b/>
                <w:bCs/>
                <w:color w:val="auto"/>
                <w:sz w:val="16"/>
                <w:szCs w:val="16"/>
              </w:rPr>
              <w:t>198,663,285</w:t>
            </w:r>
          </w:p>
        </w:tc>
        <w:tc>
          <w:tcPr>
            <w:tcW w:w="468" w:type="pct"/>
            <w:tcBorders>
              <w:top w:val="nil"/>
              <w:left w:val="nil"/>
              <w:bottom w:val="nil"/>
              <w:right w:val="nil"/>
            </w:tcBorders>
            <w:shd w:val="clear" w:color="000000" w:fill="C0A99E"/>
            <w:noWrap/>
            <w:vAlign w:val="center"/>
          </w:tcPr>
          <w:p w14:paraId="4D007A68" w14:textId="7577EBC0" w:rsidR="00BA216C" w:rsidRPr="00894701" w:rsidRDefault="00BA216C" w:rsidP="00BA216C">
            <w:pPr>
              <w:spacing w:after="0" w:line="240" w:lineRule="auto"/>
              <w:jc w:val="right"/>
              <w:rPr>
                <w:rFonts w:cs="Arial"/>
                <w:b/>
                <w:bCs/>
                <w:color w:val="auto"/>
                <w:kern w:val="0"/>
                <w:sz w:val="16"/>
                <w:szCs w:val="16"/>
              </w:rPr>
            </w:pPr>
            <w:r w:rsidRPr="00894701">
              <w:rPr>
                <w:rFonts w:cs="Arial"/>
                <w:b/>
                <w:bCs/>
                <w:color w:val="auto"/>
                <w:sz w:val="16"/>
                <w:szCs w:val="16"/>
              </w:rPr>
              <w:t>198,854,576</w:t>
            </w:r>
          </w:p>
        </w:tc>
        <w:tc>
          <w:tcPr>
            <w:tcW w:w="511" w:type="pct"/>
            <w:tcBorders>
              <w:top w:val="nil"/>
              <w:left w:val="nil"/>
              <w:bottom w:val="nil"/>
              <w:right w:val="nil"/>
            </w:tcBorders>
            <w:shd w:val="clear" w:color="000000" w:fill="C0A99E"/>
            <w:noWrap/>
            <w:vAlign w:val="center"/>
          </w:tcPr>
          <w:p w14:paraId="2664BAE1" w14:textId="149C0F9A" w:rsidR="00BA216C" w:rsidRPr="00894701" w:rsidRDefault="00BA216C" w:rsidP="00BA216C">
            <w:pPr>
              <w:spacing w:after="0" w:line="240" w:lineRule="auto"/>
              <w:jc w:val="right"/>
              <w:rPr>
                <w:rFonts w:cs="Arial"/>
                <w:b/>
                <w:bCs/>
                <w:color w:val="auto"/>
                <w:kern w:val="0"/>
                <w:sz w:val="16"/>
                <w:szCs w:val="16"/>
              </w:rPr>
            </w:pPr>
            <w:r w:rsidRPr="00894701">
              <w:rPr>
                <w:rFonts w:cs="Arial"/>
                <w:b/>
                <w:bCs/>
                <w:color w:val="auto"/>
                <w:sz w:val="16"/>
                <w:szCs w:val="16"/>
              </w:rPr>
              <w:t>(191,291)</w:t>
            </w:r>
          </w:p>
        </w:tc>
      </w:tr>
      <w:tr w:rsidR="00AA49E3" w:rsidRPr="00894701" w14:paraId="0214A717" w14:textId="77777777" w:rsidTr="00AA49E3">
        <w:trPr>
          <w:trHeight w:val="227"/>
          <w:jc w:val="center"/>
        </w:trPr>
        <w:tc>
          <w:tcPr>
            <w:tcW w:w="148" w:type="pct"/>
            <w:tcBorders>
              <w:top w:val="nil"/>
              <w:left w:val="single" w:sz="8" w:space="0" w:color="FF0000"/>
              <w:bottom w:val="nil"/>
              <w:right w:val="nil"/>
            </w:tcBorders>
            <w:shd w:val="clear" w:color="000000" w:fill="F7A3B0"/>
            <w:noWrap/>
            <w:tcMar>
              <w:left w:w="28" w:type="dxa"/>
              <w:right w:w="28" w:type="dxa"/>
            </w:tcMar>
            <w:vAlign w:val="center"/>
            <w:hideMark/>
          </w:tcPr>
          <w:p w14:paraId="29C2BB8E"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1.1</w:t>
            </w:r>
          </w:p>
        </w:tc>
        <w:tc>
          <w:tcPr>
            <w:tcW w:w="784" w:type="pct"/>
            <w:tcBorders>
              <w:top w:val="nil"/>
              <w:left w:val="nil"/>
              <w:bottom w:val="nil"/>
              <w:right w:val="nil"/>
            </w:tcBorders>
            <w:shd w:val="clear" w:color="000000" w:fill="F7A3B0"/>
            <w:noWrap/>
            <w:vAlign w:val="center"/>
            <w:hideMark/>
          </w:tcPr>
          <w:p w14:paraId="2EA20976" w14:textId="30AEEE3C"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Concession Fees</w:t>
            </w:r>
          </w:p>
        </w:tc>
        <w:tc>
          <w:tcPr>
            <w:tcW w:w="465" w:type="pct"/>
            <w:tcBorders>
              <w:top w:val="nil"/>
              <w:left w:val="nil"/>
              <w:bottom w:val="nil"/>
              <w:right w:val="nil"/>
            </w:tcBorders>
            <w:shd w:val="clear" w:color="000000" w:fill="F7A3B0"/>
            <w:noWrap/>
            <w:vAlign w:val="center"/>
          </w:tcPr>
          <w:p w14:paraId="1951AECD"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512" w:type="pct"/>
            <w:tcBorders>
              <w:top w:val="nil"/>
              <w:left w:val="nil"/>
              <w:bottom w:val="nil"/>
              <w:right w:val="nil"/>
            </w:tcBorders>
            <w:shd w:val="clear" w:color="000000" w:fill="F7A3B0"/>
            <w:noWrap/>
            <w:vAlign w:val="center"/>
          </w:tcPr>
          <w:p w14:paraId="6DABAFC5"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431" w:type="pct"/>
            <w:tcBorders>
              <w:top w:val="nil"/>
              <w:left w:val="nil"/>
              <w:bottom w:val="nil"/>
              <w:right w:val="nil"/>
            </w:tcBorders>
            <w:shd w:val="clear" w:color="000000" w:fill="F7A3B0"/>
            <w:noWrap/>
            <w:vAlign w:val="center"/>
          </w:tcPr>
          <w:p w14:paraId="6E831116"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417" w:type="pct"/>
            <w:tcBorders>
              <w:top w:val="nil"/>
              <w:left w:val="nil"/>
              <w:bottom w:val="nil"/>
              <w:right w:val="nil"/>
            </w:tcBorders>
            <w:shd w:val="clear" w:color="000000" w:fill="F7A3B0"/>
            <w:noWrap/>
            <w:vAlign w:val="center"/>
          </w:tcPr>
          <w:p w14:paraId="35336C9C"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421" w:type="pct"/>
            <w:tcBorders>
              <w:top w:val="nil"/>
              <w:left w:val="nil"/>
              <w:bottom w:val="nil"/>
              <w:right w:val="nil"/>
            </w:tcBorders>
            <w:shd w:val="clear" w:color="000000" w:fill="F7A3B0"/>
            <w:noWrap/>
            <w:vAlign w:val="center"/>
          </w:tcPr>
          <w:p w14:paraId="10DA5AA4"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378" w:type="pct"/>
            <w:tcBorders>
              <w:top w:val="nil"/>
              <w:left w:val="nil"/>
              <w:bottom w:val="nil"/>
              <w:right w:val="nil"/>
            </w:tcBorders>
            <w:shd w:val="clear" w:color="000000" w:fill="F7A3B0"/>
            <w:noWrap/>
            <w:vAlign w:val="center"/>
          </w:tcPr>
          <w:p w14:paraId="23D4015F"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465" w:type="pct"/>
            <w:tcBorders>
              <w:top w:val="nil"/>
              <w:left w:val="nil"/>
              <w:bottom w:val="nil"/>
              <w:right w:val="nil"/>
            </w:tcBorders>
            <w:shd w:val="clear" w:color="000000" w:fill="F7A3B0"/>
            <w:noWrap/>
            <w:vAlign w:val="center"/>
          </w:tcPr>
          <w:p w14:paraId="17457168"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000000" w:fill="F7A3B0"/>
            <w:noWrap/>
            <w:vAlign w:val="center"/>
          </w:tcPr>
          <w:p w14:paraId="5E1C58BA"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511" w:type="pct"/>
            <w:tcBorders>
              <w:top w:val="nil"/>
              <w:left w:val="nil"/>
              <w:bottom w:val="nil"/>
              <w:right w:val="single" w:sz="8" w:space="0" w:color="FF0000"/>
            </w:tcBorders>
            <w:shd w:val="clear" w:color="000000" w:fill="F7A3B0"/>
            <w:noWrap/>
            <w:vAlign w:val="center"/>
          </w:tcPr>
          <w:p w14:paraId="0084CF63"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r>
      <w:tr w:rsidR="00AA49E3" w:rsidRPr="00894701" w14:paraId="0DED60E3" w14:textId="77777777" w:rsidTr="00AA49E3">
        <w:trPr>
          <w:trHeight w:val="227"/>
          <w:jc w:val="center"/>
        </w:trPr>
        <w:tc>
          <w:tcPr>
            <w:tcW w:w="148" w:type="pct"/>
            <w:tcBorders>
              <w:top w:val="nil"/>
              <w:left w:val="single" w:sz="8" w:space="0" w:color="FF0000"/>
              <w:bottom w:val="nil"/>
              <w:right w:val="nil"/>
            </w:tcBorders>
            <w:shd w:val="clear" w:color="000000" w:fill="FFFFFF"/>
            <w:noWrap/>
            <w:tcMar>
              <w:left w:w="28" w:type="dxa"/>
              <w:right w:w="28" w:type="dxa"/>
            </w:tcMar>
            <w:vAlign w:val="center"/>
            <w:hideMark/>
          </w:tcPr>
          <w:p w14:paraId="6D5AD194" w14:textId="77777777" w:rsidR="00AA49E3" w:rsidRPr="00894701" w:rsidRDefault="00AA49E3" w:rsidP="00AA49E3">
            <w:pPr>
              <w:spacing w:after="0" w:line="240" w:lineRule="auto"/>
              <w:rPr>
                <w:rFonts w:cs="Arial"/>
                <w:color w:val="auto"/>
                <w:kern w:val="0"/>
                <w:sz w:val="16"/>
                <w:szCs w:val="16"/>
              </w:rPr>
            </w:pPr>
            <w:r w:rsidRPr="00894701">
              <w:rPr>
                <w:rFonts w:cs="Arial"/>
                <w:color w:val="auto"/>
                <w:kern w:val="0"/>
                <w:sz w:val="16"/>
                <w:szCs w:val="16"/>
              </w:rPr>
              <w:t>1.2</w:t>
            </w:r>
          </w:p>
        </w:tc>
        <w:tc>
          <w:tcPr>
            <w:tcW w:w="784" w:type="pct"/>
            <w:tcBorders>
              <w:top w:val="nil"/>
              <w:left w:val="nil"/>
              <w:bottom w:val="nil"/>
              <w:right w:val="nil"/>
            </w:tcBorders>
            <w:shd w:val="clear" w:color="000000" w:fill="FFFFFF"/>
            <w:vAlign w:val="center"/>
            <w:hideMark/>
          </w:tcPr>
          <w:p w14:paraId="50271742" w14:textId="0FD48528" w:rsidR="00AA49E3" w:rsidRPr="00894701" w:rsidRDefault="00AA49E3" w:rsidP="00AA49E3">
            <w:pPr>
              <w:spacing w:after="0" w:line="240" w:lineRule="auto"/>
              <w:rPr>
                <w:rFonts w:cs="Arial"/>
                <w:color w:val="auto"/>
                <w:kern w:val="0"/>
                <w:sz w:val="16"/>
                <w:szCs w:val="16"/>
              </w:rPr>
            </w:pPr>
            <w:r w:rsidRPr="00894701">
              <w:rPr>
                <w:rFonts w:cs="Arial"/>
                <w:color w:val="auto"/>
                <w:kern w:val="0"/>
                <w:sz w:val="16"/>
                <w:szCs w:val="16"/>
              </w:rPr>
              <w:t>Exploration fees yearly MoFP</w:t>
            </w:r>
          </w:p>
        </w:tc>
        <w:tc>
          <w:tcPr>
            <w:tcW w:w="465" w:type="pct"/>
            <w:tcBorders>
              <w:top w:val="nil"/>
              <w:left w:val="nil"/>
              <w:bottom w:val="nil"/>
              <w:right w:val="nil"/>
            </w:tcBorders>
            <w:shd w:val="clear" w:color="000000" w:fill="FFFFFF"/>
            <w:noWrap/>
            <w:vAlign w:val="center"/>
          </w:tcPr>
          <w:p w14:paraId="06B40D48"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512" w:type="pct"/>
            <w:tcBorders>
              <w:top w:val="nil"/>
              <w:left w:val="nil"/>
              <w:bottom w:val="nil"/>
              <w:right w:val="nil"/>
            </w:tcBorders>
            <w:shd w:val="clear" w:color="000000" w:fill="FFFFFF"/>
            <w:noWrap/>
            <w:vAlign w:val="center"/>
          </w:tcPr>
          <w:p w14:paraId="446E2F84"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431" w:type="pct"/>
            <w:tcBorders>
              <w:top w:val="nil"/>
              <w:left w:val="nil"/>
              <w:bottom w:val="nil"/>
              <w:right w:val="nil"/>
            </w:tcBorders>
            <w:shd w:val="clear" w:color="000000" w:fill="FFFFFF"/>
            <w:noWrap/>
            <w:vAlign w:val="center"/>
          </w:tcPr>
          <w:p w14:paraId="5221A2CF"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417" w:type="pct"/>
            <w:tcBorders>
              <w:top w:val="nil"/>
              <w:left w:val="nil"/>
              <w:bottom w:val="nil"/>
              <w:right w:val="nil"/>
            </w:tcBorders>
            <w:shd w:val="clear" w:color="000000" w:fill="FFFFFF"/>
            <w:noWrap/>
            <w:vAlign w:val="center"/>
          </w:tcPr>
          <w:p w14:paraId="6F6FC074"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421" w:type="pct"/>
            <w:tcBorders>
              <w:top w:val="nil"/>
              <w:left w:val="nil"/>
              <w:bottom w:val="nil"/>
              <w:right w:val="nil"/>
            </w:tcBorders>
            <w:shd w:val="clear" w:color="000000" w:fill="FFFFFF"/>
            <w:noWrap/>
            <w:vAlign w:val="center"/>
          </w:tcPr>
          <w:p w14:paraId="2D371981"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378" w:type="pct"/>
            <w:tcBorders>
              <w:top w:val="nil"/>
              <w:left w:val="nil"/>
              <w:bottom w:val="nil"/>
              <w:right w:val="nil"/>
            </w:tcBorders>
            <w:shd w:val="clear" w:color="000000" w:fill="FFFFFF"/>
            <w:noWrap/>
            <w:vAlign w:val="center"/>
          </w:tcPr>
          <w:p w14:paraId="35DA2AFA"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465" w:type="pct"/>
            <w:tcBorders>
              <w:top w:val="nil"/>
              <w:left w:val="nil"/>
              <w:bottom w:val="nil"/>
              <w:right w:val="nil"/>
            </w:tcBorders>
            <w:shd w:val="clear" w:color="000000" w:fill="FFFFFF"/>
            <w:noWrap/>
            <w:vAlign w:val="center"/>
          </w:tcPr>
          <w:p w14:paraId="0DAF8CBE"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000000" w:fill="FFFFFF"/>
            <w:noWrap/>
            <w:vAlign w:val="center"/>
          </w:tcPr>
          <w:p w14:paraId="22B71949"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511" w:type="pct"/>
            <w:tcBorders>
              <w:top w:val="nil"/>
              <w:left w:val="nil"/>
              <w:bottom w:val="nil"/>
              <w:right w:val="single" w:sz="8" w:space="0" w:color="FF0000"/>
            </w:tcBorders>
            <w:shd w:val="clear" w:color="000000" w:fill="FFFFFF"/>
            <w:noWrap/>
            <w:vAlign w:val="center"/>
          </w:tcPr>
          <w:p w14:paraId="6551CB33"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r>
      <w:tr w:rsidR="00AA49E3" w:rsidRPr="00894701" w14:paraId="2AFA1D68" w14:textId="77777777" w:rsidTr="00AA49E3">
        <w:trPr>
          <w:trHeight w:val="227"/>
          <w:jc w:val="center"/>
        </w:trPr>
        <w:tc>
          <w:tcPr>
            <w:tcW w:w="148" w:type="pct"/>
            <w:tcBorders>
              <w:top w:val="nil"/>
              <w:left w:val="single" w:sz="8" w:space="0" w:color="FF0000"/>
              <w:bottom w:val="nil"/>
              <w:right w:val="nil"/>
            </w:tcBorders>
            <w:shd w:val="clear" w:color="000000" w:fill="F7A3B0"/>
            <w:noWrap/>
            <w:tcMar>
              <w:left w:w="28" w:type="dxa"/>
              <w:right w:w="28" w:type="dxa"/>
            </w:tcMar>
            <w:vAlign w:val="center"/>
            <w:hideMark/>
          </w:tcPr>
          <w:p w14:paraId="66AA9385"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1.3</w:t>
            </w:r>
          </w:p>
        </w:tc>
        <w:tc>
          <w:tcPr>
            <w:tcW w:w="784" w:type="pct"/>
            <w:tcBorders>
              <w:top w:val="nil"/>
              <w:left w:val="nil"/>
              <w:bottom w:val="nil"/>
              <w:right w:val="nil"/>
            </w:tcBorders>
            <w:shd w:val="clear" w:color="000000" w:fill="F7A3B0"/>
            <w:noWrap/>
            <w:vAlign w:val="center"/>
            <w:hideMark/>
          </w:tcPr>
          <w:p w14:paraId="38EA31DB" w14:textId="48EEF744"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Exploitation fee yearly MoFP</w:t>
            </w:r>
          </w:p>
        </w:tc>
        <w:tc>
          <w:tcPr>
            <w:tcW w:w="465" w:type="pct"/>
            <w:tcBorders>
              <w:top w:val="nil"/>
              <w:left w:val="nil"/>
              <w:bottom w:val="nil"/>
              <w:right w:val="nil"/>
            </w:tcBorders>
            <w:shd w:val="clear" w:color="000000" w:fill="F7A3B0"/>
            <w:noWrap/>
            <w:vAlign w:val="center"/>
          </w:tcPr>
          <w:p w14:paraId="0B875E8D"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512" w:type="pct"/>
            <w:tcBorders>
              <w:top w:val="nil"/>
              <w:left w:val="nil"/>
              <w:bottom w:val="nil"/>
              <w:right w:val="nil"/>
            </w:tcBorders>
            <w:shd w:val="clear" w:color="000000" w:fill="F7A3B0"/>
            <w:noWrap/>
            <w:vAlign w:val="center"/>
          </w:tcPr>
          <w:p w14:paraId="6342FF58"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431" w:type="pct"/>
            <w:tcBorders>
              <w:top w:val="nil"/>
              <w:left w:val="nil"/>
              <w:bottom w:val="nil"/>
              <w:right w:val="nil"/>
            </w:tcBorders>
            <w:shd w:val="clear" w:color="000000" w:fill="F7A3B0"/>
            <w:noWrap/>
            <w:vAlign w:val="center"/>
          </w:tcPr>
          <w:p w14:paraId="1C4AAEAF"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417" w:type="pct"/>
            <w:tcBorders>
              <w:top w:val="nil"/>
              <w:left w:val="nil"/>
              <w:bottom w:val="nil"/>
              <w:right w:val="nil"/>
            </w:tcBorders>
            <w:shd w:val="clear" w:color="000000" w:fill="F7A3B0"/>
            <w:noWrap/>
            <w:vAlign w:val="center"/>
          </w:tcPr>
          <w:p w14:paraId="781C2FA3"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421" w:type="pct"/>
            <w:tcBorders>
              <w:top w:val="nil"/>
              <w:left w:val="nil"/>
              <w:bottom w:val="nil"/>
              <w:right w:val="nil"/>
            </w:tcBorders>
            <w:shd w:val="clear" w:color="000000" w:fill="F7A3B0"/>
            <w:noWrap/>
            <w:vAlign w:val="center"/>
          </w:tcPr>
          <w:p w14:paraId="6C5C65AA"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378" w:type="pct"/>
            <w:tcBorders>
              <w:top w:val="nil"/>
              <w:left w:val="nil"/>
              <w:bottom w:val="nil"/>
              <w:right w:val="nil"/>
            </w:tcBorders>
            <w:shd w:val="clear" w:color="000000" w:fill="F7A3B0"/>
            <w:noWrap/>
            <w:vAlign w:val="center"/>
          </w:tcPr>
          <w:p w14:paraId="2FB528DD"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465" w:type="pct"/>
            <w:tcBorders>
              <w:top w:val="nil"/>
              <w:left w:val="nil"/>
              <w:bottom w:val="nil"/>
              <w:right w:val="nil"/>
            </w:tcBorders>
            <w:shd w:val="clear" w:color="000000" w:fill="F7A3B0"/>
            <w:noWrap/>
            <w:vAlign w:val="center"/>
          </w:tcPr>
          <w:p w14:paraId="53ED74BC"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000000" w:fill="F7A3B0"/>
            <w:noWrap/>
            <w:vAlign w:val="center"/>
          </w:tcPr>
          <w:p w14:paraId="57A430F4"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511" w:type="pct"/>
            <w:tcBorders>
              <w:top w:val="nil"/>
              <w:left w:val="nil"/>
              <w:bottom w:val="nil"/>
              <w:right w:val="single" w:sz="8" w:space="0" w:color="FF0000"/>
            </w:tcBorders>
            <w:shd w:val="clear" w:color="000000" w:fill="F7A3B0"/>
            <w:noWrap/>
            <w:vAlign w:val="center"/>
          </w:tcPr>
          <w:p w14:paraId="50F6E69E"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r>
      <w:tr w:rsidR="00AA49E3" w:rsidRPr="00894701" w14:paraId="67B84811" w14:textId="77777777" w:rsidTr="00AA49E3">
        <w:trPr>
          <w:trHeight w:val="227"/>
          <w:jc w:val="center"/>
        </w:trPr>
        <w:tc>
          <w:tcPr>
            <w:tcW w:w="148" w:type="pct"/>
            <w:tcBorders>
              <w:top w:val="nil"/>
              <w:left w:val="single" w:sz="8" w:space="0" w:color="FF0000"/>
              <w:bottom w:val="nil"/>
              <w:right w:val="nil"/>
            </w:tcBorders>
            <w:shd w:val="clear" w:color="000000" w:fill="FFFFFF"/>
            <w:noWrap/>
            <w:tcMar>
              <w:left w:w="28" w:type="dxa"/>
              <w:right w:w="28" w:type="dxa"/>
            </w:tcMar>
            <w:vAlign w:val="center"/>
            <w:hideMark/>
          </w:tcPr>
          <w:p w14:paraId="5846E8BC" w14:textId="77777777" w:rsidR="00AA49E3" w:rsidRPr="00894701" w:rsidRDefault="00AA49E3" w:rsidP="00AA49E3">
            <w:pPr>
              <w:spacing w:after="0" w:line="240" w:lineRule="auto"/>
              <w:rPr>
                <w:rFonts w:cs="Arial"/>
                <w:color w:val="auto"/>
                <w:kern w:val="0"/>
                <w:sz w:val="16"/>
                <w:szCs w:val="16"/>
              </w:rPr>
            </w:pPr>
            <w:r w:rsidRPr="00894701">
              <w:rPr>
                <w:rFonts w:cs="Arial"/>
                <w:color w:val="auto"/>
                <w:kern w:val="0"/>
                <w:sz w:val="16"/>
                <w:szCs w:val="16"/>
              </w:rPr>
              <w:t>1.4</w:t>
            </w:r>
          </w:p>
        </w:tc>
        <w:tc>
          <w:tcPr>
            <w:tcW w:w="784" w:type="pct"/>
            <w:tcBorders>
              <w:top w:val="nil"/>
              <w:left w:val="nil"/>
              <w:bottom w:val="nil"/>
              <w:right w:val="nil"/>
            </w:tcBorders>
            <w:shd w:val="clear" w:color="000000" w:fill="FFFFFF"/>
            <w:vAlign w:val="center"/>
            <w:hideMark/>
          </w:tcPr>
          <w:p w14:paraId="335B58DA" w14:textId="56BAD9E2" w:rsidR="00AA49E3" w:rsidRPr="00894701" w:rsidRDefault="00AA49E3" w:rsidP="00AA49E3">
            <w:pPr>
              <w:spacing w:after="0" w:line="240" w:lineRule="auto"/>
              <w:rPr>
                <w:rFonts w:cs="Arial"/>
                <w:color w:val="auto"/>
                <w:kern w:val="0"/>
                <w:sz w:val="16"/>
                <w:szCs w:val="16"/>
              </w:rPr>
            </w:pPr>
            <w:r w:rsidRPr="00894701">
              <w:rPr>
                <w:rFonts w:cs="Arial"/>
                <w:color w:val="auto"/>
                <w:kern w:val="0"/>
                <w:sz w:val="16"/>
                <w:szCs w:val="16"/>
              </w:rPr>
              <w:t>Fee Quarry building materials</w:t>
            </w:r>
          </w:p>
        </w:tc>
        <w:tc>
          <w:tcPr>
            <w:tcW w:w="465" w:type="pct"/>
            <w:tcBorders>
              <w:top w:val="nil"/>
              <w:left w:val="nil"/>
              <w:bottom w:val="nil"/>
              <w:right w:val="nil"/>
            </w:tcBorders>
            <w:shd w:val="clear" w:color="000000" w:fill="FFFFFF"/>
            <w:noWrap/>
            <w:vAlign w:val="center"/>
          </w:tcPr>
          <w:p w14:paraId="526C73E4"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512" w:type="pct"/>
            <w:tcBorders>
              <w:top w:val="nil"/>
              <w:left w:val="nil"/>
              <w:bottom w:val="nil"/>
              <w:right w:val="nil"/>
            </w:tcBorders>
            <w:shd w:val="clear" w:color="000000" w:fill="FFFFFF"/>
            <w:noWrap/>
            <w:vAlign w:val="center"/>
          </w:tcPr>
          <w:p w14:paraId="25A6E3B9"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431" w:type="pct"/>
            <w:tcBorders>
              <w:top w:val="nil"/>
              <w:left w:val="nil"/>
              <w:bottom w:val="nil"/>
              <w:right w:val="nil"/>
            </w:tcBorders>
            <w:shd w:val="clear" w:color="000000" w:fill="FFFFFF"/>
            <w:noWrap/>
            <w:vAlign w:val="center"/>
          </w:tcPr>
          <w:p w14:paraId="0E7AE748"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417" w:type="pct"/>
            <w:tcBorders>
              <w:top w:val="nil"/>
              <w:left w:val="nil"/>
              <w:bottom w:val="nil"/>
              <w:right w:val="nil"/>
            </w:tcBorders>
            <w:shd w:val="clear" w:color="000000" w:fill="FFFFFF"/>
            <w:noWrap/>
            <w:vAlign w:val="center"/>
          </w:tcPr>
          <w:p w14:paraId="1C077C0A"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421" w:type="pct"/>
            <w:tcBorders>
              <w:top w:val="nil"/>
              <w:left w:val="nil"/>
              <w:bottom w:val="nil"/>
              <w:right w:val="nil"/>
            </w:tcBorders>
            <w:shd w:val="clear" w:color="000000" w:fill="FFFFFF"/>
            <w:noWrap/>
            <w:vAlign w:val="center"/>
          </w:tcPr>
          <w:p w14:paraId="662E5F07"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378" w:type="pct"/>
            <w:tcBorders>
              <w:top w:val="nil"/>
              <w:left w:val="nil"/>
              <w:bottom w:val="nil"/>
              <w:right w:val="nil"/>
            </w:tcBorders>
            <w:shd w:val="clear" w:color="000000" w:fill="FFFFFF"/>
            <w:noWrap/>
            <w:vAlign w:val="center"/>
          </w:tcPr>
          <w:p w14:paraId="1C006FC1"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465" w:type="pct"/>
            <w:tcBorders>
              <w:top w:val="nil"/>
              <w:left w:val="nil"/>
              <w:bottom w:val="nil"/>
              <w:right w:val="nil"/>
            </w:tcBorders>
            <w:shd w:val="clear" w:color="000000" w:fill="FFFFFF"/>
            <w:noWrap/>
            <w:vAlign w:val="center"/>
          </w:tcPr>
          <w:p w14:paraId="57CBFB48"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000000" w:fill="FFFFFF"/>
            <w:noWrap/>
            <w:vAlign w:val="center"/>
          </w:tcPr>
          <w:p w14:paraId="4773CD86"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511" w:type="pct"/>
            <w:tcBorders>
              <w:top w:val="nil"/>
              <w:left w:val="nil"/>
              <w:bottom w:val="nil"/>
              <w:right w:val="single" w:sz="8" w:space="0" w:color="FF0000"/>
            </w:tcBorders>
            <w:shd w:val="clear" w:color="000000" w:fill="FFFFFF"/>
            <w:noWrap/>
            <w:vAlign w:val="center"/>
          </w:tcPr>
          <w:p w14:paraId="40A07BC0"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r>
      <w:tr w:rsidR="00AA49E3" w:rsidRPr="00894701" w14:paraId="002963A2" w14:textId="77777777" w:rsidTr="00AA49E3">
        <w:trPr>
          <w:trHeight w:val="227"/>
          <w:jc w:val="center"/>
        </w:trPr>
        <w:tc>
          <w:tcPr>
            <w:tcW w:w="148" w:type="pct"/>
            <w:tcBorders>
              <w:top w:val="nil"/>
              <w:left w:val="single" w:sz="8" w:space="0" w:color="FF0000"/>
              <w:bottom w:val="nil"/>
              <w:right w:val="nil"/>
            </w:tcBorders>
            <w:shd w:val="clear" w:color="000000" w:fill="F7A3B0"/>
            <w:noWrap/>
            <w:tcMar>
              <w:left w:w="28" w:type="dxa"/>
              <w:right w:w="28" w:type="dxa"/>
            </w:tcMar>
            <w:vAlign w:val="center"/>
            <w:hideMark/>
          </w:tcPr>
          <w:p w14:paraId="23B1B3C8"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1.5</w:t>
            </w:r>
          </w:p>
        </w:tc>
        <w:tc>
          <w:tcPr>
            <w:tcW w:w="784" w:type="pct"/>
            <w:tcBorders>
              <w:top w:val="nil"/>
              <w:left w:val="nil"/>
              <w:bottom w:val="nil"/>
              <w:right w:val="nil"/>
            </w:tcBorders>
            <w:shd w:val="clear" w:color="000000" w:fill="F7A3B0"/>
            <w:noWrap/>
            <w:vAlign w:val="center"/>
            <w:hideMark/>
          </w:tcPr>
          <w:p w14:paraId="734ABFF1" w14:textId="5DA41B0E"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Application fees</w:t>
            </w:r>
          </w:p>
        </w:tc>
        <w:tc>
          <w:tcPr>
            <w:tcW w:w="465" w:type="pct"/>
            <w:tcBorders>
              <w:top w:val="nil"/>
              <w:left w:val="nil"/>
              <w:bottom w:val="nil"/>
              <w:right w:val="nil"/>
            </w:tcBorders>
            <w:shd w:val="clear" w:color="000000" w:fill="F7A3B0"/>
            <w:noWrap/>
            <w:vAlign w:val="center"/>
          </w:tcPr>
          <w:p w14:paraId="15B27AE9"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512" w:type="pct"/>
            <w:tcBorders>
              <w:top w:val="nil"/>
              <w:left w:val="nil"/>
              <w:bottom w:val="nil"/>
              <w:right w:val="nil"/>
            </w:tcBorders>
            <w:shd w:val="clear" w:color="000000" w:fill="F7A3B0"/>
            <w:noWrap/>
            <w:vAlign w:val="center"/>
          </w:tcPr>
          <w:p w14:paraId="7B2207F2"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431" w:type="pct"/>
            <w:tcBorders>
              <w:top w:val="nil"/>
              <w:left w:val="nil"/>
              <w:bottom w:val="nil"/>
              <w:right w:val="nil"/>
            </w:tcBorders>
            <w:shd w:val="clear" w:color="000000" w:fill="F7A3B0"/>
            <w:noWrap/>
            <w:vAlign w:val="center"/>
          </w:tcPr>
          <w:p w14:paraId="6397BDCE"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417" w:type="pct"/>
            <w:tcBorders>
              <w:top w:val="nil"/>
              <w:left w:val="nil"/>
              <w:bottom w:val="nil"/>
              <w:right w:val="nil"/>
            </w:tcBorders>
            <w:shd w:val="clear" w:color="000000" w:fill="F7A3B0"/>
            <w:noWrap/>
            <w:vAlign w:val="center"/>
          </w:tcPr>
          <w:p w14:paraId="4F598172"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421" w:type="pct"/>
            <w:tcBorders>
              <w:top w:val="nil"/>
              <w:left w:val="nil"/>
              <w:bottom w:val="nil"/>
              <w:right w:val="nil"/>
            </w:tcBorders>
            <w:shd w:val="clear" w:color="000000" w:fill="F7A3B0"/>
            <w:noWrap/>
            <w:vAlign w:val="center"/>
          </w:tcPr>
          <w:p w14:paraId="37C7C4B0"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378" w:type="pct"/>
            <w:tcBorders>
              <w:top w:val="nil"/>
              <w:left w:val="nil"/>
              <w:bottom w:val="nil"/>
              <w:right w:val="nil"/>
            </w:tcBorders>
            <w:shd w:val="clear" w:color="000000" w:fill="F7A3B0"/>
            <w:noWrap/>
            <w:vAlign w:val="center"/>
          </w:tcPr>
          <w:p w14:paraId="05D1585A"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465" w:type="pct"/>
            <w:tcBorders>
              <w:top w:val="nil"/>
              <w:left w:val="nil"/>
              <w:bottom w:val="nil"/>
              <w:right w:val="nil"/>
            </w:tcBorders>
            <w:shd w:val="clear" w:color="000000" w:fill="F7A3B0"/>
            <w:noWrap/>
            <w:vAlign w:val="center"/>
          </w:tcPr>
          <w:p w14:paraId="4B3721F4"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000000" w:fill="F7A3B0"/>
            <w:noWrap/>
            <w:vAlign w:val="center"/>
          </w:tcPr>
          <w:p w14:paraId="1D1E5C65"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511" w:type="pct"/>
            <w:tcBorders>
              <w:top w:val="nil"/>
              <w:left w:val="nil"/>
              <w:bottom w:val="nil"/>
              <w:right w:val="single" w:sz="8" w:space="0" w:color="FF0000"/>
            </w:tcBorders>
            <w:shd w:val="clear" w:color="000000" w:fill="F7A3B0"/>
            <w:noWrap/>
            <w:vAlign w:val="center"/>
          </w:tcPr>
          <w:p w14:paraId="30CB3E7F"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r>
      <w:tr w:rsidR="00AA49E3" w:rsidRPr="00894701" w14:paraId="7E60A516" w14:textId="77777777" w:rsidTr="00AA49E3">
        <w:trPr>
          <w:trHeight w:val="227"/>
          <w:jc w:val="center"/>
        </w:trPr>
        <w:tc>
          <w:tcPr>
            <w:tcW w:w="148" w:type="pct"/>
            <w:tcBorders>
              <w:top w:val="nil"/>
              <w:left w:val="single" w:sz="8" w:space="0" w:color="FF0000"/>
              <w:bottom w:val="nil"/>
              <w:right w:val="nil"/>
            </w:tcBorders>
            <w:shd w:val="clear" w:color="000000" w:fill="FFFFFF"/>
            <w:noWrap/>
            <w:tcMar>
              <w:left w:w="28" w:type="dxa"/>
              <w:right w:w="28" w:type="dxa"/>
            </w:tcMar>
            <w:vAlign w:val="center"/>
            <w:hideMark/>
          </w:tcPr>
          <w:p w14:paraId="4EDFFAFE" w14:textId="77777777" w:rsidR="00AA49E3" w:rsidRPr="00894701" w:rsidRDefault="00AA49E3" w:rsidP="00AA49E3">
            <w:pPr>
              <w:spacing w:after="0" w:line="240" w:lineRule="auto"/>
              <w:rPr>
                <w:rFonts w:cs="Arial"/>
                <w:color w:val="auto"/>
                <w:kern w:val="0"/>
                <w:sz w:val="16"/>
                <w:szCs w:val="16"/>
              </w:rPr>
            </w:pPr>
            <w:r w:rsidRPr="00894701">
              <w:rPr>
                <w:rFonts w:cs="Arial"/>
                <w:color w:val="auto"/>
                <w:kern w:val="0"/>
                <w:sz w:val="16"/>
                <w:szCs w:val="16"/>
              </w:rPr>
              <w:t>1.6</w:t>
            </w:r>
          </w:p>
        </w:tc>
        <w:tc>
          <w:tcPr>
            <w:tcW w:w="784" w:type="pct"/>
            <w:tcBorders>
              <w:top w:val="nil"/>
              <w:left w:val="nil"/>
              <w:bottom w:val="nil"/>
              <w:right w:val="nil"/>
            </w:tcBorders>
            <w:shd w:val="clear" w:color="000000" w:fill="FFFFFF"/>
            <w:vAlign w:val="center"/>
            <w:hideMark/>
          </w:tcPr>
          <w:p w14:paraId="01ACC483" w14:textId="7D8B6DA6" w:rsidR="00AA49E3" w:rsidRPr="00894701" w:rsidRDefault="00AA49E3" w:rsidP="00AA49E3">
            <w:pPr>
              <w:spacing w:after="0" w:line="240" w:lineRule="auto"/>
              <w:rPr>
                <w:rFonts w:cs="Arial"/>
                <w:color w:val="auto"/>
                <w:kern w:val="0"/>
                <w:sz w:val="16"/>
                <w:szCs w:val="16"/>
              </w:rPr>
            </w:pPr>
            <w:r w:rsidRPr="00894701">
              <w:rPr>
                <w:rFonts w:cs="Arial"/>
                <w:color w:val="auto"/>
                <w:kern w:val="0"/>
                <w:sz w:val="16"/>
                <w:szCs w:val="16"/>
              </w:rPr>
              <w:t>Income Tax</w:t>
            </w:r>
          </w:p>
        </w:tc>
        <w:tc>
          <w:tcPr>
            <w:tcW w:w="465" w:type="pct"/>
            <w:tcBorders>
              <w:top w:val="nil"/>
              <w:left w:val="nil"/>
              <w:bottom w:val="nil"/>
              <w:right w:val="nil"/>
            </w:tcBorders>
            <w:shd w:val="clear" w:color="000000" w:fill="FFFFFF"/>
            <w:noWrap/>
            <w:vAlign w:val="center"/>
          </w:tcPr>
          <w:p w14:paraId="5BFB761B"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512" w:type="pct"/>
            <w:tcBorders>
              <w:top w:val="nil"/>
              <w:left w:val="nil"/>
              <w:bottom w:val="nil"/>
              <w:right w:val="nil"/>
            </w:tcBorders>
            <w:shd w:val="clear" w:color="000000" w:fill="FFFFFF"/>
            <w:noWrap/>
            <w:vAlign w:val="center"/>
          </w:tcPr>
          <w:p w14:paraId="58EEE391"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431" w:type="pct"/>
            <w:tcBorders>
              <w:top w:val="nil"/>
              <w:left w:val="nil"/>
              <w:bottom w:val="nil"/>
              <w:right w:val="nil"/>
            </w:tcBorders>
            <w:shd w:val="clear" w:color="000000" w:fill="FFFFFF"/>
            <w:noWrap/>
            <w:vAlign w:val="center"/>
          </w:tcPr>
          <w:p w14:paraId="5F9D28E3"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417" w:type="pct"/>
            <w:tcBorders>
              <w:top w:val="nil"/>
              <w:left w:val="nil"/>
              <w:bottom w:val="nil"/>
              <w:right w:val="nil"/>
            </w:tcBorders>
            <w:shd w:val="clear" w:color="000000" w:fill="FFFFFF"/>
            <w:noWrap/>
            <w:vAlign w:val="center"/>
          </w:tcPr>
          <w:p w14:paraId="2B3665EE"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421" w:type="pct"/>
            <w:tcBorders>
              <w:top w:val="nil"/>
              <w:left w:val="nil"/>
              <w:bottom w:val="nil"/>
              <w:right w:val="nil"/>
            </w:tcBorders>
            <w:shd w:val="clear" w:color="000000" w:fill="FFFFFF"/>
            <w:noWrap/>
            <w:vAlign w:val="center"/>
          </w:tcPr>
          <w:p w14:paraId="60F130A7"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378" w:type="pct"/>
            <w:tcBorders>
              <w:top w:val="nil"/>
              <w:left w:val="nil"/>
              <w:bottom w:val="nil"/>
              <w:right w:val="nil"/>
            </w:tcBorders>
            <w:shd w:val="clear" w:color="000000" w:fill="FFFFFF"/>
            <w:noWrap/>
            <w:vAlign w:val="center"/>
          </w:tcPr>
          <w:p w14:paraId="1FE464AA"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465" w:type="pct"/>
            <w:tcBorders>
              <w:top w:val="nil"/>
              <w:left w:val="nil"/>
              <w:bottom w:val="nil"/>
              <w:right w:val="nil"/>
            </w:tcBorders>
            <w:shd w:val="clear" w:color="000000" w:fill="FFFFFF"/>
            <w:noWrap/>
            <w:vAlign w:val="center"/>
          </w:tcPr>
          <w:p w14:paraId="17F69A1D"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000000" w:fill="FFFFFF"/>
            <w:noWrap/>
            <w:vAlign w:val="center"/>
          </w:tcPr>
          <w:p w14:paraId="6A830188"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511" w:type="pct"/>
            <w:tcBorders>
              <w:top w:val="nil"/>
              <w:left w:val="nil"/>
              <w:bottom w:val="nil"/>
              <w:right w:val="single" w:sz="8" w:space="0" w:color="FF0000"/>
            </w:tcBorders>
            <w:shd w:val="clear" w:color="000000" w:fill="FFFFFF"/>
            <w:noWrap/>
            <w:vAlign w:val="center"/>
          </w:tcPr>
          <w:p w14:paraId="3EDEA4AF"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r>
      <w:tr w:rsidR="00AA49E3" w:rsidRPr="00894701" w14:paraId="0B4E543F" w14:textId="77777777" w:rsidTr="00AA49E3">
        <w:trPr>
          <w:trHeight w:val="227"/>
          <w:jc w:val="center"/>
        </w:trPr>
        <w:tc>
          <w:tcPr>
            <w:tcW w:w="148" w:type="pct"/>
            <w:tcBorders>
              <w:top w:val="nil"/>
              <w:left w:val="single" w:sz="8" w:space="0" w:color="FF0000"/>
              <w:bottom w:val="nil"/>
              <w:right w:val="nil"/>
            </w:tcBorders>
            <w:shd w:val="clear" w:color="000000" w:fill="F7A3B0"/>
            <w:noWrap/>
            <w:tcMar>
              <w:left w:w="28" w:type="dxa"/>
              <w:right w:w="28" w:type="dxa"/>
            </w:tcMar>
            <w:vAlign w:val="center"/>
            <w:hideMark/>
          </w:tcPr>
          <w:p w14:paraId="5CAA4330"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1.7</w:t>
            </w:r>
          </w:p>
        </w:tc>
        <w:tc>
          <w:tcPr>
            <w:tcW w:w="784" w:type="pct"/>
            <w:tcBorders>
              <w:top w:val="nil"/>
              <w:left w:val="nil"/>
              <w:bottom w:val="nil"/>
              <w:right w:val="nil"/>
            </w:tcBorders>
            <w:shd w:val="clear" w:color="000000" w:fill="F7A3B0"/>
            <w:noWrap/>
            <w:vAlign w:val="center"/>
            <w:hideMark/>
          </w:tcPr>
          <w:p w14:paraId="0AE06E91" w14:textId="6CFFF75E"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Sales Tax</w:t>
            </w:r>
          </w:p>
        </w:tc>
        <w:tc>
          <w:tcPr>
            <w:tcW w:w="465" w:type="pct"/>
            <w:tcBorders>
              <w:top w:val="nil"/>
              <w:left w:val="nil"/>
              <w:bottom w:val="nil"/>
              <w:right w:val="nil"/>
            </w:tcBorders>
            <w:shd w:val="clear" w:color="000000" w:fill="F7A3B0"/>
            <w:noWrap/>
            <w:vAlign w:val="center"/>
          </w:tcPr>
          <w:p w14:paraId="5EFE7A41"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512" w:type="pct"/>
            <w:tcBorders>
              <w:top w:val="nil"/>
              <w:left w:val="nil"/>
              <w:bottom w:val="nil"/>
              <w:right w:val="nil"/>
            </w:tcBorders>
            <w:shd w:val="clear" w:color="000000" w:fill="F7A3B0"/>
            <w:noWrap/>
            <w:vAlign w:val="center"/>
          </w:tcPr>
          <w:p w14:paraId="63A4F7B0"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431" w:type="pct"/>
            <w:tcBorders>
              <w:top w:val="nil"/>
              <w:left w:val="nil"/>
              <w:bottom w:val="nil"/>
              <w:right w:val="nil"/>
            </w:tcBorders>
            <w:shd w:val="clear" w:color="000000" w:fill="F7A3B0"/>
            <w:noWrap/>
            <w:vAlign w:val="center"/>
          </w:tcPr>
          <w:p w14:paraId="4ABF003D"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417" w:type="pct"/>
            <w:tcBorders>
              <w:top w:val="nil"/>
              <w:left w:val="nil"/>
              <w:bottom w:val="nil"/>
              <w:right w:val="nil"/>
            </w:tcBorders>
            <w:shd w:val="clear" w:color="000000" w:fill="F7A3B0"/>
            <w:noWrap/>
            <w:vAlign w:val="center"/>
          </w:tcPr>
          <w:p w14:paraId="1C79142E"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421" w:type="pct"/>
            <w:tcBorders>
              <w:top w:val="nil"/>
              <w:left w:val="nil"/>
              <w:bottom w:val="nil"/>
              <w:right w:val="nil"/>
            </w:tcBorders>
            <w:shd w:val="clear" w:color="000000" w:fill="F7A3B0"/>
            <w:noWrap/>
            <w:vAlign w:val="center"/>
          </w:tcPr>
          <w:p w14:paraId="6C07F164"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378" w:type="pct"/>
            <w:tcBorders>
              <w:top w:val="nil"/>
              <w:left w:val="nil"/>
              <w:bottom w:val="nil"/>
              <w:right w:val="nil"/>
            </w:tcBorders>
            <w:shd w:val="clear" w:color="000000" w:fill="F7A3B0"/>
            <w:noWrap/>
            <w:vAlign w:val="center"/>
          </w:tcPr>
          <w:p w14:paraId="07C46A84"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465" w:type="pct"/>
            <w:tcBorders>
              <w:top w:val="nil"/>
              <w:left w:val="nil"/>
              <w:bottom w:val="nil"/>
              <w:right w:val="nil"/>
            </w:tcBorders>
            <w:shd w:val="clear" w:color="000000" w:fill="F7A3B0"/>
            <w:noWrap/>
            <w:vAlign w:val="center"/>
          </w:tcPr>
          <w:p w14:paraId="1536EDB2"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000000" w:fill="F7A3B0"/>
            <w:noWrap/>
            <w:vAlign w:val="center"/>
          </w:tcPr>
          <w:p w14:paraId="774991CA"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511" w:type="pct"/>
            <w:tcBorders>
              <w:top w:val="nil"/>
              <w:left w:val="nil"/>
              <w:bottom w:val="nil"/>
              <w:right w:val="single" w:sz="8" w:space="0" w:color="FF0000"/>
            </w:tcBorders>
            <w:shd w:val="clear" w:color="000000" w:fill="F7A3B0"/>
            <w:noWrap/>
            <w:vAlign w:val="center"/>
          </w:tcPr>
          <w:p w14:paraId="5C6AE133"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r>
      <w:tr w:rsidR="00BA216C" w:rsidRPr="00894701" w14:paraId="65666BEB" w14:textId="77777777" w:rsidTr="00AA49E3">
        <w:trPr>
          <w:trHeight w:val="227"/>
          <w:jc w:val="center"/>
        </w:trPr>
        <w:tc>
          <w:tcPr>
            <w:tcW w:w="148" w:type="pct"/>
            <w:tcBorders>
              <w:top w:val="nil"/>
              <w:left w:val="single" w:sz="8" w:space="0" w:color="FF0000"/>
              <w:bottom w:val="nil"/>
              <w:right w:val="nil"/>
            </w:tcBorders>
            <w:shd w:val="clear" w:color="000000" w:fill="FFFFFF"/>
            <w:noWrap/>
            <w:tcMar>
              <w:left w:w="28" w:type="dxa"/>
              <w:right w:w="28" w:type="dxa"/>
            </w:tcMar>
            <w:vAlign w:val="center"/>
            <w:hideMark/>
          </w:tcPr>
          <w:p w14:paraId="5702ABE2" w14:textId="77777777" w:rsidR="00BA216C" w:rsidRPr="00894701" w:rsidRDefault="00BA216C" w:rsidP="00BA216C">
            <w:pPr>
              <w:spacing w:after="0" w:line="240" w:lineRule="auto"/>
              <w:rPr>
                <w:rFonts w:cs="Arial"/>
                <w:color w:val="auto"/>
                <w:kern w:val="0"/>
                <w:sz w:val="16"/>
                <w:szCs w:val="16"/>
              </w:rPr>
            </w:pPr>
            <w:r w:rsidRPr="00894701">
              <w:rPr>
                <w:rFonts w:cs="Arial"/>
                <w:color w:val="auto"/>
                <w:kern w:val="0"/>
                <w:sz w:val="16"/>
                <w:szCs w:val="16"/>
              </w:rPr>
              <w:t>1.8</w:t>
            </w:r>
          </w:p>
        </w:tc>
        <w:tc>
          <w:tcPr>
            <w:tcW w:w="784" w:type="pct"/>
            <w:tcBorders>
              <w:top w:val="nil"/>
              <w:left w:val="nil"/>
              <w:bottom w:val="nil"/>
              <w:right w:val="nil"/>
            </w:tcBorders>
            <w:shd w:val="clear" w:color="000000" w:fill="FFFFFF"/>
            <w:vAlign w:val="center"/>
            <w:hideMark/>
          </w:tcPr>
          <w:p w14:paraId="1C88E362" w14:textId="4CDD45A8" w:rsidR="00BA216C" w:rsidRPr="00894701" w:rsidRDefault="00BA216C" w:rsidP="00BA216C">
            <w:pPr>
              <w:spacing w:after="0" w:line="240" w:lineRule="auto"/>
              <w:rPr>
                <w:rFonts w:cs="Arial"/>
                <w:color w:val="auto"/>
                <w:kern w:val="0"/>
                <w:sz w:val="16"/>
                <w:szCs w:val="16"/>
              </w:rPr>
            </w:pPr>
            <w:r w:rsidRPr="00894701">
              <w:rPr>
                <w:rFonts w:cs="Arial"/>
                <w:color w:val="auto"/>
                <w:kern w:val="0"/>
                <w:sz w:val="16"/>
                <w:szCs w:val="16"/>
              </w:rPr>
              <w:t>Cash Dividends</w:t>
            </w:r>
          </w:p>
        </w:tc>
        <w:tc>
          <w:tcPr>
            <w:tcW w:w="465" w:type="pct"/>
            <w:tcBorders>
              <w:top w:val="nil"/>
              <w:left w:val="nil"/>
              <w:bottom w:val="nil"/>
              <w:right w:val="nil"/>
            </w:tcBorders>
            <w:shd w:val="clear" w:color="000000" w:fill="FFFFFF"/>
            <w:noWrap/>
            <w:vAlign w:val="center"/>
          </w:tcPr>
          <w:p w14:paraId="4A87D7C1" w14:textId="420F3B52" w:rsidR="00BA216C" w:rsidRPr="00894701" w:rsidRDefault="00BA216C" w:rsidP="00BA216C">
            <w:pPr>
              <w:spacing w:after="0" w:line="240" w:lineRule="auto"/>
              <w:jc w:val="right"/>
              <w:rPr>
                <w:rFonts w:cs="Arial"/>
                <w:color w:val="auto"/>
                <w:kern w:val="0"/>
                <w:sz w:val="16"/>
                <w:szCs w:val="16"/>
              </w:rPr>
            </w:pPr>
            <w:r w:rsidRPr="00894701">
              <w:rPr>
                <w:rFonts w:cs="Arial"/>
                <w:color w:val="auto"/>
                <w:sz w:val="16"/>
                <w:szCs w:val="16"/>
              </w:rPr>
              <w:t>104,283,600</w:t>
            </w:r>
          </w:p>
        </w:tc>
        <w:tc>
          <w:tcPr>
            <w:tcW w:w="512" w:type="pct"/>
            <w:tcBorders>
              <w:top w:val="nil"/>
              <w:left w:val="nil"/>
              <w:bottom w:val="nil"/>
              <w:right w:val="nil"/>
            </w:tcBorders>
            <w:shd w:val="clear" w:color="000000" w:fill="FFFFFF"/>
            <w:noWrap/>
            <w:vAlign w:val="center"/>
          </w:tcPr>
          <w:p w14:paraId="586CE6F2" w14:textId="5D63915A" w:rsidR="00BA216C" w:rsidRPr="00894701" w:rsidRDefault="00BA216C" w:rsidP="00BA216C">
            <w:pPr>
              <w:spacing w:after="0" w:line="240" w:lineRule="auto"/>
              <w:jc w:val="right"/>
              <w:rPr>
                <w:rFonts w:cs="Arial"/>
                <w:color w:val="auto"/>
                <w:kern w:val="0"/>
                <w:sz w:val="16"/>
                <w:szCs w:val="16"/>
              </w:rPr>
            </w:pPr>
            <w:r w:rsidRPr="00894701">
              <w:rPr>
                <w:rFonts w:cs="Arial"/>
                <w:color w:val="auto"/>
                <w:sz w:val="16"/>
                <w:szCs w:val="16"/>
              </w:rPr>
              <w:t>104,283,600</w:t>
            </w:r>
          </w:p>
        </w:tc>
        <w:tc>
          <w:tcPr>
            <w:tcW w:w="431" w:type="pct"/>
            <w:tcBorders>
              <w:top w:val="nil"/>
              <w:left w:val="nil"/>
              <w:bottom w:val="nil"/>
              <w:right w:val="nil"/>
            </w:tcBorders>
            <w:shd w:val="clear" w:color="000000" w:fill="FFFFFF"/>
            <w:noWrap/>
            <w:vAlign w:val="center"/>
          </w:tcPr>
          <w:p w14:paraId="64E4B7F7" w14:textId="4FCC1E5C" w:rsidR="00BA216C" w:rsidRPr="00894701" w:rsidRDefault="00BA216C" w:rsidP="00BA216C">
            <w:pPr>
              <w:spacing w:after="0" w:line="240" w:lineRule="auto"/>
              <w:jc w:val="right"/>
              <w:rPr>
                <w:rFonts w:cs="Arial"/>
                <w:color w:val="auto"/>
                <w:kern w:val="0"/>
                <w:sz w:val="16"/>
                <w:szCs w:val="16"/>
              </w:rPr>
            </w:pPr>
            <w:r w:rsidRPr="00894701">
              <w:rPr>
                <w:rFonts w:cs="Arial"/>
                <w:color w:val="auto"/>
                <w:sz w:val="16"/>
                <w:szCs w:val="16"/>
              </w:rPr>
              <w:t>-</w:t>
            </w:r>
          </w:p>
        </w:tc>
        <w:tc>
          <w:tcPr>
            <w:tcW w:w="417" w:type="pct"/>
            <w:tcBorders>
              <w:top w:val="nil"/>
              <w:left w:val="nil"/>
              <w:bottom w:val="nil"/>
              <w:right w:val="nil"/>
            </w:tcBorders>
            <w:shd w:val="clear" w:color="000000" w:fill="FFFFFF"/>
            <w:noWrap/>
            <w:vAlign w:val="center"/>
          </w:tcPr>
          <w:p w14:paraId="357267B5" w14:textId="64B58224" w:rsidR="00BA216C" w:rsidRPr="00894701" w:rsidRDefault="00BA216C" w:rsidP="00BA216C">
            <w:pPr>
              <w:spacing w:after="0" w:line="240" w:lineRule="auto"/>
              <w:jc w:val="right"/>
              <w:rPr>
                <w:rFonts w:cs="Arial"/>
                <w:color w:val="auto"/>
                <w:kern w:val="0"/>
                <w:sz w:val="16"/>
                <w:szCs w:val="16"/>
              </w:rPr>
            </w:pPr>
            <w:r w:rsidRPr="00894701">
              <w:rPr>
                <w:rFonts w:cs="Arial"/>
                <w:color w:val="auto"/>
                <w:sz w:val="16"/>
                <w:szCs w:val="16"/>
              </w:rPr>
              <w:t>(50,056,128)</w:t>
            </w:r>
          </w:p>
        </w:tc>
        <w:tc>
          <w:tcPr>
            <w:tcW w:w="421" w:type="pct"/>
            <w:tcBorders>
              <w:top w:val="nil"/>
              <w:left w:val="nil"/>
              <w:bottom w:val="nil"/>
              <w:right w:val="nil"/>
            </w:tcBorders>
            <w:shd w:val="clear" w:color="000000" w:fill="FFFFFF"/>
            <w:noWrap/>
            <w:vAlign w:val="center"/>
          </w:tcPr>
          <w:p w14:paraId="01015097" w14:textId="224E8D4D" w:rsidR="00BA216C" w:rsidRPr="00894701" w:rsidRDefault="00BA216C" w:rsidP="00BA216C">
            <w:pPr>
              <w:spacing w:after="0" w:line="240" w:lineRule="auto"/>
              <w:jc w:val="right"/>
              <w:rPr>
                <w:rFonts w:cs="Arial"/>
                <w:color w:val="auto"/>
                <w:kern w:val="0"/>
                <w:sz w:val="16"/>
                <w:szCs w:val="16"/>
              </w:rPr>
            </w:pPr>
            <w:r w:rsidRPr="00894701">
              <w:rPr>
                <w:rFonts w:cs="Arial"/>
                <w:color w:val="auto"/>
                <w:sz w:val="16"/>
                <w:szCs w:val="16"/>
              </w:rPr>
              <w:t>(50,056,128)</w:t>
            </w:r>
          </w:p>
        </w:tc>
        <w:tc>
          <w:tcPr>
            <w:tcW w:w="378" w:type="pct"/>
            <w:tcBorders>
              <w:top w:val="nil"/>
              <w:left w:val="nil"/>
              <w:bottom w:val="nil"/>
              <w:right w:val="nil"/>
            </w:tcBorders>
            <w:shd w:val="clear" w:color="000000" w:fill="FFFFFF"/>
            <w:noWrap/>
            <w:vAlign w:val="center"/>
          </w:tcPr>
          <w:p w14:paraId="2A7D6F6C" w14:textId="3A8F7DDE" w:rsidR="00BA216C" w:rsidRPr="00894701" w:rsidRDefault="00BA216C" w:rsidP="00BA216C">
            <w:pPr>
              <w:spacing w:after="0" w:line="240" w:lineRule="auto"/>
              <w:jc w:val="right"/>
              <w:rPr>
                <w:rFonts w:cs="Arial"/>
                <w:color w:val="auto"/>
                <w:kern w:val="0"/>
                <w:sz w:val="16"/>
                <w:szCs w:val="16"/>
              </w:rPr>
            </w:pPr>
            <w:r w:rsidRPr="00894701">
              <w:rPr>
                <w:rFonts w:cs="Arial"/>
                <w:color w:val="auto"/>
                <w:sz w:val="16"/>
                <w:szCs w:val="16"/>
              </w:rPr>
              <w:t>-</w:t>
            </w:r>
          </w:p>
        </w:tc>
        <w:tc>
          <w:tcPr>
            <w:tcW w:w="465" w:type="pct"/>
            <w:tcBorders>
              <w:top w:val="nil"/>
              <w:left w:val="nil"/>
              <w:bottom w:val="nil"/>
              <w:right w:val="nil"/>
            </w:tcBorders>
            <w:shd w:val="clear" w:color="000000" w:fill="FFFFFF"/>
            <w:noWrap/>
            <w:vAlign w:val="center"/>
          </w:tcPr>
          <w:p w14:paraId="29284F6A" w14:textId="2DDC7EA6" w:rsidR="00BA216C" w:rsidRPr="00894701" w:rsidRDefault="00BA216C" w:rsidP="00BA216C">
            <w:pPr>
              <w:spacing w:after="0" w:line="240" w:lineRule="auto"/>
              <w:jc w:val="right"/>
              <w:rPr>
                <w:rFonts w:cs="Arial"/>
                <w:color w:val="auto"/>
                <w:kern w:val="0"/>
                <w:sz w:val="16"/>
                <w:szCs w:val="16"/>
              </w:rPr>
            </w:pPr>
            <w:r w:rsidRPr="00894701">
              <w:rPr>
                <w:rFonts w:cs="Arial"/>
                <w:color w:val="auto"/>
                <w:sz w:val="16"/>
                <w:szCs w:val="16"/>
              </w:rPr>
              <w:t>54,227,472</w:t>
            </w:r>
          </w:p>
        </w:tc>
        <w:tc>
          <w:tcPr>
            <w:tcW w:w="468" w:type="pct"/>
            <w:tcBorders>
              <w:top w:val="nil"/>
              <w:left w:val="nil"/>
              <w:bottom w:val="nil"/>
              <w:right w:val="nil"/>
            </w:tcBorders>
            <w:shd w:val="clear" w:color="000000" w:fill="FFFFFF"/>
            <w:noWrap/>
            <w:vAlign w:val="center"/>
          </w:tcPr>
          <w:p w14:paraId="0A7B57EF" w14:textId="7EF36757" w:rsidR="00BA216C" w:rsidRPr="00894701" w:rsidRDefault="00BA216C" w:rsidP="00BA216C">
            <w:pPr>
              <w:spacing w:after="0" w:line="240" w:lineRule="auto"/>
              <w:jc w:val="right"/>
              <w:rPr>
                <w:rFonts w:cs="Arial"/>
                <w:color w:val="auto"/>
                <w:kern w:val="0"/>
                <w:sz w:val="16"/>
                <w:szCs w:val="16"/>
              </w:rPr>
            </w:pPr>
            <w:r w:rsidRPr="00894701">
              <w:rPr>
                <w:rFonts w:cs="Arial"/>
                <w:color w:val="auto"/>
                <w:sz w:val="16"/>
                <w:szCs w:val="16"/>
              </w:rPr>
              <w:t>54,227,472</w:t>
            </w:r>
          </w:p>
        </w:tc>
        <w:tc>
          <w:tcPr>
            <w:tcW w:w="511" w:type="pct"/>
            <w:tcBorders>
              <w:top w:val="nil"/>
              <w:left w:val="nil"/>
              <w:bottom w:val="nil"/>
              <w:right w:val="single" w:sz="8" w:space="0" w:color="FF0000"/>
            </w:tcBorders>
            <w:shd w:val="clear" w:color="000000" w:fill="FFFFFF"/>
            <w:noWrap/>
            <w:vAlign w:val="center"/>
          </w:tcPr>
          <w:p w14:paraId="38E9336B" w14:textId="5AD067EB" w:rsidR="00BA216C" w:rsidRPr="00894701" w:rsidRDefault="00BA216C" w:rsidP="00BA216C">
            <w:pPr>
              <w:spacing w:after="0" w:line="240" w:lineRule="auto"/>
              <w:jc w:val="right"/>
              <w:rPr>
                <w:rFonts w:cs="Arial"/>
                <w:color w:val="auto"/>
                <w:kern w:val="0"/>
                <w:sz w:val="16"/>
                <w:szCs w:val="16"/>
              </w:rPr>
            </w:pPr>
            <w:r w:rsidRPr="00894701">
              <w:rPr>
                <w:rFonts w:cs="Arial"/>
                <w:color w:val="auto"/>
                <w:sz w:val="16"/>
                <w:szCs w:val="16"/>
              </w:rPr>
              <w:t>-</w:t>
            </w:r>
          </w:p>
        </w:tc>
      </w:tr>
      <w:tr w:rsidR="00BA216C" w:rsidRPr="00894701" w14:paraId="56DF615F" w14:textId="77777777" w:rsidTr="00AA49E3">
        <w:trPr>
          <w:trHeight w:val="227"/>
          <w:jc w:val="center"/>
        </w:trPr>
        <w:tc>
          <w:tcPr>
            <w:tcW w:w="148" w:type="pct"/>
            <w:tcBorders>
              <w:top w:val="nil"/>
              <w:left w:val="single" w:sz="8" w:space="0" w:color="FF0000"/>
              <w:bottom w:val="nil"/>
              <w:right w:val="nil"/>
            </w:tcBorders>
            <w:shd w:val="clear" w:color="000000" w:fill="F7A3B0"/>
            <w:noWrap/>
            <w:tcMar>
              <w:left w:w="28" w:type="dxa"/>
              <w:right w:w="28" w:type="dxa"/>
            </w:tcMar>
            <w:vAlign w:val="center"/>
            <w:hideMark/>
          </w:tcPr>
          <w:p w14:paraId="25470903" w14:textId="77777777" w:rsidR="00BA216C" w:rsidRPr="00894701" w:rsidRDefault="00BA216C" w:rsidP="00BA216C">
            <w:pPr>
              <w:spacing w:after="0" w:line="240" w:lineRule="auto"/>
              <w:rPr>
                <w:rFonts w:cs="Arial"/>
                <w:color w:val="000000"/>
                <w:kern w:val="0"/>
                <w:sz w:val="16"/>
                <w:szCs w:val="16"/>
              </w:rPr>
            </w:pPr>
            <w:r w:rsidRPr="00894701">
              <w:rPr>
                <w:rFonts w:cs="Arial"/>
                <w:color w:val="000000"/>
                <w:kern w:val="0"/>
                <w:sz w:val="16"/>
                <w:szCs w:val="16"/>
              </w:rPr>
              <w:t>1.9</w:t>
            </w:r>
          </w:p>
        </w:tc>
        <w:tc>
          <w:tcPr>
            <w:tcW w:w="784" w:type="pct"/>
            <w:tcBorders>
              <w:top w:val="nil"/>
              <w:left w:val="nil"/>
              <w:bottom w:val="nil"/>
              <w:right w:val="nil"/>
            </w:tcBorders>
            <w:shd w:val="clear" w:color="000000" w:fill="F7A3B0"/>
            <w:noWrap/>
            <w:vAlign w:val="center"/>
            <w:hideMark/>
          </w:tcPr>
          <w:p w14:paraId="31318E7C" w14:textId="4E38300E" w:rsidR="00BA216C" w:rsidRPr="00894701" w:rsidRDefault="00BA216C" w:rsidP="00BA216C">
            <w:pPr>
              <w:spacing w:after="0" w:line="240" w:lineRule="auto"/>
              <w:rPr>
                <w:rFonts w:cs="Arial"/>
                <w:color w:val="000000"/>
                <w:kern w:val="0"/>
                <w:sz w:val="16"/>
                <w:szCs w:val="16"/>
              </w:rPr>
            </w:pPr>
            <w:r w:rsidRPr="00894701">
              <w:rPr>
                <w:rFonts w:cs="Arial"/>
                <w:color w:val="000000"/>
                <w:kern w:val="0"/>
                <w:sz w:val="16"/>
                <w:szCs w:val="16"/>
              </w:rPr>
              <w:t>Dividend Tax</w:t>
            </w:r>
          </w:p>
        </w:tc>
        <w:tc>
          <w:tcPr>
            <w:tcW w:w="465" w:type="pct"/>
            <w:tcBorders>
              <w:top w:val="nil"/>
              <w:left w:val="nil"/>
              <w:bottom w:val="nil"/>
              <w:right w:val="nil"/>
            </w:tcBorders>
            <w:shd w:val="clear" w:color="000000" w:fill="F7A3B0"/>
            <w:noWrap/>
            <w:vAlign w:val="center"/>
          </w:tcPr>
          <w:p w14:paraId="5533EF15" w14:textId="082F9132" w:rsidR="00BA216C" w:rsidRPr="00894701" w:rsidRDefault="00BA216C" w:rsidP="00BA216C">
            <w:pPr>
              <w:spacing w:after="0" w:line="240" w:lineRule="auto"/>
              <w:jc w:val="right"/>
              <w:rPr>
                <w:rFonts w:cs="Arial"/>
                <w:color w:val="auto"/>
                <w:kern w:val="0"/>
                <w:sz w:val="16"/>
                <w:szCs w:val="16"/>
              </w:rPr>
            </w:pPr>
            <w:r w:rsidRPr="00894701">
              <w:rPr>
                <w:rFonts w:cs="Arial"/>
                <w:color w:val="auto"/>
                <w:sz w:val="16"/>
                <w:szCs w:val="16"/>
              </w:rPr>
              <w:t>-</w:t>
            </w:r>
          </w:p>
        </w:tc>
        <w:tc>
          <w:tcPr>
            <w:tcW w:w="512" w:type="pct"/>
            <w:tcBorders>
              <w:top w:val="nil"/>
              <w:left w:val="nil"/>
              <w:bottom w:val="nil"/>
              <w:right w:val="nil"/>
            </w:tcBorders>
            <w:shd w:val="clear" w:color="000000" w:fill="F7A3B0"/>
            <w:noWrap/>
            <w:vAlign w:val="center"/>
          </w:tcPr>
          <w:p w14:paraId="4467CFC5" w14:textId="23E1D114" w:rsidR="00BA216C" w:rsidRPr="00894701" w:rsidRDefault="00BA216C" w:rsidP="00BA216C">
            <w:pPr>
              <w:spacing w:after="0" w:line="240" w:lineRule="auto"/>
              <w:jc w:val="right"/>
              <w:rPr>
                <w:rFonts w:cs="Arial"/>
                <w:color w:val="auto"/>
                <w:kern w:val="0"/>
                <w:sz w:val="16"/>
                <w:szCs w:val="16"/>
              </w:rPr>
            </w:pPr>
            <w:r w:rsidRPr="00894701">
              <w:rPr>
                <w:rFonts w:cs="Arial"/>
                <w:color w:val="auto"/>
                <w:sz w:val="16"/>
                <w:szCs w:val="16"/>
              </w:rPr>
              <w:t>-</w:t>
            </w:r>
          </w:p>
        </w:tc>
        <w:tc>
          <w:tcPr>
            <w:tcW w:w="431" w:type="pct"/>
            <w:tcBorders>
              <w:top w:val="nil"/>
              <w:left w:val="nil"/>
              <w:bottom w:val="nil"/>
              <w:right w:val="nil"/>
            </w:tcBorders>
            <w:shd w:val="clear" w:color="000000" w:fill="F7A3B0"/>
            <w:noWrap/>
            <w:vAlign w:val="center"/>
          </w:tcPr>
          <w:p w14:paraId="5D9A9BEB" w14:textId="291EC2A9" w:rsidR="00BA216C" w:rsidRPr="00894701" w:rsidRDefault="00BA216C" w:rsidP="00BA216C">
            <w:pPr>
              <w:spacing w:after="0" w:line="240" w:lineRule="auto"/>
              <w:jc w:val="right"/>
              <w:rPr>
                <w:rFonts w:cs="Arial"/>
                <w:color w:val="auto"/>
                <w:kern w:val="0"/>
                <w:sz w:val="16"/>
                <w:szCs w:val="16"/>
              </w:rPr>
            </w:pPr>
            <w:r w:rsidRPr="00894701">
              <w:rPr>
                <w:rFonts w:cs="Arial"/>
                <w:color w:val="auto"/>
                <w:sz w:val="16"/>
                <w:szCs w:val="16"/>
              </w:rPr>
              <w:t>-</w:t>
            </w:r>
          </w:p>
        </w:tc>
        <w:tc>
          <w:tcPr>
            <w:tcW w:w="417" w:type="pct"/>
            <w:tcBorders>
              <w:top w:val="nil"/>
              <w:left w:val="nil"/>
              <w:bottom w:val="nil"/>
              <w:right w:val="nil"/>
            </w:tcBorders>
            <w:shd w:val="clear" w:color="000000" w:fill="F7A3B0"/>
            <w:noWrap/>
            <w:vAlign w:val="center"/>
          </w:tcPr>
          <w:p w14:paraId="0F5C8108" w14:textId="1C1E916F" w:rsidR="00BA216C" w:rsidRPr="00894701" w:rsidRDefault="00BA216C" w:rsidP="00BA216C">
            <w:pPr>
              <w:spacing w:after="0" w:line="240" w:lineRule="auto"/>
              <w:jc w:val="right"/>
              <w:rPr>
                <w:rFonts w:cs="Arial"/>
                <w:color w:val="auto"/>
                <w:kern w:val="0"/>
                <w:sz w:val="16"/>
                <w:szCs w:val="16"/>
              </w:rPr>
            </w:pPr>
            <w:r w:rsidRPr="00894701">
              <w:rPr>
                <w:rFonts w:cs="Arial"/>
                <w:color w:val="auto"/>
                <w:sz w:val="16"/>
                <w:szCs w:val="16"/>
              </w:rPr>
              <w:t>-</w:t>
            </w:r>
          </w:p>
        </w:tc>
        <w:tc>
          <w:tcPr>
            <w:tcW w:w="421" w:type="pct"/>
            <w:tcBorders>
              <w:top w:val="nil"/>
              <w:left w:val="nil"/>
              <w:bottom w:val="nil"/>
              <w:right w:val="nil"/>
            </w:tcBorders>
            <w:shd w:val="clear" w:color="000000" w:fill="F7A3B0"/>
            <w:noWrap/>
            <w:vAlign w:val="center"/>
          </w:tcPr>
          <w:p w14:paraId="6ACED0A4" w14:textId="5BBE001A" w:rsidR="00BA216C" w:rsidRPr="00894701" w:rsidRDefault="00BA216C" w:rsidP="00BA216C">
            <w:pPr>
              <w:spacing w:after="0" w:line="240" w:lineRule="auto"/>
              <w:jc w:val="right"/>
              <w:rPr>
                <w:rFonts w:cs="Arial"/>
                <w:color w:val="auto"/>
                <w:kern w:val="0"/>
                <w:sz w:val="16"/>
                <w:szCs w:val="16"/>
              </w:rPr>
            </w:pPr>
            <w:r w:rsidRPr="00894701">
              <w:rPr>
                <w:rFonts w:cs="Arial"/>
                <w:color w:val="auto"/>
                <w:sz w:val="16"/>
                <w:szCs w:val="16"/>
              </w:rPr>
              <w:t>-</w:t>
            </w:r>
          </w:p>
        </w:tc>
        <w:tc>
          <w:tcPr>
            <w:tcW w:w="378" w:type="pct"/>
            <w:tcBorders>
              <w:top w:val="nil"/>
              <w:left w:val="nil"/>
              <w:bottom w:val="nil"/>
              <w:right w:val="nil"/>
            </w:tcBorders>
            <w:shd w:val="clear" w:color="000000" w:fill="F7A3B0"/>
            <w:noWrap/>
            <w:vAlign w:val="center"/>
          </w:tcPr>
          <w:p w14:paraId="1B272163" w14:textId="2316C8CD" w:rsidR="00BA216C" w:rsidRPr="00894701" w:rsidRDefault="00BA216C" w:rsidP="00BA216C">
            <w:pPr>
              <w:spacing w:after="0" w:line="240" w:lineRule="auto"/>
              <w:jc w:val="right"/>
              <w:rPr>
                <w:rFonts w:cs="Arial"/>
                <w:color w:val="auto"/>
                <w:kern w:val="0"/>
                <w:sz w:val="16"/>
                <w:szCs w:val="16"/>
              </w:rPr>
            </w:pPr>
            <w:r w:rsidRPr="00894701">
              <w:rPr>
                <w:rFonts w:cs="Arial"/>
                <w:color w:val="auto"/>
                <w:sz w:val="16"/>
                <w:szCs w:val="16"/>
              </w:rPr>
              <w:t>-</w:t>
            </w:r>
          </w:p>
        </w:tc>
        <w:tc>
          <w:tcPr>
            <w:tcW w:w="465" w:type="pct"/>
            <w:tcBorders>
              <w:top w:val="nil"/>
              <w:left w:val="nil"/>
              <w:bottom w:val="nil"/>
              <w:right w:val="nil"/>
            </w:tcBorders>
            <w:shd w:val="clear" w:color="000000" w:fill="F7A3B0"/>
            <w:noWrap/>
            <w:vAlign w:val="center"/>
          </w:tcPr>
          <w:p w14:paraId="4738858B" w14:textId="3C2234C4" w:rsidR="00BA216C" w:rsidRPr="00894701" w:rsidRDefault="00BA216C" w:rsidP="00BA216C">
            <w:pPr>
              <w:spacing w:after="0" w:line="240" w:lineRule="auto"/>
              <w:jc w:val="right"/>
              <w:rPr>
                <w:rFonts w:cs="Arial"/>
                <w:color w:val="auto"/>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000000" w:fill="F7A3B0"/>
            <w:noWrap/>
            <w:vAlign w:val="center"/>
          </w:tcPr>
          <w:p w14:paraId="5E67F046" w14:textId="074F2A4F" w:rsidR="00BA216C" w:rsidRPr="00894701" w:rsidRDefault="00BA216C" w:rsidP="00BA216C">
            <w:pPr>
              <w:spacing w:after="0" w:line="240" w:lineRule="auto"/>
              <w:jc w:val="right"/>
              <w:rPr>
                <w:rFonts w:cs="Arial"/>
                <w:color w:val="auto"/>
                <w:kern w:val="0"/>
                <w:sz w:val="16"/>
                <w:szCs w:val="16"/>
              </w:rPr>
            </w:pPr>
            <w:r w:rsidRPr="00894701">
              <w:rPr>
                <w:rFonts w:cs="Arial"/>
                <w:color w:val="auto"/>
                <w:sz w:val="16"/>
                <w:szCs w:val="16"/>
              </w:rPr>
              <w:t>-</w:t>
            </w:r>
          </w:p>
        </w:tc>
        <w:tc>
          <w:tcPr>
            <w:tcW w:w="511" w:type="pct"/>
            <w:tcBorders>
              <w:top w:val="nil"/>
              <w:left w:val="nil"/>
              <w:bottom w:val="nil"/>
              <w:right w:val="single" w:sz="8" w:space="0" w:color="FF0000"/>
            </w:tcBorders>
            <w:shd w:val="clear" w:color="000000" w:fill="F7A3B0"/>
            <w:noWrap/>
            <w:vAlign w:val="center"/>
          </w:tcPr>
          <w:p w14:paraId="547991E8" w14:textId="0316C9C8" w:rsidR="00BA216C" w:rsidRPr="00894701" w:rsidRDefault="00BA216C" w:rsidP="00BA216C">
            <w:pPr>
              <w:spacing w:after="0" w:line="240" w:lineRule="auto"/>
              <w:jc w:val="right"/>
              <w:rPr>
                <w:rFonts w:cs="Arial"/>
                <w:color w:val="auto"/>
                <w:kern w:val="0"/>
                <w:sz w:val="16"/>
                <w:szCs w:val="16"/>
              </w:rPr>
            </w:pPr>
            <w:r w:rsidRPr="00894701">
              <w:rPr>
                <w:rFonts w:cs="Arial"/>
                <w:color w:val="auto"/>
                <w:sz w:val="16"/>
                <w:szCs w:val="16"/>
              </w:rPr>
              <w:t>-</w:t>
            </w:r>
          </w:p>
        </w:tc>
      </w:tr>
      <w:tr w:rsidR="00BA216C" w:rsidRPr="00894701" w14:paraId="553AC0AA" w14:textId="77777777" w:rsidTr="00AA49E3">
        <w:trPr>
          <w:trHeight w:val="227"/>
          <w:jc w:val="center"/>
        </w:trPr>
        <w:tc>
          <w:tcPr>
            <w:tcW w:w="148" w:type="pct"/>
            <w:tcBorders>
              <w:top w:val="nil"/>
              <w:left w:val="single" w:sz="8" w:space="0" w:color="FF0000"/>
              <w:bottom w:val="nil"/>
              <w:right w:val="nil"/>
            </w:tcBorders>
            <w:shd w:val="clear" w:color="000000" w:fill="FFFFFF"/>
            <w:noWrap/>
            <w:tcMar>
              <w:left w:w="28" w:type="dxa"/>
              <w:right w:w="28" w:type="dxa"/>
            </w:tcMar>
            <w:vAlign w:val="center"/>
            <w:hideMark/>
          </w:tcPr>
          <w:p w14:paraId="52A76F86" w14:textId="77777777" w:rsidR="00BA216C" w:rsidRPr="00894701" w:rsidRDefault="00BA216C" w:rsidP="00BA216C">
            <w:pPr>
              <w:spacing w:after="0" w:line="240" w:lineRule="auto"/>
              <w:rPr>
                <w:rFonts w:cs="Arial"/>
                <w:color w:val="auto"/>
                <w:kern w:val="0"/>
                <w:sz w:val="16"/>
                <w:szCs w:val="16"/>
              </w:rPr>
            </w:pPr>
            <w:r w:rsidRPr="00894701">
              <w:rPr>
                <w:rFonts w:cs="Arial"/>
                <w:color w:val="auto"/>
                <w:kern w:val="0"/>
                <w:sz w:val="16"/>
                <w:szCs w:val="16"/>
              </w:rPr>
              <w:t>1.10</w:t>
            </w:r>
          </w:p>
        </w:tc>
        <w:tc>
          <w:tcPr>
            <w:tcW w:w="784" w:type="pct"/>
            <w:tcBorders>
              <w:top w:val="nil"/>
              <w:left w:val="nil"/>
              <w:bottom w:val="nil"/>
              <w:right w:val="nil"/>
            </w:tcBorders>
            <w:shd w:val="clear" w:color="000000" w:fill="FFFFFF"/>
            <w:vAlign w:val="center"/>
            <w:hideMark/>
          </w:tcPr>
          <w:p w14:paraId="7C6E44BD" w14:textId="23A5ACB1" w:rsidR="00BA216C" w:rsidRPr="00894701" w:rsidRDefault="00BA216C" w:rsidP="00BA216C">
            <w:pPr>
              <w:spacing w:after="0" w:line="240" w:lineRule="auto"/>
              <w:rPr>
                <w:rFonts w:cs="Arial"/>
                <w:color w:val="auto"/>
                <w:kern w:val="0"/>
                <w:sz w:val="16"/>
                <w:szCs w:val="16"/>
              </w:rPr>
            </w:pPr>
            <w:r w:rsidRPr="00894701">
              <w:rPr>
                <w:rFonts w:cs="Arial"/>
                <w:color w:val="auto"/>
                <w:kern w:val="0"/>
                <w:sz w:val="16"/>
                <w:szCs w:val="16"/>
              </w:rPr>
              <w:t>Wage Tax &amp; OP-premium (AOV)</w:t>
            </w:r>
          </w:p>
        </w:tc>
        <w:tc>
          <w:tcPr>
            <w:tcW w:w="465" w:type="pct"/>
            <w:tcBorders>
              <w:top w:val="nil"/>
              <w:left w:val="nil"/>
              <w:bottom w:val="nil"/>
              <w:right w:val="nil"/>
            </w:tcBorders>
            <w:shd w:val="clear" w:color="000000" w:fill="FFFFFF"/>
            <w:noWrap/>
            <w:vAlign w:val="center"/>
          </w:tcPr>
          <w:p w14:paraId="2D4FF76E" w14:textId="1C47B029" w:rsidR="00BA216C" w:rsidRPr="00894701" w:rsidRDefault="00BA216C" w:rsidP="00BA216C">
            <w:pPr>
              <w:spacing w:after="0" w:line="240" w:lineRule="auto"/>
              <w:jc w:val="right"/>
              <w:rPr>
                <w:rFonts w:cs="Arial"/>
                <w:color w:val="auto"/>
                <w:kern w:val="0"/>
                <w:sz w:val="16"/>
                <w:szCs w:val="16"/>
              </w:rPr>
            </w:pPr>
            <w:r w:rsidRPr="00894701">
              <w:rPr>
                <w:rFonts w:cs="Arial"/>
                <w:color w:val="auto"/>
                <w:sz w:val="16"/>
                <w:szCs w:val="16"/>
              </w:rPr>
              <w:t>142,126,691</w:t>
            </w:r>
          </w:p>
        </w:tc>
        <w:tc>
          <w:tcPr>
            <w:tcW w:w="512" w:type="pct"/>
            <w:tcBorders>
              <w:top w:val="nil"/>
              <w:left w:val="nil"/>
              <w:bottom w:val="nil"/>
              <w:right w:val="nil"/>
            </w:tcBorders>
            <w:shd w:val="clear" w:color="000000" w:fill="FFFFFF"/>
            <w:noWrap/>
            <w:vAlign w:val="center"/>
          </w:tcPr>
          <w:p w14:paraId="6FD3F8AC" w14:textId="053DD8B6" w:rsidR="00BA216C" w:rsidRPr="00894701" w:rsidRDefault="00BA216C" w:rsidP="00BA216C">
            <w:pPr>
              <w:spacing w:after="0" w:line="240" w:lineRule="auto"/>
              <w:jc w:val="right"/>
              <w:rPr>
                <w:rFonts w:cs="Arial"/>
                <w:color w:val="auto"/>
                <w:kern w:val="0"/>
                <w:sz w:val="16"/>
                <w:szCs w:val="16"/>
              </w:rPr>
            </w:pPr>
            <w:r w:rsidRPr="00894701">
              <w:rPr>
                <w:rFonts w:cs="Arial"/>
                <w:color w:val="auto"/>
                <w:sz w:val="16"/>
                <w:szCs w:val="16"/>
              </w:rPr>
              <w:t>143,898,013</w:t>
            </w:r>
          </w:p>
        </w:tc>
        <w:tc>
          <w:tcPr>
            <w:tcW w:w="431" w:type="pct"/>
            <w:tcBorders>
              <w:top w:val="nil"/>
              <w:left w:val="nil"/>
              <w:bottom w:val="nil"/>
              <w:right w:val="nil"/>
            </w:tcBorders>
            <w:shd w:val="clear" w:color="000000" w:fill="FFFFFF"/>
            <w:noWrap/>
            <w:vAlign w:val="center"/>
          </w:tcPr>
          <w:p w14:paraId="31F7C3CA" w14:textId="30AF70FF" w:rsidR="00BA216C" w:rsidRPr="00894701" w:rsidRDefault="00BA216C" w:rsidP="00BA216C">
            <w:pPr>
              <w:spacing w:after="0" w:line="240" w:lineRule="auto"/>
              <w:jc w:val="right"/>
              <w:rPr>
                <w:rFonts w:cs="Arial"/>
                <w:color w:val="auto"/>
                <w:kern w:val="0"/>
                <w:sz w:val="16"/>
                <w:szCs w:val="16"/>
              </w:rPr>
            </w:pPr>
            <w:r w:rsidRPr="00894701">
              <w:rPr>
                <w:rFonts w:cs="Arial"/>
                <w:color w:val="auto"/>
                <w:sz w:val="16"/>
                <w:szCs w:val="16"/>
              </w:rPr>
              <w:t>(1,771,322)</w:t>
            </w:r>
          </w:p>
        </w:tc>
        <w:tc>
          <w:tcPr>
            <w:tcW w:w="417" w:type="pct"/>
            <w:tcBorders>
              <w:top w:val="nil"/>
              <w:left w:val="nil"/>
              <w:bottom w:val="nil"/>
              <w:right w:val="nil"/>
            </w:tcBorders>
            <w:shd w:val="clear" w:color="000000" w:fill="FFFFFF"/>
            <w:noWrap/>
            <w:vAlign w:val="center"/>
          </w:tcPr>
          <w:p w14:paraId="091EE60A" w14:textId="558EA6ED" w:rsidR="00BA216C" w:rsidRPr="00894701" w:rsidRDefault="00BA216C" w:rsidP="00BA216C">
            <w:pPr>
              <w:spacing w:after="0" w:line="240" w:lineRule="auto"/>
              <w:jc w:val="right"/>
              <w:rPr>
                <w:rFonts w:cs="Arial"/>
                <w:color w:val="auto"/>
                <w:kern w:val="0"/>
                <w:sz w:val="16"/>
                <w:szCs w:val="16"/>
              </w:rPr>
            </w:pPr>
            <w:r w:rsidRPr="00894701">
              <w:rPr>
                <w:rFonts w:cs="Arial"/>
                <w:color w:val="auto"/>
                <w:sz w:val="16"/>
                <w:szCs w:val="16"/>
              </w:rPr>
              <w:t>2,309,122</w:t>
            </w:r>
          </w:p>
        </w:tc>
        <w:tc>
          <w:tcPr>
            <w:tcW w:w="421" w:type="pct"/>
            <w:tcBorders>
              <w:top w:val="nil"/>
              <w:left w:val="nil"/>
              <w:bottom w:val="nil"/>
              <w:right w:val="nil"/>
            </w:tcBorders>
            <w:shd w:val="clear" w:color="000000" w:fill="FFFFFF"/>
            <w:noWrap/>
            <w:vAlign w:val="center"/>
          </w:tcPr>
          <w:p w14:paraId="016BD651" w14:textId="5CA6A617" w:rsidR="00BA216C" w:rsidRPr="00894701" w:rsidRDefault="00BA216C" w:rsidP="00BA216C">
            <w:pPr>
              <w:spacing w:after="0" w:line="240" w:lineRule="auto"/>
              <w:jc w:val="right"/>
              <w:rPr>
                <w:rFonts w:cs="Arial"/>
                <w:color w:val="auto"/>
                <w:kern w:val="0"/>
                <w:sz w:val="16"/>
                <w:szCs w:val="16"/>
              </w:rPr>
            </w:pPr>
            <w:r w:rsidRPr="00894701">
              <w:rPr>
                <w:rFonts w:cs="Arial"/>
                <w:color w:val="auto"/>
                <w:sz w:val="16"/>
                <w:szCs w:val="16"/>
              </w:rPr>
              <w:t>729,091</w:t>
            </w:r>
          </w:p>
        </w:tc>
        <w:tc>
          <w:tcPr>
            <w:tcW w:w="378" w:type="pct"/>
            <w:tcBorders>
              <w:top w:val="nil"/>
              <w:left w:val="nil"/>
              <w:bottom w:val="nil"/>
              <w:right w:val="nil"/>
            </w:tcBorders>
            <w:shd w:val="clear" w:color="000000" w:fill="FFFFFF"/>
            <w:noWrap/>
            <w:vAlign w:val="center"/>
          </w:tcPr>
          <w:p w14:paraId="21099C3F" w14:textId="003EB1F3" w:rsidR="00BA216C" w:rsidRPr="00894701" w:rsidRDefault="00BA216C" w:rsidP="00BA216C">
            <w:pPr>
              <w:spacing w:after="0" w:line="240" w:lineRule="auto"/>
              <w:jc w:val="right"/>
              <w:rPr>
                <w:rFonts w:cs="Arial"/>
                <w:color w:val="auto"/>
                <w:kern w:val="0"/>
                <w:sz w:val="16"/>
                <w:szCs w:val="16"/>
              </w:rPr>
            </w:pPr>
            <w:r w:rsidRPr="00894701">
              <w:rPr>
                <w:rFonts w:cs="Arial"/>
                <w:color w:val="auto"/>
                <w:sz w:val="16"/>
                <w:szCs w:val="16"/>
              </w:rPr>
              <w:t>1,580,031</w:t>
            </w:r>
          </w:p>
        </w:tc>
        <w:tc>
          <w:tcPr>
            <w:tcW w:w="465" w:type="pct"/>
            <w:tcBorders>
              <w:top w:val="nil"/>
              <w:left w:val="nil"/>
              <w:bottom w:val="nil"/>
              <w:right w:val="nil"/>
            </w:tcBorders>
            <w:shd w:val="clear" w:color="000000" w:fill="FFFFFF"/>
            <w:noWrap/>
            <w:vAlign w:val="center"/>
          </w:tcPr>
          <w:p w14:paraId="08BBE6EC" w14:textId="003D78D8" w:rsidR="00BA216C" w:rsidRPr="00894701" w:rsidRDefault="00BA216C" w:rsidP="00BA216C">
            <w:pPr>
              <w:spacing w:after="0" w:line="240" w:lineRule="auto"/>
              <w:jc w:val="right"/>
              <w:rPr>
                <w:rFonts w:cs="Arial"/>
                <w:color w:val="auto"/>
                <w:kern w:val="0"/>
                <w:sz w:val="16"/>
                <w:szCs w:val="16"/>
              </w:rPr>
            </w:pPr>
            <w:r w:rsidRPr="00894701">
              <w:rPr>
                <w:rFonts w:cs="Arial"/>
                <w:color w:val="auto"/>
                <w:sz w:val="16"/>
                <w:szCs w:val="16"/>
              </w:rPr>
              <w:t>144,435,813</w:t>
            </w:r>
          </w:p>
        </w:tc>
        <w:tc>
          <w:tcPr>
            <w:tcW w:w="468" w:type="pct"/>
            <w:tcBorders>
              <w:top w:val="nil"/>
              <w:left w:val="nil"/>
              <w:bottom w:val="nil"/>
              <w:right w:val="nil"/>
            </w:tcBorders>
            <w:shd w:val="clear" w:color="000000" w:fill="FFFFFF"/>
            <w:noWrap/>
            <w:vAlign w:val="center"/>
          </w:tcPr>
          <w:p w14:paraId="2B969608" w14:textId="5151A779" w:rsidR="00BA216C" w:rsidRPr="00894701" w:rsidRDefault="00BA216C" w:rsidP="00BA216C">
            <w:pPr>
              <w:spacing w:after="0" w:line="240" w:lineRule="auto"/>
              <w:jc w:val="right"/>
              <w:rPr>
                <w:rFonts w:cs="Arial"/>
                <w:color w:val="auto"/>
                <w:kern w:val="0"/>
                <w:sz w:val="16"/>
                <w:szCs w:val="16"/>
              </w:rPr>
            </w:pPr>
            <w:r w:rsidRPr="00894701">
              <w:rPr>
                <w:rFonts w:cs="Arial"/>
                <w:color w:val="auto"/>
                <w:sz w:val="16"/>
                <w:szCs w:val="16"/>
              </w:rPr>
              <w:t>144,627,104</w:t>
            </w:r>
          </w:p>
        </w:tc>
        <w:tc>
          <w:tcPr>
            <w:tcW w:w="511" w:type="pct"/>
            <w:tcBorders>
              <w:top w:val="nil"/>
              <w:left w:val="nil"/>
              <w:bottom w:val="nil"/>
              <w:right w:val="single" w:sz="8" w:space="0" w:color="FF0000"/>
            </w:tcBorders>
            <w:shd w:val="clear" w:color="000000" w:fill="FFFFFF"/>
            <w:noWrap/>
            <w:vAlign w:val="center"/>
          </w:tcPr>
          <w:p w14:paraId="4B068C22" w14:textId="4492AD3A" w:rsidR="00BA216C" w:rsidRPr="00894701" w:rsidRDefault="00BA216C" w:rsidP="00BA216C">
            <w:pPr>
              <w:spacing w:after="0" w:line="240" w:lineRule="auto"/>
              <w:jc w:val="right"/>
              <w:rPr>
                <w:rFonts w:cs="Arial"/>
                <w:color w:val="auto"/>
                <w:kern w:val="0"/>
                <w:sz w:val="16"/>
                <w:szCs w:val="16"/>
              </w:rPr>
            </w:pPr>
            <w:r w:rsidRPr="00894701">
              <w:rPr>
                <w:rFonts w:cs="Arial"/>
                <w:color w:val="auto"/>
                <w:sz w:val="16"/>
                <w:szCs w:val="16"/>
              </w:rPr>
              <w:t>(191,291)</w:t>
            </w:r>
          </w:p>
        </w:tc>
      </w:tr>
      <w:tr w:rsidR="00DE3684" w:rsidRPr="00894701" w14:paraId="5D68062C" w14:textId="77777777" w:rsidTr="00AA49E3">
        <w:trPr>
          <w:trHeight w:val="227"/>
          <w:jc w:val="center"/>
        </w:trPr>
        <w:tc>
          <w:tcPr>
            <w:tcW w:w="148" w:type="pct"/>
            <w:tcBorders>
              <w:top w:val="nil"/>
              <w:left w:val="single" w:sz="8" w:space="0" w:color="FF0000"/>
              <w:bottom w:val="nil"/>
              <w:right w:val="nil"/>
            </w:tcBorders>
            <w:shd w:val="clear" w:color="000000" w:fill="F7A3B0"/>
            <w:noWrap/>
            <w:tcMar>
              <w:left w:w="28" w:type="dxa"/>
              <w:right w:w="28" w:type="dxa"/>
            </w:tcMar>
            <w:vAlign w:val="center"/>
            <w:hideMark/>
          </w:tcPr>
          <w:p w14:paraId="49FE26DA" w14:textId="77777777" w:rsidR="00DE3684" w:rsidRPr="00894701" w:rsidRDefault="00DE3684" w:rsidP="00DE3684">
            <w:pPr>
              <w:spacing w:after="0" w:line="240" w:lineRule="auto"/>
              <w:rPr>
                <w:rFonts w:cs="Arial"/>
                <w:color w:val="000000"/>
                <w:kern w:val="0"/>
                <w:sz w:val="16"/>
                <w:szCs w:val="16"/>
              </w:rPr>
            </w:pPr>
            <w:r w:rsidRPr="00894701">
              <w:rPr>
                <w:rFonts w:cs="Arial"/>
                <w:color w:val="000000"/>
                <w:kern w:val="0"/>
                <w:sz w:val="16"/>
                <w:szCs w:val="16"/>
              </w:rPr>
              <w:t>1.11</w:t>
            </w:r>
          </w:p>
        </w:tc>
        <w:tc>
          <w:tcPr>
            <w:tcW w:w="784" w:type="pct"/>
            <w:tcBorders>
              <w:top w:val="nil"/>
              <w:left w:val="nil"/>
              <w:bottom w:val="nil"/>
              <w:right w:val="nil"/>
            </w:tcBorders>
            <w:shd w:val="clear" w:color="000000" w:fill="F7A3B0"/>
            <w:noWrap/>
            <w:vAlign w:val="center"/>
            <w:hideMark/>
          </w:tcPr>
          <w:p w14:paraId="36256505" w14:textId="096B3DF0" w:rsidR="00DE3684" w:rsidRPr="00894701" w:rsidRDefault="00DE3684" w:rsidP="00DE3684">
            <w:pPr>
              <w:spacing w:after="0" w:line="240" w:lineRule="auto"/>
              <w:rPr>
                <w:rFonts w:cs="Arial"/>
                <w:color w:val="000000"/>
                <w:kern w:val="0"/>
                <w:sz w:val="16"/>
                <w:szCs w:val="16"/>
              </w:rPr>
            </w:pPr>
            <w:r w:rsidRPr="00894701">
              <w:rPr>
                <w:rFonts w:cs="Arial"/>
                <w:color w:val="000000"/>
                <w:kern w:val="0"/>
                <w:sz w:val="16"/>
                <w:szCs w:val="16"/>
              </w:rPr>
              <w:t>Royalty fees MoF</w:t>
            </w:r>
          </w:p>
        </w:tc>
        <w:tc>
          <w:tcPr>
            <w:tcW w:w="465" w:type="pct"/>
            <w:tcBorders>
              <w:top w:val="nil"/>
              <w:left w:val="nil"/>
              <w:bottom w:val="nil"/>
              <w:right w:val="nil"/>
            </w:tcBorders>
            <w:shd w:val="clear" w:color="000000" w:fill="F7A3B0"/>
            <w:noWrap/>
            <w:vAlign w:val="center"/>
          </w:tcPr>
          <w:p w14:paraId="53A132E7" w14:textId="4A0C6DF3" w:rsidR="00DE3684" w:rsidRPr="00894701" w:rsidRDefault="00DE3684" w:rsidP="00DE3684">
            <w:pPr>
              <w:spacing w:after="0" w:line="240" w:lineRule="auto"/>
              <w:jc w:val="right"/>
              <w:rPr>
                <w:rFonts w:cs="Arial"/>
                <w:color w:val="auto"/>
                <w:kern w:val="0"/>
                <w:sz w:val="16"/>
                <w:szCs w:val="16"/>
              </w:rPr>
            </w:pPr>
            <w:r w:rsidRPr="00894701">
              <w:rPr>
                <w:rFonts w:cs="Arial"/>
                <w:color w:val="auto"/>
                <w:sz w:val="16"/>
                <w:szCs w:val="16"/>
              </w:rPr>
              <w:t>-</w:t>
            </w:r>
          </w:p>
        </w:tc>
        <w:tc>
          <w:tcPr>
            <w:tcW w:w="512" w:type="pct"/>
            <w:tcBorders>
              <w:top w:val="nil"/>
              <w:left w:val="nil"/>
              <w:bottom w:val="nil"/>
              <w:right w:val="nil"/>
            </w:tcBorders>
            <w:shd w:val="clear" w:color="000000" w:fill="F7A3B0"/>
            <w:noWrap/>
            <w:vAlign w:val="center"/>
          </w:tcPr>
          <w:p w14:paraId="6A2AA9B2" w14:textId="59E2E1FC" w:rsidR="00DE3684" w:rsidRPr="00894701" w:rsidRDefault="00DE3684" w:rsidP="00DE3684">
            <w:pPr>
              <w:spacing w:after="0" w:line="240" w:lineRule="auto"/>
              <w:jc w:val="right"/>
              <w:rPr>
                <w:rFonts w:cs="Arial"/>
                <w:color w:val="auto"/>
                <w:kern w:val="0"/>
                <w:sz w:val="16"/>
                <w:szCs w:val="16"/>
              </w:rPr>
            </w:pPr>
            <w:r w:rsidRPr="00894701">
              <w:rPr>
                <w:rFonts w:cs="Arial"/>
                <w:color w:val="auto"/>
                <w:sz w:val="16"/>
                <w:szCs w:val="16"/>
              </w:rPr>
              <w:t>-</w:t>
            </w:r>
          </w:p>
        </w:tc>
        <w:tc>
          <w:tcPr>
            <w:tcW w:w="431" w:type="pct"/>
            <w:tcBorders>
              <w:top w:val="nil"/>
              <w:left w:val="nil"/>
              <w:bottom w:val="nil"/>
              <w:right w:val="nil"/>
            </w:tcBorders>
            <w:shd w:val="clear" w:color="000000" w:fill="F7A3B0"/>
            <w:noWrap/>
            <w:vAlign w:val="center"/>
          </w:tcPr>
          <w:p w14:paraId="01BD1372" w14:textId="70047129" w:rsidR="00DE3684" w:rsidRPr="00894701" w:rsidRDefault="00DE3684" w:rsidP="00DE3684">
            <w:pPr>
              <w:spacing w:after="0" w:line="240" w:lineRule="auto"/>
              <w:jc w:val="right"/>
              <w:rPr>
                <w:rFonts w:cs="Arial"/>
                <w:color w:val="auto"/>
                <w:kern w:val="0"/>
                <w:sz w:val="16"/>
                <w:szCs w:val="16"/>
              </w:rPr>
            </w:pPr>
            <w:r w:rsidRPr="00894701">
              <w:rPr>
                <w:rFonts w:cs="Arial"/>
                <w:color w:val="auto"/>
                <w:sz w:val="16"/>
                <w:szCs w:val="16"/>
              </w:rPr>
              <w:t>-</w:t>
            </w:r>
          </w:p>
        </w:tc>
        <w:tc>
          <w:tcPr>
            <w:tcW w:w="417" w:type="pct"/>
            <w:tcBorders>
              <w:top w:val="nil"/>
              <w:left w:val="nil"/>
              <w:bottom w:val="nil"/>
              <w:right w:val="nil"/>
            </w:tcBorders>
            <w:shd w:val="clear" w:color="000000" w:fill="F7A3B0"/>
            <w:noWrap/>
            <w:vAlign w:val="center"/>
          </w:tcPr>
          <w:p w14:paraId="4D9FA09B" w14:textId="75763252" w:rsidR="00DE3684" w:rsidRPr="00894701" w:rsidRDefault="00DE3684" w:rsidP="00DE3684">
            <w:pPr>
              <w:spacing w:after="0" w:line="240" w:lineRule="auto"/>
              <w:jc w:val="right"/>
              <w:rPr>
                <w:rFonts w:cs="Arial"/>
                <w:color w:val="auto"/>
                <w:kern w:val="0"/>
                <w:sz w:val="16"/>
                <w:szCs w:val="16"/>
              </w:rPr>
            </w:pPr>
            <w:r w:rsidRPr="00894701">
              <w:rPr>
                <w:rFonts w:cs="Arial"/>
                <w:color w:val="auto"/>
                <w:sz w:val="16"/>
                <w:szCs w:val="16"/>
              </w:rPr>
              <w:t>-</w:t>
            </w:r>
          </w:p>
        </w:tc>
        <w:tc>
          <w:tcPr>
            <w:tcW w:w="421" w:type="pct"/>
            <w:tcBorders>
              <w:top w:val="nil"/>
              <w:left w:val="nil"/>
              <w:bottom w:val="nil"/>
              <w:right w:val="nil"/>
            </w:tcBorders>
            <w:shd w:val="clear" w:color="000000" w:fill="F7A3B0"/>
            <w:noWrap/>
            <w:vAlign w:val="center"/>
          </w:tcPr>
          <w:p w14:paraId="7FE129E2" w14:textId="52755A84" w:rsidR="00DE3684" w:rsidRPr="00894701" w:rsidRDefault="00DE3684" w:rsidP="00DE3684">
            <w:pPr>
              <w:spacing w:after="0" w:line="240" w:lineRule="auto"/>
              <w:jc w:val="right"/>
              <w:rPr>
                <w:rFonts w:cs="Arial"/>
                <w:color w:val="auto"/>
                <w:kern w:val="0"/>
                <w:sz w:val="16"/>
                <w:szCs w:val="16"/>
              </w:rPr>
            </w:pPr>
            <w:r w:rsidRPr="00894701">
              <w:rPr>
                <w:rFonts w:cs="Arial"/>
                <w:color w:val="auto"/>
                <w:sz w:val="16"/>
                <w:szCs w:val="16"/>
              </w:rPr>
              <w:t>-</w:t>
            </w:r>
          </w:p>
        </w:tc>
        <w:tc>
          <w:tcPr>
            <w:tcW w:w="378" w:type="pct"/>
            <w:tcBorders>
              <w:top w:val="nil"/>
              <w:left w:val="nil"/>
              <w:bottom w:val="nil"/>
              <w:right w:val="nil"/>
            </w:tcBorders>
            <w:shd w:val="clear" w:color="000000" w:fill="F7A3B0"/>
            <w:noWrap/>
            <w:vAlign w:val="center"/>
          </w:tcPr>
          <w:p w14:paraId="7C10B032" w14:textId="7B1E54FD" w:rsidR="00DE3684" w:rsidRPr="00894701" w:rsidRDefault="00DE3684" w:rsidP="00DE3684">
            <w:pPr>
              <w:spacing w:after="0" w:line="240" w:lineRule="auto"/>
              <w:jc w:val="right"/>
              <w:rPr>
                <w:rFonts w:cs="Arial"/>
                <w:color w:val="auto"/>
                <w:kern w:val="0"/>
                <w:sz w:val="16"/>
                <w:szCs w:val="16"/>
              </w:rPr>
            </w:pPr>
            <w:r w:rsidRPr="00894701">
              <w:rPr>
                <w:rFonts w:cs="Arial"/>
                <w:color w:val="auto"/>
                <w:sz w:val="16"/>
                <w:szCs w:val="16"/>
              </w:rPr>
              <w:t>-</w:t>
            </w:r>
          </w:p>
        </w:tc>
        <w:tc>
          <w:tcPr>
            <w:tcW w:w="465" w:type="pct"/>
            <w:tcBorders>
              <w:top w:val="nil"/>
              <w:left w:val="nil"/>
              <w:bottom w:val="nil"/>
              <w:right w:val="nil"/>
            </w:tcBorders>
            <w:shd w:val="clear" w:color="000000" w:fill="F7A3B0"/>
            <w:noWrap/>
            <w:vAlign w:val="center"/>
          </w:tcPr>
          <w:p w14:paraId="274459FD" w14:textId="55AF6259" w:rsidR="00DE3684" w:rsidRPr="00894701" w:rsidRDefault="00DE3684" w:rsidP="00DE3684">
            <w:pPr>
              <w:spacing w:after="0" w:line="240" w:lineRule="auto"/>
              <w:jc w:val="right"/>
              <w:rPr>
                <w:rFonts w:cs="Arial"/>
                <w:color w:val="auto"/>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000000" w:fill="F7A3B0"/>
            <w:noWrap/>
            <w:vAlign w:val="center"/>
          </w:tcPr>
          <w:p w14:paraId="043D0113" w14:textId="445CD4A9" w:rsidR="00DE3684" w:rsidRPr="00894701" w:rsidRDefault="00DE3684" w:rsidP="00DE3684">
            <w:pPr>
              <w:spacing w:after="0" w:line="240" w:lineRule="auto"/>
              <w:jc w:val="right"/>
              <w:rPr>
                <w:rFonts w:cs="Arial"/>
                <w:color w:val="auto"/>
                <w:kern w:val="0"/>
                <w:sz w:val="16"/>
                <w:szCs w:val="16"/>
              </w:rPr>
            </w:pPr>
            <w:r w:rsidRPr="00894701">
              <w:rPr>
                <w:rFonts w:cs="Arial"/>
                <w:color w:val="auto"/>
                <w:sz w:val="16"/>
                <w:szCs w:val="16"/>
              </w:rPr>
              <w:t>-</w:t>
            </w:r>
          </w:p>
        </w:tc>
        <w:tc>
          <w:tcPr>
            <w:tcW w:w="511" w:type="pct"/>
            <w:tcBorders>
              <w:top w:val="nil"/>
              <w:left w:val="nil"/>
              <w:bottom w:val="nil"/>
              <w:right w:val="single" w:sz="8" w:space="0" w:color="FF0000"/>
            </w:tcBorders>
            <w:shd w:val="clear" w:color="000000" w:fill="F7A3B0"/>
            <w:noWrap/>
            <w:vAlign w:val="center"/>
          </w:tcPr>
          <w:p w14:paraId="335EF84A" w14:textId="3857398D" w:rsidR="00DE3684" w:rsidRPr="00894701" w:rsidRDefault="00DE3684" w:rsidP="00DE3684">
            <w:pPr>
              <w:spacing w:after="0" w:line="240" w:lineRule="auto"/>
              <w:jc w:val="right"/>
              <w:rPr>
                <w:rFonts w:cs="Arial"/>
                <w:color w:val="auto"/>
                <w:kern w:val="0"/>
                <w:sz w:val="16"/>
                <w:szCs w:val="16"/>
              </w:rPr>
            </w:pPr>
            <w:r w:rsidRPr="00894701">
              <w:rPr>
                <w:rFonts w:cs="Arial"/>
                <w:color w:val="auto"/>
                <w:sz w:val="16"/>
                <w:szCs w:val="16"/>
              </w:rPr>
              <w:t>-</w:t>
            </w:r>
          </w:p>
        </w:tc>
      </w:tr>
      <w:tr w:rsidR="00AA49E3" w:rsidRPr="00894701" w14:paraId="32D87160" w14:textId="77777777" w:rsidTr="00AA49E3">
        <w:trPr>
          <w:trHeight w:val="227"/>
          <w:jc w:val="center"/>
        </w:trPr>
        <w:tc>
          <w:tcPr>
            <w:tcW w:w="148" w:type="pct"/>
            <w:tcBorders>
              <w:top w:val="nil"/>
              <w:left w:val="single" w:sz="8" w:space="0" w:color="FF0000"/>
              <w:bottom w:val="nil"/>
              <w:right w:val="nil"/>
            </w:tcBorders>
            <w:shd w:val="clear" w:color="000000" w:fill="FFFFFF"/>
            <w:noWrap/>
            <w:tcMar>
              <w:left w:w="28" w:type="dxa"/>
              <w:right w:w="28" w:type="dxa"/>
            </w:tcMar>
            <w:vAlign w:val="center"/>
            <w:hideMark/>
          </w:tcPr>
          <w:p w14:paraId="7AC1B746" w14:textId="77777777" w:rsidR="00AA49E3" w:rsidRPr="00894701" w:rsidRDefault="00AA49E3" w:rsidP="00AA49E3">
            <w:pPr>
              <w:spacing w:after="0" w:line="240" w:lineRule="auto"/>
              <w:rPr>
                <w:rFonts w:cs="Arial"/>
                <w:color w:val="auto"/>
                <w:kern w:val="0"/>
                <w:sz w:val="16"/>
                <w:szCs w:val="16"/>
              </w:rPr>
            </w:pPr>
            <w:r w:rsidRPr="00894701">
              <w:rPr>
                <w:rFonts w:cs="Arial"/>
                <w:color w:val="auto"/>
                <w:kern w:val="0"/>
                <w:sz w:val="16"/>
                <w:szCs w:val="16"/>
              </w:rPr>
              <w:t>1.12</w:t>
            </w:r>
          </w:p>
        </w:tc>
        <w:tc>
          <w:tcPr>
            <w:tcW w:w="784" w:type="pct"/>
            <w:tcBorders>
              <w:top w:val="nil"/>
              <w:left w:val="nil"/>
              <w:bottom w:val="nil"/>
              <w:right w:val="nil"/>
            </w:tcBorders>
            <w:shd w:val="clear" w:color="000000" w:fill="FFFFFF"/>
            <w:vAlign w:val="center"/>
            <w:hideMark/>
          </w:tcPr>
          <w:p w14:paraId="74A0EAD8" w14:textId="49AACE29" w:rsidR="00AA49E3" w:rsidRPr="00894701" w:rsidRDefault="00AA49E3" w:rsidP="00AA49E3">
            <w:pPr>
              <w:spacing w:after="0" w:line="240" w:lineRule="auto"/>
              <w:rPr>
                <w:rFonts w:cs="Arial"/>
                <w:color w:val="auto"/>
                <w:kern w:val="0"/>
                <w:sz w:val="16"/>
                <w:szCs w:val="16"/>
              </w:rPr>
            </w:pPr>
            <w:r w:rsidRPr="00894701">
              <w:rPr>
                <w:rFonts w:cs="Arial"/>
                <w:color w:val="auto"/>
                <w:kern w:val="0"/>
                <w:sz w:val="16"/>
                <w:szCs w:val="16"/>
              </w:rPr>
              <w:t>Royalty fees in-kind</w:t>
            </w:r>
          </w:p>
        </w:tc>
        <w:tc>
          <w:tcPr>
            <w:tcW w:w="465" w:type="pct"/>
            <w:tcBorders>
              <w:top w:val="nil"/>
              <w:left w:val="nil"/>
              <w:bottom w:val="nil"/>
              <w:right w:val="nil"/>
            </w:tcBorders>
            <w:shd w:val="clear" w:color="000000" w:fill="FFFFFF"/>
            <w:noWrap/>
            <w:vAlign w:val="center"/>
          </w:tcPr>
          <w:p w14:paraId="5C5E4865"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512" w:type="pct"/>
            <w:tcBorders>
              <w:top w:val="nil"/>
              <w:left w:val="nil"/>
              <w:bottom w:val="nil"/>
              <w:right w:val="nil"/>
            </w:tcBorders>
            <w:shd w:val="clear" w:color="000000" w:fill="FFFFFF"/>
            <w:noWrap/>
            <w:vAlign w:val="center"/>
          </w:tcPr>
          <w:p w14:paraId="280C2222"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431" w:type="pct"/>
            <w:tcBorders>
              <w:top w:val="nil"/>
              <w:left w:val="nil"/>
              <w:bottom w:val="nil"/>
              <w:right w:val="nil"/>
            </w:tcBorders>
            <w:shd w:val="clear" w:color="000000" w:fill="FFFFFF"/>
            <w:noWrap/>
            <w:vAlign w:val="center"/>
          </w:tcPr>
          <w:p w14:paraId="74864B37"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417" w:type="pct"/>
            <w:tcBorders>
              <w:top w:val="nil"/>
              <w:left w:val="nil"/>
              <w:bottom w:val="nil"/>
              <w:right w:val="nil"/>
            </w:tcBorders>
            <w:shd w:val="clear" w:color="000000" w:fill="FFFFFF"/>
            <w:noWrap/>
            <w:vAlign w:val="center"/>
          </w:tcPr>
          <w:p w14:paraId="5F006727"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421" w:type="pct"/>
            <w:tcBorders>
              <w:top w:val="nil"/>
              <w:left w:val="nil"/>
              <w:bottom w:val="nil"/>
              <w:right w:val="nil"/>
            </w:tcBorders>
            <w:shd w:val="clear" w:color="000000" w:fill="FFFFFF"/>
            <w:noWrap/>
            <w:vAlign w:val="center"/>
          </w:tcPr>
          <w:p w14:paraId="2D822BD8"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378" w:type="pct"/>
            <w:tcBorders>
              <w:top w:val="nil"/>
              <w:left w:val="nil"/>
              <w:bottom w:val="nil"/>
              <w:right w:val="nil"/>
            </w:tcBorders>
            <w:shd w:val="clear" w:color="000000" w:fill="FFFFFF"/>
            <w:noWrap/>
            <w:vAlign w:val="center"/>
          </w:tcPr>
          <w:p w14:paraId="75D8CDCA"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465" w:type="pct"/>
            <w:tcBorders>
              <w:top w:val="nil"/>
              <w:left w:val="nil"/>
              <w:bottom w:val="nil"/>
              <w:right w:val="nil"/>
            </w:tcBorders>
            <w:shd w:val="clear" w:color="000000" w:fill="FFFFFF"/>
            <w:noWrap/>
            <w:vAlign w:val="center"/>
          </w:tcPr>
          <w:p w14:paraId="195BB3CC"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000000" w:fill="FFFFFF"/>
            <w:noWrap/>
            <w:vAlign w:val="center"/>
          </w:tcPr>
          <w:p w14:paraId="6E0D64DC"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511" w:type="pct"/>
            <w:tcBorders>
              <w:top w:val="nil"/>
              <w:left w:val="nil"/>
              <w:bottom w:val="nil"/>
              <w:right w:val="single" w:sz="8" w:space="0" w:color="FF0000"/>
            </w:tcBorders>
            <w:shd w:val="clear" w:color="000000" w:fill="FFFFFF"/>
            <w:noWrap/>
            <w:vAlign w:val="center"/>
          </w:tcPr>
          <w:p w14:paraId="12E33E44"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r>
      <w:tr w:rsidR="00AA49E3" w:rsidRPr="00894701" w14:paraId="27CF759A" w14:textId="77777777" w:rsidTr="00AA49E3">
        <w:trPr>
          <w:trHeight w:val="227"/>
          <w:jc w:val="center"/>
        </w:trPr>
        <w:tc>
          <w:tcPr>
            <w:tcW w:w="148" w:type="pct"/>
            <w:tcBorders>
              <w:top w:val="nil"/>
              <w:left w:val="single" w:sz="8" w:space="0" w:color="FF0000"/>
              <w:bottom w:val="nil"/>
              <w:right w:val="nil"/>
            </w:tcBorders>
            <w:shd w:val="clear" w:color="000000" w:fill="F7A3B0"/>
            <w:noWrap/>
            <w:tcMar>
              <w:left w:w="28" w:type="dxa"/>
              <w:right w:w="28" w:type="dxa"/>
            </w:tcMar>
            <w:vAlign w:val="center"/>
            <w:hideMark/>
          </w:tcPr>
          <w:p w14:paraId="34822BF8"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1.13</w:t>
            </w:r>
          </w:p>
        </w:tc>
        <w:tc>
          <w:tcPr>
            <w:tcW w:w="784" w:type="pct"/>
            <w:tcBorders>
              <w:top w:val="nil"/>
              <w:left w:val="nil"/>
              <w:bottom w:val="nil"/>
              <w:right w:val="nil"/>
            </w:tcBorders>
            <w:shd w:val="clear" w:color="000000" w:fill="F7A3B0"/>
            <w:noWrap/>
            <w:vAlign w:val="center"/>
            <w:hideMark/>
          </w:tcPr>
          <w:p w14:paraId="00DD9680" w14:textId="6884647B"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Import Duties</w:t>
            </w:r>
          </w:p>
        </w:tc>
        <w:tc>
          <w:tcPr>
            <w:tcW w:w="465" w:type="pct"/>
            <w:tcBorders>
              <w:top w:val="nil"/>
              <w:left w:val="nil"/>
              <w:bottom w:val="nil"/>
              <w:right w:val="nil"/>
            </w:tcBorders>
            <w:shd w:val="clear" w:color="000000" w:fill="F7A3B0"/>
            <w:noWrap/>
            <w:vAlign w:val="center"/>
          </w:tcPr>
          <w:p w14:paraId="4FE351F7"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512" w:type="pct"/>
            <w:tcBorders>
              <w:top w:val="nil"/>
              <w:left w:val="nil"/>
              <w:bottom w:val="nil"/>
              <w:right w:val="nil"/>
            </w:tcBorders>
            <w:shd w:val="clear" w:color="000000" w:fill="F7A3B0"/>
            <w:noWrap/>
            <w:vAlign w:val="center"/>
          </w:tcPr>
          <w:p w14:paraId="5ECC43AD"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431" w:type="pct"/>
            <w:tcBorders>
              <w:top w:val="nil"/>
              <w:left w:val="nil"/>
              <w:bottom w:val="nil"/>
              <w:right w:val="nil"/>
            </w:tcBorders>
            <w:shd w:val="clear" w:color="000000" w:fill="F7A3B0"/>
            <w:noWrap/>
            <w:vAlign w:val="center"/>
          </w:tcPr>
          <w:p w14:paraId="5D4D2C12"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417" w:type="pct"/>
            <w:tcBorders>
              <w:top w:val="nil"/>
              <w:left w:val="nil"/>
              <w:bottom w:val="nil"/>
              <w:right w:val="nil"/>
            </w:tcBorders>
            <w:shd w:val="clear" w:color="000000" w:fill="F7A3B0"/>
            <w:noWrap/>
            <w:vAlign w:val="center"/>
          </w:tcPr>
          <w:p w14:paraId="74A0A1C7"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421" w:type="pct"/>
            <w:tcBorders>
              <w:top w:val="nil"/>
              <w:left w:val="nil"/>
              <w:bottom w:val="nil"/>
              <w:right w:val="nil"/>
            </w:tcBorders>
            <w:shd w:val="clear" w:color="000000" w:fill="F7A3B0"/>
            <w:noWrap/>
            <w:vAlign w:val="center"/>
          </w:tcPr>
          <w:p w14:paraId="516B3711"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378" w:type="pct"/>
            <w:tcBorders>
              <w:top w:val="nil"/>
              <w:left w:val="nil"/>
              <w:bottom w:val="nil"/>
              <w:right w:val="nil"/>
            </w:tcBorders>
            <w:shd w:val="clear" w:color="000000" w:fill="F7A3B0"/>
            <w:noWrap/>
            <w:vAlign w:val="center"/>
          </w:tcPr>
          <w:p w14:paraId="192C770C"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465" w:type="pct"/>
            <w:tcBorders>
              <w:top w:val="nil"/>
              <w:left w:val="nil"/>
              <w:bottom w:val="nil"/>
              <w:right w:val="nil"/>
            </w:tcBorders>
            <w:shd w:val="clear" w:color="000000" w:fill="F7A3B0"/>
            <w:noWrap/>
            <w:vAlign w:val="center"/>
          </w:tcPr>
          <w:p w14:paraId="59DFC21A"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000000" w:fill="F7A3B0"/>
            <w:noWrap/>
            <w:vAlign w:val="center"/>
          </w:tcPr>
          <w:p w14:paraId="782648DE"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511" w:type="pct"/>
            <w:tcBorders>
              <w:top w:val="nil"/>
              <w:left w:val="nil"/>
              <w:bottom w:val="nil"/>
              <w:right w:val="single" w:sz="8" w:space="0" w:color="FF0000"/>
            </w:tcBorders>
            <w:shd w:val="clear" w:color="000000" w:fill="F7A3B0"/>
            <w:noWrap/>
            <w:vAlign w:val="center"/>
          </w:tcPr>
          <w:p w14:paraId="6FC65C4A"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r>
      <w:tr w:rsidR="00AA49E3" w:rsidRPr="00894701" w14:paraId="114AF4D9" w14:textId="77777777" w:rsidTr="00AA49E3">
        <w:trPr>
          <w:trHeight w:val="227"/>
          <w:jc w:val="center"/>
        </w:trPr>
        <w:tc>
          <w:tcPr>
            <w:tcW w:w="148" w:type="pct"/>
            <w:tcBorders>
              <w:top w:val="nil"/>
              <w:left w:val="single" w:sz="8" w:space="0" w:color="FF0000"/>
              <w:bottom w:val="nil"/>
              <w:right w:val="nil"/>
            </w:tcBorders>
            <w:shd w:val="clear" w:color="000000" w:fill="FFFFFF"/>
            <w:noWrap/>
            <w:tcMar>
              <w:left w:w="28" w:type="dxa"/>
              <w:right w:w="28" w:type="dxa"/>
            </w:tcMar>
            <w:vAlign w:val="center"/>
            <w:hideMark/>
          </w:tcPr>
          <w:p w14:paraId="5CDF4C04" w14:textId="77777777" w:rsidR="00AA49E3" w:rsidRPr="00894701" w:rsidRDefault="00AA49E3" w:rsidP="00AA49E3">
            <w:pPr>
              <w:spacing w:after="0" w:line="240" w:lineRule="auto"/>
              <w:rPr>
                <w:rFonts w:cs="Arial"/>
                <w:color w:val="auto"/>
                <w:kern w:val="0"/>
                <w:sz w:val="16"/>
                <w:szCs w:val="16"/>
              </w:rPr>
            </w:pPr>
            <w:r w:rsidRPr="00894701">
              <w:rPr>
                <w:rFonts w:cs="Arial"/>
                <w:color w:val="auto"/>
                <w:kern w:val="0"/>
                <w:sz w:val="16"/>
                <w:szCs w:val="16"/>
              </w:rPr>
              <w:t>1.14</w:t>
            </w:r>
          </w:p>
        </w:tc>
        <w:tc>
          <w:tcPr>
            <w:tcW w:w="784" w:type="pct"/>
            <w:tcBorders>
              <w:top w:val="nil"/>
              <w:left w:val="nil"/>
              <w:bottom w:val="nil"/>
              <w:right w:val="nil"/>
            </w:tcBorders>
            <w:shd w:val="clear" w:color="000000" w:fill="FFFFFF"/>
            <w:vAlign w:val="center"/>
            <w:hideMark/>
          </w:tcPr>
          <w:p w14:paraId="7D7422B2" w14:textId="06CEB182" w:rsidR="00AA49E3" w:rsidRPr="00894701" w:rsidRDefault="00AA49E3" w:rsidP="00AA49E3">
            <w:pPr>
              <w:spacing w:after="0" w:line="240" w:lineRule="auto"/>
              <w:rPr>
                <w:rFonts w:cs="Arial"/>
                <w:color w:val="auto"/>
                <w:kern w:val="0"/>
                <w:sz w:val="16"/>
                <w:szCs w:val="16"/>
              </w:rPr>
            </w:pPr>
            <w:r w:rsidRPr="00894701">
              <w:rPr>
                <w:rFonts w:cs="Arial"/>
                <w:color w:val="auto"/>
                <w:kern w:val="0"/>
                <w:sz w:val="16"/>
                <w:szCs w:val="16"/>
              </w:rPr>
              <w:t>Consent &amp; Statistic rights</w:t>
            </w:r>
          </w:p>
        </w:tc>
        <w:tc>
          <w:tcPr>
            <w:tcW w:w="465" w:type="pct"/>
            <w:tcBorders>
              <w:top w:val="nil"/>
              <w:left w:val="nil"/>
              <w:bottom w:val="nil"/>
              <w:right w:val="nil"/>
            </w:tcBorders>
            <w:shd w:val="clear" w:color="000000" w:fill="FFFFFF"/>
            <w:noWrap/>
            <w:vAlign w:val="center"/>
          </w:tcPr>
          <w:p w14:paraId="6B64006C"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512" w:type="pct"/>
            <w:tcBorders>
              <w:top w:val="nil"/>
              <w:left w:val="nil"/>
              <w:bottom w:val="nil"/>
              <w:right w:val="nil"/>
            </w:tcBorders>
            <w:shd w:val="clear" w:color="000000" w:fill="FFFFFF"/>
            <w:noWrap/>
            <w:vAlign w:val="center"/>
          </w:tcPr>
          <w:p w14:paraId="76710F84"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431" w:type="pct"/>
            <w:tcBorders>
              <w:top w:val="nil"/>
              <w:left w:val="nil"/>
              <w:bottom w:val="nil"/>
              <w:right w:val="nil"/>
            </w:tcBorders>
            <w:shd w:val="clear" w:color="000000" w:fill="FFFFFF"/>
            <w:noWrap/>
            <w:vAlign w:val="center"/>
          </w:tcPr>
          <w:p w14:paraId="6A6D2486"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417" w:type="pct"/>
            <w:tcBorders>
              <w:top w:val="nil"/>
              <w:left w:val="nil"/>
              <w:bottom w:val="nil"/>
              <w:right w:val="nil"/>
            </w:tcBorders>
            <w:shd w:val="clear" w:color="000000" w:fill="FFFFFF"/>
            <w:noWrap/>
            <w:vAlign w:val="center"/>
          </w:tcPr>
          <w:p w14:paraId="781F2655"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421" w:type="pct"/>
            <w:tcBorders>
              <w:top w:val="nil"/>
              <w:left w:val="nil"/>
              <w:bottom w:val="nil"/>
              <w:right w:val="nil"/>
            </w:tcBorders>
            <w:shd w:val="clear" w:color="000000" w:fill="FFFFFF"/>
            <w:noWrap/>
            <w:vAlign w:val="center"/>
          </w:tcPr>
          <w:p w14:paraId="5E0E7C2B"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378" w:type="pct"/>
            <w:tcBorders>
              <w:top w:val="nil"/>
              <w:left w:val="nil"/>
              <w:bottom w:val="nil"/>
              <w:right w:val="nil"/>
            </w:tcBorders>
            <w:shd w:val="clear" w:color="000000" w:fill="FFFFFF"/>
            <w:noWrap/>
            <w:vAlign w:val="center"/>
          </w:tcPr>
          <w:p w14:paraId="6CBE7009"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465" w:type="pct"/>
            <w:tcBorders>
              <w:top w:val="nil"/>
              <w:left w:val="nil"/>
              <w:bottom w:val="nil"/>
              <w:right w:val="nil"/>
            </w:tcBorders>
            <w:shd w:val="clear" w:color="000000" w:fill="FFFFFF"/>
            <w:noWrap/>
            <w:vAlign w:val="center"/>
          </w:tcPr>
          <w:p w14:paraId="60DCF11E"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000000" w:fill="FFFFFF"/>
            <w:noWrap/>
            <w:vAlign w:val="center"/>
          </w:tcPr>
          <w:p w14:paraId="171B02D0"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511" w:type="pct"/>
            <w:tcBorders>
              <w:top w:val="nil"/>
              <w:left w:val="nil"/>
              <w:bottom w:val="nil"/>
              <w:right w:val="single" w:sz="8" w:space="0" w:color="FF0000"/>
            </w:tcBorders>
            <w:shd w:val="clear" w:color="000000" w:fill="FFFFFF"/>
            <w:noWrap/>
            <w:vAlign w:val="center"/>
          </w:tcPr>
          <w:p w14:paraId="0247A328"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r>
      <w:tr w:rsidR="00AA49E3" w:rsidRPr="00894701" w14:paraId="64346C65" w14:textId="77777777" w:rsidTr="00AA49E3">
        <w:trPr>
          <w:trHeight w:val="227"/>
          <w:jc w:val="center"/>
        </w:trPr>
        <w:tc>
          <w:tcPr>
            <w:tcW w:w="148" w:type="pct"/>
            <w:tcBorders>
              <w:top w:val="nil"/>
              <w:left w:val="single" w:sz="8" w:space="0" w:color="FF0000"/>
              <w:bottom w:val="nil"/>
              <w:right w:val="nil"/>
            </w:tcBorders>
            <w:shd w:val="clear" w:color="000000" w:fill="F7A3B0"/>
            <w:noWrap/>
            <w:tcMar>
              <w:left w:w="28" w:type="dxa"/>
              <w:right w:w="28" w:type="dxa"/>
            </w:tcMar>
            <w:vAlign w:val="center"/>
            <w:hideMark/>
          </w:tcPr>
          <w:p w14:paraId="039FEEF9"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1.15</w:t>
            </w:r>
          </w:p>
        </w:tc>
        <w:tc>
          <w:tcPr>
            <w:tcW w:w="784" w:type="pct"/>
            <w:tcBorders>
              <w:top w:val="nil"/>
              <w:left w:val="nil"/>
              <w:bottom w:val="nil"/>
              <w:right w:val="nil"/>
            </w:tcBorders>
            <w:shd w:val="clear" w:color="000000" w:fill="F7A3B0"/>
            <w:noWrap/>
            <w:vAlign w:val="center"/>
            <w:hideMark/>
          </w:tcPr>
          <w:p w14:paraId="299F6B2C" w14:textId="3AED8DB8"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Rental value taxes</w:t>
            </w:r>
          </w:p>
        </w:tc>
        <w:tc>
          <w:tcPr>
            <w:tcW w:w="465" w:type="pct"/>
            <w:tcBorders>
              <w:top w:val="nil"/>
              <w:left w:val="nil"/>
              <w:bottom w:val="nil"/>
              <w:right w:val="nil"/>
            </w:tcBorders>
            <w:shd w:val="clear" w:color="000000" w:fill="F7A3B0"/>
            <w:noWrap/>
            <w:vAlign w:val="center"/>
          </w:tcPr>
          <w:p w14:paraId="63DF50F9"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512" w:type="pct"/>
            <w:tcBorders>
              <w:top w:val="nil"/>
              <w:left w:val="nil"/>
              <w:bottom w:val="nil"/>
              <w:right w:val="nil"/>
            </w:tcBorders>
            <w:shd w:val="clear" w:color="000000" w:fill="F7A3B0"/>
            <w:noWrap/>
            <w:vAlign w:val="center"/>
          </w:tcPr>
          <w:p w14:paraId="09324012"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431" w:type="pct"/>
            <w:tcBorders>
              <w:top w:val="nil"/>
              <w:left w:val="nil"/>
              <w:bottom w:val="nil"/>
              <w:right w:val="nil"/>
            </w:tcBorders>
            <w:shd w:val="clear" w:color="000000" w:fill="F7A3B0"/>
            <w:noWrap/>
            <w:vAlign w:val="center"/>
          </w:tcPr>
          <w:p w14:paraId="67D09D52"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417" w:type="pct"/>
            <w:tcBorders>
              <w:top w:val="nil"/>
              <w:left w:val="nil"/>
              <w:bottom w:val="nil"/>
              <w:right w:val="nil"/>
            </w:tcBorders>
            <w:shd w:val="clear" w:color="000000" w:fill="F7A3B0"/>
            <w:noWrap/>
            <w:vAlign w:val="center"/>
          </w:tcPr>
          <w:p w14:paraId="49304820"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421" w:type="pct"/>
            <w:tcBorders>
              <w:top w:val="nil"/>
              <w:left w:val="nil"/>
              <w:bottom w:val="nil"/>
              <w:right w:val="nil"/>
            </w:tcBorders>
            <w:shd w:val="clear" w:color="000000" w:fill="F7A3B0"/>
            <w:noWrap/>
            <w:vAlign w:val="center"/>
          </w:tcPr>
          <w:p w14:paraId="5C4BDEB2"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378" w:type="pct"/>
            <w:tcBorders>
              <w:top w:val="nil"/>
              <w:left w:val="nil"/>
              <w:bottom w:val="nil"/>
              <w:right w:val="nil"/>
            </w:tcBorders>
            <w:shd w:val="clear" w:color="000000" w:fill="F7A3B0"/>
            <w:noWrap/>
            <w:vAlign w:val="center"/>
          </w:tcPr>
          <w:p w14:paraId="65AB4228"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465" w:type="pct"/>
            <w:tcBorders>
              <w:top w:val="nil"/>
              <w:left w:val="nil"/>
              <w:bottom w:val="nil"/>
              <w:right w:val="nil"/>
            </w:tcBorders>
            <w:shd w:val="clear" w:color="000000" w:fill="F7A3B0"/>
            <w:noWrap/>
            <w:vAlign w:val="center"/>
          </w:tcPr>
          <w:p w14:paraId="7615DD28"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000000" w:fill="F7A3B0"/>
            <w:noWrap/>
            <w:vAlign w:val="center"/>
          </w:tcPr>
          <w:p w14:paraId="3FD24590"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511" w:type="pct"/>
            <w:tcBorders>
              <w:top w:val="nil"/>
              <w:left w:val="nil"/>
              <w:bottom w:val="nil"/>
              <w:right w:val="single" w:sz="8" w:space="0" w:color="FF0000"/>
            </w:tcBorders>
            <w:shd w:val="clear" w:color="000000" w:fill="F7A3B0"/>
            <w:noWrap/>
            <w:vAlign w:val="center"/>
          </w:tcPr>
          <w:p w14:paraId="00C36CE0"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r>
      <w:tr w:rsidR="00AA49E3" w:rsidRPr="00894701" w14:paraId="327FAF4F" w14:textId="77777777" w:rsidTr="00AA49E3">
        <w:trPr>
          <w:trHeight w:val="227"/>
          <w:jc w:val="center"/>
        </w:trPr>
        <w:tc>
          <w:tcPr>
            <w:tcW w:w="148" w:type="pct"/>
            <w:tcBorders>
              <w:top w:val="nil"/>
              <w:left w:val="single" w:sz="8" w:space="0" w:color="FF0000"/>
              <w:bottom w:val="nil"/>
              <w:right w:val="nil"/>
            </w:tcBorders>
            <w:shd w:val="clear" w:color="auto" w:fill="auto"/>
            <w:noWrap/>
            <w:tcMar>
              <w:left w:w="28" w:type="dxa"/>
              <w:right w:w="28" w:type="dxa"/>
            </w:tcMar>
            <w:vAlign w:val="center"/>
            <w:hideMark/>
          </w:tcPr>
          <w:p w14:paraId="4A2F402D"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1.16</w:t>
            </w:r>
          </w:p>
        </w:tc>
        <w:tc>
          <w:tcPr>
            <w:tcW w:w="784" w:type="pct"/>
            <w:tcBorders>
              <w:top w:val="nil"/>
              <w:left w:val="nil"/>
              <w:bottom w:val="nil"/>
              <w:right w:val="nil"/>
            </w:tcBorders>
            <w:shd w:val="clear" w:color="auto" w:fill="auto"/>
            <w:noWrap/>
            <w:vAlign w:val="center"/>
            <w:hideMark/>
          </w:tcPr>
          <w:p w14:paraId="11BDC95B" w14:textId="534CA74B"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Canon/Lease or Land Rent</w:t>
            </w:r>
          </w:p>
        </w:tc>
        <w:tc>
          <w:tcPr>
            <w:tcW w:w="465" w:type="pct"/>
            <w:tcBorders>
              <w:top w:val="nil"/>
              <w:left w:val="nil"/>
              <w:bottom w:val="nil"/>
              <w:right w:val="nil"/>
            </w:tcBorders>
            <w:shd w:val="clear" w:color="auto" w:fill="auto"/>
            <w:noWrap/>
            <w:vAlign w:val="center"/>
          </w:tcPr>
          <w:p w14:paraId="38E254B7"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512" w:type="pct"/>
            <w:tcBorders>
              <w:top w:val="nil"/>
              <w:left w:val="nil"/>
              <w:bottom w:val="nil"/>
              <w:right w:val="nil"/>
            </w:tcBorders>
            <w:shd w:val="clear" w:color="auto" w:fill="auto"/>
            <w:noWrap/>
            <w:vAlign w:val="center"/>
          </w:tcPr>
          <w:p w14:paraId="5DD8D435"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431" w:type="pct"/>
            <w:tcBorders>
              <w:top w:val="nil"/>
              <w:left w:val="nil"/>
              <w:bottom w:val="nil"/>
              <w:right w:val="nil"/>
            </w:tcBorders>
            <w:shd w:val="clear" w:color="auto" w:fill="auto"/>
            <w:noWrap/>
            <w:vAlign w:val="center"/>
          </w:tcPr>
          <w:p w14:paraId="6251EC63"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417" w:type="pct"/>
            <w:tcBorders>
              <w:top w:val="nil"/>
              <w:left w:val="nil"/>
              <w:bottom w:val="nil"/>
              <w:right w:val="nil"/>
            </w:tcBorders>
            <w:shd w:val="clear" w:color="auto" w:fill="auto"/>
            <w:noWrap/>
            <w:vAlign w:val="center"/>
          </w:tcPr>
          <w:p w14:paraId="7BE68AD2"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421" w:type="pct"/>
            <w:tcBorders>
              <w:top w:val="nil"/>
              <w:left w:val="nil"/>
              <w:bottom w:val="nil"/>
              <w:right w:val="nil"/>
            </w:tcBorders>
            <w:shd w:val="clear" w:color="auto" w:fill="auto"/>
            <w:noWrap/>
            <w:vAlign w:val="center"/>
          </w:tcPr>
          <w:p w14:paraId="566899F7"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378" w:type="pct"/>
            <w:tcBorders>
              <w:top w:val="nil"/>
              <w:left w:val="nil"/>
              <w:bottom w:val="nil"/>
              <w:right w:val="nil"/>
            </w:tcBorders>
            <w:shd w:val="clear" w:color="auto" w:fill="auto"/>
            <w:noWrap/>
            <w:vAlign w:val="center"/>
          </w:tcPr>
          <w:p w14:paraId="05E7865B"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465" w:type="pct"/>
            <w:tcBorders>
              <w:top w:val="nil"/>
              <w:left w:val="nil"/>
              <w:bottom w:val="nil"/>
              <w:right w:val="nil"/>
            </w:tcBorders>
            <w:shd w:val="clear" w:color="auto" w:fill="auto"/>
            <w:noWrap/>
            <w:vAlign w:val="center"/>
          </w:tcPr>
          <w:p w14:paraId="1E19FA92"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auto" w:fill="auto"/>
            <w:noWrap/>
            <w:vAlign w:val="center"/>
          </w:tcPr>
          <w:p w14:paraId="65AE7EA4"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511" w:type="pct"/>
            <w:tcBorders>
              <w:top w:val="nil"/>
              <w:left w:val="nil"/>
              <w:bottom w:val="nil"/>
              <w:right w:val="single" w:sz="8" w:space="0" w:color="FF0000"/>
            </w:tcBorders>
            <w:shd w:val="clear" w:color="auto" w:fill="auto"/>
            <w:noWrap/>
            <w:vAlign w:val="center"/>
          </w:tcPr>
          <w:p w14:paraId="723D3DFB"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r>
      <w:tr w:rsidR="00AA49E3" w:rsidRPr="00894701" w14:paraId="2E3534CE" w14:textId="77777777" w:rsidTr="00AA49E3">
        <w:trPr>
          <w:trHeight w:val="227"/>
          <w:jc w:val="center"/>
        </w:trPr>
        <w:tc>
          <w:tcPr>
            <w:tcW w:w="148" w:type="pct"/>
            <w:tcBorders>
              <w:top w:val="nil"/>
              <w:left w:val="single" w:sz="8" w:space="0" w:color="FF0000"/>
              <w:bottom w:val="nil"/>
              <w:right w:val="nil"/>
            </w:tcBorders>
            <w:shd w:val="clear" w:color="000000" w:fill="F7A3B0"/>
            <w:noWrap/>
            <w:tcMar>
              <w:left w:w="28" w:type="dxa"/>
              <w:right w:w="28" w:type="dxa"/>
            </w:tcMar>
            <w:vAlign w:val="center"/>
            <w:hideMark/>
          </w:tcPr>
          <w:p w14:paraId="67753D8B"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1.17</w:t>
            </w:r>
          </w:p>
        </w:tc>
        <w:tc>
          <w:tcPr>
            <w:tcW w:w="784" w:type="pct"/>
            <w:tcBorders>
              <w:top w:val="nil"/>
              <w:left w:val="nil"/>
              <w:bottom w:val="nil"/>
              <w:right w:val="nil"/>
            </w:tcBorders>
            <w:shd w:val="clear" w:color="000000" w:fill="F7A3B0"/>
            <w:noWrap/>
            <w:vAlign w:val="center"/>
            <w:hideMark/>
          </w:tcPr>
          <w:p w14:paraId="17C6E127" w14:textId="3C8C5AAE"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All other payments(signature bonus, bidding</w:t>
            </w:r>
            <w:r w:rsidR="005A0E98" w:rsidRPr="00894701">
              <w:rPr>
                <w:rFonts w:cs="Arial"/>
                <w:color w:val="000000"/>
                <w:kern w:val="0"/>
                <w:sz w:val="16"/>
                <w:szCs w:val="16"/>
              </w:rPr>
              <w:t xml:space="preserve"> </w:t>
            </w:r>
            <w:r w:rsidRPr="00894701">
              <w:rPr>
                <w:rFonts w:cs="Arial"/>
                <w:color w:val="000000"/>
                <w:kern w:val="0"/>
                <w:sz w:val="16"/>
                <w:szCs w:val="16"/>
              </w:rPr>
              <w:t>fees, penalties, petroleum</w:t>
            </w:r>
            <w:r w:rsidR="005A0E98" w:rsidRPr="00894701">
              <w:rPr>
                <w:rFonts w:cs="Arial"/>
                <w:color w:val="000000"/>
                <w:kern w:val="0"/>
                <w:sz w:val="16"/>
                <w:szCs w:val="16"/>
              </w:rPr>
              <w:t xml:space="preserve"> </w:t>
            </w:r>
            <w:r w:rsidRPr="00894701">
              <w:rPr>
                <w:rFonts w:cs="Arial"/>
                <w:color w:val="000000"/>
                <w:kern w:val="0"/>
                <w:sz w:val="16"/>
                <w:szCs w:val="16"/>
              </w:rPr>
              <w:t>levy)</w:t>
            </w:r>
          </w:p>
        </w:tc>
        <w:tc>
          <w:tcPr>
            <w:tcW w:w="465" w:type="pct"/>
            <w:tcBorders>
              <w:top w:val="nil"/>
              <w:left w:val="nil"/>
              <w:bottom w:val="nil"/>
              <w:right w:val="nil"/>
            </w:tcBorders>
            <w:shd w:val="clear" w:color="000000" w:fill="F7A3B0"/>
            <w:noWrap/>
            <w:vAlign w:val="center"/>
          </w:tcPr>
          <w:p w14:paraId="43B85EF9"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512" w:type="pct"/>
            <w:tcBorders>
              <w:top w:val="nil"/>
              <w:left w:val="nil"/>
              <w:bottom w:val="nil"/>
              <w:right w:val="nil"/>
            </w:tcBorders>
            <w:shd w:val="clear" w:color="000000" w:fill="F7A3B0"/>
            <w:noWrap/>
            <w:vAlign w:val="center"/>
          </w:tcPr>
          <w:p w14:paraId="13204D14"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431" w:type="pct"/>
            <w:tcBorders>
              <w:top w:val="nil"/>
              <w:left w:val="nil"/>
              <w:bottom w:val="nil"/>
              <w:right w:val="nil"/>
            </w:tcBorders>
            <w:shd w:val="clear" w:color="000000" w:fill="F7A3B0"/>
            <w:noWrap/>
            <w:vAlign w:val="center"/>
          </w:tcPr>
          <w:p w14:paraId="5939AAD7"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417" w:type="pct"/>
            <w:tcBorders>
              <w:top w:val="nil"/>
              <w:left w:val="nil"/>
              <w:bottom w:val="nil"/>
              <w:right w:val="nil"/>
            </w:tcBorders>
            <w:shd w:val="clear" w:color="000000" w:fill="F7A3B0"/>
            <w:noWrap/>
            <w:vAlign w:val="center"/>
          </w:tcPr>
          <w:p w14:paraId="145BEB40"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421" w:type="pct"/>
            <w:tcBorders>
              <w:top w:val="nil"/>
              <w:left w:val="nil"/>
              <w:bottom w:val="nil"/>
              <w:right w:val="nil"/>
            </w:tcBorders>
            <w:shd w:val="clear" w:color="000000" w:fill="F7A3B0"/>
            <w:noWrap/>
            <w:vAlign w:val="center"/>
          </w:tcPr>
          <w:p w14:paraId="255CB45E"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378" w:type="pct"/>
            <w:tcBorders>
              <w:top w:val="nil"/>
              <w:left w:val="nil"/>
              <w:bottom w:val="nil"/>
              <w:right w:val="nil"/>
            </w:tcBorders>
            <w:shd w:val="clear" w:color="000000" w:fill="F7A3B0"/>
            <w:noWrap/>
            <w:vAlign w:val="center"/>
          </w:tcPr>
          <w:p w14:paraId="708043E0"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465" w:type="pct"/>
            <w:tcBorders>
              <w:top w:val="nil"/>
              <w:left w:val="nil"/>
              <w:bottom w:val="nil"/>
              <w:right w:val="nil"/>
            </w:tcBorders>
            <w:shd w:val="clear" w:color="000000" w:fill="F7A3B0"/>
            <w:noWrap/>
            <w:vAlign w:val="center"/>
          </w:tcPr>
          <w:p w14:paraId="03B8DE64"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000000" w:fill="F7A3B0"/>
            <w:noWrap/>
            <w:vAlign w:val="center"/>
          </w:tcPr>
          <w:p w14:paraId="66385919"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511" w:type="pct"/>
            <w:tcBorders>
              <w:top w:val="nil"/>
              <w:left w:val="nil"/>
              <w:bottom w:val="nil"/>
              <w:right w:val="single" w:sz="8" w:space="0" w:color="FF0000"/>
            </w:tcBorders>
            <w:shd w:val="clear" w:color="000000" w:fill="F7A3B0"/>
            <w:noWrap/>
            <w:vAlign w:val="center"/>
          </w:tcPr>
          <w:p w14:paraId="1ABF0BD2"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auto"/>
                <w:sz w:val="16"/>
                <w:szCs w:val="16"/>
              </w:rPr>
              <w:t>-</w:t>
            </w:r>
          </w:p>
        </w:tc>
      </w:tr>
      <w:tr w:rsidR="002F4BAB" w:rsidRPr="00894701" w14:paraId="38011E59" w14:textId="77777777" w:rsidTr="009052AC">
        <w:trPr>
          <w:trHeight w:val="227"/>
          <w:jc w:val="center"/>
        </w:trPr>
        <w:tc>
          <w:tcPr>
            <w:tcW w:w="932" w:type="pct"/>
            <w:gridSpan w:val="2"/>
            <w:tcBorders>
              <w:top w:val="nil"/>
              <w:left w:val="single" w:sz="8" w:space="0" w:color="FF0000"/>
              <w:bottom w:val="nil"/>
              <w:right w:val="nil"/>
            </w:tcBorders>
            <w:shd w:val="clear" w:color="000000" w:fill="C0A99E"/>
            <w:noWrap/>
            <w:tcMar>
              <w:left w:w="28" w:type="dxa"/>
              <w:right w:w="28" w:type="dxa"/>
            </w:tcMar>
            <w:vAlign w:val="center"/>
            <w:hideMark/>
          </w:tcPr>
          <w:p w14:paraId="4A37A18C" w14:textId="77777777" w:rsidR="002F4BAB" w:rsidRPr="00894701" w:rsidRDefault="002F4BAB" w:rsidP="002209C2">
            <w:pPr>
              <w:spacing w:after="0" w:line="240" w:lineRule="auto"/>
              <w:rPr>
                <w:rFonts w:cs="Arial"/>
                <w:b/>
                <w:bCs/>
                <w:color w:val="auto"/>
                <w:kern w:val="0"/>
                <w:sz w:val="16"/>
                <w:szCs w:val="16"/>
              </w:rPr>
            </w:pPr>
            <w:r w:rsidRPr="00894701">
              <w:rPr>
                <w:rFonts w:cs="Arial"/>
                <w:b/>
                <w:bCs/>
                <w:color w:val="auto"/>
                <w:kern w:val="0"/>
                <w:sz w:val="16"/>
                <w:szCs w:val="16"/>
              </w:rPr>
              <w:t xml:space="preserve"> Ministry of Natural Resources (MNR)</w:t>
            </w:r>
          </w:p>
        </w:tc>
        <w:tc>
          <w:tcPr>
            <w:tcW w:w="465" w:type="pct"/>
            <w:tcBorders>
              <w:top w:val="nil"/>
              <w:left w:val="nil"/>
              <w:bottom w:val="nil"/>
              <w:right w:val="nil"/>
            </w:tcBorders>
            <w:shd w:val="clear" w:color="000000" w:fill="C0A99E"/>
            <w:noWrap/>
            <w:vAlign w:val="center"/>
          </w:tcPr>
          <w:p w14:paraId="533D421D" w14:textId="77777777" w:rsidR="002F4BAB" w:rsidRPr="00894701" w:rsidRDefault="002F4BAB" w:rsidP="0010169E">
            <w:pPr>
              <w:spacing w:after="0" w:line="240" w:lineRule="auto"/>
              <w:jc w:val="right"/>
              <w:rPr>
                <w:rFonts w:cs="Arial"/>
                <w:b/>
                <w:bCs/>
                <w:color w:val="auto"/>
                <w:kern w:val="0"/>
                <w:sz w:val="16"/>
                <w:szCs w:val="16"/>
              </w:rPr>
            </w:pPr>
            <w:r w:rsidRPr="00894701">
              <w:rPr>
                <w:rFonts w:cs="Arial"/>
                <w:color w:val="auto"/>
                <w:sz w:val="16"/>
                <w:szCs w:val="16"/>
              </w:rPr>
              <w:t>-</w:t>
            </w:r>
          </w:p>
        </w:tc>
        <w:tc>
          <w:tcPr>
            <w:tcW w:w="512" w:type="pct"/>
            <w:tcBorders>
              <w:top w:val="nil"/>
              <w:left w:val="nil"/>
              <w:bottom w:val="nil"/>
              <w:right w:val="nil"/>
            </w:tcBorders>
            <w:shd w:val="clear" w:color="000000" w:fill="C0A99E"/>
            <w:noWrap/>
            <w:vAlign w:val="center"/>
          </w:tcPr>
          <w:p w14:paraId="701E2C99" w14:textId="77777777" w:rsidR="002F4BAB" w:rsidRPr="00894701" w:rsidRDefault="002F4BAB" w:rsidP="0010169E">
            <w:pPr>
              <w:spacing w:after="0" w:line="240" w:lineRule="auto"/>
              <w:jc w:val="right"/>
              <w:rPr>
                <w:rFonts w:cs="Arial"/>
                <w:b/>
                <w:bCs/>
                <w:color w:val="auto"/>
                <w:kern w:val="0"/>
                <w:sz w:val="16"/>
                <w:szCs w:val="16"/>
              </w:rPr>
            </w:pPr>
            <w:r w:rsidRPr="00894701">
              <w:rPr>
                <w:rFonts w:cs="Arial"/>
                <w:color w:val="auto"/>
                <w:sz w:val="16"/>
                <w:szCs w:val="16"/>
              </w:rPr>
              <w:t>-</w:t>
            </w:r>
          </w:p>
        </w:tc>
        <w:tc>
          <w:tcPr>
            <w:tcW w:w="431" w:type="pct"/>
            <w:tcBorders>
              <w:top w:val="nil"/>
              <w:left w:val="nil"/>
              <w:bottom w:val="nil"/>
              <w:right w:val="nil"/>
            </w:tcBorders>
            <w:shd w:val="clear" w:color="000000" w:fill="C0A99E"/>
            <w:noWrap/>
            <w:vAlign w:val="center"/>
          </w:tcPr>
          <w:p w14:paraId="50A1D028" w14:textId="77777777" w:rsidR="002F4BAB" w:rsidRPr="00894701" w:rsidRDefault="002F4BAB" w:rsidP="0010169E">
            <w:pPr>
              <w:spacing w:after="0" w:line="240" w:lineRule="auto"/>
              <w:jc w:val="right"/>
              <w:rPr>
                <w:rFonts w:cs="Arial"/>
                <w:b/>
                <w:bCs/>
                <w:color w:val="auto"/>
                <w:kern w:val="0"/>
                <w:sz w:val="16"/>
                <w:szCs w:val="16"/>
              </w:rPr>
            </w:pPr>
            <w:r w:rsidRPr="00894701">
              <w:rPr>
                <w:rFonts w:cs="Arial"/>
                <w:color w:val="auto"/>
                <w:sz w:val="16"/>
                <w:szCs w:val="16"/>
              </w:rPr>
              <w:t>-</w:t>
            </w:r>
          </w:p>
        </w:tc>
        <w:tc>
          <w:tcPr>
            <w:tcW w:w="417" w:type="pct"/>
            <w:tcBorders>
              <w:top w:val="nil"/>
              <w:left w:val="nil"/>
              <w:bottom w:val="nil"/>
              <w:right w:val="nil"/>
            </w:tcBorders>
            <w:shd w:val="clear" w:color="000000" w:fill="C0A99E"/>
            <w:noWrap/>
            <w:vAlign w:val="center"/>
          </w:tcPr>
          <w:p w14:paraId="6ABB81FE" w14:textId="77777777" w:rsidR="002F4BAB" w:rsidRPr="00894701" w:rsidRDefault="002F4BAB" w:rsidP="0010169E">
            <w:pPr>
              <w:spacing w:after="0" w:line="240" w:lineRule="auto"/>
              <w:jc w:val="right"/>
              <w:rPr>
                <w:rFonts w:cs="Arial"/>
                <w:b/>
                <w:bCs/>
                <w:color w:val="auto"/>
                <w:kern w:val="0"/>
                <w:sz w:val="16"/>
                <w:szCs w:val="16"/>
              </w:rPr>
            </w:pPr>
            <w:r w:rsidRPr="00894701">
              <w:rPr>
                <w:rFonts w:cs="Arial"/>
                <w:color w:val="auto"/>
                <w:sz w:val="16"/>
                <w:szCs w:val="16"/>
              </w:rPr>
              <w:t>-</w:t>
            </w:r>
          </w:p>
        </w:tc>
        <w:tc>
          <w:tcPr>
            <w:tcW w:w="421" w:type="pct"/>
            <w:tcBorders>
              <w:top w:val="nil"/>
              <w:left w:val="nil"/>
              <w:bottom w:val="nil"/>
              <w:right w:val="nil"/>
            </w:tcBorders>
            <w:shd w:val="clear" w:color="000000" w:fill="C0A99E"/>
            <w:noWrap/>
            <w:vAlign w:val="center"/>
          </w:tcPr>
          <w:p w14:paraId="3676E9F4" w14:textId="77777777" w:rsidR="002F4BAB" w:rsidRPr="00894701" w:rsidRDefault="002F4BAB" w:rsidP="0010169E">
            <w:pPr>
              <w:spacing w:after="0" w:line="240" w:lineRule="auto"/>
              <w:jc w:val="right"/>
              <w:rPr>
                <w:rFonts w:cs="Arial"/>
                <w:b/>
                <w:bCs/>
                <w:color w:val="auto"/>
                <w:kern w:val="0"/>
                <w:sz w:val="16"/>
                <w:szCs w:val="16"/>
              </w:rPr>
            </w:pPr>
            <w:r w:rsidRPr="00894701">
              <w:rPr>
                <w:rFonts w:cs="Arial"/>
                <w:color w:val="auto"/>
                <w:sz w:val="16"/>
                <w:szCs w:val="16"/>
              </w:rPr>
              <w:t>-</w:t>
            </w:r>
          </w:p>
        </w:tc>
        <w:tc>
          <w:tcPr>
            <w:tcW w:w="378" w:type="pct"/>
            <w:tcBorders>
              <w:top w:val="nil"/>
              <w:left w:val="nil"/>
              <w:bottom w:val="nil"/>
              <w:right w:val="nil"/>
            </w:tcBorders>
            <w:shd w:val="clear" w:color="000000" w:fill="C0A99E"/>
            <w:noWrap/>
            <w:vAlign w:val="center"/>
          </w:tcPr>
          <w:p w14:paraId="0AFA1913" w14:textId="77777777" w:rsidR="002F4BAB" w:rsidRPr="00894701" w:rsidRDefault="002F4BAB" w:rsidP="0010169E">
            <w:pPr>
              <w:spacing w:after="0" w:line="240" w:lineRule="auto"/>
              <w:jc w:val="right"/>
              <w:rPr>
                <w:rFonts w:cs="Arial"/>
                <w:b/>
                <w:bCs/>
                <w:color w:val="auto"/>
                <w:kern w:val="0"/>
                <w:sz w:val="16"/>
                <w:szCs w:val="16"/>
              </w:rPr>
            </w:pPr>
            <w:r w:rsidRPr="00894701">
              <w:rPr>
                <w:rFonts w:cs="Arial"/>
                <w:color w:val="auto"/>
                <w:sz w:val="16"/>
                <w:szCs w:val="16"/>
              </w:rPr>
              <w:t>-</w:t>
            </w:r>
          </w:p>
        </w:tc>
        <w:tc>
          <w:tcPr>
            <w:tcW w:w="465" w:type="pct"/>
            <w:tcBorders>
              <w:top w:val="nil"/>
              <w:left w:val="nil"/>
              <w:bottom w:val="nil"/>
              <w:right w:val="nil"/>
            </w:tcBorders>
            <w:shd w:val="clear" w:color="000000" w:fill="C0A99E"/>
            <w:noWrap/>
            <w:vAlign w:val="center"/>
          </w:tcPr>
          <w:p w14:paraId="37A0A2CD" w14:textId="77777777" w:rsidR="002F4BAB" w:rsidRPr="00894701" w:rsidRDefault="002F4BAB" w:rsidP="0010169E">
            <w:pPr>
              <w:spacing w:after="0" w:line="240" w:lineRule="auto"/>
              <w:jc w:val="right"/>
              <w:rPr>
                <w:rFonts w:cs="Arial"/>
                <w:b/>
                <w:bCs/>
                <w:color w:val="auto"/>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000000" w:fill="C0A99E"/>
            <w:noWrap/>
            <w:vAlign w:val="center"/>
          </w:tcPr>
          <w:p w14:paraId="28927574" w14:textId="77777777" w:rsidR="002F4BAB" w:rsidRPr="00894701" w:rsidRDefault="002F4BAB" w:rsidP="0010169E">
            <w:pPr>
              <w:spacing w:after="0" w:line="240" w:lineRule="auto"/>
              <w:jc w:val="right"/>
              <w:rPr>
                <w:rFonts w:cs="Arial"/>
                <w:b/>
                <w:bCs/>
                <w:color w:val="auto"/>
                <w:kern w:val="0"/>
                <w:sz w:val="16"/>
                <w:szCs w:val="16"/>
              </w:rPr>
            </w:pPr>
            <w:r w:rsidRPr="00894701">
              <w:rPr>
                <w:rFonts w:cs="Arial"/>
                <w:color w:val="auto"/>
                <w:sz w:val="16"/>
                <w:szCs w:val="16"/>
              </w:rPr>
              <w:t>-</w:t>
            </w:r>
          </w:p>
        </w:tc>
        <w:tc>
          <w:tcPr>
            <w:tcW w:w="511" w:type="pct"/>
            <w:tcBorders>
              <w:top w:val="nil"/>
              <w:left w:val="nil"/>
              <w:bottom w:val="nil"/>
              <w:right w:val="nil"/>
            </w:tcBorders>
            <w:shd w:val="clear" w:color="000000" w:fill="C0A99E"/>
            <w:noWrap/>
            <w:vAlign w:val="center"/>
          </w:tcPr>
          <w:p w14:paraId="15B0BAF6" w14:textId="77777777" w:rsidR="002F4BAB" w:rsidRPr="00894701" w:rsidRDefault="002F4BAB" w:rsidP="0010169E">
            <w:pPr>
              <w:spacing w:after="0" w:line="240" w:lineRule="auto"/>
              <w:jc w:val="right"/>
              <w:rPr>
                <w:rFonts w:cs="Arial"/>
                <w:b/>
                <w:bCs/>
                <w:color w:val="auto"/>
                <w:kern w:val="0"/>
                <w:sz w:val="16"/>
                <w:szCs w:val="16"/>
              </w:rPr>
            </w:pPr>
            <w:r w:rsidRPr="00894701">
              <w:rPr>
                <w:rFonts w:cs="Arial"/>
                <w:color w:val="auto"/>
                <w:sz w:val="16"/>
                <w:szCs w:val="16"/>
              </w:rPr>
              <w:t>-</w:t>
            </w:r>
          </w:p>
        </w:tc>
      </w:tr>
      <w:tr w:rsidR="002F4BAB" w:rsidRPr="00894701" w14:paraId="7B91309F" w14:textId="77777777" w:rsidTr="00AA49E3">
        <w:trPr>
          <w:trHeight w:val="227"/>
          <w:jc w:val="center"/>
        </w:trPr>
        <w:tc>
          <w:tcPr>
            <w:tcW w:w="148" w:type="pct"/>
            <w:tcBorders>
              <w:top w:val="nil"/>
              <w:left w:val="single" w:sz="8" w:space="0" w:color="FF0000"/>
              <w:bottom w:val="nil"/>
              <w:right w:val="nil"/>
            </w:tcBorders>
            <w:shd w:val="clear" w:color="000000" w:fill="F7A3B0"/>
            <w:noWrap/>
            <w:tcMar>
              <w:left w:w="28" w:type="dxa"/>
              <w:right w:w="28" w:type="dxa"/>
            </w:tcMar>
            <w:vAlign w:val="center"/>
            <w:hideMark/>
          </w:tcPr>
          <w:p w14:paraId="1DF611E7" w14:textId="77777777"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2.1</w:t>
            </w:r>
          </w:p>
        </w:tc>
        <w:tc>
          <w:tcPr>
            <w:tcW w:w="784" w:type="pct"/>
            <w:tcBorders>
              <w:top w:val="nil"/>
              <w:left w:val="nil"/>
              <w:bottom w:val="nil"/>
              <w:right w:val="nil"/>
            </w:tcBorders>
            <w:shd w:val="clear" w:color="000000" w:fill="F7A3B0"/>
            <w:noWrap/>
            <w:vAlign w:val="center"/>
            <w:hideMark/>
          </w:tcPr>
          <w:p w14:paraId="04198F08" w14:textId="1A16C2A6"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Concession</w:t>
            </w:r>
            <w:r w:rsidR="00AA49E3" w:rsidRPr="00894701">
              <w:rPr>
                <w:rFonts w:cs="Arial"/>
                <w:color w:val="000000"/>
                <w:kern w:val="0"/>
                <w:sz w:val="16"/>
                <w:szCs w:val="16"/>
              </w:rPr>
              <w:t xml:space="preserve"> </w:t>
            </w:r>
            <w:r w:rsidRPr="00894701">
              <w:rPr>
                <w:rFonts w:cs="Arial"/>
                <w:color w:val="000000"/>
                <w:kern w:val="0"/>
                <w:sz w:val="16"/>
                <w:szCs w:val="16"/>
              </w:rPr>
              <w:t>Fees</w:t>
            </w:r>
          </w:p>
        </w:tc>
        <w:tc>
          <w:tcPr>
            <w:tcW w:w="465" w:type="pct"/>
            <w:tcBorders>
              <w:top w:val="nil"/>
              <w:left w:val="nil"/>
              <w:bottom w:val="nil"/>
              <w:right w:val="nil"/>
            </w:tcBorders>
            <w:shd w:val="clear" w:color="000000" w:fill="F7A3B0"/>
            <w:noWrap/>
            <w:vAlign w:val="center"/>
            <w:hideMark/>
          </w:tcPr>
          <w:p w14:paraId="6390DDA7"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2" w:type="pct"/>
            <w:tcBorders>
              <w:top w:val="nil"/>
              <w:left w:val="nil"/>
              <w:bottom w:val="nil"/>
              <w:right w:val="nil"/>
            </w:tcBorders>
            <w:shd w:val="clear" w:color="000000" w:fill="F7A3B0"/>
            <w:noWrap/>
            <w:vAlign w:val="center"/>
            <w:hideMark/>
          </w:tcPr>
          <w:p w14:paraId="47942EE7"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31" w:type="pct"/>
            <w:tcBorders>
              <w:top w:val="nil"/>
              <w:left w:val="nil"/>
              <w:bottom w:val="nil"/>
              <w:right w:val="nil"/>
            </w:tcBorders>
            <w:shd w:val="clear" w:color="000000" w:fill="F7A3B0"/>
            <w:noWrap/>
            <w:vAlign w:val="center"/>
            <w:hideMark/>
          </w:tcPr>
          <w:p w14:paraId="1AD82897"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17" w:type="pct"/>
            <w:tcBorders>
              <w:top w:val="nil"/>
              <w:left w:val="nil"/>
              <w:bottom w:val="nil"/>
              <w:right w:val="nil"/>
            </w:tcBorders>
            <w:shd w:val="clear" w:color="000000" w:fill="F7A3B0"/>
            <w:noWrap/>
            <w:vAlign w:val="center"/>
            <w:hideMark/>
          </w:tcPr>
          <w:p w14:paraId="7199E612"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21" w:type="pct"/>
            <w:tcBorders>
              <w:top w:val="nil"/>
              <w:left w:val="nil"/>
              <w:bottom w:val="nil"/>
              <w:right w:val="nil"/>
            </w:tcBorders>
            <w:shd w:val="clear" w:color="000000" w:fill="F7A3B0"/>
            <w:noWrap/>
            <w:vAlign w:val="center"/>
            <w:hideMark/>
          </w:tcPr>
          <w:p w14:paraId="381C29BD"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78" w:type="pct"/>
            <w:tcBorders>
              <w:top w:val="nil"/>
              <w:left w:val="nil"/>
              <w:bottom w:val="nil"/>
              <w:right w:val="nil"/>
            </w:tcBorders>
            <w:shd w:val="clear" w:color="000000" w:fill="F7A3B0"/>
            <w:noWrap/>
            <w:vAlign w:val="center"/>
            <w:hideMark/>
          </w:tcPr>
          <w:p w14:paraId="2B7A1266"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5" w:type="pct"/>
            <w:tcBorders>
              <w:top w:val="nil"/>
              <w:left w:val="nil"/>
              <w:bottom w:val="nil"/>
              <w:right w:val="nil"/>
            </w:tcBorders>
            <w:shd w:val="clear" w:color="000000" w:fill="F7A3B0"/>
            <w:noWrap/>
            <w:vAlign w:val="center"/>
            <w:hideMark/>
          </w:tcPr>
          <w:p w14:paraId="0520ABA0"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8" w:type="pct"/>
            <w:tcBorders>
              <w:top w:val="nil"/>
              <w:left w:val="nil"/>
              <w:bottom w:val="nil"/>
              <w:right w:val="nil"/>
            </w:tcBorders>
            <w:shd w:val="clear" w:color="000000" w:fill="F7A3B0"/>
            <w:noWrap/>
            <w:vAlign w:val="center"/>
            <w:hideMark/>
          </w:tcPr>
          <w:p w14:paraId="5164C110"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1" w:type="pct"/>
            <w:tcBorders>
              <w:top w:val="nil"/>
              <w:left w:val="nil"/>
              <w:bottom w:val="nil"/>
              <w:right w:val="single" w:sz="8" w:space="0" w:color="FF0000"/>
            </w:tcBorders>
            <w:shd w:val="clear" w:color="000000" w:fill="F7A3B0"/>
            <w:noWrap/>
            <w:vAlign w:val="center"/>
            <w:hideMark/>
          </w:tcPr>
          <w:p w14:paraId="214F5589"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r>
      <w:tr w:rsidR="002F4BAB" w:rsidRPr="00894701" w14:paraId="10F9E7DE" w14:textId="77777777" w:rsidTr="00AA49E3">
        <w:trPr>
          <w:trHeight w:val="227"/>
          <w:jc w:val="center"/>
        </w:trPr>
        <w:tc>
          <w:tcPr>
            <w:tcW w:w="148" w:type="pct"/>
            <w:tcBorders>
              <w:top w:val="nil"/>
              <w:left w:val="single" w:sz="8" w:space="0" w:color="FF0000"/>
              <w:bottom w:val="nil"/>
              <w:right w:val="nil"/>
            </w:tcBorders>
            <w:shd w:val="clear" w:color="auto" w:fill="auto"/>
            <w:noWrap/>
            <w:tcMar>
              <w:left w:w="28" w:type="dxa"/>
              <w:right w:w="28" w:type="dxa"/>
            </w:tcMar>
            <w:vAlign w:val="center"/>
            <w:hideMark/>
          </w:tcPr>
          <w:p w14:paraId="0C034B63" w14:textId="77777777"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2.2</w:t>
            </w:r>
          </w:p>
        </w:tc>
        <w:tc>
          <w:tcPr>
            <w:tcW w:w="784" w:type="pct"/>
            <w:tcBorders>
              <w:top w:val="nil"/>
              <w:left w:val="nil"/>
              <w:bottom w:val="nil"/>
              <w:right w:val="nil"/>
            </w:tcBorders>
            <w:shd w:val="clear" w:color="auto" w:fill="auto"/>
            <w:noWrap/>
            <w:vAlign w:val="center"/>
            <w:hideMark/>
          </w:tcPr>
          <w:p w14:paraId="756FBFBF" w14:textId="0EB54790"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Exploration</w:t>
            </w:r>
            <w:r w:rsidR="00AA49E3" w:rsidRPr="00894701">
              <w:rPr>
                <w:rFonts w:cs="Arial"/>
                <w:color w:val="000000"/>
                <w:kern w:val="0"/>
                <w:sz w:val="16"/>
                <w:szCs w:val="16"/>
              </w:rPr>
              <w:t xml:space="preserve"> </w:t>
            </w:r>
            <w:r w:rsidRPr="00894701">
              <w:rPr>
                <w:rFonts w:cs="Arial"/>
                <w:color w:val="000000"/>
                <w:kern w:val="0"/>
                <w:sz w:val="16"/>
                <w:szCs w:val="16"/>
              </w:rPr>
              <w:t>fees</w:t>
            </w:r>
            <w:r w:rsidR="00AA49E3" w:rsidRPr="00894701">
              <w:rPr>
                <w:rFonts w:cs="Arial"/>
                <w:color w:val="000000"/>
                <w:kern w:val="0"/>
                <w:sz w:val="16"/>
                <w:szCs w:val="16"/>
              </w:rPr>
              <w:t xml:space="preserve"> </w:t>
            </w:r>
            <w:r w:rsidRPr="00894701">
              <w:rPr>
                <w:rFonts w:cs="Arial"/>
                <w:color w:val="000000"/>
                <w:kern w:val="0"/>
                <w:sz w:val="16"/>
                <w:szCs w:val="16"/>
              </w:rPr>
              <w:t>yearly</w:t>
            </w:r>
          </w:p>
        </w:tc>
        <w:tc>
          <w:tcPr>
            <w:tcW w:w="465" w:type="pct"/>
            <w:tcBorders>
              <w:top w:val="nil"/>
              <w:left w:val="nil"/>
              <w:bottom w:val="nil"/>
              <w:right w:val="nil"/>
            </w:tcBorders>
            <w:shd w:val="clear" w:color="auto" w:fill="auto"/>
            <w:noWrap/>
            <w:vAlign w:val="center"/>
            <w:hideMark/>
          </w:tcPr>
          <w:p w14:paraId="5B1BF7B9"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2" w:type="pct"/>
            <w:tcBorders>
              <w:top w:val="nil"/>
              <w:left w:val="nil"/>
              <w:bottom w:val="nil"/>
              <w:right w:val="nil"/>
            </w:tcBorders>
            <w:shd w:val="clear" w:color="auto" w:fill="auto"/>
            <w:noWrap/>
            <w:vAlign w:val="center"/>
            <w:hideMark/>
          </w:tcPr>
          <w:p w14:paraId="5AFB5F6E"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31" w:type="pct"/>
            <w:tcBorders>
              <w:top w:val="nil"/>
              <w:left w:val="nil"/>
              <w:bottom w:val="nil"/>
              <w:right w:val="nil"/>
            </w:tcBorders>
            <w:shd w:val="clear" w:color="auto" w:fill="auto"/>
            <w:noWrap/>
            <w:vAlign w:val="center"/>
            <w:hideMark/>
          </w:tcPr>
          <w:p w14:paraId="7888D606"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17" w:type="pct"/>
            <w:tcBorders>
              <w:top w:val="nil"/>
              <w:left w:val="nil"/>
              <w:bottom w:val="nil"/>
              <w:right w:val="nil"/>
            </w:tcBorders>
            <w:shd w:val="clear" w:color="auto" w:fill="auto"/>
            <w:noWrap/>
            <w:vAlign w:val="center"/>
            <w:hideMark/>
          </w:tcPr>
          <w:p w14:paraId="3487A6EE"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21" w:type="pct"/>
            <w:tcBorders>
              <w:top w:val="nil"/>
              <w:left w:val="nil"/>
              <w:bottom w:val="nil"/>
              <w:right w:val="nil"/>
            </w:tcBorders>
            <w:shd w:val="clear" w:color="auto" w:fill="auto"/>
            <w:noWrap/>
            <w:vAlign w:val="center"/>
            <w:hideMark/>
          </w:tcPr>
          <w:p w14:paraId="531BD0F3"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78" w:type="pct"/>
            <w:tcBorders>
              <w:top w:val="nil"/>
              <w:left w:val="nil"/>
              <w:bottom w:val="nil"/>
              <w:right w:val="nil"/>
            </w:tcBorders>
            <w:shd w:val="clear" w:color="auto" w:fill="auto"/>
            <w:noWrap/>
            <w:vAlign w:val="center"/>
            <w:hideMark/>
          </w:tcPr>
          <w:p w14:paraId="6D2BE7F8"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5" w:type="pct"/>
            <w:tcBorders>
              <w:top w:val="nil"/>
              <w:left w:val="nil"/>
              <w:bottom w:val="nil"/>
              <w:right w:val="nil"/>
            </w:tcBorders>
            <w:shd w:val="clear" w:color="auto" w:fill="auto"/>
            <w:noWrap/>
            <w:vAlign w:val="center"/>
            <w:hideMark/>
          </w:tcPr>
          <w:p w14:paraId="486F124C"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8" w:type="pct"/>
            <w:tcBorders>
              <w:top w:val="nil"/>
              <w:left w:val="nil"/>
              <w:bottom w:val="nil"/>
              <w:right w:val="nil"/>
            </w:tcBorders>
            <w:shd w:val="clear" w:color="auto" w:fill="auto"/>
            <w:noWrap/>
            <w:vAlign w:val="center"/>
            <w:hideMark/>
          </w:tcPr>
          <w:p w14:paraId="681DDB87"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1" w:type="pct"/>
            <w:tcBorders>
              <w:top w:val="nil"/>
              <w:left w:val="nil"/>
              <w:bottom w:val="nil"/>
              <w:right w:val="single" w:sz="8" w:space="0" w:color="FF0000"/>
            </w:tcBorders>
            <w:shd w:val="clear" w:color="auto" w:fill="auto"/>
            <w:noWrap/>
            <w:vAlign w:val="center"/>
            <w:hideMark/>
          </w:tcPr>
          <w:p w14:paraId="5C7BB5CA"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r>
      <w:tr w:rsidR="002F4BAB" w:rsidRPr="00894701" w14:paraId="25D736A7" w14:textId="77777777" w:rsidTr="00AA49E3">
        <w:trPr>
          <w:trHeight w:val="227"/>
          <w:jc w:val="center"/>
        </w:trPr>
        <w:tc>
          <w:tcPr>
            <w:tcW w:w="148" w:type="pct"/>
            <w:tcBorders>
              <w:top w:val="nil"/>
              <w:left w:val="single" w:sz="8" w:space="0" w:color="FF0000"/>
              <w:bottom w:val="nil"/>
              <w:right w:val="nil"/>
            </w:tcBorders>
            <w:shd w:val="clear" w:color="000000" w:fill="F7A3B0"/>
            <w:noWrap/>
            <w:tcMar>
              <w:left w:w="28" w:type="dxa"/>
              <w:right w:w="28" w:type="dxa"/>
            </w:tcMar>
            <w:vAlign w:val="center"/>
            <w:hideMark/>
          </w:tcPr>
          <w:p w14:paraId="5E40EF30" w14:textId="77777777"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2.3</w:t>
            </w:r>
          </w:p>
        </w:tc>
        <w:tc>
          <w:tcPr>
            <w:tcW w:w="784" w:type="pct"/>
            <w:tcBorders>
              <w:top w:val="nil"/>
              <w:left w:val="nil"/>
              <w:bottom w:val="nil"/>
              <w:right w:val="nil"/>
            </w:tcBorders>
            <w:shd w:val="clear" w:color="000000" w:fill="F7A3B0"/>
            <w:noWrap/>
            <w:vAlign w:val="center"/>
            <w:hideMark/>
          </w:tcPr>
          <w:p w14:paraId="7C24DF79" w14:textId="3E4EE924"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Exploitation</w:t>
            </w:r>
            <w:r w:rsidR="00AA49E3" w:rsidRPr="00894701">
              <w:rPr>
                <w:rFonts w:cs="Arial"/>
                <w:color w:val="000000"/>
                <w:kern w:val="0"/>
                <w:sz w:val="16"/>
                <w:szCs w:val="16"/>
              </w:rPr>
              <w:t xml:space="preserve"> </w:t>
            </w:r>
            <w:r w:rsidRPr="00894701">
              <w:rPr>
                <w:rFonts w:cs="Arial"/>
                <w:color w:val="000000"/>
                <w:kern w:val="0"/>
                <w:sz w:val="16"/>
                <w:szCs w:val="16"/>
              </w:rPr>
              <w:t>fees</w:t>
            </w:r>
            <w:r w:rsidR="00AA49E3" w:rsidRPr="00894701">
              <w:rPr>
                <w:rFonts w:cs="Arial"/>
                <w:color w:val="000000"/>
                <w:kern w:val="0"/>
                <w:sz w:val="16"/>
                <w:szCs w:val="16"/>
              </w:rPr>
              <w:t xml:space="preserve"> </w:t>
            </w:r>
            <w:r w:rsidRPr="00894701">
              <w:rPr>
                <w:rFonts w:cs="Arial"/>
                <w:color w:val="000000"/>
                <w:kern w:val="0"/>
                <w:sz w:val="16"/>
                <w:szCs w:val="16"/>
              </w:rPr>
              <w:t>yearly</w:t>
            </w:r>
          </w:p>
        </w:tc>
        <w:tc>
          <w:tcPr>
            <w:tcW w:w="465" w:type="pct"/>
            <w:tcBorders>
              <w:top w:val="nil"/>
              <w:left w:val="nil"/>
              <w:bottom w:val="nil"/>
              <w:right w:val="nil"/>
            </w:tcBorders>
            <w:shd w:val="clear" w:color="000000" w:fill="F7A3B0"/>
            <w:noWrap/>
            <w:vAlign w:val="center"/>
            <w:hideMark/>
          </w:tcPr>
          <w:p w14:paraId="2D9E1966"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2" w:type="pct"/>
            <w:tcBorders>
              <w:top w:val="nil"/>
              <w:left w:val="nil"/>
              <w:bottom w:val="nil"/>
              <w:right w:val="nil"/>
            </w:tcBorders>
            <w:shd w:val="clear" w:color="000000" w:fill="F7A3B0"/>
            <w:noWrap/>
            <w:vAlign w:val="center"/>
            <w:hideMark/>
          </w:tcPr>
          <w:p w14:paraId="25411C06"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31" w:type="pct"/>
            <w:tcBorders>
              <w:top w:val="nil"/>
              <w:left w:val="nil"/>
              <w:bottom w:val="nil"/>
              <w:right w:val="nil"/>
            </w:tcBorders>
            <w:shd w:val="clear" w:color="000000" w:fill="F7A3B0"/>
            <w:noWrap/>
            <w:vAlign w:val="center"/>
            <w:hideMark/>
          </w:tcPr>
          <w:p w14:paraId="4DDCCDF9"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17" w:type="pct"/>
            <w:tcBorders>
              <w:top w:val="nil"/>
              <w:left w:val="nil"/>
              <w:bottom w:val="nil"/>
              <w:right w:val="nil"/>
            </w:tcBorders>
            <w:shd w:val="clear" w:color="000000" w:fill="F7A3B0"/>
            <w:noWrap/>
            <w:vAlign w:val="center"/>
            <w:hideMark/>
          </w:tcPr>
          <w:p w14:paraId="2AD6A159"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21" w:type="pct"/>
            <w:tcBorders>
              <w:top w:val="nil"/>
              <w:left w:val="nil"/>
              <w:bottom w:val="nil"/>
              <w:right w:val="nil"/>
            </w:tcBorders>
            <w:shd w:val="clear" w:color="000000" w:fill="F7A3B0"/>
            <w:noWrap/>
            <w:vAlign w:val="center"/>
            <w:hideMark/>
          </w:tcPr>
          <w:p w14:paraId="06F8AFA6"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78" w:type="pct"/>
            <w:tcBorders>
              <w:top w:val="nil"/>
              <w:left w:val="nil"/>
              <w:bottom w:val="nil"/>
              <w:right w:val="nil"/>
            </w:tcBorders>
            <w:shd w:val="clear" w:color="000000" w:fill="F7A3B0"/>
            <w:noWrap/>
            <w:vAlign w:val="center"/>
            <w:hideMark/>
          </w:tcPr>
          <w:p w14:paraId="0D771E64"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5" w:type="pct"/>
            <w:tcBorders>
              <w:top w:val="nil"/>
              <w:left w:val="nil"/>
              <w:bottom w:val="nil"/>
              <w:right w:val="nil"/>
            </w:tcBorders>
            <w:shd w:val="clear" w:color="000000" w:fill="F7A3B0"/>
            <w:noWrap/>
            <w:vAlign w:val="center"/>
            <w:hideMark/>
          </w:tcPr>
          <w:p w14:paraId="2DD5A6D0"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8" w:type="pct"/>
            <w:tcBorders>
              <w:top w:val="nil"/>
              <w:left w:val="nil"/>
              <w:bottom w:val="nil"/>
              <w:right w:val="nil"/>
            </w:tcBorders>
            <w:shd w:val="clear" w:color="000000" w:fill="F7A3B0"/>
            <w:noWrap/>
            <w:vAlign w:val="center"/>
            <w:hideMark/>
          </w:tcPr>
          <w:p w14:paraId="786D5426"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1" w:type="pct"/>
            <w:tcBorders>
              <w:top w:val="nil"/>
              <w:left w:val="nil"/>
              <w:bottom w:val="nil"/>
              <w:right w:val="single" w:sz="8" w:space="0" w:color="FF0000"/>
            </w:tcBorders>
            <w:shd w:val="clear" w:color="000000" w:fill="F7A3B0"/>
            <w:noWrap/>
            <w:vAlign w:val="center"/>
            <w:hideMark/>
          </w:tcPr>
          <w:p w14:paraId="154226CD"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r>
      <w:tr w:rsidR="002F4BAB" w:rsidRPr="00894701" w14:paraId="336D8823" w14:textId="77777777" w:rsidTr="00AA49E3">
        <w:trPr>
          <w:trHeight w:val="227"/>
          <w:jc w:val="center"/>
        </w:trPr>
        <w:tc>
          <w:tcPr>
            <w:tcW w:w="148" w:type="pct"/>
            <w:tcBorders>
              <w:top w:val="nil"/>
              <w:left w:val="single" w:sz="8" w:space="0" w:color="FF0000"/>
              <w:bottom w:val="nil"/>
              <w:right w:val="nil"/>
            </w:tcBorders>
            <w:shd w:val="clear" w:color="auto" w:fill="auto"/>
            <w:noWrap/>
            <w:tcMar>
              <w:left w:w="28" w:type="dxa"/>
              <w:right w:w="28" w:type="dxa"/>
            </w:tcMar>
            <w:vAlign w:val="center"/>
            <w:hideMark/>
          </w:tcPr>
          <w:p w14:paraId="4C5876A4" w14:textId="77777777"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2.4</w:t>
            </w:r>
          </w:p>
        </w:tc>
        <w:tc>
          <w:tcPr>
            <w:tcW w:w="784" w:type="pct"/>
            <w:tcBorders>
              <w:top w:val="nil"/>
              <w:left w:val="nil"/>
              <w:bottom w:val="nil"/>
              <w:right w:val="nil"/>
            </w:tcBorders>
            <w:shd w:val="clear" w:color="auto" w:fill="auto"/>
            <w:noWrap/>
            <w:vAlign w:val="center"/>
            <w:hideMark/>
          </w:tcPr>
          <w:p w14:paraId="78CC4079" w14:textId="70EF0A0C"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Fees</w:t>
            </w:r>
            <w:r w:rsidR="00AA49E3" w:rsidRPr="00894701">
              <w:rPr>
                <w:rFonts w:cs="Arial"/>
                <w:color w:val="000000"/>
                <w:kern w:val="0"/>
                <w:sz w:val="16"/>
                <w:szCs w:val="16"/>
              </w:rPr>
              <w:t xml:space="preserve"> </w:t>
            </w:r>
            <w:r w:rsidRPr="00894701">
              <w:rPr>
                <w:rFonts w:cs="Arial"/>
                <w:color w:val="000000"/>
                <w:kern w:val="0"/>
                <w:sz w:val="16"/>
                <w:szCs w:val="16"/>
              </w:rPr>
              <w:t>Quarry</w:t>
            </w:r>
            <w:r w:rsidR="00AA49E3" w:rsidRPr="00894701">
              <w:rPr>
                <w:rFonts w:cs="Arial"/>
                <w:color w:val="000000"/>
                <w:kern w:val="0"/>
                <w:sz w:val="16"/>
                <w:szCs w:val="16"/>
              </w:rPr>
              <w:t xml:space="preserve"> </w:t>
            </w:r>
            <w:r w:rsidRPr="00894701">
              <w:rPr>
                <w:rFonts w:cs="Arial"/>
                <w:color w:val="000000"/>
                <w:kern w:val="0"/>
                <w:sz w:val="16"/>
                <w:szCs w:val="16"/>
              </w:rPr>
              <w:t>building</w:t>
            </w:r>
            <w:r w:rsidR="00AA49E3" w:rsidRPr="00894701">
              <w:rPr>
                <w:rFonts w:cs="Arial"/>
                <w:color w:val="000000"/>
                <w:kern w:val="0"/>
                <w:sz w:val="16"/>
                <w:szCs w:val="16"/>
              </w:rPr>
              <w:t xml:space="preserve"> </w:t>
            </w:r>
            <w:r w:rsidRPr="00894701">
              <w:rPr>
                <w:rFonts w:cs="Arial"/>
                <w:color w:val="000000"/>
                <w:kern w:val="0"/>
                <w:sz w:val="16"/>
                <w:szCs w:val="16"/>
              </w:rPr>
              <w:t>materials</w:t>
            </w:r>
          </w:p>
        </w:tc>
        <w:tc>
          <w:tcPr>
            <w:tcW w:w="465" w:type="pct"/>
            <w:tcBorders>
              <w:top w:val="nil"/>
              <w:left w:val="nil"/>
              <w:bottom w:val="nil"/>
              <w:right w:val="nil"/>
            </w:tcBorders>
            <w:shd w:val="clear" w:color="auto" w:fill="auto"/>
            <w:noWrap/>
            <w:vAlign w:val="center"/>
            <w:hideMark/>
          </w:tcPr>
          <w:p w14:paraId="4ED26C6D"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2" w:type="pct"/>
            <w:tcBorders>
              <w:top w:val="nil"/>
              <w:left w:val="nil"/>
              <w:bottom w:val="nil"/>
              <w:right w:val="nil"/>
            </w:tcBorders>
            <w:shd w:val="clear" w:color="auto" w:fill="auto"/>
            <w:noWrap/>
            <w:vAlign w:val="center"/>
            <w:hideMark/>
          </w:tcPr>
          <w:p w14:paraId="79965ED8"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31" w:type="pct"/>
            <w:tcBorders>
              <w:top w:val="nil"/>
              <w:left w:val="nil"/>
              <w:bottom w:val="nil"/>
              <w:right w:val="nil"/>
            </w:tcBorders>
            <w:shd w:val="clear" w:color="auto" w:fill="auto"/>
            <w:noWrap/>
            <w:vAlign w:val="center"/>
            <w:hideMark/>
          </w:tcPr>
          <w:p w14:paraId="18C18F17"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17" w:type="pct"/>
            <w:tcBorders>
              <w:top w:val="nil"/>
              <w:left w:val="nil"/>
              <w:bottom w:val="nil"/>
              <w:right w:val="nil"/>
            </w:tcBorders>
            <w:shd w:val="clear" w:color="auto" w:fill="auto"/>
            <w:noWrap/>
            <w:vAlign w:val="center"/>
            <w:hideMark/>
          </w:tcPr>
          <w:p w14:paraId="549B1A54"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21" w:type="pct"/>
            <w:tcBorders>
              <w:top w:val="nil"/>
              <w:left w:val="nil"/>
              <w:bottom w:val="nil"/>
              <w:right w:val="nil"/>
            </w:tcBorders>
            <w:shd w:val="clear" w:color="auto" w:fill="auto"/>
            <w:noWrap/>
            <w:vAlign w:val="center"/>
            <w:hideMark/>
          </w:tcPr>
          <w:p w14:paraId="5D4DF276"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78" w:type="pct"/>
            <w:tcBorders>
              <w:top w:val="nil"/>
              <w:left w:val="nil"/>
              <w:bottom w:val="nil"/>
              <w:right w:val="nil"/>
            </w:tcBorders>
            <w:shd w:val="clear" w:color="auto" w:fill="auto"/>
            <w:noWrap/>
            <w:vAlign w:val="center"/>
            <w:hideMark/>
          </w:tcPr>
          <w:p w14:paraId="125B92EE"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5" w:type="pct"/>
            <w:tcBorders>
              <w:top w:val="nil"/>
              <w:left w:val="nil"/>
              <w:bottom w:val="nil"/>
              <w:right w:val="nil"/>
            </w:tcBorders>
            <w:shd w:val="clear" w:color="auto" w:fill="auto"/>
            <w:noWrap/>
            <w:vAlign w:val="center"/>
            <w:hideMark/>
          </w:tcPr>
          <w:p w14:paraId="5E2063D0"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8" w:type="pct"/>
            <w:tcBorders>
              <w:top w:val="nil"/>
              <w:left w:val="nil"/>
              <w:bottom w:val="nil"/>
              <w:right w:val="nil"/>
            </w:tcBorders>
            <w:shd w:val="clear" w:color="auto" w:fill="auto"/>
            <w:noWrap/>
            <w:vAlign w:val="center"/>
            <w:hideMark/>
          </w:tcPr>
          <w:p w14:paraId="1BA21AFA"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1" w:type="pct"/>
            <w:tcBorders>
              <w:top w:val="nil"/>
              <w:left w:val="nil"/>
              <w:bottom w:val="nil"/>
              <w:right w:val="single" w:sz="8" w:space="0" w:color="FF0000"/>
            </w:tcBorders>
            <w:shd w:val="clear" w:color="auto" w:fill="auto"/>
            <w:noWrap/>
            <w:vAlign w:val="center"/>
            <w:hideMark/>
          </w:tcPr>
          <w:p w14:paraId="34F19853"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r>
      <w:tr w:rsidR="002F4BAB" w:rsidRPr="00894701" w14:paraId="41F71476" w14:textId="77777777" w:rsidTr="00AA49E3">
        <w:trPr>
          <w:trHeight w:val="227"/>
          <w:jc w:val="center"/>
        </w:trPr>
        <w:tc>
          <w:tcPr>
            <w:tcW w:w="148" w:type="pct"/>
            <w:tcBorders>
              <w:top w:val="nil"/>
              <w:left w:val="single" w:sz="8" w:space="0" w:color="FF0000"/>
              <w:bottom w:val="nil"/>
              <w:right w:val="nil"/>
            </w:tcBorders>
            <w:shd w:val="clear" w:color="000000" w:fill="F7A3B0"/>
            <w:noWrap/>
            <w:tcMar>
              <w:left w:w="28" w:type="dxa"/>
              <w:right w:w="28" w:type="dxa"/>
            </w:tcMar>
            <w:vAlign w:val="center"/>
            <w:hideMark/>
          </w:tcPr>
          <w:p w14:paraId="0C0C7458" w14:textId="77777777"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2.5</w:t>
            </w:r>
          </w:p>
        </w:tc>
        <w:tc>
          <w:tcPr>
            <w:tcW w:w="784" w:type="pct"/>
            <w:tcBorders>
              <w:top w:val="nil"/>
              <w:left w:val="nil"/>
              <w:bottom w:val="nil"/>
              <w:right w:val="nil"/>
            </w:tcBorders>
            <w:shd w:val="clear" w:color="000000" w:fill="F7A3B0"/>
            <w:noWrap/>
            <w:vAlign w:val="center"/>
            <w:hideMark/>
          </w:tcPr>
          <w:p w14:paraId="54D80E56" w14:textId="0F4FD4B6"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Application</w:t>
            </w:r>
            <w:r w:rsidR="00AA49E3" w:rsidRPr="00894701">
              <w:rPr>
                <w:rFonts w:cs="Arial"/>
                <w:color w:val="000000"/>
                <w:kern w:val="0"/>
                <w:sz w:val="16"/>
                <w:szCs w:val="16"/>
              </w:rPr>
              <w:t xml:space="preserve"> </w:t>
            </w:r>
            <w:r w:rsidRPr="00894701">
              <w:rPr>
                <w:rFonts w:cs="Arial"/>
                <w:color w:val="000000"/>
                <w:kern w:val="0"/>
                <w:sz w:val="16"/>
                <w:szCs w:val="16"/>
              </w:rPr>
              <w:t>fees</w:t>
            </w:r>
          </w:p>
        </w:tc>
        <w:tc>
          <w:tcPr>
            <w:tcW w:w="465" w:type="pct"/>
            <w:tcBorders>
              <w:top w:val="nil"/>
              <w:left w:val="nil"/>
              <w:bottom w:val="nil"/>
              <w:right w:val="nil"/>
            </w:tcBorders>
            <w:shd w:val="clear" w:color="000000" w:fill="F7A3B0"/>
            <w:noWrap/>
            <w:vAlign w:val="center"/>
            <w:hideMark/>
          </w:tcPr>
          <w:p w14:paraId="7FAAE62F"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2" w:type="pct"/>
            <w:tcBorders>
              <w:top w:val="nil"/>
              <w:left w:val="nil"/>
              <w:bottom w:val="nil"/>
              <w:right w:val="nil"/>
            </w:tcBorders>
            <w:shd w:val="clear" w:color="000000" w:fill="F7A3B0"/>
            <w:noWrap/>
            <w:vAlign w:val="center"/>
            <w:hideMark/>
          </w:tcPr>
          <w:p w14:paraId="5A4D9D52"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31" w:type="pct"/>
            <w:tcBorders>
              <w:top w:val="nil"/>
              <w:left w:val="nil"/>
              <w:bottom w:val="nil"/>
              <w:right w:val="nil"/>
            </w:tcBorders>
            <w:shd w:val="clear" w:color="000000" w:fill="F7A3B0"/>
            <w:noWrap/>
            <w:vAlign w:val="center"/>
            <w:hideMark/>
          </w:tcPr>
          <w:p w14:paraId="6E99438E"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17" w:type="pct"/>
            <w:tcBorders>
              <w:top w:val="nil"/>
              <w:left w:val="nil"/>
              <w:bottom w:val="nil"/>
              <w:right w:val="nil"/>
            </w:tcBorders>
            <w:shd w:val="clear" w:color="000000" w:fill="F7A3B0"/>
            <w:noWrap/>
            <w:vAlign w:val="center"/>
            <w:hideMark/>
          </w:tcPr>
          <w:p w14:paraId="08C18697"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21" w:type="pct"/>
            <w:tcBorders>
              <w:top w:val="nil"/>
              <w:left w:val="nil"/>
              <w:bottom w:val="nil"/>
              <w:right w:val="nil"/>
            </w:tcBorders>
            <w:shd w:val="clear" w:color="000000" w:fill="F7A3B0"/>
            <w:noWrap/>
            <w:vAlign w:val="center"/>
            <w:hideMark/>
          </w:tcPr>
          <w:p w14:paraId="035506D5"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78" w:type="pct"/>
            <w:tcBorders>
              <w:top w:val="nil"/>
              <w:left w:val="nil"/>
              <w:bottom w:val="nil"/>
              <w:right w:val="nil"/>
            </w:tcBorders>
            <w:shd w:val="clear" w:color="000000" w:fill="F7A3B0"/>
            <w:noWrap/>
            <w:vAlign w:val="center"/>
            <w:hideMark/>
          </w:tcPr>
          <w:p w14:paraId="6FF3C0CA"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5" w:type="pct"/>
            <w:tcBorders>
              <w:top w:val="nil"/>
              <w:left w:val="nil"/>
              <w:bottom w:val="nil"/>
              <w:right w:val="nil"/>
            </w:tcBorders>
            <w:shd w:val="clear" w:color="000000" w:fill="F7A3B0"/>
            <w:noWrap/>
            <w:vAlign w:val="center"/>
            <w:hideMark/>
          </w:tcPr>
          <w:p w14:paraId="7537F40D"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8" w:type="pct"/>
            <w:tcBorders>
              <w:top w:val="nil"/>
              <w:left w:val="nil"/>
              <w:bottom w:val="nil"/>
              <w:right w:val="nil"/>
            </w:tcBorders>
            <w:shd w:val="clear" w:color="000000" w:fill="F7A3B0"/>
            <w:noWrap/>
            <w:vAlign w:val="center"/>
            <w:hideMark/>
          </w:tcPr>
          <w:p w14:paraId="7E9A926D"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1" w:type="pct"/>
            <w:tcBorders>
              <w:top w:val="nil"/>
              <w:left w:val="nil"/>
              <w:bottom w:val="nil"/>
              <w:right w:val="single" w:sz="8" w:space="0" w:color="FF0000"/>
            </w:tcBorders>
            <w:shd w:val="clear" w:color="000000" w:fill="F7A3B0"/>
            <w:noWrap/>
            <w:vAlign w:val="center"/>
            <w:hideMark/>
          </w:tcPr>
          <w:p w14:paraId="0AF05B9C"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r>
      <w:tr w:rsidR="002F4BAB" w:rsidRPr="00894701" w14:paraId="54592293" w14:textId="77777777" w:rsidTr="00AA49E3">
        <w:trPr>
          <w:trHeight w:val="227"/>
          <w:jc w:val="center"/>
        </w:trPr>
        <w:tc>
          <w:tcPr>
            <w:tcW w:w="148" w:type="pct"/>
            <w:tcBorders>
              <w:top w:val="nil"/>
              <w:left w:val="single" w:sz="8" w:space="0" w:color="FF0000"/>
              <w:bottom w:val="nil"/>
              <w:right w:val="nil"/>
            </w:tcBorders>
            <w:shd w:val="clear" w:color="auto" w:fill="auto"/>
            <w:noWrap/>
            <w:tcMar>
              <w:left w:w="28" w:type="dxa"/>
              <w:right w:w="28" w:type="dxa"/>
            </w:tcMar>
            <w:vAlign w:val="center"/>
            <w:hideMark/>
          </w:tcPr>
          <w:p w14:paraId="3ED8D3D3" w14:textId="77777777"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2.6</w:t>
            </w:r>
          </w:p>
        </w:tc>
        <w:tc>
          <w:tcPr>
            <w:tcW w:w="784" w:type="pct"/>
            <w:tcBorders>
              <w:top w:val="nil"/>
              <w:left w:val="nil"/>
              <w:bottom w:val="nil"/>
              <w:right w:val="nil"/>
            </w:tcBorders>
            <w:shd w:val="clear" w:color="auto" w:fill="auto"/>
            <w:noWrap/>
            <w:vAlign w:val="center"/>
            <w:hideMark/>
          </w:tcPr>
          <w:p w14:paraId="1F432124" w14:textId="29456478"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Royalty</w:t>
            </w:r>
            <w:r w:rsidR="00AA49E3" w:rsidRPr="00894701">
              <w:rPr>
                <w:rFonts w:cs="Arial"/>
                <w:color w:val="000000"/>
                <w:kern w:val="0"/>
                <w:sz w:val="16"/>
                <w:szCs w:val="16"/>
              </w:rPr>
              <w:t xml:space="preserve"> </w:t>
            </w:r>
            <w:r w:rsidRPr="00894701">
              <w:rPr>
                <w:rFonts w:cs="Arial"/>
                <w:color w:val="000000"/>
                <w:kern w:val="0"/>
                <w:sz w:val="16"/>
                <w:szCs w:val="16"/>
              </w:rPr>
              <w:t>fees</w:t>
            </w:r>
          </w:p>
        </w:tc>
        <w:tc>
          <w:tcPr>
            <w:tcW w:w="465" w:type="pct"/>
            <w:tcBorders>
              <w:top w:val="nil"/>
              <w:left w:val="nil"/>
              <w:bottom w:val="nil"/>
              <w:right w:val="nil"/>
            </w:tcBorders>
            <w:shd w:val="clear" w:color="auto" w:fill="auto"/>
            <w:noWrap/>
            <w:vAlign w:val="center"/>
            <w:hideMark/>
          </w:tcPr>
          <w:p w14:paraId="6D5B3399"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2" w:type="pct"/>
            <w:tcBorders>
              <w:top w:val="nil"/>
              <w:left w:val="nil"/>
              <w:bottom w:val="nil"/>
              <w:right w:val="nil"/>
            </w:tcBorders>
            <w:shd w:val="clear" w:color="auto" w:fill="auto"/>
            <w:noWrap/>
            <w:vAlign w:val="center"/>
            <w:hideMark/>
          </w:tcPr>
          <w:p w14:paraId="5ED76666"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31" w:type="pct"/>
            <w:tcBorders>
              <w:top w:val="nil"/>
              <w:left w:val="nil"/>
              <w:bottom w:val="nil"/>
              <w:right w:val="nil"/>
            </w:tcBorders>
            <w:shd w:val="clear" w:color="auto" w:fill="auto"/>
            <w:noWrap/>
            <w:vAlign w:val="center"/>
            <w:hideMark/>
          </w:tcPr>
          <w:p w14:paraId="08802D9A"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17" w:type="pct"/>
            <w:tcBorders>
              <w:top w:val="nil"/>
              <w:left w:val="nil"/>
              <w:bottom w:val="nil"/>
              <w:right w:val="nil"/>
            </w:tcBorders>
            <w:shd w:val="clear" w:color="auto" w:fill="auto"/>
            <w:noWrap/>
            <w:vAlign w:val="center"/>
            <w:hideMark/>
          </w:tcPr>
          <w:p w14:paraId="3862188E"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21" w:type="pct"/>
            <w:tcBorders>
              <w:top w:val="nil"/>
              <w:left w:val="nil"/>
              <w:bottom w:val="nil"/>
              <w:right w:val="nil"/>
            </w:tcBorders>
            <w:shd w:val="clear" w:color="auto" w:fill="auto"/>
            <w:noWrap/>
            <w:vAlign w:val="center"/>
            <w:hideMark/>
          </w:tcPr>
          <w:p w14:paraId="2654CE7D"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78" w:type="pct"/>
            <w:tcBorders>
              <w:top w:val="nil"/>
              <w:left w:val="nil"/>
              <w:bottom w:val="nil"/>
              <w:right w:val="nil"/>
            </w:tcBorders>
            <w:shd w:val="clear" w:color="auto" w:fill="auto"/>
            <w:noWrap/>
            <w:vAlign w:val="center"/>
            <w:hideMark/>
          </w:tcPr>
          <w:p w14:paraId="1E824F27"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5" w:type="pct"/>
            <w:tcBorders>
              <w:top w:val="nil"/>
              <w:left w:val="nil"/>
              <w:bottom w:val="nil"/>
              <w:right w:val="nil"/>
            </w:tcBorders>
            <w:shd w:val="clear" w:color="auto" w:fill="auto"/>
            <w:noWrap/>
            <w:vAlign w:val="center"/>
            <w:hideMark/>
          </w:tcPr>
          <w:p w14:paraId="0823586C"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8" w:type="pct"/>
            <w:tcBorders>
              <w:top w:val="nil"/>
              <w:left w:val="nil"/>
              <w:bottom w:val="nil"/>
              <w:right w:val="nil"/>
            </w:tcBorders>
            <w:shd w:val="clear" w:color="auto" w:fill="auto"/>
            <w:noWrap/>
            <w:vAlign w:val="center"/>
            <w:hideMark/>
          </w:tcPr>
          <w:p w14:paraId="4F03E520"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1" w:type="pct"/>
            <w:tcBorders>
              <w:top w:val="nil"/>
              <w:left w:val="nil"/>
              <w:bottom w:val="nil"/>
              <w:right w:val="single" w:sz="8" w:space="0" w:color="FF0000"/>
            </w:tcBorders>
            <w:shd w:val="clear" w:color="auto" w:fill="auto"/>
            <w:noWrap/>
            <w:vAlign w:val="center"/>
            <w:hideMark/>
          </w:tcPr>
          <w:p w14:paraId="6379D7D0"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r>
      <w:tr w:rsidR="002F4BAB" w:rsidRPr="00894701" w14:paraId="0EB6D76D" w14:textId="77777777" w:rsidTr="00AA49E3">
        <w:trPr>
          <w:trHeight w:val="227"/>
          <w:jc w:val="center"/>
        </w:trPr>
        <w:tc>
          <w:tcPr>
            <w:tcW w:w="148" w:type="pct"/>
            <w:tcBorders>
              <w:top w:val="nil"/>
              <w:left w:val="single" w:sz="8" w:space="0" w:color="FF0000"/>
              <w:bottom w:val="nil"/>
              <w:right w:val="nil"/>
            </w:tcBorders>
            <w:shd w:val="clear" w:color="000000" w:fill="F7A3B0"/>
            <w:noWrap/>
            <w:tcMar>
              <w:left w:w="28" w:type="dxa"/>
              <w:right w:w="28" w:type="dxa"/>
            </w:tcMar>
            <w:vAlign w:val="center"/>
            <w:hideMark/>
          </w:tcPr>
          <w:p w14:paraId="7A903D56" w14:textId="77777777"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2.7</w:t>
            </w:r>
          </w:p>
        </w:tc>
        <w:tc>
          <w:tcPr>
            <w:tcW w:w="784" w:type="pct"/>
            <w:tcBorders>
              <w:top w:val="nil"/>
              <w:left w:val="nil"/>
              <w:bottom w:val="nil"/>
              <w:right w:val="nil"/>
            </w:tcBorders>
            <w:shd w:val="clear" w:color="000000" w:fill="F7A3B0"/>
            <w:noWrap/>
            <w:vAlign w:val="center"/>
            <w:hideMark/>
          </w:tcPr>
          <w:p w14:paraId="0A8E0794" w14:textId="6442A7F3"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Royalty</w:t>
            </w:r>
            <w:r w:rsidR="00AA49E3" w:rsidRPr="00894701">
              <w:rPr>
                <w:rFonts w:cs="Arial"/>
                <w:color w:val="000000"/>
                <w:kern w:val="0"/>
                <w:sz w:val="16"/>
                <w:szCs w:val="16"/>
              </w:rPr>
              <w:t xml:space="preserve"> </w:t>
            </w:r>
            <w:r w:rsidRPr="00894701">
              <w:rPr>
                <w:rFonts w:cs="Arial"/>
                <w:color w:val="000000"/>
                <w:kern w:val="0"/>
                <w:sz w:val="16"/>
                <w:szCs w:val="16"/>
              </w:rPr>
              <w:t>fees</w:t>
            </w:r>
            <w:r w:rsidR="00AA49E3" w:rsidRPr="00894701">
              <w:rPr>
                <w:rFonts w:cs="Arial"/>
                <w:color w:val="000000"/>
                <w:kern w:val="0"/>
                <w:sz w:val="16"/>
                <w:szCs w:val="16"/>
              </w:rPr>
              <w:t xml:space="preserve"> </w:t>
            </w:r>
            <w:r w:rsidRPr="00894701">
              <w:rPr>
                <w:rFonts w:cs="Arial"/>
                <w:color w:val="000000"/>
                <w:kern w:val="0"/>
                <w:sz w:val="16"/>
                <w:szCs w:val="16"/>
              </w:rPr>
              <w:t>in-kind</w:t>
            </w:r>
          </w:p>
        </w:tc>
        <w:tc>
          <w:tcPr>
            <w:tcW w:w="465" w:type="pct"/>
            <w:tcBorders>
              <w:top w:val="nil"/>
              <w:left w:val="nil"/>
              <w:bottom w:val="nil"/>
              <w:right w:val="nil"/>
            </w:tcBorders>
            <w:shd w:val="clear" w:color="000000" w:fill="F7A3B0"/>
            <w:noWrap/>
            <w:vAlign w:val="center"/>
            <w:hideMark/>
          </w:tcPr>
          <w:p w14:paraId="05C56BA5"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2" w:type="pct"/>
            <w:tcBorders>
              <w:top w:val="nil"/>
              <w:left w:val="nil"/>
              <w:bottom w:val="nil"/>
              <w:right w:val="nil"/>
            </w:tcBorders>
            <w:shd w:val="clear" w:color="000000" w:fill="F7A3B0"/>
            <w:noWrap/>
            <w:vAlign w:val="center"/>
            <w:hideMark/>
          </w:tcPr>
          <w:p w14:paraId="01BF593C"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31" w:type="pct"/>
            <w:tcBorders>
              <w:top w:val="nil"/>
              <w:left w:val="nil"/>
              <w:bottom w:val="nil"/>
              <w:right w:val="nil"/>
            </w:tcBorders>
            <w:shd w:val="clear" w:color="000000" w:fill="F7A3B0"/>
            <w:noWrap/>
            <w:vAlign w:val="center"/>
            <w:hideMark/>
          </w:tcPr>
          <w:p w14:paraId="24CF006E"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17" w:type="pct"/>
            <w:tcBorders>
              <w:top w:val="nil"/>
              <w:left w:val="nil"/>
              <w:bottom w:val="nil"/>
              <w:right w:val="nil"/>
            </w:tcBorders>
            <w:shd w:val="clear" w:color="000000" w:fill="F7A3B0"/>
            <w:noWrap/>
            <w:vAlign w:val="center"/>
            <w:hideMark/>
          </w:tcPr>
          <w:p w14:paraId="34504731"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21" w:type="pct"/>
            <w:tcBorders>
              <w:top w:val="nil"/>
              <w:left w:val="nil"/>
              <w:bottom w:val="nil"/>
              <w:right w:val="nil"/>
            </w:tcBorders>
            <w:shd w:val="clear" w:color="000000" w:fill="F7A3B0"/>
            <w:noWrap/>
            <w:vAlign w:val="center"/>
            <w:hideMark/>
          </w:tcPr>
          <w:p w14:paraId="06C7FB5F"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78" w:type="pct"/>
            <w:tcBorders>
              <w:top w:val="nil"/>
              <w:left w:val="nil"/>
              <w:bottom w:val="nil"/>
              <w:right w:val="nil"/>
            </w:tcBorders>
            <w:shd w:val="clear" w:color="000000" w:fill="F7A3B0"/>
            <w:noWrap/>
            <w:vAlign w:val="center"/>
            <w:hideMark/>
          </w:tcPr>
          <w:p w14:paraId="41031373"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5" w:type="pct"/>
            <w:tcBorders>
              <w:top w:val="nil"/>
              <w:left w:val="nil"/>
              <w:bottom w:val="nil"/>
              <w:right w:val="nil"/>
            </w:tcBorders>
            <w:shd w:val="clear" w:color="000000" w:fill="F7A3B0"/>
            <w:noWrap/>
            <w:vAlign w:val="center"/>
            <w:hideMark/>
          </w:tcPr>
          <w:p w14:paraId="2E0DF580"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8" w:type="pct"/>
            <w:tcBorders>
              <w:top w:val="nil"/>
              <w:left w:val="nil"/>
              <w:bottom w:val="nil"/>
              <w:right w:val="nil"/>
            </w:tcBorders>
            <w:shd w:val="clear" w:color="000000" w:fill="F7A3B0"/>
            <w:noWrap/>
            <w:vAlign w:val="center"/>
            <w:hideMark/>
          </w:tcPr>
          <w:p w14:paraId="688FF75B"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1" w:type="pct"/>
            <w:tcBorders>
              <w:top w:val="nil"/>
              <w:left w:val="nil"/>
              <w:bottom w:val="nil"/>
              <w:right w:val="single" w:sz="8" w:space="0" w:color="FF0000"/>
            </w:tcBorders>
            <w:shd w:val="clear" w:color="000000" w:fill="F7A3B0"/>
            <w:noWrap/>
            <w:vAlign w:val="center"/>
            <w:hideMark/>
          </w:tcPr>
          <w:p w14:paraId="76113F50"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r>
      <w:tr w:rsidR="002F4BAB" w:rsidRPr="00894701" w14:paraId="0606C40F" w14:textId="77777777" w:rsidTr="00AA49E3">
        <w:trPr>
          <w:trHeight w:val="227"/>
          <w:jc w:val="center"/>
        </w:trPr>
        <w:tc>
          <w:tcPr>
            <w:tcW w:w="148" w:type="pct"/>
            <w:tcBorders>
              <w:top w:val="nil"/>
              <w:left w:val="single" w:sz="8" w:space="0" w:color="FF0000"/>
              <w:bottom w:val="nil"/>
              <w:right w:val="nil"/>
            </w:tcBorders>
            <w:shd w:val="clear" w:color="auto" w:fill="auto"/>
            <w:noWrap/>
            <w:tcMar>
              <w:left w:w="28" w:type="dxa"/>
              <w:right w:w="28" w:type="dxa"/>
            </w:tcMar>
            <w:vAlign w:val="center"/>
            <w:hideMark/>
          </w:tcPr>
          <w:p w14:paraId="177331B7" w14:textId="77777777"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2.8</w:t>
            </w:r>
          </w:p>
        </w:tc>
        <w:tc>
          <w:tcPr>
            <w:tcW w:w="784" w:type="pct"/>
            <w:tcBorders>
              <w:top w:val="nil"/>
              <w:left w:val="nil"/>
              <w:bottom w:val="nil"/>
              <w:right w:val="nil"/>
            </w:tcBorders>
            <w:shd w:val="clear" w:color="auto" w:fill="auto"/>
            <w:noWrap/>
            <w:vAlign w:val="center"/>
            <w:hideMark/>
          </w:tcPr>
          <w:p w14:paraId="3946E70A" w14:textId="323AAB79"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Canon/Lease</w:t>
            </w:r>
            <w:r w:rsidR="00AA49E3" w:rsidRPr="00894701">
              <w:rPr>
                <w:rFonts w:cs="Arial"/>
                <w:color w:val="000000"/>
                <w:kern w:val="0"/>
                <w:sz w:val="16"/>
                <w:szCs w:val="16"/>
              </w:rPr>
              <w:t xml:space="preserve"> </w:t>
            </w:r>
            <w:r w:rsidRPr="00894701">
              <w:rPr>
                <w:rFonts w:cs="Arial"/>
                <w:color w:val="000000"/>
                <w:kern w:val="0"/>
                <w:sz w:val="16"/>
                <w:szCs w:val="16"/>
              </w:rPr>
              <w:t>or</w:t>
            </w:r>
            <w:r w:rsidR="00AA49E3" w:rsidRPr="00894701">
              <w:rPr>
                <w:rFonts w:cs="Arial"/>
                <w:color w:val="000000"/>
                <w:kern w:val="0"/>
                <w:sz w:val="16"/>
                <w:szCs w:val="16"/>
              </w:rPr>
              <w:t xml:space="preserve"> </w:t>
            </w:r>
            <w:r w:rsidRPr="00894701">
              <w:rPr>
                <w:rFonts w:cs="Arial"/>
                <w:color w:val="000000"/>
                <w:kern w:val="0"/>
                <w:sz w:val="16"/>
                <w:szCs w:val="16"/>
              </w:rPr>
              <w:t>Land</w:t>
            </w:r>
            <w:r w:rsidR="00AA49E3" w:rsidRPr="00894701">
              <w:rPr>
                <w:rFonts w:cs="Arial"/>
                <w:color w:val="000000"/>
                <w:kern w:val="0"/>
                <w:sz w:val="16"/>
                <w:szCs w:val="16"/>
              </w:rPr>
              <w:t xml:space="preserve"> </w:t>
            </w:r>
            <w:r w:rsidRPr="00894701">
              <w:rPr>
                <w:rFonts w:cs="Arial"/>
                <w:color w:val="000000"/>
                <w:kern w:val="0"/>
                <w:sz w:val="16"/>
                <w:szCs w:val="16"/>
              </w:rPr>
              <w:t>Rent</w:t>
            </w:r>
          </w:p>
        </w:tc>
        <w:tc>
          <w:tcPr>
            <w:tcW w:w="465" w:type="pct"/>
            <w:tcBorders>
              <w:top w:val="nil"/>
              <w:left w:val="nil"/>
              <w:bottom w:val="nil"/>
              <w:right w:val="nil"/>
            </w:tcBorders>
            <w:shd w:val="clear" w:color="auto" w:fill="auto"/>
            <w:noWrap/>
            <w:vAlign w:val="center"/>
            <w:hideMark/>
          </w:tcPr>
          <w:p w14:paraId="701A2EE4"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2" w:type="pct"/>
            <w:tcBorders>
              <w:top w:val="nil"/>
              <w:left w:val="nil"/>
              <w:bottom w:val="nil"/>
              <w:right w:val="nil"/>
            </w:tcBorders>
            <w:shd w:val="clear" w:color="auto" w:fill="auto"/>
            <w:noWrap/>
            <w:vAlign w:val="center"/>
            <w:hideMark/>
          </w:tcPr>
          <w:p w14:paraId="3785CCE0"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31" w:type="pct"/>
            <w:tcBorders>
              <w:top w:val="nil"/>
              <w:left w:val="nil"/>
              <w:bottom w:val="nil"/>
              <w:right w:val="nil"/>
            </w:tcBorders>
            <w:shd w:val="clear" w:color="auto" w:fill="auto"/>
            <w:noWrap/>
            <w:vAlign w:val="center"/>
            <w:hideMark/>
          </w:tcPr>
          <w:p w14:paraId="23118485"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17" w:type="pct"/>
            <w:tcBorders>
              <w:top w:val="nil"/>
              <w:left w:val="nil"/>
              <w:bottom w:val="nil"/>
              <w:right w:val="nil"/>
            </w:tcBorders>
            <w:shd w:val="clear" w:color="auto" w:fill="auto"/>
            <w:noWrap/>
            <w:vAlign w:val="center"/>
            <w:hideMark/>
          </w:tcPr>
          <w:p w14:paraId="72159F4E"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21" w:type="pct"/>
            <w:tcBorders>
              <w:top w:val="nil"/>
              <w:left w:val="nil"/>
              <w:bottom w:val="nil"/>
              <w:right w:val="nil"/>
            </w:tcBorders>
            <w:shd w:val="clear" w:color="auto" w:fill="auto"/>
            <w:noWrap/>
            <w:vAlign w:val="center"/>
            <w:hideMark/>
          </w:tcPr>
          <w:p w14:paraId="428D6DFE"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78" w:type="pct"/>
            <w:tcBorders>
              <w:top w:val="nil"/>
              <w:left w:val="nil"/>
              <w:bottom w:val="nil"/>
              <w:right w:val="nil"/>
            </w:tcBorders>
            <w:shd w:val="clear" w:color="auto" w:fill="auto"/>
            <w:noWrap/>
            <w:vAlign w:val="center"/>
            <w:hideMark/>
          </w:tcPr>
          <w:p w14:paraId="46C19073"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5" w:type="pct"/>
            <w:tcBorders>
              <w:top w:val="nil"/>
              <w:left w:val="nil"/>
              <w:bottom w:val="nil"/>
              <w:right w:val="nil"/>
            </w:tcBorders>
            <w:shd w:val="clear" w:color="auto" w:fill="auto"/>
            <w:noWrap/>
            <w:vAlign w:val="center"/>
            <w:hideMark/>
          </w:tcPr>
          <w:p w14:paraId="0ACF6A31"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8" w:type="pct"/>
            <w:tcBorders>
              <w:top w:val="nil"/>
              <w:left w:val="nil"/>
              <w:bottom w:val="nil"/>
              <w:right w:val="nil"/>
            </w:tcBorders>
            <w:shd w:val="clear" w:color="auto" w:fill="auto"/>
            <w:noWrap/>
            <w:vAlign w:val="center"/>
            <w:hideMark/>
          </w:tcPr>
          <w:p w14:paraId="5229882E"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1" w:type="pct"/>
            <w:tcBorders>
              <w:top w:val="nil"/>
              <w:left w:val="nil"/>
              <w:bottom w:val="nil"/>
              <w:right w:val="single" w:sz="8" w:space="0" w:color="FF0000"/>
            </w:tcBorders>
            <w:shd w:val="clear" w:color="auto" w:fill="auto"/>
            <w:noWrap/>
            <w:vAlign w:val="center"/>
            <w:hideMark/>
          </w:tcPr>
          <w:p w14:paraId="1E5A3743"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r>
      <w:tr w:rsidR="002F4BAB" w:rsidRPr="00894701" w14:paraId="586823E7" w14:textId="77777777" w:rsidTr="00AA49E3">
        <w:trPr>
          <w:trHeight w:val="227"/>
          <w:jc w:val="center"/>
        </w:trPr>
        <w:tc>
          <w:tcPr>
            <w:tcW w:w="148" w:type="pct"/>
            <w:tcBorders>
              <w:top w:val="nil"/>
              <w:left w:val="single" w:sz="8" w:space="0" w:color="FF0000"/>
              <w:bottom w:val="nil"/>
              <w:right w:val="nil"/>
            </w:tcBorders>
            <w:shd w:val="clear" w:color="000000" w:fill="F7A3B0"/>
            <w:noWrap/>
            <w:tcMar>
              <w:left w:w="28" w:type="dxa"/>
              <w:right w:w="28" w:type="dxa"/>
            </w:tcMar>
            <w:vAlign w:val="center"/>
            <w:hideMark/>
          </w:tcPr>
          <w:p w14:paraId="4C9C2833" w14:textId="77777777"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2.9</w:t>
            </w:r>
          </w:p>
        </w:tc>
        <w:tc>
          <w:tcPr>
            <w:tcW w:w="784" w:type="pct"/>
            <w:tcBorders>
              <w:top w:val="nil"/>
              <w:left w:val="nil"/>
              <w:bottom w:val="nil"/>
              <w:right w:val="nil"/>
            </w:tcBorders>
            <w:shd w:val="clear" w:color="000000" w:fill="F7A3B0"/>
            <w:noWrap/>
            <w:vAlign w:val="center"/>
            <w:hideMark/>
          </w:tcPr>
          <w:p w14:paraId="1DBF0193" w14:textId="224AC910"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All</w:t>
            </w:r>
            <w:r w:rsidR="008A63F8" w:rsidRPr="00894701">
              <w:rPr>
                <w:rFonts w:cs="Arial"/>
                <w:color w:val="000000"/>
                <w:kern w:val="0"/>
                <w:sz w:val="16"/>
                <w:szCs w:val="16"/>
              </w:rPr>
              <w:t xml:space="preserve"> </w:t>
            </w:r>
            <w:r w:rsidRPr="00894701">
              <w:rPr>
                <w:rFonts w:cs="Arial"/>
                <w:color w:val="000000"/>
                <w:kern w:val="0"/>
                <w:sz w:val="16"/>
                <w:szCs w:val="16"/>
              </w:rPr>
              <w:t>other</w:t>
            </w:r>
            <w:r w:rsidR="008A63F8" w:rsidRPr="00894701">
              <w:rPr>
                <w:rFonts w:cs="Arial"/>
                <w:color w:val="000000"/>
                <w:kern w:val="0"/>
                <w:sz w:val="16"/>
                <w:szCs w:val="16"/>
              </w:rPr>
              <w:t xml:space="preserve"> </w:t>
            </w:r>
            <w:r w:rsidRPr="00894701">
              <w:rPr>
                <w:rFonts w:cs="Arial"/>
                <w:color w:val="000000"/>
                <w:kern w:val="0"/>
                <w:sz w:val="16"/>
                <w:szCs w:val="16"/>
              </w:rPr>
              <w:t>payments</w:t>
            </w:r>
            <w:r w:rsidR="008A63F8" w:rsidRPr="00894701">
              <w:rPr>
                <w:rFonts w:cs="Arial"/>
                <w:color w:val="000000"/>
                <w:kern w:val="0"/>
                <w:sz w:val="16"/>
                <w:szCs w:val="16"/>
              </w:rPr>
              <w:t xml:space="preserve"> </w:t>
            </w:r>
            <w:r w:rsidRPr="00894701">
              <w:rPr>
                <w:rFonts w:cs="Arial"/>
                <w:color w:val="000000"/>
                <w:kern w:val="0"/>
                <w:sz w:val="16"/>
                <w:szCs w:val="16"/>
              </w:rPr>
              <w:t>(signature</w:t>
            </w:r>
            <w:r w:rsidR="008A63F8" w:rsidRPr="00894701">
              <w:rPr>
                <w:rFonts w:cs="Arial"/>
                <w:color w:val="000000"/>
                <w:kern w:val="0"/>
                <w:sz w:val="16"/>
                <w:szCs w:val="16"/>
              </w:rPr>
              <w:t xml:space="preserve"> </w:t>
            </w:r>
            <w:r w:rsidRPr="00894701">
              <w:rPr>
                <w:rFonts w:cs="Arial"/>
                <w:color w:val="000000"/>
                <w:kern w:val="0"/>
                <w:sz w:val="16"/>
                <w:szCs w:val="16"/>
              </w:rPr>
              <w:t>bonuses,</w:t>
            </w:r>
            <w:r w:rsidR="008A63F8" w:rsidRPr="00894701">
              <w:rPr>
                <w:rFonts w:cs="Arial"/>
                <w:color w:val="000000"/>
                <w:kern w:val="0"/>
                <w:sz w:val="16"/>
                <w:szCs w:val="16"/>
              </w:rPr>
              <w:t xml:space="preserve"> </w:t>
            </w:r>
            <w:r w:rsidRPr="00894701">
              <w:rPr>
                <w:rFonts w:cs="Arial"/>
                <w:color w:val="000000"/>
                <w:kern w:val="0"/>
                <w:sz w:val="16"/>
                <w:szCs w:val="16"/>
              </w:rPr>
              <w:t>bidding</w:t>
            </w:r>
            <w:r w:rsidR="008A63F8" w:rsidRPr="00894701">
              <w:rPr>
                <w:rFonts w:cs="Arial"/>
                <w:color w:val="000000"/>
                <w:kern w:val="0"/>
                <w:sz w:val="16"/>
                <w:szCs w:val="16"/>
              </w:rPr>
              <w:t xml:space="preserve"> </w:t>
            </w:r>
            <w:r w:rsidRPr="00894701">
              <w:rPr>
                <w:rFonts w:cs="Arial"/>
                <w:color w:val="000000"/>
                <w:kern w:val="0"/>
                <w:sz w:val="16"/>
                <w:szCs w:val="16"/>
              </w:rPr>
              <w:t>fees,</w:t>
            </w:r>
            <w:r w:rsidR="008A63F8" w:rsidRPr="00894701">
              <w:rPr>
                <w:rFonts w:cs="Arial"/>
                <w:color w:val="000000"/>
                <w:kern w:val="0"/>
                <w:sz w:val="16"/>
                <w:szCs w:val="16"/>
              </w:rPr>
              <w:t xml:space="preserve"> </w:t>
            </w:r>
            <w:r w:rsidRPr="00894701">
              <w:rPr>
                <w:rFonts w:cs="Arial"/>
                <w:color w:val="000000"/>
                <w:kern w:val="0"/>
                <w:sz w:val="16"/>
                <w:szCs w:val="16"/>
              </w:rPr>
              <w:t>penalties,</w:t>
            </w:r>
            <w:r w:rsidR="008A63F8" w:rsidRPr="00894701">
              <w:rPr>
                <w:rFonts w:cs="Arial"/>
                <w:color w:val="000000"/>
                <w:kern w:val="0"/>
                <w:sz w:val="16"/>
                <w:szCs w:val="16"/>
              </w:rPr>
              <w:t xml:space="preserve"> </w:t>
            </w:r>
            <w:r w:rsidRPr="00894701">
              <w:rPr>
                <w:rFonts w:cs="Arial"/>
                <w:color w:val="000000"/>
                <w:kern w:val="0"/>
                <w:sz w:val="16"/>
                <w:szCs w:val="16"/>
              </w:rPr>
              <w:t>petroleum</w:t>
            </w:r>
            <w:r w:rsidR="008A63F8" w:rsidRPr="00894701">
              <w:rPr>
                <w:rFonts w:cs="Arial"/>
                <w:color w:val="000000"/>
                <w:kern w:val="0"/>
                <w:sz w:val="16"/>
                <w:szCs w:val="16"/>
              </w:rPr>
              <w:t xml:space="preserve"> </w:t>
            </w:r>
            <w:r w:rsidRPr="00894701">
              <w:rPr>
                <w:rFonts w:cs="Arial"/>
                <w:color w:val="000000"/>
                <w:kern w:val="0"/>
                <w:sz w:val="16"/>
                <w:szCs w:val="16"/>
              </w:rPr>
              <w:t>levies)</w:t>
            </w:r>
          </w:p>
        </w:tc>
        <w:tc>
          <w:tcPr>
            <w:tcW w:w="465" w:type="pct"/>
            <w:tcBorders>
              <w:top w:val="nil"/>
              <w:left w:val="nil"/>
              <w:bottom w:val="nil"/>
              <w:right w:val="nil"/>
            </w:tcBorders>
            <w:shd w:val="clear" w:color="000000" w:fill="F7A3B0"/>
            <w:noWrap/>
            <w:vAlign w:val="center"/>
            <w:hideMark/>
          </w:tcPr>
          <w:p w14:paraId="43AC1E19"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512" w:type="pct"/>
            <w:tcBorders>
              <w:top w:val="nil"/>
              <w:left w:val="nil"/>
              <w:bottom w:val="nil"/>
              <w:right w:val="nil"/>
            </w:tcBorders>
            <w:shd w:val="clear" w:color="000000" w:fill="F7A3B0"/>
            <w:noWrap/>
            <w:vAlign w:val="center"/>
            <w:hideMark/>
          </w:tcPr>
          <w:p w14:paraId="3D0B79AD"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431" w:type="pct"/>
            <w:tcBorders>
              <w:top w:val="nil"/>
              <w:left w:val="nil"/>
              <w:bottom w:val="nil"/>
              <w:right w:val="nil"/>
            </w:tcBorders>
            <w:shd w:val="clear" w:color="000000" w:fill="F7A3B0"/>
            <w:noWrap/>
            <w:vAlign w:val="center"/>
            <w:hideMark/>
          </w:tcPr>
          <w:p w14:paraId="7C47BE75"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417" w:type="pct"/>
            <w:tcBorders>
              <w:top w:val="nil"/>
              <w:left w:val="nil"/>
              <w:bottom w:val="nil"/>
              <w:right w:val="nil"/>
            </w:tcBorders>
            <w:shd w:val="clear" w:color="000000" w:fill="F7A3B0"/>
            <w:noWrap/>
            <w:vAlign w:val="center"/>
            <w:hideMark/>
          </w:tcPr>
          <w:p w14:paraId="67627BD2"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421" w:type="pct"/>
            <w:tcBorders>
              <w:top w:val="nil"/>
              <w:left w:val="nil"/>
              <w:bottom w:val="nil"/>
              <w:right w:val="nil"/>
            </w:tcBorders>
            <w:shd w:val="clear" w:color="000000" w:fill="F7A3B0"/>
            <w:noWrap/>
            <w:vAlign w:val="center"/>
            <w:hideMark/>
          </w:tcPr>
          <w:p w14:paraId="48352817"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378" w:type="pct"/>
            <w:tcBorders>
              <w:top w:val="nil"/>
              <w:left w:val="nil"/>
              <w:bottom w:val="nil"/>
              <w:right w:val="nil"/>
            </w:tcBorders>
            <w:shd w:val="clear" w:color="000000" w:fill="F7A3B0"/>
            <w:noWrap/>
            <w:vAlign w:val="center"/>
            <w:hideMark/>
          </w:tcPr>
          <w:p w14:paraId="3A4FDD69"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465" w:type="pct"/>
            <w:tcBorders>
              <w:top w:val="nil"/>
              <w:left w:val="nil"/>
              <w:bottom w:val="nil"/>
              <w:right w:val="nil"/>
            </w:tcBorders>
            <w:shd w:val="clear" w:color="000000" w:fill="F7A3B0"/>
            <w:noWrap/>
            <w:vAlign w:val="center"/>
            <w:hideMark/>
          </w:tcPr>
          <w:p w14:paraId="24EDE3EE"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468" w:type="pct"/>
            <w:tcBorders>
              <w:top w:val="nil"/>
              <w:left w:val="nil"/>
              <w:bottom w:val="nil"/>
              <w:right w:val="nil"/>
            </w:tcBorders>
            <w:shd w:val="clear" w:color="000000" w:fill="F7A3B0"/>
            <w:noWrap/>
            <w:vAlign w:val="center"/>
            <w:hideMark/>
          </w:tcPr>
          <w:p w14:paraId="554DF2AF"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auto"/>
                <w:sz w:val="16"/>
                <w:szCs w:val="16"/>
              </w:rPr>
              <w:t>-</w:t>
            </w:r>
          </w:p>
        </w:tc>
        <w:tc>
          <w:tcPr>
            <w:tcW w:w="511" w:type="pct"/>
            <w:tcBorders>
              <w:top w:val="nil"/>
              <w:left w:val="nil"/>
              <w:bottom w:val="nil"/>
              <w:right w:val="single" w:sz="8" w:space="0" w:color="FF0000"/>
            </w:tcBorders>
            <w:shd w:val="clear" w:color="000000" w:fill="F7A3B0"/>
            <w:noWrap/>
            <w:vAlign w:val="center"/>
            <w:hideMark/>
          </w:tcPr>
          <w:p w14:paraId="2A63F985"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auto"/>
                <w:sz w:val="16"/>
                <w:szCs w:val="16"/>
              </w:rPr>
              <w:t>-</w:t>
            </w:r>
          </w:p>
        </w:tc>
      </w:tr>
      <w:tr w:rsidR="002F4BAB" w:rsidRPr="00894701" w14:paraId="43F18632" w14:textId="77777777" w:rsidTr="009052AC">
        <w:trPr>
          <w:trHeight w:val="227"/>
          <w:jc w:val="center"/>
        </w:trPr>
        <w:tc>
          <w:tcPr>
            <w:tcW w:w="932" w:type="pct"/>
            <w:gridSpan w:val="2"/>
            <w:tcBorders>
              <w:top w:val="nil"/>
              <w:left w:val="single" w:sz="8" w:space="0" w:color="FF0000"/>
              <w:bottom w:val="nil"/>
              <w:right w:val="nil"/>
            </w:tcBorders>
            <w:shd w:val="clear" w:color="000000" w:fill="C0A99E"/>
            <w:noWrap/>
            <w:tcMar>
              <w:left w:w="28" w:type="dxa"/>
              <w:right w:w="28" w:type="dxa"/>
            </w:tcMar>
            <w:vAlign w:val="center"/>
            <w:hideMark/>
          </w:tcPr>
          <w:p w14:paraId="2E3644CA" w14:textId="77777777" w:rsidR="002F4BAB" w:rsidRPr="00894701" w:rsidRDefault="002F4BAB" w:rsidP="002209C2">
            <w:pPr>
              <w:spacing w:after="0" w:line="240" w:lineRule="auto"/>
              <w:rPr>
                <w:rFonts w:cs="Arial"/>
                <w:b/>
                <w:bCs/>
                <w:color w:val="auto"/>
                <w:kern w:val="0"/>
                <w:sz w:val="16"/>
                <w:szCs w:val="16"/>
              </w:rPr>
            </w:pPr>
            <w:r w:rsidRPr="00894701">
              <w:rPr>
                <w:rFonts w:cs="Arial"/>
                <w:b/>
                <w:bCs/>
                <w:color w:val="auto"/>
                <w:kern w:val="0"/>
                <w:sz w:val="16"/>
                <w:szCs w:val="16"/>
              </w:rPr>
              <w:t xml:space="preserve"> Other payments to Ministry of Natural Resources (MNR)</w:t>
            </w:r>
          </w:p>
        </w:tc>
        <w:tc>
          <w:tcPr>
            <w:tcW w:w="465" w:type="pct"/>
            <w:tcBorders>
              <w:top w:val="nil"/>
              <w:left w:val="nil"/>
              <w:bottom w:val="nil"/>
              <w:right w:val="nil"/>
            </w:tcBorders>
            <w:shd w:val="clear" w:color="000000" w:fill="C0A99E"/>
            <w:noWrap/>
            <w:vAlign w:val="center"/>
            <w:hideMark/>
          </w:tcPr>
          <w:p w14:paraId="72F9B420" w14:textId="77777777" w:rsidR="002F4BAB" w:rsidRPr="00894701" w:rsidRDefault="002F4BAB" w:rsidP="0010169E">
            <w:pPr>
              <w:spacing w:after="0" w:line="240" w:lineRule="auto"/>
              <w:jc w:val="right"/>
              <w:rPr>
                <w:rFonts w:cs="Arial"/>
                <w:b/>
                <w:bCs/>
                <w:color w:val="auto"/>
                <w:kern w:val="0"/>
                <w:sz w:val="16"/>
                <w:szCs w:val="16"/>
              </w:rPr>
            </w:pPr>
            <w:r w:rsidRPr="00894701">
              <w:rPr>
                <w:rFonts w:cs="Arial"/>
                <w:b/>
                <w:bCs/>
                <w:color w:val="auto"/>
                <w:kern w:val="0"/>
                <w:sz w:val="16"/>
                <w:szCs w:val="16"/>
              </w:rPr>
              <w:t>185,018</w:t>
            </w:r>
          </w:p>
        </w:tc>
        <w:tc>
          <w:tcPr>
            <w:tcW w:w="512" w:type="pct"/>
            <w:tcBorders>
              <w:top w:val="nil"/>
              <w:left w:val="nil"/>
              <w:bottom w:val="nil"/>
              <w:right w:val="nil"/>
            </w:tcBorders>
            <w:shd w:val="clear" w:color="000000" w:fill="C0A99E"/>
            <w:noWrap/>
            <w:vAlign w:val="center"/>
            <w:hideMark/>
          </w:tcPr>
          <w:p w14:paraId="7080190C" w14:textId="77777777" w:rsidR="002F4BAB" w:rsidRPr="00894701" w:rsidRDefault="002F4BAB" w:rsidP="0010169E">
            <w:pPr>
              <w:spacing w:after="0" w:line="240" w:lineRule="auto"/>
              <w:jc w:val="right"/>
              <w:rPr>
                <w:rFonts w:cs="Arial"/>
                <w:b/>
                <w:bCs/>
                <w:color w:val="auto"/>
                <w:kern w:val="0"/>
                <w:sz w:val="16"/>
                <w:szCs w:val="16"/>
              </w:rPr>
            </w:pPr>
            <w:r w:rsidRPr="00894701">
              <w:rPr>
                <w:rFonts w:cs="Arial"/>
                <w:b/>
                <w:bCs/>
                <w:color w:val="auto"/>
                <w:kern w:val="0"/>
                <w:sz w:val="16"/>
                <w:szCs w:val="16"/>
              </w:rPr>
              <w:t>-</w:t>
            </w:r>
          </w:p>
        </w:tc>
        <w:tc>
          <w:tcPr>
            <w:tcW w:w="431" w:type="pct"/>
            <w:tcBorders>
              <w:top w:val="nil"/>
              <w:left w:val="nil"/>
              <w:bottom w:val="nil"/>
              <w:right w:val="nil"/>
            </w:tcBorders>
            <w:shd w:val="clear" w:color="000000" w:fill="C0A99E"/>
            <w:noWrap/>
            <w:vAlign w:val="center"/>
            <w:hideMark/>
          </w:tcPr>
          <w:p w14:paraId="7D4DD113" w14:textId="77777777" w:rsidR="002F4BAB" w:rsidRPr="00894701" w:rsidRDefault="002F4BAB" w:rsidP="0010169E">
            <w:pPr>
              <w:spacing w:after="0" w:line="240" w:lineRule="auto"/>
              <w:jc w:val="right"/>
              <w:rPr>
                <w:rFonts w:cs="Arial"/>
                <w:b/>
                <w:bCs/>
                <w:color w:val="auto"/>
                <w:kern w:val="0"/>
                <w:sz w:val="16"/>
                <w:szCs w:val="16"/>
              </w:rPr>
            </w:pPr>
            <w:r w:rsidRPr="00894701">
              <w:rPr>
                <w:rFonts w:cs="Arial"/>
                <w:b/>
                <w:bCs/>
                <w:color w:val="auto"/>
                <w:kern w:val="0"/>
                <w:sz w:val="16"/>
                <w:szCs w:val="16"/>
              </w:rPr>
              <w:t>185,018</w:t>
            </w:r>
          </w:p>
        </w:tc>
        <w:tc>
          <w:tcPr>
            <w:tcW w:w="417" w:type="pct"/>
            <w:tcBorders>
              <w:top w:val="nil"/>
              <w:left w:val="nil"/>
              <w:bottom w:val="nil"/>
              <w:right w:val="nil"/>
            </w:tcBorders>
            <w:shd w:val="clear" w:color="000000" w:fill="C0A99E"/>
            <w:noWrap/>
            <w:vAlign w:val="center"/>
            <w:hideMark/>
          </w:tcPr>
          <w:p w14:paraId="2D5ABF83" w14:textId="77777777" w:rsidR="002F4BAB" w:rsidRPr="00894701" w:rsidRDefault="002F4BAB" w:rsidP="0010169E">
            <w:pPr>
              <w:spacing w:after="0" w:line="240" w:lineRule="auto"/>
              <w:jc w:val="right"/>
              <w:rPr>
                <w:rFonts w:cs="Arial"/>
                <w:b/>
                <w:bCs/>
                <w:color w:val="auto"/>
                <w:kern w:val="0"/>
                <w:sz w:val="16"/>
                <w:szCs w:val="16"/>
              </w:rPr>
            </w:pPr>
            <w:r w:rsidRPr="00894701">
              <w:rPr>
                <w:rFonts w:cs="Arial"/>
                <w:b/>
                <w:bCs/>
                <w:color w:val="auto"/>
                <w:kern w:val="0"/>
                <w:sz w:val="16"/>
                <w:szCs w:val="16"/>
              </w:rPr>
              <w:t>-</w:t>
            </w:r>
          </w:p>
        </w:tc>
        <w:tc>
          <w:tcPr>
            <w:tcW w:w="421" w:type="pct"/>
            <w:tcBorders>
              <w:top w:val="nil"/>
              <w:left w:val="nil"/>
              <w:bottom w:val="nil"/>
              <w:right w:val="nil"/>
            </w:tcBorders>
            <w:shd w:val="clear" w:color="000000" w:fill="C0A99E"/>
            <w:noWrap/>
            <w:vAlign w:val="center"/>
            <w:hideMark/>
          </w:tcPr>
          <w:p w14:paraId="0D71D6F0" w14:textId="77777777" w:rsidR="002F4BAB" w:rsidRPr="00894701" w:rsidRDefault="002F4BAB" w:rsidP="0010169E">
            <w:pPr>
              <w:spacing w:after="0" w:line="240" w:lineRule="auto"/>
              <w:jc w:val="right"/>
              <w:rPr>
                <w:rFonts w:cs="Arial"/>
                <w:b/>
                <w:bCs/>
                <w:color w:val="auto"/>
                <w:kern w:val="0"/>
                <w:sz w:val="16"/>
                <w:szCs w:val="16"/>
              </w:rPr>
            </w:pPr>
            <w:r w:rsidRPr="00894701">
              <w:rPr>
                <w:rFonts w:cs="Arial"/>
                <w:b/>
                <w:bCs/>
                <w:color w:val="auto"/>
                <w:kern w:val="0"/>
                <w:sz w:val="16"/>
                <w:szCs w:val="16"/>
              </w:rPr>
              <w:t>-</w:t>
            </w:r>
          </w:p>
        </w:tc>
        <w:tc>
          <w:tcPr>
            <w:tcW w:w="378" w:type="pct"/>
            <w:tcBorders>
              <w:top w:val="nil"/>
              <w:left w:val="nil"/>
              <w:bottom w:val="nil"/>
              <w:right w:val="nil"/>
            </w:tcBorders>
            <w:shd w:val="clear" w:color="000000" w:fill="C0A99E"/>
            <w:noWrap/>
            <w:vAlign w:val="center"/>
            <w:hideMark/>
          </w:tcPr>
          <w:p w14:paraId="634F8090" w14:textId="77777777" w:rsidR="002F4BAB" w:rsidRPr="00894701" w:rsidRDefault="002F4BAB" w:rsidP="0010169E">
            <w:pPr>
              <w:spacing w:after="0" w:line="240" w:lineRule="auto"/>
              <w:jc w:val="right"/>
              <w:rPr>
                <w:rFonts w:cs="Arial"/>
                <w:b/>
                <w:bCs/>
                <w:color w:val="auto"/>
                <w:kern w:val="0"/>
                <w:sz w:val="16"/>
                <w:szCs w:val="16"/>
              </w:rPr>
            </w:pPr>
            <w:r w:rsidRPr="00894701">
              <w:rPr>
                <w:rFonts w:cs="Arial"/>
                <w:b/>
                <w:bCs/>
                <w:color w:val="auto"/>
                <w:kern w:val="0"/>
                <w:sz w:val="16"/>
                <w:szCs w:val="16"/>
              </w:rPr>
              <w:t>-</w:t>
            </w:r>
          </w:p>
        </w:tc>
        <w:tc>
          <w:tcPr>
            <w:tcW w:w="465" w:type="pct"/>
            <w:tcBorders>
              <w:top w:val="nil"/>
              <w:left w:val="nil"/>
              <w:bottom w:val="nil"/>
              <w:right w:val="nil"/>
            </w:tcBorders>
            <w:shd w:val="clear" w:color="000000" w:fill="C0A99E"/>
            <w:noWrap/>
            <w:vAlign w:val="center"/>
            <w:hideMark/>
          </w:tcPr>
          <w:p w14:paraId="7C040A2C" w14:textId="77777777" w:rsidR="002F4BAB" w:rsidRPr="00894701" w:rsidRDefault="002F4BAB" w:rsidP="0010169E">
            <w:pPr>
              <w:spacing w:after="0" w:line="240" w:lineRule="auto"/>
              <w:jc w:val="right"/>
              <w:rPr>
                <w:rFonts w:cs="Arial"/>
                <w:b/>
                <w:bCs/>
                <w:color w:val="auto"/>
                <w:kern w:val="0"/>
                <w:sz w:val="16"/>
                <w:szCs w:val="16"/>
              </w:rPr>
            </w:pPr>
            <w:r w:rsidRPr="00894701">
              <w:rPr>
                <w:rFonts w:cs="Arial"/>
                <w:b/>
                <w:bCs/>
                <w:color w:val="auto"/>
                <w:kern w:val="0"/>
                <w:sz w:val="16"/>
                <w:szCs w:val="16"/>
              </w:rPr>
              <w:t>185,018</w:t>
            </w:r>
          </w:p>
        </w:tc>
        <w:tc>
          <w:tcPr>
            <w:tcW w:w="468" w:type="pct"/>
            <w:tcBorders>
              <w:top w:val="nil"/>
              <w:left w:val="nil"/>
              <w:bottom w:val="nil"/>
              <w:right w:val="nil"/>
            </w:tcBorders>
            <w:shd w:val="clear" w:color="000000" w:fill="C0A99E"/>
            <w:noWrap/>
            <w:vAlign w:val="center"/>
            <w:hideMark/>
          </w:tcPr>
          <w:p w14:paraId="42072F79" w14:textId="77777777" w:rsidR="002F4BAB" w:rsidRPr="00894701" w:rsidRDefault="002F4BAB" w:rsidP="0010169E">
            <w:pPr>
              <w:spacing w:after="0" w:line="240" w:lineRule="auto"/>
              <w:jc w:val="right"/>
              <w:rPr>
                <w:rFonts w:cs="Arial"/>
                <w:b/>
                <w:bCs/>
                <w:color w:val="auto"/>
                <w:kern w:val="0"/>
                <w:sz w:val="16"/>
                <w:szCs w:val="16"/>
              </w:rPr>
            </w:pPr>
            <w:r w:rsidRPr="00894701">
              <w:rPr>
                <w:rFonts w:cs="Arial"/>
                <w:b/>
                <w:bCs/>
                <w:color w:val="auto"/>
                <w:kern w:val="0"/>
                <w:sz w:val="16"/>
                <w:szCs w:val="16"/>
              </w:rPr>
              <w:t>-</w:t>
            </w:r>
          </w:p>
        </w:tc>
        <w:tc>
          <w:tcPr>
            <w:tcW w:w="511" w:type="pct"/>
            <w:tcBorders>
              <w:top w:val="nil"/>
              <w:left w:val="nil"/>
              <w:bottom w:val="nil"/>
              <w:right w:val="nil"/>
            </w:tcBorders>
            <w:shd w:val="clear" w:color="000000" w:fill="C0A99E"/>
            <w:noWrap/>
            <w:vAlign w:val="center"/>
            <w:hideMark/>
          </w:tcPr>
          <w:p w14:paraId="28B5079B" w14:textId="77777777" w:rsidR="002F4BAB" w:rsidRPr="00894701" w:rsidRDefault="002F4BAB" w:rsidP="0010169E">
            <w:pPr>
              <w:spacing w:after="0" w:line="240" w:lineRule="auto"/>
              <w:jc w:val="right"/>
              <w:rPr>
                <w:rFonts w:cs="Arial"/>
                <w:b/>
                <w:bCs/>
                <w:color w:val="auto"/>
                <w:kern w:val="0"/>
                <w:sz w:val="16"/>
                <w:szCs w:val="16"/>
              </w:rPr>
            </w:pPr>
            <w:r w:rsidRPr="00894701">
              <w:rPr>
                <w:rFonts w:cs="Arial"/>
                <w:b/>
                <w:bCs/>
                <w:color w:val="auto"/>
                <w:kern w:val="0"/>
                <w:sz w:val="16"/>
                <w:szCs w:val="16"/>
              </w:rPr>
              <w:t>185,018</w:t>
            </w:r>
          </w:p>
        </w:tc>
      </w:tr>
      <w:tr w:rsidR="00AA49E3" w:rsidRPr="00894701" w14:paraId="7FE8F327" w14:textId="77777777" w:rsidTr="00AA49E3">
        <w:trPr>
          <w:trHeight w:val="227"/>
          <w:jc w:val="center"/>
        </w:trPr>
        <w:tc>
          <w:tcPr>
            <w:tcW w:w="148" w:type="pct"/>
            <w:tcBorders>
              <w:top w:val="nil"/>
              <w:left w:val="single" w:sz="8" w:space="0" w:color="FF0000"/>
              <w:bottom w:val="nil"/>
              <w:right w:val="nil"/>
            </w:tcBorders>
            <w:shd w:val="clear" w:color="000000" w:fill="F7A3B0"/>
            <w:noWrap/>
            <w:tcMar>
              <w:left w:w="28" w:type="dxa"/>
              <w:right w:w="28" w:type="dxa"/>
            </w:tcMar>
            <w:vAlign w:val="center"/>
            <w:hideMark/>
          </w:tcPr>
          <w:p w14:paraId="23B6118B"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3.1</w:t>
            </w:r>
          </w:p>
        </w:tc>
        <w:tc>
          <w:tcPr>
            <w:tcW w:w="784" w:type="pct"/>
            <w:tcBorders>
              <w:top w:val="nil"/>
              <w:left w:val="nil"/>
              <w:bottom w:val="nil"/>
              <w:right w:val="nil"/>
            </w:tcBorders>
            <w:shd w:val="clear" w:color="000000" w:fill="F7A3B0"/>
            <w:noWrap/>
            <w:vAlign w:val="center"/>
            <w:hideMark/>
          </w:tcPr>
          <w:p w14:paraId="1ACBD21F" w14:textId="279C7E78"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Transfer fees</w:t>
            </w:r>
          </w:p>
        </w:tc>
        <w:tc>
          <w:tcPr>
            <w:tcW w:w="465" w:type="pct"/>
            <w:tcBorders>
              <w:top w:val="nil"/>
              <w:left w:val="nil"/>
              <w:bottom w:val="nil"/>
              <w:right w:val="nil"/>
            </w:tcBorders>
            <w:shd w:val="clear" w:color="000000" w:fill="F7A3B0"/>
            <w:noWrap/>
            <w:vAlign w:val="center"/>
            <w:hideMark/>
          </w:tcPr>
          <w:p w14:paraId="1848B3D3"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2" w:type="pct"/>
            <w:tcBorders>
              <w:top w:val="nil"/>
              <w:left w:val="nil"/>
              <w:bottom w:val="nil"/>
              <w:right w:val="nil"/>
            </w:tcBorders>
            <w:shd w:val="clear" w:color="000000" w:fill="F7A3B0"/>
            <w:noWrap/>
            <w:vAlign w:val="center"/>
            <w:hideMark/>
          </w:tcPr>
          <w:p w14:paraId="382760D9"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31" w:type="pct"/>
            <w:tcBorders>
              <w:top w:val="nil"/>
              <w:left w:val="nil"/>
              <w:bottom w:val="nil"/>
              <w:right w:val="nil"/>
            </w:tcBorders>
            <w:shd w:val="clear" w:color="000000" w:fill="F7A3B0"/>
            <w:noWrap/>
            <w:vAlign w:val="center"/>
            <w:hideMark/>
          </w:tcPr>
          <w:p w14:paraId="59BB2B57"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17" w:type="pct"/>
            <w:tcBorders>
              <w:top w:val="nil"/>
              <w:left w:val="nil"/>
              <w:bottom w:val="nil"/>
              <w:right w:val="nil"/>
            </w:tcBorders>
            <w:shd w:val="clear" w:color="000000" w:fill="F7A3B0"/>
            <w:noWrap/>
            <w:vAlign w:val="center"/>
            <w:hideMark/>
          </w:tcPr>
          <w:p w14:paraId="7C7A7F85"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21" w:type="pct"/>
            <w:tcBorders>
              <w:top w:val="nil"/>
              <w:left w:val="nil"/>
              <w:bottom w:val="nil"/>
              <w:right w:val="nil"/>
            </w:tcBorders>
            <w:shd w:val="clear" w:color="000000" w:fill="F7A3B0"/>
            <w:noWrap/>
            <w:vAlign w:val="center"/>
            <w:hideMark/>
          </w:tcPr>
          <w:p w14:paraId="027B0622"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78" w:type="pct"/>
            <w:tcBorders>
              <w:top w:val="nil"/>
              <w:left w:val="nil"/>
              <w:bottom w:val="nil"/>
              <w:right w:val="nil"/>
            </w:tcBorders>
            <w:shd w:val="clear" w:color="000000" w:fill="F7A3B0"/>
            <w:noWrap/>
            <w:vAlign w:val="center"/>
            <w:hideMark/>
          </w:tcPr>
          <w:p w14:paraId="44A700B9"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5" w:type="pct"/>
            <w:tcBorders>
              <w:top w:val="nil"/>
              <w:left w:val="nil"/>
              <w:bottom w:val="nil"/>
              <w:right w:val="nil"/>
            </w:tcBorders>
            <w:shd w:val="clear" w:color="000000" w:fill="F7A3B0"/>
            <w:noWrap/>
            <w:vAlign w:val="center"/>
            <w:hideMark/>
          </w:tcPr>
          <w:p w14:paraId="55D37FCA"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8" w:type="pct"/>
            <w:tcBorders>
              <w:top w:val="nil"/>
              <w:left w:val="nil"/>
              <w:bottom w:val="nil"/>
              <w:right w:val="nil"/>
            </w:tcBorders>
            <w:shd w:val="clear" w:color="000000" w:fill="F7A3B0"/>
            <w:noWrap/>
            <w:vAlign w:val="center"/>
            <w:hideMark/>
          </w:tcPr>
          <w:p w14:paraId="2DDA5D46"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1" w:type="pct"/>
            <w:tcBorders>
              <w:top w:val="nil"/>
              <w:left w:val="nil"/>
              <w:bottom w:val="nil"/>
              <w:right w:val="single" w:sz="8" w:space="0" w:color="FF0000"/>
            </w:tcBorders>
            <w:shd w:val="clear" w:color="000000" w:fill="F7A3B0"/>
            <w:noWrap/>
            <w:vAlign w:val="center"/>
            <w:hideMark/>
          </w:tcPr>
          <w:p w14:paraId="2D3907B2"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r>
      <w:tr w:rsidR="00AA49E3" w:rsidRPr="00894701" w14:paraId="15428842" w14:textId="77777777" w:rsidTr="00AA49E3">
        <w:trPr>
          <w:trHeight w:val="227"/>
          <w:jc w:val="center"/>
        </w:trPr>
        <w:tc>
          <w:tcPr>
            <w:tcW w:w="148" w:type="pct"/>
            <w:tcBorders>
              <w:top w:val="nil"/>
              <w:left w:val="single" w:sz="8" w:space="0" w:color="FF0000"/>
              <w:bottom w:val="nil"/>
              <w:right w:val="nil"/>
            </w:tcBorders>
            <w:shd w:val="clear" w:color="auto" w:fill="auto"/>
            <w:noWrap/>
            <w:tcMar>
              <w:left w:w="28" w:type="dxa"/>
              <w:right w:w="28" w:type="dxa"/>
            </w:tcMar>
            <w:vAlign w:val="center"/>
            <w:hideMark/>
          </w:tcPr>
          <w:p w14:paraId="26C527EA"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3.2</w:t>
            </w:r>
          </w:p>
        </w:tc>
        <w:tc>
          <w:tcPr>
            <w:tcW w:w="784" w:type="pct"/>
            <w:tcBorders>
              <w:top w:val="nil"/>
              <w:left w:val="nil"/>
              <w:bottom w:val="nil"/>
              <w:right w:val="nil"/>
            </w:tcBorders>
            <w:shd w:val="clear" w:color="auto" w:fill="auto"/>
            <w:noWrap/>
            <w:vAlign w:val="center"/>
            <w:hideMark/>
          </w:tcPr>
          <w:p w14:paraId="74990283" w14:textId="2DC84384"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Abandonment provisions</w:t>
            </w:r>
          </w:p>
        </w:tc>
        <w:tc>
          <w:tcPr>
            <w:tcW w:w="465" w:type="pct"/>
            <w:tcBorders>
              <w:top w:val="nil"/>
              <w:left w:val="nil"/>
              <w:bottom w:val="nil"/>
              <w:right w:val="nil"/>
            </w:tcBorders>
            <w:shd w:val="clear" w:color="auto" w:fill="auto"/>
            <w:noWrap/>
            <w:vAlign w:val="center"/>
            <w:hideMark/>
          </w:tcPr>
          <w:p w14:paraId="2D0258DF"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2" w:type="pct"/>
            <w:tcBorders>
              <w:top w:val="nil"/>
              <w:left w:val="nil"/>
              <w:bottom w:val="nil"/>
              <w:right w:val="nil"/>
            </w:tcBorders>
            <w:shd w:val="clear" w:color="auto" w:fill="auto"/>
            <w:noWrap/>
            <w:vAlign w:val="center"/>
            <w:hideMark/>
          </w:tcPr>
          <w:p w14:paraId="4E183176"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31" w:type="pct"/>
            <w:tcBorders>
              <w:top w:val="nil"/>
              <w:left w:val="nil"/>
              <w:bottom w:val="nil"/>
              <w:right w:val="nil"/>
            </w:tcBorders>
            <w:shd w:val="clear" w:color="auto" w:fill="auto"/>
            <w:noWrap/>
            <w:vAlign w:val="center"/>
            <w:hideMark/>
          </w:tcPr>
          <w:p w14:paraId="112E5C87"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17" w:type="pct"/>
            <w:tcBorders>
              <w:top w:val="nil"/>
              <w:left w:val="nil"/>
              <w:bottom w:val="nil"/>
              <w:right w:val="nil"/>
            </w:tcBorders>
            <w:shd w:val="clear" w:color="auto" w:fill="auto"/>
            <w:noWrap/>
            <w:vAlign w:val="center"/>
            <w:hideMark/>
          </w:tcPr>
          <w:p w14:paraId="3AA066A8"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21" w:type="pct"/>
            <w:tcBorders>
              <w:top w:val="nil"/>
              <w:left w:val="nil"/>
              <w:bottom w:val="nil"/>
              <w:right w:val="nil"/>
            </w:tcBorders>
            <w:shd w:val="clear" w:color="auto" w:fill="auto"/>
            <w:noWrap/>
            <w:vAlign w:val="center"/>
            <w:hideMark/>
          </w:tcPr>
          <w:p w14:paraId="368F1D0A"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78" w:type="pct"/>
            <w:tcBorders>
              <w:top w:val="nil"/>
              <w:left w:val="nil"/>
              <w:bottom w:val="nil"/>
              <w:right w:val="nil"/>
            </w:tcBorders>
            <w:shd w:val="clear" w:color="auto" w:fill="auto"/>
            <w:noWrap/>
            <w:vAlign w:val="center"/>
            <w:hideMark/>
          </w:tcPr>
          <w:p w14:paraId="2B59D297"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5" w:type="pct"/>
            <w:tcBorders>
              <w:top w:val="nil"/>
              <w:left w:val="nil"/>
              <w:bottom w:val="nil"/>
              <w:right w:val="nil"/>
            </w:tcBorders>
            <w:shd w:val="clear" w:color="auto" w:fill="auto"/>
            <w:noWrap/>
            <w:vAlign w:val="center"/>
            <w:hideMark/>
          </w:tcPr>
          <w:p w14:paraId="2FF0A90C"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8" w:type="pct"/>
            <w:tcBorders>
              <w:top w:val="nil"/>
              <w:left w:val="nil"/>
              <w:bottom w:val="nil"/>
              <w:right w:val="nil"/>
            </w:tcBorders>
            <w:shd w:val="clear" w:color="auto" w:fill="auto"/>
            <w:noWrap/>
            <w:vAlign w:val="center"/>
            <w:hideMark/>
          </w:tcPr>
          <w:p w14:paraId="3E92020F"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1" w:type="pct"/>
            <w:tcBorders>
              <w:top w:val="nil"/>
              <w:left w:val="nil"/>
              <w:bottom w:val="nil"/>
              <w:right w:val="single" w:sz="8" w:space="0" w:color="FF0000"/>
            </w:tcBorders>
            <w:shd w:val="clear" w:color="auto" w:fill="auto"/>
            <w:noWrap/>
            <w:vAlign w:val="center"/>
            <w:hideMark/>
          </w:tcPr>
          <w:p w14:paraId="0265C4FB"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r>
      <w:tr w:rsidR="00AA49E3" w:rsidRPr="00894701" w14:paraId="288E54C9" w14:textId="77777777" w:rsidTr="00AA49E3">
        <w:trPr>
          <w:trHeight w:val="227"/>
          <w:jc w:val="center"/>
        </w:trPr>
        <w:tc>
          <w:tcPr>
            <w:tcW w:w="148" w:type="pct"/>
            <w:tcBorders>
              <w:top w:val="nil"/>
              <w:left w:val="single" w:sz="8" w:space="0" w:color="FF0000"/>
              <w:bottom w:val="nil"/>
              <w:right w:val="nil"/>
            </w:tcBorders>
            <w:shd w:val="clear" w:color="000000" w:fill="F7A3B0"/>
            <w:noWrap/>
            <w:tcMar>
              <w:left w:w="28" w:type="dxa"/>
              <w:right w:w="28" w:type="dxa"/>
            </w:tcMar>
            <w:vAlign w:val="center"/>
            <w:hideMark/>
          </w:tcPr>
          <w:p w14:paraId="347212DD"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3.3</w:t>
            </w:r>
          </w:p>
        </w:tc>
        <w:tc>
          <w:tcPr>
            <w:tcW w:w="784" w:type="pct"/>
            <w:tcBorders>
              <w:top w:val="nil"/>
              <w:left w:val="nil"/>
              <w:bottom w:val="nil"/>
              <w:right w:val="nil"/>
            </w:tcBorders>
            <w:shd w:val="clear" w:color="000000" w:fill="F7A3B0"/>
            <w:noWrap/>
            <w:vAlign w:val="center"/>
            <w:hideMark/>
          </w:tcPr>
          <w:p w14:paraId="174A6C53" w14:textId="1346BBF6"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Annual administrative charges</w:t>
            </w:r>
          </w:p>
        </w:tc>
        <w:tc>
          <w:tcPr>
            <w:tcW w:w="465" w:type="pct"/>
            <w:tcBorders>
              <w:top w:val="nil"/>
              <w:left w:val="nil"/>
              <w:bottom w:val="nil"/>
              <w:right w:val="nil"/>
            </w:tcBorders>
            <w:shd w:val="clear" w:color="000000" w:fill="F7A3B0"/>
            <w:noWrap/>
            <w:vAlign w:val="center"/>
            <w:hideMark/>
          </w:tcPr>
          <w:p w14:paraId="1D2A5CEF"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2" w:type="pct"/>
            <w:tcBorders>
              <w:top w:val="nil"/>
              <w:left w:val="nil"/>
              <w:bottom w:val="nil"/>
              <w:right w:val="nil"/>
            </w:tcBorders>
            <w:shd w:val="clear" w:color="000000" w:fill="F7A3B0"/>
            <w:noWrap/>
            <w:vAlign w:val="center"/>
            <w:hideMark/>
          </w:tcPr>
          <w:p w14:paraId="7D3BF9D0"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31" w:type="pct"/>
            <w:tcBorders>
              <w:top w:val="nil"/>
              <w:left w:val="nil"/>
              <w:bottom w:val="nil"/>
              <w:right w:val="nil"/>
            </w:tcBorders>
            <w:shd w:val="clear" w:color="000000" w:fill="F7A3B0"/>
            <w:noWrap/>
            <w:vAlign w:val="center"/>
            <w:hideMark/>
          </w:tcPr>
          <w:p w14:paraId="00EB9B39"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17" w:type="pct"/>
            <w:tcBorders>
              <w:top w:val="nil"/>
              <w:left w:val="nil"/>
              <w:bottom w:val="nil"/>
              <w:right w:val="nil"/>
            </w:tcBorders>
            <w:shd w:val="clear" w:color="000000" w:fill="F7A3B0"/>
            <w:noWrap/>
            <w:vAlign w:val="center"/>
            <w:hideMark/>
          </w:tcPr>
          <w:p w14:paraId="69AE9A85"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21" w:type="pct"/>
            <w:tcBorders>
              <w:top w:val="nil"/>
              <w:left w:val="nil"/>
              <w:bottom w:val="nil"/>
              <w:right w:val="nil"/>
            </w:tcBorders>
            <w:shd w:val="clear" w:color="000000" w:fill="F7A3B0"/>
            <w:noWrap/>
            <w:vAlign w:val="center"/>
            <w:hideMark/>
          </w:tcPr>
          <w:p w14:paraId="6A6ABEBA"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78" w:type="pct"/>
            <w:tcBorders>
              <w:top w:val="nil"/>
              <w:left w:val="nil"/>
              <w:bottom w:val="nil"/>
              <w:right w:val="nil"/>
            </w:tcBorders>
            <w:shd w:val="clear" w:color="000000" w:fill="F7A3B0"/>
            <w:noWrap/>
            <w:vAlign w:val="center"/>
            <w:hideMark/>
          </w:tcPr>
          <w:p w14:paraId="1C23C5C8"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5" w:type="pct"/>
            <w:tcBorders>
              <w:top w:val="nil"/>
              <w:left w:val="nil"/>
              <w:bottom w:val="nil"/>
              <w:right w:val="nil"/>
            </w:tcBorders>
            <w:shd w:val="clear" w:color="000000" w:fill="F7A3B0"/>
            <w:noWrap/>
            <w:vAlign w:val="center"/>
            <w:hideMark/>
          </w:tcPr>
          <w:p w14:paraId="236745D3"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8" w:type="pct"/>
            <w:tcBorders>
              <w:top w:val="nil"/>
              <w:left w:val="nil"/>
              <w:bottom w:val="nil"/>
              <w:right w:val="nil"/>
            </w:tcBorders>
            <w:shd w:val="clear" w:color="000000" w:fill="F7A3B0"/>
            <w:noWrap/>
            <w:vAlign w:val="center"/>
            <w:hideMark/>
          </w:tcPr>
          <w:p w14:paraId="4BEE8405"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1" w:type="pct"/>
            <w:tcBorders>
              <w:top w:val="nil"/>
              <w:left w:val="nil"/>
              <w:bottom w:val="nil"/>
              <w:right w:val="single" w:sz="8" w:space="0" w:color="FF0000"/>
            </w:tcBorders>
            <w:shd w:val="clear" w:color="000000" w:fill="F7A3B0"/>
            <w:noWrap/>
            <w:vAlign w:val="center"/>
            <w:hideMark/>
          </w:tcPr>
          <w:p w14:paraId="184BA1E4"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r>
      <w:tr w:rsidR="00AA49E3" w:rsidRPr="00894701" w14:paraId="37B6675C" w14:textId="77777777" w:rsidTr="00AA49E3">
        <w:trPr>
          <w:trHeight w:val="227"/>
          <w:jc w:val="center"/>
        </w:trPr>
        <w:tc>
          <w:tcPr>
            <w:tcW w:w="148" w:type="pct"/>
            <w:tcBorders>
              <w:top w:val="nil"/>
              <w:left w:val="single" w:sz="8" w:space="0" w:color="FF0000"/>
              <w:bottom w:val="nil"/>
              <w:right w:val="nil"/>
            </w:tcBorders>
            <w:shd w:val="clear" w:color="auto" w:fill="auto"/>
            <w:noWrap/>
            <w:tcMar>
              <w:left w:w="28" w:type="dxa"/>
              <w:right w:w="28" w:type="dxa"/>
            </w:tcMar>
            <w:vAlign w:val="center"/>
            <w:hideMark/>
          </w:tcPr>
          <w:p w14:paraId="77577C42"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3.4</w:t>
            </w:r>
          </w:p>
        </w:tc>
        <w:tc>
          <w:tcPr>
            <w:tcW w:w="784" w:type="pct"/>
            <w:tcBorders>
              <w:top w:val="nil"/>
              <w:left w:val="nil"/>
              <w:bottom w:val="nil"/>
              <w:right w:val="nil"/>
            </w:tcBorders>
            <w:shd w:val="clear" w:color="auto" w:fill="auto"/>
            <w:noWrap/>
            <w:vAlign w:val="center"/>
            <w:hideMark/>
          </w:tcPr>
          <w:p w14:paraId="7246D6A0" w14:textId="37265324"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Training</w:t>
            </w:r>
          </w:p>
        </w:tc>
        <w:tc>
          <w:tcPr>
            <w:tcW w:w="465" w:type="pct"/>
            <w:tcBorders>
              <w:top w:val="nil"/>
              <w:left w:val="nil"/>
              <w:bottom w:val="nil"/>
              <w:right w:val="nil"/>
            </w:tcBorders>
            <w:shd w:val="clear" w:color="auto" w:fill="auto"/>
            <w:noWrap/>
            <w:vAlign w:val="center"/>
            <w:hideMark/>
          </w:tcPr>
          <w:p w14:paraId="22A4B2A3"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2" w:type="pct"/>
            <w:tcBorders>
              <w:top w:val="nil"/>
              <w:left w:val="nil"/>
              <w:bottom w:val="nil"/>
              <w:right w:val="nil"/>
            </w:tcBorders>
            <w:shd w:val="clear" w:color="auto" w:fill="auto"/>
            <w:noWrap/>
            <w:vAlign w:val="center"/>
            <w:hideMark/>
          </w:tcPr>
          <w:p w14:paraId="2365CA18"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31" w:type="pct"/>
            <w:tcBorders>
              <w:top w:val="nil"/>
              <w:left w:val="nil"/>
              <w:bottom w:val="nil"/>
              <w:right w:val="nil"/>
            </w:tcBorders>
            <w:shd w:val="clear" w:color="auto" w:fill="auto"/>
            <w:noWrap/>
            <w:vAlign w:val="center"/>
            <w:hideMark/>
          </w:tcPr>
          <w:p w14:paraId="1306BB03"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17" w:type="pct"/>
            <w:tcBorders>
              <w:top w:val="nil"/>
              <w:left w:val="nil"/>
              <w:bottom w:val="nil"/>
              <w:right w:val="nil"/>
            </w:tcBorders>
            <w:shd w:val="clear" w:color="auto" w:fill="auto"/>
            <w:noWrap/>
            <w:vAlign w:val="center"/>
            <w:hideMark/>
          </w:tcPr>
          <w:p w14:paraId="04410FBA"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21" w:type="pct"/>
            <w:tcBorders>
              <w:top w:val="nil"/>
              <w:left w:val="nil"/>
              <w:bottom w:val="nil"/>
              <w:right w:val="nil"/>
            </w:tcBorders>
            <w:shd w:val="clear" w:color="auto" w:fill="auto"/>
            <w:noWrap/>
            <w:vAlign w:val="center"/>
            <w:hideMark/>
          </w:tcPr>
          <w:p w14:paraId="4F04F76F"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78" w:type="pct"/>
            <w:tcBorders>
              <w:top w:val="nil"/>
              <w:left w:val="nil"/>
              <w:bottom w:val="nil"/>
              <w:right w:val="nil"/>
            </w:tcBorders>
            <w:shd w:val="clear" w:color="auto" w:fill="auto"/>
            <w:noWrap/>
            <w:vAlign w:val="center"/>
            <w:hideMark/>
          </w:tcPr>
          <w:p w14:paraId="0C954541"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5" w:type="pct"/>
            <w:tcBorders>
              <w:top w:val="nil"/>
              <w:left w:val="nil"/>
              <w:bottom w:val="nil"/>
              <w:right w:val="nil"/>
            </w:tcBorders>
            <w:shd w:val="clear" w:color="auto" w:fill="auto"/>
            <w:noWrap/>
            <w:vAlign w:val="center"/>
            <w:hideMark/>
          </w:tcPr>
          <w:p w14:paraId="558E7F9E"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8" w:type="pct"/>
            <w:tcBorders>
              <w:top w:val="nil"/>
              <w:left w:val="nil"/>
              <w:bottom w:val="nil"/>
              <w:right w:val="nil"/>
            </w:tcBorders>
            <w:shd w:val="clear" w:color="auto" w:fill="auto"/>
            <w:noWrap/>
            <w:vAlign w:val="center"/>
            <w:hideMark/>
          </w:tcPr>
          <w:p w14:paraId="56C2A24B"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1" w:type="pct"/>
            <w:tcBorders>
              <w:top w:val="nil"/>
              <w:left w:val="nil"/>
              <w:bottom w:val="nil"/>
              <w:right w:val="single" w:sz="8" w:space="0" w:color="FF0000"/>
            </w:tcBorders>
            <w:shd w:val="clear" w:color="auto" w:fill="auto"/>
            <w:noWrap/>
            <w:vAlign w:val="center"/>
            <w:hideMark/>
          </w:tcPr>
          <w:p w14:paraId="03D9058B"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r>
      <w:tr w:rsidR="00AA49E3" w:rsidRPr="00894701" w14:paraId="73ECAE83" w14:textId="77777777" w:rsidTr="00AA49E3">
        <w:trPr>
          <w:trHeight w:val="227"/>
          <w:jc w:val="center"/>
        </w:trPr>
        <w:tc>
          <w:tcPr>
            <w:tcW w:w="148" w:type="pct"/>
            <w:tcBorders>
              <w:top w:val="nil"/>
              <w:left w:val="single" w:sz="8" w:space="0" w:color="FF0000"/>
              <w:bottom w:val="nil"/>
              <w:right w:val="nil"/>
            </w:tcBorders>
            <w:shd w:val="clear" w:color="000000" w:fill="F7A3B0"/>
            <w:noWrap/>
            <w:tcMar>
              <w:left w:w="28" w:type="dxa"/>
              <w:right w:w="28" w:type="dxa"/>
            </w:tcMar>
            <w:vAlign w:val="center"/>
            <w:hideMark/>
          </w:tcPr>
          <w:p w14:paraId="6BA8014C"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3.5</w:t>
            </w:r>
          </w:p>
        </w:tc>
        <w:tc>
          <w:tcPr>
            <w:tcW w:w="784" w:type="pct"/>
            <w:tcBorders>
              <w:top w:val="nil"/>
              <w:left w:val="nil"/>
              <w:bottom w:val="nil"/>
              <w:right w:val="nil"/>
            </w:tcBorders>
            <w:shd w:val="clear" w:color="000000" w:fill="F7A3B0"/>
            <w:noWrap/>
            <w:vAlign w:val="center"/>
            <w:hideMark/>
          </w:tcPr>
          <w:p w14:paraId="2746A863" w14:textId="2B517AD2"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R&amp;D</w:t>
            </w:r>
          </w:p>
        </w:tc>
        <w:tc>
          <w:tcPr>
            <w:tcW w:w="465" w:type="pct"/>
            <w:tcBorders>
              <w:top w:val="nil"/>
              <w:left w:val="nil"/>
              <w:bottom w:val="nil"/>
              <w:right w:val="nil"/>
            </w:tcBorders>
            <w:shd w:val="clear" w:color="000000" w:fill="F7A3B0"/>
            <w:noWrap/>
            <w:vAlign w:val="center"/>
            <w:hideMark/>
          </w:tcPr>
          <w:p w14:paraId="5CB6A778"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2" w:type="pct"/>
            <w:tcBorders>
              <w:top w:val="nil"/>
              <w:left w:val="nil"/>
              <w:bottom w:val="nil"/>
              <w:right w:val="nil"/>
            </w:tcBorders>
            <w:shd w:val="clear" w:color="000000" w:fill="F7A3B0"/>
            <w:noWrap/>
            <w:vAlign w:val="center"/>
            <w:hideMark/>
          </w:tcPr>
          <w:p w14:paraId="664387B3"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31" w:type="pct"/>
            <w:tcBorders>
              <w:top w:val="nil"/>
              <w:left w:val="nil"/>
              <w:bottom w:val="nil"/>
              <w:right w:val="nil"/>
            </w:tcBorders>
            <w:shd w:val="clear" w:color="000000" w:fill="F7A3B0"/>
            <w:noWrap/>
            <w:vAlign w:val="center"/>
            <w:hideMark/>
          </w:tcPr>
          <w:p w14:paraId="47B9C774"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17" w:type="pct"/>
            <w:tcBorders>
              <w:top w:val="nil"/>
              <w:left w:val="nil"/>
              <w:bottom w:val="nil"/>
              <w:right w:val="nil"/>
            </w:tcBorders>
            <w:shd w:val="clear" w:color="000000" w:fill="F7A3B0"/>
            <w:noWrap/>
            <w:vAlign w:val="center"/>
            <w:hideMark/>
          </w:tcPr>
          <w:p w14:paraId="3D25766C"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21" w:type="pct"/>
            <w:tcBorders>
              <w:top w:val="nil"/>
              <w:left w:val="nil"/>
              <w:bottom w:val="nil"/>
              <w:right w:val="nil"/>
            </w:tcBorders>
            <w:shd w:val="clear" w:color="000000" w:fill="F7A3B0"/>
            <w:noWrap/>
            <w:vAlign w:val="center"/>
            <w:hideMark/>
          </w:tcPr>
          <w:p w14:paraId="613CD96F"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78" w:type="pct"/>
            <w:tcBorders>
              <w:top w:val="nil"/>
              <w:left w:val="nil"/>
              <w:bottom w:val="nil"/>
              <w:right w:val="nil"/>
            </w:tcBorders>
            <w:shd w:val="clear" w:color="000000" w:fill="F7A3B0"/>
            <w:noWrap/>
            <w:vAlign w:val="center"/>
            <w:hideMark/>
          </w:tcPr>
          <w:p w14:paraId="766E6D1C"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5" w:type="pct"/>
            <w:tcBorders>
              <w:top w:val="nil"/>
              <w:left w:val="nil"/>
              <w:bottom w:val="nil"/>
              <w:right w:val="nil"/>
            </w:tcBorders>
            <w:shd w:val="clear" w:color="000000" w:fill="F7A3B0"/>
            <w:noWrap/>
            <w:vAlign w:val="center"/>
            <w:hideMark/>
          </w:tcPr>
          <w:p w14:paraId="055CB9B2"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8" w:type="pct"/>
            <w:tcBorders>
              <w:top w:val="nil"/>
              <w:left w:val="nil"/>
              <w:bottom w:val="nil"/>
              <w:right w:val="nil"/>
            </w:tcBorders>
            <w:shd w:val="clear" w:color="000000" w:fill="F7A3B0"/>
            <w:noWrap/>
            <w:vAlign w:val="center"/>
            <w:hideMark/>
          </w:tcPr>
          <w:p w14:paraId="514C9224"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1" w:type="pct"/>
            <w:tcBorders>
              <w:top w:val="nil"/>
              <w:left w:val="nil"/>
              <w:bottom w:val="nil"/>
              <w:right w:val="single" w:sz="8" w:space="0" w:color="FF0000"/>
            </w:tcBorders>
            <w:shd w:val="clear" w:color="000000" w:fill="F7A3B0"/>
            <w:noWrap/>
            <w:vAlign w:val="center"/>
            <w:hideMark/>
          </w:tcPr>
          <w:p w14:paraId="018F5CED"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r>
      <w:tr w:rsidR="00AA49E3" w:rsidRPr="00894701" w14:paraId="09756C02" w14:textId="77777777" w:rsidTr="00AA49E3">
        <w:trPr>
          <w:trHeight w:val="227"/>
          <w:jc w:val="center"/>
        </w:trPr>
        <w:tc>
          <w:tcPr>
            <w:tcW w:w="148" w:type="pct"/>
            <w:tcBorders>
              <w:top w:val="nil"/>
              <w:left w:val="single" w:sz="8" w:space="0" w:color="FF0000"/>
              <w:bottom w:val="nil"/>
              <w:right w:val="nil"/>
            </w:tcBorders>
            <w:shd w:val="clear" w:color="auto" w:fill="auto"/>
            <w:noWrap/>
            <w:tcMar>
              <w:left w:w="28" w:type="dxa"/>
              <w:right w:w="28" w:type="dxa"/>
            </w:tcMar>
            <w:vAlign w:val="center"/>
            <w:hideMark/>
          </w:tcPr>
          <w:p w14:paraId="59EFBD31"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3.6</w:t>
            </w:r>
          </w:p>
        </w:tc>
        <w:tc>
          <w:tcPr>
            <w:tcW w:w="784" w:type="pct"/>
            <w:tcBorders>
              <w:top w:val="nil"/>
              <w:left w:val="nil"/>
              <w:bottom w:val="nil"/>
              <w:right w:val="nil"/>
            </w:tcBorders>
            <w:shd w:val="clear" w:color="auto" w:fill="auto"/>
            <w:noWrap/>
            <w:vAlign w:val="center"/>
            <w:hideMark/>
          </w:tcPr>
          <w:p w14:paraId="5D39F1DE" w14:textId="3C45EFF9"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Production bonus</w:t>
            </w:r>
          </w:p>
        </w:tc>
        <w:tc>
          <w:tcPr>
            <w:tcW w:w="465" w:type="pct"/>
            <w:tcBorders>
              <w:top w:val="nil"/>
              <w:left w:val="nil"/>
              <w:bottom w:val="nil"/>
              <w:right w:val="nil"/>
            </w:tcBorders>
            <w:shd w:val="clear" w:color="auto" w:fill="auto"/>
            <w:noWrap/>
            <w:vAlign w:val="center"/>
            <w:hideMark/>
          </w:tcPr>
          <w:p w14:paraId="1300AF29"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2" w:type="pct"/>
            <w:tcBorders>
              <w:top w:val="nil"/>
              <w:left w:val="nil"/>
              <w:bottom w:val="nil"/>
              <w:right w:val="nil"/>
            </w:tcBorders>
            <w:shd w:val="clear" w:color="auto" w:fill="auto"/>
            <w:noWrap/>
            <w:vAlign w:val="center"/>
            <w:hideMark/>
          </w:tcPr>
          <w:p w14:paraId="1C4C85BF"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31" w:type="pct"/>
            <w:tcBorders>
              <w:top w:val="nil"/>
              <w:left w:val="nil"/>
              <w:bottom w:val="nil"/>
              <w:right w:val="nil"/>
            </w:tcBorders>
            <w:shd w:val="clear" w:color="auto" w:fill="auto"/>
            <w:noWrap/>
            <w:vAlign w:val="center"/>
            <w:hideMark/>
          </w:tcPr>
          <w:p w14:paraId="3EB3BFA9"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17" w:type="pct"/>
            <w:tcBorders>
              <w:top w:val="nil"/>
              <w:left w:val="nil"/>
              <w:bottom w:val="nil"/>
              <w:right w:val="nil"/>
            </w:tcBorders>
            <w:shd w:val="clear" w:color="auto" w:fill="auto"/>
            <w:noWrap/>
            <w:vAlign w:val="center"/>
            <w:hideMark/>
          </w:tcPr>
          <w:p w14:paraId="10CC96FB"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21" w:type="pct"/>
            <w:tcBorders>
              <w:top w:val="nil"/>
              <w:left w:val="nil"/>
              <w:bottom w:val="nil"/>
              <w:right w:val="nil"/>
            </w:tcBorders>
            <w:shd w:val="clear" w:color="auto" w:fill="auto"/>
            <w:noWrap/>
            <w:vAlign w:val="center"/>
            <w:hideMark/>
          </w:tcPr>
          <w:p w14:paraId="13C8D3D5"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78" w:type="pct"/>
            <w:tcBorders>
              <w:top w:val="nil"/>
              <w:left w:val="nil"/>
              <w:bottom w:val="nil"/>
              <w:right w:val="nil"/>
            </w:tcBorders>
            <w:shd w:val="clear" w:color="auto" w:fill="auto"/>
            <w:noWrap/>
            <w:vAlign w:val="center"/>
            <w:hideMark/>
          </w:tcPr>
          <w:p w14:paraId="1A735225"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5" w:type="pct"/>
            <w:tcBorders>
              <w:top w:val="nil"/>
              <w:left w:val="nil"/>
              <w:bottom w:val="nil"/>
              <w:right w:val="nil"/>
            </w:tcBorders>
            <w:shd w:val="clear" w:color="auto" w:fill="auto"/>
            <w:noWrap/>
            <w:vAlign w:val="center"/>
            <w:hideMark/>
          </w:tcPr>
          <w:p w14:paraId="55231F05"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8" w:type="pct"/>
            <w:tcBorders>
              <w:top w:val="nil"/>
              <w:left w:val="nil"/>
              <w:bottom w:val="nil"/>
              <w:right w:val="nil"/>
            </w:tcBorders>
            <w:shd w:val="clear" w:color="auto" w:fill="auto"/>
            <w:noWrap/>
            <w:vAlign w:val="center"/>
            <w:hideMark/>
          </w:tcPr>
          <w:p w14:paraId="3F69EAE4"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1" w:type="pct"/>
            <w:tcBorders>
              <w:top w:val="nil"/>
              <w:left w:val="nil"/>
              <w:bottom w:val="nil"/>
              <w:right w:val="single" w:sz="8" w:space="0" w:color="FF0000"/>
            </w:tcBorders>
            <w:shd w:val="clear" w:color="auto" w:fill="auto"/>
            <w:noWrap/>
            <w:vAlign w:val="center"/>
            <w:hideMark/>
          </w:tcPr>
          <w:p w14:paraId="5D651221"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r>
      <w:tr w:rsidR="00AA49E3" w:rsidRPr="00894701" w14:paraId="0B7C9422" w14:textId="77777777" w:rsidTr="00AA49E3">
        <w:trPr>
          <w:trHeight w:val="227"/>
          <w:jc w:val="center"/>
        </w:trPr>
        <w:tc>
          <w:tcPr>
            <w:tcW w:w="148" w:type="pct"/>
            <w:tcBorders>
              <w:top w:val="nil"/>
              <w:left w:val="single" w:sz="8" w:space="0" w:color="FF0000"/>
              <w:bottom w:val="nil"/>
              <w:right w:val="nil"/>
            </w:tcBorders>
            <w:shd w:val="clear" w:color="000000" w:fill="F7A3B0"/>
            <w:noWrap/>
            <w:tcMar>
              <w:left w:w="28" w:type="dxa"/>
              <w:right w:w="28" w:type="dxa"/>
            </w:tcMar>
            <w:vAlign w:val="center"/>
            <w:hideMark/>
          </w:tcPr>
          <w:p w14:paraId="78BD5167"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3.7</w:t>
            </w:r>
          </w:p>
        </w:tc>
        <w:tc>
          <w:tcPr>
            <w:tcW w:w="784" w:type="pct"/>
            <w:tcBorders>
              <w:top w:val="nil"/>
              <w:left w:val="nil"/>
              <w:bottom w:val="nil"/>
              <w:right w:val="nil"/>
            </w:tcBorders>
            <w:shd w:val="clear" w:color="000000" w:fill="F7A3B0"/>
            <w:noWrap/>
            <w:vAlign w:val="center"/>
            <w:hideMark/>
          </w:tcPr>
          <w:p w14:paraId="11E8E3F7" w14:textId="34FD11DE"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Technical assistance</w:t>
            </w:r>
          </w:p>
        </w:tc>
        <w:tc>
          <w:tcPr>
            <w:tcW w:w="465" w:type="pct"/>
            <w:tcBorders>
              <w:top w:val="nil"/>
              <w:left w:val="nil"/>
              <w:bottom w:val="nil"/>
              <w:right w:val="nil"/>
            </w:tcBorders>
            <w:shd w:val="clear" w:color="000000" w:fill="F7A3B0"/>
            <w:noWrap/>
            <w:vAlign w:val="center"/>
            <w:hideMark/>
          </w:tcPr>
          <w:p w14:paraId="2E7E44D6"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2" w:type="pct"/>
            <w:tcBorders>
              <w:top w:val="nil"/>
              <w:left w:val="nil"/>
              <w:bottom w:val="nil"/>
              <w:right w:val="nil"/>
            </w:tcBorders>
            <w:shd w:val="clear" w:color="000000" w:fill="F7A3B0"/>
            <w:noWrap/>
            <w:vAlign w:val="center"/>
            <w:hideMark/>
          </w:tcPr>
          <w:p w14:paraId="3D2391DF"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31" w:type="pct"/>
            <w:tcBorders>
              <w:top w:val="nil"/>
              <w:left w:val="nil"/>
              <w:bottom w:val="nil"/>
              <w:right w:val="nil"/>
            </w:tcBorders>
            <w:shd w:val="clear" w:color="000000" w:fill="F7A3B0"/>
            <w:noWrap/>
            <w:vAlign w:val="center"/>
            <w:hideMark/>
          </w:tcPr>
          <w:p w14:paraId="189FE078"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17" w:type="pct"/>
            <w:tcBorders>
              <w:top w:val="nil"/>
              <w:left w:val="nil"/>
              <w:bottom w:val="nil"/>
              <w:right w:val="nil"/>
            </w:tcBorders>
            <w:shd w:val="clear" w:color="000000" w:fill="F7A3B0"/>
            <w:noWrap/>
            <w:vAlign w:val="center"/>
            <w:hideMark/>
          </w:tcPr>
          <w:p w14:paraId="487327DF"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21" w:type="pct"/>
            <w:tcBorders>
              <w:top w:val="nil"/>
              <w:left w:val="nil"/>
              <w:bottom w:val="nil"/>
              <w:right w:val="nil"/>
            </w:tcBorders>
            <w:shd w:val="clear" w:color="000000" w:fill="F7A3B0"/>
            <w:noWrap/>
            <w:vAlign w:val="center"/>
            <w:hideMark/>
          </w:tcPr>
          <w:p w14:paraId="04CD6C68"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78" w:type="pct"/>
            <w:tcBorders>
              <w:top w:val="nil"/>
              <w:left w:val="nil"/>
              <w:bottom w:val="nil"/>
              <w:right w:val="nil"/>
            </w:tcBorders>
            <w:shd w:val="clear" w:color="000000" w:fill="F7A3B0"/>
            <w:noWrap/>
            <w:vAlign w:val="center"/>
            <w:hideMark/>
          </w:tcPr>
          <w:p w14:paraId="57C495D1"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5" w:type="pct"/>
            <w:tcBorders>
              <w:top w:val="nil"/>
              <w:left w:val="nil"/>
              <w:bottom w:val="nil"/>
              <w:right w:val="nil"/>
            </w:tcBorders>
            <w:shd w:val="clear" w:color="000000" w:fill="F7A3B0"/>
            <w:noWrap/>
            <w:vAlign w:val="center"/>
            <w:hideMark/>
          </w:tcPr>
          <w:p w14:paraId="2BB44A12"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8" w:type="pct"/>
            <w:tcBorders>
              <w:top w:val="nil"/>
              <w:left w:val="nil"/>
              <w:bottom w:val="nil"/>
              <w:right w:val="nil"/>
            </w:tcBorders>
            <w:shd w:val="clear" w:color="000000" w:fill="F7A3B0"/>
            <w:noWrap/>
            <w:vAlign w:val="center"/>
            <w:hideMark/>
          </w:tcPr>
          <w:p w14:paraId="3E8A5188"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1" w:type="pct"/>
            <w:tcBorders>
              <w:top w:val="nil"/>
              <w:left w:val="nil"/>
              <w:bottom w:val="nil"/>
              <w:right w:val="single" w:sz="8" w:space="0" w:color="FF0000"/>
            </w:tcBorders>
            <w:shd w:val="clear" w:color="000000" w:fill="F7A3B0"/>
            <w:noWrap/>
            <w:vAlign w:val="center"/>
            <w:hideMark/>
          </w:tcPr>
          <w:p w14:paraId="5B66A2B3"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r>
      <w:tr w:rsidR="00AA49E3" w:rsidRPr="00894701" w14:paraId="696A835F" w14:textId="77777777" w:rsidTr="00AA49E3">
        <w:trPr>
          <w:trHeight w:val="227"/>
          <w:jc w:val="center"/>
        </w:trPr>
        <w:tc>
          <w:tcPr>
            <w:tcW w:w="148" w:type="pct"/>
            <w:tcBorders>
              <w:top w:val="nil"/>
              <w:left w:val="single" w:sz="8" w:space="0" w:color="FF0000"/>
              <w:bottom w:val="nil"/>
              <w:right w:val="nil"/>
            </w:tcBorders>
            <w:shd w:val="clear" w:color="auto" w:fill="auto"/>
            <w:noWrap/>
            <w:tcMar>
              <w:left w:w="28" w:type="dxa"/>
              <w:right w:w="28" w:type="dxa"/>
            </w:tcMar>
            <w:vAlign w:val="center"/>
            <w:hideMark/>
          </w:tcPr>
          <w:p w14:paraId="454B8D6E"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3.8</w:t>
            </w:r>
          </w:p>
        </w:tc>
        <w:tc>
          <w:tcPr>
            <w:tcW w:w="784" w:type="pct"/>
            <w:tcBorders>
              <w:top w:val="nil"/>
              <w:left w:val="nil"/>
              <w:bottom w:val="nil"/>
              <w:right w:val="nil"/>
            </w:tcBorders>
            <w:shd w:val="clear" w:color="auto" w:fill="auto"/>
            <w:noWrap/>
            <w:vAlign w:val="center"/>
            <w:hideMark/>
          </w:tcPr>
          <w:p w14:paraId="7E7D8DD3" w14:textId="70B6A18C"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Scholarships</w:t>
            </w:r>
          </w:p>
        </w:tc>
        <w:tc>
          <w:tcPr>
            <w:tcW w:w="465" w:type="pct"/>
            <w:tcBorders>
              <w:top w:val="nil"/>
              <w:left w:val="nil"/>
              <w:bottom w:val="nil"/>
              <w:right w:val="nil"/>
            </w:tcBorders>
            <w:shd w:val="clear" w:color="auto" w:fill="auto"/>
            <w:noWrap/>
            <w:vAlign w:val="center"/>
            <w:hideMark/>
          </w:tcPr>
          <w:p w14:paraId="31B6C1D4"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2" w:type="pct"/>
            <w:tcBorders>
              <w:top w:val="nil"/>
              <w:left w:val="nil"/>
              <w:bottom w:val="nil"/>
              <w:right w:val="nil"/>
            </w:tcBorders>
            <w:shd w:val="clear" w:color="auto" w:fill="auto"/>
            <w:noWrap/>
            <w:vAlign w:val="center"/>
            <w:hideMark/>
          </w:tcPr>
          <w:p w14:paraId="4B36A454"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31" w:type="pct"/>
            <w:tcBorders>
              <w:top w:val="nil"/>
              <w:left w:val="nil"/>
              <w:bottom w:val="nil"/>
              <w:right w:val="nil"/>
            </w:tcBorders>
            <w:shd w:val="clear" w:color="auto" w:fill="auto"/>
            <w:noWrap/>
            <w:vAlign w:val="center"/>
            <w:hideMark/>
          </w:tcPr>
          <w:p w14:paraId="0A4AFAD8"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17" w:type="pct"/>
            <w:tcBorders>
              <w:top w:val="nil"/>
              <w:left w:val="nil"/>
              <w:bottom w:val="nil"/>
              <w:right w:val="nil"/>
            </w:tcBorders>
            <w:shd w:val="clear" w:color="auto" w:fill="auto"/>
            <w:noWrap/>
            <w:vAlign w:val="center"/>
            <w:hideMark/>
          </w:tcPr>
          <w:p w14:paraId="7985D927"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21" w:type="pct"/>
            <w:tcBorders>
              <w:top w:val="nil"/>
              <w:left w:val="nil"/>
              <w:bottom w:val="nil"/>
              <w:right w:val="nil"/>
            </w:tcBorders>
            <w:shd w:val="clear" w:color="auto" w:fill="auto"/>
            <w:noWrap/>
            <w:vAlign w:val="center"/>
            <w:hideMark/>
          </w:tcPr>
          <w:p w14:paraId="1EE89F36"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78" w:type="pct"/>
            <w:tcBorders>
              <w:top w:val="nil"/>
              <w:left w:val="nil"/>
              <w:bottom w:val="nil"/>
              <w:right w:val="nil"/>
            </w:tcBorders>
            <w:shd w:val="clear" w:color="auto" w:fill="auto"/>
            <w:noWrap/>
            <w:vAlign w:val="center"/>
            <w:hideMark/>
          </w:tcPr>
          <w:p w14:paraId="5D309FC6"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5" w:type="pct"/>
            <w:tcBorders>
              <w:top w:val="nil"/>
              <w:left w:val="nil"/>
              <w:bottom w:val="nil"/>
              <w:right w:val="nil"/>
            </w:tcBorders>
            <w:shd w:val="clear" w:color="auto" w:fill="auto"/>
            <w:noWrap/>
            <w:vAlign w:val="center"/>
            <w:hideMark/>
          </w:tcPr>
          <w:p w14:paraId="2D6E61DF"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8" w:type="pct"/>
            <w:tcBorders>
              <w:top w:val="nil"/>
              <w:left w:val="nil"/>
              <w:bottom w:val="nil"/>
              <w:right w:val="nil"/>
            </w:tcBorders>
            <w:shd w:val="clear" w:color="auto" w:fill="auto"/>
            <w:noWrap/>
            <w:vAlign w:val="center"/>
            <w:hideMark/>
          </w:tcPr>
          <w:p w14:paraId="7EAD73E9"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1" w:type="pct"/>
            <w:tcBorders>
              <w:top w:val="nil"/>
              <w:left w:val="nil"/>
              <w:bottom w:val="nil"/>
              <w:right w:val="single" w:sz="8" w:space="0" w:color="FF0000"/>
            </w:tcBorders>
            <w:shd w:val="clear" w:color="auto" w:fill="auto"/>
            <w:noWrap/>
            <w:vAlign w:val="center"/>
            <w:hideMark/>
          </w:tcPr>
          <w:p w14:paraId="5F44B1EC"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r>
      <w:tr w:rsidR="00AA49E3" w:rsidRPr="00894701" w14:paraId="3E3457C5" w14:textId="77777777" w:rsidTr="00AA49E3">
        <w:trPr>
          <w:trHeight w:val="227"/>
          <w:jc w:val="center"/>
        </w:trPr>
        <w:tc>
          <w:tcPr>
            <w:tcW w:w="148" w:type="pct"/>
            <w:tcBorders>
              <w:top w:val="nil"/>
              <w:left w:val="single" w:sz="8" w:space="0" w:color="FF0000"/>
              <w:bottom w:val="nil"/>
              <w:right w:val="nil"/>
            </w:tcBorders>
            <w:shd w:val="clear" w:color="000000" w:fill="F7A3B0"/>
            <w:noWrap/>
            <w:tcMar>
              <w:left w:w="28" w:type="dxa"/>
              <w:right w:w="28" w:type="dxa"/>
            </w:tcMar>
            <w:vAlign w:val="center"/>
            <w:hideMark/>
          </w:tcPr>
          <w:p w14:paraId="363ECF25"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3.9</w:t>
            </w:r>
          </w:p>
        </w:tc>
        <w:tc>
          <w:tcPr>
            <w:tcW w:w="784" w:type="pct"/>
            <w:tcBorders>
              <w:top w:val="nil"/>
              <w:left w:val="nil"/>
              <w:bottom w:val="nil"/>
              <w:right w:val="nil"/>
            </w:tcBorders>
            <w:shd w:val="clear" w:color="000000" w:fill="F7A3B0"/>
            <w:noWrap/>
            <w:vAlign w:val="center"/>
            <w:hideMark/>
          </w:tcPr>
          <w:p w14:paraId="229D8D0B" w14:textId="73E25B74"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P.S.C. Holding fees</w:t>
            </w:r>
          </w:p>
        </w:tc>
        <w:tc>
          <w:tcPr>
            <w:tcW w:w="465" w:type="pct"/>
            <w:tcBorders>
              <w:top w:val="nil"/>
              <w:left w:val="nil"/>
              <w:bottom w:val="nil"/>
              <w:right w:val="nil"/>
            </w:tcBorders>
            <w:shd w:val="clear" w:color="000000" w:fill="F7A3B0"/>
            <w:noWrap/>
            <w:vAlign w:val="center"/>
            <w:hideMark/>
          </w:tcPr>
          <w:p w14:paraId="1138A73B"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2" w:type="pct"/>
            <w:tcBorders>
              <w:top w:val="nil"/>
              <w:left w:val="nil"/>
              <w:bottom w:val="nil"/>
              <w:right w:val="nil"/>
            </w:tcBorders>
            <w:shd w:val="clear" w:color="000000" w:fill="F7A3B0"/>
            <w:noWrap/>
            <w:vAlign w:val="center"/>
            <w:hideMark/>
          </w:tcPr>
          <w:p w14:paraId="457439CE"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31" w:type="pct"/>
            <w:tcBorders>
              <w:top w:val="nil"/>
              <w:left w:val="nil"/>
              <w:bottom w:val="nil"/>
              <w:right w:val="nil"/>
            </w:tcBorders>
            <w:shd w:val="clear" w:color="000000" w:fill="F7A3B0"/>
            <w:noWrap/>
            <w:vAlign w:val="center"/>
            <w:hideMark/>
          </w:tcPr>
          <w:p w14:paraId="16DA7698"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17" w:type="pct"/>
            <w:tcBorders>
              <w:top w:val="nil"/>
              <w:left w:val="nil"/>
              <w:bottom w:val="nil"/>
              <w:right w:val="nil"/>
            </w:tcBorders>
            <w:shd w:val="clear" w:color="000000" w:fill="F7A3B0"/>
            <w:noWrap/>
            <w:vAlign w:val="center"/>
            <w:hideMark/>
          </w:tcPr>
          <w:p w14:paraId="56046821"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21" w:type="pct"/>
            <w:tcBorders>
              <w:top w:val="nil"/>
              <w:left w:val="nil"/>
              <w:bottom w:val="nil"/>
              <w:right w:val="nil"/>
            </w:tcBorders>
            <w:shd w:val="clear" w:color="000000" w:fill="F7A3B0"/>
            <w:noWrap/>
            <w:vAlign w:val="center"/>
            <w:hideMark/>
          </w:tcPr>
          <w:p w14:paraId="021B9BB3"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78" w:type="pct"/>
            <w:tcBorders>
              <w:top w:val="nil"/>
              <w:left w:val="nil"/>
              <w:bottom w:val="nil"/>
              <w:right w:val="nil"/>
            </w:tcBorders>
            <w:shd w:val="clear" w:color="000000" w:fill="F7A3B0"/>
            <w:noWrap/>
            <w:vAlign w:val="center"/>
            <w:hideMark/>
          </w:tcPr>
          <w:p w14:paraId="7830D01B"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5" w:type="pct"/>
            <w:tcBorders>
              <w:top w:val="nil"/>
              <w:left w:val="nil"/>
              <w:bottom w:val="nil"/>
              <w:right w:val="nil"/>
            </w:tcBorders>
            <w:shd w:val="clear" w:color="000000" w:fill="F7A3B0"/>
            <w:noWrap/>
            <w:vAlign w:val="center"/>
            <w:hideMark/>
          </w:tcPr>
          <w:p w14:paraId="03AC90DA"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8" w:type="pct"/>
            <w:tcBorders>
              <w:top w:val="nil"/>
              <w:left w:val="nil"/>
              <w:bottom w:val="nil"/>
              <w:right w:val="nil"/>
            </w:tcBorders>
            <w:shd w:val="clear" w:color="000000" w:fill="F7A3B0"/>
            <w:noWrap/>
            <w:vAlign w:val="center"/>
            <w:hideMark/>
          </w:tcPr>
          <w:p w14:paraId="0E3DBB1D"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1" w:type="pct"/>
            <w:tcBorders>
              <w:top w:val="nil"/>
              <w:left w:val="nil"/>
              <w:bottom w:val="nil"/>
              <w:right w:val="single" w:sz="8" w:space="0" w:color="FF0000"/>
            </w:tcBorders>
            <w:shd w:val="clear" w:color="000000" w:fill="F7A3B0"/>
            <w:noWrap/>
            <w:vAlign w:val="center"/>
            <w:hideMark/>
          </w:tcPr>
          <w:p w14:paraId="713FF8AF"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r>
      <w:tr w:rsidR="00AA49E3" w:rsidRPr="00894701" w14:paraId="19D9ED5E" w14:textId="77777777" w:rsidTr="00AA49E3">
        <w:trPr>
          <w:trHeight w:val="227"/>
          <w:jc w:val="center"/>
        </w:trPr>
        <w:tc>
          <w:tcPr>
            <w:tcW w:w="148" w:type="pct"/>
            <w:tcBorders>
              <w:top w:val="nil"/>
              <w:left w:val="single" w:sz="8" w:space="0" w:color="FF0000"/>
              <w:bottom w:val="nil"/>
              <w:right w:val="nil"/>
            </w:tcBorders>
            <w:shd w:val="clear" w:color="auto" w:fill="auto"/>
            <w:noWrap/>
            <w:tcMar>
              <w:left w:w="28" w:type="dxa"/>
              <w:right w:w="28" w:type="dxa"/>
            </w:tcMar>
            <w:vAlign w:val="center"/>
            <w:hideMark/>
          </w:tcPr>
          <w:p w14:paraId="791806B1"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3.1</w:t>
            </w:r>
          </w:p>
        </w:tc>
        <w:tc>
          <w:tcPr>
            <w:tcW w:w="784" w:type="pct"/>
            <w:tcBorders>
              <w:top w:val="nil"/>
              <w:left w:val="nil"/>
              <w:bottom w:val="nil"/>
              <w:right w:val="nil"/>
            </w:tcBorders>
            <w:shd w:val="clear" w:color="auto" w:fill="auto"/>
            <w:noWrap/>
            <w:vAlign w:val="center"/>
            <w:hideMark/>
          </w:tcPr>
          <w:p w14:paraId="29C5A43F" w14:textId="76E5AB4C"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All other payments</w:t>
            </w:r>
          </w:p>
        </w:tc>
        <w:tc>
          <w:tcPr>
            <w:tcW w:w="465" w:type="pct"/>
            <w:tcBorders>
              <w:top w:val="nil"/>
              <w:left w:val="nil"/>
              <w:bottom w:val="nil"/>
              <w:right w:val="nil"/>
            </w:tcBorders>
            <w:shd w:val="clear" w:color="auto" w:fill="auto"/>
            <w:noWrap/>
            <w:vAlign w:val="center"/>
            <w:hideMark/>
          </w:tcPr>
          <w:p w14:paraId="1E3AC6C0"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185,018</w:t>
            </w:r>
          </w:p>
        </w:tc>
        <w:tc>
          <w:tcPr>
            <w:tcW w:w="512" w:type="pct"/>
            <w:tcBorders>
              <w:top w:val="nil"/>
              <w:left w:val="nil"/>
              <w:bottom w:val="nil"/>
              <w:right w:val="nil"/>
            </w:tcBorders>
            <w:shd w:val="clear" w:color="auto" w:fill="auto"/>
            <w:noWrap/>
            <w:vAlign w:val="center"/>
            <w:hideMark/>
          </w:tcPr>
          <w:p w14:paraId="4FE780A0"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31" w:type="pct"/>
            <w:tcBorders>
              <w:top w:val="nil"/>
              <w:left w:val="nil"/>
              <w:bottom w:val="nil"/>
              <w:right w:val="nil"/>
            </w:tcBorders>
            <w:shd w:val="clear" w:color="auto" w:fill="auto"/>
            <w:noWrap/>
            <w:vAlign w:val="center"/>
            <w:hideMark/>
          </w:tcPr>
          <w:p w14:paraId="7F3E61E6"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185,018</w:t>
            </w:r>
          </w:p>
        </w:tc>
        <w:tc>
          <w:tcPr>
            <w:tcW w:w="417" w:type="pct"/>
            <w:tcBorders>
              <w:top w:val="nil"/>
              <w:left w:val="nil"/>
              <w:bottom w:val="nil"/>
              <w:right w:val="nil"/>
            </w:tcBorders>
            <w:shd w:val="clear" w:color="auto" w:fill="auto"/>
            <w:noWrap/>
            <w:vAlign w:val="center"/>
            <w:hideMark/>
          </w:tcPr>
          <w:p w14:paraId="173EA45A"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21" w:type="pct"/>
            <w:tcBorders>
              <w:top w:val="nil"/>
              <w:left w:val="nil"/>
              <w:bottom w:val="nil"/>
              <w:right w:val="nil"/>
            </w:tcBorders>
            <w:shd w:val="clear" w:color="auto" w:fill="auto"/>
            <w:noWrap/>
            <w:vAlign w:val="center"/>
            <w:hideMark/>
          </w:tcPr>
          <w:p w14:paraId="5933C478"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78" w:type="pct"/>
            <w:tcBorders>
              <w:top w:val="nil"/>
              <w:left w:val="nil"/>
              <w:bottom w:val="nil"/>
              <w:right w:val="nil"/>
            </w:tcBorders>
            <w:shd w:val="clear" w:color="auto" w:fill="auto"/>
            <w:noWrap/>
            <w:vAlign w:val="center"/>
            <w:hideMark/>
          </w:tcPr>
          <w:p w14:paraId="32051D24"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5" w:type="pct"/>
            <w:tcBorders>
              <w:top w:val="nil"/>
              <w:left w:val="nil"/>
              <w:bottom w:val="nil"/>
              <w:right w:val="nil"/>
            </w:tcBorders>
            <w:shd w:val="clear" w:color="auto" w:fill="auto"/>
            <w:noWrap/>
            <w:vAlign w:val="center"/>
            <w:hideMark/>
          </w:tcPr>
          <w:p w14:paraId="093BB6FD"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185,018</w:t>
            </w:r>
          </w:p>
        </w:tc>
        <w:tc>
          <w:tcPr>
            <w:tcW w:w="468" w:type="pct"/>
            <w:tcBorders>
              <w:top w:val="nil"/>
              <w:left w:val="nil"/>
              <w:bottom w:val="nil"/>
              <w:right w:val="nil"/>
            </w:tcBorders>
            <w:shd w:val="clear" w:color="auto" w:fill="auto"/>
            <w:noWrap/>
            <w:vAlign w:val="center"/>
            <w:hideMark/>
          </w:tcPr>
          <w:p w14:paraId="52E7B145"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1" w:type="pct"/>
            <w:tcBorders>
              <w:top w:val="nil"/>
              <w:left w:val="nil"/>
              <w:bottom w:val="nil"/>
              <w:right w:val="single" w:sz="8" w:space="0" w:color="FF0000"/>
            </w:tcBorders>
            <w:shd w:val="clear" w:color="auto" w:fill="auto"/>
            <w:noWrap/>
            <w:vAlign w:val="center"/>
            <w:hideMark/>
          </w:tcPr>
          <w:p w14:paraId="1D888819"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185,018</w:t>
            </w:r>
          </w:p>
        </w:tc>
      </w:tr>
      <w:tr w:rsidR="002F4BAB" w:rsidRPr="00894701" w14:paraId="0188A879" w14:textId="77777777" w:rsidTr="009052AC">
        <w:trPr>
          <w:trHeight w:val="227"/>
          <w:jc w:val="center"/>
        </w:trPr>
        <w:tc>
          <w:tcPr>
            <w:tcW w:w="932" w:type="pct"/>
            <w:gridSpan w:val="2"/>
            <w:tcBorders>
              <w:top w:val="nil"/>
              <w:left w:val="single" w:sz="8" w:space="0" w:color="FF0000"/>
              <w:bottom w:val="nil"/>
              <w:right w:val="nil"/>
            </w:tcBorders>
            <w:shd w:val="clear" w:color="000000" w:fill="C0A99E"/>
            <w:noWrap/>
            <w:tcMar>
              <w:left w:w="28" w:type="dxa"/>
              <w:right w:w="28" w:type="dxa"/>
            </w:tcMar>
            <w:vAlign w:val="center"/>
            <w:hideMark/>
          </w:tcPr>
          <w:p w14:paraId="5873F129" w14:textId="77777777" w:rsidR="002F4BAB" w:rsidRPr="00894701" w:rsidRDefault="002F4BAB" w:rsidP="002209C2">
            <w:pPr>
              <w:spacing w:after="0" w:line="240" w:lineRule="auto"/>
              <w:rPr>
                <w:rFonts w:cs="Arial"/>
                <w:b/>
                <w:bCs/>
                <w:color w:val="auto"/>
                <w:kern w:val="0"/>
                <w:sz w:val="16"/>
                <w:szCs w:val="16"/>
              </w:rPr>
            </w:pPr>
            <w:r w:rsidRPr="00894701">
              <w:rPr>
                <w:rFonts w:cs="Arial"/>
                <w:b/>
                <w:bCs/>
                <w:color w:val="auto"/>
                <w:kern w:val="0"/>
                <w:sz w:val="16"/>
                <w:szCs w:val="16"/>
              </w:rPr>
              <w:t>State Owned Entities</w:t>
            </w:r>
          </w:p>
        </w:tc>
        <w:tc>
          <w:tcPr>
            <w:tcW w:w="465" w:type="pct"/>
            <w:tcBorders>
              <w:top w:val="nil"/>
              <w:left w:val="nil"/>
              <w:bottom w:val="nil"/>
              <w:right w:val="nil"/>
            </w:tcBorders>
            <w:shd w:val="clear" w:color="000000" w:fill="C0A99E"/>
            <w:noWrap/>
            <w:vAlign w:val="center"/>
            <w:hideMark/>
          </w:tcPr>
          <w:p w14:paraId="72F78CB4" w14:textId="77777777" w:rsidR="002F4BAB" w:rsidRPr="00894701" w:rsidRDefault="002F4BAB" w:rsidP="0010169E">
            <w:pPr>
              <w:spacing w:after="0" w:line="240" w:lineRule="auto"/>
              <w:jc w:val="right"/>
              <w:rPr>
                <w:rFonts w:cs="Arial"/>
                <w:b/>
                <w:bCs/>
                <w:color w:val="auto"/>
                <w:kern w:val="0"/>
                <w:sz w:val="16"/>
                <w:szCs w:val="16"/>
              </w:rPr>
            </w:pPr>
            <w:r w:rsidRPr="00894701">
              <w:rPr>
                <w:rFonts w:cs="Arial"/>
                <w:b/>
                <w:bCs/>
                <w:color w:val="auto"/>
                <w:sz w:val="16"/>
                <w:szCs w:val="16"/>
              </w:rPr>
              <w:t>-</w:t>
            </w:r>
          </w:p>
        </w:tc>
        <w:tc>
          <w:tcPr>
            <w:tcW w:w="512" w:type="pct"/>
            <w:tcBorders>
              <w:top w:val="nil"/>
              <w:left w:val="nil"/>
              <w:bottom w:val="nil"/>
              <w:right w:val="nil"/>
            </w:tcBorders>
            <w:shd w:val="clear" w:color="000000" w:fill="C0A99E"/>
            <w:noWrap/>
            <w:vAlign w:val="center"/>
            <w:hideMark/>
          </w:tcPr>
          <w:p w14:paraId="1DDDDB4A" w14:textId="77777777" w:rsidR="002F4BAB" w:rsidRPr="00894701" w:rsidRDefault="002F4BAB" w:rsidP="0010169E">
            <w:pPr>
              <w:spacing w:after="0" w:line="240" w:lineRule="auto"/>
              <w:jc w:val="right"/>
              <w:rPr>
                <w:rFonts w:cs="Arial"/>
                <w:b/>
                <w:bCs/>
                <w:color w:val="auto"/>
                <w:kern w:val="0"/>
                <w:sz w:val="16"/>
                <w:szCs w:val="16"/>
              </w:rPr>
            </w:pPr>
            <w:r w:rsidRPr="00894701">
              <w:rPr>
                <w:rFonts w:cs="Arial"/>
                <w:b/>
                <w:bCs/>
                <w:color w:val="auto"/>
                <w:sz w:val="16"/>
                <w:szCs w:val="16"/>
              </w:rPr>
              <w:t>-</w:t>
            </w:r>
          </w:p>
        </w:tc>
        <w:tc>
          <w:tcPr>
            <w:tcW w:w="431" w:type="pct"/>
            <w:tcBorders>
              <w:top w:val="nil"/>
              <w:left w:val="nil"/>
              <w:bottom w:val="nil"/>
              <w:right w:val="nil"/>
            </w:tcBorders>
            <w:shd w:val="clear" w:color="000000" w:fill="C0A99E"/>
            <w:noWrap/>
            <w:vAlign w:val="center"/>
            <w:hideMark/>
          </w:tcPr>
          <w:p w14:paraId="63327023" w14:textId="77777777" w:rsidR="002F4BAB" w:rsidRPr="00894701" w:rsidRDefault="002F4BAB" w:rsidP="0010169E">
            <w:pPr>
              <w:spacing w:after="0" w:line="240" w:lineRule="auto"/>
              <w:jc w:val="right"/>
              <w:rPr>
                <w:rFonts w:cs="Arial"/>
                <w:b/>
                <w:bCs/>
                <w:color w:val="auto"/>
                <w:kern w:val="0"/>
                <w:sz w:val="16"/>
                <w:szCs w:val="16"/>
              </w:rPr>
            </w:pPr>
            <w:r w:rsidRPr="00894701">
              <w:rPr>
                <w:rFonts w:cs="Arial"/>
                <w:b/>
                <w:bCs/>
                <w:color w:val="auto"/>
                <w:sz w:val="16"/>
                <w:szCs w:val="16"/>
              </w:rPr>
              <w:t>-</w:t>
            </w:r>
          </w:p>
        </w:tc>
        <w:tc>
          <w:tcPr>
            <w:tcW w:w="417" w:type="pct"/>
            <w:tcBorders>
              <w:top w:val="nil"/>
              <w:left w:val="nil"/>
              <w:bottom w:val="nil"/>
              <w:right w:val="nil"/>
            </w:tcBorders>
            <w:shd w:val="clear" w:color="000000" w:fill="C0A99E"/>
            <w:noWrap/>
            <w:vAlign w:val="center"/>
            <w:hideMark/>
          </w:tcPr>
          <w:p w14:paraId="2104C8C8" w14:textId="77777777" w:rsidR="002F4BAB" w:rsidRPr="00894701" w:rsidRDefault="002F4BAB" w:rsidP="0010169E">
            <w:pPr>
              <w:spacing w:after="0" w:line="240" w:lineRule="auto"/>
              <w:jc w:val="right"/>
              <w:rPr>
                <w:rFonts w:cs="Arial"/>
                <w:b/>
                <w:bCs/>
                <w:color w:val="auto"/>
                <w:kern w:val="0"/>
                <w:sz w:val="16"/>
                <w:szCs w:val="16"/>
              </w:rPr>
            </w:pPr>
            <w:r w:rsidRPr="00894701">
              <w:rPr>
                <w:rFonts w:cs="Arial"/>
                <w:b/>
                <w:bCs/>
                <w:color w:val="auto"/>
                <w:sz w:val="16"/>
                <w:szCs w:val="16"/>
              </w:rPr>
              <w:t>-</w:t>
            </w:r>
          </w:p>
        </w:tc>
        <w:tc>
          <w:tcPr>
            <w:tcW w:w="421" w:type="pct"/>
            <w:tcBorders>
              <w:top w:val="nil"/>
              <w:left w:val="nil"/>
              <w:bottom w:val="nil"/>
              <w:right w:val="nil"/>
            </w:tcBorders>
            <w:shd w:val="clear" w:color="000000" w:fill="C0A99E"/>
            <w:noWrap/>
            <w:vAlign w:val="center"/>
            <w:hideMark/>
          </w:tcPr>
          <w:p w14:paraId="4F9760DF" w14:textId="77777777" w:rsidR="002F4BAB" w:rsidRPr="00894701" w:rsidRDefault="002F4BAB" w:rsidP="0010169E">
            <w:pPr>
              <w:spacing w:after="0" w:line="240" w:lineRule="auto"/>
              <w:jc w:val="right"/>
              <w:rPr>
                <w:rFonts w:cs="Arial"/>
                <w:b/>
                <w:bCs/>
                <w:color w:val="auto"/>
                <w:kern w:val="0"/>
                <w:sz w:val="16"/>
                <w:szCs w:val="16"/>
              </w:rPr>
            </w:pPr>
            <w:r w:rsidRPr="00894701">
              <w:rPr>
                <w:rFonts w:cs="Arial"/>
                <w:b/>
                <w:bCs/>
                <w:color w:val="auto"/>
                <w:sz w:val="16"/>
                <w:szCs w:val="16"/>
              </w:rPr>
              <w:t>-</w:t>
            </w:r>
          </w:p>
        </w:tc>
        <w:tc>
          <w:tcPr>
            <w:tcW w:w="378" w:type="pct"/>
            <w:tcBorders>
              <w:top w:val="nil"/>
              <w:left w:val="nil"/>
              <w:bottom w:val="nil"/>
              <w:right w:val="nil"/>
            </w:tcBorders>
            <w:shd w:val="clear" w:color="000000" w:fill="C0A99E"/>
            <w:noWrap/>
            <w:vAlign w:val="center"/>
            <w:hideMark/>
          </w:tcPr>
          <w:p w14:paraId="7D6C1809" w14:textId="77777777" w:rsidR="002F4BAB" w:rsidRPr="00894701" w:rsidRDefault="002F4BAB" w:rsidP="0010169E">
            <w:pPr>
              <w:spacing w:after="0" w:line="240" w:lineRule="auto"/>
              <w:jc w:val="right"/>
              <w:rPr>
                <w:rFonts w:cs="Arial"/>
                <w:b/>
                <w:bCs/>
                <w:color w:val="auto"/>
                <w:kern w:val="0"/>
                <w:sz w:val="16"/>
                <w:szCs w:val="16"/>
              </w:rPr>
            </w:pPr>
            <w:r w:rsidRPr="00894701">
              <w:rPr>
                <w:rFonts w:cs="Arial"/>
                <w:b/>
                <w:bCs/>
                <w:color w:val="auto"/>
                <w:sz w:val="16"/>
                <w:szCs w:val="16"/>
              </w:rPr>
              <w:t>-</w:t>
            </w:r>
          </w:p>
        </w:tc>
        <w:tc>
          <w:tcPr>
            <w:tcW w:w="465" w:type="pct"/>
            <w:tcBorders>
              <w:top w:val="nil"/>
              <w:left w:val="nil"/>
              <w:bottom w:val="nil"/>
              <w:right w:val="nil"/>
            </w:tcBorders>
            <w:shd w:val="clear" w:color="000000" w:fill="C0A99E"/>
            <w:noWrap/>
            <w:vAlign w:val="center"/>
            <w:hideMark/>
          </w:tcPr>
          <w:p w14:paraId="36E306FC" w14:textId="77777777" w:rsidR="002F4BAB" w:rsidRPr="00894701" w:rsidRDefault="002F4BAB" w:rsidP="0010169E">
            <w:pPr>
              <w:spacing w:after="0" w:line="240" w:lineRule="auto"/>
              <w:jc w:val="right"/>
              <w:rPr>
                <w:rFonts w:cs="Arial"/>
                <w:b/>
                <w:bCs/>
                <w:color w:val="auto"/>
                <w:kern w:val="0"/>
                <w:sz w:val="16"/>
                <w:szCs w:val="16"/>
              </w:rPr>
            </w:pPr>
            <w:r w:rsidRPr="00894701">
              <w:rPr>
                <w:rFonts w:cs="Arial"/>
                <w:b/>
                <w:bCs/>
                <w:color w:val="auto"/>
                <w:sz w:val="16"/>
                <w:szCs w:val="16"/>
              </w:rPr>
              <w:t>-</w:t>
            </w:r>
          </w:p>
        </w:tc>
        <w:tc>
          <w:tcPr>
            <w:tcW w:w="468" w:type="pct"/>
            <w:tcBorders>
              <w:top w:val="nil"/>
              <w:left w:val="nil"/>
              <w:bottom w:val="nil"/>
              <w:right w:val="nil"/>
            </w:tcBorders>
            <w:shd w:val="clear" w:color="000000" w:fill="C0A99E"/>
            <w:noWrap/>
            <w:vAlign w:val="center"/>
            <w:hideMark/>
          </w:tcPr>
          <w:p w14:paraId="3E8FB2CF" w14:textId="77777777" w:rsidR="002F4BAB" w:rsidRPr="00894701" w:rsidRDefault="002F4BAB" w:rsidP="0010169E">
            <w:pPr>
              <w:spacing w:after="0" w:line="240" w:lineRule="auto"/>
              <w:jc w:val="right"/>
              <w:rPr>
                <w:rFonts w:cs="Arial"/>
                <w:b/>
                <w:bCs/>
                <w:color w:val="auto"/>
                <w:kern w:val="0"/>
                <w:sz w:val="16"/>
                <w:szCs w:val="16"/>
              </w:rPr>
            </w:pPr>
            <w:r w:rsidRPr="00894701">
              <w:rPr>
                <w:rFonts w:cs="Arial"/>
                <w:b/>
                <w:bCs/>
                <w:color w:val="auto"/>
                <w:sz w:val="16"/>
                <w:szCs w:val="16"/>
              </w:rPr>
              <w:t>-</w:t>
            </w:r>
          </w:p>
        </w:tc>
        <w:tc>
          <w:tcPr>
            <w:tcW w:w="511" w:type="pct"/>
            <w:tcBorders>
              <w:top w:val="nil"/>
              <w:left w:val="nil"/>
              <w:bottom w:val="nil"/>
              <w:right w:val="nil"/>
            </w:tcBorders>
            <w:shd w:val="clear" w:color="000000" w:fill="C0A99E"/>
            <w:noWrap/>
            <w:vAlign w:val="center"/>
            <w:hideMark/>
          </w:tcPr>
          <w:p w14:paraId="29CB910F" w14:textId="77777777" w:rsidR="002F4BAB" w:rsidRPr="00894701" w:rsidRDefault="002F4BAB" w:rsidP="0010169E">
            <w:pPr>
              <w:spacing w:after="0" w:line="240" w:lineRule="auto"/>
              <w:jc w:val="right"/>
              <w:rPr>
                <w:rFonts w:cs="Arial"/>
                <w:b/>
                <w:bCs/>
                <w:color w:val="auto"/>
                <w:kern w:val="0"/>
                <w:sz w:val="16"/>
                <w:szCs w:val="16"/>
              </w:rPr>
            </w:pPr>
            <w:r w:rsidRPr="00894701">
              <w:rPr>
                <w:rFonts w:cs="Arial"/>
                <w:b/>
                <w:bCs/>
                <w:color w:val="auto"/>
                <w:sz w:val="16"/>
                <w:szCs w:val="16"/>
              </w:rPr>
              <w:t>-</w:t>
            </w:r>
          </w:p>
        </w:tc>
      </w:tr>
      <w:tr w:rsidR="00DE3684" w:rsidRPr="00894701" w14:paraId="47451985" w14:textId="77777777" w:rsidTr="00AA49E3">
        <w:trPr>
          <w:trHeight w:val="227"/>
          <w:jc w:val="center"/>
        </w:trPr>
        <w:tc>
          <w:tcPr>
            <w:tcW w:w="148" w:type="pct"/>
            <w:tcBorders>
              <w:top w:val="nil"/>
              <w:left w:val="single" w:sz="8" w:space="0" w:color="FF0000"/>
              <w:bottom w:val="nil"/>
              <w:right w:val="nil"/>
            </w:tcBorders>
            <w:shd w:val="clear" w:color="auto" w:fill="auto"/>
            <w:noWrap/>
            <w:tcMar>
              <w:left w:w="28" w:type="dxa"/>
              <w:right w:w="28" w:type="dxa"/>
            </w:tcMar>
            <w:vAlign w:val="center"/>
            <w:hideMark/>
          </w:tcPr>
          <w:p w14:paraId="72B3CA06" w14:textId="77777777" w:rsidR="00DE3684" w:rsidRPr="00894701" w:rsidRDefault="00DE3684" w:rsidP="00DE3684">
            <w:pPr>
              <w:spacing w:after="0" w:line="240" w:lineRule="auto"/>
              <w:rPr>
                <w:rFonts w:cs="Arial"/>
                <w:color w:val="000000"/>
                <w:kern w:val="0"/>
                <w:sz w:val="16"/>
                <w:szCs w:val="16"/>
              </w:rPr>
            </w:pPr>
            <w:r w:rsidRPr="00894701">
              <w:rPr>
                <w:rFonts w:cs="Arial"/>
                <w:color w:val="000000"/>
                <w:kern w:val="0"/>
                <w:sz w:val="16"/>
                <w:szCs w:val="16"/>
              </w:rPr>
              <w:t>5.1</w:t>
            </w:r>
          </w:p>
        </w:tc>
        <w:tc>
          <w:tcPr>
            <w:tcW w:w="784" w:type="pct"/>
            <w:tcBorders>
              <w:top w:val="nil"/>
              <w:left w:val="nil"/>
              <w:bottom w:val="nil"/>
              <w:right w:val="nil"/>
            </w:tcBorders>
            <w:shd w:val="clear" w:color="auto" w:fill="auto"/>
            <w:noWrap/>
            <w:vAlign w:val="center"/>
            <w:hideMark/>
          </w:tcPr>
          <w:p w14:paraId="765A3E7D" w14:textId="2F472C0D" w:rsidR="00DE3684" w:rsidRPr="00894701" w:rsidRDefault="00DE3684" w:rsidP="00DE3684">
            <w:pPr>
              <w:spacing w:after="0" w:line="240" w:lineRule="auto"/>
              <w:rPr>
                <w:rFonts w:cs="Arial"/>
                <w:color w:val="000000"/>
                <w:kern w:val="0"/>
                <w:sz w:val="16"/>
                <w:szCs w:val="16"/>
              </w:rPr>
            </w:pPr>
            <w:r w:rsidRPr="00894701">
              <w:rPr>
                <w:rFonts w:cs="Arial"/>
                <w:color w:val="000000"/>
                <w:kern w:val="0"/>
                <w:sz w:val="16"/>
                <w:szCs w:val="16"/>
              </w:rPr>
              <w:t>Products in-kind</w:t>
            </w:r>
          </w:p>
        </w:tc>
        <w:tc>
          <w:tcPr>
            <w:tcW w:w="465" w:type="pct"/>
            <w:tcBorders>
              <w:top w:val="nil"/>
              <w:left w:val="nil"/>
              <w:bottom w:val="nil"/>
              <w:right w:val="nil"/>
            </w:tcBorders>
            <w:shd w:val="clear" w:color="auto" w:fill="auto"/>
            <w:noWrap/>
            <w:vAlign w:val="center"/>
            <w:hideMark/>
          </w:tcPr>
          <w:p w14:paraId="7F1C45F4" w14:textId="0547AE1E" w:rsidR="00DE3684" w:rsidRPr="00894701" w:rsidRDefault="00DE3684" w:rsidP="00DE3684">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2" w:type="pct"/>
            <w:tcBorders>
              <w:top w:val="nil"/>
              <w:left w:val="nil"/>
              <w:bottom w:val="nil"/>
              <w:right w:val="nil"/>
            </w:tcBorders>
            <w:shd w:val="clear" w:color="auto" w:fill="auto"/>
            <w:noWrap/>
            <w:vAlign w:val="center"/>
            <w:hideMark/>
          </w:tcPr>
          <w:p w14:paraId="7AB4AE47" w14:textId="29EF6AD9" w:rsidR="00DE3684" w:rsidRPr="00894701" w:rsidRDefault="00DE3684" w:rsidP="00DE3684">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31" w:type="pct"/>
            <w:tcBorders>
              <w:top w:val="nil"/>
              <w:left w:val="nil"/>
              <w:bottom w:val="nil"/>
              <w:right w:val="nil"/>
            </w:tcBorders>
            <w:shd w:val="clear" w:color="auto" w:fill="auto"/>
            <w:noWrap/>
            <w:vAlign w:val="center"/>
            <w:hideMark/>
          </w:tcPr>
          <w:p w14:paraId="008ED7C0" w14:textId="60E2D847" w:rsidR="00DE3684" w:rsidRPr="00894701" w:rsidRDefault="00DE3684" w:rsidP="00DE3684">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17" w:type="pct"/>
            <w:tcBorders>
              <w:top w:val="nil"/>
              <w:left w:val="nil"/>
              <w:bottom w:val="nil"/>
              <w:right w:val="nil"/>
            </w:tcBorders>
            <w:shd w:val="clear" w:color="auto" w:fill="auto"/>
            <w:noWrap/>
            <w:vAlign w:val="center"/>
            <w:hideMark/>
          </w:tcPr>
          <w:p w14:paraId="02F7A144" w14:textId="799006A3" w:rsidR="00DE3684" w:rsidRPr="00894701" w:rsidRDefault="00DE3684" w:rsidP="00DE3684">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21" w:type="pct"/>
            <w:tcBorders>
              <w:top w:val="nil"/>
              <w:left w:val="nil"/>
              <w:bottom w:val="nil"/>
              <w:right w:val="nil"/>
            </w:tcBorders>
            <w:shd w:val="clear" w:color="auto" w:fill="auto"/>
            <w:noWrap/>
            <w:vAlign w:val="center"/>
            <w:hideMark/>
          </w:tcPr>
          <w:p w14:paraId="70F2703D" w14:textId="255B9C2B" w:rsidR="00DE3684" w:rsidRPr="00894701" w:rsidRDefault="00DE3684" w:rsidP="00DE3684">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78" w:type="pct"/>
            <w:tcBorders>
              <w:top w:val="nil"/>
              <w:left w:val="nil"/>
              <w:bottom w:val="nil"/>
              <w:right w:val="nil"/>
            </w:tcBorders>
            <w:shd w:val="clear" w:color="auto" w:fill="auto"/>
            <w:noWrap/>
            <w:vAlign w:val="center"/>
            <w:hideMark/>
          </w:tcPr>
          <w:p w14:paraId="1FC8C4E4" w14:textId="4682E853" w:rsidR="00DE3684" w:rsidRPr="00894701" w:rsidRDefault="00DE3684" w:rsidP="00DE3684">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5" w:type="pct"/>
            <w:tcBorders>
              <w:top w:val="nil"/>
              <w:left w:val="nil"/>
              <w:bottom w:val="nil"/>
              <w:right w:val="nil"/>
            </w:tcBorders>
            <w:shd w:val="clear" w:color="auto" w:fill="auto"/>
            <w:noWrap/>
            <w:vAlign w:val="center"/>
            <w:hideMark/>
          </w:tcPr>
          <w:p w14:paraId="74361932" w14:textId="271795AA" w:rsidR="00DE3684" w:rsidRPr="00894701" w:rsidRDefault="00DE3684" w:rsidP="00DE3684">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8" w:type="pct"/>
            <w:tcBorders>
              <w:top w:val="nil"/>
              <w:left w:val="nil"/>
              <w:bottom w:val="nil"/>
              <w:right w:val="nil"/>
            </w:tcBorders>
            <w:shd w:val="clear" w:color="auto" w:fill="auto"/>
            <w:noWrap/>
            <w:vAlign w:val="center"/>
            <w:hideMark/>
          </w:tcPr>
          <w:p w14:paraId="5A71801C" w14:textId="4ED5689C" w:rsidR="00DE3684" w:rsidRPr="00894701" w:rsidRDefault="00DE3684" w:rsidP="00DE3684">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1" w:type="pct"/>
            <w:tcBorders>
              <w:top w:val="nil"/>
              <w:left w:val="nil"/>
              <w:bottom w:val="nil"/>
              <w:right w:val="single" w:sz="8" w:space="0" w:color="FF0000"/>
            </w:tcBorders>
            <w:shd w:val="clear" w:color="auto" w:fill="auto"/>
            <w:noWrap/>
            <w:vAlign w:val="center"/>
            <w:hideMark/>
          </w:tcPr>
          <w:p w14:paraId="4F4C9035" w14:textId="6C1AF7F2" w:rsidR="00DE3684" w:rsidRPr="00894701" w:rsidRDefault="00DE3684" w:rsidP="00DE3684">
            <w:pPr>
              <w:spacing w:after="0" w:line="240" w:lineRule="auto"/>
              <w:jc w:val="right"/>
              <w:rPr>
                <w:rFonts w:cs="Arial"/>
                <w:color w:val="000000"/>
                <w:kern w:val="0"/>
                <w:sz w:val="16"/>
                <w:szCs w:val="16"/>
              </w:rPr>
            </w:pPr>
            <w:r w:rsidRPr="00894701">
              <w:rPr>
                <w:rFonts w:cs="Arial"/>
                <w:color w:val="000000"/>
                <w:kern w:val="0"/>
                <w:sz w:val="16"/>
                <w:szCs w:val="16"/>
              </w:rPr>
              <w:t>-</w:t>
            </w:r>
          </w:p>
        </w:tc>
      </w:tr>
      <w:tr w:rsidR="00BA216C" w:rsidRPr="00894701" w14:paraId="6EF1357C" w14:textId="77777777" w:rsidTr="00AA49E3">
        <w:trPr>
          <w:trHeight w:val="227"/>
          <w:jc w:val="center"/>
        </w:trPr>
        <w:tc>
          <w:tcPr>
            <w:tcW w:w="148" w:type="pct"/>
            <w:tcBorders>
              <w:top w:val="nil"/>
              <w:left w:val="single" w:sz="8" w:space="0" w:color="FF0000"/>
              <w:bottom w:val="single" w:sz="8" w:space="0" w:color="FF0000"/>
              <w:right w:val="nil"/>
            </w:tcBorders>
            <w:shd w:val="clear" w:color="000000" w:fill="7A091A"/>
            <w:tcMar>
              <w:left w:w="28" w:type="dxa"/>
              <w:right w:w="28" w:type="dxa"/>
            </w:tcMar>
            <w:vAlign w:val="center"/>
            <w:hideMark/>
          </w:tcPr>
          <w:p w14:paraId="40F0DC1B" w14:textId="77777777" w:rsidR="00BA216C" w:rsidRPr="00894701" w:rsidRDefault="00BA216C" w:rsidP="00BA216C">
            <w:pPr>
              <w:spacing w:after="0" w:line="240" w:lineRule="auto"/>
              <w:rPr>
                <w:rFonts w:cs="Arial"/>
                <w:b/>
                <w:bCs/>
                <w:color w:val="FFFFFF"/>
                <w:kern w:val="0"/>
                <w:sz w:val="16"/>
                <w:szCs w:val="16"/>
              </w:rPr>
            </w:pPr>
            <w:r w:rsidRPr="00894701">
              <w:rPr>
                <w:rFonts w:cs="Arial"/>
                <w:b/>
                <w:bCs/>
                <w:color w:val="FFFFFF"/>
                <w:kern w:val="0"/>
                <w:sz w:val="16"/>
                <w:szCs w:val="16"/>
              </w:rPr>
              <w:t> </w:t>
            </w:r>
          </w:p>
        </w:tc>
        <w:tc>
          <w:tcPr>
            <w:tcW w:w="784" w:type="pct"/>
            <w:tcBorders>
              <w:top w:val="nil"/>
              <w:left w:val="nil"/>
              <w:bottom w:val="single" w:sz="8" w:space="0" w:color="FF0000"/>
              <w:right w:val="nil"/>
            </w:tcBorders>
            <w:shd w:val="clear" w:color="000000" w:fill="7A091A"/>
            <w:vAlign w:val="center"/>
            <w:hideMark/>
          </w:tcPr>
          <w:p w14:paraId="7338DB03" w14:textId="05C6552D" w:rsidR="00BA216C" w:rsidRPr="00894701" w:rsidRDefault="00BA216C" w:rsidP="00BA216C">
            <w:pPr>
              <w:spacing w:after="0" w:line="240" w:lineRule="auto"/>
              <w:rPr>
                <w:rFonts w:cs="Arial"/>
                <w:b/>
                <w:bCs/>
                <w:color w:val="FFFFFF"/>
                <w:kern w:val="0"/>
                <w:sz w:val="16"/>
                <w:szCs w:val="16"/>
              </w:rPr>
            </w:pPr>
            <w:r w:rsidRPr="00894701">
              <w:rPr>
                <w:rFonts w:cs="Arial"/>
                <w:b/>
                <w:bCs/>
                <w:color w:val="FFFFFF"/>
                <w:kern w:val="0"/>
                <w:sz w:val="16"/>
                <w:szCs w:val="16"/>
              </w:rPr>
              <w:t>Total payments</w:t>
            </w:r>
          </w:p>
        </w:tc>
        <w:tc>
          <w:tcPr>
            <w:tcW w:w="465" w:type="pct"/>
            <w:tcBorders>
              <w:top w:val="nil"/>
              <w:left w:val="nil"/>
              <w:bottom w:val="single" w:sz="8" w:space="0" w:color="FF0000"/>
              <w:right w:val="nil"/>
            </w:tcBorders>
            <w:shd w:val="clear" w:color="000000" w:fill="7A091A"/>
            <w:vAlign w:val="center"/>
            <w:hideMark/>
          </w:tcPr>
          <w:p w14:paraId="6736EECF" w14:textId="61A6DF7F" w:rsidR="00BA216C" w:rsidRPr="00894701" w:rsidRDefault="00BA216C" w:rsidP="00BA216C">
            <w:pPr>
              <w:spacing w:after="0" w:line="240" w:lineRule="auto"/>
              <w:jc w:val="right"/>
              <w:rPr>
                <w:rFonts w:cs="Arial"/>
                <w:b/>
                <w:bCs/>
                <w:color w:val="FFFFFF"/>
                <w:kern w:val="0"/>
                <w:sz w:val="16"/>
                <w:szCs w:val="16"/>
              </w:rPr>
            </w:pPr>
            <w:r w:rsidRPr="00894701">
              <w:rPr>
                <w:rFonts w:cs="Arial"/>
                <w:b/>
                <w:bCs/>
                <w:color w:val="FFFFFF"/>
                <w:sz w:val="16"/>
                <w:szCs w:val="16"/>
              </w:rPr>
              <w:t>246,595,309</w:t>
            </w:r>
          </w:p>
        </w:tc>
        <w:tc>
          <w:tcPr>
            <w:tcW w:w="512" w:type="pct"/>
            <w:tcBorders>
              <w:top w:val="nil"/>
              <w:left w:val="nil"/>
              <w:bottom w:val="single" w:sz="8" w:space="0" w:color="FF0000"/>
              <w:right w:val="nil"/>
            </w:tcBorders>
            <w:shd w:val="clear" w:color="000000" w:fill="7A091A"/>
            <w:vAlign w:val="center"/>
            <w:hideMark/>
          </w:tcPr>
          <w:p w14:paraId="41746A9E" w14:textId="59D8EA38" w:rsidR="00BA216C" w:rsidRPr="00894701" w:rsidRDefault="00BA216C" w:rsidP="00BA216C">
            <w:pPr>
              <w:spacing w:after="0" w:line="240" w:lineRule="auto"/>
              <w:jc w:val="right"/>
              <w:rPr>
                <w:rFonts w:cs="Arial"/>
                <w:b/>
                <w:bCs/>
                <w:color w:val="FFFFFF"/>
                <w:kern w:val="0"/>
                <w:sz w:val="16"/>
                <w:szCs w:val="16"/>
              </w:rPr>
            </w:pPr>
            <w:r w:rsidRPr="00894701">
              <w:rPr>
                <w:rFonts w:cs="Arial"/>
                <w:b/>
                <w:bCs/>
                <w:color w:val="FFFFFF"/>
                <w:sz w:val="16"/>
                <w:szCs w:val="16"/>
              </w:rPr>
              <w:t>248,181,613</w:t>
            </w:r>
          </w:p>
        </w:tc>
        <w:tc>
          <w:tcPr>
            <w:tcW w:w="431" w:type="pct"/>
            <w:tcBorders>
              <w:top w:val="nil"/>
              <w:left w:val="nil"/>
              <w:bottom w:val="single" w:sz="8" w:space="0" w:color="FF0000"/>
              <w:right w:val="nil"/>
            </w:tcBorders>
            <w:shd w:val="clear" w:color="000000" w:fill="7A091A"/>
            <w:vAlign w:val="center"/>
            <w:hideMark/>
          </w:tcPr>
          <w:p w14:paraId="2A2B0D0F" w14:textId="719E5370" w:rsidR="00BA216C" w:rsidRPr="00894701" w:rsidRDefault="00BA216C" w:rsidP="00BA216C">
            <w:pPr>
              <w:spacing w:after="0" w:line="240" w:lineRule="auto"/>
              <w:jc w:val="right"/>
              <w:rPr>
                <w:rFonts w:cs="Arial"/>
                <w:b/>
                <w:bCs/>
                <w:color w:val="FFFFFF"/>
                <w:kern w:val="0"/>
                <w:sz w:val="16"/>
                <w:szCs w:val="16"/>
              </w:rPr>
            </w:pPr>
            <w:r w:rsidRPr="00894701">
              <w:rPr>
                <w:rFonts w:cs="Arial"/>
                <w:b/>
                <w:bCs/>
                <w:color w:val="FFFFFF"/>
                <w:sz w:val="16"/>
                <w:szCs w:val="16"/>
              </w:rPr>
              <w:t>(1,586,304)</w:t>
            </w:r>
          </w:p>
        </w:tc>
        <w:tc>
          <w:tcPr>
            <w:tcW w:w="417" w:type="pct"/>
            <w:tcBorders>
              <w:top w:val="nil"/>
              <w:left w:val="nil"/>
              <w:bottom w:val="single" w:sz="8" w:space="0" w:color="FF0000"/>
              <w:right w:val="nil"/>
            </w:tcBorders>
            <w:shd w:val="clear" w:color="000000" w:fill="7A091A"/>
            <w:vAlign w:val="center"/>
            <w:hideMark/>
          </w:tcPr>
          <w:p w14:paraId="50A0D43C" w14:textId="61F3DB82" w:rsidR="00BA216C" w:rsidRPr="00894701" w:rsidRDefault="00BA216C" w:rsidP="00BA216C">
            <w:pPr>
              <w:spacing w:after="0" w:line="240" w:lineRule="auto"/>
              <w:jc w:val="right"/>
              <w:rPr>
                <w:rFonts w:cs="Arial"/>
                <w:b/>
                <w:bCs/>
                <w:color w:val="FFFFFF"/>
                <w:kern w:val="0"/>
                <w:sz w:val="16"/>
                <w:szCs w:val="16"/>
              </w:rPr>
            </w:pPr>
            <w:r w:rsidRPr="00894701">
              <w:rPr>
                <w:rFonts w:cs="Arial"/>
                <w:b/>
                <w:bCs/>
                <w:color w:val="FFFFFF"/>
                <w:sz w:val="16"/>
                <w:szCs w:val="16"/>
              </w:rPr>
              <w:t>(47,747,006)</w:t>
            </w:r>
          </w:p>
        </w:tc>
        <w:tc>
          <w:tcPr>
            <w:tcW w:w="421" w:type="pct"/>
            <w:tcBorders>
              <w:top w:val="nil"/>
              <w:left w:val="nil"/>
              <w:bottom w:val="single" w:sz="8" w:space="0" w:color="FF0000"/>
              <w:right w:val="nil"/>
            </w:tcBorders>
            <w:shd w:val="clear" w:color="000000" w:fill="7A091A"/>
            <w:vAlign w:val="center"/>
            <w:hideMark/>
          </w:tcPr>
          <w:p w14:paraId="44FAEF31" w14:textId="6338F2C0" w:rsidR="00BA216C" w:rsidRPr="00894701" w:rsidRDefault="00BA216C" w:rsidP="00BA216C">
            <w:pPr>
              <w:spacing w:after="0" w:line="240" w:lineRule="auto"/>
              <w:jc w:val="right"/>
              <w:rPr>
                <w:rFonts w:cs="Arial"/>
                <w:b/>
                <w:bCs/>
                <w:color w:val="FFFFFF"/>
                <w:kern w:val="0"/>
                <w:sz w:val="16"/>
                <w:szCs w:val="16"/>
              </w:rPr>
            </w:pPr>
            <w:r w:rsidRPr="00894701">
              <w:rPr>
                <w:rFonts w:cs="Arial"/>
                <w:b/>
                <w:bCs/>
                <w:color w:val="FFFFFF"/>
                <w:sz w:val="16"/>
                <w:szCs w:val="16"/>
              </w:rPr>
              <w:t>(49,327,037)</w:t>
            </w:r>
          </w:p>
        </w:tc>
        <w:tc>
          <w:tcPr>
            <w:tcW w:w="378" w:type="pct"/>
            <w:tcBorders>
              <w:top w:val="nil"/>
              <w:left w:val="nil"/>
              <w:bottom w:val="single" w:sz="8" w:space="0" w:color="FF0000"/>
              <w:right w:val="nil"/>
            </w:tcBorders>
            <w:shd w:val="clear" w:color="000000" w:fill="7A091A"/>
            <w:vAlign w:val="center"/>
            <w:hideMark/>
          </w:tcPr>
          <w:p w14:paraId="69B70C21" w14:textId="1AC59881" w:rsidR="00BA216C" w:rsidRPr="00894701" w:rsidRDefault="00BA216C" w:rsidP="00BA216C">
            <w:pPr>
              <w:spacing w:after="0" w:line="240" w:lineRule="auto"/>
              <w:jc w:val="right"/>
              <w:rPr>
                <w:rFonts w:cs="Arial"/>
                <w:b/>
                <w:bCs/>
                <w:color w:val="FFFFFF"/>
                <w:kern w:val="0"/>
                <w:sz w:val="16"/>
                <w:szCs w:val="16"/>
              </w:rPr>
            </w:pPr>
            <w:r w:rsidRPr="00894701">
              <w:rPr>
                <w:rFonts w:cs="Arial"/>
                <w:b/>
                <w:bCs/>
                <w:color w:val="FFFFFF"/>
                <w:sz w:val="16"/>
                <w:szCs w:val="16"/>
              </w:rPr>
              <w:t>1,580,031</w:t>
            </w:r>
          </w:p>
        </w:tc>
        <w:tc>
          <w:tcPr>
            <w:tcW w:w="465" w:type="pct"/>
            <w:tcBorders>
              <w:top w:val="nil"/>
              <w:left w:val="nil"/>
              <w:bottom w:val="single" w:sz="8" w:space="0" w:color="FF0000"/>
              <w:right w:val="nil"/>
            </w:tcBorders>
            <w:shd w:val="clear" w:color="000000" w:fill="7A091A"/>
            <w:vAlign w:val="center"/>
            <w:hideMark/>
          </w:tcPr>
          <w:p w14:paraId="2E594C52" w14:textId="29783DCB" w:rsidR="00BA216C" w:rsidRPr="00894701" w:rsidRDefault="00BA216C" w:rsidP="00BA216C">
            <w:pPr>
              <w:spacing w:after="0" w:line="240" w:lineRule="auto"/>
              <w:jc w:val="right"/>
              <w:rPr>
                <w:rFonts w:cs="Arial"/>
                <w:b/>
                <w:bCs/>
                <w:color w:val="FFFFFF"/>
                <w:kern w:val="0"/>
                <w:sz w:val="16"/>
                <w:szCs w:val="16"/>
              </w:rPr>
            </w:pPr>
            <w:r w:rsidRPr="00894701">
              <w:rPr>
                <w:rFonts w:cs="Arial"/>
                <w:b/>
                <w:bCs/>
                <w:color w:val="FFFFFF"/>
                <w:sz w:val="16"/>
                <w:szCs w:val="16"/>
              </w:rPr>
              <w:t>198,848,303</w:t>
            </w:r>
          </w:p>
        </w:tc>
        <w:tc>
          <w:tcPr>
            <w:tcW w:w="468" w:type="pct"/>
            <w:tcBorders>
              <w:top w:val="nil"/>
              <w:left w:val="nil"/>
              <w:bottom w:val="single" w:sz="8" w:space="0" w:color="FF0000"/>
              <w:right w:val="nil"/>
            </w:tcBorders>
            <w:shd w:val="clear" w:color="000000" w:fill="7A091A"/>
            <w:vAlign w:val="center"/>
            <w:hideMark/>
          </w:tcPr>
          <w:p w14:paraId="32D1A2B5" w14:textId="04E75FAE" w:rsidR="00BA216C" w:rsidRPr="00894701" w:rsidRDefault="00BA216C" w:rsidP="00BA216C">
            <w:pPr>
              <w:spacing w:after="0" w:line="240" w:lineRule="auto"/>
              <w:jc w:val="right"/>
              <w:rPr>
                <w:rFonts w:cs="Arial"/>
                <w:b/>
                <w:bCs/>
                <w:color w:val="FFFFFF"/>
                <w:kern w:val="0"/>
                <w:sz w:val="16"/>
                <w:szCs w:val="16"/>
              </w:rPr>
            </w:pPr>
            <w:r w:rsidRPr="00894701">
              <w:rPr>
                <w:rFonts w:cs="Arial"/>
                <w:b/>
                <w:bCs/>
                <w:color w:val="FFFFFF"/>
                <w:sz w:val="16"/>
                <w:szCs w:val="16"/>
              </w:rPr>
              <w:t>198,854,576</w:t>
            </w:r>
          </w:p>
        </w:tc>
        <w:tc>
          <w:tcPr>
            <w:tcW w:w="511" w:type="pct"/>
            <w:tcBorders>
              <w:top w:val="nil"/>
              <w:left w:val="nil"/>
              <w:bottom w:val="single" w:sz="8" w:space="0" w:color="FF0000"/>
              <w:right w:val="nil"/>
            </w:tcBorders>
            <w:shd w:val="clear" w:color="000000" w:fill="7A091A"/>
            <w:vAlign w:val="center"/>
            <w:hideMark/>
          </w:tcPr>
          <w:p w14:paraId="2F5BC715" w14:textId="3B4E3BE7" w:rsidR="00BA216C" w:rsidRPr="00894701" w:rsidRDefault="00BA216C" w:rsidP="00BA216C">
            <w:pPr>
              <w:spacing w:after="0" w:line="240" w:lineRule="auto"/>
              <w:jc w:val="right"/>
              <w:rPr>
                <w:rFonts w:cs="Arial"/>
                <w:b/>
                <w:bCs/>
                <w:color w:val="FFFFFF"/>
                <w:kern w:val="0"/>
                <w:sz w:val="16"/>
                <w:szCs w:val="16"/>
              </w:rPr>
            </w:pPr>
            <w:r w:rsidRPr="00894701">
              <w:rPr>
                <w:rFonts w:cs="Arial"/>
                <w:b/>
                <w:bCs/>
                <w:color w:val="FFFFFF"/>
                <w:sz w:val="16"/>
                <w:szCs w:val="16"/>
              </w:rPr>
              <w:t>(6,273)</w:t>
            </w:r>
          </w:p>
        </w:tc>
      </w:tr>
    </w:tbl>
    <w:p w14:paraId="369DD37A" w14:textId="5584E420" w:rsidR="002F4BAB" w:rsidRPr="00894701" w:rsidRDefault="00C877AB" w:rsidP="002F4BAB">
      <w:pPr>
        <w:spacing w:after="0" w:line="240" w:lineRule="auto"/>
        <w:rPr>
          <w:rFonts w:asciiTheme="minorHAnsi" w:hAnsiTheme="minorHAnsi"/>
        </w:rPr>
      </w:pPr>
      <w:r w:rsidRPr="00894701">
        <w:rPr>
          <w:rFonts w:cs="Arial"/>
          <w:i/>
          <w:color w:val="auto"/>
          <w:szCs w:val="18"/>
        </w:rPr>
        <w:t>Source: EITI Reporting Templates</w:t>
      </w:r>
    </w:p>
    <w:p w14:paraId="5FC6CBDB" w14:textId="77777777" w:rsidR="002F4BAB" w:rsidRPr="00894701" w:rsidRDefault="002F4BAB" w:rsidP="002F4BAB">
      <w:pPr>
        <w:spacing w:after="0" w:line="240" w:lineRule="auto"/>
        <w:rPr>
          <w:rFonts w:asciiTheme="minorHAnsi" w:hAnsiTheme="minorHAnsi"/>
        </w:rPr>
      </w:pPr>
    </w:p>
    <w:p w14:paraId="688776E9" w14:textId="77777777" w:rsidR="002F4BAB" w:rsidRPr="00894701" w:rsidRDefault="002F4BAB" w:rsidP="002F4BAB">
      <w:pPr>
        <w:spacing w:after="0" w:line="240" w:lineRule="auto"/>
        <w:rPr>
          <w:rFonts w:asciiTheme="minorHAnsi" w:hAnsiTheme="minorHAnsi"/>
        </w:rPr>
      </w:pPr>
      <w:r w:rsidRPr="00894701">
        <w:rPr>
          <w:rFonts w:asciiTheme="minorHAnsi" w:hAnsiTheme="minorHAnsi"/>
        </w:rPr>
        <w:br w:type="page"/>
      </w:r>
    </w:p>
    <w:p w14:paraId="2FE9A721" w14:textId="0412258C" w:rsidR="002F4BAB" w:rsidRPr="00894701" w:rsidRDefault="002F4BAB" w:rsidP="002F4BAB">
      <w:pPr>
        <w:spacing w:after="0"/>
        <w:jc w:val="center"/>
        <w:rPr>
          <w:b/>
          <w:bCs/>
          <w:noProof/>
          <w:color w:val="98002E" w:themeColor="accent3"/>
          <w:sz w:val="20"/>
          <w:szCs w:val="20"/>
        </w:rPr>
      </w:pPr>
      <w:bookmarkStart w:id="479" w:name="_Toc117539619"/>
      <w:bookmarkStart w:id="480" w:name="_Toc146590528"/>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56</w:t>
      </w:r>
      <w:r w:rsidRPr="00894701">
        <w:rPr>
          <w:b/>
          <w:bCs/>
          <w:color w:val="98002E" w:themeColor="accent3"/>
          <w:sz w:val="20"/>
          <w:szCs w:val="20"/>
        </w:rPr>
        <w:fldChar w:fldCharType="end"/>
      </w:r>
      <w:r w:rsidRPr="00894701">
        <w:rPr>
          <w:b/>
          <w:bCs/>
          <w:color w:val="98002E" w:themeColor="accent3"/>
          <w:sz w:val="20"/>
          <w:szCs w:val="20"/>
        </w:rPr>
        <w:t xml:space="preserve">: Reconciliation by revenue stream </w:t>
      </w:r>
      <w:r w:rsidRPr="00894701">
        <w:rPr>
          <w:b/>
          <w:bCs/>
          <w:noProof/>
          <w:color w:val="98002E" w:themeColor="accent3"/>
          <w:sz w:val="20"/>
          <w:szCs w:val="20"/>
        </w:rPr>
        <w:t>for the fiscal year 2020</w:t>
      </w:r>
      <w:bookmarkEnd w:id="479"/>
      <w:bookmarkEnd w:id="480"/>
    </w:p>
    <w:p w14:paraId="31BD78B4" w14:textId="77777777" w:rsidR="002F4BAB" w:rsidRPr="00894701" w:rsidRDefault="002F4BAB" w:rsidP="002F4BAB">
      <w:pPr>
        <w:spacing w:after="0"/>
        <w:jc w:val="right"/>
        <w:rPr>
          <w:rFonts w:cs="Arial"/>
          <w:sz w:val="20"/>
        </w:rPr>
      </w:pPr>
      <w:r w:rsidRPr="00894701">
        <w:rPr>
          <w:rFonts w:cs="Arial"/>
          <w:i/>
          <w:iCs/>
          <w:color w:val="000000"/>
          <w:szCs w:val="18"/>
          <w:lang w:eastAsia="fr-FR"/>
        </w:rPr>
        <w:t>Amounts in SRD</w:t>
      </w:r>
    </w:p>
    <w:tbl>
      <w:tblPr>
        <w:tblW w:w="5428" w:type="pct"/>
        <w:jc w:val="center"/>
        <w:tblLayout w:type="fixed"/>
        <w:tblLook w:val="04A0" w:firstRow="1" w:lastRow="0" w:firstColumn="1" w:lastColumn="0" w:noHBand="0" w:noVBand="1"/>
      </w:tblPr>
      <w:tblGrid>
        <w:gridCol w:w="455"/>
        <w:gridCol w:w="2515"/>
        <w:gridCol w:w="1398"/>
        <w:gridCol w:w="1549"/>
        <w:gridCol w:w="1552"/>
        <w:gridCol w:w="1032"/>
        <w:gridCol w:w="1123"/>
        <w:gridCol w:w="1274"/>
        <w:gridCol w:w="1419"/>
        <w:gridCol w:w="1413"/>
        <w:gridCol w:w="1401"/>
      </w:tblGrid>
      <w:tr w:rsidR="002F4BAB" w:rsidRPr="00894701" w14:paraId="290AA6D0" w14:textId="77777777" w:rsidTr="00AA49E3">
        <w:trPr>
          <w:trHeight w:val="227"/>
          <w:tblHeader/>
          <w:jc w:val="center"/>
        </w:trPr>
        <w:tc>
          <w:tcPr>
            <w:tcW w:w="150" w:type="pct"/>
            <w:vMerge w:val="restart"/>
            <w:tcBorders>
              <w:top w:val="single" w:sz="8" w:space="0" w:color="FF0000"/>
              <w:left w:val="single" w:sz="8" w:space="0" w:color="FF0000"/>
              <w:bottom w:val="single" w:sz="8" w:space="0" w:color="FF0000"/>
              <w:right w:val="nil"/>
            </w:tcBorders>
            <w:shd w:val="clear" w:color="000000" w:fill="7A091A"/>
            <w:tcMar>
              <w:left w:w="28" w:type="dxa"/>
              <w:right w:w="28" w:type="dxa"/>
            </w:tcMar>
            <w:vAlign w:val="center"/>
            <w:hideMark/>
          </w:tcPr>
          <w:p w14:paraId="4CCC5174" w14:textId="77777777" w:rsidR="002F4BAB" w:rsidRPr="00894701" w:rsidRDefault="002F4BAB" w:rsidP="002209C2">
            <w:pPr>
              <w:spacing w:after="0" w:line="240" w:lineRule="auto"/>
              <w:jc w:val="center"/>
              <w:rPr>
                <w:rFonts w:cs="Arial"/>
                <w:b/>
                <w:bCs/>
                <w:color w:val="FFFFFF"/>
                <w:kern w:val="0"/>
                <w:sz w:val="16"/>
                <w:szCs w:val="16"/>
              </w:rPr>
            </w:pPr>
            <w:r w:rsidRPr="00894701">
              <w:rPr>
                <w:rFonts w:cs="Arial"/>
                <w:b/>
                <w:bCs/>
                <w:color w:val="FFFFFF"/>
                <w:kern w:val="0"/>
                <w:sz w:val="16"/>
                <w:szCs w:val="16"/>
              </w:rPr>
              <w:t>N°</w:t>
            </w:r>
          </w:p>
        </w:tc>
        <w:tc>
          <w:tcPr>
            <w:tcW w:w="831" w:type="pct"/>
            <w:vMerge w:val="restart"/>
            <w:tcBorders>
              <w:top w:val="single" w:sz="8" w:space="0" w:color="FF0000"/>
              <w:left w:val="nil"/>
              <w:bottom w:val="single" w:sz="8" w:space="0" w:color="FF0000"/>
              <w:right w:val="nil"/>
            </w:tcBorders>
            <w:shd w:val="clear" w:color="000000" w:fill="7A091A"/>
            <w:vAlign w:val="center"/>
            <w:hideMark/>
          </w:tcPr>
          <w:p w14:paraId="555DB498" w14:textId="77777777" w:rsidR="002F4BAB" w:rsidRPr="00894701" w:rsidRDefault="002F4BAB" w:rsidP="002209C2">
            <w:pPr>
              <w:spacing w:after="0" w:line="240" w:lineRule="auto"/>
              <w:jc w:val="center"/>
              <w:rPr>
                <w:rFonts w:cs="Arial"/>
                <w:b/>
                <w:bCs/>
                <w:color w:val="FFFFFF"/>
                <w:kern w:val="0"/>
                <w:sz w:val="16"/>
                <w:szCs w:val="16"/>
              </w:rPr>
            </w:pPr>
            <w:r w:rsidRPr="00894701">
              <w:rPr>
                <w:rFonts w:cs="Arial"/>
                <w:b/>
                <w:bCs/>
                <w:color w:val="FFFFFF"/>
                <w:kern w:val="0"/>
                <w:sz w:val="16"/>
                <w:szCs w:val="16"/>
              </w:rPr>
              <w:t>Description of Payment</w:t>
            </w:r>
          </w:p>
        </w:tc>
        <w:tc>
          <w:tcPr>
            <w:tcW w:w="1487" w:type="pct"/>
            <w:gridSpan w:val="3"/>
            <w:tcBorders>
              <w:top w:val="single" w:sz="8" w:space="0" w:color="FF0000"/>
              <w:left w:val="nil"/>
              <w:bottom w:val="single" w:sz="8" w:space="0" w:color="FF0000"/>
              <w:right w:val="nil"/>
            </w:tcBorders>
            <w:shd w:val="clear" w:color="000000" w:fill="7A091A"/>
            <w:vAlign w:val="center"/>
            <w:hideMark/>
          </w:tcPr>
          <w:p w14:paraId="06E602D0" w14:textId="77777777" w:rsidR="002F4BAB" w:rsidRPr="00894701" w:rsidRDefault="002F4BAB" w:rsidP="002209C2">
            <w:pPr>
              <w:spacing w:after="0" w:line="240" w:lineRule="auto"/>
              <w:jc w:val="center"/>
              <w:rPr>
                <w:rFonts w:cs="Arial"/>
                <w:b/>
                <w:bCs/>
                <w:color w:val="FFFFFF"/>
                <w:kern w:val="0"/>
                <w:sz w:val="16"/>
                <w:szCs w:val="16"/>
              </w:rPr>
            </w:pPr>
            <w:r w:rsidRPr="00894701">
              <w:rPr>
                <w:rFonts w:cs="Arial"/>
                <w:b/>
                <w:bCs/>
                <w:color w:val="FFFFFF"/>
                <w:kern w:val="0"/>
                <w:sz w:val="16"/>
                <w:szCs w:val="16"/>
              </w:rPr>
              <w:t>Templates originally lodged</w:t>
            </w:r>
          </w:p>
        </w:tc>
        <w:tc>
          <w:tcPr>
            <w:tcW w:w="1133" w:type="pct"/>
            <w:gridSpan w:val="3"/>
            <w:tcBorders>
              <w:top w:val="single" w:sz="8" w:space="0" w:color="FF0000"/>
              <w:left w:val="nil"/>
              <w:bottom w:val="single" w:sz="8" w:space="0" w:color="FF0000"/>
              <w:right w:val="nil"/>
            </w:tcBorders>
            <w:shd w:val="clear" w:color="000000" w:fill="7A091A"/>
            <w:vAlign w:val="center"/>
            <w:hideMark/>
          </w:tcPr>
          <w:p w14:paraId="4106A600" w14:textId="77777777" w:rsidR="002F4BAB" w:rsidRPr="00894701" w:rsidRDefault="002F4BAB" w:rsidP="002209C2">
            <w:pPr>
              <w:spacing w:after="0" w:line="240" w:lineRule="auto"/>
              <w:jc w:val="center"/>
              <w:rPr>
                <w:rFonts w:cs="Arial"/>
                <w:b/>
                <w:bCs/>
                <w:color w:val="FFFFFF"/>
                <w:kern w:val="0"/>
                <w:sz w:val="16"/>
                <w:szCs w:val="16"/>
              </w:rPr>
            </w:pPr>
            <w:r w:rsidRPr="00894701">
              <w:rPr>
                <w:rFonts w:cs="Arial"/>
                <w:b/>
                <w:bCs/>
                <w:color w:val="FFFFFF"/>
                <w:kern w:val="0"/>
                <w:sz w:val="16"/>
                <w:szCs w:val="16"/>
              </w:rPr>
              <w:t>Adjustments</w:t>
            </w:r>
          </w:p>
        </w:tc>
        <w:tc>
          <w:tcPr>
            <w:tcW w:w="1399" w:type="pct"/>
            <w:gridSpan w:val="3"/>
            <w:tcBorders>
              <w:top w:val="single" w:sz="8" w:space="0" w:color="FF0000"/>
              <w:left w:val="nil"/>
              <w:bottom w:val="single" w:sz="8" w:space="0" w:color="FF0000"/>
              <w:right w:val="single" w:sz="8" w:space="0" w:color="FF0000"/>
            </w:tcBorders>
            <w:shd w:val="clear" w:color="000000" w:fill="7A091A"/>
            <w:vAlign w:val="center"/>
            <w:hideMark/>
          </w:tcPr>
          <w:p w14:paraId="371B2FEF" w14:textId="77777777" w:rsidR="002F4BAB" w:rsidRPr="00894701" w:rsidRDefault="002F4BAB" w:rsidP="002209C2">
            <w:pPr>
              <w:spacing w:after="0" w:line="240" w:lineRule="auto"/>
              <w:jc w:val="center"/>
              <w:rPr>
                <w:rFonts w:cs="Arial"/>
                <w:b/>
                <w:bCs/>
                <w:color w:val="FFFFFF"/>
                <w:kern w:val="0"/>
                <w:sz w:val="16"/>
                <w:szCs w:val="16"/>
              </w:rPr>
            </w:pPr>
            <w:r w:rsidRPr="00894701">
              <w:rPr>
                <w:rFonts w:cs="Arial"/>
                <w:b/>
                <w:bCs/>
                <w:color w:val="FFFFFF"/>
                <w:kern w:val="0"/>
                <w:sz w:val="16"/>
                <w:szCs w:val="16"/>
              </w:rPr>
              <w:t>Final amounts</w:t>
            </w:r>
          </w:p>
        </w:tc>
      </w:tr>
      <w:tr w:rsidR="002F4BAB" w:rsidRPr="00894701" w14:paraId="53DDBE69" w14:textId="77777777" w:rsidTr="00AA49E3">
        <w:trPr>
          <w:trHeight w:val="227"/>
          <w:tblHeader/>
          <w:jc w:val="center"/>
        </w:trPr>
        <w:tc>
          <w:tcPr>
            <w:tcW w:w="150" w:type="pct"/>
            <w:vMerge/>
            <w:tcBorders>
              <w:top w:val="single" w:sz="8" w:space="0" w:color="FF0000"/>
              <w:left w:val="single" w:sz="8" w:space="0" w:color="FF0000"/>
              <w:bottom w:val="single" w:sz="8" w:space="0" w:color="FF0000"/>
              <w:right w:val="nil"/>
            </w:tcBorders>
            <w:tcMar>
              <w:left w:w="28" w:type="dxa"/>
              <w:right w:w="28" w:type="dxa"/>
            </w:tcMar>
            <w:vAlign w:val="center"/>
            <w:hideMark/>
          </w:tcPr>
          <w:p w14:paraId="18AE3BE0" w14:textId="77777777" w:rsidR="002F4BAB" w:rsidRPr="00894701" w:rsidRDefault="002F4BAB" w:rsidP="002209C2">
            <w:pPr>
              <w:spacing w:after="0" w:line="240" w:lineRule="auto"/>
              <w:jc w:val="center"/>
              <w:rPr>
                <w:rFonts w:cs="Arial"/>
                <w:b/>
                <w:bCs/>
                <w:color w:val="FFFFFF"/>
                <w:kern w:val="0"/>
                <w:sz w:val="16"/>
                <w:szCs w:val="16"/>
              </w:rPr>
            </w:pPr>
          </w:p>
        </w:tc>
        <w:tc>
          <w:tcPr>
            <w:tcW w:w="831" w:type="pct"/>
            <w:vMerge/>
            <w:tcBorders>
              <w:top w:val="single" w:sz="8" w:space="0" w:color="FF0000"/>
              <w:left w:val="nil"/>
              <w:bottom w:val="single" w:sz="8" w:space="0" w:color="FF0000"/>
              <w:right w:val="nil"/>
            </w:tcBorders>
            <w:vAlign w:val="center"/>
            <w:hideMark/>
          </w:tcPr>
          <w:p w14:paraId="6F3BD0B2" w14:textId="77777777" w:rsidR="002F4BAB" w:rsidRPr="00894701" w:rsidRDefault="002F4BAB" w:rsidP="002209C2">
            <w:pPr>
              <w:spacing w:after="0" w:line="240" w:lineRule="auto"/>
              <w:jc w:val="center"/>
              <w:rPr>
                <w:rFonts w:cs="Arial"/>
                <w:b/>
                <w:bCs/>
                <w:color w:val="FFFFFF"/>
                <w:kern w:val="0"/>
                <w:sz w:val="16"/>
                <w:szCs w:val="16"/>
              </w:rPr>
            </w:pPr>
          </w:p>
        </w:tc>
        <w:tc>
          <w:tcPr>
            <w:tcW w:w="462" w:type="pct"/>
            <w:tcBorders>
              <w:top w:val="nil"/>
              <w:left w:val="nil"/>
              <w:bottom w:val="single" w:sz="8" w:space="0" w:color="FF0000"/>
              <w:right w:val="nil"/>
            </w:tcBorders>
            <w:shd w:val="clear" w:color="000000" w:fill="7A091A"/>
            <w:vAlign w:val="center"/>
            <w:hideMark/>
          </w:tcPr>
          <w:p w14:paraId="64C23213" w14:textId="77777777" w:rsidR="002F4BAB" w:rsidRPr="00894701" w:rsidRDefault="002F4BAB" w:rsidP="003E399F">
            <w:pPr>
              <w:spacing w:after="0" w:line="240" w:lineRule="auto"/>
              <w:jc w:val="right"/>
              <w:rPr>
                <w:rFonts w:cs="Arial"/>
                <w:b/>
                <w:bCs/>
                <w:color w:val="FFFFFF"/>
                <w:kern w:val="0"/>
                <w:sz w:val="16"/>
                <w:szCs w:val="16"/>
              </w:rPr>
            </w:pPr>
            <w:r w:rsidRPr="00894701">
              <w:rPr>
                <w:rFonts w:cs="Arial"/>
                <w:b/>
                <w:bCs/>
                <w:color w:val="FFFFFF"/>
                <w:kern w:val="0"/>
                <w:sz w:val="16"/>
                <w:szCs w:val="16"/>
              </w:rPr>
              <w:t>Extractive company</w:t>
            </w:r>
            <w:r w:rsidRPr="00894701">
              <w:rPr>
                <w:rFonts w:cs="Arial"/>
                <w:b/>
                <w:bCs/>
                <w:color w:val="FFFFFF"/>
                <w:kern w:val="0"/>
                <w:sz w:val="16"/>
                <w:szCs w:val="16"/>
              </w:rPr>
              <w:br/>
              <w:t>(a)</w:t>
            </w:r>
          </w:p>
        </w:tc>
        <w:tc>
          <w:tcPr>
            <w:tcW w:w="512" w:type="pct"/>
            <w:tcBorders>
              <w:top w:val="nil"/>
              <w:left w:val="nil"/>
              <w:bottom w:val="single" w:sz="8" w:space="0" w:color="FF0000"/>
              <w:right w:val="nil"/>
            </w:tcBorders>
            <w:shd w:val="clear" w:color="000000" w:fill="7A091A"/>
            <w:vAlign w:val="center"/>
            <w:hideMark/>
          </w:tcPr>
          <w:p w14:paraId="0907F506" w14:textId="77777777" w:rsidR="002F4BAB" w:rsidRPr="00894701" w:rsidRDefault="002F4BAB" w:rsidP="003E399F">
            <w:pPr>
              <w:spacing w:after="0" w:line="240" w:lineRule="auto"/>
              <w:jc w:val="right"/>
              <w:rPr>
                <w:rFonts w:cs="Arial"/>
                <w:b/>
                <w:bCs/>
                <w:color w:val="FFFFFF"/>
                <w:kern w:val="0"/>
                <w:sz w:val="16"/>
                <w:szCs w:val="16"/>
              </w:rPr>
            </w:pPr>
            <w:r w:rsidRPr="00894701">
              <w:rPr>
                <w:rFonts w:cs="Arial"/>
                <w:b/>
                <w:bCs/>
                <w:color w:val="FFFFFF"/>
                <w:kern w:val="0"/>
                <w:sz w:val="16"/>
                <w:szCs w:val="16"/>
              </w:rPr>
              <w:t>Government</w:t>
            </w:r>
            <w:r w:rsidRPr="00894701">
              <w:rPr>
                <w:rFonts w:cs="Arial"/>
                <w:b/>
                <w:bCs/>
                <w:color w:val="FFFFFF"/>
                <w:kern w:val="0"/>
                <w:sz w:val="16"/>
                <w:szCs w:val="16"/>
              </w:rPr>
              <w:br/>
              <w:t>(b)</w:t>
            </w:r>
          </w:p>
        </w:tc>
        <w:tc>
          <w:tcPr>
            <w:tcW w:w="513" w:type="pct"/>
            <w:tcBorders>
              <w:top w:val="nil"/>
              <w:left w:val="nil"/>
              <w:bottom w:val="single" w:sz="8" w:space="0" w:color="FF0000"/>
              <w:right w:val="nil"/>
            </w:tcBorders>
            <w:shd w:val="clear" w:color="000000" w:fill="7A091A"/>
            <w:vAlign w:val="center"/>
            <w:hideMark/>
          </w:tcPr>
          <w:p w14:paraId="114F8CCC" w14:textId="77777777" w:rsidR="002F4BAB" w:rsidRPr="00894701" w:rsidRDefault="002F4BAB" w:rsidP="003E399F">
            <w:pPr>
              <w:spacing w:after="0" w:line="240" w:lineRule="auto"/>
              <w:jc w:val="right"/>
              <w:rPr>
                <w:rFonts w:cs="Arial"/>
                <w:b/>
                <w:bCs/>
                <w:color w:val="FFFFFF"/>
                <w:kern w:val="0"/>
                <w:sz w:val="16"/>
                <w:szCs w:val="16"/>
              </w:rPr>
            </w:pPr>
            <w:r w:rsidRPr="00894701">
              <w:rPr>
                <w:rFonts w:cs="Arial"/>
                <w:b/>
                <w:bCs/>
                <w:color w:val="FFFFFF"/>
                <w:kern w:val="0"/>
                <w:sz w:val="16"/>
                <w:szCs w:val="16"/>
              </w:rPr>
              <w:t>Difference</w:t>
            </w:r>
            <w:r w:rsidRPr="00894701">
              <w:rPr>
                <w:rFonts w:cs="Arial"/>
                <w:b/>
                <w:bCs/>
                <w:color w:val="FFFFFF"/>
                <w:kern w:val="0"/>
                <w:sz w:val="16"/>
                <w:szCs w:val="16"/>
              </w:rPr>
              <w:br/>
              <w:t>(c) = (a) - (b)</w:t>
            </w:r>
          </w:p>
        </w:tc>
        <w:tc>
          <w:tcPr>
            <w:tcW w:w="341" w:type="pct"/>
            <w:tcBorders>
              <w:top w:val="nil"/>
              <w:left w:val="nil"/>
              <w:bottom w:val="single" w:sz="8" w:space="0" w:color="FF0000"/>
              <w:right w:val="nil"/>
            </w:tcBorders>
            <w:shd w:val="clear" w:color="000000" w:fill="7A091A"/>
            <w:vAlign w:val="center"/>
            <w:hideMark/>
          </w:tcPr>
          <w:p w14:paraId="33D928A1" w14:textId="77777777" w:rsidR="002F4BAB" w:rsidRPr="00894701" w:rsidRDefault="002F4BAB" w:rsidP="003E399F">
            <w:pPr>
              <w:spacing w:after="0" w:line="240" w:lineRule="auto"/>
              <w:jc w:val="right"/>
              <w:rPr>
                <w:rFonts w:cs="Arial"/>
                <w:b/>
                <w:bCs/>
                <w:color w:val="FFFFFF"/>
                <w:kern w:val="0"/>
                <w:sz w:val="16"/>
                <w:szCs w:val="16"/>
              </w:rPr>
            </w:pPr>
            <w:r w:rsidRPr="00894701">
              <w:rPr>
                <w:rFonts w:cs="Arial"/>
                <w:b/>
                <w:bCs/>
                <w:color w:val="FFFFFF"/>
                <w:kern w:val="0"/>
                <w:sz w:val="16"/>
                <w:szCs w:val="16"/>
              </w:rPr>
              <w:t>Extractive company</w:t>
            </w:r>
            <w:r w:rsidRPr="00894701">
              <w:rPr>
                <w:rFonts w:cs="Arial"/>
                <w:b/>
                <w:bCs/>
                <w:color w:val="FFFFFF"/>
                <w:kern w:val="0"/>
                <w:sz w:val="16"/>
                <w:szCs w:val="16"/>
              </w:rPr>
              <w:br/>
              <w:t>(d)</w:t>
            </w:r>
          </w:p>
        </w:tc>
        <w:tc>
          <w:tcPr>
            <w:tcW w:w="371" w:type="pct"/>
            <w:tcBorders>
              <w:top w:val="nil"/>
              <w:left w:val="nil"/>
              <w:bottom w:val="single" w:sz="8" w:space="0" w:color="FF0000"/>
              <w:right w:val="nil"/>
            </w:tcBorders>
            <w:shd w:val="clear" w:color="000000" w:fill="7A091A"/>
            <w:vAlign w:val="center"/>
            <w:hideMark/>
          </w:tcPr>
          <w:p w14:paraId="2CF87D02" w14:textId="77777777" w:rsidR="002F4BAB" w:rsidRPr="00894701" w:rsidRDefault="002F4BAB" w:rsidP="003E399F">
            <w:pPr>
              <w:spacing w:after="0" w:line="240" w:lineRule="auto"/>
              <w:jc w:val="right"/>
              <w:rPr>
                <w:rFonts w:cs="Arial"/>
                <w:b/>
                <w:bCs/>
                <w:color w:val="FFFFFF"/>
                <w:kern w:val="0"/>
                <w:sz w:val="16"/>
                <w:szCs w:val="16"/>
              </w:rPr>
            </w:pPr>
            <w:r w:rsidRPr="00894701">
              <w:rPr>
                <w:rFonts w:cs="Arial"/>
                <w:b/>
                <w:bCs/>
                <w:color w:val="FFFFFF"/>
                <w:kern w:val="0"/>
                <w:sz w:val="16"/>
                <w:szCs w:val="16"/>
              </w:rPr>
              <w:t>Government</w:t>
            </w:r>
            <w:r w:rsidRPr="00894701">
              <w:rPr>
                <w:rFonts w:cs="Arial"/>
                <w:b/>
                <w:bCs/>
                <w:color w:val="FFFFFF"/>
                <w:kern w:val="0"/>
                <w:sz w:val="16"/>
                <w:szCs w:val="16"/>
              </w:rPr>
              <w:br/>
              <w:t>(e)</w:t>
            </w:r>
          </w:p>
        </w:tc>
        <w:tc>
          <w:tcPr>
            <w:tcW w:w="421" w:type="pct"/>
            <w:tcBorders>
              <w:top w:val="nil"/>
              <w:left w:val="nil"/>
              <w:bottom w:val="single" w:sz="8" w:space="0" w:color="FF0000"/>
              <w:right w:val="nil"/>
            </w:tcBorders>
            <w:shd w:val="clear" w:color="000000" w:fill="7A091A"/>
            <w:vAlign w:val="center"/>
            <w:hideMark/>
          </w:tcPr>
          <w:p w14:paraId="53E08B5E" w14:textId="77777777" w:rsidR="002F4BAB" w:rsidRPr="00894701" w:rsidRDefault="002F4BAB" w:rsidP="003E399F">
            <w:pPr>
              <w:spacing w:after="0" w:line="240" w:lineRule="auto"/>
              <w:jc w:val="right"/>
              <w:rPr>
                <w:rFonts w:cs="Arial"/>
                <w:b/>
                <w:bCs/>
                <w:color w:val="FFFFFF"/>
                <w:kern w:val="0"/>
                <w:sz w:val="16"/>
                <w:szCs w:val="16"/>
              </w:rPr>
            </w:pPr>
            <w:r w:rsidRPr="00894701">
              <w:rPr>
                <w:rFonts w:cs="Arial"/>
                <w:b/>
                <w:bCs/>
                <w:color w:val="FFFFFF"/>
                <w:kern w:val="0"/>
                <w:sz w:val="16"/>
                <w:szCs w:val="16"/>
              </w:rPr>
              <w:t>Difference</w:t>
            </w:r>
            <w:r w:rsidRPr="00894701">
              <w:rPr>
                <w:rFonts w:cs="Arial"/>
                <w:b/>
                <w:bCs/>
                <w:color w:val="FFFFFF"/>
                <w:kern w:val="0"/>
                <w:sz w:val="16"/>
                <w:szCs w:val="16"/>
              </w:rPr>
              <w:br/>
              <w:t>(f) = (d) - (e)</w:t>
            </w:r>
          </w:p>
        </w:tc>
        <w:tc>
          <w:tcPr>
            <w:tcW w:w="469" w:type="pct"/>
            <w:tcBorders>
              <w:top w:val="nil"/>
              <w:left w:val="nil"/>
              <w:bottom w:val="single" w:sz="8" w:space="0" w:color="FF0000"/>
              <w:right w:val="nil"/>
            </w:tcBorders>
            <w:shd w:val="clear" w:color="000000" w:fill="7A091A"/>
            <w:vAlign w:val="center"/>
            <w:hideMark/>
          </w:tcPr>
          <w:p w14:paraId="684F8696" w14:textId="77777777" w:rsidR="002F4BAB" w:rsidRPr="00894701" w:rsidRDefault="002F4BAB" w:rsidP="003E399F">
            <w:pPr>
              <w:spacing w:after="0" w:line="240" w:lineRule="auto"/>
              <w:jc w:val="right"/>
              <w:rPr>
                <w:rFonts w:cs="Arial"/>
                <w:b/>
                <w:bCs/>
                <w:color w:val="FFFFFF"/>
                <w:kern w:val="0"/>
                <w:sz w:val="16"/>
                <w:szCs w:val="16"/>
              </w:rPr>
            </w:pPr>
            <w:r w:rsidRPr="00894701">
              <w:rPr>
                <w:rFonts w:cs="Arial"/>
                <w:b/>
                <w:bCs/>
                <w:color w:val="FFFFFF"/>
                <w:kern w:val="0"/>
                <w:sz w:val="16"/>
                <w:szCs w:val="16"/>
              </w:rPr>
              <w:t>Extractive company</w:t>
            </w:r>
            <w:r w:rsidRPr="00894701">
              <w:rPr>
                <w:rFonts w:cs="Arial"/>
                <w:b/>
                <w:bCs/>
                <w:color w:val="FFFFFF"/>
                <w:kern w:val="0"/>
                <w:sz w:val="16"/>
                <w:szCs w:val="16"/>
              </w:rPr>
              <w:br/>
              <w:t>(g)</w:t>
            </w:r>
          </w:p>
        </w:tc>
        <w:tc>
          <w:tcPr>
            <w:tcW w:w="467" w:type="pct"/>
            <w:tcBorders>
              <w:top w:val="nil"/>
              <w:left w:val="nil"/>
              <w:bottom w:val="single" w:sz="8" w:space="0" w:color="FF0000"/>
              <w:right w:val="nil"/>
            </w:tcBorders>
            <w:shd w:val="clear" w:color="000000" w:fill="7A091A"/>
            <w:vAlign w:val="center"/>
            <w:hideMark/>
          </w:tcPr>
          <w:p w14:paraId="4DEB28D8" w14:textId="77777777" w:rsidR="002F4BAB" w:rsidRPr="00894701" w:rsidRDefault="002F4BAB" w:rsidP="003E399F">
            <w:pPr>
              <w:spacing w:after="0" w:line="240" w:lineRule="auto"/>
              <w:jc w:val="right"/>
              <w:rPr>
                <w:rFonts w:cs="Arial"/>
                <w:b/>
                <w:bCs/>
                <w:color w:val="FFFFFF"/>
                <w:kern w:val="0"/>
                <w:sz w:val="16"/>
                <w:szCs w:val="16"/>
              </w:rPr>
            </w:pPr>
            <w:r w:rsidRPr="00894701">
              <w:rPr>
                <w:rFonts w:cs="Arial"/>
                <w:b/>
                <w:bCs/>
                <w:color w:val="FFFFFF"/>
                <w:kern w:val="0"/>
                <w:sz w:val="16"/>
                <w:szCs w:val="16"/>
              </w:rPr>
              <w:t xml:space="preserve"> Government</w:t>
            </w:r>
            <w:r w:rsidRPr="00894701">
              <w:rPr>
                <w:rFonts w:cs="Arial"/>
                <w:b/>
                <w:bCs/>
                <w:color w:val="FFFFFF"/>
                <w:kern w:val="0"/>
                <w:sz w:val="16"/>
                <w:szCs w:val="16"/>
              </w:rPr>
              <w:br/>
              <w:t xml:space="preserve">(h) </w:t>
            </w:r>
          </w:p>
        </w:tc>
        <w:tc>
          <w:tcPr>
            <w:tcW w:w="463" w:type="pct"/>
            <w:tcBorders>
              <w:top w:val="nil"/>
              <w:left w:val="nil"/>
              <w:bottom w:val="single" w:sz="8" w:space="0" w:color="FF0000"/>
              <w:right w:val="single" w:sz="8" w:space="0" w:color="FF0000"/>
            </w:tcBorders>
            <w:shd w:val="clear" w:color="000000" w:fill="7A091A"/>
            <w:vAlign w:val="center"/>
            <w:hideMark/>
          </w:tcPr>
          <w:p w14:paraId="518AC614" w14:textId="77777777" w:rsidR="002F4BAB" w:rsidRPr="00894701" w:rsidRDefault="002F4BAB" w:rsidP="003E399F">
            <w:pPr>
              <w:spacing w:after="0" w:line="240" w:lineRule="auto"/>
              <w:jc w:val="right"/>
              <w:rPr>
                <w:rFonts w:cs="Arial"/>
                <w:b/>
                <w:bCs/>
                <w:color w:val="FFFFFF"/>
                <w:kern w:val="0"/>
                <w:sz w:val="16"/>
                <w:szCs w:val="16"/>
              </w:rPr>
            </w:pPr>
            <w:r w:rsidRPr="00894701">
              <w:rPr>
                <w:rFonts w:cs="Arial"/>
                <w:b/>
                <w:bCs/>
                <w:color w:val="FFFFFF"/>
                <w:kern w:val="0"/>
                <w:sz w:val="16"/>
                <w:szCs w:val="16"/>
              </w:rPr>
              <w:t xml:space="preserve"> Difference</w:t>
            </w:r>
            <w:r w:rsidRPr="00894701">
              <w:rPr>
                <w:rFonts w:cs="Arial"/>
                <w:b/>
                <w:bCs/>
                <w:color w:val="FFFFFF"/>
                <w:kern w:val="0"/>
                <w:sz w:val="16"/>
                <w:szCs w:val="16"/>
              </w:rPr>
              <w:br/>
              <w:t xml:space="preserve">(i) = (g) - (h) </w:t>
            </w:r>
          </w:p>
        </w:tc>
      </w:tr>
      <w:tr w:rsidR="003C1E50" w:rsidRPr="00894701" w14:paraId="6E9AF865" w14:textId="77777777" w:rsidTr="00AA49E3">
        <w:trPr>
          <w:trHeight w:val="227"/>
          <w:jc w:val="center"/>
        </w:trPr>
        <w:tc>
          <w:tcPr>
            <w:tcW w:w="981" w:type="pct"/>
            <w:gridSpan w:val="2"/>
            <w:tcBorders>
              <w:top w:val="single" w:sz="8" w:space="0" w:color="FF0000"/>
              <w:left w:val="single" w:sz="8" w:space="0" w:color="FF0000"/>
              <w:bottom w:val="nil"/>
              <w:right w:val="nil"/>
            </w:tcBorders>
            <w:shd w:val="clear" w:color="000000" w:fill="7A091A"/>
            <w:tcMar>
              <w:left w:w="28" w:type="dxa"/>
              <w:right w:w="28" w:type="dxa"/>
            </w:tcMar>
            <w:vAlign w:val="center"/>
            <w:hideMark/>
          </w:tcPr>
          <w:p w14:paraId="7CDEB77B" w14:textId="7B83F2C6" w:rsidR="003C1E50" w:rsidRPr="00894701" w:rsidRDefault="003C1E50" w:rsidP="003C1E50">
            <w:pPr>
              <w:spacing w:after="0" w:line="240" w:lineRule="auto"/>
              <w:jc w:val="center"/>
              <w:rPr>
                <w:rFonts w:cs="Arial"/>
                <w:b/>
                <w:bCs/>
                <w:color w:val="FFFFFF"/>
                <w:kern w:val="0"/>
                <w:sz w:val="16"/>
                <w:szCs w:val="16"/>
              </w:rPr>
            </w:pPr>
            <w:r w:rsidRPr="00894701">
              <w:rPr>
                <w:rFonts w:cs="Arial"/>
                <w:b/>
                <w:bCs/>
                <w:color w:val="FFFFFF"/>
                <w:kern w:val="0"/>
                <w:sz w:val="16"/>
                <w:szCs w:val="16"/>
              </w:rPr>
              <w:t>A- Bilateral disclosures</w:t>
            </w:r>
          </w:p>
        </w:tc>
        <w:tc>
          <w:tcPr>
            <w:tcW w:w="462" w:type="pct"/>
            <w:tcBorders>
              <w:top w:val="nil"/>
              <w:left w:val="nil"/>
              <w:bottom w:val="nil"/>
              <w:right w:val="nil"/>
            </w:tcBorders>
            <w:shd w:val="clear" w:color="000000" w:fill="7A091A"/>
            <w:vAlign w:val="center"/>
          </w:tcPr>
          <w:p w14:paraId="0731D4C3" w14:textId="7FEC5F60" w:rsidR="003C1E50" w:rsidRPr="00894701" w:rsidRDefault="003C1E50" w:rsidP="003C1E50">
            <w:pPr>
              <w:spacing w:after="0" w:line="240" w:lineRule="auto"/>
              <w:jc w:val="right"/>
              <w:rPr>
                <w:rFonts w:cs="Arial"/>
                <w:b/>
                <w:bCs/>
                <w:color w:val="FFFFFF"/>
                <w:kern w:val="0"/>
                <w:sz w:val="16"/>
                <w:szCs w:val="16"/>
              </w:rPr>
            </w:pPr>
            <w:r w:rsidRPr="00894701">
              <w:rPr>
                <w:rFonts w:cs="Arial"/>
                <w:b/>
                <w:bCs/>
                <w:color w:val="FFFFFF"/>
                <w:sz w:val="16"/>
                <w:szCs w:val="16"/>
              </w:rPr>
              <w:t>171,181,164</w:t>
            </w:r>
          </w:p>
        </w:tc>
        <w:tc>
          <w:tcPr>
            <w:tcW w:w="512" w:type="pct"/>
            <w:tcBorders>
              <w:top w:val="nil"/>
              <w:left w:val="nil"/>
              <w:bottom w:val="nil"/>
              <w:right w:val="nil"/>
            </w:tcBorders>
            <w:shd w:val="clear" w:color="000000" w:fill="7A091A"/>
            <w:vAlign w:val="center"/>
          </w:tcPr>
          <w:p w14:paraId="1DBBDFAF" w14:textId="46933436" w:rsidR="003C1E50" w:rsidRPr="00894701" w:rsidRDefault="003C1E50" w:rsidP="003C1E50">
            <w:pPr>
              <w:spacing w:after="0" w:line="240" w:lineRule="auto"/>
              <w:jc w:val="right"/>
              <w:rPr>
                <w:rFonts w:cs="Arial"/>
                <w:b/>
                <w:bCs/>
                <w:color w:val="FFFFFF"/>
                <w:kern w:val="0"/>
                <w:sz w:val="16"/>
                <w:szCs w:val="16"/>
              </w:rPr>
            </w:pPr>
            <w:r w:rsidRPr="00894701">
              <w:rPr>
                <w:rFonts w:cs="Arial"/>
                <w:b/>
                <w:bCs/>
                <w:color w:val="FFFFFF"/>
                <w:sz w:val="16"/>
                <w:szCs w:val="16"/>
              </w:rPr>
              <w:t>166,911,210</w:t>
            </w:r>
          </w:p>
        </w:tc>
        <w:tc>
          <w:tcPr>
            <w:tcW w:w="513" w:type="pct"/>
            <w:tcBorders>
              <w:top w:val="nil"/>
              <w:left w:val="nil"/>
              <w:bottom w:val="nil"/>
              <w:right w:val="nil"/>
            </w:tcBorders>
            <w:shd w:val="clear" w:color="000000" w:fill="7A091A"/>
            <w:vAlign w:val="center"/>
          </w:tcPr>
          <w:p w14:paraId="4B8101CF" w14:textId="78D0AB92" w:rsidR="003C1E50" w:rsidRPr="00894701" w:rsidRDefault="003C1E50" w:rsidP="003C1E50">
            <w:pPr>
              <w:spacing w:after="0" w:line="240" w:lineRule="auto"/>
              <w:jc w:val="right"/>
              <w:rPr>
                <w:rFonts w:cs="Arial"/>
                <w:b/>
                <w:bCs/>
                <w:color w:val="FFFFFF"/>
                <w:kern w:val="0"/>
                <w:sz w:val="16"/>
                <w:szCs w:val="16"/>
              </w:rPr>
            </w:pPr>
            <w:r w:rsidRPr="00894701">
              <w:rPr>
                <w:rFonts w:cs="Arial"/>
                <w:b/>
                <w:bCs/>
                <w:color w:val="FFFFFF"/>
                <w:sz w:val="16"/>
                <w:szCs w:val="16"/>
              </w:rPr>
              <w:t>4,269,954</w:t>
            </w:r>
          </w:p>
        </w:tc>
        <w:tc>
          <w:tcPr>
            <w:tcW w:w="341" w:type="pct"/>
            <w:tcBorders>
              <w:top w:val="nil"/>
              <w:left w:val="nil"/>
              <w:bottom w:val="nil"/>
              <w:right w:val="nil"/>
            </w:tcBorders>
            <w:shd w:val="clear" w:color="000000" w:fill="7A091A"/>
            <w:vAlign w:val="center"/>
          </w:tcPr>
          <w:p w14:paraId="2F2F35BF" w14:textId="7D476E0D" w:rsidR="003C1E50" w:rsidRPr="00894701" w:rsidRDefault="003C1E50" w:rsidP="003C1E50">
            <w:pPr>
              <w:spacing w:after="0" w:line="240" w:lineRule="auto"/>
              <w:jc w:val="right"/>
              <w:rPr>
                <w:rFonts w:cs="Arial"/>
                <w:b/>
                <w:bCs/>
                <w:color w:val="FFFFFF"/>
                <w:kern w:val="0"/>
                <w:sz w:val="16"/>
                <w:szCs w:val="16"/>
              </w:rPr>
            </w:pPr>
            <w:r w:rsidRPr="00894701">
              <w:rPr>
                <w:rFonts w:cs="Arial"/>
                <w:b/>
                <w:bCs/>
                <w:color w:val="FFFFFF"/>
                <w:sz w:val="16"/>
                <w:szCs w:val="16"/>
              </w:rPr>
              <w:t>1,606,175</w:t>
            </w:r>
          </w:p>
        </w:tc>
        <w:tc>
          <w:tcPr>
            <w:tcW w:w="371" w:type="pct"/>
            <w:tcBorders>
              <w:top w:val="nil"/>
              <w:left w:val="nil"/>
              <w:bottom w:val="nil"/>
              <w:right w:val="nil"/>
            </w:tcBorders>
            <w:shd w:val="clear" w:color="000000" w:fill="7A091A"/>
            <w:vAlign w:val="center"/>
          </w:tcPr>
          <w:p w14:paraId="412DA82B" w14:textId="1BBA2E18" w:rsidR="003C1E50" w:rsidRPr="00894701" w:rsidRDefault="003C1E50" w:rsidP="003C1E50">
            <w:pPr>
              <w:spacing w:after="0" w:line="240" w:lineRule="auto"/>
              <w:jc w:val="right"/>
              <w:rPr>
                <w:rFonts w:cs="Arial"/>
                <w:b/>
                <w:bCs/>
                <w:color w:val="FFFFFF"/>
                <w:kern w:val="0"/>
                <w:sz w:val="16"/>
                <w:szCs w:val="16"/>
              </w:rPr>
            </w:pPr>
            <w:r w:rsidRPr="00894701">
              <w:rPr>
                <w:rFonts w:cs="Arial"/>
                <w:b/>
                <w:bCs/>
                <w:color w:val="FFFFFF"/>
                <w:sz w:val="16"/>
                <w:szCs w:val="16"/>
              </w:rPr>
              <w:t>5,876,126</w:t>
            </w:r>
          </w:p>
        </w:tc>
        <w:tc>
          <w:tcPr>
            <w:tcW w:w="421" w:type="pct"/>
            <w:tcBorders>
              <w:top w:val="nil"/>
              <w:left w:val="nil"/>
              <w:bottom w:val="nil"/>
              <w:right w:val="nil"/>
            </w:tcBorders>
            <w:shd w:val="clear" w:color="000000" w:fill="7A091A"/>
            <w:vAlign w:val="center"/>
          </w:tcPr>
          <w:p w14:paraId="0F9953EA" w14:textId="359BEDE5" w:rsidR="003C1E50" w:rsidRPr="00894701" w:rsidRDefault="003C1E50" w:rsidP="003C1E50">
            <w:pPr>
              <w:spacing w:after="0" w:line="240" w:lineRule="auto"/>
              <w:jc w:val="right"/>
              <w:rPr>
                <w:rFonts w:cs="Arial"/>
                <w:b/>
                <w:bCs/>
                <w:color w:val="FFFFFF"/>
                <w:kern w:val="0"/>
                <w:sz w:val="16"/>
                <w:szCs w:val="16"/>
              </w:rPr>
            </w:pPr>
            <w:r w:rsidRPr="00894701">
              <w:rPr>
                <w:rFonts w:cs="Arial"/>
                <w:b/>
                <w:bCs/>
                <w:color w:val="FFFFFF"/>
                <w:sz w:val="16"/>
                <w:szCs w:val="16"/>
              </w:rPr>
              <w:t>(4,269,951)</w:t>
            </w:r>
          </w:p>
        </w:tc>
        <w:tc>
          <w:tcPr>
            <w:tcW w:w="469" w:type="pct"/>
            <w:tcBorders>
              <w:top w:val="nil"/>
              <w:left w:val="nil"/>
              <w:bottom w:val="nil"/>
              <w:right w:val="nil"/>
            </w:tcBorders>
            <w:shd w:val="clear" w:color="000000" w:fill="7A091A"/>
            <w:vAlign w:val="center"/>
          </w:tcPr>
          <w:p w14:paraId="0834E6C4" w14:textId="27DD14A8" w:rsidR="003C1E50" w:rsidRPr="00894701" w:rsidRDefault="003C1E50" w:rsidP="003C1E50">
            <w:pPr>
              <w:spacing w:after="0" w:line="240" w:lineRule="auto"/>
              <w:jc w:val="right"/>
              <w:rPr>
                <w:rFonts w:cs="Arial"/>
                <w:b/>
                <w:bCs/>
                <w:color w:val="FFFFFF"/>
                <w:kern w:val="0"/>
                <w:sz w:val="16"/>
                <w:szCs w:val="16"/>
              </w:rPr>
            </w:pPr>
            <w:r w:rsidRPr="00894701">
              <w:rPr>
                <w:rFonts w:cs="Arial"/>
                <w:b/>
                <w:bCs/>
                <w:color w:val="FFFFFF"/>
                <w:sz w:val="16"/>
                <w:szCs w:val="16"/>
              </w:rPr>
              <w:t>172,787,339</w:t>
            </w:r>
          </w:p>
        </w:tc>
        <w:tc>
          <w:tcPr>
            <w:tcW w:w="467" w:type="pct"/>
            <w:tcBorders>
              <w:top w:val="nil"/>
              <w:left w:val="nil"/>
              <w:bottom w:val="nil"/>
              <w:right w:val="nil"/>
            </w:tcBorders>
            <w:shd w:val="clear" w:color="000000" w:fill="7A091A"/>
            <w:vAlign w:val="center"/>
          </w:tcPr>
          <w:p w14:paraId="7085ADDD" w14:textId="57DC2630" w:rsidR="003C1E50" w:rsidRPr="00894701" w:rsidRDefault="003C1E50" w:rsidP="003C1E50">
            <w:pPr>
              <w:spacing w:after="0" w:line="240" w:lineRule="auto"/>
              <w:jc w:val="right"/>
              <w:rPr>
                <w:rFonts w:cs="Arial"/>
                <w:b/>
                <w:bCs/>
                <w:color w:val="FFFFFF"/>
                <w:kern w:val="0"/>
                <w:sz w:val="16"/>
                <w:szCs w:val="16"/>
              </w:rPr>
            </w:pPr>
            <w:r w:rsidRPr="00894701">
              <w:rPr>
                <w:rFonts w:cs="Arial"/>
                <w:b/>
                <w:bCs/>
                <w:color w:val="FFFFFF"/>
                <w:sz w:val="16"/>
                <w:szCs w:val="16"/>
              </w:rPr>
              <w:t>172,787,336</w:t>
            </w:r>
          </w:p>
        </w:tc>
        <w:tc>
          <w:tcPr>
            <w:tcW w:w="463" w:type="pct"/>
            <w:tcBorders>
              <w:top w:val="nil"/>
              <w:left w:val="nil"/>
              <w:bottom w:val="nil"/>
              <w:right w:val="single" w:sz="8" w:space="0" w:color="FF0000"/>
            </w:tcBorders>
            <w:shd w:val="clear" w:color="000000" w:fill="7A091A"/>
            <w:vAlign w:val="center"/>
          </w:tcPr>
          <w:p w14:paraId="536BEE1F" w14:textId="19D40A59" w:rsidR="003C1E50" w:rsidRPr="00894701" w:rsidRDefault="003C1E50" w:rsidP="003C1E50">
            <w:pPr>
              <w:spacing w:after="0" w:line="240" w:lineRule="auto"/>
              <w:jc w:val="right"/>
              <w:rPr>
                <w:rFonts w:cs="Arial"/>
                <w:b/>
                <w:bCs/>
                <w:color w:val="FFFFFF"/>
                <w:kern w:val="0"/>
                <w:sz w:val="16"/>
                <w:szCs w:val="16"/>
              </w:rPr>
            </w:pPr>
            <w:r w:rsidRPr="00894701">
              <w:rPr>
                <w:rFonts w:cs="Arial"/>
                <w:b/>
                <w:bCs/>
                <w:color w:val="FFFFFF"/>
                <w:sz w:val="16"/>
                <w:szCs w:val="16"/>
              </w:rPr>
              <w:t>3</w:t>
            </w:r>
          </w:p>
        </w:tc>
      </w:tr>
      <w:tr w:rsidR="003C1E50" w:rsidRPr="00894701" w14:paraId="40E68AE9" w14:textId="77777777" w:rsidTr="00AA49E3">
        <w:trPr>
          <w:trHeight w:val="227"/>
          <w:jc w:val="center"/>
        </w:trPr>
        <w:tc>
          <w:tcPr>
            <w:tcW w:w="981" w:type="pct"/>
            <w:gridSpan w:val="2"/>
            <w:tcBorders>
              <w:top w:val="nil"/>
              <w:left w:val="single" w:sz="8" w:space="0" w:color="FF0000"/>
              <w:bottom w:val="nil"/>
              <w:right w:val="nil"/>
            </w:tcBorders>
            <w:shd w:val="clear" w:color="000000" w:fill="C0A99E"/>
            <w:noWrap/>
            <w:tcMar>
              <w:left w:w="28" w:type="dxa"/>
              <w:right w:w="28" w:type="dxa"/>
            </w:tcMar>
            <w:vAlign w:val="center"/>
            <w:hideMark/>
          </w:tcPr>
          <w:p w14:paraId="4A38326D" w14:textId="77777777" w:rsidR="003C1E50" w:rsidRPr="00894701" w:rsidRDefault="003C1E50" w:rsidP="003C1E50">
            <w:pPr>
              <w:spacing w:after="0" w:line="240" w:lineRule="auto"/>
              <w:rPr>
                <w:rFonts w:cs="Arial"/>
                <w:b/>
                <w:bCs/>
                <w:color w:val="auto"/>
                <w:kern w:val="0"/>
                <w:sz w:val="16"/>
                <w:szCs w:val="16"/>
              </w:rPr>
            </w:pPr>
            <w:r w:rsidRPr="00894701">
              <w:rPr>
                <w:rFonts w:cs="Arial"/>
                <w:b/>
                <w:bCs/>
                <w:color w:val="auto"/>
                <w:kern w:val="0"/>
                <w:sz w:val="16"/>
                <w:szCs w:val="16"/>
              </w:rPr>
              <w:t>Ministry of Finance and Planning (MoFP)</w:t>
            </w:r>
          </w:p>
        </w:tc>
        <w:tc>
          <w:tcPr>
            <w:tcW w:w="462" w:type="pct"/>
            <w:tcBorders>
              <w:top w:val="nil"/>
              <w:left w:val="nil"/>
              <w:bottom w:val="nil"/>
              <w:right w:val="nil"/>
            </w:tcBorders>
            <w:shd w:val="clear" w:color="000000" w:fill="C0A99E"/>
            <w:noWrap/>
            <w:vAlign w:val="center"/>
          </w:tcPr>
          <w:p w14:paraId="68F363A0" w14:textId="435CCE68" w:rsidR="003C1E50" w:rsidRPr="00894701" w:rsidRDefault="003C1E50" w:rsidP="003C1E50">
            <w:pPr>
              <w:spacing w:after="0" w:line="240" w:lineRule="auto"/>
              <w:jc w:val="right"/>
              <w:rPr>
                <w:rFonts w:cs="Arial"/>
                <w:b/>
                <w:bCs/>
                <w:color w:val="auto"/>
                <w:kern w:val="0"/>
                <w:sz w:val="16"/>
                <w:szCs w:val="16"/>
              </w:rPr>
            </w:pPr>
            <w:r w:rsidRPr="00894701">
              <w:rPr>
                <w:rFonts w:cs="Arial"/>
                <w:b/>
                <w:bCs/>
                <w:color w:val="auto"/>
                <w:sz w:val="16"/>
                <w:szCs w:val="16"/>
              </w:rPr>
              <w:t>171,181,164</w:t>
            </w:r>
          </w:p>
        </w:tc>
        <w:tc>
          <w:tcPr>
            <w:tcW w:w="512" w:type="pct"/>
            <w:tcBorders>
              <w:top w:val="nil"/>
              <w:left w:val="nil"/>
              <w:bottom w:val="nil"/>
              <w:right w:val="nil"/>
            </w:tcBorders>
            <w:shd w:val="clear" w:color="000000" w:fill="C0A99E"/>
            <w:noWrap/>
            <w:vAlign w:val="center"/>
          </w:tcPr>
          <w:p w14:paraId="5C41DDC5" w14:textId="5A673C2E" w:rsidR="003C1E50" w:rsidRPr="00894701" w:rsidRDefault="003C1E50" w:rsidP="003C1E50">
            <w:pPr>
              <w:spacing w:after="0" w:line="240" w:lineRule="auto"/>
              <w:jc w:val="right"/>
              <w:rPr>
                <w:rFonts w:cs="Arial"/>
                <w:b/>
                <w:bCs/>
                <w:color w:val="auto"/>
                <w:kern w:val="0"/>
                <w:sz w:val="16"/>
                <w:szCs w:val="16"/>
              </w:rPr>
            </w:pPr>
            <w:r w:rsidRPr="00894701">
              <w:rPr>
                <w:rFonts w:cs="Arial"/>
                <w:b/>
                <w:bCs/>
                <w:color w:val="auto"/>
                <w:sz w:val="16"/>
                <w:szCs w:val="16"/>
              </w:rPr>
              <w:t>166,911,210</w:t>
            </w:r>
          </w:p>
        </w:tc>
        <w:tc>
          <w:tcPr>
            <w:tcW w:w="513" w:type="pct"/>
            <w:tcBorders>
              <w:top w:val="nil"/>
              <w:left w:val="nil"/>
              <w:bottom w:val="nil"/>
              <w:right w:val="nil"/>
            </w:tcBorders>
            <w:shd w:val="clear" w:color="000000" w:fill="C0A99E"/>
            <w:noWrap/>
            <w:vAlign w:val="center"/>
          </w:tcPr>
          <w:p w14:paraId="65E5B6F1" w14:textId="457C86BB" w:rsidR="003C1E50" w:rsidRPr="00894701" w:rsidRDefault="003C1E50" w:rsidP="003C1E50">
            <w:pPr>
              <w:spacing w:after="0" w:line="240" w:lineRule="auto"/>
              <w:jc w:val="right"/>
              <w:rPr>
                <w:rFonts w:cs="Arial"/>
                <w:b/>
                <w:bCs/>
                <w:color w:val="auto"/>
                <w:kern w:val="0"/>
                <w:sz w:val="16"/>
                <w:szCs w:val="16"/>
              </w:rPr>
            </w:pPr>
            <w:r w:rsidRPr="00894701">
              <w:rPr>
                <w:rFonts w:cs="Arial"/>
                <w:b/>
                <w:bCs/>
                <w:color w:val="auto"/>
                <w:sz w:val="16"/>
                <w:szCs w:val="16"/>
              </w:rPr>
              <w:t>4,269,954</w:t>
            </w:r>
          </w:p>
        </w:tc>
        <w:tc>
          <w:tcPr>
            <w:tcW w:w="341" w:type="pct"/>
            <w:tcBorders>
              <w:top w:val="nil"/>
              <w:left w:val="nil"/>
              <w:bottom w:val="nil"/>
              <w:right w:val="nil"/>
            </w:tcBorders>
            <w:shd w:val="clear" w:color="000000" w:fill="C0A99E"/>
            <w:noWrap/>
            <w:vAlign w:val="center"/>
          </w:tcPr>
          <w:p w14:paraId="38A8165D" w14:textId="55497B7D" w:rsidR="003C1E50" w:rsidRPr="00894701" w:rsidRDefault="003C1E50" w:rsidP="003C1E50">
            <w:pPr>
              <w:spacing w:after="0" w:line="240" w:lineRule="auto"/>
              <w:jc w:val="right"/>
              <w:rPr>
                <w:rFonts w:cs="Arial"/>
                <w:b/>
                <w:bCs/>
                <w:color w:val="auto"/>
                <w:kern w:val="0"/>
                <w:sz w:val="16"/>
                <w:szCs w:val="16"/>
              </w:rPr>
            </w:pPr>
            <w:r w:rsidRPr="00894701">
              <w:rPr>
                <w:rFonts w:cs="Arial"/>
                <w:b/>
                <w:bCs/>
                <w:color w:val="auto"/>
                <w:sz w:val="16"/>
                <w:szCs w:val="16"/>
              </w:rPr>
              <w:t>1,606,175</w:t>
            </w:r>
          </w:p>
        </w:tc>
        <w:tc>
          <w:tcPr>
            <w:tcW w:w="371" w:type="pct"/>
            <w:tcBorders>
              <w:top w:val="nil"/>
              <w:left w:val="nil"/>
              <w:bottom w:val="nil"/>
              <w:right w:val="nil"/>
            </w:tcBorders>
            <w:shd w:val="clear" w:color="000000" w:fill="C0A99E"/>
            <w:noWrap/>
            <w:vAlign w:val="center"/>
          </w:tcPr>
          <w:p w14:paraId="236ECD52" w14:textId="7F135627" w:rsidR="003C1E50" w:rsidRPr="00894701" w:rsidRDefault="003C1E50" w:rsidP="003C1E50">
            <w:pPr>
              <w:spacing w:after="0" w:line="240" w:lineRule="auto"/>
              <w:jc w:val="right"/>
              <w:rPr>
                <w:rFonts w:cs="Arial"/>
                <w:b/>
                <w:bCs/>
                <w:color w:val="auto"/>
                <w:kern w:val="0"/>
                <w:sz w:val="16"/>
                <w:szCs w:val="16"/>
              </w:rPr>
            </w:pPr>
            <w:r w:rsidRPr="00894701">
              <w:rPr>
                <w:rFonts w:cs="Arial"/>
                <w:b/>
                <w:bCs/>
                <w:color w:val="auto"/>
                <w:sz w:val="16"/>
                <w:szCs w:val="16"/>
              </w:rPr>
              <w:t>5,876,126</w:t>
            </w:r>
          </w:p>
        </w:tc>
        <w:tc>
          <w:tcPr>
            <w:tcW w:w="421" w:type="pct"/>
            <w:tcBorders>
              <w:top w:val="nil"/>
              <w:left w:val="nil"/>
              <w:bottom w:val="nil"/>
              <w:right w:val="nil"/>
            </w:tcBorders>
            <w:shd w:val="clear" w:color="000000" w:fill="C0A99E"/>
            <w:noWrap/>
            <w:vAlign w:val="center"/>
          </w:tcPr>
          <w:p w14:paraId="6CC78CF7" w14:textId="23DD1E04" w:rsidR="003C1E50" w:rsidRPr="00894701" w:rsidRDefault="003C1E50" w:rsidP="003C1E50">
            <w:pPr>
              <w:spacing w:after="0" w:line="240" w:lineRule="auto"/>
              <w:jc w:val="right"/>
              <w:rPr>
                <w:rFonts w:cs="Arial"/>
                <w:b/>
                <w:bCs/>
                <w:color w:val="auto"/>
                <w:kern w:val="0"/>
                <w:sz w:val="16"/>
                <w:szCs w:val="16"/>
              </w:rPr>
            </w:pPr>
            <w:r w:rsidRPr="00894701">
              <w:rPr>
                <w:rFonts w:cs="Arial"/>
                <w:b/>
                <w:bCs/>
                <w:color w:val="auto"/>
                <w:sz w:val="16"/>
                <w:szCs w:val="16"/>
              </w:rPr>
              <w:t>(4,269,951)</w:t>
            </w:r>
          </w:p>
        </w:tc>
        <w:tc>
          <w:tcPr>
            <w:tcW w:w="469" w:type="pct"/>
            <w:tcBorders>
              <w:top w:val="nil"/>
              <w:left w:val="nil"/>
              <w:bottom w:val="nil"/>
              <w:right w:val="nil"/>
            </w:tcBorders>
            <w:shd w:val="clear" w:color="000000" w:fill="C0A99E"/>
            <w:noWrap/>
            <w:vAlign w:val="center"/>
          </w:tcPr>
          <w:p w14:paraId="3E77D931" w14:textId="74D53F10" w:rsidR="003C1E50" w:rsidRPr="00894701" w:rsidRDefault="003C1E50" w:rsidP="003C1E50">
            <w:pPr>
              <w:spacing w:after="0" w:line="240" w:lineRule="auto"/>
              <w:jc w:val="right"/>
              <w:rPr>
                <w:rFonts w:cs="Arial"/>
                <w:b/>
                <w:bCs/>
                <w:color w:val="auto"/>
                <w:kern w:val="0"/>
                <w:sz w:val="16"/>
                <w:szCs w:val="16"/>
              </w:rPr>
            </w:pPr>
            <w:r w:rsidRPr="00894701">
              <w:rPr>
                <w:rFonts w:cs="Arial"/>
                <w:b/>
                <w:bCs/>
                <w:color w:val="auto"/>
                <w:sz w:val="16"/>
                <w:szCs w:val="16"/>
              </w:rPr>
              <w:t>172,787,339</w:t>
            </w:r>
          </w:p>
        </w:tc>
        <w:tc>
          <w:tcPr>
            <w:tcW w:w="467" w:type="pct"/>
            <w:tcBorders>
              <w:top w:val="nil"/>
              <w:left w:val="nil"/>
              <w:bottom w:val="nil"/>
              <w:right w:val="nil"/>
            </w:tcBorders>
            <w:shd w:val="clear" w:color="000000" w:fill="C0A99E"/>
            <w:noWrap/>
            <w:vAlign w:val="center"/>
          </w:tcPr>
          <w:p w14:paraId="16D3F137" w14:textId="33E1512F" w:rsidR="003C1E50" w:rsidRPr="00894701" w:rsidRDefault="003C1E50" w:rsidP="003C1E50">
            <w:pPr>
              <w:spacing w:after="0" w:line="240" w:lineRule="auto"/>
              <w:jc w:val="right"/>
              <w:rPr>
                <w:rFonts w:cs="Arial"/>
                <w:b/>
                <w:bCs/>
                <w:color w:val="auto"/>
                <w:kern w:val="0"/>
                <w:sz w:val="16"/>
                <w:szCs w:val="16"/>
              </w:rPr>
            </w:pPr>
            <w:r w:rsidRPr="00894701">
              <w:rPr>
                <w:rFonts w:cs="Arial"/>
                <w:b/>
                <w:bCs/>
                <w:color w:val="auto"/>
                <w:sz w:val="16"/>
                <w:szCs w:val="16"/>
              </w:rPr>
              <w:t>172,787,336</w:t>
            </w:r>
          </w:p>
        </w:tc>
        <w:tc>
          <w:tcPr>
            <w:tcW w:w="463" w:type="pct"/>
            <w:tcBorders>
              <w:top w:val="nil"/>
              <w:left w:val="nil"/>
              <w:bottom w:val="nil"/>
              <w:right w:val="nil"/>
            </w:tcBorders>
            <w:shd w:val="clear" w:color="000000" w:fill="C0A99E"/>
            <w:noWrap/>
            <w:vAlign w:val="center"/>
          </w:tcPr>
          <w:p w14:paraId="5BD9783C" w14:textId="65F44207" w:rsidR="003C1E50" w:rsidRPr="00894701" w:rsidRDefault="003C1E50" w:rsidP="003C1E50">
            <w:pPr>
              <w:spacing w:after="0" w:line="240" w:lineRule="auto"/>
              <w:jc w:val="right"/>
              <w:rPr>
                <w:rFonts w:cs="Arial"/>
                <w:b/>
                <w:bCs/>
                <w:color w:val="auto"/>
                <w:kern w:val="0"/>
                <w:sz w:val="16"/>
                <w:szCs w:val="16"/>
              </w:rPr>
            </w:pPr>
            <w:r w:rsidRPr="00894701">
              <w:rPr>
                <w:rFonts w:cs="Arial"/>
                <w:b/>
                <w:bCs/>
                <w:color w:val="auto"/>
                <w:sz w:val="16"/>
                <w:szCs w:val="16"/>
              </w:rPr>
              <w:t>3</w:t>
            </w:r>
          </w:p>
        </w:tc>
      </w:tr>
      <w:tr w:rsidR="00AA49E3" w:rsidRPr="00894701" w14:paraId="64A573A6" w14:textId="77777777" w:rsidTr="00AA49E3">
        <w:trPr>
          <w:trHeight w:val="227"/>
          <w:jc w:val="center"/>
        </w:trPr>
        <w:tc>
          <w:tcPr>
            <w:tcW w:w="150" w:type="pct"/>
            <w:tcBorders>
              <w:top w:val="nil"/>
              <w:left w:val="single" w:sz="8" w:space="0" w:color="FF0000"/>
              <w:bottom w:val="nil"/>
              <w:right w:val="nil"/>
            </w:tcBorders>
            <w:shd w:val="clear" w:color="000000" w:fill="F7A3B0"/>
            <w:noWrap/>
            <w:tcMar>
              <w:left w:w="28" w:type="dxa"/>
              <w:right w:w="28" w:type="dxa"/>
            </w:tcMar>
            <w:vAlign w:val="center"/>
            <w:hideMark/>
          </w:tcPr>
          <w:p w14:paraId="676BE2CF"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1.1</w:t>
            </w:r>
          </w:p>
        </w:tc>
        <w:tc>
          <w:tcPr>
            <w:tcW w:w="831" w:type="pct"/>
            <w:tcBorders>
              <w:top w:val="nil"/>
              <w:left w:val="nil"/>
              <w:bottom w:val="nil"/>
              <w:right w:val="nil"/>
            </w:tcBorders>
            <w:shd w:val="clear" w:color="000000" w:fill="F7A3B0"/>
            <w:noWrap/>
            <w:vAlign w:val="center"/>
            <w:hideMark/>
          </w:tcPr>
          <w:p w14:paraId="30E91B0F" w14:textId="0A3BD1B8"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Concession Fees</w:t>
            </w:r>
          </w:p>
        </w:tc>
        <w:tc>
          <w:tcPr>
            <w:tcW w:w="462" w:type="pct"/>
            <w:tcBorders>
              <w:top w:val="nil"/>
              <w:left w:val="nil"/>
              <w:bottom w:val="nil"/>
              <w:right w:val="nil"/>
            </w:tcBorders>
            <w:shd w:val="clear" w:color="000000" w:fill="F7A3B0"/>
            <w:noWrap/>
            <w:vAlign w:val="center"/>
          </w:tcPr>
          <w:p w14:paraId="79BFCB96" w14:textId="77777777" w:rsidR="00AA49E3" w:rsidRPr="00894701" w:rsidRDefault="00AA49E3" w:rsidP="0010169E">
            <w:pPr>
              <w:spacing w:after="0" w:line="240" w:lineRule="auto"/>
              <w:jc w:val="right"/>
              <w:rPr>
                <w:rFonts w:cs="Arial"/>
                <w:color w:val="000000"/>
                <w:kern w:val="0"/>
                <w:sz w:val="16"/>
                <w:szCs w:val="16"/>
              </w:rPr>
            </w:pPr>
          </w:p>
        </w:tc>
        <w:tc>
          <w:tcPr>
            <w:tcW w:w="512" w:type="pct"/>
            <w:tcBorders>
              <w:top w:val="nil"/>
              <w:left w:val="nil"/>
              <w:bottom w:val="nil"/>
              <w:right w:val="nil"/>
            </w:tcBorders>
            <w:shd w:val="clear" w:color="000000" w:fill="F7A3B0"/>
            <w:noWrap/>
            <w:vAlign w:val="center"/>
          </w:tcPr>
          <w:p w14:paraId="4DF24216" w14:textId="77777777" w:rsidR="00AA49E3" w:rsidRPr="00894701" w:rsidRDefault="00AA49E3" w:rsidP="0010169E">
            <w:pPr>
              <w:spacing w:after="0" w:line="240" w:lineRule="auto"/>
              <w:jc w:val="right"/>
              <w:rPr>
                <w:rFonts w:cs="Arial"/>
                <w:color w:val="000000"/>
                <w:kern w:val="0"/>
                <w:sz w:val="16"/>
                <w:szCs w:val="16"/>
              </w:rPr>
            </w:pPr>
          </w:p>
        </w:tc>
        <w:tc>
          <w:tcPr>
            <w:tcW w:w="513" w:type="pct"/>
            <w:tcBorders>
              <w:top w:val="nil"/>
              <w:left w:val="nil"/>
              <w:bottom w:val="nil"/>
              <w:right w:val="nil"/>
            </w:tcBorders>
            <w:shd w:val="clear" w:color="000000" w:fill="F7A3B0"/>
            <w:noWrap/>
            <w:vAlign w:val="center"/>
          </w:tcPr>
          <w:p w14:paraId="61DE24ED" w14:textId="77777777" w:rsidR="00AA49E3" w:rsidRPr="00894701" w:rsidRDefault="00AA49E3" w:rsidP="0010169E">
            <w:pPr>
              <w:spacing w:after="0" w:line="240" w:lineRule="auto"/>
              <w:jc w:val="right"/>
              <w:rPr>
                <w:rFonts w:cs="Arial"/>
                <w:color w:val="000000"/>
                <w:kern w:val="0"/>
                <w:sz w:val="16"/>
                <w:szCs w:val="16"/>
              </w:rPr>
            </w:pPr>
          </w:p>
        </w:tc>
        <w:tc>
          <w:tcPr>
            <w:tcW w:w="341" w:type="pct"/>
            <w:tcBorders>
              <w:top w:val="nil"/>
              <w:left w:val="nil"/>
              <w:bottom w:val="nil"/>
              <w:right w:val="nil"/>
            </w:tcBorders>
            <w:shd w:val="clear" w:color="000000" w:fill="F7A3B0"/>
            <w:noWrap/>
            <w:vAlign w:val="center"/>
          </w:tcPr>
          <w:p w14:paraId="223B7742" w14:textId="77777777" w:rsidR="00AA49E3" w:rsidRPr="00894701" w:rsidRDefault="00AA49E3" w:rsidP="0010169E">
            <w:pPr>
              <w:spacing w:after="0" w:line="240" w:lineRule="auto"/>
              <w:jc w:val="right"/>
              <w:rPr>
                <w:rFonts w:cs="Arial"/>
                <w:color w:val="000000"/>
                <w:kern w:val="0"/>
                <w:sz w:val="16"/>
                <w:szCs w:val="16"/>
              </w:rPr>
            </w:pPr>
          </w:p>
        </w:tc>
        <w:tc>
          <w:tcPr>
            <w:tcW w:w="371" w:type="pct"/>
            <w:tcBorders>
              <w:top w:val="nil"/>
              <w:left w:val="nil"/>
              <w:bottom w:val="nil"/>
              <w:right w:val="nil"/>
            </w:tcBorders>
            <w:shd w:val="clear" w:color="000000" w:fill="F7A3B0"/>
            <w:noWrap/>
            <w:vAlign w:val="center"/>
          </w:tcPr>
          <w:p w14:paraId="5E5AECAD" w14:textId="77777777" w:rsidR="00AA49E3" w:rsidRPr="00894701" w:rsidRDefault="00AA49E3" w:rsidP="0010169E">
            <w:pPr>
              <w:spacing w:after="0" w:line="240" w:lineRule="auto"/>
              <w:jc w:val="right"/>
              <w:rPr>
                <w:rFonts w:cs="Arial"/>
                <w:color w:val="000000"/>
                <w:kern w:val="0"/>
                <w:sz w:val="16"/>
                <w:szCs w:val="16"/>
              </w:rPr>
            </w:pPr>
          </w:p>
        </w:tc>
        <w:tc>
          <w:tcPr>
            <w:tcW w:w="421" w:type="pct"/>
            <w:tcBorders>
              <w:top w:val="nil"/>
              <w:left w:val="nil"/>
              <w:bottom w:val="nil"/>
              <w:right w:val="nil"/>
            </w:tcBorders>
            <w:shd w:val="clear" w:color="000000" w:fill="F7A3B0"/>
            <w:noWrap/>
            <w:vAlign w:val="center"/>
          </w:tcPr>
          <w:p w14:paraId="6136908C" w14:textId="77777777" w:rsidR="00AA49E3" w:rsidRPr="00894701" w:rsidRDefault="00AA49E3" w:rsidP="0010169E">
            <w:pPr>
              <w:spacing w:after="0" w:line="240" w:lineRule="auto"/>
              <w:jc w:val="right"/>
              <w:rPr>
                <w:rFonts w:cs="Arial"/>
                <w:color w:val="000000"/>
                <w:kern w:val="0"/>
                <w:sz w:val="16"/>
                <w:szCs w:val="16"/>
              </w:rPr>
            </w:pPr>
          </w:p>
        </w:tc>
        <w:tc>
          <w:tcPr>
            <w:tcW w:w="469" w:type="pct"/>
            <w:tcBorders>
              <w:top w:val="nil"/>
              <w:left w:val="nil"/>
              <w:bottom w:val="nil"/>
              <w:right w:val="nil"/>
            </w:tcBorders>
            <w:shd w:val="clear" w:color="000000" w:fill="F7A3B0"/>
            <w:noWrap/>
            <w:vAlign w:val="center"/>
          </w:tcPr>
          <w:p w14:paraId="055433B0" w14:textId="77777777" w:rsidR="00AA49E3" w:rsidRPr="00894701" w:rsidRDefault="00AA49E3" w:rsidP="0010169E">
            <w:pPr>
              <w:spacing w:after="0" w:line="240" w:lineRule="auto"/>
              <w:jc w:val="right"/>
              <w:rPr>
                <w:rFonts w:cs="Arial"/>
                <w:color w:val="000000"/>
                <w:kern w:val="0"/>
                <w:sz w:val="16"/>
                <w:szCs w:val="16"/>
              </w:rPr>
            </w:pPr>
          </w:p>
        </w:tc>
        <w:tc>
          <w:tcPr>
            <w:tcW w:w="467" w:type="pct"/>
            <w:tcBorders>
              <w:top w:val="nil"/>
              <w:left w:val="nil"/>
              <w:bottom w:val="nil"/>
              <w:right w:val="nil"/>
            </w:tcBorders>
            <w:shd w:val="clear" w:color="000000" w:fill="F7A3B0"/>
            <w:noWrap/>
            <w:vAlign w:val="center"/>
          </w:tcPr>
          <w:p w14:paraId="0A4F9ED6" w14:textId="77777777" w:rsidR="00AA49E3" w:rsidRPr="00894701" w:rsidRDefault="00AA49E3" w:rsidP="0010169E">
            <w:pPr>
              <w:spacing w:after="0" w:line="240" w:lineRule="auto"/>
              <w:jc w:val="right"/>
              <w:rPr>
                <w:rFonts w:cs="Arial"/>
                <w:color w:val="000000"/>
                <w:kern w:val="0"/>
                <w:sz w:val="16"/>
                <w:szCs w:val="16"/>
              </w:rPr>
            </w:pPr>
          </w:p>
        </w:tc>
        <w:tc>
          <w:tcPr>
            <w:tcW w:w="463" w:type="pct"/>
            <w:tcBorders>
              <w:top w:val="nil"/>
              <w:left w:val="nil"/>
              <w:bottom w:val="nil"/>
              <w:right w:val="single" w:sz="8" w:space="0" w:color="FF0000"/>
            </w:tcBorders>
            <w:shd w:val="clear" w:color="000000" w:fill="F7A3B0"/>
            <w:noWrap/>
            <w:vAlign w:val="center"/>
          </w:tcPr>
          <w:p w14:paraId="2B8D3E8D" w14:textId="77777777" w:rsidR="00AA49E3" w:rsidRPr="00894701" w:rsidRDefault="00AA49E3" w:rsidP="0010169E">
            <w:pPr>
              <w:spacing w:after="0" w:line="240" w:lineRule="auto"/>
              <w:jc w:val="right"/>
              <w:rPr>
                <w:rFonts w:cs="Arial"/>
                <w:color w:val="000000"/>
                <w:kern w:val="0"/>
                <w:sz w:val="16"/>
                <w:szCs w:val="16"/>
              </w:rPr>
            </w:pPr>
          </w:p>
        </w:tc>
      </w:tr>
      <w:tr w:rsidR="00AA49E3" w:rsidRPr="00894701" w14:paraId="37D624DC" w14:textId="77777777" w:rsidTr="00AA49E3">
        <w:trPr>
          <w:trHeight w:val="227"/>
          <w:jc w:val="center"/>
        </w:trPr>
        <w:tc>
          <w:tcPr>
            <w:tcW w:w="150" w:type="pct"/>
            <w:tcBorders>
              <w:top w:val="nil"/>
              <w:left w:val="single" w:sz="8" w:space="0" w:color="FF0000"/>
              <w:bottom w:val="nil"/>
              <w:right w:val="nil"/>
            </w:tcBorders>
            <w:shd w:val="clear" w:color="000000" w:fill="FFFFFF"/>
            <w:noWrap/>
            <w:tcMar>
              <w:left w:w="28" w:type="dxa"/>
              <w:right w:w="28" w:type="dxa"/>
            </w:tcMar>
            <w:vAlign w:val="center"/>
            <w:hideMark/>
          </w:tcPr>
          <w:p w14:paraId="3A528BA2" w14:textId="77777777" w:rsidR="00AA49E3" w:rsidRPr="00894701" w:rsidRDefault="00AA49E3" w:rsidP="00AA49E3">
            <w:pPr>
              <w:spacing w:after="0" w:line="240" w:lineRule="auto"/>
              <w:rPr>
                <w:rFonts w:cs="Arial"/>
                <w:color w:val="auto"/>
                <w:kern w:val="0"/>
                <w:sz w:val="16"/>
                <w:szCs w:val="16"/>
              </w:rPr>
            </w:pPr>
            <w:r w:rsidRPr="00894701">
              <w:rPr>
                <w:rFonts w:cs="Arial"/>
                <w:color w:val="auto"/>
                <w:kern w:val="0"/>
                <w:sz w:val="16"/>
                <w:szCs w:val="16"/>
              </w:rPr>
              <w:t>1.2</w:t>
            </w:r>
          </w:p>
        </w:tc>
        <w:tc>
          <w:tcPr>
            <w:tcW w:w="831" w:type="pct"/>
            <w:tcBorders>
              <w:top w:val="nil"/>
              <w:left w:val="nil"/>
              <w:bottom w:val="nil"/>
              <w:right w:val="nil"/>
            </w:tcBorders>
            <w:shd w:val="clear" w:color="000000" w:fill="FFFFFF"/>
            <w:vAlign w:val="center"/>
            <w:hideMark/>
          </w:tcPr>
          <w:p w14:paraId="0BC3A803" w14:textId="11780406" w:rsidR="00AA49E3" w:rsidRPr="00894701" w:rsidRDefault="00AA49E3" w:rsidP="00AA49E3">
            <w:pPr>
              <w:spacing w:after="0" w:line="240" w:lineRule="auto"/>
              <w:rPr>
                <w:rFonts w:cs="Arial"/>
                <w:color w:val="auto"/>
                <w:kern w:val="0"/>
                <w:sz w:val="16"/>
                <w:szCs w:val="16"/>
              </w:rPr>
            </w:pPr>
            <w:r w:rsidRPr="00894701">
              <w:rPr>
                <w:rFonts w:cs="Arial"/>
                <w:color w:val="auto"/>
                <w:kern w:val="0"/>
                <w:sz w:val="16"/>
                <w:szCs w:val="16"/>
              </w:rPr>
              <w:t>Exploration fees yearly MoFP</w:t>
            </w:r>
          </w:p>
        </w:tc>
        <w:tc>
          <w:tcPr>
            <w:tcW w:w="462" w:type="pct"/>
            <w:tcBorders>
              <w:top w:val="nil"/>
              <w:left w:val="nil"/>
              <w:bottom w:val="nil"/>
              <w:right w:val="nil"/>
            </w:tcBorders>
            <w:shd w:val="clear" w:color="000000" w:fill="FFFFFF"/>
            <w:noWrap/>
            <w:vAlign w:val="center"/>
          </w:tcPr>
          <w:p w14:paraId="6C112C9D" w14:textId="77777777" w:rsidR="00AA49E3" w:rsidRPr="00894701" w:rsidRDefault="00AA49E3" w:rsidP="0010169E">
            <w:pPr>
              <w:spacing w:after="0" w:line="240" w:lineRule="auto"/>
              <w:jc w:val="right"/>
              <w:rPr>
                <w:rFonts w:cs="Arial"/>
                <w:color w:val="auto"/>
                <w:kern w:val="0"/>
                <w:sz w:val="16"/>
                <w:szCs w:val="16"/>
              </w:rPr>
            </w:pPr>
          </w:p>
        </w:tc>
        <w:tc>
          <w:tcPr>
            <w:tcW w:w="512" w:type="pct"/>
            <w:tcBorders>
              <w:top w:val="nil"/>
              <w:left w:val="nil"/>
              <w:bottom w:val="nil"/>
              <w:right w:val="nil"/>
            </w:tcBorders>
            <w:shd w:val="clear" w:color="000000" w:fill="FFFFFF"/>
            <w:noWrap/>
            <w:vAlign w:val="center"/>
          </w:tcPr>
          <w:p w14:paraId="69E985B5" w14:textId="77777777" w:rsidR="00AA49E3" w:rsidRPr="00894701" w:rsidRDefault="00AA49E3" w:rsidP="0010169E">
            <w:pPr>
              <w:spacing w:after="0" w:line="240" w:lineRule="auto"/>
              <w:jc w:val="right"/>
              <w:rPr>
                <w:rFonts w:cs="Arial"/>
                <w:color w:val="auto"/>
                <w:kern w:val="0"/>
                <w:sz w:val="16"/>
                <w:szCs w:val="16"/>
              </w:rPr>
            </w:pPr>
          </w:p>
        </w:tc>
        <w:tc>
          <w:tcPr>
            <w:tcW w:w="513" w:type="pct"/>
            <w:tcBorders>
              <w:top w:val="nil"/>
              <w:left w:val="nil"/>
              <w:bottom w:val="nil"/>
              <w:right w:val="nil"/>
            </w:tcBorders>
            <w:shd w:val="clear" w:color="000000" w:fill="FFFFFF"/>
            <w:noWrap/>
            <w:vAlign w:val="center"/>
          </w:tcPr>
          <w:p w14:paraId="3EBB6891" w14:textId="77777777" w:rsidR="00AA49E3" w:rsidRPr="00894701" w:rsidRDefault="00AA49E3" w:rsidP="0010169E">
            <w:pPr>
              <w:spacing w:after="0" w:line="240" w:lineRule="auto"/>
              <w:jc w:val="right"/>
              <w:rPr>
                <w:rFonts w:cs="Arial"/>
                <w:color w:val="auto"/>
                <w:kern w:val="0"/>
                <w:sz w:val="16"/>
                <w:szCs w:val="16"/>
              </w:rPr>
            </w:pPr>
          </w:p>
        </w:tc>
        <w:tc>
          <w:tcPr>
            <w:tcW w:w="341" w:type="pct"/>
            <w:tcBorders>
              <w:top w:val="nil"/>
              <w:left w:val="nil"/>
              <w:bottom w:val="nil"/>
              <w:right w:val="nil"/>
            </w:tcBorders>
            <w:shd w:val="clear" w:color="000000" w:fill="FFFFFF"/>
            <w:noWrap/>
            <w:vAlign w:val="center"/>
          </w:tcPr>
          <w:p w14:paraId="36A74729" w14:textId="77777777" w:rsidR="00AA49E3" w:rsidRPr="00894701" w:rsidRDefault="00AA49E3" w:rsidP="0010169E">
            <w:pPr>
              <w:spacing w:after="0" w:line="240" w:lineRule="auto"/>
              <w:jc w:val="right"/>
              <w:rPr>
                <w:rFonts w:cs="Arial"/>
                <w:color w:val="auto"/>
                <w:kern w:val="0"/>
                <w:sz w:val="16"/>
                <w:szCs w:val="16"/>
              </w:rPr>
            </w:pPr>
          </w:p>
        </w:tc>
        <w:tc>
          <w:tcPr>
            <w:tcW w:w="371" w:type="pct"/>
            <w:tcBorders>
              <w:top w:val="nil"/>
              <w:left w:val="nil"/>
              <w:bottom w:val="nil"/>
              <w:right w:val="nil"/>
            </w:tcBorders>
            <w:shd w:val="clear" w:color="000000" w:fill="FFFFFF"/>
            <w:noWrap/>
            <w:vAlign w:val="center"/>
          </w:tcPr>
          <w:p w14:paraId="4A61CA7C" w14:textId="77777777" w:rsidR="00AA49E3" w:rsidRPr="00894701" w:rsidRDefault="00AA49E3" w:rsidP="0010169E">
            <w:pPr>
              <w:spacing w:after="0" w:line="240" w:lineRule="auto"/>
              <w:jc w:val="right"/>
              <w:rPr>
                <w:rFonts w:cs="Arial"/>
                <w:color w:val="auto"/>
                <w:kern w:val="0"/>
                <w:sz w:val="16"/>
                <w:szCs w:val="16"/>
              </w:rPr>
            </w:pPr>
          </w:p>
        </w:tc>
        <w:tc>
          <w:tcPr>
            <w:tcW w:w="421" w:type="pct"/>
            <w:tcBorders>
              <w:top w:val="nil"/>
              <w:left w:val="nil"/>
              <w:bottom w:val="nil"/>
              <w:right w:val="nil"/>
            </w:tcBorders>
            <w:shd w:val="clear" w:color="000000" w:fill="FFFFFF"/>
            <w:noWrap/>
            <w:vAlign w:val="center"/>
          </w:tcPr>
          <w:p w14:paraId="24A1C1AD" w14:textId="77777777" w:rsidR="00AA49E3" w:rsidRPr="00894701" w:rsidRDefault="00AA49E3" w:rsidP="0010169E">
            <w:pPr>
              <w:spacing w:after="0" w:line="240" w:lineRule="auto"/>
              <w:jc w:val="right"/>
              <w:rPr>
                <w:rFonts w:cs="Arial"/>
                <w:color w:val="auto"/>
                <w:kern w:val="0"/>
                <w:sz w:val="16"/>
                <w:szCs w:val="16"/>
              </w:rPr>
            </w:pPr>
          </w:p>
        </w:tc>
        <w:tc>
          <w:tcPr>
            <w:tcW w:w="469" w:type="pct"/>
            <w:tcBorders>
              <w:top w:val="nil"/>
              <w:left w:val="nil"/>
              <w:bottom w:val="nil"/>
              <w:right w:val="nil"/>
            </w:tcBorders>
            <w:shd w:val="clear" w:color="000000" w:fill="FFFFFF"/>
            <w:noWrap/>
            <w:vAlign w:val="center"/>
          </w:tcPr>
          <w:p w14:paraId="6C8FE063" w14:textId="77777777" w:rsidR="00AA49E3" w:rsidRPr="00894701" w:rsidRDefault="00AA49E3" w:rsidP="0010169E">
            <w:pPr>
              <w:spacing w:after="0" w:line="240" w:lineRule="auto"/>
              <w:jc w:val="right"/>
              <w:rPr>
                <w:rFonts w:cs="Arial"/>
                <w:color w:val="auto"/>
                <w:kern w:val="0"/>
                <w:sz w:val="16"/>
                <w:szCs w:val="16"/>
              </w:rPr>
            </w:pPr>
          </w:p>
        </w:tc>
        <w:tc>
          <w:tcPr>
            <w:tcW w:w="467" w:type="pct"/>
            <w:tcBorders>
              <w:top w:val="nil"/>
              <w:left w:val="nil"/>
              <w:bottom w:val="nil"/>
              <w:right w:val="nil"/>
            </w:tcBorders>
            <w:shd w:val="clear" w:color="000000" w:fill="FFFFFF"/>
            <w:noWrap/>
            <w:vAlign w:val="center"/>
          </w:tcPr>
          <w:p w14:paraId="66A02E4C" w14:textId="77777777" w:rsidR="00AA49E3" w:rsidRPr="00894701" w:rsidRDefault="00AA49E3" w:rsidP="0010169E">
            <w:pPr>
              <w:spacing w:after="0" w:line="240" w:lineRule="auto"/>
              <w:jc w:val="right"/>
              <w:rPr>
                <w:rFonts w:cs="Arial"/>
                <w:color w:val="auto"/>
                <w:kern w:val="0"/>
                <w:sz w:val="16"/>
                <w:szCs w:val="16"/>
              </w:rPr>
            </w:pPr>
          </w:p>
        </w:tc>
        <w:tc>
          <w:tcPr>
            <w:tcW w:w="463" w:type="pct"/>
            <w:tcBorders>
              <w:top w:val="nil"/>
              <w:left w:val="nil"/>
              <w:bottom w:val="nil"/>
              <w:right w:val="single" w:sz="8" w:space="0" w:color="FF0000"/>
            </w:tcBorders>
            <w:shd w:val="clear" w:color="000000" w:fill="FFFFFF"/>
            <w:noWrap/>
            <w:vAlign w:val="center"/>
          </w:tcPr>
          <w:p w14:paraId="2A1D0F06" w14:textId="77777777" w:rsidR="00AA49E3" w:rsidRPr="00894701" w:rsidRDefault="00AA49E3" w:rsidP="0010169E">
            <w:pPr>
              <w:spacing w:after="0" w:line="240" w:lineRule="auto"/>
              <w:jc w:val="right"/>
              <w:rPr>
                <w:rFonts w:cs="Arial"/>
                <w:color w:val="auto"/>
                <w:kern w:val="0"/>
                <w:sz w:val="16"/>
                <w:szCs w:val="16"/>
              </w:rPr>
            </w:pPr>
          </w:p>
        </w:tc>
      </w:tr>
      <w:tr w:rsidR="00AA49E3" w:rsidRPr="00894701" w14:paraId="207023BE" w14:textId="77777777" w:rsidTr="00AA49E3">
        <w:trPr>
          <w:trHeight w:val="227"/>
          <w:jc w:val="center"/>
        </w:trPr>
        <w:tc>
          <w:tcPr>
            <w:tcW w:w="150" w:type="pct"/>
            <w:tcBorders>
              <w:top w:val="nil"/>
              <w:left w:val="single" w:sz="8" w:space="0" w:color="FF0000"/>
              <w:bottom w:val="nil"/>
              <w:right w:val="nil"/>
            </w:tcBorders>
            <w:shd w:val="clear" w:color="000000" w:fill="F7A3B0"/>
            <w:noWrap/>
            <w:tcMar>
              <w:left w:w="28" w:type="dxa"/>
              <w:right w:w="28" w:type="dxa"/>
            </w:tcMar>
            <w:vAlign w:val="center"/>
            <w:hideMark/>
          </w:tcPr>
          <w:p w14:paraId="2D50D0EF"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1.3</w:t>
            </w:r>
          </w:p>
        </w:tc>
        <w:tc>
          <w:tcPr>
            <w:tcW w:w="831" w:type="pct"/>
            <w:tcBorders>
              <w:top w:val="nil"/>
              <w:left w:val="nil"/>
              <w:bottom w:val="nil"/>
              <w:right w:val="nil"/>
            </w:tcBorders>
            <w:shd w:val="clear" w:color="000000" w:fill="F7A3B0"/>
            <w:noWrap/>
            <w:vAlign w:val="center"/>
            <w:hideMark/>
          </w:tcPr>
          <w:p w14:paraId="106C1F78" w14:textId="42017772"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Exploitation fee yearly MoFP</w:t>
            </w:r>
          </w:p>
        </w:tc>
        <w:tc>
          <w:tcPr>
            <w:tcW w:w="462" w:type="pct"/>
            <w:tcBorders>
              <w:top w:val="nil"/>
              <w:left w:val="nil"/>
              <w:bottom w:val="nil"/>
              <w:right w:val="nil"/>
            </w:tcBorders>
            <w:shd w:val="clear" w:color="000000" w:fill="F7A3B0"/>
            <w:noWrap/>
            <w:vAlign w:val="center"/>
          </w:tcPr>
          <w:p w14:paraId="1EFFEC61" w14:textId="77777777" w:rsidR="00AA49E3" w:rsidRPr="00894701" w:rsidRDefault="00AA49E3" w:rsidP="0010169E">
            <w:pPr>
              <w:spacing w:after="0" w:line="240" w:lineRule="auto"/>
              <w:jc w:val="right"/>
              <w:rPr>
                <w:rFonts w:cs="Arial"/>
                <w:color w:val="000000"/>
                <w:kern w:val="0"/>
                <w:sz w:val="16"/>
                <w:szCs w:val="16"/>
              </w:rPr>
            </w:pPr>
          </w:p>
        </w:tc>
        <w:tc>
          <w:tcPr>
            <w:tcW w:w="512" w:type="pct"/>
            <w:tcBorders>
              <w:top w:val="nil"/>
              <w:left w:val="nil"/>
              <w:bottom w:val="nil"/>
              <w:right w:val="nil"/>
            </w:tcBorders>
            <w:shd w:val="clear" w:color="000000" w:fill="F7A3B0"/>
            <w:noWrap/>
            <w:vAlign w:val="center"/>
          </w:tcPr>
          <w:p w14:paraId="5B1BF80A" w14:textId="77777777" w:rsidR="00AA49E3" w:rsidRPr="00894701" w:rsidRDefault="00AA49E3" w:rsidP="0010169E">
            <w:pPr>
              <w:spacing w:after="0" w:line="240" w:lineRule="auto"/>
              <w:jc w:val="right"/>
              <w:rPr>
                <w:rFonts w:cs="Arial"/>
                <w:color w:val="000000"/>
                <w:kern w:val="0"/>
                <w:sz w:val="16"/>
                <w:szCs w:val="16"/>
              </w:rPr>
            </w:pPr>
          </w:p>
        </w:tc>
        <w:tc>
          <w:tcPr>
            <w:tcW w:w="513" w:type="pct"/>
            <w:tcBorders>
              <w:top w:val="nil"/>
              <w:left w:val="nil"/>
              <w:bottom w:val="nil"/>
              <w:right w:val="nil"/>
            </w:tcBorders>
            <w:shd w:val="clear" w:color="000000" w:fill="F7A3B0"/>
            <w:noWrap/>
            <w:vAlign w:val="center"/>
          </w:tcPr>
          <w:p w14:paraId="5B077751" w14:textId="77777777" w:rsidR="00AA49E3" w:rsidRPr="00894701" w:rsidRDefault="00AA49E3" w:rsidP="0010169E">
            <w:pPr>
              <w:spacing w:after="0" w:line="240" w:lineRule="auto"/>
              <w:jc w:val="right"/>
              <w:rPr>
                <w:rFonts w:cs="Arial"/>
                <w:color w:val="000000"/>
                <w:kern w:val="0"/>
                <w:sz w:val="16"/>
                <w:szCs w:val="16"/>
              </w:rPr>
            </w:pPr>
          </w:p>
        </w:tc>
        <w:tc>
          <w:tcPr>
            <w:tcW w:w="341" w:type="pct"/>
            <w:tcBorders>
              <w:top w:val="nil"/>
              <w:left w:val="nil"/>
              <w:bottom w:val="nil"/>
              <w:right w:val="nil"/>
            </w:tcBorders>
            <w:shd w:val="clear" w:color="000000" w:fill="F7A3B0"/>
            <w:noWrap/>
            <w:vAlign w:val="center"/>
          </w:tcPr>
          <w:p w14:paraId="4879368B" w14:textId="77777777" w:rsidR="00AA49E3" w:rsidRPr="00894701" w:rsidRDefault="00AA49E3" w:rsidP="0010169E">
            <w:pPr>
              <w:spacing w:after="0" w:line="240" w:lineRule="auto"/>
              <w:jc w:val="right"/>
              <w:rPr>
                <w:rFonts w:cs="Arial"/>
                <w:color w:val="000000"/>
                <w:kern w:val="0"/>
                <w:sz w:val="16"/>
                <w:szCs w:val="16"/>
              </w:rPr>
            </w:pPr>
          </w:p>
        </w:tc>
        <w:tc>
          <w:tcPr>
            <w:tcW w:w="371" w:type="pct"/>
            <w:tcBorders>
              <w:top w:val="nil"/>
              <w:left w:val="nil"/>
              <w:bottom w:val="nil"/>
              <w:right w:val="nil"/>
            </w:tcBorders>
            <w:shd w:val="clear" w:color="000000" w:fill="F7A3B0"/>
            <w:noWrap/>
            <w:vAlign w:val="center"/>
          </w:tcPr>
          <w:p w14:paraId="6D2E3D59" w14:textId="77777777" w:rsidR="00AA49E3" w:rsidRPr="00894701" w:rsidRDefault="00AA49E3" w:rsidP="0010169E">
            <w:pPr>
              <w:spacing w:after="0" w:line="240" w:lineRule="auto"/>
              <w:jc w:val="right"/>
              <w:rPr>
                <w:rFonts w:cs="Arial"/>
                <w:color w:val="000000"/>
                <w:kern w:val="0"/>
                <w:sz w:val="16"/>
                <w:szCs w:val="16"/>
              </w:rPr>
            </w:pPr>
          </w:p>
        </w:tc>
        <w:tc>
          <w:tcPr>
            <w:tcW w:w="421" w:type="pct"/>
            <w:tcBorders>
              <w:top w:val="nil"/>
              <w:left w:val="nil"/>
              <w:bottom w:val="nil"/>
              <w:right w:val="nil"/>
            </w:tcBorders>
            <w:shd w:val="clear" w:color="000000" w:fill="F7A3B0"/>
            <w:noWrap/>
            <w:vAlign w:val="center"/>
          </w:tcPr>
          <w:p w14:paraId="21F46AC8" w14:textId="77777777" w:rsidR="00AA49E3" w:rsidRPr="00894701" w:rsidRDefault="00AA49E3" w:rsidP="0010169E">
            <w:pPr>
              <w:spacing w:after="0" w:line="240" w:lineRule="auto"/>
              <w:jc w:val="right"/>
              <w:rPr>
                <w:rFonts w:cs="Arial"/>
                <w:color w:val="000000"/>
                <w:kern w:val="0"/>
                <w:sz w:val="16"/>
                <w:szCs w:val="16"/>
              </w:rPr>
            </w:pPr>
          </w:p>
        </w:tc>
        <w:tc>
          <w:tcPr>
            <w:tcW w:w="469" w:type="pct"/>
            <w:tcBorders>
              <w:top w:val="nil"/>
              <w:left w:val="nil"/>
              <w:bottom w:val="nil"/>
              <w:right w:val="nil"/>
            </w:tcBorders>
            <w:shd w:val="clear" w:color="000000" w:fill="F7A3B0"/>
            <w:noWrap/>
            <w:vAlign w:val="center"/>
          </w:tcPr>
          <w:p w14:paraId="38B1406A" w14:textId="77777777" w:rsidR="00AA49E3" w:rsidRPr="00894701" w:rsidRDefault="00AA49E3" w:rsidP="0010169E">
            <w:pPr>
              <w:spacing w:after="0" w:line="240" w:lineRule="auto"/>
              <w:jc w:val="right"/>
              <w:rPr>
                <w:rFonts w:cs="Arial"/>
                <w:color w:val="000000"/>
                <w:kern w:val="0"/>
                <w:sz w:val="16"/>
                <w:szCs w:val="16"/>
              </w:rPr>
            </w:pPr>
          </w:p>
        </w:tc>
        <w:tc>
          <w:tcPr>
            <w:tcW w:w="467" w:type="pct"/>
            <w:tcBorders>
              <w:top w:val="nil"/>
              <w:left w:val="nil"/>
              <w:bottom w:val="nil"/>
              <w:right w:val="nil"/>
            </w:tcBorders>
            <w:shd w:val="clear" w:color="000000" w:fill="F7A3B0"/>
            <w:noWrap/>
            <w:vAlign w:val="center"/>
          </w:tcPr>
          <w:p w14:paraId="03010079" w14:textId="77777777" w:rsidR="00AA49E3" w:rsidRPr="00894701" w:rsidRDefault="00AA49E3" w:rsidP="0010169E">
            <w:pPr>
              <w:spacing w:after="0" w:line="240" w:lineRule="auto"/>
              <w:jc w:val="right"/>
              <w:rPr>
                <w:rFonts w:cs="Arial"/>
                <w:color w:val="000000"/>
                <w:kern w:val="0"/>
                <w:sz w:val="16"/>
                <w:szCs w:val="16"/>
              </w:rPr>
            </w:pPr>
          </w:p>
        </w:tc>
        <w:tc>
          <w:tcPr>
            <w:tcW w:w="463" w:type="pct"/>
            <w:tcBorders>
              <w:top w:val="nil"/>
              <w:left w:val="nil"/>
              <w:bottom w:val="nil"/>
              <w:right w:val="single" w:sz="8" w:space="0" w:color="FF0000"/>
            </w:tcBorders>
            <w:shd w:val="clear" w:color="000000" w:fill="F7A3B0"/>
            <w:noWrap/>
            <w:vAlign w:val="center"/>
          </w:tcPr>
          <w:p w14:paraId="587BCCE4" w14:textId="77777777" w:rsidR="00AA49E3" w:rsidRPr="00894701" w:rsidRDefault="00AA49E3" w:rsidP="0010169E">
            <w:pPr>
              <w:spacing w:after="0" w:line="240" w:lineRule="auto"/>
              <w:jc w:val="right"/>
              <w:rPr>
                <w:rFonts w:cs="Arial"/>
                <w:color w:val="000000"/>
                <w:kern w:val="0"/>
                <w:sz w:val="16"/>
                <w:szCs w:val="16"/>
              </w:rPr>
            </w:pPr>
          </w:p>
        </w:tc>
      </w:tr>
      <w:tr w:rsidR="00AA49E3" w:rsidRPr="00894701" w14:paraId="1DBD516C" w14:textId="77777777" w:rsidTr="00AA49E3">
        <w:trPr>
          <w:trHeight w:val="227"/>
          <w:jc w:val="center"/>
        </w:trPr>
        <w:tc>
          <w:tcPr>
            <w:tcW w:w="150" w:type="pct"/>
            <w:tcBorders>
              <w:top w:val="nil"/>
              <w:left w:val="single" w:sz="8" w:space="0" w:color="FF0000"/>
              <w:bottom w:val="nil"/>
              <w:right w:val="nil"/>
            </w:tcBorders>
            <w:shd w:val="clear" w:color="000000" w:fill="FFFFFF"/>
            <w:noWrap/>
            <w:tcMar>
              <w:left w:w="28" w:type="dxa"/>
              <w:right w:w="28" w:type="dxa"/>
            </w:tcMar>
            <w:vAlign w:val="center"/>
            <w:hideMark/>
          </w:tcPr>
          <w:p w14:paraId="0918037F" w14:textId="77777777" w:rsidR="00AA49E3" w:rsidRPr="00894701" w:rsidRDefault="00AA49E3" w:rsidP="00AA49E3">
            <w:pPr>
              <w:spacing w:after="0" w:line="240" w:lineRule="auto"/>
              <w:rPr>
                <w:rFonts w:cs="Arial"/>
                <w:color w:val="auto"/>
                <w:kern w:val="0"/>
                <w:sz w:val="16"/>
                <w:szCs w:val="16"/>
              </w:rPr>
            </w:pPr>
            <w:r w:rsidRPr="00894701">
              <w:rPr>
                <w:rFonts w:cs="Arial"/>
                <w:color w:val="auto"/>
                <w:kern w:val="0"/>
                <w:sz w:val="16"/>
                <w:szCs w:val="16"/>
              </w:rPr>
              <w:t>1.4</w:t>
            </w:r>
          </w:p>
        </w:tc>
        <w:tc>
          <w:tcPr>
            <w:tcW w:w="831" w:type="pct"/>
            <w:tcBorders>
              <w:top w:val="nil"/>
              <w:left w:val="nil"/>
              <w:bottom w:val="nil"/>
              <w:right w:val="nil"/>
            </w:tcBorders>
            <w:shd w:val="clear" w:color="000000" w:fill="FFFFFF"/>
            <w:vAlign w:val="center"/>
            <w:hideMark/>
          </w:tcPr>
          <w:p w14:paraId="794ADFF2" w14:textId="1624604A" w:rsidR="00AA49E3" w:rsidRPr="00894701" w:rsidRDefault="00AA49E3" w:rsidP="00AA49E3">
            <w:pPr>
              <w:spacing w:after="0" w:line="240" w:lineRule="auto"/>
              <w:rPr>
                <w:rFonts w:cs="Arial"/>
                <w:color w:val="auto"/>
                <w:kern w:val="0"/>
                <w:sz w:val="16"/>
                <w:szCs w:val="16"/>
              </w:rPr>
            </w:pPr>
            <w:r w:rsidRPr="00894701">
              <w:rPr>
                <w:rFonts w:cs="Arial"/>
                <w:color w:val="auto"/>
                <w:kern w:val="0"/>
                <w:sz w:val="16"/>
                <w:szCs w:val="16"/>
              </w:rPr>
              <w:t>Fee Quarry building materials</w:t>
            </w:r>
          </w:p>
        </w:tc>
        <w:tc>
          <w:tcPr>
            <w:tcW w:w="462" w:type="pct"/>
            <w:tcBorders>
              <w:top w:val="nil"/>
              <w:left w:val="nil"/>
              <w:bottom w:val="nil"/>
              <w:right w:val="nil"/>
            </w:tcBorders>
            <w:shd w:val="clear" w:color="000000" w:fill="FFFFFF"/>
            <w:noWrap/>
            <w:vAlign w:val="center"/>
          </w:tcPr>
          <w:p w14:paraId="487E4BB0" w14:textId="77777777" w:rsidR="00AA49E3" w:rsidRPr="00894701" w:rsidRDefault="00AA49E3" w:rsidP="0010169E">
            <w:pPr>
              <w:spacing w:after="0" w:line="240" w:lineRule="auto"/>
              <w:jc w:val="right"/>
              <w:rPr>
                <w:rFonts w:cs="Arial"/>
                <w:color w:val="auto"/>
                <w:kern w:val="0"/>
                <w:sz w:val="16"/>
                <w:szCs w:val="16"/>
              </w:rPr>
            </w:pPr>
          </w:p>
        </w:tc>
        <w:tc>
          <w:tcPr>
            <w:tcW w:w="512" w:type="pct"/>
            <w:tcBorders>
              <w:top w:val="nil"/>
              <w:left w:val="nil"/>
              <w:bottom w:val="nil"/>
              <w:right w:val="nil"/>
            </w:tcBorders>
            <w:shd w:val="clear" w:color="000000" w:fill="FFFFFF"/>
            <w:noWrap/>
            <w:vAlign w:val="center"/>
          </w:tcPr>
          <w:p w14:paraId="302A73AF" w14:textId="77777777" w:rsidR="00AA49E3" w:rsidRPr="00894701" w:rsidRDefault="00AA49E3" w:rsidP="0010169E">
            <w:pPr>
              <w:spacing w:after="0" w:line="240" w:lineRule="auto"/>
              <w:jc w:val="right"/>
              <w:rPr>
                <w:rFonts w:cs="Arial"/>
                <w:color w:val="auto"/>
                <w:kern w:val="0"/>
                <w:sz w:val="16"/>
                <w:szCs w:val="16"/>
              </w:rPr>
            </w:pPr>
          </w:p>
        </w:tc>
        <w:tc>
          <w:tcPr>
            <w:tcW w:w="513" w:type="pct"/>
            <w:tcBorders>
              <w:top w:val="nil"/>
              <w:left w:val="nil"/>
              <w:bottom w:val="nil"/>
              <w:right w:val="nil"/>
            </w:tcBorders>
            <w:shd w:val="clear" w:color="000000" w:fill="FFFFFF"/>
            <w:noWrap/>
            <w:vAlign w:val="center"/>
          </w:tcPr>
          <w:p w14:paraId="67A4C4C2" w14:textId="77777777" w:rsidR="00AA49E3" w:rsidRPr="00894701" w:rsidRDefault="00AA49E3" w:rsidP="0010169E">
            <w:pPr>
              <w:spacing w:after="0" w:line="240" w:lineRule="auto"/>
              <w:jc w:val="right"/>
              <w:rPr>
                <w:rFonts w:cs="Arial"/>
                <w:color w:val="auto"/>
                <w:kern w:val="0"/>
                <w:sz w:val="16"/>
                <w:szCs w:val="16"/>
              </w:rPr>
            </w:pPr>
          </w:p>
        </w:tc>
        <w:tc>
          <w:tcPr>
            <w:tcW w:w="341" w:type="pct"/>
            <w:tcBorders>
              <w:top w:val="nil"/>
              <w:left w:val="nil"/>
              <w:bottom w:val="nil"/>
              <w:right w:val="nil"/>
            </w:tcBorders>
            <w:shd w:val="clear" w:color="000000" w:fill="FFFFFF"/>
            <w:noWrap/>
            <w:vAlign w:val="center"/>
          </w:tcPr>
          <w:p w14:paraId="371D2B8E" w14:textId="77777777" w:rsidR="00AA49E3" w:rsidRPr="00894701" w:rsidRDefault="00AA49E3" w:rsidP="0010169E">
            <w:pPr>
              <w:spacing w:after="0" w:line="240" w:lineRule="auto"/>
              <w:jc w:val="right"/>
              <w:rPr>
                <w:rFonts w:cs="Arial"/>
                <w:color w:val="auto"/>
                <w:kern w:val="0"/>
                <w:sz w:val="16"/>
                <w:szCs w:val="16"/>
              </w:rPr>
            </w:pPr>
          </w:p>
        </w:tc>
        <w:tc>
          <w:tcPr>
            <w:tcW w:w="371" w:type="pct"/>
            <w:tcBorders>
              <w:top w:val="nil"/>
              <w:left w:val="nil"/>
              <w:bottom w:val="nil"/>
              <w:right w:val="nil"/>
            </w:tcBorders>
            <w:shd w:val="clear" w:color="000000" w:fill="FFFFFF"/>
            <w:noWrap/>
            <w:vAlign w:val="center"/>
          </w:tcPr>
          <w:p w14:paraId="751CC1B2" w14:textId="77777777" w:rsidR="00AA49E3" w:rsidRPr="00894701" w:rsidRDefault="00AA49E3" w:rsidP="0010169E">
            <w:pPr>
              <w:spacing w:after="0" w:line="240" w:lineRule="auto"/>
              <w:jc w:val="right"/>
              <w:rPr>
                <w:rFonts w:cs="Arial"/>
                <w:color w:val="auto"/>
                <w:kern w:val="0"/>
                <w:sz w:val="16"/>
                <w:szCs w:val="16"/>
              </w:rPr>
            </w:pPr>
          </w:p>
        </w:tc>
        <w:tc>
          <w:tcPr>
            <w:tcW w:w="421" w:type="pct"/>
            <w:tcBorders>
              <w:top w:val="nil"/>
              <w:left w:val="nil"/>
              <w:bottom w:val="nil"/>
              <w:right w:val="nil"/>
            </w:tcBorders>
            <w:shd w:val="clear" w:color="000000" w:fill="FFFFFF"/>
            <w:noWrap/>
            <w:vAlign w:val="center"/>
          </w:tcPr>
          <w:p w14:paraId="6B3FC512" w14:textId="77777777" w:rsidR="00AA49E3" w:rsidRPr="00894701" w:rsidRDefault="00AA49E3" w:rsidP="0010169E">
            <w:pPr>
              <w:spacing w:after="0" w:line="240" w:lineRule="auto"/>
              <w:jc w:val="right"/>
              <w:rPr>
                <w:rFonts w:cs="Arial"/>
                <w:color w:val="auto"/>
                <w:kern w:val="0"/>
                <w:sz w:val="16"/>
                <w:szCs w:val="16"/>
              </w:rPr>
            </w:pPr>
          </w:p>
        </w:tc>
        <w:tc>
          <w:tcPr>
            <w:tcW w:w="469" w:type="pct"/>
            <w:tcBorders>
              <w:top w:val="nil"/>
              <w:left w:val="nil"/>
              <w:bottom w:val="nil"/>
              <w:right w:val="nil"/>
            </w:tcBorders>
            <w:shd w:val="clear" w:color="000000" w:fill="FFFFFF"/>
            <w:noWrap/>
            <w:vAlign w:val="center"/>
          </w:tcPr>
          <w:p w14:paraId="087823AD" w14:textId="77777777" w:rsidR="00AA49E3" w:rsidRPr="00894701" w:rsidRDefault="00AA49E3" w:rsidP="0010169E">
            <w:pPr>
              <w:spacing w:after="0" w:line="240" w:lineRule="auto"/>
              <w:jc w:val="right"/>
              <w:rPr>
                <w:rFonts w:cs="Arial"/>
                <w:color w:val="auto"/>
                <w:kern w:val="0"/>
                <w:sz w:val="16"/>
                <w:szCs w:val="16"/>
              </w:rPr>
            </w:pPr>
          </w:p>
        </w:tc>
        <w:tc>
          <w:tcPr>
            <w:tcW w:w="467" w:type="pct"/>
            <w:tcBorders>
              <w:top w:val="nil"/>
              <w:left w:val="nil"/>
              <w:bottom w:val="nil"/>
              <w:right w:val="nil"/>
            </w:tcBorders>
            <w:shd w:val="clear" w:color="000000" w:fill="FFFFFF"/>
            <w:noWrap/>
            <w:vAlign w:val="center"/>
          </w:tcPr>
          <w:p w14:paraId="03FD5920" w14:textId="77777777" w:rsidR="00AA49E3" w:rsidRPr="00894701" w:rsidRDefault="00AA49E3" w:rsidP="0010169E">
            <w:pPr>
              <w:spacing w:after="0" w:line="240" w:lineRule="auto"/>
              <w:jc w:val="right"/>
              <w:rPr>
                <w:rFonts w:cs="Arial"/>
                <w:color w:val="auto"/>
                <w:kern w:val="0"/>
                <w:sz w:val="16"/>
                <w:szCs w:val="16"/>
              </w:rPr>
            </w:pPr>
          </w:p>
        </w:tc>
        <w:tc>
          <w:tcPr>
            <w:tcW w:w="463" w:type="pct"/>
            <w:tcBorders>
              <w:top w:val="nil"/>
              <w:left w:val="nil"/>
              <w:bottom w:val="nil"/>
              <w:right w:val="single" w:sz="8" w:space="0" w:color="FF0000"/>
            </w:tcBorders>
            <w:shd w:val="clear" w:color="000000" w:fill="FFFFFF"/>
            <w:noWrap/>
            <w:vAlign w:val="center"/>
          </w:tcPr>
          <w:p w14:paraId="2950D9B9" w14:textId="77777777" w:rsidR="00AA49E3" w:rsidRPr="00894701" w:rsidRDefault="00AA49E3" w:rsidP="0010169E">
            <w:pPr>
              <w:spacing w:after="0" w:line="240" w:lineRule="auto"/>
              <w:jc w:val="right"/>
              <w:rPr>
                <w:rFonts w:cs="Arial"/>
                <w:color w:val="auto"/>
                <w:kern w:val="0"/>
                <w:sz w:val="16"/>
                <w:szCs w:val="16"/>
              </w:rPr>
            </w:pPr>
          </w:p>
        </w:tc>
      </w:tr>
      <w:tr w:rsidR="00AA49E3" w:rsidRPr="00894701" w14:paraId="17DFF0A4" w14:textId="77777777" w:rsidTr="00AA49E3">
        <w:trPr>
          <w:trHeight w:val="227"/>
          <w:jc w:val="center"/>
        </w:trPr>
        <w:tc>
          <w:tcPr>
            <w:tcW w:w="150" w:type="pct"/>
            <w:tcBorders>
              <w:top w:val="nil"/>
              <w:left w:val="single" w:sz="8" w:space="0" w:color="FF0000"/>
              <w:bottom w:val="nil"/>
              <w:right w:val="nil"/>
            </w:tcBorders>
            <w:shd w:val="clear" w:color="000000" w:fill="F7A3B0"/>
            <w:noWrap/>
            <w:tcMar>
              <w:left w:w="28" w:type="dxa"/>
              <w:right w:w="28" w:type="dxa"/>
            </w:tcMar>
            <w:vAlign w:val="center"/>
            <w:hideMark/>
          </w:tcPr>
          <w:p w14:paraId="02E94D17"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1.5</w:t>
            </w:r>
          </w:p>
        </w:tc>
        <w:tc>
          <w:tcPr>
            <w:tcW w:w="831" w:type="pct"/>
            <w:tcBorders>
              <w:top w:val="nil"/>
              <w:left w:val="nil"/>
              <w:bottom w:val="nil"/>
              <w:right w:val="nil"/>
            </w:tcBorders>
            <w:shd w:val="clear" w:color="000000" w:fill="F7A3B0"/>
            <w:noWrap/>
            <w:vAlign w:val="center"/>
            <w:hideMark/>
          </w:tcPr>
          <w:p w14:paraId="4B3F2F51" w14:textId="5ABF7F59"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Application fees</w:t>
            </w:r>
          </w:p>
        </w:tc>
        <w:tc>
          <w:tcPr>
            <w:tcW w:w="462" w:type="pct"/>
            <w:tcBorders>
              <w:top w:val="nil"/>
              <w:left w:val="nil"/>
              <w:bottom w:val="nil"/>
              <w:right w:val="nil"/>
            </w:tcBorders>
            <w:shd w:val="clear" w:color="000000" w:fill="F7A3B0"/>
            <w:noWrap/>
            <w:vAlign w:val="center"/>
          </w:tcPr>
          <w:p w14:paraId="5207069A" w14:textId="77777777" w:rsidR="00AA49E3" w:rsidRPr="00894701" w:rsidRDefault="00AA49E3" w:rsidP="0010169E">
            <w:pPr>
              <w:spacing w:after="0" w:line="240" w:lineRule="auto"/>
              <w:jc w:val="right"/>
              <w:rPr>
                <w:rFonts w:cs="Arial"/>
                <w:color w:val="000000"/>
                <w:kern w:val="0"/>
                <w:sz w:val="16"/>
                <w:szCs w:val="16"/>
              </w:rPr>
            </w:pPr>
          </w:p>
        </w:tc>
        <w:tc>
          <w:tcPr>
            <w:tcW w:w="512" w:type="pct"/>
            <w:tcBorders>
              <w:top w:val="nil"/>
              <w:left w:val="nil"/>
              <w:bottom w:val="nil"/>
              <w:right w:val="nil"/>
            </w:tcBorders>
            <w:shd w:val="clear" w:color="000000" w:fill="F7A3B0"/>
            <w:noWrap/>
            <w:vAlign w:val="center"/>
          </w:tcPr>
          <w:p w14:paraId="72951A0F" w14:textId="77777777" w:rsidR="00AA49E3" w:rsidRPr="00894701" w:rsidRDefault="00AA49E3" w:rsidP="0010169E">
            <w:pPr>
              <w:spacing w:after="0" w:line="240" w:lineRule="auto"/>
              <w:jc w:val="right"/>
              <w:rPr>
                <w:rFonts w:cs="Arial"/>
                <w:color w:val="000000"/>
                <w:kern w:val="0"/>
                <w:sz w:val="16"/>
                <w:szCs w:val="16"/>
              </w:rPr>
            </w:pPr>
          </w:p>
        </w:tc>
        <w:tc>
          <w:tcPr>
            <w:tcW w:w="513" w:type="pct"/>
            <w:tcBorders>
              <w:top w:val="nil"/>
              <w:left w:val="nil"/>
              <w:bottom w:val="nil"/>
              <w:right w:val="nil"/>
            </w:tcBorders>
            <w:shd w:val="clear" w:color="000000" w:fill="F7A3B0"/>
            <w:noWrap/>
            <w:vAlign w:val="center"/>
          </w:tcPr>
          <w:p w14:paraId="5D15A2AA" w14:textId="77777777" w:rsidR="00AA49E3" w:rsidRPr="00894701" w:rsidRDefault="00AA49E3" w:rsidP="0010169E">
            <w:pPr>
              <w:spacing w:after="0" w:line="240" w:lineRule="auto"/>
              <w:jc w:val="right"/>
              <w:rPr>
                <w:rFonts w:cs="Arial"/>
                <w:color w:val="000000"/>
                <w:kern w:val="0"/>
                <w:sz w:val="16"/>
                <w:szCs w:val="16"/>
              </w:rPr>
            </w:pPr>
          </w:p>
        </w:tc>
        <w:tc>
          <w:tcPr>
            <w:tcW w:w="341" w:type="pct"/>
            <w:tcBorders>
              <w:top w:val="nil"/>
              <w:left w:val="nil"/>
              <w:bottom w:val="nil"/>
              <w:right w:val="nil"/>
            </w:tcBorders>
            <w:shd w:val="clear" w:color="000000" w:fill="F7A3B0"/>
            <w:noWrap/>
            <w:vAlign w:val="center"/>
          </w:tcPr>
          <w:p w14:paraId="220E3F48" w14:textId="77777777" w:rsidR="00AA49E3" w:rsidRPr="00894701" w:rsidRDefault="00AA49E3" w:rsidP="0010169E">
            <w:pPr>
              <w:spacing w:after="0" w:line="240" w:lineRule="auto"/>
              <w:jc w:val="right"/>
              <w:rPr>
                <w:rFonts w:cs="Arial"/>
                <w:color w:val="000000"/>
                <w:kern w:val="0"/>
                <w:sz w:val="16"/>
                <w:szCs w:val="16"/>
              </w:rPr>
            </w:pPr>
          </w:p>
        </w:tc>
        <w:tc>
          <w:tcPr>
            <w:tcW w:w="371" w:type="pct"/>
            <w:tcBorders>
              <w:top w:val="nil"/>
              <w:left w:val="nil"/>
              <w:bottom w:val="nil"/>
              <w:right w:val="nil"/>
            </w:tcBorders>
            <w:shd w:val="clear" w:color="000000" w:fill="F7A3B0"/>
            <w:noWrap/>
            <w:vAlign w:val="center"/>
          </w:tcPr>
          <w:p w14:paraId="179E79BC" w14:textId="77777777" w:rsidR="00AA49E3" w:rsidRPr="00894701" w:rsidRDefault="00AA49E3" w:rsidP="0010169E">
            <w:pPr>
              <w:spacing w:after="0" w:line="240" w:lineRule="auto"/>
              <w:jc w:val="right"/>
              <w:rPr>
                <w:rFonts w:cs="Arial"/>
                <w:color w:val="000000"/>
                <w:kern w:val="0"/>
                <w:sz w:val="16"/>
                <w:szCs w:val="16"/>
              </w:rPr>
            </w:pPr>
          </w:p>
        </w:tc>
        <w:tc>
          <w:tcPr>
            <w:tcW w:w="421" w:type="pct"/>
            <w:tcBorders>
              <w:top w:val="nil"/>
              <w:left w:val="nil"/>
              <w:bottom w:val="nil"/>
              <w:right w:val="nil"/>
            </w:tcBorders>
            <w:shd w:val="clear" w:color="000000" w:fill="F7A3B0"/>
            <w:noWrap/>
            <w:vAlign w:val="center"/>
          </w:tcPr>
          <w:p w14:paraId="35B0ED33" w14:textId="77777777" w:rsidR="00AA49E3" w:rsidRPr="00894701" w:rsidRDefault="00AA49E3" w:rsidP="0010169E">
            <w:pPr>
              <w:spacing w:after="0" w:line="240" w:lineRule="auto"/>
              <w:jc w:val="right"/>
              <w:rPr>
                <w:rFonts w:cs="Arial"/>
                <w:color w:val="000000"/>
                <w:kern w:val="0"/>
                <w:sz w:val="16"/>
                <w:szCs w:val="16"/>
              </w:rPr>
            </w:pPr>
          </w:p>
        </w:tc>
        <w:tc>
          <w:tcPr>
            <w:tcW w:w="469" w:type="pct"/>
            <w:tcBorders>
              <w:top w:val="nil"/>
              <w:left w:val="nil"/>
              <w:bottom w:val="nil"/>
              <w:right w:val="nil"/>
            </w:tcBorders>
            <w:shd w:val="clear" w:color="000000" w:fill="F7A3B0"/>
            <w:noWrap/>
            <w:vAlign w:val="center"/>
          </w:tcPr>
          <w:p w14:paraId="5F889771" w14:textId="77777777" w:rsidR="00AA49E3" w:rsidRPr="00894701" w:rsidRDefault="00AA49E3" w:rsidP="0010169E">
            <w:pPr>
              <w:spacing w:after="0" w:line="240" w:lineRule="auto"/>
              <w:jc w:val="right"/>
              <w:rPr>
                <w:rFonts w:cs="Arial"/>
                <w:color w:val="000000"/>
                <w:kern w:val="0"/>
                <w:sz w:val="16"/>
                <w:szCs w:val="16"/>
              </w:rPr>
            </w:pPr>
          </w:p>
        </w:tc>
        <w:tc>
          <w:tcPr>
            <w:tcW w:w="467" w:type="pct"/>
            <w:tcBorders>
              <w:top w:val="nil"/>
              <w:left w:val="nil"/>
              <w:bottom w:val="nil"/>
              <w:right w:val="nil"/>
            </w:tcBorders>
            <w:shd w:val="clear" w:color="000000" w:fill="F7A3B0"/>
            <w:noWrap/>
            <w:vAlign w:val="center"/>
          </w:tcPr>
          <w:p w14:paraId="1626A2B2" w14:textId="77777777" w:rsidR="00AA49E3" w:rsidRPr="00894701" w:rsidRDefault="00AA49E3" w:rsidP="0010169E">
            <w:pPr>
              <w:spacing w:after="0" w:line="240" w:lineRule="auto"/>
              <w:jc w:val="right"/>
              <w:rPr>
                <w:rFonts w:cs="Arial"/>
                <w:color w:val="000000"/>
                <w:kern w:val="0"/>
                <w:sz w:val="16"/>
                <w:szCs w:val="16"/>
              </w:rPr>
            </w:pPr>
          </w:p>
        </w:tc>
        <w:tc>
          <w:tcPr>
            <w:tcW w:w="463" w:type="pct"/>
            <w:tcBorders>
              <w:top w:val="nil"/>
              <w:left w:val="nil"/>
              <w:bottom w:val="nil"/>
              <w:right w:val="single" w:sz="8" w:space="0" w:color="FF0000"/>
            </w:tcBorders>
            <w:shd w:val="clear" w:color="000000" w:fill="F7A3B0"/>
            <w:noWrap/>
            <w:vAlign w:val="center"/>
          </w:tcPr>
          <w:p w14:paraId="633C3591" w14:textId="77777777" w:rsidR="00AA49E3" w:rsidRPr="00894701" w:rsidRDefault="00AA49E3" w:rsidP="0010169E">
            <w:pPr>
              <w:spacing w:after="0" w:line="240" w:lineRule="auto"/>
              <w:jc w:val="right"/>
              <w:rPr>
                <w:rFonts w:cs="Arial"/>
                <w:color w:val="000000"/>
                <w:kern w:val="0"/>
                <w:sz w:val="16"/>
                <w:szCs w:val="16"/>
              </w:rPr>
            </w:pPr>
          </w:p>
        </w:tc>
      </w:tr>
      <w:tr w:rsidR="00AA49E3" w:rsidRPr="00894701" w14:paraId="0CC8DEAE" w14:textId="77777777" w:rsidTr="00AA49E3">
        <w:trPr>
          <w:trHeight w:val="227"/>
          <w:jc w:val="center"/>
        </w:trPr>
        <w:tc>
          <w:tcPr>
            <w:tcW w:w="150" w:type="pct"/>
            <w:tcBorders>
              <w:top w:val="nil"/>
              <w:left w:val="single" w:sz="8" w:space="0" w:color="FF0000"/>
              <w:bottom w:val="nil"/>
              <w:right w:val="nil"/>
            </w:tcBorders>
            <w:shd w:val="clear" w:color="000000" w:fill="FFFFFF"/>
            <w:noWrap/>
            <w:tcMar>
              <w:left w:w="28" w:type="dxa"/>
              <w:right w:w="28" w:type="dxa"/>
            </w:tcMar>
            <w:vAlign w:val="center"/>
            <w:hideMark/>
          </w:tcPr>
          <w:p w14:paraId="051F8BD0" w14:textId="77777777" w:rsidR="00AA49E3" w:rsidRPr="00894701" w:rsidRDefault="00AA49E3" w:rsidP="00AA49E3">
            <w:pPr>
              <w:spacing w:after="0" w:line="240" w:lineRule="auto"/>
              <w:rPr>
                <w:rFonts w:cs="Arial"/>
                <w:color w:val="auto"/>
                <w:kern w:val="0"/>
                <w:sz w:val="16"/>
                <w:szCs w:val="16"/>
              </w:rPr>
            </w:pPr>
            <w:r w:rsidRPr="00894701">
              <w:rPr>
                <w:rFonts w:cs="Arial"/>
                <w:color w:val="auto"/>
                <w:kern w:val="0"/>
                <w:sz w:val="16"/>
                <w:szCs w:val="16"/>
              </w:rPr>
              <w:t>1.6</w:t>
            </w:r>
          </w:p>
        </w:tc>
        <w:tc>
          <w:tcPr>
            <w:tcW w:w="831" w:type="pct"/>
            <w:tcBorders>
              <w:top w:val="nil"/>
              <w:left w:val="nil"/>
              <w:bottom w:val="nil"/>
              <w:right w:val="nil"/>
            </w:tcBorders>
            <w:shd w:val="clear" w:color="000000" w:fill="FFFFFF"/>
            <w:vAlign w:val="center"/>
            <w:hideMark/>
          </w:tcPr>
          <w:p w14:paraId="264361F0" w14:textId="3A727E09" w:rsidR="00AA49E3" w:rsidRPr="00894701" w:rsidRDefault="00AA49E3" w:rsidP="00AA49E3">
            <w:pPr>
              <w:spacing w:after="0" w:line="240" w:lineRule="auto"/>
              <w:rPr>
                <w:rFonts w:cs="Arial"/>
                <w:color w:val="auto"/>
                <w:kern w:val="0"/>
                <w:sz w:val="16"/>
                <w:szCs w:val="16"/>
              </w:rPr>
            </w:pPr>
            <w:r w:rsidRPr="00894701">
              <w:rPr>
                <w:rFonts w:cs="Arial"/>
                <w:color w:val="auto"/>
                <w:kern w:val="0"/>
                <w:sz w:val="16"/>
                <w:szCs w:val="16"/>
              </w:rPr>
              <w:t>Income Tax</w:t>
            </w:r>
          </w:p>
        </w:tc>
        <w:tc>
          <w:tcPr>
            <w:tcW w:w="462" w:type="pct"/>
            <w:tcBorders>
              <w:top w:val="nil"/>
              <w:left w:val="nil"/>
              <w:bottom w:val="nil"/>
              <w:right w:val="nil"/>
            </w:tcBorders>
            <w:shd w:val="clear" w:color="000000" w:fill="FFFFFF"/>
            <w:noWrap/>
            <w:vAlign w:val="center"/>
          </w:tcPr>
          <w:p w14:paraId="0210F095"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129,398</w:t>
            </w:r>
          </w:p>
        </w:tc>
        <w:tc>
          <w:tcPr>
            <w:tcW w:w="512" w:type="pct"/>
            <w:tcBorders>
              <w:top w:val="nil"/>
              <w:left w:val="nil"/>
              <w:bottom w:val="nil"/>
              <w:right w:val="nil"/>
            </w:tcBorders>
            <w:shd w:val="clear" w:color="000000" w:fill="FFFFFF"/>
            <w:noWrap/>
            <w:vAlign w:val="center"/>
          </w:tcPr>
          <w:p w14:paraId="5EEA470A" w14:textId="554C31D0" w:rsidR="00AA49E3" w:rsidRPr="00894701" w:rsidRDefault="004651D9" w:rsidP="0010169E">
            <w:pPr>
              <w:spacing w:after="0" w:line="240" w:lineRule="auto"/>
              <w:jc w:val="right"/>
              <w:rPr>
                <w:rFonts w:cs="Arial"/>
                <w:color w:val="auto"/>
                <w:kern w:val="0"/>
                <w:sz w:val="16"/>
                <w:szCs w:val="16"/>
              </w:rPr>
            </w:pPr>
            <w:r w:rsidRPr="00894701">
              <w:rPr>
                <w:rFonts w:cs="Arial"/>
                <w:color w:val="auto"/>
                <w:sz w:val="16"/>
                <w:szCs w:val="16"/>
              </w:rPr>
              <w:t>129,398</w:t>
            </w:r>
          </w:p>
        </w:tc>
        <w:tc>
          <w:tcPr>
            <w:tcW w:w="513" w:type="pct"/>
            <w:tcBorders>
              <w:top w:val="nil"/>
              <w:left w:val="nil"/>
              <w:bottom w:val="nil"/>
              <w:right w:val="nil"/>
            </w:tcBorders>
            <w:shd w:val="clear" w:color="000000" w:fill="FFFFFF"/>
            <w:noWrap/>
            <w:vAlign w:val="center"/>
          </w:tcPr>
          <w:p w14:paraId="5CB42C57" w14:textId="671FDCF7" w:rsidR="00AA49E3" w:rsidRPr="00894701" w:rsidRDefault="004651D9" w:rsidP="0010169E">
            <w:pPr>
              <w:spacing w:after="0" w:line="240" w:lineRule="auto"/>
              <w:jc w:val="right"/>
              <w:rPr>
                <w:rFonts w:cs="Arial"/>
                <w:color w:val="auto"/>
                <w:kern w:val="0"/>
                <w:sz w:val="16"/>
                <w:szCs w:val="16"/>
              </w:rPr>
            </w:pPr>
            <w:r w:rsidRPr="00894701">
              <w:rPr>
                <w:rFonts w:cs="Arial"/>
                <w:color w:val="auto"/>
                <w:sz w:val="16"/>
                <w:szCs w:val="16"/>
              </w:rPr>
              <w:t>-</w:t>
            </w:r>
          </w:p>
        </w:tc>
        <w:tc>
          <w:tcPr>
            <w:tcW w:w="341" w:type="pct"/>
            <w:tcBorders>
              <w:top w:val="nil"/>
              <w:left w:val="nil"/>
              <w:bottom w:val="nil"/>
              <w:right w:val="nil"/>
            </w:tcBorders>
            <w:shd w:val="clear" w:color="000000" w:fill="FFFFFF"/>
            <w:noWrap/>
            <w:vAlign w:val="center"/>
          </w:tcPr>
          <w:p w14:paraId="0715F10E"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371" w:type="pct"/>
            <w:tcBorders>
              <w:top w:val="nil"/>
              <w:left w:val="nil"/>
              <w:bottom w:val="nil"/>
              <w:right w:val="nil"/>
            </w:tcBorders>
            <w:shd w:val="clear" w:color="000000" w:fill="FFFFFF"/>
            <w:noWrap/>
            <w:vAlign w:val="center"/>
          </w:tcPr>
          <w:p w14:paraId="6FCD6BB1"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421" w:type="pct"/>
            <w:tcBorders>
              <w:top w:val="nil"/>
              <w:left w:val="nil"/>
              <w:bottom w:val="nil"/>
              <w:right w:val="nil"/>
            </w:tcBorders>
            <w:shd w:val="clear" w:color="000000" w:fill="FFFFFF"/>
            <w:noWrap/>
            <w:vAlign w:val="center"/>
          </w:tcPr>
          <w:p w14:paraId="36A95BB0"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469" w:type="pct"/>
            <w:tcBorders>
              <w:top w:val="nil"/>
              <w:left w:val="nil"/>
              <w:bottom w:val="nil"/>
              <w:right w:val="nil"/>
            </w:tcBorders>
            <w:shd w:val="clear" w:color="000000" w:fill="FFFFFF"/>
            <w:noWrap/>
            <w:vAlign w:val="center"/>
          </w:tcPr>
          <w:p w14:paraId="1A2F487B"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129,398</w:t>
            </w:r>
          </w:p>
        </w:tc>
        <w:tc>
          <w:tcPr>
            <w:tcW w:w="467" w:type="pct"/>
            <w:tcBorders>
              <w:top w:val="nil"/>
              <w:left w:val="nil"/>
              <w:bottom w:val="nil"/>
              <w:right w:val="nil"/>
            </w:tcBorders>
            <w:shd w:val="clear" w:color="000000" w:fill="FFFFFF"/>
            <w:noWrap/>
            <w:vAlign w:val="center"/>
          </w:tcPr>
          <w:p w14:paraId="22FC4C7C" w14:textId="4C6CD8DB" w:rsidR="00AA49E3" w:rsidRPr="00894701" w:rsidRDefault="004651D9" w:rsidP="0010169E">
            <w:pPr>
              <w:spacing w:after="0" w:line="240" w:lineRule="auto"/>
              <w:jc w:val="right"/>
              <w:rPr>
                <w:rFonts w:cs="Arial"/>
                <w:color w:val="auto"/>
                <w:kern w:val="0"/>
                <w:sz w:val="16"/>
                <w:szCs w:val="16"/>
              </w:rPr>
            </w:pPr>
            <w:r w:rsidRPr="00894701">
              <w:rPr>
                <w:rFonts w:cs="Arial"/>
                <w:color w:val="auto"/>
                <w:sz w:val="16"/>
                <w:szCs w:val="16"/>
              </w:rPr>
              <w:t>129,398</w:t>
            </w:r>
          </w:p>
        </w:tc>
        <w:tc>
          <w:tcPr>
            <w:tcW w:w="463" w:type="pct"/>
            <w:tcBorders>
              <w:top w:val="nil"/>
              <w:left w:val="nil"/>
              <w:bottom w:val="nil"/>
              <w:right w:val="single" w:sz="8" w:space="0" w:color="FF0000"/>
            </w:tcBorders>
            <w:shd w:val="clear" w:color="000000" w:fill="FFFFFF"/>
            <w:noWrap/>
            <w:vAlign w:val="center"/>
          </w:tcPr>
          <w:p w14:paraId="440EF48F" w14:textId="06C81D55" w:rsidR="00AA49E3" w:rsidRPr="00894701" w:rsidRDefault="004651D9" w:rsidP="0010169E">
            <w:pPr>
              <w:spacing w:after="0" w:line="240" w:lineRule="auto"/>
              <w:jc w:val="right"/>
              <w:rPr>
                <w:rFonts w:cs="Arial"/>
                <w:color w:val="auto"/>
                <w:kern w:val="0"/>
                <w:sz w:val="16"/>
                <w:szCs w:val="16"/>
              </w:rPr>
            </w:pPr>
            <w:r w:rsidRPr="00894701">
              <w:rPr>
                <w:rFonts w:cs="Arial"/>
                <w:color w:val="auto"/>
                <w:sz w:val="16"/>
                <w:szCs w:val="16"/>
              </w:rPr>
              <w:t>-</w:t>
            </w:r>
          </w:p>
        </w:tc>
      </w:tr>
      <w:tr w:rsidR="00AA49E3" w:rsidRPr="00894701" w14:paraId="6A907028" w14:textId="77777777" w:rsidTr="00AA49E3">
        <w:trPr>
          <w:trHeight w:val="227"/>
          <w:jc w:val="center"/>
        </w:trPr>
        <w:tc>
          <w:tcPr>
            <w:tcW w:w="150" w:type="pct"/>
            <w:tcBorders>
              <w:top w:val="nil"/>
              <w:left w:val="single" w:sz="8" w:space="0" w:color="FF0000"/>
              <w:bottom w:val="nil"/>
              <w:right w:val="nil"/>
            </w:tcBorders>
            <w:shd w:val="clear" w:color="000000" w:fill="F7A3B0"/>
            <w:noWrap/>
            <w:tcMar>
              <w:left w:w="28" w:type="dxa"/>
              <w:right w:w="28" w:type="dxa"/>
            </w:tcMar>
            <w:vAlign w:val="center"/>
            <w:hideMark/>
          </w:tcPr>
          <w:p w14:paraId="11136CB1"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1.7</w:t>
            </w:r>
          </w:p>
        </w:tc>
        <w:tc>
          <w:tcPr>
            <w:tcW w:w="831" w:type="pct"/>
            <w:tcBorders>
              <w:top w:val="nil"/>
              <w:left w:val="nil"/>
              <w:bottom w:val="nil"/>
              <w:right w:val="nil"/>
            </w:tcBorders>
            <w:shd w:val="clear" w:color="000000" w:fill="F7A3B0"/>
            <w:noWrap/>
            <w:vAlign w:val="center"/>
            <w:hideMark/>
          </w:tcPr>
          <w:p w14:paraId="313D6D9C" w14:textId="74F91865"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Sales Tax</w:t>
            </w:r>
          </w:p>
        </w:tc>
        <w:tc>
          <w:tcPr>
            <w:tcW w:w="462" w:type="pct"/>
            <w:tcBorders>
              <w:top w:val="nil"/>
              <w:left w:val="nil"/>
              <w:bottom w:val="nil"/>
              <w:right w:val="nil"/>
            </w:tcBorders>
            <w:shd w:val="clear" w:color="000000" w:fill="F7A3B0"/>
            <w:noWrap/>
            <w:vAlign w:val="center"/>
          </w:tcPr>
          <w:p w14:paraId="1CA2D310"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512" w:type="pct"/>
            <w:tcBorders>
              <w:top w:val="nil"/>
              <w:left w:val="nil"/>
              <w:bottom w:val="nil"/>
              <w:right w:val="nil"/>
            </w:tcBorders>
            <w:shd w:val="clear" w:color="000000" w:fill="F7A3B0"/>
            <w:noWrap/>
            <w:vAlign w:val="center"/>
          </w:tcPr>
          <w:p w14:paraId="2D87DB0A"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513" w:type="pct"/>
            <w:tcBorders>
              <w:top w:val="nil"/>
              <w:left w:val="nil"/>
              <w:bottom w:val="nil"/>
              <w:right w:val="nil"/>
            </w:tcBorders>
            <w:shd w:val="clear" w:color="000000" w:fill="F7A3B0"/>
            <w:noWrap/>
            <w:vAlign w:val="center"/>
          </w:tcPr>
          <w:p w14:paraId="4FEADA62"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341" w:type="pct"/>
            <w:tcBorders>
              <w:top w:val="nil"/>
              <w:left w:val="nil"/>
              <w:bottom w:val="nil"/>
              <w:right w:val="nil"/>
            </w:tcBorders>
            <w:shd w:val="clear" w:color="000000" w:fill="F7A3B0"/>
            <w:noWrap/>
            <w:vAlign w:val="center"/>
          </w:tcPr>
          <w:p w14:paraId="7FC8D3F0"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371" w:type="pct"/>
            <w:tcBorders>
              <w:top w:val="nil"/>
              <w:left w:val="nil"/>
              <w:bottom w:val="nil"/>
              <w:right w:val="nil"/>
            </w:tcBorders>
            <w:shd w:val="clear" w:color="000000" w:fill="F7A3B0"/>
            <w:noWrap/>
            <w:vAlign w:val="center"/>
          </w:tcPr>
          <w:p w14:paraId="5677A56F"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421" w:type="pct"/>
            <w:tcBorders>
              <w:top w:val="nil"/>
              <w:left w:val="nil"/>
              <w:bottom w:val="nil"/>
              <w:right w:val="nil"/>
            </w:tcBorders>
            <w:shd w:val="clear" w:color="000000" w:fill="F7A3B0"/>
            <w:noWrap/>
            <w:vAlign w:val="center"/>
          </w:tcPr>
          <w:p w14:paraId="471267EB"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469" w:type="pct"/>
            <w:tcBorders>
              <w:top w:val="nil"/>
              <w:left w:val="nil"/>
              <w:bottom w:val="nil"/>
              <w:right w:val="nil"/>
            </w:tcBorders>
            <w:shd w:val="clear" w:color="000000" w:fill="F7A3B0"/>
            <w:noWrap/>
            <w:vAlign w:val="center"/>
          </w:tcPr>
          <w:p w14:paraId="28297EFC"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467" w:type="pct"/>
            <w:tcBorders>
              <w:top w:val="nil"/>
              <w:left w:val="nil"/>
              <w:bottom w:val="nil"/>
              <w:right w:val="nil"/>
            </w:tcBorders>
            <w:shd w:val="clear" w:color="000000" w:fill="F7A3B0"/>
            <w:noWrap/>
            <w:vAlign w:val="center"/>
          </w:tcPr>
          <w:p w14:paraId="5AF95081"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463" w:type="pct"/>
            <w:tcBorders>
              <w:top w:val="nil"/>
              <w:left w:val="nil"/>
              <w:bottom w:val="nil"/>
              <w:right w:val="single" w:sz="8" w:space="0" w:color="FF0000"/>
            </w:tcBorders>
            <w:shd w:val="clear" w:color="000000" w:fill="F7A3B0"/>
            <w:noWrap/>
            <w:vAlign w:val="center"/>
          </w:tcPr>
          <w:p w14:paraId="29923F3A"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r>
      <w:tr w:rsidR="00AA49E3" w:rsidRPr="00894701" w14:paraId="6B8C9860" w14:textId="77777777" w:rsidTr="00AA49E3">
        <w:trPr>
          <w:trHeight w:val="227"/>
          <w:jc w:val="center"/>
        </w:trPr>
        <w:tc>
          <w:tcPr>
            <w:tcW w:w="150" w:type="pct"/>
            <w:tcBorders>
              <w:top w:val="nil"/>
              <w:left w:val="single" w:sz="8" w:space="0" w:color="FF0000"/>
              <w:bottom w:val="nil"/>
              <w:right w:val="nil"/>
            </w:tcBorders>
            <w:shd w:val="clear" w:color="000000" w:fill="FFFFFF"/>
            <w:noWrap/>
            <w:tcMar>
              <w:left w:w="28" w:type="dxa"/>
              <w:right w:w="28" w:type="dxa"/>
            </w:tcMar>
            <w:vAlign w:val="center"/>
            <w:hideMark/>
          </w:tcPr>
          <w:p w14:paraId="422B9170" w14:textId="77777777" w:rsidR="00AA49E3" w:rsidRPr="00894701" w:rsidRDefault="00AA49E3" w:rsidP="00AA49E3">
            <w:pPr>
              <w:spacing w:after="0" w:line="240" w:lineRule="auto"/>
              <w:rPr>
                <w:rFonts w:cs="Arial"/>
                <w:color w:val="auto"/>
                <w:kern w:val="0"/>
                <w:sz w:val="16"/>
                <w:szCs w:val="16"/>
              </w:rPr>
            </w:pPr>
            <w:r w:rsidRPr="00894701">
              <w:rPr>
                <w:rFonts w:cs="Arial"/>
                <w:color w:val="auto"/>
                <w:kern w:val="0"/>
                <w:sz w:val="16"/>
                <w:szCs w:val="16"/>
              </w:rPr>
              <w:t>1.8</w:t>
            </w:r>
          </w:p>
        </w:tc>
        <w:tc>
          <w:tcPr>
            <w:tcW w:w="831" w:type="pct"/>
            <w:tcBorders>
              <w:top w:val="nil"/>
              <w:left w:val="nil"/>
              <w:bottom w:val="nil"/>
              <w:right w:val="nil"/>
            </w:tcBorders>
            <w:shd w:val="clear" w:color="000000" w:fill="FFFFFF"/>
            <w:vAlign w:val="center"/>
            <w:hideMark/>
          </w:tcPr>
          <w:p w14:paraId="1C77468A" w14:textId="48E487BF" w:rsidR="00AA49E3" w:rsidRPr="00894701" w:rsidRDefault="00AA49E3" w:rsidP="00AA49E3">
            <w:pPr>
              <w:spacing w:after="0" w:line="240" w:lineRule="auto"/>
              <w:rPr>
                <w:rFonts w:cs="Arial"/>
                <w:color w:val="auto"/>
                <w:kern w:val="0"/>
                <w:sz w:val="16"/>
                <w:szCs w:val="16"/>
              </w:rPr>
            </w:pPr>
            <w:r w:rsidRPr="00894701">
              <w:rPr>
                <w:rFonts w:cs="Arial"/>
                <w:color w:val="auto"/>
                <w:kern w:val="0"/>
                <w:sz w:val="16"/>
                <w:szCs w:val="16"/>
              </w:rPr>
              <w:t>Cash Dividends</w:t>
            </w:r>
          </w:p>
        </w:tc>
        <w:tc>
          <w:tcPr>
            <w:tcW w:w="462" w:type="pct"/>
            <w:tcBorders>
              <w:top w:val="nil"/>
              <w:left w:val="nil"/>
              <w:bottom w:val="nil"/>
              <w:right w:val="nil"/>
            </w:tcBorders>
            <w:shd w:val="clear" w:color="000000" w:fill="FFFFFF"/>
            <w:noWrap/>
            <w:vAlign w:val="center"/>
          </w:tcPr>
          <w:p w14:paraId="26D9CF3C"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512" w:type="pct"/>
            <w:tcBorders>
              <w:top w:val="nil"/>
              <w:left w:val="nil"/>
              <w:bottom w:val="nil"/>
              <w:right w:val="nil"/>
            </w:tcBorders>
            <w:shd w:val="clear" w:color="000000" w:fill="FFFFFF"/>
            <w:noWrap/>
            <w:vAlign w:val="center"/>
          </w:tcPr>
          <w:p w14:paraId="0CF005FE"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513" w:type="pct"/>
            <w:tcBorders>
              <w:top w:val="nil"/>
              <w:left w:val="nil"/>
              <w:bottom w:val="nil"/>
              <w:right w:val="nil"/>
            </w:tcBorders>
            <w:shd w:val="clear" w:color="000000" w:fill="FFFFFF"/>
            <w:noWrap/>
            <w:vAlign w:val="center"/>
          </w:tcPr>
          <w:p w14:paraId="6F22A8E7"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341" w:type="pct"/>
            <w:tcBorders>
              <w:top w:val="nil"/>
              <w:left w:val="nil"/>
              <w:bottom w:val="nil"/>
              <w:right w:val="nil"/>
            </w:tcBorders>
            <w:shd w:val="clear" w:color="000000" w:fill="FFFFFF"/>
            <w:noWrap/>
            <w:vAlign w:val="center"/>
          </w:tcPr>
          <w:p w14:paraId="1FB698A3"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371" w:type="pct"/>
            <w:tcBorders>
              <w:top w:val="nil"/>
              <w:left w:val="nil"/>
              <w:bottom w:val="nil"/>
              <w:right w:val="nil"/>
            </w:tcBorders>
            <w:shd w:val="clear" w:color="000000" w:fill="FFFFFF"/>
            <w:noWrap/>
            <w:vAlign w:val="center"/>
          </w:tcPr>
          <w:p w14:paraId="3B0A5C4A"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421" w:type="pct"/>
            <w:tcBorders>
              <w:top w:val="nil"/>
              <w:left w:val="nil"/>
              <w:bottom w:val="nil"/>
              <w:right w:val="nil"/>
            </w:tcBorders>
            <w:shd w:val="clear" w:color="000000" w:fill="FFFFFF"/>
            <w:noWrap/>
            <w:vAlign w:val="center"/>
          </w:tcPr>
          <w:p w14:paraId="178349C5"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469" w:type="pct"/>
            <w:tcBorders>
              <w:top w:val="nil"/>
              <w:left w:val="nil"/>
              <w:bottom w:val="nil"/>
              <w:right w:val="nil"/>
            </w:tcBorders>
            <w:shd w:val="clear" w:color="000000" w:fill="FFFFFF"/>
            <w:noWrap/>
            <w:vAlign w:val="center"/>
          </w:tcPr>
          <w:p w14:paraId="22B1B79A"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467" w:type="pct"/>
            <w:tcBorders>
              <w:top w:val="nil"/>
              <w:left w:val="nil"/>
              <w:bottom w:val="nil"/>
              <w:right w:val="nil"/>
            </w:tcBorders>
            <w:shd w:val="clear" w:color="000000" w:fill="FFFFFF"/>
            <w:noWrap/>
            <w:vAlign w:val="center"/>
          </w:tcPr>
          <w:p w14:paraId="16DD48CB"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463" w:type="pct"/>
            <w:tcBorders>
              <w:top w:val="nil"/>
              <w:left w:val="nil"/>
              <w:bottom w:val="nil"/>
              <w:right w:val="single" w:sz="8" w:space="0" w:color="FF0000"/>
            </w:tcBorders>
            <w:shd w:val="clear" w:color="000000" w:fill="FFFFFF"/>
            <w:noWrap/>
            <w:vAlign w:val="center"/>
          </w:tcPr>
          <w:p w14:paraId="423E4FEA"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r>
      <w:tr w:rsidR="00AA49E3" w:rsidRPr="00894701" w14:paraId="5FE6B660" w14:textId="77777777" w:rsidTr="00AA49E3">
        <w:trPr>
          <w:trHeight w:val="227"/>
          <w:jc w:val="center"/>
        </w:trPr>
        <w:tc>
          <w:tcPr>
            <w:tcW w:w="150" w:type="pct"/>
            <w:tcBorders>
              <w:top w:val="nil"/>
              <w:left w:val="single" w:sz="8" w:space="0" w:color="FF0000"/>
              <w:bottom w:val="nil"/>
              <w:right w:val="nil"/>
            </w:tcBorders>
            <w:shd w:val="clear" w:color="000000" w:fill="F7A3B0"/>
            <w:noWrap/>
            <w:tcMar>
              <w:left w:w="28" w:type="dxa"/>
              <w:right w:w="28" w:type="dxa"/>
            </w:tcMar>
            <w:vAlign w:val="center"/>
            <w:hideMark/>
          </w:tcPr>
          <w:p w14:paraId="0BBE88F3"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1.9</w:t>
            </w:r>
          </w:p>
        </w:tc>
        <w:tc>
          <w:tcPr>
            <w:tcW w:w="831" w:type="pct"/>
            <w:tcBorders>
              <w:top w:val="nil"/>
              <w:left w:val="nil"/>
              <w:bottom w:val="nil"/>
              <w:right w:val="nil"/>
            </w:tcBorders>
            <w:shd w:val="clear" w:color="000000" w:fill="F7A3B0"/>
            <w:noWrap/>
            <w:vAlign w:val="center"/>
            <w:hideMark/>
          </w:tcPr>
          <w:p w14:paraId="27987F50" w14:textId="4E6EC8A5"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Dividend Tax</w:t>
            </w:r>
          </w:p>
        </w:tc>
        <w:tc>
          <w:tcPr>
            <w:tcW w:w="462" w:type="pct"/>
            <w:tcBorders>
              <w:top w:val="nil"/>
              <w:left w:val="nil"/>
              <w:bottom w:val="nil"/>
              <w:right w:val="nil"/>
            </w:tcBorders>
            <w:shd w:val="clear" w:color="000000" w:fill="F7A3B0"/>
            <w:noWrap/>
            <w:vAlign w:val="center"/>
          </w:tcPr>
          <w:p w14:paraId="2058D9E9"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512" w:type="pct"/>
            <w:tcBorders>
              <w:top w:val="nil"/>
              <w:left w:val="nil"/>
              <w:bottom w:val="nil"/>
              <w:right w:val="nil"/>
            </w:tcBorders>
            <w:shd w:val="clear" w:color="000000" w:fill="F7A3B0"/>
            <w:noWrap/>
            <w:vAlign w:val="center"/>
          </w:tcPr>
          <w:p w14:paraId="0BAC7BD1"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513" w:type="pct"/>
            <w:tcBorders>
              <w:top w:val="nil"/>
              <w:left w:val="nil"/>
              <w:bottom w:val="nil"/>
              <w:right w:val="nil"/>
            </w:tcBorders>
            <w:shd w:val="clear" w:color="000000" w:fill="F7A3B0"/>
            <w:noWrap/>
            <w:vAlign w:val="center"/>
          </w:tcPr>
          <w:p w14:paraId="7316AEEE"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341" w:type="pct"/>
            <w:tcBorders>
              <w:top w:val="nil"/>
              <w:left w:val="nil"/>
              <w:bottom w:val="nil"/>
              <w:right w:val="nil"/>
            </w:tcBorders>
            <w:shd w:val="clear" w:color="000000" w:fill="F7A3B0"/>
            <w:noWrap/>
            <w:vAlign w:val="center"/>
          </w:tcPr>
          <w:p w14:paraId="4841CE88"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371" w:type="pct"/>
            <w:tcBorders>
              <w:top w:val="nil"/>
              <w:left w:val="nil"/>
              <w:bottom w:val="nil"/>
              <w:right w:val="nil"/>
            </w:tcBorders>
            <w:shd w:val="clear" w:color="000000" w:fill="F7A3B0"/>
            <w:noWrap/>
            <w:vAlign w:val="center"/>
          </w:tcPr>
          <w:p w14:paraId="1F9D0ACE"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421" w:type="pct"/>
            <w:tcBorders>
              <w:top w:val="nil"/>
              <w:left w:val="nil"/>
              <w:bottom w:val="nil"/>
              <w:right w:val="nil"/>
            </w:tcBorders>
            <w:shd w:val="clear" w:color="000000" w:fill="F7A3B0"/>
            <w:noWrap/>
            <w:vAlign w:val="center"/>
          </w:tcPr>
          <w:p w14:paraId="66B43AAE"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469" w:type="pct"/>
            <w:tcBorders>
              <w:top w:val="nil"/>
              <w:left w:val="nil"/>
              <w:bottom w:val="nil"/>
              <w:right w:val="nil"/>
            </w:tcBorders>
            <w:shd w:val="clear" w:color="000000" w:fill="F7A3B0"/>
            <w:noWrap/>
            <w:vAlign w:val="center"/>
          </w:tcPr>
          <w:p w14:paraId="2B3C07BE"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467" w:type="pct"/>
            <w:tcBorders>
              <w:top w:val="nil"/>
              <w:left w:val="nil"/>
              <w:bottom w:val="nil"/>
              <w:right w:val="nil"/>
            </w:tcBorders>
            <w:shd w:val="clear" w:color="000000" w:fill="F7A3B0"/>
            <w:noWrap/>
            <w:vAlign w:val="center"/>
          </w:tcPr>
          <w:p w14:paraId="3901D865"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c>
          <w:tcPr>
            <w:tcW w:w="463" w:type="pct"/>
            <w:tcBorders>
              <w:top w:val="nil"/>
              <w:left w:val="nil"/>
              <w:bottom w:val="nil"/>
              <w:right w:val="single" w:sz="8" w:space="0" w:color="FF0000"/>
            </w:tcBorders>
            <w:shd w:val="clear" w:color="000000" w:fill="F7A3B0"/>
            <w:noWrap/>
            <w:vAlign w:val="center"/>
          </w:tcPr>
          <w:p w14:paraId="16D76267" w14:textId="77777777" w:rsidR="00AA49E3" w:rsidRPr="00894701" w:rsidRDefault="00AA49E3" w:rsidP="0010169E">
            <w:pPr>
              <w:spacing w:after="0" w:line="240" w:lineRule="auto"/>
              <w:jc w:val="right"/>
              <w:rPr>
                <w:rFonts w:cs="Arial"/>
                <w:color w:val="auto"/>
                <w:kern w:val="0"/>
                <w:sz w:val="16"/>
                <w:szCs w:val="16"/>
              </w:rPr>
            </w:pPr>
            <w:r w:rsidRPr="00894701">
              <w:rPr>
                <w:rFonts w:cs="Arial"/>
                <w:color w:val="auto"/>
                <w:sz w:val="16"/>
                <w:szCs w:val="16"/>
              </w:rPr>
              <w:t>-</w:t>
            </w:r>
          </w:p>
        </w:tc>
      </w:tr>
      <w:tr w:rsidR="003C1E50" w:rsidRPr="00894701" w14:paraId="76748A42" w14:textId="77777777" w:rsidTr="00AA49E3">
        <w:trPr>
          <w:trHeight w:val="227"/>
          <w:jc w:val="center"/>
        </w:trPr>
        <w:tc>
          <w:tcPr>
            <w:tcW w:w="150" w:type="pct"/>
            <w:tcBorders>
              <w:top w:val="nil"/>
              <w:left w:val="single" w:sz="8" w:space="0" w:color="FF0000"/>
              <w:bottom w:val="nil"/>
              <w:right w:val="nil"/>
            </w:tcBorders>
            <w:shd w:val="clear" w:color="000000" w:fill="FFFFFF"/>
            <w:noWrap/>
            <w:tcMar>
              <w:left w:w="28" w:type="dxa"/>
              <w:right w:w="28" w:type="dxa"/>
            </w:tcMar>
            <w:vAlign w:val="center"/>
            <w:hideMark/>
          </w:tcPr>
          <w:p w14:paraId="30EF5A1E" w14:textId="77777777" w:rsidR="003C1E50" w:rsidRPr="00894701" w:rsidRDefault="003C1E50" w:rsidP="003C1E50">
            <w:pPr>
              <w:spacing w:after="0" w:line="240" w:lineRule="auto"/>
              <w:rPr>
                <w:rFonts w:cs="Arial"/>
                <w:color w:val="auto"/>
                <w:kern w:val="0"/>
                <w:sz w:val="16"/>
                <w:szCs w:val="16"/>
              </w:rPr>
            </w:pPr>
            <w:r w:rsidRPr="00894701">
              <w:rPr>
                <w:rFonts w:cs="Arial"/>
                <w:color w:val="auto"/>
                <w:kern w:val="0"/>
                <w:sz w:val="16"/>
                <w:szCs w:val="16"/>
              </w:rPr>
              <w:t>1.10</w:t>
            </w:r>
          </w:p>
        </w:tc>
        <w:tc>
          <w:tcPr>
            <w:tcW w:w="831" w:type="pct"/>
            <w:tcBorders>
              <w:top w:val="nil"/>
              <w:left w:val="nil"/>
              <w:bottom w:val="nil"/>
              <w:right w:val="nil"/>
            </w:tcBorders>
            <w:shd w:val="clear" w:color="000000" w:fill="FFFFFF"/>
            <w:vAlign w:val="center"/>
            <w:hideMark/>
          </w:tcPr>
          <w:p w14:paraId="6960F12F" w14:textId="23E15DD7" w:rsidR="003C1E50" w:rsidRPr="00894701" w:rsidRDefault="003C1E50" w:rsidP="003C1E50">
            <w:pPr>
              <w:spacing w:after="0" w:line="240" w:lineRule="auto"/>
              <w:rPr>
                <w:rFonts w:cs="Arial"/>
                <w:color w:val="auto"/>
                <w:kern w:val="0"/>
                <w:sz w:val="16"/>
                <w:szCs w:val="16"/>
              </w:rPr>
            </w:pPr>
            <w:r w:rsidRPr="00894701">
              <w:rPr>
                <w:rFonts w:cs="Arial"/>
                <w:color w:val="auto"/>
                <w:kern w:val="0"/>
                <w:sz w:val="16"/>
                <w:szCs w:val="16"/>
              </w:rPr>
              <w:t>Wage Tax&amp;OP-premium(AOV)</w:t>
            </w:r>
          </w:p>
        </w:tc>
        <w:tc>
          <w:tcPr>
            <w:tcW w:w="462" w:type="pct"/>
            <w:tcBorders>
              <w:top w:val="nil"/>
              <w:left w:val="nil"/>
              <w:bottom w:val="nil"/>
              <w:right w:val="nil"/>
            </w:tcBorders>
            <w:shd w:val="clear" w:color="000000" w:fill="FFFFFF"/>
            <w:noWrap/>
            <w:vAlign w:val="center"/>
          </w:tcPr>
          <w:p w14:paraId="4711926F" w14:textId="6695EB18" w:rsidR="003C1E50" w:rsidRPr="00894701" w:rsidRDefault="003C1E50" w:rsidP="003C1E50">
            <w:pPr>
              <w:spacing w:after="0" w:line="240" w:lineRule="auto"/>
              <w:jc w:val="right"/>
              <w:rPr>
                <w:rFonts w:cs="Arial"/>
                <w:color w:val="auto"/>
                <w:kern w:val="0"/>
                <w:sz w:val="16"/>
                <w:szCs w:val="16"/>
              </w:rPr>
            </w:pPr>
            <w:r w:rsidRPr="00894701">
              <w:rPr>
                <w:rFonts w:cs="Arial"/>
                <w:color w:val="auto"/>
                <w:sz w:val="16"/>
                <w:szCs w:val="16"/>
              </w:rPr>
              <w:t>171,051,766</w:t>
            </w:r>
          </w:p>
        </w:tc>
        <w:tc>
          <w:tcPr>
            <w:tcW w:w="512" w:type="pct"/>
            <w:tcBorders>
              <w:top w:val="nil"/>
              <w:left w:val="nil"/>
              <w:bottom w:val="nil"/>
              <w:right w:val="nil"/>
            </w:tcBorders>
            <w:shd w:val="clear" w:color="000000" w:fill="FFFFFF"/>
            <w:noWrap/>
            <w:vAlign w:val="center"/>
          </w:tcPr>
          <w:p w14:paraId="082B778E" w14:textId="2068EEC8" w:rsidR="003C1E50" w:rsidRPr="00894701" w:rsidRDefault="003C1E50" w:rsidP="003C1E50">
            <w:pPr>
              <w:spacing w:after="0" w:line="240" w:lineRule="auto"/>
              <w:jc w:val="right"/>
              <w:rPr>
                <w:rFonts w:cs="Arial"/>
                <w:color w:val="auto"/>
                <w:kern w:val="0"/>
                <w:sz w:val="16"/>
                <w:szCs w:val="16"/>
              </w:rPr>
            </w:pPr>
            <w:r w:rsidRPr="00894701">
              <w:rPr>
                <w:rFonts w:cs="Arial"/>
                <w:color w:val="auto"/>
                <w:sz w:val="16"/>
                <w:szCs w:val="16"/>
              </w:rPr>
              <w:t>166,781,812</w:t>
            </w:r>
          </w:p>
        </w:tc>
        <w:tc>
          <w:tcPr>
            <w:tcW w:w="513" w:type="pct"/>
            <w:tcBorders>
              <w:top w:val="nil"/>
              <w:left w:val="nil"/>
              <w:bottom w:val="nil"/>
              <w:right w:val="nil"/>
            </w:tcBorders>
            <w:shd w:val="clear" w:color="000000" w:fill="FFFFFF"/>
            <w:noWrap/>
            <w:vAlign w:val="center"/>
          </w:tcPr>
          <w:p w14:paraId="06964427" w14:textId="749D3A2E" w:rsidR="003C1E50" w:rsidRPr="00894701" w:rsidRDefault="003C1E50" w:rsidP="003C1E50">
            <w:pPr>
              <w:spacing w:after="0" w:line="240" w:lineRule="auto"/>
              <w:jc w:val="right"/>
              <w:rPr>
                <w:rFonts w:cs="Arial"/>
                <w:color w:val="auto"/>
                <w:kern w:val="0"/>
                <w:sz w:val="16"/>
                <w:szCs w:val="16"/>
              </w:rPr>
            </w:pPr>
            <w:r w:rsidRPr="00894701">
              <w:rPr>
                <w:rFonts w:cs="Arial"/>
                <w:color w:val="auto"/>
                <w:sz w:val="16"/>
                <w:szCs w:val="16"/>
              </w:rPr>
              <w:t>4,269,954</w:t>
            </w:r>
          </w:p>
        </w:tc>
        <w:tc>
          <w:tcPr>
            <w:tcW w:w="341" w:type="pct"/>
            <w:tcBorders>
              <w:top w:val="nil"/>
              <w:left w:val="nil"/>
              <w:bottom w:val="nil"/>
              <w:right w:val="nil"/>
            </w:tcBorders>
            <w:shd w:val="clear" w:color="000000" w:fill="FFFFFF"/>
            <w:noWrap/>
            <w:vAlign w:val="center"/>
          </w:tcPr>
          <w:p w14:paraId="4DC13D2C" w14:textId="4ECDFA82" w:rsidR="003C1E50" w:rsidRPr="00894701" w:rsidRDefault="003C1E50" w:rsidP="003C1E50">
            <w:pPr>
              <w:spacing w:after="0" w:line="240" w:lineRule="auto"/>
              <w:jc w:val="right"/>
              <w:rPr>
                <w:rFonts w:cs="Arial"/>
                <w:color w:val="auto"/>
                <w:kern w:val="0"/>
                <w:sz w:val="16"/>
                <w:szCs w:val="16"/>
              </w:rPr>
            </w:pPr>
            <w:r w:rsidRPr="00894701">
              <w:rPr>
                <w:rFonts w:cs="Arial"/>
                <w:color w:val="auto"/>
                <w:sz w:val="16"/>
                <w:szCs w:val="16"/>
              </w:rPr>
              <w:t>1,606,175</w:t>
            </w:r>
          </w:p>
        </w:tc>
        <w:tc>
          <w:tcPr>
            <w:tcW w:w="371" w:type="pct"/>
            <w:tcBorders>
              <w:top w:val="nil"/>
              <w:left w:val="nil"/>
              <w:bottom w:val="nil"/>
              <w:right w:val="nil"/>
            </w:tcBorders>
            <w:shd w:val="clear" w:color="000000" w:fill="FFFFFF"/>
            <w:noWrap/>
            <w:vAlign w:val="center"/>
          </w:tcPr>
          <w:p w14:paraId="095492E2" w14:textId="4F103A8C" w:rsidR="003C1E50" w:rsidRPr="00894701" w:rsidRDefault="003C1E50" w:rsidP="003C1E50">
            <w:pPr>
              <w:spacing w:after="0" w:line="240" w:lineRule="auto"/>
              <w:jc w:val="right"/>
              <w:rPr>
                <w:rFonts w:cs="Arial"/>
                <w:color w:val="auto"/>
                <w:kern w:val="0"/>
                <w:sz w:val="16"/>
                <w:szCs w:val="16"/>
              </w:rPr>
            </w:pPr>
            <w:r w:rsidRPr="00894701">
              <w:rPr>
                <w:rFonts w:cs="Arial"/>
                <w:color w:val="auto"/>
                <w:sz w:val="16"/>
                <w:szCs w:val="16"/>
              </w:rPr>
              <w:t>5,876,126</w:t>
            </w:r>
          </w:p>
        </w:tc>
        <w:tc>
          <w:tcPr>
            <w:tcW w:w="421" w:type="pct"/>
            <w:tcBorders>
              <w:top w:val="nil"/>
              <w:left w:val="nil"/>
              <w:bottom w:val="nil"/>
              <w:right w:val="nil"/>
            </w:tcBorders>
            <w:shd w:val="clear" w:color="000000" w:fill="FFFFFF"/>
            <w:noWrap/>
            <w:vAlign w:val="center"/>
          </w:tcPr>
          <w:p w14:paraId="0C93B009" w14:textId="3CA2E739" w:rsidR="003C1E50" w:rsidRPr="00894701" w:rsidRDefault="003C1E50" w:rsidP="003C1E50">
            <w:pPr>
              <w:spacing w:after="0" w:line="240" w:lineRule="auto"/>
              <w:jc w:val="right"/>
              <w:rPr>
                <w:rFonts w:cs="Arial"/>
                <w:color w:val="auto"/>
                <w:kern w:val="0"/>
                <w:sz w:val="16"/>
                <w:szCs w:val="16"/>
              </w:rPr>
            </w:pPr>
            <w:r w:rsidRPr="00894701">
              <w:rPr>
                <w:rFonts w:cs="Arial"/>
                <w:color w:val="auto"/>
                <w:sz w:val="16"/>
                <w:szCs w:val="16"/>
              </w:rPr>
              <w:t>(4,269,951)</w:t>
            </w:r>
          </w:p>
        </w:tc>
        <w:tc>
          <w:tcPr>
            <w:tcW w:w="469" w:type="pct"/>
            <w:tcBorders>
              <w:top w:val="nil"/>
              <w:left w:val="nil"/>
              <w:bottom w:val="nil"/>
              <w:right w:val="nil"/>
            </w:tcBorders>
            <w:shd w:val="clear" w:color="000000" w:fill="FFFFFF"/>
            <w:noWrap/>
            <w:vAlign w:val="center"/>
          </w:tcPr>
          <w:p w14:paraId="18D50B22" w14:textId="508D51CB" w:rsidR="003C1E50" w:rsidRPr="00894701" w:rsidRDefault="003C1E50" w:rsidP="003C1E50">
            <w:pPr>
              <w:spacing w:after="0" w:line="240" w:lineRule="auto"/>
              <w:jc w:val="right"/>
              <w:rPr>
                <w:rFonts w:cs="Arial"/>
                <w:color w:val="auto"/>
                <w:kern w:val="0"/>
                <w:sz w:val="16"/>
                <w:szCs w:val="16"/>
              </w:rPr>
            </w:pPr>
            <w:r w:rsidRPr="00894701">
              <w:rPr>
                <w:rFonts w:cs="Arial"/>
                <w:color w:val="auto"/>
                <w:sz w:val="16"/>
                <w:szCs w:val="16"/>
              </w:rPr>
              <w:t>172,657,941</w:t>
            </w:r>
          </w:p>
        </w:tc>
        <w:tc>
          <w:tcPr>
            <w:tcW w:w="467" w:type="pct"/>
            <w:tcBorders>
              <w:top w:val="nil"/>
              <w:left w:val="nil"/>
              <w:bottom w:val="nil"/>
              <w:right w:val="nil"/>
            </w:tcBorders>
            <w:shd w:val="clear" w:color="000000" w:fill="FFFFFF"/>
            <w:noWrap/>
            <w:vAlign w:val="center"/>
          </w:tcPr>
          <w:p w14:paraId="4018E43A" w14:textId="5887BBA6" w:rsidR="003C1E50" w:rsidRPr="00894701" w:rsidRDefault="003C1E50" w:rsidP="003C1E50">
            <w:pPr>
              <w:spacing w:after="0" w:line="240" w:lineRule="auto"/>
              <w:jc w:val="right"/>
              <w:rPr>
                <w:rFonts w:cs="Arial"/>
                <w:color w:val="auto"/>
                <w:kern w:val="0"/>
                <w:sz w:val="16"/>
                <w:szCs w:val="16"/>
              </w:rPr>
            </w:pPr>
            <w:r w:rsidRPr="00894701">
              <w:rPr>
                <w:rFonts w:cs="Arial"/>
                <w:color w:val="auto"/>
                <w:sz w:val="16"/>
                <w:szCs w:val="16"/>
              </w:rPr>
              <w:t>172,657,938</w:t>
            </w:r>
          </w:p>
        </w:tc>
        <w:tc>
          <w:tcPr>
            <w:tcW w:w="463" w:type="pct"/>
            <w:tcBorders>
              <w:top w:val="nil"/>
              <w:left w:val="nil"/>
              <w:bottom w:val="nil"/>
              <w:right w:val="single" w:sz="8" w:space="0" w:color="FF0000"/>
            </w:tcBorders>
            <w:shd w:val="clear" w:color="000000" w:fill="FFFFFF"/>
            <w:noWrap/>
            <w:vAlign w:val="center"/>
          </w:tcPr>
          <w:p w14:paraId="15F86CD9" w14:textId="6A36C683" w:rsidR="003C1E50" w:rsidRPr="00894701" w:rsidRDefault="003C1E50" w:rsidP="003C1E50">
            <w:pPr>
              <w:spacing w:after="0" w:line="240" w:lineRule="auto"/>
              <w:jc w:val="right"/>
              <w:rPr>
                <w:rFonts w:cs="Arial"/>
                <w:color w:val="auto"/>
                <w:kern w:val="0"/>
                <w:sz w:val="16"/>
                <w:szCs w:val="16"/>
              </w:rPr>
            </w:pPr>
            <w:r w:rsidRPr="00894701">
              <w:rPr>
                <w:rFonts w:cs="Arial"/>
                <w:color w:val="auto"/>
                <w:sz w:val="16"/>
                <w:szCs w:val="16"/>
              </w:rPr>
              <w:t>3</w:t>
            </w:r>
          </w:p>
        </w:tc>
      </w:tr>
      <w:tr w:rsidR="00AA49E3" w:rsidRPr="00894701" w14:paraId="6CA88C68" w14:textId="77777777" w:rsidTr="00AA49E3">
        <w:trPr>
          <w:trHeight w:val="227"/>
          <w:jc w:val="center"/>
        </w:trPr>
        <w:tc>
          <w:tcPr>
            <w:tcW w:w="150" w:type="pct"/>
            <w:tcBorders>
              <w:top w:val="nil"/>
              <w:left w:val="single" w:sz="8" w:space="0" w:color="FF0000"/>
              <w:bottom w:val="nil"/>
              <w:right w:val="nil"/>
            </w:tcBorders>
            <w:shd w:val="clear" w:color="000000" w:fill="F7A3B0"/>
            <w:noWrap/>
            <w:tcMar>
              <w:left w:w="28" w:type="dxa"/>
              <w:right w:w="28" w:type="dxa"/>
            </w:tcMar>
            <w:vAlign w:val="center"/>
            <w:hideMark/>
          </w:tcPr>
          <w:p w14:paraId="6FE9067A"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1.11</w:t>
            </w:r>
          </w:p>
        </w:tc>
        <w:tc>
          <w:tcPr>
            <w:tcW w:w="831" w:type="pct"/>
            <w:tcBorders>
              <w:top w:val="nil"/>
              <w:left w:val="nil"/>
              <w:bottom w:val="nil"/>
              <w:right w:val="nil"/>
            </w:tcBorders>
            <w:shd w:val="clear" w:color="000000" w:fill="F7A3B0"/>
            <w:noWrap/>
            <w:vAlign w:val="center"/>
            <w:hideMark/>
          </w:tcPr>
          <w:p w14:paraId="59AA63F0" w14:textId="18306FF0"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Royalty fees MoF</w:t>
            </w:r>
          </w:p>
        </w:tc>
        <w:tc>
          <w:tcPr>
            <w:tcW w:w="462" w:type="pct"/>
            <w:tcBorders>
              <w:top w:val="nil"/>
              <w:left w:val="nil"/>
              <w:bottom w:val="nil"/>
              <w:right w:val="nil"/>
            </w:tcBorders>
            <w:shd w:val="clear" w:color="000000" w:fill="F7A3B0"/>
            <w:noWrap/>
            <w:vAlign w:val="center"/>
          </w:tcPr>
          <w:p w14:paraId="78C8E47F" w14:textId="77777777" w:rsidR="00AA49E3" w:rsidRPr="00894701" w:rsidRDefault="00AA49E3" w:rsidP="0010169E">
            <w:pPr>
              <w:spacing w:after="0" w:line="240" w:lineRule="auto"/>
              <w:jc w:val="right"/>
              <w:rPr>
                <w:rFonts w:cs="Arial"/>
                <w:color w:val="000000"/>
                <w:kern w:val="0"/>
                <w:sz w:val="16"/>
                <w:szCs w:val="16"/>
              </w:rPr>
            </w:pPr>
          </w:p>
        </w:tc>
        <w:tc>
          <w:tcPr>
            <w:tcW w:w="512" w:type="pct"/>
            <w:tcBorders>
              <w:top w:val="nil"/>
              <w:left w:val="nil"/>
              <w:bottom w:val="nil"/>
              <w:right w:val="nil"/>
            </w:tcBorders>
            <w:shd w:val="clear" w:color="000000" w:fill="F7A3B0"/>
            <w:noWrap/>
            <w:vAlign w:val="center"/>
          </w:tcPr>
          <w:p w14:paraId="4DF2D512" w14:textId="77777777" w:rsidR="00AA49E3" w:rsidRPr="00894701" w:rsidRDefault="00AA49E3" w:rsidP="0010169E">
            <w:pPr>
              <w:spacing w:after="0" w:line="240" w:lineRule="auto"/>
              <w:jc w:val="right"/>
              <w:rPr>
                <w:rFonts w:cs="Arial"/>
                <w:color w:val="000000"/>
                <w:kern w:val="0"/>
                <w:sz w:val="16"/>
                <w:szCs w:val="16"/>
              </w:rPr>
            </w:pPr>
          </w:p>
        </w:tc>
        <w:tc>
          <w:tcPr>
            <w:tcW w:w="513" w:type="pct"/>
            <w:tcBorders>
              <w:top w:val="nil"/>
              <w:left w:val="nil"/>
              <w:bottom w:val="nil"/>
              <w:right w:val="nil"/>
            </w:tcBorders>
            <w:shd w:val="clear" w:color="000000" w:fill="F7A3B0"/>
            <w:noWrap/>
            <w:vAlign w:val="center"/>
          </w:tcPr>
          <w:p w14:paraId="77E4F3F8" w14:textId="77777777" w:rsidR="00AA49E3" w:rsidRPr="00894701" w:rsidRDefault="00AA49E3" w:rsidP="0010169E">
            <w:pPr>
              <w:spacing w:after="0" w:line="240" w:lineRule="auto"/>
              <w:jc w:val="right"/>
              <w:rPr>
                <w:rFonts w:cs="Arial"/>
                <w:color w:val="000000"/>
                <w:kern w:val="0"/>
                <w:sz w:val="16"/>
                <w:szCs w:val="16"/>
              </w:rPr>
            </w:pPr>
          </w:p>
        </w:tc>
        <w:tc>
          <w:tcPr>
            <w:tcW w:w="341" w:type="pct"/>
            <w:tcBorders>
              <w:top w:val="nil"/>
              <w:left w:val="nil"/>
              <w:bottom w:val="nil"/>
              <w:right w:val="nil"/>
            </w:tcBorders>
            <w:shd w:val="clear" w:color="000000" w:fill="F7A3B0"/>
            <w:noWrap/>
            <w:vAlign w:val="center"/>
          </w:tcPr>
          <w:p w14:paraId="25706888" w14:textId="77777777" w:rsidR="00AA49E3" w:rsidRPr="00894701" w:rsidRDefault="00AA49E3" w:rsidP="0010169E">
            <w:pPr>
              <w:spacing w:after="0" w:line="240" w:lineRule="auto"/>
              <w:jc w:val="right"/>
              <w:rPr>
                <w:rFonts w:cs="Arial"/>
                <w:color w:val="000000"/>
                <w:kern w:val="0"/>
                <w:sz w:val="16"/>
                <w:szCs w:val="16"/>
              </w:rPr>
            </w:pPr>
          </w:p>
        </w:tc>
        <w:tc>
          <w:tcPr>
            <w:tcW w:w="371" w:type="pct"/>
            <w:tcBorders>
              <w:top w:val="nil"/>
              <w:left w:val="nil"/>
              <w:bottom w:val="nil"/>
              <w:right w:val="nil"/>
            </w:tcBorders>
            <w:shd w:val="clear" w:color="000000" w:fill="F7A3B0"/>
            <w:noWrap/>
            <w:vAlign w:val="center"/>
          </w:tcPr>
          <w:p w14:paraId="6466F18F" w14:textId="77777777" w:rsidR="00AA49E3" w:rsidRPr="00894701" w:rsidRDefault="00AA49E3" w:rsidP="0010169E">
            <w:pPr>
              <w:spacing w:after="0" w:line="240" w:lineRule="auto"/>
              <w:jc w:val="right"/>
              <w:rPr>
                <w:rFonts w:cs="Arial"/>
                <w:color w:val="000000"/>
                <w:kern w:val="0"/>
                <w:sz w:val="16"/>
                <w:szCs w:val="16"/>
              </w:rPr>
            </w:pPr>
          </w:p>
        </w:tc>
        <w:tc>
          <w:tcPr>
            <w:tcW w:w="421" w:type="pct"/>
            <w:tcBorders>
              <w:top w:val="nil"/>
              <w:left w:val="nil"/>
              <w:bottom w:val="nil"/>
              <w:right w:val="nil"/>
            </w:tcBorders>
            <w:shd w:val="clear" w:color="000000" w:fill="F7A3B0"/>
            <w:noWrap/>
            <w:vAlign w:val="center"/>
          </w:tcPr>
          <w:p w14:paraId="5C4DF814" w14:textId="77777777" w:rsidR="00AA49E3" w:rsidRPr="00894701" w:rsidRDefault="00AA49E3" w:rsidP="0010169E">
            <w:pPr>
              <w:spacing w:after="0" w:line="240" w:lineRule="auto"/>
              <w:jc w:val="right"/>
              <w:rPr>
                <w:rFonts w:cs="Arial"/>
                <w:color w:val="000000"/>
                <w:kern w:val="0"/>
                <w:sz w:val="16"/>
                <w:szCs w:val="16"/>
              </w:rPr>
            </w:pPr>
          </w:p>
        </w:tc>
        <w:tc>
          <w:tcPr>
            <w:tcW w:w="469" w:type="pct"/>
            <w:tcBorders>
              <w:top w:val="nil"/>
              <w:left w:val="nil"/>
              <w:bottom w:val="nil"/>
              <w:right w:val="nil"/>
            </w:tcBorders>
            <w:shd w:val="clear" w:color="000000" w:fill="F7A3B0"/>
            <w:noWrap/>
            <w:vAlign w:val="center"/>
          </w:tcPr>
          <w:p w14:paraId="3632FE25" w14:textId="77777777" w:rsidR="00AA49E3" w:rsidRPr="00894701" w:rsidRDefault="00AA49E3" w:rsidP="0010169E">
            <w:pPr>
              <w:spacing w:after="0" w:line="240" w:lineRule="auto"/>
              <w:jc w:val="right"/>
              <w:rPr>
                <w:rFonts w:cs="Arial"/>
                <w:color w:val="000000"/>
                <w:kern w:val="0"/>
                <w:sz w:val="16"/>
                <w:szCs w:val="16"/>
              </w:rPr>
            </w:pPr>
          </w:p>
        </w:tc>
        <w:tc>
          <w:tcPr>
            <w:tcW w:w="467" w:type="pct"/>
            <w:tcBorders>
              <w:top w:val="nil"/>
              <w:left w:val="nil"/>
              <w:bottom w:val="nil"/>
              <w:right w:val="nil"/>
            </w:tcBorders>
            <w:shd w:val="clear" w:color="000000" w:fill="F7A3B0"/>
            <w:noWrap/>
            <w:vAlign w:val="center"/>
          </w:tcPr>
          <w:p w14:paraId="5D4C93FA" w14:textId="77777777" w:rsidR="00AA49E3" w:rsidRPr="00894701" w:rsidRDefault="00AA49E3" w:rsidP="0010169E">
            <w:pPr>
              <w:spacing w:after="0" w:line="240" w:lineRule="auto"/>
              <w:jc w:val="right"/>
              <w:rPr>
                <w:rFonts w:cs="Arial"/>
                <w:color w:val="000000"/>
                <w:kern w:val="0"/>
                <w:sz w:val="16"/>
                <w:szCs w:val="16"/>
              </w:rPr>
            </w:pPr>
          </w:p>
        </w:tc>
        <w:tc>
          <w:tcPr>
            <w:tcW w:w="463" w:type="pct"/>
            <w:tcBorders>
              <w:top w:val="nil"/>
              <w:left w:val="nil"/>
              <w:bottom w:val="nil"/>
              <w:right w:val="single" w:sz="8" w:space="0" w:color="FF0000"/>
            </w:tcBorders>
            <w:shd w:val="clear" w:color="000000" w:fill="F7A3B0"/>
            <w:noWrap/>
            <w:vAlign w:val="center"/>
          </w:tcPr>
          <w:p w14:paraId="5DD5C30C" w14:textId="77777777" w:rsidR="00AA49E3" w:rsidRPr="00894701" w:rsidRDefault="00AA49E3" w:rsidP="0010169E">
            <w:pPr>
              <w:spacing w:after="0" w:line="240" w:lineRule="auto"/>
              <w:jc w:val="right"/>
              <w:rPr>
                <w:rFonts w:cs="Arial"/>
                <w:color w:val="000000"/>
                <w:kern w:val="0"/>
                <w:sz w:val="16"/>
                <w:szCs w:val="16"/>
              </w:rPr>
            </w:pPr>
          </w:p>
        </w:tc>
      </w:tr>
      <w:tr w:rsidR="00AA49E3" w:rsidRPr="00894701" w14:paraId="0DBBA85C" w14:textId="77777777" w:rsidTr="00AA49E3">
        <w:trPr>
          <w:trHeight w:val="227"/>
          <w:jc w:val="center"/>
        </w:trPr>
        <w:tc>
          <w:tcPr>
            <w:tcW w:w="150" w:type="pct"/>
            <w:tcBorders>
              <w:top w:val="nil"/>
              <w:left w:val="single" w:sz="8" w:space="0" w:color="FF0000"/>
              <w:bottom w:val="nil"/>
              <w:right w:val="nil"/>
            </w:tcBorders>
            <w:shd w:val="clear" w:color="000000" w:fill="FFFFFF"/>
            <w:noWrap/>
            <w:tcMar>
              <w:left w:w="28" w:type="dxa"/>
              <w:right w:w="28" w:type="dxa"/>
            </w:tcMar>
            <w:vAlign w:val="center"/>
            <w:hideMark/>
          </w:tcPr>
          <w:p w14:paraId="191F64F3" w14:textId="77777777" w:rsidR="00AA49E3" w:rsidRPr="00894701" w:rsidRDefault="00AA49E3" w:rsidP="00AA49E3">
            <w:pPr>
              <w:spacing w:after="0" w:line="240" w:lineRule="auto"/>
              <w:rPr>
                <w:rFonts w:cs="Arial"/>
                <w:color w:val="auto"/>
                <w:kern w:val="0"/>
                <w:sz w:val="16"/>
                <w:szCs w:val="16"/>
              </w:rPr>
            </w:pPr>
            <w:r w:rsidRPr="00894701">
              <w:rPr>
                <w:rFonts w:cs="Arial"/>
                <w:color w:val="auto"/>
                <w:kern w:val="0"/>
                <w:sz w:val="16"/>
                <w:szCs w:val="16"/>
              </w:rPr>
              <w:t>1.12</w:t>
            </w:r>
          </w:p>
        </w:tc>
        <w:tc>
          <w:tcPr>
            <w:tcW w:w="831" w:type="pct"/>
            <w:tcBorders>
              <w:top w:val="nil"/>
              <w:left w:val="nil"/>
              <w:bottom w:val="nil"/>
              <w:right w:val="nil"/>
            </w:tcBorders>
            <w:shd w:val="clear" w:color="000000" w:fill="FFFFFF"/>
            <w:vAlign w:val="center"/>
            <w:hideMark/>
          </w:tcPr>
          <w:p w14:paraId="647078CB" w14:textId="48EFD310" w:rsidR="00AA49E3" w:rsidRPr="00894701" w:rsidRDefault="00AA49E3" w:rsidP="00AA49E3">
            <w:pPr>
              <w:spacing w:after="0" w:line="240" w:lineRule="auto"/>
              <w:rPr>
                <w:rFonts w:cs="Arial"/>
                <w:color w:val="auto"/>
                <w:kern w:val="0"/>
                <w:sz w:val="16"/>
                <w:szCs w:val="16"/>
              </w:rPr>
            </w:pPr>
            <w:r w:rsidRPr="00894701">
              <w:rPr>
                <w:rFonts w:cs="Arial"/>
                <w:color w:val="auto"/>
                <w:kern w:val="0"/>
                <w:sz w:val="16"/>
                <w:szCs w:val="16"/>
              </w:rPr>
              <w:t>Royalty fees in-kind</w:t>
            </w:r>
          </w:p>
        </w:tc>
        <w:tc>
          <w:tcPr>
            <w:tcW w:w="462" w:type="pct"/>
            <w:tcBorders>
              <w:top w:val="nil"/>
              <w:left w:val="nil"/>
              <w:bottom w:val="nil"/>
              <w:right w:val="nil"/>
            </w:tcBorders>
            <w:shd w:val="clear" w:color="000000" w:fill="FFFFFF"/>
            <w:noWrap/>
            <w:vAlign w:val="center"/>
          </w:tcPr>
          <w:p w14:paraId="49D6FEA1" w14:textId="77777777" w:rsidR="00AA49E3" w:rsidRPr="00894701" w:rsidRDefault="00AA49E3" w:rsidP="0010169E">
            <w:pPr>
              <w:spacing w:after="0" w:line="240" w:lineRule="auto"/>
              <w:jc w:val="right"/>
              <w:rPr>
                <w:rFonts w:cs="Arial"/>
                <w:color w:val="auto"/>
                <w:kern w:val="0"/>
                <w:sz w:val="16"/>
                <w:szCs w:val="16"/>
              </w:rPr>
            </w:pPr>
          </w:p>
        </w:tc>
        <w:tc>
          <w:tcPr>
            <w:tcW w:w="512" w:type="pct"/>
            <w:tcBorders>
              <w:top w:val="nil"/>
              <w:left w:val="nil"/>
              <w:bottom w:val="nil"/>
              <w:right w:val="nil"/>
            </w:tcBorders>
            <w:shd w:val="clear" w:color="000000" w:fill="FFFFFF"/>
            <w:noWrap/>
            <w:vAlign w:val="center"/>
          </w:tcPr>
          <w:p w14:paraId="57F33C21" w14:textId="77777777" w:rsidR="00AA49E3" w:rsidRPr="00894701" w:rsidRDefault="00AA49E3" w:rsidP="0010169E">
            <w:pPr>
              <w:spacing w:after="0" w:line="240" w:lineRule="auto"/>
              <w:jc w:val="right"/>
              <w:rPr>
                <w:rFonts w:cs="Arial"/>
                <w:color w:val="auto"/>
                <w:kern w:val="0"/>
                <w:sz w:val="16"/>
                <w:szCs w:val="16"/>
              </w:rPr>
            </w:pPr>
          </w:p>
        </w:tc>
        <w:tc>
          <w:tcPr>
            <w:tcW w:w="513" w:type="pct"/>
            <w:tcBorders>
              <w:top w:val="nil"/>
              <w:left w:val="nil"/>
              <w:bottom w:val="nil"/>
              <w:right w:val="nil"/>
            </w:tcBorders>
            <w:shd w:val="clear" w:color="000000" w:fill="FFFFFF"/>
            <w:noWrap/>
            <w:vAlign w:val="center"/>
          </w:tcPr>
          <w:p w14:paraId="2956AF6E" w14:textId="77777777" w:rsidR="00AA49E3" w:rsidRPr="00894701" w:rsidRDefault="00AA49E3" w:rsidP="0010169E">
            <w:pPr>
              <w:spacing w:after="0" w:line="240" w:lineRule="auto"/>
              <w:jc w:val="right"/>
              <w:rPr>
                <w:rFonts w:cs="Arial"/>
                <w:color w:val="auto"/>
                <w:kern w:val="0"/>
                <w:sz w:val="16"/>
                <w:szCs w:val="16"/>
              </w:rPr>
            </w:pPr>
          </w:p>
        </w:tc>
        <w:tc>
          <w:tcPr>
            <w:tcW w:w="341" w:type="pct"/>
            <w:tcBorders>
              <w:top w:val="nil"/>
              <w:left w:val="nil"/>
              <w:bottom w:val="nil"/>
              <w:right w:val="nil"/>
            </w:tcBorders>
            <w:shd w:val="clear" w:color="000000" w:fill="FFFFFF"/>
            <w:noWrap/>
            <w:vAlign w:val="center"/>
          </w:tcPr>
          <w:p w14:paraId="7D94E8F2" w14:textId="77777777" w:rsidR="00AA49E3" w:rsidRPr="00894701" w:rsidRDefault="00AA49E3" w:rsidP="0010169E">
            <w:pPr>
              <w:spacing w:after="0" w:line="240" w:lineRule="auto"/>
              <w:jc w:val="right"/>
              <w:rPr>
                <w:rFonts w:cs="Arial"/>
                <w:color w:val="auto"/>
                <w:kern w:val="0"/>
                <w:sz w:val="16"/>
                <w:szCs w:val="16"/>
              </w:rPr>
            </w:pPr>
          </w:p>
        </w:tc>
        <w:tc>
          <w:tcPr>
            <w:tcW w:w="371" w:type="pct"/>
            <w:tcBorders>
              <w:top w:val="nil"/>
              <w:left w:val="nil"/>
              <w:bottom w:val="nil"/>
              <w:right w:val="nil"/>
            </w:tcBorders>
            <w:shd w:val="clear" w:color="000000" w:fill="FFFFFF"/>
            <w:noWrap/>
            <w:vAlign w:val="center"/>
          </w:tcPr>
          <w:p w14:paraId="54B991E3" w14:textId="77777777" w:rsidR="00AA49E3" w:rsidRPr="00894701" w:rsidRDefault="00AA49E3" w:rsidP="0010169E">
            <w:pPr>
              <w:spacing w:after="0" w:line="240" w:lineRule="auto"/>
              <w:jc w:val="right"/>
              <w:rPr>
                <w:rFonts w:cs="Arial"/>
                <w:color w:val="auto"/>
                <w:kern w:val="0"/>
                <w:sz w:val="16"/>
                <w:szCs w:val="16"/>
              </w:rPr>
            </w:pPr>
          </w:p>
        </w:tc>
        <w:tc>
          <w:tcPr>
            <w:tcW w:w="421" w:type="pct"/>
            <w:tcBorders>
              <w:top w:val="nil"/>
              <w:left w:val="nil"/>
              <w:bottom w:val="nil"/>
              <w:right w:val="nil"/>
            </w:tcBorders>
            <w:shd w:val="clear" w:color="000000" w:fill="FFFFFF"/>
            <w:noWrap/>
            <w:vAlign w:val="center"/>
          </w:tcPr>
          <w:p w14:paraId="6E1E829C" w14:textId="77777777" w:rsidR="00AA49E3" w:rsidRPr="00894701" w:rsidRDefault="00AA49E3" w:rsidP="0010169E">
            <w:pPr>
              <w:spacing w:after="0" w:line="240" w:lineRule="auto"/>
              <w:jc w:val="right"/>
              <w:rPr>
                <w:rFonts w:cs="Arial"/>
                <w:color w:val="auto"/>
                <w:kern w:val="0"/>
                <w:sz w:val="16"/>
                <w:szCs w:val="16"/>
              </w:rPr>
            </w:pPr>
          </w:p>
        </w:tc>
        <w:tc>
          <w:tcPr>
            <w:tcW w:w="469" w:type="pct"/>
            <w:tcBorders>
              <w:top w:val="nil"/>
              <w:left w:val="nil"/>
              <w:bottom w:val="nil"/>
              <w:right w:val="nil"/>
            </w:tcBorders>
            <w:shd w:val="clear" w:color="000000" w:fill="FFFFFF"/>
            <w:noWrap/>
            <w:vAlign w:val="center"/>
          </w:tcPr>
          <w:p w14:paraId="23859003" w14:textId="77777777" w:rsidR="00AA49E3" w:rsidRPr="00894701" w:rsidRDefault="00AA49E3" w:rsidP="0010169E">
            <w:pPr>
              <w:spacing w:after="0" w:line="240" w:lineRule="auto"/>
              <w:jc w:val="right"/>
              <w:rPr>
                <w:rFonts w:cs="Arial"/>
                <w:color w:val="auto"/>
                <w:kern w:val="0"/>
                <w:sz w:val="16"/>
                <w:szCs w:val="16"/>
              </w:rPr>
            </w:pPr>
          </w:p>
        </w:tc>
        <w:tc>
          <w:tcPr>
            <w:tcW w:w="467" w:type="pct"/>
            <w:tcBorders>
              <w:top w:val="nil"/>
              <w:left w:val="nil"/>
              <w:bottom w:val="nil"/>
              <w:right w:val="nil"/>
            </w:tcBorders>
            <w:shd w:val="clear" w:color="000000" w:fill="FFFFFF"/>
            <w:noWrap/>
            <w:vAlign w:val="center"/>
          </w:tcPr>
          <w:p w14:paraId="55F287F3" w14:textId="77777777" w:rsidR="00AA49E3" w:rsidRPr="00894701" w:rsidRDefault="00AA49E3" w:rsidP="0010169E">
            <w:pPr>
              <w:spacing w:after="0" w:line="240" w:lineRule="auto"/>
              <w:jc w:val="right"/>
              <w:rPr>
                <w:rFonts w:cs="Arial"/>
                <w:color w:val="auto"/>
                <w:kern w:val="0"/>
                <w:sz w:val="16"/>
                <w:szCs w:val="16"/>
              </w:rPr>
            </w:pPr>
          </w:p>
        </w:tc>
        <w:tc>
          <w:tcPr>
            <w:tcW w:w="463" w:type="pct"/>
            <w:tcBorders>
              <w:top w:val="nil"/>
              <w:left w:val="nil"/>
              <w:bottom w:val="nil"/>
              <w:right w:val="single" w:sz="8" w:space="0" w:color="FF0000"/>
            </w:tcBorders>
            <w:shd w:val="clear" w:color="000000" w:fill="FFFFFF"/>
            <w:noWrap/>
            <w:vAlign w:val="center"/>
          </w:tcPr>
          <w:p w14:paraId="54564C58" w14:textId="77777777" w:rsidR="00AA49E3" w:rsidRPr="00894701" w:rsidRDefault="00AA49E3" w:rsidP="0010169E">
            <w:pPr>
              <w:spacing w:after="0" w:line="240" w:lineRule="auto"/>
              <w:jc w:val="right"/>
              <w:rPr>
                <w:rFonts w:cs="Arial"/>
                <w:color w:val="auto"/>
                <w:kern w:val="0"/>
                <w:sz w:val="16"/>
                <w:szCs w:val="16"/>
              </w:rPr>
            </w:pPr>
          </w:p>
        </w:tc>
      </w:tr>
      <w:tr w:rsidR="00AA49E3" w:rsidRPr="00894701" w14:paraId="3FB12C66" w14:textId="77777777" w:rsidTr="00AA49E3">
        <w:trPr>
          <w:trHeight w:val="227"/>
          <w:jc w:val="center"/>
        </w:trPr>
        <w:tc>
          <w:tcPr>
            <w:tcW w:w="150" w:type="pct"/>
            <w:tcBorders>
              <w:top w:val="nil"/>
              <w:left w:val="single" w:sz="8" w:space="0" w:color="FF0000"/>
              <w:bottom w:val="nil"/>
              <w:right w:val="nil"/>
            </w:tcBorders>
            <w:shd w:val="clear" w:color="000000" w:fill="F7A3B0"/>
            <w:noWrap/>
            <w:tcMar>
              <w:left w:w="28" w:type="dxa"/>
              <w:right w:w="28" w:type="dxa"/>
            </w:tcMar>
            <w:vAlign w:val="center"/>
            <w:hideMark/>
          </w:tcPr>
          <w:p w14:paraId="73368379"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1.13</w:t>
            </w:r>
          </w:p>
        </w:tc>
        <w:tc>
          <w:tcPr>
            <w:tcW w:w="831" w:type="pct"/>
            <w:tcBorders>
              <w:top w:val="nil"/>
              <w:left w:val="nil"/>
              <w:bottom w:val="nil"/>
              <w:right w:val="nil"/>
            </w:tcBorders>
            <w:shd w:val="clear" w:color="000000" w:fill="F7A3B0"/>
            <w:noWrap/>
            <w:vAlign w:val="center"/>
            <w:hideMark/>
          </w:tcPr>
          <w:p w14:paraId="0D5E9FB0" w14:textId="74AFD43B"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Import Duties</w:t>
            </w:r>
          </w:p>
        </w:tc>
        <w:tc>
          <w:tcPr>
            <w:tcW w:w="462" w:type="pct"/>
            <w:tcBorders>
              <w:top w:val="nil"/>
              <w:left w:val="nil"/>
              <w:bottom w:val="nil"/>
              <w:right w:val="nil"/>
            </w:tcBorders>
            <w:shd w:val="clear" w:color="000000" w:fill="F7A3B0"/>
            <w:noWrap/>
            <w:vAlign w:val="center"/>
          </w:tcPr>
          <w:p w14:paraId="0220D79E" w14:textId="77777777" w:rsidR="00AA49E3" w:rsidRPr="00894701" w:rsidRDefault="00AA49E3" w:rsidP="0010169E">
            <w:pPr>
              <w:spacing w:after="0" w:line="240" w:lineRule="auto"/>
              <w:jc w:val="right"/>
              <w:rPr>
                <w:rFonts w:cs="Arial"/>
                <w:color w:val="000000"/>
                <w:kern w:val="0"/>
                <w:sz w:val="16"/>
                <w:szCs w:val="16"/>
              </w:rPr>
            </w:pPr>
          </w:p>
        </w:tc>
        <w:tc>
          <w:tcPr>
            <w:tcW w:w="512" w:type="pct"/>
            <w:tcBorders>
              <w:top w:val="nil"/>
              <w:left w:val="nil"/>
              <w:bottom w:val="nil"/>
              <w:right w:val="nil"/>
            </w:tcBorders>
            <w:shd w:val="clear" w:color="000000" w:fill="F7A3B0"/>
            <w:noWrap/>
            <w:vAlign w:val="center"/>
          </w:tcPr>
          <w:p w14:paraId="40FC701C" w14:textId="77777777" w:rsidR="00AA49E3" w:rsidRPr="00894701" w:rsidRDefault="00AA49E3" w:rsidP="0010169E">
            <w:pPr>
              <w:spacing w:after="0" w:line="240" w:lineRule="auto"/>
              <w:jc w:val="right"/>
              <w:rPr>
                <w:rFonts w:cs="Arial"/>
                <w:color w:val="000000"/>
                <w:kern w:val="0"/>
                <w:sz w:val="16"/>
                <w:szCs w:val="16"/>
              </w:rPr>
            </w:pPr>
          </w:p>
        </w:tc>
        <w:tc>
          <w:tcPr>
            <w:tcW w:w="513" w:type="pct"/>
            <w:tcBorders>
              <w:top w:val="nil"/>
              <w:left w:val="nil"/>
              <w:bottom w:val="nil"/>
              <w:right w:val="nil"/>
            </w:tcBorders>
            <w:shd w:val="clear" w:color="000000" w:fill="F7A3B0"/>
            <w:noWrap/>
            <w:vAlign w:val="center"/>
          </w:tcPr>
          <w:p w14:paraId="2F65C65B" w14:textId="77777777" w:rsidR="00AA49E3" w:rsidRPr="00894701" w:rsidRDefault="00AA49E3" w:rsidP="0010169E">
            <w:pPr>
              <w:spacing w:after="0" w:line="240" w:lineRule="auto"/>
              <w:jc w:val="right"/>
              <w:rPr>
                <w:rFonts w:cs="Arial"/>
                <w:color w:val="000000"/>
                <w:kern w:val="0"/>
                <w:sz w:val="16"/>
                <w:szCs w:val="16"/>
              </w:rPr>
            </w:pPr>
          </w:p>
        </w:tc>
        <w:tc>
          <w:tcPr>
            <w:tcW w:w="341" w:type="pct"/>
            <w:tcBorders>
              <w:top w:val="nil"/>
              <w:left w:val="nil"/>
              <w:bottom w:val="nil"/>
              <w:right w:val="nil"/>
            </w:tcBorders>
            <w:shd w:val="clear" w:color="000000" w:fill="F7A3B0"/>
            <w:noWrap/>
            <w:vAlign w:val="center"/>
          </w:tcPr>
          <w:p w14:paraId="6E7755EA" w14:textId="77777777" w:rsidR="00AA49E3" w:rsidRPr="00894701" w:rsidRDefault="00AA49E3" w:rsidP="0010169E">
            <w:pPr>
              <w:spacing w:after="0" w:line="240" w:lineRule="auto"/>
              <w:jc w:val="right"/>
              <w:rPr>
                <w:rFonts w:cs="Arial"/>
                <w:color w:val="000000"/>
                <w:kern w:val="0"/>
                <w:sz w:val="16"/>
                <w:szCs w:val="16"/>
              </w:rPr>
            </w:pPr>
          </w:p>
        </w:tc>
        <w:tc>
          <w:tcPr>
            <w:tcW w:w="371" w:type="pct"/>
            <w:tcBorders>
              <w:top w:val="nil"/>
              <w:left w:val="nil"/>
              <w:bottom w:val="nil"/>
              <w:right w:val="nil"/>
            </w:tcBorders>
            <w:shd w:val="clear" w:color="000000" w:fill="F7A3B0"/>
            <w:noWrap/>
            <w:vAlign w:val="center"/>
          </w:tcPr>
          <w:p w14:paraId="7327EF6F" w14:textId="77777777" w:rsidR="00AA49E3" w:rsidRPr="00894701" w:rsidRDefault="00AA49E3" w:rsidP="0010169E">
            <w:pPr>
              <w:spacing w:after="0" w:line="240" w:lineRule="auto"/>
              <w:jc w:val="right"/>
              <w:rPr>
                <w:rFonts w:cs="Arial"/>
                <w:color w:val="000000"/>
                <w:kern w:val="0"/>
                <w:sz w:val="16"/>
                <w:szCs w:val="16"/>
              </w:rPr>
            </w:pPr>
          </w:p>
        </w:tc>
        <w:tc>
          <w:tcPr>
            <w:tcW w:w="421" w:type="pct"/>
            <w:tcBorders>
              <w:top w:val="nil"/>
              <w:left w:val="nil"/>
              <w:bottom w:val="nil"/>
              <w:right w:val="nil"/>
            </w:tcBorders>
            <w:shd w:val="clear" w:color="000000" w:fill="F7A3B0"/>
            <w:noWrap/>
            <w:vAlign w:val="center"/>
          </w:tcPr>
          <w:p w14:paraId="5E197839" w14:textId="77777777" w:rsidR="00AA49E3" w:rsidRPr="00894701" w:rsidRDefault="00AA49E3" w:rsidP="0010169E">
            <w:pPr>
              <w:spacing w:after="0" w:line="240" w:lineRule="auto"/>
              <w:jc w:val="right"/>
              <w:rPr>
                <w:rFonts w:cs="Arial"/>
                <w:color w:val="000000"/>
                <w:kern w:val="0"/>
                <w:sz w:val="16"/>
                <w:szCs w:val="16"/>
              </w:rPr>
            </w:pPr>
          </w:p>
        </w:tc>
        <w:tc>
          <w:tcPr>
            <w:tcW w:w="469" w:type="pct"/>
            <w:tcBorders>
              <w:top w:val="nil"/>
              <w:left w:val="nil"/>
              <w:bottom w:val="nil"/>
              <w:right w:val="nil"/>
            </w:tcBorders>
            <w:shd w:val="clear" w:color="000000" w:fill="F7A3B0"/>
            <w:noWrap/>
            <w:vAlign w:val="center"/>
          </w:tcPr>
          <w:p w14:paraId="12260923" w14:textId="77777777" w:rsidR="00AA49E3" w:rsidRPr="00894701" w:rsidRDefault="00AA49E3" w:rsidP="0010169E">
            <w:pPr>
              <w:spacing w:after="0" w:line="240" w:lineRule="auto"/>
              <w:jc w:val="right"/>
              <w:rPr>
                <w:rFonts w:cs="Arial"/>
                <w:color w:val="000000"/>
                <w:kern w:val="0"/>
                <w:sz w:val="16"/>
                <w:szCs w:val="16"/>
              </w:rPr>
            </w:pPr>
          </w:p>
        </w:tc>
        <w:tc>
          <w:tcPr>
            <w:tcW w:w="467" w:type="pct"/>
            <w:tcBorders>
              <w:top w:val="nil"/>
              <w:left w:val="nil"/>
              <w:bottom w:val="nil"/>
              <w:right w:val="nil"/>
            </w:tcBorders>
            <w:shd w:val="clear" w:color="000000" w:fill="F7A3B0"/>
            <w:noWrap/>
            <w:vAlign w:val="center"/>
          </w:tcPr>
          <w:p w14:paraId="583942CE" w14:textId="77777777" w:rsidR="00AA49E3" w:rsidRPr="00894701" w:rsidRDefault="00AA49E3" w:rsidP="0010169E">
            <w:pPr>
              <w:spacing w:after="0" w:line="240" w:lineRule="auto"/>
              <w:jc w:val="right"/>
              <w:rPr>
                <w:rFonts w:cs="Arial"/>
                <w:color w:val="000000"/>
                <w:kern w:val="0"/>
                <w:sz w:val="16"/>
                <w:szCs w:val="16"/>
              </w:rPr>
            </w:pPr>
          </w:p>
        </w:tc>
        <w:tc>
          <w:tcPr>
            <w:tcW w:w="463" w:type="pct"/>
            <w:tcBorders>
              <w:top w:val="nil"/>
              <w:left w:val="nil"/>
              <w:bottom w:val="nil"/>
              <w:right w:val="single" w:sz="8" w:space="0" w:color="FF0000"/>
            </w:tcBorders>
            <w:shd w:val="clear" w:color="000000" w:fill="F7A3B0"/>
            <w:noWrap/>
            <w:vAlign w:val="center"/>
          </w:tcPr>
          <w:p w14:paraId="27C4B06E" w14:textId="77777777" w:rsidR="00AA49E3" w:rsidRPr="00894701" w:rsidRDefault="00AA49E3" w:rsidP="0010169E">
            <w:pPr>
              <w:spacing w:after="0" w:line="240" w:lineRule="auto"/>
              <w:jc w:val="right"/>
              <w:rPr>
                <w:rFonts w:cs="Arial"/>
                <w:color w:val="000000"/>
                <w:kern w:val="0"/>
                <w:sz w:val="16"/>
                <w:szCs w:val="16"/>
              </w:rPr>
            </w:pPr>
          </w:p>
        </w:tc>
      </w:tr>
      <w:tr w:rsidR="00AA49E3" w:rsidRPr="00894701" w14:paraId="00B447B8" w14:textId="77777777" w:rsidTr="00AA49E3">
        <w:trPr>
          <w:trHeight w:val="227"/>
          <w:jc w:val="center"/>
        </w:trPr>
        <w:tc>
          <w:tcPr>
            <w:tcW w:w="150" w:type="pct"/>
            <w:tcBorders>
              <w:top w:val="nil"/>
              <w:left w:val="single" w:sz="8" w:space="0" w:color="FF0000"/>
              <w:bottom w:val="nil"/>
              <w:right w:val="nil"/>
            </w:tcBorders>
            <w:shd w:val="clear" w:color="000000" w:fill="FFFFFF"/>
            <w:noWrap/>
            <w:tcMar>
              <w:left w:w="28" w:type="dxa"/>
              <w:right w:w="28" w:type="dxa"/>
            </w:tcMar>
            <w:vAlign w:val="center"/>
            <w:hideMark/>
          </w:tcPr>
          <w:p w14:paraId="0B0126FD" w14:textId="77777777" w:rsidR="00AA49E3" w:rsidRPr="00894701" w:rsidRDefault="00AA49E3" w:rsidP="00AA49E3">
            <w:pPr>
              <w:spacing w:after="0" w:line="240" w:lineRule="auto"/>
              <w:rPr>
                <w:rFonts w:cs="Arial"/>
                <w:color w:val="auto"/>
                <w:kern w:val="0"/>
                <w:sz w:val="16"/>
                <w:szCs w:val="16"/>
              </w:rPr>
            </w:pPr>
            <w:r w:rsidRPr="00894701">
              <w:rPr>
                <w:rFonts w:cs="Arial"/>
                <w:color w:val="auto"/>
                <w:kern w:val="0"/>
                <w:sz w:val="16"/>
                <w:szCs w:val="16"/>
              </w:rPr>
              <w:t>1.14</w:t>
            </w:r>
          </w:p>
        </w:tc>
        <w:tc>
          <w:tcPr>
            <w:tcW w:w="831" w:type="pct"/>
            <w:tcBorders>
              <w:top w:val="nil"/>
              <w:left w:val="nil"/>
              <w:bottom w:val="nil"/>
              <w:right w:val="nil"/>
            </w:tcBorders>
            <w:shd w:val="clear" w:color="000000" w:fill="FFFFFF"/>
            <w:vAlign w:val="center"/>
            <w:hideMark/>
          </w:tcPr>
          <w:p w14:paraId="46417AE5" w14:textId="49451153" w:rsidR="00AA49E3" w:rsidRPr="00894701" w:rsidRDefault="00AA49E3" w:rsidP="00AA49E3">
            <w:pPr>
              <w:spacing w:after="0" w:line="240" w:lineRule="auto"/>
              <w:rPr>
                <w:rFonts w:cs="Arial"/>
                <w:color w:val="auto"/>
                <w:kern w:val="0"/>
                <w:sz w:val="16"/>
                <w:szCs w:val="16"/>
              </w:rPr>
            </w:pPr>
            <w:r w:rsidRPr="00894701">
              <w:rPr>
                <w:rFonts w:cs="Arial"/>
                <w:color w:val="auto"/>
                <w:kern w:val="0"/>
                <w:sz w:val="16"/>
                <w:szCs w:val="16"/>
              </w:rPr>
              <w:t>Consent &amp; Statistic rights</w:t>
            </w:r>
          </w:p>
        </w:tc>
        <w:tc>
          <w:tcPr>
            <w:tcW w:w="462" w:type="pct"/>
            <w:tcBorders>
              <w:top w:val="nil"/>
              <w:left w:val="nil"/>
              <w:bottom w:val="nil"/>
              <w:right w:val="nil"/>
            </w:tcBorders>
            <w:shd w:val="clear" w:color="000000" w:fill="FFFFFF"/>
            <w:noWrap/>
            <w:vAlign w:val="center"/>
          </w:tcPr>
          <w:p w14:paraId="59148BDD" w14:textId="77777777" w:rsidR="00AA49E3" w:rsidRPr="00894701" w:rsidRDefault="00AA49E3" w:rsidP="0010169E">
            <w:pPr>
              <w:spacing w:after="0" w:line="240" w:lineRule="auto"/>
              <w:jc w:val="right"/>
              <w:rPr>
                <w:rFonts w:cs="Arial"/>
                <w:color w:val="auto"/>
                <w:kern w:val="0"/>
                <w:sz w:val="16"/>
                <w:szCs w:val="16"/>
              </w:rPr>
            </w:pPr>
          </w:p>
        </w:tc>
        <w:tc>
          <w:tcPr>
            <w:tcW w:w="512" w:type="pct"/>
            <w:tcBorders>
              <w:top w:val="nil"/>
              <w:left w:val="nil"/>
              <w:bottom w:val="nil"/>
              <w:right w:val="nil"/>
            </w:tcBorders>
            <w:shd w:val="clear" w:color="000000" w:fill="FFFFFF"/>
            <w:noWrap/>
            <w:vAlign w:val="center"/>
          </w:tcPr>
          <w:p w14:paraId="044693FA" w14:textId="77777777" w:rsidR="00AA49E3" w:rsidRPr="00894701" w:rsidRDefault="00AA49E3" w:rsidP="0010169E">
            <w:pPr>
              <w:spacing w:after="0" w:line="240" w:lineRule="auto"/>
              <w:jc w:val="right"/>
              <w:rPr>
                <w:rFonts w:cs="Arial"/>
                <w:color w:val="auto"/>
                <w:kern w:val="0"/>
                <w:sz w:val="16"/>
                <w:szCs w:val="16"/>
              </w:rPr>
            </w:pPr>
          </w:p>
        </w:tc>
        <w:tc>
          <w:tcPr>
            <w:tcW w:w="513" w:type="pct"/>
            <w:tcBorders>
              <w:top w:val="nil"/>
              <w:left w:val="nil"/>
              <w:bottom w:val="nil"/>
              <w:right w:val="nil"/>
            </w:tcBorders>
            <w:shd w:val="clear" w:color="000000" w:fill="FFFFFF"/>
            <w:noWrap/>
            <w:vAlign w:val="center"/>
          </w:tcPr>
          <w:p w14:paraId="22A78682" w14:textId="77777777" w:rsidR="00AA49E3" w:rsidRPr="00894701" w:rsidRDefault="00AA49E3" w:rsidP="0010169E">
            <w:pPr>
              <w:spacing w:after="0" w:line="240" w:lineRule="auto"/>
              <w:jc w:val="right"/>
              <w:rPr>
                <w:rFonts w:cs="Arial"/>
                <w:color w:val="auto"/>
                <w:kern w:val="0"/>
                <w:sz w:val="16"/>
                <w:szCs w:val="16"/>
              </w:rPr>
            </w:pPr>
          </w:p>
        </w:tc>
        <w:tc>
          <w:tcPr>
            <w:tcW w:w="341" w:type="pct"/>
            <w:tcBorders>
              <w:top w:val="nil"/>
              <w:left w:val="nil"/>
              <w:bottom w:val="nil"/>
              <w:right w:val="nil"/>
            </w:tcBorders>
            <w:shd w:val="clear" w:color="000000" w:fill="FFFFFF"/>
            <w:noWrap/>
            <w:vAlign w:val="center"/>
          </w:tcPr>
          <w:p w14:paraId="0FDFF4E8" w14:textId="77777777" w:rsidR="00AA49E3" w:rsidRPr="00894701" w:rsidRDefault="00AA49E3" w:rsidP="0010169E">
            <w:pPr>
              <w:spacing w:after="0" w:line="240" w:lineRule="auto"/>
              <w:jc w:val="right"/>
              <w:rPr>
                <w:rFonts w:cs="Arial"/>
                <w:color w:val="auto"/>
                <w:kern w:val="0"/>
                <w:sz w:val="16"/>
                <w:szCs w:val="16"/>
              </w:rPr>
            </w:pPr>
          </w:p>
        </w:tc>
        <w:tc>
          <w:tcPr>
            <w:tcW w:w="371" w:type="pct"/>
            <w:tcBorders>
              <w:top w:val="nil"/>
              <w:left w:val="nil"/>
              <w:bottom w:val="nil"/>
              <w:right w:val="nil"/>
            </w:tcBorders>
            <w:shd w:val="clear" w:color="000000" w:fill="FFFFFF"/>
            <w:noWrap/>
            <w:vAlign w:val="center"/>
          </w:tcPr>
          <w:p w14:paraId="1DC32D4B" w14:textId="77777777" w:rsidR="00AA49E3" w:rsidRPr="00894701" w:rsidRDefault="00AA49E3" w:rsidP="0010169E">
            <w:pPr>
              <w:spacing w:after="0" w:line="240" w:lineRule="auto"/>
              <w:jc w:val="right"/>
              <w:rPr>
                <w:rFonts w:cs="Arial"/>
                <w:color w:val="auto"/>
                <w:kern w:val="0"/>
                <w:sz w:val="16"/>
                <w:szCs w:val="16"/>
              </w:rPr>
            </w:pPr>
          </w:p>
        </w:tc>
        <w:tc>
          <w:tcPr>
            <w:tcW w:w="421" w:type="pct"/>
            <w:tcBorders>
              <w:top w:val="nil"/>
              <w:left w:val="nil"/>
              <w:bottom w:val="nil"/>
              <w:right w:val="nil"/>
            </w:tcBorders>
            <w:shd w:val="clear" w:color="000000" w:fill="FFFFFF"/>
            <w:noWrap/>
            <w:vAlign w:val="center"/>
          </w:tcPr>
          <w:p w14:paraId="63AD54E2" w14:textId="77777777" w:rsidR="00AA49E3" w:rsidRPr="00894701" w:rsidRDefault="00AA49E3" w:rsidP="0010169E">
            <w:pPr>
              <w:spacing w:after="0" w:line="240" w:lineRule="auto"/>
              <w:jc w:val="right"/>
              <w:rPr>
                <w:rFonts w:cs="Arial"/>
                <w:color w:val="auto"/>
                <w:kern w:val="0"/>
                <w:sz w:val="16"/>
                <w:szCs w:val="16"/>
              </w:rPr>
            </w:pPr>
          </w:p>
        </w:tc>
        <w:tc>
          <w:tcPr>
            <w:tcW w:w="469" w:type="pct"/>
            <w:tcBorders>
              <w:top w:val="nil"/>
              <w:left w:val="nil"/>
              <w:bottom w:val="nil"/>
              <w:right w:val="nil"/>
            </w:tcBorders>
            <w:shd w:val="clear" w:color="000000" w:fill="FFFFFF"/>
            <w:noWrap/>
            <w:vAlign w:val="center"/>
          </w:tcPr>
          <w:p w14:paraId="0B9E5C9D" w14:textId="77777777" w:rsidR="00AA49E3" w:rsidRPr="00894701" w:rsidRDefault="00AA49E3" w:rsidP="0010169E">
            <w:pPr>
              <w:spacing w:after="0" w:line="240" w:lineRule="auto"/>
              <w:jc w:val="right"/>
              <w:rPr>
                <w:rFonts w:cs="Arial"/>
                <w:color w:val="auto"/>
                <w:kern w:val="0"/>
                <w:sz w:val="16"/>
                <w:szCs w:val="16"/>
              </w:rPr>
            </w:pPr>
          </w:p>
        </w:tc>
        <w:tc>
          <w:tcPr>
            <w:tcW w:w="467" w:type="pct"/>
            <w:tcBorders>
              <w:top w:val="nil"/>
              <w:left w:val="nil"/>
              <w:bottom w:val="nil"/>
              <w:right w:val="nil"/>
            </w:tcBorders>
            <w:shd w:val="clear" w:color="000000" w:fill="FFFFFF"/>
            <w:noWrap/>
            <w:vAlign w:val="center"/>
          </w:tcPr>
          <w:p w14:paraId="5553A5D6" w14:textId="77777777" w:rsidR="00AA49E3" w:rsidRPr="00894701" w:rsidRDefault="00AA49E3" w:rsidP="0010169E">
            <w:pPr>
              <w:spacing w:after="0" w:line="240" w:lineRule="auto"/>
              <w:jc w:val="right"/>
              <w:rPr>
                <w:rFonts w:cs="Arial"/>
                <w:color w:val="auto"/>
                <w:kern w:val="0"/>
                <w:sz w:val="16"/>
                <w:szCs w:val="16"/>
              </w:rPr>
            </w:pPr>
          </w:p>
        </w:tc>
        <w:tc>
          <w:tcPr>
            <w:tcW w:w="463" w:type="pct"/>
            <w:tcBorders>
              <w:top w:val="nil"/>
              <w:left w:val="nil"/>
              <w:bottom w:val="nil"/>
              <w:right w:val="single" w:sz="8" w:space="0" w:color="FF0000"/>
            </w:tcBorders>
            <w:shd w:val="clear" w:color="000000" w:fill="FFFFFF"/>
            <w:noWrap/>
            <w:vAlign w:val="center"/>
          </w:tcPr>
          <w:p w14:paraId="050DE26E" w14:textId="77777777" w:rsidR="00AA49E3" w:rsidRPr="00894701" w:rsidRDefault="00AA49E3" w:rsidP="0010169E">
            <w:pPr>
              <w:spacing w:after="0" w:line="240" w:lineRule="auto"/>
              <w:jc w:val="right"/>
              <w:rPr>
                <w:rFonts w:cs="Arial"/>
                <w:color w:val="auto"/>
                <w:kern w:val="0"/>
                <w:sz w:val="16"/>
                <w:szCs w:val="16"/>
              </w:rPr>
            </w:pPr>
          </w:p>
        </w:tc>
      </w:tr>
      <w:tr w:rsidR="00AA49E3" w:rsidRPr="00894701" w14:paraId="5AF00C8C" w14:textId="77777777" w:rsidTr="00AA49E3">
        <w:trPr>
          <w:trHeight w:val="227"/>
          <w:jc w:val="center"/>
        </w:trPr>
        <w:tc>
          <w:tcPr>
            <w:tcW w:w="150" w:type="pct"/>
            <w:tcBorders>
              <w:top w:val="nil"/>
              <w:left w:val="single" w:sz="8" w:space="0" w:color="FF0000"/>
              <w:bottom w:val="nil"/>
              <w:right w:val="nil"/>
            </w:tcBorders>
            <w:shd w:val="clear" w:color="000000" w:fill="F7A3B0"/>
            <w:noWrap/>
            <w:tcMar>
              <w:left w:w="28" w:type="dxa"/>
              <w:right w:w="28" w:type="dxa"/>
            </w:tcMar>
            <w:vAlign w:val="center"/>
            <w:hideMark/>
          </w:tcPr>
          <w:p w14:paraId="1F300256"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1.15</w:t>
            </w:r>
          </w:p>
        </w:tc>
        <w:tc>
          <w:tcPr>
            <w:tcW w:w="831" w:type="pct"/>
            <w:tcBorders>
              <w:top w:val="nil"/>
              <w:left w:val="nil"/>
              <w:bottom w:val="nil"/>
              <w:right w:val="nil"/>
            </w:tcBorders>
            <w:shd w:val="clear" w:color="000000" w:fill="F7A3B0"/>
            <w:noWrap/>
            <w:vAlign w:val="center"/>
            <w:hideMark/>
          </w:tcPr>
          <w:p w14:paraId="0FD66255" w14:textId="67C92266"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Rental value taxes</w:t>
            </w:r>
          </w:p>
        </w:tc>
        <w:tc>
          <w:tcPr>
            <w:tcW w:w="462" w:type="pct"/>
            <w:tcBorders>
              <w:top w:val="nil"/>
              <w:left w:val="nil"/>
              <w:bottom w:val="nil"/>
              <w:right w:val="nil"/>
            </w:tcBorders>
            <w:shd w:val="clear" w:color="000000" w:fill="F7A3B0"/>
            <w:noWrap/>
            <w:vAlign w:val="center"/>
          </w:tcPr>
          <w:p w14:paraId="2E8701A0" w14:textId="77777777" w:rsidR="00AA49E3" w:rsidRPr="00894701" w:rsidRDefault="00AA49E3" w:rsidP="0010169E">
            <w:pPr>
              <w:spacing w:after="0" w:line="240" w:lineRule="auto"/>
              <w:jc w:val="right"/>
              <w:rPr>
                <w:rFonts w:cs="Arial"/>
                <w:color w:val="000000"/>
                <w:kern w:val="0"/>
                <w:sz w:val="16"/>
                <w:szCs w:val="16"/>
              </w:rPr>
            </w:pPr>
          </w:p>
        </w:tc>
        <w:tc>
          <w:tcPr>
            <w:tcW w:w="512" w:type="pct"/>
            <w:tcBorders>
              <w:top w:val="nil"/>
              <w:left w:val="nil"/>
              <w:bottom w:val="nil"/>
              <w:right w:val="nil"/>
            </w:tcBorders>
            <w:shd w:val="clear" w:color="000000" w:fill="F7A3B0"/>
            <w:noWrap/>
            <w:vAlign w:val="center"/>
          </w:tcPr>
          <w:p w14:paraId="0C5635CD" w14:textId="77777777" w:rsidR="00AA49E3" w:rsidRPr="00894701" w:rsidRDefault="00AA49E3" w:rsidP="0010169E">
            <w:pPr>
              <w:spacing w:after="0" w:line="240" w:lineRule="auto"/>
              <w:jc w:val="right"/>
              <w:rPr>
                <w:rFonts w:cs="Arial"/>
                <w:color w:val="000000"/>
                <w:kern w:val="0"/>
                <w:sz w:val="16"/>
                <w:szCs w:val="16"/>
              </w:rPr>
            </w:pPr>
          </w:p>
        </w:tc>
        <w:tc>
          <w:tcPr>
            <w:tcW w:w="513" w:type="pct"/>
            <w:tcBorders>
              <w:top w:val="nil"/>
              <w:left w:val="nil"/>
              <w:bottom w:val="nil"/>
              <w:right w:val="nil"/>
            </w:tcBorders>
            <w:shd w:val="clear" w:color="000000" w:fill="F7A3B0"/>
            <w:noWrap/>
            <w:vAlign w:val="center"/>
          </w:tcPr>
          <w:p w14:paraId="625AAD0F" w14:textId="77777777" w:rsidR="00AA49E3" w:rsidRPr="00894701" w:rsidRDefault="00AA49E3" w:rsidP="0010169E">
            <w:pPr>
              <w:spacing w:after="0" w:line="240" w:lineRule="auto"/>
              <w:jc w:val="right"/>
              <w:rPr>
                <w:rFonts w:cs="Arial"/>
                <w:color w:val="000000"/>
                <w:kern w:val="0"/>
                <w:sz w:val="16"/>
                <w:szCs w:val="16"/>
              </w:rPr>
            </w:pPr>
          </w:p>
        </w:tc>
        <w:tc>
          <w:tcPr>
            <w:tcW w:w="341" w:type="pct"/>
            <w:tcBorders>
              <w:top w:val="nil"/>
              <w:left w:val="nil"/>
              <w:bottom w:val="nil"/>
              <w:right w:val="nil"/>
            </w:tcBorders>
            <w:shd w:val="clear" w:color="000000" w:fill="F7A3B0"/>
            <w:noWrap/>
            <w:vAlign w:val="center"/>
          </w:tcPr>
          <w:p w14:paraId="4BAE07C1" w14:textId="77777777" w:rsidR="00AA49E3" w:rsidRPr="00894701" w:rsidRDefault="00AA49E3" w:rsidP="0010169E">
            <w:pPr>
              <w:spacing w:after="0" w:line="240" w:lineRule="auto"/>
              <w:jc w:val="right"/>
              <w:rPr>
                <w:rFonts w:cs="Arial"/>
                <w:color w:val="000000"/>
                <w:kern w:val="0"/>
                <w:sz w:val="16"/>
                <w:szCs w:val="16"/>
              </w:rPr>
            </w:pPr>
          </w:p>
        </w:tc>
        <w:tc>
          <w:tcPr>
            <w:tcW w:w="371" w:type="pct"/>
            <w:tcBorders>
              <w:top w:val="nil"/>
              <w:left w:val="nil"/>
              <w:bottom w:val="nil"/>
              <w:right w:val="nil"/>
            </w:tcBorders>
            <w:shd w:val="clear" w:color="000000" w:fill="F7A3B0"/>
            <w:noWrap/>
            <w:vAlign w:val="center"/>
          </w:tcPr>
          <w:p w14:paraId="6E6C5D76" w14:textId="77777777" w:rsidR="00AA49E3" w:rsidRPr="00894701" w:rsidRDefault="00AA49E3" w:rsidP="0010169E">
            <w:pPr>
              <w:spacing w:after="0" w:line="240" w:lineRule="auto"/>
              <w:jc w:val="right"/>
              <w:rPr>
                <w:rFonts w:cs="Arial"/>
                <w:color w:val="000000"/>
                <w:kern w:val="0"/>
                <w:sz w:val="16"/>
                <w:szCs w:val="16"/>
              </w:rPr>
            </w:pPr>
          </w:p>
        </w:tc>
        <w:tc>
          <w:tcPr>
            <w:tcW w:w="421" w:type="pct"/>
            <w:tcBorders>
              <w:top w:val="nil"/>
              <w:left w:val="nil"/>
              <w:bottom w:val="nil"/>
              <w:right w:val="nil"/>
            </w:tcBorders>
            <w:shd w:val="clear" w:color="000000" w:fill="F7A3B0"/>
            <w:noWrap/>
            <w:vAlign w:val="center"/>
          </w:tcPr>
          <w:p w14:paraId="4E4A7CB7" w14:textId="77777777" w:rsidR="00AA49E3" w:rsidRPr="00894701" w:rsidRDefault="00AA49E3" w:rsidP="0010169E">
            <w:pPr>
              <w:spacing w:after="0" w:line="240" w:lineRule="auto"/>
              <w:jc w:val="right"/>
              <w:rPr>
                <w:rFonts w:cs="Arial"/>
                <w:color w:val="000000"/>
                <w:kern w:val="0"/>
                <w:sz w:val="16"/>
                <w:szCs w:val="16"/>
              </w:rPr>
            </w:pPr>
          </w:p>
        </w:tc>
        <w:tc>
          <w:tcPr>
            <w:tcW w:w="469" w:type="pct"/>
            <w:tcBorders>
              <w:top w:val="nil"/>
              <w:left w:val="nil"/>
              <w:bottom w:val="nil"/>
              <w:right w:val="nil"/>
            </w:tcBorders>
            <w:shd w:val="clear" w:color="000000" w:fill="F7A3B0"/>
            <w:noWrap/>
            <w:vAlign w:val="center"/>
          </w:tcPr>
          <w:p w14:paraId="1A9F5445" w14:textId="77777777" w:rsidR="00AA49E3" w:rsidRPr="00894701" w:rsidRDefault="00AA49E3" w:rsidP="0010169E">
            <w:pPr>
              <w:spacing w:after="0" w:line="240" w:lineRule="auto"/>
              <w:jc w:val="right"/>
              <w:rPr>
                <w:rFonts w:cs="Arial"/>
                <w:color w:val="000000"/>
                <w:kern w:val="0"/>
                <w:sz w:val="16"/>
                <w:szCs w:val="16"/>
              </w:rPr>
            </w:pPr>
          </w:p>
        </w:tc>
        <w:tc>
          <w:tcPr>
            <w:tcW w:w="467" w:type="pct"/>
            <w:tcBorders>
              <w:top w:val="nil"/>
              <w:left w:val="nil"/>
              <w:bottom w:val="nil"/>
              <w:right w:val="nil"/>
            </w:tcBorders>
            <w:shd w:val="clear" w:color="000000" w:fill="F7A3B0"/>
            <w:noWrap/>
            <w:vAlign w:val="center"/>
          </w:tcPr>
          <w:p w14:paraId="6D70A219" w14:textId="77777777" w:rsidR="00AA49E3" w:rsidRPr="00894701" w:rsidRDefault="00AA49E3" w:rsidP="0010169E">
            <w:pPr>
              <w:spacing w:after="0" w:line="240" w:lineRule="auto"/>
              <w:jc w:val="right"/>
              <w:rPr>
                <w:rFonts w:cs="Arial"/>
                <w:color w:val="000000"/>
                <w:kern w:val="0"/>
                <w:sz w:val="16"/>
                <w:szCs w:val="16"/>
              </w:rPr>
            </w:pPr>
          </w:p>
        </w:tc>
        <w:tc>
          <w:tcPr>
            <w:tcW w:w="463" w:type="pct"/>
            <w:tcBorders>
              <w:top w:val="nil"/>
              <w:left w:val="nil"/>
              <w:bottom w:val="nil"/>
              <w:right w:val="single" w:sz="8" w:space="0" w:color="FF0000"/>
            </w:tcBorders>
            <w:shd w:val="clear" w:color="000000" w:fill="F7A3B0"/>
            <w:noWrap/>
            <w:vAlign w:val="center"/>
          </w:tcPr>
          <w:p w14:paraId="15077A6B" w14:textId="77777777" w:rsidR="00AA49E3" w:rsidRPr="00894701" w:rsidRDefault="00AA49E3" w:rsidP="0010169E">
            <w:pPr>
              <w:spacing w:after="0" w:line="240" w:lineRule="auto"/>
              <w:jc w:val="right"/>
              <w:rPr>
                <w:rFonts w:cs="Arial"/>
                <w:color w:val="000000"/>
                <w:kern w:val="0"/>
                <w:sz w:val="16"/>
                <w:szCs w:val="16"/>
              </w:rPr>
            </w:pPr>
          </w:p>
        </w:tc>
      </w:tr>
      <w:tr w:rsidR="00AA49E3" w:rsidRPr="00894701" w14:paraId="1C6E26A7" w14:textId="77777777" w:rsidTr="00AA49E3">
        <w:trPr>
          <w:trHeight w:val="227"/>
          <w:jc w:val="center"/>
        </w:trPr>
        <w:tc>
          <w:tcPr>
            <w:tcW w:w="150" w:type="pct"/>
            <w:tcBorders>
              <w:top w:val="nil"/>
              <w:left w:val="single" w:sz="8" w:space="0" w:color="FF0000"/>
              <w:bottom w:val="nil"/>
              <w:right w:val="nil"/>
            </w:tcBorders>
            <w:shd w:val="clear" w:color="auto" w:fill="auto"/>
            <w:noWrap/>
            <w:tcMar>
              <w:left w:w="28" w:type="dxa"/>
              <w:right w:w="28" w:type="dxa"/>
            </w:tcMar>
            <w:vAlign w:val="center"/>
            <w:hideMark/>
          </w:tcPr>
          <w:p w14:paraId="461E411C"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1.16</w:t>
            </w:r>
          </w:p>
        </w:tc>
        <w:tc>
          <w:tcPr>
            <w:tcW w:w="831" w:type="pct"/>
            <w:tcBorders>
              <w:top w:val="nil"/>
              <w:left w:val="nil"/>
              <w:bottom w:val="nil"/>
              <w:right w:val="nil"/>
            </w:tcBorders>
            <w:shd w:val="clear" w:color="auto" w:fill="auto"/>
            <w:noWrap/>
            <w:vAlign w:val="center"/>
            <w:hideMark/>
          </w:tcPr>
          <w:p w14:paraId="11B49861" w14:textId="0066EA95"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Canon/Lease or Land Rent</w:t>
            </w:r>
          </w:p>
        </w:tc>
        <w:tc>
          <w:tcPr>
            <w:tcW w:w="462" w:type="pct"/>
            <w:tcBorders>
              <w:top w:val="nil"/>
              <w:left w:val="nil"/>
              <w:bottom w:val="nil"/>
              <w:right w:val="nil"/>
            </w:tcBorders>
            <w:shd w:val="clear" w:color="auto" w:fill="auto"/>
            <w:noWrap/>
            <w:vAlign w:val="center"/>
          </w:tcPr>
          <w:p w14:paraId="58468679" w14:textId="77777777" w:rsidR="00AA49E3" w:rsidRPr="00894701" w:rsidRDefault="00AA49E3" w:rsidP="0010169E">
            <w:pPr>
              <w:spacing w:after="0" w:line="240" w:lineRule="auto"/>
              <w:jc w:val="right"/>
              <w:rPr>
                <w:rFonts w:cs="Arial"/>
                <w:color w:val="000000"/>
                <w:kern w:val="0"/>
                <w:sz w:val="16"/>
                <w:szCs w:val="16"/>
              </w:rPr>
            </w:pPr>
          </w:p>
        </w:tc>
        <w:tc>
          <w:tcPr>
            <w:tcW w:w="512" w:type="pct"/>
            <w:tcBorders>
              <w:top w:val="nil"/>
              <w:left w:val="nil"/>
              <w:bottom w:val="nil"/>
              <w:right w:val="nil"/>
            </w:tcBorders>
            <w:shd w:val="clear" w:color="auto" w:fill="auto"/>
            <w:noWrap/>
            <w:vAlign w:val="center"/>
          </w:tcPr>
          <w:p w14:paraId="24A1A381" w14:textId="77777777" w:rsidR="00AA49E3" w:rsidRPr="00894701" w:rsidRDefault="00AA49E3" w:rsidP="0010169E">
            <w:pPr>
              <w:spacing w:after="0" w:line="240" w:lineRule="auto"/>
              <w:jc w:val="right"/>
              <w:rPr>
                <w:rFonts w:cs="Arial"/>
                <w:color w:val="000000"/>
                <w:kern w:val="0"/>
                <w:sz w:val="16"/>
                <w:szCs w:val="16"/>
              </w:rPr>
            </w:pPr>
          </w:p>
        </w:tc>
        <w:tc>
          <w:tcPr>
            <w:tcW w:w="513" w:type="pct"/>
            <w:tcBorders>
              <w:top w:val="nil"/>
              <w:left w:val="nil"/>
              <w:bottom w:val="nil"/>
              <w:right w:val="nil"/>
            </w:tcBorders>
            <w:shd w:val="clear" w:color="auto" w:fill="auto"/>
            <w:noWrap/>
            <w:vAlign w:val="center"/>
          </w:tcPr>
          <w:p w14:paraId="680A53A4" w14:textId="77777777" w:rsidR="00AA49E3" w:rsidRPr="00894701" w:rsidRDefault="00AA49E3" w:rsidP="0010169E">
            <w:pPr>
              <w:spacing w:after="0" w:line="240" w:lineRule="auto"/>
              <w:jc w:val="right"/>
              <w:rPr>
                <w:rFonts w:cs="Arial"/>
                <w:color w:val="000000"/>
                <w:kern w:val="0"/>
                <w:sz w:val="16"/>
                <w:szCs w:val="16"/>
              </w:rPr>
            </w:pPr>
          </w:p>
        </w:tc>
        <w:tc>
          <w:tcPr>
            <w:tcW w:w="341" w:type="pct"/>
            <w:tcBorders>
              <w:top w:val="nil"/>
              <w:left w:val="nil"/>
              <w:bottom w:val="nil"/>
              <w:right w:val="nil"/>
            </w:tcBorders>
            <w:shd w:val="clear" w:color="auto" w:fill="auto"/>
            <w:noWrap/>
            <w:vAlign w:val="center"/>
          </w:tcPr>
          <w:p w14:paraId="6F37BB3A" w14:textId="77777777" w:rsidR="00AA49E3" w:rsidRPr="00894701" w:rsidRDefault="00AA49E3" w:rsidP="0010169E">
            <w:pPr>
              <w:spacing w:after="0" w:line="240" w:lineRule="auto"/>
              <w:jc w:val="right"/>
              <w:rPr>
                <w:rFonts w:cs="Arial"/>
                <w:color w:val="000000"/>
                <w:kern w:val="0"/>
                <w:sz w:val="16"/>
                <w:szCs w:val="16"/>
              </w:rPr>
            </w:pPr>
          </w:p>
        </w:tc>
        <w:tc>
          <w:tcPr>
            <w:tcW w:w="371" w:type="pct"/>
            <w:tcBorders>
              <w:top w:val="nil"/>
              <w:left w:val="nil"/>
              <w:bottom w:val="nil"/>
              <w:right w:val="nil"/>
            </w:tcBorders>
            <w:shd w:val="clear" w:color="auto" w:fill="auto"/>
            <w:noWrap/>
            <w:vAlign w:val="center"/>
          </w:tcPr>
          <w:p w14:paraId="48169B8D" w14:textId="77777777" w:rsidR="00AA49E3" w:rsidRPr="00894701" w:rsidRDefault="00AA49E3" w:rsidP="0010169E">
            <w:pPr>
              <w:spacing w:after="0" w:line="240" w:lineRule="auto"/>
              <w:jc w:val="right"/>
              <w:rPr>
                <w:rFonts w:cs="Arial"/>
                <w:color w:val="000000"/>
                <w:kern w:val="0"/>
                <w:sz w:val="16"/>
                <w:szCs w:val="16"/>
              </w:rPr>
            </w:pPr>
          </w:p>
        </w:tc>
        <w:tc>
          <w:tcPr>
            <w:tcW w:w="421" w:type="pct"/>
            <w:tcBorders>
              <w:top w:val="nil"/>
              <w:left w:val="nil"/>
              <w:bottom w:val="nil"/>
              <w:right w:val="nil"/>
            </w:tcBorders>
            <w:shd w:val="clear" w:color="auto" w:fill="auto"/>
            <w:noWrap/>
            <w:vAlign w:val="center"/>
          </w:tcPr>
          <w:p w14:paraId="265A5740" w14:textId="77777777" w:rsidR="00AA49E3" w:rsidRPr="00894701" w:rsidRDefault="00AA49E3" w:rsidP="0010169E">
            <w:pPr>
              <w:spacing w:after="0" w:line="240" w:lineRule="auto"/>
              <w:jc w:val="right"/>
              <w:rPr>
                <w:rFonts w:cs="Arial"/>
                <w:color w:val="000000"/>
                <w:kern w:val="0"/>
                <w:sz w:val="16"/>
                <w:szCs w:val="16"/>
              </w:rPr>
            </w:pPr>
          </w:p>
        </w:tc>
        <w:tc>
          <w:tcPr>
            <w:tcW w:w="469" w:type="pct"/>
            <w:tcBorders>
              <w:top w:val="nil"/>
              <w:left w:val="nil"/>
              <w:bottom w:val="nil"/>
              <w:right w:val="nil"/>
            </w:tcBorders>
            <w:shd w:val="clear" w:color="auto" w:fill="auto"/>
            <w:noWrap/>
            <w:vAlign w:val="center"/>
          </w:tcPr>
          <w:p w14:paraId="72D202B8" w14:textId="77777777" w:rsidR="00AA49E3" w:rsidRPr="00894701" w:rsidRDefault="00AA49E3" w:rsidP="0010169E">
            <w:pPr>
              <w:spacing w:after="0" w:line="240" w:lineRule="auto"/>
              <w:jc w:val="right"/>
              <w:rPr>
                <w:rFonts w:cs="Arial"/>
                <w:color w:val="000000"/>
                <w:kern w:val="0"/>
                <w:sz w:val="16"/>
                <w:szCs w:val="16"/>
              </w:rPr>
            </w:pPr>
          </w:p>
        </w:tc>
        <w:tc>
          <w:tcPr>
            <w:tcW w:w="467" w:type="pct"/>
            <w:tcBorders>
              <w:top w:val="nil"/>
              <w:left w:val="nil"/>
              <w:bottom w:val="nil"/>
              <w:right w:val="nil"/>
            </w:tcBorders>
            <w:shd w:val="clear" w:color="auto" w:fill="auto"/>
            <w:noWrap/>
            <w:vAlign w:val="center"/>
          </w:tcPr>
          <w:p w14:paraId="7DBF5031" w14:textId="77777777" w:rsidR="00AA49E3" w:rsidRPr="00894701" w:rsidRDefault="00AA49E3" w:rsidP="0010169E">
            <w:pPr>
              <w:spacing w:after="0" w:line="240" w:lineRule="auto"/>
              <w:jc w:val="right"/>
              <w:rPr>
                <w:rFonts w:cs="Arial"/>
                <w:color w:val="000000"/>
                <w:kern w:val="0"/>
                <w:sz w:val="16"/>
                <w:szCs w:val="16"/>
              </w:rPr>
            </w:pPr>
          </w:p>
        </w:tc>
        <w:tc>
          <w:tcPr>
            <w:tcW w:w="463" w:type="pct"/>
            <w:tcBorders>
              <w:top w:val="nil"/>
              <w:left w:val="nil"/>
              <w:bottom w:val="nil"/>
              <w:right w:val="single" w:sz="8" w:space="0" w:color="FF0000"/>
            </w:tcBorders>
            <w:shd w:val="clear" w:color="auto" w:fill="auto"/>
            <w:noWrap/>
            <w:vAlign w:val="center"/>
          </w:tcPr>
          <w:p w14:paraId="2F7451AD" w14:textId="77777777" w:rsidR="00AA49E3" w:rsidRPr="00894701" w:rsidRDefault="00AA49E3" w:rsidP="0010169E">
            <w:pPr>
              <w:spacing w:after="0" w:line="240" w:lineRule="auto"/>
              <w:jc w:val="right"/>
              <w:rPr>
                <w:rFonts w:cs="Arial"/>
                <w:color w:val="000000"/>
                <w:kern w:val="0"/>
                <w:sz w:val="16"/>
                <w:szCs w:val="16"/>
              </w:rPr>
            </w:pPr>
          </w:p>
        </w:tc>
      </w:tr>
      <w:tr w:rsidR="00AA49E3" w:rsidRPr="00894701" w14:paraId="1F4168F2" w14:textId="77777777" w:rsidTr="00AA49E3">
        <w:trPr>
          <w:trHeight w:val="227"/>
          <w:jc w:val="center"/>
        </w:trPr>
        <w:tc>
          <w:tcPr>
            <w:tcW w:w="150" w:type="pct"/>
            <w:tcBorders>
              <w:top w:val="nil"/>
              <w:left w:val="single" w:sz="8" w:space="0" w:color="FF0000"/>
              <w:bottom w:val="nil"/>
              <w:right w:val="nil"/>
            </w:tcBorders>
            <w:shd w:val="clear" w:color="000000" w:fill="F7A3B0"/>
            <w:noWrap/>
            <w:tcMar>
              <w:left w:w="28" w:type="dxa"/>
              <w:right w:w="28" w:type="dxa"/>
            </w:tcMar>
            <w:vAlign w:val="center"/>
            <w:hideMark/>
          </w:tcPr>
          <w:p w14:paraId="48CD8F1D"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1.17</w:t>
            </w:r>
          </w:p>
        </w:tc>
        <w:tc>
          <w:tcPr>
            <w:tcW w:w="831" w:type="pct"/>
            <w:tcBorders>
              <w:top w:val="nil"/>
              <w:left w:val="nil"/>
              <w:bottom w:val="nil"/>
              <w:right w:val="nil"/>
            </w:tcBorders>
            <w:shd w:val="clear" w:color="000000" w:fill="F7A3B0"/>
            <w:noWrap/>
            <w:vAlign w:val="center"/>
            <w:hideMark/>
          </w:tcPr>
          <w:p w14:paraId="10F81917" w14:textId="22ECE9E6"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All other payments</w:t>
            </w:r>
            <w:r w:rsidR="005A0E98" w:rsidRPr="00894701">
              <w:rPr>
                <w:rFonts w:cs="Arial"/>
                <w:color w:val="000000"/>
                <w:kern w:val="0"/>
                <w:sz w:val="16"/>
                <w:szCs w:val="16"/>
              </w:rPr>
              <w:t xml:space="preserve"> </w:t>
            </w:r>
            <w:r w:rsidRPr="00894701">
              <w:rPr>
                <w:rFonts w:cs="Arial"/>
                <w:color w:val="000000"/>
                <w:kern w:val="0"/>
                <w:sz w:val="16"/>
                <w:szCs w:val="16"/>
              </w:rPr>
              <w:t>(signature bonus, bidding fees, penalties, petroleum levy)</w:t>
            </w:r>
          </w:p>
        </w:tc>
        <w:tc>
          <w:tcPr>
            <w:tcW w:w="462" w:type="pct"/>
            <w:tcBorders>
              <w:top w:val="nil"/>
              <w:left w:val="nil"/>
              <w:bottom w:val="nil"/>
              <w:right w:val="nil"/>
            </w:tcBorders>
            <w:shd w:val="clear" w:color="000000" w:fill="F7A3B0"/>
            <w:noWrap/>
            <w:vAlign w:val="center"/>
          </w:tcPr>
          <w:p w14:paraId="18E73AC2" w14:textId="77777777" w:rsidR="00AA49E3" w:rsidRPr="00894701" w:rsidRDefault="00AA49E3" w:rsidP="0010169E">
            <w:pPr>
              <w:spacing w:after="0" w:line="240" w:lineRule="auto"/>
              <w:jc w:val="right"/>
              <w:rPr>
                <w:rFonts w:cs="Arial"/>
                <w:color w:val="000000"/>
                <w:kern w:val="0"/>
                <w:sz w:val="16"/>
                <w:szCs w:val="16"/>
              </w:rPr>
            </w:pPr>
          </w:p>
        </w:tc>
        <w:tc>
          <w:tcPr>
            <w:tcW w:w="512" w:type="pct"/>
            <w:tcBorders>
              <w:top w:val="nil"/>
              <w:left w:val="nil"/>
              <w:bottom w:val="nil"/>
              <w:right w:val="nil"/>
            </w:tcBorders>
            <w:shd w:val="clear" w:color="000000" w:fill="F7A3B0"/>
            <w:noWrap/>
            <w:vAlign w:val="center"/>
          </w:tcPr>
          <w:p w14:paraId="79C5EF2D" w14:textId="77777777" w:rsidR="00AA49E3" w:rsidRPr="00894701" w:rsidRDefault="00AA49E3" w:rsidP="0010169E">
            <w:pPr>
              <w:spacing w:after="0" w:line="240" w:lineRule="auto"/>
              <w:jc w:val="right"/>
              <w:rPr>
                <w:rFonts w:cs="Arial"/>
                <w:color w:val="000000"/>
                <w:kern w:val="0"/>
                <w:sz w:val="16"/>
                <w:szCs w:val="16"/>
              </w:rPr>
            </w:pPr>
          </w:p>
        </w:tc>
        <w:tc>
          <w:tcPr>
            <w:tcW w:w="513" w:type="pct"/>
            <w:tcBorders>
              <w:top w:val="nil"/>
              <w:left w:val="nil"/>
              <w:bottom w:val="nil"/>
              <w:right w:val="nil"/>
            </w:tcBorders>
            <w:shd w:val="clear" w:color="000000" w:fill="F7A3B0"/>
            <w:noWrap/>
            <w:vAlign w:val="center"/>
          </w:tcPr>
          <w:p w14:paraId="39759539" w14:textId="77777777" w:rsidR="00AA49E3" w:rsidRPr="00894701" w:rsidRDefault="00AA49E3" w:rsidP="0010169E">
            <w:pPr>
              <w:spacing w:after="0" w:line="240" w:lineRule="auto"/>
              <w:jc w:val="right"/>
              <w:rPr>
                <w:rFonts w:cs="Arial"/>
                <w:color w:val="000000"/>
                <w:kern w:val="0"/>
                <w:sz w:val="16"/>
                <w:szCs w:val="16"/>
              </w:rPr>
            </w:pPr>
          </w:p>
        </w:tc>
        <w:tc>
          <w:tcPr>
            <w:tcW w:w="341" w:type="pct"/>
            <w:tcBorders>
              <w:top w:val="nil"/>
              <w:left w:val="nil"/>
              <w:bottom w:val="nil"/>
              <w:right w:val="nil"/>
            </w:tcBorders>
            <w:shd w:val="clear" w:color="000000" w:fill="F7A3B0"/>
            <w:noWrap/>
            <w:vAlign w:val="center"/>
          </w:tcPr>
          <w:p w14:paraId="6EEA798E" w14:textId="77777777" w:rsidR="00AA49E3" w:rsidRPr="00894701" w:rsidRDefault="00AA49E3" w:rsidP="0010169E">
            <w:pPr>
              <w:spacing w:after="0" w:line="240" w:lineRule="auto"/>
              <w:jc w:val="right"/>
              <w:rPr>
                <w:rFonts w:cs="Arial"/>
                <w:color w:val="000000"/>
                <w:kern w:val="0"/>
                <w:sz w:val="16"/>
                <w:szCs w:val="16"/>
              </w:rPr>
            </w:pPr>
          </w:p>
        </w:tc>
        <w:tc>
          <w:tcPr>
            <w:tcW w:w="371" w:type="pct"/>
            <w:tcBorders>
              <w:top w:val="nil"/>
              <w:left w:val="nil"/>
              <w:bottom w:val="nil"/>
              <w:right w:val="nil"/>
            </w:tcBorders>
            <w:shd w:val="clear" w:color="000000" w:fill="F7A3B0"/>
            <w:noWrap/>
            <w:vAlign w:val="center"/>
          </w:tcPr>
          <w:p w14:paraId="34463239" w14:textId="77777777" w:rsidR="00AA49E3" w:rsidRPr="00894701" w:rsidRDefault="00AA49E3" w:rsidP="0010169E">
            <w:pPr>
              <w:spacing w:after="0" w:line="240" w:lineRule="auto"/>
              <w:jc w:val="right"/>
              <w:rPr>
                <w:rFonts w:cs="Arial"/>
                <w:color w:val="000000"/>
                <w:kern w:val="0"/>
                <w:sz w:val="16"/>
                <w:szCs w:val="16"/>
              </w:rPr>
            </w:pPr>
          </w:p>
        </w:tc>
        <w:tc>
          <w:tcPr>
            <w:tcW w:w="421" w:type="pct"/>
            <w:tcBorders>
              <w:top w:val="nil"/>
              <w:left w:val="nil"/>
              <w:bottom w:val="nil"/>
              <w:right w:val="nil"/>
            </w:tcBorders>
            <w:shd w:val="clear" w:color="000000" w:fill="F7A3B0"/>
            <w:noWrap/>
            <w:vAlign w:val="center"/>
          </w:tcPr>
          <w:p w14:paraId="04019572" w14:textId="77777777" w:rsidR="00AA49E3" w:rsidRPr="00894701" w:rsidRDefault="00AA49E3" w:rsidP="0010169E">
            <w:pPr>
              <w:spacing w:after="0" w:line="240" w:lineRule="auto"/>
              <w:jc w:val="right"/>
              <w:rPr>
                <w:rFonts w:cs="Arial"/>
                <w:color w:val="000000"/>
                <w:kern w:val="0"/>
                <w:sz w:val="16"/>
                <w:szCs w:val="16"/>
              </w:rPr>
            </w:pPr>
          </w:p>
        </w:tc>
        <w:tc>
          <w:tcPr>
            <w:tcW w:w="469" w:type="pct"/>
            <w:tcBorders>
              <w:top w:val="nil"/>
              <w:left w:val="nil"/>
              <w:bottom w:val="nil"/>
              <w:right w:val="nil"/>
            </w:tcBorders>
            <w:shd w:val="clear" w:color="000000" w:fill="F7A3B0"/>
            <w:noWrap/>
            <w:vAlign w:val="center"/>
          </w:tcPr>
          <w:p w14:paraId="4BCED6A2" w14:textId="77777777" w:rsidR="00AA49E3" w:rsidRPr="00894701" w:rsidRDefault="00AA49E3" w:rsidP="0010169E">
            <w:pPr>
              <w:spacing w:after="0" w:line="240" w:lineRule="auto"/>
              <w:jc w:val="right"/>
              <w:rPr>
                <w:rFonts w:cs="Arial"/>
                <w:color w:val="000000"/>
                <w:kern w:val="0"/>
                <w:sz w:val="16"/>
                <w:szCs w:val="16"/>
              </w:rPr>
            </w:pPr>
          </w:p>
        </w:tc>
        <w:tc>
          <w:tcPr>
            <w:tcW w:w="467" w:type="pct"/>
            <w:tcBorders>
              <w:top w:val="nil"/>
              <w:left w:val="nil"/>
              <w:bottom w:val="nil"/>
              <w:right w:val="nil"/>
            </w:tcBorders>
            <w:shd w:val="clear" w:color="000000" w:fill="F7A3B0"/>
            <w:noWrap/>
            <w:vAlign w:val="center"/>
          </w:tcPr>
          <w:p w14:paraId="590CE2BC" w14:textId="77777777" w:rsidR="00AA49E3" w:rsidRPr="00894701" w:rsidRDefault="00AA49E3" w:rsidP="0010169E">
            <w:pPr>
              <w:spacing w:after="0" w:line="240" w:lineRule="auto"/>
              <w:jc w:val="right"/>
              <w:rPr>
                <w:rFonts w:cs="Arial"/>
                <w:color w:val="000000"/>
                <w:kern w:val="0"/>
                <w:sz w:val="16"/>
                <w:szCs w:val="16"/>
              </w:rPr>
            </w:pPr>
          </w:p>
        </w:tc>
        <w:tc>
          <w:tcPr>
            <w:tcW w:w="463" w:type="pct"/>
            <w:tcBorders>
              <w:top w:val="nil"/>
              <w:left w:val="nil"/>
              <w:bottom w:val="nil"/>
              <w:right w:val="single" w:sz="8" w:space="0" w:color="FF0000"/>
            </w:tcBorders>
            <w:shd w:val="clear" w:color="000000" w:fill="F7A3B0"/>
            <w:noWrap/>
            <w:vAlign w:val="center"/>
          </w:tcPr>
          <w:p w14:paraId="5E6336FD" w14:textId="77777777" w:rsidR="00AA49E3" w:rsidRPr="00894701" w:rsidRDefault="00AA49E3" w:rsidP="0010169E">
            <w:pPr>
              <w:spacing w:after="0" w:line="240" w:lineRule="auto"/>
              <w:jc w:val="right"/>
              <w:rPr>
                <w:rFonts w:cs="Arial"/>
                <w:color w:val="000000"/>
                <w:kern w:val="0"/>
                <w:sz w:val="16"/>
                <w:szCs w:val="16"/>
              </w:rPr>
            </w:pPr>
          </w:p>
        </w:tc>
      </w:tr>
      <w:tr w:rsidR="002F4BAB" w:rsidRPr="00894701" w14:paraId="12A9B2A3" w14:textId="77777777" w:rsidTr="00AA49E3">
        <w:trPr>
          <w:trHeight w:val="227"/>
          <w:jc w:val="center"/>
        </w:trPr>
        <w:tc>
          <w:tcPr>
            <w:tcW w:w="981" w:type="pct"/>
            <w:gridSpan w:val="2"/>
            <w:tcBorders>
              <w:top w:val="nil"/>
              <w:left w:val="single" w:sz="8" w:space="0" w:color="FF0000"/>
              <w:bottom w:val="nil"/>
              <w:right w:val="nil"/>
            </w:tcBorders>
            <w:shd w:val="clear" w:color="000000" w:fill="C0A99E"/>
            <w:noWrap/>
            <w:tcMar>
              <w:left w:w="28" w:type="dxa"/>
              <w:right w:w="28" w:type="dxa"/>
            </w:tcMar>
            <w:vAlign w:val="center"/>
            <w:hideMark/>
          </w:tcPr>
          <w:p w14:paraId="2B63C802" w14:textId="77777777" w:rsidR="002F4BAB" w:rsidRPr="00894701" w:rsidRDefault="002F4BAB" w:rsidP="002209C2">
            <w:pPr>
              <w:spacing w:after="0" w:line="240" w:lineRule="auto"/>
              <w:rPr>
                <w:rFonts w:cs="Arial"/>
                <w:b/>
                <w:bCs/>
                <w:color w:val="auto"/>
                <w:kern w:val="0"/>
                <w:sz w:val="16"/>
                <w:szCs w:val="16"/>
              </w:rPr>
            </w:pPr>
            <w:r w:rsidRPr="00894701">
              <w:rPr>
                <w:rFonts w:cs="Arial"/>
                <w:b/>
                <w:bCs/>
                <w:color w:val="auto"/>
                <w:kern w:val="0"/>
                <w:sz w:val="16"/>
                <w:szCs w:val="16"/>
              </w:rPr>
              <w:t xml:space="preserve"> Ministry of Natural Resources (MNR)</w:t>
            </w:r>
          </w:p>
        </w:tc>
        <w:tc>
          <w:tcPr>
            <w:tcW w:w="462" w:type="pct"/>
            <w:tcBorders>
              <w:top w:val="nil"/>
              <w:left w:val="nil"/>
              <w:bottom w:val="nil"/>
              <w:right w:val="nil"/>
            </w:tcBorders>
            <w:shd w:val="clear" w:color="000000" w:fill="C0A99E"/>
            <w:noWrap/>
            <w:vAlign w:val="center"/>
            <w:hideMark/>
          </w:tcPr>
          <w:p w14:paraId="2DFCC221" w14:textId="77777777" w:rsidR="002F4BAB" w:rsidRPr="00894701" w:rsidRDefault="002F4BAB" w:rsidP="0010169E">
            <w:pPr>
              <w:spacing w:after="0" w:line="240" w:lineRule="auto"/>
              <w:jc w:val="right"/>
              <w:rPr>
                <w:rFonts w:cs="Arial"/>
                <w:b/>
                <w:bCs/>
                <w:color w:val="auto"/>
                <w:kern w:val="0"/>
                <w:sz w:val="16"/>
                <w:szCs w:val="16"/>
              </w:rPr>
            </w:pPr>
            <w:r w:rsidRPr="00894701">
              <w:rPr>
                <w:rFonts w:cs="Arial"/>
                <w:b/>
                <w:bCs/>
                <w:color w:val="auto"/>
                <w:kern w:val="0"/>
                <w:sz w:val="16"/>
                <w:szCs w:val="16"/>
              </w:rPr>
              <w:t>-</w:t>
            </w:r>
          </w:p>
        </w:tc>
        <w:tc>
          <w:tcPr>
            <w:tcW w:w="512" w:type="pct"/>
            <w:tcBorders>
              <w:top w:val="nil"/>
              <w:left w:val="nil"/>
              <w:bottom w:val="nil"/>
              <w:right w:val="nil"/>
            </w:tcBorders>
            <w:shd w:val="clear" w:color="000000" w:fill="C0A99E"/>
            <w:noWrap/>
            <w:vAlign w:val="center"/>
            <w:hideMark/>
          </w:tcPr>
          <w:p w14:paraId="54B037D1" w14:textId="77777777" w:rsidR="002F4BAB" w:rsidRPr="00894701" w:rsidRDefault="002F4BAB" w:rsidP="0010169E">
            <w:pPr>
              <w:spacing w:after="0" w:line="240" w:lineRule="auto"/>
              <w:jc w:val="right"/>
              <w:rPr>
                <w:rFonts w:cs="Arial"/>
                <w:b/>
                <w:bCs/>
                <w:color w:val="auto"/>
                <w:kern w:val="0"/>
                <w:sz w:val="16"/>
                <w:szCs w:val="16"/>
              </w:rPr>
            </w:pPr>
            <w:r w:rsidRPr="00894701">
              <w:rPr>
                <w:rFonts w:cs="Arial"/>
                <w:b/>
                <w:bCs/>
                <w:color w:val="auto"/>
                <w:kern w:val="0"/>
                <w:sz w:val="16"/>
                <w:szCs w:val="16"/>
              </w:rPr>
              <w:t>-</w:t>
            </w:r>
          </w:p>
        </w:tc>
        <w:tc>
          <w:tcPr>
            <w:tcW w:w="513" w:type="pct"/>
            <w:tcBorders>
              <w:top w:val="nil"/>
              <w:left w:val="nil"/>
              <w:bottom w:val="nil"/>
              <w:right w:val="nil"/>
            </w:tcBorders>
            <w:shd w:val="clear" w:color="000000" w:fill="C0A99E"/>
            <w:noWrap/>
            <w:vAlign w:val="center"/>
            <w:hideMark/>
          </w:tcPr>
          <w:p w14:paraId="075A1FE0" w14:textId="77777777" w:rsidR="002F4BAB" w:rsidRPr="00894701" w:rsidRDefault="002F4BAB" w:rsidP="0010169E">
            <w:pPr>
              <w:spacing w:after="0" w:line="240" w:lineRule="auto"/>
              <w:jc w:val="right"/>
              <w:rPr>
                <w:rFonts w:cs="Arial"/>
                <w:b/>
                <w:bCs/>
                <w:color w:val="auto"/>
                <w:kern w:val="0"/>
                <w:sz w:val="16"/>
                <w:szCs w:val="16"/>
              </w:rPr>
            </w:pPr>
            <w:r w:rsidRPr="00894701">
              <w:rPr>
                <w:rFonts w:cs="Arial"/>
                <w:b/>
                <w:bCs/>
                <w:color w:val="auto"/>
                <w:kern w:val="0"/>
                <w:sz w:val="16"/>
                <w:szCs w:val="16"/>
              </w:rPr>
              <w:t>-</w:t>
            </w:r>
          </w:p>
        </w:tc>
        <w:tc>
          <w:tcPr>
            <w:tcW w:w="341" w:type="pct"/>
            <w:tcBorders>
              <w:top w:val="nil"/>
              <w:left w:val="nil"/>
              <w:bottom w:val="nil"/>
              <w:right w:val="nil"/>
            </w:tcBorders>
            <w:shd w:val="clear" w:color="000000" w:fill="C0A99E"/>
            <w:noWrap/>
            <w:vAlign w:val="center"/>
            <w:hideMark/>
          </w:tcPr>
          <w:p w14:paraId="27858AC6" w14:textId="77777777" w:rsidR="002F4BAB" w:rsidRPr="00894701" w:rsidRDefault="002F4BAB" w:rsidP="0010169E">
            <w:pPr>
              <w:spacing w:after="0" w:line="240" w:lineRule="auto"/>
              <w:jc w:val="right"/>
              <w:rPr>
                <w:rFonts w:cs="Arial"/>
                <w:b/>
                <w:bCs/>
                <w:color w:val="auto"/>
                <w:kern w:val="0"/>
                <w:sz w:val="16"/>
                <w:szCs w:val="16"/>
              </w:rPr>
            </w:pPr>
            <w:r w:rsidRPr="00894701">
              <w:rPr>
                <w:rFonts w:cs="Arial"/>
                <w:b/>
                <w:bCs/>
                <w:color w:val="auto"/>
                <w:kern w:val="0"/>
                <w:sz w:val="16"/>
                <w:szCs w:val="16"/>
              </w:rPr>
              <w:t>-</w:t>
            </w:r>
          </w:p>
        </w:tc>
        <w:tc>
          <w:tcPr>
            <w:tcW w:w="371" w:type="pct"/>
            <w:tcBorders>
              <w:top w:val="nil"/>
              <w:left w:val="nil"/>
              <w:bottom w:val="nil"/>
              <w:right w:val="nil"/>
            </w:tcBorders>
            <w:shd w:val="clear" w:color="000000" w:fill="C0A99E"/>
            <w:noWrap/>
            <w:vAlign w:val="center"/>
            <w:hideMark/>
          </w:tcPr>
          <w:p w14:paraId="4929A2D3" w14:textId="77777777" w:rsidR="002F4BAB" w:rsidRPr="00894701" w:rsidRDefault="002F4BAB" w:rsidP="0010169E">
            <w:pPr>
              <w:spacing w:after="0" w:line="240" w:lineRule="auto"/>
              <w:jc w:val="right"/>
              <w:rPr>
                <w:rFonts w:cs="Arial"/>
                <w:b/>
                <w:bCs/>
                <w:color w:val="auto"/>
                <w:kern w:val="0"/>
                <w:sz w:val="16"/>
                <w:szCs w:val="16"/>
              </w:rPr>
            </w:pPr>
            <w:r w:rsidRPr="00894701">
              <w:rPr>
                <w:rFonts w:cs="Arial"/>
                <w:b/>
                <w:bCs/>
                <w:color w:val="auto"/>
                <w:kern w:val="0"/>
                <w:sz w:val="16"/>
                <w:szCs w:val="16"/>
              </w:rPr>
              <w:t>-</w:t>
            </w:r>
          </w:p>
        </w:tc>
        <w:tc>
          <w:tcPr>
            <w:tcW w:w="421" w:type="pct"/>
            <w:tcBorders>
              <w:top w:val="nil"/>
              <w:left w:val="nil"/>
              <w:bottom w:val="nil"/>
              <w:right w:val="nil"/>
            </w:tcBorders>
            <w:shd w:val="clear" w:color="000000" w:fill="C0A99E"/>
            <w:noWrap/>
            <w:vAlign w:val="center"/>
            <w:hideMark/>
          </w:tcPr>
          <w:p w14:paraId="5D584AC6" w14:textId="77777777" w:rsidR="002F4BAB" w:rsidRPr="00894701" w:rsidRDefault="002F4BAB" w:rsidP="0010169E">
            <w:pPr>
              <w:spacing w:after="0" w:line="240" w:lineRule="auto"/>
              <w:jc w:val="right"/>
              <w:rPr>
                <w:rFonts w:cs="Arial"/>
                <w:b/>
                <w:bCs/>
                <w:color w:val="auto"/>
                <w:kern w:val="0"/>
                <w:sz w:val="16"/>
                <w:szCs w:val="16"/>
              </w:rPr>
            </w:pPr>
            <w:r w:rsidRPr="00894701">
              <w:rPr>
                <w:rFonts w:cs="Arial"/>
                <w:b/>
                <w:bCs/>
                <w:color w:val="auto"/>
                <w:kern w:val="0"/>
                <w:sz w:val="16"/>
                <w:szCs w:val="16"/>
              </w:rPr>
              <w:t>-</w:t>
            </w:r>
          </w:p>
        </w:tc>
        <w:tc>
          <w:tcPr>
            <w:tcW w:w="469" w:type="pct"/>
            <w:tcBorders>
              <w:top w:val="nil"/>
              <w:left w:val="nil"/>
              <w:bottom w:val="nil"/>
              <w:right w:val="nil"/>
            </w:tcBorders>
            <w:shd w:val="clear" w:color="000000" w:fill="C0A99E"/>
            <w:noWrap/>
            <w:vAlign w:val="center"/>
            <w:hideMark/>
          </w:tcPr>
          <w:p w14:paraId="1F396AC5" w14:textId="77777777" w:rsidR="002F4BAB" w:rsidRPr="00894701" w:rsidRDefault="002F4BAB" w:rsidP="0010169E">
            <w:pPr>
              <w:spacing w:after="0" w:line="240" w:lineRule="auto"/>
              <w:jc w:val="right"/>
              <w:rPr>
                <w:rFonts w:cs="Arial"/>
                <w:b/>
                <w:bCs/>
                <w:color w:val="auto"/>
                <w:kern w:val="0"/>
                <w:sz w:val="16"/>
                <w:szCs w:val="16"/>
              </w:rPr>
            </w:pPr>
            <w:r w:rsidRPr="00894701">
              <w:rPr>
                <w:rFonts w:cs="Arial"/>
                <w:b/>
                <w:bCs/>
                <w:color w:val="auto"/>
                <w:kern w:val="0"/>
                <w:sz w:val="16"/>
                <w:szCs w:val="16"/>
              </w:rPr>
              <w:t>-</w:t>
            </w:r>
          </w:p>
        </w:tc>
        <w:tc>
          <w:tcPr>
            <w:tcW w:w="467" w:type="pct"/>
            <w:tcBorders>
              <w:top w:val="nil"/>
              <w:left w:val="nil"/>
              <w:bottom w:val="nil"/>
              <w:right w:val="nil"/>
            </w:tcBorders>
            <w:shd w:val="clear" w:color="000000" w:fill="C0A99E"/>
            <w:noWrap/>
            <w:vAlign w:val="center"/>
            <w:hideMark/>
          </w:tcPr>
          <w:p w14:paraId="78C1BD10" w14:textId="77777777" w:rsidR="002F4BAB" w:rsidRPr="00894701" w:rsidRDefault="002F4BAB" w:rsidP="0010169E">
            <w:pPr>
              <w:spacing w:after="0" w:line="240" w:lineRule="auto"/>
              <w:jc w:val="right"/>
              <w:rPr>
                <w:rFonts w:cs="Arial"/>
                <w:b/>
                <w:bCs/>
                <w:color w:val="auto"/>
                <w:kern w:val="0"/>
                <w:sz w:val="16"/>
                <w:szCs w:val="16"/>
              </w:rPr>
            </w:pPr>
            <w:r w:rsidRPr="00894701">
              <w:rPr>
                <w:rFonts w:cs="Arial"/>
                <w:b/>
                <w:bCs/>
                <w:color w:val="auto"/>
                <w:kern w:val="0"/>
                <w:sz w:val="16"/>
                <w:szCs w:val="16"/>
              </w:rPr>
              <w:t>-</w:t>
            </w:r>
          </w:p>
        </w:tc>
        <w:tc>
          <w:tcPr>
            <w:tcW w:w="463" w:type="pct"/>
            <w:tcBorders>
              <w:top w:val="nil"/>
              <w:left w:val="nil"/>
              <w:bottom w:val="nil"/>
              <w:right w:val="nil"/>
            </w:tcBorders>
            <w:shd w:val="clear" w:color="000000" w:fill="C0A99E"/>
            <w:noWrap/>
            <w:vAlign w:val="center"/>
            <w:hideMark/>
          </w:tcPr>
          <w:p w14:paraId="3B7F032D" w14:textId="77777777" w:rsidR="002F4BAB" w:rsidRPr="00894701" w:rsidRDefault="002F4BAB" w:rsidP="0010169E">
            <w:pPr>
              <w:spacing w:after="0" w:line="240" w:lineRule="auto"/>
              <w:jc w:val="right"/>
              <w:rPr>
                <w:rFonts w:cs="Arial"/>
                <w:b/>
                <w:bCs/>
                <w:color w:val="auto"/>
                <w:kern w:val="0"/>
                <w:sz w:val="16"/>
                <w:szCs w:val="16"/>
              </w:rPr>
            </w:pPr>
            <w:r w:rsidRPr="00894701">
              <w:rPr>
                <w:rFonts w:cs="Arial"/>
                <w:b/>
                <w:bCs/>
                <w:color w:val="auto"/>
                <w:kern w:val="0"/>
                <w:sz w:val="16"/>
                <w:szCs w:val="16"/>
              </w:rPr>
              <w:t>-</w:t>
            </w:r>
          </w:p>
        </w:tc>
      </w:tr>
      <w:tr w:rsidR="00AA49E3" w:rsidRPr="00894701" w14:paraId="6A6D79CC" w14:textId="77777777" w:rsidTr="00AA49E3">
        <w:trPr>
          <w:trHeight w:val="227"/>
          <w:jc w:val="center"/>
        </w:trPr>
        <w:tc>
          <w:tcPr>
            <w:tcW w:w="150" w:type="pct"/>
            <w:tcBorders>
              <w:top w:val="nil"/>
              <w:left w:val="single" w:sz="8" w:space="0" w:color="FF0000"/>
              <w:bottom w:val="nil"/>
              <w:right w:val="nil"/>
            </w:tcBorders>
            <w:shd w:val="clear" w:color="000000" w:fill="F7A3B0"/>
            <w:noWrap/>
            <w:tcMar>
              <w:left w:w="28" w:type="dxa"/>
              <w:right w:w="28" w:type="dxa"/>
            </w:tcMar>
            <w:vAlign w:val="center"/>
            <w:hideMark/>
          </w:tcPr>
          <w:p w14:paraId="1336D02A"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2.1</w:t>
            </w:r>
          </w:p>
        </w:tc>
        <w:tc>
          <w:tcPr>
            <w:tcW w:w="831" w:type="pct"/>
            <w:tcBorders>
              <w:top w:val="nil"/>
              <w:left w:val="nil"/>
              <w:bottom w:val="nil"/>
              <w:right w:val="nil"/>
            </w:tcBorders>
            <w:shd w:val="clear" w:color="000000" w:fill="F7A3B0"/>
            <w:noWrap/>
            <w:vAlign w:val="center"/>
            <w:hideMark/>
          </w:tcPr>
          <w:p w14:paraId="38DC9088" w14:textId="0AC37FB6"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Concession Fees</w:t>
            </w:r>
          </w:p>
        </w:tc>
        <w:tc>
          <w:tcPr>
            <w:tcW w:w="462" w:type="pct"/>
            <w:tcBorders>
              <w:top w:val="nil"/>
              <w:left w:val="nil"/>
              <w:bottom w:val="nil"/>
              <w:right w:val="nil"/>
            </w:tcBorders>
            <w:shd w:val="clear" w:color="000000" w:fill="F7A3B0"/>
            <w:noWrap/>
            <w:vAlign w:val="center"/>
            <w:hideMark/>
          </w:tcPr>
          <w:p w14:paraId="00A190DE"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2" w:type="pct"/>
            <w:tcBorders>
              <w:top w:val="nil"/>
              <w:left w:val="nil"/>
              <w:bottom w:val="nil"/>
              <w:right w:val="nil"/>
            </w:tcBorders>
            <w:shd w:val="clear" w:color="000000" w:fill="F7A3B0"/>
            <w:noWrap/>
            <w:vAlign w:val="center"/>
            <w:hideMark/>
          </w:tcPr>
          <w:p w14:paraId="513F57DC"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3" w:type="pct"/>
            <w:tcBorders>
              <w:top w:val="nil"/>
              <w:left w:val="nil"/>
              <w:bottom w:val="nil"/>
              <w:right w:val="nil"/>
            </w:tcBorders>
            <w:shd w:val="clear" w:color="000000" w:fill="F7A3B0"/>
            <w:noWrap/>
            <w:vAlign w:val="center"/>
            <w:hideMark/>
          </w:tcPr>
          <w:p w14:paraId="061A6A25"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41" w:type="pct"/>
            <w:tcBorders>
              <w:top w:val="nil"/>
              <w:left w:val="nil"/>
              <w:bottom w:val="nil"/>
              <w:right w:val="nil"/>
            </w:tcBorders>
            <w:shd w:val="clear" w:color="000000" w:fill="F7A3B0"/>
            <w:noWrap/>
            <w:vAlign w:val="center"/>
            <w:hideMark/>
          </w:tcPr>
          <w:p w14:paraId="3E66B681"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71" w:type="pct"/>
            <w:tcBorders>
              <w:top w:val="nil"/>
              <w:left w:val="nil"/>
              <w:bottom w:val="nil"/>
              <w:right w:val="nil"/>
            </w:tcBorders>
            <w:shd w:val="clear" w:color="000000" w:fill="F7A3B0"/>
            <w:noWrap/>
            <w:vAlign w:val="center"/>
            <w:hideMark/>
          </w:tcPr>
          <w:p w14:paraId="05743B06"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21" w:type="pct"/>
            <w:tcBorders>
              <w:top w:val="nil"/>
              <w:left w:val="nil"/>
              <w:bottom w:val="nil"/>
              <w:right w:val="nil"/>
            </w:tcBorders>
            <w:shd w:val="clear" w:color="000000" w:fill="F7A3B0"/>
            <w:noWrap/>
            <w:vAlign w:val="center"/>
            <w:hideMark/>
          </w:tcPr>
          <w:p w14:paraId="57090595"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9" w:type="pct"/>
            <w:tcBorders>
              <w:top w:val="nil"/>
              <w:left w:val="nil"/>
              <w:bottom w:val="nil"/>
              <w:right w:val="nil"/>
            </w:tcBorders>
            <w:shd w:val="clear" w:color="000000" w:fill="F7A3B0"/>
            <w:noWrap/>
            <w:vAlign w:val="center"/>
            <w:hideMark/>
          </w:tcPr>
          <w:p w14:paraId="10280C02"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7" w:type="pct"/>
            <w:tcBorders>
              <w:top w:val="nil"/>
              <w:left w:val="nil"/>
              <w:bottom w:val="nil"/>
              <w:right w:val="nil"/>
            </w:tcBorders>
            <w:shd w:val="clear" w:color="000000" w:fill="F7A3B0"/>
            <w:noWrap/>
            <w:vAlign w:val="center"/>
            <w:hideMark/>
          </w:tcPr>
          <w:p w14:paraId="6B616B43"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3" w:type="pct"/>
            <w:tcBorders>
              <w:top w:val="nil"/>
              <w:left w:val="nil"/>
              <w:bottom w:val="nil"/>
              <w:right w:val="single" w:sz="8" w:space="0" w:color="FF0000"/>
            </w:tcBorders>
            <w:shd w:val="clear" w:color="000000" w:fill="F7A3B0"/>
            <w:noWrap/>
            <w:vAlign w:val="center"/>
            <w:hideMark/>
          </w:tcPr>
          <w:p w14:paraId="135CCE92"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r>
      <w:tr w:rsidR="00AA49E3" w:rsidRPr="00894701" w14:paraId="0B4E45DA" w14:textId="77777777" w:rsidTr="00AA49E3">
        <w:trPr>
          <w:trHeight w:val="227"/>
          <w:jc w:val="center"/>
        </w:trPr>
        <w:tc>
          <w:tcPr>
            <w:tcW w:w="150" w:type="pct"/>
            <w:tcBorders>
              <w:top w:val="nil"/>
              <w:left w:val="single" w:sz="8" w:space="0" w:color="FF0000"/>
              <w:bottom w:val="nil"/>
              <w:right w:val="nil"/>
            </w:tcBorders>
            <w:shd w:val="clear" w:color="auto" w:fill="auto"/>
            <w:noWrap/>
            <w:tcMar>
              <w:left w:w="28" w:type="dxa"/>
              <w:right w:w="28" w:type="dxa"/>
            </w:tcMar>
            <w:vAlign w:val="center"/>
            <w:hideMark/>
          </w:tcPr>
          <w:p w14:paraId="04E6813F"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2.2</w:t>
            </w:r>
          </w:p>
        </w:tc>
        <w:tc>
          <w:tcPr>
            <w:tcW w:w="831" w:type="pct"/>
            <w:tcBorders>
              <w:top w:val="nil"/>
              <w:left w:val="nil"/>
              <w:bottom w:val="nil"/>
              <w:right w:val="nil"/>
            </w:tcBorders>
            <w:shd w:val="clear" w:color="auto" w:fill="auto"/>
            <w:noWrap/>
            <w:vAlign w:val="center"/>
            <w:hideMark/>
          </w:tcPr>
          <w:p w14:paraId="19F90436" w14:textId="70008EFA"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Exploration fees yearly</w:t>
            </w:r>
          </w:p>
        </w:tc>
        <w:tc>
          <w:tcPr>
            <w:tcW w:w="462" w:type="pct"/>
            <w:tcBorders>
              <w:top w:val="nil"/>
              <w:left w:val="nil"/>
              <w:bottom w:val="nil"/>
              <w:right w:val="nil"/>
            </w:tcBorders>
            <w:shd w:val="clear" w:color="auto" w:fill="auto"/>
            <w:noWrap/>
            <w:vAlign w:val="center"/>
            <w:hideMark/>
          </w:tcPr>
          <w:p w14:paraId="0123598C"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2" w:type="pct"/>
            <w:tcBorders>
              <w:top w:val="nil"/>
              <w:left w:val="nil"/>
              <w:bottom w:val="nil"/>
              <w:right w:val="nil"/>
            </w:tcBorders>
            <w:shd w:val="clear" w:color="auto" w:fill="auto"/>
            <w:noWrap/>
            <w:vAlign w:val="center"/>
            <w:hideMark/>
          </w:tcPr>
          <w:p w14:paraId="442EFFBD"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3" w:type="pct"/>
            <w:tcBorders>
              <w:top w:val="nil"/>
              <w:left w:val="nil"/>
              <w:bottom w:val="nil"/>
              <w:right w:val="nil"/>
            </w:tcBorders>
            <w:shd w:val="clear" w:color="auto" w:fill="auto"/>
            <w:noWrap/>
            <w:vAlign w:val="center"/>
            <w:hideMark/>
          </w:tcPr>
          <w:p w14:paraId="5A15D21F"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41" w:type="pct"/>
            <w:tcBorders>
              <w:top w:val="nil"/>
              <w:left w:val="nil"/>
              <w:bottom w:val="nil"/>
              <w:right w:val="nil"/>
            </w:tcBorders>
            <w:shd w:val="clear" w:color="auto" w:fill="auto"/>
            <w:noWrap/>
            <w:vAlign w:val="center"/>
            <w:hideMark/>
          </w:tcPr>
          <w:p w14:paraId="122ADA1D"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71" w:type="pct"/>
            <w:tcBorders>
              <w:top w:val="nil"/>
              <w:left w:val="nil"/>
              <w:bottom w:val="nil"/>
              <w:right w:val="nil"/>
            </w:tcBorders>
            <w:shd w:val="clear" w:color="auto" w:fill="auto"/>
            <w:noWrap/>
            <w:vAlign w:val="center"/>
            <w:hideMark/>
          </w:tcPr>
          <w:p w14:paraId="10FE3EC3"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21" w:type="pct"/>
            <w:tcBorders>
              <w:top w:val="nil"/>
              <w:left w:val="nil"/>
              <w:bottom w:val="nil"/>
              <w:right w:val="nil"/>
            </w:tcBorders>
            <w:shd w:val="clear" w:color="auto" w:fill="auto"/>
            <w:noWrap/>
            <w:vAlign w:val="center"/>
            <w:hideMark/>
          </w:tcPr>
          <w:p w14:paraId="04BA8979"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9" w:type="pct"/>
            <w:tcBorders>
              <w:top w:val="nil"/>
              <w:left w:val="nil"/>
              <w:bottom w:val="nil"/>
              <w:right w:val="nil"/>
            </w:tcBorders>
            <w:shd w:val="clear" w:color="auto" w:fill="auto"/>
            <w:noWrap/>
            <w:vAlign w:val="center"/>
            <w:hideMark/>
          </w:tcPr>
          <w:p w14:paraId="03389724"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7" w:type="pct"/>
            <w:tcBorders>
              <w:top w:val="nil"/>
              <w:left w:val="nil"/>
              <w:bottom w:val="nil"/>
              <w:right w:val="nil"/>
            </w:tcBorders>
            <w:shd w:val="clear" w:color="auto" w:fill="auto"/>
            <w:noWrap/>
            <w:vAlign w:val="center"/>
            <w:hideMark/>
          </w:tcPr>
          <w:p w14:paraId="2D0AEBB0"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3" w:type="pct"/>
            <w:tcBorders>
              <w:top w:val="nil"/>
              <w:left w:val="nil"/>
              <w:bottom w:val="nil"/>
              <w:right w:val="single" w:sz="8" w:space="0" w:color="FF0000"/>
            </w:tcBorders>
            <w:shd w:val="clear" w:color="auto" w:fill="auto"/>
            <w:noWrap/>
            <w:vAlign w:val="center"/>
            <w:hideMark/>
          </w:tcPr>
          <w:p w14:paraId="17008DD8"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r>
      <w:tr w:rsidR="00AA49E3" w:rsidRPr="00894701" w14:paraId="499A823C" w14:textId="77777777" w:rsidTr="00AA49E3">
        <w:trPr>
          <w:trHeight w:val="227"/>
          <w:jc w:val="center"/>
        </w:trPr>
        <w:tc>
          <w:tcPr>
            <w:tcW w:w="150" w:type="pct"/>
            <w:tcBorders>
              <w:top w:val="nil"/>
              <w:left w:val="single" w:sz="8" w:space="0" w:color="FF0000"/>
              <w:bottom w:val="nil"/>
              <w:right w:val="nil"/>
            </w:tcBorders>
            <w:shd w:val="clear" w:color="000000" w:fill="F7A3B0"/>
            <w:noWrap/>
            <w:tcMar>
              <w:left w:w="28" w:type="dxa"/>
              <w:right w:w="28" w:type="dxa"/>
            </w:tcMar>
            <w:vAlign w:val="center"/>
            <w:hideMark/>
          </w:tcPr>
          <w:p w14:paraId="54DA8061"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2.3</w:t>
            </w:r>
          </w:p>
        </w:tc>
        <w:tc>
          <w:tcPr>
            <w:tcW w:w="831" w:type="pct"/>
            <w:tcBorders>
              <w:top w:val="nil"/>
              <w:left w:val="nil"/>
              <w:bottom w:val="nil"/>
              <w:right w:val="nil"/>
            </w:tcBorders>
            <w:shd w:val="clear" w:color="000000" w:fill="F7A3B0"/>
            <w:noWrap/>
            <w:vAlign w:val="center"/>
            <w:hideMark/>
          </w:tcPr>
          <w:p w14:paraId="5D7BEE51" w14:textId="41AF1AD4"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Exploitation fees yearly</w:t>
            </w:r>
          </w:p>
        </w:tc>
        <w:tc>
          <w:tcPr>
            <w:tcW w:w="462" w:type="pct"/>
            <w:tcBorders>
              <w:top w:val="nil"/>
              <w:left w:val="nil"/>
              <w:bottom w:val="nil"/>
              <w:right w:val="nil"/>
            </w:tcBorders>
            <w:shd w:val="clear" w:color="000000" w:fill="F7A3B0"/>
            <w:noWrap/>
            <w:vAlign w:val="center"/>
            <w:hideMark/>
          </w:tcPr>
          <w:p w14:paraId="76727489"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2" w:type="pct"/>
            <w:tcBorders>
              <w:top w:val="nil"/>
              <w:left w:val="nil"/>
              <w:bottom w:val="nil"/>
              <w:right w:val="nil"/>
            </w:tcBorders>
            <w:shd w:val="clear" w:color="000000" w:fill="F7A3B0"/>
            <w:noWrap/>
            <w:vAlign w:val="center"/>
            <w:hideMark/>
          </w:tcPr>
          <w:p w14:paraId="1FEDA72E"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3" w:type="pct"/>
            <w:tcBorders>
              <w:top w:val="nil"/>
              <w:left w:val="nil"/>
              <w:bottom w:val="nil"/>
              <w:right w:val="nil"/>
            </w:tcBorders>
            <w:shd w:val="clear" w:color="000000" w:fill="F7A3B0"/>
            <w:noWrap/>
            <w:vAlign w:val="center"/>
            <w:hideMark/>
          </w:tcPr>
          <w:p w14:paraId="7B33497A"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41" w:type="pct"/>
            <w:tcBorders>
              <w:top w:val="nil"/>
              <w:left w:val="nil"/>
              <w:bottom w:val="nil"/>
              <w:right w:val="nil"/>
            </w:tcBorders>
            <w:shd w:val="clear" w:color="000000" w:fill="F7A3B0"/>
            <w:noWrap/>
            <w:vAlign w:val="center"/>
            <w:hideMark/>
          </w:tcPr>
          <w:p w14:paraId="7996CF3E"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71" w:type="pct"/>
            <w:tcBorders>
              <w:top w:val="nil"/>
              <w:left w:val="nil"/>
              <w:bottom w:val="nil"/>
              <w:right w:val="nil"/>
            </w:tcBorders>
            <w:shd w:val="clear" w:color="000000" w:fill="F7A3B0"/>
            <w:noWrap/>
            <w:vAlign w:val="center"/>
            <w:hideMark/>
          </w:tcPr>
          <w:p w14:paraId="29997C87"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21" w:type="pct"/>
            <w:tcBorders>
              <w:top w:val="nil"/>
              <w:left w:val="nil"/>
              <w:bottom w:val="nil"/>
              <w:right w:val="nil"/>
            </w:tcBorders>
            <w:shd w:val="clear" w:color="000000" w:fill="F7A3B0"/>
            <w:noWrap/>
            <w:vAlign w:val="center"/>
            <w:hideMark/>
          </w:tcPr>
          <w:p w14:paraId="004B1C64"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9" w:type="pct"/>
            <w:tcBorders>
              <w:top w:val="nil"/>
              <w:left w:val="nil"/>
              <w:bottom w:val="nil"/>
              <w:right w:val="nil"/>
            </w:tcBorders>
            <w:shd w:val="clear" w:color="000000" w:fill="F7A3B0"/>
            <w:noWrap/>
            <w:vAlign w:val="center"/>
            <w:hideMark/>
          </w:tcPr>
          <w:p w14:paraId="5C8CD788"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7" w:type="pct"/>
            <w:tcBorders>
              <w:top w:val="nil"/>
              <w:left w:val="nil"/>
              <w:bottom w:val="nil"/>
              <w:right w:val="nil"/>
            </w:tcBorders>
            <w:shd w:val="clear" w:color="000000" w:fill="F7A3B0"/>
            <w:noWrap/>
            <w:vAlign w:val="center"/>
            <w:hideMark/>
          </w:tcPr>
          <w:p w14:paraId="223566E2"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3" w:type="pct"/>
            <w:tcBorders>
              <w:top w:val="nil"/>
              <w:left w:val="nil"/>
              <w:bottom w:val="nil"/>
              <w:right w:val="single" w:sz="8" w:space="0" w:color="FF0000"/>
            </w:tcBorders>
            <w:shd w:val="clear" w:color="000000" w:fill="F7A3B0"/>
            <w:noWrap/>
            <w:vAlign w:val="center"/>
            <w:hideMark/>
          </w:tcPr>
          <w:p w14:paraId="75B8B23B"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r>
      <w:tr w:rsidR="00AA49E3" w:rsidRPr="00894701" w14:paraId="1EB083E3" w14:textId="77777777" w:rsidTr="00AA49E3">
        <w:trPr>
          <w:trHeight w:val="227"/>
          <w:jc w:val="center"/>
        </w:trPr>
        <w:tc>
          <w:tcPr>
            <w:tcW w:w="150" w:type="pct"/>
            <w:tcBorders>
              <w:top w:val="nil"/>
              <w:left w:val="single" w:sz="8" w:space="0" w:color="FF0000"/>
              <w:bottom w:val="nil"/>
              <w:right w:val="nil"/>
            </w:tcBorders>
            <w:shd w:val="clear" w:color="auto" w:fill="auto"/>
            <w:noWrap/>
            <w:tcMar>
              <w:left w:w="28" w:type="dxa"/>
              <w:right w:w="28" w:type="dxa"/>
            </w:tcMar>
            <w:vAlign w:val="center"/>
            <w:hideMark/>
          </w:tcPr>
          <w:p w14:paraId="47831AED"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2.4</w:t>
            </w:r>
          </w:p>
        </w:tc>
        <w:tc>
          <w:tcPr>
            <w:tcW w:w="831" w:type="pct"/>
            <w:tcBorders>
              <w:top w:val="nil"/>
              <w:left w:val="nil"/>
              <w:bottom w:val="nil"/>
              <w:right w:val="nil"/>
            </w:tcBorders>
            <w:shd w:val="clear" w:color="auto" w:fill="auto"/>
            <w:noWrap/>
            <w:vAlign w:val="center"/>
            <w:hideMark/>
          </w:tcPr>
          <w:p w14:paraId="0BACDBDB" w14:textId="585F14E9"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Fees Quarry building materials</w:t>
            </w:r>
          </w:p>
        </w:tc>
        <w:tc>
          <w:tcPr>
            <w:tcW w:w="462" w:type="pct"/>
            <w:tcBorders>
              <w:top w:val="nil"/>
              <w:left w:val="nil"/>
              <w:bottom w:val="nil"/>
              <w:right w:val="nil"/>
            </w:tcBorders>
            <w:shd w:val="clear" w:color="auto" w:fill="auto"/>
            <w:noWrap/>
            <w:vAlign w:val="center"/>
            <w:hideMark/>
          </w:tcPr>
          <w:p w14:paraId="017B074D"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2" w:type="pct"/>
            <w:tcBorders>
              <w:top w:val="nil"/>
              <w:left w:val="nil"/>
              <w:bottom w:val="nil"/>
              <w:right w:val="nil"/>
            </w:tcBorders>
            <w:shd w:val="clear" w:color="auto" w:fill="auto"/>
            <w:noWrap/>
            <w:vAlign w:val="center"/>
            <w:hideMark/>
          </w:tcPr>
          <w:p w14:paraId="67D3C4ED"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3" w:type="pct"/>
            <w:tcBorders>
              <w:top w:val="nil"/>
              <w:left w:val="nil"/>
              <w:bottom w:val="nil"/>
              <w:right w:val="nil"/>
            </w:tcBorders>
            <w:shd w:val="clear" w:color="auto" w:fill="auto"/>
            <w:noWrap/>
            <w:vAlign w:val="center"/>
            <w:hideMark/>
          </w:tcPr>
          <w:p w14:paraId="42369B87"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41" w:type="pct"/>
            <w:tcBorders>
              <w:top w:val="nil"/>
              <w:left w:val="nil"/>
              <w:bottom w:val="nil"/>
              <w:right w:val="nil"/>
            </w:tcBorders>
            <w:shd w:val="clear" w:color="auto" w:fill="auto"/>
            <w:noWrap/>
            <w:vAlign w:val="center"/>
            <w:hideMark/>
          </w:tcPr>
          <w:p w14:paraId="43F970C5"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71" w:type="pct"/>
            <w:tcBorders>
              <w:top w:val="nil"/>
              <w:left w:val="nil"/>
              <w:bottom w:val="nil"/>
              <w:right w:val="nil"/>
            </w:tcBorders>
            <w:shd w:val="clear" w:color="auto" w:fill="auto"/>
            <w:noWrap/>
            <w:vAlign w:val="center"/>
            <w:hideMark/>
          </w:tcPr>
          <w:p w14:paraId="53681087"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21" w:type="pct"/>
            <w:tcBorders>
              <w:top w:val="nil"/>
              <w:left w:val="nil"/>
              <w:bottom w:val="nil"/>
              <w:right w:val="nil"/>
            </w:tcBorders>
            <w:shd w:val="clear" w:color="auto" w:fill="auto"/>
            <w:noWrap/>
            <w:vAlign w:val="center"/>
            <w:hideMark/>
          </w:tcPr>
          <w:p w14:paraId="5A4EF883"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9" w:type="pct"/>
            <w:tcBorders>
              <w:top w:val="nil"/>
              <w:left w:val="nil"/>
              <w:bottom w:val="nil"/>
              <w:right w:val="nil"/>
            </w:tcBorders>
            <w:shd w:val="clear" w:color="auto" w:fill="auto"/>
            <w:noWrap/>
            <w:vAlign w:val="center"/>
            <w:hideMark/>
          </w:tcPr>
          <w:p w14:paraId="22A0A1E4"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7" w:type="pct"/>
            <w:tcBorders>
              <w:top w:val="nil"/>
              <w:left w:val="nil"/>
              <w:bottom w:val="nil"/>
              <w:right w:val="nil"/>
            </w:tcBorders>
            <w:shd w:val="clear" w:color="auto" w:fill="auto"/>
            <w:noWrap/>
            <w:vAlign w:val="center"/>
            <w:hideMark/>
          </w:tcPr>
          <w:p w14:paraId="076F7BAD"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3" w:type="pct"/>
            <w:tcBorders>
              <w:top w:val="nil"/>
              <w:left w:val="nil"/>
              <w:bottom w:val="nil"/>
              <w:right w:val="single" w:sz="8" w:space="0" w:color="FF0000"/>
            </w:tcBorders>
            <w:shd w:val="clear" w:color="auto" w:fill="auto"/>
            <w:noWrap/>
            <w:vAlign w:val="center"/>
            <w:hideMark/>
          </w:tcPr>
          <w:p w14:paraId="5AE85923"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r>
      <w:tr w:rsidR="00AA49E3" w:rsidRPr="00894701" w14:paraId="14697305" w14:textId="77777777" w:rsidTr="00AA49E3">
        <w:trPr>
          <w:trHeight w:val="227"/>
          <w:jc w:val="center"/>
        </w:trPr>
        <w:tc>
          <w:tcPr>
            <w:tcW w:w="150" w:type="pct"/>
            <w:tcBorders>
              <w:top w:val="nil"/>
              <w:left w:val="single" w:sz="8" w:space="0" w:color="FF0000"/>
              <w:bottom w:val="nil"/>
              <w:right w:val="nil"/>
            </w:tcBorders>
            <w:shd w:val="clear" w:color="000000" w:fill="F7A3B0"/>
            <w:noWrap/>
            <w:tcMar>
              <w:left w:w="28" w:type="dxa"/>
              <w:right w:w="28" w:type="dxa"/>
            </w:tcMar>
            <w:vAlign w:val="center"/>
            <w:hideMark/>
          </w:tcPr>
          <w:p w14:paraId="74C04BB7"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2.5</w:t>
            </w:r>
          </w:p>
        </w:tc>
        <w:tc>
          <w:tcPr>
            <w:tcW w:w="831" w:type="pct"/>
            <w:tcBorders>
              <w:top w:val="nil"/>
              <w:left w:val="nil"/>
              <w:bottom w:val="nil"/>
              <w:right w:val="nil"/>
            </w:tcBorders>
            <w:shd w:val="clear" w:color="000000" w:fill="F7A3B0"/>
            <w:noWrap/>
            <w:vAlign w:val="center"/>
            <w:hideMark/>
          </w:tcPr>
          <w:p w14:paraId="1025AAC9" w14:textId="1535751D"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Application fees</w:t>
            </w:r>
          </w:p>
        </w:tc>
        <w:tc>
          <w:tcPr>
            <w:tcW w:w="462" w:type="pct"/>
            <w:tcBorders>
              <w:top w:val="nil"/>
              <w:left w:val="nil"/>
              <w:bottom w:val="nil"/>
              <w:right w:val="nil"/>
            </w:tcBorders>
            <w:shd w:val="clear" w:color="000000" w:fill="F7A3B0"/>
            <w:noWrap/>
            <w:vAlign w:val="center"/>
            <w:hideMark/>
          </w:tcPr>
          <w:p w14:paraId="1015ABE0"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2" w:type="pct"/>
            <w:tcBorders>
              <w:top w:val="nil"/>
              <w:left w:val="nil"/>
              <w:bottom w:val="nil"/>
              <w:right w:val="nil"/>
            </w:tcBorders>
            <w:shd w:val="clear" w:color="000000" w:fill="F7A3B0"/>
            <w:noWrap/>
            <w:vAlign w:val="center"/>
            <w:hideMark/>
          </w:tcPr>
          <w:p w14:paraId="2A6F7576"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3" w:type="pct"/>
            <w:tcBorders>
              <w:top w:val="nil"/>
              <w:left w:val="nil"/>
              <w:bottom w:val="nil"/>
              <w:right w:val="nil"/>
            </w:tcBorders>
            <w:shd w:val="clear" w:color="000000" w:fill="F7A3B0"/>
            <w:noWrap/>
            <w:vAlign w:val="center"/>
            <w:hideMark/>
          </w:tcPr>
          <w:p w14:paraId="10F9F57B"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41" w:type="pct"/>
            <w:tcBorders>
              <w:top w:val="nil"/>
              <w:left w:val="nil"/>
              <w:bottom w:val="nil"/>
              <w:right w:val="nil"/>
            </w:tcBorders>
            <w:shd w:val="clear" w:color="000000" w:fill="F7A3B0"/>
            <w:noWrap/>
            <w:vAlign w:val="center"/>
            <w:hideMark/>
          </w:tcPr>
          <w:p w14:paraId="604B1958"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71" w:type="pct"/>
            <w:tcBorders>
              <w:top w:val="nil"/>
              <w:left w:val="nil"/>
              <w:bottom w:val="nil"/>
              <w:right w:val="nil"/>
            </w:tcBorders>
            <w:shd w:val="clear" w:color="000000" w:fill="F7A3B0"/>
            <w:noWrap/>
            <w:vAlign w:val="center"/>
            <w:hideMark/>
          </w:tcPr>
          <w:p w14:paraId="3C181E82"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21" w:type="pct"/>
            <w:tcBorders>
              <w:top w:val="nil"/>
              <w:left w:val="nil"/>
              <w:bottom w:val="nil"/>
              <w:right w:val="nil"/>
            </w:tcBorders>
            <w:shd w:val="clear" w:color="000000" w:fill="F7A3B0"/>
            <w:noWrap/>
            <w:vAlign w:val="center"/>
            <w:hideMark/>
          </w:tcPr>
          <w:p w14:paraId="04573D64"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9" w:type="pct"/>
            <w:tcBorders>
              <w:top w:val="nil"/>
              <w:left w:val="nil"/>
              <w:bottom w:val="nil"/>
              <w:right w:val="nil"/>
            </w:tcBorders>
            <w:shd w:val="clear" w:color="000000" w:fill="F7A3B0"/>
            <w:noWrap/>
            <w:vAlign w:val="center"/>
            <w:hideMark/>
          </w:tcPr>
          <w:p w14:paraId="21DAE8D7"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7" w:type="pct"/>
            <w:tcBorders>
              <w:top w:val="nil"/>
              <w:left w:val="nil"/>
              <w:bottom w:val="nil"/>
              <w:right w:val="nil"/>
            </w:tcBorders>
            <w:shd w:val="clear" w:color="000000" w:fill="F7A3B0"/>
            <w:noWrap/>
            <w:vAlign w:val="center"/>
            <w:hideMark/>
          </w:tcPr>
          <w:p w14:paraId="66234CD4"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3" w:type="pct"/>
            <w:tcBorders>
              <w:top w:val="nil"/>
              <w:left w:val="nil"/>
              <w:bottom w:val="nil"/>
              <w:right w:val="single" w:sz="8" w:space="0" w:color="FF0000"/>
            </w:tcBorders>
            <w:shd w:val="clear" w:color="000000" w:fill="F7A3B0"/>
            <w:noWrap/>
            <w:vAlign w:val="center"/>
            <w:hideMark/>
          </w:tcPr>
          <w:p w14:paraId="73476137"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r>
      <w:tr w:rsidR="00AA49E3" w:rsidRPr="00894701" w14:paraId="3368B34B" w14:textId="77777777" w:rsidTr="00AA49E3">
        <w:trPr>
          <w:trHeight w:val="227"/>
          <w:jc w:val="center"/>
        </w:trPr>
        <w:tc>
          <w:tcPr>
            <w:tcW w:w="150" w:type="pct"/>
            <w:tcBorders>
              <w:top w:val="nil"/>
              <w:left w:val="single" w:sz="8" w:space="0" w:color="FF0000"/>
              <w:bottom w:val="nil"/>
              <w:right w:val="nil"/>
            </w:tcBorders>
            <w:shd w:val="clear" w:color="auto" w:fill="auto"/>
            <w:noWrap/>
            <w:tcMar>
              <w:left w:w="28" w:type="dxa"/>
              <w:right w:w="28" w:type="dxa"/>
            </w:tcMar>
            <w:vAlign w:val="center"/>
            <w:hideMark/>
          </w:tcPr>
          <w:p w14:paraId="2C6E39FE"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2.6</w:t>
            </w:r>
          </w:p>
        </w:tc>
        <w:tc>
          <w:tcPr>
            <w:tcW w:w="831" w:type="pct"/>
            <w:tcBorders>
              <w:top w:val="nil"/>
              <w:left w:val="nil"/>
              <w:bottom w:val="nil"/>
              <w:right w:val="nil"/>
            </w:tcBorders>
            <w:shd w:val="clear" w:color="auto" w:fill="auto"/>
            <w:noWrap/>
            <w:vAlign w:val="center"/>
            <w:hideMark/>
          </w:tcPr>
          <w:p w14:paraId="1BB3A170" w14:textId="65824E2B"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Royalty fees</w:t>
            </w:r>
          </w:p>
        </w:tc>
        <w:tc>
          <w:tcPr>
            <w:tcW w:w="462" w:type="pct"/>
            <w:tcBorders>
              <w:top w:val="nil"/>
              <w:left w:val="nil"/>
              <w:bottom w:val="nil"/>
              <w:right w:val="nil"/>
            </w:tcBorders>
            <w:shd w:val="clear" w:color="auto" w:fill="auto"/>
            <w:noWrap/>
            <w:vAlign w:val="center"/>
            <w:hideMark/>
          </w:tcPr>
          <w:p w14:paraId="55450932"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2" w:type="pct"/>
            <w:tcBorders>
              <w:top w:val="nil"/>
              <w:left w:val="nil"/>
              <w:bottom w:val="nil"/>
              <w:right w:val="nil"/>
            </w:tcBorders>
            <w:shd w:val="clear" w:color="auto" w:fill="auto"/>
            <w:noWrap/>
            <w:vAlign w:val="center"/>
            <w:hideMark/>
          </w:tcPr>
          <w:p w14:paraId="547EB641"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3" w:type="pct"/>
            <w:tcBorders>
              <w:top w:val="nil"/>
              <w:left w:val="nil"/>
              <w:bottom w:val="nil"/>
              <w:right w:val="nil"/>
            </w:tcBorders>
            <w:shd w:val="clear" w:color="auto" w:fill="auto"/>
            <w:noWrap/>
            <w:vAlign w:val="center"/>
            <w:hideMark/>
          </w:tcPr>
          <w:p w14:paraId="1C22B574"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41" w:type="pct"/>
            <w:tcBorders>
              <w:top w:val="nil"/>
              <w:left w:val="nil"/>
              <w:bottom w:val="nil"/>
              <w:right w:val="nil"/>
            </w:tcBorders>
            <w:shd w:val="clear" w:color="auto" w:fill="auto"/>
            <w:noWrap/>
            <w:vAlign w:val="center"/>
            <w:hideMark/>
          </w:tcPr>
          <w:p w14:paraId="7A97F4CF"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71" w:type="pct"/>
            <w:tcBorders>
              <w:top w:val="nil"/>
              <w:left w:val="nil"/>
              <w:bottom w:val="nil"/>
              <w:right w:val="nil"/>
            </w:tcBorders>
            <w:shd w:val="clear" w:color="auto" w:fill="auto"/>
            <w:noWrap/>
            <w:vAlign w:val="center"/>
            <w:hideMark/>
          </w:tcPr>
          <w:p w14:paraId="3297A8F4"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21" w:type="pct"/>
            <w:tcBorders>
              <w:top w:val="nil"/>
              <w:left w:val="nil"/>
              <w:bottom w:val="nil"/>
              <w:right w:val="nil"/>
            </w:tcBorders>
            <w:shd w:val="clear" w:color="auto" w:fill="auto"/>
            <w:noWrap/>
            <w:vAlign w:val="center"/>
            <w:hideMark/>
          </w:tcPr>
          <w:p w14:paraId="7F3966F0"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9" w:type="pct"/>
            <w:tcBorders>
              <w:top w:val="nil"/>
              <w:left w:val="nil"/>
              <w:bottom w:val="nil"/>
              <w:right w:val="nil"/>
            </w:tcBorders>
            <w:shd w:val="clear" w:color="auto" w:fill="auto"/>
            <w:noWrap/>
            <w:vAlign w:val="center"/>
            <w:hideMark/>
          </w:tcPr>
          <w:p w14:paraId="582EFE45"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7" w:type="pct"/>
            <w:tcBorders>
              <w:top w:val="nil"/>
              <w:left w:val="nil"/>
              <w:bottom w:val="nil"/>
              <w:right w:val="nil"/>
            </w:tcBorders>
            <w:shd w:val="clear" w:color="auto" w:fill="auto"/>
            <w:noWrap/>
            <w:vAlign w:val="center"/>
            <w:hideMark/>
          </w:tcPr>
          <w:p w14:paraId="1DDD8B4A"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3" w:type="pct"/>
            <w:tcBorders>
              <w:top w:val="nil"/>
              <w:left w:val="nil"/>
              <w:bottom w:val="nil"/>
              <w:right w:val="single" w:sz="8" w:space="0" w:color="FF0000"/>
            </w:tcBorders>
            <w:shd w:val="clear" w:color="auto" w:fill="auto"/>
            <w:noWrap/>
            <w:vAlign w:val="center"/>
            <w:hideMark/>
          </w:tcPr>
          <w:p w14:paraId="573550C6"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r>
      <w:tr w:rsidR="00AA49E3" w:rsidRPr="00894701" w14:paraId="0DF0ABDD" w14:textId="77777777" w:rsidTr="00AA49E3">
        <w:trPr>
          <w:trHeight w:val="227"/>
          <w:jc w:val="center"/>
        </w:trPr>
        <w:tc>
          <w:tcPr>
            <w:tcW w:w="150" w:type="pct"/>
            <w:tcBorders>
              <w:top w:val="nil"/>
              <w:left w:val="single" w:sz="8" w:space="0" w:color="FF0000"/>
              <w:bottom w:val="nil"/>
              <w:right w:val="nil"/>
            </w:tcBorders>
            <w:shd w:val="clear" w:color="000000" w:fill="F7A3B0"/>
            <w:noWrap/>
            <w:tcMar>
              <w:left w:w="28" w:type="dxa"/>
              <w:right w:w="28" w:type="dxa"/>
            </w:tcMar>
            <w:vAlign w:val="center"/>
            <w:hideMark/>
          </w:tcPr>
          <w:p w14:paraId="52B30548"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2.7</w:t>
            </w:r>
          </w:p>
        </w:tc>
        <w:tc>
          <w:tcPr>
            <w:tcW w:w="831" w:type="pct"/>
            <w:tcBorders>
              <w:top w:val="nil"/>
              <w:left w:val="nil"/>
              <w:bottom w:val="nil"/>
              <w:right w:val="nil"/>
            </w:tcBorders>
            <w:shd w:val="clear" w:color="000000" w:fill="F7A3B0"/>
            <w:noWrap/>
            <w:vAlign w:val="center"/>
            <w:hideMark/>
          </w:tcPr>
          <w:p w14:paraId="38DE8E79" w14:textId="69C89F46"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Royalty fees in-kind</w:t>
            </w:r>
          </w:p>
        </w:tc>
        <w:tc>
          <w:tcPr>
            <w:tcW w:w="462" w:type="pct"/>
            <w:tcBorders>
              <w:top w:val="nil"/>
              <w:left w:val="nil"/>
              <w:bottom w:val="nil"/>
              <w:right w:val="nil"/>
            </w:tcBorders>
            <w:shd w:val="clear" w:color="000000" w:fill="F7A3B0"/>
            <w:noWrap/>
            <w:vAlign w:val="center"/>
            <w:hideMark/>
          </w:tcPr>
          <w:p w14:paraId="4D0C8056"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2" w:type="pct"/>
            <w:tcBorders>
              <w:top w:val="nil"/>
              <w:left w:val="nil"/>
              <w:bottom w:val="nil"/>
              <w:right w:val="nil"/>
            </w:tcBorders>
            <w:shd w:val="clear" w:color="000000" w:fill="F7A3B0"/>
            <w:noWrap/>
            <w:vAlign w:val="center"/>
            <w:hideMark/>
          </w:tcPr>
          <w:p w14:paraId="73A44EE9"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3" w:type="pct"/>
            <w:tcBorders>
              <w:top w:val="nil"/>
              <w:left w:val="nil"/>
              <w:bottom w:val="nil"/>
              <w:right w:val="nil"/>
            </w:tcBorders>
            <w:shd w:val="clear" w:color="000000" w:fill="F7A3B0"/>
            <w:noWrap/>
            <w:vAlign w:val="center"/>
            <w:hideMark/>
          </w:tcPr>
          <w:p w14:paraId="01744186"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41" w:type="pct"/>
            <w:tcBorders>
              <w:top w:val="nil"/>
              <w:left w:val="nil"/>
              <w:bottom w:val="nil"/>
              <w:right w:val="nil"/>
            </w:tcBorders>
            <w:shd w:val="clear" w:color="000000" w:fill="F7A3B0"/>
            <w:noWrap/>
            <w:vAlign w:val="center"/>
            <w:hideMark/>
          </w:tcPr>
          <w:p w14:paraId="64027557"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71" w:type="pct"/>
            <w:tcBorders>
              <w:top w:val="nil"/>
              <w:left w:val="nil"/>
              <w:bottom w:val="nil"/>
              <w:right w:val="nil"/>
            </w:tcBorders>
            <w:shd w:val="clear" w:color="000000" w:fill="F7A3B0"/>
            <w:noWrap/>
            <w:vAlign w:val="center"/>
            <w:hideMark/>
          </w:tcPr>
          <w:p w14:paraId="4D5C6545"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21" w:type="pct"/>
            <w:tcBorders>
              <w:top w:val="nil"/>
              <w:left w:val="nil"/>
              <w:bottom w:val="nil"/>
              <w:right w:val="nil"/>
            </w:tcBorders>
            <w:shd w:val="clear" w:color="000000" w:fill="F7A3B0"/>
            <w:noWrap/>
            <w:vAlign w:val="center"/>
            <w:hideMark/>
          </w:tcPr>
          <w:p w14:paraId="6CA5E520"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9" w:type="pct"/>
            <w:tcBorders>
              <w:top w:val="nil"/>
              <w:left w:val="nil"/>
              <w:bottom w:val="nil"/>
              <w:right w:val="nil"/>
            </w:tcBorders>
            <w:shd w:val="clear" w:color="000000" w:fill="F7A3B0"/>
            <w:noWrap/>
            <w:vAlign w:val="center"/>
            <w:hideMark/>
          </w:tcPr>
          <w:p w14:paraId="3353ED65"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7" w:type="pct"/>
            <w:tcBorders>
              <w:top w:val="nil"/>
              <w:left w:val="nil"/>
              <w:bottom w:val="nil"/>
              <w:right w:val="nil"/>
            </w:tcBorders>
            <w:shd w:val="clear" w:color="000000" w:fill="F7A3B0"/>
            <w:noWrap/>
            <w:vAlign w:val="center"/>
            <w:hideMark/>
          </w:tcPr>
          <w:p w14:paraId="35C6FD68"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3" w:type="pct"/>
            <w:tcBorders>
              <w:top w:val="nil"/>
              <w:left w:val="nil"/>
              <w:bottom w:val="nil"/>
              <w:right w:val="single" w:sz="8" w:space="0" w:color="FF0000"/>
            </w:tcBorders>
            <w:shd w:val="clear" w:color="000000" w:fill="F7A3B0"/>
            <w:noWrap/>
            <w:vAlign w:val="center"/>
            <w:hideMark/>
          </w:tcPr>
          <w:p w14:paraId="2DF43DB9"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r>
      <w:tr w:rsidR="00AA49E3" w:rsidRPr="00894701" w14:paraId="69DF23EE" w14:textId="77777777" w:rsidTr="00AA49E3">
        <w:trPr>
          <w:trHeight w:val="227"/>
          <w:jc w:val="center"/>
        </w:trPr>
        <w:tc>
          <w:tcPr>
            <w:tcW w:w="150" w:type="pct"/>
            <w:tcBorders>
              <w:top w:val="nil"/>
              <w:left w:val="single" w:sz="8" w:space="0" w:color="FF0000"/>
              <w:bottom w:val="nil"/>
              <w:right w:val="nil"/>
            </w:tcBorders>
            <w:shd w:val="clear" w:color="auto" w:fill="auto"/>
            <w:noWrap/>
            <w:tcMar>
              <w:left w:w="28" w:type="dxa"/>
              <w:right w:w="28" w:type="dxa"/>
            </w:tcMar>
            <w:vAlign w:val="center"/>
            <w:hideMark/>
          </w:tcPr>
          <w:p w14:paraId="64FE05F7"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2.8</w:t>
            </w:r>
          </w:p>
        </w:tc>
        <w:tc>
          <w:tcPr>
            <w:tcW w:w="831" w:type="pct"/>
            <w:tcBorders>
              <w:top w:val="nil"/>
              <w:left w:val="nil"/>
              <w:bottom w:val="nil"/>
              <w:right w:val="nil"/>
            </w:tcBorders>
            <w:shd w:val="clear" w:color="auto" w:fill="auto"/>
            <w:noWrap/>
            <w:vAlign w:val="center"/>
            <w:hideMark/>
          </w:tcPr>
          <w:p w14:paraId="0037B5EB" w14:textId="3B48E25A"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Canon/Lease or Land Rent</w:t>
            </w:r>
          </w:p>
        </w:tc>
        <w:tc>
          <w:tcPr>
            <w:tcW w:w="462" w:type="pct"/>
            <w:tcBorders>
              <w:top w:val="nil"/>
              <w:left w:val="nil"/>
              <w:bottom w:val="nil"/>
              <w:right w:val="nil"/>
            </w:tcBorders>
            <w:shd w:val="clear" w:color="auto" w:fill="auto"/>
            <w:noWrap/>
            <w:vAlign w:val="center"/>
            <w:hideMark/>
          </w:tcPr>
          <w:p w14:paraId="744A9C09"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2" w:type="pct"/>
            <w:tcBorders>
              <w:top w:val="nil"/>
              <w:left w:val="nil"/>
              <w:bottom w:val="nil"/>
              <w:right w:val="nil"/>
            </w:tcBorders>
            <w:shd w:val="clear" w:color="auto" w:fill="auto"/>
            <w:noWrap/>
            <w:vAlign w:val="center"/>
            <w:hideMark/>
          </w:tcPr>
          <w:p w14:paraId="6D50F0CA"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3" w:type="pct"/>
            <w:tcBorders>
              <w:top w:val="nil"/>
              <w:left w:val="nil"/>
              <w:bottom w:val="nil"/>
              <w:right w:val="nil"/>
            </w:tcBorders>
            <w:shd w:val="clear" w:color="auto" w:fill="auto"/>
            <w:noWrap/>
            <w:vAlign w:val="center"/>
            <w:hideMark/>
          </w:tcPr>
          <w:p w14:paraId="553276C8"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41" w:type="pct"/>
            <w:tcBorders>
              <w:top w:val="nil"/>
              <w:left w:val="nil"/>
              <w:bottom w:val="nil"/>
              <w:right w:val="nil"/>
            </w:tcBorders>
            <w:shd w:val="clear" w:color="auto" w:fill="auto"/>
            <w:noWrap/>
            <w:vAlign w:val="center"/>
            <w:hideMark/>
          </w:tcPr>
          <w:p w14:paraId="0C03CB2C"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71" w:type="pct"/>
            <w:tcBorders>
              <w:top w:val="nil"/>
              <w:left w:val="nil"/>
              <w:bottom w:val="nil"/>
              <w:right w:val="nil"/>
            </w:tcBorders>
            <w:shd w:val="clear" w:color="auto" w:fill="auto"/>
            <w:noWrap/>
            <w:vAlign w:val="center"/>
            <w:hideMark/>
          </w:tcPr>
          <w:p w14:paraId="08961BC6"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21" w:type="pct"/>
            <w:tcBorders>
              <w:top w:val="nil"/>
              <w:left w:val="nil"/>
              <w:bottom w:val="nil"/>
              <w:right w:val="nil"/>
            </w:tcBorders>
            <w:shd w:val="clear" w:color="auto" w:fill="auto"/>
            <w:noWrap/>
            <w:vAlign w:val="center"/>
            <w:hideMark/>
          </w:tcPr>
          <w:p w14:paraId="01B424AB"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9" w:type="pct"/>
            <w:tcBorders>
              <w:top w:val="nil"/>
              <w:left w:val="nil"/>
              <w:bottom w:val="nil"/>
              <w:right w:val="nil"/>
            </w:tcBorders>
            <w:shd w:val="clear" w:color="auto" w:fill="auto"/>
            <w:noWrap/>
            <w:vAlign w:val="center"/>
            <w:hideMark/>
          </w:tcPr>
          <w:p w14:paraId="76EF6E43"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7" w:type="pct"/>
            <w:tcBorders>
              <w:top w:val="nil"/>
              <w:left w:val="nil"/>
              <w:bottom w:val="nil"/>
              <w:right w:val="nil"/>
            </w:tcBorders>
            <w:shd w:val="clear" w:color="auto" w:fill="auto"/>
            <w:noWrap/>
            <w:vAlign w:val="center"/>
            <w:hideMark/>
          </w:tcPr>
          <w:p w14:paraId="5A65FEBF"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3" w:type="pct"/>
            <w:tcBorders>
              <w:top w:val="nil"/>
              <w:left w:val="nil"/>
              <w:bottom w:val="nil"/>
              <w:right w:val="single" w:sz="8" w:space="0" w:color="FF0000"/>
            </w:tcBorders>
            <w:shd w:val="clear" w:color="auto" w:fill="auto"/>
            <w:noWrap/>
            <w:vAlign w:val="center"/>
            <w:hideMark/>
          </w:tcPr>
          <w:p w14:paraId="15EAC047"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r>
      <w:tr w:rsidR="00AA49E3" w:rsidRPr="00894701" w14:paraId="36DE132A" w14:textId="77777777" w:rsidTr="00AA49E3">
        <w:trPr>
          <w:trHeight w:val="227"/>
          <w:jc w:val="center"/>
        </w:trPr>
        <w:tc>
          <w:tcPr>
            <w:tcW w:w="150" w:type="pct"/>
            <w:tcBorders>
              <w:top w:val="nil"/>
              <w:left w:val="single" w:sz="8" w:space="0" w:color="FF0000"/>
              <w:bottom w:val="nil"/>
              <w:right w:val="nil"/>
            </w:tcBorders>
            <w:shd w:val="clear" w:color="000000" w:fill="F7A3B0"/>
            <w:noWrap/>
            <w:tcMar>
              <w:left w:w="28" w:type="dxa"/>
              <w:right w:w="28" w:type="dxa"/>
            </w:tcMar>
            <w:vAlign w:val="center"/>
            <w:hideMark/>
          </w:tcPr>
          <w:p w14:paraId="30724DE2" w14:textId="77777777"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2.9</w:t>
            </w:r>
          </w:p>
        </w:tc>
        <w:tc>
          <w:tcPr>
            <w:tcW w:w="831" w:type="pct"/>
            <w:tcBorders>
              <w:top w:val="nil"/>
              <w:left w:val="nil"/>
              <w:bottom w:val="nil"/>
              <w:right w:val="nil"/>
            </w:tcBorders>
            <w:shd w:val="clear" w:color="000000" w:fill="F7A3B0"/>
            <w:noWrap/>
            <w:vAlign w:val="center"/>
            <w:hideMark/>
          </w:tcPr>
          <w:p w14:paraId="2C22AA93" w14:textId="566A3F5A" w:rsidR="00AA49E3" w:rsidRPr="00894701" w:rsidRDefault="00AA49E3" w:rsidP="00AA49E3">
            <w:pPr>
              <w:spacing w:after="0" w:line="240" w:lineRule="auto"/>
              <w:rPr>
                <w:rFonts w:cs="Arial"/>
                <w:color w:val="000000"/>
                <w:kern w:val="0"/>
                <w:sz w:val="16"/>
                <w:szCs w:val="16"/>
              </w:rPr>
            </w:pPr>
            <w:r w:rsidRPr="00894701">
              <w:rPr>
                <w:rFonts w:cs="Arial"/>
                <w:color w:val="000000"/>
                <w:kern w:val="0"/>
                <w:sz w:val="16"/>
                <w:szCs w:val="16"/>
              </w:rPr>
              <w:t>Allotherpayments(signaturebonuses,biddingfees,penalties,petroleumlevies)</w:t>
            </w:r>
          </w:p>
        </w:tc>
        <w:tc>
          <w:tcPr>
            <w:tcW w:w="462" w:type="pct"/>
            <w:tcBorders>
              <w:top w:val="nil"/>
              <w:left w:val="nil"/>
              <w:bottom w:val="nil"/>
              <w:right w:val="nil"/>
            </w:tcBorders>
            <w:shd w:val="clear" w:color="000000" w:fill="F7A3B0"/>
            <w:noWrap/>
            <w:vAlign w:val="center"/>
            <w:hideMark/>
          </w:tcPr>
          <w:p w14:paraId="48F68A37"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2" w:type="pct"/>
            <w:tcBorders>
              <w:top w:val="nil"/>
              <w:left w:val="nil"/>
              <w:bottom w:val="nil"/>
              <w:right w:val="nil"/>
            </w:tcBorders>
            <w:shd w:val="clear" w:color="000000" w:fill="F7A3B0"/>
            <w:noWrap/>
            <w:vAlign w:val="center"/>
            <w:hideMark/>
          </w:tcPr>
          <w:p w14:paraId="35213E64"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3" w:type="pct"/>
            <w:tcBorders>
              <w:top w:val="nil"/>
              <w:left w:val="nil"/>
              <w:bottom w:val="nil"/>
              <w:right w:val="nil"/>
            </w:tcBorders>
            <w:shd w:val="clear" w:color="000000" w:fill="F7A3B0"/>
            <w:noWrap/>
            <w:vAlign w:val="center"/>
            <w:hideMark/>
          </w:tcPr>
          <w:p w14:paraId="57635712"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41" w:type="pct"/>
            <w:tcBorders>
              <w:top w:val="nil"/>
              <w:left w:val="nil"/>
              <w:bottom w:val="nil"/>
              <w:right w:val="nil"/>
            </w:tcBorders>
            <w:shd w:val="clear" w:color="000000" w:fill="F7A3B0"/>
            <w:noWrap/>
            <w:vAlign w:val="center"/>
            <w:hideMark/>
          </w:tcPr>
          <w:p w14:paraId="19103817"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71" w:type="pct"/>
            <w:tcBorders>
              <w:top w:val="nil"/>
              <w:left w:val="nil"/>
              <w:bottom w:val="nil"/>
              <w:right w:val="nil"/>
            </w:tcBorders>
            <w:shd w:val="clear" w:color="000000" w:fill="F7A3B0"/>
            <w:noWrap/>
            <w:vAlign w:val="center"/>
            <w:hideMark/>
          </w:tcPr>
          <w:p w14:paraId="1E448913"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21" w:type="pct"/>
            <w:tcBorders>
              <w:top w:val="nil"/>
              <w:left w:val="nil"/>
              <w:bottom w:val="nil"/>
              <w:right w:val="nil"/>
            </w:tcBorders>
            <w:shd w:val="clear" w:color="000000" w:fill="F7A3B0"/>
            <w:noWrap/>
            <w:vAlign w:val="center"/>
            <w:hideMark/>
          </w:tcPr>
          <w:p w14:paraId="464B52A7"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9" w:type="pct"/>
            <w:tcBorders>
              <w:top w:val="nil"/>
              <w:left w:val="nil"/>
              <w:bottom w:val="nil"/>
              <w:right w:val="nil"/>
            </w:tcBorders>
            <w:shd w:val="clear" w:color="000000" w:fill="F7A3B0"/>
            <w:noWrap/>
            <w:vAlign w:val="center"/>
            <w:hideMark/>
          </w:tcPr>
          <w:p w14:paraId="52AEA5B6"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7" w:type="pct"/>
            <w:tcBorders>
              <w:top w:val="nil"/>
              <w:left w:val="nil"/>
              <w:bottom w:val="nil"/>
              <w:right w:val="nil"/>
            </w:tcBorders>
            <w:shd w:val="clear" w:color="000000" w:fill="F7A3B0"/>
            <w:noWrap/>
            <w:vAlign w:val="center"/>
            <w:hideMark/>
          </w:tcPr>
          <w:p w14:paraId="1118172E"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3" w:type="pct"/>
            <w:tcBorders>
              <w:top w:val="nil"/>
              <w:left w:val="nil"/>
              <w:bottom w:val="nil"/>
              <w:right w:val="single" w:sz="8" w:space="0" w:color="FF0000"/>
            </w:tcBorders>
            <w:shd w:val="clear" w:color="000000" w:fill="F7A3B0"/>
            <w:noWrap/>
            <w:vAlign w:val="center"/>
            <w:hideMark/>
          </w:tcPr>
          <w:p w14:paraId="643DEDF1" w14:textId="77777777" w:rsidR="00AA49E3" w:rsidRPr="00894701" w:rsidRDefault="00AA49E3" w:rsidP="0010169E">
            <w:pPr>
              <w:spacing w:after="0" w:line="240" w:lineRule="auto"/>
              <w:jc w:val="right"/>
              <w:rPr>
                <w:rFonts w:cs="Arial"/>
                <w:color w:val="000000"/>
                <w:kern w:val="0"/>
                <w:sz w:val="16"/>
                <w:szCs w:val="16"/>
              </w:rPr>
            </w:pPr>
            <w:r w:rsidRPr="00894701">
              <w:rPr>
                <w:rFonts w:cs="Arial"/>
                <w:color w:val="000000"/>
                <w:kern w:val="0"/>
                <w:sz w:val="16"/>
                <w:szCs w:val="16"/>
              </w:rPr>
              <w:t>-</w:t>
            </w:r>
          </w:p>
        </w:tc>
      </w:tr>
      <w:tr w:rsidR="002F4BAB" w:rsidRPr="00894701" w14:paraId="12167B84" w14:textId="77777777" w:rsidTr="00AA49E3">
        <w:trPr>
          <w:trHeight w:val="227"/>
          <w:jc w:val="center"/>
        </w:trPr>
        <w:tc>
          <w:tcPr>
            <w:tcW w:w="981" w:type="pct"/>
            <w:gridSpan w:val="2"/>
            <w:tcBorders>
              <w:top w:val="nil"/>
              <w:left w:val="single" w:sz="8" w:space="0" w:color="FF0000"/>
              <w:bottom w:val="nil"/>
              <w:right w:val="nil"/>
            </w:tcBorders>
            <w:shd w:val="clear" w:color="000000" w:fill="C0A99E"/>
            <w:noWrap/>
            <w:tcMar>
              <w:left w:w="28" w:type="dxa"/>
              <w:right w:w="28" w:type="dxa"/>
            </w:tcMar>
            <w:vAlign w:val="center"/>
            <w:hideMark/>
          </w:tcPr>
          <w:p w14:paraId="0091F938" w14:textId="77777777" w:rsidR="002F4BAB" w:rsidRPr="00894701" w:rsidRDefault="002F4BAB" w:rsidP="002209C2">
            <w:pPr>
              <w:spacing w:after="0" w:line="240" w:lineRule="auto"/>
              <w:rPr>
                <w:rFonts w:cs="Arial"/>
                <w:b/>
                <w:bCs/>
                <w:color w:val="auto"/>
                <w:kern w:val="0"/>
                <w:sz w:val="16"/>
                <w:szCs w:val="16"/>
              </w:rPr>
            </w:pPr>
            <w:r w:rsidRPr="00894701">
              <w:rPr>
                <w:rFonts w:cs="Arial"/>
                <w:b/>
                <w:bCs/>
                <w:color w:val="auto"/>
                <w:kern w:val="0"/>
                <w:sz w:val="16"/>
                <w:szCs w:val="16"/>
              </w:rPr>
              <w:t xml:space="preserve"> Other payments to Ministry of Natural Resources (MNR)</w:t>
            </w:r>
          </w:p>
        </w:tc>
        <w:tc>
          <w:tcPr>
            <w:tcW w:w="462" w:type="pct"/>
            <w:tcBorders>
              <w:top w:val="nil"/>
              <w:left w:val="nil"/>
              <w:bottom w:val="nil"/>
              <w:right w:val="nil"/>
            </w:tcBorders>
            <w:shd w:val="clear" w:color="000000" w:fill="C0A99E"/>
            <w:noWrap/>
            <w:vAlign w:val="center"/>
            <w:hideMark/>
          </w:tcPr>
          <w:p w14:paraId="7B128D57" w14:textId="77777777" w:rsidR="002F4BAB" w:rsidRPr="00894701" w:rsidRDefault="002F4BAB" w:rsidP="0010169E">
            <w:pPr>
              <w:spacing w:after="0" w:line="240" w:lineRule="auto"/>
              <w:jc w:val="right"/>
              <w:rPr>
                <w:rFonts w:cs="Arial"/>
                <w:b/>
                <w:bCs/>
                <w:color w:val="auto"/>
                <w:kern w:val="0"/>
                <w:sz w:val="16"/>
                <w:szCs w:val="16"/>
              </w:rPr>
            </w:pPr>
            <w:r w:rsidRPr="00894701">
              <w:rPr>
                <w:rFonts w:cs="Arial"/>
                <w:b/>
                <w:bCs/>
                <w:color w:val="auto"/>
                <w:kern w:val="0"/>
                <w:sz w:val="16"/>
                <w:szCs w:val="16"/>
              </w:rPr>
              <w:t>-</w:t>
            </w:r>
          </w:p>
        </w:tc>
        <w:tc>
          <w:tcPr>
            <w:tcW w:w="512" w:type="pct"/>
            <w:tcBorders>
              <w:top w:val="nil"/>
              <w:left w:val="nil"/>
              <w:bottom w:val="nil"/>
              <w:right w:val="nil"/>
            </w:tcBorders>
            <w:shd w:val="clear" w:color="000000" w:fill="C0A99E"/>
            <w:noWrap/>
            <w:vAlign w:val="center"/>
            <w:hideMark/>
          </w:tcPr>
          <w:p w14:paraId="11C5450F" w14:textId="77777777" w:rsidR="002F4BAB" w:rsidRPr="00894701" w:rsidRDefault="002F4BAB" w:rsidP="0010169E">
            <w:pPr>
              <w:spacing w:after="0" w:line="240" w:lineRule="auto"/>
              <w:jc w:val="right"/>
              <w:rPr>
                <w:rFonts w:cs="Arial"/>
                <w:b/>
                <w:bCs/>
                <w:color w:val="auto"/>
                <w:kern w:val="0"/>
                <w:sz w:val="16"/>
                <w:szCs w:val="16"/>
              </w:rPr>
            </w:pPr>
            <w:r w:rsidRPr="00894701">
              <w:rPr>
                <w:rFonts w:cs="Arial"/>
                <w:b/>
                <w:bCs/>
                <w:color w:val="auto"/>
                <w:kern w:val="0"/>
                <w:sz w:val="16"/>
                <w:szCs w:val="16"/>
              </w:rPr>
              <w:t>-</w:t>
            </w:r>
          </w:p>
        </w:tc>
        <w:tc>
          <w:tcPr>
            <w:tcW w:w="513" w:type="pct"/>
            <w:tcBorders>
              <w:top w:val="nil"/>
              <w:left w:val="nil"/>
              <w:bottom w:val="nil"/>
              <w:right w:val="nil"/>
            </w:tcBorders>
            <w:shd w:val="clear" w:color="000000" w:fill="C0A99E"/>
            <w:noWrap/>
            <w:vAlign w:val="center"/>
            <w:hideMark/>
          </w:tcPr>
          <w:p w14:paraId="57F7189B" w14:textId="77777777" w:rsidR="002F4BAB" w:rsidRPr="00894701" w:rsidRDefault="002F4BAB" w:rsidP="0010169E">
            <w:pPr>
              <w:spacing w:after="0" w:line="240" w:lineRule="auto"/>
              <w:jc w:val="right"/>
              <w:rPr>
                <w:rFonts w:cs="Arial"/>
                <w:b/>
                <w:bCs/>
                <w:color w:val="auto"/>
                <w:kern w:val="0"/>
                <w:sz w:val="16"/>
                <w:szCs w:val="16"/>
              </w:rPr>
            </w:pPr>
            <w:r w:rsidRPr="00894701">
              <w:rPr>
                <w:rFonts w:cs="Arial"/>
                <w:b/>
                <w:bCs/>
                <w:color w:val="auto"/>
                <w:kern w:val="0"/>
                <w:sz w:val="16"/>
                <w:szCs w:val="16"/>
              </w:rPr>
              <w:t>-</w:t>
            </w:r>
          </w:p>
        </w:tc>
        <w:tc>
          <w:tcPr>
            <w:tcW w:w="341" w:type="pct"/>
            <w:tcBorders>
              <w:top w:val="nil"/>
              <w:left w:val="nil"/>
              <w:bottom w:val="nil"/>
              <w:right w:val="nil"/>
            </w:tcBorders>
            <w:shd w:val="clear" w:color="000000" w:fill="C0A99E"/>
            <w:noWrap/>
            <w:vAlign w:val="center"/>
            <w:hideMark/>
          </w:tcPr>
          <w:p w14:paraId="3D77C913" w14:textId="77777777" w:rsidR="002F4BAB" w:rsidRPr="00894701" w:rsidRDefault="002F4BAB" w:rsidP="0010169E">
            <w:pPr>
              <w:spacing w:after="0" w:line="240" w:lineRule="auto"/>
              <w:jc w:val="right"/>
              <w:rPr>
                <w:rFonts w:cs="Arial"/>
                <w:b/>
                <w:bCs/>
                <w:color w:val="auto"/>
                <w:kern w:val="0"/>
                <w:sz w:val="16"/>
                <w:szCs w:val="16"/>
              </w:rPr>
            </w:pPr>
            <w:r w:rsidRPr="00894701">
              <w:rPr>
                <w:rFonts w:cs="Arial"/>
                <w:b/>
                <w:bCs/>
                <w:color w:val="auto"/>
                <w:kern w:val="0"/>
                <w:sz w:val="16"/>
                <w:szCs w:val="16"/>
              </w:rPr>
              <w:t>-</w:t>
            </w:r>
          </w:p>
        </w:tc>
        <w:tc>
          <w:tcPr>
            <w:tcW w:w="371" w:type="pct"/>
            <w:tcBorders>
              <w:top w:val="nil"/>
              <w:left w:val="nil"/>
              <w:bottom w:val="nil"/>
              <w:right w:val="nil"/>
            </w:tcBorders>
            <w:shd w:val="clear" w:color="000000" w:fill="C0A99E"/>
            <w:noWrap/>
            <w:vAlign w:val="center"/>
            <w:hideMark/>
          </w:tcPr>
          <w:p w14:paraId="3769C4C8" w14:textId="77777777" w:rsidR="002F4BAB" w:rsidRPr="00894701" w:rsidRDefault="002F4BAB" w:rsidP="0010169E">
            <w:pPr>
              <w:spacing w:after="0" w:line="240" w:lineRule="auto"/>
              <w:jc w:val="right"/>
              <w:rPr>
                <w:rFonts w:cs="Arial"/>
                <w:b/>
                <w:bCs/>
                <w:color w:val="auto"/>
                <w:kern w:val="0"/>
                <w:sz w:val="16"/>
                <w:szCs w:val="16"/>
              </w:rPr>
            </w:pPr>
            <w:r w:rsidRPr="00894701">
              <w:rPr>
                <w:rFonts w:cs="Arial"/>
                <w:b/>
                <w:bCs/>
                <w:color w:val="auto"/>
                <w:kern w:val="0"/>
                <w:sz w:val="16"/>
                <w:szCs w:val="16"/>
              </w:rPr>
              <w:t>-</w:t>
            </w:r>
          </w:p>
        </w:tc>
        <w:tc>
          <w:tcPr>
            <w:tcW w:w="421" w:type="pct"/>
            <w:tcBorders>
              <w:top w:val="nil"/>
              <w:left w:val="nil"/>
              <w:bottom w:val="nil"/>
              <w:right w:val="nil"/>
            </w:tcBorders>
            <w:shd w:val="clear" w:color="000000" w:fill="C0A99E"/>
            <w:noWrap/>
            <w:vAlign w:val="center"/>
            <w:hideMark/>
          </w:tcPr>
          <w:p w14:paraId="6FAEEF31" w14:textId="77777777" w:rsidR="002F4BAB" w:rsidRPr="00894701" w:rsidRDefault="002F4BAB" w:rsidP="0010169E">
            <w:pPr>
              <w:spacing w:after="0" w:line="240" w:lineRule="auto"/>
              <w:jc w:val="right"/>
              <w:rPr>
                <w:rFonts w:cs="Arial"/>
                <w:b/>
                <w:bCs/>
                <w:color w:val="auto"/>
                <w:kern w:val="0"/>
                <w:sz w:val="16"/>
                <w:szCs w:val="16"/>
              </w:rPr>
            </w:pPr>
            <w:r w:rsidRPr="00894701">
              <w:rPr>
                <w:rFonts w:cs="Arial"/>
                <w:b/>
                <w:bCs/>
                <w:color w:val="auto"/>
                <w:kern w:val="0"/>
                <w:sz w:val="16"/>
                <w:szCs w:val="16"/>
              </w:rPr>
              <w:t>-</w:t>
            </w:r>
          </w:p>
        </w:tc>
        <w:tc>
          <w:tcPr>
            <w:tcW w:w="469" w:type="pct"/>
            <w:tcBorders>
              <w:top w:val="nil"/>
              <w:left w:val="nil"/>
              <w:bottom w:val="nil"/>
              <w:right w:val="nil"/>
            </w:tcBorders>
            <w:shd w:val="clear" w:color="000000" w:fill="C0A99E"/>
            <w:noWrap/>
            <w:vAlign w:val="center"/>
            <w:hideMark/>
          </w:tcPr>
          <w:p w14:paraId="251B1008" w14:textId="77777777" w:rsidR="002F4BAB" w:rsidRPr="00894701" w:rsidRDefault="002F4BAB" w:rsidP="0010169E">
            <w:pPr>
              <w:spacing w:after="0" w:line="240" w:lineRule="auto"/>
              <w:jc w:val="right"/>
              <w:rPr>
                <w:rFonts w:cs="Arial"/>
                <w:b/>
                <w:bCs/>
                <w:color w:val="auto"/>
                <w:kern w:val="0"/>
                <w:sz w:val="16"/>
                <w:szCs w:val="16"/>
              </w:rPr>
            </w:pPr>
            <w:r w:rsidRPr="00894701">
              <w:rPr>
                <w:rFonts w:cs="Arial"/>
                <w:b/>
                <w:bCs/>
                <w:color w:val="auto"/>
                <w:kern w:val="0"/>
                <w:sz w:val="16"/>
                <w:szCs w:val="16"/>
              </w:rPr>
              <w:t>-</w:t>
            </w:r>
          </w:p>
        </w:tc>
        <w:tc>
          <w:tcPr>
            <w:tcW w:w="467" w:type="pct"/>
            <w:tcBorders>
              <w:top w:val="nil"/>
              <w:left w:val="nil"/>
              <w:bottom w:val="nil"/>
              <w:right w:val="nil"/>
            </w:tcBorders>
            <w:shd w:val="clear" w:color="000000" w:fill="C0A99E"/>
            <w:noWrap/>
            <w:vAlign w:val="center"/>
            <w:hideMark/>
          </w:tcPr>
          <w:p w14:paraId="1A42C5AC" w14:textId="77777777" w:rsidR="002F4BAB" w:rsidRPr="00894701" w:rsidRDefault="002F4BAB" w:rsidP="0010169E">
            <w:pPr>
              <w:spacing w:after="0" w:line="240" w:lineRule="auto"/>
              <w:jc w:val="right"/>
              <w:rPr>
                <w:rFonts w:cs="Arial"/>
                <w:b/>
                <w:bCs/>
                <w:color w:val="auto"/>
                <w:kern w:val="0"/>
                <w:sz w:val="16"/>
                <w:szCs w:val="16"/>
              </w:rPr>
            </w:pPr>
            <w:r w:rsidRPr="00894701">
              <w:rPr>
                <w:rFonts w:cs="Arial"/>
                <w:b/>
                <w:bCs/>
                <w:color w:val="auto"/>
                <w:kern w:val="0"/>
                <w:sz w:val="16"/>
                <w:szCs w:val="16"/>
              </w:rPr>
              <w:t>-</w:t>
            </w:r>
          </w:p>
        </w:tc>
        <w:tc>
          <w:tcPr>
            <w:tcW w:w="463" w:type="pct"/>
            <w:tcBorders>
              <w:top w:val="nil"/>
              <w:left w:val="nil"/>
              <w:bottom w:val="nil"/>
              <w:right w:val="nil"/>
            </w:tcBorders>
            <w:shd w:val="clear" w:color="000000" w:fill="C0A99E"/>
            <w:noWrap/>
            <w:vAlign w:val="center"/>
            <w:hideMark/>
          </w:tcPr>
          <w:p w14:paraId="0EA604E5" w14:textId="77777777" w:rsidR="002F4BAB" w:rsidRPr="00894701" w:rsidRDefault="002F4BAB" w:rsidP="0010169E">
            <w:pPr>
              <w:spacing w:after="0" w:line="240" w:lineRule="auto"/>
              <w:jc w:val="right"/>
              <w:rPr>
                <w:rFonts w:cs="Arial"/>
                <w:b/>
                <w:bCs/>
                <w:color w:val="auto"/>
                <w:kern w:val="0"/>
                <w:sz w:val="16"/>
                <w:szCs w:val="16"/>
              </w:rPr>
            </w:pPr>
            <w:r w:rsidRPr="00894701">
              <w:rPr>
                <w:rFonts w:cs="Arial"/>
                <w:b/>
                <w:bCs/>
                <w:color w:val="auto"/>
                <w:kern w:val="0"/>
                <w:sz w:val="16"/>
                <w:szCs w:val="16"/>
              </w:rPr>
              <w:t>-</w:t>
            </w:r>
          </w:p>
        </w:tc>
      </w:tr>
      <w:tr w:rsidR="009052AC" w:rsidRPr="00894701" w14:paraId="19A72EDB" w14:textId="77777777" w:rsidTr="00AA49E3">
        <w:trPr>
          <w:trHeight w:val="227"/>
          <w:jc w:val="center"/>
        </w:trPr>
        <w:tc>
          <w:tcPr>
            <w:tcW w:w="150" w:type="pct"/>
            <w:tcBorders>
              <w:top w:val="nil"/>
              <w:left w:val="single" w:sz="8" w:space="0" w:color="FF0000"/>
              <w:bottom w:val="nil"/>
              <w:right w:val="nil"/>
            </w:tcBorders>
            <w:shd w:val="clear" w:color="000000" w:fill="F7A3B0"/>
            <w:noWrap/>
            <w:tcMar>
              <w:left w:w="28" w:type="dxa"/>
              <w:right w:w="28" w:type="dxa"/>
            </w:tcMar>
            <w:vAlign w:val="center"/>
            <w:hideMark/>
          </w:tcPr>
          <w:p w14:paraId="038D44E2" w14:textId="77777777"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3.1</w:t>
            </w:r>
          </w:p>
        </w:tc>
        <w:tc>
          <w:tcPr>
            <w:tcW w:w="831" w:type="pct"/>
            <w:tcBorders>
              <w:top w:val="nil"/>
              <w:left w:val="nil"/>
              <w:bottom w:val="nil"/>
              <w:right w:val="nil"/>
            </w:tcBorders>
            <w:shd w:val="clear" w:color="000000" w:fill="F7A3B0"/>
            <w:noWrap/>
            <w:vAlign w:val="center"/>
            <w:hideMark/>
          </w:tcPr>
          <w:p w14:paraId="5D9841FB" w14:textId="10833DD3"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Transfer</w:t>
            </w:r>
            <w:r w:rsidR="00AA49E3" w:rsidRPr="00894701">
              <w:rPr>
                <w:rFonts w:cs="Arial"/>
                <w:color w:val="000000"/>
                <w:kern w:val="0"/>
                <w:sz w:val="16"/>
                <w:szCs w:val="16"/>
              </w:rPr>
              <w:t xml:space="preserve"> </w:t>
            </w:r>
            <w:r w:rsidRPr="00894701">
              <w:rPr>
                <w:rFonts w:cs="Arial"/>
                <w:color w:val="000000"/>
                <w:kern w:val="0"/>
                <w:sz w:val="16"/>
                <w:szCs w:val="16"/>
              </w:rPr>
              <w:t>fees</w:t>
            </w:r>
          </w:p>
        </w:tc>
        <w:tc>
          <w:tcPr>
            <w:tcW w:w="462" w:type="pct"/>
            <w:tcBorders>
              <w:top w:val="nil"/>
              <w:left w:val="nil"/>
              <w:bottom w:val="nil"/>
              <w:right w:val="nil"/>
            </w:tcBorders>
            <w:shd w:val="clear" w:color="000000" w:fill="F7A3B0"/>
            <w:noWrap/>
            <w:vAlign w:val="center"/>
            <w:hideMark/>
          </w:tcPr>
          <w:p w14:paraId="352816A5"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2" w:type="pct"/>
            <w:tcBorders>
              <w:top w:val="nil"/>
              <w:left w:val="nil"/>
              <w:bottom w:val="nil"/>
              <w:right w:val="nil"/>
            </w:tcBorders>
            <w:shd w:val="clear" w:color="000000" w:fill="F7A3B0"/>
            <w:noWrap/>
            <w:vAlign w:val="center"/>
            <w:hideMark/>
          </w:tcPr>
          <w:p w14:paraId="5DF99753"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3" w:type="pct"/>
            <w:tcBorders>
              <w:top w:val="nil"/>
              <w:left w:val="nil"/>
              <w:bottom w:val="nil"/>
              <w:right w:val="nil"/>
            </w:tcBorders>
            <w:shd w:val="clear" w:color="000000" w:fill="F7A3B0"/>
            <w:noWrap/>
            <w:vAlign w:val="center"/>
            <w:hideMark/>
          </w:tcPr>
          <w:p w14:paraId="4B2F2DC2"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41" w:type="pct"/>
            <w:tcBorders>
              <w:top w:val="nil"/>
              <w:left w:val="nil"/>
              <w:bottom w:val="nil"/>
              <w:right w:val="nil"/>
            </w:tcBorders>
            <w:shd w:val="clear" w:color="000000" w:fill="F7A3B0"/>
            <w:noWrap/>
            <w:vAlign w:val="center"/>
            <w:hideMark/>
          </w:tcPr>
          <w:p w14:paraId="6BFB46D0"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71" w:type="pct"/>
            <w:tcBorders>
              <w:top w:val="nil"/>
              <w:left w:val="nil"/>
              <w:bottom w:val="nil"/>
              <w:right w:val="nil"/>
            </w:tcBorders>
            <w:shd w:val="clear" w:color="000000" w:fill="F7A3B0"/>
            <w:noWrap/>
            <w:vAlign w:val="center"/>
            <w:hideMark/>
          </w:tcPr>
          <w:p w14:paraId="21D88383"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21" w:type="pct"/>
            <w:tcBorders>
              <w:top w:val="nil"/>
              <w:left w:val="nil"/>
              <w:bottom w:val="nil"/>
              <w:right w:val="nil"/>
            </w:tcBorders>
            <w:shd w:val="clear" w:color="000000" w:fill="F7A3B0"/>
            <w:noWrap/>
            <w:vAlign w:val="center"/>
            <w:hideMark/>
          </w:tcPr>
          <w:p w14:paraId="0A3A0C70"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9" w:type="pct"/>
            <w:tcBorders>
              <w:top w:val="nil"/>
              <w:left w:val="nil"/>
              <w:bottom w:val="nil"/>
              <w:right w:val="nil"/>
            </w:tcBorders>
            <w:shd w:val="clear" w:color="000000" w:fill="F7A3B0"/>
            <w:noWrap/>
            <w:vAlign w:val="center"/>
            <w:hideMark/>
          </w:tcPr>
          <w:p w14:paraId="6FFBE1FA"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7" w:type="pct"/>
            <w:tcBorders>
              <w:top w:val="nil"/>
              <w:left w:val="nil"/>
              <w:bottom w:val="nil"/>
              <w:right w:val="nil"/>
            </w:tcBorders>
            <w:shd w:val="clear" w:color="000000" w:fill="F7A3B0"/>
            <w:noWrap/>
            <w:vAlign w:val="center"/>
            <w:hideMark/>
          </w:tcPr>
          <w:p w14:paraId="2D1923FD"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3" w:type="pct"/>
            <w:tcBorders>
              <w:top w:val="nil"/>
              <w:left w:val="nil"/>
              <w:bottom w:val="nil"/>
              <w:right w:val="single" w:sz="8" w:space="0" w:color="FF0000"/>
            </w:tcBorders>
            <w:shd w:val="clear" w:color="000000" w:fill="F7A3B0"/>
            <w:noWrap/>
            <w:vAlign w:val="center"/>
            <w:hideMark/>
          </w:tcPr>
          <w:p w14:paraId="3886779A"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r>
      <w:tr w:rsidR="002F4BAB" w:rsidRPr="00894701" w14:paraId="3D3B374A" w14:textId="77777777" w:rsidTr="00AA49E3">
        <w:trPr>
          <w:trHeight w:val="227"/>
          <w:jc w:val="center"/>
        </w:trPr>
        <w:tc>
          <w:tcPr>
            <w:tcW w:w="150" w:type="pct"/>
            <w:tcBorders>
              <w:top w:val="nil"/>
              <w:left w:val="single" w:sz="8" w:space="0" w:color="FF0000"/>
              <w:bottom w:val="nil"/>
              <w:right w:val="nil"/>
            </w:tcBorders>
            <w:shd w:val="clear" w:color="auto" w:fill="auto"/>
            <w:noWrap/>
            <w:tcMar>
              <w:left w:w="28" w:type="dxa"/>
              <w:right w:w="28" w:type="dxa"/>
            </w:tcMar>
            <w:vAlign w:val="center"/>
            <w:hideMark/>
          </w:tcPr>
          <w:p w14:paraId="3DBD4E37" w14:textId="77777777"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3.2</w:t>
            </w:r>
          </w:p>
        </w:tc>
        <w:tc>
          <w:tcPr>
            <w:tcW w:w="831" w:type="pct"/>
            <w:tcBorders>
              <w:top w:val="nil"/>
              <w:left w:val="nil"/>
              <w:bottom w:val="nil"/>
              <w:right w:val="nil"/>
            </w:tcBorders>
            <w:shd w:val="clear" w:color="auto" w:fill="auto"/>
            <w:noWrap/>
            <w:vAlign w:val="center"/>
            <w:hideMark/>
          </w:tcPr>
          <w:p w14:paraId="226E78D6" w14:textId="73AABE20"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Abandonment</w:t>
            </w:r>
            <w:r w:rsidR="00AA49E3" w:rsidRPr="00894701">
              <w:rPr>
                <w:rFonts w:cs="Arial"/>
                <w:color w:val="000000"/>
                <w:kern w:val="0"/>
                <w:sz w:val="16"/>
                <w:szCs w:val="16"/>
              </w:rPr>
              <w:t xml:space="preserve"> </w:t>
            </w:r>
            <w:r w:rsidRPr="00894701">
              <w:rPr>
                <w:rFonts w:cs="Arial"/>
                <w:color w:val="000000"/>
                <w:kern w:val="0"/>
                <w:sz w:val="16"/>
                <w:szCs w:val="16"/>
              </w:rPr>
              <w:t>provisions</w:t>
            </w:r>
          </w:p>
        </w:tc>
        <w:tc>
          <w:tcPr>
            <w:tcW w:w="462" w:type="pct"/>
            <w:tcBorders>
              <w:top w:val="nil"/>
              <w:left w:val="nil"/>
              <w:bottom w:val="nil"/>
              <w:right w:val="nil"/>
            </w:tcBorders>
            <w:shd w:val="clear" w:color="auto" w:fill="auto"/>
            <w:noWrap/>
            <w:vAlign w:val="center"/>
            <w:hideMark/>
          </w:tcPr>
          <w:p w14:paraId="031E6FF4"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2" w:type="pct"/>
            <w:tcBorders>
              <w:top w:val="nil"/>
              <w:left w:val="nil"/>
              <w:bottom w:val="nil"/>
              <w:right w:val="nil"/>
            </w:tcBorders>
            <w:shd w:val="clear" w:color="auto" w:fill="auto"/>
            <w:noWrap/>
            <w:vAlign w:val="center"/>
            <w:hideMark/>
          </w:tcPr>
          <w:p w14:paraId="41B99EAF"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3" w:type="pct"/>
            <w:tcBorders>
              <w:top w:val="nil"/>
              <w:left w:val="nil"/>
              <w:bottom w:val="nil"/>
              <w:right w:val="nil"/>
            </w:tcBorders>
            <w:shd w:val="clear" w:color="auto" w:fill="auto"/>
            <w:noWrap/>
            <w:vAlign w:val="center"/>
            <w:hideMark/>
          </w:tcPr>
          <w:p w14:paraId="09097E84"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41" w:type="pct"/>
            <w:tcBorders>
              <w:top w:val="nil"/>
              <w:left w:val="nil"/>
              <w:bottom w:val="nil"/>
              <w:right w:val="nil"/>
            </w:tcBorders>
            <w:shd w:val="clear" w:color="auto" w:fill="auto"/>
            <w:noWrap/>
            <w:vAlign w:val="center"/>
            <w:hideMark/>
          </w:tcPr>
          <w:p w14:paraId="4C473763"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71" w:type="pct"/>
            <w:tcBorders>
              <w:top w:val="nil"/>
              <w:left w:val="nil"/>
              <w:bottom w:val="nil"/>
              <w:right w:val="nil"/>
            </w:tcBorders>
            <w:shd w:val="clear" w:color="auto" w:fill="auto"/>
            <w:noWrap/>
            <w:vAlign w:val="center"/>
            <w:hideMark/>
          </w:tcPr>
          <w:p w14:paraId="6324BBF6"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21" w:type="pct"/>
            <w:tcBorders>
              <w:top w:val="nil"/>
              <w:left w:val="nil"/>
              <w:bottom w:val="nil"/>
              <w:right w:val="nil"/>
            </w:tcBorders>
            <w:shd w:val="clear" w:color="auto" w:fill="auto"/>
            <w:noWrap/>
            <w:vAlign w:val="center"/>
            <w:hideMark/>
          </w:tcPr>
          <w:p w14:paraId="134BB4E5"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9" w:type="pct"/>
            <w:tcBorders>
              <w:top w:val="nil"/>
              <w:left w:val="nil"/>
              <w:bottom w:val="nil"/>
              <w:right w:val="nil"/>
            </w:tcBorders>
            <w:shd w:val="clear" w:color="auto" w:fill="auto"/>
            <w:noWrap/>
            <w:vAlign w:val="center"/>
            <w:hideMark/>
          </w:tcPr>
          <w:p w14:paraId="5A677794"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7" w:type="pct"/>
            <w:tcBorders>
              <w:top w:val="nil"/>
              <w:left w:val="nil"/>
              <w:bottom w:val="nil"/>
              <w:right w:val="nil"/>
            </w:tcBorders>
            <w:shd w:val="clear" w:color="auto" w:fill="auto"/>
            <w:noWrap/>
            <w:vAlign w:val="center"/>
            <w:hideMark/>
          </w:tcPr>
          <w:p w14:paraId="4E63400E"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3" w:type="pct"/>
            <w:tcBorders>
              <w:top w:val="nil"/>
              <w:left w:val="nil"/>
              <w:bottom w:val="nil"/>
              <w:right w:val="single" w:sz="8" w:space="0" w:color="FF0000"/>
            </w:tcBorders>
            <w:shd w:val="clear" w:color="auto" w:fill="auto"/>
            <w:noWrap/>
            <w:vAlign w:val="center"/>
            <w:hideMark/>
          </w:tcPr>
          <w:p w14:paraId="509D4A60"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r>
      <w:tr w:rsidR="009052AC" w:rsidRPr="00894701" w14:paraId="6F7B869E" w14:textId="77777777" w:rsidTr="00AA49E3">
        <w:trPr>
          <w:trHeight w:val="227"/>
          <w:jc w:val="center"/>
        </w:trPr>
        <w:tc>
          <w:tcPr>
            <w:tcW w:w="150" w:type="pct"/>
            <w:tcBorders>
              <w:top w:val="nil"/>
              <w:left w:val="single" w:sz="8" w:space="0" w:color="FF0000"/>
              <w:bottom w:val="nil"/>
              <w:right w:val="nil"/>
            </w:tcBorders>
            <w:shd w:val="clear" w:color="000000" w:fill="F7A3B0"/>
            <w:noWrap/>
            <w:tcMar>
              <w:left w:w="28" w:type="dxa"/>
              <w:right w:w="28" w:type="dxa"/>
            </w:tcMar>
            <w:vAlign w:val="center"/>
            <w:hideMark/>
          </w:tcPr>
          <w:p w14:paraId="23C4F9BC" w14:textId="77777777"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3.3</w:t>
            </w:r>
          </w:p>
        </w:tc>
        <w:tc>
          <w:tcPr>
            <w:tcW w:w="831" w:type="pct"/>
            <w:tcBorders>
              <w:top w:val="nil"/>
              <w:left w:val="nil"/>
              <w:bottom w:val="nil"/>
              <w:right w:val="nil"/>
            </w:tcBorders>
            <w:shd w:val="clear" w:color="000000" w:fill="F7A3B0"/>
            <w:noWrap/>
            <w:vAlign w:val="center"/>
            <w:hideMark/>
          </w:tcPr>
          <w:p w14:paraId="56AD71B2" w14:textId="29EA2176"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Annual</w:t>
            </w:r>
            <w:r w:rsidR="00AA49E3" w:rsidRPr="00894701">
              <w:rPr>
                <w:rFonts w:cs="Arial"/>
                <w:color w:val="000000"/>
                <w:kern w:val="0"/>
                <w:sz w:val="16"/>
                <w:szCs w:val="16"/>
              </w:rPr>
              <w:t xml:space="preserve"> </w:t>
            </w:r>
            <w:r w:rsidRPr="00894701">
              <w:rPr>
                <w:rFonts w:cs="Arial"/>
                <w:color w:val="000000"/>
                <w:kern w:val="0"/>
                <w:sz w:val="16"/>
                <w:szCs w:val="16"/>
              </w:rPr>
              <w:t>administrative</w:t>
            </w:r>
            <w:r w:rsidR="00AA49E3" w:rsidRPr="00894701">
              <w:rPr>
                <w:rFonts w:cs="Arial"/>
                <w:color w:val="000000"/>
                <w:kern w:val="0"/>
                <w:sz w:val="16"/>
                <w:szCs w:val="16"/>
              </w:rPr>
              <w:t xml:space="preserve"> </w:t>
            </w:r>
            <w:r w:rsidRPr="00894701">
              <w:rPr>
                <w:rFonts w:cs="Arial"/>
                <w:color w:val="000000"/>
                <w:kern w:val="0"/>
                <w:sz w:val="16"/>
                <w:szCs w:val="16"/>
              </w:rPr>
              <w:t>charges</w:t>
            </w:r>
          </w:p>
        </w:tc>
        <w:tc>
          <w:tcPr>
            <w:tcW w:w="462" w:type="pct"/>
            <w:tcBorders>
              <w:top w:val="nil"/>
              <w:left w:val="nil"/>
              <w:bottom w:val="nil"/>
              <w:right w:val="nil"/>
            </w:tcBorders>
            <w:shd w:val="clear" w:color="000000" w:fill="F7A3B0"/>
            <w:noWrap/>
            <w:vAlign w:val="center"/>
            <w:hideMark/>
          </w:tcPr>
          <w:p w14:paraId="56EF8FAE"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2" w:type="pct"/>
            <w:tcBorders>
              <w:top w:val="nil"/>
              <w:left w:val="nil"/>
              <w:bottom w:val="nil"/>
              <w:right w:val="nil"/>
            </w:tcBorders>
            <w:shd w:val="clear" w:color="000000" w:fill="F7A3B0"/>
            <w:noWrap/>
            <w:vAlign w:val="center"/>
            <w:hideMark/>
          </w:tcPr>
          <w:p w14:paraId="3F67F422"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3" w:type="pct"/>
            <w:tcBorders>
              <w:top w:val="nil"/>
              <w:left w:val="nil"/>
              <w:bottom w:val="nil"/>
              <w:right w:val="nil"/>
            </w:tcBorders>
            <w:shd w:val="clear" w:color="000000" w:fill="F7A3B0"/>
            <w:noWrap/>
            <w:vAlign w:val="center"/>
            <w:hideMark/>
          </w:tcPr>
          <w:p w14:paraId="120D81BD"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41" w:type="pct"/>
            <w:tcBorders>
              <w:top w:val="nil"/>
              <w:left w:val="nil"/>
              <w:bottom w:val="nil"/>
              <w:right w:val="nil"/>
            </w:tcBorders>
            <w:shd w:val="clear" w:color="000000" w:fill="F7A3B0"/>
            <w:noWrap/>
            <w:vAlign w:val="center"/>
            <w:hideMark/>
          </w:tcPr>
          <w:p w14:paraId="2B36EAC8"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71" w:type="pct"/>
            <w:tcBorders>
              <w:top w:val="nil"/>
              <w:left w:val="nil"/>
              <w:bottom w:val="nil"/>
              <w:right w:val="nil"/>
            </w:tcBorders>
            <w:shd w:val="clear" w:color="000000" w:fill="F7A3B0"/>
            <w:noWrap/>
            <w:vAlign w:val="center"/>
            <w:hideMark/>
          </w:tcPr>
          <w:p w14:paraId="74D9BA31"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21" w:type="pct"/>
            <w:tcBorders>
              <w:top w:val="nil"/>
              <w:left w:val="nil"/>
              <w:bottom w:val="nil"/>
              <w:right w:val="nil"/>
            </w:tcBorders>
            <w:shd w:val="clear" w:color="000000" w:fill="F7A3B0"/>
            <w:noWrap/>
            <w:vAlign w:val="center"/>
            <w:hideMark/>
          </w:tcPr>
          <w:p w14:paraId="5FC8EB33"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9" w:type="pct"/>
            <w:tcBorders>
              <w:top w:val="nil"/>
              <w:left w:val="nil"/>
              <w:bottom w:val="nil"/>
              <w:right w:val="nil"/>
            </w:tcBorders>
            <w:shd w:val="clear" w:color="000000" w:fill="F7A3B0"/>
            <w:noWrap/>
            <w:vAlign w:val="center"/>
            <w:hideMark/>
          </w:tcPr>
          <w:p w14:paraId="39F3F80B"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7" w:type="pct"/>
            <w:tcBorders>
              <w:top w:val="nil"/>
              <w:left w:val="nil"/>
              <w:bottom w:val="nil"/>
              <w:right w:val="nil"/>
            </w:tcBorders>
            <w:shd w:val="clear" w:color="000000" w:fill="F7A3B0"/>
            <w:noWrap/>
            <w:vAlign w:val="center"/>
            <w:hideMark/>
          </w:tcPr>
          <w:p w14:paraId="5F7F82C7"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3" w:type="pct"/>
            <w:tcBorders>
              <w:top w:val="nil"/>
              <w:left w:val="nil"/>
              <w:bottom w:val="nil"/>
              <w:right w:val="single" w:sz="8" w:space="0" w:color="FF0000"/>
            </w:tcBorders>
            <w:shd w:val="clear" w:color="000000" w:fill="F7A3B0"/>
            <w:noWrap/>
            <w:vAlign w:val="center"/>
            <w:hideMark/>
          </w:tcPr>
          <w:p w14:paraId="39C902C1"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r>
      <w:tr w:rsidR="002F4BAB" w:rsidRPr="00894701" w14:paraId="30F5BCA5" w14:textId="77777777" w:rsidTr="00AA49E3">
        <w:trPr>
          <w:trHeight w:val="227"/>
          <w:jc w:val="center"/>
        </w:trPr>
        <w:tc>
          <w:tcPr>
            <w:tcW w:w="150" w:type="pct"/>
            <w:tcBorders>
              <w:top w:val="nil"/>
              <w:left w:val="single" w:sz="8" w:space="0" w:color="FF0000"/>
              <w:bottom w:val="nil"/>
              <w:right w:val="nil"/>
            </w:tcBorders>
            <w:shd w:val="clear" w:color="auto" w:fill="auto"/>
            <w:noWrap/>
            <w:tcMar>
              <w:left w:w="28" w:type="dxa"/>
              <w:right w:w="28" w:type="dxa"/>
            </w:tcMar>
            <w:vAlign w:val="center"/>
            <w:hideMark/>
          </w:tcPr>
          <w:p w14:paraId="70E859CD" w14:textId="77777777"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3.4</w:t>
            </w:r>
          </w:p>
        </w:tc>
        <w:tc>
          <w:tcPr>
            <w:tcW w:w="831" w:type="pct"/>
            <w:tcBorders>
              <w:top w:val="nil"/>
              <w:left w:val="nil"/>
              <w:bottom w:val="nil"/>
              <w:right w:val="nil"/>
            </w:tcBorders>
            <w:shd w:val="clear" w:color="auto" w:fill="auto"/>
            <w:noWrap/>
            <w:vAlign w:val="center"/>
            <w:hideMark/>
          </w:tcPr>
          <w:p w14:paraId="1CC9F7CC" w14:textId="77777777"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Training</w:t>
            </w:r>
          </w:p>
        </w:tc>
        <w:tc>
          <w:tcPr>
            <w:tcW w:w="462" w:type="pct"/>
            <w:tcBorders>
              <w:top w:val="nil"/>
              <w:left w:val="nil"/>
              <w:bottom w:val="nil"/>
              <w:right w:val="nil"/>
            </w:tcBorders>
            <w:shd w:val="clear" w:color="auto" w:fill="auto"/>
            <w:noWrap/>
            <w:vAlign w:val="center"/>
            <w:hideMark/>
          </w:tcPr>
          <w:p w14:paraId="0B341D5C"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2" w:type="pct"/>
            <w:tcBorders>
              <w:top w:val="nil"/>
              <w:left w:val="nil"/>
              <w:bottom w:val="nil"/>
              <w:right w:val="nil"/>
            </w:tcBorders>
            <w:shd w:val="clear" w:color="auto" w:fill="auto"/>
            <w:noWrap/>
            <w:vAlign w:val="center"/>
            <w:hideMark/>
          </w:tcPr>
          <w:p w14:paraId="69571A80"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3" w:type="pct"/>
            <w:tcBorders>
              <w:top w:val="nil"/>
              <w:left w:val="nil"/>
              <w:bottom w:val="nil"/>
              <w:right w:val="nil"/>
            </w:tcBorders>
            <w:shd w:val="clear" w:color="auto" w:fill="auto"/>
            <w:noWrap/>
            <w:vAlign w:val="center"/>
            <w:hideMark/>
          </w:tcPr>
          <w:p w14:paraId="4DA096A9"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41" w:type="pct"/>
            <w:tcBorders>
              <w:top w:val="nil"/>
              <w:left w:val="nil"/>
              <w:bottom w:val="nil"/>
              <w:right w:val="nil"/>
            </w:tcBorders>
            <w:shd w:val="clear" w:color="auto" w:fill="auto"/>
            <w:noWrap/>
            <w:vAlign w:val="center"/>
            <w:hideMark/>
          </w:tcPr>
          <w:p w14:paraId="24C0BC65"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71" w:type="pct"/>
            <w:tcBorders>
              <w:top w:val="nil"/>
              <w:left w:val="nil"/>
              <w:bottom w:val="nil"/>
              <w:right w:val="nil"/>
            </w:tcBorders>
            <w:shd w:val="clear" w:color="auto" w:fill="auto"/>
            <w:noWrap/>
            <w:vAlign w:val="center"/>
            <w:hideMark/>
          </w:tcPr>
          <w:p w14:paraId="110830DB"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21" w:type="pct"/>
            <w:tcBorders>
              <w:top w:val="nil"/>
              <w:left w:val="nil"/>
              <w:bottom w:val="nil"/>
              <w:right w:val="nil"/>
            </w:tcBorders>
            <w:shd w:val="clear" w:color="auto" w:fill="auto"/>
            <w:noWrap/>
            <w:vAlign w:val="center"/>
            <w:hideMark/>
          </w:tcPr>
          <w:p w14:paraId="024703F3"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9" w:type="pct"/>
            <w:tcBorders>
              <w:top w:val="nil"/>
              <w:left w:val="nil"/>
              <w:bottom w:val="nil"/>
              <w:right w:val="nil"/>
            </w:tcBorders>
            <w:shd w:val="clear" w:color="auto" w:fill="auto"/>
            <w:noWrap/>
            <w:vAlign w:val="center"/>
            <w:hideMark/>
          </w:tcPr>
          <w:p w14:paraId="796F3234"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7" w:type="pct"/>
            <w:tcBorders>
              <w:top w:val="nil"/>
              <w:left w:val="nil"/>
              <w:bottom w:val="nil"/>
              <w:right w:val="nil"/>
            </w:tcBorders>
            <w:shd w:val="clear" w:color="auto" w:fill="auto"/>
            <w:noWrap/>
            <w:vAlign w:val="center"/>
            <w:hideMark/>
          </w:tcPr>
          <w:p w14:paraId="39E5E62F"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3" w:type="pct"/>
            <w:tcBorders>
              <w:top w:val="nil"/>
              <w:left w:val="nil"/>
              <w:bottom w:val="nil"/>
              <w:right w:val="single" w:sz="8" w:space="0" w:color="FF0000"/>
            </w:tcBorders>
            <w:shd w:val="clear" w:color="auto" w:fill="auto"/>
            <w:noWrap/>
            <w:vAlign w:val="center"/>
            <w:hideMark/>
          </w:tcPr>
          <w:p w14:paraId="43BC7C34"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r>
      <w:tr w:rsidR="009052AC" w:rsidRPr="00894701" w14:paraId="38020352" w14:textId="77777777" w:rsidTr="00AA49E3">
        <w:trPr>
          <w:trHeight w:val="227"/>
          <w:jc w:val="center"/>
        </w:trPr>
        <w:tc>
          <w:tcPr>
            <w:tcW w:w="150" w:type="pct"/>
            <w:tcBorders>
              <w:top w:val="nil"/>
              <w:left w:val="single" w:sz="8" w:space="0" w:color="FF0000"/>
              <w:bottom w:val="nil"/>
              <w:right w:val="nil"/>
            </w:tcBorders>
            <w:shd w:val="clear" w:color="000000" w:fill="F7A3B0"/>
            <w:noWrap/>
            <w:tcMar>
              <w:left w:w="28" w:type="dxa"/>
              <w:right w:w="28" w:type="dxa"/>
            </w:tcMar>
            <w:vAlign w:val="center"/>
            <w:hideMark/>
          </w:tcPr>
          <w:p w14:paraId="5E52D30B" w14:textId="77777777"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3.5</w:t>
            </w:r>
          </w:p>
        </w:tc>
        <w:tc>
          <w:tcPr>
            <w:tcW w:w="831" w:type="pct"/>
            <w:tcBorders>
              <w:top w:val="nil"/>
              <w:left w:val="nil"/>
              <w:bottom w:val="nil"/>
              <w:right w:val="nil"/>
            </w:tcBorders>
            <w:shd w:val="clear" w:color="000000" w:fill="F7A3B0"/>
            <w:noWrap/>
            <w:vAlign w:val="center"/>
            <w:hideMark/>
          </w:tcPr>
          <w:p w14:paraId="2A772351" w14:textId="77777777"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R&amp;D</w:t>
            </w:r>
          </w:p>
        </w:tc>
        <w:tc>
          <w:tcPr>
            <w:tcW w:w="462" w:type="pct"/>
            <w:tcBorders>
              <w:top w:val="nil"/>
              <w:left w:val="nil"/>
              <w:bottom w:val="nil"/>
              <w:right w:val="nil"/>
            </w:tcBorders>
            <w:shd w:val="clear" w:color="000000" w:fill="F7A3B0"/>
            <w:noWrap/>
            <w:vAlign w:val="center"/>
            <w:hideMark/>
          </w:tcPr>
          <w:p w14:paraId="3792977E"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2" w:type="pct"/>
            <w:tcBorders>
              <w:top w:val="nil"/>
              <w:left w:val="nil"/>
              <w:bottom w:val="nil"/>
              <w:right w:val="nil"/>
            </w:tcBorders>
            <w:shd w:val="clear" w:color="000000" w:fill="F7A3B0"/>
            <w:noWrap/>
            <w:vAlign w:val="center"/>
            <w:hideMark/>
          </w:tcPr>
          <w:p w14:paraId="0DCA980A"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3" w:type="pct"/>
            <w:tcBorders>
              <w:top w:val="nil"/>
              <w:left w:val="nil"/>
              <w:bottom w:val="nil"/>
              <w:right w:val="nil"/>
            </w:tcBorders>
            <w:shd w:val="clear" w:color="000000" w:fill="F7A3B0"/>
            <w:noWrap/>
            <w:vAlign w:val="center"/>
            <w:hideMark/>
          </w:tcPr>
          <w:p w14:paraId="30377440"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41" w:type="pct"/>
            <w:tcBorders>
              <w:top w:val="nil"/>
              <w:left w:val="nil"/>
              <w:bottom w:val="nil"/>
              <w:right w:val="nil"/>
            </w:tcBorders>
            <w:shd w:val="clear" w:color="000000" w:fill="F7A3B0"/>
            <w:noWrap/>
            <w:vAlign w:val="center"/>
            <w:hideMark/>
          </w:tcPr>
          <w:p w14:paraId="5A739311"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71" w:type="pct"/>
            <w:tcBorders>
              <w:top w:val="nil"/>
              <w:left w:val="nil"/>
              <w:bottom w:val="nil"/>
              <w:right w:val="nil"/>
            </w:tcBorders>
            <w:shd w:val="clear" w:color="000000" w:fill="F7A3B0"/>
            <w:noWrap/>
            <w:vAlign w:val="center"/>
            <w:hideMark/>
          </w:tcPr>
          <w:p w14:paraId="1EDDC885"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21" w:type="pct"/>
            <w:tcBorders>
              <w:top w:val="nil"/>
              <w:left w:val="nil"/>
              <w:bottom w:val="nil"/>
              <w:right w:val="nil"/>
            </w:tcBorders>
            <w:shd w:val="clear" w:color="000000" w:fill="F7A3B0"/>
            <w:noWrap/>
            <w:vAlign w:val="center"/>
            <w:hideMark/>
          </w:tcPr>
          <w:p w14:paraId="3D626BE3"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9" w:type="pct"/>
            <w:tcBorders>
              <w:top w:val="nil"/>
              <w:left w:val="nil"/>
              <w:bottom w:val="nil"/>
              <w:right w:val="nil"/>
            </w:tcBorders>
            <w:shd w:val="clear" w:color="000000" w:fill="F7A3B0"/>
            <w:noWrap/>
            <w:vAlign w:val="center"/>
            <w:hideMark/>
          </w:tcPr>
          <w:p w14:paraId="03D1A794"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7" w:type="pct"/>
            <w:tcBorders>
              <w:top w:val="nil"/>
              <w:left w:val="nil"/>
              <w:bottom w:val="nil"/>
              <w:right w:val="nil"/>
            </w:tcBorders>
            <w:shd w:val="clear" w:color="000000" w:fill="F7A3B0"/>
            <w:noWrap/>
            <w:vAlign w:val="center"/>
            <w:hideMark/>
          </w:tcPr>
          <w:p w14:paraId="1D169084"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3" w:type="pct"/>
            <w:tcBorders>
              <w:top w:val="nil"/>
              <w:left w:val="nil"/>
              <w:bottom w:val="nil"/>
              <w:right w:val="single" w:sz="8" w:space="0" w:color="FF0000"/>
            </w:tcBorders>
            <w:shd w:val="clear" w:color="000000" w:fill="F7A3B0"/>
            <w:noWrap/>
            <w:vAlign w:val="center"/>
            <w:hideMark/>
          </w:tcPr>
          <w:p w14:paraId="05B2D0D4"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r>
      <w:tr w:rsidR="002F4BAB" w:rsidRPr="00894701" w14:paraId="42EC11D3" w14:textId="77777777" w:rsidTr="00AA49E3">
        <w:trPr>
          <w:trHeight w:val="227"/>
          <w:jc w:val="center"/>
        </w:trPr>
        <w:tc>
          <w:tcPr>
            <w:tcW w:w="150" w:type="pct"/>
            <w:tcBorders>
              <w:top w:val="nil"/>
              <w:left w:val="single" w:sz="8" w:space="0" w:color="FF0000"/>
              <w:bottom w:val="nil"/>
              <w:right w:val="nil"/>
            </w:tcBorders>
            <w:shd w:val="clear" w:color="auto" w:fill="auto"/>
            <w:noWrap/>
            <w:tcMar>
              <w:left w:w="28" w:type="dxa"/>
              <w:right w:w="28" w:type="dxa"/>
            </w:tcMar>
            <w:vAlign w:val="center"/>
            <w:hideMark/>
          </w:tcPr>
          <w:p w14:paraId="4046445E" w14:textId="77777777"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3.6</w:t>
            </w:r>
          </w:p>
        </w:tc>
        <w:tc>
          <w:tcPr>
            <w:tcW w:w="831" w:type="pct"/>
            <w:tcBorders>
              <w:top w:val="nil"/>
              <w:left w:val="nil"/>
              <w:bottom w:val="nil"/>
              <w:right w:val="nil"/>
            </w:tcBorders>
            <w:shd w:val="clear" w:color="auto" w:fill="auto"/>
            <w:noWrap/>
            <w:vAlign w:val="center"/>
            <w:hideMark/>
          </w:tcPr>
          <w:p w14:paraId="62B9B359" w14:textId="69E442C0"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Production</w:t>
            </w:r>
            <w:r w:rsidR="00AA49E3" w:rsidRPr="00894701">
              <w:rPr>
                <w:rFonts w:cs="Arial"/>
                <w:color w:val="000000"/>
                <w:kern w:val="0"/>
                <w:sz w:val="16"/>
                <w:szCs w:val="16"/>
              </w:rPr>
              <w:t xml:space="preserve"> </w:t>
            </w:r>
            <w:r w:rsidRPr="00894701">
              <w:rPr>
                <w:rFonts w:cs="Arial"/>
                <w:color w:val="000000"/>
                <w:kern w:val="0"/>
                <w:sz w:val="16"/>
                <w:szCs w:val="16"/>
              </w:rPr>
              <w:t>bonus</w:t>
            </w:r>
          </w:p>
        </w:tc>
        <w:tc>
          <w:tcPr>
            <w:tcW w:w="462" w:type="pct"/>
            <w:tcBorders>
              <w:top w:val="nil"/>
              <w:left w:val="nil"/>
              <w:bottom w:val="nil"/>
              <w:right w:val="nil"/>
            </w:tcBorders>
            <w:shd w:val="clear" w:color="auto" w:fill="auto"/>
            <w:noWrap/>
            <w:vAlign w:val="center"/>
            <w:hideMark/>
          </w:tcPr>
          <w:p w14:paraId="09223813"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2" w:type="pct"/>
            <w:tcBorders>
              <w:top w:val="nil"/>
              <w:left w:val="nil"/>
              <w:bottom w:val="nil"/>
              <w:right w:val="nil"/>
            </w:tcBorders>
            <w:shd w:val="clear" w:color="auto" w:fill="auto"/>
            <w:noWrap/>
            <w:vAlign w:val="center"/>
            <w:hideMark/>
          </w:tcPr>
          <w:p w14:paraId="00CDE31C"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3" w:type="pct"/>
            <w:tcBorders>
              <w:top w:val="nil"/>
              <w:left w:val="nil"/>
              <w:bottom w:val="nil"/>
              <w:right w:val="nil"/>
            </w:tcBorders>
            <w:shd w:val="clear" w:color="auto" w:fill="auto"/>
            <w:noWrap/>
            <w:vAlign w:val="center"/>
            <w:hideMark/>
          </w:tcPr>
          <w:p w14:paraId="758E511B"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41" w:type="pct"/>
            <w:tcBorders>
              <w:top w:val="nil"/>
              <w:left w:val="nil"/>
              <w:bottom w:val="nil"/>
              <w:right w:val="nil"/>
            </w:tcBorders>
            <w:shd w:val="clear" w:color="auto" w:fill="auto"/>
            <w:noWrap/>
            <w:vAlign w:val="center"/>
            <w:hideMark/>
          </w:tcPr>
          <w:p w14:paraId="6FCA71E4"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71" w:type="pct"/>
            <w:tcBorders>
              <w:top w:val="nil"/>
              <w:left w:val="nil"/>
              <w:bottom w:val="nil"/>
              <w:right w:val="nil"/>
            </w:tcBorders>
            <w:shd w:val="clear" w:color="auto" w:fill="auto"/>
            <w:noWrap/>
            <w:vAlign w:val="center"/>
            <w:hideMark/>
          </w:tcPr>
          <w:p w14:paraId="44803196"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21" w:type="pct"/>
            <w:tcBorders>
              <w:top w:val="nil"/>
              <w:left w:val="nil"/>
              <w:bottom w:val="nil"/>
              <w:right w:val="nil"/>
            </w:tcBorders>
            <w:shd w:val="clear" w:color="auto" w:fill="auto"/>
            <w:noWrap/>
            <w:vAlign w:val="center"/>
            <w:hideMark/>
          </w:tcPr>
          <w:p w14:paraId="04FB27C7"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9" w:type="pct"/>
            <w:tcBorders>
              <w:top w:val="nil"/>
              <w:left w:val="nil"/>
              <w:bottom w:val="nil"/>
              <w:right w:val="nil"/>
            </w:tcBorders>
            <w:shd w:val="clear" w:color="auto" w:fill="auto"/>
            <w:noWrap/>
            <w:vAlign w:val="center"/>
            <w:hideMark/>
          </w:tcPr>
          <w:p w14:paraId="3231C06E"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7" w:type="pct"/>
            <w:tcBorders>
              <w:top w:val="nil"/>
              <w:left w:val="nil"/>
              <w:bottom w:val="nil"/>
              <w:right w:val="nil"/>
            </w:tcBorders>
            <w:shd w:val="clear" w:color="auto" w:fill="auto"/>
            <w:noWrap/>
            <w:vAlign w:val="center"/>
            <w:hideMark/>
          </w:tcPr>
          <w:p w14:paraId="39B00C36"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3" w:type="pct"/>
            <w:tcBorders>
              <w:top w:val="nil"/>
              <w:left w:val="nil"/>
              <w:bottom w:val="nil"/>
              <w:right w:val="single" w:sz="8" w:space="0" w:color="FF0000"/>
            </w:tcBorders>
            <w:shd w:val="clear" w:color="auto" w:fill="auto"/>
            <w:noWrap/>
            <w:vAlign w:val="center"/>
            <w:hideMark/>
          </w:tcPr>
          <w:p w14:paraId="31D13BB3"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r>
      <w:tr w:rsidR="009052AC" w:rsidRPr="00894701" w14:paraId="598AA32C" w14:textId="77777777" w:rsidTr="00AA49E3">
        <w:trPr>
          <w:trHeight w:val="227"/>
          <w:jc w:val="center"/>
        </w:trPr>
        <w:tc>
          <w:tcPr>
            <w:tcW w:w="150" w:type="pct"/>
            <w:tcBorders>
              <w:top w:val="nil"/>
              <w:left w:val="single" w:sz="8" w:space="0" w:color="FF0000"/>
              <w:bottom w:val="nil"/>
              <w:right w:val="nil"/>
            </w:tcBorders>
            <w:shd w:val="clear" w:color="000000" w:fill="F7A3B0"/>
            <w:noWrap/>
            <w:tcMar>
              <w:left w:w="28" w:type="dxa"/>
              <w:right w:w="28" w:type="dxa"/>
            </w:tcMar>
            <w:vAlign w:val="center"/>
            <w:hideMark/>
          </w:tcPr>
          <w:p w14:paraId="7574B6A6" w14:textId="77777777"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3.7</w:t>
            </w:r>
          </w:p>
        </w:tc>
        <w:tc>
          <w:tcPr>
            <w:tcW w:w="831" w:type="pct"/>
            <w:tcBorders>
              <w:top w:val="nil"/>
              <w:left w:val="nil"/>
              <w:bottom w:val="nil"/>
              <w:right w:val="nil"/>
            </w:tcBorders>
            <w:shd w:val="clear" w:color="000000" w:fill="F7A3B0"/>
            <w:noWrap/>
            <w:vAlign w:val="center"/>
            <w:hideMark/>
          </w:tcPr>
          <w:p w14:paraId="198FE6D5" w14:textId="3611FE2B"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Technical</w:t>
            </w:r>
            <w:r w:rsidR="00AA49E3" w:rsidRPr="00894701">
              <w:rPr>
                <w:rFonts w:cs="Arial"/>
                <w:color w:val="000000"/>
                <w:kern w:val="0"/>
                <w:sz w:val="16"/>
                <w:szCs w:val="16"/>
              </w:rPr>
              <w:t xml:space="preserve"> </w:t>
            </w:r>
            <w:r w:rsidRPr="00894701">
              <w:rPr>
                <w:rFonts w:cs="Arial"/>
                <w:color w:val="000000"/>
                <w:kern w:val="0"/>
                <w:sz w:val="16"/>
                <w:szCs w:val="16"/>
              </w:rPr>
              <w:t>assistance</w:t>
            </w:r>
          </w:p>
        </w:tc>
        <w:tc>
          <w:tcPr>
            <w:tcW w:w="462" w:type="pct"/>
            <w:tcBorders>
              <w:top w:val="nil"/>
              <w:left w:val="nil"/>
              <w:bottom w:val="nil"/>
              <w:right w:val="nil"/>
            </w:tcBorders>
            <w:shd w:val="clear" w:color="000000" w:fill="F7A3B0"/>
            <w:noWrap/>
            <w:vAlign w:val="center"/>
            <w:hideMark/>
          </w:tcPr>
          <w:p w14:paraId="40973BD7"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2" w:type="pct"/>
            <w:tcBorders>
              <w:top w:val="nil"/>
              <w:left w:val="nil"/>
              <w:bottom w:val="nil"/>
              <w:right w:val="nil"/>
            </w:tcBorders>
            <w:shd w:val="clear" w:color="000000" w:fill="F7A3B0"/>
            <w:noWrap/>
            <w:vAlign w:val="center"/>
            <w:hideMark/>
          </w:tcPr>
          <w:p w14:paraId="04DF855F"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3" w:type="pct"/>
            <w:tcBorders>
              <w:top w:val="nil"/>
              <w:left w:val="nil"/>
              <w:bottom w:val="nil"/>
              <w:right w:val="nil"/>
            </w:tcBorders>
            <w:shd w:val="clear" w:color="000000" w:fill="F7A3B0"/>
            <w:noWrap/>
            <w:vAlign w:val="center"/>
            <w:hideMark/>
          </w:tcPr>
          <w:p w14:paraId="0E0C2DF6"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41" w:type="pct"/>
            <w:tcBorders>
              <w:top w:val="nil"/>
              <w:left w:val="nil"/>
              <w:bottom w:val="nil"/>
              <w:right w:val="nil"/>
            </w:tcBorders>
            <w:shd w:val="clear" w:color="000000" w:fill="F7A3B0"/>
            <w:noWrap/>
            <w:vAlign w:val="center"/>
            <w:hideMark/>
          </w:tcPr>
          <w:p w14:paraId="044BDC6F"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71" w:type="pct"/>
            <w:tcBorders>
              <w:top w:val="nil"/>
              <w:left w:val="nil"/>
              <w:bottom w:val="nil"/>
              <w:right w:val="nil"/>
            </w:tcBorders>
            <w:shd w:val="clear" w:color="000000" w:fill="F7A3B0"/>
            <w:noWrap/>
            <w:vAlign w:val="center"/>
            <w:hideMark/>
          </w:tcPr>
          <w:p w14:paraId="6D544C4A"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21" w:type="pct"/>
            <w:tcBorders>
              <w:top w:val="nil"/>
              <w:left w:val="nil"/>
              <w:bottom w:val="nil"/>
              <w:right w:val="nil"/>
            </w:tcBorders>
            <w:shd w:val="clear" w:color="000000" w:fill="F7A3B0"/>
            <w:noWrap/>
            <w:vAlign w:val="center"/>
            <w:hideMark/>
          </w:tcPr>
          <w:p w14:paraId="55FF950A"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9" w:type="pct"/>
            <w:tcBorders>
              <w:top w:val="nil"/>
              <w:left w:val="nil"/>
              <w:bottom w:val="nil"/>
              <w:right w:val="nil"/>
            </w:tcBorders>
            <w:shd w:val="clear" w:color="000000" w:fill="F7A3B0"/>
            <w:noWrap/>
            <w:vAlign w:val="center"/>
            <w:hideMark/>
          </w:tcPr>
          <w:p w14:paraId="490578AC"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7" w:type="pct"/>
            <w:tcBorders>
              <w:top w:val="nil"/>
              <w:left w:val="nil"/>
              <w:bottom w:val="nil"/>
              <w:right w:val="nil"/>
            </w:tcBorders>
            <w:shd w:val="clear" w:color="000000" w:fill="F7A3B0"/>
            <w:noWrap/>
            <w:vAlign w:val="center"/>
            <w:hideMark/>
          </w:tcPr>
          <w:p w14:paraId="71F348BB"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3" w:type="pct"/>
            <w:tcBorders>
              <w:top w:val="nil"/>
              <w:left w:val="nil"/>
              <w:bottom w:val="nil"/>
              <w:right w:val="single" w:sz="8" w:space="0" w:color="FF0000"/>
            </w:tcBorders>
            <w:shd w:val="clear" w:color="000000" w:fill="F7A3B0"/>
            <w:noWrap/>
            <w:vAlign w:val="center"/>
            <w:hideMark/>
          </w:tcPr>
          <w:p w14:paraId="1D3A1D81"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r>
      <w:tr w:rsidR="002F4BAB" w:rsidRPr="00894701" w14:paraId="0577CEB5" w14:textId="77777777" w:rsidTr="00AA49E3">
        <w:trPr>
          <w:trHeight w:val="227"/>
          <w:jc w:val="center"/>
        </w:trPr>
        <w:tc>
          <w:tcPr>
            <w:tcW w:w="150" w:type="pct"/>
            <w:tcBorders>
              <w:top w:val="nil"/>
              <w:left w:val="single" w:sz="8" w:space="0" w:color="FF0000"/>
              <w:bottom w:val="nil"/>
              <w:right w:val="nil"/>
            </w:tcBorders>
            <w:shd w:val="clear" w:color="auto" w:fill="auto"/>
            <w:noWrap/>
            <w:tcMar>
              <w:left w:w="28" w:type="dxa"/>
              <w:right w:w="28" w:type="dxa"/>
            </w:tcMar>
            <w:vAlign w:val="center"/>
            <w:hideMark/>
          </w:tcPr>
          <w:p w14:paraId="36A2A980" w14:textId="77777777"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3.8</w:t>
            </w:r>
          </w:p>
        </w:tc>
        <w:tc>
          <w:tcPr>
            <w:tcW w:w="831" w:type="pct"/>
            <w:tcBorders>
              <w:top w:val="nil"/>
              <w:left w:val="nil"/>
              <w:bottom w:val="nil"/>
              <w:right w:val="nil"/>
            </w:tcBorders>
            <w:shd w:val="clear" w:color="auto" w:fill="auto"/>
            <w:noWrap/>
            <w:vAlign w:val="center"/>
            <w:hideMark/>
          </w:tcPr>
          <w:p w14:paraId="194D572A" w14:textId="77777777"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Scholarships</w:t>
            </w:r>
          </w:p>
        </w:tc>
        <w:tc>
          <w:tcPr>
            <w:tcW w:w="462" w:type="pct"/>
            <w:tcBorders>
              <w:top w:val="nil"/>
              <w:left w:val="nil"/>
              <w:bottom w:val="nil"/>
              <w:right w:val="nil"/>
            </w:tcBorders>
            <w:shd w:val="clear" w:color="auto" w:fill="auto"/>
            <w:noWrap/>
            <w:vAlign w:val="center"/>
            <w:hideMark/>
          </w:tcPr>
          <w:p w14:paraId="47159A8F"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2" w:type="pct"/>
            <w:tcBorders>
              <w:top w:val="nil"/>
              <w:left w:val="nil"/>
              <w:bottom w:val="nil"/>
              <w:right w:val="nil"/>
            </w:tcBorders>
            <w:shd w:val="clear" w:color="auto" w:fill="auto"/>
            <w:noWrap/>
            <w:vAlign w:val="center"/>
            <w:hideMark/>
          </w:tcPr>
          <w:p w14:paraId="22D7318C"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3" w:type="pct"/>
            <w:tcBorders>
              <w:top w:val="nil"/>
              <w:left w:val="nil"/>
              <w:bottom w:val="nil"/>
              <w:right w:val="nil"/>
            </w:tcBorders>
            <w:shd w:val="clear" w:color="auto" w:fill="auto"/>
            <w:noWrap/>
            <w:vAlign w:val="center"/>
            <w:hideMark/>
          </w:tcPr>
          <w:p w14:paraId="34949A48"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41" w:type="pct"/>
            <w:tcBorders>
              <w:top w:val="nil"/>
              <w:left w:val="nil"/>
              <w:bottom w:val="nil"/>
              <w:right w:val="nil"/>
            </w:tcBorders>
            <w:shd w:val="clear" w:color="auto" w:fill="auto"/>
            <w:noWrap/>
            <w:vAlign w:val="center"/>
            <w:hideMark/>
          </w:tcPr>
          <w:p w14:paraId="43EF8E81"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71" w:type="pct"/>
            <w:tcBorders>
              <w:top w:val="nil"/>
              <w:left w:val="nil"/>
              <w:bottom w:val="nil"/>
              <w:right w:val="nil"/>
            </w:tcBorders>
            <w:shd w:val="clear" w:color="auto" w:fill="auto"/>
            <w:noWrap/>
            <w:vAlign w:val="center"/>
            <w:hideMark/>
          </w:tcPr>
          <w:p w14:paraId="583AB63D"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21" w:type="pct"/>
            <w:tcBorders>
              <w:top w:val="nil"/>
              <w:left w:val="nil"/>
              <w:bottom w:val="nil"/>
              <w:right w:val="nil"/>
            </w:tcBorders>
            <w:shd w:val="clear" w:color="auto" w:fill="auto"/>
            <w:noWrap/>
            <w:vAlign w:val="center"/>
            <w:hideMark/>
          </w:tcPr>
          <w:p w14:paraId="5F6E3805"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9" w:type="pct"/>
            <w:tcBorders>
              <w:top w:val="nil"/>
              <w:left w:val="nil"/>
              <w:bottom w:val="nil"/>
              <w:right w:val="nil"/>
            </w:tcBorders>
            <w:shd w:val="clear" w:color="auto" w:fill="auto"/>
            <w:noWrap/>
            <w:vAlign w:val="center"/>
            <w:hideMark/>
          </w:tcPr>
          <w:p w14:paraId="22680D4E"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7" w:type="pct"/>
            <w:tcBorders>
              <w:top w:val="nil"/>
              <w:left w:val="nil"/>
              <w:bottom w:val="nil"/>
              <w:right w:val="nil"/>
            </w:tcBorders>
            <w:shd w:val="clear" w:color="auto" w:fill="auto"/>
            <w:noWrap/>
            <w:vAlign w:val="center"/>
            <w:hideMark/>
          </w:tcPr>
          <w:p w14:paraId="0CD33BFC"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3" w:type="pct"/>
            <w:tcBorders>
              <w:top w:val="nil"/>
              <w:left w:val="nil"/>
              <w:bottom w:val="nil"/>
              <w:right w:val="single" w:sz="8" w:space="0" w:color="FF0000"/>
            </w:tcBorders>
            <w:shd w:val="clear" w:color="auto" w:fill="auto"/>
            <w:noWrap/>
            <w:vAlign w:val="center"/>
            <w:hideMark/>
          </w:tcPr>
          <w:p w14:paraId="1EB0F370"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r>
      <w:tr w:rsidR="009052AC" w:rsidRPr="00894701" w14:paraId="3FF7A027" w14:textId="77777777" w:rsidTr="00AA49E3">
        <w:trPr>
          <w:trHeight w:val="227"/>
          <w:jc w:val="center"/>
        </w:trPr>
        <w:tc>
          <w:tcPr>
            <w:tcW w:w="150" w:type="pct"/>
            <w:tcBorders>
              <w:top w:val="nil"/>
              <w:left w:val="single" w:sz="8" w:space="0" w:color="FF0000"/>
              <w:bottom w:val="nil"/>
              <w:right w:val="nil"/>
            </w:tcBorders>
            <w:shd w:val="clear" w:color="000000" w:fill="F7A3B0"/>
            <w:noWrap/>
            <w:tcMar>
              <w:left w:w="28" w:type="dxa"/>
              <w:right w:w="28" w:type="dxa"/>
            </w:tcMar>
            <w:vAlign w:val="center"/>
            <w:hideMark/>
          </w:tcPr>
          <w:p w14:paraId="6041A003" w14:textId="77777777"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3.9</w:t>
            </w:r>
          </w:p>
        </w:tc>
        <w:tc>
          <w:tcPr>
            <w:tcW w:w="831" w:type="pct"/>
            <w:tcBorders>
              <w:top w:val="nil"/>
              <w:left w:val="nil"/>
              <w:bottom w:val="nil"/>
              <w:right w:val="nil"/>
            </w:tcBorders>
            <w:shd w:val="clear" w:color="000000" w:fill="F7A3B0"/>
            <w:noWrap/>
            <w:vAlign w:val="center"/>
            <w:hideMark/>
          </w:tcPr>
          <w:p w14:paraId="50A47E03" w14:textId="74B555C4"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P.S.C.</w:t>
            </w:r>
            <w:r w:rsidR="00AA49E3" w:rsidRPr="00894701">
              <w:rPr>
                <w:rFonts w:cs="Arial"/>
                <w:color w:val="000000"/>
                <w:kern w:val="0"/>
                <w:sz w:val="16"/>
                <w:szCs w:val="16"/>
              </w:rPr>
              <w:t xml:space="preserve"> </w:t>
            </w:r>
            <w:r w:rsidRPr="00894701">
              <w:rPr>
                <w:rFonts w:cs="Arial"/>
                <w:color w:val="000000"/>
                <w:kern w:val="0"/>
                <w:sz w:val="16"/>
                <w:szCs w:val="16"/>
              </w:rPr>
              <w:t>Holding</w:t>
            </w:r>
            <w:r w:rsidR="00AA49E3" w:rsidRPr="00894701">
              <w:rPr>
                <w:rFonts w:cs="Arial"/>
                <w:color w:val="000000"/>
                <w:kern w:val="0"/>
                <w:sz w:val="16"/>
                <w:szCs w:val="16"/>
              </w:rPr>
              <w:t xml:space="preserve"> </w:t>
            </w:r>
            <w:r w:rsidRPr="00894701">
              <w:rPr>
                <w:rFonts w:cs="Arial"/>
                <w:color w:val="000000"/>
                <w:kern w:val="0"/>
                <w:sz w:val="16"/>
                <w:szCs w:val="16"/>
              </w:rPr>
              <w:t>fees</w:t>
            </w:r>
          </w:p>
        </w:tc>
        <w:tc>
          <w:tcPr>
            <w:tcW w:w="462" w:type="pct"/>
            <w:tcBorders>
              <w:top w:val="nil"/>
              <w:left w:val="nil"/>
              <w:bottom w:val="nil"/>
              <w:right w:val="nil"/>
            </w:tcBorders>
            <w:shd w:val="clear" w:color="000000" w:fill="F7A3B0"/>
            <w:noWrap/>
            <w:vAlign w:val="center"/>
            <w:hideMark/>
          </w:tcPr>
          <w:p w14:paraId="51831AA5"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2" w:type="pct"/>
            <w:tcBorders>
              <w:top w:val="nil"/>
              <w:left w:val="nil"/>
              <w:bottom w:val="nil"/>
              <w:right w:val="nil"/>
            </w:tcBorders>
            <w:shd w:val="clear" w:color="000000" w:fill="F7A3B0"/>
            <w:noWrap/>
            <w:vAlign w:val="center"/>
            <w:hideMark/>
          </w:tcPr>
          <w:p w14:paraId="2DA218D0"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3" w:type="pct"/>
            <w:tcBorders>
              <w:top w:val="nil"/>
              <w:left w:val="nil"/>
              <w:bottom w:val="nil"/>
              <w:right w:val="nil"/>
            </w:tcBorders>
            <w:shd w:val="clear" w:color="000000" w:fill="F7A3B0"/>
            <w:noWrap/>
            <w:vAlign w:val="center"/>
            <w:hideMark/>
          </w:tcPr>
          <w:p w14:paraId="3E9EBA7B"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41" w:type="pct"/>
            <w:tcBorders>
              <w:top w:val="nil"/>
              <w:left w:val="nil"/>
              <w:bottom w:val="nil"/>
              <w:right w:val="nil"/>
            </w:tcBorders>
            <w:shd w:val="clear" w:color="000000" w:fill="F7A3B0"/>
            <w:noWrap/>
            <w:vAlign w:val="center"/>
            <w:hideMark/>
          </w:tcPr>
          <w:p w14:paraId="6A64CF22"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71" w:type="pct"/>
            <w:tcBorders>
              <w:top w:val="nil"/>
              <w:left w:val="nil"/>
              <w:bottom w:val="nil"/>
              <w:right w:val="nil"/>
            </w:tcBorders>
            <w:shd w:val="clear" w:color="000000" w:fill="F7A3B0"/>
            <w:noWrap/>
            <w:vAlign w:val="center"/>
            <w:hideMark/>
          </w:tcPr>
          <w:p w14:paraId="386B2C03"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21" w:type="pct"/>
            <w:tcBorders>
              <w:top w:val="nil"/>
              <w:left w:val="nil"/>
              <w:bottom w:val="nil"/>
              <w:right w:val="nil"/>
            </w:tcBorders>
            <w:shd w:val="clear" w:color="000000" w:fill="F7A3B0"/>
            <w:noWrap/>
            <w:vAlign w:val="center"/>
            <w:hideMark/>
          </w:tcPr>
          <w:p w14:paraId="02842EB5"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9" w:type="pct"/>
            <w:tcBorders>
              <w:top w:val="nil"/>
              <w:left w:val="nil"/>
              <w:bottom w:val="nil"/>
              <w:right w:val="nil"/>
            </w:tcBorders>
            <w:shd w:val="clear" w:color="000000" w:fill="F7A3B0"/>
            <w:noWrap/>
            <w:vAlign w:val="center"/>
            <w:hideMark/>
          </w:tcPr>
          <w:p w14:paraId="24009166"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7" w:type="pct"/>
            <w:tcBorders>
              <w:top w:val="nil"/>
              <w:left w:val="nil"/>
              <w:bottom w:val="nil"/>
              <w:right w:val="nil"/>
            </w:tcBorders>
            <w:shd w:val="clear" w:color="000000" w:fill="F7A3B0"/>
            <w:noWrap/>
            <w:vAlign w:val="center"/>
            <w:hideMark/>
          </w:tcPr>
          <w:p w14:paraId="44D6C003"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3" w:type="pct"/>
            <w:tcBorders>
              <w:top w:val="nil"/>
              <w:left w:val="nil"/>
              <w:bottom w:val="nil"/>
              <w:right w:val="single" w:sz="8" w:space="0" w:color="FF0000"/>
            </w:tcBorders>
            <w:shd w:val="clear" w:color="000000" w:fill="F7A3B0"/>
            <w:noWrap/>
            <w:vAlign w:val="center"/>
            <w:hideMark/>
          </w:tcPr>
          <w:p w14:paraId="7D910848"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r>
      <w:tr w:rsidR="002F4BAB" w:rsidRPr="00894701" w14:paraId="166C0689" w14:textId="77777777" w:rsidTr="00AA49E3">
        <w:trPr>
          <w:trHeight w:val="227"/>
          <w:jc w:val="center"/>
        </w:trPr>
        <w:tc>
          <w:tcPr>
            <w:tcW w:w="150" w:type="pct"/>
            <w:tcBorders>
              <w:top w:val="nil"/>
              <w:left w:val="single" w:sz="8" w:space="0" w:color="FF0000"/>
              <w:bottom w:val="nil"/>
              <w:right w:val="nil"/>
            </w:tcBorders>
            <w:shd w:val="clear" w:color="auto" w:fill="auto"/>
            <w:noWrap/>
            <w:tcMar>
              <w:left w:w="28" w:type="dxa"/>
              <w:right w:w="28" w:type="dxa"/>
            </w:tcMar>
            <w:vAlign w:val="center"/>
            <w:hideMark/>
          </w:tcPr>
          <w:p w14:paraId="19C7C486" w14:textId="77777777"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3.1</w:t>
            </w:r>
          </w:p>
        </w:tc>
        <w:tc>
          <w:tcPr>
            <w:tcW w:w="831" w:type="pct"/>
            <w:tcBorders>
              <w:top w:val="nil"/>
              <w:left w:val="nil"/>
              <w:bottom w:val="nil"/>
              <w:right w:val="nil"/>
            </w:tcBorders>
            <w:shd w:val="clear" w:color="auto" w:fill="auto"/>
            <w:noWrap/>
            <w:vAlign w:val="center"/>
            <w:hideMark/>
          </w:tcPr>
          <w:p w14:paraId="1FCAFFAE" w14:textId="555F902B"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All</w:t>
            </w:r>
            <w:r w:rsidR="00AA49E3" w:rsidRPr="00894701">
              <w:rPr>
                <w:rFonts w:cs="Arial"/>
                <w:color w:val="000000"/>
                <w:kern w:val="0"/>
                <w:sz w:val="16"/>
                <w:szCs w:val="16"/>
              </w:rPr>
              <w:t xml:space="preserve"> </w:t>
            </w:r>
            <w:r w:rsidRPr="00894701">
              <w:rPr>
                <w:rFonts w:cs="Arial"/>
                <w:color w:val="000000"/>
                <w:kern w:val="0"/>
                <w:sz w:val="16"/>
                <w:szCs w:val="16"/>
              </w:rPr>
              <w:t>other</w:t>
            </w:r>
            <w:r w:rsidR="00AA49E3" w:rsidRPr="00894701">
              <w:rPr>
                <w:rFonts w:cs="Arial"/>
                <w:color w:val="000000"/>
                <w:kern w:val="0"/>
                <w:sz w:val="16"/>
                <w:szCs w:val="16"/>
              </w:rPr>
              <w:t xml:space="preserve"> </w:t>
            </w:r>
            <w:r w:rsidRPr="00894701">
              <w:rPr>
                <w:rFonts w:cs="Arial"/>
                <w:color w:val="000000"/>
                <w:kern w:val="0"/>
                <w:sz w:val="16"/>
                <w:szCs w:val="16"/>
              </w:rPr>
              <w:t>payments</w:t>
            </w:r>
          </w:p>
        </w:tc>
        <w:tc>
          <w:tcPr>
            <w:tcW w:w="462" w:type="pct"/>
            <w:tcBorders>
              <w:top w:val="nil"/>
              <w:left w:val="nil"/>
              <w:bottom w:val="nil"/>
              <w:right w:val="nil"/>
            </w:tcBorders>
            <w:shd w:val="clear" w:color="auto" w:fill="auto"/>
            <w:noWrap/>
            <w:vAlign w:val="center"/>
            <w:hideMark/>
          </w:tcPr>
          <w:p w14:paraId="49BF7620"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2" w:type="pct"/>
            <w:tcBorders>
              <w:top w:val="nil"/>
              <w:left w:val="nil"/>
              <w:bottom w:val="nil"/>
              <w:right w:val="nil"/>
            </w:tcBorders>
            <w:shd w:val="clear" w:color="auto" w:fill="auto"/>
            <w:noWrap/>
            <w:vAlign w:val="center"/>
            <w:hideMark/>
          </w:tcPr>
          <w:p w14:paraId="51238124"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3" w:type="pct"/>
            <w:tcBorders>
              <w:top w:val="nil"/>
              <w:left w:val="nil"/>
              <w:bottom w:val="nil"/>
              <w:right w:val="nil"/>
            </w:tcBorders>
            <w:shd w:val="clear" w:color="auto" w:fill="auto"/>
            <w:noWrap/>
            <w:vAlign w:val="center"/>
            <w:hideMark/>
          </w:tcPr>
          <w:p w14:paraId="5A1E21E9"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41" w:type="pct"/>
            <w:tcBorders>
              <w:top w:val="nil"/>
              <w:left w:val="nil"/>
              <w:bottom w:val="nil"/>
              <w:right w:val="nil"/>
            </w:tcBorders>
            <w:shd w:val="clear" w:color="auto" w:fill="auto"/>
            <w:noWrap/>
            <w:vAlign w:val="center"/>
            <w:hideMark/>
          </w:tcPr>
          <w:p w14:paraId="5107CDB2"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71" w:type="pct"/>
            <w:tcBorders>
              <w:top w:val="nil"/>
              <w:left w:val="nil"/>
              <w:bottom w:val="nil"/>
              <w:right w:val="nil"/>
            </w:tcBorders>
            <w:shd w:val="clear" w:color="auto" w:fill="auto"/>
            <w:noWrap/>
            <w:vAlign w:val="center"/>
            <w:hideMark/>
          </w:tcPr>
          <w:p w14:paraId="336B0EA4"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21" w:type="pct"/>
            <w:tcBorders>
              <w:top w:val="nil"/>
              <w:left w:val="nil"/>
              <w:bottom w:val="nil"/>
              <w:right w:val="nil"/>
            </w:tcBorders>
            <w:shd w:val="clear" w:color="auto" w:fill="auto"/>
            <w:noWrap/>
            <w:vAlign w:val="center"/>
            <w:hideMark/>
          </w:tcPr>
          <w:p w14:paraId="2D1D6F6A"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9" w:type="pct"/>
            <w:tcBorders>
              <w:top w:val="nil"/>
              <w:left w:val="nil"/>
              <w:bottom w:val="nil"/>
              <w:right w:val="nil"/>
            </w:tcBorders>
            <w:shd w:val="clear" w:color="auto" w:fill="auto"/>
            <w:noWrap/>
            <w:vAlign w:val="center"/>
            <w:hideMark/>
          </w:tcPr>
          <w:p w14:paraId="5D47F412"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7" w:type="pct"/>
            <w:tcBorders>
              <w:top w:val="nil"/>
              <w:left w:val="nil"/>
              <w:bottom w:val="nil"/>
              <w:right w:val="nil"/>
            </w:tcBorders>
            <w:shd w:val="clear" w:color="auto" w:fill="auto"/>
            <w:noWrap/>
            <w:vAlign w:val="center"/>
            <w:hideMark/>
          </w:tcPr>
          <w:p w14:paraId="2C6B4A14"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3" w:type="pct"/>
            <w:tcBorders>
              <w:top w:val="nil"/>
              <w:left w:val="nil"/>
              <w:bottom w:val="nil"/>
              <w:right w:val="single" w:sz="8" w:space="0" w:color="FF0000"/>
            </w:tcBorders>
            <w:shd w:val="clear" w:color="auto" w:fill="auto"/>
            <w:noWrap/>
            <w:vAlign w:val="center"/>
            <w:hideMark/>
          </w:tcPr>
          <w:p w14:paraId="2B05BE8E" w14:textId="77777777" w:rsidR="002F4BAB" w:rsidRPr="00894701" w:rsidRDefault="002F4BAB" w:rsidP="0010169E">
            <w:pPr>
              <w:spacing w:after="0" w:line="240" w:lineRule="auto"/>
              <w:jc w:val="right"/>
              <w:rPr>
                <w:rFonts w:cs="Arial"/>
                <w:color w:val="000000"/>
                <w:kern w:val="0"/>
                <w:sz w:val="16"/>
                <w:szCs w:val="16"/>
              </w:rPr>
            </w:pPr>
            <w:r w:rsidRPr="00894701">
              <w:rPr>
                <w:rFonts w:cs="Arial"/>
                <w:color w:val="000000"/>
                <w:kern w:val="0"/>
                <w:sz w:val="16"/>
                <w:szCs w:val="16"/>
              </w:rPr>
              <w:t>-</w:t>
            </w:r>
          </w:p>
        </w:tc>
      </w:tr>
      <w:tr w:rsidR="00DE3684" w:rsidRPr="00894701" w14:paraId="61CEDDBA" w14:textId="77777777" w:rsidTr="00AA49E3">
        <w:trPr>
          <w:trHeight w:val="227"/>
          <w:jc w:val="center"/>
        </w:trPr>
        <w:tc>
          <w:tcPr>
            <w:tcW w:w="981" w:type="pct"/>
            <w:gridSpan w:val="2"/>
            <w:tcBorders>
              <w:top w:val="nil"/>
              <w:left w:val="single" w:sz="8" w:space="0" w:color="FF0000"/>
              <w:bottom w:val="nil"/>
              <w:right w:val="nil"/>
            </w:tcBorders>
            <w:shd w:val="clear" w:color="000000" w:fill="C0A99E"/>
            <w:noWrap/>
            <w:tcMar>
              <w:left w:w="28" w:type="dxa"/>
              <w:right w:w="28" w:type="dxa"/>
            </w:tcMar>
            <w:vAlign w:val="center"/>
            <w:hideMark/>
          </w:tcPr>
          <w:p w14:paraId="49436B0B" w14:textId="77777777" w:rsidR="00DE3684" w:rsidRPr="00894701" w:rsidRDefault="00DE3684" w:rsidP="00DE3684">
            <w:pPr>
              <w:spacing w:after="0" w:line="240" w:lineRule="auto"/>
              <w:rPr>
                <w:rFonts w:cs="Arial"/>
                <w:b/>
                <w:bCs/>
                <w:color w:val="auto"/>
                <w:kern w:val="0"/>
                <w:sz w:val="16"/>
                <w:szCs w:val="16"/>
              </w:rPr>
            </w:pPr>
            <w:r w:rsidRPr="00894701">
              <w:rPr>
                <w:rFonts w:cs="Arial"/>
                <w:b/>
                <w:bCs/>
                <w:color w:val="auto"/>
                <w:kern w:val="0"/>
                <w:sz w:val="16"/>
                <w:szCs w:val="16"/>
              </w:rPr>
              <w:t>State Owned Entities</w:t>
            </w:r>
          </w:p>
        </w:tc>
        <w:tc>
          <w:tcPr>
            <w:tcW w:w="462" w:type="pct"/>
            <w:tcBorders>
              <w:top w:val="nil"/>
              <w:left w:val="nil"/>
              <w:bottom w:val="nil"/>
              <w:right w:val="nil"/>
            </w:tcBorders>
            <w:shd w:val="clear" w:color="000000" w:fill="C0A99E"/>
            <w:noWrap/>
            <w:vAlign w:val="center"/>
            <w:hideMark/>
          </w:tcPr>
          <w:p w14:paraId="3A6E6475" w14:textId="526A8F6B" w:rsidR="00DE3684" w:rsidRPr="00894701" w:rsidRDefault="00DE3684" w:rsidP="00DE3684">
            <w:pPr>
              <w:spacing w:after="0" w:line="240" w:lineRule="auto"/>
              <w:jc w:val="right"/>
              <w:rPr>
                <w:rFonts w:cs="Arial"/>
                <w:b/>
                <w:bCs/>
                <w:color w:val="auto"/>
                <w:kern w:val="0"/>
                <w:sz w:val="16"/>
                <w:szCs w:val="16"/>
              </w:rPr>
            </w:pPr>
            <w:r w:rsidRPr="00894701">
              <w:rPr>
                <w:rFonts w:cs="Arial"/>
                <w:color w:val="000000"/>
                <w:kern w:val="0"/>
                <w:sz w:val="16"/>
                <w:szCs w:val="16"/>
              </w:rPr>
              <w:t>-</w:t>
            </w:r>
          </w:p>
        </w:tc>
        <w:tc>
          <w:tcPr>
            <w:tcW w:w="512" w:type="pct"/>
            <w:tcBorders>
              <w:top w:val="nil"/>
              <w:left w:val="nil"/>
              <w:bottom w:val="nil"/>
              <w:right w:val="nil"/>
            </w:tcBorders>
            <w:shd w:val="clear" w:color="000000" w:fill="C0A99E"/>
            <w:noWrap/>
            <w:vAlign w:val="center"/>
            <w:hideMark/>
          </w:tcPr>
          <w:p w14:paraId="38109FB7" w14:textId="5D0CD110" w:rsidR="00DE3684" w:rsidRPr="00894701" w:rsidRDefault="00DE3684" w:rsidP="00DE3684">
            <w:pPr>
              <w:spacing w:after="0" w:line="240" w:lineRule="auto"/>
              <w:jc w:val="right"/>
              <w:rPr>
                <w:rFonts w:cs="Arial"/>
                <w:b/>
                <w:bCs/>
                <w:color w:val="auto"/>
                <w:kern w:val="0"/>
                <w:sz w:val="16"/>
                <w:szCs w:val="16"/>
              </w:rPr>
            </w:pPr>
            <w:r w:rsidRPr="00894701">
              <w:rPr>
                <w:rFonts w:cs="Arial"/>
                <w:color w:val="000000"/>
                <w:kern w:val="0"/>
                <w:sz w:val="16"/>
                <w:szCs w:val="16"/>
              </w:rPr>
              <w:t>-</w:t>
            </w:r>
          </w:p>
        </w:tc>
        <w:tc>
          <w:tcPr>
            <w:tcW w:w="513" w:type="pct"/>
            <w:tcBorders>
              <w:top w:val="nil"/>
              <w:left w:val="nil"/>
              <w:bottom w:val="nil"/>
              <w:right w:val="nil"/>
            </w:tcBorders>
            <w:shd w:val="clear" w:color="000000" w:fill="C0A99E"/>
            <w:noWrap/>
            <w:vAlign w:val="center"/>
            <w:hideMark/>
          </w:tcPr>
          <w:p w14:paraId="70CC06B2" w14:textId="4FBD40CE" w:rsidR="00DE3684" w:rsidRPr="00894701" w:rsidRDefault="00DE3684" w:rsidP="00DE3684">
            <w:pPr>
              <w:spacing w:after="0" w:line="240" w:lineRule="auto"/>
              <w:jc w:val="right"/>
              <w:rPr>
                <w:rFonts w:cs="Arial"/>
                <w:b/>
                <w:bCs/>
                <w:color w:val="auto"/>
                <w:kern w:val="0"/>
                <w:sz w:val="16"/>
                <w:szCs w:val="16"/>
              </w:rPr>
            </w:pPr>
            <w:r w:rsidRPr="00894701">
              <w:rPr>
                <w:rFonts w:cs="Arial"/>
                <w:color w:val="000000"/>
                <w:kern w:val="0"/>
                <w:sz w:val="16"/>
                <w:szCs w:val="16"/>
              </w:rPr>
              <w:t>-</w:t>
            </w:r>
          </w:p>
        </w:tc>
        <w:tc>
          <w:tcPr>
            <w:tcW w:w="341" w:type="pct"/>
            <w:tcBorders>
              <w:top w:val="nil"/>
              <w:left w:val="nil"/>
              <w:bottom w:val="nil"/>
              <w:right w:val="nil"/>
            </w:tcBorders>
            <w:shd w:val="clear" w:color="000000" w:fill="C0A99E"/>
            <w:noWrap/>
            <w:vAlign w:val="center"/>
            <w:hideMark/>
          </w:tcPr>
          <w:p w14:paraId="5E29C4FC" w14:textId="2A6C118E" w:rsidR="00DE3684" w:rsidRPr="00894701" w:rsidRDefault="00DE3684" w:rsidP="00DE3684">
            <w:pPr>
              <w:spacing w:after="0" w:line="240" w:lineRule="auto"/>
              <w:jc w:val="right"/>
              <w:rPr>
                <w:rFonts w:cs="Arial"/>
                <w:b/>
                <w:bCs/>
                <w:color w:val="auto"/>
                <w:kern w:val="0"/>
                <w:sz w:val="16"/>
                <w:szCs w:val="16"/>
              </w:rPr>
            </w:pPr>
            <w:r w:rsidRPr="00894701">
              <w:rPr>
                <w:rFonts w:cs="Arial"/>
                <w:color w:val="000000"/>
                <w:kern w:val="0"/>
                <w:sz w:val="16"/>
                <w:szCs w:val="16"/>
              </w:rPr>
              <w:t>-</w:t>
            </w:r>
          </w:p>
        </w:tc>
        <w:tc>
          <w:tcPr>
            <w:tcW w:w="371" w:type="pct"/>
            <w:tcBorders>
              <w:top w:val="nil"/>
              <w:left w:val="nil"/>
              <w:bottom w:val="nil"/>
              <w:right w:val="nil"/>
            </w:tcBorders>
            <w:shd w:val="clear" w:color="000000" w:fill="C0A99E"/>
            <w:noWrap/>
            <w:vAlign w:val="center"/>
            <w:hideMark/>
          </w:tcPr>
          <w:p w14:paraId="0376EE2A" w14:textId="0EEA2B96" w:rsidR="00DE3684" w:rsidRPr="00894701" w:rsidRDefault="00DE3684" w:rsidP="00DE3684">
            <w:pPr>
              <w:spacing w:after="0" w:line="240" w:lineRule="auto"/>
              <w:jc w:val="right"/>
              <w:rPr>
                <w:rFonts w:cs="Arial"/>
                <w:b/>
                <w:bCs/>
                <w:color w:val="auto"/>
                <w:kern w:val="0"/>
                <w:sz w:val="16"/>
                <w:szCs w:val="16"/>
              </w:rPr>
            </w:pPr>
            <w:r w:rsidRPr="00894701">
              <w:rPr>
                <w:rFonts w:cs="Arial"/>
                <w:color w:val="000000"/>
                <w:kern w:val="0"/>
                <w:sz w:val="16"/>
                <w:szCs w:val="16"/>
              </w:rPr>
              <w:t>-</w:t>
            </w:r>
          </w:p>
        </w:tc>
        <w:tc>
          <w:tcPr>
            <w:tcW w:w="421" w:type="pct"/>
            <w:tcBorders>
              <w:top w:val="nil"/>
              <w:left w:val="nil"/>
              <w:bottom w:val="nil"/>
              <w:right w:val="nil"/>
            </w:tcBorders>
            <w:shd w:val="clear" w:color="000000" w:fill="C0A99E"/>
            <w:noWrap/>
            <w:vAlign w:val="center"/>
            <w:hideMark/>
          </w:tcPr>
          <w:p w14:paraId="049B62FB" w14:textId="4896D968" w:rsidR="00DE3684" w:rsidRPr="00894701" w:rsidRDefault="00DE3684" w:rsidP="00DE3684">
            <w:pPr>
              <w:spacing w:after="0" w:line="240" w:lineRule="auto"/>
              <w:jc w:val="right"/>
              <w:rPr>
                <w:rFonts w:cs="Arial"/>
                <w:b/>
                <w:bCs/>
                <w:color w:val="auto"/>
                <w:kern w:val="0"/>
                <w:sz w:val="16"/>
                <w:szCs w:val="16"/>
              </w:rPr>
            </w:pPr>
            <w:r w:rsidRPr="00894701">
              <w:rPr>
                <w:rFonts w:cs="Arial"/>
                <w:color w:val="000000"/>
                <w:kern w:val="0"/>
                <w:sz w:val="16"/>
                <w:szCs w:val="16"/>
              </w:rPr>
              <w:t>-</w:t>
            </w:r>
          </w:p>
        </w:tc>
        <w:tc>
          <w:tcPr>
            <w:tcW w:w="469" w:type="pct"/>
            <w:tcBorders>
              <w:top w:val="nil"/>
              <w:left w:val="nil"/>
              <w:bottom w:val="nil"/>
              <w:right w:val="nil"/>
            </w:tcBorders>
            <w:shd w:val="clear" w:color="000000" w:fill="C0A99E"/>
            <w:noWrap/>
            <w:vAlign w:val="center"/>
            <w:hideMark/>
          </w:tcPr>
          <w:p w14:paraId="5830E09E" w14:textId="5E1F424C" w:rsidR="00DE3684" w:rsidRPr="00894701" w:rsidRDefault="00DE3684" w:rsidP="00DE3684">
            <w:pPr>
              <w:spacing w:after="0" w:line="240" w:lineRule="auto"/>
              <w:jc w:val="right"/>
              <w:rPr>
                <w:rFonts w:cs="Arial"/>
                <w:b/>
                <w:bCs/>
                <w:color w:val="auto"/>
                <w:kern w:val="0"/>
                <w:sz w:val="16"/>
                <w:szCs w:val="16"/>
              </w:rPr>
            </w:pPr>
            <w:r w:rsidRPr="00894701">
              <w:rPr>
                <w:rFonts w:cs="Arial"/>
                <w:color w:val="000000"/>
                <w:kern w:val="0"/>
                <w:sz w:val="16"/>
                <w:szCs w:val="16"/>
              </w:rPr>
              <w:t>-</w:t>
            </w:r>
          </w:p>
        </w:tc>
        <w:tc>
          <w:tcPr>
            <w:tcW w:w="467" w:type="pct"/>
            <w:tcBorders>
              <w:top w:val="nil"/>
              <w:left w:val="nil"/>
              <w:bottom w:val="nil"/>
              <w:right w:val="nil"/>
            </w:tcBorders>
            <w:shd w:val="clear" w:color="000000" w:fill="C0A99E"/>
            <w:noWrap/>
            <w:vAlign w:val="center"/>
            <w:hideMark/>
          </w:tcPr>
          <w:p w14:paraId="6625F865" w14:textId="703F3D71" w:rsidR="00DE3684" w:rsidRPr="00894701" w:rsidRDefault="00DE3684" w:rsidP="00DE3684">
            <w:pPr>
              <w:spacing w:after="0" w:line="240" w:lineRule="auto"/>
              <w:jc w:val="right"/>
              <w:rPr>
                <w:rFonts w:cs="Arial"/>
                <w:b/>
                <w:bCs/>
                <w:color w:val="auto"/>
                <w:kern w:val="0"/>
                <w:sz w:val="16"/>
                <w:szCs w:val="16"/>
              </w:rPr>
            </w:pPr>
            <w:r w:rsidRPr="00894701">
              <w:rPr>
                <w:rFonts w:cs="Arial"/>
                <w:color w:val="000000"/>
                <w:kern w:val="0"/>
                <w:sz w:val="16"/>
                <w:szCs w:val="16"/>
              </w:rPr>
              <w:t>-</w:t>
            </w:r>
          </w:p>
        </w:tc>
        <w:tc>
          <w:tcPr>
            <w:tcW w:w="463" w:type="pct"/>
            <w:tcBorders>
              <w:top w:val="nil"/>
              <w:left w:val="nil"/>
              <w:bottom w:val="nil"/>
              <w:right w:val="nil"/>
            </w:tcBorders>
            <w:shd w:val="clear" w:color="000000" w:fill="C0A99E"/>
            <w:noWrap/>
            <w:vAlign w:val="center"/>
            <w:hideMark/>
          </w:tcPr>
          <w:p w14:paraId="59B72337" w14:textId="4524FE1A" w:rsidR="00DE3684" w:rsidRPr="00894701" w:rsidRDefault="00DE3684" w:rsidP="00DE3684">
            <w:pPr>
              <w:spacing w:after="0" w:line="240" w:lineRule="auto"/>
              <w:jc w:val="right"/>
              <w:rPr>
                <w:rFonts w:cs="Arial"/>
                <w:b/>
                <w:bCs/>
                <w:color w:val="auto"/>
                <w:kern w:val="0"/>
                <w:sz w:val="16"/>
                <w:szCs w:val="16"/>
              </w:rPr>
            </w:pPr>
            <w:r w:rsidRPr="00894701">
              <w:rPr>
                <w:rFonts w:cs="Arial"/>
                <w:color w:val="000000"/>
                <w:kern w:val="0"/>
                <w:sz w:val="16"/>
                <w:szCs w:val="16"/>
              </w:rPr>
              <w:t>-</w:t>
            </w:r>
          </w:p>
        </w:tc>
      </w:tr>
      <w:tr w:rsidR="00DE3684" w:rsidRPr="00894701" w14:paraId="5C2DE5E2" w14:textId="77777777" w:rsidTr="00AA49E3">
        <w:trPr>
          <w:trHeight w:val="227"/>
          <w:jc w:val="center"/>
        </w:trPr>
        <w:tc>
          <w:tcPr>
            <w:tcW w:w="150" w:type="pct"/>
            <w:tcBorders>
              <w:top w:val="nil"/>
              <w:left w:val="single" w:sz="8" w:space="0" w:color="FF0000"/>
              <w:bottom w:val="nil"/>
              <w:right w:val="nil"/>
            </w:tcBorders>
            <w:shd w:val="clear" w:color="auto" w:fill="auto"/>
            <w:noWrap/>
            <w:tcMar>
              <w:left w:w="28" w:type="dxa"/>
              <w:right w:w="28" w:type="dxa"/>
            </w:tcMar>
            <w:vAlign w:val="center"/>
            <w:hideMark/>
          </w:tcPr>
          <w:p w14:paraId="581D2639" w14:textId="77777777" w:rsidR="00DE3684" w:rsidRPr="00894701" w:rsidRDefault="00DE3684" w:rsidP="00DE3684">
            <w:pPr>
              <w:spacing w:after="0" w:line="240" w:lineRule="auto"/>
              <w:rPr>
                <w:rFonts w:cs="Arial"/>
                <w:color w:val="000000"/>
                <w:kern w:val="0"/>
                <w:sz w:val="16"/>
                <w:szCs w:val="16"/>
              </w:rPr>
            </w:pPr>
            <w:r w:rsidRPr="00894701">
              <w:rPr>
                <w:rFonts w:cs="Arial"/>
                <w:color w:val="000000"/>
                <w:kern w:val="0"/>
                <w:sz w:val="16"/>
                <w:szCs w:val="16"/>
              </w:rPr>
              <w:t>5.1</w:t>
            </w:r>
          </w:p>
        </w:tc>
        <w:tc>
          <w:tcPr>
            <w:tcW w:w="831" w:type="pct"/>
            <w:tcBorders>
              <w:top w:val="nil"/>
              <w:left w:val="nil"/>
              <w:bottom w:val="nil"/>
              <w:right w:val="nil"/>
            </w:tcBorders>
            <w:shd w:val="clear" w:color="auto" w:fill="auto"/>
            <w:noWrap/>
            <w:vAlign w:val="center"/>
            <w:hideMark/>
          </w:tcPr>
          <w:p w14:paraId="715049FF" w14:textId="7207765A" w:rsidR="00DE3684" w:rsidRPr="00894701" w:rsidRDefault="00DE3684" w:rsidP="00DE3684">
            <w:pPr>
              <w:spacing w:after="0" w:line="240" w:lineRule="auto"/>
              <w:rPr>
                <w:rFonts w:cs="Arial"/>
                <w:color w:val="000000"/>
                <w:kern w:val="0"/>
                <w:sz w:val="16"/>
                <w:szCs w:val="16"/>
              </w:rPr>
            </w:pPr>
            <w:r w:rsidRPr="00894701">
              <w:rPr>
                <w:rFonts w:cs="Arial"/>
                <w:color w:val="000000"/>
                <w:kern w:val="0"/>
                <w:sz w:val="16"/>
                <w:szCs w:val="16"/>
              </w:rPr>
              <w:t>Products in-kind</w:t>
            </w:r>
          </w:p>
        </w:tc>
        <w:tc>
          <w:tcPr>
            <w:tcW w:w="462" w:type="pct"/>
            <w:tcBorders>
              <w:top w:val="nil"/>
              <w:left w:val="nil"/>
              <w:bottom w:val="nil"/>
              <w:right w:val="nil"/>
            </w:tcBorders>
            <w:shd w:val="clear" w:color="auto" w:fill="auto"/>
            <w:noWrap/>
            <w:vAlign w:val="center"/>
            <w:hideMark/>
          </w:tcPr>
          <w:p w14:paraId="3033AE0E" w14:textId="37351492" w:rsidR="00DE3684" w:rsidRPr="00894701" w:rsidRDefault="00DE3684" w:rsidP="00DE3684">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2" w:type="pct"/>
            <w:tcBorders>
              <w:top w:val="nil"/>
              <w:left w:val="nil"/>
              <w:bottom w:val="nil"/>
              <w:right w:val="nil"/>
            </w:tcBorders>
            <w:shd w:val="clear" w:color="auto" w:fill="auto"/>
            <w:noWrap/>
            <w:vAlign w:val="center"/>
            <w:hideMark/>
          </w:tcPr>
          <w:p w14:paraId="49A910A6" w14:textId="0A62F8D0" w:rsidR="00DE3684" w:rsidRPr="00894701" w:rsidRDefault="00DE3684" w:rsidP="00DE3684">
            <w:pPr>
              <w:spacing w:after="0" w:line="240" w:lineRule="auto"/>
              <w:jc w:val="right"/>
              <w:rPr>
                <w:rFonts w:cs="Arial"/>
                <w:color w:val="000000"/>
                <w:kern w:val="0"/>
                <w:sz w:val="16"/>
                <w:szCs w:val="16"/>
              </w:rPr>
            </w:pPr>
            <w:r w:rsidRPr="00894701">
              <w:rPr>
                <w:rFonts w:cs="Arial"/>
                <w:color w:val="000000"/>
                <w:kern w:val="0"/>
                <w:sz w:val="16"/>
                <w:szCs w:val="16"/>
              </w:rPr>
              <w:t>-</w:t>
            </w:r>
          </w:p>
        </w:tc>
        <w:tc>
          <w:tcPr>
            <w:tcW w:w="513" w:type="pct"/>
            <w:tcBorders>
              <w:top w:val="nil"/>
              <w:left w:val="nil"/>
              <w:bottom w:val="nil"/>
              <w:right w:val="nil"/>
            </w:tcBorders>
            <w:shd w:val="clear" w:color="auto" w:fill="auto"/>
            <w:noWrap/>
            <w:vAlign w:val="center"/>
            <w:hideMark/>
          </w:tcPr>
          <w:p w14:paraId="75F087AB" w14:textId="11EFF9E3" w:rsidR="00DE3684" w:rsidRPr="00894701" w:rsidRDefault="00DE3684" w:rsidP="00DE3684">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41" w:type="pct"/>
            <w:tcBorders>
              <w:top w:val="nil"/>
              <w:left w:val="nil"/>
              <w:bottom w:val="nil"/>
              <w:right w:val="nil"/>
            </w:tcBorders>
            <w:shd w:val="clear" w:color="auto" w:fill="auto"/>
            <w:noWrap/>
            <w:vAlign w:val="center"/>
            <w:hideMark/>
          </w:tcPr>
          <w:p w14:paraId="2791A362" w14:textId="3E524764" w:rsidR="00DE3684" w:rsidRPr="00894701" w:rsidRDefault="00DE3684" w:rsidP="00DE3684">
            <w:pPr>
              <w:spacing w:after="0" w:line="240" w:lineRule="auto"/>
              <w:jc w:val="right"/>
              <w:rPr>
                <w:rFonts w:cs="Arial"/>
                <w:color w:val="000000"/>
                <w:kern w:val="0"/>
                <w:sz w:val="16"/>
                <w:szCs w:val="16"/>
              </w:rPr>
            </w:pPr>
            <w:r w:rsidRPr="00894701">
              <w:rPr>
                <w:rFonts w:cs="Arial"/>
                <w:color w:val="000000"/>
                <w:kern w:val="0"/>
                <w:sz w:val="16"/>
                <w:szCs w:val="16"/>
              </w:rPr>
              <w:t>-</w:t>
            </w:r>
          </w:p>
        </w:tc>
        <w:tc>
          <w:tcPr>
            <w:tcW w:w="371" w:type="pct"/>
            <w:tcBorders>
              <w:top w:val="nil"/>
              <w:left w:val="nil"/>
              <w:bottom w:val="nil"/>
              <w:right w:val="nil"/>
            </w:tcBorders>
            <w:shd w:val="clear" w:color="auto" w:fill="auto"/>
            <w:noWrap/>
            <w:vAlign w:val="center"/>
            <w:hideMark/>
          </w:tcPr>
          <w:p w14:paraId="1935AE9C" w14:textId="75899D91" w:rsidR="00DE3684" w:rsidRPr="00894701" w:rsidRDefault="00DE3684" w:rsidP="00DE3684">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21" w:type="pct"/>
            <w:tcBorders>
              <w:top w:val="nil"/>
              <w:left w:val="nil"/>
              <w:bottom w:val="nil"/>
              <w:right w:val="nil"/>
            </w:tcBorders>
            <w:shd w:val="clear" w:color="auto" w:fill="auto"/>
            <w:noWrap/>
            <w:vAlign w:val="center"/>
            <w:hideMark/>
          </w:tcPr>
          <w:p w14:paraId="3B785F81" w14:textId="3B6EC680" w:rsidR="00DE3684" w:rsidRPr="00894701" w:rsidRDefault="00DE3684" w:rsidP="00DE3684">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9" w:type="pct"/>
            <w:tcBorders>
              <w:top w:val="nil"/>
              <w:left w:val="nil"/>
              <w:bottom w:val="nil"/>
              <w:right w:val="nil"/>
            </w:tcBorders>
            <w:shd w:val="clear" w:color="auto" w:fill="auto"/>
            <w:noWrap/>
            <w:vAlign w:val="center"/>
            <w:hideMark/>
          </w:tcPr>
          <w:p w14:paraId="13F4A09F" w14:textId="23C1FC09" w:rsidR="00DE3684" w:rsidRPr="00894701" w:rsidRDefault="00DE3684" w:rsidP="00DE3684">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7" w:type="pct"/>
            <w:tcBorders>
              <w:top w:val="nil"/>
              <w:left w:val="nil"/>
              <w:bottom w:val="nil"/>
              <w:right w:val="nil"/>
            </w:tcBorders>
            <w:shd w:val="clear" w:color="auto" w:fill="auto"/>
            <w:noWrap/>
            <w:vAlign w:val="center"/>
            <w:hideMark/>
          </w:tcPr>
          <w:p w14:paraId="2AC2B58D" w14:textId="63EEAF72" w:rsidR="00DE3684" w:rsidRPr="00894701" w:rsidRDefault="00DE3684" w:rsidP="00DE3684">
            <w:pPr>
              <w:spacing w:after="0" w:line="240" w:lineRule="auto"/>
              <w:jc w:val="right"/>
              <w:rPr>
                <w:rFonts w:cs="Arial"/>
                <w:color w:val="000000"/>
                <w:kern w:val="0"/>
                <w:sz w:val="16"/>
                <w:szCs w:val="16"/>
              </w:rPr>
            </w:pPr>
            <w:r w:rsidRPr="00894701">
              <w:rPr>
                <w:rFonts w:cs="Arial"/>
                <w:color w:val="000000"/>
                <w:kern w:val="0"/>
                <w:sz w:val="16"/>
                <w:szCs w:val="16"/>
              </w:rPr>
              <w:t>-</w:t>
            </w:r>
          </w:p>
        </w:tc>
        <w:tc>
          <w:tcPr>
            <w:tcW w:w="463" w:type="pct"/>
            <w:tcBorders>
              <w:top w:val="nil"/>
              <w:left w:val="nil"/>
              <w:bottom w:val="nil"/>
              <w:right w:val="single" w:sz="8" w:space="0" w:color="FF0000"/>
            </w:tcBorders>
            <w:shd w:val="clear" w:color="auto" w:fill="auto"/>
            <w:noWrap/>
            <w:vAlign w:val="center"/>
            <w:hideMark/>
          </w:tcPr>
          <w:p w14:paraId="0ABBA822" w14:textId="56CDA1DF" w:rsidR="00DE3684" w:rsidRPr="00894701" w:rsidRDefault="00DE3684" w:rsidP="00DE3684">
            <w:pPr>
              <w:spacing w:after="0" w:line="240" w:lineRule="auto"/>
              <w:jc w:val="right"/>
              <w:rPr>
                <w:rFonts w:cs="Arial"/>
                <w:color w:val="000000"/>
                <w:kern w:val="0"/>
                <w:sz w:val="16"/>
                <w:szCs w:val="16"/>
              </w:rPr>
            </w:pPr>
            <w:r w:rsidRPr="00894701">
              <w:rPr>
                <w:rFonts w:cs="Arial"/>
                <w:color w:val="000000"/>
                <w:kern w:val="0"/>
                <w:sz w:val="16"/>
                <w:szCs w:val="16"/>
              </w:rPr>
              <w:t>-</w:t>
            </w:r>
          </w:p>
        </w:tc>
      </w:tr>
      <w:tr w:rsidR="003C1E50" w:rsidRPr="00894701" w14:paraId="0364CC8F" w14:textId="77777777" w:rsidTr="00AA49E3">
        <w:trPr>
          <w:trHeight w:val="227"/>
          <w:jc w:val="center"/>
        </w:trPr>
        <w:tc>
          <w:tcPr>
            <w:tcW w:w="150" w:type="pct"/>
            <w:tcBorders>
              <w:top w:val="nil"/>
              <w:left w:val="single" w:sz="8" w:space="0" w:color="FF0000"/>
              <w:bottom w:val="single" w:sz="8" w:space="0" w:color="FF0000"/>
              <w:right w:val="nil"/>
            </w:tcBorders>
            <w:shd w:val="clear" w:color="000000" w:fill="7A091A"/>
            <w:tcMar>
              <w:left w:w="28" w:type="dxa"/>
              <w:right w:w="28" w:type="dxa"/>
            </w:tcMar>
            <w:vAlign w:val="center"/>
            <w:hideMark/>
          </w:tcPr>
          <w:p w14:paraId="67D8FE85" w14:textId="77777777" w:rsidR="003C1E50" w:rsidRPr="00894701" w:rsidRDefault="003C1E50" w:rsidP="003C1E50">
            <w:pPr>
              <w:spacing w:after="0" w:line="240" w:lineRule="auto"/>
              <w:rPr>
                <w:rFonts w:cs="Arial"/>
                <w:b/>
                <w:bCs/>
                <w:color w:val="FFFFFF"/>
                <w:kern w:val="0"/>
                <w:sz w:val="16"/>
                <w:szCs w:val="16"/>
              </w:rPr>
            </w:pPr>
            <w:r w:rsidRPr="00894701">
              <w:rPr>
                <w:rFonts w:cs="Arial"/>
                <w:b/>
                <w:bCs/>
                <w:color w:val="FFFFFF"/>
                <w:kern w:val="0"/>
                <w:sz w:val="16"/>
                <w:szCs w:val="16"/>
              </w:rPr>
              <w:t> </w:t>
            </w:r>
          </w:p>
        </w:tc>
        <w:tc>
          <w:tcPr>
            <w:tcW w:w="831" w:type="pct"/>
            <w:tcBorders>
              <w:top w:val="nil"/>
              <w:left w:val="nil"/>
              <w:bottom w:val="single" w:sz="8" w:space="0" w:color="FF0000"/>
              <w:right w:val="nil"/>
            </w:tcBorders>
            <w:shd w:val="clear" w:color="000000" w:fill="7A091A"/>
            <w:vAlign w:val="center"/>
            <w:hideMark/>
          </w:tcPr>
          <w:p w14:paraId="0AA911FB" w14:textId="24A6CFE0" w:rsidR="003C1E50" w:rsidRPr="00894701" w:rsidRDefault="003C1E50" w:rsidP="003C1E50">
            <w:pPr>
              <w:spacing w:after="0" w:line="240" w:lineRule="auto"/>
              <w:rPr>
                <w:rFonts w:cs="Arial"/>
                <w:b/>
                <w:bCs/>
                <w:color w:val="FFFFFF"/>
                <w:kern w:val="0"/>
                <w:sz w:val="16"/>
                <w:szCs w:val="16"/>
              </w:rPr>
            </w:pPr>
            <w:r w:rsidRPr="00894701">
              <w:rPr>
                <w:rFonts w:cs="Arial"/>
                <w:b/>
                <w:bCs/>
                <w:color w:val="FFFFFF"/>
                <w:kern w:val="0"/>
                <w:sz w:val="16"/>
                <w:szCs w:val="16"/>
              </w:rPr>
              <w:t>Total payments</w:t>
            </w:r>
          </w:p>
        </w:tc>
        <w:tc>
          <w:tcPr>
            <w:tcW w:w="462" w:type="pct"/>
            <w:tcBorders>
              <w:top w:val="nil"/>
              <w:left w:val="nil"/>
              <w:bottom w:val="single" w:sz="8" w:space="0" w:color="FF0000"/>
              <w:right w:val="nil"/>
            </w:tcBorders>
            <w:shd w:val="clear" w:color="000000" w:fill="7A091A"/>
            <w:vAlign w:val="center"/>
            <w:hideMark/>
          </w:tcPr>
          <w:p w14:paraId="13237F9C" w14:textId="29C7D2B6" w:rsidR="003C1E50" w:rsidRPr="00894701" w:rsidRDefault="003C1E50" w:rsidP="003C1E50">
            <w:pPr>
              <w:spacing w:after="0" w:line="240" w:lineRule="auto"/>
              <w:jc w:val="right"/>
              <w:rPr>
                <w:rFonts w:cs="Arial"/>
                <w:b/>
                <w:bCs/>
                <w:color w:val="FFFFFF"/>
                <w:kern w:val="0"/>
                <w:sz w:val="16"/>
                <w:szCs w:val="16"/>
              </w:rPr>
            </w:pPr>
            <w:r w:rsidRPr="00894701">
              <w:rPr>
                <w:rFonts w:cs="Arial"/>
                <w:b/>
                <w:bCs/>
                <w:color w:val="FFFFFF"/>
                <w:sz w:val="16"/>
                <w:szCs w:val="16"/>
              </w:rPr>
              <w:t>171,181,164</w:t>
            </w:r>
          </w:p>
        </w:tc>
        <w:tc>
          <w:tcPr>
            <w:tcW w:w="512" w:type="pct"/>
            <w:tcBorders>
              <w:top w:val="nil"/>
              <w:left w:val="nil"/>
              <w:bottom w:val="single" w:sz="8" w:space="0" w:color="FF0000"/>
              <w:right w:val="nil"/>
            </w:tcBorders>
            <w:shd w:val="clear" w:color="000000" w:fill="7A091A"/>
            <w:vAlign w:val="center"/>
            <w:hideMark/>
          </w:tcPr>
          <w:p w14:paraId="53E34AB4" w14:textId="71EB5CC4" w:rsidR="003C1E50" w:rsidRPr="00894701" w:rsidRDefault="003C1E50" w:rsidP="003C1E50">
            <w:pPr>
              <w:spacing w:after="0" w:line="240" w:lineRule="auto"/>
              <w:jc w:val="right"/>
              <w:rPr>
                <w:rFonts w:cs="Arial"/>
                <w:b/>
                <w:bCs/>
                <w:color w:val="FFFFFF"/>
                <w:kern w:val="0"/>
                <w:sz w:val="16"/>
                <w:szCs w:val="16"/>
              </w:rPr>
            </w:pPr>
            <w:r w:rsidRPr="00894701">
              <w:rPr>
                <w:rFonts w:cs="Arial"/>
                <w:b/>
                <w:bCs/>
                <w:color w:val="FFFFFF"/>
                <w:sz w:val="16"/>
                <w:szCs w:val="16"/>
              </w:rPr>
              <w:t>166,911,210</w:t>
            </w:r>
          </w:p>
        </w:tc>
        <w:tc>
          <w:tcPr>
            <w:tcW w:w="513" w:type="pct"/>
            <w:tcBorders>
              <w:top w:val="nil"/>
              <w:left w:val="nil"/>
              <w:bottom w:val="single" w:sz="8" w:space="0" w:color="FF0000"/>
              <w:right w:val="nil"/>
            </w:tcBorders>
            <w:shd w:val="clear" w:color="000000" w:fill="7A091A"/>
            <w:vAlign w:val="center"/>
            <w:hideMark/>
          </w:tcPr>
          <w:p w14:paraId="51B5BCB9" w14:textId="6D52C46F" w:rsidR="003C1E50" w:rsidRPr="00894701" w:rsidRDefault="003C1E50" w:rsidP="003C1E50">
            <w:pPr>
              <w:spacing w:after="0" w:line="240" w:lineRule="auto"/>
              <w:jc w:val="right"/>
              <w:rPr>
                <w:rFonts w:cs="Arial"/>
                <w:b/>
                <w:bCs/>
                <w:color w:val="FFFFFF"/>
                <w:kern w:val="0"/>
                <w:sz w:val="16"/>
                <w:szCs w:val="16"/>
              </w:rPr>
            </w:pPr>
            <w:r w:rsidRPr="00894701">
              <w:rPr>
                <w:rFonts w:cs="Arial"/>
                <w:b/>
                <w:bCs/>
                <w:color w:val="FFFFFF"/>
                <w:sz w:val="16"/>
                <w:szCs w:val="16"/>
              </w:rPr>
              <w:t>4,269,954</w:t>
            </w:r>
          </w:p>
        </w:tc>
        <w:tc>
          <w:tcPr>
            <w:tcW w:w="341" w:type="pct"/>
            <w:tcBorders>
              <w:top w:val="nil"/>
              <w:left w:val="nil"/>
              <w:bottom w:val="single" w:sz="8" w:space="0" w:color="FF0000"/>
              <w:right w:val="nil"/>
            </w:tcBorders>
            <w:shd w:val="clear" w:color="000000" w:fill="7A091A"/>
            <w:vAlign w:val="center"/>
            <w:hideMark/>
          </w:tcPr>
          <w:p w14:paraId="4415DD2C" w14:textId="1B46D2A2" w:rsidR="003C1E50" w:rsidRPr="00894701" w:rsidRDefault="003C1E50" w:rsidP="003C1E50">
            <w:pPr>
              <w:spacing w:after="0" w:line="240" w:lineRule="auto"/>
              <w:jc w:val="right"/>
              <w:rPr>
                <w:rFonts w:cs="Arial"/>
                <w:b/>
                <w:bCs/>
                <w:color w:val="FFFFFF"/>
                <w:kern w:val="0"/>
                <w:sz w:val="16"/>
                <w:szCs w:val="16"/>
              </w:rPr>
            </w:pPr>
            <w:r w:rsidRPr="00894701">
              <w:rPr>
                <w:rFonts w:cs="Arial"/>
                <w:b/>
                <w:bCs/>
                <w:color w:val="FFFFFF"/>
                <w:sz w:val="16"/>
                <w:szCs w:val="16"/>
              </w:rPr>
              <w:t>1,606,175</w:t>
            </w:r>
          </w:p>
        </w:tc>
        <w:tc>
          <w:tcPr>
            <w:tcW w:w="371" w:type="pct"/>
            <w:tcBorders>
              <w:top w:val="nil"/>
              <w:left w:val="nil"/>
              <w:bottom w:val="single" w:sz="8" w:space="0" w:color="FF0000"/>
              <w:right w:val="nil"/>
            </w:tcBorders>
            <w:shd w:val="clear" w:color="000000" w:fill="7A091A"/>
            <w:vAlign w:val="center"/>
            <w:hideMark/>
          </w:tcPr>
          <w:p w14:paraId="15D2C444" w14:textId="070B5185" w:rsidR="003C1E50" w:rsidRPr="00894701" w:rsidRDefault="003C1E50" w:rsidP="003C1E50">
            <w:pPr>
              <w:spacing w:after="0" w:line="240" w:lineRule="auto"/>
              <w:jc w:val="right"/>
              <w:rPr>
                <w:rFonts w:cs="Arial"/>
                <w:b/>
                <w:bCs/>
                <w:color w:val="FFFFFF"/>
                <w:kern w:val="0"/>
                <w:sz w:val="16"/>
                <w:szCs w:val="16"/>
              </w:rPr>
            </w:pPr>
            <w:r w:rsidRPr="00894701">
              <w:rPr>
                <w:rFonts w:cs="Arial"/>
                <w:b/>
                <w:bCs/>
                <w:color w:val="FFFFFF"/>
                <w:sz w:val="16"/>
                <w:szCs w:val="16"/>
              </w:rPr>
              <w:t>5,876,126</w:t>
            </w:r>
          </w:p>
        </w:tc>
        <w:tc>
          <w:tcPr>
            <w:tcW w:w="421" w:type="pct"/>
            <w:tcBorders>
              <w:top w:val="nil"/>
              <w:left w:val="nil"/>
              <w:bottom w:val="single" w:sz="8" w:space="0" w:color="FF0000"/>
              <w:right w:val="nil"/>
            </w:tcBorders>
            <w:shd w:val="clear" w:color="000000" w:fill="7A091A"/>
            <w:vAlign w:val="center"/>
            <w:hideMark/>
          </w:tcPr>
          <w:p w14:paraId="51C03207" w14:textId="5843056D" w:rsidR="003C1E50" w:rsidRPr="00894701" w:rsidRDefault="003C1E50" w:rsidP="003C1E50">
            <w:pPr>
              <w:spacing w:after="0" w:line="240" w:lineRule="auto"/>
              <w:jc w:val="right"/>
              <w:rPr>
                <w:rFonts w:cs="Arial"/>
                <w:b/>
                <w:bCs/>
                <w:color w:val="FFFFFF"/>
                <w:kern w:val="0"/>
                <w:sz w:val="16"/>
                <w:szCs w:val="16"/>
              </w:rPr>
            </w:pPr>
            <w:r w:rsidRPr="00894701">
              <w:rPr>
                <w:rFonts w:cs="Arial"/>
                <w:b/>
                <w:bCs/>
                <w:color w:val="FFFFFF"/>
                <w:sz w:val="16"/>
                <w:szCs w:val="16"/>
              </w:rPr>
              <w:t>(4,269,951)</w:t>
            </w:r>
          </w:p>
        </w:tc>
        <w:tc>
          <w:tcPr>
            <w:tcW w:w="469" w:type="pct"/>
            <w:tcBorders>
              <w:top w:val="nil"/>
              <w:left w:val="nil"/>
              <w:bottom w:val="single" w:sz="8" w:space="0" w:color="FF0000"/>
              <w:right w:val="nil"/>
            </w:tcBorders>
            <w:shd w:val="clear" w:color="000000" w:fill="7A091A"/>
            <w:vAlign w:val="center"/>
            <w:hideMark/>
          </w:tcPr>
          <w:p w14:paraId="554C21C4" w14:textId="1E340396" w:rsidR="003C1E50" w:rsidRPr="00894701" w:rsidRDefault="003C1E50" w:rsidP="003C1E50">
            <w:pPr>
              <w:spacing w:after="0" w:line="240" w:lineRule="auto"/>
              <w:jc w:val="right"/>
              <w:rPr>
                <w:rFonts w:cs="Arial"/>
                <w:b/>
                <w:bCs/>
                <w:color w:val="FFFFFF"/>
                <w:kern w:val="0"/>
                <w:sz w:val="16"/>
                <w:szCs w:val="16"/>
              </w:rPr>
            </w:pPr>
            <w:r w:rsidRPr="00894701">
              <w:rPr>
                <w:rFonts w:cs="Arial"/>
                <w:b/>
                <w:bCs/>
                <w:color w:val="FFFFFF"/>
                <w:sz w:val="16"/>
                <w:szCs w:val="16"/>
              </w:rPr>
              <w:t>172,787,339</w:t>
            </w:r>
          </w:p>
        </w:tc>
        <w:tc>
          <w:tcPr>
            <w:tcW w:w="467" w:type="pct"/>
            <w:tcBorders>
              <w:top w:val="nil"/>
              <w:left w:val="nil"/>
              <w:bottom w:val="single" w:sz="8" w:space="0" w:color="FF0000"/>
              <w:right w:val="nil"/>
            </w:tcBorders>
            <w:shd w:val="clear" w:color="000000" w:fill="7A091A"/>
            <w:vAlign w:val="center"/>
            <w:hideMark/>
          </w:tcPr>
          <w:p w14:paraId="64B83345" w14:textId="4C7A54ED" w:rsidR="003C1E50" w:rsidRPr="00894701" w:rsidRDefault="003C1E50" w:rsidP="003C1E50">
            <w:pPr>
              <w:spacing w:after="0" w:line="240" w:lineRule="auto"/>
              <w:jc w:val="right"/>
              <w:rPr>
                <w:rFonts w:cs="Arial"/>
                <w:b/>
                <w:bCs/>
                <w:color w:val="FFFFFF"/>
                <w:kern w:val="0"/>
                <w:sz w:val="16"/>
                <w:szCs w:val="16"/>
              </w:rPr>
            </w:pPr>
            <w:r w:rsidRPr="00894701">
              <w:rPr>
                <w:rFonts w:cs="Arial"/>
                <w:b/>
                <w:bCs/>
                <w:color w:val="FFFFFF"/>
                <w:sz w:val="16"/>
                <w:szCs w:val="16"/>
              </w:rPr>
              <w:t>172,787,336</w:t>
            </w:r>
          </w:p>
        </w:tc>
        <w:tc>
          <w:tcPr>
            <w:tcW w:w="463" w:type="pct"/>
            <w:tcBorders>
              <w:top w:val="nil"/>
              <w:left w:val="nil"/>
              <w:bottom w:val="single" w:sz="8" w:space="0" w:color="FF0000"/>
              <w:right w:val="nil"/>
            </w:tcBorders>
            <w:shd w:val="clear" w:color="000000" w:fill="7A091A"/>
            <w:vAlign w:val="center"/>
            <w:hideMark/>
          </w:tcPr>
          <w:p w14:paraId="0993BA75" w14:textId="0C18F439" w:rsidR="003C1E50" w:rsidRPr="00894701" w:rsidRDefault="003C1E50" w:rsidP="003C1E50">
            <w:pPr>
              <w:spacing w:after="0" w:line="240" w:lineRule="auto"/>
              <w:jc w:val="right"/>
              <w:rPr>
                <w:rFonts w:cs="Arial"/>
                <w:b/>
                <w:bCs/>
                <w:color w:val="FFFFFF"/>
                <w:kern w:val="0"/>
                <w:sz w:val="16"/>
                <w:szCs w:val="16"/>
              </w:rPr>
            </w:pPr>
            <w:r w:rsidRPr="00894701">
              <w:rPr>
                <w:rFonts w:cs="Arial"/>
                <w:b/>
                <w:bCs/>
                <w:color w:val="FFFFFF"/>
                <w:sz w:val="16"/>
                <w:szCs w:val="16"/>
              </w:rPr>
              <w:t>3</w:t>
            </w:r>
          </w:p>
        </w:tc>
      </w:tr>
    </w:tbl>
    <w:p w14:paraId="4D084A50" w14:textId="77777777" w:rsidR="002F4BAB" w:rsidRPr="00894701" w:rsidRDefault="002F4BAB" w:rsidP="002F4BAB">
      <w:pPr>
        <w:spacing w:after="0" w:line="240" w:lineRule="auto"/>
        <w:rPr>
          <w:rFonts w:asciiTheme="minorHAnsi" w:hAnsiTheme="minorHAnsi"/>
        </w:rPr>
        <w:sectPr w:rsidR="002F4BAB" w:rsidRPr="00894701" w:rsidSect="00EE3509">
          <w:pgSz w:w="16838" w:h="11906" w:orient="landscape" w:code="9"/>
          <w:pgMar w:top="1440" w:right="1440" w:bottom="1416" w:left="1440" w:header="851" w:footer="750" w:gutter="0"/>
          <w:cols w:space="708"/>
          <w:docGrid w:linePitch="360"/>
        </w:sectPr>
      </w:pPr>
    </w:p>
    <w:p w14:paraId="5217BA06" w14:textId="77777777" w:rsidR="002F4BAB" w:rsidRPr="00894701" w:rsidRDefault="002F4BAB" w:rsidP="004278D1">
      <w:pPr>
        <w:pStyle w:val="AltMinorHeading"/>
        <w:numPr>
          <w:ilvl w:val="2"/>
          <w:numId w:val="71"/>
        </w:numPr>
        <w:spacing w:before="0" w:after="120"/>
        <w:ind w:right="454"/>
        <w:rPr>
          <w:rStyle w:val="Emphasis"/>
        </w:rPr>
      </w:pPr>
      <w:r w:rsidRPr="00894701">
        <w:rPr>
          <w:rStyle w:val="Emphasis"/>
        </w:rPr>
        <w:tab/>
      </w:r>
      <w:bookmarkStart w:id="481" w:name="_Toc122478947"/>
      <w:r w:rsidRPr="00894701">
        <w:rPr>
          <w:rStyle w:val="Emphasis"/>
        </w:rPr>
        <w:t>Adjustments to oil and gas payments</w:t>
      </w:r>
      <w:bookmarkEnd w:id="481"/>
    </w:p>
    <w:p w14:paraId="734865A6" w14:textId="60F6E92A" w:rsidR="002F4BAB" w:rsidRPr="00894701" w:rsidRDefault="00CE5548" w:rsidP="002F4BAB">
      <w:pPr>
        <w:pStyle w:val="AltMinorSubHeading"/>
        <w:numPr>
          <w:ilvl w:val="0"/>
          <w:numId w:val="0"/>
        </w:numPr>
        <w:spacing w:before="120" w:after="120"/>
        <w:rPr>
          <w:color w:val="ED1A3B"/>
        </w:rPr>
      </w:pPr>
      <w:bookmarkStart w:id="482" w:name="_Toc122478948"/>
      <w:r w:rsidRPr="00894701">
        <w:rPr>
          <w:iCs w:val="0"/>
          <w:color w:val="ED1A3B"/>
        </w:rPr>
        <w:t>5.2.2.</w:t>
      </w:r>
      <w:r w:rsidR="002F4BAB" w:rsidRPr="00894701">
        <w:rPr>
          <w:iCs w:val="0"/>
          <w:color w:val="ED1A3B"/>
        </w:rPr>
        <w:t xml:space="preserve">(a) </w:t>
      </w:r>
      <w:r w:rsidR="002F4BAB" w:rsidRPr="00894701">
        <w:rPr>
          <w:color w:val="ED1A3B"/>
        </w:rPr>
        <w:t>Adjustments to oil and gas entities’ templates</w:t>
      </w:r>
      <w:bookmarkEnd w:id="482"/>
    </w:p>
    <w:p w14:paraId="3B70799B" w14:textId="3C18D77D" w:rsidR="002F4BAB" w:rsidRPr="00894701" w:rsidRDefault="00987A9B" w:rsidP="002F4BAB">
      <w:pPr>
        <w:jc w:val="both"/>
        <w:rPr>
          <w:rFonts w:cs="Arial"/>
          <w:color w:val="auto"/>
          <w:sz w:val="20"/>
          <w:lang w:eastAsia="fr-FR"/>
        </w:rPr>
      </w:pPr>
      <w:r w:rsidRPr="0099779B">
        <w:rPr>
          <w:rFonts w:cs="Arial"/>
          <w:color w:val="auto"/>
          <w:sz w:val="20"/>
          <w:lang w:eastAsia="fr-FR"/>
        </w:rPr>
        <w:t xml:space="preserve">The adjustments were carried out following confirmations received from extractive entities and </w:t>
      </w:r>
      <w:r w:rsidRPr="0099779B">
        <w:rPr>
          <w:rFonts w:cs="Arial"/>
          <w:color w:val="auto"/>
          <w:sz w:val="20"/>
        </w:rPr>
        <w:t>Government Agencies</w:t>
      </w:r>
      <w:r w:rsidRPr="0099779B">
        <w:rPr>
          <w:rFonts w:cs="Arial"/>
          <w:color w:val="auto"/>
          <w:sz w:val="20"/>
          <w:lang w:eastAsia="fr-FR"/>
        </w:rPr>
        <w:t xml:space="preserve"> and </w:t>
      </w:r>
      <w:r w:rsidRPr="0099779B">
        <w:rPr>
          <w:rFonts w:cs="Arial"/>
          <w:color w:val="auto"/>
          <w:sz w:val="20"/>
        </w:rPr>
        <w:t>were</w:t>
      </w:r>
      <w:r w:rsidRPr="0099779B">
        <w:rPr>
          <w:rFonts w:cs="Arial"/>
          <w:color w:val="auto"/>
          <w:sz w:val="20"/>
          <w:lang w:eastAsia="fr-FR"/>
        </w:rPr>
        <w:t xml:space="preserve"> supported by adequate evidence wherever deemed appropriate. The follow</w:t>
      </w:r>
      <w:r>
        <w:rPr>
          <w:rFonts w:cs="Arial"/>
          <w:color w:val="auto"/>
          <w:sz w:val="20"/>
          <w:lang w:eastAsia="fr-FR"/>
        </w:rPr>
        <w:t xml:space="preserve">ing </w:t>
      </w:r>
      <w:r w:rsidRPr="0099779B">
        <w:rPr>
          <w:rFonts w:cs="Arial"/>
          <w:color w:val="auto"/>
          <w:sz w:val="20"/>
          <w:lang w:eastAsia="fr-FR"/>
        </w:rPr>
        <w:t xml:space="preserve">adjustments </w:t>
      </w:r>
      <w:r>
        <w:rPr>
          <w:rFonts w:cs="Arial"/>
          <w:color w:val="auto"/>
          <w:sz w:val="20"/>
          <w:lang w:eastAsia="fr-FR"/>
        </w:rPr>
        <w:t xml:space="preserve">were </w:t>
      </w:r>
      <w:r w:rsidRPr="0099779B">
        <w:rPr>
          <w:rFonts w:cs="Arial"/>
          <w:color w:val="auto"/>
          <w:sz w:val="20"/>
          <w:lang w:eastAsia="fr-FR"/>
        </w:rPr>
        <w:t xml:space="preserve">made are </w:t>
      </w:r>
      <w:r>
        <w:rPr>
          <w:rFonts w:cs="Arial"/>
          <w:color w:val="auto"/>
          <w:sz w:val="20"/>
          <w:lang w:eastAsia="fr-FR"/>
        </w:rPr>
        <w:t>for the fiscal years 2018, 2019</w:t>
      </w:r>
      <w:r w:rsidRPr="009C5F65">
        <w:rPr>
          <w:rFonts w:cs="Arial"/>
          <w:color w:val="auto"/>
          <w:sz w:val="20"/>
          <w:lang w:eastAsia="fr-FR"/>
        </w:rPr>
        <w:t xml:space="preserve"> </w:t>
      </w:r>
      <w:r>
        <w:rPr>
          <w:rFonts w:cs="Arial"/>
          <w:color w:val="auto"/>
          <w:sz w:val="20"/>
          <w:lang w:eastAsia="fr-FR"/>
        </w:rPr>
        <w:t>and 2020.</w:t>
      </w:r>
    </w:p>
    <w:p w14:paraId="64F60327" w14:textId="47373151" w:rsidR="002F4BAB" w:rsidRPr="00894701" w:rsidRDefault="002F4BAB" w:rsidP="002F4BAB">
      <w:pPr>
        <w:jc w:val="center"/>
        <w:rPr>
          <w:b/>
          <w:bCs/>
          <w:noProof/>
          <w:color w:val="98002E" w:themeColor="accent3"/>
          <w:sz w:val="20"/>
          <w:szCs w:val="20"/>
        </w:rPr>
      </w:pPr>
      <w:bookmarkStart w:id="483" w:name="_Toc6924848"/>
      <w:bookmarkStart w:id="484" w:name="_Toc104557739"/>
      <w:bookmarkStart w:id="485" w:name="_Toc117539620"/>
      <w:bookmarkStart w:id="486" w:name="_Toc146590529"/>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57</w:t>
      </w:r>
      <w:r w:rsidRPr="00894701">
        <w:rPr>
          <w:b/>
          <w:bCs/>
          <w:color w:val="98002E" w:themeColor="accent3"/>
          <w:sz w:val="20"/>
          <w:szCs w:val="20"/>
        </w:rPr>
        <w:fldChar w:fldCharType="end"/>
      </w:r>
      <w:r w:rsidRPr="00894701">
        <w:rPr>
          <w:b/>
          <w:bCs/>
          <w:color w:val="98002E" w:themeColor="accent3"/>
          <w:sz w:val="20"/>
          <w:szCs w:val="20"/>
        </w:rPr>
        <w:t>:Adjustments to Extractive entities’ templates</w:t>
      </w:r>
      <w:bookmarkEnd w:id="483"/>
      <w:r w:rsidRPr="00894701">
        <w:rPr>
          <w:b/>
          <w:bCs/>
          <w:color w:val="98002E" w:themeColor="accent3"/>
          <w:sz w:val="20"/>
          <w:szCs w:val="20"/>
        </w:rPr>
        <w:t xml:space="preserve"> </w:t>
      </w:r>
      <w:r w:rsidRPr="00894701">
        <w:rPr>
          <w:b/>
          <w:bCs/>
          <w:noProof/>
          <w:color w:val="98002E" w:themeColor="accent3"/>
          <w:sz w:val="20"/>
          <w:szCs w:val="20"/>
        </w:rPr>
        <w:t>for the fiscal year 2018</w:t>
      </w:r>
      <w:bookmarkEnd w:id="484"/>
      <w:bookmarkEnd w:id="485"/>
      <w:bookmarkEnd w:id="486"/>
    </w:p>
    <w:tbl>
      <w:tblPr>
        <w:tblW w:w="5000" w:type="pct"/>
        <w:tblLook w:val="04A0" w:firstRow="1" w:lastRow="0" w:firstColumn="1" w:lastColumn="0" w:noHBand="0" w:noVBand="1"/>
      </w:tblPr>
      <w:tblGrid>
        <w:gridCol w:w="6373"/>
        <w:gridCol w:w="2677"/>
      </w:tblGrid>
      <w:tr w:rsidR="002F4BAB" w:rsidRPr="00894701" w14:paraId="509A091F" w14:textId="77777777" w:rsidTr="002209C2">
        <w:trPr>
          <w:trHeight w:val="250"/>
        </w:trPr>
        <w:tc>
          <w:tcPr>
            <w:tcW w:w="3521" w:type="pct"/>
            <w:tcBorders>
              <w:top w:val="nil"/>
              <w:left w:val="nil"/>
              <w:bottom w:val="single" w:sz="8" w:space="0" w:color="FF0000"/>
              <w:right w:val="nil"/>
            </w:tcBorders>
            <w:shd w:val="clear" w:color="000000" w:fill="7A091A"/>
            <w:vAlign w:val="center"/>
            <w:hideMark/>
          </w:tcPr>
          <w:p w14:paraId="4CE3D2D2" w14:textId="77777777" w:rsidR="002F4BAB" w:rsidRPr="00894701" w:rsidRDefault="002F4BAB" w:rsidP="002209C2">
            <w:pPr>
              <w:spacing w:after="0" w:line="240" w:lineRule="auto"/>
              <w:rPr>
                <w:rFonts w:cs="Arial"/>
                <w:b/>
                <w:bCs/>
                <w:color w:val="FFFFFF"/>
                <w:kern w:val="0"/>
                <w:sz w:val="16"/>
                <w:szCs w:val="16"/>
              </w:rPr>
            </w:pPr>
            <w:r w:rsidRPr="00894701">
              <w:rPr>
                <w:rFonts w:cs="Arial"/>
                <w:b/>
                <w:bCs/>
                <w:color w:val="FFFFFF"/>
                <w:kern w:val="0"/>
                <w:sz w:val="16"/>
                <w:szCs w:val="16"/>
              </w:rPr>
              <w:t>Adjustments to extractive company payments</w:t>
            </w:r>
          </w:p>
        </w:tc>
        <w:tc>
          <w:tcPr>
            <w:tcW w:w="1479" w:type="pct"/>
            <w:tcBorders>
              <w:top w:val="nil"/>
              <w:left w:val="nil"/>
              <w:bottom w:val="single" w:sz="8" w:space="0" w:color="FF0000"/>
              <w:right w:val="nil"/>
            </w:tcBorders>
            <w:shd w:val="clear" w:color="000000" w:fill="7A091A"/>
            <w:vAlign w:val="center"/>
            <w:hideMark/>
          </w:tcPr>
          <w:p w14:paraId="5B1BB275" w14:textId="77777777" w:rsidR="002F4BAB" w:rsidRPr="00894701" w:rsidRDefault="002F4BAB" w:rsidP="002209C2">
            <w:pPr>
              <w:spacing w:after="0" w:line="240" w:lineRule="auto"/>
              <w:jc w:val="right"/>
              <w:rPr>
                <w:rFonts w:cs="Arial"/>
                <w:b/>
                <w:bCs/>
                <w:color w:val="FFFFFF"/>
                <w:kern w:val="0"/>
                <w:sz w:val="16"/>
                <w:szCs w:val="16"/>
              </w:rPr>
            </w:pPr>
            <w:r w:rsidRPr="00894701">
              <w:rPr>
                <w:rFonts w:cs="Arial"/>
                <w:b/>
                <w:bCs/>
                <w:color w:val="FFFFFF"/>
                <w:kern w:val="0"/>
                <w:sz w:val="16"/>
                <w:szCs w:val="16"/>
              </w:rPr>
              <w:t>Total Amount (SRD)</w:t>
            </w:r>
          </w:p>
        </w:tc>
      </w:tr>
      <w:tr w:rsidR="002F4BAB" w:rsidRPr="00894701" w14:paraId="018AC09B" w14:textId="77777777" w:rsidTr="002209C2">
        <w:trPr>
          <w:trHeight w:val="240"/>
        </w:trPr>
        <w:tc>
          <w:tcPr>
            <w:tcW w:w="3521" w:type="pct"/>
            <w:tcBorders>
              <w:top w:val="nil"/>
              <w:left w:val="nil"/>
              <w:bottom w:val="nil"/>
              <w:right w:val="nil"/>
            </w:tcBorders>
            <w:shd w:val="clear" w:color="000000" w:fill="F7A3B0"/>
            <w:noWrap/>
            <w:vAlign w:val="center"/>
            <w:hideMark/>
          </w:tcPr>
          <w:p w14:paraId="405CC334" w14:textId="0D1C1B9B" w:rsidR="002F4BAB" w:rsidRPr="00894701" w:rsidRDefault="001A5C76" w:rsidP="002209C2">
            <w:pPr>
              <w:spacing w:after="0" w:line="240" w:lineRule="auto"/>
              <w:rPr>
                <w:rFonts w:cs="Arial"/>
                <w:color w:val="auto"/>
                <w:kern w:val="0"/>
                <w:sz w:val="16"/>
                <w:szCs w:val="16"/>
              </w:rPr>
            </w:pPr>
            <w:r w:rsidRPr="00894701">
              <w:rPr>
                <w:rFonts w:cs="Arial"/>
                <w:color w:val="auto"/>
                <w:sz w:val="16"/>
                <w:szCs w:val="16"/>
              </w:rPr>
              <w:t>Tax</w:t>
            </w:r>
            <w:r>
              <w:rPr>
                <w:rFonts w:cs="Arial"/>
                <w:color w:val="auto"/>
                <w:sz w:val="16"/>
                <w:szCs w:val="16"/>
              </w:rPr>
              <w:t>es</w:t>
            </w:r>
            <w:r w:rsidRPr="00894701">
              <w:rPr>
                <w:rFonts w:cs="Arial"/>
                <w:color w:val="auto"/>
                <w:sz w:val="16"/>
                <w:szCs w:val="16"/>
              </w:rPr>
              <w:t xml:space="preserve"> </w:t>
            </w:r>
            <w:r w:rsidR="002F4BAB" w:rsidRPr="00894701">
              <w:rPr>
                <w:rFonts w:cs="Arial"/>
                <w:color w:val="auto"/>
                <w:sz w:val="16"/>
                <w:szCs w:val="16"/>
              </w:rPr>
              <w:t>paid not reported</w:t>
            </w:r>
          </w:p>
        </w:tc>
        <w:tc>
          <w:tcPr>
            <w:tcW w:w="1479" w:type="pct"/>
            <w:tcBorders>
              <w:top w:val="nil"/>
              <w:left w:val="nil"/>
              <w:bottom w:val="nil"/>
              <w:right w:val="nil"/>
            </w:tcBorders>
            <w:shd w:val="clear" w:color="000000" w:fill="F7A3B0"/>
            <w:noWrap/>
            <w:vAlign w:val="center"/>
            <w:hideMark/>
          </w:tcPr>
          <w:p w14:paraId="41B96CAB"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 xml:space="preserve">                       926,558 </w:t>
            </w:r>
          </w:p>
        </w:tc>
      </w:tr>
      <w:tr w:rsidR="002F4BAB" w:rsidRPr="00894701" w14:paraId="122181AA" w14:textId="77777777" w:rsidTr="002209C2">
        <w:trPr>
          <w:trHeight w:val="240"/>
        </w:trPr>
        <w:tc>
          <w:tcPr>
            <w:tcW w:w="3521" w:type="pct"/>
            <w:tcBorders>
              <w:top w:val="nil"/>
              <w:left w:val="nil"/>
              <w:bottom w:val="nil"/>
              <w:right w:val="nil"/>
            </w:tcBorders>
            <w:shd w:val="clear" w:color="auto" w:fill="auto"/>
            <w:noWrap/>
            <w:vAlign w:val="center"/>
          </w:tcPr>
          <w:p w14:paraId="430B9DAD" w14:textId="7ADBD589" w:rsidR="002F4BAB" w:rsidRPr="00894701" w:rsidRDefault="001A5C76" w:rsidP="002209C2">
            <w:pPr>
              <w:spacing w:after="0" w:line="240" w:lineRule="auto"/>
              <w:rPr>
                <w:rFonts w:cs="Arial"/>
                <w:color w:val="auto"/>
                <w:kern w:val="0"/>
                <w:sz w:val="16"/>
                <w:szCs w:val="16"/>
              </w:rPr>
            </w:pPr>
            <w:r w:rsidRPr="00894701">
              <w:rPr>
                <w:rFonts w:cs="Arial"/>
                <w:color w:val="auto"/>
                <w:sz w:val="16"/>
                <w:szCs w:val="16"/>
              </w:rPr>
              <w:t>Tax</w:t>
            </w:r>
            <w:r>
              <w:rPr>
                <w:rFonts w:cs="Arial"/>
                <w:color w:val="auto"/>
                <w:sz w:val="16"/>
                <w:szCs w:val="16"/>
              </w:rPr>
              <w:t>es</w:t>
            </w:r>
            <w:r w:rsidRPr="00894701">
              <w:rPr>
                <w:rFonts w:cs="Arial"/>
                <w:color w:val="auto"/>
                <w:sz w:val="16"/>
                <w:szCs w:val="16"/>
              </w:rPr>
              <w:t xml:space="preserve"> </w:t>
            </w:r>
            <w:r w:rsidR="002F4BAB" w:rsidRPr="00894701">
              <w:rPr>
                <w:rFonts w:cs="Arial"/>
                <w:color w:val="auto"/>
                <w:sz w:val="16"/>
                <w:szCs w:val="16"/>
              </w:rPr>
              <w:t xml:space="preserve">paid reported but outside the period covered </w:t>
            </w:r>
          </w:p>
        </w:tc>
        <w:tc>
          <w:tcPr>
            <w:tcW w:w="1479" w:type="pct"/>
            <w:tcBorders>
              <w:top w:val="nil"/>
              <w:left w:val="nil"/>
              <w:bottom w:val="nil"/>
              <w:right w:val="nil"/>
            </w:tcBorders>
            <w:shd w:val="clear" w:color="auto" w:fill="auto"/>
            <w:noWrap/>
            <w:vAlign w:val="center"/>
          </w:tcPr>
          <w:p w14:paraId="2FACC580"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 xml:space="preserve">                  (19,712,936)</w:t>
            </w:r>
          </w:p>
        </w:tc>
      </w:tr>
      <w:tr w:rsidR="002F4BAB" w:rsidRPr="00894701" w14:paraId="55233239" w14:textId="77777777" w:rsidTr="002209C2">
        <w:trPr>
          <w:trHeight w:val="240"/>
        </w:trPr>
        <w:tc>
          <w:tcPr>
            <w:tcW w:w="3521" w:type="pct"/>
            <w:tcBorders>
              <w:top w:val="nil"/>
              <w:left w:val="nil"/>
              <w:bottom w:val="nil"/>
              <w:right w:val="nil"/>
            </w:tcBorders>
            <w:shd w:val="clear" w:color="000000" w:fill="F7A3B0"/>
            <w:noWrap/>
            <w:vAlign w:val="center"/>
            <w:hideMark/>
          </w:tcPr>
          <w:p w14:paraId="2A781925" w14:textId="29BAC1B6" w:rsidR="002F4BAB" w:rsidRPr="00894701" w:rsidRDefault="001A5C76" w:rsidP="002209C2">
            <w:pPr>
              <w:spacing w:after="0" w:line="240" w:lineRule="auto"/>
              <w:rPr>
                <w:rFonts w:cs="Arial"/>
                <w:color w:val="auto"/>
                <w:kern w:val="0"/>
                <w:sz w:val="16"/>
                <w:szCs w:val="16"/>
              </w:rPr>
            </w:pPr>
            <w:r w:rsidRPr="00894701">
              <w:rPr>
                <w:rFonts w:cs="Arial"/>
                <w:color w:val="auto"/>
                <w:sz w:val="16"/>
                <w:szCs w:val="16"/>
              </w:rPr>
              <w:t>Tax</w:t>
            </w:r>
            <w:r>
              <w:rPr>
                <w:rFonts w:cs="Arial"/>
                <w:color w:val="auto"/>
                <w:sz w:val="16"/>
                <w:szCs w:val="16"/>
              </w:rPr>
              <w:t>es</w:t>
            </w:r>
            <w:r w:rsidRPr="00894701">
              <w:rPr>
                <w:rFonts w:cs="Arial"/>
                <w:color w:val="auto"/>
                <w:sz w:val="16"/>
                <w:szCs w:val="16"/>
              </w:rPr>
              <w:t xml:space="preserve"> </w:t>
            </w:r>
            <w:r w:rsidR="002F4BAB" w:rsidRPr="00894701">
              <w:rPr>
                <w:rFonts w:cs="Arial"/>
                <w:color w:val="auto"/>
                <w:sz w:val="16"/>
                <w:szCs w:val="16"/>
              </w:rPr>
              <w:t>related to activity other than mining</w:t>
            </w:r>
          </w:p>
        </w:tc>
        <w:tc>
          <w:tcPr>
            <w:tcW w:w="1479" w:type="pct"/>
            <w:tcBorders>
              <w:top w:val="nil"/>
              <w:left w:val="nil"/>
              <w:bottom w:val="nil"/>
              <w:right w:val="nil"/>
            </w:tcBorders>
            <w:shd w:val="clear" w:color="000000" w:fill="F7A3B0"/>
            <w:noWrap/>
            <w:vAlign w:val="center"/>
            <w:hideMark/>
          </w:tcPr>
          <w:p w14:paraId="5C6977BB"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 xml:space="preserve">                  (94,456,561)</w:t>
            </w:r>
          </w:p>
        </w:tc>
      </w:tr>
      <w:tr w:rsidR="002F4BAB" w:rsidRPr="00894701" w14:paraId="4E4780EF" w14:textId="77777777" w:rsidTr="002209C2">
        <w:trPr>
          <w:trHeight w:val="250"/>
        </w:trPr>
        <w:tc>
          <w:tcPr>
            <w:tcW w:w="3521" w:type="pct"/>
            <w:tcBorders>
              <w:top w:val="nil"/>
              <w:left w:val="nil"/>
              <w:bottom w:val="single" w:sz="8" w:space="0" w:color="FF0000"/>
              <w:right w:val="nil"/>
            </w:tcBorders>
            <w:shd w:val="clear" w:color="000000" w:fill="7A091A"/>
            <w:vAlign w:val="center"/>
            <w:hideMark/>
          </w:tcPr>
          <w:p w14:paraId="424AA71F" w14:textId="77777777" w:rsidR="002F4BAB" w:rsidRPr="00894701" w:rsidRDefault="002F4BAB" w:rsidP="002209C2">
            <w:pPr>
              <w:spacing w:after="0" w:line="240" w:lineRule="auto"/>
              <w:rPr>
                <w:rFonts w:cs="Arial"/>
                <w:b/>
                <w:bCs/>
                <w:color w:val="FFFFFF"/>
                <w:kern w:val="0"/>
                <w:sz w:val="16"/>
                <w:szCs w:val="16"/>
              </w:rPr>
            </w:pPr>
            <w:r w:rsidRPr="00894701">
              <w:rPr>
                <w:rFonts w:cs="Arial"/>
                <w:b/>
                <w:bCs/>
                <w:color w:val="FFFFFF"/>
                <w:kern w:val="0"/>
                <w:sz w:val="16"/>
                <w:szCs w:val="16"/>
              </w:rPr>
              <w:t>Total added to amounts originally reported</w:t>
            </w:r>
          </w:p>
        </w:tc>
        <w:tc>
          <w:tcPr>
            <w:tcW w:w="1479" w:type="pct"/>
            <w:tcBorders>
              <w:top w:val="nil"/>
              <w:left w:val="nil"/>
              <w:bottom w:val="single" w:sz="8" w:space="0" w:color="FF0000"/>
              <w:right w:val="nil"/>
            </w:tcBorders>
            <w:shd w:val="clear" w:color="000000" w:fill="7A091A"/>
            <w:vAlign w:val="center"/>
            <w:hideMark/>
          </w:tcPr>
          <w:p w14:paraId="44FA381D" w14:textId="77777777" w:rsidR="002F4BAB" w:rsidRPr="00894701" w:rsidRDefault="002F4BAB" w:rsidP="002209C2">
            <w:pPr>
              <w:spacing w:after="0" w:line="240" w:lineRule="auto"/>
              <w:jc w:val="right"/>
              <w:rPr>
                <w:rFonts w:cs="Arial"/>
                <w:b/>
                <w:bCs/>
                <w:color w:val="FFFFFF"/>
                <w:kern w:val="0"/>
                <w:sz w:val="16"/>
                <w:szCs w:val="16"/>
              </w:rPr>
            </w:pPr>
            <w:r w:rsidRPr="00894701">
              <w:rPr>
                <w:rFonts w:cs="Arial"/>
                <w:b/>
                <w:bCs/>
                <w:color w:val="FFFFFF"/>
                <w:sz w:val="16"/>
                <w:szCs w:val="16"/>
              </w:rPr>
              <w:t xml:space="preserve">              (113,242,939)</w:t>
            </w:r>
          </w:p>
        </w:tc>
      </w:tr>
    </w:tbl>
    <w:p w14:paraId="282A26D8" w14:textId="77777777" w:rsidR="002F4BAB" w:rsidRPr="00894701" w:rsidRDefault="002F4BAB" w:rsidP="002F4BAB">
      <w:pPr>
        <w:jc w:val="center"/>
        <w:rPr>
          <w:b/>
          <w:bCs/>
          <w:color w:val="98002E" w:themeColor="accent3"/>
          <w:sz w:val="20"/>
          <w:szCs w:val="20"/>
        </w:rPr>
      </w:pPr>
    </w:p>
    <w:p w14:paraId="7420F406" w14:textId="2B6BD8E1" w:rsidR="002F4BAB" w:rsidRPr="00894701" w:rsidRDefault="002F4BAB" w:rsidP="002F4BAB">
      <w:pPr>
        <w:pStyle w:val="BodyText"/>
        <w:jc w:val="center"/>
        <w:rPr>
          <w:b/>
          <w:bCs/>
          <w:color w:val="98002E" w:themeColor="accent3"/>
          <w:sz w:val="20"/>
          <w:szCs w:val="20"/>
        </w:rPr>
      </w:pPr>
      <w:bookmarkStart w:id="487" w:name="_Toc117539621"/>
      <w:bookmarkStart w:id="488" w:name="_Toc146590530"/>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58</w:t>
      </w:r>
      <w:r w:rsidRPr="00894701">
        <w:rPr>
          <w:b/>
          <w:bCs/>
          <w:color w:val="98002E" w:themeColor="accent3"/>
          <w:sz w:val="20"/>
          <w:szCs w:val="20"/>
        </w:rPr>
        <w:fldChar w:fldCharType="end"/>
      </w:r>
      <w:r w:rsidRPr="00894701">
        <w:rPr>
          <w:b/>
          <w:bCs/>
          <w:color w:val="98002E" w:themeColor="accent3"/>
          <w:sz w:val="20"/>
          <w:szCs w:val="20"/>
        </w:rPr>
        <w:t>:  Adjustments to Extractive entities’ templates for the fiscal year 2019</w:t>
      </w:r>
      <w:bookmarkEnd w:id="487"/>
      <w:bookmarkEnd w:id="488"/>
    </w:p>
    <w:tbl>
      <w:tblPr>
        <w:tblW w:w="5000" w:type="pct"/>
        <w:tblLook w:val="04A0" w:firstRow="1" w:lastRow="0" w:firstColumn="1" w:lastColumn="0" w:noHBand="0" w:noVBand="1"/>
      </w:tblPr>
      <w:tblGrid>
        <w:gridCol w:w="6373"/>
        <w:gridCol w:w="2677"/>
      </w:tblGrid>
      <w:tr w:rsidR="002F4BAB" w:rsidRPr="00894701" w14:paraId="2A266169" w14:textId="77777777" w:rsidTr="002209C2">
        <w:trPr>
          <w:trHeight w:val="250"/>
        </w:trPr>
        <w:tc>
          <w:tcPr>
            <w:tcW w:w="3521" w:type="pct"/>
            <w:tcBorders>
              <w:top w:val="nil"/>
              <w:left w:val="nil"/>
              <w:bottom w:val="single" w:sz="8" w:space="0" w:color="FF0000"/>
              <w:right w:val="nil"/>
            </w:tcBorders>
            <w:shd w:val="clear" w:color="000000" w:fill="7A091A"/>
            <w:vAlign w:val="center"/>
            <w:hideMark/>
          </w:tcPr>
          <w:p w14:paraId="2F3E75EE" w14:textId="77777777" w:rsidR="002F4BAB" w:rsidRPr="00894701" w:rsidRDefault="002F4BAB" w:rsidP="002209C2">
            <w:pPr>
              <w:spacing w:after="0" w:line="240" w:lineRule="auto"/>
              <w:rPr>
                <w:rFonts w:cs="Arial"/>
                <w:b/>
                <w:bCs/>
                <w:color w:val="FFFFFF"/>
                <w:kern w:val="0"/>
                <w:sz w:val="16"/>
                <w:szCs w:val="16"/>
              </w:rPr>
            </w:pPr>
            <w:r w:rsidRPr="00894701">
              <w:rPr>
                <w:rFonts w:cs="Arial"/>
                <w:b/>
                <w:bCs/>
                <w:color w:val="FFFFFF"/>
                <w:kern w:val="0"/>
                <w:sz w:val="16"/>
                <w:szCs w:val="16"/>
              </w:rPr>
              <w:t>Adjustments to extractive company payments</w:t>
            </w:r>
          </w:p>
        </w:tc>
        <w:tc>
          <w:tcPr>
            <w:tcW w:w="1479" w:type="pct"/>
            <w:tcBorders>
              <w:top w:val="nil"/>
              <w:left w:val="nil"/>
              <w:bottom w:val="single" w:sz="8" w:space="0" w:color="FF0000"/>
              <w:right w:val="nil"/>
            </w:tcBorders>
            <w:shd w:val="clear" w:color="000000" w:fill="7A091A"/>
            <w:vAlign w:val="center"/>
            <w:hideMark/>
          </w:tcPr>
          <w:p w14:paraId="0A3EE6BC" w14:textId="77777777" w:rsidR="002F4BAB" w:rsidRPr="00894701" w:rsidRDefault="002F4BAB" w:rsidP="002209C2">
            <w:pPr>
              <w:spacing w:after="0" w:line="240" w:lineRule="auto"/>
              <w:jc w:val="right"/>
              <w:rPr>
                <w:rFonts w:cs="Arial"/>
                <w:b/>
                <w:bCs/>
                <w:color w:val="FFFFFF"/>
                <w:kern w:val="0"/>
                <w:sz w:val="16"/>
                <w:szCs w:val="16"/>
              </w:rPr>
            </w:pPr>
            <w:r w:rsidRPr="00894701">
              <w:rPr>
                <w:rFonts w:cs="Arial"/>
                <w:b/>
                <w:bCs/>
                <w:color w:val="FFFFFF"/>
                <w:kern w:val="0"/>
                <w:sz w:val="16"/>
                <w:szCs w:val="16"/>
              </w:rPr>
              <w:t>Total Amount (SRD)</w:t>
            </w:r>
          </w:p>
        </w:tc>
      </w:tr>
      <w:tr w:rsidR="002F4BAB" w:rsidRPr="00894701" w14:paraId="50B25F03" w14:textId="77777777" w:rsidTr="002209C2">
        <w:trPr>
          <w:trHeight w:val="240"/>
        </w:trPr>
        <w:tc>
          <w:tcPr>
            <w:tcW w:w="3521" w:type="pct"/>
            <w:tcBorders>
              <w:top w:val="nil"/>
              <w:left w:val="nil"/>
              <w:bottom w:val="nil"/>
              <w:right w:val="nil"/>
            </w:tcBorders>
            <w:shd w:val="clear" w:color="000000" w:fill="F7A3B0"/>
            <w:noWrap/>
            <w:vAlign w:val="center"/>
            <w:hideMark/>
          </w:tcPr>
          <w:p w14:paraId="1D73CBF1" w14:textId="2F7993B8" w:rsidR="002F4BAB" w:rsidRPr="00894701" w:rsidRDefault="001A5C76" w:rsidP="002209C2">
            <w:pPr>
              <w:spacing w:after="0" w:line="240" w:lineRule="auto"/>
              <w:rPr>
                <w:rFonts w:cs="Arial"/>
                <w:color w:val="auto"/>
                <w:kern w:val="0"/>
                <w:sz w:val="16"/>
                <w:szCs w:val="16"/>
              </w:rPr>
            </w:pPr>
            <w:r w:rsidRPr="00894701">
              <w:rPr>
                <w:rFonts w:cs="Arial"/>
                <w:color w:val="auto"/>
                <w:sz w:val="16"/>
                <w:szCs w:val="16"/>
              </w:rPr>
              <w:t>Tax</w:t>
            </w:r>
            <w:r>
              <w:rPr>
                <w:rFonts w:cs="Arial"/>
                <w:color w:val="auto"/>
                <w:sz w:val="16"/>
                <w:szCs w:val="16"/>
              </w:rPr>
              <w:t>es</w:t>
            </w:r>
            <w:r w:rsidRPr="00894701">
              <w:rPr>
                <w:rFonts w:cs="Arial"/>
                <w:color w:val="auto"/>
                <w:sz w:val="16"/>
                <w:szCs w:val="16"/>
              </w:rPr>
              <w:t xml:space="preserve"> </w:t>
            </w:r>
            <w:r w:rsidR="002F4BAB" w:rsidRPr="00894701">
              <w:rPr>
                <w:rFonts w:cs="Arial"/>
                <w:color w:val="auto"/>
                <w:sz w:val="16"/>
                <w:szCs w:val="16"/>
              </w:rPr>
              <w:t>paid not reported</w:t>
            </w:r>
          </w:p>
        </w:tc>
        <w:tc>
          <w:tcPr>
            <w:tcW w:w="1479" w:type="pct"/>
            <w:tcBorders>
              <w:top w:val="nil"/>
              <w:left w:val="nil"/>
              <w:bottom w:val="nil"/>
              <w:right w:val="nil"/>
            </w:tcBorders>
            <w:shd w:val="clear" w:color="000000" w:fill="F7A3B0"/>
            <w:noWrap/>
            <w:vAlign w:val="center"/>
            <w:hideMark/>
          </w:tcPr>
          <w:p w14:paraId="7E63AB5F"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000000"/>
                <w:sz w:val="16"/>
                <w:szCs w:val="16"/>
              </w:rPr>
              <w:t xml:space="preserve">                   19,891,479 </w:t>
            </w:r>
          </w:p>
        </w:tc>
      </w:tr>
      <w:tr w:rsidR="002F4BAB" w:rsidRPr="00894701" w14:paraId="6C8930FC" w14:textId="77777777" w:rsidTr="002209C2">
        <w:trPr>
          <w:trHeight w:val="240"/>
        </w:trPr>
        <w:tc>
          <w:tcPr>
            <w:tcW w:w="3521" w:type="pct"/>
            <w:tcBorders>
              <w:top w:val="nil"/>
              <w:left w:val="nil"/>
              <w:bottom w:val="nil"/>
              <w:right w:val="nil"/>
            </w:tcBorders>
            <w:shd w:val="clear" w:color="auto" w:fill="auto"/>
            <w:noWrap/>
            <w:vAlign w:val="center"/>
          </w:tcPr>
          <w:p w14:paraId="65F3C789" w14:textId="68CE362D" w:rsidR="002F4BAB" w:rsidRPr="00894701" w:rsidRDefault="001A5C76" w:rsidP="002209C2">
            <w:pPr>
              <w:spacing w:after="0" w:line="240" w:lineRule="auto"/>
              <w:rPr>
                <w:rFonts w:cs="Arial"/>
                <w:color w:val="auto"/>
                <w:kern w:val="0"/>
                <w:sz w:val="16"/>
                <w:szCs w:val="16"/>
              </w:rPr>
            </w:pPr>
            <w:r w:rsidRPr="00894701">
              <w:rPr>
                <w:rFonts w:cs="Arial"/>
                <w:color w:val="auto"/>
                <w:sz w:val="16"/>
                <w:szCs w:val="16"/>
              </w:rPr>
              <w:t>Tax</w:t>
            </w:r>
            <w:r>
              <w:rPr>
                <w:rFonts w:cs="Arial"/>
                <w:color w:val="auto"/>
                <w:sz w:val="16"/>
                <w:szCs w:val="16"/>
              </w:rPr>
              <w:t>es</w:t>
            </w:r>
            <w:r w:rsidRPr="00894701">
              <w:rPr>
                <w:rFonts w:cs="Arial"/>
                <w:color w:val="auto"/>
                <w:sz w:val="16"/>
                <w:szCs w:val="16"/>
              </w:rPr>
              <w:t xml:space="preserve"> </w:t>
            </w:r>
            <w:r w:rsidR="002F4BAB" w:rsidRPr="00894701">
              <w:rPr>
                <w:rFonts w:cs="Arial"/>
                <w:color w:val="auto"/>
                <w:sz w:val="16"/>
                <w:szCs w:val="16"/>
              </w:rPr>
              <w:t xml:space="preserve">paid reported but outside the period covered </w:t>
            </w:r>
          </w:p>
        </w:tc>
        <w:tc>
          <w:tcPr>
            <w:tcW w:w="1479" w:type="pct"/>
            <w:tcBorders>
              <w:top w:val="nil"/>
              <w:left w:val="nil"/>
              <w:bottom w:val="nil"/>
              <w:right w:val="nil"/>
            </w:tcBorders>
            <w:shd w:val="clear" w:color="auto" w:fill="auto"/>
            <w:noWrap/>
            <w:vAlign w:val="center"/>
          </w:tcPr>
          <w:p w14:paraId="543ABD9E" w14:textId="77777777" w:rsidR="002F4BAB" w:rsidRPr="00894701" w:rsidRDefault="002F4BAB" w:rsidP="002209C2">
            <w:pPr>
              <w:spacing w:after="0" w:line="240" w:lineRule="auto"/>
              <w:jc w:val="right"/>
              <w:rPr>
                <w:rFonts w:cs="Arial"/>
                <w:color w:val="auto"/>
                <w:kern w:val="0"/>
                <w:sz w:val="16"/>
                <w:szCs w:val="16"/>
              </w:rPr>
            </w:pPr>
            <w:r w:rsidRPr="00894701">
              <w:rPr>
                <w:rFonts w:cs="Arial"/>
                <w:sz w:val="16"/>
                <w:szCs w:val="16"/>
              </w:rPr>
              <w:t xml:space="preserve">                  (17,582,357)</w:t>
            </w:r>
          </w:p>
        </w:tc>
      </w:tr>
      <w:tr w:rsidR="002F4BAB" w:rsidRPr="00894701" w14:paraId="61CCF6D1" w14:textId="77777777" w:rsidTr="002209C2">
        <w:trPr>
          <w:trHeight w:val="240"/>
        </w:trPr>
        <w:tc>
          <w:tcPr>
            <w:tcW w:w="3521" w:type="pct"/>
            <w:tcBorders>
              <w:top w:val="nil"/>
              <w:left w:val="nil"/>
              <w:bottom w:val="nil"/>
              <w:right w:val="nil"/>
            </w:tcBorders>
            <w:shd w:val="clear" w:color="000000" w:fill="F7A3B0"/>
            <w:noWrap/>
            <w:vAlign w:val="center"/>
            <w:hideMark/>
          </w:tcPr>
          <w:p w14:paraId="66292489" w14:textId="0310CB9B" w:rsidR="002F4BAB" w:rsidRPr="00894701" w:rsidRDefault="001A5C76" w:rsidP="002209C2">
            <w:pPr>
              <w:spacing w:after="0" w:line="240" w:lineRule="auto"/>
              <w:rPr>
                <w:rFonts w:cs="Arial"/>
                <w:color w:val="auto"/>
                <w:kern w:val="0"/>
                <w:sz w:val="16"/>
                <w:szCs w:val="16"/>
              </w:rPr>
            </w:pPr>
            <w:r w:rsidRPr="00894701">
              <w:rPr>
                <w:rFonts w:cs="Arial"/>
                <w:color w:val="auto"/>
                <w:sz w:val="16"/>
                <w:szCs w:val="16"/>
              </w:rPr>
              <w:t>Tax</w:t>
            </w:r>
            <w:r>
              <w:rPr>
                <w:rFonts w:cs="Arial"/>
                <w:color w:val="auto"/>
                <w:sz w:val="16"/>
                <w:szCs w:val="16"/>
              </w:rPr>
              <w:t>es</w:t>
            </w:r>
            <w:r w:rsidRPr="00894701">
              <w:rPr>
                <w:rFonts w:cs="Arial"/>
                <w:color w:val="auto"/>
                <w:sz w:val="16"/>
                <w:szCs w:val="16"/>
              </w:rPr>
              <w:t xml:space="preserve"> </w:t>
            </w:r>
            <w:r w:rsidR="002F4BAB" w:rsidRPr="00894701">
              <w:rPr>
                <w:rFonts w:cs="Arial"/>
                <w:color w:val="auto"/>
                <w:sz w:val="16"/>
                <w:szCs w:val="16"/>
              </w:rPr>
              <w:t>related to activity other than mining</w:t>
            </w:r>
          </w:p>
        </w:tc>
        <w:tc>
          <w:tcPr>
            <w:tcW w:w="1479" w:type="pct"/>
            <w:tcBorders>
              <w:top w:val="nil"/>
              <w:left w:val="nil"/>
              <w:bottom w:val="nil"/>
              <w:right w:val="nil"/>
            </w:tcBorders>
            <w:shd w:val="clear" w:color="000000" w:fill="F7A3B0"/>
            <w:noWrap/>
            <w:vAlign w:val="center"/>
            <w:hideMark/>
          </w:tcPr>
          <w:p w14:paraId="536B98AD"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000000"/>
                <w:sz w:val="16"/>
                <w:szCs w:val="16"/>
              </w:rPr>
              <w:t xml:space="preserve">                  (50,056,128)</w:t>
            </w:r>
          </w:p>
        </w:tc>
      </w:tr>
      <w:tr w:rsidR="002F4BAB" w:rsidRPr="00894701" w14:paraId="36EACFBF" w14:textId="77777777" w:rsidTr="002209C2">
        <w:trPr>
          <w:trHeight w:val="250"/>
        </w:trPr>
        <w:tc>
          <w:tcPr>
            <w:tcW w:w="3521" w:type="pct"/>
            <w:tcBorders>
              <w:top w:val="nil"/>
              <w:left w:val="nil"/>
              <w:bottom w:val="single" w:sz="8" w:space="0" w:color="FF0000"/>
              <w:right w:val="nil"/>
            </w:tcBorders>
            <w:shd w:val="clear" w:color="000000" w:fill="7A091A"/>
            <w:vAlign w:val="center"/>
            <w:hideMark/>
          </w:tcPr>
          <w:p w14:paraId="0F25A531" w14:textId="77777777" w:rsidR="002F4BAB" w:rsidRPr="00894701" w:rsidRDefault="002F4BAB" w:rsidP="002209C2">
            <w:pPr>
              <w:spacing w:after="0" w:line="240" w:lineRule="auto"/>
              <w:rPr>
                <w:rFonts w:cs="Arial"/>
                <w:b/>
                <w:bCs/>
                <w:color w:val="FFFFFF"/>
                <w:kern w:val="0"/>
                <w:sz w:val="16"/>
                <w:szCs w:val="16"/>
              </w:rPr>
            </w:pPr>
            <w:r w:rsidRPr="00894701">
              <w:rPr>
                <w:rFonts w:cs="Arial"/>
                <w:b/>
                <w:bCs/>
                <w:color w:val="FFFFFF"/>
                <w:kern w:val="0"/>
                <w:sz w:val="16"/>
                <w:szCs w:val="16"/>
              </w:rPr>
              <w:t>Total added to amounts originally reported</w:t>
            </w:r>
          </w:p>
        </w:tc>
        <w:tc>
          <w:tcPr>
            <w:tcW w:w="1479" w:type="pct"/>
            <w:tcBorders>
              <w:top w:val="nil"/>
              <w:left w:val="nil"/>
              <w:bottom w:val="single" w:sz="8" w:space="0" w:color="FF0000"/>
              <w:right w:val="nil"/>
            </w:tcBorders>
            <w:shd w:val="clear" w:color="000000" w:fill="7A091A"/>
            <w:vAlign w:val="center"/>
            <w:hideMark/>
          </w:tcPr>
          <w:p w14:paraId="323F068B" w14:textId="77777777" w:rsidR="002F4BAB" w:rsidRPr="00894701" w:rsidRDefault="002F4BAB" w:rsidP="002209C2">
            <w:pPr>
              <w:spacing w:after="0" w:line="240" w:lineRule="auto"/>
              <w:jc w:val="right"/>
              <w:rPr>
                <w:rFonts w:cs="Arial"/>
                <w:b/>
                <w:bCs/>
                <w:color w:val="FFFFFF"/>
                <w:kern w:val="0"/>
                <w:sz w:val="16"/>
                <w:szCs w:val="16"/>
              </w:rPr>
            </w:pPr>
            <w:r w:rsidRPr="00894701">
              <w:rPr>
                <w:rFonts w:cs="Arial"/>
                <w:b/>
                <w:bCs/>
                <w:color w:val="FFFFFF"/>
                <w:sz w:val="16"/>
                <w:szCs w:val="16"/>
              </w:rPr>
              <w:t xml:space="preserve">                (47,747,006)</w:t>
            </w:r>
          </w:p>
        </w:tc>
      </w:tr>
    </w:tbl>
    <w:p w14:paraId="6930B6A3" w14:textId="77777777" w:rsidR="002F4BAB" w:rsidRPr="00894701" w:rsidRDefault="002F4BAB" w:rsidP="002F4BAB">
      <w:pPr>
        <w:rPr>
          <w:lang w:eastAsia="en-US"/>
        </w:rPr>
      </w:pPr>
    </w:p>
    <w:p w14:paraId="0CDB8CC5" w14:textId="636BEB28" w:rsidR="002F4BAB" w:rsidRPr="00894701" w:rsidRDefault="002F4BAB" w:rsidP="002F4BAB">
      <w:pPr>
        <w:pStyle w:val="BodyText"/>
        <w:jc w:val="center"/>
        <w:rPr>
          <w:b/>
          <w:bCs/>
          <w:color w:val="98002E" w:themeColor="accent3"/>
          <w:sz w:val="20"/>
          <w:szCs w:val="20"/>
        </w:rPr>
      </w:pPr>
      <w:bookmarkStart w:id="489" w:name="_Toc146590531"/>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59</w:t>
      </w:r>
      <w:r w:rsidRPr="00894701">
        <w:rPr>
          <w:b/>
          <w:bCs/>
          <w:color w:val="98002E" w:themeColor="accent3"/>
          <w:sz w:val="20"/>
          <w:szCs w:val="20"/>
        </w:rPr>
        <w:fldChar w:fldCharType="end"/>
      </w:r>
      <w:r w:rsidRPr="00894701">
        <w:rPr>
          <w:b/>
          <w:bCs/>
          <w:color w:val="98002E" w:themeColor="accent3"/>
          <w:sz w:val="20"/>
          <w:szCs w:val="20"/>
        </w:rPr>
        <w:t>:  Adjustments to Extractive entities’ templates for the fiscal year 2020</w:t>
      </w:r>
      <w:bookmarkEnd w:id="489"/>
    </w:p>
    <w:tbl>
      <w:tblPr>
        <w:tblW w:w="5000" w:type="pct"/>
        <w:tblLook w:val="04A0" w:firstRow="1" w:lastRow="0" w:firstColumn="1" w:lastColumn="0" w:noHBand="0" w:noVBand="1"/>
      </w:tblPr>
      <w:tblGrid>
        <w:gridCol w:w="6373"/>
        <w:gridCol w:w="2677"/>
      </w:tblGrid>
      <w:tr w:rsidR="002F4BAB" w:rsidRPr="00894701" w14:paraId="43F13057" w14:textId="77777777" w:rsidTr="002209C2">
        <w:trPr>
          <w:trHeight w:val="250"/>
        </w:trPr>
        <w:tc>
          <w:tcPr>
            <w:tcW w:w="3521" w:type="pct"/>
            <w:tcBorders>
              <w:top w:val="nil"/>
              <w:left w:val="nil"/>
              <w:bottom w:val="single" w:sz="8" w:space="0" w:color="FF0000"/>
              <w:right w:val="nil"/>
            </w:tcBorders>
            <w:shd w:val="clear" w:color="000000" w:fill="7A091A"/>
            <w:vAlign w:val="center"/>
            <w:hideMark/>
          </w:tcPr>
          <w:p w14:paraId="5DB41737" w14:textId="77777777" w:rsidR="002F4BAB" w:rsidRPr="00894701" w:rsidRDefault="002F4BAB" w:rsidP="002209C2">
            <w:pPr>
              <w:spacing w:after="0" w:line="240" w:lineRule="auto"/>
              <w:rPr>
                <w:rFonts w:cs="Arial"/>
                <w:b/>
                <w:bCs/>
                <w:color w:val="FFFFFF"/>
                <w:kern w:val="0"/>
                <w:sz w:val="16"/>
                <w:szCs w:val="16"/>
              </w:rPr>
            </w:pPr>
            <w:r w:rsidRPr="00894701">
              <w:rPr>
                <w:rFonts w:cs="Arial"/>
                <w:b/>
                <w:bCs/>
                <w:color w:val="FFFFFF"/>
                <w:kern w:val="0"/>
                <w:sz w:val="16"/>
                <w:szCs w:val="16"/>
              </w:rPr>
              <w:t>Adjustments to extractive company payments</w:t>
            </w:r>
          </w:p>
        </w:tc>
        <w:tc>
          <w:tcPr>
            <w:tcW w:w="1479" w:type="pct"/>
            <w:tcBorders>
              <w:top w:val="nil"/>
              <w:left w:val="nil"/>
              <w:bottom w:val="single" w:sz="8" w:space="0" w:color="FF0000"/>
              <w:right w:val="nil"/>
            </w:tcBorders>
            <w:shd w:val="clear" w:color="000000" w:fill="7A091A"/>
            <w:vAlign w:val="center"/>
            <w:hideMark/>
          </w:tcPr>
          <w:p w14:paraId="60EB74EA" w14:textId="77777777" w:rsidR="002F4BAB" w:rsidRPr="00894701" w:rsidRDefault="002F4BAB" w:rsidP="002209C2">
            <w:pPr>
              <w:spacing w:after="0" w:line="240" w:lineRule="auto"/>
              <w:jc w:val="right"/>
              <w:rPr>
                <w:rFonts w:cs="Arial"/>
                <w:b/>
                <w:bCs/>
                <w:color w:val="FFFFFF"/>
                <w:kern w:val="0"/>
                <w:sz w:val="16"/>
                <w:szCs w:val="16"/>
              </w:rPr>
            </w:pPr>
            <w:r w:rsidRPr="00894701">
              <w:rPr>
                <w:rFonts w:cs="Arial"/>
                <w:b/>
                <w:bCs/>
                <w:color w:val="FFFFFF"/>
                <w:kern w:val="0"/>
                <w:sz w:val="16"/>
                <w:szCs w:val="16"/>
              </w:rPr>
              <w:t>Total Amount (SRD)</w:t>
            </w:r>
          </w:p>
        </w:tc>
      </w:tr>
      <w:tr w:rsidR="002F4BAB" w:rsidRPr="00894701" w14:paraId="2897187A" w14:textId="77777777" w:rsidTr="002209C2">
        <w:trPr>
          <w:trHeight w:val="240"/>
        </w:trPr>
        <w:tc>
          <w:tcPr>
            <w:tcW w:w="3521" w:type="pct"/>
            <w:tcBorders>
              <w:top w:val="nil"/>
              <w:left w:val="nil"/>
              <w:bottom w:val="nil"/>
              <w:right w:val="nil"/>
            </w:tcBorders>
            <w:shd w:val="clear" w:color="000000" w:fill="F7A3B0"/>
            <w:noWrap/>
            <w:vAlign w:val="center"/>
            <w:hideMark/>
          </w:tcPr>
          <w:p w14:paraId="16D852B3" w14:textId="213F2D3E" w:rsidR="002F4BAB" w:rsidRPr="00894701" w:rsidRDefault="001A5C76" w:rsidP="002209C2">
            <w:pPr>
              <w:spacing w:after="0" w:line="240" w:lineRule="auto"/>
              <w:rPr>
                <w:rFonts w:cs="Arial"/>
                <w:color w:val="auto"/>
                <w:kern w:val="0"/>
                <w:sz w:val="16"/>
                <w:szCs w:val="16"/>
              </w:rPr>
            </w:pPr>
            <w:r w:rsidRPr="00894701">
              <w:rPr>
                <w:rFonts w:cs="Arial"/>
                <w:color w:val="auto"/>
                <w:sz w:val="16"/>
                <w:szCs w:val="16"/>
              </w:rPr>
              <w:t>Tax</w:t>
            </w:r>
            <w:r>
              <w:rPr>
                <w:rFonts w:cs="Arial"/>
                <w:color w:val="auto"/>
                <w:sz w:val="16"/>
                <w:szCs w:val="16"/>
              </w:rPr>
              <w:t>es</w:t>
            </w:r>
            <w:r w:rsidRPr="00894701">
              <w:rPr>
                <w:rFonts w:cs="Arial"/>
                <w:color w:val="auto"/>
                <w:sz w:val="16"/>
                <w:szCs w:val="16"/>
              </w:rPr>
              <w:t xml:space="preserve"> </w:t>
            </w:r>
            <w:r w:rsidR="002F4BAB" w:rsidRPr="00894701">
              <w:rPr>
                <w:rFonts w:cs="Arial"/>
                <w:color w:val="auto"/>
                <w:sz w:val="16"/>
                <w:szCs w:val="16"/>
              </w:rPr>
              <w:t>paid not reported</w:t>
            </w:r>
          </w:p>
        </w:tc>
        <w:tc>
          <w:tcPr>
            <w:tcW w:w="1479" w:type="pct"/>
            <w:tcBorders>
              <w:top w:val="nil"/>
              <w:left w:val="nil"/>
              <w:bottom w:val="nil"/>
              <w:right w:val="nil"/>
            </w:tcBorders>
            <w:shd w:val="clear" w:color="000000" w:fill="F7A3B0"/>
            <w:noWrap/>
            <w:vAlign w:val="center"/>
            <w:hideMark/>
          </w:tcPr>
          <w:p w14:paraId="03E94F62"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000000"/>
                <w:sz w:val="16"/>
                <w:szCs w:val="16"/>
              </w:rPr>
              <w:t xml:space="preserve">                   17,582,357 </w:t>
            </w:r>
          </w:p>
        </w:tc>
      </w:tr>
      <w:tr w:rsidR="002F4BAB" w:rsidRPr="00894701" w14:paraId="3666507B" w14:textId="77777777" w:rsidTr="002209C2">
        <w:trPr>
          <w:trHeight w:val="240"/>
        </w:trPr>
        <w:tc>
          <w:tcPr>
            <w:tcW w:w="3521" w:type="pct"/>
            <w:tcBorders>
              <w:top w:val="nil"/>
              <w:left w:val="nil"/>
              <w:bottom w:val="nil"/>
              <w:right w:val="nil"/>
            </w:tcBorders>
            <w:shd w:val="clear" w:color="auto" w:fill="auto"/>
            <w:noWrap/>
            <w:vAlign w:val="center"/>
          </w:tcPr>
          <w:p w14:paraId="4792CACD" w14:textId="55697A20" w:rsidR="002F4BAB" w:rsidRPr="00894701" w:rsidRDefault="001A5C76" w:rsidP="002209C2">
            <w:pPr>
              <w:spacing w:after="0" w:line="240" w:lineRule="auto"/>
              <w:rPr>
                <w:rFonts w:cs="Arial"/>
                <w:color w:val="auto"/>
                <w:kern w:val="0"/>
                <w:sz w:val="16"/>
                <w:szCs w:val="16"/>
              </w:rPr>
            </w:pPr>
            <w:r w:rsidRPr="00894701">
              <w:rPr>
                <w:rFonts w:cs="Arial"/>
                <w:color w:val="auto"/>
                <w:sz w:val="16"/>
                <w:szCs w:val="16"/>
              </w:rPr>
              <w:t>Tax</w:t>
            </w:r>
            <w:r>
              <w:rPr>
                <w:rFonts w:cs="Arial"/>
                <w:color w:val="auto"/>
                <w:sz w:val="16"/>
                <w:szCs w:val="16"/>
              </w:rPr>
              <w:t>es</w:t>
            </w:r>
            <w:r w:rsidRPr="00894701">
              <w:rPr>
                <w:rFonts w:cs="Arial"/>
                <w:color w:val="auto"/>
                <w:sz w:val="16"/>
                <w:szCs w:val="16"/>
              </w:rPr>
              <w:t xml:space="preserve"> </w:t>
            </w:r>
            <w:r w:rsidR="002F4BAB" w:rsidRPr="00894701">
              <w:rPr>
                <w:rFonts w:cs="Arial"/>
                <w:color w:val="auto"/>
                <w:sz w:val="16"/>
                <w:szCs w:val="16"/>
              </w:rPr>
              <w:t xml:space="preserve">paid reported but outside the period covered </w:t>
            </w:r>
          </w:p>
        </w:tc>
        <w:tc>
          <w:tcPr>
            <w:tcW w:w="1479" w:type="pct"/>
            <w:tcBorders>
              <w:top w:val="nil"/>
              <w:left w:val="nil"/>
              <w:bottom w:val="nil"/>
              <w:right w:val="nil"/>
            </w:tcBorders>
            <w:shd w:val="clear" w:color="auto" w:fill="auto"/>
            <w:noWrap/>
            <w:vAlign w:val="center"/>
          </w:tcPr>
          <w:p w14:paraId="657AE314" w14:textId="77777777" w:rsidR="002F4BAB" w:rsidRPr="00894701" w:rsidRDefault="002F4BAB" w:rsidP="002209C2">
            <w:pPr>
              <w:spacing w:after="0" w:line="240" w:lineRule="auto"/>
              <w:jc w:val="right"/>
              <w:rPr>
                <w:rFonts w:cs="Arial"/>
                <w:color w:val="auto"/>
                <w:kern w:val="0"/>
                <w:sz w:val="16"/>
                <w:szCs w:val="16"/>
              </w:rPr>
            </w:pPr>
            <w:r w:rsidRPr="00894701">
              <w:rPr>
                <w:rFonts w:cs="Arial"/>
                <w:sz w:val="16"/>
                <w:szCs w:val="16"/>
              </w:rPr>
              <w:t xml:space="preserve">                  (15,976,182)</w:t>
            </w:r>
          </w:p>
        </w:tc>
      </w:tr>
      <w:tr w:rsidR="002F4BAB" w:rsidRPr="00894701" w14:paraId="2F807525" w14:textId="77777777" w:rsidTr="002209C2">
        <w:trPr>
          <w:trHeight w:val="250"/>
        </w:trPr>
        <w:tc>
          <w:tcPr>
            <w:tcW w:w="3521" w:type="pct"/>
            <w:tcBorders>
              <w:top w:val="nil"/>
              <w:left w:val="nil"/>
              <w:bottom w:val="single" w:sz="8" w:space="0" w:color="FF0000"/>
              <w:right w:val="nil"/>
            </w:tcBorders>
            <w:shd w:val="clear" w:color="000000" w:fill="7A091A"/>
            <w:vAlign w:val="center"/>
            <w:hideMark/>
          </w:tcPr>
          <w:p w14:paraId="0E2A4CD6" w14:textId="77777777" w:rsidR="002F4BAB" w:rsidRPr="00894701" w:rsidRDefault="002F4BAB" w:rsidP="002209C2">
            <w:pPr>
              <w:spacing w:after="0" w:line="240" w:lineRule="auto"/>
              <w:rPr>
                <w:rFonts w:cs="Arial"/>
                <w:b/>
                <w:bCs/>
                <w:color w:val="FFFFFF"/>
                <w:kern w:val="0"/>
                <w:sz w:val="16"/>
                <w:szCs w:val="16"/>
              </w:rPr>
            </w:pPr>
            <w:r w:rsidRPr="00894701">
              <w:rPr>
                <w:rFonts w:cs="Arial"/>
                <w:b/>
                <w:bCs/>
                <w:color w:val="FFFFFF"/>
                <w:kern w:val="0"/>
                <w:sz w:val="16"/>
                <w:szCs w:val="16"/>
              </w:rPr>
              <w:t>Total added to amounts originally reported</w:t>
            </w:r>
          </w:p>
        </w:tc>
        <w:tc>
          <w:tcPr>
            <w:tcW w:w="1479" w:type="pct"/>
            <w:tcBorders>
              <w:top w:val="nil"/>
              <w:left w:val="nil"/>
              <w:bottom w:val="single" w:sz="8" w:space="0" w:color="FF0000"/>
              <w:right w:val="nil"/>
            </w:tcBorders>
            <w:shd w:val="clear" w:color="000000" w:fill="7A091A"/>
            <w:vAlign w:val="center"/>
            <w:hideMark/>
          </w:tcPr>
          <w:p w14:paraId="07D27288" w14:textId="77777777" w:rsidR="002F4BAB" w:rsidRPr="00894701" w:rsidRDefault="002F4BAB" w:rsidP="002209C2">
            <w:pPr>
              <w:spacing w:after="0" w:line="240" w:lineRule="auto"/>
              <w:jc w:val="right"/>
              <w:rPr>
                <w:rFonts w:cs="Arial"/>
                <w:b/>
                <w:bCs/>
                <w:color w:val="FFFFFF"/>
                <w:kern w:val="0"/>
                <w:sz w:val="16"/>
                <w:szCs w:val="16"/>
              </w:rPr>
            </w:pPr>
            <w:r w:rsidRPr="00894701">
              <w:rPr>
                <w:rFonts w:cs="Arial"/>
                <w:b/>
                <w:bCs/>
                <w:color w:val="FFFFFF"/>
                <w:sz w:val="16"/>
                <w:szCs w:val="16"/>
              </w:rPr>
              <w:t xml:space="preserve">                   1,606,175 </w:t>
            </w:r>
          </w:p>
        </w:tc>
      </w:tr>
    </w:tbl>
    <w:p w14:paraId="6E1AC695" w14:textId="77777777" w:rsidR="002F4BAB" w:rsidRPr="00894701" w:rsidRDefault="002F4BAB" w:rsidP="002F4BAB">
      <w:pPr>
        <w:rPr>
          <w:lang w:eastAsia="en-US"/>
        </w:rPr>
      </w:pPr>
    </w:p>
    <w:p w14:paraId="14414089" w14:textId="7C70CCA3" w:rsidR="002F4BAB" w:rsidRPr="00894701" w:rsidRDefault="00CE5548" w:rsidP="002F4BAB">
      <w:pPr>
        <w:pStyle w:val="AltMinorSubHeading"/>
        <w:numPr>
          <w:ilvl w:val="0"/>
          <w:numId w:val="0"/>
        </w:numPr>
        <w:spacing w:before="120" w:after="120"/>
        <w:rPr>
          <w:color w:val="ED1A3B"/>
        </w:rPr>
      </w:pPr>
      <w:bookmarkStart w:id="490" w:name="_Toc101350057"/>
      <w:bookmarkStart w:id="491" w:name="_Toc122478949"/>
      <w:r w:rsidRPr="00894701">
        <w:rPr>
          <w:iCs w:val="0"/>
          <w:color w:val="ED1A3B"/>
        </w:rPr>
        <w:t>5.2</w:t>
      </w:r>
      <w:r w:rsidR="002F4BAB" w:rsidRPr="00894701">
        <w:rPr>
          <w:iCs w:val="0"/>
          <w:color w:val="ED1A3B"/>
        </w:rPr>
        <w:t xml:space="preserve">.2.(b) </w:t>
      </w:r>
      <w:r w:rsidR="002F4BAB" w:rsidRPr="00894701">
        <w:rPr>
          <w:color w:val="ED1A3B"/>
        </w:rPr>
        <w:t>Adjustments to Government Agency templates</w:t>
      </w:r>
      <w:bookmarkEnd w:id="490"/>
      <w:bookmarkEnd w:id="491"/>
    </w:p>
    <w:p w14:paraId="26558BBB" w14:textId="200FBCFD" w:rsidR="002F4BAB" w:rsidRPr="00894701" w:rsidRDefault="00987A9B" w:rsidP="002F4BAB">
      <w:pPr>
        <w:jc w:val="both"/>
        <w:rPr>
          <w:rFonts w:cs="Arial"/>
          <w:color w:val="auto"/>
          <w:sz w:val="20"/>
          <w:lang w:eastAsia="fr-FR"/>
        </w:rPr>
      </w:pPr>
      <w:r w:rsidRPr="00D020DF">
        <w:rPr>
          <w:rFonts w:cs="Arial"/>
          <w:color w:val="auto"/>
          <w:sz w:val="20"/>
          <w:lang w:eastAsia="fr-FR"/>
        </w:rPr>
        <w:t xml:space="preserve">The adjustments were carried out on the basis of confirmations received from extractive entities or from Government Agencies and supported by flag receipts wherever deemed appropriate. The adjustments are </w:t>
      </w:r>
      <w:r>
        <w:rPr>
          <w:rFonts w:cs="Arial"/>
          <w:color w:val="auto"/>
          <w:sz w:val="20"/>
          <w:lang w:eastAsia="fr-FR"/>
        </w:rPr>
        <w:t>set out in the tables below.</w:t>
      </w:r>
    </w:p>
    <w:p w14:paraId="3ADE551C" w14:textId="3E2938F2" w:rsidR="002F4BAB" w:rsidRPr="00894701" w:rsidRDefault="002F4BAB" w:rsidP="002F4BAB">
      <w:pPr>
        <w:jc w:val="center"/>
        <w:rPr>
          <w:b/>
          <w:bCs/>
          <w:noProof/>
          <w:color w:val="98002E" w:themeColor="accent3"/>
          <w:sz w:val="20"/>
          <w:szCs w:val="20"/>
        </w:rPr>
      </w:pPr>
      <w:bookmarkStart w:id="492" w:name="_Toc117539622"/>
      <w:bookmarkStart w:id="493" w:name="_Toc146590532"/>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60</w:t>
      </w:r>
      <w:r w:rsidRPr="00894701">
        <w:rPr>
          <w:b/>
          <w:bCs/>
          <w:color w:val="98002E" w:themeColor="accent3"/>
          <w:sz w:val="20"/>
          <w:szCs w:val="20"/>
        </w:rPr>
        <w:fldChar w:fldCharType="end"/>
      </w:r>
      <w:r w:rsidRPr="00894701">
        <w:rPr>
          <w:b/>
          <w:bCs/>
          <w:color w:val="98002E" w:themeColor="accent3"/>
          <w:sz w:val="20"/>
          <w:szCs w:val="20"/>
        </w:rPr>
        <w:t xml:space="preserve">:Adjustments to </w:t>
      </w:r>
      <w:r w:rsidR="00987A9B">
        <w:rPr>
          <w:b/>
          <w:bCs/>
          <w:color w:val="98002E" w:themeColor="accent3"/>
          <w:sz w:val="20"/>
          <w:szCs w:val="20"/>
        </w:rPr>
        <w:t>Government Agencies</w:t>
      </w:r>
      <w:r w:rsidR="00987A9B" w:rsidRPr="00D020DF">
        <w:rPr>
          <w:b/>
          <w:bCs/>
          <w:color w:val="98002E" w:themeColor="accent3"/>
          <w:sz w:val="20"/>
          <w:szCs w:val="20"/>
        </w:rPr>
        <w:t xml:space="preserve">’ </w:t>
      </w:r>
      <w:r w:rsidRPr="00894701">
        <w:rPr>
          <w:b/>
          <w:bCs/>
          <w:color w:val="98002E" w:themeColor="accent3"/>
          <w:sz w:val="20"/>
          <w:szCs w:val="20"/>
        </w:rPr>
        <w:t xml:space="preserve">templates </w:t>
      </w:r>
      <w:r w:rsidRPr="00894701">
        <w:rPr>
          <w:b/>
          <w:bCs/>
          <w:noProof/>
          <w:color w:val="98002E" w:themeColor="accent3"/>
          <w:sz w:val="20"/>
          <w:szCs w:val="20"/>
        </w:rPr>
        <w:t>for the fiscal year 2018</w:t>
      </w:r>
      <w:bookmarkEnd w:id="492"/>
      <w:bookmarkEnd w:id="493"/>
    </w:p>
    <w:tbl>
      <w:tblPr>
        <w:tblW w:w="5000" w:type="pct"/>
        <w:tblLook w:val="04A0" w:firstRow="1" w:lastRow="0" w:firstColumn="1" w:lastColumn="0" w:noHBand="0" w:noVBand="1"/>
      </w:tblPr>
      <w:tblGrid>
        <w:gridCol w:w="6373"/>
        <w:gridCol w:w="2677"/>
      </w:tblGrid>
      <w:tr w:rsidR="002F4BAB" w:rsidRPr="00894701" w14:paraId="724D5B4F" w14:textId="77777777" w:rsidTr="002209C2">
        <w:trPr>
          <w:trHeight w:val="250"/>
        </w:trPr>
        <w:tc>
          <w:tcPr>
            <w:tcW w:w="3521" w:type="pct"/>
            <w:tcBorders>
              <w:top w:val="nil"/>
              <w:left w:val="nil"/>
              <w:bottom w:val="single" w:sz="8" w:space="0" w:color="FF0000"/>
              <w:right w:val="nil"/>
            </w:tcBorders>
            <w:shd w:val="clear" w:color="000000" w:fill="7A091A"/>
            <w:vAlign w:val="center"/>
            <w:hideMark/>
          </w:tcPr>
          <w:p w14:paraId="7E73D448" w14:textId="77777777" w:rsidR="002F4BAB" w:rsidRPr="00894701" w:rsidRDefault="002F4BAB" w:rsidP="002209C2">
            <w:pPr>
              <w:spacing w:after="0" w:line="240" w:lineRule="auto"/>
              <w:rPr>
                <w:rFonts w:cs="Arial"/>
                <w:b/>
                <w:bCs/>
                <w:color w:val="FFFFFF"/>
                <w:kern w:val="0"/>
                <w:sz w:val="16"/>
                <w:szCs w:val="16"/>
              </w:rPr>
            </w:pPr>
            <w:r w:rsidRPr="00894701">
              <w:rPr>
                <w:rFonts w:cs="Arial"/>
                <w:b/>
                <w:bCs/>
                <w:color w:val="FFFFFF"/>
                <w:kern w:val="0"/>
                <w:sz w:val="16"/>
                <w:szCs w:val="16"/>
              </w:rPr>
              <w:t>Adjustments to Government payments</w:t>
            </w:r>
          </w:p>
        </w:tc>
        <w:tc>
          <w:tcPr>
            <w:tcW w:w="1479" w:type="pct"/>
            <w:tcBorders>
              <w:top w:val="nil"/>
              <w:left w:val="nil"/>
              <w:bottom w:val="single" w:sz="8" w:space="0" w:color="FF0000"/>
              <w:right w:val="nil"/>
            </w:tcBorders>
            <w:shd w:val="clear" w:color="000000" w:fill="7A091A"/>
            <w:vAlign w:val="center"/>
            <w:hideMark/>
          </w:tcPr>
          <w:p w14:paraId="3CA3C871" w14:textId="77777777" w:rsidR="002F4BAB" w:rsidRPr="00894701" w:rsidRDefault="002F4BAB" w:rsidP="002209C2">
            <w:pPr>
              <w:spacing w:after="0" w:line="240" w:lineRule="auto"/>
              <w:jc w:val="right"/>
              <w:rPr>
                <w:rFonts w:cs="Arial"/>
                <w:b/>
                <w:bCs/>
                <w:color w:val="FFFFFF"/>
                <w:kern w:val="0"/>
                <w:sz w:val="16"/>
                <w:szCs w:val="16"/>
              </w:rPr>
            </w:pPr>
            <w:r w:rsidRPr="00894701">
              <w:rPr>
                <w:rFonts w:cs="Arial"/>
                <w:b/>
                <w:bCs/>
                <w:color w:val="FFFFFF"/>
                <w:kern w:val="0"/>
                <w:sz w:val="16"/>
                <w:szCs w:val="16"/>
              </w:rPr>
              <w:t>Total Amount (SRD)</w:t>
            </w:r>
          </w:p>
        </w:tc>
      </w:tr>
      <w:tr w:rsidR="002F4BAB" w:rsidRPr="00894701" w14:paraId="17FA1567" w14:textId="77777777" w:rsidTr="002209C2">
        <w:trPr>
          <w:trHeight w:val="240"/>
        </w:trPr>
        <w:tc>
          <w:tcPr>
            <w:tcW w:w="3521" w:type="pct"/>
            <w:tcBorders>
              <w:top w:val="nil"/>
              <w:left w:val="nil"/>
              <w:bottom w:val="nil"/>
              <w:right w:val="nil"/>
            </w:tcBorders>
            <w:shd w:val="clear" w:color="000000" w:fill="F7A3B0"/>
            <w:noWrap/>
            <w:vAlign w:val="center"/>
            <w:hideMark/>
          </w:tcPr>
          <w:p w14:paraId="1CB4D1C0" w14:textId="1C145A8A" w:rsidR="002F4BAB" w:rsidRPr="00894701" w:rsidRDefault="001A5C76" w:rsidP="002209C2">
            <w:pPr>
              <w:spacing w:after="0" w:line="240" w:lineRule="auto"/>
              <w:rPr>
                <w:rFonts w:cs="Arial"/>
                <w:color w:val="auto"/>
                <w:kern w:val="0"/>
                <w:sz w:val="16"/>
                <w:szCs w:val="16"/>
              </w:rPr>
            </w:pPr>
            <w:r w:rsidRPr="00894701">
              <w:rPr>
                <w:rFonts w:cs="Arial"/>
                <w:color w:val="auto"/>
                <w:sz w:val="16"/>
                <w:szCs w:val="16"/>
              </w:rPr>
              <w:t>Tax</w:t>
            </w:r>
            <w:r>
              <w:rPr>
                <w:rFonts w:cs="Arial"/>
                <w:color w:val="auto"/>
                <w:sz w:val="16"/>
                <w:szCs w:val="16"/>
              </w:rPr>
              <w:t>es</w:t>
            </w:r>
            <w:r w:rsidRPr="00894701">
              <w:rPr>
                <w:rFonts w:cs="Arial"/>
                <w:color w:val="auto"/>
                <w:sz w:val="16"/>
                <w:szCs w:val="16"/>
              </w:rPr>
              <w:t xml:space="preserve"> </w:t>
            </w:r>
            <w:r w:rsidR="002F4BAB" w:rsidRPr="00894701">
              <w:rPr>
                <w:rFonts w:cs="Arial"/>
                <w:color w:val="auto"/>
                <w:sz w:val="16"/>
                <w:szCs w:val="16"/>
              </w:rPr>
              <w:t>received not reported</w:t>
            </w:r>
          </w:p>
        </w:tc>
        <w:tc>
          <w:tcPr>
            <w:tcW w:w="1479" w:type="pct"/>
            <w:tcBorders>
              <w:top w:val="nil"/>
              <w:left w:val="nil"/>
              <w:bottom w:val="nil"/>
              <w:right w:val="nil"/>
            </w:tcBorders>
            <w:shd w:val="clear" w:color="000000" w:fill="F7A3B0"/>
            <w:noWrap/>
            <w:vAlign w:val="center"/>
            <w:hideMark/>
          </w:tcPr>
          <w:p w14:paraId="5FDF6387"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 xml:space="preserve">                     1,573,448 </w:t>
            </w:r>
          </w:p>
        </w:tc>
      </w:tr>
      <w:tr w:rsidR="002F4BAB" w:rsidRPr="00894701" w14:paraId="2D79D0C4" w14:textId="77777777" w:rsidTr="002209C2">
        <w:trPr>
          <w:trHeight w:val="240"/>
        </w:trPr>
        <w:tc>
          <w:tcPr>
            <w:tcW w:w="3521" w:type="pct"/>
            <w:tcBorders>
              <w:top w:val="nil"/>
              <w:left w:val="nil"/>
              <w:bottom w:val="nil"/>
              <w:right w:val="nil"/>
            </w:tcBorders>
            <w:shd w:val="clear" w:color="auto" w:fill="auto"/>
            <w:noWrap/>
            <w:vAlign w:val="center"/>
          </w:tcPr>
          <w:p w14:paraId="7013BE59" w14:textId="53E20FC9" w:rsidR="002F4BAB" w:rsidRPr="00894701" w:rsidRDefault="001A5C76" w:rsidP="002209C2">
            <w:pPr>
              <w:spacing w:after="0" w:line="240" w:lineRule="auto"/>
              <w:rPr>
                <w:rFonts w:cs="Arial"/>
                <w:color w:val="auto"/>
                <w:kern w:val="0"/>
                <w:sz w:val="16"/>
                <w:szCs w:val="16"/>
              </w:rPr>
            </w:pPr>
            <w:r w:rsidRPr="00894701">
              <w:rPr>
                <w:rFonts w:cs="Arial"/>
                <w:color w:val="auto"/>
                <w:sz w:val="16"/>
                <w:szCs w:val="16"/>
              </w:rPr>
              <w:t>Tax</w:t>
            </w:r>
            <w:r>
              <w:rPr>
                <w:rFonts w:cs="Arial"/>
                <w:color w:val="auto"/>
                <w:sz w:val="16"/>
                <w:szCs w:val="16"/>
              </w:rPr>
              <w:t>es</w:t>
            </w:r>
            <w:r w:rsidRPr="00894701">
              <w:rPr>
                <w:rFonts w:cs="Arial"/>
                <w:color w:val="auto"/>
                <w:sz w:val="16"/>
                <w:szCs w:val="16"/>
              </w:rPr>
              <w:t xml:space="preserve"> </w:t>
            </w:r>
            <w:r w:rsidR="002F4BAB" w:rsidRPr="00894701">
              <w:rPr>
                <w:rFonts w:cs="Arial"/>
                <w:color w:val="auto"/>
                <w:sz w:val="16"/>
                <w:szCs w:val="16"/>
              </w:rPr>
              <w:t xml:space="preserve">related to activity other than mining </w:t>
            </w:r>
          </w:p>
        </w:tc>
        <w:tc>
          <w:tcPr>
            <w:tcW w:w="1479" w:type="pct"/>
            <w:tcBorders>
              <w:top w:val="nil"/>
              <w:left w:val="nil"/>
              <w:bottom w:val="nil"/>
              <w:right w:val="nil"/>
            </w:tcBorders>
            <w:shd w:val="clear" w:color="auto" w:fill="auto"/>
            <w:noWrap/>
            <w:vAlign w:val="center"/>
          </w:tcPr>
          <w:p w14:paraId="407A436F" w14:textId="77777777" w:rsidR="002F4BAB" w:rsidRPr="00894701" w:rsidRDefault="002F4BAB" w:rsidP="002209C2">
            <w:pPr>
              <w:spacing w:after="0" w:line="240" w:lineRule="auto"/>
              <w:jc w:val="right"/>
              <w:rPr>
                <w:rFonts w:cs="Arial"/>
                <w:color w:val="auto"/>
                <w:kern w:val="0"/>
                <w:sz w:val="16"/>
                <w:szCs w:val="16"/>
              </w:rPr>
            </w:pPr>
            <w:r w:rsidRPr="00894701">
              <w:rPr>
                <w:rFonts w:cs="Arial"/>
                <w:color w:val="auto"/>
                <w:sz w:val="16"/>
                <w:szCs w:val="16"/>
              </w:rPr>
              <w:t xml:space="preserve">                  (95,222,380)</w:t>
            </w:r>
          </w:p>
        </w:tc>
      </w:tr>
      <w:tr w:rsidR="002F4BAB" w:rsidRPr="00894701" w14:paraId="009B24F0" w14:textId="77777777" w:rsidTr="002209C2">
        <w:trPr>
          <w:trHeight w:val="250"/>
        </w:trPr>
        <w:tc>
          <w:tcPr>
            <w:tcW w:w="3521" w:type="pct"/>
            <w:tcBorders>
              <w:top w:val="nil"/>
              <w:left w:val="nil"/>
              <w:bottom w:val="single" w:sz="8" w:space="0" w:color="FF0000"/>
              <w:right w:val="nil"/>
            </w:tcBorders>
            <w:shd w:val="clear" w:color="000000" w:fill="7A091A"/>
            <w:vAlign w:val="center"/>
            <w:hideMark/>
          </w:tcPr>
          <w:p w14:paraId="354AC812" w14:textId="77777777" w:rsidR="002F4BAB" w:rsidRPr="00894701" w:rsidRDefault="002F4BAB" w:rsidP="002209C2">
            <w:pPr>
              <w:spacing w:after="0" w:line="240" w:lineRule="auto"/>
              <w:rPr>
                <w:rFonts w:cs="Arial"/>
                <w:b/>
                <w:bCs/>
                <w:color w:val="FFFFFF"/>
                <w:kern w:val="0"/>
                <w:sz w:val="16"/>
                <w:szCs w:val="16"/>
              </w:rPr>
            </w:pPr>
            <w:r w:rsidRPr="00894701">
              <w:rPr>
                <w:rFonts w:cs="Arial"/>
                <w:b/>
                <w:bCs/>
                <w:color w:val="FFFFFF"/>
                <w:kern w:val="0"/>
                <w:sz w:val="16"/>
                <w:szCs w:val="16"/>
              </w:rPr>
              <w:t>Total added to amounts originally reported</w:t>
            </w:r>
          </w:p>
        </w:tc>
        <w:tc>
          <w:tcPr>
            <w:tcW w:w="1479" w:type="pct"/>
            <w:tcBorders>
              <w:top w:val="nil"/>
              <w:left w:val="nil"/>
              <w:bottom w:val="single" w:sz="8" w:space="0" w:color="FF0000"/>
              <w:right w:val="nil"/>
            </w:tcBorders>
            <w:shd w:val="clear" w:color="000000" w:fill="7A091A"/>
            <w:vAlign w:val="center"/>
            <w:hideMark/>
          </w:tcPr>
          <w:p w14:paraId="10EA1E5A" w14:textId="77777777" w:rsidR="002F4BAB" w:rsidRPr="00894701" w:rsidRDefault="002F4BAB" w:rsidP="002209C2">
            <w:pPr>
              <w:spacing w:after="0" w:line="240" w:lineRule="auto"/>
              <w:jc w:val="right"/>
              <w:rPr>
                <w:rFonts w:cs="Arial"/>
                <w:b/>
                <w:bCs/>
                <w:color w:val="FFFFFF"/>
                <w:kern w:val="0"/>
                <w:sz w:val="16"/>
                <w:szCs w:val="16"/>
              </w:rPr>
            </w:pPr>
            <w:r w:rsidRPr="00894701">
              <w:rPr>
                <w:rFonts w:cs="Arial"/>
                <w:b/>
                <w:bCs/>
                <w:color w:val="FFFFFF"/>
                <w:kern w:val="0"/>
                <w:sz w:val="16"/>
                <w:szCs w:val="16"/>
              </w:rPr>
              <w:t>(93,648,932)</w:t>
            </w:r>
          </w:p>
        </w:tc>
      </w:tr>
    </w:tbl>
    <w:p w14:paraId="5AE4AE2D" w14:textId="77777777" w:rsidR="002F4BAB" w:rsidRPr="00894701" w:rsidRDefault="002F4BAB" w:rsidP="002F4BAB">
      <w:pPr>
        <w:jc w:val="center"/>
        <w:rPr>
          <w:b/>
          <w:bCs/>
          <w:color w:val="98002E" w:themeColor="accent3"/>
          <w:sz w:val="20"/>
          <w:szCs w:val="20"/>
        </w:rPr>
      </w:pPr>
    </w:p>
    <w:p w14:paraId="11FAEDE3" w14:textId="4E7A6678" w:rsidR="002F4BAB" w:rsidRPr="00894701" w:rsidRDefault="002F4BAB" w:rsidP="002F4BAB">
      <w:pPr>
        <w:jc w:val="center"/>
        <w:rPr>
          <w:b/>
          <w:bCs/>
          <w:color w:val="98002E" w:themeColor="accent3"/>
          <w:sz w:val="20"/>
          <w:szCs w:val="20"/>
        </w:rPr>
      </w:pPr>
      <w:bookmarkStart w:id="494" w:name="_Toc117539623"/>
      <w:bookmarkStart w:id="495" w:name="_Toc146590533"/>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61</w:t>
      </w:r>
      <w:r w:rsidRPr="00894701">
        <w:rPr>
          <w:b/>
          <w:bCs/>
          <w:color w:val="98002E" w:themeColor="accent3"/>
          <w:sz w:val="20"/>
          <w:szCs w:val="20"/>
        </w:rPr>
        <w:fldChar w:fldCharType="end"/>
      </w:r>
      <w:r w:rsidRPr="00894701">
        <w:rPr>
          <w:b/>
          <w:bCs/>
          <w:color w:val="98002E" w:themeColor="accent3"/>
          <w:sz w:val="20"/>
          <w:szCs w:val="20"/>
        </w:rPr>
        <w:t xml:space="preserve">: Adjustments to </w:t>
      </w:r>
      <w:r w:rsidR="00987A9B">
        <w:rPr>
          <w:b/>
          <w:bCs/>
          <w:color w:val="98002E" w:themeColor="accent3"/>
          <w:sz w:val="20"/>
          <w:szCs w:val="20"/>
        </w:rPr>
        <w:t>Government Agencies</w:t>
      </w:r>
      <w:r w:rsidR="00987A9B" w:rsidRPr="00D020DF">
        <w:rPr>
          <w:b/>
          <w:bCs/>
          <w:color w:val="98002E" w:themeColor="accent3"/>
          <w:sz w:val="20"/>
          <w:szCs w:val="20"/>
        </w:rPr>
        <w:t xml:space="preserve">’ </w:t>
      </w:r>
      <w:r w:rsidRPr="00894701">
        <w:rPr>
          <w:b/>
          <w:bCs/>
          <w:color w:val="98002E" w:themeColor="accent3"/>
          <w:sz w:val="20"/>
          <w:szCs w:val="20"/>
        </w:rPr>
        <w:t>templates for the fiscal year 2019</w:t>
      </w:r>
      <w:bookmarkEnd w:id="494"/>
      <w:bookmarkEnd w:id="495"/>
    </w:p>
    <w:tbl>
      <w:tblPr>
        <w:tblW w:w="5012" w:type="pct"/>
        <w:tblLook w:val="04A0" w:firstRow="1" w:lastRow="0" w:firstColumn="1" w:lastColumn="0" w:noHBand="0" w:noVBand="1"/>
      </w:tblPr>
      <w:tblGrid>
        <w:gridCol w:w="6379"/>
        <w:gridCol w:w="2693"/>
      </w:tblGrid>
      <w:tr w:rsidR="002F4BAB" w:rsidRPr="00894701" w14:paraId="2DE69195" w14:textId="77777777" w:rsidTr="004C70CC">
        <w:trPr>
          <w:trHeight w:val="250"/>
        </w:trPr>
        <w:tc>
          <w:tcPr>
            <w:tcW w:w="3516" w:type="pct"/>
            <w:tcBorders>
              <w:top w:val="nil"/>
              <w:left w:val="nil"/>
              <w:bottom w:val="single" w:sz="8" w:space="0" w:color="FF0000"/>
              <w:right w:val="nil"/>
            </w:tcBorders>
            <w:shd w:val="clear" w:color="000000" w:fill="7A091A"/>
            <w:vAlign w:val="center"/>
            <w:hideMark/>
          </w:tcPr>
          <w:p w14:paraId="6284CDDE" w14:textId="77777777" w:rsidR="002F4BAB" w:rsidRPr="00894701" w:rsidRDefault="002F4BAB" w:rsidP="002209C2">
            <w:pPr>
              <w:spacing w:after="0" w:line="240" w:lineRule="auto"/>
              <w:rPr>
                <w:rFonts w:cs="Arial"/>
                <w:b/>
                <w:bCs/>
                <w:color w:val="FFFFFF"/>
                <w:kern w:val="0"/>
                <w:sz w:val="16"/>
                <w:szCs w:val="16"/>
              </w:rPr>
            </w:pPr>
            <w:r w:rsidRPr="00894701">
              <w:rPr>
                <w:rFonts w:cs="Arial"/>
                <w:b/>
                <w:bCs/>
                <w:color w:val="FFFFFF"/>
                <w:kern w:val="0"/>
                <w:sz w:val="16"/>
                <w:szCs w:val="16"/>
              </w:rPr>
              <w:t>Adjustments to Government payments</w:t>
            </w:r>
          </w:p>
        </w:tc>
        <w:tc>
          <w:tcPr>
            <w:tcW w:w="1484" w:type="pct"/>
            <w:tcBorders>
              <w:top w:val="nil"/>
              <w:left w:val="nil"/>
              <w:bottom w:val="single" w:sz="8" w:space="0" w:color="FF0000"/>
              <w:right w:val="nil"/>
            </w:tcBorders>
            <w:shd w:val="clear" w:color="000000" w:fill="7A091A"/>
            <w:vAlign w:val="center"/>
            <w:hideMark/>
          </w:tcPr>
          <w:p w14:paraId="1BDAA487" w14:textId="77777777" w:rsidR="002F4BAB" w:rsidRPr="00894701" w:rsidRDefault="002F4BAB" w:rsidP="002209C2">
            <w:pPr>
              <w:spacing w:after="0" w:line="240" w:lineRule="auto"/>
              <w:jc w:val="right"/>
              <w:rPr>
                <w:rFonts w:cs="Arial"/>
                <w:b/>
                <w:bCs/>
                <w:color w:val="FFFFFF"/>
                <w:kern w:val="0"/>
                <w:sz w:val="16"/>
                <w:szCs w:val="16"/>
              </w:rPr>
            </w:pPr>
            <w:r w:rsidRPr="00894701">
              <w:rPr>
                <w:rFonts w:cs="Arial"/>
                <w:b/>
                <w:bCs/>
                <w:color w:val="FFFFFF"/>
                <w:kern w:val="0"/>
                <w:sz w:val="16"/>
                <w:szCs w:val="16"/>
              </w:rPr>
              <w:t>Total Amount (SRD)</w:t>
            </w:r>
          </w:p>
        </w:tc>
      </w:tr>
      <w:tr w:rsidR="002F4BAB" w:rsidRPr="00894701" w14:paraId="382FA8F5" w14:textId="77777777" w:rsidTr="004C70CC">
        <w:trPr>
          <w:trHeight w:val="240"/>
        </w:trPr>
        <w:tc>
          <w:tcPr>
            <w:tcW w:w="3516" w:type="pct"/>
            <w:tcBorders>
              <w:top w:val="nil"/>
              <w:left w:val="nil"/>
              <w:bottom w:val="nil"/>
              <w:right w:val="nil"/>
            </w:tcBorders>
            <w:shd w:val="clear" w:color="000000" w:fill="F7A3B0"/>
            <w:noWrap/>
            <w:vAlign w:val="center"/>
            <w:hideMark/>
          </w:tcPr>
          <w:p w14:paraId="016BBFFF" w14:textId="5BC2A7FB" w:rsidR="002F4BAB" w:rsidRPr="00894701" w:rsidRDefault="002F4BAB" w:rsidP="002209C2">
            <w:pPr>
              <w:spacing w:after="0" w:line="240" w:lineRule="auto"/>
              <w:rPr>
                <w:rFonts w:cs="Arial"/>
                <w:color w:val="auto"/>
                <w:kern w:val="0"/>
                <w:sz w:val="16"/>
                <w:szCs w:val="16"/>
              </w:rPr>
            </w:pPr>
            <w:r w:rsidRPr="00894701">
              <w:rPr>
                <w:rFonts w:cs="Arial"/>
                <w:color w:val="auto"/>
                <w:sz w:val="16"/>
                <w:szCs w:val="16"/>
              </w:rPr>
              <w:t>Tax</w:t>
            </w:r>
            <w:r w:rsidR="001A5C76">
              <w:rPr>
                <w:rFonts w:cs="Arial"/>
                <w:color w:val="auto"/>
                <w:sz w:val="16"/>
                <w:szCs w:val="16"/>
              </w:rPr>
              <w:t>es</w:t>
            </w:r>
            <w:r w:rsidRPr="00894701">
              <w:rPr>
                <w:rFonts w:cs="Arial"/>
                <w:color w:val="auto"/>
                <w:sz w:val="16"/>
                <w:szCs w:val="16"/>
              </w:rPr>
              <w:t xml:space="preserve"> received not reported</w:t>
            </w:r>
          </w:p>
        </w:tc>
        <w:tc>
          <w:tcPr>
            <w:tcW w:w="1484" w:type="pct"/>
            <w:tcBorders>
              <w:top w:val="nil"/>
              <w:left w:val="nil"/>
              <w:bottom w:val="nil"/>
              <w:right w:val="nil"/>
            </w:tcBorders>
            <w:shd w:val="clear" w:color="000000" w:fill="F7A3B0"/>
            <w:noWrap/>
            <w:vAlign w:val="center"/>
          </w:tcPr>
          <w:p w14:paraId="1DB15C53" w14:textId="345DE64E" w:rsidR="002F4BAB" w:rsidRPr="00894701" w:rsidRDefault="00BA216C" w:rsidP="002209C2">
            <w:pPr>
              <w:spacing w:after="0" w:line="240" w:lineRule="auto"/>
              <w:jc w:val="right"/>
              <w:rPr>
                <w:rFonts w:cs="Arial"/>
                <w:color w:val="auto"/>
                <w:kern w:val="0"/>
                <w:sz w:val="16"/>
                <w:szCs w:val="16"/>
              </w:rPr>
            </w:pPr>
            <w:r w:rsidRPr="00894701">
              <w:rPr>
                <w:rFonts w:cs="Arial"/>
                <w:color w:val="auto"/>
                <w:sz w:val="16"/>
                <w:szCs w:val="16"/>
              </w:rPr>
              <w:t xml:space="preserve">927,876 </w:t>
            </w:r>
          </w:p>
        </w:tc>
      </w:tr>
      <w:tr w:rsidR="002F4BAB" w:rsidRPr="00894701" w14:paraId="7EFCC48F" w14:textId="77777777" w:rsidTr="004C70CC">
        <w:trPr>
          <w:trHeight w:val="240"/>
        </w:trPr>
        <w:tc>
          <w:tcPr>
            <w:tcW w:w="3516" w:type="pct"/>
            <w:tcBorders>
              <w:top w:val="nil"/>
              <w:left w:val="nil"/>
              <w:bottom w:val="nil"/>
              <w:right w:val="nil"/>
            </w:tcBorders>
            <w:shd w:val="clear" w:color="auto" w:fill="auto"/>
            <w:noWrap/>
            <w:vAlign w:val="center"/>
            <w:hideMark/>
          </w:tcPr>
          <w:p w14:paraId="177184F4" w14:textId="22847FF1" w:rsidR="002F4BAB" w:rsidRPr="00894701" w:rsidRDefault="001A5C76" w:rsidP="002209C2">
            <w:pPr>
              <w:spacing w:after="0" w:line="240" w:lineRule="auto"/>
              <w:rPr>
                <w:rFonts w:cs="Arial"/>
                <w:color w:val="auto"/>
                <w:kern w:val="0"/>
                <w:sz w:val="16"/>
                <w:szCs w:val="16"/>
              </w:rPr>
            </w:pPr>
            <w:r w:rsidRPr="00894701">
              <w:rPr>
                <w:rFonts w:cs="Arial"/>
                <w:color w:val="auto"/>
                <w:sz w:val="16"/>
                <w:szCs w:val="16"/>
              </w:rPr>
              <w:t>Tax</w:t>
            </w:r>
            <w:r>
              <w:rPr>
                <w:rFonts w:cs="Arial"/>
                <w:color w:val="auto"/>
                <w:sz w:val="16"/>
                <w:szCs w:val="16"/>
              </w:rPr>
              <w:t>es</w:t>
            </w:r>
            <w:r w:rsidRPr="00894701">
              <w:rPr>
                <w:rFonts w:cs="Arial"/>
                <w:color w:val="auto"/>
                <w:sz w:val="16"/>
                <w:szCs w:val="16"/>
              </w:rPr>
              <w:t xml:space="preserve"> </w:t>
            </w:r>
            <w:r w:rsidR="002F4BAB" w:rsidRPr="00894701">
              <w:rPr>
                <w:rFonts w:cs="Arial"/>
                <w:color w:val="auto"/>
                <w:sz w:val="16"/>
                <w:szCs w:val="16"/>
              </w:rPr>
              <w:t xml:space="preserve">amount incorrectly reported </w:t>
            </w:r>
          </w:p>
        </w:tc>
        <w:tc>
          <w:tcPr>
            <w:tcW w:w="1484" w:type="pct"/>
            <w:tcBorders>
              <w:top w:val="nil"/>
              <w:left w:val="nil"/>
              <w:bottom w:val="nil"/>
              <w:right w:val="nil"/>
            </w:tcBorders>
            <w:shd w:val="clear" w:color="000000" w:fill="FFFFFF"/>
            <w:noWrap/>
            <w:vAlign w:val="center"/>
          </w:tcPr>
          <w:p w14:paraId="79063A70" w14:textId="11590FA3" w:rsidR="002F4BAB" w:rsidRPr="00894701" w:rsidRDefault="00BA216C" w:rsidP="002209C2">
            <w:pPr>
              <w:spacing w:after="0" w:line="240" w:lineRule="auto"/>
              <w:jc w:val="right"/>
              <w:rPr>
                <w:rFonts w:cs="Arial"/>
                <w:color w:val="auto"/>
                <w:kern w:val="0"/>
                <w:sz w:val="16"/>
                <w:szCs w:val="16"/>
              </w:rPr>
            </w:pPr>
            <w:r w:rsidRPr="00894701">
              <w:rPr>
                <w:rFonts w:cs="Arial"/>
                <w:color w:val="auto"/>
                <w:sz w:val="16"/>
                <w:szCs w:val="16"/>
              </w:rPr>
              <w:t xml:space="preserve">194,223 </w:t>
            </w:r>
          </w:p>
        </w:tc>
      </w:tr>
      <w:tr w:rsidR="002F4BAB" w:rsidRPr="00894701" w14:paraId="0D7F8F65" w14:textId="77777777" w:rsidTr="004C70CC">
        <w:trPr>
          <w:trHeight w:val="240"/>
        </w:trPr>
        <w:tc>
          <w:tcPr>
            <w:tcW w:w="3516" w:type="pct"/>
            <w:tcBorders>
              <w:top w:val="nil"/>
              <w:left w:val="nil"/>
              <w:bottom w:val="nil"/>
              <w:right w:val="nil"/>
            </w:tcBorders>
            <w:shd w:val="clear" w:color="000000" w:fill="F7A3B0"/>
            <w:noWrap/>
            <w:vAlign w:val="center"/>
            <w:hideMark/>
          </w:tcPr>
          <w:p w14:paraId="420D951D" w14:textId="502D05EF" w:rsidR="002F4BAB" w:rsidRPr="00894701" w:rsidRDefault="001A5C76" w:rsidP="002209C2">
            <w:pPr>
              <w:spacing w:after="0" w:line="240" w:lineRule="auto"/>
              <w:rPr>
                <w:rFonts w:cs="Arial"/>
                <w:color w:val="auto"/>
                <w:kern w:val="0"/>
                <w:sz w:val="16"/>
                <w:szCs w:val="16"/>
              </w:rPr>
            </w:pPr>
            <w:r w:rsidRPr="00894701">
              <w:rPr>
                <w:rFonts w:cs="Arial"/>
                <w:color w:val="auto"/>
                <w:sz w:val="16"/>
                <w:szCs w:val="16"/>
              </w:rPr>
              <w:t>Tax</w:t>
            </w:r>
            <w:r>
              <w:rPr>
                <w:rFonts w:cs="Arial"/>
                <w:color w:val="auto"/>
                <w:sz w:val="16"/>
                <w:szCs w:val="16"/>
              </w:rPr>
              <w:t>es</w:t>
            </w:r>
            <w:r w:rsidRPr="00894701">
              <w:rPr>
                <w:rFonts w:cs="Arial"/>
                <w:color w:val="auto"/>
                <w:sz w:val="16"/>
                <w:szCs w:val="16"/>
              </w:rPr>
              <w:t xml:space="preserve"> </w:t>
            </w:r>
            <w:r w:rsidR="002F4BAB" w:rsidRPr="00894701">
              <w:rPr>
                <w:rFonts w:cs="Arial"/>
                <w:color w:val="auto"/>
                <w:sz w:val="16"/>
                <w:szCs w:val="16"/>
              </w:rPr>
              <w:t xml:space="preserve">related to activity other than mining </w:t>
            </w:r>
          </w:p>
        </w:tc>
        <w:tc>
          <w:tcPr>
            <w:tcW w:w="1484" w:type="pct"/>
            <w:tcBorders>
              <w:top w:val="nil"/>
              <w:left w:val="nil"/>
              <w:bottom w:val="nil"/>
              <w:right w:val="nil"/>
            </w:tcBorders>
            <w:shd w:val="clear" w:color="000000" w:fill="F7A3B0"/>
            <w:noWrap/>
            <w:vAlign w:val="center"/>
          </w:tcPr>
          <w:p w14:paraId="1E1E5A6B" w14:textId="20B996C4" w:rsidR="002F4BAB" w:rsidRPr="00894701" w:rsidRDefault="00BA216C" w:rsidP="002209C2">
            <w:pPr>
              <w:spacing w:after="0" w:line="240" w:lineRule="auto"/>
              <w:jc w:val="right"/>
              <w:rPr>
                <w:rFonts w:cs="Arial"/>
                <w:color w:val="auto"/>
                <w:kern w:val="0"/>
                <w:sz w:val="16"/>
                <w:szCs w:val="16"/>
              </w:rPr>
            </w:pPr>
            <w:r w:rsidRPr="00894701">
              <w:rPr>
                <w:rFonts w:cs="Arial"/>
                <w:color w:val="auto"/>
                <w:sz w:val="16"/>
                <w:szCs w:val="16"/>
              </w:rPr>
              <w:t>(50,449,136)</w:t>
            </w:r>
          </w:p>
        </w:tc>
      </w:tr>
      <w:tr w:rsidR="002F4BAB" w:rsidRPr="00894701" w14:paraId="75B114E8" w14:textId="77777777" w:rsidTr="004C70CC">
        <w:trPr>
          <w:trHeight w:val="250"/>
        </w:trPr>
        <w:tc>
          <w:tcPr>
            <w:tcW w:w="3516" w:type="pct"/>
            <w:tcBorders>
              <w:top w:val="nil"/>
              <w:left w:val="nil"/>
              <w:bottom w:val="single" w:sz="8" w:space="0" w:color="FF0000"/>
              <w:right w:val="nil"/>
            </w:tcBorders>
            <w:shd w:val="clear" w:color="000000" w:fill="7A091A"/>
            <w:vAlign w:val="center"/>
            <w:hideMark/>
          </w:tcPr>
          <w:p w14:paraId="71ACC4F8" w14:textId="77777777" w:rsidR="002F4BAB" w:rsidRPr="00894701" w:rsidRDefault="002F4BAB" w:rsidP="002209C2">
            <w:pPr>
              <w:spacing w:after="0" w:line="240" w:lineRule="auto"/>
              <w:rPr>
                <w:rFonts w:cs="Arial"/>
                <w:b/>
                <w:bCs/>
                <w:color w:val="FFFFFF"/>
                <w:kern w:val="0"/>
                <w:sz w:val="16"/>
                <w:szCs w:val="16"/>
              </w:rPr>
            </w:pPr>
            <w:r w:rsidRPr="00894701">
              <w:rPr>
                <w:rFonts w:cs="Arial"/>
                <w:b/>
                <w:bCs/>
                <w:color w:val="FFFFFF"/>
                <w:kern w:val="0"/>
                <w:sz w:val="16"/>
                <w:szCs w:val="16"/>
              </w:rPr>
              <w:t>Total added to amounts originally reported</w:t>
            </w:r>
          </w:p>
        </w:tc>
        <w:tc>
          <w:tcPr>
            <w:tcW w:w="1484" w:type="pct"/>
            <w:tcBorders>
              <w:top w:val="nil"/>
              <w:left w:val="nil"/>
              <w:bottom w:val="single" w:sz="8" w:space="0" w:color="FF0000"/>
              <w:right w:val="nil"/>
            </w:tcBorders>
            <w:shd w:val="clear" w:color="000000" w:fill="7A091A"/>
            <w:vAlign w:val="center"/>
          </w:tcPr>
          <w:p w14:paraId="0C0D4F8A" w14:textId="0AD999AD" w:rsidR="002F4BAB" w:rsidRPr="00894701" w:rsidRDefault="00BA216C" w:rsidP="002209C2">
            <w:pPr>
              <w:spacing w:after="0" w:line="240" w:lineRule="auto"/>
              <w:jc w:val="right"/>
              <w:rPr>
                <w:rFonts w:cs="Arial"/>
                <w:b/>
                <w:bCs/>
                <w:color w:val="FFFFFF"/>
                <w:kern w:val="0"/>
                <w:sz w:val="16"/>
                <w:szCs w:val="16"/>
              </w:rPr>
            </w:pPr>
            <w:r w:rsidRPr="00894701">
              <w:rPr>
                <w:rFonts w:cs="Arial"/>
                <w:b/>
                <w:bCs/>
                <w:color w:val="FFFFFF"/>
                <w:kern w:val="0"/>
                <w:sz w:val="16"/>
                <w:szCs w:val="16"/>
              </w:rPr>
              <w:t>(49,327,037)</w:t>
            </w:r>
            <w:r w:rsidRPr="00894701" w:rsidDel="00BA216C">
              <w:rPr>
                <w:rFonts w:cs="Arial"/>
                <w:b/>
                <w:bCs/>
                <w:color w:val="FFFFFF"/>
                <w:kern w:val="0"/>
                <w:sz w:val="16"/>
                <w:szCs w:val="16"/>
              </w:rPr>
              <w:t xml:space="preserve"> </w:t>
            </w:r>
          </w:p>
        </w:tc>
      </w:tr>
    </w:tbl>
    <w:p w14:paraId="1F928F13" w14:textId="3F82724D" w:rsidR="005A0E98" w:rsidRPr="00894701" w:rsidRDefault="005A0E98" w:rsidP="002F4BAB">
      <w:pPr>
        <w:spacing w:after="0" w:line="240" w:lineRule="auto"/>
        <w:rPr>
          <w:b/>
          <w:bCs/>
          <w:color w:val="98002E" w:themeColor="accent3"/>
          <w:sz w:val="20"/>
          <w:szCs w:val="20"/>
        </w:rPr>
      </w:pPr>
      <w:bookmarkStart w:id="496" w:name="_Toc117539624"/>
    </w:p>
    <w:p w14:paraId="0A67C75F" w14:textId="77777777" w:rsidR="005A0E98" w:rsidRPr="00894701" w:rsidRDefault="005A0E98">
      <w:pPr>
        <w:spacing w:after="0" w:line="240" w:lineRule="auto"/>
        <w:rPr>
          <w:b/>
          <w:bCs/>
          <w:color w:val="98002E" w:themeColor="accent3"/>
          <w:sz w:val="20"/>
          <w:szCs w:val="20"/>
        </w:rPr>
      </w:pPr>
      <w:r w:rsidRPr="00894701">
        <w:rPr>
          <w:b/>
          <w:bCs/>
          <w:color w:val="98002E" w:themeColor="accent3"/>
          <w:sz w:val="20"/>
          <w:szCs w:val="20"/>
        </w:rPr>
        <w:br w:type="page"/>
      </w:r>
    </w:p>
    <w:p w14:paraId="53A36C66" w14:textId="77777777" w:rsidR="002F4BAB" w:rsidRPr="00894701" w:rsidRDefault="002F4BAB" w:rsidP="002F4BAB">
      <w:pPr>
        <w:spacing w:after="0" w:line="240" w:lineRule="auto"/>
        <w:rPr>
          <w:b/>
          <w:bCs/>
          <w:color w:val="98002E" w:themeColor="accent3"/>
          <w:sz w:val="20"/>
          <w:szCs w:val="20"/>
        </w:rPr>
      </w:pPr>
    </w:p>
    <w:p w14:paraId="54878333" w14:textId="48B9D92B" w:rsidR="002F4BAB" w:rsidRPr="00894701" w:rsidRDefault="002F4BAB" w:rsidP="002F4BAB">
      <w:pPr>
        <w:jc w:val="center"/>
        <w:rPr>
          <w:b/>
          <w:bCs/>
          <w:color w:val="98002E" w:themeColor="accent3"/>
          <w:sz w:val="20"/>
          <w:szCs w:val="20"/>
        </w:rPr>
      </w:pPr>
      <w:bookmarkStart w:id="497" w:name="_Toc146590534"/>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62</w:t>
      </w:r>
      <w:r w:rsidRPr="00894701">
        <w:rPr>
          <w:b/>
          <w:bCs/>
          <w:color w:val="98002E" w:themeColor="accent3"/>
          <w:sz w:val="20"/>
          <w:szCs w:val="20"/>
        </w:rPr>
        <w:fldChar w:fldCharType="end"/>
      </w:r>
      <w:r w:rsidRPr="00894701">
        <w:rPr>
          <w:b/>
          <w:bCs/>
          <w:color w:val="98002E" w:themeColor="accent3"/>
          <w:sz w:val="20"/>
          <w:szCs w:val="20"/>
        </w:rPr>
        <w:t xml:space="preserve">: Adjustments to </w:t>
      </w:r>
      <w:r w:rsidR="00987A9B">
        <w:rPr>
          <w:b/>
          <w:bCs/>
          <w:color w:val="98002E" w:themeColor="accent3"/>
          <w:sz w:val="20"/>
          <w:szCs w:val="20"/>
        </w:rPr>
        <w:t>Government Agencies</w:t>
      </w:r>
      <w:r w:rsidR="00987A9B" w:rsidRPr="00D020DF">
        <w:rPr>
          <w:b/>
          <w:bCs/>
          <w:color w:val="98002E" w:themeColor="accent3"/>
          <w:sz w:val="20"/>
          <w:szCs w:val="20"/>
        </w:rPr>
        <w:t xml:space="preserve">’ </w:t>
      </w:r>
      <w:r w:rsidRPr="00894701">
        <w:rPr>
          <w:b/>
          <w:bCs/>
          <w:color w:val="98002E" w:themeColor="accent3"/>
          <w:sz w:val="20"/>
          <w:szCs w:val="20"/>
        </w:rPr>
        <w:t>templates for the fiscal year 2020</w:t>
      </w:r>
      <w:bookmarkEnd w:id="496"/>
      <w:bookmarkEnd w:id="497"/>
    </w:p>
    <w:tbl>
      <w:tblPr>
        <w:tblW w:w="5000" w:type="pct"/>
        <w:tblLook w:val="04A0" w:firstRow="1" w:lastRow="0" w:firstColumn="1" w:lastColumn="0" w:noHBand="0" w:noVBand="1"/>
      </w:tblPr>
      <w:tblGrid>
        <w:gridCol w:w="6373"/>
        <w:gridCol w:w="2677"/>
      </w:tblGrid>
      <w:tr w:rsidR="002F4BAB" w:rsidRPr="00894701" w14:paraId="097D7AD7" w14:textId="77777777" w:rsidTr="002209C2">
        <w:trPr>
          <w:trHeight w:val="250"/>
        </w:trPr>
        <w:tc>
          <w:tcPr>
            <w:tcW w:w="3521" w:type="pct"/>
            <w:tcBorders>
              <w:top w:val="nil"/>
              <w:left w:val="nil"/>
              <w:bottom w:val="single" w:sz="8" w:space="0" w:color="FF0000"/>
              <w:right w:val="nil"/>
            </w:tcBorders>
            <w:shd w:val="clear" w:color="000000" w:fill="7A091A"/>
            <w:vAlign w:val="center"/>
            <w:hideMark/>
          </w:tcPr>
          <w:p w14:paraId="6DC11750" w14:textId="77777777" w:rsidR="002F4BAB" w:rsidRPr="00894701" w:rsidRDefault="002F4BAB" w:rsidP="002209C2">
            <w:pPr>
              <w:spacing w:after="0" w:line="240" w:lineRule="auto"/>
              <w:rPr>
                <w:rFonts w:cs="Arial"/>
                <w:b/>
                <w:bCs/>
                <w:color w:val="FFFFFF"/>
                <w:kern w:val="0"/>
                <w:sz w:val="16"/>
                <w:szCs w:val="16"/>
              </w:rPr>
            </w:pPr>
            <w:r w:rsidRPr="00894701">
              <w:rPr>
                <w:rFonts w:cs="Arial"/>
                <w:b/>
                <w:bCs/>
                <w:color w:val="FFFFFF"/>
                <w:kern w:val="0"/>
                <w:sz w:val="16"/>
                <w:szCs w:val="16"/>
              </w:rPr>
              <w:t>Adjustments to Government payments</w:t>
            </w:r>
          </w:p>
        </w:tc>
        <w:tc>
          <w:tcPr>
            <w:tcW w:w="1479" w:type="pct"/>
            <w:tcBorders>
              <w:top w:val="nil"/>
              <w:left w:val="nil"/>
              <w:bottom w:val="single" w:sz="8" w:space="0" w:color="FF0000"/>
              <w:right w:val="nil"/>
            </w:tcBorders>
            <w:shd w:val="clear" w:color="000000" w:fill="7A091A"/>
            <w:vAlign w:val="center"/>
            <w:hideMark/>
          </w:tcPr>
          <w:p w14:paraId="23A84576" w14:textId="77777777" w:rsidR="002F4BAB" w:rsidRPr="00894701" w:rsidRDefault="002F4BAB" w:rsidP="002209C2">
            <w:pPr>
              <w:spacing w:after="0" w:line="240" w:lineRule="auto"/>
              <w:jc w:val="right"/>
              <w:rPr>
                <w:rFonts w:cs="Arial"/>
                <w:b/>
                <w:bCs/>
                <w:color w:val="FFFFFF"/>
                <w:kern w:val="0"/>
                <w:sz w:val="16"/>
                <w:szCs w:val="16"/>
              </w:rPr>
            </w:pPr>
            <w:r w:rsidRPr="00894701">
              <w:rPr>
                <w:rFonts w:cs="Arial"/>
                <w:b/>
                <w:bCs/>
                <w:color w:val="FFFFFF"/>
                <w:kern w:val="0"/>
                <w:sz w:val="16"/>
                <w:szCs w:val="16"/>
              </w:rPr>
              <w:t>Total Amount (SRD)</w:t>
            </w:r>
          </w:p>
        </w:tc>
      </w:tr>
      <w:tr w:rsidR="003C1E50" w:rsidRPr="00894701" w14:paraId="03149099" w14:textId="77777777" w:rsidTr="002209C2">
        <w:trPr>
          <w:trHeight w:val="240"/>
        </w:trPr>
        <w:tc>
          <w:tcPr>
            <w:tcW w:w="3521" w:type="pct"/>
            <w:tcBorders>
              <w:top w:val="nil"/>
              <w:left w:val="nil"/>
              <w:bottom w:val="nil"/>
              <w:right w:val="nil"/>
            </w:tcBorders>
            <w:shd w:val="clear" w:color="000000" w:fill="F7A3B0"/>
            <w:noWrap/>
            <w:vAlign w:val="center"/>
            <w:hideMark/>
          </w:tcPr>
          <w:p w14:paraId="2DDE3BB6" w14:textId="42FD68F1" w:rsidR="003C1E50" w:rsidRPr="00894701" w:rsidRDefault="003C1E50" w:rsidP="003C1E50">
            <w:pPr>
              <w:spacing w:after="0" w:line="240" w:lineRule="auto"/>
              <w:rPr>
                <w:rFonts w:cs="Arial"/>
                <w:color w:val="auto"/>
                <w:kern w:val="0"/>
                <w:sz w:val="16"/>
                <w:szCs w:val="16"/>
              </w:rPr>
            </w:pPr>
            <w:r w:rsidRPr="00894701">
              <w:rPr>
                <w:rFonts w:cs="Arial"/>
                <w:color w:val="auto"/>
                <w:sz w:val="16"/>
                <w:szCs w:val="16"/>
              </w:rPr>
              <w:t>Tax</w:t>
            </w:r>
            <w:r w:rsidR="001A5C76">
              <w:rPr>
                <w:rFonts w:cs="Arial"/>
                <w:color w:val="auto"/>
                <w:sz w:val="16"/>
                <w:szCs w:val="16"/>
              </w:rPr>
              <w:t>es</w:t>
            </w:r>
            <w:r w:rsidRPr="00894701">
              <w:rPr>
                <w:rFonts w:cs="Arial"/>
                <w:color w:val="auto"/>
                <w:sz w:val="16"/>
                <w:szCs w:val="16"/>
              </w:rPr>
              <w:t xml:space="preserve"> received not reported</w:t>
            </w:r>
          </w:p>
        </w:tc>
        <w:tc>
          <w:tcPr>
            <w:tcW w:w="1479" w:type="pct"/>
            <w:tcBorders>
              <w:top w:val="nil"/>
              <w:left w:val="nil"/>
              <w:bottom w:val="nil"/>
              <w:right w:val="nil"/>
            </w:tcBorders>
            <w:shd w:val="clear" w:color="000000" w:fill="F7A3B0"/>
            <w:noWrap/>
            <w:vAlign w:val="center"/>
            <w:hideMark/>
          </w:tcPr>
          <w:p w14:paraId="41A57209" w14:textId="58E9255D" w:rsidR="003C1E50" w:rsidRPr="00894701" w:rsidRDefault="003C1E50" w:rsidP="003C1E50">
            <w:pPr>
              <w:spacing w:after="0" w:line="240" w:lineRule="auto"/>
              <w:jc w:val="right"/>
              <w:rPr>
                <w:rFonts w:cs="Arial"/>
                <w:color w:val="auto"/>
                <w:kern w:val="0"/>
                <w:sz w:val="16"/>
                <w:szCs w:val="16"/>
              </w:rPr>
            </w:pPr>
            <w:r w:rsidRPr="00894701">
              <w:rPr>
                <w:rFonts w:cs="Arial"/>
                <w:color w:val="auto"/>
                <w:sz w:val="16"/>
                <w:szCs w:val="16"/>
              </w:rPr>
              <w:t xml:space="preserve">                    9,557,623 </w:t>
            </w:r>
          </w:p>
        </w:tc>
      </w:tr>
      <w:tr w:rsidR="003C1E50" w:rsidRPr="00894701" w14:paraId="279DF24A" w14:textId="77777777" w:rsidTr="002209C2">
        <w:trPr>
          <w:trHeight w:val="240"/>
        </w:trPr>
        <w:tc>
          <w:tcPr>
            <w:tcW w:w="3521" w:type="pct"/>
            <w:tcBorders>
              <w:top w:val="nil"/>
              <w:left w:val="nil"/>
              <w:bottom w:val="nil"/>
              <w:right w:val="nil"/>
            </w:tcBorders>
            <w:shd w:val="clear" w:color="auto" w:fill="auto"/>
            <w:noWrap/>
            <w:vAlign w:val="center"/>
            <w:hideMark/>
          </w:tcPr>
          <w:p w14:paraId="46FC0271" w14:textId="090BBCF5" w:rsidR="003C1E50" w:rsidRPr="00894701" w:rsidRDefault="003C1E50" w:rsidP="003C1E50">
            <w:pPr>
              <w:spacing w:after="0" w:line="240" w:lineRule="auto"/>
              <w:rPr>
                <w:rFonts w:cs="Arial"/>
                <w:color w:val="auto"/>
                <w:kern w:val="0"/>
                <w:sz w:val="16"/>
                <w:szCs w:val="16"/>
              </w:rPr>
            </w:pPr>
            <w:r w:rsidRPr="00894701">
              <w:rPr>
                <w:rFonts w:cs="Arial"/>
                <w:color w:val="auto"/>
                <w:sz w:val="16"/>
                <w:szCs w:val="16"/>
              </w:rPr>
              <w:t xml:space="preserve"> Tax</w:t>
            </w:r>
            <w:r w:rsidR="001A5C76">
              <w:rPr>
                <w:rFonts w:cs="Arial"/>
                <w:color w:val="auto"/>
                <w:sz w:val="16"/>
                <w:szCs w:val="16"/>
              </w:rPr>
              <w:t>es</w:t>
            </w:r>
            <w:r w:rsidRPr="00894701">
              <w:rPr>
                <w:rFonts w:cs="Arial"/>
                <w:color w:val="auto"/>
                <w:sz w:val="16"/>
                <w:szCs w:val="16"/>
              </w:rPr>
              <w:t xml:space="preserve"> related to activity other than mining </w:t>
            </w:r>
          </w:p>
        </w:tc>
        <w:tc>
          <w:tcPr>
            <w:tcW w:w="1479" w:type="pct"/>
            <w:tcBorders>
              <w:top w:val="nil"/>
              <w:left w:val="nil"/>
              <w:bottom w:val="nil"/>
              <w:right w:val="nil"/>
            </w:tcBorders>
            <w:shd w:val="clear" w:color="000000" w:fill="FFFFFF"/>
            <w:noWrap/>
            <w:vAlign w:val="center"/>
            <w:hideMark/>
          </w:tcPr>
          <w:p w14:paraId="4CF6801F" w14:textId="034B3E60" w:rsidR="003C1E50" w:rsidRPr="00894701" w:rsidRDefault="003C1E50" w:rsidP="003C1E50">
            <w:pPr>
              <w:spacing w:after="0" w:line="240" w:lineRule="auto"/>
              <w:jc w:val="right"/>
              <w:rPr>
                <w:rFonts w:cs="Arial"/>
                <w:color w:val="auto"/>
                <w:kern w:val="0"/>
                <w:sz w:val="16"/>
                <w:szCs w:val="16"/>
              </w:rPr>
            </w:pPr>
            <w:r w:rsidRPr="00894701">
              <w:rPr>
                <w:rFonts w:cs="Arial"/>
                <w:color w:val="auto"/>
                <w:sz w:val="16"/>
                <w:szCs w:val="16"/>
              </w:rPr>
              <w:t xml:space="preserve">                   (3,681,497)</w:t>
            </w:r>
          </w:p>
        </w:tc>
      </w:tr>
      <w:tr w:rsidR="003C1E50" w:rsidRPr="00894701" w14:paraId="5203F495" w14:textId="77777777" w:rsidTr="002209C2">
        <w:trPr>
          <w:trHeight w:val="250"/>
        </w:trPr>
        <w:tc>
          <w:tcPr>
            <w:tcW w:w="3521" w:type="pct"/>
            <w:tcBorders>
              <w:top w:val="nil"/>
              <w:left w:val="nil"/>
              <w:bottom w:val="single" w:sz="8" w:space="0" w:color="FF0000"/>
              <w:right w:val="nil"/>
            </w:tcBorders>
            <w:shd w:val="clear" w:color="000000" w:fill="7A091A"/>
            <w:vAlign w:val="center"/>
            <w:hideMark/>
          </w:tcPr>
          <w:p w14:paraId="7164D03B" w14:textId="77777777" w:rsidR="003C1E50" w:rsidRPr="00894701" w:rsidRDefault="003C1E50" w:rsidP="003C1E50">
            <w:pPr>
              <w:spacing w:after="0" w:line="240" w:lineRule="auto"/>
              <w:rPr>
                <w:rFonts w:cs="Arial"/>
                <w:b/>
                <w:bCs/>
                <w:color w:val="FFFFFF"/>
                <w:kern w:val="0"/>
                <w:sz w:val="16"/>
                <w:szCs w:val="16"/>
              </w:rPr>
            </w:pPr>
            <w:r w:rsidRPr="00894701">
              <w:rPr>
                <w:rFonts w:cs="Arial"/>
                <w:b/>
                <w:bCs/>
                <w:color w:val="FFFFFF"/>
                <w:kern w:val="0"/>
                <w:sz w:val="16"/>
                <w:szCs w:val="16"/>
              </w:rPr>
              <w:t>Total added to amounts originally reported</w:t>
            </w:r>
          </w:p>
        </w:tc>
        <w:tc>
          <w:tcPr>
            <w:tcW w:w="1479" w:type="pct"/>
            <w:tcBorders>
              <w:top w:val="nil"/>
              <w:left w:val="nil"/>
              <w:bottom w:val="single" w:sz="8" w:space="0" w:color="FF0000"/>
              <w:right w:val="nil"/>
            </w:tcBorders>
            <w:shd w:val="clear" w:color="000000" w:fill="7A091A"/>
            <w:vAlign w:val="center"/>
            <w:hideMark/>
          </w:tcPr>
          <w:p w14:paraId="43954EFC" w14:textId="78A49754" w:rsidR="003C1E50" w:rsidRPr="00894701" w:rsidRDefault="003C1E50" w:rsidP="003C1E50">
            <w:pPr>
              <w:spacing w:after="0" w:line="240" w:lineRule="auto"/>
              <w:jc w:val="right"/>
              <w:rPr>
                <w:rFonts w:cs="Arial"/>
                <w:b/>
                <w:bCs/>
                <w:color w:val="FFFFFF"/>
                <w:kern w:val="0"/>
                <w:sz w:val="16"/>
                <w:szCs w:val="16"/>
              </w:rPr>
            </w:pPr>
            <w:r w:rsidRPr="00894701">
              <w:rPr>
                <w:rFonts w:cs="Arial"/>
                <w:b/>
                <w:bCs/>
                <w:color w:val="FFFFFF"/>
                <w:sz w:val="16"/>
                <w:szCs w:val="16"/>
              </w:rPr>
              <w:t xml:space="preserve">                  5,876,126 </w:t>
            </w:r>
          </w:p>
        </w:tc>
      </w:tr>
    </w:tbl>
    <w:p w14:paraId="7CCAEC90" w14:textId="488203EE" w:rsidR="002F4BAB" w:rsidRPr="00894701" w:rsidRDefault="002F4BAB" w:rsidP="002F4BAB">
      <w:pPr>
        <w:jc w:val="both"/>
        <w:rPr>
          <w:rFonts w:cs="Arial"/>
          <w:color w:val="auto"/>
          <w:sz w:val="20"/>
          <w:lang w:eastAsia="fr-FR"/>
        </w:rPr>
      </w:pPr>
    </w:p>
    <w:p w14:paraId="0FE25ADC" w14:textId="77777777" w:rsidR="002F4BAB" w:rsidRPr="00894701" w:rsidRDefault="002F4BAB" w:rsidP="004278D1">
      <w:pPr>
        <w:pStyle w:val="AltMinorHeading"/>
        <w:numPr>
          <w:ilvl w:val="2"/>
          <w:numId w:val="71"/>
        </w:numPr>
        <w:spacing w:before="0" w:after="120"/>
        <w:ind w:right="454"/>
        <w:rPr>
          <w:rStyle w:val="Emphasis"/>
        </w:rPr>
      </w:pPr>
      <w:bookmarkStart w:id="498" w:name="_Toc101350058"/>
      <w:bookmarkStart w:id="499" w:name="_Toc104555411"/>
      <w:bookmarkStart w:id="500" w:name="_Toc122478950"/>
      <w:r w:rsidRPr="00894701">
        <w:rPr>
          <w:rStyle w:val="Emphasis"/>
        </w:rPr>
        <w:t>Unreconciled discrepancies</w:t>
      </w:r>
      <w:bookmarkEnd w:id="498"/>
      <w:bookmarkEnd w:id="499"/>
      <w:bookmarkEnd w:id="500"/>
    </w:p>
    <w:p w14:paraId="79C457DA" w14:textId="2BDBF7AE" w:rsidR="002F4BAB" w:rsidRPr="00894701" w:rsidRDefault="002F4BAB" w:rsidP="002F4BAB">
      <w:pPr>
        <w:jc w:val="both"/>
        <w:rPr>
          <w:rFonts w:cs="Arial"/>
          <w:color w:val="auto"/>
          <w:sz w:val="20"/>
          <w:lang w:eastAsia="fr-FR"/>
        </w:rPr>
      </w:pPr>
      <w:bookmarkStart w:id="501" w:name="_Toc68595951"/>
      <w:bookmarkStart w:id="502" w:name="_Toc68595952"/>
      <w:bookmarkStart w:id="503" w:name="_Toc68595953"/>
      <w:bookmarkStart w:id="504" w:name="_Toc68595954"/>
      <w:bookmarkStart w:id="505" w:name="_Toc68595955"/>
      <w:bookmarkStart w:id="506" w:name="_Toc68595956"/>
      <w:bookmarkStart w:id="507" w:name="_Toc68595957"/>
      <w:bookmarkStart w:id="508" w:name="_Toc68595958"/>
      <w:bookmarkStart w:id="509" w:name="_Toc68595959"/>
      <w:bookmarkStart w:id="510" w:name="_Toc68595960"/>
      <w:bookmarkStart w:id="511" w:name="_Toc68595961"/>
      <w:bookmarkStart w:id="512" w:name="_Toc68595962"/>
      <w:bookmarkStart w:id="513" w:name="_Toc68595963"/>
      <w:bookmarkStart w:id="514" w:name="_Toc68595964"/>
      <w:bookmarkStart w:id="515" w:name="_Toc68595965"/>
      <w:bookmarkStart w:id="516" w:name="_Toc68595966"/>
      <w:bookmarkStart w:id="517" w:name="_Toc68595967"/>
      <w:bookmarkStart w:id="518" w:name="_Toc68595968"/>
      <w:bookmarkStart w:id="519" w:name="_Toc68595969"/>
      <w:bookmarkStart w:id="520" w:name="_Toc68595970"/>
      <w:bookmarkStart w:id="521" w:name="_Toc68595971"/>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r w:rsidRPr="00894701">
        <w:rPr>
          <w:rFonts w:cs="Arial"/>
          <w:color w:val="auto"/>
          <w:sz w:val="20"/>
          <w:lang w:eastAsia="fr-FR"/>
        </w:rPr>
        <w:t xml:space="preserve">Following the adjustments made, the total unreconciled discrepancies amounted to SRD 24,085,489 for the FY 2018, SRD 297,505 for the FY 2019, SRD 408,757 for the FY 2020 representing respectively 8.7%, 0.1% and 0.2% of total revenues included in the reconciliation scope. These unreconciled differences </w:t>
      </w:r>
      <w:r w:rsidR="00987A9B">
        <w:rPr>
          <w:rFonts w:cs="Arial"/>
          <w:color w:val="auto"/>
          <w:sz w:val="20"/>
          <w:lang w:eastAsia="fr-FR"/>
        </w:rPr>
        <w:t>are detailed in the tables below.</w:t>
      </w:r>
    </w:p>
    <w:p w14:paraId="7C6B2D4B" w14:textId="1CCD1CB7" w:rsidR="002F4BAB" w:rsidRPr="00894701" w:rsidRDefault="002F4BAB" w:rsidP="002F4BAB">
      <w:pPr>
        <w:jc w:val="center"/>
        <w:rPr>
          <w:b/>
          <w:bCs/>
          <w:color w:val="98002E" w:themeColor="accent3"/>
          <w:sz w:val="20"/>
          <w:szCs w:val="20"/>
        </w:rPr>
      </w:pPr>
      <w:bookmarkStart w:id="522" w:name="_Toc6924860"/>
      <w:bookmarkStart w:id="523" w:name="_Toc104557745"/>
      <w:bookmarkStart w:id="524" w:name="_Toc117539625"/>
      <w:bookmarkStart w:id="525" w:name="_Toc146590535"/>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63</w:t>
      </w:r>
      <w:r w:rsidRPr="00894701">
        <w:rPr>
          <w:b/>
          <w:bCs/>
          <w:color w:val="98002E" w:themeColor="accent3"/>
          <w:sz w:val="20"/>
          <w:szCs w:val="20"/>
        </w:rPr>
        <w:fldChar w:fldCharType="end"/>
      </w:r>
      <w:r w:rsidRPr="00894701">
        <w:rPr>
          <w:b/>
          <w:bCs/>
          <w:color w:val="98002E" w:themeColor="accent3"/>
          <w:sz w:val="20"/>
          <w:szCs w:val="20"/>
        </w:rPr>
        <w:t>: Summary of unreconciled discrepancies</w:t>
      </w:r>
      <w:bookmarkEnd w:id="522"/>
      <w:r w:rsidRPr="00894701">
        <w:rPr>
          <w:b/>
          <w:bCs/>
          <w:color w:val="98002E" w:themeColor="accent3"/>
          <w:sz w:val="20"/>
          <w:szCs w:val="20"/>
        </w:rPr>
        <w:t xml:space="preserve"> for the fiscal year 201</w:t>
      </w:r>
      <w:bookmarkEnd w:id="523"/>
      <w:r w:rsidRPr="00894701">
        <w:rPr>
          <w:b/>
          <w:bCs/>
          <w:color w:val="98002E" w:themeColor="accent3"/>
          <w:sz w:val="20"/>
          <w:szCs w:val="20"/>
        </w:rPr>
        <w:t>8</w:t>
      </w:r>
      <w:bookmarkEnd w:id="524"/>
      <w:bookmarkEnd w:id="525"/>
    </w:p>
    <w:tbl>
      <w:tblPr>
        <w:tblpPr w:leftFromText="180" w:rightFromText="180" w:vertAnchor="text" w:horzAnchor="margin" w:tblpY="-13"/>
        <w:tblW w:w="0" w:type="auto"/>
        <w:tblLayout w:type="fixed"/>
        <w:tblLook w:val="04A0" w:firstRow="1" w:lastRow="0" w:firstColumn="1" w:lastColumn="0" w:noHBand="0" w:noVBand="1"/>
      </w:tblPr>
      <w:tblGrid>
        <w:gridCol w:w="6849"/>
        <w:gridCol w:w="2177"/>
      </w:tblGrid>
      <w:tr w:rsidR="002F4BAB" w:rsidRPr="00894701" w14:paraId="107D378A" w14:textId="77777777" w:rsidTr="002209C2">
        <w:trPr>
          <w:trHeight w:val="430"/>
        </w:trPr>
        <w:tc>
          <w:tcPr>
            <w:tcW w:w="6849" w:type="dxa"/>
            <w:tcBorders>
              <w:top w:val="nil"/>
              <w:left w:val="nil"/>
              <w:bottom w:val="single" w:sz="8" w:space="0" w:color="FF0000"/>
              <w:right w:val="nil"/>
            </w:tcBorders>
            <w:shd w:val="clear" w:color="000000" w:fill="7A091A"/>
            <w:vAlign w:val="center"/>
            <w:hideMark/>
          </w:tcPr>
          <w:p w14:paraId="36B5940D" w14:textId="77777777" w:rsidR="002F4BAB" w:rsidRPr="00894701" w:rsidRDefault="002F4BAB" w:rsidP="002209C2">
            <w:pPr>
              <w:spacing w:after="0" w:line="240" w:lineRule="auto"/>
              <w:rPr>
                <w:rFonts w:cs="Arial"/>
                <w:b/>
                <w:bCs/>
                <w:color w:val="FFFFFF"/>
                <w:kern w:val="0"/>
                <w:szCs w:val="18"/>
              </w:rPr>
            </w:pPr>
            <w:r w:rsidRPr="00894701">
              <w:rPr>
                <w:rFonts w:cs="Arial"/>
                <w:b/>
                <w:bCs/>
                <w:color w:val="FFFFFF"/>
                <w:kern w:val="0"/>
                <w:szCs w:val="18"/>
              </w:rPr>
              <w:t>Reasons for differences</w:t>
            </w:r>
          </w:p>
        </w:tc>
        <w:tc>
          <w:tcPr>
            <w:tcW w:w="2177" w:type="dxa"/>
            <w:tcBorders>
              <w:top w:val="nil"/>
              <w:left w:val="nil"/>
              <w:bottom w:val="single" w:sz="8" w:space="0" w:color="FF0000"/>
              <w:right w:val="nil"/>
            </w:tcBorders>
            <w:shd w:val="clear" w:color="000000" w:fill="7A091A"/>
            <w:vAlign w:val="center"/>
            <w:hideMark/>
          </w:tcPr>
          <w:p w14:paraId="6EFD8FA9" w14:textId="77777777" w:rsidR="002F4BAB" w:rsidRPr="00894701" w:rsidRDefault="002F4BAB" w:rsidP="002209C2">
            <w:pPr>
              <w:spacing w:after="0" w:line="240" w:lineRule="auto"/>
              <w:jc w:val="center"/>
              <w:rPr>
                <w:rFonts w:cs="Arial"/>
                <w:b/>
                <w:bCs/>
                <w:color w:val="FFFFFF"/>
                <w:kern w:val="0"/>
                <w:szCs w:val="18"/>
              </w:rPr>
            </w:pPr>
            <w:r w:rsidRPr="00894701">
              <w:rPr>
                <w:rFonts w:cs="Arial"/>
                <w:b/>
                <w:bCs/>
                <w:color w:val="FFFFFF"/>
                <w:kern w:val="0"/>
                <w:szCs w:val="18"/>
              </w:rPr>
              <w:t>Differences</w:t>
            </w:r>
            <w:r w:rsidRPr="00894701">
              <w:rPr>
                <w:rFonts w:cs="Arial"/>
                <w:b/>
                <w:bCs/>
                <w:color w:val="FFFFFF"/>
                <w:kern w:val="0"/>
                <w:szCs w:val="18"/>
              </w:rPr>
              <w:br/>
              <w:t>(in SRD)</w:t>
            </w:r>
          </w:p>
        </w:tc>
      </w:tr>
      <w:tr w:rsidR="002F4BAB" w:rsidRPr="00894701" w14:paraId="2983FF9E" w14:textId="77777777" w:rsidTr="001C6F06">
        <w:trPr>
          <w:trHeight w:val="300"/>
        </w:trPr>
        <w:tc>
          <w:tcPr>
            <w:tcW w:w="6849" w:type="dxa"/>
            <w:tcBorders>
              <w:top w:val="nil"/>
              <w:left w:val="nil"/>
              <w:bottom w:val="nil"/>
              <w:right w:val="nil"/>
            </w:tcBorders>
            <w:shd w:val="clear" w:color="000000" w:fill="F7A3B0"/>
            <w:noWrap/>
            <w:vAlign w:val="center"/>
          </w:tcPr>
          <w:p w14:paraId="2EC86766" w14:textId="77777777" w:rsidR="002F4BAB" w:rsidRPr="00894701" w:rsidRDefault="002F4BAB" w:rsidP="002209C2">
            <w:pPr>
              <w:spacing w:after="0" w:line="240" w:lineRule="auto"/>
              <w:rPr>
                <w:rFonts w:cs="Arial"/>
                <w:color w:val="auto"/>
                <w:kern w:val="0"/>
                <w:szCs w:val="18"/>
              </w:rPr>
            </w:pPr>
            <w:r w:rsidRPr="00894701">
              <w:rPr>
                <w:rFonts w:cs="Arial"/>
                <w:color w:val="auto"/>
                <w:kern w:val="0"/>
                <w:szCs w:val="18"/>
              </w:rPr>
              <w:t>Reporting template not submitted by the Government Agency</w:t>
            </w:r>
          </w:p>
        </w:tc>
        <w:tc>
          <w:tcPr>
            <w:tcW w:w="2177" w:type="dxa"/>
            <w:tcBorders>
              <w:top w:val="nil"/>
              <w:left w:val="nil"/>
              <w:bottom w:val="nil"/>
              <w:right w:val="nil"/>
            </w:tcBorders>
            <w:shd w:val="clear" w:color="000000" w:fill="F7A3B0"/>
            <w:noWrap/>
            <w:vAlign w:val="center"/>
          </w:tcPr>
          <w:p w14:paraId="59338BB8" w14:textId="77777777" w:rsidR="002F4BAB" w:rsidRPr="00894701" w:rsidRDefault="002F4BAB" w:rsidP="002209C2">
            <w:pPr>
              <w:spacing w:after="0" w:line="240" w:lineRule="auto"/>
              <w:jc w:val="right"/>
              <w:rPr>
                <w:rFonts w:asciiTheme="majorHAnsi" w:hAnsiTheme="majorHAnsi" w:cs="Arial"/>
                <w:color w:val="auto"/>
                <w:kern w:val="0"/>
                <w:szCs w:val="18"/>
              </w:rPr>
            </w:pPr>
            <w:r w:rsidRPr="00894701">
              <w:rPr>
                <w:rFonts w:cs="Arial"/>
                <w:color w:val="auto"/>
                <w:szCs w:val="18"/>
              </w:rPr>
              <w:t xml:space="preserve">185,018 </w:t>
            </w:r>
          </w:p>
        </w:tc>
      </w:tr>
      <w:tr w:rsidR="002F4BAB" w:rsidRPr="00894701" w14:paraId="1869E3F5" w14:textId="77777777" w:rsidTr="001C6F06">
        <w:trPr>
          <w:trHeight w:val="300"/>
        </w:trPr>
        <w:tc>
          <w:tcPr>
            <w:tcW w:w="6849" w:type="dxa"/>
            <w:tcBorders>
              <w:top w:val="nil"/>
              <w:left w:val="nil"/>
              <w:bottom w:val="nil"/>
              <w:right w:val="nil"/>
            </w:tcBorders>
            <w:shd w:val="clear" w:color="auto" w:fill="auto"/>
            <w:noWrap/>
            <w:vAlign w:val="center"/>
          </w:tcPr>
          <w:p w14:paraId="47F207D8" w14:textId="6C1A7573" w:rsidR="002F4BAB" w:rsidRPr="00894701" w:rsidRDefault="002F4BAB" w:rsidP="002209C2">
            <w:pPr>
              <w:spacing w:after="0" w:line="240" w:lineRule="auto"/>
              <w:rPr>
                <w:rFonts w:cs="Arial"/>
                <w:color w:val="auto"/>
                <w:kern w:val="0"/>
                <w:szCs w:val="18"/>
              </w:rPr>
            </w:pPr>
            <w:r w:rsidRPr="00894701">
              <w:rPr>
                <w:rFonts w:cs="Arial"/>
                <w:color w:val="auto"/>
                <w:kern w:val="0"/>
                <w:szCs w:val="18"/>
              </w:rPr>
              <w:t>Tax</w:t>
            </w:r>
            <w:r w:rsidR="00165088">
              <w:rPr>
                <w:rFonts w:cs="Arial"/>
                <w:color w:val="auto"/>
                <w:kern w:val="0"/>
                <w:szCs w:val="18"/>
              </w:rPr>
              <w:t>es</w:t>
            </w:r>
            <w:r w:rsidRPr="00894701">
              <w:rPr>
                <w:rFonts w:cs="Arial"/>
                <w:color w:val="auto"/>
                <w:kern w:val="0"/>
                <w:szCs w:val="18"/>
              </w:rPr>
              <w:t xml:space="preserve"> not reported by the Government Agency</w:t>
            </w:r>
          </w:p>
        </w:tc>
        <w:tc>
          <w:tcPr>
            <w:tcW w:w="2177" w:type="dxa"/>
            <w:tcBorders>
              <w:top w:val="nil"/>
              <w:left w:val="nil"/>
              <w:bottom w:val="nil"/>
              <w:right w:val="nil"/>
            </w:tcBorders>
            <w:shd w:val="clear" w:color="auto" w:fill="auto"/>
            <w:noWrap/>
            <w:vAlign w:val="center"/>
          </w:tcPr>
          <w:p w14:paraId="2B23D332" w14:textId="77777777" w:rsidR="002F4BAB" w:rsidRPr="00894701" w:rsidRDefault="002F4BAB" w:rsidP="002209C2">
            <w:pPr>
              <w:spacing w:after="0" w:line="240" w:lineRule="auto"/>
              <w:jc w:val="right"/>
              <w:rPr>
                <w:rFonts w:asciiTheme="majorHAnsi" w:hAnsiTheme="majorHAnsi" w:cs="Arial"/>
                <w:color w:val="auto"/>
                <w:kern w:val="0"/>
                <w:szCs w:val="18"/>
              </w:rPr>
            </w:pPr>
            <w:r w:rsidRPr="00894701">
              <w:rPr>
                <w:rFonts w:cs="Arial"/>
                <w:color w:val="auto"/>
                <w:szCs w:val="18"/>
              </w:rPr>
              <w:t xml:space="preserve">23,900,000 </w:t>
            </w:r>
          </w:p>
        </w:tc>
      </w:tr>
      <w:tr w:rsidR="002F4BAB" w:rsidRPr="00894701" w14:paraId="32ADE56C" w14:textId="77777777" w:rsidTr="001C6F06">
        <w:trPr>
          <w:trHeight w:val="300"/>
        </w:trPr>
        <w:tc>
          <w:tcPr>
            <w:tcW w:w="6849" w:type="dxa"/>
            <w:tcBorders>
              <w:top w:val="nil"/>
              <w:left w:val="nil"/>
              <w:bottom w:val="nil"/>
              <w:right w:val="nil"/>
            </w:tcBorders>
            <w:shd w:val="clear" w:color="auto" w:fill="F7A3B0"/>
            <w:noWrap/>
            <w:vAlign w:val="center"/>
          </w:tcPr>
          <w:p w14:paraId="315AE9B9" w14:textId="2B6CF7EE" w:rsidR="002F4BAB" w:rsidRPr="00894701" w:rsidRDefault="00165088" w:rsidP="002209C2">
            <w:pPr>
              <w:spacing w:after="0" w:line="240" w:lineRule="auto"/>
              <w:rPr>
                <w:rFonts w:cs="Arial"/>
                <w:color w:val="auto"/>
                <w:kern w:val="0"/>
                <w:szCs w:val="18"/>
              </w:rPr>
            </w:pPr>
            <w:r>
              <w:rPr>
                <w:rFonts w:cs="Arial"/>
                <w:color w:val="auto"/>
                <w:kern w:val="0"/>
                <w:szCs w:val="18"/>
              </w:rPr>
              <w:t>Im</w:t>
            </w:r>
            <w:r w:rsidRPr="00894701">
              <w:rPr>
                <w:rFonts w:cs="Arial"/>
                <w:color w:val="auto"/>
                <w:kern w:val="0"/>
                <w:szCs w:val="18"/>
              </w:rPr>
              <w:t xml:space="preserve">material </w:t>
            </w:r>
            <w:r w:rsidR="002F4BAB" w:rsidRPr="00894701">
              <w:rPr>
                <w:rFonts w:cs="Arial"/>
                <w:color w:val="auto"/>
                <w:kern w:val="0"/>
                <w:szCs w:val="18"/>
              </w:rPr>
              <w:t>difference</w:t>
            </w:r>
          </w:p>
        </w:tc>
        <w:tc>
          <w:tcPr>
            <w:tcW w:w="2177" w:type="dxa"/>
            <w:tcBorders>
              <w:top w:val="nil"/>
              <w:left w:val="nil"/>
              <w:bottom w:val="nil"/>
              <w:right w:val="nil"/>
            </w:tcBorders>
            <w:shd w:val="clear" w:color="auto" w:fill="F7A3B0"/>
            <w:noWrap/>
            <w:vAlign w:val="center"/>
          </w:tcPr>
          <w:p w14:paraId="07C52F22" w14:textId="77777777" w:rsidR="002F4BAB" w:rsidRPr="00894701" w:rsidRDefault="002F4BAB" w:rsidP="002209C2">
            <w:pPr>
              <w:spacing w:after="0" w:line="240" w:lineRule="auto"/>
              <w:jc w:val="right"/>
              <w:rPr>
                <w:rFonts w:asciiTheme="majorHAnsi" w:hAnsiTheme="majorHAnsi" w:cs="Arial"/>
                <w:color w:val="auto"/>
                <w:kern w:val="0"/>
                <w:szCs w:val="18"/>
              </w:rPr>
            </w:pPr>
            <w:r w:rsidRPr="00894701">
              <w:rPr>
                <w:rFonts w:cs="Arial"/>
                <w:color w:val="auto"/>
                <w:szCs w:val="18"/>
              </w:rPr>
              <w:t xml:space="preserve">471 </w:t>
            </w:r>
          </w:p>
        </w:tc>
      </w:tr>
      <w:tr w:rsidR="002F4BAB" w:rsidRPr="00894701" w14:paraId="649FC795" w14:textId="77777777" w:rsidTr="001C6F06">
        <w:trPr>
          <w:trHeight w:val="315"/>
        </w:trPr>
        <w:tc>
          <w:tcPr>
            <w:tcW w:w="6849" w:type="dxa"/>
            <w:tcBorders>
              <w:top w:val="nil"/>
              <w:left w:val="nil"/>
              <w:bottom w:val="single" w:sz="8" w:space="0" w:color="FF0000"/>
              <w:right w:val="nil"/>
            </w:tcBorders>
            <w:shd w:val="clear" w:color="000000" w:fill="7A091A"/>
            <w:vAlign w:val="center"/>
            <w:hideMark/>
          </w:tcPr>
          <w:p w14:paraId="5447314E" w14:textId="77777777" w:rsidR="002F4BAB" w:rsidRPr="00894701" w:rsidRDefault="002F4BAB" w:rsidP="002209C2">
            <w:pPr>
              <w:spacing w:after="0" w:line="240" w:lineRule="auto"/>
              <w:rPr>
                <w:rFonts w:cs="Arial"/>
                <w:b/>
                <w:bCs/>
                <w:color w:val="FFFFFF"/>
                <w:kern w:val="0"/>
                <w:szCs w:val="18"/>
              </w:rPr>
            </w:pPr>
            <w:r w:rsidRPr="00894701">
              <w:rPr>
                <w:rFonts w:cs="Arial"/>
                <w:b/>
                <w:bCs/>
                <w:color w:val="FFFFFF"/>
                <w:kern w:val="0"/>
                <w:szCs w:val="18"/>
              </w:rPr>
              <w:t>Total</w:t>
            </w:r>
          </w:p>
        </w:tc>
        <w:tc>
          <w:tcPr>
            <w:tcW w:w="2177" w:type="dxa"/>
            <w:tcBorders>
              <w:top w:val="nil"/>
              <w:left w:val="nil"/>
              <w:bottom w:val="single" w:sz="8" w:space="0" w:color="FF0000"/>
              <w:right w:val="nil"/>
            </w:tcBorders>
            <w:shd w:val="clear" w:color="000000" w:fill="7A091A"/>
            <w:vAlign w:val="center"/>
            <w:hideMark/>
          </w:tcPr>
          <w:p w14:paraId="4A3B6BB4" w14:textId="77777777" w:rsidR="002F4BAB" w:rsidRPr="00894701" w:rsidRDefault="002F4BAB" w:rsidP="002209C2">
            <w:pPr>
              <w:spacing w:after="0" w:line="240" w:lineRule="auto"/>
              <w:jc w:val="right"/>
              <w:rPr>
                <w:rFonts w:asciiTheme="majorHAnsi" w:hAnsiTheme="majorHAnsi" w:cs="Arial"/>
                <w:b/>
                <w:bCs/>
                <w:color w:val="auto"/>
                <w:kern w:val="0"/>
                <w:szCs w:val="18"/>
              </w:rPr>
            </w:pPr>
            <w:r w:rsidRPr="00894701">
              <w:rPr>
                <w:rFonts w:cs="Arial"/>
                <w:b/>
                <w:bCs/>
                <w:color w:val="auto"/>
                <w:szCs w:val="18"/>
              </w:rPr>
              <w:t xml:space="preserve">24,085,489 </w:t>
            </w:r>
          </w:p>
        </w:tc>
      </w:tr>
    </w:tbl>
    <w:p w14:paraId="60B88E3F" w14:textId="77777777" w:rsidR="002F4BAB" w:rsidRPr="00894701" w:rsidRDefault="002F4BAB" w:rsidP="002F4BAB">
      <w:pPr>
        <w:jc w:val="center"/>
        <w:rPr>
          <w:b/>
          <w:bCs/>
          <w:color w:val="98002E" w:themeColor="accent3"/>
          <w:sz w:val="20"/>
          <w:szCs w:val="20"/>
        </w:rPr>
      </w:pPr>
    </w:p>
    <w:p w14:paraId="2335EF0A" w14:textId="03D36702" w:rsidR="002F4BAB" w:rsidRPr="00894701" w:rsidRDefault="002F4BAB" w:rsidP="002F4BAB">
      <w:pPr>
        <w:jc w:val="center"/>
        <w:rPr>
          <w:b/>
          <w:bCs/>
          <w:color w:val="98002E" w:themeColor="accent3"/>
          <w:sz w:val="20"/>
          <w:szCs w:val="20"/>
        </w:rPr>
      </w:pPr>
      <w:bookmarkStart w:id="526" w:name="_Toc117539626"/>
      <w:bookmarkStart w:id="527" w:name="_Toc146590536"/>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64</w:t>
      </w:r>
      <w:r w:rsidRPr="00894701">
        <w:rPr>
          <w:b/>
          <w:bCs/>
          <w:color w:val="98002E" w:themeColor="accent3"/>
          <w:sz w:val="20"/>
          <w:szCs w:val="20"/>
        </w:rPr>
        <w:fldChar w:fldCharType="end"/>
      </w:r>
      <w:r w:rsidRPr="00894701">
        <w:rPr>
          <w:b/>
          <w:bCs/>
          <w:color w:val="98002E" w:themeColor="accent3"/>
          <w:sz w:val="20"/>
          <w:szCs w:val="20"/>
        </w:rPr>
        <w:t>: Summary of unreconciled discrepancies for the fiscal year 2019</w:t>
      </w:r>
      <w:bookmarkEnd w:id="526"/>
      <w:bookmarkEnd w:id="527"/>
    </w:p>
    <w:tbl>
      <w:tblPr>
        <w:tblpPr w:leftFromText="180" w:rightFromText="180" w:vertAnchor="text" w:horzAnchor="margin" w:tblpY="-13"/>
        <w:tblW w:w="0" w:type="auto"/>
        <w:tblLayout w:type="fixed"/>
        <w:tblLook w:val="04A0" w:firstRow="1" w:lastRow="0" w:firstColumn="1" w:lastColumn="0" w:noHBand="0" w:noVBand="1"/>
      </w:tblPr>
      <w:tblGrid>
        <w:gridCol w:w="6849"/>
        <w:gridCol w:w="2177"/>
      </w:tblGrid>
      <w:tr w:rsidR="002F4BAB" w:rsidRPr="00894701" w14:paraId="0509C5F7" w14:textId="77777777" w:rsidTr="002209C2">
        <w:trPr>
          <w:trHeight w:val="430"/>
        </w:trPr>
        <w:tc>
          <w:tcPr>
            <w:tcW w:w="6849" w:type="dxa"/>
            <w:tcBorders>
              <w:top w:val="nil"/>
              <w:left w:val="nil"/>
              <w:bottom w:val="single" w:sz="8" w:space="0" w:color="FF0000"/>
              <w:right w:val="nil"/>
            </w:tcBorders>
            <w:shd w:val="clear" w:color="000000" w:fill="7A091A"/>
            <w:vAlign w:val="center"/>
            <w:hideMark/>
          </w:tcPr>
          <w:p w14:paraId="6720188A" w14:textId="77777777" w:rsidR="002F4BAB" w:rsidRPr="00894701" w:rsidRDefault="002F4BAB" w:rsidP="002209C2">
            <w:pPr>
              <w:spacing w:after="0" w:line="240" w:lineRule="auto"/>
              <w:rPr>
                <w:rFonts w:cs="Arial"/>
                <w:b/>
                <w:bCs/>
                <w:color w:val="FFFFFF"/>
                <w:kern w:val="0"/>
                <w:szCs w:val="18"/>
              </w:rPr>
            </w:pPr>
            <w:r w:rsidRPr="00894701">
              <w:rPr>
                <w:rFonts w:cs="Arial"/>
                <w:b/>
                <w:bCs/>
                <w:color w:val="FFFFFF"/>
                <w:kern w:val="0"/>
                <w:szCs w:val="18"/>
              </w:rPr>
              <w:t>Reasons for differences</w:t>
            </w:r>
          </w:p>
        </w:tc>
        <w:tc>
          <w:tcPr>
            <w:tcW w:w="2177" w:type="dxa"/>
            <w:tcBorders>
              <w:top w:val="nil"/>
              <w:left w:val="nil"/>
              <w:bottom w:val="single" w:sz="8" w:space="0" w:color="FF0000"/>
              <w:right w:val="nil"/>
            </w:tcBorders>
            <w:shd w:val="clear" w:color="000000" w:fill="7A091A"/>
            <w:vAlign w:val="center"/>
            <w:hideMark/>
          </w:tcPr>
          <w:p w14:paraId="555A5207" w14:textId="77777777" w:rsidR="002F4BAB" w:rsidRPr="00894701" w:rsidRDefault="002F4BAB" w:rsidP="002209C2">
            <w:pPr>
              <w:spacing w:after="0" w:line="240" w:lineRule="auto"/>
              <w:jc w:val="center"/>
              <w:rPr>
                <w:rFonts w:cs="Arial"/>
                <w:b/>
                <w:bCs/>
                <w:color w:val="FFFFFF"/>
                <w:kern w:val="0"/>
                <w:szCs w:val="18"/>
              </w:rPr>
            </w:pPr>
            <w:r w:rsidRPr="00894701">
              <w:rPr>
                <w:rFonts w:cs="Arial"/>
                <w:b/>
                <w:bCs/>
                <w:color w:val="FFFFFF"/>
                <w:kern w:val="0"/>
                <w:szCs w:val="18"/>
              </w:rPr>
              <w:t>Differences</w:t>
            </w:r>
            <w:r w:rsidRPr="00894701">
              <w:rPr>
                <w:rFonts w:cs="Arial"/>
                <w:b/>
                <w:bCs/>
                <w:color w:val="FFFFFF"/>
                <w:kern w:val="0"/>
                <w:szCs w:val="18"/>
              </w:rPr>
              <w:br/>
              <w:t>(in SRD)</w:t>
            </w:r>
          </w:p>
        </w:tc>
      </w:tr>
      <w:tr w:rsidR="002F4BAB" w:rsidRPr="00894701" w14:paraId="2FCA77EA" w14:textId="77777777" w:rsidTr="002209C2">
        <w:trPr>
          <w:trHeight w:val="300"/>
        </w:trPr>
        <w:tc>
          <w:tcPr>
            <w:tcW w:w="6849" w:type="dxa"/>
            <w:tcBorders>
              <w:top w:val="nil"/>
              <w:left w:val="nil"/>
              <w:bottom w:val="nil"/>
              <w:right w:val="nil"/>
            </w:tcBorders>
            <w:shd w:val="clear" w:color="000000" w:fill="F7A3B0"/>
            <w:noWrap/>
            <w:vAlign w:val="center"/>
          </w:tcPr>
          <w:p w14:paraId="62FC4C07" w14:textId="77777777" w:rsidR="002F4BAB" w:rsidRPr="00894701" w:rsidRDefault="002F4BAB" w:rsidP="002209C2">
            <w:pPr>
              <w:spacing w:after="0" w:line="240" w:lineRule="auto"/>
              <w:rPr>
                <w:rFonts w:cs="Arial"/>
                <w:color w:val="auto"/>
                <w:kern w:val="0"/>
                <w:szCs w:val="18"/>
              </w:rPr>
            </w:pPr>
            <w:r w:rsidRPr="00894701">
              <w:rPr>
                <w:rFonts w:cs="Arial"/>
                <w:color w:val="auto"/>
                <w:kern w:val="0"/>
                <w:szCs w:val="18"/>
              </w:rPr>
              <w:t>Reporting template not submitted by the Government Agency</w:t>
            </w:r>
          </w:p>
        </w:tc>
        <w:tc>
          <w:tcPr>
            <w:tcW w:w="2177" w:type="dxa"/>
            <w:tcBorders>
              <w:top w:val="nil"/>
              <w:left w:val="nil"/>
              <w:bottom w:val="nil"/>
              <w:right w:val="nil"/>
            </w:tcBorders>
            <w:shd w:val="clear" w:color="000000" w:fill="F7A3B0"/>
            <w:noWrap/>
            <w:vAlign w:val="center"/>
          </w:tcPr>
          <w:p w14:paraId="03FD8456" w14:textId="5D4E6308" w:rsidR="002F4BAB" w:rsidRPr="00894701" w:rsidRDefault="003C1E50" w:rsidP="002209C2">
            <w:pPr>
              <w:spacing w:after="0" w:line="240" w:lineRule="auto"/>
              <w:jc w:val="right"/>
              <w:rPr>
                <w:rFonts w:asciiTheme="majorHAnsi" w:hAnsiTheme="majorHAnsi" w:cs="Arial"/>
                <w:color w:val="auto"/>
                <w:kern w:val="0"/>
                <w:szCs w:val="18"/>
              </w:rPr>
            </w:pPr>
            <w:r w:rsidRPr="00894701">
              <w:rPr>
                <w:rFonts w:asciiTheme="majorHAnsi" w:hAnsiTheme="majorHAnsi" w:cs="Arial"/>
                <w:color w:val="auto"/>
                <w:kern w:val="0"/>
                <w:szCs w:val="18"/>
              </w:rPr>
              <w:t>185,018</w:t>
            </w:r>
          </w:p>
        </w:tc>
      </w:tr>
      <w:tr w:rsidR="002F4BAB" w:rsidRPr="00894701" w14:paraId="3B570E4D" w14:textId="77777777" w:rsidTr="002209C2">
        <w:trPr>
          <w:trHeight w:val="300"/>
        </w:trPr>
        <w:tc>
          <w:tcPr>
            <w:tcW w:w="6849" w:type="dxa"/>
            <w:tcBorders>
              <w:top w:val="nil"/>
              <w:left w:val="nil"/>
              <w:bottom w:val="nil"/>
              <w:right w:val="nil"/>
            </w:tcBorders>
            <w:shd w:val="clear" w:color="auto" w:fill="auto"/>
            <w:noWrap/>
            <w:vAlign w:val="center"/>
          </w:tcPr>
          <w:p w14:paraId="056706FB" w14:textId="676AB272" w:rsidR="002F4BAB" w:rsidRPr="00894701" w:rsidRDefault="002F4BAB" w:rsidP="002209C2">
            <w:pPr>
              <w:spacing w:after="0" w:line="240" w:lineRule="auto"/>
              <w:rPr>
                <w:rFonts w:cs="Arial"/>
                <w:color w:val="auto"/>
                <w:kern w:val="0"/>
                <w:szCs w:val="18"/>
              </w:rPr>
            </w:pPr>
            <w:r w:rsidRPr="00894701">
              <w:rPr>
                <w:rFonts w:cs="Arial"/>
                <w:color w:val="auto"/>
                <w:kern w:val="0"/>
                <w:szCs w:val="18"/>
              </w:rPr>
              <w:t>Tax</w:t>
            </w:r>
            <w:r w:rsidR="00165088">
              <w:rPr>
                <w:rFonts w:cs="Arial"/>
                <w:color w:val="auto"/>
                <w:kern w:val="0"/>
                <w:szCs w:val="18"/>
              </w:rPr>
              <w:t>es</w:t>
            </w:r>
            <w:r w:rsidRPr="00894701">
              <w:rPr>
                <w:rFonts w:cs="Arial"/>
                <w:color w:val="auto"/>
                <w:kern w:val="0"/>
                <w:szCs w:val="18"/>
              </w:rPr>
              <w:t xml:space="preserve"> not reported by the Government Agency</w:t>
            </w:r>
          </w:p>
        </w:tc>
        <w:tc>
          <w:tcPr>
            <w:tcW w:w="2177" w:type="dxa"/>
            <w:tcBorders>
              <w:top w:val="nil"/>
              <w:left w:val="nil"/>
              <w:bottom w:val="nil"/>
              <w:right w:val="nil"/>
            </w:tcBorders>
            <w:shd w:val="clear" w:color="auto" w:fill="auto"/>
            <w:noWrap/>
            <w:vAlign w:val="center"/>
          </w:tcPr>
          <w:p w14:paraId="5C837CC9" w14:textId="77777777" w:rsidR="002F4BAB" w:rsidRPr="00894701" w:rsidRDefault="002F4BAB" w:rsidP="002209C2">
            <w:pPr>
              <w:spacing w:after="0" w:line="240" w:lineRule="auto"/>
              <w:jc w:val="right"/>
              <w:rPr>
                <w:rFonts w:asciiTheme="majorHAnsi" w:hAnsiTheme="majorHAnsi" w:cs="Arial"/>
                <w:color w:val="auto"/>
                <w:kern w:val="0"/>
                <w:szCs w:val="18"/>
              </w:rPr>
            </w:pPr>
            <w:r w:rsidRPr="00894701">
              <w:rPr>
                <w:rFonts w:asciiTheme="majorHAnsi" w:hAnsiTheme="majorHAnsi" w:cs="Arial"/>
                <w:color w:val="auto"/>
                <w:kern w:val="0"/>
                <w:szCs w:val="18"/>
              </w:rPr>
              <w:t>(191,295)</w:t>
            </w:r>
          </w:p>
        </w:tc>
      </w:tr>
      <w:tr w:rsidR="002F4BAB" w:rsidRPr="00894701" w14:paraId="6B8FAD71" w14:textId="77777777" w:rsidTr="002209C2">
        <w:trPr>
          <w:trHeight w:val="300"/>
        </w:trPr>
        <w:tc>
          <w:tcPr>
            <w:tcW w:w="6849" w:type="dxa"/>
            <w:tcBorders>
              <w:top w:val="nil"/>
              <w:left w:val="nil"/>
              <w:bottom w:val="nil"/>
              <w:right w:val="nil"/>
            </w:tcBorders>
            <w:shd w:val="clear" w:color="auto" w:fill="F7A3B0"/>
            <w:noWrap/>
            <w:vAlign w:val="center"/>
          </w:tcPr>
          <w:p w14:paraId="15CC6D4D" w14:textId="13D27548" w:rsidR="002F4BAB" w:rsidRPr="00894701" w:rsidRDefault="00165088" w:rsidP="002209C2">
            <w:pPr>
              <w:spacing w:after="0" w:line="240" w:lineRule="auto"/>
              <w:rPr>
                <w:rFonts w:cs="Arial"/>
                <w:color w:val="auto"/>
                <w:kern w:val="0"/>
                <w:szCs w:val="18"/>
              </w:rPr>
            </w:pPr>
            <w:r>
              <w:rPr>
                <w:rFonts w:cs="Arial"/>
                <w:color w:val="auto"/>
                <w:kern w:val="0"/>
                <w:szCs w:val="18"/>
              </w:rPr>
              <w:t>Im</w:t>
            </w:r>
            <w:r w:rsidRPr="00894701">
              <w:rPr>
                <w:rFonts w:cs="Arial"/>
                <w:color w:val="auto"/>
                <w:kern w:val="0"/>
                <w:szCs w:val="18"/>
              </w:rPr>
              <w:t xml:space="preserve">material </w:t>
            </w:r>
            <w:r w:rsidR="002F4BAB" w:rsidRPr="00894701">
              <w:rPr>
                <w:rFonts w:cs="Arial"/>
                <w:color w:val="auto"/>
                <w:kern w:val="0"/>
                <w:szCs w:val="18"/>
              </w:rPr>
              <w:t>difference</w:t>
            </w:r>
          </w:p>
        </w:tc>
        <w:tc>
          <w:tcPr>
            <w:tcW w:w="2177" w:type="dxa"/>
            <w:tcBorders>
              <w:top w:val="nil"/>
              <w:left w:val="nil"/>
              <w:bottom w:val="nil"/>
              <w:right w:val="nil"/>
            </w:tcBorders>
            <w:shd w:val="clear" w:color="auto" w:fill="F7A3B0"/>
            <w:noWrap/>
            <w:vAlign w:val="center"/>
          </w:tcPr>
          <w:p w14:paraId="5E89E7D5" w14:textId="77777777" w:rsidR="002F4BAB" w:rsidRPr="00894701" w:rsidRDefault="002F4BAB" w:rsidP="002209C2">
            <w:pPr>
              <w:spacing w:after="0" w:line="240" w:lineRule="auto"/>
              <w:jc w:val="right"/>
              <w:rPr>
                <w:rFonts w:asciiTheme="majorHAnsi" w:hAnsiTheme="majorHAnsi" w:cs="Arial"/>
                <w:color w:val="auto"/>
                <w:kern w:val="0"/>
                <w:szCs w:val="18"/>
              </w:rPr>
            </w:pPr>
            <w:r w:rsidRPr="00894701">
              <w:rPr>
                <w:rFonts w:asciiTheme="majorHAnsi" w:hAnsiTheme="majorHAnsi" w:cs="Arial"/>
                <w:color w:val="auto"/>
                <w:kern w:val="0"/>
                <w:szCs w:val="18"/>
              </w:rPr>
              <w:t>4</w:t>
            </w:r>
          </w:p>
        </w:tc>
      </w:tr>
      <w:tr w:rsidR="002F4BAB" w:rsidRPr="00894701" w14:paraId="15CAB511" w14:textId="77777777" w:rsidTr="001C6F06">
        <w:trPr>
          <w:trHeight w:val="315"/>
        </w:trPr>
        <w:tc>
          <w:tcPr>
            <w:tcW w:w="6849" w:type="dxa"/>
            <w:tcBorders>
              <w:top w:val="nil"/>
              <w:left w:val="nil"/>
              <w:bottom w:val="single" w:sz="8" w:space="0" w:color="FF0000"/>
              <w:right w:val="nil"/>
            </w:tcBorders>
            <w:shd w:val="clear" w:color="000000" w:fill="7A091A"/>
            <w:vAlign w:val="center"/>
            <w:hideMark/>
          </w:tcPr>
          <w:p w14:paraId="01FDCACE" w14:textId="77777777" w:rsidR="002F4BAB" w:rsidRPr="00894701" w:rsidRDefault="002F4BAB" w:rsidP="002209C2">
            <w:pPr>
              <w:spacing w:after="0" w:line="240" w:lineRule="auto"/>
              <w:rPr>
                <w:rFonts w:cs="Arial"/>
                <w:b/>
                <w:bCs/>
                <w:color w:val="FFFFFF"/>
                <w:kern w:val="0"/>
                <w:szCs w:val="18"/>
              </w:rPr>
            </w:pPr>
            <w:r w:rsidRPr="00894701">
              <w:rPr>
                <w:rFonts w:cs="Arial"/>
                <w:b/>
                <w:bCs/>
                <w:color w:val="FFFFFF"/>
                <w:kern w:val="0"/>
                <w:szCs w:val="18"/>
              </w:rPr>
              <w:t>Total</w:t>
            </w:r>
          </w:p>
        </w:tc>
        <w:tc>
          <w:tcPr>
            <w:tcW w:w="2177" w:type="dxa"/>
            <w:tcBorders>
              <w:top w:val="nil"/>
              <w:left w:val="nil"/>
              <w:bottom w:val="single" w:sz="8" w:space="0" w:color="FF0000"/>
              <w:right w:val="nil"/>
            </w:tcBorders>
            <w:shd w:val="clear" w:color="000000" w:fill="7A091A"/>
            <w:vAlign w:val="center"/>
          </w:tcPr>
          <w:p w14:paraId="0059F2F8" w14:textId="233A21DE" w:rsidR="002F4BAB" w:rsidRPr="00894701" w:rsidRDefault="003C1E50" w:rsidP="002209C2">
            <w:pPr>
              <w:spacing w:after="0" w:line="240" w:lineRule="auto"/>
              <w:jc w:val="right"/>
              <w:rPr>
                <w:rFonts w:asciiTheme="majorHAnsi" w:hAnsiTheme="majorHAnsi" w:cs="Arial"/>
                <w:b/>
                <w:bCs/>
                <w:color w:val="auto"/>
                <w:kern w:val="0"/>
                <w:szCs w:val="18"/>
              </w:rPr>
            </w:pPr>
            <w:r w:rsidRPr="00894701">
              <w:rPr>
                <w:rFonts w:asciiTheme="majorHAnsi" w:hAnsiTheme="majorHAnsi" w:cs="Arial"/>
                <w:b/>
                <w:bCs/>
                <w:color w:val="auto"/>
                <w:kern w:val="0"/>
                <w:szCs w:val="18"/>
              </w:rPr>
              <w:t xml:space="preserve"> (6,273)</w:t>
            </w:r>
          </w:p>
        </w:tc>
      </w:tr>
    </w:tbl>
    <w:p w14:paraId="1C9114A8" w14:textId="77777777" w:rsidR="002F4BAB" w:rsidRPr="00894701" w:rsidRDefault="002F4BAB" w:rsidP="002F4BAB">
      <w:pPr>
        <w:jc w:val="center"/>
        <w:rPr>
          <w:b/>
          <w:bCs/>
          <w:noProof/>
          <w:color w:val="98002E" w:themeColor="accent3"/>
          <w:sz w:val="20"/>
          <w:szCs w:val="20"/>
        </w:rPr>
      </w:pPr>
    </w:p>
    <w:p w14:paraId="04D21F31" w14:textId="602378FD" w:rsidR="002F4BAB" w:rsidRPr="00894701" w:rsidRDefault="002F4BAB" w:rsidP="002F4BAB">
      <w:pPr>
        <w:jc w:val="center"/>
        <w:rPr>
          <w:b/>
          <w:bCs/>
          <w:color w:val="98002E" w:themeColor="accent3"/>
          <w:sz w:val="20"/>
          <w:szCs w:val="20"/>
        </w:rPr>
      </w:pPr>
      <w:bookmarkStart w:id="528" w:name="_Toc117539627"/>
      <w:bookmarkStart w:id="529" w:name="_Toc146590537"/>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65</w:t>
      </w:r>
      <w:r w:rsidRPr="00894701">
        <w:rPr>
          <w:b/>
          <w:bCs/>
          <w:color w:val="98002E" w:themeColor="accent3"/>
          <w:sz w:val="20"/>
          <w:szCs w:val="20"/>
        </w:rPr>
        <w:fldChar w:fldCharType="end"/>
      </w:r>
      <w:r w:rsidRPr="00894701">
        <w:rPr>
          <w:b/>
          <w:bCs/>
          <w:color w:val="98002E" w:themeColor="accent3"/>
          <w:sz w:val="20"/>
          <w:szCs w:val="20"/>
        </w:rPr>
        <w:t>: Summary of unreconciled discrepancies for the fiscal year 2020</w:t>
      </w:r>
      <w:bookmarkEnd w:id="528"/>
      <w:bookmarkEnd w:id="529"/>
    </w:p>
    <w:tbl>
      <w:tblPr>
        <w:tblpPr w:leftFromText="180" w:rightFromText="180" w:vertAnchor="text" w:horzAnchor="margin" w:tblpY="-13"/>
        <w:tblW w:w="0" w:type="auto"/>
        <w:tblLayout w:type="fixed"/>
        <w:tblLook w:val="04A0" w:firstRow="1" w:lastRow="0" w:firstColumn="1" w:lastColumn="0" w:noHBand="0" w:noVBand="1"/>
      </w:tblPr>
      <w:tblGrid>
        <w:gridCol w:w="6849"/>
        <w:gridCol w:w="2177"/>
      </w:tblGrid>
      <w:tr w:rsidR="002F4BAB" w:rsidRPr="00894701" w14:paraId="5FC943BE" w14:textId="77777777" w:rsidTr="002209C2">
        <w:trPr>
          <w:trHeight w:val="430"/>
        </w:trPr>
        <w:tc>
          <w:tcPr>
            <w:tcW w:w="6849" w:type="dxa"/>
            <w:tcBorders>
              <w:top w:val="nil"/>
              <w:left w:val="nil"/>
              <w:bottom w:val="single" w:sz="8" w:space="0" w:color="FF0000"/>
              <w:right w:val="nil"/>
            </w:tcBorders>
            <w:shd w:val="clear" w:color="000000" w:fill="7A091A"/>
            <w:vAlign w:val="center"/>
            <w:hideMark/>
          </w:tcPr>
          <w:p w14:paraId="0C034A16" w14:textId="77777777" w:rsidR="002F4BAB" w:rsidRPr="00894701" w:rsidRDefault="002F4BAB" w:rsidP="002209C2">
            <w:pPr>
              <w:spacing w:after="0" w:line="240" w:lineRule="auto"/>
              <w:rPr>
                <w:rFonts w:cs="Arial"/>
                <w:b/>
                <w:bCs/>
                <w:color w:val="FFFFFF"/>
                <w:kern w:val="0"/>
                <w:szCs w:val="18"/>
              </w:rPr>
            </w:pPr>
            <w:r w:rsidRPr="00894701">
              <w:rPr>
                <w:rFonts w:cs="Arial"/>
                <w:b/>
                <w:bCs/>
                <w:color w:val="FFFFFF"/>
                <w:kern w:val="0"/>
                <w:szCs w:val="18"/>
              </w:rPr>
              <w:t>Reasons for differences</w:t>
            </w:r>
          </w:p>
        </w:tc>
        <w:tc>
          <w:tcPr>
            <w:tcW w:w="2177" w:type="dxa"/>
            <w:tcBorders>
              <w:top w:val="nil"/>
              <w:left w:val="nil"/>
              <w:bottom w:val="single" w:sz="8" w:space="0" w:color="FF0000"/>
              <w:right w:val="nil"/>
            </w:tcBorders>
            <w:shd w:val="clear" w:color="000000" w:fill="7A091A"/>
            <w:vAlign w:val="center"/>
            <w:hideMark/>
          </w:tcPr>
          <w:p w14:paraId="753DD2B4" w14:textId="77777777" w:rsidR="002F4BAB" w:rsidRPr="00894701" w:rsidRDefault="002F4BAB" w:rsidP="002209C2">
            <w:pPr>
              <w:spacing w:after="0" w:line="240" w:lineRule="auto"/>
              <w:jc w:val="center"/>
              <w:rPr>
                <w:rFonts w:cs="Arial"/>
                <w:b/>
                <w:bCs/>
                <w:color w:val="FFFFFF"/>
                <w:kern w:val="0"/>
                <w:szCs w:val="18"/>
              </w:rPr>
            </w:pPr>
            <w:r w:rsidRPr="00894701">
              <w:rPr>
                <w:rFonts w:cs="Arial"/>
                <w:b/>
                <w:bCs/>
                <w:color w:val="FFFFFF"/>
                <w:kern w:val="0"/>
                <w:szCs w:val="18"/>
              </w:rPr>
              <w:t>Differences</w:t>
            </w:r>
            <w:r w:rsidRPr="00894701">
              <w:rPr>
                <w:rFonts w:cs="Arial"/>
                <w:b/>
                <w:bCs/>
                <w:color w:val="FFFFFF"/>
                <w:kern w:val="0"/>
                <w:szCs w:val="18"/>
              </w:rPr>
              <w:br/>
              <w:t>(in SRD)</w:t>
            </w:r>
          </w:p>
        </w:tc>
      </w:tr>
      <w:tr w:rsidR="002F4BAB" w:rsidRPr="00894701" w14:paraId="452314A5" w14:textId="77777777" w:rsidTr="002209C2">
        <w:trPr>
          <w:trHeight w:val="300"/>
        </w:trPr>
        <w:tc>
          <w:tcPr>
            <w:tcW w:w="6849" w:type="dxa"/>
            <w:tcBorders>
              <w:top w:val="nil"/>
              <w:left w:val="nil"/>
              <w:bottom w:val="nil"/>
              <w:right w:val="nil"/>
            </w:tcBorders>
            <w:shd w:val="clear" w:color="auto" w:fill="F7A3B0"/>
            <w:noWrap/>
            <w:vAlign w:val="center"/>
          </w:tcPr>
          <w:p w14:paraId="0682BAE1" w14:textId="7063CCD1" w:rsidR="002F4BAB" w:rsidRPr="00894701" w:rsidRDefault="00165088" w:rsidP="002209C2">
            <w:pPr>
              <w:spacing w:after="0" w:line="240" w:lineRule="auto"/>
              <w:rPr>
                <w:rFonts w:cs="Arial"/>
                <w:color w:val="auto"/>
                <w:kern w:val="0"/>
                <w:szCs w:val="18"/>
              </w:rPr>
            </w:pPr>
            <w:r>
              <w:rPr>
                <w:rFonts w:cs="Arial"/>
                <w:color w:val="auto"/>
                <w:kern w:val="0"/>
                <w:szCs w:val="18"/>
              </w:rPr>
              <w:t>Im</w:t>
            </w:r>
            <w:r w:rsidR="002F4BAB" w:rsidRPr="00894701">
              <w:rPr>
                <w:rFonts w:cs="Arial"/>
                <w:color w:val="auto"/>
                <w:kern w:val="0"/>
                <w:szCs w:val="18"/>
              </w:rPr>
              <w:t>material difference</w:t>
            </w:r>
          </w:p>
        </w:tc>
        <w:tc>
          <w:tcPr>
            <w:tcW w:w="2177" w:type="dxa"/>
            <w:tcBorders>
              <w:top w:val="nil"/>
              <w:left w:val="nil"/>
              <w:bottom w:val="nil"/>
              <w:right w:val="nil"/>
            </w:tcBorders>
            <w:shd w:val="clear" w:color="auto" w:fill="F7A3B0"/>
            <w:noWrap/>
            <w:vAlign w:val="center"/>
          </w:tcPr>
          <w:p w14:paraId="6047FF89" w14:textId="77777777" w:rsidR="002F4BAB" w:rsidRPr="00894701" w:rsidRDefault="002F4BAB" w:rsidP="002209C2">
            <w:pPr>
              <w:spacing w:after="0" w:line="240" w:lineRule="auto"/>
              <w:jc w:val="right"/>
              <w:rPr>
                <w:rFonts w:asciiTheme="majorHAnsi" w:hAnsiTheme="majorHAnsi" w:cs="Arial"/>
                <w:color w:val="auto"/>
                <w:kern w:val="0"/>
                <w:szCs w:val="18"/>
              </w:rPr>
            </w:pPr>
            <w:r w:rsidRPr="00894701">
              <w:rPr>
                <w:rFonts w:asciiTheme="majorHAnsi" w:hAnsiTheme="majorHAnsi" w:cs="Arial"/>
                <w:color w:val="auto"/>
                <w:kern w:val="0"/>
                <w:szCs w:val="18"/>
              </w:rPr>
              <w:t>3</w:t>
            </w:r>
          </w:p>
        </w:tc>
      </w:tr>
      <w:tr w:rsidR="002F4BAB" w:rsidRPr="00894701" w14:paraId="69D53E1D" w14:textId="77777777" w:rsidTr="002209C2">
        <w:trPr>
          <w:trHeight w:val="315"/>
        </w:trPr>
        <w:tc>
          <w:tcPr>
            <w:tcW w:w="6849" w:type="dxa"/>
            <w:tcBorders>
              <w:top w:val="nil"/>
              <w:left w:val="nil"/>
              <w:bottom w:val="single" w:sz="8" w:space="0" w:color="FF0000"/>
              <w:right w:val="nil"/>
            </w:tcBorders>
            <w:shd w:val="clear" w:color="000000" w:fill="7A091A"/>
            <w:vAlign w:val="center"/>
            <w:hideMark/>
          </w:tcPr>
          <w:p w14:paraId="6DDBCAAA" w14:textId="77777777" w:rsidR="002F4BAB" w:rsidRPr="00894701" w:rsidRDefault="002F4BAB" w:rsidP="002209C2">
            <w:pPr>
              <w:spacing w:after="0" w:line="240" w:lineRule="auto"/>
              <w:rPr>
                <w:rFonts w:cs="Arial"/>
                <w:b/>
                <w:bCs/>
                <w:color w:val="FFFFFF"/>
                <w:kern w:val="0"/>
                <w:szCs w:val="18"/>
              </w:rPr>
            </w:pPr>
            <w:r w:rsidRPr="00894701">
              <w:rPr>
                <w:rFonts w:cs="Arial"/>
                <w:b/>
                <w:bCs/>
                <w:color w:val="FFFFFF"/>
                <w:kern w:val="0"/>
                <w:szCs w:val="18"/>
              </w:rPr>
              <w:t>Total</w:t>
            </w:r>
          </w:p>
        </w:tc>
        <w:tc>
          <w:tcPr>
            <w:tcW w:w="2177" w:type="dxa"/>
            <w:tcBorders>
              <w:top w:val="nil"/>
              <w:left w:val="nil"/>
              <w:bottom w:val="single" w:sz="8" w:space="0" w:color="FF0000"/>
              <w:right w:val="nil"/>
            </w:tcBorders>
            <w:shd w:val="clear" w:color="000000" w:fill="7A091A"/>
            <w:vAlign w:val="center"/>
          </w:tcPr>
          <w:p w14:paraId="23FADBF6" w14:textId="08321413" w:rsidR="002F4BAB" w:rsidRPr="00894701" w:rsidRDefault="00BA216C" w:rsidP="002209C2">
            <w:pPr>
              <w:spacing w:after="0" w:line="240" w:lineRule="auto"/>
              <w:jc w:val="right"/>
              <w:rPr>
                <w:rFonts w:asciiTheme="majorHAnsi" w:hAnsiTheme="majorHAnsi" w:cs="Arial"/>
                <w:b/>
                <w:bCs/>
                <w:color w:val="auto"/>
                <w:kern w:val="0"/>
                <w:szCs w:val="18"/>
              </w:rPr>
            </w:pPr>
            <w:r w:rsidRPr="00894701">
              <w:rPr>
                <w:rFonts w:asciiTheme="majorHAnsi" w:hAnsiTheme="majorHAnsi" w:cs="Arial"/>
                <w:b/>
                <w:bCs/>
                <w:color w:val="auto"/>
                <w:kern w:val="0"/>
                <w:szCs w:val="18"/>
              </w:rPr>
              <w:t>3</w:t>
            </w:r>
          </w:p>
        </w:tc>
      </w:tr>
    </w:tbl>
    <w:p w14:paraId="34BCBEE5" w14:textId="77777777" w:rsidR="002F4BAB" w:rsidRPr="00894701" w:rsidRDefault="002F4BAB" w:rsidP="001C6F06">
      <w:pPr>
        <w:spacing w:before="120" w:after="240" w:line="240" w:lineRule="auto"/>
        <w:ind w:firstLine="720"/>
        <w:jc w:val="both"/>
        <w:rPr>
          <w:b/>
          <w:bCs/>
          <w:color w:val="98002E" w:themeColor="accent3"/>
          <w:sz w:val="20"/>
          <w:szCs w:val="20"/>
        </w:rPr>
      </w:pPr>
    </w:p>
    <w:p w14:paraId="47F4214C" w14:textId="77777777" w:rsidR="002F4BAB" w:rsidRPr="00894701" w:rsidRDefault="002F4BAB" w:rsidP="001C6F06">
      <w:pPr>
        <w:tabs>
          <w:tab w:val="left" w:pos="754"/>
        </w:tabs>
        <w:rPr>
          <w:rFonts w:cs="Arial"/>
          <w:sz w:val="20"/>
          <w:szCs w:val="20"/>
          <w:lang w:eastAsia="fr-FR"/>
        </w:rPr>
        <w:sectPr w:rsidR="002F4BAB" w:rsidRPr="00894701" w:rsidSect="00F60AAB">
          <w:pgSz w:w="11906" w:h="16838" w:code="9"/>
          <w:pgMar w:top="1440" w:right="1416" w:bottom="1440" w:left="1440" w:header="851" w:footer="750" w:gutter="0"/>
          <w:cols w:space="708"/>
          <w:docGrid w:linePitch="360"/>
        </w:sectPr>
      </w:pPr>
      <w:r w:rsidRPr="00894701">
        <w:rPr>
          <w:rFonts w:cs="Arial"/>
          <w:sz w:val="20"/>
          <w:szCs w:val="20"/>
          <w:lang w:eastAsia="fr-FR"/>
        </w:rPr>
        <w:tab/>
      </w:r>
    </w:p>
    <w:p w14:paraId="7BAE2CBC" w14:textId="77777777" w:rsidR="002F4BAB" w:rsidRPr="00894701" w:rsidRDefault="002F4BAB" w:rsidP="002F4BAB">
      <w:pPr>
        <w:pStyle w:val="ListParagraph"/>
        <w:numPr>
          <w:ilvl w:val="0"/>
          <w:numId w:val="82"/>
        </w:numPr>
        <w:spacing w:before="120"/>
        <w:jc w:val="both"/>
        <w:rPr>
          <w:b/>
          <w:iCs/>
          <w:color w:val="ED1A3B"/>
          <w:sz w:val="20"/>
          <w:szCs w:val="26"/>
        </w:rPr>
      </w:pPr>
      <w:r w:rsidRPr="00894701">
        <w:rPr>
          <w:b/>
          <w:iCs/>
          <w:color w:val="ED1A3B"/>
          <w:sz w:val="20"/>
          <w:szCs w:val="26"/>
        </w:rPr>
        <w:t>Unreconciled amounts by company:</w:t>
      </w:r>
    </w:p>
    <w:p w14:paraId="63F7171D" w14:textId="77777777" w:rsidR="002F4BAB" w:rsidRPr="00894701" w:rsidRDefault="002F4BAB" w:rsidP="002F4BAB">
      <w:pPr>
        <w:ind w:right="113"/>
        <w:rPr>
          <w:rFonts w:cs="Arial"/>
          <w:color w:val="auto"/>
          <w:sz w:val="20"/>
          <w:szCs w:val="20"/>
          <w:lang w:eastAsia="fr-FR"/>
        </w:rPr>
      </w:pPr>
      <w:r w:rsidRPr="00894701">
        <w:rPr>
          <w:rFonts w:cs="Arial"/>
          <w:color w:val="auto"/>
          <w:sz w:val="20"/>
          <w:szCs w:val="20"/>
          <w:lang w:eastAsia="fr-FR"/>
        </w:rPr>
        <w:t>Summary of the unreconciled differences by company are set out in the table below:</w:t>
      </w:r>
    </w:p>
    <w:p w14:paraId="193EA641" w14:textId="4BE563C4" w:rsidR="002F4BAB" w:rsidRPr="00894701" w:rsidRDefault="002F4BAB" w:rsidP="002F4BAB">
      <w:pPr>
        <w:spacing w:after="0"/>
        <w:jc w:val="center"/>
        <w:rPr>
          <w:b/>
          <w:bCs/>
          <w:noProof/>
          <w:color w:val="98002E" w:themeColor="accent3"/>
          <w:sz w:val="20"/>
          <w:szCs w:val="20"/>
        </w:rPr>
      </w:pPr>
      <w:bookmarkStart w:id="530" w:name="_Toc6924872"/>
      <w:bookmarkStart w:id="531" w:name="_Toc104557753"/>
      <w:bookmarkStart w:id="532" w:name="_Toc117539628"/>
      <w:bookmarkStart w:id="533" w:name="_Toc146590538"/>
      <w:r w:rsidRPr="00894701">
        <w:rPr>
          <w:b/>
          <w:bCs/>
          <w:noProof/>
          <w:color w:val="98002E" w:themeColor="accent3"/>
          <w:sz w:val="20"/>
          <w:szCs w:val="20"/>
        </w:rPr>
        <w:t>T</w:t>
      </w:r>
      <w:r w:rsidRPr="00894701">
        <w:rPr>
          <w:b/>
          <w:bCs/>
          <w:color w:val="98002E" w:themeColor="accent3"/>
          <w:sz w:val="20"/>
          <w:szCs w:val="20"/>
        </w:rPr>
        <w:t xml:space="preserve">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66</w:t>
      </w:r>
      <w:r w:rsidRPr="00894701">
        <w:rPr>
          <w:b/>
          <w:bCs/>
          <w:color w:val="98002E" w:themeColor="accent3"/>
          <w:sz w:val="20"/>
          <w:szCs w:val="20"/>
        </w:rPr>
        <w:fldChar w:fldCharType="end"/>
      </w:r>
      <w:r w:rsidRPr="00894701">
        <w:rPr>
          <w:b/>
          <w:bCs/>
          <w:color w:val="98002E" w:themeColor="accent3"/>
          <w:sz w:val="20"/>
          <w:szCs w:val="20"/>
        </w:rPr>
        <w:t>: Summary of the unreconciled differences by company</w:t>
      </w:r>
      <w:bookmarkEnd w:id="530"/>
      <w:r w:rsidRPr="00894701">
        <w:rPr>
          <w:b/>
          <w:bCs/>
          <w:color w:val="98002E" w:themeColor="accent3"/>
          <w:sz w:val="20"/>
          <w:szCs w:val="20"/>
        </w:rPr>
        <w:t xml:space="preserve"> for the fiscal year 201</w:t>
      </w:r>
      <w:bookmarkEnd w:id="531"/>
      <w:r w:rsidRPr="00894701">
        <w:rPr>
          <w:b/>
          <w:bCs/>
          <w:color w:val="98002E" w:themeColor="accent3"/>
          <w:sz w:val="20"/>
          <w:szCs w:val="20"/>
        </w:rPr>
        <w:t>8</w:t>
      </w:r>
      <w:bookmarkEnd w:id="532"/>
      <w:bookmarkEnd w:id="533"/>
    </w:p>
    <w:p w14:paraId="137CC29D" w14:textId="77777777" w:rsidR="002F4BAB" w:rsidRPr="00894701" w:rsidRDefault="002F4BAB" w:rsidP="002F4BAB">
      <w:pPr>
        <w:spacing w:after="60"/>
        <w:ind w:right="112"/>
        <w:jc w:val="right"/>
        <w:rPr>
          <w:rFonts w:cs="Arial"/>
          <w:i/>
          <w:iCs/>
          <w:color w:val="000000"/>
          <w:szCs w:val="18"/>
          <w:lang w:eastAsia="fr-FR"/>
        </w:rPr>
      </w:pPr>
      <w:r w:rsidRPr="00894701">
        <w:rPr>
          <w:rFonts w:cs="Arial"/>
          <w:i/>
          <w:iCs/>
          <w:color w:val="000000"/>
          <w:szCs w:val="18"/>
          <w:lang w:eastAsia="fr-FR"/>
        </w:rPr>
        <w:t>Amounts in SRD</w:t>
      </w:r>
    </w:p>
    <w:tbl>
      <w:tblPr>
        <w:tblW w:w="9491" w:type="dxa"/>
        <w:tblLook w:val="04A0" w:firstRow="1" w:lastRow="0" w:firstColumn="1" w:lastColumn="0" w:noHBand="0" w:noVBand="1"/>
      </w:tblPr>
      <w:tblGrid>
        <w:gridCol w:w="3119"/>
        <w:gridCol w:w="1208"/>
        <w:gridCol w:w="277"/>
        <w:gridCol w:w="2157"/>
        <w:gridCol w:w="1701"/>
        <w:gridCol w:w="1070"/>
      </w:tblGrid>
      <w:tr w:rsidR="001C6F06" w:rsidRPr="00894701" w14:paraId="0798E9C6" w14:textId="77777777" w:rsidTr="00274295">
        <w:trPr>
          <w:trHeight w:val="227"/>
        </w:trPr>
        <w:tc>
          <w:tcPr>
            <w:tcW w:w="3119" w:type="dxa"/>
            <w:vMerge w:val="restart"/>
            <w:tcBorders>
              <w:top w:val="nil"/>
              <w:left w:val="nil"/>
              <w:bottom w:val="single" w:sz="8" w:space="0" w:color="FF0000"/>
              <w:right w:val="nil"/>
            </w:tcBorders>
            <w:shd w:val="clear" w:color="000000" w:fill="7A091A"/>
            <w:vAlign w:val="center"/>
            <w:hideMark/>
          </w:tcPr>
          <w:p w14:paraId="3442C0F3" w14:textId="77777777" w:rsidR="002F4BAB" w:rsidRPr="00894701" w:rsidRDefault="002F4BAB" w:rsidP="002209C2">
            <w:pPr>
              <w:spacing w:after="0" w:line="240" w:lineRule="auto"/>
              <w:jc w:val="center"/>
              <w:rPr>
                <w:rFonts w:cs="Arial"/>
                <w:b/>
                <w:bCs/>
                <w:color w:val="FFFFFF"/>
                <w:kern w:val="0"/>
                <w:sz w:val="16"/>
                <w:szCs w:val="16"/>
              </w:rPr>
            </w:pPr>
            <w:r w:rsidRPr="00894701">
              <w:rPr>
                <w:rFonts w:cs="Arial"/>
                <w:b/>
                <w:bCs/>
                <w:color w:val="FFFFFF"/>
                <w:kern w:val="0"/>
                <w:sz w:val="16"/>
                <w:szCs w:val="16"/>
              </w:rPr>
              <w:t>Company</w:t>
            </w:r>
          </w:p>
        </w:tc>
        <w:tc>
          <w:tcPr>
            <w:tcW w:w="1208" w:type="dxa"/>
            <w:vMerge w:val="restart"/>
            <w:tcBorders>
              <w:top w:val="nil"/>
              <w:left w:val="nil"/>
              <w:bottom w:val="single" w:sz="8" w:space="0" w:color="FF0000"/>
              <w:right w:val="nil"/>
            </w:tcBorders>
            <w:shd w:val="clear" w:color="000000" w:fill="7A091A"/>
            <w:vAlign w:val="center"/>
            <w:hideMark/>
          </w:tcPr>
          <w:p w14:paraId="7FF101CA" w14:textId="77777777" w:rsidR="002F4BAB" w:rsidRPr="00894701" w:rsidRDefault="002F4BAB" w:rsidP="002209C2">
            <w:pPr>
              <w:spacing w:after="0" w:line="240" w:lineRule="auto"/>
              <w:jc w:val="center"/>
              <w:rPr>
                <w:rFonts w:cs="Arial"/>
                <w:b/>
                <w:bCs/>
                <w:color w:val="FFFFFF"/>
                <w:kern w:val="0"/>
                <w:sz w:val="16"/>
                <w:szCs w:val="16"/>
              </w:rPr>
            </w:pPr>
            <w:r w:rsidRPr="00894701">
              <w:rPr>
                <w:rFonts w:cs="Arial"/>
                <w:b/>
                <w:bCs/>
                <w:color w:val="FFFFFF"/>
                <w:kern w:val="0"/>
                <w:sz w:val="16"/>
                <w:szCs w:val="16"/>
              </w:rPr>
              <w:t>Unreconciled difference</w:t>
            </w:r>
          </w:p>
        </w:tc>
        <w:tc>
          <w:tcPr>
            <w:tcW w:w="236" w:type="dxa"/>
            <w:tcBorders>
              <w:top w:val="nil"/>
              <w:left w:val="nil"/>
              <w:bottom w:val="nil"/>
              <w:right w:val="nil"/>
            </w:tcBorders>
            <w:shd w:val="clear" w:color="auto" w:fill="auto"/>
            <w:vAlign w:val="center"/>
            <w:hideMark/>
          </w:tcPr>
          <w:p w14:paraId="5BDEA894" w14:textId="77777777" w:rsidR="002F4BAB" w:rsidRPr="00894701" w:rsidRDefault="002F4BAB" w:rsidP="002209C2">
            <w:pPr>
              <w:spacing w:after="0" w:line="240" w:lineRule="auto"/>
              <w:jc w:val="center"/>
              <w:rPr>
                <w:rFonts w:cs="Arial"/>
                <w:b/>
                <w:bCs/>
                <w:color w:val="FFFFFF"/>
                <w:kern w:val="0"/>
                <w:sz w:val="16"/>
                <w:szCs w:val="16"/>
              </w:rPr>
            </w:pPr>
          </w:p>
        </w:tc>
        <w:tc>
          <w:tcPr>
            <w:tcW w:w="4928" w:type="dxa"/>
            <w:gridSpan w:val="3"/>
            <w:tcBorders>
              <w:top w:val="nil"/>
              <w:left w:val="nil"/>
              <w:bottom w:val="single" w:sz="8" w:space="0" w:color="FF0000"/>
              <w:right w:val="nil"/>
            </w:tcBorders>
            <w:shd w:val="clear" w:color="000000" w:fill="7A091A"/>
            <w:vAlign w:val="center"/>
            <w:hideMark/>
          </w:tcPr>
          <w:p w14:paraId="07F61BE6" w14:textId="77777777" w:rsidR="002F4BAB" w:rsidRPr="00894701" w:rsidRDefault="002F4BAB" w:rsidP="002209C2">
            <w:pPr>
              <w:spacing w:after="0" w:line="240" w:lineRule="auto"/>
              <w:jc w:val="center"/>
              <w:rPr>
                <w:rFonts w:cs="Arial"/>
                <w:b/>
                <w:bCs/>
                <w:color w:val="FFFFFF"/>
                <w:kern w:val="0"/>
                <w:sz w:val="16"/>
                <w:szCs w:val="16"/>
              </w:rPr>
            </w:pPr>
            <w:r w:rsidRPr="00894701">
              <w:rPr>
                <w:rFonts w:cs="Arial"/>
                <w:b/>
                <w:bCs/>
                <w:color w:val="FFFFFF"/>
                <w:kern w:val="0"/>
                <w:sz w:val="16"/>
                <w:szCs w:val="16"/>
              </w:rPr>
              <w:t>Reasons for differences</w:t>
            </w:r>
          </w:p>
        </w:tc>
      </w:tr>
      <w:tr w:rsidR="002F4BAB" w:rsidRPr="00894701" w14:paraId="5DA7E3F3" w14:textId="77777777" w:rsidTr="00AA49E3">
        <w:trPr>
          <w:trHeight w:val="227"/>
        </w:trPr>
        <w:tc>
          <w:tcPr>
            <w:tcW w:w="3119" w:type="dxa"/>
            <w:vMerge/>
            <w:tcBorders>
              <w:top w:val="nil"/>
              <w:left w:val="nil"/>
              <w:bottom w:val="single" w:sz="8" w:space="0" w:color="FF0000"/>
              <w:right w:val="nil"/>
            </w:tcBorders>
            <w:vAlign w:val="center"/>
            <w:hideMark/>
          </w:tcPr>
          <w:p w14:paraId="104D12A5" w14:textId="77777777" w:rsidR="002F4BAB" w:rsidRPr="00894701" w:rsidRDefault="002F4BAB" w:rsidP="002209C2">
            <w:pPr>
              <w:spacing w:after="0" w:line="240" w:lineRule="auto"/>
              <w:rPr>
                <w:rFonts w:cs="Arial"/>
                <w:b/>
                <w:bCs/>
                <w:color w:val="FFFFFF"/>
                <w:kern w:val="0"/>
                <w:sz w:val="16"/>
                <w:szCs w:val="16"/>
              </w:rPr>
            </w:pPr>
          </w:p>
        </w:tc>
        <w:tc>
          <w:tcPr>
            <w:tcW w:w="1208" w:type="dxa"/>
            <w:vMerge/>
            <w:tcBorders>
              <w:top w:val="nil"/>
              <w:left w:val="nil"/>
              <w:bottom w:val="single" w:sz="8" w:space="0" w:color="FF0000"/>
              <w:right w:val="nil"/>
            </w:tcBorders>
            <w:vAlign w:val="center"/>
            <w:hideMark/>
          </w:tcPr>
          <w:p w14:paraId="77D102E1" w14:textId="77777777" w:rsidR="002F4BAB" w:rsidRPr="00894701" w:rsidRDefault="002F4BAB" w:rsidP="002209C2">
            <w:pPr>
              <w:spacing w:after="0" w:line="240" w:lineRule="auto"/>
              <w:rPr>
                <w:rFonts w:cs="Arial"/>
                <w:b/>
                <w:bCs/>
                <w:color w:val="FFFFFF"/>
                <w:kern w:val="0"/>
                <w:sz w:val="16"/>
                <w:szCs w:val="16"/>
              </w:rPr>
            </w:pPr>
          </w:p>
        </w:tc>
        <w:tc>
          <w:tcPr>
            <w:tcW w:w="236" w:type="dxa"/>
            <w:tcBorders>
              <w:top w:val="nil"/>
              <w:left w:val="nil"/>
              <w:bottom w:val="nil"/>
              <w:right w:val="nil"/>
            </w:tcBorders>
            <w:shd w:val="clear" w:color="auto" w:fill="auto"/>
            <w:vAlign w:val="center"/>
            <w:hideMark/>
          </w:tcPr>
          <w:p w14:paraId="286861C2" w14:textId="77777777" w:rsidR="002F4BAB" w:rsidRPr="00894701" w:rsidRDefault="002F4BAB" w:rsidP="002209C2">
            <w:pPr>
              <w:spacing w:after="0" w:line="240" w:lineRule="auto"/>
              <w:jc w:val="center"/>
              <w:rPr>
                <w:rFonts w:cs="Arial"/>
                <w:b/>
                <w:bCs/>
                <w:color w:val="FFFFFF"/>
                <w:kern w:val="0"/>
                <w:sz w:val="16"/>
                <w:szCs w:val="16"/>
              </w:rPr>
            </w:pPr>
          </w:p>
        </w:tc>
        <w:tc>
          <w:tcPr>
            <w:tcW w:w="2157" w:type="dxa"/>
            <w:tcBorders>
              <w:top w:val="nil"/>
              <w:left w:val="nil"/>
              <w:bottom w:val="single" w:sz="8" w:space="0" w:color="FF0000"/>
              <w:right w:val="nil"/>
            </w:tcBorders>
            <w:shd w:val="clear" w:color="000000" w:fill="7A091A"/>
            <w:vAlign w:val="center"/>
            <w:hideMark/>
          </w:tcPr>
          <w:p w14:paraId="477B183B" w14:textId="77777777" w:rsidR="002F4BAB" w:rsidRPr="00894701" w:rsidRDefault="002F4BAB" w:rsidP="002209C2">
            <w:pPr>
              <w:spacing w:after="0" w:line="240" w:lineRule="auto"/>
              <w:rPr>
                <w:rFonts w:cs="Arial"/>
                <w:b/>
                <w:bCs/>
                <w:color w:val="FFFFFF"/>
                <w:kern w:val="0"/>
                <w:sz w:val="16"/>
                <w:szCs w:val="16"/>
              </w:rPr>
            </w:pPr>
            <w:r w:rsidRPr="00894701">
              <w:rPr>
                <w:rFonts w:cs="Arial"/>
                <w:b/>
                <w:bCs/>
                <w:color w:val="FFFFFF"/>
                <w:kern w:val="0"/>
                <w:sz w:val="16"/>
                <w:szCs w:val="16"/>
              </w:rPr>
              <w:t>Reporting template not submitted by the Government Agency</w:t>
            </w:r>
          </w:p>
        </w:tc>
        <w:tc>
          <w:tcPr>
            <w:tcW w:w="1701" w:type="dxa"/>
            <w:tcBorders>
              <w:top w:val="nil"/>
              <w:left w:val="nil"/>
              <w:bottom w:val="single" w:sz="8" w:space="0" w:color="FF0000"/>
              <w:right w:val="nil"/>
            </w:tcBorders>
            <w:shd w:val="clear" w:color="000000" w:fill="7A091A"/>
            <w:vAlign w:val="center"/>
            <w:hideMark/>
          </w:tcPr>
          <w:p w14:paraId="585D7795" w14:textId="5BFF8AB6" w:rsidR="002F4BAB" w:rsidRPr="00894701" w:rsidRDefault="002F4BAB" w:rsidP="002209C2">
            <w:pPr>
              <w:spacing w:after="0" w:line="240" w:lineRule="auto"/>
              <w:rPr>
                <w:rFonts w:cs="Arial"/>
                <w:b/>
                <w:bCs/>
                <w:color w:val="FFFFFF"/>
                <w:kern w:val="0"/>
                <w:sz w:val="16"/>
                <w:szCs w:val="16"/>
              </w:rPr>
            </w:pPr>
            <w:r w:rsidRPr="00894701">
              <w:rPr>
                <w:rFonts w:cs="Arial"/>
                <w:b/>
                <w:bCs/>
                <w:color w:val="FFFFFF"/>
                <w:kern w:val="0"/>
                <w:sz w:val="16"/>
                <w:szCs w:val="16"/>
              </w:rPr>
              <w:t>Tax</w:t>
            </w:r>
            <w:r w:rsidR="000D63C7">
              <w:rPr>
                <w:rFonts w:cs="Arial"/>
                <w:b/>
                <w:bCs/>
                <w:color w:val="FFFFFF"/>
                <w:kern w:val="0"/>
                <w:sz w:val="16"/>
                <w:szCs w:val="16"/>
              </w:rPr>
              <w:t>es</w:t>
            </w:r>
            <w:r w:rsidRPr="00894701">
              <w:rPr>
                <w:rFonts w:cs="Arial"/>
                <w:b/>
                <w:bCs/>
                <w:color w:val="FFFFFF"/>
                <w:kern w:val="0"/>
                <w:sz w:val="16"/>
                <w:szCs w:val="16"/>
              </w:rPr>
              <w:t xml:space="preserve"> not reported by the Government Agency</w:t>
            </w:r>
          </w:p>
        </w:tc>
        <w:tc>
          <w:tcPr>
            <w:tcW w:w="1070" w:type="dxa"/>
            <w:tcBorders>
              <w:top w:val="nil"/>
              <w:left w:val="nil"/>
              <w:bottom w:val="single" w:sz="8" w:space="0" w:color="FF0000"/>
              <w:right w:val="nil"/>
            </w:tcBorders>
            <w:shd w:val="clear" w:color="000000" w:fill="7A091A"/>
            <w:vAlign w:val="center"/>
            <w:hideMark/>
          </w:tcPr>
          <w:p w14:paraId="14C17B67" w14:textId="4CF11D70" w:rsidR="002F4BAB" w:rsidRPr="00894701" w:rsidRDefault="000D63C7" w:rsidP="002209C2">
            <w:pPr>
              <w:spacing w:after="0" w:line="240" w:lineRule="auto"/>
              <w:rPr>
                <w:rFonts w:cs="Arial"/>
                <w:b/>
                <w:bCs/>
                <w:color w:val="FFFFFF"/>
                <w:kern w:val="0"/>
                <w:sz w:val="16"/>
                <w:szCs w:val="16"/>
              </w:rPr>
            </w:pPr>
            <w:r>
              <w:rPr>
                <w:rFonts w:cs="Arial"/>
                <w:b/>
                <w:bCs/>
                <w:color w:val="FFFFFF"/>
                <w:kern w:val="0"/>
                <w:sz w:val="16"/>
                <w:szCs w:val="16"/>
              </w:rPr>
              <w:t>Im</w:t>
            </w:r>
            <w:r w:rsidR="002F4BAB" w:rsidRPr="00894701">
              <w:rPr>
                <w:rFonts w:cs="Arial"/>
                <w:b/>
                <w:bCs/>
                <w:color w:val="FFFFFF"/>
                <w:kern w:val="0"/>
                <w:sz w:val="16"/>
                <w:szCs w:val="16"/>
              </w:rPr>
              <w:t>material difference</w:t>
            </w:r>
          </w:p>
        </w:tc>
      </w:tr>
      <w:tr w:rsidR="002F4BAB" w:rsidRPr="00894701" w14:paraId="1BBBE90C" w14:textId="77777777" w:rsidTr="00AA49E3">
        <w:trPr>
          <w:trHeight w:val="227"/>
        </w:trPr>
        <w:tc>
          <w:tcPr>
            <w:tcW w:w="3119" w:type="dxa"/>
            <w:tcBorders>
              <w:top w:val="nil"/>
              <w:left w:val="nil"/>
              <w:bottom w:val="nil"/>
              <w:right w:val="nil"/>
            </w:tcBorders>
            <w:shd w:val="clear" w:color="000000" w:fill="F7A3B0"/>
            <w:noWrap/>
            <w:vAlign w:val="center"/>
            <w:hideMark/>
          </w:tcPr>
          <w:p w14:paraId="0CE0D0B3" w14:textId="77777777"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Kosmos Energy Suriname</w:t>
            </w:r>
          </w:p>
        </w:tc>
        <w:tc>
          <w:tcPr>
            <w:tcW w:w="1208" w:type="dxa"/>
            <w:tcBorders>
              <w:top w:val="nil"/>
              <w:left w:val="nil"/>
              <w:bottom w:val="nil"/>
              <w:right w:val="nil"/>
            </w:tcBorders>
            <w:shd w:val="clear" w:color="000000" w:fill="F7A3B0"/>
            <w:noWrap/>
            <w:vAlign w:val="center"/>
            <w:hideMark/>
          </w:tcPr>
          <w:p w14:paraId="27B31A54"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000000"/>
                <w:kern w:val="0"/>
                <w:sz w:val="16"/>
                <w:szCs w:val="16"/>
              </w:rPr>
              <w:t>(1)</w:t>
            </w:r>
          </w:p>
        </w:tc>
        <w:tc>
          <w:tcPr>
            <w:tcW w:w="236" w:type="dxa"/>
            <w:tcBorders>
              <w:top w:val="nil"/>
              <w:left w:val="nil"/>
              <w:bottom w:val="nil"/>
              <w:right w:val="nil"/>
            </w:tcBorders>
            <w:shd w:val="clear" w:color="000000" w:fill="FFFFFF"/>
            <w:noWrap/>
            <w:vAlign w:val="center"/>
            <w:hideMark/>
          </w:tcPr>
          <w:p w14:paraId="1D05BDF1" w14:textId="77777777" w:rsidR="002F4BAB" w:rsidRPr="00894701" w:rsidRDefault="002F4BAB" w:rsidP="002209C2">
            <w:pPr>
              <w:spacing w:after="0" w:line="240" w:lineRule="auto"/>
              <w:jc w:val="right"/>
              <w:rPr>
                <w:rFonts w:cs="Arial"/>
                <w:color w:val="000000"/>
                <w:kern w:val="0"/>
                <w:sz w:val="16"/>
                <w:szCs w:val="16"/>
              </w:rPr>
            </w:pPr>
          </w:p>
        </w:tc>
        <w:tc>
          <w:tcPr>
            <w:tcW w:w="2157" w:type="dxa"/>
            <w:tcBorders>
              <w:top w:val="nil"/>
              <w:left w:val="nil"/>
              <w:bottom w:val="nil"/>
              <w:right w:val="nil"/>
            </w:tcBorders>
            <w:shd w:val="clear" w:color="000000" w:fill="F7A3B0"/>
            <w:noWrap/>
            <w:vAlign w:val="center"/>
            <w:hideMark/>
          </w:tcPr>
          <w:p w14:paraId="00548D96"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000000"/>
                <w:kern w:val="0"/>
                <w:sz w:val="16"/>
                <w:szCs w:val="16"/>
              </w:rPr>
              <w:t>-</w:t>
            </w:r>
          </w:p>
        </w:tc>
        <w:tc>
          <w:tcPr>
            <w:tcW w:w="1701" w:type="dxa"/>
            <w:tcBorders>
              <w:top w:val="nil"/>
              <w:left w:val="nil"/>
              <w:bottom w:val="nil"/>
              <w:right w:val="nil"/>
            </w:tcBorders>
            <w:shd w:val="clear" w:color="000000" w:fill="F7A3B0"/>
            <w:noWrap/>
            <w:vAlign w:val="center"/>
            <w:hideMark/>
          </w:tcPr>
          <w:p w14:paraId="46C86E76"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000000"/>
                <w:kern w:val="0"/>
                <w:sz w:val="16"/>
                <w:szCs w:val="16"/>
              </w:rPr>
              <w:t>-</w:t>
            </w:r>
          </w:p>
        </w:tc>
        <w:tc>
          <w:tcPr>
            <w:tcW w:w="1070" w:type="dxa"/>
            <w:tcBorders>
              <w:top w:val="nil"/>
              <w:left w:val="nil"/>
              <w:bottom w:val="nil"/>
              <w:right w:val="nil"/>
            </w:tcBorders>
            <w:shd w:val="clear" w:color="000000" w:fill="F7A3B0"/>
            <w:noWrap/>
            <w:vAlign w:val="center"/>
            <w:hideMark/>
          </w:tcPr>
          <w:p w14:paraId="12427CD6"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000000"/>
                <w:kern w:val="0"/>
                <w:sz w:val="16"/>
                <w:szCs w:val="16"/>
              </w:rPr>
              <w:t>(1)</w:t>
            </w:r>
          </w:p>
        </w:tc>
      </w:tr>
      <w:tr w:rsidR="002F4BAB" w:rsidRPr="00894701" w14:paraId="4D911E2C" w14:textId="77777777" w:rsidTr="00AA49E3">
        <w:trPr>
          <w:trHeight w:val="227"/>
        </w:trPr>
        <w:tc>
          <w:tcPr>
            <w:tcW w:w="3119" w:type="dxa"/>
            <w:tcBorders>
              <w:top w:val="nil"/>
              <w:left w:val="nil"/>
              <w:bottom w:val="nil"/>
              <w:right w:val="nil"/>
            </w:tcBorders>
            <w:shd w:val="clear" w:color="auto" w:fill="auto"/>
            <w:noWrap/>
            <w:vAlign w:val="center"/>
            <w:hideMark/>
          </w:tcPr>
          <w:p w14:paraId="79CF76C8" w14:textId="77777777"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Petronas Suriname Exploration &amp; production B.V.</w:t>
            </w:r>
          </w:p>
        </w:tc>
        <w:tc>
          <w:tcPr>
            <w:tcW w:w="1208" w:type="dxa"/>
            <w:tcBorders>
              <w:top w:val="nil"/>
              <w:left w:val="nil"/>
              <w:bottom w:val="nil"/>
              <w:right w:val="nil"/>
            </w:tcBorders>
            <w:shd w:val="clear" w:color="auto" w:fill="auto"/>
            <w:noWrap/>
            <w:vAlign w:val="center"/>
            <w:hideMark/>
          </w:tcPr>
          <w:p w14:paraId="270CBEBC"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000000"/>
                <w:kern w:val="0"/>
                <w:sz w:val="16"/>
                <w:szCs w:val="16"/>
              </w:rPr>
              <w:t>185,018</w:t>
            </w:r>
          </w:p>
        </w:tc>
        <w:tc>
          <w:tcPr>
            <w:tcW w:w="236" w:type="dxa"/>
            <w:tcBorders>
              <w:top w:val="nil"/>
              <w:left w:val="nil"/>
              <w:bottom w:val="nil"/>
              <w:right w:val="nil"/>
            </w:tcBorders>
            <w:shd w:val="clear" w:color="auto" w:fill="auto"/>
            <w:noWrap/>
            <w:vAlign w:val="center"/>
            <w:hideMark/>
          </w:tcPr>
          <w:p w14:paraId="2EFDF150" w14:textId="77777777" w:rsidR="002F4BAB" w:rsidRPr="00894701" w:rsidRDefault="002F4BAB" w:rsidP="002209C2">
            <w:pPr>
              <w:spacing w:after="0" w:line="240" w:lineRule="auto"/>
              <w:jc w:val="right"/>
              <w:rPr>
                <w:rFonts w:cs="Arial"/>
                <w:color w:val="000000"/>
                <w:kern w:val="0"/>
                <w:sz w:val="16"/>
                <w:szCs w:val="16"/>
              </w:rPr>
            </w:pPr>
          </w:p>
        </w:tc>
        <w:tc>
          <w:tcPr>
            <w:tcW w:w="2157" w:type="dxa"/>
            <w:tcBorders>
              <w:top w:val="nil"/>
              <w:left w:val="nil"/>
              <w:bottom w:val="nil"/>
              <w:right w:val="nil"/>
            </w:tcBorders>
            <w:shd w:val="clear" w:color="auto" w:fill="auto"/>
            <w:noWrap/>
            <w:vAlign w:val="center"/>
            <w:hideMark/>
          </w:tcPr>
          <w:p w14:paraId="5F1F5AAF"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000000"/>
                <w:kern w:val="0"/>
                <w:sz w:val="16"/>
                <w:szCs w:val="16"/>
              </w:rPr>
              <w:t>185,018</w:t>
            </w:r>
          </w:p>
        </w:tc>
        <w:tc>
          <w:tcPr>
            <w:tcW w:w="1701" w:type="dxa"/>
            <w:tcBorders>
              <w:top w:val="nil"/>
              <w:left w:val="nil"/>
              <w:bottom w:val="nil"/>
              <w:right w:val="nil"/>
            </w:tcBorders>
            <w:shd w:val="clear" w:color="auto" w:fill="auto"/>
            <w:noWrap/>
            <w:vAlign w:val="center"/>
            <w:hideMark/>
          </w:tcPr>
          <w:p w14:paraId="50E6D67F"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000000"/>
                <w:kern w:val="0"/>
                <w:sz w:val="16"/>
                <w:szCs w:val="16"/>
              </w:rPr>
              <w:t>-</w:t>
            </w:r>
          </w:p>
        </w:tc>
        <w:tc>
          <w:tcPr>
            <w:tcW w:w="1070" w:type="dxa"/>
            <w:tcBorders>
              <w:top w:val="nil"/>
              <w:left w:val="nil"/>
              <w:bottom w:val="nil"/>
              <w:right w:val="nil"/>
            </w:tcBorders>
            <w:shd w:val="clear" w:color="auto" w:fill="auto"/>
            <w:noWrap/>
            <w:vAlign w:val="center"/>
            <w:hideMark/>
          </w:tcPr>
          <w:p w14:paraId="42BFA7B2"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000000"/>
                <w:kern w:val="0"/>
                <w:sz w:val="16"/>
                <w:szCs w:val="16"/>
              </w:rPr>
              <w:t>-</w:t>
            </w:r>
          </w:p>
        </w:tc>
      </w:tr>
      <w:tr w:rsidR="002F4BAB" w:rsidRPr="00894701" w14:paraId="4B4E11CA" w14:textId="77777777" w:rsidTr="00AA49E3">
        <w:trPr>
          <w:trHeight w:val="227"/>
        </w:trPr>
        <w:tc>
          <w:tcPr>
            <w:tcW w:w="3119" w:type="dxa"/>
            <w:tcBorders>
              <w:top w:val="nil"/>
              <w:left w:val="nil"/>
              <w:bottom w:val="nil"/>
              <w:right w:val="nil"/>
            </w:tcBorders>
            <w:shd w:val="clear" w:color="000000" w:fill="F7A3B0"/>
            <w:noWrap/>
            <w:vAlign w:val="center"/>
            <w:hideMark/>
          </w:tcPr>
          <w:p w14:paraId="7F5926B6" w14:textId="77777777" w:rsidR="002F4BAB" w:rsidRPr="00894701" w:rsidRDefault="002F4BAB" w:rsidP="002209C2">
            <w:pPr>
              <w:spacing w:after="0" w:line="240" w:lineRule="auto"/>
              <w:rPr>
                <w:rFonts w:cs="Arial"/>
                <w:color w:val="000000"/>
                <w:kern w:val="0"/>
                <w:sz w:val="16"/>
                <w:szCs w:val="16"/>
                <w:lang w:val="nl-NL"/>
              </w:rPr>
            </w:pPr>
            <w:r w:rsidRPr="00894701">
              <w:rPr>
                <w:rFonts w:cs="Arial"/>
                <w:color w:val="000000"/>
                <w:kern w:val="0"/>
                <w:sz w:val="16"/>
                <w:szCs w:val="16"/>
                <w:lang w:val="nl-NL"/>
              </w:rPr>
              <w:t>Staatsolie Maatschappij Suriname N.V.</w:t>
            </w:r>
          </w:p>
        </w:tc>
        <w:tc>
          <w:tcPr>
            <w:tcW w:w="1208" w:type="dxa"/>
            <w:tcBorders>
              <w:top w:val="nil"/>
              <w:left w:val="nil"/>
              <w:bottom w:val="nil"/>
              <w:right w:val="nil"/>
            </w:tcBorders>
            <w:shd w:val="clear" w:color="000000" w:fill="F7A3B0"/>
            <w:noWrap/>
            <w:vAlign w:val="center"/>
            <w:hideMark/>
          </w:tcPr>
          <w:p w14:paraId="1A2F0603"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000000"/>
                <w:kern w:val="0"/>
                <w:sz w:val="16"/>
                <w:szCs w:val="16"/>
              </w:rPr>
              <w:t>23,900,472</w:t>
            </w:r>
          </w:p>
        </w:tc>
        <w:tc>
          <w:tcPr>
            <w:tcW w:w="236" w:type="dxa"/>
            <w:tcBorders>
              <w:top w:val="nil"/>
              <w:left w:val="nil"/>
              <w:bottom w:val="nil"/>
              <w:right w:val="nil"/>
            </w:tcBorders>
            <w:shd w:val="clear" w:color="000000" w:fill="FFFFFF"/>
            <w:noWrap/>
            <w:vAlign w:val="center"/>
            <w:hideMark/>
          </w:tcPr>
          <w:p w14:paraId="1906582A" w14:textId="77777777" w:rsidR="002F4BAB" w:rsidRPr="00894701" w:rsidRDefault="002F4BAB" w:rsidP="002209C2">
            <w:pPr>
              <w:spacing w:after="0" w:line="240" w:lineRule="auto"/>
              <w:jc w:val="right"/>
              <w:rPr>
                <w:rFonts w:cs="Arial"/>
                <w:color w:val="000000"/>
                <w:kern w:val="0"/>
                <w:sz w:val="16"/>
                <w:szCs w:val="16"/>
              </w:rPr>
            </w:pPr>
          </w:p>
        </w:tc>
        <w:tc>
          <w:tcPr>
            <w:tcW w:w="2157" w:type="dxa"/>
            <w:tcBorders>
              <w:top w:val="nil"/>
              <w:left w:val="nil"/>
              <w:bottom w:val="nil"/>
              <w:right w:val="nil"/>
            </w:tcBorders>
            <w:shd w:val="clear" w:color="000000" w:fill="F7A3B0"/>
            <w:noWrap/>
            <w:vAlign w:val="center"/>
            <w:hideMark/>
          </w:tcPr>
          <w:p w14:paraId="23710A24"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000000"/>
                <w:kern w:val="0"/>
                <w:sz w:val="16"/>
                <w:szCs w:val="16"/>
              </w:rPr>
              <w:t>-</w:t>
            </w:r>
          </w:p>
        </w:tc>
        <w:tc>
          <w:tcPr>
            <w:tcW w:w="1701" w:type="dxa"/>
            <w:tcBorders>
              <w:top w:val="nil"/>
              <w:left w:val="nil"/>
              <w:bottom w:val="nil"/>
              <w:right w:val="nil"/>
            </w:tcBorders>
            <w:shd w:val="clear" w:color="000000" w:fill="F7A3B0"/>
            <w:noWrap/>
            <w:vAlign w:val="center"/>
            <w:hideMark/>
          </w:tcPr>
          <w:p w14:paraId="429EDA79"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000000"/>
                <w:kern w:val="0"/>
                <w:sz w:val="16"/>
                <w:szCs w:val="16"/>
              </w:rPr>
              <w:t>23,900,000</w:t>
            </w:r>
          </w:p>
        </w:tc>
        <w:tc>
          <w:tcPr>
            <w:tcW w:w="1070" w:type="dxa"/>
            <w:tcBorders>
              <w:top w:val="nil"/>
              <w:left w:val="nil"/>
              <w:bottom w:val="nil"/>
              <w:right w:val="nil"/>
            </w:tcBorders>
            <w:shd w:val="clear" w:color="000000" w:fill="F7A3B0"/>
            <w:noWrap/>
            <w:vAlign w:val="center"/>
            <w:hideMark/>
          </w:tcPr>
          <w:p w14:paraId="6330342A"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000000"/>
                <w:kern w:val="0"/>
                <w:sz w:val="16"/>
                <w:szCs w:val="16"/>
              </w:rPr>
              <w:t>472</w:t>
            </w:r>
          </w:p>
        </w:tc>
      </w:tr>
      <w:tr w:rsidR="002F4BAB" w:rsidRPr="00894701" w14:paraId="69AB0FFE" w14:textId="77777777" w:rsidTr="00AA49E3">
        <w:trPr>
          <w:trHeight w:val="227"/>
        </w:trPr>
        <w:tc>
          <w:tcPr>
            <w:tcW w:w="3119" w:type="dxa"/>
            <w:tcBorders>
              <w:top w:val="nil"/>
              <w:left w:val="nil"/>
              <w:bottom w:val="single" w:sz="8" w:space="0" w:color="FF0000"/>
              <w:right w:val="nil"/>
            </w:tcBorders>
            <w:shd w:val="clear" w:color="000000" w:fill="BFBFBF"/>
            <w:noWrap/>
            <w:vAlign w:val="center"/>
            <w:hideMark/>
          </w:tcPr>
          <w:p w14:paraId="5FE105E5" w14:textId="77777777" w:rsidR="002F4BAB" w:rsidRPr="00894701" w:rsidRDefault="002F4BAB" w:rsidP="002209C2">
            <w:pPr>
              <w:spacing w:after="0" w:line="240" w:lineRule="auto"/>
              <w:rPr>
                <w:rFonts w:cs="Arial"/>
                <w:b/>
                <w:bCs/>
                <w:color w:val="auto"/>
                <w:kern w:val="0"/>
                <w:sz w:val="16"/>
                <w:szCs w:val="16"/>
              </w:rPr>
            </w:pPr>
            <w:r w:rsidRPr="00894701">
              <w:rPr>
                <w:rFonts w:cs="Arial"/>
                <w:b/>
                <w:bCs/>
                <w:color w:val="auto"/>
                <w:kern w:val="0"/>
                <w:sz w:val="16"/>
                <w:szCs w:val="16"/>
              </w:rPr>
              <w:t xml:space="preserve"> Total  </w:t>
            </w:r>
          </w:p>
        </w:tc>
        <w:tc>
          <w:tcPr>
            <w:tcW w:w="1208" w:type="dxa"/>
            <w:tcBorders>
              <w:top w:val="nil"/>
              <w:left w:val="nil"/>
              <w:bottom w:val="single" w:sz="8" w:space="0" w:color="FF0000"/>
              <w:right w:val="nil"/>
            </w:tcBorders>
            <w:shd w:val="clear" w:color="000000" w:fill="BFBFBF"/>
            <w:noWrap/>
            <w:vAlign w:val="center"/>
            <w:hideMark/>
          </w:tcPr>
          <w:p w14:paraId="56AC1C66" w14:textId="77777777" w:rsidR="002F4BAB" w:rsidRPr="00894701" w:rsidRDefault="002F4BAB" w:rsidP="002209C2">
            <w:pPr>
              <w:spacing w:after="0" w:line="240" w:lineRule="auto"/>
              <w:jc w:val="right"/>
              <w:rPr>
                <w:rFonts w:cs="Arial"/>
                <w:b/>
                <w:bCs/>
                <w:color w:val="auto"/>
                <w:kern w:val="0"/>
                <w:sz w:val="16"/>
                <w:szCs w:val="16"/>
              </w:rPr>
            </w:pPr>
            <w:r w:rsidRPr="00894701">
              <w:rPr>
                <w:rFonts w:cs="Arial"/>
                <w:b/>
                <w:bCs/>
                <w:color w:val="auto"/>
                <w:kern w:val="0"/>
                <w:sz w:val="16"/>
                <w:szCs w:val="16"/>
              </w:rPr>
              <w:t>24,085,489</w:t>
            </w:r>
          </w:p>
        </w:tc>
        <w:tc>
          <w:tcPr>
            <w:tcW w:w="236" w:type="dxa"/>
            <w:tcBorders>
              <w:top w:val="nil"/>
              <w:left w:val="nil"/>
              <w:bottom w:val="nil"/>
              <w:right w:val="nil"/>
            </w:tcBorders>
            <w:shd w:val="clear" w:color="auto" w:fill="auto"/>
            <w:vAlign w:val="center"/>
            <w:hideMark/>
          </w:tcPr>
          <w:p w14:paraId="23CA58B6" w14:textId="77777777" w:rsidR="002F4BAB" w:rsidRPr="00894701" w:rsidRDefault="002F4BAB" w:rsidP="002209C2">
            <w:pPr>
              <w:spacing w:after="0" w:line="240" w:lineRule="auto"/>
              <w:jc w:val="right"/>
              <w:rPr>
                <w:rFonts w:cs="Arial"/>
                <w:b/>
                <w:bCs/>
                <w:color w:val="auto"/>
                <w:kern w:val="0"/>
                <w:sz w:val="16"/>
                <w:szCs w:val="16"/>
              </w:rPr>
            </w:pPr>
          </w:p>
        </w:tc>
        <w:tc>
          <w:tcPr>
            <w:tcW w:w="2157" w:type="dxa"/>
            <w:tcBorders>
              <w:top w:val="nil"/>
              <w:left w:val="nil"/>
              <w:bottom w:val="single" w:sz="8" w:space="0" w:color="FF0000"/>
              <w:right w:val="nil"/>
            </w:tcBorders>
            <w:shd w:val="clear" w:color="000000" w:fill="BFBFBF"/>
            <w:noWrap/>
            <w:vAlign w:val="center"/>
            <w:hideMark/>
          </w:tcPr>
          <w:p w14:paraId="24BA07EC" w14:textId="77777777" w:rsidR="002F4BAB" w:rsidRPr="00894701" w:rsidRDefault="002F4BAB" w:rsidP="002209C2">
            <w:pPr>
              <w:spacing w:after="0" w:line="240" w:lineRule="auto"/>
              <w:jc w:val="right"/>
              <w:rPr>
                <w:rFonts w:cs="Arial"/>
                <w:b/>
                <w:bCs/>
                <w:color w:val="auto"/>
                <w:kern w:val="0"/>
                <w:sz w:val="16"/>
                <w:szCs w:val="16"/>
              </w:rPr>
            </w:pPr>
            <w:r w:rsidRPr="00894701">
              <w:rPr>
                <w:rFonts w:cs="Arial"/>
                <w:b/>
                <w:bCs/>
                <w:color w:val="auto"/>
                <w:kern w:val="0"/>
                <w:sz w:val="16"/>
                <w:szCs w:val="16"/>
              </w:rPr>
              <w:t>185,018</w:t>
            </w:r>
          </w:p>
        </w:tc>
        <w:tc>
          <w:tcPr>
            <w:tcW w:w="1701" w:type="dxa"/>
            <w:tcBorders>
              <w:top w:val="nil"/>
              <w:left w:val="nil"/>
              <w:bottom w:val="single" w:sz="8" w:space="0" w:color="FF0000"/>
              <w:right w:val="nil"/>
            </w:tcBorders>
            <w:shd w:val="clear" w:color="000000" w:fill="BFBFBF"/>
            <w:noWrap/>
            <w:vAlign w:val="center"/>
            <w:hideMark/>
          </w:tcPr>
          <w:p w14:paraId="0FCEBF5B" w14:textId="77777777" w:rsidR="002F4BAB" w:rsidRPr="00894701" w:rsidRDefault="002F4BAB" w:rsidP="002209C2">
            <w:pPr>
              <w:spacing w:after="0" w:line="240" w:lineRule="auto"/>
              <w:jc w:val="right"/>
              <w:rPr>
                <w:rFonts w:cs="Arial"/>
                <w:b/>
                <w:bCs/>
                <w:color w:val="auto"/>
                <w:kern w:val="0"/>
                <w:sz w:val="16"/>
                <w:szCs w:val="16"/>
              </w:rPr>
            </w:pPr>
            <w:r w:rsidRPr="00894701">
              <w:rPr>
                <w:rFonts w:cs="Arial"/>
                <w:b/>
                <w:bCs/>
                <w:color w:val="auto"/>
                <w:kern w:val="0"/>
                <w:sz w:val="16"/>
                <w:szCs w:val="16"/>
              </w:rPr>
              <w:t>23,900,000</w:t>
            </w:r>
          </w:p>
        </w:tc>
        <w:tc>
          <w:tcPr>
            <w:tcW w:w="1070" w:type="dxa"/>
            <w:tcBorders>
              <w:top w:val="nil"/>
              <w:left w:val="nil"/>
              <w:bottom w:val="single" w:sz="8" w:space="0" w:color="FF0000"/>
              <w:right w:val="nil"/>
            </w:tcBorders>
            <w:shd w:val="clear" w:color="000000" w:fill="BFBFBF"/>
            <w:noWrap/>
            <w:vAlign w:val="center"/>
            <w:hideMark/>
          </w:tcPr>
          <w:p w14:paraId="098FB8A4" w14:textId="77777777" w:rsidR="002F4BAB" w:rsidRPr="00894701" w:rsidRDefault="002F4BAB" w:rsidP="002209C2">
            <w:pPr>
              <w:spacing w:after="0" w:line="240" w:lineRule="auto"/>
              <w:jc w:val="right"/>
              <w:rPr>
                <w:rFonts w:cs="Arial"/>
                <w:b/>
                <w:bCs/>
                <w:color w:val="auto"/>
                <w:kern w:val="0"/>
                <w:sz w:val="16"/>
                <w:szCs w:val="16"/>
              </w:rPr>
            </w:pPr>
            <w:r w:rsidRPr="00894701">
              <w:rPr>
                <w:rFonts w:cs="Arial"/>
                <w:b/>
                <w:bCs/>
                <w:color w:val="auto"/>
                <w:kern w:val="0"/>
                <w:sz w:val="16"/>
                <w:szCs w:val="16"/>
              </w:rPr>
              <w:t>471</w:t>
            </w:r>
          </w:p>
        </w:tc>
      </w:tr>
    </w:tbl>
    <w:p w14:paraId="629167C0" w14:textId="77777777" w:rsidR="002F4BAB" w:rsidRPr="00894701" w:rsidRDefault="002F4BAB" w:rsidP="002F4BAB">
      <w:pPr>
        <w:spacing w:after="0" w:line="240" w:lineRule="auto"/>
        <w:rPr>
          <w:b/>
          <w:bCs/>
          <w:noProof/>
          <w:color w:val="98002E" w:themeColor="accent3"/>
          <w:sz w:val="20"/>
          <w:szCs w:val="20"/>
        </w:rPr>
      </w:pPr>
    </w:p>
    <w:p w14:paraId="7F4620D7" w14:textId="3A313896" w:rsidR="002F4BAB" w:rsidRPr="00894701" w:rsidRDefault="002F4BAB" w:rsidP="00274295">
      <w:pPr>
        <w:spacing w:after="0"/>
        <w:jc w:val="center"/>
        <w:rPr>
          <w:b/>
          <w:bCs/>
          <w:color w:val="98002E" w:themeColor="accent3"/>
          <w:sz w:val="20"/>
          <w:szCs w:val="20"/>
        </w:rPr>
      </w:pPr>
      <w:bookmarkStart w:id="534" w:name="_Toc117539629"/>
      <w:bookmarkStart w:id="535" w:name="_Toc146590539"/>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67</w:t>
      </w:r>
      <w:r w:rsidRPr="00894701">
        <w:rPr>
          <w:b/>
          <w:bCs/>
          <w:color w:val="98002E" w:themeColor="accent3"/>
          <w:sz w:val="20"/>
          <w:szCs w:val="20"/>
        </w:rPr>
        <w:fldChar w:fldCharType="end"/>
      </w:r>
      <w:r w:rsidRPr="00894701">
        <w:rPr>
          <w:b/>
          <w:bCs/>
          <w:color w:val="98002E" w:themeColor="accent3"/>
          <w:sz w:val="20"/>
          <w:szCs w:val="20"/>
        </w:rPr>
        <w:t>: Summary of the unreconciled differences by company for the fiscal year 2019</w:t>
      </w:r>
      <w:bookmarkEnd w:id="534"/>
      <w:bookmarkEnd w:id="535"/>
    </w:p>
    <w:p w14:paraId="4066CE1E" w14:textId="77777777" w:rsidR="002F4BAB" w:rsidRPr="00894701" w:rsidRDefault="002F4BAB" w:rsidP="002F4BAB">
      <w:pPr>
        <w:spacing w:after="60"/>
        <w:ind w:right="112"/>
        <w:jc w:val="right"/>
        <w:rPr>
          <w:rFonts w:cs="Arial"/>
          <w:i/>
          <w:iCs/>
          <w:color w:val="000000"/>
          <w:szCs w:val="18"/>
          <w:lang w:eastAsia="fr-FR"/>
        </w:rPr>
      </w:pPr>
      <w:r w:rsidRPr="00894701">
        <w:rPr>
          <w:rFonts w:cs="Arial"/>
          <w:i/>
          <w:iCs/>
          <w:color w:val="000000"/>
          <w:szCs w:val="18"/>
          <w:lang w:eastAsia="fr-FR"/>
        </w:rPr>
        <w:t>Amounts in SRD</w:t>
      </w:r>
    </w:p>
    <w:tbl>
      <w:tblPr>
        <w:tblW w:w="9498" w:type="dxa"/>
        <w:tblLook w:val="04A0" w:firstRow="1" w:lastRow="0" w:firstColumn="1" w:lastColumn="0" w:noHBand="0" w:noVBand="1"/>
      </w:tblPr>
      <w:tblGrid>
        <w:gridCol w:w="3119"/>
        <w:gridCol w:w="1208"/>
        <w:gridCol w:w="277"/>
        <w:gridCol w:w="2100"/>
        <w:gridCol w:w="1701"/>
        <w:gridCol w:w="1134"/>
      </w:tblGrid>
      <w:tr w:rsidR="002F4BAB" w:rsidRPr="00894701" w14:paraId="286B863C" w14:textId="77777777" w:rsidTr="00274295">
        <w:trPr>
          <w:trHeight w:val="227"/>
        </w:trPr>
        <w:tc>
          <w:tcPr>
            <w:tcW w:w="3119" w:type="dxa"/>
            <w:vMerge w:val="restart"/>
            <w:tcBorders>
              <w:top w:val="nil"/>
              <w:left w:val="nil"/>
              <w:bottom w:val="single" w:sz="8" w:space="0" w:color="FF0000"/>
              <w:right w:val="nil"/>
            </w:tcBorders>
            <w:shd w:val="clear" w:color="000000" w:fill="7A091A"/>
            <w:vAlign w:val="center"/>
            <w:hideMark/>
          </w:tcPr>
          <w:p w14:paraId="42FE3209" w14:textId="77777777" w:rsidR="002F4BAB" w:rsidRPr="00894701" w:rsidRDefault="002F4BAB" w:rsidP="002209C2">
            <w:pPr>
              <w:spacing w:after="0" w:line="240" w:lineRule="auto"/>
              <w:jc w:val="center"/>
              <w:rPr>
                <w:rFonts w:cs="Arial"/>
                <w:b/>
                <w:bCs/>
                <w:color w:val="FFFFFF"/>
                <w:kern w:val="0"/>
                <w:sz w:val="16"/>
                <w:szCs w:val="16"/>
              </w:rPr>
            </w:pPr>
            <w:r w:rsidRPr="00894701">
              <w:rPr>
                <w:rFonts w:cs="Arial"/>
                <w:b/>
                <w:bCs/>
                <w:color w:val="FFFFFF"/>
                <w:kern w:val="0"/>
                <w:sz w:val="16"/>
                <w:szCs w:val="16"/>
              </w:rPr>
              <w:t>Company</w:t>
            </w:r>
          </w:p>
        </w:tc>
        <w:tc>
          <w:tcPr>
            <w:tcW w:w="1208" w:type="dxa"/>
            <w:vMerge w:val="restart"/>
            <w:tcBorders>
              <w:top w:val="nil"/>
              <w:left w:val="nil"/>
              <w:bottom w:val="single" w:sz="8" w:space="0" w:color="FF0000"/>
              <w:right w:val="nil"/>
            </w:tcBorders>
            <w:shd w:val="clear" w:color="000000" w:fill="7A091A"/>
            <w:vAlign w:val="center"/>
            <w:hideMark/>
          </w:tcPr>
          <w:p w14:paraId="2CD254A5" w14:textId="77777777" w:rsidR="002F4BAB" w:rsidRPr="00894701" w:rsidRDefault="002F4BAB" w:rsidP="002209C2">
            <w:pPr>
              <w:spacing w:after="0" w:line="240" w:lineRule="auto"/>
              <w:jc w:val="center"/>
              <w:rPr>
                <w:rFonts w:cs="Arial"/>
                <w:b/>
                <w:bCs/>
                <w:color w:val="FFFFFF"/>
                <w:kern w:val="0"/>
                <w:sz w:val="16"/>
                <w:szCs w:val="16"/>
              </w:rPr>
            </w:pPr>
            <w:r w:rsidRPr="00894701">
              <w:rPr>
                <w:rFonts w:cs="Arial"/>
                <w:b/>
                <w:bCs/>
                <w:color w:val="FFFFFF"/>
                <w:kern w:val="0"/>
                <w:sz w:val="16"/>
                <w:szCs w:val="16"/>
              </w:rPr>
              <w:t>Unreconciled difference</w:t>
            </w:r>
          </w:p>
        </w:tc>
        <w:tc>
          <w:tcPr>
            <w:tcW w:w="236" w:type="dxa"/>
            <w:tcBorders>
              <w:top w:val="nil"/>
              <w:left w:val="nil"/>
              <w:bottom w:val="nil"/>
              <w:right w:val="nil"/>
            </w:tcBorders>
            <w:shd w:val="clear" w:color="auto" w:fill="auto"/>
            <w:vAlign w:val="center"/>
            <w:hideMark/>
          </w:tcPr>
          <w:p w14:paraId="1C05FB76" w14:textId="77777777" w:rsidR="002F4BAB" w:rsidRPr="00894701" w:rsidRDefault="002F4BAB" w:rsidP="002209C2">
            <w:pPr>
              <w:spacing w:after="0" w:line="240" w:lineRule="auto"/>
              <w:jc w:val="center"/>
              <w:rPr>
                <w:rFonts w:cs="Arial"/>
                <w:b/>
                <w:bCs/>
                <w:color w:val="FFFFFF"/>
                <w:kern w:val="0"/>
                <w:sz w:val="16"/>
                <w:szCs w:val="16"/>
              </w:rPr>
            </w:pPr>
          </w:p>
        </w:tc>
        <w:tc>
          <w:tcPr>
            <w:tcW w:w="4935" w:type="dxa"/>
            <w:gridSpan w:val="3"/>
            <w:tcBorders>
              <w:top w:val="nil"/>
              <w:left w:val="nil"/>
              <w:bottom w:val="single" w:sz="8" w:space="0" w:color="FF0000"/>
              <w:right w:val="nil"/>
            </w:tcBorders>
            <w:shd w:val="clear" w:color="000000" w:fill="7A091A"/>
            <w:vAlign w:val="center"/>
            <w:hideMark/>
          </w:tcPr>
          <w:p w14:paraId="2C8C9637" w14:textId="77777777" w:rsidR="002F4BAB" w:rsidRPr="00894701" w:rsidRDefault="002F4BAB" w:rsidP="002209C2">
            <w:pPr>
              <w:spacing w:after="0" w:line="240" w:lineRule="auto"/>
              <w:jc w:val="center"/>
              <w:rPr>
                <w:rFonts w:cs="Arial"/>
                <w:b/>
                <w:bCs/>
                <w:color w:val="FFFFFF"/>
                <w:kern w:val="0"/>
                <w:sz w:val="16"/>
                <w:szCs w:val="16"/>
              </w:rPr>
            </w:pPr>
            <w:r w:rsidRPr="00894701">
              <w:rPr>
                <w:rFonts w:cs="Arial"/>
                <w:b/>
                <w:bCs/>
                <w:color w:val="FFFFFF"/>
                <w:kern w:val="0"/>
                <w:sz w:val="16"/>
                <w:szCs w:val="16"/>
              </w:rPr>
              <w:t>Reasons for differences</w:t>
            </w:r>
          </w:p>
        </w:tc>
      </w:tr>
      <w:tr w:rsidR="002F4BAB" w:rsidRPr="00894701" w14:paraId="6C42C5A0" w14:textId="77777777" w:rsidTr="00274295">
        <w:trPr>
          <w:trHeight w:val="227"/>
        </w:trPr>
        <w:tc>
          <w:tcPr>
            <w:tcW w:w="3119" w:type="dxa"/>
            <w:vMerge/>
            <w:tcBorders>
              <w:top w:val="nil"/>
              <w:left w:val="nil"/>
              <w:bottom w:val="single" w:sz="8" w:space="0" w:color="FF0000"/>
              <w:right w:val="nil"/>
            </w:tcBorders>
            <w:vAlign w:val="center"/>
            <w:hideMark/>
          </w:tcPr>
          <w:p w14:paraId="400985DC" w14:textId="77777777" w:rsidR="002F4BAB" w:rsidRPr="00894701" w:rsidRDefault="002F4BAB" w:rsidP="002209C2">
            <w:pPr>
              <w:spacing w:after="0" w:line="240" w:lineRule="auto"/>
              <w:rPr>
                <w:rFonts w:cs="Arial"/>
                <w:b/>
                <w:bCs/>
                <w:color w:val="FFFFFF"/>
                <w:kern w:val="0"/>
                <w:sz w:val="16"/>
                <w:szCs w:val="16"/>
              </w:rPr>
            </w:pPr>
          </w:p>
        </w:tc>
        <w:tc>
          <w:tcPr>
            <w:tcW w:w="1208" w:type="dxa"/>
            <w:vMerge/>
            <w:tcBorders>
              <w:top w:val="nil"/>
              <w:left w:val="nil"/>
              <w:bottom w:val="single" w:sz="8" w:space="0" w:color="FF0000"/>
              <w:right w:val="nil"/>
            </w:tcBorders>
            <w:vAlign w:val="center"/>
            <w:hideMark/>
          </w:tcPr>
          <w:p w14:paraId="48612F80" w14:textId="77777777" w:rsidR="002F4BAB" w:rsidRPr="00894701" w:rsidRDefault="002F4BAB" w:rsidP="002209C2">
            <w:pPr>
              <w:spacing w:after="0" w:line="240" w:lineRule="auto"/>
              <w:rPr>
                <w:rFonts w:cs="Arial"/>
                <w:b/>
                <w:bCs/>
                <w:color w:val="FFFFFF"/>
                <w:kern w:val="0"/>
                <w:sz w:val="16"/>
                <w:szCs w:val="16"/>
              </w:rPr>
            </w:pPr>
          </w:p>
        </w:tc>
        <w:tc>
          <w:tcPr>
            <w:tcW w:w="236" w:type="dxa"/>
            <w:tcBorders>
              <w:top w:val="nil"/>
              <w:left w:val="nil"/>
              <w:bottom w:val="nil"/>
              <w:right w:val="nil"/>
            </w:tcBorders>
            <w:shd w:val="clear" w:color="auto" w:fill="auto"/>
            <w:vAlign w:val="center"/>
            <w:hideMark/>
          </w:tcPr>
          <w:p w14:paraId="53680E87" w14:textId="77777777" w:rsidR="002F4BAB" w:rsidRPr="00894701" w:rsidRDefault="002F4BAB" w:rsidP="002209C2">
            <w:pPr>
              <w:spacing w:after="0" w:line="240" w:lineRule="auto"/>
              <w:jc w:val="center"/>
              <w:rPr>
                <w:rFonts w:cs="Arial"/>
                <w:b/>
                <w:bCs/>
                <w:color w:val="FFFFFF"/>
                <w:kern w:val="0"/>
                <w:sz w:val="16"/>
                <w:szCs w:val="16"/>
              </w:rPr>
            </w:pPr>
          </w:p>
        </w:tc>
        <w:tc>
          <w:tcPr>
            <w:tcW w:w="2100" w:type="dxa"/>
            <w:tcBorders>
              <w:top w:val="nil"/>
              <w:left w:val="nil"/>
              <w:bottom w:val="single" w:sz="8" w:space="0" w:color="FF0000"/>
              <w:right w:val="nil"/>
            </w:tcBorders>
            <w:shd w:val="clear" w:color="000000" w:fill="7A091A"/>
            <w:vAlign w:val="center"/>
            <w:hideMark/>
          </w:tcPr>
          <w:p w14:paraId="5A022064" w14:textId="77777777" w:rsidR="002F4BAB" w:rsidRPr="00894701" w:rsidRDefault="002F4BAB" w:rsidP="002209C2">
            <w:pPr>
              <w:spacing w:after="0" w:line="240" w:lineRule="auto"/>
              <w:rPr>
                <w:rFonts w:cs="Arial"/>
                <w:b/>
                <w:bCs/>
                <w:color w:val="FFFFFF"/>
                <w:kern w:val="0"/>
                <w:sz w:val="16"/>
                <w:szCs w:val="16"/>
              </w:rPr>
            </w:pPr>
            <w:r w:rsidRPr="00894701">
              <w:rPr>
                <w:rFonts w:cs="Arial"/>
                <w:b/>
                <w:bCs/>
                <w:color w:val="FFFFFF"/>
                <w:kern w:val="0"/>
                <w:sz w:val="16"/>
                <w:szCs w:val="16"/>
              </w:rPr>
              <w:t>Reporting template not submitted by the Government Agency</w:t>
            </w:r>
          </w:p>
        </w:tc>
        <w:tc>
          <w:tcPr>
            <w:tcW w:w="1701" w:type="dxa"/>
            <w:tcBorders>
              <w:top w:val="nil"/>
              <w:left w:val="nil"/>
              <w:bottom w:val="single" w:sz="8" w:space="0" w:color="FF0000"/>
              <w:right w:val="nil"/>
            </w:tcBorders>
            <w:shd w:val="clear" w:color="000000" w:fill="7A091A"/>
            <w:vAlign w:val="center"/>
            <w:hideMark/>
          </w:tcPr>
          <w:p w14:paraId="1EA183E2" w14:textId="47460CCA" w:rsidR="002F4BAB" w:rsidRPr="00894701" w:rsidRDefault="002F4BAB" w:rsidP="002209C2">
            <w:pPr>
              <w:spacing w:after="0" w:line="240" w:lineRule="auto"/>
              <w:rPr>
                <w:rFonts w:cs="Arial"/>
                <w:b/>
                <w:bCs/>
                <w:color w:val="FFFFFF"/>
                <w:kern w:val="0"/>
                <w:sz w:val="16"/>
                <w:szCs w:val="16"/>
              </w:rPr>
            </w:pPr>
            <w:r w:rsidRPr="00894701">
              <w:rPr>
                <w:rFonts w:cs="Arial"/>
                <w:b/>
                <w:bCs/>
                <w:color w:val="FFFFFF"/>
                <w:kern w:val="0"/>
                <w:sz w:val="16"/>
                <w:szCs w:val="16"/>
              </w:rPr>
              <w:t>Tax</w:t>
            </w:r>
            <w:r w:rsidR="000D63C7">
              <w:rPr>
                <w:rFonts w:cs="Arial"/>
                <w:b/>
                <w:bCs/>
                <w:color w:val="FFFFFF"/>
                <w:kern w:val="0"/>
                <w:sz w:val="16"/>
                <w:szCs w:val="16"/>
              </w:rPr>
              <w:t>es</w:t>
            </w:r>
            <w:r w:rsidRPr="00894701">
              <w:rPr>
                <w:rFonts w:cs="Arial"/>
                <w:b/>
                <w:bCs/>
                <w:color w:val="FFFFFF"/>
                <w:kern w:val="0"/>
                <w:sz w:val="16"/>
                <w:szCs w:val="16"/>
              </w:rPr>
              <w:t xml:space="preserve"> not reported by the Government Agency</w:t>
            </w:r>
          </w:p>
        </w:tc>
        <w:tc>
          <w:tcPr>
            <w:tcW w:w="1134" w:type="dxa"/>
            <w:tcBorders>
              <w:top w:val="nil"/>
              <w:left w:val="nil"/>
              <w:bottom w:val="single" w:sz="8" w:space="0" w:color="FF0000"/>
              <w:right w:val="nil"/>
            </w:tcBorders>
            <w:shd w:val="clear" w:color="000000" w:fill="7A091A"/>
            <w:vAlign w:val="center"/>
            <w:hideMark/>
          </w:tcPr>
          <w:p w14:paraId="354D29A1" w14:textId="34F28456" w:rsidR="002F4BAB" w:rsidRPr="00894701" w:rsidRDefault="000D63C7" w:rsidP="002209C2">
            <w:pPr>
              <w:spacing w:after="0" w:line="240" w:lineRule="auto"/>
              <w:rPr>
                <w:rFonts w:cs="Arial"/>
                <w:b/>
                <w:bCs/>
                <w:color w:val="FFFFFF"/>
                <w:kern w:val="0"/>
                <w:sz w:val="16"/>
                <w:szCs w:val="16"/>
              </w:rPr>
            </w:pPr>
            <w:r>
              <w:rPr>
                <w:rFonts w:cs="Arial"/>
                <w:b/>
                <w:bCs/>
                <w:color w:val="FFFFFF"/>
                <w:kern w:val="0"/>
                <w:sz w:val="16"/>
                <w:szCs w:val="16"/>
              </w:rPr>
              <w:t>Im</w:t>
            </w:r>
            <w:r w:rsidRPr="00894701">
              <w:rPr>
                <w:rFonts w:cs="Arial"/>
                <w:b/>
                <w:bCs/>
                <w:color w:val="FFFFFF"/>
                <w:kern w:val="0"/>
                <w:sz w:val="16"/>
                <w:szCs w:val="16"/>
              </w:rPr>
              <w:t xml:space="preserve">material </w:t>
            </w:r>
            <w:r w:rsidR="002F4BAB" w:rsidRPr="00894701">
              <w:rPr>
                <w:rFonts w:cs="Arial"/>
                <w:b/>
                <w:bCs/>
                <w:color w:val="FFFFFF"/>
                <w:kern w:val="0"/>
                <w:sz w:val="16"/>
                <w:szCs w:val="16"/>
              </w:rPr>
              <w:t>difference</w:t>
            </w:r>
          </w:p>
        </w:tc>
      </w:tr>
      <w:tr w:rsidR="002F4BAB" w:rsidRPr="00894701" w14:paraId="32BCFD94" w14:textId="77777777" w:rsidTr="00274295">
        <w:trPr>
          <w:trHeight w:val="227"/>
        </w:trPr>
        <w:tc>
          <w:tcPr>
            <w:tcW w:w="3119" w:type="dxa"/>
            <w:tcBorders>
              <w:top w:val="nil"/>
              <w:left w:val="nil"/>
              <w:bottom w:val="nil"/>
              <w:right w:val="nil"/>
            </w:tcBorders>
            <w:shd w:val="clear" w:color="000000" w:fill="F7A3B0"/>
            <w:noWrap/>
            <w:vAlign w:val="center"/>
            <w:hideMark/>
          </w:tcPr>
          <w:p w14:paraId="58A4778C" w14:textId="77777777"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Kosmos Energy Suriname</w:t>
            </w:r>
          </w:p>
        </w:tc>
        <w:tc>
          <w:tcPr>
            <w:tcW w:w="1208" w:type="dxa"/>
            <w:tcBorders>
              <w:top w:val="nil"/>
              <w:left w:val="nil"/>
              <w:bottom w:val="nil"/>
              <w:right w:val="nil"/>
            </w:tcBorders>
            <w:shd w:val="clear" w:color="000000" w:fill="F7A3B0"/>
            <w:noWrap/>
            <w:vAlign w:val="center"/>
            <w:hideMark/>
          </w:tcPr>
          <w:p w14:paraId="388B0968"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000000"/>
                <w:sz w:val="16"/>
                <w:szCs w:val="16"/>
              </w:rPr>
              <w:t>(191,295)</w:t>
            </w:r>
          </w:p>
        </w:tc>
        <w:tc>
          <w:tcPr>
            <w:tcW w:w="236" w:type="dxa"/>
            <w:tcBorders>
              <w:top w:val="nil"/>
              <w:left w:val="nil"/>
              <w:bottom w:val="nil"/>
              <w:right w:val="nil"/>
            </w:tcBorders>
            <w:shd w:val="clear" w:color="000000" w:fill="FFFFFF"/>
            <w:noWrap/>
            <w:vAlign w:val="center"/>
            <w:hideMark/>
          </w:tcPr>
          <w:p w14:paraId="48F4A290" w14:textId="77777777" w:rsidR="002F4BAB" w:rsidRPr="00894701" w:rsidRDefault="002F4BAB" w:rsidP="002209C2">
            <w:pPr>
              <w:spacing w:after="0" w:line="240" w:lineRule="auto"/>
              <w:jc w:val="right"/>
              <w:rPr>
                <w:rFonts w:cs="Arial"/>
                <w:color w:val="000000"/>
                <w:kern w:val="0"/>
                <w:sz w:val="16"/>
                <w:szCs w:val="16"/>
              </w:rPr>
            </w:pPr>
          </w:p>
        </w:tc>
        <w:tc>
          <w:tcPr>
            <w:tcW w:w="2100" w:type="dxa"/>
            <w:tcBorders>
              <w:top w:val="nil"/>
              <w:left w:val="nil"/>
              <w:bottom w:val="nil"/>
              <w:right w:val="nil"/>
            </w:tcBorders>
            <w:shd w:val="clear" w:color="000000" w:fill="F7A3B0"/>
            <w:noWrap/>
            <w:vAlign w:val="center"/>
            <w:hideMark/>
          </w:tcPr>
          <w:p w14:paraId="6C0D4899"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000000"/>
                <w:sz w:val="16"/>
                <w:szCs w:val="16"/>
              </w:rPr>
              <w:t>-</w:t>
            </w:r>
          </w:p>
        </w:tc>
        <w:tc>
          <w:tcPr>
            <w:tcW w:w="1701" w:type="dxa"/>
            <w:tcBorders>
              <w:top w:val="nil"/>
              <w:left w:val="nil"/>
              <w:bottom w:val="nil"/>
              <w:right w:val="nil"/>
            </w:tcBorders>
            <w:shd w:val="clear" w:color="000000" w:fill="F7A3B0"/>
            <w:noWrap/>
            <w:vAlign w:val="center"/>
            <w:hideMark/>
          </w:tcPr>
          <w:p w14:paraId="54A71110"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000000"/>
                <w:sz w:val="16"/>
                <w:szCs w:val="16"/>
              </w:rPr>
              <w:t>(191,295)</w:t>
            </w:r>
          </w:p>
        </w:tc>
        <w:tc>
          <w:tcPr>
            <w:tcW w:w="1134" w:type="dxa"/>
            <w:tcBorders>
              <w:top w:val="nil"/>
              <w:left w:val="nil"/>
              <w:bottom w:val="nil"/>
              <w:right w:val="nil"/>
            </w:tcBorders>
            <w:shd w:val="clear" w:color="000000" w:fill="F7A3B0"/>
            <w:noWrap/>
            <w:vAlign w:val="center"/>
            <w:hideMark/>
          </w:tcPr>
          <w:p w14:paraId="284679D7"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000000"/>
                <w:sz w:val="16"/>
                <w:szCs w:val="16"/>
              </w:rPr>
              <w:t>-</w:t>
            </w:r>
          </w:p>
        </w:tc>
      </w:tr>
      <w:tr w:rsidR="002F4BAB" w:rsidRPr="00894701" w14:paraId="69803D88" w14:textId="77777777" w:rsidTr="00AA49E3">
        <w:trPr>
          <w:trHeight w:val="227"/>
        </w:trPr>
        <w:tc>
          <w:tcPr>
            <w:tcW w:w="3119" w:type="dxa"/>
            <w:tcBorders>
              <w:top w:val="nil"/>
              <w:left w:val="nil"/>
              <w:bottom w:val="nil"/>
              <w:right w:val="nil"/>
            </w:tcBorders>
            <w:shd w:val="clear" w:color="auto" w:fill="auto"/>
            <w:noWrap/>
            <w:vAlign w:val="center"/>
            <w:hideMark/>
          </w:tcPr>
          <w:p w14:paraId="75D7F11A" w14:textId="77777777" w:rsidR="002F4BAB" w:rsidRPr="00894701" w:rsidRDefault="002F4BAB" w:rsidP="002209C2">
            <w:pPr>
              <w:spacing w:after="0" w:line="240" w:lineRule="auto"/>
              <w:rPr>
                <w:rFonts w:cs="Arial"/>
                <w:color w:val="000000"/>
                <w:kern w:val="0"/>
                <w:sz w:val="16"/>
                <w:szCs w:val="16"/>
              </w:rPr>
            </w:pPr>
            <w:r w:rsidRPr="00894701">
              <w:rPr>
                <w:rFonts w:cs="Arial"/>
                <w:color w:val="000000"/>
                <w:kern w:val="0"/>
                <w:sz w:val="16"/>
                <w:szCs w:val="16"/>
              </w:rPr>
              <w:t>Petronas Suriname Exploration &amp; production B.V.</w:t>
            </w:r>
          </w:p>
        </w:tc>
        <w:tc>
          <w:tcPr>
            <w:tcW w:w="1208" w:type="dxa"/>
            <w:tcBorders>
              <w:top w:val="nil"/>
              <w:left w:val="nil"/>
              <w:bottom w:val="nil"/>
              <w:right w:val="nil"/>
            </w:tcBorders>
            <w:shd w:val="clear" w:color="auto" w:fill="auto"/>
            <w:noWrap/>
            <w:vAlign w:val="center"/>
            <w:hideMark/>
          </w:tcPr>
          <w:p w14:paraId="78495B7E" w14:textId="0438C8E4" w:rsidR="002F4BAB" w:rsidRPr="00894701" w:rsidRDefault="00BA216C" w:rsidP="002209C2">
            <w:pPr>
              <w:spacing w:after="0" w:line="240" w:lineRule="auto"/>
              <w:jc w:val="right"/>
              <w:rPr>
                <w:rFonts w:cs="Arial"/>
                <w:color w:val="000000"/>
                <w:kern w:val="0"/>
                <w:sz w:val="16"/>
                <w:szCs w:val="16"/>
              </w:rPr>
            </w:pPr>
            <w:r w:rsidRPr="00894701">
              <w:rPr>
                <w:rFonts w:cs="Arial"/>
                <w:color w:val="000000"/>
                <w:sz w:val="16"/>
                <w:szCs w:val="16"/>
              </w:rPr>
              <w:t xml:space="preserve"> 185,018</w:t>
            </w:r>
          </w:p>
        </w:tc>
        <w:tc>
          <w:tcPr>
            <w:tcW w:w="236" w:type="dxa"/>
            <w:tcBorders>
              <w:top w:val="nil"/>
              <w:left w:val="nil"/>
              <w:bottom w:val="nil"/>
              <w:right w:val="nil"/>
            </w:tcBorders>
            <w:shd w:val="clear" w:color="auto" w:fill="auto"/>
            <w:noWrap/>
            <w:vAlign w:val="center"/>
            <w:hideMark/>
          </w:tcPr>
          <w:p w14:paraId="3147E417" w14:textId="77777777" w:rsidR="002F4BAB" w:rsidRPr="00894701" w:rsidRDefault="002F4BAB" w:rsidP="002209C2">
            <w:pPr>
              <w:spacing w:after="0" w:line="240" w:lineRule="auto"/>
              <w:jc w:val="right"/>
              <w:rPr>
                <w:rFonts w:cs="Arial"/>
                <w:color w:val="000000"/>
                <w:kern w:val="0"/>
                <w:sz w:val="16"/>
                <w:szCs w:val="16"/>
              </w:rPr>
            </w:pPr>
          </w:p>
        </w:tc>
        <w:tc>
          <w:tcPr>
            <w:tcW w:w="2100" w:type="dxa"/>
            <w:tcBorders>
              <w:top w:val="nil"/>
              <w:left w:val="nil"/>
              <w:bottom w:val="nil"/>
              <w:right w:val="nil"/>
            </w:tcBorders>
            <w:shd w:val="clear" w:color="auto" w:fill="auto"/>
            <w:noWrap/>
            <w:vAlign w:val="center"/>
            <w:hideMark/>
          </w:tcPr>
          <w:p w14:paraId="2E060ED0" w14:textId="117F77D9" w:rsidR="002F4BAB" w:rsidRPr="00894701" w:rsidRDefault="00BA216C" w:rsidP="002209C2">
            <w:pPr>
              <w:spacing w:after="0" w:line="240" w:lineRule="auto"/>
              <w:jc w:val="right"/>
              <w:rPr>
                <w:rFonts w:cs="Arial"/>
                <w:color w:val="000000"/>
                <w:kern w:val="0"/>
                <w:sz w:val="16"/>
                <w:szCs w:val="16"/>
              </w:rPr>
            </w:pPr>
            <w:r w:rsidRPr="00894701">
              <w:rPr>
                <w:rFonts w:cs="Arial"/>
                <w:color w:val="000000"/>
                <w:sz w:val="16"/>
                <w:szCs w:val="16"/>
              </w:rPr>
              <w:t xml:space="preserve"> 185,018</w:t>
            </w:r>
          </w:p>
        </w:tc>
        <w:tc>
          <w:tcPr>
            <w:tcW w:w="1701" w:type="dxa"/>
            <w:tcBorders>
              <w:top w:val="nil"/>
              <w:left w:val="nil"/>
              <w:bottom w:val="nil"/>
              <w:right w:val="nil"/>
            </w:tcBorders>
            <w:shd w:val="clear" w:color="auto" w:fill="auto"/>
            <w:noWrap/>
            <w:vAlign w:val="center"/>
            <w:hideMark/>
          </w:tcPr>
          <w:p w14:paraId="39730DD7"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000000"/>
                <w:sz w:val="16"/>
                <w:szCs w:val="16"/>
              </w:rPr>
              <w:t>-</w:t>
            </w:r>
          </w:p>
        </w:tc>
        <w:tc>
          <w:tcPr>
            <w:tcW w:w="1134" w:type="dxa"/>
            <w:tcBorders>
              <w:top w:val="nil"/>
              <w:left w:val="nil"/>
              <w:bottom w:val="nil"/>
              <w:right w:val="nil"/>
            </w:tcBorders>
            <w:shd w:val="clear" w:color="auto" w:fill="auto"/>
            <w:noWrap/>
            <w:vAlign w:val="center"/>
            <w:hideMark/>
          </w:tcPr>
          <w:p w14:paraId="0DE6C780"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000000"/>
                <w:sz w:val="16"/>
                <w:szCs w:val="16"/>
              </w:rPr>
              <w:t>-</w:t>
            </w:r>
          </w:p>
        </w:tc>
      </w:tr>
      <w:tr w:rsidR="002F4BAB" w:rsidRPr="00894701" w14:paraId="27C831DD" w14:textId="77777777" w:rsidTr="00274295">
        <w:trPr>
          <w:trHeight w:val="227"/>
        </w:trPr>
        <w:tc>
          <w:tcPr>
            <w:tcW w:w="3119" w:type="dxa"/>
            <w:tcBorders>
              <w:top w:val="nil"/>
              <w:left w:val="nil"/>
              <w:bottom w:val="nil"/>
              <w:right w:val="nil"/>
            </w:tcBorders>
            <w:shd w:val="clear" w:color="000000" w:fill="F7A3B0"/>
            <w:noWrap/>
            <w:vAlign w:val="center"/>
            <w:hideMark/>
          </w:tcPr>
          <w:p w14:paraId="7623BC26" w14:textId="77777777" w:rsidR="002F4BAB" w:rsidRPr="00894701" w:rsidRDefault="002F4BAB" w:rsidP="002209C2">
            <w:pPr>
              <w:spacing w:after="0" w:line="240" w:lineRule="auto"/>
              <w:rPr>
                <w:rFonts w:cs="Arial"/>
                <w:color w:val="000000"/>
                <w:kern w:val="0"/>
                <w:sz w:val="16"/>
                <w:szCs w:val="16"/>
                <w:lang w:val="nl-NL"/>
              </w:rPr>
            </w:pPr>
            <w:r w:rsidRPr="00894701">
              <w:rPr>
                <w:rFonts w:cs="Arial"/>
                <w:color w:val="000000"/>
                <w:kern w:val="0"/>
                <w:sz w:val="16"/>
                <w:szCs w:val="16"/>
                <w:lang w:val="nl-NL"/>
              </w:rPr>
              <w:t>Staatsolie Maatschappij Suriname N.V.</w:t>
            </w:r>
          </w:p>
        </w:tc>
        <w:tc>
          <w:tcPr>
            <w:tcW w:w="1208" w:type="dxa"/>
            <w:tcBorders>
              <w:top w:val="nil"/>
              <w:left w:val="nil"/>
              <w:bottom w:val="nil"/>
              <w:right w:val="nil"/>
            </w:tcBorders>
            <w:shd w:val="clear" w:color="000000" w:fill="F7A3B0"/>
            <w:noWrap/>
            <w:vAlign w:val="center"/>
            <w:hideMark/>
          </w:tcPr>
          <w:p w14:paraId="53F6031A"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000000"/>
                <w:sz w:val="16"/>
                <w:szCs w:val="16"/>
              </w:rPr>
              <w:t>4</w:t>
            </w:r>
          </w:p>
        </w:tc>
        <w:tc>
          <w:tcPr>
            <w:tcW w:w="236" w:type="dxa"/>
            <w:tcBorders>
              <w:top w:val="nil"/>
              <w:left w:val="nil"/>
              <w:bottom w:val="nil"/>
              <w:right w:val="nil"/>
            </w:tcBorders>
            <w:shd w:val="clear" w:color="000000" w:fill="FFFFFF"/>
            <w:noWrap/>
            <w:vAlign w:val="center"/>
            <w:hideMark/>
          </w:tcPr>
          <w:p w14:paraId="1FE1DBAE" w14:textId="77777777" w:rsidR="002F4BAB" w:rsidRPr="00894701" w:rsidRDefault="002F4BAB" w:rsidP="002209C2">
            <w:pPr>
              <w:spacing w:after="0" w:line="240" w:lineRule="auto"/>
              <w:jc w:val="right"/>
              <w:rPr>
                <w:rFonts w:cs="Arial"/>
                <w:color w:val="000000"/>
                <w:kern w:val="0"/>
                <w:sz w:val="16"/>
                <w:szCs w:val="16"/>
              </w:rPr>
            </w:pPr>
          </w:p>
        </w:tc>
        <w:tc>
          <w:tcPr>
            <w:tcW w:w="2100" w:type="dxa"/>
            <w:tcBorders>
              <w:top w:val="nil"/>
              <w:left w:val="nil"/>
              <w:bottom w:val="nil"/>
              <w:right w:val="nil"/>
            </w:tcBorders>
            <w:shd w:val="clear" w:color="000000" w:fill="F7A3B0"/>
            <w:noWrap/>
            <w:vAlign w:val="center"/>
            <w:hideMark/>
          </w:tcPr>
          <w:p w14:paraId="36B576E1"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000000"/>
                <w:sz w:val="16"/>
                <w:szCs w:val="16"/>
              </w:rPr>
              <w:t>-</w:t>
            </w:r>
          </w:p>
        </w:tc>
        <w:tc>
          <w:tcPr>
            <w:tcW w:w="1701" w:type="dxa"/>
            <w:tcBorders>
              <w:top w:val="nil"/>
              <w:left w:val="nil"/>
              <w:bottom w:val="nil"/>
              <w:right w:val="nil"/>
            </w:tcBorders>
            <w:shd w:val="clear" w:color="000000" w:fill="F7A3B0"/>
            <w:noWrap/>
            <w:vAlign w:val="center"/>
            <w:hideMark/>
          </w:tcPr>
          <w:p w14:paraId="6A9E7951"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000000"/>
                <w:sz w:val="16"/>
                <w:szCs w:val="16"/>
              </w:rPr>
              <w:t>-</w:t>
            </w:r>
          </w:p>
        </w:tc>
        <w:tc>
          <w:tcPr>
            <w:tcW w:w="1134" w:type="dxa"/>
            <w:tcBorders>
              <w:top w:val="nil"/>
              <w:left w:val="nil"/>
              <w:bottom w:val="nil"/>
              <w:right w:val="nil"/>
            </w:tcBorders>
            <w:shd w:val="clear" w:color="000000" w:fill="F7A3B0"/>
            <w:noWrap/>
            <w:vAlign w:val="center"/>
            <w:hideMark/>
          </w:tcPr>
          <w:p w14:paraId="5CA101A0"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000000"/>
                <w:sz w:val="16"/>
                <w:szCs w:val="16"/>
              </w:rPr>
              <w:t>4</w:t>
            </w:r>
          </w:p>
        </w:tc>
      </w:tr>
      <w:tr w:rsidR="002F4BAB" w:rsidRPr="00894701" w14:paraId="0BBD37D3" w14:textId="77777777" w:rsidTr="00274295">
        <w:trPr>
          <w:trHeight w:val="227"/>
        </w:trPr>
        <w:tc>
          <w:tcPr>
            <w:tcW w:w="3119" w:type="dxa"/>
            <w:tcBorders>
              <w:top w:val="nil"/>
              <w:left w:val="nil"/>
              <w:bottom w:val="single" w:sz="8" w:space="0" w:color="FF0000"/>
              <w:right w:val="nil"/>
            </w:tcBorders>
            <w:shd w:val="clear" w:color="000000" w:fill="BFBFBF"/>
            <w:noWrap/>
            <w:vAlign w:val="center"/>
            <w:hideMark/>
          </w:tcPr>
          <w:p w14:paraId="6F7BBD56" w14:textId="77777777" w:rsidR="002F4BAB" w:rsidRPr="00894701" w:rsidRDefault="002F4BAB" w:rsidP="002209C2">
            <w:pPr>
              <w:spacing w:after="0" w:line="240" w:lineRule="auto"/>
              <w:rPr>
                <w:rFonts w:cs="Arial"/>
                <w:b/>
                <w:bCs/>
                <w:color w:val="auto"/>
                <w:kern w:val="0"/>
                <w:sz w:val="16"/>
                <w:szCs w:val="16"/>
              </w:rPr>
            </w:pPr>
            <w:r w:rsidRPr="00894701">
              <w:rPr>
                <w:rFonts w:cs="Arial"/>
                <w:b/>
                <w:bCs/>
                <w:color w:val="auto"/>
                <w:kern w:val="0"/>
                <w:sz w:val="16"/>
                <w:szCs w:val="16"/>
              </w:rPr>
              <w:t xml:space="preserve"> Total  </w:t>
            </w:r>
          </w:p>
        </w:tc>
        <w:tc>
          <w:tcPr>
            <w:tcW w:w="1208" w:type="dxa"/>
            <w:tcBorders>
              <w:top w:val="nil"/>
              <w:left w:val="nil"/>
              <w:bottom w:val="single" w:sz="8" w:space="0" w:color="FF0000"/>
              <w:right w:val="nil"/>
            </w:tcBorders>
            <w:shd w:val="clear" w:color="000000" w:fill="BFBFBF"/>
            <w:noWrap/>
            <w:vAlign w:val="center"/>
            <w:hideMark/>
          </w:tcPr>
          <w:p w14:paraId="791B7B0F" w14:textId="622568F7" w:rsidR="002F4BAB" w:rsidRPr="00894701" w:rsidRDefault="00BA216C" w:rsidP="002209C2">
            <w:pPr>
              <w:spacing w:after="0" w:line="240" w:lineRule="auto"/>
              <w:jc w:val="right"/>
              <w:rPr>
                <w:rFonts w:cs="Arial"/>
                <w:b/>
                <w:bCs/>
                <w:color w:val="auto"/>
                <w:kern w:val="0"/>
                <w:sz w:val="16"/>
                <w:szCs w:val="16"/>
              </w:rPr>
            </w:pPr>
            <w:r w:rsidRPr="00894701">
              <w:rPr>
                <w:rFonts w:cs="Arial"/>
                <w:b/>
                <w:bCs/>
                <w:color w:val="auto"/>
                <w:sz w:val="16"/>
                <w:szCs w:val="16"/>
              </w:rPr>
              <w:t>(6,273)</w:t>
            </w:r>
          </w:p>
        </w:tc>
        <w:tc>
          <w:tcPr>
            <w:tcW w:w="236" w:type="dxa"/>
            <w:tcBorders>
              <w:top w:val="nil"/>
              <w:left w:val="nil"/>
              <w:bottom w:val="nil"/>
              <w:right w:val="nil"/>
            </w:tcBorders>
            <w:shd w:val="clear" w:color="auto" w:fill="auto"/>
            <w:vAlign w:val="center"/>
            <w:hideMark/>
          </w:tcPr>
          <w:p w14:paraId="2E4CE12A" w14:textId="77777777" w:rsidR="002F4BAB" w:rsidRPr="00894701" w:rsidRDefault="002F4BAB" w:rsidP="002209C2">
            <w:pPr>
              <w:spacing w:after="0" w:line="240" w:lineRule="auto"/>
              <w:jc w:val="right"/>
              <w:rPr>
                <w:rFonts w:cs="Arial"/>
                <w:b/>
                <w:bCs/>
                <w:color w:val="auto"/>
                <w:kern w:val="0"/>
                <w:sz w:val="16"/>
                <w:szCs w:val="16"/>
              </w:rPr>
            </w:pPr>
          </w:p>
        </w:tc>
        <w:tc>
          <w:tcPr>
            <w:tcW w:w="2100" w:type="dxa"/>
            <w:tcBorders>
              <w:top w:val="nil"/>
              <w:left w:val="nil"/>
              <w:bottom w:val="single" w:sz="8" w:space="0" w:color="FF0000"/>
              <w:right w:val="nil"/>
            </w:tcBorders>
            <w:shd w:val="clear" w:color="000000" w:fill="BFBFBF"/>
            <w:noWrap/>
            <w:vAlign w:val="center"/>
            <w:hideMark/>
          </w:tcPr>
          <w:p w14:paraId="5666E5B1" w14:textId="5038C138" w:rsidR="002F4BAB" w:rsidRPr="00894701" w:rsidRDefault="00BA216C" w:rsidP="002209C2">
            <w:pPr>
              <w:spacing w:after="0" w:line="240" w:lineRule="auto"/>
              <w:jc w:val="right"/>
              <w:rPr>
                <w:rFonts w:cs="Arial"/>
                <w:b/>
                <w:bCs/>
                <w:color w:val="auto"/>
                <w:kern w:val="0"/>
                <w:sz w:val="16"/>
                <w:szCs w:val="16"/>
              </w:rPr>
            </w:pPr>
            <w:r w:rsidRPr="00894701">
              <w:rPr>
                <w:rFonts w:cs="Arial"/>
                <w:b/>
                <w:bCs/>
                <w:color w:val="auto"/>
                <w:sz w:val="16"/>
                <w:szCs w:val="16"/>
              </w:rPr>
              <w:t xml:space="preserve"> 185,018</w:t>
            </w:r>
          </w:p>
        </w:tc>
        <w:tc>
          <w:tcPr>
            <w:tcW w:w="1701" w:type="dxa"/>
            <w:tcBorders>
              <w:top w:val="nil"/>
              <w:left w:val="nil"/>
              <w:bottom w:val="single" w:sz="8" w:space="0" w:color="FF0000"/>
              <w:right w:val="nil"/>
            </w:tcBorders>
            <w:shd w:val="clear" w:color="000000" w:fill="BFBFBF"/>
            <w:noWrap/>
            <w:vAlign w:val="center"/>
            <w:hideMark/>
          </w:tcPr>
          <w:p w14:paraId="4486A48C" w14:textId="77777777" w:rsidR="002F4BAB" w:rsidRPr="00894701" w:rsidRDefault="002F4BAB" w:rsidP="002209C2">
            <w:pPr>
              <w:spacing w:after="0" w:line="240" w:lineRule="auto"/>
              <w:jc w:val="right"/>
              <w:rPr>
                <w:rFonts w:cs="Arial"/>
                <w:b/>
                <w:bCs/>
                <w:color w:val="auto"/>
                <w:kern w:val="0"/>
                <w:sz w:val="16"/>
                <w:szCs w:val="16"/>
              </w:rPr>
            </w:pPr>
            <w:r w:rsidRPr="00894701">
              <w:rPr>
                <w:rFonts w:cs="Arial"/>
                <w:b/>
                <w:bCs/>
                <w:color w:val="auto"/>
                <w:sz w:val="16"/>
                <w:szCs w:val="16"/>
              </w:rPr>
              <w:t>(191,295)</w:t>
            </w:r>
          </w:p>
        </w:tc>
        <w:tc>
          <w:tcPr>
            <w:tcW w:w="1134" w:type="dxa"/>
            <w:tcBorders>
              <w:top w:val="nil"/>
              <w:left w:val="nil"/>
              <w:bottom w:val="single" w:sz="8" w:space="0" w:color="FF0000"/>
              <w:right w:val="nil"/>
            </w:tcBorders>
            <w:shd w:val="clear" w:color="000000" w:fill="BFBFBF"/>
            <w:noWrap/>
            <w:vAlign w:val="center"/>
            <w:hideMark/>
          </w:tcPr>
          <w:p w14:paraId="7C636240" w14:textId="77777777" w:rsidR="002F4BAB" w:rsidRPr="00894701" w:rsidRDefault="002F4BAB" w:rsidP="002209C2">
            <w:pPr>
              <w:spacing w:after="0" w:line="240" w:lineRule="auto"/>
              <w:jc w:val="right"/>
              <w:rPr>
                <w:rFonts w:cs="Arial"/>
                <w:b/>
                <w:bCs/>
                <w:color w:val="auto"/>
                <w:kern w:val="0"/>
                <w:sz w:val="16"/>
                <w:szCs w:val="16"/>
              </w:rPr>
            </w:pPr>
            <w:r w:rsidRPr="00894701">
              <w:rPr>
                <w:rFonts w:cs="Arial"/>
                <w:b/>
                <w:bCs/>
                <w:color w:val="auto"/>
                <w:sz w:val="16"/>
                <w:szCs w:val="16"/>
              </w:rPr>
              <w:t>4</w:t>
            </w:r>
          </w:p>
        </w:tc>
      </w:tr>
    </w:tbl>
    <w:p w14:paraId="751355D1" w14:textId="77777777" w:rsidR="002F4BAB" w:rsidRPr="00894701" w:rsidRDefault="002F4BAB" w:rsidP="002F4BAB">
      <w:pPr>
        <w:pStyle w:val="ListParagraph"/>
        <w:spacing w:before="120"/>
        <w:jc w:val="both"/>
        <w:rPr>
          <w:b/>
          <w:iCs/>
          <w:color w:val="ED1A3B"/>
          <w:sz w:val="20"/>
          <w:szCs w:val="26"/>
        </w:rPr>
      </w:pPr>
    </w:p>
    <w:p w14:paraId="2A747441" w14:textId="0D5498EE" w:rsidR="002F4BAB" w:rsidRPr="00894701" w:rsidRDefault="002F4BAB" w:rsidP="00274295">
      <w:pPr>
        <w:spacing w:after="0"/>
        <w:jc w:val="center"/>
        <w:rPr>
          <w:b/>
          <w:bCs/>
          <w:color w:val="98002E" w:themeColor="accent3"/>
          <w:sz w:val="20"/>
          <w:szCs w:val="20"/>
        </w:rPr>
      </w:pPr>
      <w:bookmarkStart w:id="536" w:name="_Toc117539630"/>
      <w:bookmarkStart w:id="537" w:name="_Toc146590540"/>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68</w:t>
      </w:r>
      <w:r w:rsidRPr="00894701">
        <w:rPr>
          <w:b/>
          <w:bCs/>
          <w:color w:val="98002E" w:themeColor="accent3"/>
          <w:sz w:val="20"/>
          <w:szCs w:val="20"/>
        </w:rPr>
        <w:fldChar w:fldCharType="end"/>
      </w:r>
      <w:r w:rsidRPr="00894701">
        <w:rPr>
          <w:b/>
          <w:bCs/>
          <w:color w:val="98002E" w:themeColor="accent3"/>
          <w:sz w:val="20"/>
          <w:szCs w:val="20"/>
        </w:rPr>
        <w:t>: Summary of the unreconciled differences by company for the fiscal year 2020</w:t>
      </w:r>
      <w:bookmarkEnd w:id="536"/>
      <w:bookmarkEnd w:id="537"/>
    </w:p>
    <w:p w14:paraId="509C9C82" w14:textId="77777777" w:rsidR="002F4BAB" w:rsidRPr="00894701" w:rsidRDefault="002F4BAB" w:rsidP="002F4BAB">
      <w:pPr>
        <w:spacing w:after="60"/>
        <w:ind w:right="112"/>
        <w:jc w:val="right"/>
        <w:rPr>
          <w:rFonts w:cs="Arial"/>
          <w:i/>
          <w:iCs/>
          <w:color w:val="000000"/>
          <w:szCs w:val="18"/>
          <w:lang w:eastAsia="fr-FR"/>
        </w:rPr>
      </w:pPr>
      <w:r w:rsidRPr="00894701">
        <w:rPr>
          <w:rFonts w:cs="Arial"/>
          <w:i/>
          <w:iCs/>
          <w:color w:val="000000"/>
          <w:szCs w:val="18"/>
          <w:lang w:eastAsia="fr-FR"/>
        </w:rPr>
        <w:t>Amounts in SRD</w:t>
      </w:r>
    </w:p>
    <w:tbl>
      <w:tblPr>
        <w:tblW w:w="9498" w:type="dxa"/>
        <w:tblLook w:val="04A0" w:firstRow="1" w:lastRow="0" w:firstColumn="1" w:lastColumn="0" w:noHBand="0" w:noVBand="1"/>
      </w:tblPr>
      <w:tblGrid>
        <w:gridCol w:w="3119"/>
        <w:gridCol w:w="1208"/>
        <w:gridCol w:w="277"/>
        <w:gridCol w:w="1958"/>
        <w:gridCol w:w="1701"/>
        <w:gridCol w:w="1276"/>
      </w:tblGrid>
      <w:tr w:rsidR="002F4BAB" w:rsidRPr="00894701" w14:paraId="1ADF0552" w14:textId="77777777" w:rsidTr="00274295">
        <w:trPr>
          <w:trHeight w:val="227"/>
        </w:trPr>
        <w:tc>
          <w:tcPr>
            <w:tcW w:w="3119" w:type="dxa"/>
            <w:vMerge w:val="restart"/>
            <w:tcBorders>
              <w:top w:val="nil"/>
              <w:left w:val="nil"/>
              <w:bottom w:val="single" w:sz="8" w:space="0" w:color="FF0000"/>
              <w:right w:val="nil"/>
            </w:tcBorders>
            <w:shd w:val="clear" w:color="000000" w:fill="7A091A"/>
            <w:vAlign w:val="center"/>
            <w:hideMark/>
          </w:tcPr>
          <w:p w14:paraId="232D0F3B" w14:textId="77777777" w:rsidR="002F4BAB" w:rsidRPr="00894701" w:rsidRDefault="002F4BAB" w:rsidP="002209C2">
            <w:pPr>
              <w:spacing w:after="0" w:line="240" w:lineRule="auto"/>
              <w:jc w:val="center"/>
              <w:rPr>
                <w:rFonts w:cs="Arial"/>
                <w:b/>
                <w:bCs/>
                <w:color w:val="FFFFFF"/>
                <w:kern w:val="0"/>
                <w:sz w:val="16"/>
                <w:szCs w:val="16"/>
              </w:rPr>
            </w:pPr>
            <w:r w:rsidRPr="00894701">
              <w:rPr>
                <w:rFonts w:cs="Arial"/>
                <w:b/>
                <w:bCs/>
                <w:color w:val="FFFFFF"/>
                <w:kern w:val="0"/>
                <w:sz w:val="16"/>
                <w:szCs w:val="16"/>
              </w:rPr>
              <w:t>Company</w:t>
            </w:r>
          </w:p>
        </w:tc>
        <w:tc>
          <w:tcPr>
            <w:tcW w:w="1208" w:type="dxa"/>
            <w:vMerge w:val="restart"/>
            <w:tcBorders>
              <w:top w:val="nil"/>
              <w:left w:val="nil"/>
              <w:bottom w:val="single" w:sz="8" w:space="0" w:color="FF0000"/>
              <w:right w:val="nil"/>
            </w:tcBorders>
            <w:shd w:val="clear" w:color="000000" w:fill="7A091A"/>
            <w:vAlign w:val="center"/>
            <w:hideMark/>
          </w:tcPr>
          <w:p w14:paraId="12AE0268" w14:textId="77777777" w:rsidR="002F4BAB" w:rsidRPr="00894701" w:rsidRDefault="002F4BAB" w:rsidP="002209C2">
            <w:pPr>
              <w:spacing w:after="0" w:line="240" w:lineRule="auto"/>
              <w:jc w:val="center"/>
              <w:rPr>
                <w:rFonts w:cs="Arial"/>
                <w:b/>
                <w:bCs/>
                <w:color w:val="FFFFFF"/>
                <w:kern w:val="0"/>
                <w:sz w:val="16"/>
                <w:szCs w:val="16"/>
              </w:rPr>
            </w:pPr>
            <w:r w:rsidRPr="00894701">
              <w:rPr>
                <w:rFonts w:cs="Arial"/>
                <w:b/>
                <w:bCs/>
                <w:color w:val="FFFFFF"/>
                <w:kern w:val="0"/>
                <w:sz w:val="16"/>
                <w:szCs w:val="16"/>
              </w:rPr>
              <w:t>Unreconciled difference</w:t>
            </w:r>
          </w:p>
        </w:tc>
        <w:tc>
          <w:tcPr>
            <w:tcW w:w="236" w:type="dxa"/>
            <w:tcBorders>
              <w:top w:val="nil"/>
              <w:left w:val="nil"/>
              <w:bottom w:val="nil"/>
              <w:right w:val="nil"/>
            </w:tcBorders>
            <w:shd w:val="clear" w:color="auto" w:fill="auto"/>
            <w:vAlign w:val="center"/>
            <w:hideMark/>
          </w:tcPr>
          <w:p w14:paraId="389F1D8F" w14:textId="77777777" w:rsidR="002F4BAB" w:rsidRPr="00894701" w:rsidRDefault="002F4BAB" w:rsidP="002209C2">
            <w:pPr>
              <w:spacing w:after="0" w:line="240" w:lineRule="auto"/>
              <w:jc w:val="center"/>
              <w:rPr>
                <w:rFonts w:cs="Arial"/>
                <w:b/>
                <w:bCs/>
                <w:color w:val="FFFFFF"/>
                <w:kern w:val="0"/>
                <w:sz w:val="16"/>
                <w:szCs w:val="16"/>
              </w:rPr>
            </w:pPr>
          </w:p>
        </w:tc>
        <w:tc>
          <w:tcPr>
            <w:tcW w:w="4935" w:type="dxa"/>
            <w:gridSpan w:val="3"/>
            <w:tcBorders>
              <w:top w:val="nil"/>
              <w:left w:val="nil"/>
              <w:bottom w:val="single" w:sz="8" w:space="0" w:color="FF0000"/>
              <w:right w:val="nil"/>
            </w:tcBorders>
            <w:shd w:val="clear" w:color="000000" w:fill="7A091A"/>
            <w:vAlign w:val="center"/>
            <w:hideMark/>
          </w:tcPr>
          <w:p w14:paraId="4B3DBF41" w14:textId="77777777" w:rsidR="002F4BAB" w:rsidRPr="00894701" w:rsidRDefault="002F4BAB" w:rsidP="002209C2">
            <w:pPr>
              <w:spacing w:after="0" w:line="240" w:lineRule="auto"/>
              <w:jc w:val="center"/>
              <w:rPr>
                <w:rFonts w:cs="Arial"/>
                <w:b/>
                <w:bCs/>
                <w:color w:val="FFFFFF"/>
                <w:kern w:val="0"/>
                <w:sz w:val="16"/>
                <w:szCs w:val="16"/>
              </w:rPr>
            </w:pPr>
            <w:r w:rsidRPr="00894701">
              <w:rPr>
                <w:rFonts w:cs="Arial"/>
                <w:b/>
                <w:bCs/>
                <w:color w:val="FFFFFF"/>
                <w:kern w:val="0"/>
                <w:sz w:val="16"/>
                <w:szCs w:val="16"/>
              </w:rPr>
              <w:t>Reasons for differences</w:t>
            </w:r>
          </w:p>
        </w:tc>
      </w:tr>
      <w:tr w:rsidR="002F4BAB" w:rsidRPr="00894701" w14:paraId="3CAA0561" w14:textId="77777777" w:rsidTr="00274295">
        <w:trPr>
          <w:trHeight w:val="227"/>
        </w:trPr>
        <w:tc>
          <w:tcPr>
            <w:tcW w:w="3119" w:type="dxa"/>
            <w:vMerge/>
            <w:tcBorders>
              <w:top w:val="nil"/>
              <w:left w:val="nil"/>
              <w:bottom w:val="single" w:sz="8" w:space="0" w:color="FF0000"/>
              <w:right w:val="nil"/>
            </w:tcBorders>
            <w:vAlign w:val="center"/>
            <w:hideMark/>
          </w:tcPr>
          <w:p w14:paraId="78DBD30F" w14:textId="77777777" w:rsidR="002F4BAB" w:rsidRPr="00894701" w:rsidRDefault="002F4BAB" w:rsidP="002209C2">
            <w:pPr>
              <w:spacing w:after="0" w:line="240" w:lineRule="auto"/>
              <w:rPr>
                <w:rFonts w:cs="Arial"/>
                <w:b/>
                <w:bCs/>
                <w:color w:val="FFFFFF"/>
                <w:kern w:val="0"/>
                <w:sz w:val="16"/>
                <w:szCs w:val="16"/>
              </w:rPr>
            </w:pPr>
          </w:p>
        </w:tc>
        <w:tc>
          <w:tcPr>
            <w:tcW w:w="1208" w:type="dxa"/>
            <w:vMerge/>
            <w:tcBorders>
              <w:top w:val="nil"/>
              <w:left w:val="nil"/>
              <w:bottom w:val="single" w:sz="8" w:space="0" w:color="FF0000"/>
              <w:right w:val="nil"/>
            </w:tcBorders>
            <w:vAlign w:val="center"/>
            <w:hideMark/>
          </w:tcPr>
          <w:p w14:paraId="243CD01A" w14:textId="77777777" w:rsidR="002F4BAB" w:rsidRPr="00894701" w:rsidRDefault="002F4BAB" w:rsidP="002209C2">
            <w:pPr>
              <w:spacing w:after="0" w:line="240" w:lineRule="auto"/>
              <w:rPr>
                <w:rFonts w:cs="Arial"/>
                <w:b/>
                <w:bCs/>
                <w:color w:val="FFFFFF"/>
                <w:kern w:val="0"/>
                <w:sz w:val="16"/>
                <w:szCs w:val="16"/>
              </w:rPr>
            </w:pPr>
          </w:p>
        </w:tc>
        <w:tc>
          <w:tcPr>
            <w:tcW w:w="236" w:type="dxa"/>
            <w:tcBorders>
              <w:top w:val="nil"/>
              <w:left w:val="nil"/>
              <w:bottom w:val="nil"/>
              <w:right w:val="nil"/>
            </w:tcBorders>
            <w:shd w:val="clear" w:color="auto" w:fill="auto"/>
            <w:vAlign w:val="center"/>
            <w:hideMark/>
          </w:tcPr>
          <w:p w14:paraId="4C082D6B" w14:textId="77777777" w:rsidR="002F4BAB" w:rsidRPr="00894701" w:rsidRDefault="002F4BAB" w:rsidP="002209C2">
            <w:pPr>
              <w:spacing w:after="0" w:line="240" w:lineRule="auto"/>
              <w:jc w:val="center"/>
              <w:rPr>
                <w:rFonts w:cs="Arial"/>
                <w:b/>
                <w:bCs/>
                <w:color w:val="FFFFFF"/>
                <w:kern w:val="0"/>
                <w:sz w:val="16"/>
                <w:szCs w:val="16"/>
              </w:rPr>
            </w:pPr>
          </w:p>
        </w:tc>
        <w:tc>
          <w:tcPr>
            <w:tcW w:w="1958" w:type="dxa"/>
            <w:tcBorders>
              <w:top w:val="nil"/>
              <w:left w:val="nil"/>
              <w:bottom w:val="single" w:sz="8" w:space="0" w:color="FF0000"/>
              <w:right w:val="nil"/>
            </w:tcBorders>
            <w:shd w:val="clear" w:color="000000" w:fill="7A091A"/>
            <w:vAlign w:val="center"/>
            <w:hideMark/>
          </w:tcPr>
          <w:p w14:paraId="70C32FA5" w14:textId="77777777" w:rsidR="002F4BAB" w:rsidRPr="00894701" w:rsidRDefault="002F4BAB" w:rsidP="002209C2">
            <w:pPr>
              <w:spacing w:after="0" w:line="240" w:lineRule="auto"/>
              <w:rPr>
                <w:rFonts w:cs="Arial"/>
                <w:b/>
                <w:bCs/>
                <w:color w:val="FFFFFF"/>
                <w:kern w:val="0"/>
                <w:sz w:val="16"/>
                <w:szCs w:val="16"/>
              </w:rPr>
            </w:pPr>
            <w:r w:rsidRPr="00894701">
              <w:rPr>
                <w:rFonts w:cs="Arial"/>
                <w:b/>
                <w:bCs/>
                <w:color w:val="FFFFFF"/>
                <w:kern w:val="0"/>
                <w:sz w:val="16"/>
                <w:szCs w:val="16"/>
              </w:rPr>
              <w:t>Reporting template not submitted by the Government Agency</w:t>
            </w:r>
          </w:p>
        </w:tc>
        <w:tc>
          <w:tcPr>
            <w:tcW w:w="1701" w:type="dxa"/>
            <w:tcBorders>
              <w:top w:val="nil"/>
              <w:left w:val="nil"/>
              <w:bottom w:val="single" w:sz="8" w:space="0" w:color="FF0000"/>
              <w:right w:val="nil"/>
            </w:tcBorders>
            <w:shd w:val="clear" w:color="000000" w:fill="7A091A"/>
            <w:vAlign w:val="center"/>
            <w:hideMark/>
          </w:tcPr>
          <w:p w14:paraId="0B07BB9D" w14:textId="009F921C" w:rsidR="002F4BAB" w:rsidRPr="00894701" w:rsidRDefault="002F4BAB" w:rsidP="002209C2">
            <w:pPr>
              <w:spacing w:after="0" w:line="240" w:lineRule="auto"/>
              <w:rPr>
                <w:rFonts w:cs="Arial"/>
                <w:b/>
                <w:bCs/>
                <w:color w:val="FFFFFF"/>
                <w:kern w:val="0"/>
                <w:sz w:val="16"/>
                <w:szCs w:val="16"/>
              </w:rPr>
            </w:pPr>
            <w:r w:rsidRPr="00894701">
              <w:rPr>
                <w:rFonts w:cs="Arial"/>
                <w:b/>
                <w:bCs/>
                <w:color w:val="FFFFFF"/>
                <w:kern w:val="0"/>
                <w:sz w:val="16"/>
                <w:szCs w:val="16"/>
              </w:rPr>
              <w:t>Tax</w:t>
            </w:r>
            <w:r w:rsidR="000D63C7">
              <w:rPr>
                <w:rFonts w:cs="Arial"/>
                <w:b/>
                <w:bCs/>
                <w:color w:val="FFFFFF"/>
                <w:kern w:val="0"/>
                <w:sz w:val="16"/>
                <w:szCs w:val="16"/>
              </w:rPr>
              <w:t>es</w:t>
            </w:r>
            <w:r w:rsidRPr="00894701">
              <w:rPr>
                <w:rFonts w:cs="Arial"/>
                <w:b/>
                <w:bCs/>
                <w:color w:val="FFFFFF"/>
                <w:kern w:val="0"/>
                <w:sz w:val="16"/>
                <w:szCs w:val="16"/>
              </w:rPr>
              <w:t xml:space="preserve"> not reported by the Government Agency</w:t>
            </w:r>
          </w:p>
        </w:tc>
        <w:tc>
          <w:tcPr>
            <w:tcW w:w="1276" w:type="dxa"/>
            <w:tcBorders>
              <w:top w:val="nil"/>
              <w:left w:val="nil"/>
              <w:bottom w:val="single" w:sz="8" w:space="0" w:color="FF0000"/>
              <w:right w:val="nil"/>
            </w:tcBorders>
            <w:shd w:val="clear" w:color="000000" w:fill="7A091A"/>
            <w:vAlign w:val="center"/>
            <w:hideMark/>
          </w:tcPr>
          <w:p w14:paraId="42B53473" w14:textId="29E7E12C" w:rsidR="002F4BAB" w:rsidRPr="00894701" w:rsidRDefault="000D63C7" w:rsidP="002209C2">
            <w:pPr>
              <w:spacing w:after="0" w:line="240" w:lineRule="auto"/>
              <w:rPr>
                <w:rFonts w:cs="Arial"/>
                <w:b/>
                <w:bCs/>
                <w:color w:val="FFFFFF"/>
                <w:kern w:val="0"/>
                <w:sz w:val="16"/>
                <w:szCs w:val="16"/>
              </w:rPr>
            </w:pPr>
            <w:r>
              <w:rPr>
                <w:rFonts w:cs="Arial"/>
                <w:b/>
                <w:bCs/>
                <w:color w:val="FFFFFF"/>
                <w:kern w:val="0"/>
                <w:sz w:val="16"/>
                <w:szCs w:val="16"/>
              </w:rPr>
              <w:t>Im</w:t>
            </w:r>
            <w:r w:rsidRPr="00894701">
              <w:rPr>
                <w:rFonts w:cs="Arial"/>
                <w:b/>
                <w:bCs/>
                <w:color w:val="FFFFFF"/>
                <w:kern w:val="0"/>
                <w:sz w:val="16"/>
                <w:szCs w:val="16"/>
              </w:rPr>
              <w:t xml:space="preserve">material </w:t>
            </w:r>
            <w:r w:rsidR="002F4BAB" w:rsidRPr="00894701">
              <w:rPr>
                <w:rFonts w:cs="Arial"/>
                <w:b/>
                <w:bCs/>
                <w:color w:val="FFFFFF"/>
                <w:kern w:val="0"/>
                <w:sz w:val="16"/>
                <w:szCs w:val="16"/>
              </w:rPr>
              <w:t>difference</w:t>
            </w:r>
          </w:p>
        </w:tc>
      </w:tr>
      <w:tr w:rsidR="002F4BAB" w:rsidRPr="00894701" w14:paraId="583214FC" w14:textId="77777777" w:rsidTr="00AA49E3">
        <w:trPr>
          <w:trHeight w:val="227"/>
        </w:trPr>
        <w:tc>
          <w:tcPr>
            <w:tcW w:w="3119" w:type="dxa"/>
            <w:tcBorders>
              <w:top w:val="nil"/>
              <w:left w:val="nil"/>
              <w:bottom w:val="nil"/>
              <w:right w:val="nil"/>
            </w:tcBorders>
            <w:shd w:val="clear" w:color="auto" w:fill="auto"/>
            <w:noWrap/>
            <w:vAlign w:val="center"/>
            <w:hideMark/>
          </w:tcPr>
          <w:p w14:paraId="1F623840" w14:textId="77777777" w:rsidR="002F4BAB" w:rsidRPr="00894701" w:rsidRDefault="002F4BAB" w:rsidP="002209C2">
            <w:pPr>
              <w:spacing w:after="0" w:line="240" w:lineRule="auto"/>
              <w:rPr>
                <w:rFonts w:cs="Arial"/>
                <w:color w:val="000000"/>
                <w:kern w:val="0"/>
                <w:sz w:val="16"/>
                <w:szCs w:val="16"/>
                <w:lang w:val="nl-NL"/>
              </w:rPr>
            </w:pPr>
            <w:r w:rsidRPr="00894701">
              <w:rPr>
                <w:rFonts w:cs="Arial"/>
                <w:color w:val="000000"/>
                <w:kern w:val="0"/>
                <w:sz w:val="16"/>
                <w:szCs w:val="16"/>
                <w:lang w:val="nl-NL"/>
              </w:rPr>
              <w:t>Staatsolie Maatschappij Suriname N.V.</w:t>
            </w:r>
          </w:p>
        </w:tc>
        <w:tc>
          <w:tcPr>
            <w:tcW w:w="1208" w:type="dxa"/>
            <w:tcBorders>
              <w:top w:val="nil"/>
              <w:left w:val="nil"/>
              <w:bottom w:val="nil"/>
              <w:right w:val="nil"/>
            </w:tcBorders>
            <w:shd w:val="clear" w:color="auto" w:fill="auto"/>
            <w:noWrap/>
            <w:vAlign w:val="center"/>
            <w:hideMark/>
          </w:tcPr>
          <w:p w14:paraId="1614BED4"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000000"/>
                <w:sz w:val="16"/>
                <w:szCs w:val="16"/>
              </w:rPr>
              <w:t>3</w:t>
            </w:r>
          </w:p>
        </w:tc>
        <w:tc>
          <w:tcPr>
            <w:tcW w:w="236" w:type="dxa"/>
            <w:tcBorders>
              <w:top w:val="nil"/>
              <w:left w:val="nil"/>
              <w:bottom w:val="nil"/>
              <w:right w:val="nil"/>
            </w:tcBorders>
            <w:shd w:val="clear" w:color="auto" w:fill="auto"/>
            <w:noWrap/>
            <w:vAlign w:val="center"/>
            <w:hideMark/>
          </w:tcPr>
          <w:p w14:paraId="34E97ABF" w14:textId="77777777" w:rsidR="002F4BAB" w:rsidRPr="00894701" w:rsidRDefault="002F4BAB" w:rsidP="002209C2">
            <w:pPr>
              <w:spacing w:after="0" w:line="240" w:lineRule="auto"/>
              <w:jc w:val="right"/>
              <w:rPr>
                <w:rFonts w:cs="Arial"/>
                <w:color w:val="000000"/>
                <w:kern w:val="0"/>
                <w:sz w:val="16"/>
                <w:szCs w:val="16"/>
              </w:rPr>
            </w:pPr>
          </w:p>
        </w:tc>
        <w:tc>
          <w:tcPr>
            <w:tcW w:w="1958" w:type="dxa"/>
            <w:tcBorders>
              <w:top w:val="nil"/>
              <w:left w:val="nil"/>
              <w:bottom w:val="nil"/>
              <w:right w:val="nil"/>
            </w:tcBorders>
            <w:shd w:val="clear" w:color="auto" w:fill="auto"/>
            <w:noWrap/>
            <w:vAlign w:val="center"/>
            <w:hideMark/>
          </w:tcPr>
          <w:p w14:paraId="7C16BFE9"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000000"/>
                <w:sz w:val="16"/>
                <w:szCs w:val="16"/>
              </w:rPr>
              <w:t>-</w:t>
            </w:r>
          </w:p>
        </w:tc>
        <w:tc>
          <w:tcPr>
            <w:tcW w:w="1701" w:type="dxa"/>
            <w:tcBorders>
              <w:top w:val="nil"/>
              <w:left w:val="nil"/>
              <w:bottom w:val="nil"/>
              <w:right w:val="nil"/>
            </w:tcBorders>
            <w:shd w:val="clear" w:color="auto" w:fill="auto"/>
            <w:noWrap/>
            <w:vAlign w:val="center"/>
            <w:hideMark/>
          </w:tcPr>
          <w:p w14:paraId="0FCD3546"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000000"/>
                <w:sz w:val="16"/>
                <w:szCs w:val="16"/>
              </w:rPr>
              <w:t>-</w:t>
            </w:r>
          </w:p>
        </w:tc>
        <w:tc>
          <w:tcPr>
            <w:tcW w:w="1276" w:type="dxa"/>
            <w:tcBorders>
              <w:top w:val="nil"/>
              <w:left w:val="nil"/>
              <w:bottom w:val="nil"/>
              <w:right w:val="nil"/>
            </w:tcBorders>
            <w:shd w:val="clear" w:color="auto" w:fill="auto"/>
            <w:noWrap/>
            <w:vAlign w:val="center"/>
            <w:hideMark/>
          </w:tcPr>
          <w:p w14:paraId="4E8179FF" w14:textId="77777777" w:rsidR="002F4BAB" w:rsidRPr="00894701" w:rsidRDefault="002F4BAB" w:rsidP="002209C2">
            <w:pPr>
              <w:spacing w:after="0" w:line="240" w:lineRule="auto"/>
              <w:jc w:val="right"/>
              <w:rPr>
                <w:rFonts w:cs="Arial"/>
                <w:color w:val="000000"/>
                <w:kern w:val="0"/>
                <w:sz w:val="16"/>
                <w:szCs w:val="16"/>
              </w:rPr>
            </w:pPr>
            <w:r w:rsidRPr="00894701">
              <w:rPr>
                <w:rFonts w:cs="Arial"/>
                <w:color w:val="000000"/>
                <w:sz w:val="16"/>
                <w:szCs w:val="16"/>
              </w:rPr>
              <w:t>3</w:t>
            </w:r>
          </w:p>
        </w:tc>
      </w:tr>
      <w:tr w:rsidR="002F4BAB" w:rsidRPr="00894701" w14:paraId="0168972E" w14:textId="77777777" w:rsidTr="004C70CC">
        <w:trPr>
          <w:trHeight w:val="227"/>
        </w:trPr>
        <w:tc>
          <w:tcPr>
            <w:tcW w:w="3119" w:type="dxa"/>
            <w:tcBorders>
              <w:top w:val="nil"/>
              <w:left w:val="nil"/>
              <w:bottom w:val="single" w:sz="8" w:space="0" w:color="FF0000"/>
              <w:right w:val="nil"/>
            </w:tcBorders>
            <w:shd w:val="clear" w:color="000000" w:fill="BFBFBF"/>
            <w:noWrap/>
            <w:vAlign w:val="center"/>
            <w:hideMark/>
          </w:tcPr>
          <w:p w14:paraId="68F04010" w14:textId="77777777" w:rsidR="002F4BAB" w:rsidRPr="00894701" w:rsidRDefault="002F4BAB" w:rsidP="002209C2">
            <w:pPr>
              <w:spacing w:after="0" w:line="240" w:lineRule="auto"/>
              <w:rPr>
                <w:rFonts w:cs="Arial"/>
                <w:b/>
                <w:bCs/>
                <w:color w:val="auto"/>
                <w:kern w:val="0"/>
                <w:sz w:val="16"/>
                <w:szCs w:val="16"/>
              </w:rPr>
            </w:pPr>
            <w:r w:rsidRPr="00894701">
              <w:rPr>
                <w:rFonts w:cs="Arial"/>
                <w:b/>
                <w:bCs/>
                <w:color w:val="auto"/>
                <w:kern w:val="0"/>
                <w:sz w:val="16"/>
                <w:szCs w:val="16"/>
              </w:rPr>
              <w:t xml:space="preserve"> Total  </w:t>
            </w:r>
          </w:p>
        </w:tc>
        <w:tc>
          <w:tcPr>
            <w:tcW w:w="1208" w:type="dxa"/>
            <w:tcBorders>
              <w:top w:val="nil"/>
              <w:left w:val="nil"/>
              <w:bottom w:val="single" w:sz="8" w:space="0" w:color="FF0000"/>
              <w:right w:val="nil"/>
            </w:tcBorders>
            <w:shd w:val="clear" w:color="000000" w:fill="BFBFBF"/>
            <w:noWrap/>
            <w:vAlign w:val="center"/>
            <w:hideMark/>
          </w:tcPr>
          <w:p w14:paraId="63D698D3" w14:textId="2C5953FE" w:rsidR="002F4BAB" w:rsidRPr="00894701" w:rsidRDefault="00BA216C" w:rsidP="002209C2">
            <w:pPr>
              <w:spacing w:after="0" w:line="240" w:lineRule="auto"/>
              <w:jc w:val="right"/>
              <w:rPr>
                <w:rFonts w:cs="Arial"/>
                <w:b/>
                <w:bCs/>
                <w:color w:val="auto"/>
                <w:kern w:val="0"/>
                <w:sz w:val="16"/>
                <w:szCs w:val="16"/>
              </w:rPr>
            </w:pPr>
            <w:r w:rsidRPr="00894701">
              <w:rPr>
                <w:rFonts w:cs="Arial"/>
                <w:b/>
                <w:bCs/>
                <w:color w:val="auto"/>
                <w:sz w:val="16"/>
                <w:szCs w:val="16"/>
              </w:rPr>
              <w:t>3</w:t>
            </w:r>
          </w:p>
        </w:tc>
        <w:tc>
          <w:tcPr>
            <w:tcW w:w="236" w:type="dxa"/>
            <w:tcBorders>
              <w:top w:val="nil"/>
              <w:left w:val="nil"/>
              <w:bottom w:val="nil"/>
              <w:right w:val="nil"/>
            </w:tcBorders>
            <w:shd w:val="clear" w:color="auto" w:fill="auto"/>
            <w:vAlign w:val="center"/>
            <w:hideMark/>
          </w:tcPr>
          <w:p w14:paraId="3AB1CFE3" w14:textId="77777777" w:rsidR="002F4BAB" w:rsidRPr="00894701" w:rsidRDefault="002F4BAB" w:rsidP="002209C2">
            <w:pPr>
              <w:spacing w:after="0" w:line="240" w:lineRule="auto"/>
              <w:jc w:val="right"/>
              <w:rPr>
                <w:rFonts w:cs="Arial"/>
                <w:b/>
                <w:bCs/>
                <w:color w:val="auto"/>
                <w:kern w:val="0"/>
                <w:sz w:val="16"/>
                <w:szCs w:val="16"/>
              </w:rPr>
            </w:pPr>
          </w:p>
        </w:tc>
        <w:tc>
          <w:tcPr>
            <w:tcW w:w="1958" w:type="dxa"/>
            <w:tcBorders>
              <w:top w:val="nil"/>
              <w:left w:val="nil"/>
              <w:bottom w:val="single" w:sz="8" w:space="0" w:color="FF0000"/>
              <w:right w:val="nil"/>
            </w:tcBorders>
            <w:shd w:val="clear" w:color="000000" w:fill="BFBFBF"/>
            <w:noWrap/>
            <w:vAlign w:val="center"/>
          </w:tcPr>
          <w:p w14:paraId="52810D42" w14:textId="79F7F828" w:rsidR="002F4BAB" w:rsidRPr="00894701" w:rsidRDefault="00BA216C" w:rsidP="002209C2">
            <w:pPr>
              <w:spacing w:after="0" w:line="240" w:lineRule="auto"/>
              <w:jc w:val="right"/>
              <w:rPr>
                <w:rFonts w:cs="Arial"/>
                <w:b/>
                <w:bCs/>
                <w:color w:val="auto"/>
                <w:kern w:val="0"/>
                <w:sz w:val="16"/>
                <w:szCs w:val="16"/>
              </w:rPr>
            </w:pPr>
            <w:r w:rsidRPr="00894701">
              <w:rPr>
                <w:rFonts w:cs="Arial"/>
                <w:b/>
                <w:bCs/>
                <w:color w:val="auto"/>
                <w:sz w:val="16"/>
                <w:szCs w:val="16"/>
              </w:rPr>
              <w:t>-</w:t>
            </w:r>
          </w:p>
        </w:tc>
        <w:tc>
          <w:tcPr>
            <w:tcW w:w="1701" w:type="dxa"/>
            <w:tcBorders>
              <w:top w:val="nil"/>
              <w:left w:val="nil"/>
              <w:bottom w:val="single" w:sz="8" w:space="0" w:color="FF0000"/>
              <w:right w:val="nil"/>
            </w:tcBorders>
            <w:shd w:val="clear" w:color="000000" w:fill="BFBFBF"/>
            <w:noWrap/>
            <w:vAlign w:val="center"/>
          </w:tcPr>
          <w:p w14:paraId="3BE675FE" w14:textId="38F82246" w:rsidR="002F4BAB" w:rsidRPr="00894701" w:rsidRDefault="00BA216C" w:rsidP="002209C2">
            <w:pPr>
              <w:spacing w:after="0" w:line="240" w:lineRule="auto"/>
              <w:jc w:val="right"/>
              <w:rPr>
                <w:rFonts w:cs="Arial"/>
                <w:b/>
                <w:bCs/>
                <w:color w:val="auto"/>
                <w:kern w:val="0"/>
                <w:sz w:val="16"/>
                <w:szCs w:val="16"/>
              </w:rPr>
            </w:pPr>
            <w:r w:rsidRPr="00894701">
              <w:rPr>
                <w:rFonts w:cs="Arial"/>
                <w:b/>
                <w:bCs/>
                <w:color w:val="auto"/>
                <w:sz w:val="16"/>
                <w:szCs w:val="16"/>
              </w:rPr>
              <w:t>-</w:t>
            </w:r>
          </w:p>
        </w:tc>
        <w:tc>
          <w:tcPr>
            <w:tcW w:w="1276" w:type="dxa"/>
            <w:tcBorders>
              <w:top w:val="nil"/>
              <w:left w:val="nil"/>
              <w:bottom w:val="single" w:sz="8" w:space="0" w:color="FF0000"/>
              <w:right w:val="nil"/>
            </w:tcBorders>
            <w:shd w:val="clear" w:color="000000" w:fill="BFBFBF"/>
            <w:noWrap/>
            <w:vAlign w:val="center"/>
            <w:hideMark/>
          </w:tcPr>
          <w:p w14:paraId="13496306" w14:textId="77777777" w:rsidR="002F4BAB" w:rsidRPr="00894701" w:rsidRDefault="002F4BAB" w:rsidP="002209C2">
            <w:pPr>
              <w:spacing w:after="0" w:line="240" w:lineRule="auto"/>
              <w:jc w:val="right"/>
              <w:rPr>
                <w:rFonts w:cs="Arial"/>
                <w:b/>
                <w:bCs/>
                <w:color w:val="auto"/>
                <w:kern w:val="0"/>
                <w:sz w:val="16"/>
                <w:szCs w:val="16"/>
              </w:rPr>
            </w:pPr>
            <w:r w:rsidRPr="00894701">
              <w:rPr>
                <w:rFonts w:cs="Arial"/>
                <w:b/>
                <w:bCs/>
                <w:color w:val="auto"/>
                <w:sz w:val="16"/>
                <w:szCs w:val="16"/>
              </w:rPr>
              <w:t>3</w:t>
            </w:r>
          </w:p>
        </w:tc>
      </w:tr>
    </w:tbl>
    <w:p w14:paraId="247C6374" w14:textId="77777777" w:rsidR="002F4BAB" w:rsidRPr="00894701" w:rsidRDefault="002F4BAB" w:rsidP="002F4BAB">
      <w:pPr>
        <w:spacing w:after="0" w:line="240" w:lineRule="auto"/>
        <w:rPr>
          <w:b/>
          <w:iCs/>
          <w:color w:val="ED1A3B"/>
          <w:sz w:val="20"/>
          <w:szCs w:val="26"/>
        </w:rPr>
      </w:pPr>
      <w:r w:rsidRPr="00894701">
        <w:rPr>
          <w:b/>
          <w:iCs/>
          <w:color w:val="ED1A3B"/>
          <w:sz w:val="20"/>
          <w:szCs w:val="26"/>
        </w:rPr>
        <w:br w:type="page"/>
      </w:r>
    </w:p>
    <w:p w14:paraId="53002545" w14:textId="77777777" w:rsidR="002F4BAB" w:rsidRPr="00894701" w:rsidRDefault="002F4BAB" w:rsidP="002F4BAB">
      <w:pPr>
        <w:pStyle w:val="ListParagraph"/>
        <w:numPr>
          <w:ilvl w:val="0"/>
          <w:numId w:val="82"/>
        </w:numPr>
        <w:spacing w:before="120"/>
        <w:jc w:val="both"/>
        <w:rPr>
          <w:b/>
          <w:iCs/>
          <w:color w:val="ED1A3B"/>
          <w:sz w:val="20"/>
          <w:szCs w:val="26"/>
        </w:rPr>
      </w:pPr>
      <w:r w:rsidRPr="00894701">
        <w:rPr>
          <w:b/>
          <w:iCs/>
          <w:color w:val="ED1A3B"/>
          <w:sz w:val="20"/>
          <w:szCs w:val="26"/>
        </w:rPr>
        <w:t>Unreconciled amounts by revenue stream:</w:t>
      </w:r>
    </w:p>
    <w:p w14:paraId="47A29C06" w14:textId="77777777" w:rsidR="002F4BAB" w:rsidRPr="00894701" w:rsidRDefault="002F4BAB" w:rsidP="002F4BAB">
      <w:pPr>
        <w:tabs>
          <w:tab w:val="left" w:pos="7797"/>
        </w:tabs>
        <w:rPr>
          <w:rFonts w:cs="Arial"/>
          <w:bCs/>
          <w:color w:val="auto"/>
          <w:sz w:val="20"/>
        </w:rPr>
      </w:pPr>
      <w:r w:rsidRPr="00894701">
        <w:rPr>
          <w:rFonts w:cs="Arial"/>
          <w:bCs/>
          <w:color w:val="auto"/>
          <w:sz w:val="20"/>
        </w:rPr>
        <w:t>Summary of unreconciled amounts by revenue stream are</w:t>
      </w:r>
      <w:r w:rsidRPr="00894701">
        <w:rPr>
          <w:rFonts w:cs="Arial"/>
          <w:color w:val="auto"/>
          <w:sz w:val="20"/>
          <w:szCs w:val="20"/>
          <w:lang w:eastAsia="fr-FR"/>
        </w:rPr>
        <w:t xml:space="preserve"> set out in the table below</w:t>
      </w:r>
      <w:r w:rsidRPr="00894701">
        <w:rPr>
          <w:rFonts w:cs="Arial"/>
          <w:bCs/>
          <w:color w:val="auto"/>
          <w:sz w:val="20"/>
        </w:rPr>
        <w:t>:</w:t>
      </w:r>
    </w:p>
    <w:p w14:paraId="44486D25" w14:textId="017B8C0D" w:rsidR="002F4BAB" w:rsidRPr="00894701" w:rsidRDefault="002F4BAB" w:rsidP="002F4BAB">
      <w:pPr>
        <w:jc w:val="center"/>
        <w:rPr>
          <w:b/>
          <w:bCs/>
          <w:color w:val="98002E" w:themeColor="accent3"/>
          <w:sz w:val="20"/>
          <w:szCs w:val="20"/>
        </w:rPr>
      </w:pPr>
      <w:bookmarkStart w:id="538" w:name="_Toc6924873"/>
      <w:bookmarkStart w:id="539" w:name="_Toc104557754"/>
      <w:bookmarkStart w:id="540" w:name="_Toc117539631"/>
      <w:bookmarkStart w:id="541" w:name="_Toc146590541"/>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69</w:t>
      </w:r>
      <w:r w:rsidRPr="00894701">
        <w:rPr>
          <w:b/>
          <w:bCs/>
          <w:color w:val="98002E" w:themeColor="accent3"/>
          <w:sz w:val="20"/>
          <w:szCs w:val="20"/>
        </w:rPr>
        <w:fldChar w:fldCharType="end"/>
      </w:r>
      <w:r w:rsidRPr="00894701">
        <w:rPr>
          <w:b/>
          <w:bCs/>
          <w:color w:val="98002E" w:themeColor="accent3"/>
          <w:sz w:val="20"/>
          <w:szCs w:val="20"/>
        </w:rPr>
        <w:t xml:space="preserve">: Summary of unreconciled amounts by </w:t>
      </w:r>
      <w:bookmarkEnd w:id="538"/>
      <w:r w:rsidRPr="00894701">
        <w:rPr>
          <w:b/>
          <w:bCs/>
          <w:color w:val="98002E" w:themeColor="accent3"/>
          <w:sz w:val="20"/>
          <w:szCs w:val="20"/>
        </w:rPr>
        <w:t>revenue stream for the fiscal year 201</w:t>
      </w:r>
      <w:bookmarkEnd w:id="539"/>
      <w:r w:rsidRPr="00894701">
        <w:rPr>
          <w:b/>
          <w:bCs/>
          <w:color w:val="98002E" w:themeColor="accent3"/>
          <w:sz w:val="20"/>
          <w:szCs w:val="20"/>
        </w:rPr>
        <w:t>8</w:t>
      </w:r>
      <w:bookmarkEnd w:id="540"/>
      <w:bookmarkEnd w:id="541"/>
    </w:p>
    <w:p w14:paraId="298FEB8D" w14:textId="77777777" w:rsidR="002F4BAB" w:rsidRPr="00894701" w:rsidRDefault="002F4BAB" w:rsidP="002F4BAB">
      <w:pPr>
        <w:spacing w:after="60"/>
        <w:ind w:right="112"/>
        <w:jc w:val="right"/>
        <w:rPr>
          <w:rFonts w:cs="Arial"/>
          <w:i/>
          <w:iCs/>
          <w:color w:val="000000"/>
          <w:szCs w:val="18"/>
          <w:lang w:eastAsia="fr-FR"/>
        </w:rPr>
      </w:pPr>
      <w:r w:rsidRPr="00894701">
        <w:rPr>
          <w:rFonts w:cs="Arial"/>
          <w:i/>
          <w:iCs/>
          <w:color w:val="000000"/>
          <w:szCs w:val="18"/>
          <w:lang w:eastAsia="fr-FR"/>
        </w:rPr>
        <w:t>Amounts in SRD</w:t>
      </w:r>
    </w:p>
    <w:tbl>
      <w:tblPr>
        <w:tblW w:w="9103" w:type="dxa"/>
        <w:tblLook w:val="04A0" w:firstRow="1" w:lastRow="0" w:firstColumn="1" w:lastColumn="0" w:noHBand="0" w:noVBand="1"/>
      </w:tblPr>
      <w:tblGrid>
        <w:gridCol w:w="527"/>
        <w:gridCol w:w="3868"/>
        <w:gridCol w:w="1208"/>
        <w:gridCol w:w="277"/>
        <w:gridCol w:w="1141"/>
        <w:gridCol w:w="1141"/>
        <w:gridCol w:w="1025"/>
      </w:tblGrid>
      <w:tr w:rsidR="008F3B33" w:rsidRPr="00894701" w14:paraId="02A1B6AB" w14:textId="77777777" w:rsidTr="008F3B33">
        <w:trPr>
          <w:trHeight w:val="227"/>
          <w:tblHeader/>
        </w:trPr>
        <w:tc>
          <w:tcPr>
            <w:tcW w:w="0" w:type="auto"/>
            <w:vMerge w:val="restart"/>
            <w:tcBorders>
              <w:top w:val="nil"/>
              <w:left w:val="nil"/>
              <w:bottom w:val="single" w:sz="8" w:space="0" w:color="FF0000"/>
              <w:right w:val="nil"/>
            </w:tcBorders>
            <w:shd w:val="clear" w:color="000000" w:fill="7A091A"/>
            <w:vAlign w:val="center"/>
            <w:hideMark/>
          </w:tcPr>
          <w:p w14:paraId="114C422A" w14:textId="77777777" w:rsidR="002F4BAB" w:rsidRPr="00894701" w:rsidRDefault="002F4BAB" w:rsidP="002209C2">
            <w:pPr>
              <w:spacing w:after="0" w:line="240" w:lineRule="auto"/>
              <w:rPr>
                <w:rFonts w:cs="Arial"/>
                <w:b/>
                <w:bCs/>
                <w:color w:val="FFFFFF"/>
                <w:kern w:val="0"/>
                <w:sz w:val="16"/>
                <w:szCs w:val="16"/>
              </w:rPr>
            </w:pPr>
            <w:r w:rsidRPr="00894701">
              <w:rPr>
                <w:rFonts w:cs="Arial"/>
                <w:b/>
                <w:bCs/>
                <w:color w:val="FFFFFF"/>
                <w:kern w:val="0"/>
                <w:sz w:val="16"/>
                <w:szCs w:val="16"/>
              </w:rPr>
              <w:t>No.</w:t>
            </w:r>
          </w:p>
        </w:tc>
        <w:tc>
          <w:tcPr>
            <w:tcW w:w="3868" w:type="dxa"/>
            <w:vMerge w:val="restart"/>
            <w:tcBorders>
              <w:top w:val="nil"/>
              <w:left w:val="nil"/>
              <w:bottom w:val="single" w:sz="8" w:space="0" w:color="FF0000"/>
              <w:right w:val="nil"/>
            </w:tcBorders>
            <w:shd w:val="clear" w:color="000000" w:fill="7A091A"/>
            <w:vAlign w:val="center"/>
            <w:hideMark/>
          </w:tcPr>
          <w:p w14:paraId="3592F2BE" w14:textId="77777777" w:rsidR="002F4BAB" w:rsidRPr="00894701" w:rsidRDefault="002F4BAB" w:rsidP="002209C2">
            <w:pPr>
              <w:spacing w:after="0" w:line="240" w:lineRule="auto"/>
              <w:jc w:val="center"/>
              <w:rPr>
                <w:rFonts w:cs="Arial"/>
                <w:b/>
                <w:bCs/>
                <w:color w:val="FFFFFF"/>
                <w:kern w:val="0"/>
                <w:sz w:val="16"/>
                <w:szCs w:val="16"/>
              </w:rPr>
            </w:pPr>
            <w:r w:rsidRPr="00894701">
              <w:rPr>
                <w:rFonts w:cs="Arial"/>
                <w:b/>
                <w:bCs/>
                <w:color w:val="FFFFFF"/>
                <w:kern w:val="0"/>
                <w:sz w:val="16"/>
                <w:szCs w:val="16"/>
              </w:rPr>
              <w:t>Revenue Stream</w:t>
            </w:r>
          </w:p>
        </w:tc>
        <w:tc>
          <w:tcPr>
            <w:tcW w:w="0" w:type="auto"/>
            <w:vMerge w:val="restart"/>
            <w:tcBorders>
              <w:top w:val="nil"/>
              <w:left w:val="nil"/>
              <w:bottom w:val="single" w:sz="8" w:space="0" w:color="FF0000"/>
              <w:right w:val="nil"/>
            </w:tcBorders>
            <w:shd w:val="clear" w:color="000000" w:fill="7A091A"/>
            <w:vAlign w:val="center"/>
            <w:hideMark/>
          </w:tcPr>
          <w:p w14:paraId="61772050" w14:textId="77777777" w:rsidR="002F4BAB" w:rsidRPr="00894701" w:rsidRDefault="002F4BAB" w:rsidP="002209C2">
            <w:pPr>
              <w:spacing w:after="0" w:line="240" w:lineRule="auto"/>
              <w:jc w:val="center"/>
              <w:rPr>
                <w:rFonts w:cs="Arial"/>
                <w:b/>
                <w:bCs/>
                <w:color w:val="FFFFFF"/>
                <w:kern w:val="0"/>
                <w:sz w:val="16"/>
                <w:szCs w:val="16"/>
              </w:rPr>
            </w:pPr>
            <w:r w:rsidRPr="00894701">
              <w:rPr>
                <w:rFonts w:cs="Arial"/>
                <w:b/>
                <w:bCs/>
                <w:color w:val="FFFFFF"/>
                <w:kern w:val="0"/>
                <w:sz w:val="16"/>
                <w:szCs w:val="16"/>
              </w:rPr>
              <w:t>Unreconciled difference</w:t>
            </w:r>
          </w:p>
        </w:tc>
        <w:tc>
          <w:tcPr>
            <w:tcW w:w="0" w:type="auto"/>
            <w:tcBorders>
              <w:top w:val="nil"/>
              <w:left w:val="nil"/>
              <w:bottom w:val="nil"/>
              <w:right w:val="nil"/>
            </w:tcBorders>
            <w:shd w:val="clear" w:color="auto" w:fill="auto"/>
            <w:vAlign w:val="center"/>
            <w:hideMark/>
          </w:tcPr>
          <w:p w14:paraId="321F8D3B" w14:textId="77777777" w:rsidR="002F4BAB" w:rsidRPr="00894701" w:rsidRDefault="002F4BAB" w:rsidP="002209C2">
            <w:pPr>
              <w:spacing w:after="0" w:line="240" w:lineRule="auto"/>
              <w:jc w:val="center"/>
              <w:rPr>
                <w:rFonts w:cs="Arial"/>
                <w:b/>
                <w:bCs/>
                <w:color w:val="FFFFFF"/>
                <w:kern w:val="0"/>
                <w:sz w:val="16"/>
                <w:szCs w:val="16"/>
              </w:rPr>
            </w:pPr>
          </w:p>
        </w:tc>
        <w:tc>
          <w:tcPr>
            <w:tcW w:w="0" w:type="auto"/>
            <w:gridSpan w:val="3"/>
            <w:tcBorders>
              <w:top w:val="nil"/>
              <w:left w:val="nil"/>
              <w:bottom w:val="single" w:sz="8" w:space="0" w:color="FF0000"/>
              <w:right w:val="nil"/>
            </w:tcBorders>
            <w:shd w:val="clear" w:color="000000" w:fill="7A091A"/>
            <w:vAlign w:val="center"/>
            <w:hideMark/>
          </w:tcPr>
          <w:p w14:paraId="7F79E70C" w14:textId="77777777" w:rsidR="002F4BAB" w:rsidRPr="00894701" w:rsidRDefault="002F4BAB" w:rsidP="002209C2">
            <w:pPr>
              <w:spacing w:after="0" w:line="240" w:lineRule="auto"/>
              <w:jc w:val="center"/>
              <w:rPr>
                <w:rFonts w:cs="Arial"/>
                <w:b/>
                <w:bCs/>
                <w:color w:val="FFFFFF"/>
                <w:kern w:val="0"/>
                <w:sz w:val="16"/>
                <w:szCs w:val="16"/>
              </w:rPr>
            </w:pPr>
            <w:r w:rsidRPr="00894701">
              <w:rPr>
                <w:rFonts w:cs="Arial"/>
                <w:b/>
                <w:bCs/>
                <w:color w:val="FFFFFF"/>
                <w:kern w:val="0"/>
                <w:sz w:val="16"/>
                <w:szCs w:val="16"/>
              </w:rPr>
              <w:t>Reasons for differences</w:t>
            </w:r>
          </w:p>
        </w:tc>
      </w:tr>
      <w:tr w:rsidR="008F3B33" w:rsidRPr="00894701" w14:paraId="4307D99D" w14:textId="77777777" w:rsidTr="008F3B33">
        <w:trPr>
          <w:trHeight w:val="227"/>
          <w:tblHeader/>
        </w:trPr>
        <w:tc>
          <w:tcPr>
            <w:tcW w:w="0" w:type="auto"/>
            <w:vMerge/>
            <w:tcBorders>
              <w:top w:val="nil"/>
              <w:left w:val="nil"/>
              <w:bottom w:val="single" w:sz="8" w:space="0" w:color="FF0000"/>
              <w:right w:val="nil"/>
            </w:tcBorders>
            <w:vAlign w:val="center"/>
            <w:hideMark/>
          </w:tcPr>
          <w:p w14:paraId="10E9629D" w14:textId="77777777" w:rsidR="002F4BAB" w:rsidRPr="00894701" w:rsidRDefault="002F4BAB" w:rsidP="002209C2">
            <w:pPr>
              <w:spacing w:after="0" w:line="240" w:lineRule="auto"/>
              <w:rPr>
                <w:rFonts w:cs="Arial"/>
                <w:b/>
                <w:bCs/>
                <w:color w:val="FFFFFF"/>
                <w:kern w:val="0"/>
                <w:sz w:val="16"/>
                <w:szCs w:val="16"/>
              </w:rPr>
            </w:pPr>
          </w:p>
        </w:tc>
        <w:tc>
          <w:tcPr>
            <w:tcW w:w="3868" w:type="dxa"/>
            <w:vMerge/>
            <w:tcBorders>
              <w:top w:val="nil"/>
              <w:left w:val="nil"/>
              <w:bottom w:val="single" w:sz="8" w:space="0" w:color="FF0000"/>
              <w:right w:val="nil"/>
            </w:tcBorders>
            <w:vAlign w:val="center"/>
            <w:hideMark/>
          </w:tcPr>
          <w:p w14:paraId="6478E61F" w14:textId="77777777" w:rsidR="002F4BAB" w:rsidRPr="00894701" w:rsidRDefault="002F4BAB" w:rsidP="002209C2">
            <w:pPr>
              <w:spacing w:after="0" w:line="240" w:lineRule="auto"/>
              <w:rPr>
                <w:rFonts w:cs="Arial"/>
                <w:b/>
                <w:bCs/>
                <w:color w:val="FFFFFF"/>
                <w:kern w:val="0"/>
                <w:sz w:val="16"/>
                <w:szCs w:val="16"/>
              </w:rPr>
            </w:pPr>
          </w:p>
        </w:tc>
        <w:tc>
          <w:tcPr>
            <w:tcW w:w="0" w:type="auto"/>
            <w:vMerge/>
            <w:tcBorders>
              <w:top w:val="nil"/>
              <w:left w:val="nil"/>
              <w:bottom w:val="single" w:sz="8" w:space="0" w:color="FF0000"/>
              <w:right w:val="nil"/>
            </w:tcBorders>
            <w:vAlign w:val="center"/>
            <w:hideMark/>
          </w:tcPr>
          <w:p w14:paraId="0D210FE0" w14:textId="77777777" w:rsidR="002F4BAB" w:rsidRPr="00894701" w:rsidRDefault="002F4BAB" w:rsidP="002209C2">
            <w:pPr>
              <w:spacing w:after="0" w:line="240" w:lineRule="auto"/>
              <w:rPr>
                <w:rFonts w:cs="Arial"/>
                <w:b/>
                <w:bCs/>
                <w:color w:val="FFFFFF"/>
                <w:kern w:val="0"/>
                <w:sz w:val="16"/>
                <w:szCs w:val="16"/>
              </w:rPr>
            </w:pPr>
          </w:p>
        </w:tc>
        <w:tc>
          <w:tcPr>
            <w:tcW w:w="0" w:type="auto"/>
            <w:tcBorders>
              <w:top w:val="nil"/>
              <w:left w:val="nil"/>
              <w:bottom w:val="nil"/>
              <w:right w:val="nil"/>
            </w:tcBorders>
            <w:shd w:val="clear" w:color="auto" w:fill="auto"/>
            <w:vAlign w:val="center"/>
            <w:hideMark/>
          </w:tcPr>
          <w:p w14:paraId="486ACB55" w14:textId="77777777" w:rsidR="002F4BAB" w:rsidRPr="00894701" w:rsidRDefault="002F4BAB" w:rsidP="002209C2">
            <w:pPr>
              <w:spacing w:after="0" w:line="240" w:lineRule="auto"/>
              <w:jc w:val="center"/>
              <w:rPr>
                <w:rFonts w:cs="Arial"/>
                <w:b/>
                <w:bCs/>
                <w:color w:val="FFFFFF"/>
                <w:kern w:val="0"/>
                <w:sz w:val="16"/>
                <w:szCs w:val="16"/>
              </w:rPr>
            </w:pPr>
          </w:p>
        </w:tc>
        <w:tc>
          <w:tcPr>
            <w:tcW w:w="0" w:type="auto"/>
            <w:tcBorders>
              <w:top w:val="nil"/>
              <w:left w:val="nil"/>
              <w:bottom w:val="single" w:sz="8" w:space="0" w:color="FF0000"/>
              <w:right w:val="nil"/>
            </w:tcBorders>
            <w:shd w:val="clear" w:color="000000" w:fill="7A091A"/>
            <w:vAlign w:val="center"/>
            <w:hideMark/>
          </w:tcPr>
          <w:p w14:paraId="4407563E" w14:textId="77777777" w:rsidR="002F4BAB" w:rsidRPr="00894701" w:rsidRDefault="002F4BAB" w:rsidP="002209C2">
            <w:pPr>
              <w:spacing w:after="0" w:line="240" w:lineRule="auto"/>
              <w:rPr>
                <w:rFonts w:cs="Arial"/>
                <w:b/>
                <w:bCs/>
                <w:color w:val="FFFFFF"/>
                <w:kern w:val="0"/>
                <w:sz w:val="16"/>
                <w:szCs w:val="16"/>
              </w:rPr>
            </w:pPr>
            <w:r w:rsidRPr="00894701">
              <w:rPr>
                <w:rFonts w:cs="Arial"/>
                <w:b/>
                <w:bCs/>
                <w:color w:val="FFFFFF"/>
                <w:kern w:val="0"/>
                <w:sz w:val="16"/>
                <w:szCs w:val="16"/>
              </w:rPr>
              <w:t>Reporting template not submitted by the Government Agency</w:t>
            </w:r>
          </w:p>
        </w:tc>
        <w:tc>
          <w:tcPr>
            <w:tcW w:w="0" w:type="auto"/>
            <w:tcBorders>
              <w:top w:val="nil"/>
              <w:left w:val="nil"/>
              <w:bottom w:val="single" w:sz="8" w:space="0" w:color="FF0000"/>
              <w:right w:val="nil"/>
            </w:tcBorders>
            <w:shd w:val="clear" w:color="000000" w:fill="7A091A"/>
            <w:vAlign w:val="center"/>
            <w:hideMark/>
          </w:tcPr>
          <w:p w14:paraId="6884649C" w14:textId="6DB3D249" w:rsidR="002F4BAB" w:rsidRPr="00894701" w:rsidRDefault="002F4BAB" w:rsidP="002209C2">
            <w:pPr>
              <w:spacing w:after="0" w:line="240" w:lineRule="auto"/>
              <w:rPr>
                <w:rFonts w:cs="Arial"/>
                <w:b/>
                <w:bCs/>
                <w:color w:val="FFFFFF"/>
                <w:kern w:val="0"/>
                <w:sz w:val="16"/>
                <w:szCs w:val="16"/>
              </w:rPr>
            </w:pPr>
            <w:r w:rsidRPr="00894701">
              <w:rPr>
                <w:rFonts w:cs="Arial"/>
                <w:b/>
                <w:bCs/>
                <w:color w:val="FFFFFF"/>
                <w:kern w:val="0"/>
                <w:sz w:val="16"/>
                <w:szCs w:val="16"/>
              </w:rPr>
              <w:t>Tax</w:t>
            </w:r>
            <w:r w:rsidR="000D63C7">
              <w:rPr>
                <w:rFonts w:cs="Arial"/>
                <w:b/>
                <w:bCs/>
                <w:color w:val="FFFFFF"/>
                <w:kern w:val="0"/>
                <w:sz w:val="16"/>
                <w:szCs w:val="16"/>
              </w:rPr>
              <w:t>es</w:t>
            </w:r>
            <w:r w:rsidRPr="00894701">
              <w:rPr>
                <w:rFonts w:cs="Arial"/>
                <w:b/>
                <w:bCs/>
                <w:color w:val="FFFFFF"/>
                <w:kern w:val="0"/>
                <w:sz w:val="16"/>
                <w:szCs w:val="16"/>
              </w:rPr>
              <w:t xml:space="preserve"> not reported by the Government Agency</w:t>
            </w:r>
          </w:p>
        </w:tc>
        <w:tc>
          <w:tcPr>
            <w:tcW w:w="0" w:type="auto"/>
            <w:tcBorders>
              <w:top w:val="nil"/>
              <w:left w:val="nil"/>
              <w:bottom w:val="single" w:sz="8" w:space="0" w:color="FF0000"/>
              <w:right w:val="nil"/>
            </w:tcBorders>
            <w:shd w:val="clear" w:color="000000" w:fill="7A091A"/>
            <w:vAlign w:val="center"/>
            <w:hideMark/>
          </w:tcPr>
          <w:p w14:paraId="3A149794" w14:textId="497E5BC8" w:rsidR="002F4BAB" w:rsidRPr="00894701" w:rsidRDefault="000D63C7" w:rsidP="002209C2">
            <w:pPr>
              <w:spacing w:after="0" w:line="240" w:lineRule="auto"/>
              <w:rPr>
                <w:rFonts w:cs="Arial"/>
                <w:b/>
                <w:bCs/>
                <w:color w:val="FFFFFF"/>
                <w:kern w:val="0"/>
                <w:sz w:val="16"/>
                <w:szCs w:val="16"/>
              </w:rPr>
            </w:pPr>
            <w:r>
              <w:rPr>
                <w:rFonts w:cs="Arial"/>
                <w:b/>
                <w:bCs/>
                <w:color w:val="FFFFFF"/>
                <w:kern w:val="0"/>
                <w:sz w:val="16"/>
                <w:szCs w:val="16"/>
              </w:rPr>
              <w:t>Im</w:t>
            </w:r>
            <w:r w:rsidRPr="00894701">
              <w:rPr>
                <w:rFonts w:cs="Arial"/>
                <w:b/>
                <w:bCs/>
                <w:color w:val="FFFFFF"/>
                <w:kern w:val="0"/>
                <w:sz w:val="16"/>
                <w:szCs w:val="16"/>
              </w:rPr>
              <w:t xml:space="preserve">material </w:t>
            </w:r>
            <w:r w:rsidR="002F4BAB" w:rsidRPr="00894701">
              <w:rPr>
                <w:rFonts w:cs="Arial"/>
                <w:b/>
                <w:bCs/>
                <w:color w:val="FFFFFF"/>
                <w:kern w:val="0"/>
                <w:sz w:val="16"/>
                <w:szCs w:val="16"/>
              </w:rPr>
              <w:t>difference</w:t>
            </w:r>
          </w:p>
        </w:tc>
      </w:tr>
      <w:tr w:rsidR="008F3B33" w:rsidRPr="00894701" w14:paraId="39AA8A59" w14:textId="77777777" w:rsidTr="008F3B33">
        <w:trPr>
          <w:trHeight w:val="227"/>
        </w:trPr>
        <w:tc>
          <w:tcPr>
            <w:tcW w:w="4395" w:type="dxa"/>
            <w:gridSpan w:val="2"/>
            <w:tcBorders>
              <w:top w:val="nil"/>
              <w:left w:val="nil"/>
              <w:bottom w:val="single" w:sz="8" w:space="0" w:color="FF0000"/>
              <w:right w:val="nil"/>
            </w:tcBorders>
            <w:shd w:val="clear" w:color="000000" w:fill="7A091A"/>
            <w:vAlign w:val="center"/>
            <w:hideMark/>
          </w:tcPr>
          <w:p w14:paraId="1F343580" w14:textId="77777777" w:rsidR="002F4BAB" w:rsidRPr="00894701" w:rsidRDefault="002F4BAB" w:rsidP="002209C2">
            <w:pPr>
              <w:spacing w:after="0" w:line="240" w:lineRule="auto"/>
              <w:jc w:val="center"/>
              <w:rPr>
                <w:rFonts w:cs="Arial"/>
                <w:b/>
                <w:bCs/>
                <w:color w:val="FFFFFF"/>
                <w:kern w:val="0"/>
                <w:sz w:val="16"/>
                <w:szCs w:val="16"/>
              </w:rPr>
            </w:pPr>
            <w:r w:rsidRPr="00894701">
              <w:rPr>
                <w:rFonts w:cs="Arial"/>
                <w:b/>
                <w:bCs/>
                <w:color w:val="FFFFFF"/>
                <w:kern w:val="0"/>
                <w:sz w:val="16"/>
                <w:szCs w:val="16"/>
              </w:rPr>
              <w:t>A- Bilateral company disclosures</w:t>
            </w:r>
          </w:p>
        </w:tc>
        <w:tc>
          <w:tcPr>
            <w:tcW w:w="0" w:type="auto"/>
            <w:tcBorders>
              <w:top w:val="nil"/>
              <w:left w:val="nil"/>
              <w:bottom w:val="single" w:sz="8" w:space="0" w:color="FF0000"/>
              <w:right w:val="nil"/>
            </w:tcBorders>
            <w:shd w:val="clear" w:color="000000" w:fill="7A091A"/>
            <w:vAlign w:val="center"/>
            <w:hideMark/>
          </w:tcPr>
          <w:p w14:paraId="30F544B2" w14:textId="77777777" w:rsidR="002F4BAB" w:rsidRPr="00894701" w:rsidRDefault="002F4BAB" w:rsidP="008F3B33">
            <w:pPr>
              <w:spacing w:after="0" w:line="240" w:lineRule="auto"/>
              <w:jc w:val="right"/>
              <w:rPr>
                <w:rFonts w:cs="Arial"/>
                <w:b/>
                <w:bCs/>
                <w:color w:val="FFFFFF"/>
                <w:kern w:val="0"/>
                <w:sz w:val="16"/>
                <w:szCs w:val="16"/>
              </w:rPr>
            </w:pPr>
            <w:r w:rsidRPr="00894701">
              <w:rPr>
                <w:rFonts w:cs="Arial"/>
                <w:b/>
                <w:bCs/>
                <w:color w:val="FFFFFF"/>
                <w:kern w:val="0"/>
                <w:sz w:val="16"/>
                <w:szCs w:val="16"/>
              </w:rPr>
              <w:t>24,085,489</w:t>
            </w:r>
          </w:p>
        </w:tc>
        <w:tc>
          <w:tcPr>
            <w:tcW w:w="0" w:type="auto"/>
            <w:tcBorders>
              <w:top w:val="nil"/>
              <w:left w:val="nil"/>
              <w:bottom w:val="nil"/>
              <w:right w:val="nil"/>
            </w:tcBorders>
            <w:shd w:val="clear" w:color="auto" w:fill="auto"/>
            <w:vAlign w:val="center"/>
            <w:hideMark/>
          </w:tcPr>
          <w:p w14:paraId="4C59284C" w14:textId="77777777" w:rsidR="002F4BAB" w:rsidRPr="00894701" w:rsidRDefault="002F4BAB" w:rsidP="008F3B33">
            <w:pPr>
              <w:spacing w:after="0" w:line="240" w:lineRule="auto"/>
              <w:jc w:val="right"/>
              <w:rPr>
                <w:rFonts w:cs="Arial"/>
                <w:b/>
                <w:bCs/>
                <w:color w:val="auto"/>
                <w:kern w:val="0"/>
                <w:sz w:val="16"/>
                <w:szCs w:val="16"/>
              </w:rPr>
            </w:pPr>
          </w:p>
        </w:tc>
        <w:tc>
          <w:tcPr>
            <w:tcW w:w="0" w:type="auto"/>
            <w:tcBorders>
              <w:top w:val="nil"/>
              <w:left w:val="nil"/>
              <w:bottom w:val="single" w:sz="8" w:space="0" w:color="FF0000"/>
              <w:right w:val="nil"/>
            </w:tcBorders>
            <w:shd w:val="clear" w:color="000000" w:fill="7A091A"/>
            <w:vAlign w:val="center"/>
            <w:hideMark/>
          </w:tcPr>
          <w:p w14:paraId="136BB7F7" w14:textId="77777777" w:rsidR="002F4BAB" w:rsidRPr="00894701" w:rsidRDefault="002F4BAB" w:rsidP="008F3B33">
            <w:pPr>
              <w:spacing w:after="0" w:line="240" w:lineRule="auto"/>
              <w:jc w:val="right"/>
              <w:rPr>
                <w:rFonts w:cs="Arial"/>
                <w:b/>
                <w:bCs/>
                <w:color w:val="FFFFFF"/>
                <w:kern w:val="0"/>
                <w:sz w:val="16"/>
                <w:szCs w:val="16"/>
              </w:rPr>
            </w:pPr>
            <w:r w:rsidRPr="00894701">
              <w:rPr>
                <w:rFonts w:cs="Arial"/>
                <w:b/>
                <w:bCs/>
                <w:color w:val="FFFFFF"/>
                <w:kern w:val="0"/>
                <w:sz w:val="16"/>
                <w:szCs w:val="16"/>
              </w:rPr>
              <w:t xml:space="preserve">                                 185,018 </w:t>
            </w:r>
          </w:p>
        </w:tc>
        <w:tc>
          <w:tcPr>
            <w:tcW w:w="0" w:type="auto"/>
            <w:tcBorders>
              <w:top w:val="nil"/>
              <w:left w:val="nil"/>
              <w:bottom w:val="single" w:sz="8" w:space="0" w:color="FF0000"/>
              <w:right w:val="nil"/>
            </w:tcBorders>
            <w:shd w:val="clear" w:color="000000" w:fill="7A091A"/>
            <w:vAlign w:val="center"/>
            <w:hideMark/>
          </w:tcPr>
          <w:p w14:paraId="267D35BB" w14:textId="77777777" w:rsidR="002F4BAB" w:rsidRPr="00894701" w:rsidRDefault="002F4BAB" w:rsidP="008F3B33">
            <w:pPr>
              <w:spacing w:after="0" w:line="240" w:lineRule="auto"/>
              <w:jc w:val="right"/>
              <w:rPr>
                <w:rFonts w:cs="Arial"/>
                <w:b/>
                <w:bCs/>
                <w:color w:val="FFFFFF"/>
                <w:kern w:val="0"/>
                <w:sz w:val="16"/>
                <w:szCs w:val="16"/>
              </w:rPr>
            </w:pPr>
            <w:r w:rsidRPr="00894701">
              <w:rPr>
                <w:rFonts w:cs="Arial"/>
                <w:b/>
                <w:bCs/>
                <w:color w:val="FFFFFF"/>
                <w:kern w:val="0"/>
                <w:sz w:val="16"/>
                <w:szCs w:val="16"/>
              </w:rPr>
              <w:t xml:space="preserve">                         23,900,000 </w:t>
            </w:r>
          </w:p>
        </w:tc>
        <w:tc>
          <w:tcPr>
            <w:tcW w:w="0" w:type="auto"/>
            <w:tcBorders>
              <w:top w:val="nil"/>
              <w:left w:val="nil"/>
              <w:bottom w:val="single" w:sz="8" w:space="0" w:color="FF0000"/>
              <w:right w:val="nil"/>
            </w:tcBorders>
            <w:shd w:val="clear" w:color="000000" w:fill="7A091A"/>
            <w:vAlign w:val="center"/>
            <w:hideMark/>
          </w:tcPr>
          <w:p w14:paraId="2C8306D9" w14:textId="77777777" w:rsidR="002F4BAB" w:rsidRPr="00894701" w:rsidRDefault="002F4BAB" w:rsidP="008F3B33">
            <w:pPr>
              <w:spacing w:after="0" w:line="240" w:lineRule="auto"/>
              <w:jc w:val="right"/>
              <w:rPr>
                <w:rFonts w:cs="Arial"/>
                <w:b/>
                <w:bCs/>
                <w:color w:val="FFFFFF"/>
                <w:kern w:val="0"/>
                <w:sz w:val="16"/>
                <w:szCs w:val="16"/>
              </w:rPr>
            </w:pPr>
            <w:r w:rsidRPr="00894701">
              <w:rPr>
                <w:rFonts w:cs="Arial"/>
                <w:b/>
                <w:bCs/>
                <w:color w:val="FFFFFF"/>
                <w:kern w:val="0"/>
                <w:sz w:val="16"/>
                <w:szCs w:val="16"/>
              </w:rPr>
              <w:t>471</w:t>
            </w:r>
          </w:p>
        </w:tc>
      </w:tr>
      <w:tr w:rsidR="008F3B33" w:rsidRPr="00894701" w14:paraId="04BD2B1B" w14:textId="77777777" w:rsidTr="008F3B33">
        <w:trPr>
          <w:trHeight w:val="227"/>
        </w:trPr>
        <w:tc>
          <w:tcPr>
            <w:tcW w:w="4395" w:type="dxa"/>
            <w:gridSpan w:val="2"/>
            <w:tcBorders>
              <w:top w:val="nil"/>
              <w:left w:val="nil"/>
              <w:bottom w:val="nil"/>
              <w:right w:val="nil"/>
            </w:tcBorders>
            <w:shd w:val="clear" w:color="000000" w:fill="C0A99E"/>
            <w:noWrap/>
            <w:vAlign w:val="center"/>
            <w:hideMark/>
          </w:tcPr>
          <w:p w14:paraId="5E8A582A" w14:textId="77777777" w:rsidR="002F4BAB" w:rsidRPr="00894701" w:rsidRDefault="002F4BAB" w:rsidP="002209C2">
            <w:pPr>
              <w:spacing w:after="0" w:line="240" w:lineRule="auto"/>
              <w:rPr>
                <w:rFonts w:cs="Arial"/>
                <w:b/>
                <w:bCs/>
                <w:color w:val="auto"/>
                <w:kern w:val="0"/>
                <w:sz w:val="16"/>
                <w:szCs w:val="16"/>
              </w:rPr>
            </w:pPr>
            <w:r w:rsidRPr="00894701">
              <w:rPr>
                <w:rFonts w:cs="Arial"/>
                <w:b/>
                <w:bCs/>
                <w:color w:val="auto"/>
                <w:kern w:val="0"/>
                <w:sz w:val="16"/>
                <w:szCs w:val="16"/>
              </w:rPr>
              <w:t xml:space="preserve">Ministry of Finance (MoF) </w:t>
            </w:r>
          </w:p>
        </w:tc>
        <w:tc>
          <w:tcPr>
            <w:tcW w:w="0" w:type="auto"/>
            <w:tcBorders>
              <w:top w:val="nil"/>
              <w:left w:val="nil"/>
              <w:bottom w:val="nil"/>
              <w:right w:val="nil"/>
            </w:tcBorders>
            <w:shd w:val="clear" w:color="000000" w:fill="C0A99E"/>
            <w:noWrap/>
            <w:vAlign w:val="center"/>
            <w:hideMark/>
          </w:tcPr>
          <w:p w14:paraId="7C65294F" w14:textId="77777777" w:rsidR="002F4BAB" w:rsidRPr="00894701" w:rsidRDefault="002F4BAB" w:rsidP="008F3B33">
            <w:pPr>
              <w:spacing w:after="0" w:line="240" w:lineRule="auto"/>
              <w:jc w:val="right"/>
              <w:rPr>
                <w:rFonts w:cs="Arial"/>
                <w:b/>
                <w:bCs/>
                <w:color w:val="auto"/>
                <w:kern w:val="0"/>
                <w:sz w:val="16"/>
                <w:szCs w:val="16"/>
              </w:rPr>
            </w:pPr>
            <w:r w:rsidRPr="00894701">
              <w:rPr>
                <w:rFonts w:cs="Arial"/>
                <w:b/>
                <w:bCs/>
                <w:color w:val="auto"/>
                <w:kern w:val="0"/>
                <w:sz w:val="16"/>
                <w:szCs w:val="16"/>
              </w:rPr>
              <w:t>23,900,471</w:t>
            </w:r>
          </w:p>
        </w:tc>
        <w:tc>
          <w:tcPr>
            <w:tcW w:w="0" w:type="auto"/>
            <w:tcBorders>
              <w:top w:val="nil"/>
              <w:left w:val="nil"/>
              <w:bottom w:val="nil"/>
              <w:right w:val="nil"/>
            </w:tcBorders>
            <w:shd w:val="clear" w:color="auto" w:fill="auto"/>
            <w:noWrap/>
            <w:vAlign w:val="center"/>
            <w:hideMark/>
          </w:tcPr>
          <w:p w14:paraId="4FEEA4AC" w14:textId="77777777" w:rsidR="002F4BAB" w:rsidRPr="00894701" w:rsidRDefault="002F4BAB" w:rsidP="008F3B33">
            <w:pPr>
              <w:spacing w:after="0" w:line="240" w:lineRule="auto"/>
              <w:jc w:val="right"/>
              <w:rPr>
                <w:rFonts w:cs="Arial"/>
                <w:b/>
                <w:bCs/>
                <w:color w:val="auto"/>
                <w:kern w:val="0"/>
                <w:sz w:val="16"/>
                <w:szCs w:val="16"/>
              </w:rPr>
            </w:pPr>
          </w:p>
        </w:tc>
        <w:tc>
          <w:tcPr>
            <w:tcW w:w="0" w:type="auto"/>
            <w:tcBorders>
              <w:top w:val="nil"/>
              <w:left w:val="nil"/>
              <w:bottom w:val="nil"/>
              <w:right w:val="nil"/>
            </w:tcBorders>
            <w:shd w:val="clear" w:color="000000" w:fill="C0A99E"/>
            <w:noWrap/>
            <w:vAlign w:val="center"/>
            <w:hideMark/>
          </w:tcPr>
          <w:p w14:paraId="113046C2" w14:textId="77777777" w:rsidR="002F4BAB" w:rsidRPr="00894701" w:rsidRDefault="002F4BAB" w:rsidP="008F3B33">
            <w:pPr>
              <w:spacing w:after="0" w:line="240" w:lineRule="auto"/>
              <w:jc w:val="right"/>
              <w:rPr>
                <w:rFonts w:cs="Arial"/>
                <w:b/>
                <w:bCs/>
                <w:color w:val="auto"/>
                <w:kern w:val="0"/>
                <w:sz w:val="16"/>
                <w:szCs w:val="16"/>
              </w:rPr>
            </w:pPr>
            <w:r w:rsidRPr="00894701">
              <w:rPr>
                <w:rFonts w:cs="Arial"/>
                <w:b/>
                <w:bCs/>
                <w:color w:val="auto"/>
                <w:kern w:val="0"/>
                <w:sz w:val="16"/>
                <w:szCs w:val="16"/>
              </w:rPr>
              <w:t>-</w:t>
            </w:r>
          </w:p>
        </w:tc>
        <w:tc>
          <w:tcPr>
            <w:tcW w:w="0" w:type="auto"/>
            <w:tcBorders>
              <w:top w:val="nil"/>
              <w:left w:val="nil"/>
              <w:bottom w:val="nil"/>
              <w:right w:val="nil"/>
            </w:tcBorders>
            <w:shd w:val="clear" w:color="000000" w:fill="C0A99E"/>
            <w:noWrap/>
            <w:vAlign w:val="center"/>
            <w:hideMark/>
          </w:tcPr>
          <w:p w14:paraId="04174604" w14:textId="77777777" w:rsidR="002F4BAB" w:rsidRPr="00894701" w:rsidRDefault="002F4BAB" w:rsidP="008F3B33">
            <w:pPr>
              <w:spacing w:after="0" w:line="240" w:lineRule="auto"/>
              <w:jc w:val="right"/>
              <w:rPr>
                <w:rFonts w:cs="Arial"/>
                <w:b/>
                <w:bCs/>
                <w:color w:val="auto"/>
                <w:kern w:val="0"/>
                <w:sz w:val="16"/>
                <w:szCs w:val="16"/>
              </w:rPr>
            </w:pPr>
            <w:r w:rsidRPr="00894701">
              <w:rPr>
                <w:rFonts w:cs="Arial"/>
                <w:b/>
                <w:bCs/>
                <w:color w:val="auto"/>
                <w:kern w:val="0"/>
                <w:sz w:val="16"/>
                <w:szCs w:val="16"/>
              </w:rPr>
              <w:t>23,900,000</w:t>
            </w:r>
          </w:p>
        </w:tc>
        <w:tc>
          <w:tcPr>
            <w:tcW w:w="0" w:type="auto"/>
            <w:tcBorders>
              <w:top w:val="nil"/>
              <w:left w:val="nil"/>
              <w:bottom w:val="nil"/>
              <w:right w:val="nil"/>
            </w:tcBorders>
            <w:shd w:val="clear" w:color="000000" w:fill="C0A99E"/>
            <w:noWrap/>
            <w:vAlign w:val="center"/>
            <w:hideMark/>
          </w:tcPr>
          <w:p w14:paraId="0BE5AA26" w14:textId="77777777" w:rsidR="002F4BAB" w:rsidRPr="00894701" w:rsidRDefault="002F4BAB" w:rsidP="008F3B33">
            <w:pPr>
              <w:spacing w:after="0" w:line="240" w:lineRule="auto"/>
              <w:jc w:val="right"/>
              <w:rPr>
                <w:rFonts w:cs="Arial"/>
                <w:b/>
                <w:bCs/>
                <w:color w:val="auto"/>
                <w:kern w:val="0"/>
                <w:sz w:val="16"/>
                <w:szCs w:val="16"/>
              </w:rPr>
            </w:pPr>
            <w:r w:rsidRPr="00894701">
              <w:rPr>
                <w:rFonts w:cs="Arial"/>
                <w:b/>
                <w:bCs/>
                <w:color w:val="auto"/>
                <w:kern w:val="0"/>
                <w:sz w:val="16"/>
                <w:szCs w:val="16"/>
              </w:rPr>
              <w:t>471</w:t>
            </w:r>
          </w:p>
        </w:tc>
      </w:tr>
      <w:tr w:rsidR="00AA49E3" w:rsidRPr="00894701" w14:paraId="5774E820" w14:textId="77777777" w:rsidTr="0010169E">
        <w:trPr>
          <w:trHeight w:val="227"/>
        </w:trPr>
        <w:tc>
          <w:tcPr>
            <w:tcW w:w="0" w:type="auto"/>
            <w:tcBorders>
              <w:top w:val="nil"/>
              <w:left w:val="nil"/>
              <w:bottom w:val="nil"/>
              <w:right w:val="nil"/>
            </w:tcBorders>
            <w:shd w:val="clear" w:color="auto" w:fill="F7A3B0"/>
            <w:noWrap/>
            <w:vAlign w:val="center"/>
            <w:hideMark/>
          </w:tcPr>
          <w:p w14:paraId="1DE022E8" w14:textId="77777777" w:rsidR="00AA49E3" w:rsidRPr="00894701" w:rsidRDefault="00AA49E3" w:rsidP="00AA49E3">
            <w:pPr>
              <w:spacing w:after="0" w:line="240" w:lineRule="auto"/>
              <w:rPr>
                <w:rFonts w:cs="Arial"/>
                <w:color w:val="auto"/>
                <w:kern w:val="0"/>
                <w:sz w:val="16"/>
                <w:szCs w:val="16"/>
              </w:rPr>
            </w:pPr>
            <w:r w:rsidRPr="00894701">
              <w:rPr>
                <w:rFonts w:cs="Arial"/>
                <w:color w:val="auto"/>
                <w:kern w:val="0"/>
                <w:sz w:val="16"/>
                <w:szCs w:val="16"/>
              </w:rPr>
              <w:t>1.6</w:t>
            </w:r>
          </w:p>
        </w:tc>
        <w:tc>
          <w:tcPr>
            <w:tcW w:w="3868" w:type="dxa"/>
            <w:tcBorders>
              <w:top w:val="nil"/>
              <w:left w:val="nil"/>
              <w:bottom w:val="nil"/>
              <w:right w:val="nil"/>
            </w:tcBorders>
            <w:shd w:val="clear" w:color="auto" w:fill="F7A3B0"/>
            <w:vAlign w:val="center"/>
            <w:hideMark/>
          </w:tcPr>
          <w:p w14:paraId="3AA7D3A1" w14:textId="0C398EF9" w:rsidR="00AA49E3" w:rsidRPr="00894701" w:rsidRDefault="00AA49E3" w:rsidP="00AA49E3">
            <w:pPr>
              <w:spacing w:after="0" w:line="240" w:lineRule="auto"/>
              <w:rPr>
                <w:rFonts w:cs="Arial"/>
                <w:color w:val="auto"/>
                <w:kern w:val="0"/>
                <w:sz w:val="16"/>
                <w:szCs w:val="16"/>
              </w:rPr>
            </w:pPr>
            <w:r w:rsidRPr="00894701">
              <w:rPr>
                <w:rFonts w:cs="Arial"/>
                <w:color w:val="auto"/>
                <w:kern w:val="0"/>
                <w:sz w:val="16"/>
                <w:szCs w:val="16"/>
              </w:rPr>
              <w:t>Income Tax</w:t>
            </w:r>
          </w:p>
        </w:tc>
        <w:tc>
          <w:tcPr>
            <w:tcW w:w="0" w:type="auto"/>
            <w:tcBorders>
              <w:top w:val="nil"/>
              <w:left w:val="nil"/>
              <w:bottom w:val="nil"/>
              <w:right w:val="nil"/>
            </w:tcBorders>
            <w:shd w:val="clear" w:color="auto" w:fill="F7A3B0"/>
            <w:noWrap/>
            <w:vAlign w:val="center"/>
            <w:hideMark/>
          </w:tcPr>
          <w:p w14:paraId="536EADEA" w14:textId="77777777" w:rsidR="00AA49E3" w:rsidRPr="00894701" w:rsidRDefault="00AA49E3" w:rsidP="00AA49E3">
            <w:pPr>
              <w:spacing w:after="0" w:line="240" w:lineRule="auto"/>
              <w:jc w:val="right"/>
              <w:rPr>
                <w:rFonts w:cs="Arial"/>
                <w:color w:val="auto"/>
                <w:kern w:val="0"/>
                <w:sz w:val="16"/>
                <w:szCs w:val="16"/>
              </w:rPr>
            </w:pPr>
            <w:r w:rsidRPr="00894701">
              <w:rPr>
                <w:rFonts w:cs="Arial"/>
                <w:color w:val="auto"/>
                <w:kern w:val="0"/>
                <w:sz w:val="16"/>
                <w:szCs w:val="16"/>
              </w:rPr>
              <w:t>478</w:t>
            </w:r>
          </w:p>
        </w:tc>
        <w:tc>
          <w:tcPr>
            <w:tcW w:w="0" w:type="auto"/>
            <w:tcBorders>
              <w:top w:val="nil"/>
              <w:left w:val="nil"/>
              <w:bottom w:val="nil"/>
              <w:right w:val="nil"/>
            </w:tcBorders>
            <w:shd w:val="clear" w:color="auto" w:fill="auto"/>
            <w:noWrap/>
            <w:vAlign w:val="center"/>
            <w:hideMark/>
          </w:tcPr>
          <w:p w14:paraId="5812CF76" w14:textId="77777777" w:rsidR="00AA49E3" w:rsidRPr="00894701" w:rsidRDefault="00AA49E3" w:rsidP="00AA49E3">
            <w:pPr>
              <w:spacing w:after="0" w:line="240" w:lineRule="auto"/>
              <w:jc w:val="right"/>
              <w:rPr>
                <w:rFonts w:cs="Arial"/>
                <w:color w:val="auto"/>
                <w:kern w:val="0"/>
                <w:sz w:val="16"/>
                <w:szCs w:val="16"/>
              </w:rPr>
            </w:pPr>
          </w:p>
        </w:tc>
        <w:tc>
          <w:tcPr>
            <w:tcW w:w="0" w:type="auto"/>
            <w:tcBorders>
              <w:top w:val="nil"/>
              <w:left w:val="nil"/>
              <w:bottom w:val="nil"/>
              <w:right w:val="nil"/>
            </w:tcBorders>
            <w:shd w:val="clear" w:color="auto" w:fill="F7A3B0"/>
            <w:noWrap/>
            <w:vAlign w:val="center"/>
            <w:hideMark/>
          </w:tcPr>
          <w:p w14:paraId="64ADB975" w14:textId="77777777" w:rsidR="00AA49E3" w:rsidRPr="00894701" w:rsidRDefault="00AA49E3" w:rsidP="00AA49E3">
            <w:pPr>
              <w:spacing w:after="0" w:line="240" w:lineRule="auto"/>
              <w:jc w:val="right"/>
              <w:rPr>
                <w:rFonts w:cs="Arial"/>
                <w:color w:val="auto"/>
                <w:kern w:val="0"/>
                <w:sz w:val="16"/>
                <w:szCs w:val="16"/>
              </w:rPr>
            </w:pPr>
            <w:r w:rsidRPr="00894701">
              <w:rPr>
                <w:rFonts w:cs="Arial"/>
                <w:color w:val="auto"/>
                <w:kern w:val="0"/>
                <w:sz w:val="16"/>
                <w:szCs w:val="16"/>
              </w:rPr>
              <w:t>-</w:t>
            </w:r>
          </w:p>
        </w:tc>
        <w:tc>
          <w:tcPr>
            <w:tcW w:w="0" w:type="auto"/>
            <w:tcBorders>
              <w:top w:val="nil"/>
              <w:left w:val="nil"/>
              <w:bottom w:val="nil"/>
              <w:right w:val="nil"/>
            </w:tcBorders>
            <w:shd w:val="clear" w:color="auto" w:fill="F7A3B0"/>
            <w:noWrap/>
            <w:vAlign w:val="center"/>
            <w:hideMark/>
          </w:tcPr>
          <w:p w14:paraId="77B0A44D" w14:textId="77777777" w:rsidR="00AA49E3" w:rsidRPr="00894701" w:rsidRDefault="00AA49E3" w:rsidP="00AA49E3">
            <w:pPr>
              <w:spacing w:after="0" w:line="240" w:lineRule="auto"/>
              <w:jc w:val="right"/>
              <w:rPr>
                <w:rFonts w:cs="Arial"/>
                <w:color w:val="auto"/>
                <w:kern w:val="0"/>
                <w:sz w:val="16"/>
                <w:szCs w:val="16"/>
              </w:rPr>
            </w:pPr>
            <w:r w:rsidRPr="00894701">
              <w:rPr>
                <w:rFonts w:cs="Arial"/>
                <w:color w:val="auto"/>
                <w:kern w:val="0"/>
                <w:sz w:val="16"/>
                <w:szCs w:val="16"/>
              </w:rPr>
              <w:t>-</w:t>
            </w:r>
          </w:p>
        </w:tc>
        <w:tc>
          <w:tcPr>
            <w:tcW w:w="0" w:type="auto"/>
            <w:tcBorders>
              <w:top w:val="nil"/>
              <w:left w:val="nil"/>
              <w:bottom w:val="nil"/>
              <w:right w:val="nil"/>
            </w:tcBorders>
            <w:shd w:val="clear" w:color="auto" w:fill="F7A3B0"/>
            <w:noWrap/>
            <w:vAlign w:val="center"/>
            <w:hideMark/>
          </w:tcPr>
          <w:p w14:paraId="4E9C2644" w14:textId="77777777" w:rsidR="00AA49E3" w:rsidRPr="00894701" w:rsidRDefault="00AA49E3" w:rsidP="00AA49E3">
            <w:pPr>
              <w:spacing w:after="0" w:line="240" w:lineRule="auto"/>
              <w:jc w:val="right"/>
              <w:rPr>
                <w:rFonts w:cs="Arial"/>
                <w:color w:val="auto"/>
                <w:kern w:val="0"/>
                <w:sz w:val="16"/>
                <w:szCs w:val="16"/>
              </w:rPr>
            </w:pPr>
            <w:r w:rsidRPr="00894701">
              <w:rPr>
                <w:rFonts w:cs="Arial"/>
                <w:color w:val="auto"/>
                <w:kern w:val="0"/>
                <w:sz w:val="16"/>
                <w:szCs w:val="16"/>
              </w:rPr>
              <w:t>478</w:t>
            </w:r>
          </w:p>
        </w:tc>
      </w:tr>
      <w:tr w:rsidR="00AA49E3" w:rsidRPr="00894701" w14:paraId="5467B529" w14:textId="77777777" w:rsidTr="008F3B33">
        <w:trPr>
          <w:trHeight w:val="227"/>
        </w:trPr>
        <w:tc>
          <w:tcPr>
            <w:tcW w:w="0" w:type="auto"/>
            <w:tcBorders>
              <w:top w:val="nil"/>
              <w:left w:val="nil"/>
              <w:bottom w:val="nil"/>
              <w:right w:val="nil"/>
            </w:tcBorders>
            <w:shd w:val="clear" w:color="auto" w:fill="auto"/>
            <w:noWrap/>
            <w:vAlign w:val="center"/>
            <w:hideMark/>
          </w:tcPr>
          <w:p w14:paraId="63B95E1B" w14:textId="77777777" w:rsidR="00AA49E3" w:rsidRPr="00894701" w:rsidRDefault="00AA49E3" w:rsidP="00AA49E3">
            <w:pPr>
              <w:spacing w:after="0" w:line="240" w:lineRule="auto"/>
              <w:rPr>
                <w:rFonts w:cs="Arial"/>
                <w:color w:val="auto"/>
                <w:kern w:val="0"/>
                <w:sz w:val="16"/>
                <w:szCs w:val="16"/>
              </w:rPr>
            </w:pPr>
            <w:r w:rsidRPr="00894701">
              <w:rPr>
                <w:rFonts w:cs="Arial"/>
                <w:color w:val="auto"/>
                <w:kern w:val="0"/>
                <w:sz w:val="16"/>
                <w:szCs w:val="16"/>
              </w:rPr>
              <w:t>1.8</w:t>
            </w:r>
          </w:p>
        </w:tc>
        <w:tc>
          <w:tcPr>
            <w:tcW w:w="3868" w:type="dxa"/>
            <w:tcBorders>
              <w:top w:val="nil"/>
              <w:left w:val="nil"/>
              <w:bottom w:val="nil"/>
              <w:right w:val="nil"/>
            </w:tcBorders>
            <w:shd w:val="clear" w:color="auto" w:fill="auto"/>
            <w:vAlign w:val="center"/>
            <w:hideMark/>
          </w:tcPr>
          <w:p w14:paraId="595C1FE1" w14:textId="03BF7975" w:rsidR="00AA49E3" w:rsidRPr="00894701" w:rsidRDefault="00AA49E3" w:rsidP="00AA49E3">
            <w:pPr>
              <w:spacing w:after="0" w:line="240" w:lineRule="auto"/>
              <w:rPr>
                <w:rFonts w:cs="Arial"/>
                <w:color w:val="auto"/>
                <w:kern w:val="0"/>
                <w:sz w:val="16"/>
                <w:szCs w:val="16"/>
              </w:rPr>
            </w:pPr>
            <w:r w:rsidRPr="00894701">
              <w:rPr>
                <w:rFonts w:cs="Arial"/>
                <w:color w:val="auto"/>
                <w:kern w:val="0"/>
                <w:sz w:val="16"/>
                <w:szCs w:val="16"/>
              </w:rPr>
              <w:t>Cash Dividends</w:t>
            </w:r>
          </w:p>
        </w:tc>
        <w:tc>
          <w:tcPr>
            <w:tcW w:w="0" w:type="auto"/>
            <w:tcBorders>
              <w:top w:val="nil"/>
              <w:left w:val="nil"/>
              <w:bottom w:val="nil"/>
              <w:right w:val="nil"/>
            </w:tcBorders>
            <w:shd w:val="clear" w:color="auto" w:fill="auto"/>
            <w:noWrap/>
            <w:vAlign w:val="center"/>
            <w:hideMark/>
          </w:tcPr>
          <w:p w14:paraId="3E3FCE0F" w14:textId="77777777" w:rsidR="00AA49E3" w:rsidRPr="00894701" w:rsidRDefault="00AA49E3" w:rsidP="00AA49E3">
            <w:pPr>
              <w:spacing w:after="0" w:line="240" w:lineRule="auto"/>
              <w:jc w:val="right"/>
              <w:rPr>
                <w:rFonts w:cs="Arial"/>
                <w:color w:val="auto"/>
                <w:kern w:val="0"/>
                <w:sz w:val="16"/>
                <w:szCs w:val="16"/>
              </w:rPr>
            </w:pPr>
            <w:r w:rsidRPr="00894701">
              <w:rPr>
                <w:rFonts w:cs="Arial"/>
                <w:color w:val="auto"/>
                <w:kern w:val="0"/>
                <w:sz w:val="16"/>
                <w:szCs w:val="16"/>
              </w:rPr>
              <w:t>23,900,000</w:t>
            </w:r>
          </w:p>
        </w:tc>
        <w:tc>
          <w:tcPr>
            <w:tcW w:w="0" w:type="auto"/>
            <w:tcBorders>
              <w:top w:val="nil"/>
              <w:left w:val="nil"/>
              <w:bottom w:val="nil"/>
              <w:right w:val="nil"/>
            </w:tcBorders>
            <w:shd w:val="clear" w:color="auto" w:fill="auto"/>
            <w:noWrap/>
            <w:vAlign w:val="center"/>
            <w:hideMark/>
          </w:tcPr>
          <w:p w14:paraId="30D0EEB1" w14:textId="77777777" w:rsidR="00AA49E3" w:rsidRPr="00894701" w:rsidRDefault="00AA49E3" w:rsidP="00AA49E3">
            <w:pPr>
              <w:spacing w:after="0" w:line="240" w:lineRule="auto"/>
              <w:jc w:val="right"/>
              <w:rPr>
                <w:rFonts w:cs="Arial"/>
                <w:color w:val="auto"/>
                <w:kern w:val="0"/>
                <w:sz w:val="16"/>
                <w:szCs w:val="16"/>
              </w:rPr>
            </w:pPr>
          </w:p>
        </w:tc>
        <w:tc>
          <w:tcPr>
            <w:tcW w:w="0" w:type="auto"/>
            <w:tcBorders>
              <w:top w:val="nil"/>
              <w:left w:val="nil"/>
              <w:bottom w:val="nil"/>
              <w:right w:val="nil"/>
            </w:tcBorders>
            <w:shd w:val="clear" w:color="000000" w:fill="FFFFFF"/>
            <w:noWrap/>
            <w:vAlign w:val="center"/>
            <w:hideMark/>
          </w:tcPr>
          <w:p w14:paraId="5A61BC97" w14:textId="77777777" w:rsidR="00AA49E3" w:rsidRPr="00894701" w:rsidRDefault="00AA49E3" w:rsidP="00AA49E3">
            <w:pPr>
              <w:spacing w:after="0" w:line="240" w:lineRule="auto"/>
              <w:jc w:val="right"/>
              <w:rPr>
                <w:rFonts w:cs="Arial"/>
                <w:color w:val="auto"/>
                <w:kern w:val="0"/>
                <w:sz w:val="16"/>
                <w:szCs w:val="16"/>
              </w:rPr>
            </w:pPr>
            <w:r w:rsidRPr="00894701">
              <w:rPr>
                <w:rFonts w:cs="Arial"/>
                <w:color w:val="auto"/>
                <w:kern w:val="0"/>
                <w:sz w:val="16"/>
                <w:szCs w:val="16"/>
              </w:rPr>
              <w:t>-</w:t>
            </w:r>
          </w:p>
        </w:tc>
        <w:tc>
          <w:tcPr>
            <w:tcW w:w="0" w:type="auto"/>
            <w:tcBorders>
              <w:top w:val="nil"/>
              <w:left w:val="nil"/>
              <w:bottom w:val="nil"/>
              <w:right w:val="nil"/>
            </w:tcBorders>
            <w:shd w:val="clear" w:color="000000" w:fill="FFFFFF"/>
            <w:noWrap/>
            <w:vAlign w:val="center"/>
            <w:hideMark/>
          </w:tcPr>
          <w:p w14:paraId="728CC0D9" w14:textId="77777777" w:rsidR="00AA49E3" w:rsidRPr="00894701" w:rsidRDefault="00AA49E3" w:rsidP="00AA49E3">
            <w:pPr>
              <w:spacing w:after="0" w:line="240" w:lineRule="auto"/>
              <w:jc w:val="right"/>
              <w:rPr>
                <w:rFonts w:cs="Arial"/>
                <w:color w:val="auto"/>
                <w:kern w:val="0"/>
                <w:sz w:val="16"/>
                <w:szCs w:val="16"/>
              </w:rPr>
            </w:pPr>
            <w:r w:rsidRPr="00894701">
              <w:rPr>
                <w:rFonts w:cs="Arial"/>
                <w:color w:val="auto"/>
                <w:kern w:val="0"/>
                <w:sz w:val="16"/>
                <w:szCs w:val="16"/>
              </w:rPr>
              <w:t>23,900,000</w:t>
            </w:r>
          </w:p>
        </w:tc>
        <w:tc>
          <w:tcPr>
            <w:tcW w:w="0" w:type="auto"/>
            <w:tcBorders>
              <w:top w:val="nil"/>
              <w:left w:val="nil"/>
              <w:bottom w:val="nil"/>
              <w:right w:val="nil"/>
            </w:tcBorders>
            <w:shd w:val="clear" w:color="000000" w:fill="FFFFFF"/>
            <w:noWrap/>
            <w:vAlign w:val="center"/>
            <w:hideMark/>
          </w:tcPr>
          <w:p w14:paraId="1CCF366D" w14:textId="77777777" w:rsidR="00AA49E3" w:rsidRPr="00894701" w:rsidRDefault="00AA49E3" w:rsidP="00AA49E3">
            <w:pPr>
              <w:spacing w:after="0" w:line="240" w:lineRule="auto"/>
              <w:jc w:val="right"/>
              <w:rPr>
                <w:rFonts w:cs="Arial"/>
                <w:color w:val="auto"/>
                <w:kern w:val="0"/>
                <w:sz w:val="16"/>
                <w:szCs w:val="16"/>
              </w:rPr>
            </w:pPr>
            <w:r w:rsidRPr="00894701">
              <w:rPr>
                <w:rFonts w:cs="Arial"/>
                <w:color w:val="auto"/>
                <w:kern w:val="0"/>
                <w:sz w:val="16"/>
                <w:szCs w:val="16"/>
              </w:rPr>
              <w:t>-</w:t>
            </w:r>
          </w:p>
        </w:tc>
      </w:tr>
      <w:tr w:rsidR="00AA49E3" w:rsidRPr="00894701" w14:paraId="6EDC2698" w14:textId="77777777" w:rsidTr="0010169E">
        <w:trPr>
          <w:trHeight w:val="227"/>
        </w:trPr>
        <w:tc>
          <w:tcPr>
            <w:tcW w:w="0" w:type="auto"/>
            <w:tcBorders>
              <w:top w:val="nil"/>
              <w:left w:val="nil"/>
              <w:bottom w:val="nil"/>
              <w:right w:val="nil"/>
            </w:tcBorders>
            <w:shd w:val="clear" w:color="auto" w:fill="F7A3B0"/>
            <w:noWrap/>
            <w:vAlign w:val="center"/>
            <w:hideMark/>
          </w:tcPr>
          <w:p w14:paraId="030D1193" w14:textId="77777777" w:rsidR="00AA49E3" w:rsidRPr="00894701" w:rsidRDefault="00AA49E3" w:rsidP="00AA49E3">
            <w:pPr>
              <w:spacing w:after="0" w:line="240" w:lineRule="auto"/>
              <w:rPr>
                <w:rFonts w:cs="Arial"/>
                <w:color w:val="auto"/>
                <w:kern w:val="0"/>
                <w:sz w:val="16"/>
                <w:szCs w:val="16"/>
              </w:rPr>
            </w:pPr>
            <w:r w:rsidRPr="00894701">
              <w:rPr>
                <w:rFonts w:cs="Arial"/>
                <w:color w:val="auto"/>
                <w:kern w:val="0"/>
                <w:sz w:val="16"/>
                <w:szCs w:val="16"/>
              </w:rPr>
              <w:t>1.10</w:t>
            </w:r>
          </w:p>
        </w:tc>
        <w:tc>
          <w:tcPr>
            <w:tcW w:w="3868" w:type="dxa"/>
            <w:tcBorders>
              <w:top w:val="nil"/>
              <w:left w:val="nil"/>
              <w:bottom w:val="nil"/>
              <w:right w:val="nil"/>
            </w:tcBorders>
            <w:shd w:val="clear" w:color="auto" w:fill="F7A3B0"/>
            <w:vAlign w:val="center"/>
            <w:hideMark/>
          </w:tcPr>
          <w:p w14:paraId="2767E495" w14:textId="3F556D28" w:rsidR="00AA49E3" w:rsidRPr="00894701" w:rsidRDefault="00AA49E3" w:rsidP="00AA49E3">
            <w:pPr>
              <w:spacing w:after="0" w:line="240" w:lineRule="auto"/>
              <w:rPr>
                <w:rFonts w:cs="Arial"/>
                <w:color w:val="auto"/>
                <w:kern w:val="0"/>
                <w:sz w:val="16"/>
                <w:szCs w:val="16"/>
              </w:rPr>
            </w:pPr>
            <w:r w:rsidRPr="00894701">
              <w:rPr>
                <w:rFonts w:cs="Arial"/>
                <w:color w:val="auto"/>
                <w:kern w:val="0"/>
                <w:sz w:val="16"/>
                <w:szCs w:val="16"/>
              </w:rPr>
              <w:t>Wage Tax</w:t>
            </w:r>
            <w:r w:rsidR="00FB273C" w:rsidRPr="00894701">
              <w:rPr>
                <w:rFonts w:cs="Arial"/>
                <w:color w:val="auto"/>
                <w:kern w:val="0"/>
                <w:sz w:val="16"/>
                <w:szCs w:val="16"/>
              </w:rPr>
              <w:t xml:space="preserve"> </w:t>
            </w:r>
            <w:r w:rsidRPr="00894701">
              <w:rPr>
                <w:rFonts w:cs="Arial"/>
                <w:color w:val="auto"/>
                <w:kern w:val="0"/>
                <w:sz w:val="16"/>
                <w:szCs w:val="16"/>
              </w:rPr>
              <w:t>&amp;</w:t>
            </w:r>
            <w:r w:rsidR="00FB273C" w:rsidRPr="00894701">
              <w:rPr>
                <w:rFonts w:cs="Arial"/>
                <w:color w:val="auto"/>
                <w:kern w:val="0"/>
                <w:sz w:val="16"/>
                <w:szCs w:val="16"/>
              </w:rPr>
              <w:t xml:space="preserve"> </w:t>
            </w:r>
            <w:r w:rsidRPr="00894701">
              <w:rPr>
                <w:rFonts w:cs="Arial"/>
                <w:color w:val="auto"/>
                <w:kern w:val="0"/>
                <w:sz w:val="16"/>
                <w:szCs w:val="16"/>
              </w:rPr>
              <w:t>OP-premium(AOV)</w:t>
            </w:r>
          </w:p>
        </w:tc>
        <w:tc>
          <w:tcPr>
            <w:tcW w:w="0" w:type="auto"/>
            <w:tcBorders>
              <w:top w:val="nil"/>
              <w:left w:val="nil"/>
              <w:bottom w:val="nil"/>
              <w:right w:val="nil"/>
            </w:tcBorders>
            <w:shd w:val="clear" w:color="auto" w:fill="F7A3B0"/>
            <w:noWrap/>
            <w:vAlign w:val="center"/>
            <w:hideMark/>
          </w:tcPr>
          <w:p w14:paraId="57B8FA1A" w14:textId="77777777" w:rsidR="00AA49E3" w:rsidRPr="00894701" w:rsidRDefault="00AA49E3" w:rsidP="00AA49E3">
            <w:pPr>
              <w:spacing w:after="0" w:line="240" w:lineRule="auto"/>
              <w:jc w:val="right"/>
              <w:rPr>
                <w:rFonts w:cs="Arial"/>
                <w:color w:val="auto"/>
                <w:kern w:val="0"/>
                <w:sz w:val="16"/>
                <w:szCs w:val="16"/>
              </w:rPr>
            </w:pPr>
            <w:r w:rsidRPr="00894701">
              <w:rPr>
                <w:rFonts w:cs="Arial"/>
                <w:color w:val="auto"/>
                <w:kern w:val="0"/>
                <w:sz w:val="16"/>
                <w:szCs w:val="16"/>
              </w:rPr>
              <w:t>(7)</w:t>
            </w:r>
          </w:p>
        </w:tc>
        <w:tc>
          <w:tcPr>
            <w:tcW w:w="0" w:type="auto"/>
            <w:tcBorders>
              <w:top w:val="nil"/>
              <w:left w:val="nil"/>
              <w:bottom w:val="nil"/>
              <w:right w:val="nil"/>
            </w:tcBorders>
            <w:shd w:val="clear" w:color="auto" w:fill="auto"/>
            <w:noWrap/>
            <w:vAlign w:val="center"/>
            <w:hideMark/>
          </w:tcPr>
          <w:p w14:paraId="6E5F9D58" w14:textId="77777777" w:rsidR="00AA49E3" w:rsidRPr="00894701" w:rsidRDefault="00AA49E3" w:rsidP="00AA49E3">
            <w:pPr>
              <w:spacing w:after="0" w:line="240" w:lineRule="auto"/>
              <w:jc w:val="right"/>
              <w:rPr>
                <w:rFonts w:cs="Arial"/>
                <w:color w:val="auto"/>
                <w:kern w:val="0"/>
                <w:sz w:val="16"/>
                <w:szCs w:val="16"/>
              </w:rPr>
            </w:pPr>
          </w:p>
        </w:tc>
        <w:tc>
          <w:tcPr>
            <w:tcW w:w="0" w:type="auto"/>
            <w:tcBorders>
              <w:top w:val="nil"/>
              <w:left w:val="nil"/>
              <w:bottom w:val="nil"/>
              <w:right w:val="nil"/>
            </w:tcBorders>
            <w:shd w:val="clear" w:color="auto" w:fill="F7A3B0"/>
            <w:noWrap/>
            <w:vAlign w:val="center"/>
            <w:hideMark/>
          </w:tcPr>
          <w:p w14:paraId="65243A5E" w14:textId="77777777" w:rsidR="00AA49E3" w:rsidRPr="00894701" w:rsidRDefault="00AA49E3" w:rsidP="00AA49E3">
            <w:pPr>
              <w:spacing w:after="0" w:line="240" w:lineRule="auto"/>
              <w:jc w:val="right"/>
              <w:rPr>
                <w:rFonts w:cs="Arial"/>
                <w:color w:val="auto"/>
                <w:kern w:val="0"/>
                <w:sz w:val="16"/>
                <w:szCs w:val="16"/>
              </w:rPr>
            </w:pPr>
            <w:r w:rsidRPr="00894701">
              <w:rPr>
                <w:rFonts w:cs="Arial"/>
                <w:color w:val="auto"/>
                <w:kern w:val="0"/>
                <w:sz w:val="16"/>
                <w:szCs w:val="16"/>
              </w:rPr>
              <w:t>-</w:t>
            </w:r>
          </w:p>
        </w:tc>
        <w:tc>
          <w:tcPr>
            <w:tcW w:w="0" w:type="auto"/>
            <w:tcBorders>
              <w:top w:val="nil"/>
              <w:left w:val="nil"/>
              <w:bottom w:val="nil"/>
              <w:right w:val="nil"/>
            </w:tcBorders>
            <w:shd w:val="clear" w:color="auto" w:fill="F7A3B0"/>
            <w:noWrap/>
            <w:vAlign w:val="center"/>
            <w:hideMark/>
          </w:tcPr>
          <w:p w14:paraId="39E01CAA" w14:textId="77777777" w:rsidR="00AA49E3" w:rsidRPr="00894701" w:rsidRDefault="00AA49E3" w:rsidP="00AA49E3">
            <w:pPr>
              <w:spacing w:after="0" w:line="240" w:lineRule="auto"/>
              <w:jc w:val="right"/>
              <w:rPr>
                <w:rFonts w:cs="Arial"/>
                <w:color w:val="auto"/>
                <w:kern w:val="0"/>
                <w:sz w:val="16"/>
                <w:szCs w:val="16"/>
              </w:rPr>
            </w:pPr>
            <w:r w:rsidRPr="00894701">
              <w:rPr>
                <w:rFonts w:cs="Arial"/>
                <w:color w:val="auto"/>
                <w:kern w:val="0"/>
                <w:sz w:val="16"/>
                <w:szCs w:val="16"/>
              </w:rPr>
              <w:t>-</w:t>
            </w:r>
          </w:p>
        </w:tc>
        <w:tc>
          <w:tcPr>
            <w:tcW w:w="0" w:type="auto"/>
            <w:tcBorders>
              <w:top w:val="nil"/>
              <w:left w:val="nil"/>
              <w:bottom w:val="nil"/>
              <w:right w:val="nil"/>
            </w:tcBorders>
            <w:shd w:val="clear" w:color="auto" w:fill="F7A3B0"/>
            <w:noWrap/>
            <w:vAlign w:val="center"/>
            <w:hideMark/>
          </w:tcPr>
          <w:p w14:paraId="65B86A8A" w14:textId="77777777" w:rsidR="00AA49E3" w:rsidRPr="00894701" w:rsidRDefault="00AA49E3" w:rsidP="00AA49E3">
            <w:pPr>
              <w:spacing w:after="0" w:line="240" w:lineRule="auto"/>
              <w:jc w:val="right"/>
              <w:rPr>
                <w:rFonts w:cs="Arial"/>
                <w:color w:val="auto"/>
                <w:kern w:val="0"/>
                <w:sz w:val="16"/>
                <w:szCs w:val="16"/>
              </w:rPr>
            </w:pPr>
            <w:r w:rsidRPr="00894701">
              <w:rPr>
                <w:rFonts w:cs="Arial"/>
                <w:color w:val="auto"/>
                <w:kern w:val="0"/>
                <w:sz w:val="16"/>
                <w:szCs w:val="16"/>
              </w:rPr>
              <w:t>(7)</w:t>
            </w:r>
          </w:p>
        </w:tc>
      </w:tr>
      <w:tr w:rsidR="008F3B33" w:rsidRPr="00894701" w14:paraId="71413CA4" w14:textId="77777777" w:rsidTr="008F3B33">
        <w:trPr>
          <w:trHeight w:val="227"/>
        </w:trPr>
        <w:tc>
          <w:tcPr>
            <w:tcW w:w="4395" w:type="dxa"/>
            <w:gridSpan w:val="2"/>
            <w:tcBorders>
              <w:top w:val="nil"/>
              <w:left w:val="nil"/>
              <w:bottom w:val="nil"/>
              <w:right w:val="nil"/>
            </w:tcBorders>
            <w:shd w:val="clear" w:color="000000" w:fill="C0A99E"/>
            <w:noWrap/>
            <w:vAlign w:val="center"/>
            <w:hideMark/>
          </w:tcPr>
          <w:p w14:paraId="28EAE1F6" w14:textId="77777777" w:rsidR="002F4BAB" w:rsidRPr="00894701" w:rsidRDefault="002F4BAB" w:rsidP="002209C2">
            <w:pPr>
              <w:spacing w:after="0" w:line="240" w:lineRule="auto"/>
              <w:rPr>
                <w:rFonts w:cs="Arial"/>
                <w:b/>
                <w:bCs/>
                <w:color w:val="auto"/>
                <w:kern w:val="0"/>
                <w:sz w:val="16"/>
                <w:szCs w:val="16"/>
              </w:rPr>
            </w:pPr>
            <w:r w:rsidRPr="00894701">
              <w:rPr>
                <w:rFonts w:cs="Arial"/>
                <w:b/>
                <w:bCs/>
                <w:color w:val="auto"/>
                <w:kern w:val="0"/>
                <w:sz w:val="16"/>
                <w:szCs w:val="16"/>
              </w:rPr>
              <w:t xml:space="preserve"> Other payments to Ministry of Natural Resources (MNR)</w:t>
            </w:r>
          </w:p>
        </w:tc>
        <w:tc>
          <w:tcPr>
            <w:tcW w:w="0" w:type="auto"/>
            <w:tcBorders>
              <w:top w:val="nil"/>
              <w:left w:val="nil"/>
              <w:bottom w:val="nil"/>
              <w:right w:val="nil"/>
            </w:tcBorders>
            <w:shd w:val="clear" w:color="000000" w:fill="C0A99E"/>
            <w:noWrap/>
            <w:vAlign w:val="center"/>
            <w:hideMark/>
          </w:tcPr>
          <w:p w14:paraId="55EB5EED" w14:textId="77777777" w:rsidR="002F4BAB" w:rsidRPr="00894701" w:rsidRDefault="002F4BAB" w:rsidP="008F3B33">
            <w:pPr>
              <w:spacing w:after="0" w:line="240" w:lineRule="auto"/>
              <w:jc w:val="right"/>
              <w:rPr>
                <w:rFonts w:cs="Arial"/>
                <w:b/>
                <w:bCs/>
                <w:color w:val="auto"/>
                <w:kern w:val="0"/>
                <w:sz w:val="16"/>
                <w:szCs w:val="16"/>
              </w:rPr>
            </w:pPr>
            <w:r w:rsidRPr="00894701">
              <w:rPr>
                <w:rFonts w:cs="Arial"/>
                <w:b/>
                <w:bCs/>
                <w:color w:val="auto"/>
                <w:kern w:val="0"/>
                <w:sz w:val="16"/>
                <w:szCs w:val="16"/>
              </w:rPr>
              <w:t>185,018</w:t>
            </w:r>
          </w:p>
        </w:tc>
        <w:tc>
          <w:tcPr>
            <w:tcW w:w="0" w:type="auto"/>
            <w:tcBorders>
              <w:top w:val="nil"/>
              <w:left w:val="nil"/>
              <w:bottom w:val="nil"/>
              <w:right w:val="nil"/>
            </w:tcBorders>
            <w:shd w:val="clear" w:color="auto" w:fill="auto"/>
            <w:noWrap/>
            <w:vAlign w:val="center"/>
            <w:hideMark/>
          </w:tcPr>
          <w:p w14:paraId="41A58BA8" w14:textId="77777777" w:rsidR="002F4BAB" w:rsidRPr="00894701" w:rsidRDefault="002F4BAB" w:rsidP="008F3B33">
            <w:pPr>
              <w:spacing w:after="0" w:line="240" w:lineRule="auto"/>
              <w:jc w:val="right"/>
              <w:rPr>
                <w:rFonts w:cs="Arial"/>
                <w:b/>
                <w:bCs/>
                <w:color w:val="auto"/>
                <w:kern w:val="0"/>
                <w:sz w:val="16"/>
                <w:szCs w:val="16"/>
              </w:rPr>
            </w:pPr>
          </w:p>
        </w:tc>
        <w:tc>
          <w:tcPr>
            <w:tcW w:w="0" w:type="auto"/>
            <w:tcBorders>
              <w:top w:val="nil"/>
              <w:left w:val="nil"/>
              <w:bottom w:val="nil"/>
              <w:right w:val="nil"/>
            </w:tcBorders>
            <w:shd w:val="clear" w:color="000000" w:fill="C0A99E"/>
            <w:noWrap/>
            <w:vAlign w:val="center"/>
            <w:hideMark/>
          </w:tcPr>
          <w:p w14:paraId="06EB728B" w14:textId="77777777" w:rsidR="002F4BAB" w:rsidRPr="00894701" w:rsidRDefault="002F4BAB" w:rsidP="008F3B33">
            <w:pPr>
              <w:spacing w:after="0" w:line="240" w:lineRule="auto"/>
              <w:jc w:val="right"/>
              <w:rPr>
                <w:rFonts w:cs="Arial"/>
                <w:b/>
                <w:bCs/>
                <w:color w:val="auto"/>
                <w:kern w:val="0"/>
                <w:sz w:val="16"/>
                <w:szCs w:val="16"/>
              </w:rPr>
            </w:pPr>
            <w:r w:rsidRPr="00894701">
              <w:rPr>
                <w:rFonts w:cs="Arial"/>
                <w:b/>
                <w:bCs/>
                <w:color w:val="auto"/>
                <w:kern w:val="0"/>
                <w:sz w:val="16"/>
                <w:szCs w:val="16"/>
              </w:rPr>
              <w:t>185,018</w:t>
            </w:r>
          </w:p>
        </w:tc>
        <w:tc>
          <w:tcPr>
            <w:tcW w:w="0" w:type="auto"/>
            <w:tcBorders>
              <w:top w:val="nil"/>
              <w:left w:val="nil"/>
              <w:bottom w:val="nil"/>
              <w:right w:val="nil"/>
            </w:tcBorders>
            <w:shd w:val="clear" w:color="000000" w:fill="C0A99E"/>
            <w:noWrap/>
            <w:vAlign w:val="center"/>
            <w:hideMark/>
          </w:tcPr>
          <w:p w14:paraId="1195EF0E" w14:textId="77777777" w:rsidR="002F4BAB" w:rsidRPr="00894701" w:rsidRDefault="002F4BAB" w:rsidP="008F3B33">
            <w:pPr>
              <w:spacing w:after="0" w:line="240" w:lineRule="auto"/>
              <w:jc w:val="right"/>
              <w:rPr>
                <w:rFonts w:cs="Arial"/>
                <w:b/>
                <w:bCs/>
                <w:color w:val="auto"/>
                <w:kern w:val="0"/>
                <w:sz w:val="16"/>
                <w:szCs w:val="16"/>
              </w:rPr>
            </w:pPr>
            <w:r w:rsidRPr="00894701">
              <w:rPr>
                <w:rFonts w:cs="Arial"/>
                <w:b/>
                <w:bCs/>
                <w:color w:val="auto"/>
                <w:kern w:val="0"/>
                <w:sz w:val="16"/>
                <w:szCs w:val="16"/>
              </w:rPr>
              <w:t>-</w:t>
            </w:r>
          </w:p>
        </w:tc>
        <w:tc>
          <w:tcPr>
            <w:tcW w:w="0" w:type="auto"/>
            <w:tcBorders>
              <w:top w:val="nil"/>
              <w:left w:val="nil"/>
              <w:bottom w:val="nil"/>
              <w:right w:val="nil"/>
            </w:tcBorders>
            <w:shd w:val="clear" w:color="000000" w:fill="C0A99E"/>
            <w:noWrap/>
            <w:vAlign w:val="center"/>
            <w:hideMark/>
          </w:tcPr>
          <w:p w14:paraId="4000942C" w14:textId="77777777" w:rsidR="002F4BAB" w:rsidRPr="00894701" w:rsidRDefault="002F4BAB" w:rsidP="008F3B33">
            <w:pPr>
              <w:spacing w:after="0" w:line="240" w:lineRule="auto"/>
              <w:jc w:val="right"/>
              <w:rPr>
                <w:rFonts w:cs="Arial"/>
                <w:b/>
                <w:bCs/>
                <w:color w:val="auto"/>
                <w:kern w:val="0"/>
                <w:sz w:val="16"/>
                <w:szCs w:val="16"/>
              </w:rPr>
            </w:pPr>
            <w:r w:rsidRPr="00894701">
              <w:rPr>
                <w:rFonts w:cs="Arial"/>
                <w:b/>
                <w:bCs/>
                <w:color w:val="auto"/>
                <w:kern w:val="0"/>
                <w:sz w:val="16"/>
                <w:szCs w:val="16"/>
              </w:rPr>
              <w:t>-</w:t>
            </w:r>
          </w:p>
        </w:tc>
      </w:tr>
      <w:tr w:rsidR="0010169E" w:rsidRPr="00894701" w14:paraId="385913F2" w14:textId="77777777" w:rsidTr="008F3B33">
        <w:trPr>
          <w:trHeight w:val="227"/>
        </w:trPr>
        <w:tc>
          <w:tcPr>
            <w:tcW w:w="0" w:type="auto"/>
            <w:tcBorders>
              <w:top w:val="nil"/>
              <w:left w:val="nil"/>
              <w:bottom w:val="nil"/>
              <w:right w:val="nil"/>
            </w:tcBorders>
            <w:shd w:val="clear" w:color="auto" w:fill="auto"/>
            <w:noWrap/>
            <w:vAlign w:val="center"/>
            <w:hideMark/>
          </w:tcPr>
          <w:p w14:paraId="5A7D68C9" w14:textId="77777777" w:rsidR="0010169E" w:rsidRPr="00894701" w:rsidRDefault="0010169E" w:rsidP="0010169E">
            <w:pPr>
              <w:spacing w:after="0" w:line="240" w:lineRule="auto"/>
              <w:rPr>
                <w:rFonts w:cs="Arial"/>
                <w:color w:val="auto"/>
                <w:kern w:val="0"/>
                <w:sz w:val="16"/>
                <w:szCs w:val="16"/>
              </w:rPr>
            </w:pPr>
            <w:r w:rsidRPr="00894701">
              <w:rPr>
                <w:rFonts w:cs="Arial"/>
                <w:color w:val="auto"/>
                <w:kern w:val="0"/>
                <w:sz w:val="16"/>
                <w:szCs w:val="16"/>
              </w:rPr>
              <w:t>3.1</w:t>
            </w:r>
          </w:p>
        </w:tc>
        <w:tc>
          <w:tcPr>
            <w:tcW w:w="3868" w:type="dxa"/>
            <w:tcBorders>
              <w:top w:val="nil"/>
              <w:left w:val="nil"/>
              <w:bottom w:val="nil"/>
              <w:right w:val="nil"/>
            </w:tcBorders>
            <w:shd w:val="clear" w:color="auto" w:fill="auto"/>
            <w:vAlign w:val="center"/>
            <w:hideMark/>
          </w:tcPr>
          <w:p w14:paraId="1829DB29" w14:textId="30A33DA7" w:rsidR="0010169E" w:rsidRPr="00894701" w:rsidRDefault="0010169E" w:rsidP="0010169E">
            <w:pPr>
              <w:spacing w:after="0" w:line="240" w:lineRule="auto"/>
              <w:rPr>
                <w:rFonts w:cs="Arial"/>
                <w:color w:val="auto"/>
                <w:kern w:val="0"/>
                <w:sz w:val="16"/>
                <w:szCs w:val="16"/>
              </w:rPr>
            </w:pPr>
            <w:r w:rsidRPr="00894701">
              <w:rPr>
                <w:rFonts w:cs="Arial"/>
                <w:color w:val="000000"/>
                <w:kern w:val="0"/>
                <w:sz w:val="16"/>
                <w:szCs w:val="16"/>
              </w:rPr>
              <w:t>All other payments</w:t>
            </w:r>
          </w:p>
        </w:tc>
        <w:tc>
          <w:tcPr>
            <w:tcW w:w="0" w:type="auto"/>
            <w:tcBorders>
              <w:top w:val="nil"/>
              <w:left w:val="nil"/>
              <w:bottom w:val="nil"/>
              <w:right w:val="nil"/>
            </w:tcBorders>
            <w:shd w:val="clear" w:color="auto" w:fill="auto"/>
            <w:noWrap/>
            <w:vAlign w:val="center"/>
            <w:hideMark/>
          </w:tcPr>
          <w:p w14:paraId="18C97C34" w14:textId="77777777" w:rsidR="0010169E" w:rsidRPr="00894701" w:rsidRDefault="0010169E" w:rsidP="0010169E">
            <w:pPr>
              <w:spacing w:after="0" w:line="240" w:lineRule="auto"/>
              <w:jc w:val="right"/>
              <w:rPr>
                <w:rFonts w:cs="Arial"/>
                <w:color w:val="auto"/>
                <w:kern w:val="0"/>
                <w:sz w:val="16"/>
                <w:szCs w:val="16"/>
              </w:rPr>
            </w:pPr>
            <w:r w:rsidRPr="00894701">
              <w:rPr>
                <w:rFonts w:cs="Arial"/>
                <w:color w:val="auto"/>
                <w:kern w:val="0"/>
                <w:sz w:val="16"/>
                <w:szCs w:val="16"/>
              </w:rPr>
              <w:t>185,018</w:t>
            </w:r>
          </w:p>
        </w:tc>
        <w:tc>
          <w:tcPr>
            <w:tcW w:w="0" w:type="auto"/>
            <w:tcBorders>
              <w:top w:val="nil"/>
              <w:left w:val="nil"/>
              <w:bottom w:val="nil"/>
              <w:right w:val="nil"/>
            </w:tcBorders>
            <w:shd w:val="clear" w:color="auto" w:fill="auto"/>
            <w:noWrap/>
            <w:vAlign w:val="center"/>
            <w:hideMark/>
          </w:tcPr>
          <w:p w14:paraId="04AE953C" w14:textId="77777777" w:rsidR="0010169E" w:rsidRPr="00894701" w:rsidRDefault="0010169E" w:rsidP="0010169E">
            <w:pPr>
              <w:spacing w:after="0" w:line="240" w:lineRule="auto"/>
              <w:jc w:val="right"/>
              <w:rPr>
                <w:rFonts w:cs="Arial"/>
                <w:color w:val="auto"/>
                <w:kern w:val="0"/>
                <w:sz w:val="16"/>
                <w:szCs w:val="16"/>
              </w:rPr>
            </w:pPr>
          </w:p>
        </w:tc>
        <w:tc>
          <w:tcPr>
            <w:tcW w:w="0" w:type="auto"/>
            <w:tcBorders>
              <w:top w:val="nil"/>
              <w:left w:val="nil"/>
              <w:bottom w:val="nil"/>
              <w:right w:val="nil"/>
            </w:tcBorders>
            <w:shd w:val="clear" w:color="000000" w:fill="FFFFFF"/>
            <w:noWrap/>
            <w:vAlign w:val="center"/>
            <w:hideMark/>
          </w:tcPr>
          <w:p w14:paraId="389FD712" w14:textId="77777777" w:rsidR="0010169E" w:rsidRPr="00894701" w:rsidRDefault="0010169E" w:rsidP="0010169E">
            <w:pPr>
              <w:spacing w:after="0" w:line="240" w:lineRule="auto"/>
              <w:jc w:val="right"/>
              <w:rPr>
                <w:rFonts w:cs="Arial"/>
                <w:color w:val="auto"/>
                <w:kern w:val="0"/>
                <w:sz w:val="16"/>
                <w:szCs w:val="16"/>
              </w:rPr>
            </w:pPr>
            <w:r w:rsidRPr="00894701">
              <w:rPr>
                <w:rFonts w:cs="Arial"/>
                <w:color w:val="auto"/>
                <w:kern w:val="0"/>
                <w:sz w:val="16"/>
                <w:szCs w:val="16"/>
              </w:rPr>
              <w:t>185,018</w:t>
            </w:r>
          </w:p>
        </w:tc>
        <w:tc>
          <w:tcPr>
            <w:tcW w:w="0" w:type="auto"/>
            <w:tcBorders>
              <w:top w:val="nil"/>
              <w:left w:val="nil"/>
              <w:bottom w:val="nil"/>
              <w:right w:val="nil"/>
            </w:tcBorders>
            <w:shd w:val="clear" w:color="000000" w:fill="FFFFFF"/>
            <w:noWrap/>
            <w:vAlign w:val="center"/>
            <w:hideMark/>
          </w:tcPr>
          <w:p w14:paraId="670A90D3" w14:textId="77777777" w:rsidR="0010169E" w:rsidRPr="00894701" w:rsidRDefault="0010169E" w:rsidP="0010169E">
            <w:pPr>
              <w:spacing w:after="0" w:line="240" w:lineRule="auto"/>
              <w:jc w:val="right"/>
              <w:rPr>
                <w:rFonts w:cs="Arial"/>
                <w:color w:val="auto"/>
                <w:kern w:val="0"/>
                <w:sz w:val="16"/>
                <w:szCs w:val="16"/>
              </w:rPr>
            </w:pPr>
            <w:r w:rsidRPr="00894701">
              <w:rPr>
                <w:rFonts w:cs="Arial"/>
                <w:color w:val="auto"/>
                <w:kern w:val="0"/>
                <w:sz w:val="16"/>
                <w:szCs w:val="16"/>
              </w:rPr>
              <w:t>-</w:t>
            </w:r>
          </w:p>
        </w:tc>
        <w:tc>
          <w:tcPr>
            <w:tcW w:w="0" w:type="auto"/>
            <w:tcBorders>
              <w:top w:val="nil"/>
              <w:left w:val="nil"/>
              <w:bottom w:val="nil"/>
              <w:right w:val="nil"/>
            </w:tcBorders>
            <w:shd w:val="clear" w:color="000000" w:fill="FFFFFF"/>
            <w:noWrap/>
            <w:vAlign w:val="center"/>
            <w:hideMark/>
          </w:tcPr>
          <w:p w14:paraId="1B62CCD7" w14:textId="77777777" w:rsidR="0010169E" w:rsidRPr="00894701" w:rsidRDefault="0010169E" w:rsidP="0010169E">
            <w:pPr>
              <w:spacing w:after="0" w:line="240" w:lineRule="auto"/>
              <w:jc w:val="right"/>
              <w:rPr>
                <w:rFonts w:cs="Arial"/>
                <w:color w:val="auto"/>
                <w:kern w:val="0"/>
                <w:sz w:val="16"/>
                <w:szCs w:val="16"/>
              </w:rPr>
            </w:pPr>
            <w:r w:rsidRPr="00894701">
              <w:rPr>
                <w:rFonts w:cs="Arial"/>
                <w:color w:val="auto"/>
                <w:kern w:val="0"/>
                <w:sz w:val="16"/>
                <w:szCs w:val="16"/>
              </w:rPr>
              <w:t>-</w:t>
            </w:r>
          </w:p>
        </w:tc>
      </w:tr>
      <w:tr w:rsidR="008F3B33" w:rsidRPr="00894701" w14:paraId="2A2A3966" w14:textId="77777777" w:rsidTr="008F3B33">
        <w:trPr>
          <w:trHeight w:val="227"/>
        </w:trPr>
        <w:tc>
          <w:tcPr>
            <w:tcW w:w="0" w:type="auto"/>
            <w:tcBorders>
              <w:top w:val="nil"/>
              <w:left w:val="nil"/>
              <w:bottom w:val="single" w:sz="8" w:space="0" w:color="FF0000"/>
              <w:right w:val="nil"/>
            </w:tcBorders>
            <w:shd w:val="clear" w:color="000000" w:fill="7A091A"/>
            <w:vAlign w:val="center"/>
            <w:hideMark/>
          </w:tcPr>
          <w:p w14:paraId="1A8C9FFB" w14:textId="77777777" w:rsidR="002F4BAB" w:rsidRPr="00894701" w:rsidRDefault="002F4BAB" w:rsidP="002209C2">
            <w:pPr>
              <w:spacing w:after="0" w:line="240" w:lineRule="auto"/>
              <w:rPr>
                <w:rFonts w:cs="Arial"/>
                <w:b/>
                <w:bCs/>
                <w:color w:val="FFFFFF"/>
                <w:kern w:val="0"/>
                <w:sz w:val="16"/>
                <w:szCs w:val="16"/>
              </w:rPr>
            </w:pPr>
            <w:r w:rsidRPr="00894701">
              <w:rPr>
                <w:rFonts w:cs="Arial"/>
                <w:b/>
                <w:bCs/>
                <w:color w:val="FFFFFF"/>
                <w:kern w:val="0"/>
                <w:sz w:val="16"/>
                <w:szCs w:val="16"/>
              </w:rPr>
              <w:t> </w:t>
            </w:r>
          </w:p>
        </w:tc>
        <w:tc>
          <w:tcPr>
            <w:tcW w:w="3868" w:type="dxa"/>
            <w:tcBorders>
              <w:top w:val="nil"/>
              <w:left w:val="nil"/>
              <w:bottom w:val="single" w:sz="8" w:space="0" w:color="FF0000"/>
              <w:right w:val="nil"/>
            </w:tcBorders>
            <w:shd w:val="clear" w:color="000000" w:fill="7A091A"/>
            <w:vAlign w:val="center"/>
            <w:hideMark/>
          </w:tcPr>
          <w:p w14:paraId="1FE20E91" w14:textId="77777777" w:rsidR="002F4BAB" w:rsidRPr="00894701" w:rsidRDefault="002F4BAB" w:rsidP="002209C2">
            <w:pPr>
              <w:spacing w:after="0" w:line="240" w:lineRule="auto"/>
              <w:rPr>
                <w:rFonts w:cs="Arial"/>
                <w:b/>
                <w:bCs/>
                <w:color w:val="FFFFFF"/>
                <w:kern w:val="0"/>
                <w:sz w:val="16"/>
                <w:szCs w:val="16"/>
              </w:rPr>
            </w:pPr>
            <w:r w:rsidRPr="00894701">
              <w:rPr>
                <w:rFonts w:cs="Arial"/>
                <w:b/>
                <w:bCs/>
                <w:color w:val="FFFFFF"/>
                <w:kern w:val="0"/>
                <w:sz w:val="16"/>
                <w:szCs w:val="16"/>
              </w:rPr>
              <w:t>Total</w:t>
            </w:r>
          </w:p>
        </w:tc>
        <w:tc>
          <w:tcPr>
            <w:tcW w:w="0" w:type="auto"/>
            <w:tcBorders>
              <w:top w:val="nil"/>
              <w:left w:val="nil"/>
              <w:bottom w:val="single" w:sz="8" w:space="0" w:color="FF0000"/>
              <w:right w:val="nil"/>
            </w:tcBorders>
            <w:shd w:val="clear" w:color="000000" w:fill="7A091A"/>
            <w:vAlign w:val="center"/>
            <w:hideMark/>
          </w:tcPr>
          <w:p w14:paraId="3E5594DC" w14:textId="77777777" w:rsidR="002F4BAB" w:rsidRPr="00894701" w:rsidRDefault="002F4BAB" w:rsidP="008F3B33">
            <w:pPr>
              <w:spacing w:after="0" w:line="240" w:lineRule="auto"/>
              <w:jc w:val="right"/>
              <w:rPr>
                <w:rFonts w:cs="Arial"/>
                <w:b/>
                <w:bCs/>
                <w:color w:val="FFFFFF"/>
                <w:kern w:val="0"/>
                <w:sz w:val="16"/>
                <w:szCs w:val="16"/>
              </w:rPr>
            </w:pPr>
            <w:r w:rsidRPr="00894701">
              <w:rPr>
                <w:rFonts w:cs="Arial"/>
                <w:b/>
                <w:bCs/>
                <w:color w:val="FFFFFF"/>
                <w:kern w:val="0"/>
                <w:sz w:val="16"/>
                <w:szCs w:val="16"/>
              </w:rPr>
              <w:t>24,085,489</w:t>
            </w:r>
          </w:p>
        </w:tc>
        <w:tc>
          <w:tcPr>
            <w:tcW w:w="0" w:type="auto"/>
            <w:tcBorders>
              <w:top w:val="nil"/>
              <w:left w:val="nil"/>
              <w:bottom w:val="single" w:sz="8" w:space="0" w:color="B09380"/>
              <w:right w:val="nil"/>
            </w:tcBorders>
            <w:shd w:val="clear" w:color="auto" w:fill="auto"/>
            <w:vAlign w:val="center"/>
            <w:hideMark/>
          </w:tcPr>
          <w:p w14:paraId="743CA0FF" w14:textId="77777777" w:rsidR="002F4BAB" w:rsidRPr="00894701" w:rsidRDefault="002F4BAB" w:rsidP="008F3B33">
            <w:pPr>
              <w:spacing w:after="0" w:line="240" w:lineRule="auto"/>
              <w:jc w:val="right"/>
              <w:rPr>
                <w:rFonts w:cs="Arial"/>
                <w:b/>
                <w:bCs/>
                <w:color w:val="auto"/>
                <w:kern w:val="0"/>
                <w:sz w:val="16"/>
                <w:szCs w:val="16"/>
              </w:rPr>
            </w:pPr>
          </w:p>
        </w:tc>
        <w:tc>
          <w:tcPr>
            <w:tcW w:w="0" w:type="auto"/>
            <w:tcBorders>
              <w:top w:val="nil"/>
              <w:left w:val="nil"/>
              <w:bottom w:val="single" w:sz="8" w:space="0" w:color="FF0000"/>
              <w:right w:val="nil"/>
            </w:tcBorders>
            <w:shd w:val="clear" w:color="000000" w:fill="7A091A"/>
            <w:vAlign w:val="center"/>
            <w:hideMark/>
          </w:tcPr>
          <w:p w14:paraId="54F9581D" w14:textId="77777777" w:rsidR="002F4BAB" w:rsidRPr="00894701" w:rsidRDefault="002F4BAB" w:rsidP="008F3B33">
            <w:pPr>
              <w:spacing w:after="0" w:line="240" w:lineRule="auto"/>
              <w:jc w:val="right"/>
              <w:rPr>
                <w:rFonts w:cs="Arial"/>
                <w:b/>
                <w:bCs/>
                <w:color w:val="FFFFFF"/>
                <w:kern w:val="0"/>
                <w:sz w:val="16"/>
                <w:szCs w:val="16"/>
              </w:rPr>
            </w:pPr>
            <w:r w:rsidRPr="00894701">
              <w:rPr>
                <w:rFonts w:cs="Arial"/>
                <w:b/>
                <w:bCs/>
                <w:color w:val="FFFFFF"/>
                <w:kern w:val="0"/>
                <w:sz w:val="16"/>
                <w:szCs w:val="16"/>
              </w:rPr>
              <w:t>185,018</w:t>
            </w:r>
          </w:p>
        </w:tc>
        <w:tc>
          <w:tcPr>
            <w:tcW w:w="0" w:type="auto"/>
            <w:tcBorders>
              <w:top w:val="nil"/>
              <w:left w:val="nil"/>
              <w:bottom w:val="single" w:sz="8" w:space="0" w:color="FF0000"/>
              <w:right w:val="nil"/>
            </w:tcBorders>
            <w:shd w:val="clear" w:color="000000" w:fill="7A091A"/>
            <w:vAlign w:val="center"/>
            <w:hideMark/>
          </w:tcPr>
          <w:p w14:paraId="7CB62593" w14:textId="77777777" w:rsidR="002F4BAB" w:rsidRPr="00894701" w:rsidRDefault="002F4BAB" w:rsidP="008F3B33">
            <w:pPr>
              <w:spacing w:after="0" w:line="240" w:lineRule="auto"/>
              <w:jc w:val="right"/>
              <w:rPr>
                <w:rFonts w:cs="Arial"/>
                <w:b/>
                <w:bCs/>
                <w:color w:val="FFFFFF"/>
                <w:kern w:val="0"/>
                <w:sz w:val="16"/>
                <w:szCs w:val="16"/>
              </w:rPr>
            </w:pPr>
            <w:r w:rsidRPr="00894701">
              <w:rPr>
                <w:rFonts w:cs="Arial"/>
                <w:b/>
                <w:bCs/>
                <w:color w:val="FFFFFF"/>
                <w:kern w:val="0"/>
                <w:sz w:val="16"/>
                <w:szCs w:val="16"/>
              </w:rPr>
              <w:t>23,900,000</w:t>
            </w:r>
          </w:p>
        </w:tc>
        <w:tc>
          <w:tcPr>
            <w:tcW w:w="0" w:type="auto"/>
            <w:tcBorders>
              <w:top w:val="nil"/>
              <w:left w:val="nil"/>
              <w:bottom w:val="single" w:sz="8" w:space="0" w:color="FF0000"/>
              <w:right w:val="nil"/>
            </w:tcBorders>
            <w:shd w:val="clear" w:color="000000" w:fill="7A091A"/>
            <w:vAlign w:val="center"/>
            <w:hideMark/>
          </w:tcPr>
          <w:p w14:paraId="72CC7ED2" w14:textId="77777777" w:rsidR="002F4BAB" w:rsidRPr="00894701" w:rsidRDefault="002F4BAB" w:rsidP="008F3B33">
            <w:pPr>
              <w:spacing w:after="0" w:line="240" w:lineRule="auto"/>
              <w:jc w:val="right"/>
              <w:rPr>
                <w:rFonts w:cs="Arial"/>
                <w:b/>
                <w:bCs/>
                <w:color w:val="FFFFFF"/>
                <w:kern w:val="0"/>
                <w:sz w:val="16"/>
                <w:szCs w:val="16"/>
              </w:rPr>
            </w:pPr>
            <w:r w:rsidRPr="00894701">
              <w:rPr>
                <w:rFonts w:cs="Arial"/>
                <w:b/>
                <w:bCs/>
                <w:color w:val="FFFFFF"/>
                <w:kern w:val="0"/>
                <w:sz w:val="16"/>
                <w:szCs w:val="16"/>
              </w:rPr>
              <w:t>471</w:t>
            </w:r>
          </w:p>
        </w:tc>
      </w:tr>
    </w:tbl>
    <w:p w14:paraId="6C73631B" w14:textId="463F90EC" w:rsidR="002F4BAB" w:rsidRPr="00894701" w:rsidRDefault="002F4BAB" w:rsidP="002F4BAB">
      <w:pPr>
        <w:spacing w:after="0" w:line="240" w:lineRule="auto"/>
        <w:rPr>
          <w:b/>
          <w:bCs/>
          <w:noProof/>
          <w:color w:val="98002E" w:themeColor="accent3"/>
          <w:sz w:val="20"/>
          <w:szCs w:val="20"/>
        </w:rPr>
      </w:pPr>
      <w:bookmarkStart w:id="542" w:name="_Toc117539632"/>
    </w:p>
    <w:p w14:paraId="21AE002A" w14:textId="7BB87AED" w:rsidR="002F4BAB" w:rsidRPr="00894701" w:rsidRDefault="002F4BAB" w:rsidP="002F4BAB">
      <w:pPr>
        <w:spacing w:after="0"/>
        <w:jc w:val="center"/>
        <w:rPr>
          <w:b/>
          <w:bCs/>
          <w:noProof/>
          <w:color w:val="98002E" w:themeColor="accent3"/>
          <w:sz w:val="20"/>
          <w:szCs w:val="20"/>
        </w:rPr>
      </w:pPr>
      <w:bookmarkStart w:id="543" w:name="_Toc146590542"/>
      <w:r w:rsidRPr="00894701">
        <w:rPr>
          <w:b/>
          <w:bCs/>
          <w:noProof/>
          <w:color w:val="98002E" w:themeColor="accent3"/>
          <w:sz w:val="20"/>
          <w:szCs w:val="20"/>
        </w:rPr>
        <w:t xml:space="preserve">Table </w:t>
      </w:r>
      <w:r w:rsidRPr="00894701">
        <w:rPr>
          <w:b/>
          <w:bCs/>
          <w:noProof/>
          <w:color w:val="98002E" w:themeColor="accent3"/>
          <w:sz w:val="20"/>
          <w:szCs w:val="20"/>
        </w:rPr>
        <w:fldChar w:fldCharType="begin"/>
      </w:r>
      <w:r w:rsidRPr="00894701">
        <w:rPr>
          <w:b/>
          <w:bCs/>
          <w:noProof/>
          <w:color w:val="98002E" w:themeColor="accent3"/>
          <w:sz w:val="20"/>
          <w:szCs w:val="20"/>
        </w:rPr>
        <w:instrText xml:space="preserve"> SEQ Table \* ARABIC </w:instrText>
      </w:r>
      <w:r w:rsidRPr="00894701">
        <w:rPr>
          <w:b/>
          <w:bCs/>
          <w:noProof/>
          <w:color w:val="98002E" w:themeColor="accent3"/>
          <w:sz w:val="20"/>
          <w:szCs w:val="20"/>
        </w:rPr>
        <w:fldChar w:fldCharType="separate"/>
      </w:r>
      <w:r w:rsidR="0035303B">
        <w:rPr>
          <w:b/>
          <w:bCs/>
          <w:noProof/>
          <w:color w:val="98002E" w:themeColor="accent3"/>
          <w:sz w:val="20"/>
          <w:szCs w:val="20"/>
        </w:rPr>
        <w:t>70</w:t>
      </w:r>
      <w:r w:rsidRPr="00894701">
        <w:rPr>
          <w:b/>
          <w:bCs/>
          <w:noProof/>
          <w:color w:val="98002E" w:themeColor="accent3"/>
          <w:sz w:val="20"/>
          <w:szCs w:val="20"/>
        </w:rPr>
        <w:fldChar w:fldCharType="end"/>
      </w:r>
      <w:r w:rsidRPr="00894701">
        <w:rPr>
          <w:b/>
          <w:bCs/>
          <w:noProof/>
          <w:color w:val="98002E" w:themeColor="accent3"/>
          <w:sz w:val="20"/>
          <w:szCs w:val="20"/>
        </w:rPr>
        <w:t>: Summary of unreconciled amounts by revenue stream for the fiscal year 2019</w:t>
      </w:r>
      <w:bookmarkEnd w:id="542"/>
      <w:bookmarkEnd w:id="543"/>
    </w:p>
    <w:p w14:paraId="2B4920C1" w14:textId="77777777" w:rsidR="002F4BAB" w:rsidRPr="00894701" w:rsidRDefault="002F4BAB" w:rsidP="002F4BAB">
      <w:pPr>
        <w:spacing w:after="60"/>
        <w:ind w:right="112"/>
        <w:jc w:val="right"/>
        <w:rPr>
          <w:rFonts w:cs="Arial"/>
          <w:i/>
          <w:iCs/>
          <w:color w:val="000000"/>
          <w:szCs w:val="18"/>
          <w:lang w:eastAsia="fr-FR"/>
        </w:rPr>
      </w:pPr>
      <w:r w:rsidRPr="00894701">
        <w:rPr>
          <w:rFonts w:cs="Arial"/>
          <w:i/>
          <w:iCs/>
          <w:color w:val="000000"/>
          <w:szCs w:val="18"/>
          <w:lang w:eastAsia="fr-FR"/>
        </w:rPr>
        <w:t>Amounts in SRD</w:t>
      </w:r>
    </w:p>
    <w:tbl>
      <w:tblPr>
        <w:tblW w:w="8965" w:type="dxa"/>
        <w:tblLook w:val="04A0" w:firstRow="1" w:lastRow="0" w:firstColumn="1" w:lastColumn="0" w:noHBand="0" w:noVBand="1"/>
      </w:tblPr>
      <w:tblGrid>
        <w:gridCol w:w="564"/>
        <w:gridCol w:w="3709"/>
        <w:gridCol w:w="1208"/>
        <w:gridCol w:w="307"/>
        <w:gridCol w:w="1144"/>
        <w:gridCol w:w="1138"/>
        <w:gridCol w:w="923"/>
      </w:tblGrid>
      <w:tr w:rsidR="004365C4" w:rsidRPr="00894701" w14:paraId="251D3B05" w14:textId="77777777" w:rsidTr="00AA49E3">
        <w:trPr>
          <w:trHeight w:val="227"/>
          <w:tblHeader/>
        </w:trPr>
        <w:tc>
          <w:tcPr>
            <w:tcW w:w="564" w:type="dxa"/>
            <w:vMerge w:val="restart"/>
            <w:tcBorders>
              <w:top w:val="nil"/>
              <w:left w:val="nil"/>
              <w:bottom w:val="single" w:sz="8" w:space="0" w:color="FF0000"/>
              <w:right w:val="nil"/>
            </w:tcBorders>
            <w:shd w:val="clear" w:color="000000" w:fill="7A091A"/>
            <w:vAlign w:val="center"/>
            <w:hideMark/>
          </w:tcPr>
          <w:p w14:paraId="2F7A4942" w14:textId="77777777" w:rsidR="002F4BAB" w:rsidRPr="00894701" w:rsidRDefault="002F4BAB" w:rsidP="002209C2">
            <w:pPr>
              <w:spacing w:after="0" w:line="240" w:lineRule="auto"/>
              <w:rPr>
                <w:rFonts w:cs="Arial"/>
                <w:b/>
                <w:bCs/>
                <w:color w:val="FFFFFF"/>
                <w:kern w:val="0"/>
                <w:sz w:val="16"/>
                <w:szCs w:val="16"/>
              </w:rPr>
            </w:pPr>
            <w:r w:rsidRPr="00894701">
              <w:rPr>
                <w:rFonts w:cs="Arial"/>
                <w:b/>
                <w:bCs/>
                <w:color w:val="FFFFFF"/>
                <w:kern w:val="0"/>
                <w:sz w:val="16"/>
                <w:szCs w:val="16"/>
              </w:rPr>
              <w:t>No.</w:t>
            </w:r>
          </w:p>
        </w:tc>
        <w:tc>
          <w:tcPr>
            <w:tcW w:w="3709" w:type="dxa"/>
            <w:vMerge w:val="restart"/>
            <w:tcBorders>
              <w:top w:val="nil"/>
              <w:left w:val="nil"/>
              <w:bottom w:val="single" w:sz="8" w:space="0" w:color="FF0000"/>
              <w:right w:val="nil"/>
            </w:tcBorders>
            <w:shd w:val="clear" w:color="000000" w:fill="7A091A"/>
            <w:vAlign w:val="center"/>
            <w:hideMark/>
          </w:tcPr>
          <w:p w14:paraId="015924D9" w14:textId="77777777" w:rsidR="002F4BAB" w:rsidRPr="00894701" w:rsidRDefault="002F4BAB" w:rsidP="002209C2">
            <w:pPr>
              <w:spacing w:after="0" w:line="240" w:lineRule="auto"/>
              <w:jc w:val="center"/>
              <w:rPr>
                <w:rFonts w:cs="Arial"/>
                <w:b/>
                <w:bCs/>
                <w:color w:val="FFFFFF"/>
                <w:kern w:val="0"/>
                <w:sz w:val="16"/>
                <w:szCs w:val="16"/>
              </w:rPr>
            </w:pPr>
            <w:r w:rsidRPr="00894701">
              <w:rPr>
                <w:rFonts w:cs="Arial"/>
                <w:b/>
                <w:bCs/>
                <w:color w:val="FFFFFF"/>
                <w:kern w:val="0"/>
                <w:sz w:val="16"/>
                <w:szCs w:val="16"/>
              </w:rPr>
              <w:t>Revenue Stream</w:t>
            </w:r>
          </w:p>
        </w:tc>
        <w:tc>
          <w:tcPr>
            <w:tcW w:w="1208" w:type="dxa"/>
            <w:vMerge w:val="restart"/>
            <w:tcBorders>
              <w:top w:val="nil"/>
              <w:left w:val="nil"/>
              <w:bottom w:val="single" w:sz="8" w:space="0" w:color="FF0000"/>
              <w:right w:val="nil"/>
            </w:tcBorders>
            <w:shd w:val="clear" w:color="000000" w:fill="7A091A"/>
            <w:vAlign w:val="center"/>
            <w:hideMark/>
          </w:tcPr>
          <w:p w14:paraId="53E75154" w14:textId="77777777" w:rsidR="002F4BAB" w:rsidRPr="00894701" w:rsidRDefault="002F4BAB" w:rsidP="002209C2">
            <w:pPr>
              <w:spacing w:after="0" w:line="240" w:lineRule="auto"/>
              <w:jc w:val="center"/>
              <w:rPr>
                <w:rFonts w:cs="Arial"/>
                <w:b/>
                <w:bCs/>
                <w:color w:val="FFFFFF"/>
                <w:kern w:val="0"/>
                <w:sz w:val="16"/>
                <w:szCs w:val="16"/>
              </w:rPr>
            </w:pPr>
            <w:r w:rsidRPr="00894701">
              <w:rPr>
                <w:rFonts w:cs="Arial"/>
                <w:b/>
                <w:bCs/>
                <w:color w:val="FFFFFF"/>
                <w:kern w:val="0"/>
                <w:sz w:val="16"/>
                <w:szCs w:val="16"/>
              </w:rPr>
              <w:t>Unreconciled difference</w:t>
            </w:r>
          </w:p>
        </w:tc>
        <w:tc>
          <w:tcPr>
            <w:tcW w:w="307" w:type="dxa"/>
            <w:tcBorders>
              <w:top w:val="nil"/>
              <w:left w:val="nil"/>
              <w:bottom w:val="nil"/>
              <w:right w:val="nil"/>
            </w:tcBorders>
            <w:shd w:val="clear" w:color="auto" w:fill="auto"/>
            <w:vAlign w:val="center"/>
            <w:hideMark/>
          </w:tcPr>
          <w:p w14:paraId="6C27DBB4" w14:textId="77777777" w:rsidR="002F4BAB" w:rsidRPr="00894701" w:rsidRDefault="002F4BAB" w:rsidP="002209C2">
            <w:pPr>
              <w:spacing w:after="0" w:line="240" w:lineRule="auto"/>
              <w:jc w:val="center"/>
              <w:rPr>
                <w:rFonts w:cs="Arial"/>
                <w:b/>
                <w:bCs/>
                <w:color w:val="FFFFFF"/>
                <w:kern w:val="0"/>
                <w:sz w:val="16"/>
                <w:szCs w:val="16"/>
              </w:rPr>
            </w:pPr>
          </w:p>
        </w:tc>
        <w:tc>
          <w:tcPr>
            <w:tcW w:w="3177" w:type="dxa"/>
            <w:gridSpan w:val="3"/>
            <w:tcBorders>
              <w:top w:val="nil"/>
              <w:left w:val="nil"/>
              <w:bottom w:val="single" w:sz="8" w:space="0" w:color="FF0000"/>
              <w:right w:val="nil"/>
            </w:tcBorders>
            <w:shd w:val="clear" w:color="000000" w:fill="7A091A"/>
            <w:vAlign w:val="center"/>
            <w:hideMark/>
          </w:tcPr>
          <w:p w14:paraId="50248C0A" w14:textId="77777777" w:rsidR="002F4BAB" w:rsidRPr="00894701" w:rsidRDefault="002F4BAB" w:rsidP="002209C2">
            <w:pPr>
              <w:spacing w:after="0" w:line="240" w:lineRule="auto"/>
              <w:jc w:val="center"/>
              <w:rPr>
                <w:rFonts w:cs="Arial"/>
                <w:b/>
                <w:bCs/>
                <w:color w:val="FFFFFF"/>
                <w:kern w:val="0"/>
                <w:sz w:val="16"/>
                <w:szCs w:val="16"/>
              </w:rPr>
            </w:pPr>
            <w:r w:rsidRPr="00894701">
              <w:rPr>
                <w:rFonts w:cs="Arial"/>
                <w:b/>
                <w:bCs/>
                <w:color w:val="FFFFFF"/>
                <w:kern w:val="0"/>
                <w:sz w:val="16"/>
                <w:szCs w:val="16"/>
              </w:rPr>
              <w:t>Reasons for differences</w:t>
            </w:r>
          </w:p>
        </w:tc>
      </w:tr>
      <w:tr w:rsidR="004365C4" w:rsidRPr="00894701" w14:paraId="7BD92D77" w14:textId="77777777" w:rsidTr="00AA49E3">
        <w:trPr>
          <w:trHeight w:val="227"/>
          <w:tblHeader/>
        </w:trPr>
        <w:tc>
          <w:tcPr>
            <w:tcW w:w="564" w:type="dxa"/>
            <w:vMerge/>
            <w:tcBorders>
              <w:top w:val="nil"/>
              <w:left w:val="nil"/>
              <w:bottom w:val="single" w:sz="8" w:space="0" w:color="FF0000"/>
              <w:right w:val="nil"/>
            </w:tcBorders>
            <w:vAlign w:val="center"/>
            <w:hideMark/>
          </w:tcPr>
          <w:p w14:paraId="6D6DEB0E" w14:textId="77777777" w:rsidR="002F4BAB" w:rsidRPr="00894701" w:rsidRDefault="002F4BAB" w:rsidP="002209C2">
            <w:pPr>
              <w:spacing w:after="0" w:line="240" w:lineRule="auto"/>
              <w:rPr>
                <w:rFonts w:cs="Arial"/>
                <w:b/>
                <w:bCs/>
                <w:color w:val="FFFFFF"/>
                <w:kern w:val="0"/>
                <w:sz w:val="16"/>
                <w:szCs w:val="16"/>
              </w:rPr>
            </w:pPr>
          </w:p>
        </w:tc>
        <w:tc>
          <w:tcPr>
            <w:tcW w:w="3709" w:type="dxa"/>
            <w:vMerge/>
            <w:tcBorders>
              <w:top w:val="nil"/>
              <w:left w:val="nil"/>
              <w:bottom w:val="single" w:sz="8" w:space="0" w:color="FF0000"/>
              <w:right w:val="nil"/>
            </w:tcBorders>
            <w:vAlign w:val="center"/>
            <w:hideMark/>
          </w:tcPr>
          <w:p w14:paraId="2CDF79CA" w14:textId="77777777" w:rsidR="002F4BAB" w:rsidRPr="00894701" w:rsidRDefault="002F4BAB" w:rsidP="002209C2">
            <w:pPr>
              <w:spacing w:after="0" w:line="240" w:lineRule="auto"/>
              <w:rPr>
                <w:rFonts w:cs="Arial"/>
                <w:b/>
                <w:bCs/>
                <w:color w:val="FFFFFF"/>
                <w:kern w:val="0"/>
                <w:sz w:val="16"/>
                <w:szCs w:val="16"/>
              </w:rPr>
            </w:pPr>
          </w:p>
        </w:tc>
        <w:tc>
          <w:tcPr>
            <w:tcW w:w="1208" w:type="dxa"/>
            <w:vMerge/>
            <w:tcBorders>
              <w:top w:val="nil"/>
              <w:left w:val="nil"/>
              <w:bottom w:val="single" w:sz="8" w:space="0" w:color="FF0000"/>
              <w:right w:val="nil"/>
            </w:tcBorders>
            <w:vAlign w:val="center"/>
            <w:hideMark/>
          </w:tcPr>
          <w:p w14:paraId="144FFE0C" w14:textId="77777777" w:rsidR="002F4BAB" w:rsidRPr="00894701" w:rsidRDefault="002F4BAB" w:rsidP="002209C2">
            <w:pPr>
              <w:spacing w:after="0" w:line="240" w:lineRule="auto"/>
              <w:rPr>
                <w:rFonts w:cs="Arial"/>
                <w:b/>
                <w:bCs/>
                <w:color w:val="FFFFFF"/>
                <w:kern w:val="0"/>
                <w:sz w:val="16"/>
                <w:szCs w:val="16"/>
              </w:rPr>
            </w:pPr>
          </w:p>
        </w:tc>
        <w:tc>
          <w:tcPr>
            <w:tcW w:w="307" w:type="dxa"/>
            <w:tcBorders>
              <w:top w:val="nil"/>
              <w:left w:val="nil"/>
              <w:bottom w:val="nil"/>
              <w:right w:val="nil"/>
            </w:tcBorders>
            <w:shd w:val="clear" w:color="auto" w:fill="auto"/>
            <w:vAlign w:val="center"/>
            <w:hideMark/>
          </w:tcPr>
          <w:p w14:paraId="5BD1C6A8" w14:textId="77777777" w:rsidR="002F4BAB" w:rsidRPr="00894701" w:rsidRDefault="002F4BAB" w:rsidP="002209C2">
            <w:pPr>
              <w:spacing w:after="0" w:line="240" w:lineRule="auto"/>
              <w:jc w:val="center"/>
              <w:rPr>
                <w:rFonts w:cs="Arial"/>
                <w:b/>
                <w:bCs/>
                <w:color w:val="FFFFFF"/>
                <w:kern w:val="0"/>
                <w:sz w:val="16"/>
                <w:szCs w:val="16"/>
              </w:rPr>
            </w:pPr>
          </w:p>
        </w:tc>
        <w:tc>
          <w:tcPr>
            <w:tcW w:w="1144" w:type="dxa"/>
            <w:tcBorders>
              <w:top w:val="nil"/>
              <w:left w:val="nil"/>
              <w:bottom w:val="single" w:sz="8" w:space="0" w:color="FF0000"/>
              <w:right w:val="nil"/>
            </w:tcBorders>
            <w:shd w:val="clear" w:color="000000" w:fill="7A091A"/>
            <w:tcMar>
              <w:left w:w="57" w:type="dxa"/>
              <w:right w:w="57" w:type="dxa"/>
            </w:tcMar>
            <w:vAlign w:val="center"/>
            <w:hideMark/>
          </w:tcPr>
          <w:p w14:paraId="19BF12FE" w14:textId="77777777" w:rsidR="002F4BAB" w:rsidRPr="00894701" w:rsidRDefault="002F4BAB" w:rsidP="002209C2">
            <w:pPr>
              <w:spacing w:after="0" w:line="240" w:lineRule="auto"/>
              <w:rPr>
                <w:rFonts w:cs="Arial"/>
                <w:b/>
                <w:bCs/>
                <w:color w:val="FFFFFF"/>
                <w:kern w:val="0"/>
                <w:sz w:val="16"/>
                <w:szCs w:val="16"/>
              </w:rPr>
            </w:pPr>
            <w:r w:rsidRPr="00894701">
              <w:rPr>
                <w:rFonts w:cs="Arial"/>
                <w:b/>
                <w:bCs/>
                <w:color w:val="FFFFFF"/>
                <w:kern w:val="0"/>
                <w:sz w:val="16"/>
                <w:szCs w:val="16"/>
              </w:rPr>
              <w:t>Reporting template not submitted by the Government Agency</w:t>
            </w:r>
          </w:p>
        </w:tc>
        <w:tc>
          <w:tcPr>
            <w:tcW w:w="1138" w:type="dxa"/>
            <w:tcBorders>
              <w:top w:val="nil"/>
              <w:left w:val="nil"/>
              <w:bottom w:val="single" w:sz="8" w:space="0" w:color="FF0000"/>
              <w:right w:val="nil"/>
            </w:tcBorders>
            <w:shd w:val="clear" w:color="000000" w:fill="7A091A"/>
            <w:tcMar>
              <w:left w:w="57" w:type="dxa"/>
              <w:right w:w="57" w:type="dxa"/>
            </w:tcMar>
            <w:vAlign w:val="center"/>
            <w:hideMark/>
          </w:tcPr>
          <w:p w14:paraId="52486CB2" w14:textId="66101928" w:rsidR="002F4BAB" w:rsidRPr="00894701" w:rsidRDefault="002F4BAB" w:rsidP="002209C2">
            <w:pPr>
              <w:spacing w:after="0" w:line="240" w:lineRule="auto"/>
              <w:rPr>
                <w:rFonts w:cs="Arial"/>
                <w:b/>
                <w:bCs/>
                <w:color w:val="FFFFFF"/>
                <w:kern w:val="0"/>
                <w:sz w:val="16"/>
                <w:szCs w:val="16"/>
              </w:rPr>
            </w:pPr>
            <w:r w:rsidRPr="00894701">
              <w:rPr>
                <w:rFonts w:cs="Arial"/>
                <w:b/>
                <w:bCs/>
                <w:color w:val="FFFFFF"/>
                <w:kern w:val="0"/>
                <w:sz w:val="16"/>
                <w:szCs w:val="16"/>
              </w:rPr>
              <w:t>Tax</w:t>
            </w:r>
            <w:r w:rsidR="000D63C7">
              <w:rPr>
                <w:rFonts w:cs="Arial"/>
                <w:b/>
                <w:bCs/>
                <w:color w:val="FFFFFF"/>
                <w:kern w:val="0"/>
                <w:sz w:val="16"/>
                <w:szCs w:val="16"/>
              </w:rPr>
              <w:t>es</w:t>
            </w:r>
            <w:r w:rsidRPr="00894701">
              <w:rPr>
                <w:rFonts w:cs="Arial"/>
                <w:b/>
                <w:bCs/>
                <w:color w:val="FFFFFF"/>
                <w:kern w:val="0"/>
                <w:sz w:val="16"/>
                <w:szCs w:val="16"/>
              </w:rPr>
              <w:t xml:space="preserve"> not reported by the Government Agency</w:t>
            </w:r>
          </w:p>
        </w:tc>
        <w:tc>
          <w:tcPr>
            <w:tcW w:w="895" w:type="dxa"/>
            <w:tcBorders>
              <w:top w:val="nil"/>
              <w:left w:val="nil"/>
              <w:bottom w:val="single" w:sz="8" w:space="0" w:color="FF0000"/>
              <w:right w:val="nil"/>
            </w:tcBorders>
            <w:shd w:val="clear" w:color="000000" w:fill="7A091A"/>
            <w:tcMar>
              <w:left w:w="57" w:type="dxa"/>
              <w:right w:w="57" w:type="dxa"/>
            </w:tcMar>
            <w:vAlign w:val="center"/>
            <w:hideMark/>
          </w:tcPr>
          <w:p w14:paraId="3F7EBB03" w14:textId="6C6F1607" w:rsidR="002F4BAB" w:rsidRPr="00894701" w:rsidRDefault="000D63C7" w:rsidP="002209C2">
            <w:pPr>
              <w:spacing w:after="0" w:line="240" w:lineRule="auto"/>
              <w:rPr>
                <w:rFonts w:cs="Arial"/>
                <w:b/>
                <w:bCs/>
                <w:color w:val="FFFFFF"/>
                <w:kern w:val="0"/>
                <w:sz w:val="16"/>
                <w:szCs w:val="16"/>
              </w:rPr>
            </w:pPr>
            <w:r>
              <w:rPr>
                <w:rFonts w:cs="Arial"/>
                <w:b/>
                <w:bCs/>
                <w:color w:val="FFFFFF"/>
                <w:kern w:val="0"/>
                <w:sz w:val="16"/>
                <w:szCs w:val="16"/>
              </w:rPr>
              <w:t>Im</w:t>
            </w:r>
            <w:r w:rsidRPr="00894701">
              <w:rPr>
                <w:rFonts w:cs="Arial"/>
                <w:b/>
                <w:bCs/>
                <w:color w:val="FFFFFF"/>
                <w:kern w:val="0"/>
                <w:sz w:val="16"/>
                <w:szCs w:val="16"/>
              </w:rPr>
              <w:t xml:space="preserve">material </w:t>
            </w:r>
            <w:r w:rsidR="002F4BAB" w:rsidRPr="00894701">
              <w:rPr>
                <w:rFonts w:cs="Arial"/>
                <w:b/>
                <w:bCs/>
                <w:color w:val="FFFFFF"/>
                <w:kern w:val="0"/>
                <w:sz w:val="16"/>
                <w:szCs w:val="16"/>
              </w:rPr>
              <w:t>difference</w:t>
            </w:r>
          </w:p>
        </w:tc>
      </w:tr>
      <w:tr w:rsidR="004365C4" w:rsidRPr="00894701" w14:paraId="52D56EAD" w14:textId="77777777" w:rsidTr="00AA49E3">
        <w:trPr>
          <w:trHeight w:val="227"/>
          <w:tblHeader/>
        </w:trPr>
        <w:tc>
          <w:tcPr>
            <w:tcW w:w="4273" w:type="dxa"/>
            <w:gridSpan w:val="2"/>
            <w:tcBorders>
              <w:top w:val="nil"/>
              <w:left w:val="nil"/>
              <w:bottom w:val="single" w:sz="8" w:space="0" w:color="FF0000"/>
              <w:right w:val="nil"/>
            </w:tcBorders>
            <w:shd w:val="clear" w:color="000000" w:fill="7A091A"/>
            <w:vAlign w:val="center"/>
            <w:hideMark/>
          </w:tcPr>
          <w:p w14:paraId="55B22417" w14:textId="77777777" w:rsidR="002F4BAB" w:rsidRPr="00894701" w:rsidRDefault="002F4BAB" w:rsidP="002209C2">
            <w:pPr>
              <w:spacing w:after="0" w:line="240" w:lineRule="auto"/>
              <w:jc w:val="center"/>
              <w:rPr>
                <w:rFonts w:cs="Arial"/>
                <w:b/>
                <w:bCs/>
                <w:color w:val="FFFFFF"/>
                <w:kern w:val="0"/>
                <w:sz w:val="16"/>
                <w:szCs w:val="16"/>
              </w:rPr>
            </w:pPr>
            <w:r w:rsidRPr="00894701">
              <w:rPr>
                <w:rFonts w:cs="Arial"/>
                <w:b/>
                <w:bCs/>
                <w:color w:val="FFFFFF"/>
                <w:kern w:val="0"/>
                <w:sz w:val="16"/>
                <w:szCs w:val="16"/>
              </w:rPr>
              <w:t>A- Bilateral company disclosures</w:t>
            </w:r>
          </w:p>
        </w:tc>
        <w:tc>
          <w:tcPr>
            <w:tcW w:w="1208" w:type="dxa"/>
            <w:tcBorders>
              <w:top w:val="nil"/>
              <w:left w:val="nil"/>
              <w:bottom w:val="single" w:sz="8" w:space="0" w:color="FF0000"/>
              <w:right w:val="nil"/>
            </w:tcBorders>
            <w:shd w:val="clear" w:color="000000" w:fill="7A091A"/>
            <w:vAlign w:val="center"/>
            <w:hideMark/>
          </w:tcPr>
          <w:p w14:paraId="2E1F7BEB" w14:textId="77777777" w:rsidR="002F4BAB" w:rsidRPr="00894701" w:rsidRDefault="002F4BAB" w:rsidP="004365C4">
            <w:pPr>
              <w:spacing w:after="0" w:line="240" w:lineRule="auto"/>
              <w:jc w:val="right"/>
              <w:rPr>
                <w:rFonts w:cs="Arial"/>
                <w:b/>
                <w:bCs/>
                <w:color w:val="FFFFFF"/>
                <w:kern w:val="0"/>
                <w:sz w:val="16"/>
                <w:szCs w:val="16"/>
              </w:rPr>
            </w:pPr>
            <w:r w:rsidRPr="00894701">
              <w:rPr>
                <w:rFonts w:cs="Arial"/>
                <w:b/>
                <w:bCs/>
                <w:color w:val="FFFFFF"/>
                <w:kern w:val="0"/>
                <w:sz w:val="16"/>
                <w:szCs w:val="16"/>
              </w:rPr>
              <w:t xml:space="preserve">297,505 </w:t>
            </w:r>
          </w:p>
        </w:tc>
        <w:tc>
          <w:tcPr>
            <w:tcW w:w="307" w:type="dxa"/>
            <w:tcBorders>
              <w:top w:val="nil"/>
              <w:left w:val="nil"/>
              <w:bottom w:val="nil"/>
              <w:right w:val="nil"/>
            </w:tcBorders>
            <w:shd w:val="clear" w:color="auto" w:fill="auto"/>
            <w:vAlign w:val="center"/>
            <w:hideMark/>
          </w:tcPr>
          <w:p w14:paraId="08E1BFFD" w14:textId="77777777" w:rsidR="002F4BAB" w:rsidRPr="00894701" w:rsidRDefault="002F4BAB" w:rsidP="004365C4">
            <w:pPr>
              <w:spacing w:after="0" w:line="240" w:lineRule="auto"/>
              <w:jc w:val="right"/>
              <w:rPr>
                <w:rFonts w:cs="Arial"/>
                <w:b/>
                <w:bCs/>
                <w:color w:val="auto"/>
                <w:kern w:val="0"/>
                <w:sz w:val="16"/>
                <w:szCs w:val="16"/>
              </w:rPr>
            </w:pPr>
            <w:r w:rsidRPr="00894701">
              <w:rPr>
                <w:rFonts w:cs="Arial"/>
                <w:b/>
                <w:bCs/>
                <w:color w:val="auto"/>
                <w:kern w:val="0"/>
                <w:sz w:val="16"/>
                <w:szCs w:val="16"/>
              </w:rPr>
              <w:t xml:space="preserve">  </w:t>
            </w:r>
          </w:p>
        </w:tc>
        <w:tc>
          <w:tcPr>
            <w:tcW w:w="1144" w:type="dxa"/>
            <w:tcBorders>
              <w:top w:val="nil"/>
              <w:left w:val="nil"/>
              <w:bottom w:val="single" w:sz="8" w:space="0" w:color="FF0000"/>
              <w:right w:val="nil"/>
            </w:tcBorders>
            <w:shd w:val="clear" w:color="000000" w:fill="7A091A"/>
            <w:vAlign w:val="center"/>
            <w:hideMark/>
          </w:tcPr>
          <w:p w14:paraId="578F09AD" w14:textId="77777777" w:rsidR="002F4BAB" w:rsidRPr="00894701" w:rsidRDefault="002F4BAB" w:rsidP="004365C4">
            <w:pPr>
              <w:spacing w:after="0" w:line="240" w:lineRule="auto"/>
              <w:jc w:val="right"/>
              <w:rPr>
                <w:rFonts w:cs="Arial"/>
                <w:b/>
                <w:bCs/>
                <w:color w:val="FFFFFF"/>
                <w:kern w:val="0"/>
                <w:sz w:val="16"/>
                <w:szCs w:val="16"/>
              </w:rPr>
            </w:pPr>
            <w:r w:rsidRPr="00894701">
              <w:rPr>
                <w:rFonts w:cs="Arial"/>
                <w:b/>
                <w:bCs/>
                <w:color w:val="FFFFFF"/>
                <w:kern w:val="0"/>
                <w:sz w:val="16"/>
                <w:szCs w:val="16"/>
              </w:rPr>
              <w:t xml:space="preserve">488,796 </w:t>
            </w:r>
          </w:p>
        </w:tc>
        <w:tc>
          <w:tcPr>
            <w:tcW w:w="1138" w:type="dxa"/>
            <w:tcBorders>
              <w:top w:val="nil"/>
              <w:left w:val="nil"/>
              <w:bottom w:val="single" w:sz="8" w:space="0" w:color="FF0000"/>
              <w:right w:val="nil"/>
            </w:tcBorders>
            <w:shd w:val="clear" w:color="000000" w:fill="7A091A"/>
            <w:vAlign w:val="center"/>
            <w:hideMark/>
          </w:tcPr>
          <w:p w14:paraId="2573179A" w14:textId="77777777" w:rsidR="002F4BAB" w:rsidRPr="00894701" w:rsidRDefault="002F4BAB" w:rsidP="004365C4">
            <w:pPr>
              <w:spacing w:after="0" w:line="240" w:lineRule="auto"/>
              <w:jc w:val="right"/>
              <w:rPr>
                <w:rFonts w:cs="Arial"/>
                <w:b/>
                <w:bCs/>
                <w:color w:val="FFFFFF"/>
                <w:kern w:val="0"/>
                <w:sz w:val="16"/>
                <w:szCs w:val="16"/>
              </w:rPr>
            </w:pPr>
            <w:r w:rsidRPr="00894701">
              <w:rPr>
                <w:rFonts w:cs="Arial"/>
                <w:b/>
                <w:bCs/>
                <w:color w:val="FFFFFF"/>
                <w:kern w:val="0"/>
                <w:sz w:val="16"/>
                <w:szCs w:val="16"/>
              </w:rPr>
              <w:t xml:space="preserve"> (191,295)</w:t>
            </w:r>
          </w:p>
        </w:tc>
        <w:tc>
          <w:tcPr>
            <w:tcW w:w="895" w:type="dxa"/>
            <w:tcBorders>
              <w:top w:val="nil"/>
              <w:left w:val="nil"/>
              <w:bottom w:val="single" w:sz="8" w:space="0" w:color="FF0000"/>
              <w:right w:val="nil"/>
            </w:tcBorders>
            <w:shd w:val="clear" w:color="000000" w:fill="7A091A"/>
            <w:vAlign w:val="center"/>
            <w:hideMark/>
          </w:tcPr>
          <w:p w14:paraId="4B5D3C0C" w14:textId="77777777" w:rsidR="002F4BAB" w:rsidRPr="00894701" w:rsidRDefault="002F4BAB" w:rsidP="004365C4">
            <w:pPr>
              <w:spacing w:after="0" w:line="240" w:lineRule="auto"/>
              <w:jc w:val="right"/>
              <w:rPr>
                <w:rFonts w:cs="Arial"/>
                <w:b/>
                <w:bCs/>
                <w:color w:val="FFFFFF"/>
                <w:kern w:val="0"/>
                <w:sz w:val="16"/>
                <w:szCs w:val="16"/>
              </w:rPr>
            </w:pPr>
            <w:r w:rsidRPr="00894701">
              <w:rPr>
                <w:rFonts w:cs="Arial"/>
                <w:b/>
                <w:bCs/>
                <w:color w:val="FFFFFF"/>
                <w:kern w:val="0"/>
                <w:sz w:val="16"/>
                <w:szCs w:val="16"/>
              </w:rPr>
              <w:t xml:space="preserve">4 </w:t>
            </w:r>
          </w:p>
        </w:tc>
      </w:tr>
      <w:tr w:rsidR="004365C4" w:rsidRPr="00894701" w14:paraId="004F8935" w14:textId="77777777" w:rsidTr="00AA49E3">
        <w:trPr>
          <w:trHeight w:val="227"/>
        </w:trPr>
        <w:tc>
          <w:tcPr>
            <w:tcW w:w="4273" w:type="dxa"/>
            <w:gridSpan w:val="2"/>
            <w:tcBorders>
              <w:top w:val="nil"/>
              <w:left w:val="nil"/>
              <w:bottom w:val="nil"/>
              <w:right w:val="nil"/>
            </w:tcBorders>
            <w:shd w:val="clear" w:color="000000" w:fill="C0A99E"/>
            <w:noWrap/>
            <w:vAlign w:val="center"/>
            <w:hideMark/>
          </w:tcPr>
          <w:p w14:paraId="6103C647" w14:textId="77777777" w:rsidR="002F4BAB" w:rsidRPr="00894701" w:rsidRDefault="002F4BAB" w:rsidP="002209C2">
            <w:pPr>
              <w:spacing w:after="0" w:line="240" w:lineRule="auto"/>
              <w:rPr>
                <w:rFonts w:cs="Arial"/>
                <w:b/>
                <w:bCs/>
                <w:color w:val="auto"/>
                <w:kern w:val="0"/>
                <w:sz w:val="16"/>
                <w:szCs w:val="16"/>
              </w:rPr>
            </w:pPr>
            <w:r w:rsidRPr="00894701">
              <w:rPr>
                <w:rFonts w:cs="Arial"/>
                <w:b/>
                <w:bCs/>
                <w:color w:val="auto"/>
                <w:kern w:val="0"/>
                <w:sz w:val="16"/>
                <w:szCs w:val="16"/>
              </w:rPr>
              <w:t xml:space="preserve">Ministry of Finance (MoF) </w:t>
            </w:r>
          </w:p>
        </w:tc>
        <w:tc>
          <w:tcPr>
            <w:tcW w:w="1208" w:type="dxa"/>
            <w:tcBorders>
              <w:top w:val="nil"/>
              <w:left w:val="nil"/>
              <w:bottom w:val="nil"/>
              <w:right w:val="nil"/>
            </w:tcBorders>
            <w:shd w:val="clear" w:color="000000" w:fill="C0A99E"/>
            <w:noWrap/>
            <w:vAlign w:val="center"/>
            <w:hideMark/>
          </w:tcPr>
          <w:p w14:paraId="68DA6D0E" w14:textId="77777777" w:rsidR="002F4BAB" w:rsidRPr="00894701" w:rsidRDefault="002F4BAB" w:rsidP="004365C4">
            <w:pPr>
              <w:spacing w:after="0" w:line="240" w:lineRule="auto"/>
              <w:jc w:val="right"/>
              <w:rPr>
                <w:rFonts w:cs="Arial"/>
                <w:b/>
                <w:bCs/>
                <w:color w:val="auto"/>
                <w:kern w:val="0"/>
                <w:sz w:val="16"/>
                <w:szCs w:val="16"/>
              </w:rPr>
            </w:pPr>
            <w:r w:rsidRPr="00894701">
              <w:rPr>
                <w:rFonts w:cs="Arial"/>
                <w:b/>
                <w:bCs/>
                <w:color w:val="auto"/>
                <w:kern w:val="0"/>
                <w:sz w:val="16"/>
                <w:szCs w:val="16"/>
              </w:rPr>
              <w:t>(191,291)</w:t>
            </w:r>
          </w:p>
        </w:tc>
        <w:tc>
          <w:tcPr>
            <w:tcW w:w="307" w:type="dxa"/>
            <w:tcBorders>
              <w:top w:val="nil"/>
              <w:left w:val="nil"/>
              <w:bottom w:val="nil"/>
              <w:right w:val="nil"/>
            </w:tcBorders>
            <w:shd w:val="clear" w:color="auto" w:fill="auto"/>
            <w:noWrap/>
            <w:vAlign w:val="center"/>
            <w:hideMark/>
          </w:tcPr>
          <w:p w14:paraId="1E969512" w14:textId="77777777" w:rsidR="002F4BAB" w:rsidRPr="00894701" w:rsidRDefault="002F4BAB" w:rsidP="004365C4">
            <w:pPr>
              <w:spacing w:after="0" w:line="240" w:lineRule="auto"/>
              <w:jc w:val="right"/>
              <w:rPr>
                <w:rFonts w:cs="Arial"/>
                <w:b/>
                <w:bCs/>
                <w:color w:val="auto"/>
                <w:kern w:val="0"/>
                <w:sz w:val="16"/>
                <w:szCs w:val="16"/>
              </w:rPr>
            </w:pPr>
          </w:p>
        </w:tc>
        <w:tc>
          <w:tcPr>
            <w:tcW w:w="1144" w:type="dxa"/>
            <w:tcBorders>
              <w:top w:val="nil"/>
              <w:left w:val="nil"/>
              <w:bottom w:val="nil"/>
              <w:right w:val="nil"/>
            </w:tcBorders>
            <w:shd w:val="clear" w:color="000000" w:fill="C0A99E"/>
            <w:noWrap/>
            <w:vAlign w:val="center"/>
            <w:hideMark/>
          </w:tcPr>
          <w:p w14:paraId="11E184FF" w14:textId="77777777" w:rsidR="002F4BAB" w:rsidRPr="00894701" w:rsidRDefault="002F4BAB" w:rsidP="004365C4">
            <w:pPr>
              <w:spacing w:after="0" w:line="240" w:lineRule="auto"/>
              <w:jc w:val="right"/>
              <w:rPr>
                <w:rFonts w:cs="Arial"/>
                <w:b/>
                <w:bCs/>
                <w:color w:val="auto"/>
                <w:kern w:val="0"/>
                <w:sz w:val="16"/>
                <w:szCs w:val="16"/>
              </w:rPr>
            </w:pPr>
            <w:r w:rsidRPr="00894701">
              <w:rPr>
                <w:rFonts w:cs="Arial"/>
                <w:b/>
                <w:bCs/>
                <w:color w:val="auto"/>
                <w:kern w:val="0"/>
                <w:sz w:val="16"/>
                <w:szCs w:val="16"/>
              </w:rPr>
              <w:t>-</w:t>
            </w:r>
          </w:p>
        </w:tc>
        <w:tc>
          <w:tcPr>
            <w:tcW w:w="1138" w:type="dxa"/>
            <w:tcBorders>
              <w:top w:val="nil"/>
              <w:left w:val="nil"/>
              <w:bottom w:val="nil"/>
              <w:right w:val="nil"/>
            </w:tcBorders>
            <w:shd w:val="clear" w:color="000000" w:fill="C0A99E"/>
            <w:noWrap/>
            <w:vAlign w:val="center"/>
            <w:hideMark/>
          </w:tcPr>
          <w:p w14:paraId="13B7D99F" w14:textId="77777777" w:rsidR="002F4BAB" w:rsidRPr="00894701" w:rsidRDefault="002F4BAB" w:rsidP="004365C4">
            <w:pPr>
              <w:spacing w:after="0" w:line="240" w:lineRule="auto"/>
              <w:jc w:val="right"/>
              <w:rPr>
                <w:rFonts w:cs="Arial"/>
                <w:b/>
                <w:bCs/>
                <w:color w:val="auto"/>
                <w:kern w:val="0"/>
                <w:sz w:val="16"/>
                <w:szCs w:val="16"/>
              </w:rPr>
            </w:pPr>
            <w:r w:rsidRPr="00894701">
              <w:rPr>
                <w:rFonts w:cs="Arial"/>
                <w:b/>
                <w:bCs/>
                <w:color w:val="auto"/>
                <w:kern w:val="0"/>
                <w:sz w:val="16"/>
                <w:szCs w:val="16"/>
              </w:rPr>
              <w:t>(191,295)</w:t>
            </w:r>
          </w:p>
        </w:tc>
        <w:tc>
          <w:tcPr>
            <w:tcW w:w="895" w:type="dxa"/>
            <w:tcBorders>
              <w:top w:val="nil"/>
              <w:left w:val="nil"/>
              <w:bottom w:val="nil"/>
              <w:right w:val="nil"/>
            </w:tcBorders>
            <w:shd w:val="clear" w:color="000000" w:fill="C0A99E"/>
            <w:noWrap/>
            <w:vAlign w:val="center"/>
            <w:hideMark/>
          </w:tcPr>
          <w:p w14:paraId="0F2457F8" w14:textId="77777777" w:rsidR="002F4BAB" w:rsidRPr="00894701" w:rsidRDefault="002F4BAB" w:rsidP="004365C4">
            <w:pPr>
              <w:spacing w:after="0" w:line="240" w:lineRule="auto"/>
              <w:jc w:val="right"/>
              <w:rPr>
                <w:rFonts w:cs="Arial"/>
                <w:b/>
                <w:bCs/>
                <w:color w:val="auto"/>
                <w:kern w:val="0"/>
                <w:sz w:val="16"/>
                <w:szCs w:val="16"/>
              </w:rPr>
            </w:pPr>
            <w:r w:rsidRPr="00894701">
              <w:rPr>
                <w:rFonts w:cs="Arial"/>
                <w:b/>
                <w:bCs/>
                <w:color w:val="auto"/>
                <w:kern w:val="0"/>
                <w:sz w:val="16"/>
                <w:szCs w:val="16"/>
              </w:rPr>
              <w:t>4</w:t>
            </w:r>
          </w:p>
        </w:tc>
      </w:tr>
      <w:tr w:rsidR="00AA49E3" w:rsidRPr="00894701" w14:paraId="3BC500B9" w14:textId="77777777" w:rsidTr="0010169E">
        <w:trPr>
          <w:trHeight w:val="227"/>
        </w:trPr>
        <w:tc>
          <w:tcPr>
            <w:tcW w:w="564" w:type="dxa"/>
            <w:tcBorders>
              <w:top w:val="nil"/>
              <w:left w:val="nil"/>
              <w:bottom w:val="nil"/>
              <w:right w:val="nil"/>
            </w:tcBorders>
            <w:shd w:val="clear" w:color="auto" w:fill="F7A3B0"/>
            <w:noWrap/>
            <w:vAlign w:val="center"/>
            <w:hideMark/>
          </w:tcPr>
          <w:p w14:paraId="46FE3807" w14:textId="77777777" w:rsidR="00AA49E3" w:rsidRPr="00894701" w:rsidRDefault="00AA49E3" w:rsidP="00AA49E3">
            <w:pPr>
              <w:spacing w:after="0" w:line="240" w:lineRule="auto"/>
              <w:rPr>
                <w:rFonts w:cs="Arial"/>
                <w:color w:val="auto"/>
                <w:kern w:val="0"/>
                <w:sz w:val="16"/>
                <w:szCs w:val="16"/>
              </w:rPr>
            </w:pPr>
            <w:r w:rsidRPr="00894701">
              <w:rPr>
                <w:rFonts w:cs="Arial"/>
                <w:color w:val="auto"/>
                <w:kern w:val="0"/>
                <w:sz w:val="16"/>
                <w:szCs w:val="16"/>
              </w:rPr>
              <w:t>1.10</w:t>
            </w:r>
          </w:p>
        </w:tc>
        <w:tc>
          <w:tcPr>
            <w:tcW w:w="3709" w:type="dxa"/>
            <w:tcBorders>
              <w:top w:val="nil"/>
              <w:left w:val="nil"/>
              <w:bottom w:val="nil"/>
              <w:right w:val="nil"/>
            </w:tcBorders>
            <w:shd w:val="clear" w:color="auto" w:fill="F7A3B0"/>
            <w:vAlign w:val="center"/>
            <w:hideMark/>
          </w:tcPr>
          <w:p w14:paraId="21B8498C" w14:textId="50531F8F" w:rsidR="00AA49E3" w:rsidRPr="00894701" w:rsidRDefault="00AA49E3" w:rsidP="00AA49E3">
            <w:pPr>
              <w:spacing w:after="0" w:line="240" w:lineRule="auto"/>
              <w:rPr>
                <w:rFonts w:cs="Arial"/>
                <w:color w:val="auto"/>
                <w:kern w:val="0"/>
                <w:sz w:val="16"/>
                <w:szCs w:val="16"/>
              </w:rPr>
            </w:pPr>
            <w:r w:rsidRPr="00894701">
              <w:rPr>
                <w:rFonts w:cs="Arial"/>
                <w:color w:val="auto"/>
                <w:kern w:val="0"/>
                <w:sz w:val="16"/>
                <w:szCs w:val="16"/>
              </w:rPr>
              <w:t>Wage Tax</w:t>
            </w:r>
            <w:r w:rsidR="00FB273C" w:rsidRPr="00894701">
              <w:rPr>
                <w:rFonts w:cs="Arial"/>
                <w:color w:val="auto"/>
                <w:kern w:val="0"/>
                <w:sz w:val="16"/>
                <w:szCs w:val="16"/>
              </w:rPr>
              <w:t xml:space="preserve"> </w:t>
            </w:r>
            <w:r w:rsidRPr="00894701">
              <w:rPr>
                <w:rFonts w:cs="Arial"/>
                <w:color w:val="auto"/>
                <w:kern w:val="0"/>
                <w:sz w:val="16"/>
                <w:szCs w:val="16"/>
              </w:rPr>
              <w:t>&amp;</w:t>
            </w:r>
            <w:r w:rsidR="00FB273C" w:rsidRPr="00894701">
              <w:rPr>
                <w:rFonts w:cs="Arial"/>
                <w:color w:val="auto"/>
                <w:kern w:val="0"/>
                <w:sz w:val="16"/>
                <w:szCs w:val="16"/>
              </w:rPr>
              <w:t xml:space="preserve"> </w:t>
            </w:r>
            <w:r w:rsidRPr="00894701">
              <w:rPr>
                <w:rFonts w:cs="Arial"/>
                <w:color w:val="auto"/>
                <w:kern w:val="0"/>
                <w:sz w:val="16"/>
                <w:szCs w:val="16"/>
              </w:rPr>
              <w:t>OP-premium(AOV)</w:t>
            </w:r>
          </w:p>
        </w:tc>
        <w:tc>
          <w:tcPr>
            <w:tcW w:w="1208" w:type="dxa"/>
            <w:tcBorders>
              <w:top w:val="nil"/>
              <w:left w:val="nil"/>
              <w:bottom w:val="nil"/>
              <w:right w:val="nil"/>
            </w:tcBorders>
            <w:shd w:val="clear" w:color="auto" w:fill="F7A3B0"/>
            <w:noWrap/>
            <w:vAlign w:val="center"/>
            <w:hideMark/>
          </w:tcPr>
          <w:p w14:paraId="35EA5401" w14:textId="77777777" w:rsidR="00AA49E3" w:rsidRPr="00894701" w:rsidRDefault="00AA49E3" w:rsidP="00AA49E3">
            <w:pPr>
              <w:spacing w:after="0" w:line="240" w:lineRule="auto"/>
              <w:jc w:val="right"/>
              <w:rPr>
                <w:rFonts w:cs="Arial"/>
                <w:color w:val="auto"/>
                <w:kern w:val="0"/>
                <w:sz w:val="16"/>
                <w:szCs w:val="16"/>
              </w:rPr>
            </w:pPr>
            <w:r w:rsidRPr="00894701">
              <w:rPr>
                <w:rFonts w:cs="Arial"/>
                <w:color w:val="auto"/>
                <w:kern w:val="0"/>
                <w:sz w:val="16"/>
                <w:szCs w:val="16"/>
              </w:rPr>
              <w:t>(191,291)</w:t>
            </w:r>
          </w:p>
        </w:tc>
        <w:tc>
          <w:tcPr>
            <w:tcW w:w="307" w:type="dxa"/>
            <w:tcBorders>
              <w:top w:val="nil"/>
              <w:left w:val="nil"/>
              <w:bottom w:val="nil"/>
              <w:right w:val="nil"/>
            </w:tcBorders>
            <w:shd w:val="clear" w:color="auto" w:fill="auto"/>
            <w:noWrap/>
            <w:vAlign w:val="center"/>
            <w:hideMark/>
          </w:tcPr>
          <w:p w14:paraId="79A58386" w14:textId="77777777" w:rsidR="00AA49E3" w:rsidRPr="00894701" w:rsidRDefault="00AA49E3" w:rsidP="00AA49E3">
            <w:pPr>
              <w:spacing w:after="0" w:line="240" w:lineRule="auto"/>
              <w:jc w:val="right"/>
              <w:rPr>
                <w:rFonts w:cs="Arial"/>
                <w:color w:val="auto"/>
                <w:kern w:val="0"/>
                <w:sz w:val="16"/>
                <w:szCs w:val="16"/>
              </w:rPr>
            </w:pPr>
          </w:p>
        </w:tc>
        <w:tc>
          <w:tcPr>
            <w:tcW w:w="1144" w:type="dxa"/>
            <w:tcBorders>
              <w:top w:val="nil"/>
              <w:left w:val="nil"/>
              <w:bottom w:val="nil"/>
              <w:right w:val="nil"/>
            </w:tcBorders>
            <w:shd w:val="clear" w:color="auto" w:fill="F7A3B0"/>
            <w:noWrap/>
            <w:vAlign w:val="center"/>
            <w:hideMark/>
          </w:tcPr>
          <w:p w14:paraId="5DB3B1BA" w14:textId="77777777" w:rsidR="00AA49E3" w:rsidRPr="00894701" w:rsidRDefault="00AA49E3" w:rsidP="00AA49E3">
            <w:pPr>
              <w:spacing w:after="0" w:line="240" w:lineRule="auto"/>
              <w:jc w:val="right"/>
              <w:rPr>
                <w:rFonts w:cs="Arial"/>
                <w:color w:val="auto"/>
                <w:kern w:val="0"/>
                <w:sz w:val="16"/>
                <w:szCs w:val="16"/>
              </w:rPr>
            </w:pPr>
            <w:r w:rsidRPr="00894701">
              <w:rPr>
                <w:rFonts w:cs="Arial"/>
                <w:color w:val="auto"/>
                <w:kern w:val="0"/>
                <w:sz w:val="16"/>
                <w:szCs w:val="16"/>
              </w:rPr>
              <w:t>-</w:t>
            </w:r>
          </w:p>
        </w:tc>
        <w:tc>
          <w:tcPr>
            <w:tcW w:w="1138" w:type="dxa"/>
            <w:tcBorders>
              <w:top w:val="nil"/>
              <w:left w:val="nil"/>
              <w:bottom w:val="nil"/>
              <w:right w:val="nil"/>
            </w:tcBorders>
            <w:shd w:val="clear" w:color="auto" w:fill="F7A3B0"/>
            <w:noWrap/>
            <w:vAlign w:val="center"/>
            <w:hideMark/>
          </w:tcPr>
          <w:p w14:paraId="51B604C3" w14:textId="77777777" w:rsidR="00AA49E3" w:rsidRPr="00894701" w:rsidRDefault="00AA49E3" w:rsidP="00AA49E3">
            <w:pPr>
              <w:spacing w:after="0" w:line="240" w:lineRule="auto"/>
              <w:jc w:val="right"/>
              <w:rPr>
                <w:rFonts w:cs="Arial"/>
                <w:color w:val="auto"/>
                <w:kern w:val="0"/>
                <w:sz w:val="16"/>
                <w:szCs w:val="16"/>
              </w:rPr>
            </w:pPr>
            <w:r w:rsidRPr="00894701">
              <w:rPr>
                <w:rFonts w:cs="Arial"/>
                <w:color w:val="auto"/>
                <w:kern w:val="0"/>
                <w:sz w:val="16"/>
                <w:szCs w:val="16"/>
              </w:rPr>
              <w:t>(191,295)</w:t>
            </w:r>
          </w:p>
        </w:tc>
        <w:tc>
          <w:tcPr>
            <w:tcW w:w="895" w:type="dxa"/>
            <w:tcBorders>
              <w:top w:val="nil"/>
              <w:left w:val="nil"/>
              <w:bottom w:val="nil"/>
              <w:right w:val="nil"/>
            </w:tcBorders>
            <w:shd w:val="clear" w:color="auto" w:fill="F7A3B0"/>
            <w:noWrap/>
            <w:vAlign w:val="center"/>
            <w:hideMark/>
          </w:tcPr>
          <w:p w14:paraId="4EE17EA9" w14:textId="77777777" w:rsidR="00AA49E3" w:rsidRPr="00894701" w:rsidRDefault="00AA49E3" w:rsidP="00AA49E3">
            <w:pPr>
              <w:spacing w:after="0" w:line="240" w:lineRule="auto"/>
              <w:jc w:val="right"/>
              <w:rPr>
                <w:rFonts w:cs="Arial"/>
                <w:color w:val="auto"/>
                <w:kern w:val="0"/>
                <w:sz w:val="16"/>
                <w:szCs w:val="16"/>
              </w:rPr>
            </w:pPr>
            <w:r w:rsidRPr="00894701">
              <w:rPr>
                <w:rFonts w:cs="Arial"/>
                <w:color w:val="auto"/>
                <w:kern w:val="0"/>
                <w:sz w:val="16"/>
                <w:szCs w:val="16"/>
              </w:rPr>
              <w:t>4</w:t>
            </w:r>
          </w:p>
        </w:tc>
      </w:tr>
      <w:tr w:rsidR="004365C4" w:rsidRPr="00894701" w14:paraId="390D065B" w14:textId="77777777" w:rsidTr="00AA49E3">
        <w:trPr>
          <w:trHeight w:val="227"/>
        </w:trPr>
        <w:tc>
          <w:tcPr>
            <w:tcW w:w="4273" w:type="dxa"/>
            <w:gridSpan w:val="2"/>
            <w:tcBorders>
              <w:top w:val="nil"/>
              <w:left w:val="nil"/>
              <w:bottom w:val="nil"/>
              <w:right w:val="nil"/>
            </w:tcBorders>
            <w:shd w:val="clear" w:color="000000" w:fill="C0A99E"/>
            <w:noWrap/>
            <w:vAlign w:val="center"/>
            <w:hideMark/>
          </w:tcPr>
          <w:p w14:paraId="3FDCB214" w14:textId="77777777" w:rsidR="002F4BAB" w:rsidRPr="00894701" w:rsidRDefault="002F4BAB" w:rsidP="002209C2">
            <w:pPr>
              <w:spacing w:after="0" w:line="240" w:lineRule="auto"/>
              <w:rPr>
                <w:rFonts w:cs="Arial"/>
                <w:b/>
                <w:bCs/>
                <w:color w:val="auto"/>
                <w:kern w:val="0"/>
                <w:sz w:val="16"/>
                <w:szCs w:val="16"/>
              </w:rPr>
            </w:pPr>
            <w:r w:rsidRPr="00894701">
              <w:rPr>
                <w:rFonts w:cs="Arial"/>
                <w:b/>
                <w:bCs/>
                <w:color w:val="auto"/>
                <w:kern w:val="0"/>
                <w:sz w:val="16"/>
                <w:szCs w:val="16"/>
              </w:rPr>
              <w:t xml:space="preserve"> Other payments to Ministry of Natural Resources (MNR)</w:t>
            </w:r>
          </w:p>
        </w:tc>
        <w:tc>
          <w:tcPr>
            <w:tcW w:w="1208" w:type="dxa"/>
            <w:tcBorders>
              <w:top w:val="nil"/>
              <w:left w:val="nil"/>
              <w:bottom w:val="nil"/>
              <w:right w:val="nil"/>
            </w:tcBorders>
            <w:shd w:val="clear" w:color="000000" w:fill="C0A99E"/>
            <w:noWrap/>
            <w:vAlign w:val="center"/>
            <w:hideMark/>
          </w:tcPr>
          <w:p w14:paraId="10A87B9D" w14:textId="77777777" w:rsidR="002F4BAB" w:rsidRPr="00894701" w:rsidRDefault="002F4BAB" w:rsidP="004365C4">
            <w:pPr>
              <w:spacing w:after="0" w:line="240" w:lineRule="auto"/>
              <w:jc w:val="right"/>
              <w:rPr>
                <w:rFonts w:cs="Arial"/>
                <w:b/>
                <w:bCs/>
                <w:color w:val="auto"/>
                <w:kern w:val="0"/>
                <w:sz w:val="16"/>
                <w:szCs w:val="16"/>
              </w:rPr>
            </w:pPr>
            <w:r w:rsidRPr="00894701">
              <w:rPr>
                <w:rFonts w:cs="Arial"/>
                <w:b/>
                <w:bCs/>
                <w:color w:val="auto"/>
                <w:kern w:val="0"/>
                <w:sz w:val="16"/>
                <w:szCs w:val="16"/>
              </w:rPr>
              <w:t>185,018</w:t>
            </w:r>
          </w:p>
        </w:tc>
        <w:tc>
          <w:tcPr>
            <w:tcW w:w="307" w:type="dxa"/>
            <w:tcBorders>
              <w:top w:val="nil"/>
              <w:left w:val="nil"/>
              <w:bottom w:val="nil"/>
              <w:right w:val="nil"/>
            </w:tcBorders>
            <w:shd w:val="clear" w:color="auto" w:fill="auto"/>
            <w:noWrap/>
            <w:vAlign w:val="center"/>
            <w:hideMark/>
          </w:tcPr>
          <w:p w14:paraId="2A9B016A" w14:textId="77777777" w:rsidR="002F4BAB" w:rsidRPr="00894701" w:rsidRDefault="002F4BAB" w:rsidP="004365C4">
            <w:pPr>
              <w:spacing w:after="0" w:line="240" w:lineRule="auto"/>
              <w:jc w:val="right"/>
              <w:rPr>
                <w:rFonts w:cs="Arial"/>
                <w:b/>
                <w:bCs/>
                <w:color w:val="auto"/>
                <w:kern w:val="0"/>
                <w:sz w:val="16"/>
                <w:szCs w:val="16"/>
              </w:rPr>
            </w:pPr>
          </w:p>
        </w:tc>
        <w:tc>
          <w:tcPr>
            <w:tcW w:w="1144" w:type="dxa"/>
            <w:tcBorders>
              <w:top w:val="nil"/>
              <w:left w:val="nil"/>
              <w:bottom w:val="nil"/>
              <w:right w:val="nil"/>
            </w:tcBorders>
            <w:shd w:val="clear" w:color="000000" w:fill="C0A99E"/>
            <w:noWrap/>
            <w:vAlign w:val="center"/>
            <w:hideMark/>
          </w:tcPr>
          <w:p w14:paraId="17920F02" w14:textId="77777777" w:rsidR="002F4BAB" w:rsidRPr="00894701" w:rsidRDefault="002F4BAB" w:rsidP="004365C4">
            <w:pPr>
              <w:spacing w:after="0" w:line="240" w:lineRule="auto"/>
              <w:jc w:val="right"/>
              <w:rPr>
                <w:rFonts w:cs="Arial"/>
                <w:b/>
                <w:bCs/>
                <w:color w:val="auto"/>
                <w:kern w:val="0"/>
                <w:sz w:val="16"/>
                <w:szCs w:val="16"/>
              </w:rPr>
            </w:pPr>
            <w:r w:rsidRPr="00894701">
              <w:rPr>
                <w:rFonts w:cs="Arial"/>
                <w:b/>
                <w:bCs/>
                <w:color w:val="auto"/>
                <w:kern w:val="0"/>
                <w:sz w:val="16"/>
                <w:szCs w:val="16"/>
              </w:rPr>
              <w:t>185,018</w:t>
            </w:r>
          </w:p>
        </w:tc>
        <w:tc>
          <w:tcPr>
            <w:tcW w:w="1138" w:type="dxa"/>
            <w:tcBorders>
              <w:top w:val="nil"/>
              <w:left w:val="nil"/>
              <w:bottom w:val="nil"/>
              <w:right w:val="nil"/>
            </w:tcBorders>
            <w:shd w:val="clear" w:color="000000" w:fill="C0A99E"/>
            <w:noWrap/>
            <w:vAlign w:val="center"/>
            <w:hideMark/>
          </w:tcPr>
          <w:p w14:paraId="59568EDA" w14:textId="77777777" w:rsidR="002F4BAB" w:rsidRPr="00894701" w:rsidRDefault="002F4BAB" w:rsidP="004365C4">
            <w:pPr>
              <w:spacing w:after="0" w:line="240" w:lineRule="auto"/>
              <w:jc w:val="right"/>
              <w:rPr>
                <w:rFonts w:cs="Arial"/>
                <w:b/>
                <w:bCs/>
                <w:color w:val="auto"/>
                <w:kern w:val="0"/>
                <w:sz w:val="16"/>
                <w:szCs w:val="16"/>
              </w:rPr>
            </w:pPr>
            <w:r w:rsidRPr="00894701">
              <w:rPr>
                <w:rFonts w:cs="Arial"/>
                <w:b/>
                <w:bCs/>
                <w:color w:val="auto"/>
                <w:kern w:val="0"/>
                <w:sz w:val="16"/>
                <w:szCs w:val="16"/>
              </w:rPr>
              <w:t>-</w:t>
            </w:r>
          </w:p>
        </w:tc>
        <w:tc>
          <w:tcPr>
            <w:tcW w:w="895" w:type="dxa"/>
            <w:tcBorders>
              <w:top w:val="nil"/>
              <w:left w:val="nil"/>
              <w:bottom w:val="nil"/>
              <w:right w:val="nil"/>
            </w:tcBorders>
            <w:shd w:val="clear" w:color="000000" w:fill="C0A99E"/>
            <w:noWrap/>
            <w:vAlign w:val="center"/>
            <w:hideMark/>
          </w:tcPr>
          <w:p w14:paraId="68B313D7" w14:textId="77777777" w:rsidR="002F4BAB" w:rsidRPr="00894701" w:rsidRDefault="002F4BAB" w:rsidP="004365C4">
            <w:pPr>
              <w:spacing w:after="0" w:line="240" w:lineRule="auto"/>
              <w:jc w:val="right"/>
              <w:rPr>
                <w:rFonts w:cs="Arial"/>
                <w:b/>
                <w:bCs/>
                <w:color w:val="auto"/>
                <w:kern w:val="0"/>
                <w:sz w:val="16"/>
                <w:szCs w:val="16"/>
              </w:rPr>
            </w:pPr>
            <w:r w:rsidRPr="00894701">
              <w:rPr>
                <w:rFonts w:cs="Arial"/>
                <w:b/>
                <w:bCs/>
                <w:color w:val="auto"/>
                <w:kern w:val="0"/>
                <w:sz w:val="16"/>
                <w:szCs w:val="16"/>
              </w:rPr>
              <w:t>-</w:t>
            </w:r>
          </w:p>
        </w:tc>
      </w:tr>
      <w:tr w:rsidR="0010169E" w:rsidRPr="00894701" w14:paraId="2461D5C1" w14:textId="77777777" w:rsidTr="00AA49E3">
        <w:trPr>
          <w:trHeight w:val="227"/>
        </w:trPr>
        <w:tc>
          <w:tcPr>
            <w:tcW w:w="564" w:type="dxa"/>
            <w:tcBorders>
              <w:top w:val="nil"/>
              <w:left w:val="nil"/>
              <w:bottom w:val="nil"/>
              <w:right w:val="nil"/>
            </w:tcBorders>
            <w:shd w:val="clear" w:color="auto" w:fill="auto"/>
            <w:noWrap/>
            <w:vAlign w:val="center"/>
            <w:hideMark/>
          </w:tcPr>
          <w:p w14:paraId="477934BF" w14:textId="77777777" w:rsidR="0010169E" w:rsidRPr="00894701" w:rsidRDefault="0010169E" w:rsidP="0010169E">
            <w:pPr>
              <w:spacing w:after="0" w:line="240" w:lineRule="auto"/>
              <w:rPr>
                <w:rFonts w:cs="Arial"/>
                <w:color w:val="auto"/>
                <w:kern w:val="0"/>
                <w:sz w:val="16"/>
                <w:szCs w:val="16"/>
              </w:rPr>
            </w:pPr>
            <w:r w:rsidRPr="00894701">
              <w:rPr>
                <w:rFonts w:cs="Arial"/>
                <w:color w:val="auto"/>
                <w:kern w:val="0"/>
                <w:sz w:val="16"/>
                <w:szCs w:val="16"/>
              </w:rPr>
              <w:t>3.1</w:t>
            </w:r>
          </w:p>
        </w:tc>
        <w:tc>
          <w:tcPr>
            <w:tcW w:w="3709" w:type="dxa"/>
            <w:tcBorders>
              <w:top w:val="nil"/>
              <w:left w:val="nil"/>
              <w:bottom w:val="nil"/>
              <w:right w:val="nil"/>
            </w:tcBorders>
            <w:shd w:val="clear" w:color="auto" w:fill="auto"/>
            <w:vAlign w:val="center"/>
            <w:hideMark/>
          </w:tcPr>
          <w:p w14:paraId="0FE9665F" w14:textId="5A25F2BF" w:rsidR="0010169E" w:rsidRPr="00894701" w:rsidRDefault="0010169E" w:rsidP="0010169E">
            <w:pPr>
              <w:spacing w:after="0" w:line="240" w:lineRule="auto"/>
              <w:rPr>
                <w:rFonts w:cs="Arial"/>
                <w:color w:val="auto"/>
                <w:kern w:val="0"/>
                <w:sz w:val="16"/>
                <w:szCs w:val="16"/>
              </w:rPr>
            </w:pPr>
            <w:r w:rsidRPr="00894701">
              <w:rPr>
                <w:rFonts w:cs="Arial"/>
                <w:color w:val="000000"/>
                <w:kern w:val="0"/>
                <w:sz w:val="16"/>
                <w:szCs w:val="16"/>
              </w:rPr>
              <w:t>All other payments</w:t>
            </w:r>
          </w:p>
        </w:tc>
        <w:tc>
          <w:tcPr>
            <w:tcW w:w="1208" w:type="dxa"/>
            <w:tcBorders>
              <w:top w:val="nil"/>
              <w:left w:val="nil"/>
              <w:bottom w:val="nil"/>
              <w:right w:val="nil"/>
            </w:tcBorders>
            <w:shd w:val="clear" w:color="auto" w:fill="auto"/>
            <w:noWrap/>
            <w:vAlign w:val="center"/>
            <w:hideMark/>
          </w:tcPr>
          <w:p w14:paraId="0808FBF8" w14:textId="77777777" w:rsidR="0010169E" w:rsidRPr="00894701" w:rsidRDefault="0010169E" w:rsidP="0010169E">
            <w:pPr>
              <w:spacing w:after="0" w:line="240" w:lineRule="auto"/>
              <w:jc w:val="right"/>
              <w:rPr>
                <w:rFonts w:cs="Arial"/>
                <w:color w:val="auto"/>
                <w:kern w:val="0"/>
                <w:sz w:val="16"/>
                <w:szCs w:val="16"/>
              </w:rPr>
            </w:pPr>
            <w:r w:rsidRPr="00894701">
              <w:rPr>
                <w:rFonts w:cs="Arial"/>
                <w:color w:val="auto"/>
                <w:kern w:val="0"/>
                <w:sz w:val="16"/>
                <w:szCs w:val="16"/>
              </w:rPr>
              <w:t>185,018</w:t>
            </w:r>
          </w:p>
        </w:tc>
        <w:tc>
          <w:tcPr>
            <w:tcW w:w="307" w:type="dxa"/>
            <w:tcBorders>
              <w:top w:val="nil"/>
              <w:left w:val="nil"/>
              <w:bottom w:val="nil"/>
              <w:right w:val="nil"/>
            </w:tcBorders>
            <w:shd w:val="clear" w:color="auto" w:fill="auto"/>
            <w:noWrap/>
            <w:vAlign w:val="center"/>
            <w:hideMark/>
          </w:tcPr>
          <w:p w14:paraId="5BB70813" w14:textId="77777777" w:rsidR="0010169E" w:rsidRPr="00894701" w:rsidRDefault="0010169E" w:rsidP="0010169E">
            <w:pPr>
              <w:spacing w:after="0" w:line="240" w:lineRule="auto"/>
              <w:jc w:val="right"/>
              <w:rPr>
                <w:rFonts w:cs="Arial"/>
                <w:color w:val="auto"/>
                <w:kern w:val="0"/>
                <w:sz w:val="16"/>
                <w:szCs w:val="16"/>
              </w:rPr>
            </w:pPr>
          </w:p>
        </w:tc>
        <w:tc>
          <w:tcPr>
            <w:tcW w:w="1144" w:type="dxa"/>
            <w:tcBorders>
              <w:top w:val="nil"/>
              <w:left w:val="nil"/>
              <w:bottom w:val="nil"/>
              <w:right w:val="nil"/>
            </w:tcBorders>
            <w:shd w:val="clear" w:color="000000" w:fill="FFFFFF"/>
            <w:noWrap/>
            <w:vAlign w:val="center"/>
            <w:hideMark/>
          </w:tcPr>
          <w:p w14:paraId="17BD9679" w14:textId="77777777" w:rsidR="0010169E" w:rsidRPr="00894701" w:rsidRDefault="0010169E" w:rsidP="0010169E">
            <w:pPr>
              <w:spacing w:after="0" w:line="240" w:lineRule="auto"/>
              <w:jc w:val="right"/>
              <w:rPr>
                <w:rFonts w:cs="Arial"/>
                <w:color w:val="auto"/>
                <w:kern w:val="0"/>
                <w:sz w:val="16"/>
                <w:szCs w:val="16"/>
              </w:rPr>
            </w:pPr>
            <w:r w:rsidRPr="00894701">
              <w:rPr>
                <w:rFonts w:cs="Arial"/>
                <w:color w:val="auto"/>
                <w:kern w:val="0"/>
                <w:sz w:val="16"/>
                <w:szCs w:val="16"/>
              </w:rPr>
              <w:t>185,018</w:t>
            </w:r>
          </w:p>
        </w:tc>
        <w:tc>
          <w:tcPr>
            <w:tcW w:w="1138" w:type="dxa"/>
            <w:tcBorders>
              <w:top w:val="nil"/>
              <w:left w:val="nil"/>
              <w:bottom w:val="nil"/>
              <w:right w:val="nil"/>
            </w:tcBorders>
            <w:shd w:val="clear" w:color="000000" w:fill="FFFFFF"/>
            <w:noWrap/>
            <w:vAlign w:val="center"/>
            <w:hideMark/>
          </w:tcPr>
          <w:p w14:paraId="5F426411" w14:textId="77777777" w:rsidR="0010169E" w:rsidRPr="00894701" w:rsidRDefault="0010169E" w:rsidP="0010169E">
            <w:pPr>
              <w:spacing w:after="0" w:line="240" w:lineRule="auto"/>
              <w:jc w:val="right"/>
              <w:rPr>
                <w:rFonts w:cs="Arial"/>
                <w:color w:val="auto"/>
                <w:kern w:val="0"/>
                <w:sz w:val="16"/>
                <w:szCs w:val="16"/>
              </w:rPr>
            </w:pPr>
            <w:r w:rsidRPr="00894701">
              <w:rPr>
                <w:rFonts w:cs="Arial"/>
                <w:color w:val="auto"/>
                <w:kern w:val="0"/>
                <w:sz w:val="16"/>
                <w:szCs w:val="16"/>
              </w:rPr>
              <w:t>-</w:t>
            </w:r>
          </w:p>
        </w:tc>
        <w:tc>
          <w:tcPr>
            <w:tcW w:w="895" w:type="dxa"/>
            <w:tcBorders>
              <w:top w:val="nil"/>
              <w:left w:val="nil"/>
              <w:bottom w:val="nil"/>
              <w:right w:val="nil"/>
            </w:tcBorders>
            <w:shd w:val="clear" w:color="000000" w:fill="FFFFFF"/>
            <w:noWrap/>
            <w:vAlign w:val="center"/>
            <w:hideMark/>
          </w:tcPr>
          <w:p w14:paraId="1105BE4A" w14:textId="77777777" w:rsidR="0010169E" w:rsidRPr="00894701" w:rsidRDefault="0010169E" w:rsidP="0010169E">
            <w:pPr>
              <w:spacing w:after="0" w:line="240" w:lineRule="auto"/>
              <w:jc w:val="right"/>
              <w:rPr>
                <w:rFonts w:cs="Arial"/>
                <w:color w:val="auto"/>
                <w:kern w:val="0"/>
                <w:sz w:val="16"/>
                <w:szCs w:val="16"/>
              </w:rPr>
            </w:pPr>
            <w:r w:rsidRPr="00894701">
              <w:rPr>
                <w:rFonts w:cs="Arial"/>
                <w:color w:val="auto"/>
                <w:kern w:val="0"/>
                <w:sz w:val="16"/>
                <w:szCs w:val="16"/>
              </w:rPr>
              <w:t>-</w:t>
            </w:r>
          </w:p>
        </w:tc>
      </w:tr>
      <w:tr w:rsidR="004365C4" w:rsidRPr="00894701" w14:paraId="7025B29D" w14:textId="77777777" w:rsidTr="00AA49E3">
        <w:trPr>
          <w:trHeight w:val="227"/>
        </w:trPr>
        <w:tc>
          <w:tcPr>
            <w:tcW w:w="564" w:type="dxa"/>
            <w:tcBorders>
              <w:top w:val="nil"/>
              <w:left w:val="nil"/>
              <w:bottom w:val="single" w:sz="8" w:space="0" w:color="FF0000"/>
              <w:right w:val="nil"/>
            </w:tcBorders>
            <w:shd w:val="clear" w:color="000000" w:fill="7A091A"/>
            <w:vAlign w:val="center"/>
            <w:hideMark/>
          </w:tcPr>
          <w:p w14:paraId="225A60F7" w14:textId="77777777" w:rsidR="002F4BAB" w:rsidRPr="00894701" w:rsidRDefault="002F4BAB" w:rsidP="002209C2">
            <w:pPr>
              <w:spacing w:after="0" w:line="240" w:lineRule="auto"/>
              <w:rPr>
                <w:rFonts w:cs="Arial"/>
                <w:b/>
                <w:bCs/>
                <w:color w:val="FFFFFF"/>
                <w:kern w:val="0"/>
                <w:sz w:val="16"/>
                <w:szCs w:val="16"/>
              </w:rPr>
            </w:pPr>
            <w:r w:rsidRPr="00894701">
              <w:rPr>
                <w:rFonts w:cs="Arial"/>
                <w:b/>
                <w:bCs/>
                <w:color w:val="FFFFFF"/>
                <w:kern w:val="0"/>
                <w:sz w:val="16"/>
                <w:szCs w:val="16"/>
              </w:rPr>
              <w:t> </w:t>
            </w:r>
          </w:p>
        </w:tc>
        <w:tc>
          <w:tcPr>
            <w:tcW w:w="3709" w:type="dxa"/>
            <w:tcBorders>
              <w:top w:val="nil"/>
              <w:left w:val="nil"/>
              <w:bottom w:val="single" w:sz="8" w:space="0" w:color="FF0000"/>
              <w:right w:val="nil"/>
            </w:tcBorders>
            <w:shd w:val="clear" w:color="000000" w:fill="7A091A"/>
            <w:vAlign w:val="center"/>
            <w:hideMark/>
          </w:tcPr>
          <w:p w14:paraId="0046AE23" w14:textId="77777777" w:rsidR="002F4BAB" w:rsidRPr="00894701" w:rsidRDefault="002F4BAB" w:rsidP="002209C2">
            <w:pPr>
              <w:spacing w:after="0" w:line="240" w:lineRule="auto"/>
              <w:rPr>
                <w:rFonts w:cs="Arial"/>
                <w:b/>
                <w:bCs/>
                <w:color w:val="FFFFFF"/>
                <w:kern w:val="0"/>
                <w:sz w:val="16"/>
                <w:szCs w:val="16"/>
              </w:rPr>
            </w:pPr>
            <w:r w:rsidRPr="00894701">
              <w:rPr>
                <w:rFonts w:cs="Arial"/>
                <w:b/>
                <w:bCs/>
                <w:color w:val="FFFFFF"/>
                <w:kern w:val="0"/>
                <w:sz w:val="16"/>
                <w:szCs w:val="16"/>
              </w:rPr>
              <w:t>Total</w:t>
            </w:r>
          </w:p>
        </w:tc>
        <w:tc>
          <w:tcPr>
            <w:tcW w:w="1208" w:type="dxa"/>
            <w:tcBorders>
              <w:top w:val="nil"/>
              <w:left w:val="nil"/>
              <w:bottom w:val="single" w:sz="8" w:space="0" w:color="FF0000"/>
              <w:right w:val="nil"/>
            </w:tcBorders>
            <w:shd w:val="clear" w:color="000000" w:fill="7A091A"/>
            <w:vAlign w:val="center"/>
            <w:hideMark/>
          </w:tcPr>
          <w:p w14:paraId="3293365A" w14:textId="2247A821" w:rsidR="002F4BAB" w:rsidRPr="00894701" w:rsidRDefault="003B6F67" w:rsidP="004365C4">
            <w:pPr>
              <w:spacing w:after="0" w:line="240" w:lineRule="auto"/>
              <w:jc w:val="right"/>
              <w:rPr>
                <w:rFonts w:cs="Arial"/>
                <w:b/>
                <w:bCs/>
                <w:color w:val="FFFFFF"/>
                <w:kern w:val="0"/>
                <w:sz w:val="16"/>
                <w:szCs w:val="16"/>
              </w:rPr>
            </w:pPr>
            <w:r w:rsidRPr="00894701">
              <w:rPr>
                <w:rFonts w:cs="Arial"/>
                <w:b/>
                <w:bCs/>
                <w:color w:val="FFFFFF"/>
                <w:kern w:val="0"/>
                <w:sz w:val="16"/>
                <w:szCs w:val="16"/>
              </w:rPr>
              <w:t xml:space="preserve"> (6,273)</w:t>
            </w:r>
          </w:p>
        </w:tc>
        <w:tc>
          <w:tcPr>
            <w:tcW w:w="307" w:type="dxa"/>
            <w:tcBorders>
              <w:top w:val="nil"/>
              <w:left w:val="nil"/>
              <w:bottom w:val="single" w:sz="8" w:space="0" w:color="B09380"/>
              <w:right w:val="nil"/>
            </w:tcBorders>
            <w:shd w:val="clear" w:color="auto" w:fill="auto"/>
            <w:vAlign w:val="center"/>
            <w:hideMark/>
          </w:tcPr>
          <w:p w14:paraId="5498F908" w14:textId="77777777" w:rsidR="002F4BAB" w:rsidRPr="00894701" w:rsidRDefault="002F4BAB" w:rsidP="004365C4">
            <w:pPr>
              <w:spacing w:after="0" w:line="240" w:lineRule="auto"/>
              <w:jc w:val="right"/>
              <w:rPr>
                <w:rFonts w:cs="Arial"/>
                <w:b/>
                <w:bCs/>
                <w:color w:val="auto"/>
                <w:kern w:val="0"/>
                <w:sz w:val="16"/>
                <w:szCs w:val="16"/>
              </w:rPr>
            </w:pPr>
          </w:p>
        </w:tc>
        <w:tc>
          <w:tcPr>
            <w:tcW w:w="1144" w:type="dxa"/>
            <w:tcBorders>
              <w:top w:val="nil"/>
              <w:left w:val="nil"/>
              <w:bottom w:val="single" w:sz="8" w:space="0" w:color="FF0000"/>
              <w:right w:val="nil"/>
            </w:tcBorders>
            <w:shd w:val="clear" w:color="000000" w:fill="7A091A"/>
            <w:vAlign w:val="center"/>
            <w:hideMark/>
          </w:tcPr>
          <w:p w14:paraId="0B968412" w14:textId="3209C584" w:rsidR="002F4BAB" w:rsidRPr="00894701" w:rsidRDefault="003B6F67" w:rsidP="004365C4">
            <w:pPr>
              <w:spacing w:after="0" w:line="240" w:lineRule="auto"/>
              <w:jc w:val="right"/>
              <w:rPr>
                <w:rFonts w:cs="Arial"/>
                <w:b/>
                <w:bCs/>
                <w:color w:val="FFFFFF"/>
                <w:kern w:val="0"/>
                <w:sz w:val="16"/>
                <w:szCs w:val="16"/>
              </w:rPr>
            </w:pPr>
            <w:r w:rsidRPr="00894701">
              <w:rPr>
                <w:rFonts w:cs="Arial"/>
                <w:b/>
                <w:bCs/>
                <w:color w:val="FFFFFF"/>
                <w:kern w:val="0"/>
                <w:sz w:val="16"/>
                <w:szCs w:val="16"/>
              </w:rPr>
              <w:t xml:space="preserve"> 185,018</w:t>
            </w:r>
          </w:p>
        </w:tc>
        <w:tc>
          <w:tcPr>
            <w:tcW w:w="1138" w:type="dxa"/>
            <w:tcBorders>
              <w:top w:val="nil"/>
              <w:left w:val="nil"/>
              <w:bottom w:val="single" w:sz="8" w:space="0" w:color="FF0000"/>
              <w:right w:val="nil"/>
            </w:tcBorders>
            <w:shd w:val="clear" w:color="000000" w:fill="7A091A"/>
            <w:vAlign w:val="center"/>
            <w:hideMark/>
          </w:tcPr>
          <w:p w14:paraId="28556A0D" w14:textId="77777777" w:rsidR="002F4BAB" w:rsidRPr="00894701" w:rsidRDefault="002F4BAB" w:rsidP="004365C4">
            <w:pPr>
              <w:spacing w:after="0" w:line="240" w:lineRule="auto"/>
              <w:jc w:val="right"/>
              <w:rPr>
                <w:rFonts w:cs="Arial"/>
                <w:b/>
                <w:bCs/>
                <w:color w:val="FFFFFF"/>
                <w:kern w:val="0"/>
                <w:sz w:val="16"/>
                <w:szCs w:val="16"/>
              </w:rPr>
            </w:pPr>
            <w:r w:rsidRPr="00894701">
              <w:rPr>
                <w:rFonts w:cs="Arial"/>
                <w:b/>
                <w:bCs/>
                <w:color w:val="FFFFFF"/>
                <w:kern w:val="0"/>
                <w:sz w:val="16"/>
                <w:szCs w:val="16"/>
              </w:rPr>
              <w:t>(191,295)</w:t>
            </w:r>
          </w:p>
        </w:tc>
        <w:tc>
          <w:tcPr>
            <w:tcW w:w="895" w:type="dxa"/>
            <w:tcBorders>
              <w:top w:val="nil"/>
              <w:left w:val="nil"/>
              <w:bottom w:val="single" w:sz="8" w:space="0" w:color="FF0000"/>
              <w:right w:val="nil"/>
            </w:tcBorders>
            <w:shd w:val="clear" w:color="000000" w:fill="7A091A"/>
            <w:vAlign w:val="center"/>
            <w:hideMark/>
          </w:tcPr>
          <w:p w14:paraId="6FD24172" w14:textId="77777777" w:rsidR="002F4BAB" w:rsidRPr="00894701" w:rsidRDefault="002F4BAB" w:rsidP="004365C4">
            <w:pPr>
              <w:spacing w:after="0" w:line="240" w:lineRule="auto"/>
              <w:jc w:val="right"/>
              <w:rPr>
                <w:rFonts w:cs="Arial"/>
                <w:b/>
                <w:bCs/>
                <w:color w:val="FFFFFF"/>
                <w:kern w:val="0"/>
                <w:sz w:val="16"/>
                <w:szCs w:val="16"/>
              </w:rPr>
            </w:pPr>
            <w:r w:rsidRPr="00894701">
              <w:rPr>
                <w:rFonts w:cs="Arial"/>
                <w:b/>
                <w:bCs/>
                <w:color w:val="FFFFFF"/>
                <w:kern w:val="0"/>
                <w:sz w:val="16"/>
                <w:szCs w:val="16"/>
              </w:rPr>
              <w:t>4</w:t>
            </w:r>
          </w:p>
        </w:tc>
      </w:tr>
    </w:tbl>
    <w:p w14:paraId="38B4E52F" w14:textId="3ADF8E6D" w:rsidR="0010169E" w:rsidRPr="00894701" w:rsidRDefault="0010169E">
      <w:pPr>
        <w:spacing w:after="0" w:line="240" w:lineRule="auto"/>
        <w:rPr>
          <w:b/>
          <w:bCs/>
          <w:noProof/>
          <w:color w:val="98002E" w:themeColor="accent3"/>
          <w:sz w:val="20"/>
          <w:szCs w:val="20"/>
        </w:rPr>
      </w:pPr>
      <w:bookmarkStart w:id="544" w:name="_Toc117539633"/>
    </w:p>
    <w:p w14:paraId="3E4E4DA8" w14:textId="6F50DCBE" w:rsidR="002F4BAB" w:rsidRPr="00894701" w:rsidRDefault="002F4BAB" w:rsidP="00CF5D9A">
      <w:pPr>
        <w:spacing w:after="0"/>
        <w:jc w:val="center"/>
        <w:rPr>
          <w:b/>
          <w:bCs/>
          <w:noProof/>
          <w:color w:val="98002E" w:themeColor="accent3"/>
          <w:sz w:val="20"/>
          <w:szCs w:val="20"/>
        </w:rPr>
      </w:pPr>
      <w:bookmarkStart w:id="545" w:name="_Toc146590543"/>
      <w:r w:rsidRPr="00894701">
        <w:rPr>
          <w:b/>
          <w:bCs/>
          <w:noProof/>
          <w:color w:val="98002E" w:themeColor="accent3"/>
          <w:sz w:val="20"/>
          <w:szCs w:val="20"/>
        </w:rPr>
        <w:t xml:space="preserve">Table </w:t>
      </w:r>
      <w:r w:rsidRPr="00894701">
        <w:rPr>
          <w:b/>
          <w:bCs/>
          <w:noProof/>
          <w:color w:val="98002E" w:themeColor="accent3"/>
          <w:sz w:val="20"/>
          <w:szCs w:val="20"/>
        </w:rPr>
        <w:fldChar w:fldCharType="begin"/>
      </w:r>
      <w:r w:rsidRPr="00894701">
        <w:rPr>
          <w:b/>
          <w:bCs/>
          <w:noProof/>
          <w:color w:val="98002E" w:themeColor="accent3"/>
          <w:sz w:val="20"/>
          <w:szCs w:val="20"/>
        </w:rPr>
        <w:instrText xml:space="preserve"> SEQ Table \* ARABIC </w:instrText>
      </w:r>
      <w:r w:rsidRPr="00894701">
        <w:rPr>
          <w:b/>
          <w:bCs/>
          <w:noProof/>
          <w:color w:val="98002E" w:themeColor="accent3"/>
          <w:sz w:val="20"/>
          <w:szCs w:val="20"/>
        </w:rPr>
        <w:fldChar w:fldCharType="separate"/>
      </w:r>
      <w:r w:rsidR="0035303B">
        <w:rPr>
          <w:b/>
          <w:bCs/>
          <w:noProof/>
          <w:color w:val="98002E" w:themeColor="accent3"/>
          <w:sz w:val="20"/>
          <w:szCs w:val="20"/>
        </w:rPr>
        <w:t>71</w:t>
      </w:r>
      <w:r w:rsidRPr="00894701">
        <w:rPr>
          <w:b/>
          <w:bCs/>
          <w:noProof/>
          <w:color w:val="98002E" w:themeColor="accent3"/>
          <w:sz w:val="20"/>
          <w:szCs w:val="20"/>
        </w:rPr>
        <w:fldChar w:fldCharType="end"/>
      </w:r>
      <w:r w:rsidRPr="00894701">
        <w:rPr>
          <w:b/>
          <w:bCs/>
          <w:noProof/>
          <w:color w:val="98002E" w:themeColor="accent3"/>
          <w:sz w:val="20"/>
          <w:szCs w:val="20"/>
        </w:rPr>
        <w:t>: Summary of unreconciled amounts by revenue stream for the fiscal year 2020</w:t>
      </w:r>
      <w:bookmarkEnd w:id="544"/>
      <w:bookmarkEnd w:id="545"/>
    </w:p>
    <w:p w14:paraId="5D05EABD" w14:textId="77777777" w:rsidR="002F4BAB" w:rsidRPr="00894701" w:rsidRDefault="002F4BAB" w:rsidP="00CF5D9A">
      <w:pPr>
        <w:spacing w:after="0"/>
        <w:ind w:right="112"/>
        <w:jc w:val="right"/>
        <w:rPr>
          <w:rFonts w:cs="Arial"/>
          <w:i/>
          <w:iCs/>
          <w:color w:val="000000"/>
          <w:szCs w:val="18"/>
          <w:lang w:eastAsia="fr-FR"/>
        </w:rPr>
      </w:pPr>
      <w:r w:rsidRPr="00894701">
        <w:rPr>
          <w:rFonts w:cs="Arial"/>
          <w:i/>
          <w:iCs/>
          <w:color w:val="000000"/>
          <w:szCs w:val="18"/>
          <w:lang w:eastAsia="fr-FR"/>
        </w:rPr>
        <w:t>Amounts in SRD</w:t>
      </w:r>
    </w:p>
    <w:tbl>
      <w:tblPr>
        <w:tblW w:w="9072" w:type="dxa"/>
        <w:tblLayout w:type="fixed"/>
        <w:tblLook w:val="04A0" w:firstRow="1" w:lastRow="0" w:firstColumn="1" w:lastColumn="0" w:noHBand="0" w:noVBand="1"/>
      </w:tblPr>
      <w:tblGrid>
        <w:gridCol w:w="527"/>
        <w:gridCol w:w="3896"/>
        <w:gridCol w:w="964"/>
        <w:gridCol w:w="283"/>
        <w:gridCol w:w="1134"/>
        <w:gridCol w:w="993"/>
        <w:gridCol w:w="1275"/>
      </w:tblGrid>
      <w:tr w:rsidR="00CF5D9A" w:rsidRPr="00894701" w14:paraId="2F4D8978" w14:textId="77777777" w:rsidTr="00CF5D9A">
        <w:trPr>
          <w:trHeight w:val="255"/>
          <w:tblHeader/>
        </w:trPr>
        <w:tc>
          <w:tcPr>
            <w:tcW w:w="527" w:type="dxa"/>
            <w:vMerge w:val="restart"/>
            <w:tcBorders>
              <w:top w:val="nil"/>
              <w:left w:val="nil"/>
              <w:bottom w:val="single" w:sz="8" w:space="0" w:color="FF0000"/>
              <w:right w:val="nil"/>
            </w:tcBorders>
            <w:shd w:val="clear" w:color="000000" w:fill="7A091A"/>
            <w:vAlign w:val="center"/>
            <w:hideMark/>
          </w:tcPr>
          <w:p w14:paraId="470B4427" w14:textId="77777777" w:rsidR="002F4BAB" w:rsidRPr="00894701" w:rsidRDefault="002F4BAB" w:rsidP="002209C2">
            <w:pPr>
              <w:spacing w:after="0" w:line="240" w:lineRule="auto"/>
              <w:rPr>
                <w:rFonts w:cs="Arial"/>
                <w:b/>
                <w:bCs/>
                <w:color w:val="FFFFFF"/>
                <w:kern w:val="0"/>
                <w:sz w:val="16"/>
                <w:szCs w:val="16"/>
              </w:rPr>
            </w:pPr>
            <w:r w:rsidRPr="00894701">
              <w:rPr>
                <w:rFonts w:cs="Arial"/>
                <w:b/>
                <w:bCs/>
                <w:color w:val="FFFFFF"/>
                <w:kern w:val="0"/>
                <w:sz w:val="16"/>
                <w:szCs w:val="16"/>
              </w:rPr>
              <w:t>No.</w:t>
            </w:r>
          </w:p>
        </w:tc>
        <w:tc>
          <w:tcPr>
            <w:tcW w:w="3896" w:type="dxa"/>
            <w:vMerge w:val="restart"/>
            <w:tcBorders>
              <w:top w:val="nil"/>
              <w:left w:val="nil"/>
              <w:bottom w:val="single" w:sz="8" w:space="0" w:color="FF0000"/>
              <w:right w:val="nil"/>
            </w:tcBorders>
            <w:shd w:val="clear" w:color="000000" w:fill="7A091A"/>
            <w:vAlign w:val="center"/>
            <w:hideMark/>
          </w:tcPr>
          <w:p w14:paraId="164270CD" w14:textId="77777777" w:rsidR="002F4BAB" w:rsidRPr="00894701" w:rsidRDefault="002F4BAB" w:rsidP="002209C2">
            <w:pPr>
              <w:spacing w:after="0" w:line="240" w:lineRule="auto"/>
              <w:jc w:val="center"/>
              <w:rPr>
                <w:rFonts w:cs="Arial"/>
                <w:b/>
                <w:bCs/>
                <w:color w:val="FFFFFF"/>
                <w:kern w:val="0"/>
                <w:sz w:val="16"/>
                <w:szCs w:val="16"/>
              </w:rPr>
            </w:pPr>
            <w:r w:rsidRPr="00894701">
              <w:rPr>
                <w:rFonts w:cs="Arial"/>
                <w:b/>
                <w:bCs/>
                <w:color w:val="FFFFFF"/>
                <w:kern w:val="0"/>
                <w:sz w:val="16"/>
                <w:szCs w:val="16"/>
              </w:rPr>
              <w:t>Revenue Stream</w:t>
            </w:r>
          </w:p>
        </w:tc>
        <w:tc>
          <w:tcPr>
            <w:tcW w:w="964" w:type="dxa"/>
            <w:vMerge w:val="restart"/>
            <w:tcBorders>
              <w:top w:val="nil"/>
              <w:left w:val="nil"/>
              <w:bottom w:val="single" w:sz="8" w:space="0" w:color="FF0000"/>
              <w:right w:val="nil"/>
            </w:tcBorders>
            <w:shd w:val="clear" w:color="000000" w:fill="7A091A"/>
            <w:vAlign w:val="center"/>
            <w:hideMark/>
          </w:tcPr>
          <w:p w14:paraId="0DEE19C7" w14:textId="77777777" w:rsidR="002F4BAB" w:rsidRPr="00894701" w:rsidRDefault="002F4BAB" w:rsidP="002209C2">
            <w:pPr>
              <w:spacing w:after="0" w:line="240" w:lineRule="auto"/>
              <w:jc w:val="center"/>
              <w:rPr>
                <w:rFonts w:cs="Arial"/>
                <w:b/>
                <w:bCs/>
                <w:color w:val="FFFFFF"/>
                <w:kern w:val="0"/>
                <w:sz w:val="16"/>
                <w:szCs w:val="16"/>
              </w:rPr>
            </w:pPr>
            <w:r w:rsidRPr="00894701">
              <w:rPr>
                <w:rFonts w:cs="Arial"/>
                <w:b/>
                <w:bCs/>
                <w:color w:val="FFFFFF"/>
                <w:kern w:val="0"/>
                <w:sz w:val="16"/>
                <w:szCs w:val="16"/>
              </w:rPr>
              <w:t>Unreconciled difference</w:t>
            </w:r>
          </w:p>
        </w:tc>
        <w:tc>
          <w:tcPr>
            <w:tcW w:w="283" w:type="dxa"/>
            <w:tcBorders>
              <w:top w:val="nil"/>
              <w:left w:val="nil"/>
              <w:bottom w:val="nil"/>
              <w:right w:val="nil"/>
            </w:tcBorders>
            <w:shd w:val="clear" w:color="auto" w:fill="auto"/>
            <w:vAlign w:val="center"/>
            <w:hideMark/>
          </w:tcPr>
          <w:p w14:paraId="025FAEB4" w14:textId="77777777" w:rsidR="002F4BAB" w:rsidRPr="00894701" w:rsidRDefault="002F4BAB" w:rsidP="002209C2">
            <w:pPr>
              <w:spacing w:after="0" w:line="240" w:lineRule="auto"/>
              <w:jc w:val="center"/>
              <w:rPr>
                <w:rFonts w:cs="Arial"/>
                <w:b/>
                <w:bCs/>
                <w:color w:val="auto"/>
                <w:kern w:val="0"/>
                <w:sz w:val="16"/>
                <w:szCs w:val="16"/>
              </w:rPr>
            </w:pPr>
            <w:r w:rsidRPr="00894701">
              <w:rPr>
                <w:rFonts w:cs="Arial"/>
                <w:b/>
                <w:bCs/>
                <w:color w:val="auto"/>
                <w:kern w:val="0"/>
                <w:sz w:val="16"/>
                <w:szCs w:val="16"/>
              </w:rPr>
              <w:t> </w:t>
            </w:r>
          </w:p>
        </w:tc>
        <w:tc>
          <w:tcPr>
            <w:tcW w:w="3402" w:type="dxa"/>
            <w:gridSpan w:val="3"/>
            <w:tcBorders>
              <w:top w:val="nil"/>
              <w:left w:val="nil"/>
              <w:bottom w:val="single" w:sz="8" w:space="0" w:color="FF0000"/>
              <w:right w:val="nil"/>
            </w:tcBorders>
            <w:shd w:val="clear" w:color="000000" w:fill="7A091A"/>
            <w:vAlign w:val="center"/>
            <w:hideMark/>
          </w:tcPr>
          <w:p w14:paraId="2BBDE6D7" w14:textId="77777777" w:rsidR="002F4BAB" w:rsidRPr="00894701" w:rsidRDefault="002F4BAB" w:rsidP="002209C2">
            <w:pPr>
              <w:spacing w:after="0" w:line="240" w:lineRule="auto"/>
              <w:jc w:val="center"/>
              <w:rPr>
                <w:rFonts w:cs="Arial"/>
                <w:b/>
                <w:bCs/>
                <w:color w:val="FFFFFF"/>
                <w:kern w:val="0"/>
                <w:sz w:val="16"/>
                <w:szCs w:val="16"/>
              </w:rPr>
            </w:pPr>
            <w:r w:rsidRPr="00894701">
              <w:rPr>
                <w:rFonts w:cs="Arial"/>
                <w:b/>
                <w:bCs/>
                <w:color w:val="FFFFFF"/>
                <w:kern w:val="0"/>
                <w:sz w:val="16"/>
                <w:szCs w:val="16"/>
              </w:rPr>
              <w:t>Reasons for differences</w:t>
            </w:r>
          </w:p>
        </w:tc>
      </w:tr>
      <w:tr w:rsidR="00CF5D9A" w:rsidRPr="00894701" w14:paraId="137FFFD0" w14:textId="77777777" w:rsidTr="00CF5D9A">
        <w:trPr>
          <w:trHeight w:val="730"/>
          <w:tblHeader/>
        </w:trPr>
        <w:tc>
          <w:tcPr>
            <w:tcW w:w="527" w:type="dxa"/>
            <w:vMerge/>
            <w:tcBorders>
              <w:top w:val="nil"/>
              <w:left w:val="nil"/>
              <w:bottom w:val="single" w:sz="8" w:space="0" w:color="FF0000"/>
              <w:right w:val="nil"/>
            </w:tcBorders>
            <w:vAlign w:val="center"/>
            <w:hideMark/>
          </w:tcPr>
          <w:p w14:paraId="4C9F9663" w14:textId="77777777" w:rsidR="002F4BAB" w:rsidRPr="00894701" w:rsidRDefault="002F4BAB" w:rsidP="002209C2">
            <w:pPr>
              <w:spacing w:after="0" w:line="240" w:lineRule="auto"/>
              <w:rPr>
                <w:rFonts w:cs="Arial"/>
                <w:b/>
                <w:bCs/>
                <w:color w:val="FFFFFF"/>
                <w:kern w:val="0"/>
                <w:sz w:val="16"/>
                <w:szCs w:val="16"/>
              </w:rPr>
            </w:pPr>
          </w:p>
        </w:tc>
        <w:tc>
          <w:tcPr>
            <w:tcW w:w="3896" w:type="dxa"/>
            <w:vMerge/>
            <w:tcBorders>
              <w:top w:val="nil"/>
              <w:left w:val="nil"/>
              <w:bottom w:val="single" w:sz="8" w:space="0" w:color="FF0000"/>
              <w:right w:val="nil"/>
            </w:tcBorders>
            <w:vAlign w:val="center"/>
            <w:hideMark/>
          </w:tcPr>
          <w:p w14:paraId="21592CFB" w14:textId="77777777" w:rsidR="002F4BAB" w:rsidRPr="00894701" w:rsidRDefault="002F4BAB" w:rsidP="002209C2">
            <w:pPr>
              <w:spacing w:after="0" w:line="240" w:lineRule="auto"/>
              <w:rPr>
                <w:rFonts w:cs="Arial"/>
                <w:b/>
                <w:bCs/>
                <w:color w:val="FFFFFF"/>
                <w:kern w:val="0"/>
                <w:sz w:val="16"/>
                <w:szCs w:val="16"/>
              </w:rPr>
            </w:pPr>
          </w:p>
        </w:tc>
        <w:tc>
          <w:tcPr>
            <w:tcW w:w="964" w:type="dxa"/>
            <w:vMerge/>
            <w:tcBorders>
              <w:top w:val="nil"/>
              <w:left w:val="nil"/>
              <w:bottom w:val="single" w:sz="8" w:space="0" w:color="FF0000"/>
              <w:right w:val="nil"/>
            </w:tcBorders>
            <w:vAlign w:val="center"/>
            <w:hideMark/>
          </w:tcPr>
          <w:p w14:paraId="751F6AED" w14:textId="77777777" w:rsidR="002F4BAB" w:rsidRPr="00894701" w:rsidRDefault="002F4BAB" w:rsidP="002209C2">
            <w:pPr>
              <w:spacing w:after="0" w:line="240" w:lineRule="auto"/>
              <w:rPr>
                <w:rFonts w:cs="Arial"/>
                <w:b/>
                <w:bCs/>
                <w:color w:val="FFFFFF"/>
                <w:kern w:val="0"/>
                <w:sz w:val="16"/>
                <w:szCs w:val="16"/>
              </w:rPr>
            </w:pPr>
          </w:p>
        </w:tc>
        <w:tc>
          <w:tcPr>
            <w:tcW w:w="283" w:type="dxa"/>
            <w:tcBorders>
              <w:top w:val="nil"/>
              <w:left w:val="nil"/>
              <w:bottom w:val="nil"/>
              <w:right w:val="nil"/>
            </w:tcBorders>
            <w:shd w:val="clear" w:color="auto" w:fill="auto"/>
            <w:vAlign w:val="center"/>
            <w:hideMark/>
          </w:tcPr>
          <w:p w14:paraId="51560CD1" w14:textId="77777777" w:rsidR="002F4BAB" w:rsidRPr="00894701" w:rsidRDefault="002F4BAB" w:rsidP="002209C2">
            <w:pPr>
              <w:spacing w:after="0" w:line="240" w:lineRule="auto"/>
              <w:jc w:val="center"/>
              <w:rPr>
                <w:rFonts w:cs="Arial"/>
                <w:b/>
                <w:bCs/>
                <w:color w:val="auto"/>
                <w:kern w:val="0"/>
                <w:sz w:val="16"/>
                <w:szCs w:val="16"/>
              </w:rPr>
            </w:pPr>
            <w:r w:rsidRPr="00894701">
              <w:rPr>
                <w:rFonts w:cs="Arial"/>
                <w:b/>
                <w:bCs/>
                <w:color w:val="auto"/>
                <w:kern w:val="0"/>
                <w:sz w:val="16"/>
                <w:szCs w:val="16"/>
              </w:rPr>
              <w:t> </w:t>
            </w:r>
          </w:p>
        </w:tc>
        <w:tc>
          <w:tcPr>
            <w:tcW w:w="1134" w:type="dxa"/>
            <w:tcBorders>
              <w:top w:val="nil"/>
              <w:left w:val="nil"/>
              <w:bottom w:val="single" w:sz="8" w:space="0" w:color="FF0000"/>
              <w:right w:val="nil"/>
            </w:tcBorders>
            <w:shd w:val="clear" w:color="000000" w:fill="7A091A"/>
            <w:vAlign w:val="center"/>
            <w:hideMark/>
          </w:tcPr>
          <w:p w14:paraId="6D369E8A" w14:textId="77777777" w:rsidR="002F4BAB" w:rsidRPr="00894701" w:rsidRDefault="002F4BAB" w:rsidP="002209C2">
            <w:pPr>
              <w:spacing w:after="0" w:line="240" w:lineRule="auto"/>
              <w:rPr>
                <w:rFonts w:cs="Arial"/>
                <w:b/>
                <w:bCs/>
                <w:color w:val="FFFFFF"/>
                <w:kern w:val="0"/>
                <w:sz w:val="16"/>
                <w:szCs w:val="16"/>
              </w:rPr>
            </w:pPr>
            <w:r w:rsidRPr="00894701">
              <w:rPr>
                <w:rFonts w:cs="Arial"/>
                <w:b/>
                <w:bCs/>
                <w:color w:val="FFFFFF"/>
                <w:kern w:val="0"/>
                <w:sz w:val="16"/>
                <w:szCs w:val="16"/>
              </w:rPr>
              <w:t>Reporting template not submitted by the Government Agency</w:t>
            </w:r>
          </w:p>
        </w:tc>
        <w:tc>
          <w:tcPr>
            <w:tcW w:w="993" w:type="dxa"/>
            <w:tcBorders>
              <w:top w:val="nil"/>
              <w:left w:val="nil"/>
              <w:bottom w:val="single" w:sz="8" w:space="0" w:color="FF0000"/>
              <w:right w:val="nil"/>
            </w:tcBorders>
            <w:shd w:val="clear" w:color="000000" w:fill="7A091A"/>
            <w:vAlign w:val="center"/>
            <w:hideMark/>
          </w:tcPr>
          <w:p w14:paraId="636D148F" w14:textId="041B5686" w:rsidR="002F4BAB" w:rsidRPr="00894701" w:rsidRDefault="002F4BAB" w:rsidP="002209C2">
            <w:pPr>
              <w:spacing w:after="0" w:line="240" w:lineRule="auto"/>
              <w:rPr>
                <w:rFonts w:cs="Arial"/>
                <w:b/>
                <w:bCs/>
                <w:color w:val="FFFFFF"/>
                <w:kern w:val="0"/>
                <w:sz w:val="16"/>
                <w:szCs w:val="16"/>
              </w:rPr>
            </w:pPr>
            <w:r w:rsidRPr="00894701">
              <w:rPr>
                <w:rFonts w:cs="Arial"/>
                <w:b/>
                <w:bCs/>
                <w:color w:val="FFFFFF"/>
                <w:kern w:val="0"/>
                <w:sz w:val="16"/>
                <w:szCs w:val="16"/>
              </w:rPr>
              <w:t>Tax</w:t>
            </w:r>
            <w:r w:rsidR="000D63C7">
              <w:rPr>
                <w:rFonts w:cs="Arial"/>
                <w:b/>
                <w:bCs/>
                <w:color w:val="FFFFFF"/>
                <w:kern w:val="0"/>
                <w:sz w:val="16"/>
                <w:szCs w:val="16"/>
              </w:rPr>
              <w:t>es</w:t>
            </w:r>
            <w:r w:rsidRPr="00894701">
              <w:rPr>
                <w:rFonts w:cs="Arial"/>
                <w:b/>
                <w:bCs/>
                <w:color w:val="FFFFFF"/>
                <w:kern w:val="0"/>
                <w:sz w:val="16"/>
                <w:szCs w:val="16"/>
              </w:rPr>
              <w:t xml:space="preserve"> not reported by the Government Agency</w:t>
            </w:r>
          </w:p>
        </w:tc>
        <w:tc>
          <w:tcPr>
            <w:tcW w:w="1275" w:type="dxa"/>
            <w:tcBorders>
              <w:top w:val="nil"/>
              <w:left w:val="nil"/>
              <w:bottom w:val="single" w:sz="8" w:space="0" w:color="FF0000"/>
              <w:right w:val="nil"/>
            </w:tcBorders>
            <w:shd w:val="clear" w:color="000000" w:fill="7A091A"/>
            <w:vAlign w:val="center"/>
            <w:hideMark/>
          </w:tcPr>
          <w:p w14:paraId="6ABA98AC" w14:textId="11210593" w:rsidR="002F4BAB" w:rsidRPr="00894701" w:rsidRDefault="000D63C7" w:rsidP="002209C2">
            <w:pPr>
              <w:spacing w:after="0" w:line="240" w:lineRule="auto"/>
              <w:rPr>
                <w:rFonts w:cs="Arial"/>
                <w:b/>
                <w:bCs/>
                <w:color w:val="FFFFFF"/>
                <w:kern w:val="0"/>
                <w:sz w:val="16"/>
                <w:szCs w:val="16"/>
              </w:rPr>
            </w:pPr>
            <w:r>
              <w:rPr>
                <w:rFonts w:cs="Arial"/>
                <w:b/>
                <w:bCs/>
                <w:color w:val="FFFFFF"/>
                <w:kern w:val="0"/>
                <w:sz w:val="16"/>
                <w:szCs w:val="16"/>
              </w:rPr>
              <w:t>Im</w:t>
            </w:r>
            <w:r w:rsidRPr="00894701">
              <w:rPr>
                <w:rFonts w:cs="Arial"/>
                <w:b/>
                <w:bCs/>
                <w:color w:val="FFFFFF"/>
                <w:kern w:val="0"/>
                <w:sz w:val="16"/>
                <w:szCs w:val="16"/>
              </w:rPr>
              <w:t xml:space="preserve">material </w:t>
            </w:r>
            <w:r w:rsidR="002F4BAB" w:rsidRPr="00894701">
              <w:rPr>
                <w:rFonts w:cs="Arial"/>
                <w:b/>
                <w:bCs/>
                <w:color w:val="FFFFFF"/>
                <w:kern w:val="0"/>
                <w:sz w:val="16"/>
                <w:szCs w:val="16"/>
              </w:rPr>
              <w:t>difference</w:t>
            </w:r>
          </w:p>
        </w:tc>
      </w:tr>
      <w:tr w:rsidR="00CF5D9A" w:rsidRPr="00894701" w14:paraId="7385B35C" w14:textId="77777777" w:rsidTr="00CF5D9A">
        <w:trPr>
          <w:trHeight w:val="240"/>
        </w:trPr>
        <w:tc>
          <w:tcPr>
            <w:tcW w:w="4423" w:type="dxa"/>
            <w:gridSpan w:val="2"/>
            <w:tcBorders>
              <w:top w:val="nil"/>
              <w:left w:val="nil"/>
              <w:bottom w:val="nil"/>
              <w:right w:val="nil"/>
            </w:tcBorders>
            <w:shd w:val="clear" w:color="000000" w:fill="C0A99E"/>
            <w:noWrap/>
            <w:vAlign w:val="center"/>
            <w:hideMark/>
          </w:tcPr>
          <w:p w14:paraId="790FE813" w14:textId="77777777" w:rsidR="002F4BAB" w:rsidRPr="00894701" w:rsidRDefault="002F4BAB" w:rsidP="002209C2">
            <w:pPr>
              <w:spacing w:after="0" w:line="240" w:lineRule="auto"/>
              <w:rPr>
                <w:rFonts w:cs="Arial"/>
                <w:b/>
                <w:bCs/>
                <w:color w:val="auto"/>
                <w:kern w:val="0"/>
                <w:sz w:val="16"/>
                <w:szCs w:val="16"/>
              </w:rPr>
            </w:pPr>
            <w:r w:rsidRPr="00894701">
              <w:rPr>
                <w:rFonts w:cs="Arial"/>
                <w:b/>
                <w:bCs/>
                <w:color w:val="auto"/>
                <w:kern w:val="0"/>
                <w:sz w:val="16"/>
                <w:szCs w:val="16"/>
              </w:rPr>
              <w:t xml:space="preserve">Ministry of Finance (MoF) </w:t>
            </w:r>
          </w:p>
        </w:tc>
        <w:tc>
          <w:tcPr>
            <w:tcW w:w="964" w:type="dxa"/>
            <w:tcBorders>
              <w:top w:val="nil"/>
              <w:left w:val="nil"/>
              <w:bottom w:val="nil"/>
              <w:right w:val="nil"/>
            </w:tcBorders>
            <w:shd w:val="clear" w:color="000000" w:fill="C0A99E"/>
            <w:noWrap/>
            <w:vAlign w:val="center"/>
            <w:hideMark/>
          </w:tcPr>
          <w:p w14:paraId="72472BBE" w14:textId="3BEB3664" w:rsidR="002F4BAB" w:rsidRPr="00894701" w:rsidRDefault="003B6F67" w:rsidP="004365C4">
            <w:pPr>
              <w:spacing w:after="0" w:line="240" w:lineRule="auto"/>
              <w:jc w:val="right"/>
              <w:rPr>
                <w:rFonts w:cs="Arial"/>
                <w:b/>
                <w:bCs/>
                <w:color w:val="auto"/>
                <w:kern w:val="0"/>
                <w:sz w:val="16"/>
                <w:szCs w:val="16"/>
              </w:rPr>
            </w:pPr>
            <w:r w:rsidRPr="00894701">
              <w:rPr>
                <w:rFonts w:cs="Arial"/>
                <w:b/>
                <w:bCs/>
                <w:color w:val="auto"/>
                <w:kern w:val="0"/>
                <w:sz w:val="16"/>
                <w:szCs w:val="16"/>
              </w:rPr>
              <w:t>3</w:t>
            </w:r>
          </w:p>
        </w:tc>
        <w:tc>
          <w:tcPr>
            <w:tcW w:w="283" w:type="dxa"/>
            <w:tcBorders>
              <w:top w:val="nil"/>
              <w:left w:val="nil"/>
              <w:bottom w:val="nil"/>
              <w:right w:val="nil"/>
            </w:tcBorders>
            <w:shd w:val="clear" w:color="auto" w:fill="auto"/>
            <w:noWrap/>
            <w:vAlign w:val="center"/>
            <w:hideMark/>
          </w:tcPr>
          <w:p w14:paraId="2F660831" w14:textId="77777777" w:rsidR="002F4BAB" w:rsidRPr="00894701" w:rsidRDefault="002F4BAB" w:rsidP="004365C4">
            <w:pPr>
              <w:spacing w:after="0" w:line="240" w:lineRule="auto"/>
              <w:jc w:val="right"/>
              <w:rPr>
                <w:rFonts w:cs="Arial"/>
                <w:b/>
                <w:bCs/>
                <w:color w:val="auto"/>
                <w:kern w:val="0"/>
                <w:sz w:val="16"/>
                <w:szCs w:val="16"/>
              </w:rPr>
            </w:pPr>
          </w:p>
        </w:tc>
        <w:tc>
          <w:tcPr>
            <w:tcW w:w="1134" w:type="dxa"/>
            <w:tcBorders>
              <w:top w:val="nil"/>
              <w:left w:val="nil"/>
              <w:bottom w:val="nil"/>
              <w:right w:val="nil"/>
            </w:tcBorders>
            <w:shd w:val="clear" w:color="000000" w:fill="C0A99E"/>
            <w:noWrap/>
            <w:vAlign w:val="center"/>
            <w:hideMark/>
          </w:tcPr>
          <w:p w14:paraId="7855167D" w14:textId="49926136" w:rsidR="002F4BAB" w:rsidRPr="00894701" w:rsidRDefault="003B6F67" w:rsidP="004365C4">
            <w:pPr>
              <w:spacing w:after="0" w:line="240" w:lineRule="auto"/>
              <w:jc w:val="right"/>
              <w:rPr>
                <w:rFonts w:cs="Arial"/>
                <w:b/>
                <w:bCs/>
                <w:color w:val="auto"/>
                <w:kern w:val="0"/>
                <w:sz w:val="16"/>
                <w:szCs w:val="16"/>
              </w:rPr>
            </w:pPr>
            <w:r w:rsidRPr="00894701">
              <w:rPr>
                <w:rFonts w:cs="Arial"/>
                <w:b/>
                <w:bCs/>
                <w:color w:val="auto"/>
                <w:kern w:val="0"/>
                <w:sz w:val="16"/>
                <w:szCs w:val="16"/>
              </w:rPr>
              <w:t>-</w:t>
            </w:r>
          </w:p>
        </w:tc>
        <w:tc>
          <w:tcPr>
            <w:tcW w:w="993" w:type="dxa"/>
            <w:tcBorders>
              <w:top w:val="nil"/>
              <w:left w:val="nil"/>
              <w:bottom w:val="nil"/>
              <w:right w:val="nil"/>
            </w:tcBorders>
            <w:shd w:val="clear" w:color="000000" w:fill="C0A99E"/>
            <w:noWrap/>
            <w:vAlign w:val="center"/>
            <w:hideMark/>
          </w:tcPr>
          <w:p w14:paraId="734CBFAE" w14:textId="77777777" w:rsidR="002F4BAB" w:rsidRPr="00894701" w:rsidRDefault="002F4BAB" w:rsidP="004365C4">
            <w:pPr>
              <w:spacing w:after="0" w:line="240" w:lineRule="auto"/>
              <w:jc w:val="right"/>
              <w:rPr>
                <w:rFonts w:cs="Arial"/>
                <w:b/>
                <w:bCs/>
                <w:color w:val="auto"/>
                <w:kern w:val="0"/>
                <w:sz w:val="16"/>
                <w:szCs w:val="16"/>
              </w:rPr>
            </w:pPr>
            <w:r w:rsidRPr="00894701">
              <w:rPr>
                <w:rFonts w:cs="Arial"/>
                <w:b/>
                <w:bCs/>
                <w:color w:val="auto"/>
                <w:kern w:val="0"/>
                <w:sz w:val="16"/>
                <w:szCs w:val="16"/>
              </w:rPr>
              <w:t>-</w:t>
            </w:r>
          </w:p>
        </w:tc>
        <w:tc>
          <w:tcPr>
            <w:tcW w:w="1275" w:type="dxa"/>
            <w:tcBorders>
              <w:top w:val="nil"/>
              <w:left w:val="nil"/>
              <w:bottom w:val="nil"/>
              <w:right w:val="nil"/>
            </w:tcBorders>
            <w:shd w:val="clear" w:color="000000" w:fill="C0A99E"/>
            <w:noWrap/>
            <w:vAlign w:val="center"/>
            <w:hideMark/>
          </w:tcPr>
          <w:p w14:paraId="6262633B" w14:textId="77777777" w:rsidR="002F4BAB" w:rsidRPr="00894701" w:rsidRDefault="002F4BAB" w:rsidP="004365C4">
            <w:pPr>
              <w:spacing w:after="0" w:line="240" w:lineRule="auto"/>
              <w:jc w:val="right"/>
              <w:rPr>
                <w:rFonts w:cs="Arial"/>
                <w:b/>
                <w:bCs/>
                <w:color w:val="auto"/>
                <w:kern w:val="0"/>
                <w:sz w:val="16"/>
                <w:szCs w:val="16"/>
              </w:rPr>
            </w:pPr>
            <w:r w:rsidRPr="00894701">
              <w:rPr>
                <w:rFonts w:cs="Arial"/>
                <w:b/>
                <w:bCs/>
                <w:color w:val="auto"/>
                <w:kern w:val="0"/>
                <w:sz w:val="16"/>
                <w:szCs w:val="16"/>
              </w:rPr>
              <w:t>3</w:t>
            </w:r>
          </w:p>
        </w:tc>
      </w:tr>
      <w:tr w:rsidR="00AA49E3" w:rsidRPr="00894701" w14:paraId="6BD7FCAA" w14:textId="77777777" w:rsidTr="00CF5D9A">
        <w:trPr>
          <w:trHeight w:val="240"/>
        </w:trPr>
        <w:tc>
          <w:tcPr>
            <w:tcW w:w="527" w:type="dxa"/>
            <w:tcBorders>
              <w:top w:val="nil"/>
              <w:left w:val="nil"/>
              <w:bottom w:val="nil"/>
              <w:right w:val="nil"/>
            </w:tcBorders>
            <w:shd w:val="clear" w:color="auto" w:fill="auto"/>
            <w:noWrap/>
            <w:vAlign w:val="center"/>
            <w:hideMark/>
          </w:tcPr>
          <w:p w14:paraId="6E5A6858" w14:textId="77777777" w:rsidR="00AA49E3" w:rsidRPr="00894701" w:rsidRDefault="00AA49E3" w:rsidP="00AA49E3">
            <w:pPr>
              <w:spacing w:after="0" w:line="240" w:lineRule="auto"/>
              <w:rPr>
                <w:rFonts w:cs="Arial"/>
                <w:color w:val="auto"/>
                <w:kern w:val="0"/>
                <w:sz w:val="16"/>
                <w:szCs w:val="16"/>
              </w:rPr>
            </w:pPr>
            <w:r w:rsidRPr="00894701">
              <w:rPr>
                <w:rFonts w:cs="Arial"/>
                <w:color w:val="auto"/>
                <w:kern w:val="0"/>
                <w:sz w:val="16"/>
                <w:szCs w:val="16"/>
              </w:rPr>
              <w:t>1.10</w:t>
            </w:r>
          </w:p>
        </w:tc>
        <w:tc>
          <w:tcPr>
            <w:tcW w:w="3896" w:type="dxa"/>
            <w:tcBorders>
              <w:top w:val="nil"/>
              <w:left w:val="nil"/>
              <w:bottom w:val="nil"/>
              <w:right w:val="nil"/>
            </w:tcBorders>
            <w:shd w:val="clear" w:color="auto" w:fill="auto"/>
            <w:vAlign w:val="center"/>
            <w:hideMark/>
          </w:tcPr>
          <w:p w14:paraId="1D61DE8C" w14:textId="6EB43E63" w:rsidR="00AA49E3" w:rsidRPr="00894701" w:rsidRDefault="00AA49E3" w:rsidP="00AA49E3">
            <w:pPr>
              <w:spacing w:after="0" w:line="240" w:lineRule="auto"/>
              <w:rPr>
                <w:rFonts w:cs="Arial"/>
                <w:color w:val="auto"/>
                <w:kern w:val="0"/>
                <w:sz w:val="16"/>
                <w:szCs w:val="16"/>
              </w:rPr>
            </w:pPr>
            <w:r w:rsidRPr="00894701">
              <w:rPr>
                <w:rFonts w:cs="Arial"/>
                <w:color w:val="auto"/>
                <w:kern w:val="0"/>
                <w:sz w:val="16"/>
                <w:szCs w:val="16"/>
              </w:rPr>
              <w:t>Wage Tax&amp;OP-premium(AOV)</w:t>
            </w:r>
          </w:p>
        </w:tc>
        <w:tc>
          <w:tcPr>
            <w:tcW w:w="964" w:type="dxa"/>
            <w:tcBorders>
              <w:top w:val="nil"/>
              <w:left w:val="nil"/>
              <w:bottom w:val="nil"/>
              <w:right w:val="nil"/>
            </w:tcBorders>
            <w:shd w:val="clear" w:color="auto" w:fill="auto"/>
            <w:noWrap/>
            <w:vAlign w:val="center"/>
            <w:hideMark/>
          </w:tcPr>
          <w:p w14:paraId="4EA36DF6" w14:textId="77777777" w:rsidR="00AA49E3" w:rsidRPr="00894701" w:rsidRDefault="00AA49E3" w:rsidP="00AA49E3">
            <w:pPr>
              <w:spacing w:after="0" w:line="240" w:lineRule="auto"/>
              <w:jc w:val="right"/>
              <w:rPr>
                <w:rFonts w:cs="Arial"/>
                <w:color w:val="auto"/>
                <w:kern w:val="0"/>
                <w:sz w:val="16"/>
                <w:szCs w:val="16"/>
              </w:rPr>
            </w:pPr>
            <w:r w:rsidRPr="00894701">
              <w:rPr>
                <w:rFonts w:cs="Arial"/>
                <w:color w:val="auto"/>
                <w:kern w:val="0"/>
                <w:sz w:val="16"/>
                <w:szCs w:val="16"/>
              </w:rPr>
              <w:t>3</w:t>
            </w:r>
          </w:p>
        </w:tc>
        <w:tc>
          <w:tcPr>
            <w:tcW w:w="283" w:type="dxa"/>
            <w:tcBorders>
              <w:top w:val="nil"/>
              <w:left w:val="nil"/>
              <w:bottom w:val="nil"/>
              <w:right w:val="nil"/>
            </w:tcBorders>
            <w:shd w:val="clear" w:color="auto" w:fill="auto"/>
            <w:noWrap/>
            <w:vAlign w:val="center"/>
            <w:hideMark/>
          </w:tcPr>
          <w:p w14:paraId="6EBE4CAF" w14:textId="77777777" w:rsidR="00AA49E3" w:rsidRPr="00894701" w:rsidRDefault="00AA49E3" w:rsidP="00AA49E3">
            <w:pPr>
              <w:spacing w:after="0" w:line="240" w:lineRule="auto"/>
              <w:jc w:val="right"/>
              <w:rPr>
                <w:rFonts w:cs="Arial"/>
                <w:color w:val="auto"/>
                <w:kern w:val="0"/>
                <w:sz w:val="16"/>
                <w:szCs w:val="16"/>
              </w:rPr>
            </w:pPr>
          </w:p>
        </w:tc>
        <w:tc>
          <w:tcPr>
            <w:tcW w:w="1134" w:type="dxa"/>
            <w:tcBorders>
              <w:top w:val="nil"/>
              <w:left w:val="nil"/>
              <w:bottom w:val="nil"/>
              <w:right w:val="nil"/>
            </w:tcBorders>
            <w:shd w:val="clear" w:color="000000" w:fill="FFFFFF"/>
            <w:noWrap/>
            <w:vAlign w:val="center"/>
            <w:hideMark/>
          </w:tcPr>
          <w:p w14:paraId="1590B902" w14:textId="77777777" w:rsidR="00AA49E3" w:rsidRPr="00894701" w:rsidRDefault="00AA49E3" w:rsidP="00AA49E3">
            <w:pPr>
              <w:spacing w:after="0" w:line="240" w:lineRule="auto"/>
              <w:jc w:val="right"/>
              <w:rPr>
                <w:rFonts w:cs="Arial"/>
                <w:color w:val="auto"/>
                <w:kern w:val="0"/>
                <w:sz w:val="16"/>
                <w:szCs w:val="16"/>
              </w:rPr>
            </w:pPr>
            <w:r w:rsidRPr="00894701">
              <w:rPr>
                <w:rFonts w:cs="Arial"/>
                <w:color w:val="auto"/>
                <w:kern w:val="0"/>
                <w:sz w:val="16"/>
                <w:szCs w:val="16"/>
              </w:rPr>
              <w:t>-</w:t>
            </w:r>
          </w:p>
        </w:tc>
        <w:tc>
          <w:tcPr>
            <w:tcW w:w="993" w:type="dxa"/>
            <w:tcBorders>
              <w:top w:val="nil"/>
              <w:left w:val="nil"/>
              <w:bottom w:val="nil"/>
              <w:right w:val="nil"/>
            </w:tcBorders>
            <w:shd w:val="clear" w:color="000000" w:fill="FFFFFF"/>
            <w:noWrap/>
            <w:vAlign w:val="center"/>
            <w:hideMark/>
          </w:tcPr>
          <w:p w14:paraId="6C1636B3" w14:textId="77777777" w:rsidR="00AA49E3" w:rsidRPr="00894701" w:rsidRDefault="00AA49E3" w:rsidP="00AA49E3">
            <w:pPr>
              <w:spacing w:after="0" w:line="240" w:lineRule="auto"/>
              <w:jc w:val="right"/>
              <w:rPr>
                <w:rFonts w:cs="Arial"/>
                <w:color w:val="auto"/>
                <w:kern w:val="0"/>
                <w:sz w:val="16"/>
                <w:szCs w:val="16"/>
              </w:rPr>
            </w:pPr>
            <w:r w:rsidRPr="00894701">
              <w:rPr>
                <w:rFonts w:cs="Arial"/>
                <w:color w:val="auto"/>
                <w:kern w:val="0"/>
                <w:sz w:val="16"/>
                <w:szCs w:val="16"/>
              </w:rPr>
              <w:t>-</w:t>
            </w:r>
          </w:p>
        </w:tc>
        <w:tc>
          <w:tcPr>
            <w:tcW w:w="1275" w:type="dxa"/>
            <w:tcBorders>
              <w:top w:val="nil"/>
              <w:left w:val="nil"/>
              <w:bottom w:val="nil"/>
              <w:right w:val="nil"/>
            </w:tcBorders>
            <w:shd w:val="clear" w:color="000000" w:fill="FFFFFF"/>
            <w:noWrap/>
            <w:vAlign w:val="center"/>
            <w:hideMark/>
          </w:tcPr>
          <w:p w14:paraId="2B3D5AFA" w14:textId="77777777" w:rsidR="00AA49E3" w:rsidRPr="00894701" w:rsidRDefault="00AA49E3" w:rsidP="00AA49E3">
            <w:pPr>
              <w:spacing w:after="0" w:line="240" w:lineRule="auto"/>
              <w:jc w:val="right"/>
              <w:rPr>
                <w:rFonts w:cs="Arial"/>
                <w:color w:val="auto"/>
                <w:kern w:val="0"/>
                <w:sz w:val="16"/>
                <w:szCs w:val="16"/>
              </w:rPr>
            </w:pPr>
            <w:r w:rsidRPr="00894701">
              <w:rPr>
                <w:rFonts w:cs="Arial"/>
                <w:color w:val="auto"/>
                <w:kern w:val="0"/>
                <w:sz w:val="16"/>
                <w:szCs w:val="16"/>
              </w:rPr>
              <w:t>3</w:t>
            </w:r>
          </w:p>
        </w:tc>
      </w:tr>
      <w:tr w:rsidR="00CF5D9A" w:rsidRPr="00894701" w14:paraId="7838A469" w14:textId="77777777" w:rsidTr="004C70CC">
        <w:trPr>
          <w:trHeight w:val="250"/>
        </w:trPr>
        <w:tc>
          <w:tcPr>
            <w:tcW w:w="527" w:type="dxa"/>
            <w:tcBorders>
              <w:top w:val="nil"/>
              <w:left w:val="nil"/>
              <w:bottom w:val="single" w:sz="8" w:space="0" w:color="FF0000"/>
              <w:right w:val="nil"/>
            </w:tcBorders>
            <w:shd w:val="clear" w:color="000000" w:fill="7A091A"/>
            <w:vAlign w:val="center"/>
            <w:hideMark/>
          </w:tcPr>
          <w:p w14:paraId="15912B47" w14:textId="77777777" w:rsidR="002F4BAB" w:rsidRPr="00894701" w:rsidRDefault="002F4BAB" w:rsidP="002209C2">
            <w:pPr>
              <w:spacing w:after="0" w:line="240" w:lineRule="auto"/>
              <w:rPr>
                <w:rFonts w:cs="Arial"/>
                <w:b/>
                <w:bCs/>
                <w:color w:val="FFFFFF"/>
                <w:kern w:val="0"/>
                <w:sz w:val="16"/>
                <w:szCs w:val="16"/>
              </w:rPr>
            </w:pPr>
            <w:r w:rsidRPr="00894701">
              <w:rPr>
                <w:rFonts w:cs="Arial"/>
                <w:b/>
                <w:bCs/>
                <w:color w:val="FFFFFF"/>
                <w:kern w:val="0"/>
                <w:sz w:val="16"/>
                <w:szCs w:val="16"/>
              </w:rPr>
              <w:t> </w:t>
            </w:r>
          </w:p>
        </w:tc>
        <w:tc>
          <w:tcPr>
            <w:tcW w:w="3896" w:type="dxa"/>
            <w:tcBorders>
              <w:top w:val="nil"/>
              <w:left w:val="nil"/>
              <w:bottom w:val="single" w:sz="8" w:space="0" w:color="FF0000"/>
              <w:right w:val="nil"/>
            </w:tcBorders>
            <w:shd w:val="clear" w:color="000000" w:fill="7A091A"/>
            <w:vAlign w:val="center"/>
            <w:hideMark/>
          </w:tcPr>
          <w:p w14:paraId="7D35F4C4" w14:textId="77777777" w:rsidR="002F4BAB" w:rsidRPr="00894701" w:rsidRDefault="002F4BAB" w:rsidP="002209C2">
            <w:pPr>
              <w:spacing w:after="0" w:line="240" w:lineRule="auto"/>
              <w:rPr>
                <w:rFonts w:cs="Arial"/>
                <w:b/>
                <w:bCs/>
                <w:color w:val="FFFFFF"/>
                <w:kern w:val="0"/>
                <w:sz w:val="16"/>
                <w:szCs w:val="16"/>
              </w:rPr>
            </w:pPr>
            <w:r w:rsidRPr="00894701">
              <w:rPr>
                <w:rFonts w:cs="Arial"/>
                <w:b/>
                <w:bCs/>
                <w:color w:val="FFFFFF"/>
                <w:kern w:val="0"/>
                <w:sz w:val="16"/>
                <w:szCs w:val="16"/>
              </w:rPr>
              <w:t>Total</w:t>
            </w:r>
          </w:p>
        </w:tc>
        <w:tc>
          <w:tcPr>
            <w:tcW w:w="964" w:type="dxa"/>
            <w:tcBorders>
              <w:top w:val="nil"/>
              <w:left w:val="nil"/>
              <w:bottom w:val="single" w:sz="8" w:space="0" w:color="FF0000"/>
              <w:right w:val="nil"/>
            </w:tcBorders>
            <w:shd w:val="clear" w:color="000000" w:fill="7A091A"/>
            <w:vAlign w:val="center"/>
            <w:hideMark/>
          </w:tcPr>
          <w:p w14:paraId="19FC0954" w14:textId="0FA82804" w:rsidR="002F4BAB" w:rsidRPr="00894701" w:rsidRDefault="003B6F67" w:rsidP="004365C4">
            <w:pPr>
              <w:spacing w:after="0" w:line="240" w:lineRule="auto"/>
              <w:jc w:val="right"/>
              <w:rPr>
                <w:rFonts w:cs="Arial"/>
                <w:b/>
                <w:bCs/>
                <w:color w:val="FFFFFF"/>
                <w:kern w:val="0"/>
                <w:sz w:val="16"/>
                <w:szCs w:val="16"/>
              </w:rPr>
            </w:pPr>
            <w:r w:rsidRPr="00894701">
              <w:rPr>
                <w:rFonts w:cs="Arial"/>
                <w:b/>
                <w:bCs/>
                <w:color w:val="FFFFFF"/>
                <w:kern w:val="0"/>
                <w:sz w:val="16"/>
                <w:szCs w:val="16"/>
              </w:rPr>
              <w:t>3</w:t>
            </w:r>
          </w:p>
        </w:tc>
        <w:tc>
          <w:tcPr>
            <w:tcW w:w="283" w:type="dxa"/>
            <w:tcBorders>
              <w:top w:val="nil"/>
              <w:left w:val="nil"/>
              <w:bottom w:val="single" w:sz="8" w:space="0" w:color="B09380"/>
              <w:right w:val="nil"/>
            </w:tcBorders>
            <w:shd w:val="clear" w:color="auto" w:fill="auto"/>
            <w:vAlign w:val="center"/>
            <w:hideMark/>
          </w:tcPr>
          <w:p w14:paraId="74FE9462" w14:textId="77777777" w:rsidR="002F4BAB" w:rsidRPr="00894701" w:rsidRDefault="002F4BAB" w:rsidP="004365C4">
            <w:pPr>
              <w:spacing w:after="0" w:line="240" w:lineRule="auto"/>
              <w:jc w:val="right"/>
              <w:rPr>
                <w:rFonts w:cs="Arial"/>
                <w:b/>
                <w:bCs/>
                <w:color w:val="auto"/>
                <w:kern w:val="0"/>
                <w:sz w:val="16"/>
                <w:szCs w:val="16"/>
              </w:rPr>
            </w:pPr>
          </w:p>
        </w:tc>
        <w:tc>
          <w:tcPr>
            <w:tcW w:w="1134" w:type="dxa"/>
            <w:tcBorders>
              <w:top w:val="nil"/>
              <w:left w:val="nil"/>
              <w:bottom w:val="single" w:sz="8" w:space="0" w:color="FF0000"/>
              <w:right w:val="nil"/>
            </w:tcBorders>
            <w:shd w:val="clear" w:color="000000" w:fill="7A091A"/>
            <w:vAlign w:val="center"/>
          </w:tcPr>
          <w:p w14:paraId="658F6EA2" w14:textId="4113DB4C" w:rsidR="002F4BAB" w:rsidRPr="00894701" w:rsidRDefault="003B6F67" w:rsidP="004365C4">
            <w:pPr>
              <w:spacing w:after="0" w:line="240" w:lineRule="auto"/>
              <w:jc w:val="right"/>
              <w:rPr>
                <w:rFonts w:cs="Arial"/>
                <w:b/>
                <w:bCs/>
                <w:color w:val="FFFFFF"/>
                <w:kern w:val="0"/>
                <w:sz w:val="16"/>
                <w:szCs w:val="16"/>
              </w:rPr>
            </w:pPr>
            <w:r w:rsidRPr="00894701">
              <w:rPr>
                <w:rFonts w:cs="Arial"/>
                <w:b/>
                <w:bCs/>
                <w:color w:val="FFFFFF"/>
                <w:kern w:val="0"/>
                <w:sz w:val="16"/>
                <w:szCs w:val="16"/>
              </w:rPr>
              <w:t>-</w:t>
            </w:r>
          </w:p>
        </w:tc>
        <w:tc>
          <w:tcPr>
            <w:tcW w:w="993" w:type="dxa"/>
            <w:tcBorders>
              <w:top w:val="nil"/>
              <w:left w:val="nil"/>
              <w:bottom w:val="single" w:sz="8" w:space="0" w:color="FF0000"/>
              <w:right w:val="nil"/>
            </w:tcBorders>
            <w:shd w:val="clear" w:color="000000" w:fill="7A091A"/>
            <w:vAlign w:val="center"/>
          </w:tcPr>
          <w:p w14:paraId="4A942095" w14:textId="31D0D524" w:rsidR="002F4BAB" w:rsidRPr="00894701" w:rsidRDefault="003B6F67" w:rsidP="004365C4">
            <w:pPr>
              <w:spacing w:after="0" w:line="240" w:lineRule="auto"/>
              <w:jc w:val="right"/>
              <w:rPr>
                <w:rFonts w:cs="Arial"/>
                <w:b/>
                <w:bCs/>
                <w:color w:val="FFFFFF"/>
                <w:kern w:val="0"/>
                <w:sz w:val="16"/>
                <w:szCs w:val="16"/>
              </w:rPr>
            </w:pPr>
            <w:r w:rsidRPr="00894701">
              <w:rPr>
                <w:rFonts w:cs="Arial"/>
                <w:b/>
                <w:bCs/>
                <w:color w:val="FFFFFF"/>
                <w:kern w:val="0"/>
                <w:sz w:val="16"/>
                <w:szCs w:val="16"/>
              </w:rPr>
              <w:t>-</w:t>
            </w:r>
          </w:p>
        </w:tc>
        <w:tc>
          <w:tcPr>
            <w:tcW w:w="1275" w:type="dxa"/>
            <w:tcBorders>
              <w:top w:val="nil"/>
              <w:left w:val="nil"/>
              <w:bottom w:val="single" w:sz="8" w:space="0" w:color="FF0000"/>
              <w:right w:val="nil"/>
            </w:tcBorders>
            <w:shd w:val="clear" w:color="000000" w:fill="7A091A"/>
            <w:vAlign w:val="center"/>
            <w:hideMark/>
          </w:tcPr>
          <w:p w14:paraId="2FB2C4E7" w14:textId="77777777" w:rsidR="002F4BAB" w:rsidRPr="00894701" w:rsidRDefault="002F4BAB" w:rsidP="004365C4">
            <w:pPr>
              <w:spacing w:after="0" w:line="240" w:lineRule="auto"/>
              <w:jc w:val="right"/>
              <w:rPr>
                <w:rFonts w:cs="Arial"/>
                <w:b/>
                <w:bCs/>
                <w:color w:val="FFFFFF"/>
                <w:kern w:val="0"/>
                <w:sz w:val="16"/>
                <w:szCs w:val="16"/>
              </w:rPr>
            </w:pPr>
            <w:r w:rsidRPr="00894701">
              <w:rPr>
                <w:rFonts w:cs="Arial"/>
                <w:b/>
                <w:bCs/>
                <w:color w:val="FFFFFF"/>
                <w:kern w:val="0"/>
                <w:sz w:val="16"/>
                <w:szCs w:val="16"/>
              </w:rPr>
              <w:t>3</w:t>
            </w:r>
          </w:p>
        </w:tc>
      </w:tr>
    </w:tbl>
    <w:p w14:paraId="5B277284" w14:textId="00D78DD2" w:rsidR="000D63C7" w:rsidRDefault="000D63C7" w:rsidP="002F4BAB">
      <w:pPr>
        <w:spacing w:after="0" w:line="240" w:lineRule="auto"/>
        <w:rPr>
          <w:rFonts w:asciiTheme="majorHAnsi" w:eastAsiaTheme="majorEastAsia" w:hAnsiTheme="majorHAnsi" w:cstheme="majorBidi"/>
          <w:b/>
          <w:bCs/>
          <w:color w:val="C00000"/>
          <w:sz w:val="36"/>
          <w:szCs w:val="36"/>
        </w:rPr>
      </w:pPr>
      <w:r>
        <w:rPr>
          <w:rFonts w:asciiTheme="majorHAnsi" w:eastAsiaTheme="majorEastAsia" w:hAnsiTheme="majorHAnsi" w:cstheme="majorBidi"/>
          <w:b/>
          <w:bCs/>
          <w:color w:val="C00000"/>
          <w:sz w:val="36"/>
          <w:szCs w:val="36"/>
        </w:rPr>
        <w:br w:type="page"/>
      </w:r>
    </w:p>
    <w:p w14:paraId="67CB86F7" w14:textId="5EA15EBB" w:rsidR="00235F0B" w:rsidRPr="00894701" w:rsidRDefault="00235F0B" w:rsidP="008F7932">
      <w:pPr>
        <w:pStyle w:val="ListParagraph"/>
        <w:numPr>
          <w:ilvl w:val="1"/>
          <w:numId w:val="7"/>
        </w:numPr>
        <w:spacing w:after="240"/>
        <w:ind w:left="851" w:right="482" w:hanging="851"/>
        <w:outlineLvl w:val="1"/>
        <w:rPr>
          <w:b/>
          <w:sz w:val="28"/>
          <w:szCs w:val="28"/>
        </w:rPr>
      </w:pPr>
      <w:bookmarkStart w:id="546" w:name="_Toc122478951"/>
      <w:r w:rsidRPr="00894701">
        <w:rPr>
          <w:b/>
          <w:sz w:val="28"/>
          <w:szCs w:val="28"/>
        </w:rPr>
        <w:t>Social and environmental expenditure disclosed by extractive entities (EITI Requirement 6.1)</w:t>
      </w:r>
      <w:bookmarkEnd w:id="546"/>
      <w:r w:rsidR="00B15653" w:rsidRPr="00894701">
        <w:rPr>
          <w:b/>
          <w:sz w:val="28"/>
          <w:szCs w:val="28"/>
        </w:rPr>
        <w:t xml:space="preserve"> </w:t>
      </w:r>
    </w:p>
    <w:p w14:paraId="0605A340" w14:textId="77777777" w:rsidR="00235F0B" w:rsidRPr="00894701" w:rsidRDefault="00235F0B" w:rsidP="00732CF8">
      <w:pPr>
        <w:jc w:val="both"/>
        <w:rPr>
          <w:rFonts w:cs="Arial"/>
          <w:color w:val="auto"/>
          <w:sz w:val="20"/>
        </w:rPr>
      </w:pPr>
      <w:r w:rsidRPr="00894701">
        <w:rPr>
          <w:rFonts w:cs="Arial"/>
          <w:color w:val="auto"/>
          <w:sz w:val="20"/>
        </w:rPr>
        <w:t>Social payments consist of all contributions made by extractive companies to promote local development and to finance social projects in line with EITI Requirement 6.1. This Requirement encourages multi stakeholder groups to apply a high standard of transparency to social payments and transfers, the parties involved in the transactions and the materiality of these payments and transfers to other benefit streams, including the recognition that these payments may be reported even though it is not possible to reconcile them.</w:t>
      </w:r>
    </w:p>
    <w:p w14:paraId="215488D9" w14:textId="0C315A24" w:rsidR="00235F0B" w:rsidRPr="00894701" w:rsidRDefault="00235F0B" w:rsidP="00860520">
      <w:pPr>
        <w:spacing w:after="0"/>
        <w:jc w:val="center"/>
        <w:rPr>
          <w:b/>
          <w:bCs/>
          <w:color w:val="98002E" w:themeColor="accent3"/>
          <w:sz w:val="20"/>
          <w:szCs w:val="20"/>
        </w:rPr>
      </w:pPr>
      <w:bookmarkStart w:id="547" w:name="_Toc146590544"/>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72</w:t>
      </w:r>
      <w:r w:rsidRPr="00894701">
        <w:rPr>
          <w:b/>
          <w:bCs/>
          <w:color w:val="98002E" w:themeColor="accent3"/>
          <w:sz w:val="20"/>
          <w:szCs w:val="20"/>
        </w:rPr>
        <w:fldChar w:fldCharType="end"/>
      </w:r>
      <w:r w:rsidRPr="00894701">
        <w:rPr>
          <w:b/>
          <w:bCs/>
          <w:color w:val="98002E" w:themeColor="accent3"/>
          <w:sz w:val="20"/>
          <w:szCs w:val="20"/>
        </w:rPr>
        <w:t xml:space="preserve">: Summary of social contributions reported by </w:t>
      </w:r>
      <w:r w:rsidR="00C7021B" w:rsidRPr="00894701">
        <w:rPr>
          <w:b/>
          <w:bCs/>
          <w:color w:val="98002E" w:themeColor="accent3"/>
          <w:sz w:val="20"/>
          <w:szCs w:val="20"/>
        </w:rPr>
        <w:t>the</w:t>
      </w:r>
      <w:r w:rsidRPr="00894701">
        <w:rPr>
          <w:b/>
          <w:bCs/>
          <w:color w:val="98002E" w:themeColor="accent3"/>
          <w:sz w:val="20"/>
          <w:szCs w:val="20"/>
        </w:rPr>
        <w:t xml:space="preserve"> companies for the fiscal year</w:t>
      </w:r>
      <w:r w:rsidR="00C7021B" w:rsidRPr="00894701">
        <w:rPr>
          <w:b/>
          <w:bCs/>
          <w:color w:val="98002E" w:themeColor="accent3"/>
          <w:sz w:val="20"/>
          <w:szCs w:val="20"/>
        </w:rPr>
        <w:t>s</w:t>
      </w:r>
      <w:r w:rsidRPr="00894701">
        <w:rPr>
          <w:b/>
          <w:bCs/>
          <w:color w:val="98002E" w:themeColor="accent3"/>
          <w:sz w:val="20"/>
          <w:szCs w:val="20"/>
        </w:rPr>
        <w:t xml:space="preserve"> 201</w:t>
      </w:r>
      <w:r w:rsidR="00C7021B" w:rsidRPr="00894701">
        <w:rPr>
          <w:b/>
          <w:bCs/>
          <w:color w:val="98002E" w:themeColor="accent3"/>
          <w:sz w:val="20"/>
          <w:szCs w:val="20"/>
        </w:rPr>
        <w:t>8,2019 and 2020</w:t>
      </w:r>
      <w:bookmarkEnd w:id="547"/>
    </w:p>
    <w:tbl>
      <w:tblPr>
        <w:tblW w:w="8764" w:type="dxa"/>
        <w:tblCellMar>
          <w:left w:w="70" w:type="dxa"/>
          <w:right w:w="70" w:type="dxa"/>
        </w:tblCellMar>
        <w:tblLook w:val="04A0" w:firstRow="1" w:lastRow="0" w:firstColumn="1" w:lastColumn="0" w:noHBand="0" w:noVBand="1"/>
      </w:tblPr>
      <w:tblGrid>
        <w:gridCol w:w="3969"/>
        <w:gridCol w:w="1597"/>
        <w:gridCol w:w="1599"/>
        <w:gridCol w:w="1599"/>
      </w:tblGrid>
      <w:tr w:rsidR="00D56231" w:rsidRPr="00894701" w14:paraId="60D02215" w14:textId="77777777" w:rsidTr="00E22FC7">
        <w:trPr>
          <w:trHeight w:val="573"/>
        </w:trPr>
        <w:tc>
          <w:tcPr>
            <w:tcW w:w="3969" w:type="dxa"/>
            <w:tcBorders>
              <w:top w:val="nil"/>
              <w:left w:val="nil"/>
              <w:bottom w:val="single" w:sz="8" w:space="0" w:color="FF0000"/>
              <w:right w:val="single" w:sz="8" w:space="0" w:color="FFFFFF"/>
            </w:tcBorders>
            <w:shd w:val="clear" w:color="000000" w:fill="800000"/>
            <w:noWrap/>
            <w:vAlign w:val="center"/>
            <w:hideMark/>
          </w:tcPr>
          <w:p w14:paraId="4312A1F5" w14:textId="77777777" w:rsidR="00C7021B" w:rsidRPr="00894701" w:rsidRDefault="00C7021B" w:rsidP="00732CF8">
            <w:pPr>
              <w:spacing w:after="0" w:line="240" w:lineRule="auto"/>
              <w:rPr>
                <w:rFonts w:cs="Arial"/>
                <w:b/>
                <w:bCs/>
                <w:color w:val="auto"/>
                <w:kern w:val="0"/>
                <w:szCs w:val="18"/>
                <w:lang w:eastAsia="fr-FR"/>
              </w:rPr>
            </w:pPr>
            <w:r w:rsidRPr="00894701">
              <w:rPr>
                <w:rFonts w:cs="Arial"/>
                <w:b/>
                <w:bCs/>
                <w:color w:val="auto"/>
                <w:kern w:val="0"/>
                <w:szCs w:val="18"/>
                <w:lang w:eastAsia="fr-FR"/>
              </w:rPr>
              <w:t>Extractive entity</w:t>
            </w:r>
          </w:p>
        </w:tc>
        <w:tc>
          <w:tcPr>
            <w:tcW w:w="1597" w:type="dxa"/>
            <w:tcBorders>
              <w:top w:val="nil"/>
              <w:left w:val="nil"/>
              <w:right w:val="nil"/>
            </w:tcBorders>
            <w:shd w:val="clear" w:color="000000" w:fill="800000"/>
            <w:vAlign w:val="center"/>
            <w:hideMark/>
          </w:tcPr>
          <w:p w14:paraId="298DACC3" w14:textId="77777777" w:rsidR="00C7021B" w:rsidRPr="00894701" w:rsidRDefault="00C7021B" w:rsidP="00732CF8">
            <w:pPr>
              <w:spacing w:after="0" w:line="240" w:lineRule="auto"/>
              <w:jc w:val="right"/>
              <w:rPr>
                <w:rFonts w:cs="Arial"/>
                <w:b/>
                <w:bCs/>
                <w:color w:val="auto"/>
                <w:kern w:val="0"/>
                <w:szCs w:val="18"/>
                <w:lang w:eastAsia="fr-FR"/>
              </w:rPr>
            </w:pPr>
            <w:r w:rsidRPr="00894701">
              <w:rPr>
                <w:rFonts w:cs="Arial"/>
                <w:b/>
                <w:bCs/>
                <w:color w:val="auto"/>
                <w:kern w:val="0"/>
                <w:szCs w:val="18"/>
                <w:lang w:eastAsia="fr-FR"/>
              </w:rPr>
              <w:t>FY 2018</w:t>
            </w:r>
          </w:p>
          <w:p w14:paraId="3CDC0587" w14:textId="77425A6B" w:rsidR="00C7021B" w:rsidRPr="00894701" w:rsidRDefault="00C7021B" w:rsidP="00732CF8">
            <w:pPr>
              <w:spacing w:after="0" w:line="240" w:lineRule="auto"/>
              <w:jc w:val="right"/>
              <w:rPr>
                <w:rFonts w:cs="Arial"/>
                <w:b/>
                <w:bCs/>
                <w:color w:val="auto"/>
                <w:kern w:val="0"/>
                <w:szCs w:val="18"/>
                <w:lang w:eastAsia="fr-FR"/>
              </w:rPr>
            </w:pPr>
            <w:r w:rsidRPr="00894701">
              <w:rPr>
                <w:rFonts w:cs="Arial"/>
                <w:b/>
                <w:bCs/>
                <w:color w:val="auto"/>
                <w:kern w:val="0"/>
                <w:szCs w:val="18"/>
                <w:lang w:eastAsia="fr-FR"/>
              </w:rPr>
              <w:t>(SRD)</w:t>
            </w:r>
          </w:p>
        </w:tc>
        <w:tc>
          <w:tcPr>
            <w:tcW w:w="1599" w:type="dxa"/>
            <w:tcBorders>
              <w:top w:val="nil"/>
              <w:left w:val="single" w:sz="8" w:space="0" w:color="FFFFFF"/>
              <w:right w:val="single" w:sz="8" w:space="0" w:color="FFFFFF"/>
            </w:tcBorders>
            <w:shd w:val="clear" w:color="000000" w:fill="800000"/>
            <w:vAlign w:val="center"/>
          </w:tcPr>
          <w:p w14:paraId="49DEB296" w14:textId="77777777" w:rsidR="00C7021B" w:rsidRPr="00894701" w:rsidRDefault="00C7021B" w:rsidP="00732CF8">
            <w:pPr>
              <w:spacing w:after="0" w:line="240" w:lineRule="auto"/>
              <w:jc w:val="right"/>
              <w:rPr>
                <w:rFonts w:cs="Arial"/>
                <w:b/>
                <w:bCs/>
                <w:color w:val="auto"/>
                <w:kern w:val="0"/>
                <w:szCs w:val="18"/>
                <w:lang w:eastAsia="fr-FR"/>
              </w:rPr>
            </w:pPr>
            <w:r w:rsidRPr="00894701">
              <w:rPr>
                <w:rFonts w:cs="Arial"/>
                <w:b/>
                <w:bCs/>
                <w:color w:val="auto"/>
                <w:kern w:val="0"/>
                <w:szCs w:val="18"/>
                <w:lang w:eastAsia="fr-FR"/>
              </w:rPr>
              <w:t>FY 2019</w:t>
            </w:r>
          </w:p>
          <w:p w14:paraId="41E52043" w14:textId="4B741588" w:rsidR="00C7021B" w:rsidRPr="00894701" w:rsidRDefault="00C7021B" w:rsidP="00732CF8">
            <w:pPr>
              <w:spacing w:after="0" w:line="240" w:lineRule="auto"/>
              <w:jc w:val="right"/>
              <w:rPr>
                <w:rFonts w:cs="Arial"/>
                <w:b/>
                <w:bCs/>
                <w:color w:val="auto"/>
                <w:kern w:val="0"/>
                <w:szCs w:val="18"/>
                <w:lang w:eastAsia="fr-FR"/>
              </w:rPr>
            </w:pPr>
            <w:r w:rsidRPr="00894701">
              <w:rPr>
                <w:rFonts w:cs="Arial"/>
                <w:b/>
                <w:bCs/>
                <w:color w:val="auto"/>
                <w:kern w:val="0"/>
                <w:szCs w:val="18"/>
                <w:lang w:eastAsia="fr-FR"/>
              </w:rPr>
              <w:t>(SRD)</w:t>
            </w:r>
          </w:p>
        </w:tc>
        <w:tc>
          <w:tcPr>
            <w:tcW w:w="1599" w:type="dxa"/>
            <w:tcBorders>
              <w:top w:val="nil"/>
              <w:left w:val="single" w:sz="8" w:space="0" w:color="FFFFFF"/>
              <w:bottom w:val="single" w:sz="8" w:space="0" w:color="FF0000"/>
              <w:right w:val="nil"/>
            </w:tcBorders>
            <w:shd w:val="clear" w:color="000000" w:fill="800000"/>
            <w:vAlign w:val="center"/>
            <w:hideMark/>
          </w:tcPr>
          <w:p w14:paraId="0B1B0CFA" w14:textId="77777777" w:rsidR="00C7021B" w:rsidRPr="00894701" w:rsidRDefault="00C7021B" w:rsidP="00732CF8">
            <w:pPr>
              <w:spacing w:after="0" w:line="240" w:lineRule="auto"/>
              <w:jc w:val="right"/>
              <w:rPr>
                <w:rFonts w:cs="Arial"/>
                <w:b/>
                <w:bCs/>
                <w:color w:val="auto"/>
                <w:kern w:val="0"/>
                <w:szCs w:val="18"/>
                <w:lang w:eastAsia="fr-FR"/>
              </w:rPr>
            </w:pPr>
            <w:r w:rsidRPr="00894701">
              <w:rPr>
                <w:rFonts w:cs="Arial"/>
                <w:b/>
                <w:bCs/>
                <w:color w:val="auto"/>
                <w:kern w:val="0"/>
                <w:szCs w:val="18"/>
                <w:lang w:eastAsia="fr-FR"/>
              </w:rPr>
              <w:t>FY 2020</w:t>
            </w:r>
          </w:p>
          <w:p w14:paraId="5073F99A" w14:textId="34A4095B" w:rsidR="00C7021B" w:rsidRPr="00894701" w:rsidRDefault="00C7021B" w:rsidP="00732CF8">
            <w:pPr>
              <w:spacing w:after="0" w:line="240" w:lineRule="auto"/>
              <w:jc w:val="right"/>
              <w:rPr>
                <w:rFonts w:cs="Arial"/>
                <w:b/>
                <w:bCs/>
                <w:color w:val="auto"/>
                <w:kern w:val="0"/>
                <w:szCs w:val="18"/>
                <w:lang w:eastAsia="fr-FR"/>
              </w:rPr>
            </w:pPr>
            <w:r w:rsidRPr="00894701">
              <w:rPr>
                <w:rFonts w:cs="Arial"/>
                <w:b/>
                <w:bCs/>
                <w:color w:val="auto"/>
                <w:kern w:val="0"/>
                <w:szCs w:val="18"/>
                <w:lang w:eastAsia="fr-FR"/>
              </w:rPr>
              <w:t>(SRD)</w:t>
            </w:r>
          </w:p>
        </w:tc>
      </w:tr>
      <w:tr w:rsidR="00D56231" w:rsidRPr="00894701" w14:paraId="50218177" w14:textId="77777777" w:rsidTr="00A011DF">
        <w:trPr>
          <w:trHeight w:val="270"/>
        </w:trPr>
        <w:tc>
          <w:tcPr>
            <w:tcW w:w="3969" w:type="dxa"/>
            <w:tcBorders>
              <w:top w:val="nil"/>
              <w:left w:val="nil"/>
              <w:bottom w:val="nil"/>
              <w:right w:val="single" w:sz="8" w:space="0" w:color="FFFFFF"/>
            </w:tcBorders>
            <w:shd w:val="clear" w:color="000000" w:fill="F7A3B0"/>
            <w:vAlign w:val="center"/>
          </w:tcPr>
          <w:p w14:paraId="4B90595A" w14:textId="13338ACB" w:rsidR="00C7021B" w:rsidRPr="00894701" w:rsidRDefault="003B6F67" w:rsidP="00732CF8">
            <w:pPr>
              <w:spacing w:after="0" w:line="240" w:lineRule="auto"/>
              <w:rPr>
                <w:rFonts w:cs="Arial"/>
                <w:color w:val="auto"/>
                <w:kern w:val="0"/>
                <w:szCs w:val="18"/>
                <w:lang w:eastAsia="fr-FR"/>
              </w:rPr>
            </w:pPr>
            <w:r w:rsidRPr="00894701">
              <w:rPr>
                <w:rFonts w:cs="Arial"/>
                <w:color w:val="auto"/>
                <w:kern w:val="0"/>
                <w:szCs w:val="18"/>
                <w:lang w:eastAsia="fr-FR"/>
              </w:rPr>
              <w:t>Kosmos Energy Suriname</w:t>
            </w:r>
            <w:r w:rsidR="000F24A1">
              <w:rPr>
                <w:rFonts w:cs="Arial"/>
                <w:color w:val="auto"/>
                <w:kern w:val="0"/>
                <w:szCs w:val="18"/>
                <w:lang w:eastAsia="fr-FR"/>
              </w:rPr>
              <w:t xml:space="preserve"> </w:t>
            </w:r>
            <w:r w:rsidR="000F24A1" w:rsidRPr="00860520">
              <w:rPr>
                <w:rFonts w:cs="Arial"/>
                <w:i/>
                <w:iCs/>
                <w:color w:val="auto"/>
                <w:kern w:val="0"/>
                <w:szCs w:val="18"/>
                <w:lang w:eastAsia="fr-FR"/>
              </w:rPr>
              <w:t>(*)</w:t>
            </w:r>
          </w:p>
        </w:tc>
        <w:tc>
          <w:tcPr>
            <w:tcW w:w="1597" w:type="dxa"/>
            <w:tcBorders>
              <w:top w:val="nil"/>
              <w:left w:val="nil"/>
              <w:bottom w:val="nil"/>
              <w:right w:val="nil"/>
            </w:tcBorders>
            <w:shd w:val="clear" w:color="000000" w:fill="F7A3B0"/>
            <w:noWrap/>
            <w:vAlign w:val="center"/>
          </w:tcPr>
          <w:p w14:paraId="7BC0B619" w14:textId="5A6AF57C" w:rsidR="00C7021B" w:rsidRPr="00894701" w:rsidRDefault="003B6F67" w:rsidP="00732CF8">
            <w:pPr>
              <w:spacing w:after="0" w:line="240" w:lineRule="auto"/>
              <w:jc w:val="right"/>
              <w:rPr>
                <w:rFonts w:cs="Arial"/>
                <w:color w:val="auto"/>
                <w:kern w:val="0"/>
                <w:szCs w:val="18"/>
                <w:lang w:eastAsia="fr-FR"/>
              </w:rPr>
            </w:pPr>
            <w:r w:rsidRPr="00894701">
              <w:rPr>
                <w:rFonts w:cs="Arial"/>
                <w:color w:val="auto"/>
                <w:kern w:val="0"/>
                <w:szCs w:val="18"/>
                <w:lang w:eastAsia="fr-FR"/>
              </w:rPr>
              <w:t xml:space="preserve">1,479,200 </w:t>
            </w:r>
          </w:p>
        </w:tc>
        <w:tc>
          <w:tcPr>
            <w:tcW w:w="1599" w:type="dxa"/>
            <w:tcBorders>
              <w:top w:val="nil"/>
              <w:left w:val="nil"/>
              <w:bottom w:val="nil"/>
              <w:right w:val="nil"/>
            </w:tcBorders>
            <w:shd w:val="clear" w:color="000000" w:fill="F7A3B0"/>
            <w:vAlign w:val="center"/>
          </w:tcPr>
          <w:p w14:paraId="3AD41C18" w14:textId="5458695E" w:rsidR="00C7021B" w:rsidRPr="00894701" w:rsidRDefault="003B6F67" w:rsidP="00732CF8">
            <w:pPr>
              <w:spacing w:after="0" w:line="240" w:lineRule="auto"/>
              <w:jc w:val="right"/>
              <w:rPr>
                <w:rFonts w:cs="Arial"/>
                <w:color w:val="auto"/>
                <w:kern w:val="0"/>
                <w:szCs w:val="18"/>
                <w:lang w:eastAsia="fr-FR"/>
              </w:rPr>
            </w:pPr>
            <w:r w:rsidRPr="00894701">
              <w:rPr>
                <w:rFonts w:cs="Arial"/>
                <w:color w:val="auto"/>
                <w:kern w:val="0"/>
                <w:szCs w:val="18"/>
                <w:lang w:eastAsia="fr-FR"/>
              </w:rPr>
              <w:t xml:space="preserve">791,372 </w:t>
            </w:r>
          </w:p>
        </w:tc>
        <w:tc>
          <w:tcPr>
            <w:tcW w:w="1599" w:type="dxa"/>
            <w:tcBorders>
              <w:top w:val="nil"/>
              <w:left w:val="nil"/>
              <w:bottom w:val="nil"/>
              <w:right w:val="nil"/>
            </w:tcBorders>
            <w:shd w:val="clear" w:color="000000" w:fill="F7A3B0"/>
            <w:noWrap/>
            <w:vAlign w:val="center"/>
          </w:tcPr>
          <w:p w14:paraId="23BEB31A" w14:textId="5ECF1463" w:rsidR="00C7021B" w:rsidRPr="00894701" w:rsidRDefault="003B6F67" w:rsidP="00732CF8">
            <w:pPr>
              <w:spacing w:after="0" w:line="240" w:lineRule="auto"/>
              <w:jc w:val="right"/>
              <w:rPr>
                <w:rFonts w:cs="Arial"/>
                <w:bCs/>
                <w:color w:val="auto"/>
                <w:kern w:val="0"/>
                <w:szCs w:val="18"/>
                <w:lang w:eastAsia="fr-FR"/>
              </w:rPr>
            </w:pPr>
            <w:r w:rsidRPr="00894701">
              <w:rPr>
                <w:rFonts w:cs="Arial"/>
                <w:bCs/>
                <w:color w:val="auto"/>
                <w:kern w:val="0"/>
                <w:szCs w:val="18"/>
                <w:lang w:eastAsia="fr-FR"/>
              </w:rPr>
              <w:t xml:space="preserve">362,404 </w:t>
            </w:r>
          </w:p>
        </w:tc>
      </w:tr>
      <w:tr w:rsidR="00D56231" w:rsidRPr="00894701" w14:paraId="79799CB0" w14:textId="77777777" w:rsidTr="00A011DF">
        <w:trPr>
          <w:trHeight w:val="381"/>
        </w:trPr>
        <w:tc>
          <w:tcPr>
            <w:tcW w:w="3969" w:type="dxa"/>
            <w:tcBorders>
              <w:top w:val="nil"/>
              <w:left w:val="nil"/>
              <w:bottom w:val="nil"/>
              <w:right w:val="single" w:sz="8" w:space="0" w:color="FFFFFF"/>
            </w:tcBorders>
            <w:shd w:val="clear" w:color="000000" w:fill="FFFFFF"/>
            <w:vAlign w:val="center"/>
          </w:tcPr>
          <w:p w14:paraId="307088D9" w14:textId="6B32B8D5" w:rsidR="00C7021B" w:rsidRPr="00894701" w:rsidRDefault="003B6F67" w:rsidP="00732CF8">
            <w:pPr>
              <w:spacing w:after="0" w:line="240" w:lineRule="auto"/>
              <w:rPr>
                <w:rFonts w:cs="Arial"/>
                <w:color w:val="auto"/>
                <w:kern w:val="0"/>
                <w:szCs w:val="18"/>
                <w:lang w:val="en-US" w:eastAsia="fr-FR"/>
              </w:rPr>
            </w:pPr>
            <w:r w:rsidRPr="00894701">
              <w:rPr>
                <w:rFonts w:cs="Arial"/>
                <w:color w:val="auto"/>
                <w:kern w:val="0"/>
                <w:szCs w:val="18"/>
                <w:lang w:val="en-US" w:eastAsia="fr-FR"/>
              </w:rPr>
              <w:t>Petronas Suriname Exploration &amp; production B.V.</w:t>
            </w:r>
            <w:r w:rsidR="004A1695">
              <w:rPr>
                <w:rFonts w:cs="Arial"/>
                <w:color w:val="auto"/>
                <w:kern w:val="0"/>
                <w:szCs w:val="18"/>
                <w:lang w:eastAsia="fr-FR"/>
              </w:rPr>
              <w:t xml:space="preserve"> </w:t>
            </w:r>
            <w:r w:rsidR="004A1695" w:rsidRPr="0072696F">
              <w:rPr>
                <w:rFonts w:cs="Arial"/>
                <w:i/>
                <w:iCs/>
                <w:color w:val="auto"/>
                <w:kern w:val="0"/>
                <w:szCs w:val="18"/>
                <w:lang w:eastAsia="fr-FR"/>
              </w:rPr>
              <w:t>(*</w:t>
            </w:r>
            <w:r w:rsidR="004A1695">
              <w:rPr>
                <w:rFonts w:cs="Arial"/>
                <w:i/>
                <w:iCs/>
                <w:color w:val="auto"/>
                <w:kern w:val="0"/>
                <w:szCs w:val="18"/>
                <w:lang w:eastAsia="fr-FR"/>
              </w:rPr>
              <w:t>*</w:t>
            </w:r>
            <w:r w:rsidR="004A1695" w:rsidRPr="0072696F">
              <w:rPr>
                <w:rFonts w:cs="Arial"/>
                <w:i/>
                <w:iCs/>
                <w:color w:val="auto"/>
                <w:kern w:val="0"/>
                <w:szCs w:val="18"/>
                <w:lang w:eastAsia="fr-FR"/>
              </w:rPr>
              <w:t>)</w:t>
            </w:r>
          </w:p>
        </w:tc>
        <w:tc>
          <w:tcPr>
            <w:tcW w:w="1597" w:type="dxa"/>
            <w:tcBorders>
              <w:top w:val="nil"/>
              <w:left w:val="nil"/>
              <w:bottom w:val="nil"/>
              <w:right w:val="nil"/>
            </w:tcBorders>
            <w:shd w:val="clear" w:color="000000" w:fill="FFFFFF"/>
            <w:noWrap/>
            <w:vAlign w:val="center"/>
          </w:tcPr>
          <w:p w14:paraId="683EC5C5" w14:textId="507A8164" w:rsidR="00C7021B" w:rsidRPr="00894701" w:rsidRDefault="003B6F67" w:rsidP="00732CF8">
            <w:pPr>
              <w:spacing w:after="0" w:line="240" w:lineRule="auto"/>
              <w:jc w:val="right"/>
              <w:rPr>
                <w:rFonts w:cs="Arial"/>
                <w:color w:val="auto"/>
                <w:kern w:val="0"/>
                <w:szCs w:val="18"/>
                <w:lang w:eastAsia="fr-FR"/>
              </w:rPr>
            </w:pPr>
            <w:r w:rsidRPr="00894701">
              <w:rPr>
                <w:rFonts w:cs="Arial"/>
                <w:color w:val="auto"/>
                <w:kern w:val="0"/>
                <w:szCs w:val="18"/>
                <w:lang w:eastAsia="fr-FR"/>
              </w:rPr>
              <w:t xml:space="preserve">2,326,383 </w:t>
            </w:r>
          </w:p>
        </w:tc>
        <w:tc>
          <w:tcPr>
            <w:tcW w:w="1599" w:type="dxa"/>
            <w:tcBorders>
              <w:top w:val="nil"/>
              <w:left w:val="nil"/>
              <w:bottom w:val="nil"/>
              <w:right w:val="nil"/>
            </w:tcBorders>
            <w:vAlign w:val="center"/>
          </w:tcPr>
          <w:p w14:paraId="0DA82C59" w14:textId="2136DE46" w:rsidR="00C7021B" w:rsidRPr="00894701" w:rsidRDefault="003B6F67" w:rsidP="00732CF8">
            <w:pPr>
              <w:spacing w:after="0" w:line="240" w:lineRule="auto"/>
              <w:jc w:val="right"/>
              <w:rPr>
                <w:rFonts w:cs="Arial"/>
                <w:color w:val="auto"/>
                <w:kern w:val="0"/>
                <w:szCs w:val="18"/>
                <w:lang w:eastAsia="fr-FR"/>
              </w:rPr>
            </w:pPr>
            <w:r w:rsidRPr="00894701">
              <w:rPr>
                <w:rFonts w:cs="Arial"/>
                <w:color w:val="auto"/>
                <w:kern w:val="0"/>
                <w:szCs w:val="18"/>
                <w:lang w:eastAsia="fr-FR"/>
              </w:rPr>
              <w:t>303,778</w:t>
            </w:r>
          </w:p>
        </w:tc>
        <w:tc>
          <w:tcPr>
            <w:tcW w:w="1599" w:type="dxa"/>
            <w:tcBorders>
              <w:top w:val="nil"/>
              <w:left w:val="nil"/>
              <w:bottom w:val="nil"/>
              <w:right w:val="nil"/>
            </w:tcBorders>
            <w:shd w:val="clear" w:color="auto" w:fill="auto"/>
            <w:noWrap/>
            <w:vAlign w:val="center"/>
          </w:tcPr>
          <w:p w14:paraId="72D28F3B" w14:textId="06C2CAEC" w:rsidR="00C7021B" w:rsidRPr="00894701" w:rsidRDefault="003B6F67" w:rsidP="00732CF8">
            <w:pPr>
              <w:spacing w:after="0" w:line="240" w:lineRule="auto"/>
              <w:jc w:val="right"/>
              <w:rPr>
                <w:rFonts w:cs="Arial"/>
                <w:bCs/>
                <w:color w:val="auto"/>
                <w:kern w:val="0"/>
                <w:szCs w:val="18"/>
                <w:lang w:eastAsia="fr-FR"/>
              </w:rPr>
            </w:pPr>
            <w:r w:rsidRPr="00894701">
              <w:rPr>
                <w:rFonts w:cs="Arial"/>
                <w:bCs/>
                <w:color w:val="auto"/>
                <w:kern w:val="0"/>
                <w:szCs w:val="18"/>
                <w:lang w:eastAsia="fr-FR"/>
              </w:rPr>
              <w:t xml:space="preserve">279,356 </w:t>
            </w:r>
          </w:p>
        </w:tc>
      </w:tr>
      <w:tr w:rsidR="00D56231" w:rsidRPr="00894701" w14:paraId="55F18E0C" w14:textId="77777777" w:rsidTr="00A011DF">
        <w:trPr>
          <w:trHeight w:val="270"/>
        </w:trPr>
        <w:tc>
          <w:tcPr>
            <w:tcW w:w="3969" w:type="dxa"/>
            <w:tcBorders>
              <w:top w:val="nil"/>
              <w:left w:val="nil"/>
              <w:bottom w:val="nil"/>
              <w:right w:val="single" w:sz="8" w:space="0" w:color="FFFFFF"/>
            </w:tcBorders>
            <w:shd w:val="clear" w:color="000000" w:fill="F7A3B0"/>
            <w:vAlign w:val="center"/>
          </w:tcPr>
          <w:p w14:paraId="497D0F5D" w14:textId="134DBFE5" w:rsidR="00C7021B" w:rsidRPr="00894701" w:rsidRDefault="003B6F67" w:rsidP="00732CF8">
            <w:pPr>
              <w:spacing w:after="0" w:line="240" w:lineRule="auto"/>
              <w:rPr>
                <w:rFonts w:cs="Arial"/>
                <w:color w:val="auto"/>
                <w:kern w:val="0"/>
                <w:szCs w:val="18"/>
                <w:lang w:val="nl-NL" w:eastAsia="fr-FR"/>
              </w:rPr>
            </w:pPr>
            <w:r w:rsidRPr="00894701">
              <w:rPr>
                <w:rFonts w:cs="Arial"/>
                <w:color w:val="auto"/>
                <w:kern w:val="0"/>
                <w:szCs w:val="18"/>
                <w:lang w:val="nl-NL" w:eastAsia="fr-FR"/>
              </w:rPr>
              <w:t>Staatsolie Maatschappij Suriname N.V.</w:t>
            </w:r>
            <w:r w:rsidR="00660C30">
              <w:rPr>
                <w:rFonts w:cs="Arial"/>
                <w:color w:val="auto"/>
                <w:kern w:val="0"/>
                <w:szCs w:val="18"/>
                <w:lang w:val="nl-NL" w:eastAsia="fr-FR"/>
              </w:rPr>
              <w:t xml:space="preserve"> (which is a State Owned Enterprise)</w:t>
            </w:r>
            <w:r w:rsidR="004A1695">
              <w:rPr>
                <w:rFonts w:cs="Arial"/>
                <w:color w:val="auto"/>
                <w:kern w:val="0"/>
                <w:szCs w:val="18"/>
                <w:lang w:val="nl-NL" w:eastAsia="fr-FR"/>
              </w:rPr>
              <w:t xml:space="preserve"> </w:t>
            </w:r>
            <w:r w:rsidR="004A1695" w:rsidRPr="0072696F">
              <w:rPr>
                <w:rFonts w:cs="Arial"/>
                <w:i/>
                <w:iCs/>
                <w:color w:val="auto"/>
                <w:kern w:val="0"/>
                <w:szCs w:val="18"/>
                <w:lang w:eastAsia="fr-FR"/>
              </w:rPr>
              <w:t>(*</w:t>
            </w:r>
            <w:r w:rsidR="004A1695">
              <w:rPr>
                <w:rFonts w:cs="Arial"/>
                <w:i/>
                <w:iCs/>
                <w:color w:val="auto"/>
                <w:kern w:val="0"/>
                <w:szCs w:val="18"/>
                <w:lang w:eastAsia="fr-FR"/>
              </w:rPr>
              <w:t>*</w:t>
            </w:r>
            <w:r w:rsidR="004A1695" w:rsidRPr="0072696F">
              <w:rPr>
                <w:rFonts w:cs="Arial"/>
                <w:i/>
                <w:iCs/>
                <w:color w:val="auto"/>
                <w:kern w:val="0"/>
                <w:szCs w:val="18"/>
                <w:lang w:eastAsia="fr-FR"/>
              </w:rPr>
              <w:t>)</w:t>
            </w:r>
          </w:p>
        </w:tc>
        <w:tc>
          <w:tcPr>
            <w:tcW w:w="1597" w:type="dxa"/>
            <w:tcBorders>
              <w:top w:val="nil"/>
              <w:left w:val="nil"/>
              <w:bottom w:val="nil"/>
              <w:right w:val="nil"/>
            </w:tcBorders>
            <w:shd w:val="clear" w:color="000000" w:fill="F7A3B0"/>
            <w:noWrap/>
            <w:vAlign w:val="center"/>
          </w:tcPr>
          <w:p w14:paraId="5DC32D56" w14:textId="744017F9" w:rsidR="00C7021B" w:rsidRPr="00894701" w:rsidRDefault="003B6F67" w:rsidP="00732CF8">
            <w:pPr>
              <w:spacing w:after="0" w:line="240" w:lineRule="auto"/>
              <w:jc w:val="right"/>
              <w:rPr>
                <w:rFonts w:cs="Arial"/>
                <w:color w:val="auto"/>
                <w:kern w:val="0"/>
                <w:szCs w:val="18"/>
                <w:lang w:eastAsia="fr-FR"/>
              </w:rPr>
            </w:pPr>
            <w:r w:rsidRPr="00894701">
              <w:rPr>
                <w:rFonts w:cs="Arial"/>
                <w:color w:val="auto"/>
                <w:kern w:val="0"/>
                <w:szCs w:val="18"/>
                <w:lang w:eastAsia="fr-FR"/>
              </w:rPr>
              <w:t xml:space="preserve">796,354,905 </w:t>
            </w:r>
          </w:p>
        </w:tc>
        <w:tc>
          <w:tcPr>
            <w:tcW w:w="1599" w:type="dxa"/>
            <w:tcBorders>
              <w:top w:val="nil"/>
              <w:left w:val="nil"/>
              <w:bottom w:val="nil"/>
              <w:right w:val="nil"/>
            </w:tcBorders>
            <w:shd w:val="clear" w:color="000000" w:fill="F7A3B0"/>
            <w:vAlign w:val="center"/>
          </w:tcPr>
          <w:p w14:paraId="09D08198" w14:textId="59E4A3DE" w:rsidR="00C7021B" w:rsidRPr="00894701" w:rsidRDefault="00C7021B" w:rsidP="00732CF8">
            <w:pPr>
              <w:spacing w:after="0" w:line="240" w:lineRule="auto"/>
              <w:jc w:val="right"/>
              <w:rPr>
                <w:rFonts w:cs="Arial"/>
                <w:color w:val="auto"/>
                <w:kern w:val="0"/>
                <w:szCs w:val="18"/>
                <w:lang w:eastAsia="fr-FR"/>
              </w:rPr>
            </w:pPr>
          </w:p>
        </w:tc>
        <w:tc>
          <w:tcPr>
            <w:tcW w:w="1599" w:type="dxa"/>
            <w:tcBorders>
              <w:top w:val="nil"/>
              <w:left w:val="nil"/>
              <w:bottom w:val="nil"/>
              <w:right w:val="nil"/>
            </w:tcBorders>
            <w:shd w:val="clear" w:color="000000" w:fill="F7A3B0"/>
            <w:noWrap/>
            <w:vAlign w:val="center"/>
          </w:tcPr>
          <w:p w14:paraId="1324E4CE" w14:textId="3EC4FDC6" w:rsidR="00C7021B" w:rsidRPr="00894701" w:rsidRDefault="003B6F67" w:rsidP="00732CF8">
            <w:pPr>
              <w:spacing w:after="0" w:line="240" w:lineRule="auto"/>
              <w:jc w:val="right"/>
              <w:rPr>
                <w:rFonts w:cs="Arial"/>
                <w:bCs/>
                <w:color w:val="auto"/>
                <w:kern w:val="0"/>
                <w:szCs w:val="18"/>
                <w:lang w:eastAsia="fr-FR"/>
              </w:rPr>
            </w:pPr>
            <w:r w:rsidRPr="00894701">
              <w:rPr>
                <w:rFonts w:cs="Arial"/>
                <w:bCs/>
                <w:color w:val="auto"/>
                <w:kern w:val="0"/>
                <w:szCs w:val="18"/>
                <w:lang w:eastAsia="fr-FR"/>
              </w:rPr>
              <w:t>366,061</w:t>
            </w:r>
          </w:p>
        </w:tc>
      </w:tr>
      <w:tr w:rsidR="00D56231" w:rsidRPr="00894701" w14:paraId="4F446CB6" w14:textId="77777777" w:rsidTr="00A011DF">
        <w:trPr>
          <w:trHeight w:val="270"/>
        </w:trPr>
        <w:tc>
          <w:tcPr>
            <w:tcW w:w="3969" w:type="dxa"/>
            <w:tcBorders>
              <w:top w:val="nil"/>
              <w:left w:val="nil"/>
              <w:bottom w:val="nil"/>
              <w:right w:val="single" w:sz="8" w:space="0" w:color="FFFFFF"/>
            </w:tcBorders>
            <w:shd w:val="clear" w:color="000000" w:fill="685040"/>
            <w:noWrap/>
            <w:vAlign w:val="center"/>
            <w:hideMark/>
          </w:tcPr>
          <w:p w14:paraId="3D18A9C1" w14:textId="77777777" w:rsidR="00C7021B" w:rsidRPr="00894701" w:rsidRDefault="00C7021B" w:rsidP="00732CF8">
            <w:pPr>
              <w:spacing w:after="0" w:line="240" w:lineRule="auto"/>
              <w:rPr>
                <w:rFonts w:cs="Arial"/>
                <w:b/>
                <w:bCs/>
                <w:color w:val="FFFFFF" w:themeColor="background1"/>
                <w:kern w:val="0"/>
                <w:szCs w:val="18"/>
                <w:lang w:eastAsia="fr-FR"/>
              </w:rPr>
            </w:pPr>
            <w:r w:rsidRPr="00894701">
              <w:rPr>
                <w:rFonts w:cs="Arial"/>
                <w:b/>
                <w:bCs/>
                <w:color w:val="FFFFFF" w:themeColor="background1"/>
                <w:kern w:val="0"/>
                <w:szCs w:val="18"/>
                <w:lang w:eastAsia="fr-FR"/>
              </w:rPr>
              <w:t>Total social payments</w:t>
            </w:r>
          </w:p>
        </w:tc>
        <w:tc>
          <w:tcPr>
            <w:tcW w:w="1597" w:type="dxa"/>
            <w:tcBorders>
              <w:top w:val="nil"/>
              <w:left w:val="nil"/>
              <w:bottom w:val="nil"/>
              <w:right w:val="nil"/>
            </w:tcBorders>
            <w:shd w:val="clear" w:color="000000" w:fill="685040"/>
            <w:noWrap/>
            <w:vAlign w:val="center"/>
          </w:tcPr>
          <w:p w14:paraId="7635385D" w14:textId="336F5198" w:rsidR="00C7021B" w:rsidRPr="00894701" w:rsidRDefault="003B6F67" w:rsidP="00732CF8">
            <w:pPr>
              <w:spacing w:after="0" w:line="240" w:lineRule="auto"/>
              <w:jc w:val="right"/>
              <w:rPr>
                <w:rFonts w:cs="Arial"/>
                <w:b/>
                <w:bCs/>
                <w:color w:val="FFFFFF" w:themeColor="background1"/>
                <w:kern w:val="0"/>
                <w:szCs w:val="18"/>
                <w:lang w:eastAsia="fr-FR"/>
              </w:rPr>
            </w:pPr>
            <w:r w:rsidRPr="00894701">
              <w:rPr>
                <w:rFonts w:cs="Arial"/>
                <w:b/>
                <w:bCs/>
                <w:color w:val="FFFFFF" w:themeColor="background1"/>
                <w:kern w:val="0"/>
                <w:szCs w:val="18"/>
                <w:lang w:eastAsia="fr-FR"/>
              </w:rPr>
              <w:t xml:space="preserve">800,160,488 </w:t>
            </w:r>
          </w:p>
        </w:tc>
        <w:tc>
          <w:tcPr>
            <w:tcW w:w="1599" w:type="dxa"/>
            <w:tcBorders>
              <w:top w:val="nil"/>
              <w:left w:val="nil"/>
              <w:bottom w:val="nil"/>
              <w:right w:val="nil"/>
            </w:tcBorders>
            <w:shd w:val="clear" w:color="000000" w:fill="685040"/>
            <w:vAlign w:val="center"/>
          </w:tcPr>
          <w:p w14:paraId="58C6B5F2" w14:textId="5099F4CE" w:rsidR="00C7021B" w:rsidRPr="00894701" w:rsidRDefault="003B6F67" w:rsidP="00732CF8">
            <w:pPr>
              <w:spacing w:after="0" w:line="240" w:lineRule="auto"/>
              <w:jc w:val="right"/>
              <w:rPr>
                <w:rFonts w:cs="Arial"/>
                <w:b/>
                <w:bCs/>
                <w:color w:val="FFFFFF" w:themeColor="background1"/>
                <w:kern w:val="0"/>
                <w:szCs w:val="18"/>
                <w:lang w:eastAsia="fr-FR"/>
              </w:rPr>
            </w:pPr>
            <w:r w:rsidRPr="00894701">
              <w:rPr>
                <w:rFonts w:cs="Arial"/>
                <w:b/>
                <w:bCs/>
                <w:color w:val="FFFFFF" w:themeColor="background1"/>
                <w:kern w:val="0"/>
                <w:szCs w:val="18"/>
                <w:lang w:eastAsia="fr-FR"/>
              </w:rPr>
              <w:t xml:space="preserve">1,095,150 </w:t>
            </w:r>
          </w:p>
        </w:tc>
        <w:tc>
          <w:tcPr>
            <w:tcW w:w="1599" w:type="dxa"/>
            <w:tcBorders>
              <w:top w:val="nil"/>
              <w:left w:val="nil"/>
              <w:bottom w:val="nil"/>
              <w:right w:val="nil"/>
            </w:tcBorders>
            <w:shd w:val="clear" w:color="000000" w:fill="685040"/>
            <w:noWrap/>
            <w:vAlign w:val="center"/>
          </w:tcPr>
          <w:p w14:paraId="519174F4" w14:textId="3D5172B4" w:rsidR="00C7021B" w:rsidRPr="00894701" w:rsidRDefault="003B6F67" w:rsidP="00732CF8">
            <w:pPr>
              <w:spacing w:after="0" w:line="240" w:lineRule="auto"/>
              <w:jc w:val="right"/>
              <w:rPr>
                <w:rFonts w:cs="Arial"/>
                <w:b/>
                <w:bCs/>
                <w:color w:val="FFFFFF" w:themeColor="background1"/>
                <w:kern w:val="0"/>
                <w:szCs w:val="18"/>
                <w:lang w:eastAsia="fr-FR"/>
              </w:rPr>
            </w:pPr>
            <w:r w:rsidRPr="00894701">
              <w:rPr>
                <w:rFonts w:cs="Arial"/>
                <w:b/>
                <w:bCs/>
                <w:color w:val="FFFFFF" w:themeColor="background1"/>
                <w:kern w:val="0"/>
                <w:szCs w:val="18"/>
                <w:lang w:eastAsia="fr-FR"/>
              </w:rPr>
              <w:t xml:space="preserve">1,007,821 </w:t>
            </w:r>
          </w:p>
        </w:tc>
      </w:tr>
    </w:tbl>
    <w:p w14:paraId="454A0321" w14:textId="2A507D73" w:rsidR="00235F0B" w:rsidRDefault="00235F0B" w:rsidP="00860520">
      <w:pPr>
        <w:spacing w:after="0" w:line="240" w:lineRule="auto"/>
        <w:jc w:val="both"/>
        <w:rPr>
          <w:rFonts w:cs="Arial"/>
          <w:i/>
          <w:color w:val="auto"/>
          <w:szCs w:val="16"/>
        </w:rPr>
      </w:pPr>
      <w:r w:rsidRPr="00894701">
        <w:rPr>
          <w:rFonts w:cs="Arial"/>
          <w:i/>
          <w:color w:val="auto"/>
          <w:szCs w:val="16"/>
        </w:rPr>
        <w:t xml:space="preserve">Source: EITI Reporting Templates </w:t>
      </w:r>
    </w:p>
    <w:p w14:paraId="634D2DE9" w14:textId="17FB8A7A" w:rsidR="000F24A1" w:rsidRDefault="000F24A1" w:rsidP="00860520">
      <w:pPr>
        <w:spacing w:after="0" w:line="240" w:lineRule="auto"/>
        <w:jc w:val="both"/>
        <w:rPr>
          <w:rFonts w:cs="Arial"/>
          <w:i/>
          <w:color w:val="auto"/>
          <w:szCs w:val="16"/>
        </w:rPr>
      </w:pPr>
      <w:r w:rsidRPr="0072696F">
        <w:rPr>
          <w:rFonts w:cs="Arial"/>
          <w:i/>
          <w:iCs/>
          <w:color w:val="auto"/>
          <w:kern w:val="0"/>
          <w:szCs w:val="18"/>
          <w:lang w:eastAsia="fr-FR"/>
        </w:rPr>
        <w:t>(*)</w:t>
      </w:r>
      <w:r>
        <w:rPr>
          <w:rFonts w:cs="Arial"/>
          <w:i/>
          <w:color w:val="auto"/>
          <w:szCs w:val="16"/>
        </w:rPr>
        <w:t xml:space="preserve"> reported social contributions for FY2018</w:t>
      </w:r>
      <w:r w:rsidR="004267C3">
        <w:rPr>
          <w:rFonts w:cs="Arial"/>
          <w:i/>
          <w:color w:val="auto"/>
          <w:szCs w:val="16"/>
        </w:rPr>
        <w:t xml:space="preserve"> were mandatory as per the PSC</w:t>
      </w:r>
    </w:p>
    <w:p w14:paraId="4AE77E77" w14:textId="43F5B9C4" w:rsidR="000F24A1" w:rsidRPr="00894701" w:rsidRDefault="000F24A1" w:rsidP="008F7932">
      <w:pPr>
        <w:spacing w:after="240" w:line="240" w:lineRule="auto"/>
        <w:jc w:val="both"/>
        <w:rPr>
          <w:rFonts w:cs="Arial"/>
          <w:i/>
          <w:color w:val="auto"/>
          <w:szCs w:val="16"/>
        </w:rPr>
      </w:pPr>
      <w:r w:rsidRPr="0072696F">
        <w:rPr>
          <w:rFonts w:cs="Arial"/>
          <w:i/>
          <w:iCs/>
          <w:color w:val="auto"/>
          <w:kern w:val="0"/>
          <w:szCs w:val="18"/>
          <w:lang w:eastAsia="fr-FR"/>
        </w:rPr>
        <w:t>(*</w:t>
      </w:r>
      <w:r w:rsidR="004653C4">
        <w:rPr>
          <w:rFonts w:cs="Arial"/>
          <w:i/>
          <w:iCs/>
          <w:color w:val="auto"/>
          <w:kern w:val="0"/>
          <w:szCs w:val="18"/>
          <w:lang w:eastAsia="fr-FR"/>
        </w:rPr>
        <w:t>*</w:t>
      </w:r>
      <w:r w:rsidRPr="0072696F">
        <w:rPr>
          <w:rFonts w:cs="Arial"/>
          <w:i/>
          <w:iCs/>
          <w:color w:val="auto"/>
          <w:kern w:val="0"/>
          <w:szCs w:val="18"/>
          <w:lang w:eastAsia="fr-FR"/>
        </w:rPr>
        <w:t>)</w:t>
      </w:r>
      <w:r>
        <w:rPr>
          <w:rFonts w:cs="Arial"/>
          <w:i/>
          <w:iCs/>
          <w:color w:val="auto"/>
          <w:kern w:val="0"/>
          <w:szCs w:val="18"/>
          <w:lang w:eastAsia="fr-FR"/>
        </w:rPr>
        <w:t xml:space="preserve"> not specified if mandatory or voluntary</w:t>
      </w:r>
    </w:p>
    <w:p w14:paraId="09BC279B" w14:textId="77777777" w:rsidR="00235F0B" w:rsidRPr="00894701" w:rsidRDefault="00235F0B" w:rsidP="00890549">
      <w:pPr>
        <w:pStyle w:val="ListParagraph"/>
        <w:numPr>
          <w:ilvl w:val="1"/>
          <w:numId w:val="7"/>
        </w:numPr>
        <w:spacing w:before="240" w:after="240"/>
        <w:ind w:left="851" w:right="482" w:hanging="851"/>
        <w:outlineLvl w:val="1"/>
        <w:rPr>
          <w:b/>
          <w:sz w:val="28"/>
          <w:szCs w:val="28"/>
        </w:rPr>
      </w:pPr>
      <w:bookmarkStart w:id="548" w:name="_Toc118021528"/>
      <w:bookmarkStart w:id="549" w:name="_Toc118021529"/>
      <w:bookmarkStart w:id="550" w:name="_Toc118021530"/>
      <w:bookmarkStart w:id="551" w:name="_Toc118021531"/>
      <w:bookmarkStart w:id="552" w:name="_Toc118021643"/>
      <w:bookmarkStart w:id="553" w:name="_Toc118021644"/>
      <w:bookmarkStart w:id="554" w:name="_Toc118021844"/>
      <w:bookmarkStart w:id="555" w:name="_Toc118021845"/>
      <w:bookmarkStart w:id="556" w:name="_Toc118022045"/>
      <w:bookmarkStart w:id="557" w:name="_Toc118022046"/>
      <w:bookmarkStart w:id="558" w:name="_Toc122478952"/>
      <w:bookmarkEnd w:id="548"/>
      <w:bookmarkEnd w:id="549"/>
      <w:bookmarkEnd w:id="550"/>
      <w:bookmarkEnd w:id="551"/>
      <w:bookmarkEnd w:id="552"/>
      <w:bookmarkEnd w:id="553"/>
      <w:bookmarkEnd w:id="554"/>
      <w:bookmarkEnd w:id="555"/>
      <w:bookmarkEnd w:id="556"/>
      <w:bookmarkEnd w:id="557"/>
      <w:r w:rsidRPr="00894701">
        <w:rPr>
          <w:b/>
          <w:sz w:val="28"/>
          <w:szCs w:val="28"/>
        </w:rPr>
        <w:t>Analysis of production and exports data declared by reporting entities</w:t>
      </w:r>
      <w:bookmarkEnd w:id="558"/>
    </w:p>
    <w:p w14:paraId="12480DA0" w14:textId="6B46DC38" w:rsidR="00235F0B" w:rsidRPr="00894701" w:rsidRDefault="00235F0B" w:rsidP="00890549">
      <w:pPr>
        <w:jc w:val="both"/>
        <w:rPr>
          <w:rFonts w:cs="Arial"/>
          <w:color w:val="auto"/>
          <w:sz w:val="20"/>
        </w:rPr>
      </w:pPr>
      <w:r w:rsidRPr="00894701">
        <w:rPr>
          <w:rFonts w:cs="Arial"/>
          <w:color w:val="auto"/>
          <w:sz w:val="20"/>
        </w:rPr>
        <w:t xml:space="preserve">Extractive entities were requested to disclose production and exports data in accordance with EITI Requirement 6.3. </w:t>
      </w:r>
      <w:r w:rsidR="00A011DF" w:rsidRPr="00894701">
        <w:rPr>
          <w:rFonts w:cs="Arial"/>
          <w:color w:val="auto"/>
          <w:sz w:val="20"/>
        </w:rPr>
        <w:t>The following companies declared their production during the reporting period.</w:t>
      </w:r>
    </w:p>
    <w:p w14:paraId="713F5BF5" w14:textId="5C5BC6F5" w:rsidR="00235F0B" w:rsidRPr="00894701" w:rsidRDefault="00235F0B" w:rsidP="00890549">
      <w:pPr>
        <w:jc w:val="center"/>
        <w:rPr>
          <w:b/>
          <w:bCs/>
          <w:color w:val="98002E" w:themeColor="accent3"/>
          <w:sz w:val="20"/>
          <w:szCs w:val="20"/>
        </w:rPr>
      </w:pPr>
      <w:bookmarkStart w:id="559" w:name="_Toc146590545"/>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73</w:t>
      </w:r>
      <w:r w:rsidRPr="00894701">
        <w:rPr>
          <w:b/>
          <w:bCs/>
          <w:color w:val="98002E" w:themeColor="accent3"/>
          <w:sz w:val="20"/>
          <w:szCs w:val="20"/>
        </w:rPr>
        <w:fldChar w:fldCharType="end"/>
      </w:r>
      <w:r w:rsidRPr="00894701">
        <w:rPr>
          <w:b/>
          <w:bCs/>
          <w:color w:val="98002E" w:themeColor="accent3"/>
          <w:sz w:val="20"/>
          <w:szCs w:val="20"/>
        </w:rPr>
        <w:t xml:space="preserve">: Production declared by </w:t>
      </w:r>
      <w:r w:rsidR="00A011DF" w:rsidRPr="00894701">
        <w:rPr>
          <w:b/>
          <w:bCs/>
          <w:color w:val="98002E" w:themeColor="accent3"/>
          <w:sz w:val="20"/>
          <w:szCs w:val="20"/>
        </w:rPr>
        <w:t>the companies</w:t>
      </w:r>
      <w:r w:rsidRPr="00894701">
        <w:rPr>
          <w:b/>
          <w:bCs/>
          <w:color w:val="98002E" w:themeColor="accent3"/>
          <w:sz w:val="20"/>
          <w:szCs w:val="20"/>
        </w:rPr>
        <w:t xml:space="preserve"> for the fiscal year 201</w:t>
      </w:r>
      <w:r w:rsidR="00A011DF" w:rsidRPr="00894701">
        <w:rPr>
          <w:b/>
          <w:bCs/>
          <w:color w:val="98002E" w:themeColor="accent3"/>
          <w:sz w:val="20"/>
          <w:szCs w:val="20"/>
        </w:rPr>
        <w:t>8, 2019 and 2020</w:t>
      </w:r>
      <w:bookmarkEnd w:id="559"/>
    </w:p>
    <w:tbl>
      <w:tblPr>
        <w:tblW w:w="9000" w:type="dxa"/>
        <w:tblInd w:w="10" w:type="dxa"/>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left w:w="70" w:type="dxa"/>
          <w:right w:w="70" w:type="dxa"/>
        </w:tblCellMar>
        <w:tblLook w:val="04A0" w:firstRow="1" w:lastRow="0" w:firstColumn="1" w:lastColumn="0" w:noHBand="0" w:noVBand="1"/>
      </w:tblPr>
      <w:tblGrid>
        <w:gridCol w:w="1600"/>
        <w:gridCol w:w="1240"/>
        <w:gridCol w:w="1360"/>
        <w:gridCol w:w="1360"/>
        <w:gridCol w:w="1720"/>
        <w:gridCol w:w="1720"/>
      </w:tblGrid>
      <w:tr w:rsidR="00D56231" w:rsidRPr="00894701" w14:paraId="0FB9932F" w14:textId="77777777" w:rsidTr="00A011DF">
        <w:trPr>
          <w:trHeight w:val="780"/>
        </w:trPr>
        <w:tc>
          <w:tcPr>
            <w:tcW w:w="1600" w:type="dxa"/>
            <w:shd w:val="clear" w:color="000000" w:fill="7A0A1B"/>
            <w:vAlign w:val="center"/>
            <w:hideMark/>
          </w:tcPr>
          <w:p w14:paraId="26B7C5FC" w14:textId="7AB1078B" w:rsidR="00235F0B" w:rsidRPr="00894701" w:rsidRDefault="00A011DF" w:rsidP="00890549">
            <w:pPr>
              <w:spacing w:after="0" w:line="240" w:lineRule="auto"/>
              <w:jc w:val="center"/>
              <w:rPr>
                <w:rFonts w:asciiTheme="majorHAnsi" w:hAnsiTheme="majorHAnsi" w:cs="Arial"/>
                <w:b/>
                <w:bCs/>
                <w:color w:val="auto"/>
                <w:kern w:val="0"/>
                <w:sz w:val="16"/>
                <w:szCs w:val="16"/>
                <w:lang w:eastAsia="fr-FR"/>
              </w:rPr>
            </w:pPr>
            <w:r w:rsidRPr="00894701">
              <w:rPr>
                <w:rFonts w:asciiTheme="majorHAnsi" w:hAnsiTheme="majorHAnsi" w:cs="Arial"/>
                <w:b/>
                <w:bCs/>
                <w:color w:val="auto"/>
                <w:kern w:val="0"/>
                <w:sz w:val="16"/>
                <w:szCs w:val="16"/>
                <w:lang w:eastAsia="fr-FR"/>
              </w:rPr>
              <w:t>Companies</w:t>
            </w:r>
          </w:p>
        </w:tc>
        <w:tc>
          <w:tcPr>
            <w:tcW w:w="1240" w:type="dxa"/>
            <w:shd w:val="clear" w:color="000000" w:fill="7A0A1B"/>
            <w:vAlign w:val="center"/>
            <w:hideMark/>
          </w:tcPr>
          <w:p w14:paraId="73331150" w14:textId="10105A6C" w:rsidR="00235F0B" w:rsidRPr="00894701" w:rsidRDefault="00A011DF" w:rsidP="00890549">
            <w:pPr>
              <w:spacing w:after="0" w:line="240" w:lineRule="auto"/>
              <w:jc w:val="center"/>
              <w:rPr>
                <w:rFonts w:asciiTheme="majorHAnsi" w:hAnsiTheme="majorHAnsi" w:cs="Arial"/>
                <w:b/>
                <w:bCs/>
                <w:color w:val="auto"/>
                <w:kern w:val="0"/>
                <w:sz w:val="16"/>
                <w:szCs w:val="16"/>
                <w:lang w:eastAsia="fr-FR"/>
              </w:rPr>
            </w:pPr>
            <w:r w:rsidRPr="00894701">
              <w:rPr>
                <w:rFonts w:asciiTheme="majorHAnsi" w:hAnsiTheme="majorHAnsi" w:cs="Arial"/>
                <w:b/>
                <w:bCs/>
                <w:color w:val="auto"/>
                <w:kern w:val="0"/>
                <w:sz w:val="16"/>
                <w:szCs w:val="16"/>
                <w:lang w:eastAsia="fr-FR"/>
              </w:rPr>
              <w:t>Solid Mineral Types</w:t>
            </w:r>
          </w:p>
        </w:tc>
        <w:tc>
          <w:tcPr>
            <w:tcW w:w="1360" w:type="dxa"/>
            <w:shd w:val="clear" w:color="000000" w:fill="7A0A1B"/>
            <w:vAlign w:val="center"/>
            <w:hideMark/>
          </w:tcPr>
          <w:p w14:paraId="092C0FD2" w14:textId="77777777" w:rsidR="00235F0B" w:rsidRPr="00894701" w:rsidRDefault="00235F0B" w:rsidP="00890549">
            <w:pPr>
              <w:spacing w:after="0" w:line="240" w:lineRule="auto"/>
              <w:jc w:val="center"/>
              <w:rPr>
                <w:rFonts w:asciiTheme="majorHAnsi" w:hAnsiTheme="majorHAnsi" w:cs="Arial"/>
                <w:b/>
                <w:bCs/>
                <w:color w:val="auto"/>
                <w:kern w:val="0"/>
                <w:sz w:val="16"/>
                <w:szCs w:val="16"/>
                <w:lang w:eastAsia="fr-FR"/>
              </w:rPr>
            </w:pPr>
            <w:r w:rsidRPr="00894701">
              <w:rPr>
                <w:rFonts w:asciiTheme="majorHAnsi" w:hAnsiTheme="majorHAnsi" w:cs="Arial"/>
                <w:b/>
                <w:bCs/>
                <w:color w:val="auto"/>
                <w:kern w:val="0"/>
                <w:sz w:val="16"/>
                <w:szCs w:val="16"/>
                <w:lang w:eastAsia="fr-FR"/>
              </w:rPr>
              <w:t xml:space="preserve">Unit </w:t>
            </w:r>
          </w:p>
        </w:tc>
        <w:tc>
          <w:tcPr>
            <w:tcW w:w="1360" w:type="dxa"/>
            <w:shd w:val="clear" w:color="000000" w:fill="7A0A1B"/>
            <w:vAlign w:val="center"/>
            <w:hideMark/>
          </w:tcPr>
          <w:p w14:paraId="5D69842C" w14:textId="77777777" w:rsidR="00235F0B" w:rsidRPr="00894701" w:rsidRDefault="00A011DF" w:rsidP="00890549">
            <w:pPr>
              <w:spacing w:after="0" w:line="240" w:lineRule="auto"/>
              <w:jc w:val="center"/>
              <w:rPr>
                <w:rFonts w:asciiTheme="majorHAnsi" w:hAnsiTheme="majorHAnsi" w:cs="Arial"/>
                <w:b/>
                <w:bCs/>
                <w:color w:val="auto"/>
                <w:kern w:val="0"/>
                <w:sz w:val="16"/>
                <w:szCs w:val="16"/>
                <w:lang w:eastAsia="fr-FR"/>
              </w:rPr>
            </w:pPr>
            <w:r w:rsidRPr="00894701">
              <w:rPr>
                <w:rFonts w:asciiTheme="majorHAnsi" w:hAnsiTheme="majorHAnsi" w:cs="Arial"/>
                <w:b/>
                <w:bCs/>
                <w:color w:val="auto"/>
                <w:kern w:val="0"/>
                <w:sz w:val="16"/>
                <w:szCs w:val="16"/>
                <w:lang w:eastAsia="fr-FR"/>
              </w:rPr>
              <w:t>Quantity</w:t>
            </w:r>
          </w:p>
          <w:p w14:paraId="7A67922C" w14:textId="4ECE54DA" w:rsidR="00A011DF" w:rsidRPr="00894701" w:rsidRDefault="00A011DF" w:rsidP="00890549">
            <w:pPr>
              <w:spacing w:after="0" w:line="240" w:lineRule="auto"/>
              <w:jc w:val="center"/>
              <w:rPr>
                <w:rFonts w:asciiTheme="majorHAnsi" w:hAnsiTheme="majorHAnsi" w:cs="Arial"/>
                <w:b/>
                <w:bCs/>
                <w:color w:val="auto"/>
                <w:kern w:val="0"/>
                <w:sz w:val="16"/>
                <w:szCs w:val="16"/>
                <w:lang w:eastAsia="fr-FR"/>
              </w:rPr>
            </w:pPr>
            <w:r w:rsidRPr="00894701">
              <w:rPr>
                <w:rFonts w:asciiTheme="majorHAnsi" w:hAnsiTheme="majorHAnsi" w:cs="Arial"/>
                <w:b/>
                <w:bCs/>
                <w:color w:val="auto"/>
                <w:kern w:val="0"/>
                <w:sz w:val="16"/>
                <w:szCs w:val="16"/>
                <w:lang w:eastAsia="fr-FR"/>
              </w:rPr>
              <w:t>2018</w:t>
            </w:r>
          </w:p>
        </w:tc>
        <w:tc>
          <w:tcPr>
            <w:tcW w:w="1720" w:type="dxa"/>
            <w:shd w:val="clear" w:color="000000" w:fill="7A0A1B"/>
            <w:vAlign w:val="center"/>
          </w:tcPr>
          <w:p w14:paraId="39F2C8C0" w14:textId="77777777" w:rsidR="00A011DF" w:rsidRPr="00894701" w:rsidRDefault="00A011DF" w:rsidP="00890549">
            <w:pPr>
              <w:spacing w:after="0" w:line="240" w:lineRule="auto"/>
              <w:jc w:val="center"/>
              <w:rPr>
                <w:rFonts w:asciiTheme="majorHAnsi" w:hAnsiTheme="majorHAnsi" w:cs="Arial"/>
                <w:b/>
                <w:bCs/>
                <w:color w:val="auto"/>
                <w:kern w:val="0"/>
                <w:sz w:val="16"/>
                <w:szCs w:val="16"/>
                <w:lang w:eastAsia="fr-FR"/>
              </w:rPr>
            </w:pPr>
            <w:r w:rsidRPr="00894701">
              <w:rPr>
                <w:rFonts w:asciiTheme="majorHAnsi" w:hAnsiTheme="majorHAnsi" w:cs="Arial"/>
                <w:b/>
                <w:bCs/>
                <w:color w:val="auto"/>
                <w:kern w:val="0"/>
                <w:sz w:val="16"/>
                <w:szCs w:val="16"/>
                <w:lang w:eastAsia="fr-FR"/>
              </w:rPr>
              <w:t>Quantity</w:t>
            </w:r>
          </w:p>
          <w:p w14:paraId="725FAC99" w14:textId="2A71138F" w:rsidR="00235F0B" w:rsidRPr="00894701" w:rsidRDefault="00A011DF" w:rsidP="00890549">
            <w:pPr>
              <w:spacing w:after="0" w:line="240" w:lineRule="auto"/>
              <w:jc w:val="center"/>
              <w:rPr>
                <w:rFonts w:asciiTheme="majorHAnsi" w:hAnsiTheme="majorHAnsi" w:cs="Arial"/>
                <w:b/>
                <w:bCs/>
                <w:color w:val="auto"/>
                <w:kern w:val="0"/>
                <w:sz w:val="16"/>
                <w:szCs w:val="16"/>
                <w:lang w:eastAsia="fr-FR"/>
              </w:rPr>
            </w:pPr>
            <w:r w:rsidRPr="00894701">
              <w:rPr>
                <w:rFonts w:asciiTheme="majorHAnsi" w:hAnsiTheme="majorHAnsi" w:cs="Arial"/>
                <w:b/>
                <w:bCs/>
                <w:color w:val="auto"/>
                <w:kern w:val="0"/>
                <w:sz w:val="16"/>
                <w:szCs w:val="16"/>
                <w:lang w:eastAsia="fr-FR"/>
              </w:rPr>
              <w:t>2019</w:t>
            </w:r>
          </w:p>
        </w:tc>
        <w:tc>
          <w:tcPr>
            <w:tcW w:w="1720" w:type="dxa"/>
            <w:shd w:val="clear" w:color="000000" w:fill="7A0A1B"/>
            <w:vAlign w:val="center"/>
          </w:tcPr>
          <w:p w14:paraId="1A1DD4CF" w14:textId="77777777" w:rsidR="00A011DF" w:rsidRPr="00894701" w:rsidRDefault="00A011DF" w:rsidP="00890549">
            <w:pPr>
              <w:spacing w:after="0" w:line="240" w:lineRule="auto"/>
              <w:jc w:val="center"/>
              <w:rPr>
                <w:rFonts w:asciiTheme="majorHAnsi" w:hAnsiTheme="majorHAnsi" w:cs="Arial"/>
                <w:b/>
                <w:bCs/>
                <w:color w:val="auto"/>
                <w:kern w:val="0"/>
                <w:sz w:val="16"/>
                <w:szCs w:val="16"/>
                <w:lang w:eastAsia="fr-FR"/>
              </w:rPr>
            </w:pPr>
            <w:r w:rsidRPr="00894701">
              <w:rPr>
                <w:rFonts w:asciiTheme="majorHAnsi" w:hAnsiTheme="majorHAnsi" w:cs="Arial"/>
                <w:b/>
                <w:bCs/>
                <w:color w:val="auto"/>
                <w:kern w:val="0"/>
                <w:sz w:val="16"/>
                <w:szCs w:val="16"/>
                <w:lang w:eastAsia="fr-FR"/>
              </w:rPr>
              <w:t>Quantity</w:t>
            </w:r>
          </w:p>
          <w:p w14:paraId="5B6D6B48" w14:textId="4F589EC8" w:rsidR="00235F0B" w:rsidRPr="00894701" w:rsidRDefault="00A011DF" w:rsidP="00890549">
            <w:pPr>
              <w:spacing w:after="0" w:line="240" w:lineRule="auto"/>
              <w:jc w:val="center"/>
              <w:rPr>
                <w:rFonts w:asciiTheme="majorHAnsi" w:hAnsiTheme="majorHAnsi" w:cs="Arial"/>
                <w:b/>
                <w:bCs/>
                <w:color w:val="auto"/>
                <w:kern w:val="0"/>
                <w:sz w:val="16"/>
                <w:szCs w:val="16"/>
                <w:lang w:eastAsia="fr-FR"/>
              </w:rPr>
            </w:pPr>
            <w:r w:rsidRPr="00894701">
              <w:rPr>
                <w:rFonts w:asciiTheme="majorHAnsi" w:hAnsiTheme="majorHAnsi" w:cs="Arial"/>
                <w:b/>
                <w:bCs/>
                <w:color w:val="auto"/>
                <w:kern w:val="0"/>
                <w:sz w:val="16"/>
                <w:szCs w:val="16"/>
                <w:lang w:eastAsia="fr-FR"/>
              </w:rPr>
              <w:t>2020</w:t>
            </w:r>
          </w:p>
        </w:tc>
      </w:tr>
      <w:tr w:rsidR="00D56231" w:rsidRPr="00894701" w14:paraId="0F544475" w14:textId="77777777" w:rsidTr="00A011DF">
        <w:trPr>
          <w:trHeight w:val="269"/>
        </w:trPr>
        <w:tc>
          <w:tcPr>
            <w:tcW w:w="1600" w:type="dxa"/>
            <w:shd w:val="clear" w:color="auto" w:fill="F7A3B0"/>
            <w:noWrap/>
            <w:vAlign w:val="center"/>
            <w:hideMark/>
          </w:tcPr>
          <w:p w14:paraId="5D50265F" w14:textId="27DDCF63" w:rsidR="00A011DF" w:rsidRPr="00894701" w:rsidRDefault="00A011DF" w:rsidP="00890549">
            <w:pPr>
              <w:spacing w:after="0" w:line="240" w:lineRule="auto"/>
              <w:jc w:val="center"/>
              <w:rPr>
                <w:rFonts w:asciiTheme="majorHAnsi" w:hAnsiTheme="majorHAnsi" w:cs="Arial"/>
                <w:color w:val="auto"/>
                <w:kern w:val="0"/>
                <w:sz w:val="16"/>
                <w:szCs w:val="16"/>
                <w:lang w:val="nl-NL" w:eastAsia="fr-FR"/>
              </w:rPr>
            </w:pPr>
            <w:r w:rsidRPr="00894701">
              <w:rPr>
                <w:rFonts w:asciiTheme="majorHAnsi" w:hAnsiTheme="majorHAnsi" w:cs="Arial"/>
                <w:color w:val="auto"/>
                <w:sz w:val="16"/>
                <w:szCs w:val="16"/>
                <w:lang w:val="nl-NL"/>
              </w:rPr>
              <w:t>Staatsolie Maatschappij Suriname N.V.</w:t>
            </w:r>
          </w:p>
        </w:tc>
        <w:tc>
          <w:tcPr>
            <w:tcW w:w="1240" w:type="dxa"/>
            <w:shd w:val="clear" w:color="auto" w:fill="F7A3B0"/>
            <w:noWrap/>
            <w:vAlign w:val="center"/>
            <w:hideMark/>
          </w:tcPr>
          <w:p w14:paraId="66DD0278" w14:textId="1E62D98F" w:rsidR="00A011DF" w:rsidRPr="00894701" w:rsidRDefault="00A011DF" w:rsidP="00890549">
            <w:pPr>
              <w:spacing w:after="0" w:line="240" w:lineRule="auto"/>
              <w:jc w:val="center"/>
              <w:rPr>
                <w:rFonts w:asciiTheme="majorHAnsi" w:hAnsiTheme="majorHAnsi" w:cs="Arial"/>
                <w:color w:val="auto"/>
                <w:kern w:val="0"/>
                <w:sz w:val="16"/>
                <w:szCs w:val="16"/>
                <w:lang w:eastAsia="fr-FR"/>
              </w:rPr>
            </w:pPr>
            <w:r w:rsidRPr="00894701">
              <w:rPr>
                <w:rFonts w:asciiTheme="majorHAnsi" w:hAnsiTheme="majorHAnsi" w:cs="Arial"/>
                <w:color w:val="auto"/>
                <w:sz w:val="16"/>
                <w:szCs w:val="16"/>
              </w:rPr>
              <w:t xml:space="preserve">Crude </w:t>
            </w:r>
          </w:p>
        </w:tc>
        <w:tc>
          <w:tcPr>
            <w:tcW w:w="1360" w:type="dxa"/>
            <w:shd w:val="clear" w:color="auto" w:fill="F7A3B0"/>
            <w:noWrap/>
            <w:vAlign w:val="center"/>
            <w:hideMark/>
          </w:tcPr>
          <w:p w14:paraId="47B4AE61" w14:textId="29FDB2EB" w:rsidR="00A011DF" w:rsidRPr="00894701" w:rsidRDefault="00A011DF" w:rsidP="00890549">
            <w:pPr>
              <w:spacing w:after="0" w:line="240" w:lineRule="auto"/>
              <w:jc w:val="center"/>
              <w:rPr>
                <w:rFonts w:asciiTheme="majorHAnsi" w:hAnsiTheme="majorHAnsi" w:cs="Arial"/>
                <w:color w:val="auto"/>
                <w:kern w:val="0"/>
                <w:sz w:val="16"/>
                <w:szCs w:val="16"/>
                <w:lang w:eastAsia="fr-FR"/>
              </w:rPr>
            </w:pPr>
            <w:r w:rsidRPr="00894701">
              <w:rPr>
                <w:rFonts w:asciiTheme="majorHAnsi" w:hAnsiTheme="majorHAnsi" w:cs="Arial"/>
                <w:color w:val="auto"/>
                <w:sz w:val="16"/>
                <w:szCs w:val="16"/>
                <w:lang w:eastAsia="fr-FR"/>
              </w:rPr>
              <w:t>Not Communicated</w:t>
            </w:r>
          </w:p>
        </w:tc>
        <w:tc>
          <w:tcPr>
            <w:tcW w:w="1360" w:type="dxa"/>
            <w:shd w:val="clear" w:color="auto" w:fill="F7A3B0"/>
            <w:noWrap/>
            <w:vAlign w:val="center"/>
          </w:tcPr>
          <w:p w14:paraId="79929195" w14:textId="2B97BADB" w:rsidR="00A011DF" w:rsidRPr="00894701" w:rsidRDefault="00A011DF" w:rsidP="00890549">
            <w:pPr>
              <w:spacing w:after="0" w:line="240" w:lineRule="auto"/>
              <w:jc w:val="center"/>
              <w:rPr>
                <w:rFonts w:asciiTheme="majorHAnsi" w:hAnsiTheme="majorHAnsi" w:cs="Arial"/>
                <w:color w:val="auto"/>
                <w:kern w:val="0"/>
                <w:sz w:val="16"/>
                <w:szCs w:val="16"/>
                <w:lang w:eastAsia="fr-FR"/>
              </w:rPr>
            </w:pPr>
            <w:r w:rsidRPr="00894701">
              <w:rPr>
                <w:rFonts w:asciiTheme="majorHAnsi" w:hAnsiTheme="majorHAnsi" w:cs="Arial"/>
                <w:color w:val="auto"/>
                <w:sz w:val="16"/>
                <w:szCs w:val="16"/>
              </w:rPr>
              <w:t xml:space="preserve">5,979,913.00 </w:t>
            </w:r>
          </w:p>
        </w:tc>
        <w:tc>
          <w:tcPr>
            <w:tcW w:w="1720" w:type="dxa"/>
            <w:shd w:val="clear" w:color="auto" w:fill="F7A3B0"/>
            <w:vAlign w:val="center"/>
          </w:tcPr>
          <w:p w14:paraId="06E7F2E0" w14:textId="7E273986" w:rsidR="00A011DF" w:rsidRPr="00894701" w:rsidRDefault="00A011DF" w:rsidP="00890549">
            <w:pPr>
              <w:spacing w:after="0" w:line="240" w:lineRule="auto"/>
              <w:jc w:val="center"/>
              <w:rPr>
                <w:rFonts w:asciiTheme="majorHAnsi" w:hAnsiTheme="majorHAnsi" w:cs="Arial"/>
                <w:color w:val="auto"/>
                <w:kern w:val="0"/>
                <w:sz w:val="16"/>
                <w:szCs w:val="16"/>
                <w:lang w:eastAsia="fr-FR"/>
              </w:rPr>
            </w:pPr>
            <w:r w:rsidRPr="00894701">
              <w:rPr>
                <w:rFonts w:asciiTheme="majorHAnsi" w:hAnsiTheme="majorHAnsi" w:cs="Arial"/>
                <w:color w:val="auto"/>
                <w:sz w:val="16"/>
                <w:szCs w:val="16"/>
              </w:rPr>
              <w:t xml:space="preserve">6,050,460.00 </w:t>
            </w:r>
          </w:p>
        </w:tc>
        <w:tc>
          <w:tcPr>
            <w:tcW w:w="1720" w:type="dxa"/>
            <w:shd w:val="clear" w:color="auto" w:fill="F7A3B0"/>
            <w:noWrap/>
            <w:vAlign w:val="center"/>
            <w:hideMark/>
          </w:tcPr>
          <w:p w14:paraId="0B5D24AA" w14:textId="62AED4EC" w:rsidR="00A011DF" w:rsidRPr="00894701" w:rsidRDefault="00A011DF" w:rsidP="00890549">
            <w:pPr>
              <w:spacing w:after="0" w:line="240" w:lineRule="auto"/>
              <w:jc w:val="center"/>
              <w:rPr>
                <w:rFonts w:asciiTheme="majorHAnsi" w:hAnsiTheme="majorHAnsi" w:cs="Arial"/>
                <w:color w:val="auto"/>
                <w:kern w:val="0"/>
                <w:sz w:val="16"/>
                <w:szCs w:val="16"/>
                <w:lang w:eastAsia="fr-FR"/>
              </w:rPr>
            </w:pPr>
            <w:r w:rsidRPr="00894701">
              <w:rPr>
                <w:rFonts w:asciiTheme="majorHAnsi" w:hAnsiTheme="majorHAnsi" w:cs="Arial"/>
                <w:color w:val="auto"/>
                <w:kern w:val="0"/>
                <w:sz w:val="16"/>
                <w:szCs w:val="16"/>
                <w:lang w:eastAsia="fr-FR"/>
              </w:rPr>
              <w:t>-</w:t>
            </w:r>
          </w:p>
        </w:tc>
      </w:tr>
      <w:tr w:rsidR="00D56231" w:rsidRPr="00894701" w14:paraId="09243089" w14:textId="77777777" w:rsidTr="00446B8D">
        <w:trPr>
          <w:trHeight w:val="269"/>
        </w:trPr>
        <w:tc>
          <w:tcPr>
            <w:tcW w:w="1600" w:type="dxa"/>
            <w:shd w:val="clear" w:color="auto" w:fill="auto"/>
            <w:noWrap/>
            <w:vAlign w:val="center"/>
          </w:tcPr>
          <w:p w14:paraId="6CBCFF9B" w14:textId="19F760C6" w:rsidR="00A011DF" w:rsidRPr="00894701" w:rsidRDefault="00A011DF" w:rsidP="00890549">
            <w:pPr>
              <w:spacing w:after="0" w:line="240" w:lineRule="auto"/>
              <w:jc w:val="center"/>
              <w:rPr>
                <w:rFonts w:asciiTheme="majorHAnsi" w:hAnsiTheme="majorHAnsi" w:cs="Arial"/>
                <w:color w:val="auto"/>
                <w:kern w:val="0"/>
                <w:sz w:val="16"/>
                <w:szCs w:val="16"/>
                <w:lang w:eastAsia="fr-FR"/>
              </w:rPr>
            </w:pPr>
            <w:r w:rsidRPr="00894701">
              <w:rPr>
                <w:rFonts w:asciiTheme="majorHAnsi" w:hAnsiTheme="majorHAnsi" w:cs="Arial"/>
                <w:color w:val="auto"/>
                <w:sz w:val="16"/>
                <w:szCs w:val="16"/>
              </w:rPr>
              <w:t>Rosebel Gold Mines N.V.</w:t>
            </w:r>
          </w:p>
        </w:tc>
        <w:tc>
          <w:tcPr>
            <w:tcW w:w="1240" w:type="dxa"/>
            <w:shd w:val="clear" w:color="auto" w:fill="auto"/>
            <w:noWrap/>
            <w:vAlign w:val="center"/>
          </w:tcPr>
          <w:p w14:paraId="29A6C72F" w14:textId="16E14A37" w:rsidR="00A011DF" w:rsidRPr="00894701" w:rsidRDefault="00A011DF" w:rsidP="00890549">
            <w:pPr>
              <w:spacing w:after="0" w:line="240" w:lineRule="auto"/>
              <w:jc w:val="center"/>
              <w:rPr>
                <w:rFonts w:asciiTheme="majorHAnsi" w:hAnsiTheme="majorHAnsi" w:cs="Arial"/>
                <w:color w:val="auto"/>
                <w:kern w:val="0"/>
                <w:sz w:val="16"/>
                <w:szCs w:val="16"/>
                <w:lang w:eastAsia="fr-FR"/>
              </w:rPr>
            </w:pPr>
            <w:r w:rsidRPr="00894701">
              <w:rPr>
                <w:rFonts w:asciiTheme="majorHAnsi" w:hAnsiTheme="majorHAnsi" w:cs="Arial"/>
                <w:color w:val="auto"/>
                <w:sz w:val="16"/>
                <w:szCs w:val="16"/>
              </w:rPr>
              <w:t>Gold</w:t>
            </w:r>
          </w:p>
        </w:tc>
        <w:tc>
          <w:tcPr>
            <w:tcW w:w="1360" w:type="dxa"/>
            <w:shd w:val="clear" w:color="auto" w:fill="auto"/>
            <w:noWrap/>
            <w:vAlign w:val="center"/>
          </w:tcPr>
          <w:p w14:paraId="7E3422DF" w14:textId="5BE8CB70" w:rsidR="00A011DF" w:rsidRPr="00894701" w:rsidRDefault="00A011DF" w:rsidP="00890549">
            <w:pPr>
              <w:spacing w:after="0" w:line="240" w:lineRule="auto"/>
              <w:jc w:val="center"/>
              <w:rPr>
                <w:rFonts w:asciiTheme="majorHAnsi" w:hAnsiTheme="majorHAnsi" w:cs="Arial"/>
                <w:color w:val="auto"/>
                <w:kern w:val="0"/>
                <w:sz w:val="16"/>
                <w:szCs w:val="16"/>
                <w:lang w:eastAsia="fr-FR"/>
              </w:rPr>
            </w:pPr>
            <w:r w:rsidRPr="00894701">
              <w:rPr>
                <w:rFonts w:asciiTheme="majorHAnsi" w:hAnsiTheme="majorHAnsi" w:cs="Arial"/>
                <w:color w:val="auto"/>
                <w:sz w:val="16"/>
                <w:szCs w:val="16"/>
              </w:rPr>
              <w:t>Troy ounces</w:t>
            </w:r>
          </w:p>
        </w:tc>
        <w:tc>
          <w:tcPr>
            <w:tcW w:w="1360" w:type="dxa"/>
            <w:shd w:val="clear" w:color="auto" w:fill="auto"/>
            <w:noWrap/>
            <w:vAlign w:val="center"/>
          </w:tcPr>
          <w:p w14:paraId="312ACC2F" w14:textId="76E82AD0" w:rsidR="00A011DF" w:rsidRPr="00894701" w:rsidRDefault="00A011DF" w:rsidP="00890549">
            <w:pPr>
              <w:spacing w:after="0" w:line="240" w:lineRule="auto"/>
              <w:jc w:val="center"/>
              <w:rPr>
                <w:rFonts w:asciiTheme="majorHAnsi" w:hAnsiTheme="majorHAnsi" w:cs="Arial"/>
                <w:color w:val="auto"/>
                <w:kern w:val="0"/>
                <w:sz w:val="16"/>
                <w:szCs w:val="16"/>
                <w:lang w:eastAsia="fr-FR"/>
              </w:rPr>
            </w:pPr>
            <w:r w:rsidRPr="00894701">
              <w:rPr>
                <w:rFonts w:asciiTheme="majorHAnsi" w:hAnsiTheme="majorHAnsi" w:cs="Arial"/>
                <w:color w:val="auto"/>
                <w:sz w:val="16"/>
                <w:szCs w:val="16"/>
              </w:rPr>
              <w:t xml:space="preserve">302,114.00 </w:t>
            </w:r>
          </w:p>
        </w:tc>
        <w:tc>
          <w:tcPr>
            <w:tcW w:w="1720" w:type="dxa"/>
            <w:vAlign w:val="center"/>
          </w:tcPr>
          <w:p w14:paraId="51E7F4A0" w14:textId="41D6BB32" w:rsidR="00A011DF" w:rsidRPr="00894701" w:rsidRDefault="00A011DF" w:rsidP="00890549">
            <w:pPr>
              <w:spacing w:after="0" w:line="240" w:lineRule="auto"/>
              <w:jc w:val="center"/>
              <w:rPr>
                <w:rFonts w:asciiTheme="majorHAnsi" w:hAnsiTheme="majorHAnsi" w:cs="Arial"/>
                <w:color w:val="auto"/>
                <w:kern w:val="0"/>
                <w:sz w:val="16"/>
                <w:szCs w:val="16"/>
                <w:lang w:eastAsia="fr-FR"/>
              </w:rPr>
            </w:pPr>
            <w:r w:rsidRPr="00894701">
              <w:rPr>
                <w:rFonts w:asciiTheme="majorHAnsi" w:hAnsiTheme="majorHAnsi" w:cs="Arial"/>
                <w:color w:val="auto"/>
                <w:sz w:val="16"/>
                <w:szCs w:val="16"/>
              </w:rPr>
              <w:t xml:space="preserve">264,307.00 </w:t>
            </w:r>
          </w:p>
        </w:tc>
        <w:tc>
          <w:tcPr>
            <w:tcW w:w="1720" w:type="dxa"/>
            <w:shd w:val="clear" w:color="auto" w:fill="auto"/>
            <w:noWrap/>
            <w:vAlign w:val="center"/>
          </w:tcPr>
          <w:p w14:paraId="4AA077E4" w14:textId="0D8642DD" w:rsidR="00A011DF" w:rsidRPr="00894701" w:rsidRDefault="00A011DF" w:rsidP="00890549">
            <w:pPr>
              <w:spacing w:after="0" w:line="240" w:lineRule="auto"/>
              <w:jc w:val="center"/>
              <w:rPr>
                <w:rFonts w:asciiTheme="majorHAnsi" w:hAnsiTheme="majorHAnsi" w:cs="Arial"/>
                <w:color w:val="auto"/>
                <w:kern w:val="0"/>
                <w:sz w:val="16"/>
                <w:szCs w:val="16"/>
                <w:lang w:eastAsia="fr-FR"/>
              </w:rPr>
            </w:pPr>
            <w:r w:rsidRPr="00894701">
              <w:rPr>
                <w:rFonts w:asciiTheme="majorHAnsi" w:hAnsiTheme="majorHAnsi" w:cs="Arial"/>
                <w:color w:val="auto"/>
                <w:sz w:val="16"/>
                <w:szCs w:val="16"/>
              </w:rPr>
              <w:t xml:space="preserve">245,059.03 </w:t>
            </w:r>
          </w:p>
        </w:tc>
      </w:tr>
      <w:tr w:rsidR="00D56231" w:rsidRPr="00894701" w14:paraId="02649F35" w14:textId="77777777" w:rsidTr="00A011DF">
        <w:trPr>
          <w:trHeight w:val="269"/>
        </w:trPr>
        <w:tc>
          <w:tcPr>
            <w:tcW w:w="1600" w:type="dxa"/>
            <w:shd w:val="clear" w:color="auto" w:fill="F7A3B0"/>
            <w:noWrap/>
            <w:vAlign w:val="center"/>
          </w:tcPr>
          <w:p w14:paraId="34FF5CCB" w14:textId="5E698F17" w:rsidR="00A011DF" w:rsidRPr="00894701" w:rsidRDefault="00A011DF" w:rsidP="00904D64">
            <w:pPr>
              <w:spacing w:after="0" w:line="240" w:lineRule="auto"/>
              <w:jc w:val="center"/>
              <w:rPr>
                <w:rFonts w:asciiTheme="majorHAnsi" w:hAnsiTheme="majorHAnsi" w:cs="Arial"/>
                <w:color w:val="auto"/>
                <w:kern w:val="0"/>
                <w:sz w:val="16"/>
                <w:szCs w:val="16"/>
                <w:lang w:eastAsia="fr-FR"/>
              </w:rPr>
            </w:pPr>
            <w:r w:rsidRPr="00894701">
              <w:rPr>
                <w:rFonts w:asciiTheme="majorHAnsi" w:hAnsiTheme="majorHAnsi" w:cs="Arial"/>
                <w:color w:val="auto"/>
                <w:sz w:val="16"/>
                <w:szCs w:val="16"/>
              </w:rPr>
              <w:t xml:space="preserve">Newmont Suriname </w:t>
            </w:r>
            <w:r w:rsidR="0085302F" w:rsidRPr="00894701">
              <w:rPr>
                <w:rFonts w:asciiTheme="majorHAnsi" w:hAnsiTheme="majorHAnsi" w:cs="Arial"/>
                <w:color w:val="auto"/>
                <w:sz w:val="16"/>
                <w:szCs w:val="16"/>
              </w:rPr>
              <w:t>LLC</w:t>
            </w:r>
          </w:p>
        </w:tc>
        <w:tc>
          <w:tcPr>
            <w:tcW w:w="1240" w:type="dxa"/>
            <w:shd w:val="clear" w:color="auto" w:fill="F7A3B0"/>
            <w:noWrap/>
            <w:vAlign w:val="center"/>
          </w:tcPr>
          <w:p w14:paraId="4397AD50" w14:textId="599CB26F" w:rsidR="00A011DF" w:rsidRPr="00894701" w:rsidRDefault="00A011DF" w:rsidP="00904D64">
            <w:pPr>
              <w:spacing w:after="0" w:line="240" w:lineRule="auto"/>
              <w:jc w:val="center"/>
              <w:rPr>
                <w:rFonts w:asciiTheme="majorHAnsi" w:hAnsiTheme="majorHAnsi" w:cs="Arial"/>
                <w:color w:val="auto"/>
                <w:kern w:val="0"/>
                <w:sz w:val="16"/>
                <w:szCs w:val="16"/>
                <w:lang w:eastAsia="fr-FR"/>
              </w:rPr>
            </w:pPr>
            <w:r w:rsidRPr="00894701">
              <w:rPr>
                <w:rFonts w:asciiTheme="majorHAnsi" w:hAnsiTheme="majorHAnsi" w:cs="Arial"/>
                <w:color w:val="auto"/>
                <w:sz w:val="16"/>
                <w:szCs w:val="16"/>
              </w:rPr>
              <w:t>Gold</w:t>
            </w:r>
          </w:p>
        </w:tc>
        <w:tc>
          <w:tcPr>
            <w:tcW w:w="1360" w:type="dxa"/>
            <w:shd w:val="clear" w:color="auto" w:fill="F7A3B0"/>
            <w:noWrap/>
            <w:vAlign w:val="center"/>
          </w:tcPr>
          <w:p w14:paraId="2CE0C089" w14:textId="286E4D63" w:rsidR="00A011DF" w:rsidRPr="00894701" w:rsidRDefault="00A011DF" w:rsidP="00904D64">
            <w:pPr>
              <w:spacing w:after="0" w:line="240" w:lineRule="auto"/>
              <w:jc w:val="center"/>
              <w:rPr>
                <w:rFonts w:asciiTheme="majorHAnsi" w:hAnsiTheme="majorHAnsi" w:cs="Arial"/>
                <w:color w:val="auto"/>
                <w:kern w:val="0"/>
                <w:sz w:val="16"/>
                <w:szCs w:val="16"/>
                <w:lang w:eastAsia="fr-FR"/>
              </w:rPr>
            </w:pPr>
            <w:r w:rsidRPr="00894701">
              <w:rPr>
                <w:rFonts w:asciiTheme="majorHAnsi" w:hAnsiTheme="majorHAnsi" w:cs="Arial"/>
                <w:color w:val="auto"/>
                <w:sz w:val="16"/>
                <w:szCs w:val="16"/>
              </w:rPr>
              <w:t>Oz</w:t>
            </w:r>
          </w:p>
        </w:tc>
        <w:tc>
          <w:tcPr>
            <w:tcW w:w="1360" w:type="dxa"/>
            <w:shd w:val="clear" w:color="auto" w:fill="F7A3B0"/>
            <w:noWrap/>
            <w:vAlign w:val="center"/>
          </w:tcPr>
          <w:p w14:paraId="454725E1" w14:textId="43BF63CD" w:rsidR="00A011DF" w:rsidRPr="00894701" w:rsidRDefault="00A011DF" w:rsidP="00904D64">
            <w:pPr>
              <w:spacing w:after="0" w:line="240" w:lineRule="auto"/>
              <w:jc w:val="center"/>
              <w:rPr>
                <w:rFonts w:asciiTheme="majorHAnsi" w:hAnsiTheme="majorHAnsi" w:cs="Arial"/>
                <w:color w:val="auto"/>
                <w:kern w:val="0"/>
                <w:sz w:val="16"/>
                <w:szCs w:val="16"/>
                <w:lang w:eastAsia="fr-FR"/>
              </w:rPr>
            </w:pPr>
            <w:r w:rsidRPr="00894701">
              <w:rPr>
                <w:rFonts w:asciiTheme="majorHAnsi" w:hAnsiTheme="majorHAnsi" w:cs="Arial"/>
                <w:color w:val="auto"/>
                <w:sz w:val="16"/>
                <w:szCs w:val="16"/>
              </w:rPr>
              <w:t xml:space="preserve">534,177.67 </w:t>
            </w:r>
          </w:p>
        </w:tc>
        <w:tc>
          <w:tcPr>
            <w:tcW w:w="1720" w:type="dxa"/>
            <w:shd w:val="clear" w:color="auto" w:fill="F7A3B0"/>
            <w:vAlign w:val="center"/>
          </w:tcPr>
          <w:p w14:paraId="558507F9" w14:textId="65D84E32" w:rsidR="00A011DF" w:rsidRPr="00894701" w:rsidRDefault="00A011DF" w:rsidP="00904D64">
            <w:pPr>
              <w:spacing w:after="0" w:line="240" w:lineRule="auto"/>
              <w:jc w:val="center"/>
              <w:rPr>
                <w:rFonts w:asciiTheme="majorHAnsi" w:hAnsiTheme="majorHAnsi" w:cs="Arial"/>
                <w:color w:val="auto"/>
                <w:kern w:val="0"/>
                <w:sz w:val="16"/>
                <w:szCs w:val="16"/>
                <w:lang w:eastAsia="fr-FR"/>
              </w:rPr>
            </w:pPr>
            <w:r w:rsidRPr="00894701">
              <w:rPr>
                <w:rFonts w:asciiTheme="majorHAnsi" w:hAnsiTheme="majorHAnsi" w:cs="Arial"/>
                <w:color w:val="auto"/>
                <w:sz w:val="16"/>
                <w:szCs w:val="16"/>
              </w:rPr>
              <w:t xml:space="preserve">523,819.34 </w:t>
            </w:r>
          </w:p>
        </w:tc>
        <w:tc>
          <w:tcPr>
            <w:tcW w:w="1720" w:type="dxa"/>
            <w:shd w:val="clear" w:color="auto" w:fill="F7A3B0"/>
            <w:noWrap/>
            <w:vAlign w:val="center"/>
          </w:tcPr>
          <w:p w14:paraId="6B8FB020" w14:textId="72BFE276" w:rsidR="00A011DF" w:rsidRPr="00894701" w:rsidRDefault="00A011DF" w:rsidP="00904D64">
            <w:pPr>
              <w:spacing w:after="0" w:line="240" w:lineRule="auto"/>
              <w:jc w:val="center"/>
              <w:rPr>
                <w:rFonts w:asciiTheme="majorHAnsi" w:hAnsiTheme="majorHAnsi" w:cs="Arial"/>
                <w:color w:val="auto"/>
                <w:kern w:val="0"/>
                <w:sz w:val="16"/>
                <w:szCs w:val="16"/>
                <w:lang w:eastAsia="fr-FR"/>
              </w:rPr>
            </w:pPr>
            <w:r w:rsidRPr="00894701">
              <w:rPr>
                <w:rFonts w:asciiTheme="majorHAnsi" w:hAnsiTheme="majorHAnsi" w:cs="Arial"/>
                <w:color w:val="auto"/>
                <w:sz w:val="16"/>
                <w:szCs w:val="16"/>
              </w:rPr>
              <w:t xml:space="preserve">461,041.55 </w:t>
            </w:r>
          </w:p>
        </w:tc>
      </w:tr>
    </w:tbl>
    <w:p w14:paraId="19964467" w14:textId="0CC8E25A" w:rsidR="00A011DF" w:rsidRPr="00894701" w:rsidRDefault="00A011DF" w:rsidP="00904D64">
      <w:pPr>
        <w:spacing w:after="240"/>
        <w:jc w:val="both"/>
        <w:rPr>
          <w:rFonts w:asciiTheme="majorHAnsi" w:hAnsiTheme="majorHAnsi"/>
          <w:i/>
          <w:iCs/>
          <w:color w:val="auto"/>
          <w:sz w:val="16"/>
          <w:szCs w:val="16"/>
        </w:rPr>
      </w:pPr>
      <w:r w:rsidRPr="00894701">
        <w:rPr>
          <w:i/>
          <w:color w:val="auto"/>
        </w:rPr>
        <w:t>Source: EITI Reporting Templates</w:t>
      </w:r>
    </w:p>
    <w:p w14:paraId="180EDA7E" w14:textId="6674777D" w:rsidR="00235F0B" w:rsidRPr="00894701" w:rsidRDefault="00A67C41" w:rsidP="008F7932">
      <w:pPr>
        <w:jc w:val="both"/>
        <w:rPr>
          <w:rFonts w:asciiTheme="majorHAnsi" w:hAnsiTheme="majorHAnsi"/>
          <w:color w:val="auto"/>
          <w:sz w:val="20"/>
          <w:szCs w:val="20"/>
        </w:rPr>
      </w:pPr>
      <w:r>
        <w:rPr>
          <w:rFonts w:asciiTheme="majorHAnsi" w:hAnsiTheme="majorHAnsi"/>
          <w:color w:val="auto"/>
          <w:sz w:val="20"/>
          <w:szCs w:val="20"/>
        </w:rPr>
        <w:t>E</w:t>
      </w:r>
      <w:r w:rsidR="00235F0B" w:rsidRPr="00894701">
        <w:rPr>
          <w:rFonts w:asciiTheme="majorHAnsi" w:hAnsiTheme="majorHAnsi"/>
          <w:color w:val="auto"/>
          <w:sz w:val="20"/>
          <w:szCs w:val="20"/>
        </w:rPr>
        <w:t xml:space="preserve">xports </w:t>
      </w:r>
      <w:r>
        <w:rPr>
          <w:rFonts w:asciiTheme="majorHAnsi" w:hAnsiTheme="majorHAnsi"/>
          <w:color w:val="auto"/>
          <w:sz w:val="20"/>
          <w:szCs w:val="20"/>
        </w:rPr>
        <w:t>from Oil and gas sector have been detailed in Section 3.19.2.(b) of this report</w:t>
      </w:r>
      <w:r w:rsidR="00235F0B" w:rsidRPr="00894701">
        <w:rPr>
          <w:rFonts w:asciiTheme="majorHAnsi" w:hAnsiTheme="majorHAnsi"/>
          <w:color w:val="auto"/>
          <w:sz w:val="20"/>
          <w:szCs w:val="20"/>
        </w:rPr>
        <w:t>.</w:t>
      </w:r>
      <w:r w:rsidR="00A011DF" w:rsidRPr="00894701">
        <w:rPr>
          <w:rFonts w:asciiTheme="majorHAnsi" w:hAnsiTheme="majorHAnsi"/>
          <w:color w:val="auto"/>
          <w:sz w:val="20"/>
          <w:szCs w:val="20"/>
        </w:rPr>
        <w:t xml:space="preserve"> </w:t>
      </w:r>
      <w:r>
        <w:rPr>
          <w:rStyle w:val="CommentReference"/>
          <w:rFonts w:ascii="Times New Roman" w:hAnsi="Times New Roman"/>
          <w:bCs/>
          <w:color w:val="auto"/>
          <w:kern w:val="0"/>
          <w:lang w:eastAsia="en-US"/>
        </w:rPr>
        <w:t>T</w:t>
      </w:r>
      <w:r w:rsidR="00A011DF" w:rsidRPr="00894701">
        <w:rPr>
          <w:rFonts w:asciiTheme="majorHAnsi" w:hAnsiTheme="majorHAnsi"/>
          <w:color w:val="auto"/>
          <w:sz w:val="20"/>
          <w:szCs w:val="20"/>
        </w:rPr>
        <w:t>he table below show</w:t>
      </w:r>
      <w:r w:rsidR="001F7B22" w:rsidRPr="00894701">
        <w:rPr>
          <w:rFonts w:asciiTheme="majorHAnsi" w:hAnsiTheme="majorHAnsi"/>
          <w:color w:val="auto"/>
          <w:sz w:val="20"/>
          <w:szCs w:val="20"/>
        </w:rPr>
        <w:t>s</w:t>
      </w:r>
      <w:r w:rsidR="00A011DF" w:rsidRPr="00894701">
        <w:rPr>
          <w:rFonts w:asciiTheme="majorHAnsi" w:hAnsiTheme="majorHAnsi"/>
          <w:color w:val="auto"/>
          <w:sz w:val="20"/>
          <w:szCs w:val="20"/>
        </w:rPr>
        <w:t xml:space="preserve"> the exports declared by the mining companies</w:t>
      </w:r>
      <w:r w:rsidR="00730D54" w:rsidRPr="00894701">
        <w:rPr>
          <w:rFonts w:asciiTheme="majorHAnsi" w:hAnsiTheme="majorHAnsi"/>
          <w:color w:val="auto"/>
          <w:sz w:val="20"/>
          <w:szCs w:val="20"/>
        </w:rPr>
        <w:t>.</w:t>
      </w:r>
    </w:p>
    <w:p w14:paraId="029A6237" w14:textId="47EC8177" w:rsidR="004B09B6" w:rsidRDefault="004B09B6" w:rsidP="00904D64">
      <w:pPr>
        <w:pStyle w:val="Caption"/>
        <w:jc w:val="center"/>
        <w:rPr>
          <w:rFonts w:ascii="Trebuchet MS" w:hAnsi="Trebuchet MS"/>
          <w:color w:val="98002E" w:themeColor="accent3"/>
          <w:kern w:val="16"/>
          <w:sz w:val="20"/>
          <w:lang w:eastAsia="en-GB"/>
        </w:rPr>
      </w:pPr>
      <w:bookmarkStart w:id="560" w:name="_Toc146590546"/>
      <w:r w:rsidRPr="00894701">
        <w:rPr>
          <w:rFonts w:ascii="Trebuchet MS" w:hAnsi="Trebuchet MS"/>
          <w:color w:val="98002E" w:themeColor="accent3"/>
          <w:kern w:val="16"/>
          <w:sz w:val="20"/>
          <w:lang w:eastAsia="en-GB"/>
        </w:rPr>
        <w:t xml:space="preserve">Table </w:t>
      </w:r>
      <w:r w:rsidRPr="00894701">
        <w:rPr>
          <w:rFonts w:ascii="Trebuchet MS" w:hAnsi="Trebuchet MS"/>
          <w:color w:val="98002E" w:themeColor="accent3"/>
          <w:kern w:val="16"/>
          <w:sz w:val="20"/>
          <w:lang w:eastAsia="en-GB"/>
        </w:rPr>
        <w:fldChar w:fldCharType="begin"/>
      </w:r>
      <w:r w:rsidRPr="00894701">
        <w:rPr>
          <w:rFonts w:ascii="Trebuchet MS" w:hAnsi="Trebuchet MS"/>
          <w:color w:val="98002E" w:themeColor="accent3"/>
          <w:kern w:val="16"/>
          <w:sz w:val="20"/>
          <w:lang w:eastAsia="en-GB"/>
        </w:rPr>
        <w:instrText xml:space="preserve"> SEQ Table \* ARABIC </w:instrText>
      </w:r>
      <w:r w:rsidRPr="00894701">
        <w:rPr>
          <w:rFonts w:ascii="Trebuchet MS" w:hAnsi="Trebuchet MS"/>
          <w:color w:val="98002E" w:themeColor="accent3"/>
          <w:kern w:val="16"/>
          <w:sz w:val="20"/>
          <w:lang w:eastAsia="en-GB"/>
        </w:rPr>
        <w:fldChar w:fldCharType="separate"/>
      </w:r>
      <w:r w:rsidR="0035303B">
        <w:rPr>
          <w:rFonts w:ascii="Trebuchet MS" w:hAnsi="Trebuchet MS"/>
          <w:noProof/>
          <w:color w:val="98002E" w:themeColor="accent3"/>
          <w:kern w:val="16"/>
          <w:sz w:val="20"/>
          <w:lang w:eastAsia="en-GB"/>
        </w:rPr>
        <w:t>74</w:t>
      </w:r>
      <w:r w:rsidRPr="00894701">
        <w:rPr>
          <w:rFonts w:ascii="Trebuchet MS" w:hAnsi="Trebuchet MS"/>
          <w:color w:val="98002E" w:themeColor="accent3"/>
          <w:kern w:val="16"/>
          <w:sz w:val="20"/>
          <w:lang w:eastAsia="en-GB"/>
        </w:rPr>
        <w:fldChar w:fldCharType="end"/>
      </w:r>
      <w:r w:rsidRPr="00894701">
        <w:rPr>
          <w:rFonts w:ascii="Trebuchet MS" w:hAnsi="Trebuchet MS"/>
          <w:color w:val="98002E" w:themeColor="accent3"/>
          <w:kern w:val="16"/>
          <w:sz w:val="20"/>
          <w:lang w:eastAsia="en-GB"/>
        </w:rPr>
        <w:t>: exports declared by the mining companies</w:t>
      </w:r>
      <w:bookmarkEnd w:id="560"/>
    </w:p>
    <w:tbl>
      <w:tblPr>
        <w:tblW w:w="9000" w:type="dxa"/>
        <w:tblInd w:w="10" w:type="dxa"/>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left w:w="70" w:type="dxa"/>
          <w:right w:w="70" w:type="dxa"/>
        </w:tblCellMar>
        <w:tblLook w:val="04A0" w:firstRow="1" w:lastRow="0" w:firstColumn="1" w:lastColumn="0" w:noHBand="0" w:noVBand="1"/>
      </w:tblPr>
      <w:tblGrid>
        <w:gridCol w:w="1600"/>
        <w:gridCol w:w="1240"/>
        <w:gridCol w:w="1360"/>
        <w:gridCol w:w="1360"/>
        <w:gridCol w:w="1720"/>
        <w:gridCol w:w="1720"/>
      </w:tblGrid>
      <w:tr w:rsidR="00AF3535" w:rsidRPr="00894701" w14:paraId="6F92DCCC" w14:textId="77777777" w:rsidTr="00DC7A10">
        <w:trPr>
          <w:trHeight w:val="780"/>
        </w:trPr>
        <w:tc>
          <w:tcPr>
            <w:tcW w:w="1600" w:type="dxa"/>
            <w:shd w:val="clear" w:color="000000" w:fill="7A0A1B"/>
            <w:vAlign w:val="center"/>
            <w:hideMark/>
          </w:tcPr>
          <w:p w14:paraId="33D5DFFD" w14:textId="77777777" w:rsidR="00AF3535" w:rsidRPr="00894701" w:rsidRDefault="00AF3535" w:rsidP="00DC7A10">
            <w:pPr>
              <w:spacing w:after="0" w:line="240" w:lineRule="auto"/>
              <w:jc w:val="center"/>
              <w:rPr>
                <w:rFonts w:asciiTheme="majorHAnsi" w:hAnsiTheme="majorHAnsi" w:cs="Arial"/>
                <w:b/>
                <w:bCs/>
                <w:color w:val="auto"/>
                <w:kern w:val="0"/>
                <w:sz w:val="16"/>
                <w:szCs w:val="16"/>
                <w:lang w:eastAsia="fr-FR"/>
              </w:rPr>
            </w:pPr>
            <w:r w:rsidRPr="00894701">
              <w:rPr>
                <w:rFonts w:asciiTheme="majorHAnsi" w:hAnsiTheme="majorHAnsi" w:cs="Arial"/>
                <w:b/>
                <w:bCs/>
                <w:color w:val="auto"/>
                <w:kern w:val="0"/>
                <w:sz w:val="16"/>
                <w:szCs w:val="16"/>
                <w:lang w:eastAsia="fr-FR"/>
              </w:rPr>
              <w:t>Companies</w:t>
            </w:r>
          </w:p>
        </w:tc>
        <w:tc>
          <w:tcPr>
            <w:tcW w:w="1240" w:type="dxa"/>
            <w:shd w:val="clear" w:color="000000" w:fill="7A0A1B"/>
            <w:vAlign w:val="center"/>
            <w:hideMark/>
          </w:tcPr>
          <w:p w14:paraId="2EFEB3B8" w14:textId="5C9A93E4" w:rsidR="00AF3535" w:rsidRPr="00894701" w:rsidRDefault="00AF3535" w:rsidP="00DC7A10">
            <w:pPr>
              <w:spacing w:after="0" w:line="240" w:lineRule="auto"/>
              <w:jc w:val="center"/>
              <w:rPr>
                <w:rFonts w:asciiTheme="majorHAnsi" w:hAnsiTheme="majorHAnsi" w:cs="Arial"/>
                <w:b/>
                <w:bCs/>
                <w:color w:val="auto"/>
                <w:kern w:val="0"/>
                <w:sz w:val="16"/>
                <w:szCs w:val="16"/>
                <w:lang w:eastAsia="fr-FR"/>
              </w:rPr>
            </w:pPr>
            <w:r w:rsidRPr="00894701">
              <w:rPr>
                <w:rFonts w:asciiTheme="majorHAnsi" w:hAnsiTheme="majorHAnsi" w:cs="Arial"/>
                <w:b/>
                <w:bCs/>
                <w:color w:val="auto"/>
                <w:kern w:val="0"/>
                <w:sz w:val="16"/>
                <w:szCs w:val="16"/>
                <w:lang w:eastAsia="fr-FR"/>
              </w:rPr>
              <w:t>Solid Mineral Types</w:t>
            </w:r>
          </w:p>
        </w:tc>
        <w:tc>
          <w:tcPr>
            <w:tcW w:w="1360" w:type="dxa"/>
            <w:shd w:val="clear" w:color="000000" w:fill="7A0A1B"/>
            <w:vAlign w:val="center"/>
            <w:hideMark/>
          </w:tcPr>
          <w:p w14:paraId="7C416644" w14:textId="77777777" w:rsidR="00AF3535" w:rsidRPr="00894701" w:rsidRDefault="00AF3535" w:rsidP="00DC7A10">
            <w:pPr>
              <w:spacing w:after="0" w:line="240" w:lineRule="auto"/>
              <w:jc w:val="center"/>
              <w:rPr>
                <w:rFonts w:asciiTheme="majorHAnsi" w:hAnsiTheme="majorHAnsi" w:cs="Arial"/>
                <w:b/>
                <w:bCs/>
                <w:color w:val="auto"/>
                <w:kern w:val="0"/>
                <w:sz w:val="16"/>
                <w:szCs w:val="16"/>
                <w:lang w:eastAsia="fr-FR"/>
              </w:rPr>
            </w:pPr>
            <w:r w:rsidRPr="00894701">
              <w:rPr>
                <w:rFonts w:asciiTheme="majorHAnsi" w:hAnsiTheme="majorHAnsi" w:cs="Arial"/>
                <w:b/>
                <w:bCs/>
                <w:color w:val="auto"/>
                <w:kern w:val="0"/>
                <w:sz w:val="16"/>
                <w:szCs w:val="16"/>
                <w:lang w:eastAsia="fr-FR"/>
              </w:rPr>
              <w:t xml:space="preserve">Unit </w:t>
            </w:r>
          </w:p>
        </w:tc>
        <w:tc>
          <w:tcPr>
            <w:tcW w:w="1360" w:type="dxa"/>
            <w:shd w:val="clear" w:color="000000" w:fill="7A0A1B"/>
            <w:vAlign w:val="center"/>
            <w:hideMark/>
          </w:tcPr>
          <w:p w14:paraId="73FD4964" w14:textId="77777777" w:rsidR="00AF3535" w:rsidRPr="00894701" w:rsidRDefault="00AF3535" w:rsidP="00DC7A10">
            <w:pPr>
              <w:spacing w:after="0" w:line="240" w:lineRule="auto"/>
              <w:jc w:val="center"/>
              <w:rPr>
                <w:rFonts w:asciiTheme="majorHAnsi" w:hAnsiTheme="majorHAnsi" w:cs="Arial"/>
                <w:b/>
                <w:bCs/>
                <w:color w:val="auto"/>
                <w:kern w:val="0"/>
                <w:sz w:val="16"/>
                <w:szCs w:val="16"/>
                <w:lang w:eastAsia="fr-FR"/>
              </w:rPr>
            </w:pPr>
            <w:r w:rsidRPr="00894701">
              <w:rPr>
                <w:rFonts w:asciiTheme="majorHAnsi" w:hAnsiTheme="majorHAnsi" w:cs="Arial"/>
                <w:b/>
                <w:bCs/>
                <w:color w:val="auto"/>
                <w:kern w:val="0"/>
                <w:sz w:val="16"/>
                <w:szCs w:val="16"/>
                <w:lang w:eastAsia="fr-FR"/>
              </w:rPr>
              <w:t>Quantity</w:t>
            </w:r>
          </w:p>
          <w:p w14:paraId="56F589EC" w14:textId="77777777" w:rsidR="00AF3535" w:rsidRPr="00894701" w:rsidRDefault="00AF3535" w:rsidP="00DC7A10">
            <w:pPr>
              <w:spacing w:after="0" w:line="240" w:lineRule="auto"/>
              <w:jc w:val="center"/>
              <w:rPr>
                <w:rFonts w:asciiTheme="majorHAnsi" w:hAnsiTheme="majorHAnsi" w:cs="Arial"/>
                <w:b/>
                <w:bCs/>
                <w:color w:val="auto"/>
                <w:kern w:val="0"/>
                <w:sz w:val="16"/>
                <w:szCs w:val="16"/>
                <w:lang w:eastAsia="fr-FR"/>
              </w:rPr>
            </w:pPr>
            <w:r w:rsidRPr="00894701">
              <w:rPr>
                <w:rFonts w:asciiTheme="majorHAnsi" w:hAnsiTheme="majorHAnsi" w:cs="Arial"/>
                <w:b/>
                <w:bCs/>
                <w:color w:val="auto"/>
                <w:kern w:val="0"/>
                <w:sz w:val="16"/>
                <w:szCs w:val="16"/>
                <w:lang w:eastAsia="fr-FR"/>
              </w:rPr>
              <w:t>2018</w:t>
            </w:r>
          </w:p>
        </w:tc>
        <w:tc>
          <w:tcPr>
            <w:tcW w:w="1720" w:type="dxa"/>
            <w:shd w:val="clear" w:color="000000" w:fill="7A0A1B"/>
            <w:vAlign w:val="center"/>
          </w:tcPr>
          <w:p w14:paraId="24B901AC" w14:textId="77777777" w:rsidR="00AF3535" w:rsidRPr="00894701" w:rsidRDefault="00AF3535" w:rsidP="00DC7A10">
            <w:pPr>
              <w:spacing w:after="0" w:line="240" w:lineRule="auto"/>
              <w:jc w:val="center"/>
              <w:rPr>
                <w:rFonts w:asciiTheme="majorHAnsi" w:hAnsiTheme="majorHAnsi" w:cs="Arial"/>
                <w:b/>
                <w:bCs/>
                <w:color w:val="auto"/>
                <w:kern w:val="0"/>
                <w:sz w:val="16"/>
                <w:szCs w:val="16"/>
                <w:lang w:eastAsia="fr-FR"/>
              </w:rPr>
            </w:pPr>
            <w:r w:rsidRPr="00894701">
              <w:rPr>
                <w:rFonts w:asciiTheme="majorHAnsi" w:hAnsiTheme="majorHAnsi" w:cs="Arial"/>
                <w:b/>
                <w:bCs/>
                <w:color w:val="auto"/>
                <w:kern w:val="0"/>
                <w:sz w:val="16"/>
                <w:szCs w:val="16"/>
                <w:lang w:eastAsia="fr-FR"/>
              </w:rPr>
              <w:t>Quantity</w:t>
            </w:r>
          </w:p>
          <w:p w14:paraId="6881DC47" w14:textId="77777777" w:rsidR="00AF3535" w:rsidRPr="00894701" w:rsidRDefault="00AF3535" w:rsidP="00DC7A10">
            <w:pPr>
              <w:spacing w:after="0" w:line="240" w:lineRule="auto"/>
              <w:jc w:val="center"/>
              <w:rPr>
                <w:rFonts w:asciiTheme="majorHAnsi" w:hAnsiTheme="majorHAnsi" w:cs="Arial"/>
                <w:b/>
                <w:bCs/>
                <w:color w:val="auto"/>
                <w:kern w:val="0"/>
                <w:sz w:val="16"/>
                <w:szCs w:val="16"/>
                <w:lang w:eastAsia="fr-FR"/>
              </w:rPr>
            </w:pPr>
            <w:r w:rsidRPr="00894701">
              <w:rPr>
                <w:rFonts w:asciiTheme="majorHAnsi" w:hAnsiTheme="majorHAnsi" w:cs="Arial"/>
                <w:b/>
                <w:bCs/>
                <w:color w:val="auto"/>
                <w:kern w:val="0"/>
                <w:sz w:val="16"/>
                <w:szCs w:val="16"/>
                <w:lang w:eastAsia="fr-FR"/>
              </w:rPr>
              <w:t>2019</w:t>
            </w:r>
          </w:p>
        </w:tc>
        <w:tc>
          <w:tcPr>
            <w:tcW w:w="1720" w:type="dxa"/>
            <w:shd w:val="clear" w:color="000000" w:fill="7A0A1B"/>
            <w:vAlign w:val="center"/>
          </w:tcPr>
          <w:p w14:paraId="58EC83DB" w14:textId="77777777" w:rsidR="00AF3535" w:rsidRPr="00894701" w:rsidRDefault="00AF3535" w:rsidP="00DC7A10">
            <w:pPr>
              <w:spacing w:after="0" w:line="240" w:lineRule="auto"/>
              <w:jc w:val="center"/>
              <w:rPr>
                <w:rFonts w:asciiTheme="majorHAnsi" w:hAnsiTheme="majorHAnsi" w:cs="Arial"/>
                <w:b/>
                <w:bCs/>
                <w:color w:val="auto"/>
                <w:kern w:val="0"/>
                <w:sz w:val="16"/>
                <w:szCs w:val="16"/>
                <w:lang w:eastAsia="fr-FR"/>
              </w:rPr>
            </w:pPr>
            <w:r w:rsidRPr="00894701">
              <w:rPr>
                <w:rFonts w:asciiTheme="majorHAnsi" w:hAnsiTheme="majorHAnsi" w:cs="Arial"/>
                <w:b/>
                <w:bCs/>
                <w:color w:val="auto"/>
                <w:kern w:val="0"/>
                <w:sz w:val="16"/>
                <w:szCs w:val="16"/>
                <w:lang w:eastAsia="fr-FR"/>
              </w:rPr>
              <w:t>Quantity</w:t>
            </w:r>
          </w:p>
          <w:p w14:paraId="048B5043" w14:textId="77777777" w:rsidR="00AF3535" w:rsidRPr="00894701" w:rsidRDefault="00AF3535" w:rsidP="00DC7A10">
            <w:pPr>
              <w:spacing w:after="0" w:line="240" w:lineRule="auto"/>
              <w:jc w:val="center"/>
              <w:rPr>
                <w:rFonts w:asciiTheme="majorHAnsi" w:hAnsiTheme="majorHAnsi" w:cs="Arial"/>
                <w:b/>
                <w:bCs/>
                <w:color w:val="auto"/>
                <w:kern w:val="0"/>
                <w:sz w:val="16"/>
                <w:szCs w:val="16"/>
                <w:lang w:eastAsia="fr-FR"/>
              </w:rPr>
            </w:pPr>
            <w:r w:rsidRPr="00894701">
              <w:rPr>
                <w:rFonts w:asciiTheme="majorHAnsi" w:hAnsiTheme="majorHAnsi" w:cs="Arial"/>
                <w:b/>
                <w:bCs/>
                <w:color w:val="auto"/>
                <w:kern w:val="0"/>
                <w:sz w:val="16"/>
                <w:szCs w:val="16"/>
                <w:lang w:eastAsia="fr-FR"/>
              </w:rPr>
              <w:t>2020</w:t>
            </w:r>
          </w:p>
        </w:tc>
      </w:tr>
      <w:tr w:rsidR="00AF3535" w:rsidRPr="00894701" w14:paraId="6BAB045A" w14:textId="77777777" w:rsidTr="00DC7A10">
        <w:trPr>
          <w:trHeight w:val="269"/>
        </w:trPr>
        <w:tc>
          <w:tcPr>
            <w:tcW w:w="1600" w:type="dxa"/>
            <w:shd w:val="clear" w:color="auto" w:fill="auto"/>
            <w:noWrap/>
            <w:vAlign w:val="center"/>
          </w:tcPr>
          <w:p w14:paraId="702D82BB" w14:textId="3128691F" w:rsidR="00AF3535" w:rsidRPr="00894701" w:rsidRDefault="00AF3535" w:rsidP="00DC7A10">
            <w:pPr>
              <w:spacing w:after="0" w:line="240" w:lineRule="auto"/>
              <w:jc w:val="center"/>
              <w:rPr>
                <w:rFonts w:asciiTheme="majorHAnsi" w:hAnsiTheme="majorHAnsi" w:cs="Arial"/>
                <w:color w:val="auto"/>
                <w:kern w:val="0"/>
                <w:sz w:val="16"/>
                <w:szCs w:val="16"/>
                <w:lang w:eastAsia="fr-FR"/>
              </w:rPr>
            </w:pPr>
            <w:r w:rsidRPr="00894701">
              <w:rPr>
                <w:rFonts w:asciiTheme="majorHAnsi" w:hAnsiTheme="majorHAnsi" w:cs="Arial"/>
                <w:color w:val="auto"/>
                <w:sz w:val="16"/>
                <w:szCs w:val="16"/>
              </w:rPr>
              <w:t xml:space="preserve">Newmont Suriname </w:t>
            </w:r>
            <w:r w:rsidR="0085302F" w:rsidRPr="00894701">
              <w:rPr>
                <w:rFonts w:asciiTheme="majorHAnsi" w:hAnsiTheme="majorHAnsi" w:cs="Arial"/>
                <w:color w:val="auto"/>
                <w:sz w:val="16"/>
                <w:szCs w:val="16"/>
              </w:rPr>
              <w:t>LLC</w:t>
            </w:r>
            <w:r w:rsidR="001B1CC3">
              <w:rPr>
                <w:rFonts w:asciiTheme="majorHAnsi" w:hAnsiTheme="majorHAnsi" w:cs="Arial"/>
                <w:color w:val="auto"/>
                <w:sz w:val="16"/>
                <w:szCs w:val="16"/>
              </w:rPr>
              <w:t xml:space="preserve"> </w:t>
            </w:r>
          </w:p>
        </w:tc>
        <w:tc>
          <w:tcPr>
            <w:tcW w:w="1240" w:type="dxa"/>
            <w:shd w:val="clear" w:color="auto" w:fill="auto"/>
            <w:noWrap/>
            <w:vAlign w:val="center"/>
          </w:tcPr>
          <w:p w14:paraId="1CFD2D42" w14:textId="77777777" w:rsidR="00AF3535" w:rsidRPr="00894701" w:rsidRDefault="00AF3535" w:rsidP="00DC7A10">
            <w:pPr>
              <w:spacing w:after="0" w:line="240" w:lineRule="auto"/>
              <w:jc w:val="center"/>
              <w:rPr>
                <w:rFonts w:asciiTheme="majorHAnsi" w:hAnsiTheme="majorHAnsi" w:cs="Arial"/>
                <w:color w:val="auto"/>
                <w:kern w:val="0"/>
                <w:sz w:val="16"/>
                <w:szCs w:val="16"/>
                <w:lang w:eastAsia="fr-FR"/>
              </w:rPr>
            </w:pPr>
            <w:r w:rsidRPr="00894701">
              <w:rPr>
                <w:rFonts w:asciiTheme="majorHAnsi" w:hAnsiTheme="majorHAnsi" w:cs="Arial"/>
                <w:color w:val="auto"/>
                <w:sz w:val="16"/>
                <w:szCs w:val="16"/>
              </w:rPr>
              <w:t>Gold</w:t>
            </w:r>
          </w:p>
        </w:tc>
        <w:tc>
          <w:tcPr>
            <w:tcW w:w="1360" w:type="dxa"/>
            <w:shd w:val="clear" w:color="auto" w:fill="auto"/>
            <w:noWrap/>
            <w:vAlign w:val="center"/>
          </w:tcPr>
          <w:p w14:paraId="37BDF10D" w14:textId="77777777" w:rsidR="00AF3535" w:rsidRPr="00894701" w:rsidRDefault="00AF3535" w:rsidP="00DC7A10">
            <w:pPr>
              <w:spacing w:after="0" w:line="240" w:lineRule="auto"/>
              <w:jc w:val="center"/>
              <w:rPr>
                <w:rFonts w:asciiTheme="majorHAnsi" w:hAnsiTheme="majorHAnsi" w:cs="Arial"/>
                <w:color w:val="auto"/>
                <w:kern w:val="0"/>
                <w:sz w:val="16"/>
                <w:szCs w:val="16"/>
                <w:lang w:eastAsia="fr-FR"/>
              </w:rPr>
            </w:pPr>
            <w:r w:rsidRPr="00894701">
              <w:rPr>
                <w:rFonts w:asciiTheme="majorHAnsi" w:hAnsiTheme="majorHAnsi" w:cs="Arial"/>
                <w:color w:val="auto"/>
                <w:sz w:val="16"/>
                <w:szCs w:val="16"/>
              </w:rPr>
              <w:t>Ounces</w:t>
            </w:r>
          </w:p>
        </w:tc>
        <w:tc>
          <w:tcPr>
            <w:tcW w:w="1360" w:type="dxa"/>
            <w:shd w:val="clear" w:color="auto" w:fill="auto"/>
            <w:noWrap/>
            <w:vAlign w:val="center"/>
          </w:tcPr>
          <w:p w14:paraId="0CD562C8" w14:textId="77777777" w:rsidR="00AF3535" w:rsidRPr="00894701" w:rsidRDefault="00AF3535" w:rsidP="00DC7A10">
            <w:pPr>
              <w:spacing w:after="0" w:line="240" w:lineRule="auto"/>
              <w:jc w:val="center"/>
              <w:rPr>
                <w:rFonts w:asciiTheme="majorHAnsi" w:hAnsiTheme="majorHAnsi" w:cs="Arial"/>
                <w:color w:val="auto"/>
                <w:sz w:val="16"/>
                <w:szCs w:val="16"/>
              </w:rPr>
            </w:pPr>
            <w:r w:rsidRPr="00894701">
              <w:rPr>
                <w:rFonts w:asciiTheme="majorHAnsi" w:hAnsiTheme="majorHAnsi" w:cs="Arial"/>
                <w:color w:val="auto"/>
                <w:sz w:val="16"/>
                <w:szCs w:val="16"/>
              </w:rPr>
              <w:t>538,842</w:t>
            </w:r>
          </w:p>
        </w:tc>
        <w:tc>
          <w:tcPr>
            <w:tcW w:w="1720" w:type="dxa"/>
            <w:vAlign w:val="center"/>
          </w:tcPr>
          <w:p w14:paraId="713B4B13" w14:textId="77777777" w:rsidR="00AF3535" w:rsidRPr="00894701" w:rsidRDefault="00AF3535" w:rsidP="00DC7A10">
            <w:pPr>
              <w:spacing w:after="0" w:line="240" w:lineRule="auto"/>
              <w:jc w:val="center"/>
              <w:rPr>
                <w:rFonts w:asciiTheme="majorHAnsi" w:hAnsiTheme="majorHAnsi" w:cs="Arial"/>
                <w:color w:val="auto"/>
                <w:sz w:val="16"/>
                <w:szCs w:val="16"/>
              </w:rPr>
            </w:pPr>
            <w:r w:rsidRPr="00894701">
              <w:rPr>
                <w:rFonts w:asciiTheme="majorHAnsi" w:hAnsiTheme="majorHAnsi" w:cs="Arial"/>
                <w:color w:val="auto"/>
                <w:sz w:val="16"/>
                <w:szCs w:val="16"/>
              </w:rPr>
              <w:t>526,420</w:t>
            </w:r>
          </w:p>
        </w:tc>
        <w:tc>
          <w:tcPr>
            <w:tcW w:w="1720" w:type="dxa"/>
            <w:shd w:val="clear" w:color="auto" w:fill="auto"/>
            <w:noWrap/>
            <w:vAlign w:val="center"/>
          </w:tcPr>
          <w:p w14:paraId="0ABC0F7E" w14:textId="77777777" w:rsidR="00AF3535" w:rsidRPr="00894701" w:rsidRDefault="00AF3535" w:rsidP="00DC7A10">
            <w:pPr>
              <w:spacing w:after="0" w:line="240" w:lineRule="auto"/>
              <w:jc w:val="center"/>
              <w:rPr>
                <w:rFonts w:asciiTheme="majorHAnsi" w:hAnsiTheme="majorHAnsi" w:cs="Arial"/>
                <w:color w:val="auto"/>
                <w:sz w:val="16"/>
                <w:szCs w:val="16"/>
              </w:rPr>
            </w:pPr>
            <w:r w:rsidRPr="00894701">
              <w:rPr>
                <w:rFonts w:asciiTheme="majorHAnsi" w:hAnsiTheme="majorHAnsi" w:cs="Arial"/>
                <w:color w:val="auto"/>
                <w:sz w:val="16"/>
                <w:szCs w:val="16"/>
              </w:rPr>
              <w:t>464,603</w:t>
            </w:r>
          </w:p>
        </w:tc>
      </w:tr>
      <w:tr w:rsidR="00AF3535" w:rsidRPr="00894701" w14:paraId="28211779" w14:textId="77777777" w:rsidTr="00DC7A10">
        <w:trPr>
          <w:trHeight w:val="269"/>
        </w:trPr>
        <w:tc>
          <w:tcPr>
            <w:tcW w:w="1600" w:type="dxa"/>
            <w:shd w:val="clear" w:color="auto" w:fill="F7A3B0"/>
            <w:noWrap/>
            <w:vAlign w:val="center"/>
          </w:tcPr>
          <w:p w14:paraId="1AD2D7A6" w14:textId="76559530" w:rsidR="00AF3535" w:rsidRPr="00894701" w:rsidRDefault="00AF3535" w:rsidP="00DC7A10">
            <w:pPr>
              <w:spacing w:after="0" w:line="240" w:lineRule="auto"/>
              <w:jc w:val="center"/>
              <w:rPr>
                <w:rFonts w:asciiTheme="majorHAnsi" w:hAnsiTheme="majorHAnsi" w:cs="Arial"/>
                <w:color w:val="auto"/>
                <w:kern w:val="0"/>
                <w:sz w:val="16"/>
                <w:szCs w:val="16"/>
                <w:lang w:eastAsia="fr-FR"/>
              </w:rPr>
            </w:pPr>
            <w:r w:rsidRPr="00894701">
              <w:rPr>
                <w:rFonts w:asciiTheme="majorHAnsi" w:hAnsiTheme="majorHAnsi" w:cs="Arial"/>
                <w:color w:val="auto"/>
                <w:sz w:val="16"/>
                <w:szCs w:val="16"/>
              </w:rPr>
              <w:t xml:space="preserve">Newmont Suriname </w:t>
            </w:r>
            <w:r w:rsidR="0085302F" w:rsidRPr="00894701">
              <w:rPr>
                <w:rFonts w:asciiTheme="majorHAnsi" w:hAnsiTheme="majorHAnsi" w:cs="Arial"/>
                <w:color w:val="auto"/>
                <w:sz w:val="16"/>
                <w:szCs w:val="16"/>
              </w:rPr>
              <w:t>LLC</w:t>
            </w:r>
          </w:p>
        </w:tc>
        <w:tc>
          <w:tcPr>
            <w:tcW w:w="1240" w:type="dxa"/>
            <w:shd w:val="clear" w:color="auto" w:fill="F7A3B0"/>
            <w:noWrap/>
            <w:vAlign w:val="center"/>
          </w:tcPr>
          <w:p w14:paraId="25A7C4F6" w14:textId="77777777" w:rsidR="00AF3535" w:rsidRPr="00894701" w:rsidRDefault="00AF3535" w:rsidP="00DC7A10">
            <w:pPr>
              <w:spacing w:after="0" w:line="240" w:lineRule="auto"/>
              <w:jc w:val="center"/>
              <w:rPr>
                <w:rFonts w:asciiTheme="majorHAnsi" w:hAnsiTheme="majorHAnsi" w:cs="Arial"/>
                <w:color w:val="auto"/>
                <w:kern w:val="0"/>
                <w:sz w:val="16"/>
                <w:szCs w:val="16"/>
                <w:lang w:eastAsia="fr-FR"/>
              </w:rPr>
            </w:pPr>
            <w:r w:rsidRPr="00894701">
              <w:rPr>
                <w:rFonts w:asciiTheme="majorHAnsi" w:hAnsiTheme="majorHAnsi" w:cs="Arial"/>
                <w:color w:val="auto"/>
                <w:sz w:val="16"/>
                <w:szCs w:val="16"/>
              </w:rPr>
              <w:t>Silver</w:t>
            </w:r>
          </w:p>
        </w:tc>
        <w:tc>
          <w:tcPr>
            <w:tcW w:w="1360" w:type="dxa"/>
            <w:shd w:val="clear" w:color="auto" w:fill="F7A3B0"/>
            <w:noWrap/>
            <w:vAlign w:val="center"/>
          </w:tcPr>
          <w:p w14:paraId="303BDA0D" w14:textId="77777777" w:rsidR="00AF3535" w:rsidRPr="00894701" w:rsidRDefault="00AF3535" w:rsidP="00DC7A10">
            <w:pPr>
              <w:spacing w:after="0" w:line="240" w:lineRule="auto"/>
              <w:jc w:val="center"/>
              <w:rPr>
                <w:rFonts w:asciiTheme="majorHAnsi" w:hAnsiTheme="majorHAnsi" w:cs="Arial"/>
                <w:color w:val="auto"/>
                <w:kern w:val="0"/>
                <w:sz w:val="16"/>
                <w:szCs w:val="16"/>
                <w:lang w:eastAsia="fr-FR"/>
              </w:rPr>
            </w:pPr>
            <w:r w:rsidRPr="00894701">
              <w:rPr>
                <w:rFonts w:asciiTheme="majorHAnsi" w:hAnsiTheme="majorHAnsi" w:cs="Arial"/>
                <w:color w:val="auto"/>
                <w:sz w:val="16"/>
                <w:szCs w:val="16"/>
              </w:rPr>
              <w:t>Ounces</w:t>
            </w:r>
          </w:p>
        </w:tc>
        <w:tc>
          <w:tcPr>
            <w:tcW w:w="1360" w:type="dxa"/>
            <w:shd w:val="clear" w:color="auto" w:fill="F7A3B0"/>
            <w:noWrap/>
            <w:vAlign w:val="center"/>
          </w:tcPr>
          <w:p w14:paraId="0328DF8C" w14:textId="77777777" w:rsidR="00AF3535" w:rsidRPr="00894701" w:rsidRDefault="00AF3535" w:rsidP="00DC7A10">
            <w:pPr>
              <w:spacing w:after="0" w:line="240" w:lineRule="auto"/>
              <w:jc w:val="center"/>
              <w:rPr>
                <w:rFonts w:asciiTheme="majorHAnsi" w:hAnsiTheme="majorHAnsi" w:cs="Arial"/>
                <w:color w:val="auto"/>
                <w:sz w:val="16"/>
                <w:szCs w:val="16"/>
              </w:rPr>
            </w:pPr>
            <w:r w:rsidRPr="00894701">
              <w:rPr>
                <w:rFonts w:asciiTheme="majorHAnsi" w:hAnsiTheme="majorHAnsi" w:cs="Arial"/>
                <w:color w:val="auto"/>
                <w:sz w:val="16"/>
                <w:szCs w:val="16"/>
              </w:rPr>
              <w:t>7,818</w:t>
            </w:r>
          </w:p>
        </w:tc>
        <w:tc>
          <w:tcPr>
            <w:tcW w:w="1720" w:type="dxa"/>
            <w:shd w:val="clear" w:color="auto" w:fill="F7A3B0"/>
            <w:vAlign w:val="center"/>
          </w:tcPr>
          <w:p w14:paraId="5214A186" w14:textId="77777777" w:rsidR="00AF3535" w:rsidRPr="00894701" w:rsidRDefault="00AF3535" w:rsidP="00DC7A10">
            <w:pPr>
              <w:spacing w:after="0" w:line="240" w:lineRule="auto"/>
              <w:jc w:val="center"/>
              <w:rPr>
                <w:rFonts w:asciiTheme="majorHAnsi" w:hAnsiTheme="majorHAnsi" w:cs="Arial"/>
                <w:color w:val="auto"/>
                <w:sz w:val="16"/>
                <w:szCs w:val="16"/>
              </w:rPr>
            </w:pPr>
            <w:r w:rsidRPr="00894701">
              <w:rPr>
                <w:rFonts w:asciiTheme="majorHAnsi" w:hAnsiTheme="majorHAnsi" w:cs="Arial"/>
                <w:color w:val="auto"/>
                <w:sz w:val="16"/>
                <w:szCs w:val="16"/>
              </w:rPr>
              <w:t>8,455</w:t>
            </w:r>
          </w:p>
        </w:tc>
        <w:tc>
          <w:tcPr>
            <w:tcW w:w="1720" w:type="dxa"/>
            <w:shd w:val="clear" w:color="auto" w:fill="F7A3B0"/>
            <w:noWrap/>
            <w:vAlign w:val="center"/>
          </w:tcPr>
          <w:p w14:paraId="7C857D33" w14:textId="77777777" w:rsidR="00AF3535" w:rsidRPr="00894701" w:rsidRDefault="00AF3535" w:rsidP="00DC7A10">
            <w:pPr>
              <w:spacing w:after="0" w:line="240" w:lineRule="auto"/>
              <w:jc w:val="center"/>
              <w:rPr>
                <w:rFonts w:asciiTheme="majorHAnsi" w:hAnsiTheme="majorHAnsi" w:cs="Arial"/>
                <w:color w:val="auto"/>
                <w:sz w:val="16"/>
                <w:szCs w:val="16"/>
              </w:rPr>
            </w:pPr>
            <w:r w:rsidRPr="00894701">
              <w:rPr>
                <w:rFonts w:asciiTheme="majorHAnsi" w:hAnsiTheme="majorHAnsi" w:cs="Arial"/>
                <w:color w:val="auto"/>
                <w:sz w:val="16"/>
                <w:szCs w:val="16"/>
              </w:rPr>
              <w:t>9,681</w:t>
            </w:r>
          </w:p>
        </w:tc>
      </w:tr>
    </w:tbl>
    <w:p w14:paraId="6E2C4813" w14:textId="416D92E7" w:rsidR="00AF3535" w:rsidRPr="008F7932" w:rsidRDefault="00AF3535" w:rsidP="008F7932">
      <w:pPr>
        <w:spacing w:after="240"/>
        <w:jc w:val="both"/>
        <w:rPr>
          <w:rFonts w:asciiTheme="majorHAnsi" w:hAnsiTheme="majorHAnsi"/>
          <w:i/>
          <w:iCs/>
          <w:color w:val="auto"/>
          <w:sz w:val="16"/>
          <w:szCs w:val="16"/>
        </w:rPr>
      </w:pPr>
      <w:r w:rsidRPr="00894701">
        <w:rPr>
          <w:i/>
          <w:color w:val="auto"/>
        </w:rPr>
        <w:t>Source: EITI Reporting Templates</w:t>
      </w:r>
    </w:p>
    <w:p w14:paraId="6322F5BE" w14:textId="1DD89B3A" w:rsidR="006629D4" w:rsidRPr="00894701" w:rsidRDefault="006629D4" w:rsidP="00A46111">
      <w:pPr>
        <w:pStyle w:val="NumHeading"/>
        <w:spacing w:after="240"/>
        <w:rPr>
          <w:caps w:val="0"/>
          <w:sz w:val="36"/>
          <w:szCs w:val="36"/>
        </w:rPr>
      </w:pPr>
      <w:bookmarkStart w:id="561" w:name="_Toc122478953"/>
      <w:r w:rsidRPr="00894701">
        <w:rPr>
          <w:caps w:val="0"/>
          <w:sz w:val="36"/>
          <w:szCs w:val="36"/>
        </w:rPr>
        <w:t xml:space="preserve">Implementation status of EITI </w:t>
      </w:r>
      <w:bookmarkEnd w:id="437"/>
      <w:r w:rsidRPr="00894701">
        <w:rPr>
          <w:caps w:val="0"/>
          <w:sz w:val="36"/>
          <w:szCs w:val="36"/>
        </w:rPr>
        <w:t>recommendations</w:t>
      </w:r>
      <w:bookmarkEnd w:id="438"/>
      <w:bookmarkEnd w:id="561"/>
    </w:p>
    <w:bookmarkEnd w:id="439"/>
    <w:bookmarkEnd w:id="440"/>
    <w:bookmarkEnd w:id="441"/>
    <w:bookmarkEnd w:id="442"/>
    <w:bookmarkEnd w:id="443"/>
    <w:p w14:paraId="6F4A0369" w14:textId="7A78FD92" w:rsidR="00A46111" w:rsidRPr="00894701" w:rsidRDefault="00A46111" w:rsidP="00A46111">
      <w:pPr>
        <w:spacing w:after="240"/>
        <w:jc w:val="both"/>
        <w:rPr>
          <w:rFonts w:cs="Arial"/>
          <w:color w:val="auto"/>
          <w:sz w:val="20"/>
        </w:rPr>
      </w:pPr>
      <w:r w:rsidRPr="00894701">
        <w:rPr>
          <w:rFonts w:cs="Arial"/>
          <w:color w:val="auto"/>
          <w:sz w:val="20"/>
        </w:rPr>
        <w:t xml:space="preserve">The EITI standard requires taking steps to act upon lessons learnt with a view to strengthening the impact of EITI implementation on natural resource governance, and to consider the recommendations resulting from EITI implementation. </w:t>
      </w:r>
    </w:p>
    <w:p w14:paraId="0F228F42" w14:textId="0EA4C560" w:rsidR="006629D4" w:rsidRPr="00894701" w:rsidRDefault="00A46111" w:rsidP="00A46111">
      <w:pPr>
        <w:spacing w:after="240"/>
        <w:jc w:val="both"/>
        <w:rPr>
          <w:rFonts w:cs="Arial"/>
          <w:color w:val="auto"/>
          <w:sz w:val="20"/>
        </w:rPr>
      </w:pPr>
      <w:r w:rsidRPr="00894701">
        <w:rPr>
          <w:rFonts w:cs="Arial"/>
          <w:noProof/>
          <w:color w:val="auto"/>
          <w:sz w:val="20"/>
          <w:lang w:eastAsia="fr-FR"/>
        </w:rPr>
        <w:t>In order to improve the EITI reporting process in Surinme, we present below the progress made in implementing the recommendations that were set out on the two previous EITI reports:</w:t>
      </w:r>
    </w:p>
    <w:p w14:paraId="75E12E55" w14:textId="77777777" w:rsidR="0085550C" w:rsidRPr="00894701" w:rsidRDefault="0085550C" w:rsidP="00A834A8">
      <w:pPr>
        <w:pStyle w:val="ListParagraph"/>
        <w:numPr>
          <w:ilvl w:val="1"/>
          <w:numId w:val="68"/>
        </w:numPr>
        <w:spacing w:before="240" w:after="240"/>
        <w:ind w:right="482"/>
        <w:jc w:val="both"/>
        <w:outlineLvl w:val="1"/>
        <w:rPr>
          <w:b/>
          <w:sz w:val="28"/>
          <w:szCs w:val="28"/>
        </w:rPr>
      </w:pPr>
      <w:bookmarkStart w:id="562" w:name="_Toc104555421"/>
      <w:bookmarkStart w:id="563" w:name="_Toc122478954"/>
      <w:r w:rsidRPr="00894701">
        <w:rPr>
          <w:b/>
          <w:sz w:val="28"/>
          <w:szCs w:val="28"/>
        </w:rPr>
        <w:t>Concluding Comment on Recommendations</w:t>
      </w:r>
      <w:bookmarkEnd w:id="562"/>
      <w:bookmarkEnd w:id="563"/>
    </w:p>
    <w:p w14:paraId="6F5A548F" w14:textId="5E45061A" w:rsidR="00E97742" w:rsidRPr="00894701" w:rsidRDefault="00E97742" w:rsidP="00E97742">
      <w:pPr>
        <w:spacing w:after="240"/>
        <w:jc w:val="both"/>
        <w:rPr>
          <w:rFonts w:cs="Arial"/>
          <w:color w:val="auto"/>
          <w:sz w:val="20"/>
        </w:rPr>
      </w:pPr>
      <w:r w:rsidRPr="00894701">
        <w:rPr>
          <w:rFonts w:cs="Arial"/>
          <w:color w:val="auto"/>
          <w:sz w:val="20"/>
        </w:rPr>
        <w:t>In line with EITI Requirement 7.3 entitled ‘Recommendations from EITI Implementation’, the multi</w:t>
      </w:r>
      <w:r w:rsidRPr="00894701">
        <w:rPr>
          <w:rFonts w:ascii="Cambria Math" w:hAnsi="Cambria Math" w:cs="Cambria Math"/>
          <w:color w:val="auto"/>
          <w:sz w:val="20"/>
        </w:rPr>
        <w:t>‑</w:t>
      </w:r>
      <w:r w:rsidRPr="00894701">
        <w:rPr>
          <w:rFonts w:cs="Arial"/>
          <w:color w:val="auto"/>
          <w:sz w:val="20"/>
        </w:rPr>
        <w:t>stakeholder group is required to take steps to act upon lessons learnt</w:t>
      </w:r>
      <w:r w:rsidR="009F7F05">
        <w:rPr>
          <w:rFonts w:cs="Arial"/>
          <w:color w:val="auto"/>
          <w:sz w:val="20"/>
        </w:rPr>
        <w:t>,</w:t>
      </w:r>
      <w:r w:rsidRPr="00894701">
        <w:rPr>
          <w:rFonts w:cs="Arial"/>
          <w:color w:val="auto"/>
          <w:sz w:val="20"/>
        </w:rPr>
        <w:t xml:space="preserve"> to identify, investigate and address the causes of any information gaps and discrepancies, and to consider the recommendations resulting from EITI implementation.</w:t>
      </w:r>
    </w:p>
    <w:p w14:paraId="776AD7B3" w14:textId="23EC9318" w:rsidR="00E97742" w:rsidRPr="00894701" w:rsidRDefault="00E97742" w:rsidP="00E97742">
      <w:pPr>
        <w:spacing w:after="240"/>
        <w:jc w:val="both"/>
        <w:rPr>
          <w:rFonts w:cs="Arial"/>
          <w:color w:val="auto"/>
          <w:sz w:val="20"/>
        </w:rPr>
      </w:pPr>
      <w:r w:rsidRPr="00894701">
        <w:rPr>
          <w:rFonts w:cs="Arial"/>
          <w:color w:val="auto"/>
          <w:sz w:val="20"/>
        </w:rPr>
        <w:t>Lack of action on some of the EITI-SR Report’s recommendations will hamper progress by EITI-SR in meeting the requirements of the EITI Standard. This also impedes:</w:t>
      </w:r>
    </w:p>
    <w:p w14:paraId="58E1E1A4" w14:textId="4FDF6A39" w:rsidR="00E97742" w:rsidRPr="00894701" w:rsidRDefault="00E97742" w:rsidP="00E97742">
      <w:pPr>
        <w:spacing w:after="240"/>
        <w:jc w:val="both"/>
        <w:rPr>
          <w:rFonts w:cs="Arial"/>
          <w:color w:val="auto"/>
          <w:sz w:val="20"/>
        </w:rPr>
      </w:pPr>
      <w:r w:rsidRPr="00894701">
        <w:rPr>
          <w:rFonts w:cs="Arial"/>
          <w:color w:val="auto"/>
          <w:sz w:val="20"/>
        </w:rPr>
        <w:t>1) preventative actions to correct and address discrepancies between declarations by Government Agencies and by the extractive entities; and  </w:t>
      </w:r>
    </w:p>
    <w:p w14:paraId="2FF7EA29" w14:textId="48FAE426" w:rsidR="0085550C" w:rsidRPr="00894701" w:rsidRDefault="00E97742" w:rsidP="00E97742">
      <w:pPr>
        <w:spacing w:after="240"/>
        <w:jc w:val="both"/>
        <w:rPr>
          <w:rFonts w:cs="Arial"/>
          <w:color w:val="auto"/>
          <w:sz w:val="20"/>
        </w:rPr>
      </w:pPr>
      <w:r w:rsidRPr="00894701">
        <w:rPr>
          <w:rFonts w:cs="Arial"/>
          <w:color w:val="auto"/>
          <w:sz w:val="20"/>
        </w:rPr>
        <w:t>2) the data quality and comprehensiveness of the disclosures, which may reduce the public’s confidence in the EITI-SR Report’s data. This would also compromise the fundamental purpose of EITI open data being a tool for government in improving policy making and sector Management as stipulated in Section 8 of the EITI Standard.</w:t>
      </w:r>
    </w:p>
    <w:p w14:paraId="5EA5B043" w14:textId="0A01227F" w:rsidR="001E7D3B" w:rsidRPr="00894701" w:rsidRDefault="001E7D3B" w:rsidP="00903E54">
      <w:pPr>
        <w:spacing w:after="0" w:line="240" w:lineRule="auto"/>
        <w:rPr>
          <w:rFonts w:cs="Arial"/>
          <w:color w:val="auto"/>
          <w:sz w:val="20"/>
        </w:rPr>
        <w:sectPr w:rsidR="001E7D3B" w:rsidRPr="00894701" w:rsidSect="0085550C">
          <w:pgSz w:w="11906" w:h="16838" w:code="9"/>
          <w:pgMar w:top="1440" w:right="1416" w:bottom="1440" w:left="1440" w:header="851" w:footer="750" w:gutter="0"/>
          <w:cols w:space="708"/>
          <w:docGrid w:linePitch="360"/>
        </w:sectPr>
      </w:pPr>
      <w:r w:rsidRPr="00894701">
        <w:rPr>
          <w:rFonts w:cs="Arial"/>
          <w:color w:val="auto"/>
          <w:sz w:val="20"/>
        </w:rPr>
        <w:br w:type="page"/>
      </w:r>
    </w:p>
    <w:p w14:paraId="0187830E" w14:textId="630C6073" w:rsidR="001E7D3B" w:rsidRPr="00894701" w:rsidRDefault="00C44E27" w:rsidP="00A834A8">
      <w:pPr>
        <w:pStyle w:val="ListParagraph"/>
        <w:numPr>
          <w:ilvl w:val="1"/>
          <w:numId w:val="68"/>
        </w:numPr>
        <w:spacing w:before="240" w:after="240"/>
        <w:ind w:right="482"/>
        <w:jc w:val="both"/>
        <w:outlineLvl w:val="1"/>
        <w:rPr>
          <w:b/>
          <w:sz w:val="28"/>
          <w:szCs w:val="28"/>
        </w:rPr>
      </w:pPr>
      <w:bookmarkStart w:id="564" w:name="_Toc122478955"/>
      <w:r w:rsidRPr="00894701">
        <w:rPr>
          <w:b/>
          <w:sz w:val="28"/>
          <w:szCs w:val="28"/>
        </w:rPr>
        <w:t xml:space="preserve">Status of recommendations of </w:t>
      </w:r>
      <w:r w:rsidR="00CC5D65" w:rsidRPr="00894701">
        <w:rPr>
          <w:b/>
          <w:sz w:val="28"/>
          <w:szCs w:val="28"/>
        </w:rPr>
        <w:t xml:space="preserve">prior </w:t>
      </w:r>
      <w:r w:rsidRPr="00894701">
        <w:rPr>
          <w:b/>
          <w:sz w:val="28"/>
          <w:szCs w:val="28"/>
        </w:rPr>
        <w:t xml:space="preserve">fiscal year report </w:t>
      </w:r>
      <w:bookmarkEnd w:id="564"/>
    </w:p>
    <w:p w14:paraId="4C1F0484" w14:textId="25B69D6E" w:rsidR="00450E1C" w:rsidRDefault="00450E1C" w:rsidP="00A834A8">
      <w:pPr>
        <w:pStyle w:val="AltMinorHeading"/>
        <w:numPr>
          <w:ilvl w:val="2"/>
          <w:numId w:val="68"/>
        </w:numPr>
        <w:spacing w:before="100" w:beforeAutospacing="1" w:after="120"/>
        <w:ind w:right="454"/>
        <w:rPr>
          <w:rStyle w:val="Emphasis"/>
        </w:rPr>
      </w:pPr>
      <w:bookmarkStart w:id="565" w:name="_Toc122478956"/>
      <w:r w:rsidRPr="00894701">
        <w:rPr>
          <w:rStyle w:val="Emphasis"/>
        </w:rPr>
        <w:t>Oversight by the multi-stakeholder group</w:t>
      </w:r>
      <w:bookmarkEnd w:id="565"/>
      <w:r w:rsidRPr="00894701">
        <w:rPr>
          <w:rStyle w:val="Emphasis"/>
        </w:rPr>
        <w:tab/>
      </w:r>
    </w:p>
    <w:p w14:paraId="6BB2BF7F" w14:textId="714E3166" w:rsidR="001E79E7" w:rsidRPr="00860520" w:rsidRDefault="001E79E7" w:rsidP="00860520">
      <w:pPr>
        <w:jc w:val="center"/>
      </w:pPr>
      <w:bookmarkStart w:id="566" w:name="_Toc146590547"/>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75</w:t>
      </w:r>
      <w:r w:rsidRPr="00894701">
        <w:rPr>
          <w:b/>
          <w:bCs/>
          <w:color w:val="98002E" w:themeColor="accent3"/>
          <w:sz w:val="20"/>
          <w:szCs w:val="20"/>
        </w:rPr>
        <w:fldChar w:fldCharType="end"/>
      </w:r>
      <w:r w:rsidRPr="00894701">
        <w:rPr>
          <w:b/>
          <w:bCs/>
          <w:color w:val="98002E" w:themeColor="accent3"/>
          <w:sz w:val="20"/>
          <w:szCs w:val="20"/>
        </w:rPr>
        <w:t xml:space="preserve">: </w:t>
      </w:r>
      <w:r>
        <w:rPr>
          <w:b/>
          <w:bCs/>
          <w:color w:val="98002E" w:themeColor="accent3"/>
          <w:sz w:val="20"/>
          <w:szCs w:val="20"/>
        </w:rPr>
        <w:t>Recommendation 1</w:t>
      </w:r>
      <w:bookmarkEnd w:id="566"/>
    </w:p>
    <w:tbl>
      <w:tblPr>
        <w:tblW w:w="5000" w:type="pct"/>
        <w:tblLook w:val="04A0" w:firstRow="1" w:lastRow="0" w:firstColumn="1" w:lastColumn="0" w:noHBand="0" w:noVBand="1"/>
      </w:tblPr>
      <w:tblGrid>
        <w:gridCol w:w="3894"/>
        <w:gridCol w:w="10064"/>
      </w:tblGrid>
      <w:tr w:rsidR="008E14CF" w:rsidRPr="00894701" w14:paraId="1726F0A6" w14:textId="77777777" w:rsidTr="00603F8F">
        <w:trPr>
          <w:trHeight w:val="2660"/>
        </w:trPr>
        <w:tc>
          <w:tcPr>
            <w:tcW w:w="1395" w:type="pct"/>
            <w:vMerge w:val="restart"/>
            <w:tcBorders>
              <w:top w:val="single" w:sz="18" w:space="0" w:color="FF0000"/>
              <w:left w:val="nil"/>
              <w:bottom w:val="nil"/>
              <w:right w:val="nil"/>
            </w:tcBorders>
            <w:shd w:val="clear" w:color="auto" w:fill="auto"/>
          </w:tcPr>
          <w:p w14:paraId="7B282614" w14:textId="77777777" w:rsidR="008E14CF" w:rsidRPr="00894701" w:rsidRDefault="008E14CF" w:rsidP="00446B8D">
            <w:pPr>
              <w:spacing w:after="0" w:line="240" w:lineRule="auto"/>
              <w:contextualSpacing/>
              <w:rPr>
                <w:b/>
                <w:bCs/>
                <w:color w:val="auto"/>
                <w:kern w:val="0"/>
                <w:szCs w:val="18"/>
              </w:rPr>
            </w:pPr>
            <w:r w:rsidRPr="00894701">
              <w:rPr>
                <w:b/>
                <w:bCs/>
                <w:color w:val="auto"/>
                <w:kern w:val="0"/>
                <w:szCs w:val="18"/>
                <w:u w:val="single"/>
              </w:rPr>
              <w:t>Description</w:t>
            </w:r>
            <w:r w:rsidRPr="00894701">
              <w:rPr>
                <w:b/>
                <w:bCs/>
                <w:color w:val="auto"/>
                <w:kern w:val="0"/>
                <w:szCs w:val="18"/>
              </w:rPr>
              <w:t>:</w:t>
            </w:r>
          </w:p>
          <w:p w14:paraId="4E49C2FA" w14:textId="7E90A8E4" w:rsidR="00B1510A" w:rsidRPr="00894701" w:rsidRDefault="004C0FE7" w:rsidP="00446B8D">
            <w:pPr>
              <w:spacing w:after="0" w:line="240" w:lineRule="auto"/>
              <w:contextualSpacing/>
              <w:rPr>
                <w:color w:val="auto"/>
                <w:kern w:val="0"/>
                <w:szCs w:val="18"/>
              </w:rPr>
            </w:pPr>
            <w:r w:rsidRPr="00894701">
              <w:rPr>
                <w:color w:val="auto"/>
                <w:kern w:val="0"/>
                <w:szCs w:val="18"/>
              </w:rPr>
              <w:t>In accordance with Requirement 1.1,</w:t>
            </w:r>
          </w:p>
        </w:tc>
        <w:tc>
          <w:tcPr>
            <w:tcW w:w="3605" w:type="pct"/>
            <w:tcBorders>
              <w:top w:val="single" w:sz="18" w:space="0" w:color="FF0000"/>
              <w:left w:val="nil"/>
              <w:bottom w:val="single" w:sz="18" w:space="0" w:color="FF0000"/>
              <w:right w:val="nil"/>
            </w:tcBorders>
            <w:shd w:val="clear" w:color="auto" w:fill="auto"/>
          </w:tcPr>
          <w:p w14:paraId="7EC9D871" w14:textId="77777777" w:rsidR="008E14CF" w:rsidRPr="00894701" w:rsidRDefault="008E14CF" w:rsidP="00446B8D">
            <w:pPr>
              <w:spacing w:after="60" w:line="240" w:lineRule="auto"/>
              <w:jc w:val="both"/>
              <w:rPr>
                <w:b/>
                <w:bCs/>
                <w:color w:val="auto"/>
                <w:kern w:val="0"/>
                <w:szCs w:val="18"/>
              </w:rPr>
            </w:pPr>
            <w:r w:rsidRPr="00894701">
              <w:rPr>
                <w:b/>
                <w:bCs/>
                <w:color w:val="auto"/>
                <w:kern w:val="0"/>
                <w:szCs w:val="18"/>
                <w:u w:val="single"/>
              </w:rPr>
              <w:t>Recommended actions</w:t>
            </w:r>
            <w:r w:rsidRPr="00894701">
              <w:rPr>
                <w:b/>
                <w:bCs/>
                <w:color w:val="auto"/>
                <w:kern w:val="0"/>
                <w:szCs w:val="18"/>
              </w:rPr>
              <w:t>:</w:t>
            </w:r>
          </w:p>
          <w:p w14:paraId="20816F46" w14:textId="77777777" w:rsidR="008E14CF" w:rsidRPr="00894701" w:rsidRDefault="008E14CF" w:rsidP="00446B8D">
            <w:pPr>
              <w:spacing w:after="60" w:line="240" w:lineRule="auto"/>
              <w:jc w:val="both"/>
              <w:rPr>
                <w:b/>
                <w:bCs/>
                <w:color w:val="auto"/>
                <w:kern w:val="0"/>
                <w:szCs w:val="18"/>
              </w:rPr>
            </w:pPr>
          </w:p>
          <w:p w14:paraId="6B5E2E66" w14:textId="112AFA08" w:rsidR="00B1510A" w:rsidRPr="00894701" w:rsidRDefault="0050166B" w:rsidP="00446B8D">
            <w:pPr>
              <w:spacing w:after="60" w:line="240" w:lineRule="auto"/>
              <w:jc w:val="both"/>
              <w:rPr>
                <w:color w:val="auto"/>
                <w:kern w:val="0"/>
                <w:szCs w:val="18"/>
              </w:rPr>
            </w:pPr>
            <w:r w:rsidRPr="00894701">
              <w:rPr>
                <w:color w:val="auto"/>
                <w:kern w:val="0"/>
                <w:szCs w:val="18"/>
              </w:rPr>
              <w:t>T</w:t>
            </w:r>
            <w:r w:rsidR="00603F8F" w:rsidRPr="00894701">
              <w:rPr>
                <w:color w:val="auto"/>
                <w:kern w:val="0"/>
                <w:szCs w:val="18"/>
              </w:rPr>
              <w:t>he government must be fully, actively and effectively engaged in the EITI process. The government should guarantee the participation of senior government representatives in MSG meetings assuring the government engagement is consistent across all government departments. The government is required to mobilise resources for EITI implementation entrenching EITI funding in government budgeting to ensure the sustainability of EITI implementation over the long term, to address the staffing and capacities challenges faced so far, and to guarantee the autonomy of Suriname EITI (EITI-SR). To further strengthen implementation of Requirement 1.1, the government is encouraged to embed the EITI in their national policies and make used of the data disclosed through the process. The government is also encouraged to ensure that government representatives on the MSG attend meetings regularly.</w:t>
            </w:r>
          </w:p>
        </w:tc>
      </w:tr>
      <w:tr w:rsidR="008E14CF" w:rsidRPr="00894701" w14:paraId="39A0B05A" w14:textId="77777777" w:rsidTr="002A67AC">
        <w:trPr>
          <w:trHeight w:val="260"/>
        </w:trPr>
        <w:tc>
          <w:tcPr>
            <w:tcW w:w="1395" w:type="pct"/>
            <w:vMerge/>
            <w:tcBorders>
              <w:top w:val="single" w:sz="12" w:space="0" w:color="FF0000"/>
              <w:left w:val="nil"/>
              <w:bottom w:val="nil"/>
              <w:right w:val="nil"/>
            </w:tcBorders>
            <w:vAlign w:val="center"/>
          </w:tcPr>
          <w:p w14:paraId="4BEAD1DE" w14:textId="77777777" w:rsidR="008E14CF" w:rsidRPr="00894701" w:rsidRDefault="008E14CF" w:rsidP="00446B8D">
            <w:pPr>
              <w:spacing w:after="0" w:line="240" w:lineRule="auto"/>
              <w:rPr>
                <w:color w:val="auto"/>
                <w:kern w:val="0"/>
                <w:szCs w:val="18"/>
              </w:rPr>
            </w:pPr>
          </w:p>
        </w:tc>
        <w:tc>
          <w:tcPr>
            <w:tcW w:w="3605" w:type="pct"/>
            <w:tcBorders>
              <w:top w:val="single" w:sz="18" w:space="0" w:color="FF0000"/>
              <w:left w:val="nil"/>
              <w:bottom w:val="single" w:sz="18" w:space="0" w:color="FF0000"/>
              <w:right w:val="nil"/>
            </w:tcBorders>
            <w:shd w:val="clear" w:color="auto" w:fill="auto"/>
            <w:noWrap/>
            <w:vAlign w:val="bottom"/>
          </w:tcPr>
          <w:p w14:paraId="65863C41" w14:textId="77777777" w:rsidR="00F016C7" w:rsidRPr="00894701" w:rsidRDefault="00F016C7" w:rsidP="00446B8D">
            <w:pPr>
              <w:spacing w:after="0" w:line="240" w:lineRule="auto"/>
              <w:contextualSpacing/>
              <w:rPr>
                <w:b/>
                <w:bCs/>
                <w:color w:val="auto"/>
                <w:kern w:val="0"/>
                <w:szCs w:val="18"/>
              </w:rPr>
            </w:pPr>
          </w:p>
          <w:p w14:paraId="11513B27" w14:textId="2AC4A3ED" w:rsidR="00B1510A" w:rsidRPr="00894701" w:rsidRDefault="008E14CF" w:rsidP="00446B8D">
            <w:pPr>
              <w:spacing w:after="0" w:line="240" w:lineRule="auto"/>
              <w:contextualSpacing/>
              <w:rPr>
                <w:color w:val="auto"/>
                <w:kern w:val="0"/>
                <w:szCs w:val="18"/>
              </w:rPr>
            </w:pPr>
            <w:r w:rsidRPr="00894701">
              <w:rPr>
                <w:b/>
                <w:bCs/>
                <w:color w:val="auto"/>
                <w:kern w:val="0"/>
                <w:szCs w:val="18"/>
                <w:u w:val="single"/>
              </w:rPr>
              <w:t>Related agencies</w:t>
            </w:r>
            <w:r w:rsidRPr="00894701">
              <w:rPr>
                <w:b/>
                <w:bCs/>
                <w:color w:val="auto"/>
                <w:kern w:val="0"/>
                <w:szCs w:val="18"/>
              </w:rPr>
              <w:t>:</w:t>
            </w:r>
            <w:r w:rsidRPr="00894701">
              <w:rPr>
                <w:color w:val="auto"/>
                <w:kern w:val="0"/>
                <w:szCs w:val="18"/>
              </w:rPr>
              <w:t xml:space="preserve"> </w:t>
            </w:r>
            <w:r w:rsidR="004C0FE7" w:rsidRPr="00894701">
              <w:rPr>
                <w:color w:val="auto"/>
                <w:kern w:val="0"/>
                <w:szCs w:val="18"/>
              </w:rPr>
              <w:t>MSG/ Government</w:t>
            </w:r>
          </w:p>
          <w:p w14:paraId="0A820905" w14:textId="01D63238" w:rsidR="00B1510A" w:rsidRPr="00894701" w:rsidRDefault="00B1510A" w:rsidP="00446B8D">
            <w:pPr>
              <w:spacing w:after="0" w:line="240" w:lineRule="auto"/>
              <w:contextualSpacing/>
              <w:rPr>
                <w:color w:val="auto"/>
                <w:kern w:val="0"/>
                <w:szCs w:val="18"/>
              </w:rPr>
            </w:pPr>
          </w:p>
        </w:tc>
      </w:tr>
      <w:tr w:rsidR="008E14CF" w:rsidRPr="00894701" w14:paraId="12833793" w14:textId="77777777" w:rsidTr="002A67AC">
        <w:trPr>
          <w:trHeight w:val="260"/>
        </w:trPr>
        <w:tc>
          <w:tcPr>
            <w:tcW w:w="1395" w:type="pct"/>
            <w:vMerge/>
            <w:tcBorders>
              <w:top w:val="single" w:sz="12" w:space="0" w:color="FF0000"/>
              <w:left w:val="nil"/>
              <w:bottom w:val="nil"/>
              <w:right w:val="nil"/>
            </w:tcBorders>
            <w:vAlign w:val="center"/>
          </w:tcPr>
          <w:p w14:paraId="649A34A0" w14:textId="77777777" w:rsidR="008E14CF" w:rsidRPr="00894701" w:rsidRDefault="008E14CF" w:rsidP="00446B8D">
            <w:pPr>
              <w:spacing w:after="0" w:line="240" w:lineRule="auto"/>
              <w:rPr>
                <w:color w:val="auto"/>
                <w:kern w:val="0"/>
                <w:szCs w:val="18"/>
              </w:rPr>
            </w:pPr>
          </w:p>
        </w:tc>
        <w:tc>
          <w:tcPr>
            <w:tcW w:w="3605" w:type="pct"/>
            <w:tcBorders>
              <w:top w:val="single" w:sz="18" w:space="0" w:color="FF0000"/>
              <w:left w:val="nil"/>
              <w:bottom w:val="single" w:sz="18" w:space="0" w:color="FF0000"/>
              <w:right w:val="nil"/>
            </w:tcBorders>
            <w:shd w:val="clear" w:color="auto" w:fill="auto"/>
            <w:noWrap/>
            <w:vAlign w:val="bottom"/>
          </w:tcPr>
          <w:p w14:paraId="4B6C8B7E" w14:textId="77777777" w:rsidR="00B33BA2" w:rsidRPr="00894701" w:rsidRDefault="00B33BA2" w:rsidP="00446B8D">
            <w:pPr>
              <w:spacing w:after="0" w:line="240" w:lineRule="auto"/>
              <w:contextualSpacing/>
              <w:rPr>
                <w:b/>
                <w:bCs/>
                <w:color w:val="auto"/>
                <w:kern w:val="0"/>
                <w:szCs w:val="18"/>
              </w:rPr>
            </w:pPr>
          </w:p>
          <w:p w14:paraId="38EF859C" w14:textId="77777777" w:rsidR="00B1510A" w:rsidRPr="00894701" w:rsidRDefault="008E14CF" w:rsidP="00446B8D">
            <w:pPr>
              <w:spacing w:after="0" w:line="240" w:lineRule="auto"/>
              <w:contextualSpacing/>
              <w:rPr>
                <w:color w:val="auto"/>
                <w:kern w:val="0"/>
                <w:szCs w:val="18"/>
              </w:rPr>
            </w:pPr>
            <w:r w:rsidRPr="00894701">
              <w:rPr>
                <w:b/>
                <w:bCs/>
                <w:color w:val="auto"/>
                <w:kern w:val="0"/>
                <w:szCs w:val="18"/>
                <w:u w:val="single"/>
              </w:rPr>
              <w:t>Priority</w:t>
            </w:r>
            <w:r w:rsidRPr="00894701">
              <w:rPr>
                <w:b/>
                <w:bCs/>
                <w:color w:val="auto"/>
                <w:kern w:val="0"/>
                <w:szCs w:val="18"/>
              </w:rPr>
              <w:t>:</w:t>
            </w:r>
            <w:r w:rsidRPr="00894701">
              <w:rPr>
                <w:color w:val="auto"/>
                <w:kern w:val="0"/>
                <w:szCs w:val="18"/>
              </w:rPr>
              <w:t xml:space="preserve"> High</w:t>
            </w:r>
          </w:p>
          <w:p w14:paraId="0AE1C65B" w14:textId="1E302B08" w:rsidR="00B1510A" w:rsidRPr="00894701" w:rsidRDefault="00B1510A" w:rsidP="00446B8D">
            <w:pPr>
              <w:spacing w:after="0" w:line="240" w:lineRule="auto"/>
              <w:contextualSpacing/>
              <w:rPr>
                <w:color w:val="auto"/>
                <w:kern w:val="0"/>
                <w:szCs w:val="18"/>
              </w:rPr>
            </w:pPr>
          </w:p>
        </w:tc>
      </w:tr>
      <w:tr w:rsidR="008E14CF" w:rsidRPr="00894701" w14:paraId="6EA16732" w14:textId="77777777" w:rsidTr="002A67AC">
        <w:trPr>
          <w:trHeight w:val="260"/>
        </w:trPr>
        <w:tc>
          <w:tcPr>
            <w:tcW w:w="1395" w:type="pct"/>
            <w:vMerge/>
            <w:tcBorders>
              <w:top w:val="single" w:sz="12" w:space="0" w:color="FF0000"/>
              <w:left w:val="nil"/>
              <w:bottom w:val="nil"/>
              <w:right w:val="nil"/>
            </w:tcBorders>
            <w:vAlign w:val="center"/>
          </w:tcPr>
          <w:p w14:paraId="4EF7C3D0" w14:textId="77777777" w:rsidR="008E14CF" w:rsidRPr="00894701" w:rsidRDefault="008E14CF" w:rsidP="00446B8D">
            <w:pPr>
              <w:spacing w:after="0" w:line="240" w:lineRule="auto"/>
              <w:rPr>
                <w:color w:val="auto"/>
                <w:kern w:val="0"/>
                <w:szCs w:val="18"/>
              </w:rPr>
            </w:pPr>
          </w:p>
        </w:tc>
        <w:tc>
          <w:tcPr>
            <w:tcW w:w="3605" w:type="pct"/>
            <w:tcBorders>
              <w:top w:val="single" w:sz="18" w:space="0" w:color="FF0000"/>
              <w:left w:val="nil"/>
              <w:bottom w:val="single" w:sz="18" w:space="0" w:color="FF0000"/>
              <w:right w:val="nil"/>
            </w:tcBorders>
            <w:shd w:val="clear" w:color="auto" w:fill="auto"/>
            <w:vAlign w:val="bottom"/>
          </w:tcPr>
          <w:p w14:paraId="184EDE7E" w14:textId="77777777" w:rsidR="00B33BA2" w:rsidRPr="00894701" w:rsidRDefault="00B33BA2" w:rsidP="00446B8D">
            <w:pPr>
              <w:spacing w:after="0" w:line="240" w:lineRule="auto"/>
              <w:contextualSpacing/>
              <w:rPr>
                <w:b/>
                <w:bCs/>
                <w:color w:val="auto"/>
                <w:kern w:val="0"/>
                <w:szCs w:val="18"/>
              </w:rPr>
            </w:pPr>
          </w:p>
          <w:p w14:paraId="1BAD27D1" w14:textId="77777777" w:rsidR="00B1510A" w:rsidRPr="00894701" w:rsidRDefault="008E14CF" w:rsidP="00446B8D">
            <w:pPr>
              <w:spacing w:after="0" w:line="240" w:lineRule="auto"/>
              <w:contextualSpacing/>
              <w:rPr>
                <w:color w:val="auto"/>
                <w:kern w:val="0"/>
                <w:szCs w:val="18"/>
              </w:rPr>
            </w:pPr>
            <w:r w:rsidRPr="00894701">
              <w:rPr>
                <w:b/>
                <w:bCs/>
                <w:color w:val="auto"/>
                <w:kern w:val="0"/>
                <w:szCs w:val="18"/>
                <w:u w:val="single"/>
              </w:rPr>
              <w:t>Current status</w:t>
            </w:r>
            <w:r w:rsidRPr="00894701">
              <w:rPr>
                <w:b/>
                <w:bCs/>
                <w:color w:val="auto"/>
                <w:kern w:val="0"/>
                <w:szCs w:val="18"/>
              </w:rPr>
              <w:t>:</w:t>
            </w:r>
            <w:r w:rsidRPr="00894701">
              <w:rPr>
                <w:color w:val="auto"/>
                <w:kern w:val="0"/>
                <w:szCs w:val="18"/>
              </w:rPr>
              <w:t xml:space="preserve"> No progress</w:t>
            </w:r>
          </w:p>
          <w:p w14:paraId="121FF25C" w14:textId="24BA5720" w:rsidR="00B1510A" w:rsidRPr="00894701" w:rsidRDefault="00B1510A" w:rsidP="00446B8D">
            <w:pPr>
              <w:spacing w:after="0" w:line="240" w:lineRule="auto"/>
              <w:contextualSpacing/>
              <w:rPr>
                <w:color w:val="auto"/>
                <w:kern w:val="0"/>
                <w:szCs w:val="18"/>
              </w:rPr>
            </w:pPr>
          </w:p>
        </w:tc>
      </w:tr>
    </w:tbl>
    <w:p w14:paraId="45158675" w14:textId="2AE2A244" w:rsidR="0089654F" w:rsidRPr="00894701" w:rsidRDefault="0089654F" w:rsidP="001E7D3B">
      <w:pPr>
        <w:spacing w:after="240"/>
        <w:jc w:val="both"/>
        <w:rPr>
          <w:rFonts w:cs="Arial"/>
          <w:color w:val="auto"/>
          <w:sz w:val="20"/>
        </w:rPr>
      </w:pPr>
    </w:p>
    <w:p w14:paraId="5377E717" w14:textId="77777777" w:rsidR="0089654F" w:rsidRPr="00894701" w:rsidRDefault="0089654F">
      <w:pPr>
        <w:spacing w:after="0" w:line="240" w:lineRule="auto"/>
        <w:rPr>
          <w:rFonts w:cs="Arial"/>
          <w:color w:val="auto"/>
          <w:sz w:val="20"/>
        </w:rPr>
      </w:pPr>
      <w:r w:rsidRPr="00894701">
        <w:rPr>
          <w:rFonts w:cs="Arial"/>
          <w:color w:val="auto"/>
          <w:sz w:val="20"/>
        </w:rPr>
        <w:br w:type="page"/>
      </w:r>
    </w:p>
    <w:p w14:paraId="58D97ECF" w14:textId="24C7B01A" w:rsidR="008E14CF" w:rsidRPr="00894701" w:rsidRDefault="001E79E7" w:rsidP="00860520">
      <w:pPr>
        <w:spacing w:after="240"/>
        <w:jc w:val="center"/>
        <w:rPr>
          <w:rFonts w:cs="Arial"/>
          <w:color w:val="auto"/>
          <w:sz w:val="20"/>
        </w:rPr>
      </w:pPr>
      <w:bookmarkStart w:id="567" w:name="_Toc146590548"/>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76</w:t>
      </w:r>
      <w:r w:rsidRPr="00894701">
        <w:rPr>
          <w:b/>
          <w:bCs/>
          <w:color w:val="98002E" w:themeColor="accent3"/>
          <w:sz w:val="20"/>
          <w:szCs w:val="20"/>
        </w:rPr>
        <w:fldChar w:fldCharType="end"/>
      </w:r>
      <w:r w:rsidRPr="00894701">
        <w:rPr>
          <w:b/>
          <w:bCs/>
          <w:color w:val="98002E" w:themeColor="accent3"/>
          <w:sz w:val="20"/>
          <w:szCs w:val="20"/>
        </w:rPr>
        <w:t xml:space="preserve">: </w:t>
      </w:r>
      <w:r>
        <w:rPr>
          <w:b/>
          <w:bCs/>
          <w:color w:val="98002E" w:themeColor="accent3"/>
          <w:sz w:val="20"/>
          <w:szCs w:val="20"/>
        </w:rPr>
        <w:t>Recommendation 2</w:t>
      </w:r>
      <w:bookmarkEnd w:id="567"/>
    </w:p>
    <w:tbl>
      <w:tblPr>
        <w:tblW w:w="5000" w:type="pct"/>
        <w:tblLook w:val="04A0" w:firstRow="1" w:lastRow="0" w:firstColumn="1" w:lastColumn="0" w:noHBand="0" w:noVBand="1"/>
      </w:tblPr>
      <w:tblGrid>
        <w:gridCol w:w="3894"/>
        <w:gridCol w:w="10064"/>
      </w:tblGrid>
      <w:tr w:rsidR="0081537D" w:rsidRPr="00894701" w14:paraId="4CF8E182" w14:textId="77777777" w:rsidTr="0089654F">
        <w:trPr>
          <w:trHeight w:val="2365"/>
        </w:trPr>
        <w:tc>
          <w:tcPr>
            <w:tcW w:w="1395" w:type="pct"/>
            <w:vMerge w:val="restart"/>
            <w:tcBorders>
              <w:top w:val="single" w:sz="18" w:space="0" w:color="FF0000"/>
              <w:left w:val="nil"/>
              <w:bottom w:val="nil"/>
              <w:right w:val="nil"/>
            </w:tcBorders>
            <w:shd w:val="clear" w:color="auto" w:fill="auto"/>
          </w:tcPr>
          <w:p w14:paraId="32140686" w14:textId="055D3935" w:rsidR="0081537D" w:rsidRPr="00894701" w:rsidRDefault="0081537D" w:rsidP="00446B8D">
            <w:pPr>
              <w:spacing w:after="0" w:line="240" w:lineRule="auto"/>
              <w:contextualSpacing/>
              <w:rPr>
                <w:b/>
                <w:bCs/>
                <w:color w:val="auto"/>
                <w:kern w:val="0"/>
                <w:szCs w:val="18"/>
              </w:rPr>
            </w:pPr>
            <w:r w:rsidRPr="00894701">
              <w:rPr>
                <w:b/>
                <w:bCs/>
                <w:color w:val="auto"/>
                <w:kern w:val="0"/>
                <w:szCs w:val="18"/>
                <w:u w:val="single"/>
              </w:rPr>
              <w:t>Description</w:t>
            </w:r>
            <w:r w:rsidRPr="00894701">
              <w:rPr>
                <w:b/>
                <w:bCs/>
                <w:color w:val="auto"/>
                <w:kern w:val="0"/>
                <w:szCs w:val="18"/>
              </w:rPr>
              <w:t>:</w:t>
            </w:r>
          </w:p>
          <w:p w14:paraId="646857EE" w14:textId="77777777" w:rsidR="003A7461" w:rsidRPr="00894701" w:rsidRDefault="003A7461" w:rsidP="00446B8D">
            <w:pPr>
              <w:spacing w:after="0" w:line="240" w:lineRule="auto"/>
              <w:contextualSpacing/>
              <w:rPr>
                <w:b/>
                <w:bCs/>
                <w:color w:val="auto"/>
                <w:kern w:val="0"/>
                <w:szCs w:val="18"/>
              </w:rPr>
            </w:pPr>
          </w:p>
          <w:p w14:paraId="454B097D" w14:textId="6FC7DEF3" w:rsidR="00B1510A" w:rsidRPr="00894701" w:rsidRDefault="0050166B" w:rsidP="00F71170">
            <w:pPr>
              <w:spacing w:after="0" w:line="240" w:lineRule="auto"/>
              <w:contextualSpacing/>
              <w:jc w:val="both"/>
              <w:rPr>
                <w:color w:val="auto"/>
                <w:kern w:val="0"/>
                <w:szCs w:val="18"/>
              </w:rPr>
            </w:pPr>
            <w:r w:rsidRPr="00894701">
              <w:rPr>
                <w:color w:val="auto"/>
                <w:kern w:val="0"/>
                <w:szCs w:val="18"/>
              </w:rPr>
              <w:t>In accordance with Requirement 1.2,</w:t>
            </w:r>
          </w:p>
        </w:tc>
        <w:tc>
          <w:tcPr>
            <w:tcW w:w="3605" w:type="pct"/>
            <w:tcBorders>
              <w:top w:val="single" w:sz="18" w:space="0" w:color="FF0000"/>
              <w:left w:val="nil"/>
              <w:bottom w:val="single" w:sz="18" w:space="0" w:color="FF0000"/>
              <w:right w:val="nil"/>
            </w:tcBorders>
            <w:shd w:val="clear" w:color="auto" w:fill="auto"/>
          </w:tcPr>
          <w:p w14:paraId="6AB7CCD6" w14:textId="0D292C49" w:rsidR="0081537D" w:rsidRPr="00894701" w:rsidRDefault="0081537D" w:rsidP="00446B8D">
            <w:pPr>
              <w:spacing w:after="60" w:line="240" w:lineRule="auto"/>
              <w:jc w:val="both"/>
              <w:rPr>
                <w:b/>
                <w:bCs/>
                <w:color w:val="auto"/>
                <w:kern w:val="0"/>
                <w:szCs w:val="18"/>
              </w:rPr>
            </w:pPr>
            <w:r w:rsidRPr="00894701">
              <w:rPr>
                <w:b/>
                <w:bCs/>
                <w:color w:val="auto"/>
                <w:kern w:val="0"/>
                <w:szCs w:val="18"/>
                <w:u w:val="single"/>
              </w:rPr>
              <w:t>Recommended actions</w:t>
            </w:r>
            <w:r w:rsidRPr="00894701">
              <w:rPr>
                <w:b/>
                <w:bCs/>
                <w:color w:val="auto"/>
                <w:kern w:val="0"/>
                <w:szCs w:val="18"/>
              </w:rPr>
              <w:t>:</w:t>
            </w:r>
          </w:p>
          <w:p w14:paraId="7F94AA7B" w14:textId="77777777" w:rsidR="003A7461" w:rsidRPr="00894701" w:rsidRDefault="003A7461" w:rsidP="00446B8D">
            <w:pPr>
              <w:spacing w:after="60" w:line="240" w:lineRule="auto"/>
              <w:jc w:val="both"/>
              <w:rPr>
                <w:b/>
                <w:bCs/>
                <w:color w:val="auto"/>
                <w:kern w:val="0"/>
                <w:szCs w:val="18"/>
              </w:rPr>
            </w:pPr>
          </w:p>
          <w:p w14:paraId="65CEE375" w14:textId="08C4D00C" w:rsidR="00B1510A" w:rsidRPr="00894701" w:rsidRDefault="0050166B" w:rsidP="00446B8D">
            <w:pPr>
              <w:spacing w:after="60" w:line="240" w:lineRule="auto"/>
              <w:jc w:val="both"/>
              <w:rPr>
                <w:b/>
                <w:bCs/>
                <w:color w:val="auto"/>
                <w:kern w:val="0"/>
                <w:szCs w:val="18"/>
              </w:rPr>
            </w:pPr>
            <w:r w:rsidRPr="00894701">
              <w:rPr>
                <w:color w:val="auto"/>
                <w:kern w:val="0"/>
                <w:szCs w:val="18"/>
              </w:rPr>
              <w:t xml:space="preserve">The industry should demonstrate that it is fully, actively and effectively engaged in the EITI process. Companies should review their engagement and work further in EITI implementation, ensuring that the objectives and activities of the process correspond to the priorities of wider industry constituency. Companies should also formalize and document their constituency coordination mechanisms and guarantee regular attendance at MSG meetings. To strengthen implementation of Requirement 1.2, the industry constituency of the MSG in Suriname is encouraged </w:t>
            </w:r>
            <w:r w:rsidR="006C1A9D">
              <w:rPr>
                <w:color w:val="auto"/>
                <w:kern w:val="0"/>
                <w:szCs w:val="18"/>
              </w:rPr>
              <w:t xml:space="preserve">to </w:t>
            </w:r>
            <w:r w:rsidRPr="00894701">
              <w:rPr>
                <w:color w:val="auto"/>
                <w:kern w:val="0"/>
                <w:szCs w:val="18"/>
              </w:rPr>
              <w:t>facilitate the publication of Beneficial Ownership information, as well as routine disclosures of data.</w:t>
            </w:r>
          </w:p>
        </w:tc>
      </w:tr>
      <w:tr w:rsidR="0081537D" w:rsidRPr="00894701" w14:paraId="6BDC606C" w14:textId="77777777" w:rsidTr="002A67AC">
        <w:trPr>
          <w:trHeight w:val="260"/>
        </w:trPr>
        <w:tc>
          <w:tcPr>
            <w:tcW w:w="1395" w:type="pct"/>
            <w:vMerge/>
            <w:tcBorders>
              <w:top w:val="single" w:sz="12" w:space="0" w:color="FF0000"/>
              <w:left w:val="nil"/>
              <w:bottom w:val="nil"/>
              <w:right w:val="nil"/>
            </w:tcBorders>
            <w:vAlign w:val="center"/>
          </w:tcPr>
          <w:p w14:paraId="02F0288C" w14:textId="77777777" w:rsidR="0081537D" w:rsidRPr="00894701" w:rsidRDefault="0081537D" w:rsidP="00446B8D">
            <w:pPr>
              <w:spacing w:after="0" w:line="240" w:lineRule="auto"/>
              <w:rPr>
                <w:color w:val="auto"/>
                <w:kern w:val="0"/>
                <w:szCs w:val="18"/>
              </w:rPr>
            </w:pPr>
          </w:p>
        </w:tc>
        <w:tc>
          <w:tcPr>
            <w:tcW w:w="3605" w:type="pct"/>
            <w:tcBorders>
              <w:top w:val="single" w:sz="18" w:space="0" w:color="FF0000"/>
              <w:left w:val="nil"/>
              <w:bottom w:val="single" w:sz="18" w:space="0" w:color="FF0000"/>
              <w:right w:val="nil"/>
            </w:tcBorders>
            <w:shd w:val="clear" w:color="auto" w:fill="auto"/>
            <w:noWrap/>
            <w:vAlign w:val="bottom"/>
          </w:tcPr>
          <w:p w14:paraId="20814C46" w14:textId="77777777" w:rsidR="00E743CA" w:rsidRPr="00894701" w:rsidRDefault="00E743CA" w:rsidP="00446B8D">
            <w:pPr>
              <w:spacing w:after="0" w:line="240" w:lineRule="auto"/>
              <w:contextualSpacing/>
              <w:rPr>
                <w:b/>
                <w:bCs/>
                <w:color w:val="auto"/>
                <w:kern w:val="0"/>
                <w:szCs w:val="18"/>
              </w:rPr>
            </w:pPr>
          </w:p>
          <w:p w14:paraId="12990F3E" w14:textId="2B7A1FB7" w:rsidR="00B1510A" w:rsidRPr="00894701" w:rsidRDefault="0081537D" w:rsidP="00446B8D">
            <w:pPr>
              <w:spacing w:after="0" w:line="240" w:lineRule="auto"/>
              <w:contextualSpacing/>
              <w:rPr>
                <w:color w:val="auto"/>
                <w:kern w:val="0"/>
                <w:szCs w:val="18"/>
              </w:rPr>
            </w:pPr>
            <w:r w:rsidRPr="00894701">
              <w:rPr>
                <w:b/>
                <w:bCs/>
                <w:color w:val="auto"/>
                <w:kern w:val="0"/>
                <w:szCs w:val="18"/>
                <w:u w:val="single"/>
              </w:rPr>
              <w:t>Related agencies</w:t>
            </w:r>
            <w:r w:rsidRPr="00894701">
              <w:rPr>
                <w:b/>
                <w:bCs/>
                <w:color w:val="auto"/>
                <w:kern w:val="0"/>
                <w:szCs w:val="18"/>
              </w:rPr>
              <w:t>:</w:t>
            </w:r>
            <w:r w:rsidRPr="00894701">
              <w:rPr>
                <w:color w:val="auto"/>
                <w:kern w:val="0"/>
                <w:szCs w:val="18"/>
              </w:rPr>
              <w:t xml:space="preserve"> </w:t>
            </w:r>
            <w:r w:rsidR="003A7461" w:rsidRPr="00894701">
              <w:rPr>
                <w:color w:val="auto"/>
                <w:kern w:val="0"/>
                <w:szCs w:val="18"/>
              </w:rPr>
              <w:t xml:space="preserve"> </w:t>
            </w:r>
            <w:r w:rsidR="0089654F" w:rsidRPr="00894701">
              <w:rPr>
                <w:color w:val="auto"/>
                <w:kern w:val="0"/>
                <w:szCs w:val="18"/>
              </w:rPr>
              <w:t>MSG/ Companies</w:t>
            </w:r>
          </w:p>
          <w:p w14:paraId="5250410D" w14:textId="1B57CE7B" w:rsidR="00B1510A" w:rsidRPr="00894701" w:rsidRDefault="00B1510A" w:rsidP="00446B8D">
            <w:pPr>
              <w:spacing w:after="0" w:line="240" w:lineRule="auto"/>
              <w:contextualSpacing/>
              <w:rPr>
                <w:color w:val="auto"/>
                <w:kern w:val="0"/>
                <w:szCs w:val="18"/>
              </w:rPr>
            </w:pPr>
          </w:p>
        </w:tc>
      </w:tr>
      <w:tr w:rsidR="0081537D" w:rsidRPr="00894701" w14:paraId="11B96EFC" w14:textId="77777777" w:rsidTr="002A67AC">
        <w:trPr>
          <w:trHeight w:val="260"/>
        </w:trPr>
        <w:tc>
          <w:tcPr>
            <w:tcW w:w="1395" w:type="pct"/>
            <w:vMerge/>
            <w:tcBorders>
              <w:top w:val="single" w:sz="12" w:space="0" w:color="FF0000"/>
              <w:left w:val="nil"/>
              <w:bottom w:val="nil"/>
              <w:right w:val="nil"/>
            </w:tcBorders>
            <w:vAlign w:val="center"/>
          </w:tcPr>
          <w:p w14:paraId="006BF1C5" w14:textId="77777777" w:rsidR="0081537D" w:rsidRPr="00894701" w:rsidRDefault="0081537D" w:rsidP="00446B8D">
            <w:pPr>
              <w:spacing w:after="0" w:line="240" w:lineRule="auto"/>
              <w:rPr>
                <w:color w:val="auto"/>
                <w:kern w:val="0"/>
                <w:szCs w:val="18"/>
              </w:rPr>
            </w:pPr>
          </w:p>
        </w:tc>
        <w:tc>
          <w:tcPr>
            <w:tcW w:w="3605" w:type="pct"/>
            <w:tcBorders>
              <w:top w:val="single" w:sz="18" w:space="0" w:color="FF0000"/>
              <w:left w:val="nil"/>
              <w:bottom w:val="single" w:sz="18" w:space="0" w:color="FF0000"/>
              <w:right w:val="nil"/>
            </w:tcBorders>
            <w:shd w:val="clear" w:color="auto" w:fill="auto"/>
            <w:noWrap/>
            <w:vAlign w:val="bottom"/>
          </w:tcPr>
          <w:p w14:paraId="22B5F55E" w14:textId="77777777" w:rsidR="00F016C7" w:rsidRPr="00894701" w:rsidRDefault="00F016C7" w:rsidP="00446B8D">
            <w:pPr>
              <w:spacing w:after="0" w:line="240" w:lineRule="auto"/>
              <w:contextualSpacing/>
              <w:rPr>
                <w:b/>
                <w:bCs/>
                <w:color w:val="auto"/>
                <w:kern w:val="0"/>
                <w:szCs w:val="18"/>
              </w:rPr>
            </w:pPr>
          </w:p>
          <w:p w14:paraId="4FEA087E" w14:textId="77777777" w:rsidR="00B1510A" w:rsidRPr="00894701" w:rsidRDefault="0081537D" w:rsidP="00446B8D">
            <w:pPr>
              <w:spacing w:after="0" w:line="240" w:lineRule="auto"/>
              <w:contextualSpacing/>
              <w:rPr>
                <w:color w:val="auto"/>
                <w:kern w:val="0"/>
                <w:szCs w:val="18"/>
              </w:rPr>
            </w:pPr>
            <w:r w:rsidRPr="00894701">
              <w:rPr>
                <w:b/>
                <w:bCs/>
                <w:color w:val="auto"/>
                <w:kern w:val="0"/>
                <w:szCs w:val="18"/>
                <w:u w:val="single"/>
              </w:rPr>
              <w:t>Priority</w:t>
            </w:r>
            <w:r w:rsidRPr="00894701">
              <w:rPr>
                <w:b/>
                <w:bCs/>
                <w:color w:val="auto"/>
                <w:kern w:val="0"/>
                <w:szCs w:val="18"/>
              </w:rPr>
              <w:t>:</w:t>
            </w:r>
            <w:r w:rsidRPr="00894701">
              <w:rPr>
                <w:color w:val="auto"/>
                <w:kern w:val="0"/>
                <w:szCs w:val="18"/>
              </w:rPr>
              <w:t xml:space="preserve"> High</w:t>
            </w:r>
          </w:p>
          <w:p w14:paraId="4826C0A6" w14:textId="3992CDB2" w:rsidR="00B1510A" w:rsidRPr="00894701" w:rsidRDefault="00B1510A" w:rsidP="00446B8D">
            <w:pPr>
              <w:spacing w:after="0" w:line="240" w:lineRule="auto"/>
              <w:contextualSpacing/>
              <w:rPr>
                <w:color w:val="auto"/>
                <w:kern w:val="0"/>
                <w:szCs w:val="18"/>
              </w:rPr>
            </w:pPr>
          </w:p>
        </w:tc>
      </w:tr>
      <w:tr w:rsidR="0081537D" w:rsidRPr="00894701" w14:paraId="7B632161" w14:textId="77777777" w:rsidTr="002A67AC">
        <w:trPr>
          <w:trHeight w:val="260"/>
        </w:trPr>
        <w:tc>
          <w:tcPr>
            <w:tcW w:w="1395" w:type="pct"/>
            <w:vMerge/>
            <w:tcBorders>
              <w:top w:val="single" w:sz="12" w:space="0" w:color="FF0000"/>
              <w:left w:val="nil"/>
              <w:bottom w:val="nil"/>
              <w:right w:val="nil"/>
            </w:tcBorders>
            <w:vAlign w:val="center"/>
          </w:tcPr>
          <w:p w14:paraId="11E36DDA" w14:textId="77777777" w:rsidR="0081537D" w:rsidRPr="00894701" w:rsidRDefault="0081537D" w:rsidP="00446B8D">
            <w:pPr>
              <w:spacing w:after="0" w:line="240" w:lineRule="auto"/>
              <w:rPr>
                <w:color w:val="auto"/>
                <w:kern w:val="0"/>
                <w:szCs w:val="18"/>
              </w:rPr>
            </w:pPr>
          </w:p>
        </w:tc>
        <w:tc>
          <w:tcPr>
            <w:tcW w:w="3605" w:type="pct"/>
            <w:tcBorders>
              <w:top w:val="single" w:sz="18" w:space="0" w:color="FF0000"/>
              <w:left w:val="nil"/>
              <w:bottom w:val="single" w:sz="18" w:space="0" w:color="FF0000"/>
              <w:right w:val="nil"/>
            </w:tcBorders>
            <w:shd w:val="clear" w:color="auto" w:fill="auto"/>
            <w:vAlign w:val="bottom"/>
          </w:tcPr>
          <w:p w14:paraId="2D71090A" w14:textId="77777777" w:rsidR="00F016C7" w:rsidRPr="00894701" w:rsidRDefault="00F016C7" w:rsidP="00446B8D">
            <w:pPr>
              <w:spacing w:after="0" w:line="240" w:lineRule="auto"/>
              <w:contextualSpacing/>
              <w:rPr>
                <w:b/>
                <w:bCs/>
                <w:color w:val="auto"/>
                <w:kern w:val="0"/>
                <w:szCs w:val="18"/>
              </w:rPr>
            </w:pPr>
          </w:p>
          <w:p w14:paraId="682FC24B" w14:textId="77777777" w:rsidR="00B1510A" w:rsidRPr="00894701" w:rsidRDefault="0081537D" w:rsidP="00446B8D">
            <w:pPr>
              <w:spacing w:after="0" w:line="240" w:lineRule="auto"/>
              <w:contextualSpacing/>
              <w:rPr>
                <w:color w:val="auto"/>
                <w:kern w:val="0"/>
                <w:szCs w:val="18"/>
              </w:rPr>
            </w:pPr>
            <w:r w:rsidRPr="00894701">
              <w:rPr>
                <w:b/>
                <w:bCs/>
                <w:color w:val="auto"/>
                <w:kern w:val="0"/>
                <w:szCs w:val="18"/>
                <w:u w:val="single"/>
              </w:rPr>
              <w:t>Current status</w:t>
            </w:r>
            <w:r w:rsidRPr="00894701">
              <w:rPr>
                <w:b/>
                <w:bCs/>
                <w:color w:val="auto"/>
                <w:kern w:val="0"/>
                <w:szCs w:val="18"/>
              </w:rPr>
              <w:t>:</w:t>
            </w:r>
            <w:r w:rsidRPr="00894701">
              <w:rPr>
                <w:color w:val="auto"/>
                <w:kern w:val="0"/>
                <w:szCs w:val="18"/>
              </w:rPr>
              <w:t xml:space="preserve"> No progress</w:t>
            </w:r>
          </w:p>
          <w:p w14:paraId="5CF9EF6D" w14:textId="64749973" w:rsidR="00B1510A" w:rsidRPr="00894701" w:rsidRDefault="00B1510A" w:rsidP="00446B8D">
            <w:pPr>
              <w:spacing w:after="0" w:line="240" w:lineRule="auto"/>
              <w:contextualSpacing/>
              <w:rPr>
                <w:color w:val="auto"/>
                <w:kern w:val="0"/>
                <w:szCs w:val="18"/>
              </w:rPr>
            </w:pPr>
          </w:p>
        </w:tc>
      </w:tr>
    </w:tbl>
    <w:p w14:paraId="1567E02C" w14:textId="07187E33" w:rsidR="002A67AC" w:rsidRPr="00894701" w:rsidRDefault="002A67AC" w:rsidP="001E7D3B">
      <w:pPr>
        <w:spacing w:after="240"/>
        <w:jc w:val="both"/>
        <w:rPr>
          <w:rFonts w:cs="Arial"/>
          <w:color w:val="auto"/>
          <w:sz w:val="20"/>
        </w:rPr>
      </w:pPr>
    </w:p>
    <w:p w14:paraId="51AE1D8E" w14:textId="77777777" w:rsidR="002A67AC" w:rsidRDefault="002A67AC">
      <w:pPr>
        <w:spacing w:after="0" w:line="240" w:lineRule="auto"/>
        <w:rPr>
          <w:rFonts w:cs="Arial"/>
          <w:color w:val="auto"/>
          <w:sz w:val="20"/>
        </w:rPr>
      </w:pPr>
      <w:r w:rsidRPr="00894701">
        <w:rPr>
          <w:rFonts w:cs="Arial"/>
          <w:color w:val="auto"/>
          <w:sz w:val="20"/>
        </w:rPr>
        <w:br w:type="page"/>
      </w:r>
    </w:p>
    <w:p w14:paraId="25D3C477" w14:textId="77777777" w:rsidR="001E79E7" w:rsidRDefault="001E79E7">
      <w:pPr>
        <w:spacing w:after="0" w:line="240" w:lineRule="auto"/>
        <w:rPr>
          <w:rFonts w:cs="Arial"/>
          <w:color w:val="auto"/>
          <w:sz w:val="20"/>
        </w:rPr>
      </w:pPr>
    </w:p>
    <w:p w14:paraId="499B218C" w14:textId="583838D1" w:rsidR="001E79E7" w:rsidRPr="00894701" w:rsidRDefault="001E79E7" w:rsidP="00860520">
      <w:pPr>
        <w:spacing w:after="240"/>
        <w:jc w:val="center"/>
        <w:rPr>
          <w:rFonts w:cs="Arial"/>
          <w:color w:val="auto"/>
          <w:sz w:val="20"/>
        </w:rPr>
      </w:pPr>
      <w:bookmarkStart w:id="568" w:name="_Toc146590549"/>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77</w:t>
      </w:r>
      <w:r w:rsidRPr="00894701">
        <w:rPr>
          <w:b/>
          <w:bCs/>
          <w:color w:val="98002E" w:themeColor="accent3"/>
          <w:sz w:val="20"/>
          <w:szCs w:val="20"/>
        </w:rPr>
        <w:fldChar w:fldCharType="end"/>
      </w:r>
      <w:r w:rsidRPr="00894701">
        <w:rPr>
          <w:b/>
          <w:bCs/>
          <w:color w:val="98002E" w:themeColor="accent3"/>
          <w:sz w:val="20"/>
          <w:szCs w:val="20"/>
        </w:rPr>
        <w:t xml:space="preserve">: </w:t>
      </w:r>
      <w:r>
        <w:rPr>
          <w:b/>
          <w:bCs/>
          <w:color w:val="98002E" w:themeColor="accent3"/>
          <w:sz w:val="20"/>
          <w:szCs w:val="20"/>
        </w:rPr>
        <w:t>Recommendation 3</w:t>
      </w:r>
      <w:bookmarkEnd w:id="568"/>
    </w:p>
    <w:tbl>
      <w:tblPr>
        <w:tblW w:w="5000" w:type="pct"/>
        <w:tblLook w:val="04A0" w:firstRow="1" w:lastRow="0" w:firstColumn="1" w:lastColumn="0" w:noHBand="0" w:noVBand="1"/>
      </w:tblPr>
      <w:tblGrid>
        <w:gridCol w:w="3894"/>
        <w:gridCol w:w="10064"/>
      </w:tblGrid>
      <w:tr w:rsidR="002A67AC" w:rsidRPr="00894701" w14:paraId="46C0D6AA" w14:textId="77777777" w:rsidTr="00720668">
        <w:trPr>
          <w:trHeight w:val="2932"/>
        </w:trPr>
        <w:tc>
          <w:tcPr>
            <w:tcW w:w="1395" w:type="pct"/>
            <w:vMerge w:val="restart"/>
            <w:tcBorders>
              <w:top w:val="single" w:sz="18" w:space="0" w:color="FF0000"/>
              <w:left w:val="nil"/>
              <w:bottom w:val="nil"/>
              <w:right w:val="nil"/>
            </w:tcBorders>
            <w:shd w:val="clear" w:color="auto" w:fill="auto"/>
          </w:tcPr>
          <w:p w14:paraId="290DB868" w14:textId="77777777" w:rsidR="002A67AC" w:rsidRPr="00894701" w:rsidRDefault="002A67AC" w:rsidP="00F76786">
            <w:pPr>
              <w:spacing w:after="0" w:line="240" w:lineRule="auto"/>
              <w:contextualSpacing/>
              <w:jc w:val="both"/>
              <w:rPr>
                <w:color w:val="auto"/>
                <w:kern w:val="0"/>
                <w:szCs w:val="18"/>
              </w:rPr>
            </w:pPr>
            <w:r w:rsidRPr="00894701">
              <w:rPr>
                <w:color w:val="auto"/>
                <w:kern w:val="0"/>
                <w:szCs w:val="18"/>
                <w:u w:val="single"/>
              </w:rPr>
              <w:t>Description</w:t>
            </w:r>
            <w:r w:rsidRPr="00894701">
              <w:rPr>
                <w:color w:val="auto"/>
                <w:kern w:val="0"/>
                <w:szCs w:val="18"/>
              </w:rPr>
              <w:t>:</w:t>
            </w:r>
          </w:p>
          <w:p w14:paraId="0E68284E" w14:textId="108B1BF0" w:rsidR="00B1510A" w:rsidRPr="00894701" w:rsidRDefault="00CB0E7C" w:rsidP="00C42DAC">
            <w:pPr>
              <w:spacing w:line="240" w:lineRule="auto"/>
              <w:jc w:val="both"/>
              <w:rPr>
                <w:color w:val="auto"/>
                <w:kern w:val="0"/>
                <w:szCs w:val="18"/>
              </w:rPr>
            </w:pPr>
            <w:r w:rsidRPr="00894701">
              <w:rPr>
                <w:color w:val="auto"/>
                <w:kern w:val="0"/>
                <w:szCs w:val="18"/>
              </w:rPr>
              <w:t>In accordance with Requirement 1.4</w:t>
            </w:r>
          </w:p>
        </w:tc>
        <w:tc>
          <w:tcPr>
            <w:tcW w:w="3605" w:type="pct"/>
            <w:tcBorders>
              <w:top w:val="single" w:sz="18" w:space="0" w:color="FF0000"/>
              <w:left w:val="nil"/>
              <w:bottom w:val="single" w:sz="18" w:space="0" w:color="FF0000"/>
              <w:right w:val="nil"/>
            </w:tcBorders>
            <w:shd w:val="clear" w:color="auto" w:fill="auto"/>
          </w:tcPr>
          <w:p w14:paraId="4CDEE67E" w14:textId="77777777" w:rsidR="002A67AC" w:rsidRPr="00894701" w:rsidRDefault="002A67AC" w:rsidP="00446B8D">
            <w:pPr>
              <w:spacing w:after="60" w:line="240" w:lineRule="auto"/>
              <w:jc w:val="both"/>
              <w:rPr>
                <w:color w:val="auto"/>
                <w:kern w:val="0"/>
                <w:szCs w:val="18"/>
              </w:rPr>
            </w:pPr>
            <w:r w:rsidRPr="00894701">
              <w:rPr>
                <w:color w:val="auto"/>
                <w:kern w:val="0"/>
                <w:szCs w:val="18"/>
                <w:u w:val="single"/>
              </w:rPr>
              <w:t>Recommended actions</w:t>
            </w:r>
            <w:r w:rsidRPr="00894701">
              <w:rPr>
                <w:color w:val="auto"/>
                <w:kern w:val="0"/>
                <w:szCs w:val="18"/>
              </w:rPr>
              <w:t>:</w:t>
            </w:r>
          </w:p>
          <w:p w14:paraId="59A5BFED" w14:textId="07E4749E" w:rsidR="00B1510A" w:rsidRPr="00894701" w:rsidRDefault="00CB0E7C" w:rsidP="00446B8D">
            <w:pPr>
              <w:spacing w:after="60" w:line="240" w:lineRule="auto"/>
              <w:jc w:val="both"/>
              <w:rPr>
                <w:color w:val="auto"/>
                <w:kern w:val="0"/>
                <w:szCs w:val="18"/>
              </w:rPr>
            </w:pPr>
            <w:r w:rsidRPr="00894701">
              <w:rPr>
                <w:color w:val="auto"/>
                <w:kern w:val="0"/>
                <w:szCs w:val="18"/>
              </w:rPr>
              <w:t>The MSG should ensure that the procedures for nominating its representatives are adequately codified and documented, and that there are established mechanisms for liaising with their broader constituencies, which are followed in practice. The MSG should ensure that deviations from their ToRs are recorded and transparent, and adequately and publicly codified. The MSG should ensure that its lack of per diem practice is publicly clarified. The MSG should guarantee there is sufficient advance notice of meetings and timely circulation of documents prior to their debate and proposed adoption, and that written records of its discussions and decisions are adequately kept through Minutes. Government and company constituencies should ensure that their representatives’ attendance at MSG meetings is consistent and of sufficiently high level to allow the MSG to take decisions and follow up on them. To strengthen implementation of Requirement 1.4, the MSG is encouraged to re-orient its focus from the EITI reporting process to reforms in extractive sector governance. The MSG is encouraged to make use of the subcommittees (Article 3.2 of the MSG’s ToRs) and invite key government institutions that regulate the extractive sector such as the Central Bank to participate closely in EITI debate</w:t>
            </w:r>
          </w:p>
        </w:tc>
      </w:tr>
      <w:tr w:rsidR="002A67AC" w:rsidRPr="00894701" w14:paraId="50EF5B2A" w14:textId="77777777" w:rsidTr="00446B8D">
        <w:trPr>
          <w:trHeight w:val="260"/>
        </w:trPr>
        <w:tc>
          <w:tcPr>
            <w:tcW w:w="1395" w:type="pct"/>
            <w:vMerge/>
            <w:tcBorders>
              <w:top w:val="single" w:sz="12" w:space="0" w:color="FF0000"/>
              <w:left w:val="nil"/>
              <w:bottom w:val="nil"/>
              <w:right w:val="nil"/>
            </w:tcBorders>
            <w:vAlign w:val="center"/>
          </w:tcPr>
          <w:p w14:paraId="6EF8235A" w14:textId="77777777" w:rsidR="002A67AC" w:rsidRPr="00894701" w:rsidRDefault="002A67AC" w:rsidP="00446B8D">
            <w:pPr>
              <w:spacing w:after="0" w:line="240" w:lineRule="auto"/>
              <w:rPr>
                <w:color w:val="auto"/>
                <w:kern w:val="0"/>
                <w:szCs w:val="18"/>
              </w:rPr>
            </w:pPr>
          </w:p>
        </w:tc>
        <w:tc>
          <w:tcPr>
            <w:tcW w:w="3605" w:type="pct"/>
            <w:tcBorders>
              <w:top w:val="single" w:sz="18" w:space="0" w:color="FF0000"/>
              <w:left w:val="nil"/>
              <w:bottom w:val="single" w:sz="18" w:space="0" w:color="FF0000"/>
              <w:right w:val="nil"/>
            </w:tcBorders>
            <w:shd w:val="clear" w:color="auto" w:fill="auto"/>
            <w:noWrap/>
            <w:vAlign w:val="bottom"/>
          </w:tcPr>
          <w:p w14:paraId="32D851AA" w14:textId="77777777" w:rsidR="000F470D" w:rsidRPr="00894701" w:rsidRDefault="000F470D" w:rsidP="00446B8D">
            <w:pPr>
              <w:spacing w:after="0" w:line="240" w:lineRule="auto"/>
              <w:contextualSpacing/>
              <w:rPr>
                <w:b/>
                <w:bCs/>
                <w:color w:val="auto"/>
                <w:kern w:val="0"/>
                <w:szCs w:val="18"/>
              </w:rPr>
            </w:pPr>
          </w:p>
          <w:p w14:paraId="3340AAB5" w14:textId="42D7CCC2" w:rsidR="00B1510A" w:rsidRPr="00894701" w:rsidRDefault="002A67AC" w:rsidP="00446B8D">
            <w:pPr>
              <w:spacing w:after="0" w:line="240" w:lineRule="auto"/>
              <w:contextualSpacing/>
              <w:rPr>
                <w:color w:val="auto"/>
                <w:kern w:val="0"/>
                <w:szCs w:val="18"/>
              </w:rPr>
            </w:pPr>
            <w:r w:rsidRPr="00894701">
              <w:rPr>
                <w:b/>
                <w:bCs/>
                <w:color w:val="auto"/>
                <w:kern w:val="0"/>
                <w:szCs w:val="18"/>
                <w:u w:val="single"/>
              </w:rPr>
              <w:t>Related agencies</w:t>
            </w:r>
            <w:r w:rsidRPr="00894701">
              <w:rPr>
                <w:b/>
                <w:bCs/>
                <w:color w:val="auto"/>
                <w:kern w:val="0"/>
                <w:szCs w:val="18"/>
              </w:rPr>
              <w:t>:</w:t>
            </w:r>
            <w:r w:rsidRPr="00894701">
              <w:rPr>
                <w:color w:val="auto"/>
                <w:kern w:val="0"/>
                <w:szCs w:val="18"/>
              </w:rPr>
              <w:t xml:space="preserve"> </w:t>
            </w:r>
            <w:r w:rsidR="00CB0E7C" w:rsidRPr="00894701">
              <w:rPr>
                <w:color w:val="auto"/>
                <w:kern w:val="0"/>
                <w:szCs w:val="18"/>
              </w:rPr>
              <w:t>MSG, all the constituencies</w:t>
            </w:r>
          </w:p>
          <w:p w14:paraId="40712D9B" w14:textId="2FC1A76C" w:rsidR="00B1510A" w:rsidRPr="00894701" w:rsidRDefault="00B1510A" w:rsidP="00446B8D">
            <w:pPr>
              <w:spacing w:after="0" w:line="240" w:lineRule="auto"/>
              <w:contextualSpacing/>
              <w:rPr>
                <w:color w:val="auto"/>
                <w:kern w:val="0"/>
                <w:szCs w:val="18"/>
              </w:rPr>
            </w:pPr>
          </w:p>
        </w:tc>
      </w:tr>
      <w:tr w:rsidR="002A67AC" w:rsidRPr="00894701" w14:paraId="1EE6DCAE" w14:textId="77777777" w:rsidTr="00446B8D">
        <w:trPr>
          <w:trHeight w:val="260"/>
        </w:trPr>
        <w:tc>
          <w:tcPr>
            <w:tcW w:w="1395" w:type="pct"/>
            <w:vMerge/>
            <w:tcBorders>
              <w:top w:val="single" w:sz="12" w:space="0" w:color="FF0000"/>
              <w:left w:val="nil"/>
              <w:bottom w:val="nil"/>
              <w:right w:val="nil"/>
            </w:tcBorders>
            <w:vAlign w:val="center"/>
          </w:tcPr>
          <w:p w14:paraId="09893B85" w14:textId="77777777" w:rsidR="002A67AC" w:rsidRPr="00894701" w:rsidRDefault="002A67AC" w:rsidP="00446B8D">
            <w:pPr>
              <w:spacing w:after="0" w:line="240" w:lineRule="auto"/>
              <w:rPr>
                <w:color w:val="auto"/>
                <w:kern w:val="0"/>
                <w:szCs w:val="18"/>
              </w:rPr>
            </w:pPr>
          </w:p>
        </w:tc>
        <w:tc>
          <w:tcPr>
            <w:tcW w:w="3605" w:type="pct"/>
            <w:tcBorders>
              <w:top w:val="single" w:sz="18" w:space="0" w:color="FF0000"/>
              <w:left w:val="nil"/>
              <w:bottom w:val="single" w:sz="18" w:space="0" w:color="FF0000"/>
              <w:right w:val="nil"/>
            </w:tcBorders>
            <w:shd w:val="clear" w:color="auto" w:fill="auto"/>
            <w:noWrap/>
            <w:vAlign w:val="bottom"/>
          </w:tcPr>
          <w:p w14:paraId="644116D5" w14:textId="77777777" w:rsidR="00810F06" w:rsidRPr="00894701" w:rsidRDefault="00810F06" w:rsidP="00446B8D">
            <w:pPr>
              <w:spacing w:after="0" w:line="240" w:lineRule="auto"/>
              <w:contextualSpacing/>
              <w:rPr>
                <w:b/>
                <w:bCs/>
                <w:color w:val="auto"/>
                <w:kern w:val="0"/>
                <w:szCs w:val="18"/>
              </w:rPr>
            </w:pPr>
          </w:p>
          <w:p w14:paraId="4EC0E393" w14:textId="77777777" w:rsidR="00B1510A" w:rsidRPr="00894701" w:rsidRDefault="002A67AC" w:rsidP="00446B8D">
            <w:pPr>
              <w:spacing w:after="0" w:line="240" w:lineRule="auto"/>
              <w:contextualSpacing/>
              <w:rPr>
                <w:color w:val="auto"/>
                <w:kern w:val="0"/>
                <w:szCs w:val="18"/>
              </w:rPr>
            </w:pPr>
            <w:r w:rsidRPr="00894701">
              <w:rPr>
                <w:b/>
                <w:bCs/>
                <w:color w:val="auto"/>
                <w:kern w:val="0"/>
                <w:szCs w:val="18"/>
                <w:u w:val="single"/>
              </w:rPr>
              <w:t>Priority</w:t>
            </w:r>
            <w:r w:rsidRPr="00894701">
              <w:rPr>
                <w:b/>
                <w:bCs/>
                <w:color w:val="auto"/>
                <w:kern w:val="0"/>
                <w:szCs w:val="18"/>
              </w:rPr>
              <w:t>:</w:t>
            </w:r>
            <w:r w:rsidRPr="00894701">
              <w:rPr>
                <w:color w:val="auto"/>
                <w:kern w:val="0"/>
                <w:szCs w:val="18"/>
              </w:rPr>
              <w:t xml:space="preserve"> High</w:t>
            </w:r>
          </w:p>
          <w:p w14:paraId="70BD07F3" w14:textId="3015C8B0" w:rsidR="00B1510A" w:rsidRPr="00894701" w:rsidRDefault="00B1510A" w:rsidP="00446B8D">
            <w:pPr>
              <w:spacing w:after="0" w:line="240" w:lineRule="auto"/>
              <w:contextualSpacing/>
              <w:rPr>
                <w:color w:val="auto"/>
                <w:kern w:val="0"/>
                <w:szCs w:val="18"/>
              </w:rPr>
            </w:pPr>
          </w:p>
        </w:tc>
      </w:tr>
      <w:tr w:rsidR="002A67AC" w:rsidRPr="00894701" w14:paraId="352D6BE3" w14:textId="77777777" w:rsidTr="00446B8D">
        <w:trPr>
          <w:trHeight w:val="260"/>
        </w:trPr>
        <w:tc>
          <w:tcPr>
            <w:tcW w:w="1395" w:type="pct"/>
            <w:vMerge/>
            <w:tcBorders>
              <w:top w:val="single" w:sz="12" w:space="0" w:color="FF0000"/>
              <w:left w:val="nil"/>
              <w:bottom w:val="nil"/>
              <w:right w:val="nil"/>
            </w:tcBorders>
            <w:vAlign w:val="center"/>
          </w:tcPr>
          <w:p w14:paraId="19ACCC2A" w14:textId="77777777" w:rsidR="002A67AC" w:rsidRPr="00894701" w:rsidRDefault="002A67AC" w:rsidP="00446B8D">
            <w:pPr>
              <w:spacing w:after="0" w:line="240" w:lineRule="auto"/>
              <w:rPr>
                <w:color w:val="auto"/>
                <w:kern w:val="0"/>
                <w:szCs w:val="18"/>
              </w:rPr>
            </w:pPr>
          </w:p>
        </w:tc>
        <w:tc>
          <w:tcPr>
            <w:tcW w:w="3605" w:type="pct"/>
            <w:tcBorders>
              <w:top w:val="single" w:sz="18" w:space="0" w:color="FF0000"/>
              <w:left w:val="nil"/>
              <w:bottom w:val="single" w:sz="18" w:space="0" w:color="FF0000"/>
              <w:right w:val="nil"/>
            </w:tcBorders>
            <w:shd w:val="clear" w:color="auto" w:fill="auto"/>
            <w:vAlign w:val="bottom"/>
          </w:tcPr>
          <w:p w14:paraId="3F08AA7F" w14:textId="77777777" w:rsidR="00810F06" w:rsidRPr="00894701" w:rsidRDefault="00810F06" w:rsidP="00446B8D">
            <w:pPr>
              <w:spacing w:after="0" w:line="240" w:lineRule="auto"/>
              <w:contextualSpacing/>
              <w:rPr>
                <w:b/>
                <w:bCs/>
                <w:color w:val="auto"/>
                <w:kern w:val="0"/>
                <w:szCs w:val="18"/>
              </w:rPr>
            </w:pPr>
          </w:p>
          <w:p w14:paraId="6A17E404" w14:textId="77777777" w:rsidR="00B1510A" w:rsidRPr="00894701" w:rsidRDefault="002A67AC" w:rsidP="00446B8D">
            <w:pPr>
              <w:spacing w:after="0" w:line="240" w:lineRule="auto"/>
              <w:contextualSpacing/>
              <w:rPr>
                <w:color w:val="auto"/>
                <w:kern w:val="0"/>
                <w:szCs w:val="18"/>
              </w:rPr>
            </w:pPr>
            <w:r w:rsidRPr="00894701">
              <w:rPr>
                <w:b/>
                <w:bCs/>
                <w:color w:val="auto"/>
                <w:kern w:val="0"/>
                <w:szCs w:val="18"/>
                <w:u w:val="single"/>
              </w:rPr>
              <w:t>Current status</w:t>
            </w:r>
            <w:r w:rsidRPr="00894701">
              <w:rPr>
                <w:b/>
                <w:bCs/>
                <w:color w:val="auto"/>
                <w:kern w:val="0"/>
                <w:szCs w:val="18"/>
              </w:rPr>
              <w:t>:</w:t>
            </w:r>
            <w:r w:rsidRPr="00894701">
              <w:rPr>
                <w:color w:val="auto"/>
                <w:kern w:val="0"/>
                <w:szCs w:val="18"/>
              </w:rPr>
              <w:t xml:space="preserve"> No progress</w:t>
            </w:r>
          </w:p>
          <w:p w14:paraId="15212FA4" w14:textId="4A81A15A" w:rsidR="00B1510A" w:rsidRPr="00894701" w:rsidRDefault="00B1510A" w:rsidP="00446B8D">
            <w:pPr>
              <w:spacing w:after="0" w:line="240" w:lineRule="auto"/>
              <w:contextualSpacing/>
              <w:rPr>
                <w:color w:val="auto"/>
                <w:kern w:val="0"/>
                <w:szCs w:val="18"/>
              </w:rPr>
            </w:pPr>
          </w:p>
        </w:tc>
      </w:tr>
    </w:tbl>
    <w:p w14:paraId="6BB7D94E" w14:textId="1FB09ED0" w:rsidR="002A67AC" w:rsidRDefault="002A67AC">
      <w:pPr>
        <w:spacing w:after="0" w:line="240" w:lineRule="auto"/>
        <w:rPr>
          <w:rFonts w:cs="Arial"/>
          <w:color w:val="auto"/>
          <w:sz w:val="20"/>
        </w:rPr>
      </w:pPr>
      <w:r w:rsidRPr="00894701">
        <w:rPr>
          <w:rFonts w:cs="Arial"/>
          <w:color w:val="auto"/>
          <w:sz w:val="20"/>
        </w:rPr>
        <w:br w:type="page"/>
      </w:r>
    </w:p>
    <w:p w14:paraId="1A069FA7" w14:textId="22C52368" w:rsidR="001E79E7" w:rsidRPr="00894701" w:rsidRDefault="001E79E7" w:rsidP="00860520">
      <w:pPr>
        <w:spacing w:after="240"/>
        <w:jc w:val="center"/>
        <w:rPr>
          <w:rFonts w:cs="Arial"/>
          <w:color w:val="auto"/>
          <w:sz w:val="20"/>
        </w:rPr>
      </w:pPr>
      <w:bookmarkStart w:id="569" w:name="_Toc146590550"/>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78</w:t>
      </w:r>
      <w:r w:rsidRPr="00894701">
        <w:rPr>
          <w:b/>
          <w:bCs/>
          <w:color w:val="98002E" w:themeColor="accent3"/>
          <w:sz w:val="20"/>
          <w:szCs w:val="20"/>
        </w:rPr>
        <w:fldChar w:fldCharType="end"/>
      </w:r>
      <w:r w:rsidRPr="00894701">
        <w:rPr>
          <w:b/>
          <w:bCs/>
          <w:color w:val="98002E" w:themeColor="accent3"/>
          <w:sz w:val="20"/>
          <w:szCs w:val="20"/>
        </w:rPr>
        <w:t xml:space="preserve">: </w:t>
      </w:r>
      <w:r>
        <w:rPr>
          <w:b/>
          <w:bCs/>
          <w:color w:val="98002E" w:themeColor="accent3"/>
          <w:sz w:val="20"/>
          <w:szCs w:val="20"/>
        </w:rPr>
        <w:t>Recommendation 4</w:t>
      </w:r>
      <w:bookmarkEnd w:id="569"/>
    </w:p>
    <w:tbl>
      <w:tblPr>
        <w:tblW w:w="5000" w:type="pct"/>
        <w:tblLook w:val="04A0" w:firstRow="1" w:lastRow="0" w:firstColumn="1" w:lastColumn="0" w:noHBand="0" w:noVBand="1"/>
      </w:tblPr>
      <w:tblGrid>
        <w:gridCol w:w="3894"/>
        <w:gridCol w:w="10064"/>
      </w:tblGrid>
      <w:tr w:rsidR="00B96128" w:rsidRPr="00894701" w14:paraId="044498A4" w14:textId="77777777" w:rsidTr="001F4C14">
        <w:trPr>
          <w:trHeight w:val="2082"/>
        </w:trPr>
        <w:tc>
          <w:tcPr>
            <w:tcW w:w="1395" w:type="pct"/>
            <w:vMerge w:val="restart"/>
            <w:tcBorders>
              <w:top w:val="single" w:sz="18" w:space="0" w:color="FF0000"/>
              <w:left w:val="nil"/>
              <w:bottom w:val="nil"/>
              <w:right w:val="nil"/>
            </w:tcBorders>
            <w:shd w:val="clear" w:color="auto" w:fill="auto"/>
          </w:tcPr>
          <w:p w14:paraId="565214EB" w14:textId="77777777" w:rsidR="00B96128" w:rsidRPr="00894701" w:rsidRDefault="00B96128" w:rsidP="00446B8D">
            <w:pPr>
              <w:spacing w:after="0" w:line="240" w:lineRule="auto"/>
              <w:contextualSpacing/>
              <w:jc w:val="both"/>
              <w:rPr>
                <w:color w:val="auto"/>
                <w:kern w:val="0"/>
                <w:szCs w:val="18"/>
              </w:rPr>
            </w:pPr>
            <w:r w:rsidRPr="00894701">
              <w:rPr>
                <w:color w:val="auto"/>
                <w:kern w:val="0"/>
                <w:szCs w:val="18"/>
                <w:u w:val="single"/>
              </w:rPr>
              <w:t>Description</w:t>
            </w:r>
            <w:r w:rsidRPr="00894701">
              <w:rPr>
                <w:color w:val="auto"/>
                <w:kern w:val="0"/>
                <w:szCs w:val="18"/>
              </w:rPr>
              <w:t>:</w:t>
            </w:r>
          </w:p>
          <w:p w14:paraId="25412D32" w14:textId="66263C28" w:rsidR="00B1510A" w:rsidRPr="00894701" w:rsidRDefault="001F4C14" w:rsidP="00446B8D">
            <w:pPr>
              <w:spacing w:line="240" w:lineRule="auto"/>
              <w:jc w:val="both"/>
              <w:rPr>
                <w:color w:val="auto"/>
                <w:kern w:val="0"/>
                <w:szCs w:val="18"/>
              </w:rPr>
            </w:pPr>
            <w:r w:rsidRPr="00894701">
              <w:rPr>
                <w:color w:val="auto"/>
                <w:kern w:val="0"/>
                <w:szCs w:val="18"/>
              </w:rPr>
              <w:t>In accordance with Requirement 1.5</w:t>
            </w:r>
          </w:p>
        </w:tc>
        <w:tc>
          <w:tcPr>
            <w:tcW w:w="3605" w:type="pct"/>
            <w:tcBorders>
              <w:top w:val="single" w:sz="18" w:space="0" w:color="FF0000"/>
              <w:left w:val="nil"/>
              <w:bottom w:val="single" w:sz="18" w:space="0" w:color="FF0000"/>
              <w:right w:val="nil"/>
            </w:tcBorders>
            <w:shd w:val="clear" w:color="auto" w:fill="auto"/>
          </w:tcPr>
          <w:p w14:paraId="506FA6BD" w14:textId="77777777" w:rsidR="00B96128" w:rsidRPr="00894701" w:rsidRDefault="00B96128" w:rsidP="00446B8D">
            <w:pPr>
              <w:spacing w:after="60" w:line="240" w:lineRule="auto"/>
              <w:jc w:val="both"/>
              <w:rPr>
                <w:color w:val="auto"/>
                <w:kern w:val="0"/>
                <w:szCs w:val="18"/>
              </w:rPr>
            </w:pPr>
            <w:r w:rsidRPr="00894701">
              <w:rPr>
                <w:color w:val="auto"/>
                <w:kern w:val="0"/>
                <w:szCs w:val="18"/>
                <w:u w:val="single"/>
              </w:rPr>
              <w:t>Recommended actions</w:t>
            </w:r>
            <w:r w:rsidRPr="00894701">
              <w:rPr>
                <w:color w:val="auto"/>
                <w:kern w:val="0"/>
                <w:szCs w:val="18"/>
              </w:rPr>
              <w:t>:</w:t>
            </w:r>
          </w:p>
          <w:p w14:paraId="665C76C0" w14:textId="3807AF20" w:rsidR="00B1510A" w:rsidRPr="00894701" w:rsidRDefault="007A066F" w:rsidP="00446B8D">
            <w:pPr>
              <w:spacing w:after="60" w:line="240" w:lineRule="auto"/>
              <w:jc w:val="both"/>
              <w:rPr>
                <w:color w:val="auto"/>
                <w:kern w:val="0"/>
                <w:szCs w:val="18"/>
              </w:rPr>
            </w:pPr>
            <w:r>
              <w:rPr>
                <w:color w:val="auto"/>
                <w:kern w:val="0"/>
                <w:szCs w:val="18"/>
              </w:rPr>
              <w:t>T</w:t>
            </w:r>
            <w:r w:rsidR="001F4C14" w:rsidRPr="00894701">
              <w:rPr>
                <w:color w:val="auto"/>
                <w:kern w:val="0"/>
                <w:szCs w:val="18"/>
              </w:rPr>
              <w:t>he MSG is required to agree on an updated, revised and fully costed work plan which reflects wide stakeholders’ priorities for the extractive sector, and is organized through specific and measurable activities. The work plan should address the scope of EITI disclosure</w:t>
            </w:r>
            <w:r w:rsidR="00197D9B">
              <w:rPr>
                <w:color w:val="auto"/>
                <w:kern w:val="0"/>
                <w:szCs w:val="18"/>
              </w:rPr>
              <w:t xml:space="preserve"> </w:t>
            </w:r>
            <w:r w:rsidR="001F4C14" w:rsidRPr="00894701">
              <w:rPr>
                <w:color w:val="auto"/>
                <w:kern w:val="0"/>
                <w:szCs w:val="18"/>
              </w:rPr>
              <w:t>follow-up o</w:t>
            </w:r>
            <w:r w:rsidR="006A2167">
              <w:rPr>
                <w:color w:val="auto"/>
                <w:kern w:val="0"/>
                <w:szCs w:val="18"/>
              </w:rPr>
              <w:t>n</w:t>
            </w:r>
            <w:r w:rsidR="001F4C14" w:rsidRPr="00894701">
              <w:rPr>
                <w:color w:val="auto"/>
                <w:kern w:val="0"/>
                <w:szCs w:val="18"/>
              </w:rPr>
              <w:t xml:space="preserve"> recommendations, </w:t>
            </w:r>
            <w:r w:rsidR="006A2167">
              <w:rPr>
                <w:color w:val="auto"/>
                <w:kern w:val="0"/>
                <w:szCs w:val="18"/>
              </w:rPr>
              <w:t>and</w:t>
            </w:r>
            <w:r w:rsidR="001F4C14" w:rsidRPr="00894701">
              <w:rPr>
                <w:color w:val="auto"/>
                <w:kern w:val="0"/>
                <w:szCs w:val="18"/>
              </w:rPr>
              <w:t xml:space="preserve"> focus on issues like contract transparency and implementation of project level reporting. The MSG should ensure consultation on the work plan beyond MSG members. The MSG is encouraged to consider whether the EITI process could contribute in addressing broader issues related to the extractive activities in Suriname, such as free and informed prior consent for the mining projects.</w:t>
            </w:r>
          </w:p>
        </w:tc>
      </w:tr>
      <w:tr w:rsidR="00B96128" w:rsidRPr="00894701" w14:paraId="68D57705" w14:textId="77777777" w:rsidTr="00446B8D">
        <w:trPr>
          <w:trHeight w:val="260"/>
        </w:trPr>
        <w:tc>
          <w:tcPr>
            <w:tcW w:w="1395" w:type="pct"/>
            <w:vMerge/>
            <w:tcBorders>
              <w:top w:val="single" w:sz="12" w:space="0" w:color="FF0000"/>
              <w:left w:val="nil"/>
              <w:bottom w:val="nil"/>
              <w:right w:val="nil"/>
            </w:tcBorders>
            <w:vAlign w:val="center"/>
          </w:tcPr>
          <w:p w14:paraId="56A08CD7" w14:textId="77777777" w:rsidR="00B96128" w:rsidRPr="00894701" w:rsidRDefault="00B96128" w:rsidP="00446B8D">
            <w:pPr>
              <w:spacing w:after="0" w:line="240" w:lineRule="auto"/>
              <w:rPr>
                <w:color w:val="auto"/>
                <w:kern w:val="0"/>
                <w:szCs w:val="18"/>
              </w:rPr>
            </w:pPr>
          </w:p>
        </w:tc>
        <w:tc>
          <w:tcPr>
            <w:tcW w:w="3605" w:type="pct"/>
            <w:tcBorders>
              <w:top w:val="single" w:sz="18" w:space="0" w:color="FF0000"/>
              <w:left w:val="nil"/>
              <w:bottom w:val="single" w:sz="18" w:space="0" w:color="FF0000"/>
              <w:right w:val="nil"/>
            </w:tcBorders>
            <w:shd w:val="clear" w:color="auto" w:fill="auto"/>
            <w:noWrap/>
            <w:vAlign w:val="bottom"/>
          </w:tcPr>
          <w:p w14:paraId="6847F5F6" w14:textId="77777777" w:rsidR="00B96128" w:rsidRPr="00894701" w:rsidRDefault="00B96128" w:rsidP="00446B8D">
            <w:pPr>
              <w:spacing w:after="0" w:line="240" w:lineRule="auto"/>
              <w:contextualSpacing/>
              <w:rPr>
                <w:b/>
                <w:bCs/>
                <w:color w:val="auto"/>
                <w:kern w:val="0"/>
                <w:szCs w:val="18"/>
              </w:rPr>
            </w:pPr>
          </w:p>
          <w:p w14:paraId="2BB3C0C0" w14:textId="3A32176C" w:rsidR="00B96128" w:rsidRPr="00894701" w:rsidRDefault="00B96128" w:rsidP="00446B8D">
            <w:pPr>
              <w:spacing w:after="0" w:line="240" w:lineRule="auto"/>
              <w:contextualSpacing/>
              <w:rPr>
                <w:color w:val="auto"/>
                <w:kern w:val="0"/>
                <w:szCs w:val="18"/>
              </w:rPr>
            </w:pPr>
            <w:r w:rsidRPr="00894701">
              <w:rPr>
                <w:b/>
                <w:bCs/>
                <w:color w:val="auto"/>
                <w:kern w:val="0"/>
                <w:szCs w:val="18"/>
                <w:u w:val="single"/>
              </w:rPr>
              <w:t>Related agencies</w:t>
            </w:r>
            <w:r w:rsidRPr="00894701">
              <w:rPr>
                <w:b/>
                <w:bCs/>
                <w:color w:val="auto"/>
                <w:kern w:val="0"/>
                <w:szCs w:val="18"/>
              </w:rPr>
              <w:t>:</w:t>
            </w:r>
            <w:r w:rsidRPr="00894701">
              <w:rPr>
                <w:color w:val="auto"/>
                <w:kern w:val="0"/>
                <w:szCs w:val="18"/>
              </w:rPr>
              <w:t xml:space="preserve"> </w:t>
            </w:r>
            <w:r w:rsidR="001B5289" w:rsidRPr="00894701">
              <w:rPr>
                <w:color w:val="auto"/>
                <w:kern w:val="0"/>
                <w:szCs w:val="18"/>
              </w:rPr>
              <w:t>MSG with assistance from SEITI Secretariat</w:t>
            </w:r>
          </w:p>
          <w:p w14:paraId="29F64C2F" w14:textId="77777777" w:rsidR="00B1510A" w:rsidRPr="00894701" w:rsidRDefault="00B1510A" w:rsidP="00446B8D">
            <w:pPr>
              <w:spacing w:after="0" w:line="240" w:lineRule="auto"/>
              <w:contextualSpacing/>
              <w:rPr>
                <w:color w:val="auto"/>
                <w:kern w:val="0"/>
                <w:szCs w:val="18"/>
              </w:rPr>
            </w:pPr>
          </w:p>
        </w:tc>
      </w:tr>
      <w:tr w:rsidR="00B96128" w:rsidRPr="00894701" w14:paraId="6A01A5FC" w14:textId="77777777" w:rsidTr="00446B8D">
        <w:trPr>
          <w:trHeight w:val="260"/>
        </w:trPr>
        <w:tc>
          <w:tcPr>
            <w:tcW w:w="1395" w:type="pct"/>
            <w:vMerge/>
            <w:tcBorders>
              <w:top w:val="single" w:sz="12" w:space="0" w:color="FF0000"/>
              <w:left w:val="nil"/>
              <w:bottom w:val="nil"/>
              <w:right w:val="nil"/>
            </w:tcBorders>
            <w:vAlign w:val="center"/>
          </w:tcPr>
          <w:p w14:paraId="6043F3C0" w14:textId="77777777" w:rsidR="00B96128" w:rsidRPr="00894701" w:rsidRDefault="00B96128" w:rsidP="00446B8D">
            <w:pPr>
              <w:spacing w:after="0" w:line="240" w:lineRule="auto"/>
              <w:rPr>
                <w:color w:val="auto"/>
                <w:kern w:val="0"/>
                <w:szCs w:val="18"/>
              </w:rPr>
            </w:pPr>
          </w:p>
        </w:tc>
        <w:tc>
          <w:tcPr>
            <w:tcW w:w="3605" w:type="pct"/>
            <w:tcBorders>
              <w:top w:val="single" w:sz="18" w:space="0" w:color="FF0000"/>
              <w:left w:val="nil"/>
              <w:bottom w:val="single" w:sz="18" w:space="0" w:color="FF0000"/>
              <w:right w:val="nil"/>
            </w:tcBorders>
            <w:shd w:val="clear" w:color="auto" w:fill="auto"/>
            <w:noWrap/>
            <w:vAlign w:val="bottom"/>
          </w:tcPr>
          <w:p w14:paraId="29EAED09" w14:textId="77777777" w:rsidR="00B96128" w:rsidRPr="00894701" w:rsidRDefault="00B96128" w:rsidP="00446B8D">
            <w:pPr>
              <w:spacing w:after="0" w:line="240" w:lineRule="auto"/>
              <w:contextualSpacing/>
              <w:rPr>
                <w:b/>
                <w:bCs/>
                <w:color w:val="auto"/>
                <w:kern w:val="0"/>
                <w:szCs w:val="18"/>
              </w:rPr>
            </w:pPr>
          </w:p>
          <w:p w14:paraId="34943568" w14:textId="77777777" w:rsidR="00B96128" w:rsidRPr="00894701" w:rsidRDefault="00B96128" w:rsidP="00446B8D">
            <w:pPr>
              <w:spacing w:after="0" w:line="240" w:lineRule="auto"/>
              <w:contextualSpacing/>
              <w:rPr>
                <w:color w:val="auto"/>
                <w:kern w:val="0"/>
                <w:szCs w:val="18"/>
              </w:rPr>
            </w:pPr>
            <w:r w:rsidRPr="00894701">
              <w:rPr>
                <w:b/>
                <w:bCs/>
                <w:color w:val="auto"/>
                <w:kern w:val="0"/>
                <w:szCs w:val="18"/>
                <w:u w:val="single"/>
              </w:rPr>
              <w:t>Priority</w:t>
            </w:r>
            <w:r w:rsidRPr="00894701">
              <w:rPr>
                <w:b/>
                <w:bCs/>
                <w:color w:val="auto"/>
                <w:kern w:val="0"/>
                <w:szCs w:val="18"/>
              </w:rPr>
              <w:t>:</w:t>
            </w:r>
            <w:r w:rsidRPr="00894701">
              <w:rPr>
                <w:color w:val="auto"/>
                <w:kern w:val="0"/>
                <w:szCs w:val="18"/>
              </w:rPr>
              <w:t xml:space="preserve"> High</w:t>
            </w:r>
          </w:p>
          <w:p w14:paraId="34D1A708" w14:textId="77777777" w:rsidR="00B1510A" w:rsidRPr="00894701" w:rsidRDefault="00B1510A" w:rsidP="00446B8D">
            <w:pPr>
              <w:spacing w:after="0" w:line="240" w:lineRule="auto"/>
              <w:contextualSpacing/>
              <w:rPr>
                <w:color w:val="auto"/>
                <w:kern w:val="0"/>
                <w:szCs w:val="18"/>
              </w:rPr>
            </w:pPr>
          </w:p>
        </w:tc>
      </w:tr>
      <w:tr w:rsidR="00B96128" w:rsidRPr="00894701" w14:paraId="20096401" w14:textId="77777777" w:rsidTr="00446B8D">
        <w:trPr>
          <w:trHeight w:val="260"/>
        </w:trPr>
        <w:tc>
          <w:tcPr>
            <w:tcW w:w="1395" w:type="pct"/>
            <w:vMerge/>
            <w:tcBorders>
              <w:top w:val="single" w:sz="12" w:space="0" w:color="FF0000"/>
              <w:left w:val="nil"/>
              <w:bottom w:val="nil"/>
              <w:right w:val="nil"/>
            </w:tcBorders>
            <w:vAlign w:val="center"/>
          </w:tcPr>
          <w:p w14:paraId="5C49AAB5" w14:textId="77777777" w:rsidR="00B96128" w:rsidRPr="00894701" w:rsidRDefault="00B96128" w:rsidP="00446B8D">
            <w:pPr>
              <w:spacing w:after="0" w:line="240" w:lineRule="auto"/>
              <w:rPr>
                <w:color w:val="auto"/>
                <w:kern w:val="0"/>
                <w:szCs w:val="18"/>
              </w:rPr>
            </w:pPr>
          </w:p>
        </w:tc>
        <w:tc>
          <w:tcPr>
            <w:tcW w:w="3605" w:type="pct"/>
            <w:tcBorders>
              <w:top w:val="single" w:sz="18" w:space="0" w:color="FF0000"/>
              <w:left w:val="nil"/>
              <w:bottom w:val="single" w:sz="18" w:space="0" w:color="FF0000"/>
              <w:right w:val="nil"/>
            </w:tcBorders>
            <w:shd w:val="clear" w:color="auto" w:fill="auto"/>
            <w:vAlign w:val="bottom"/>
          </w:tcPr>
          <w:p w14:paraId="1126CCC1" w14:textId="77777777" w:rsidR="00B96128" w:rsidRPr="00894701" w:rsidRDefault="00B96128" w:rsidP="00446B8D">
            <w:pPr>
              <w:spacing w:after="0" w:line="240" w:lineRule="auto"/>
              <w:contextualSpacing/>
              <w:rPr>
                <w:b/>
                <w:bCs/>
                <w:color w:val="auto"/>
                <w:kern w:val="0"/>
                <w:szCs w:val="18"/>
              </w:rPr>
            </w:pPr>
          </w:p>
          <w:p w14:paraId="1889CA47" w14:textId="77777777" w:rsidR="00B96128" w:rsidRPr="00894701" w:rsidRDefault="00B96128" w:rsidP="00446B8D">
            <w:pPr>
              <w:spacing w:after="0" w:line="240" w:lineRule="auto"/>
              <w:contextualSpacing/>
              <w:rPr>
                <w:color w:val="auto"/>
                <w:kern w:val="0"/>
                <w:szCs w:val="18"/>
              </w:rPr>
            </w:pPr>
            <w:r w:rsidRPr="00894701">
              <w:rPr>
                <w:b/>
                <w:bCs/>
                <w:color w:val="auto"/>
                <w:kern w:val="0"/>
                <w:szCs w:val="18"/>
                <w:u w:val="single"/>
              </w:rPr>
              <w:t>Current status</w:t>
            </w:r>
            <w:r w:rsidRPr="00894701">
              <w:rPr>
                <w:b/>
                <w:bCs/>
                <w:color w:val="auto"/>
                <w:kern w:val="0"/>
                <w:szCs w:val="18"/>
              </w:rPr>
              <w:t>:</w:t>
            </w:r>
            <w:r w:rsidRPr="00894701">
              <w:rPr>
                <w:color w:val="auto"/>
                <w:kern w:val="0"/>
                <w:szCs w:val="18"/>
              </w:rPr>
              <w:t xml:space="preserve"> No progress</w:t>
            </w:r>
          </w:p>
          <w:p w14:paraId="7921C82D" w14:textId="77777777" w:rsidR="00B1510A" w:rsidRPr="00894701" w:rsidRDefault="00B1510A" w:rsidP="00446B8D">
            <w:pPr>
              <w:spacing w:after="0" w:line="240" w:lineRule="auto"/>
              <w:contextualSpacing/>
              <w:rPr>
                <w:color w:val="auto"/>
                <w:kern w:val="0"/>
                <w:szCs w:val="18"/>
              </w:rPr>
            </w:pPr>
          </w:p>
        </w:tc>
      </w:tr>
    </w:tbl>
    <w:p w14:paraId="7A0C5578" w14:textId="77777777" w:rsidR="006C789B" w:rsidRPr="00894701" w:rsidRDefault="006C789B">
      <w:pPr>
        <w:spacing w:after="0" w:line="240" w:lineRule="auto"/>
        <w:rPr>
          <w:rFonts w:cs="Arial"/>
          <w:color w:val="auto"/>
          <w:sz w:val="20"/>
        </w:rPr>
      </w:pPr>
    </w:p>
    <w:p w14:paraId="67AB5507" w14:textId="77777777" w:rsidR="006C789B" w:rsidRPr="00894701" w:rsidRDefault="006C789B">
      <w:pPr>
        <w:spacing w:after="0" w:line="240" w:lineRule="auto"/>
        <w:rPr>
          <w:rFonts w:cs="Arial"/>
          <w:color w:val="auto"/>
          <w:sz w:val="20"/>
        </w:rPr>
      </w:pPr>
      <w:r w:rsidRPr="00894701">
        <w:rPr>
          <w:rFonts w:cs="Arial"/>
          <w:color w:val="auto"/>
          <w:sz w:val="20"/>
        </w:rPr>
        <w:br w:type="page"/>
      </w:r>
    </w:p>
    <w:p w14:paraId="5041CD5D" w14:textId="366E5CCA" w:rsidR="006C789B" w:rsidRPr="00894701" w:rsidRDefault="006C789B">
      <w:pPr>
        <w:spacing w:after="0" w:line="240" w:lineRule="auto"/>
        <w:rPr>
          <w:rFonts w:cs="Arial"/>
          <w:color w:val="auto"/>
          <w:sz w:val="20"/>
        </w:rPr>
      </w:pPr>
    </w:p>
    <w:p w14:paraId="103F020B" w14:textId="77777777" w:rsidR="00A27577" w:rsidRPr="00894701" w:rsidRDefault="00A27577" w:rsidP="00A27577">
      <w:pPr>
        <w:spacing w:after="0" w:line="240" w:lineRule="auto"/>
        <w:rPr>
          <w:rFonts w:cs="Arial"/>
          <w:sz w:val="20"/>
        </w:rPr>
      </w:pPr>
      <w:r w:rsidRPr="00894701">
        <w:rPr>
          <w:rFonts w:cs="Arial"/>
          <w:sz w:val="20"/>
        </w:rPr>
        <w:t>Legal and institutional framework, including allocation of contracts and licenses</w:t>
      </w:r>
    </w:p>
    <w:p w14:paraId="42EA8B39" w14:textId="6A943EB8" w:rsidR="00A27577" w:rsidRPr="00894701" w:rsidRDefault="00A27577" w:rsidP="00A834A8">
      <w:pPr>
        <w:pStyle w:val="AltMinorHeading"/>
        <w:numPr>
          <w:ilvl w:val="2"/>
          <w:numId w:val="68"/>
        </w:numPr>
        <w:spacing w:before="100" w:beforeAutospacing="1" w:after="120"/>
        <w:ind w:right="454"/>
        <w:rPr>
          <w:color w:val="auto"/>
          <w:sz w:val="20"/>
        </w:rPr>
      </w:pPr>
      <w:bookmarkStart w:id="570" w:name="_Toc122478957"/>
      <w:r w:rsidRPr="00894701">
        <w:rPr>
          <w:rStyle w:val="Emphasis"/>
        </w:rPr>
        <w:t>Legal and institutional framework, including allocation of contracts and licenses</w:t>
      </w:r>
      <w:bookmarkEnd w:id="570"/>
      <w:r w:rsidRPr="00894701">
        <w:rPr>
          <w:color w:val="auto"/>
          <w:sz w:val="20"/>
        </w:rPr>
        <w:tab/>
      </w:r>
      <w:r w:rsidRPr="00894701">
        <w:rPr>
          <w:color w:val="auto"/>
          <w:sz w:val="20"/>
        </w:rPr>
        <w:tab/>
      </w:r>
    </w:p>
    <w:p w14:paraId="16FC5FED" w14:textId="4F4D180F" w:rsidR="001E79E7" w:rsidRPr="00894701" w:rsidRDefault="001E79E7" w:rsidP="00860520">
      <w:pPr>
        <w:spacing w:after="240"/>
        <w:jc w:val="center"/>
        <w:rPr>
          <w:rFonts w:cs="Arial"/>
          <w:color w:val="auto"/>
          <w:sz w:val="20"/>
        </w:rPr>
      </w:pPr>
      <w:bookmarkStart w:id="571" w:name="_Toc146590551"/>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79</w:t>
      </w:r>
      <w:r w:rsidRPr="00894701">
        <w:rPr>
          <w:b/>
          <w:bCs/>
          <w:color w:val="98002E" w:themeColor="accent3"/>
          <w:sz w:val="20"/>
          <w:szCs w:val="20"/>
        </w:rPr>
        <w:fldChar w:fldCharType="end"/>
      </w:r>
      <w:r w:rsidRPr="00894701">
        <w:rPr>
          <w:b/>
          <w:bCs/>
          <w:color w:val="98002E" w:themeColor="accent3"/>
          <w:sz w:val="20"/>
          <w:szCs w:val="20"/>
        </w:rPr>
        <w:t xml:space="preserve">: </w:t>
      </w:r>
      <w:r>
        <w:rPr>
          <w:b/>
          <w:bCs/>
          <w:color w:val="98002E" w:themeColor="accent3"/>
          <w:sz w:val="20"/>
          <w:szCs w:val="20"/>
        </w:rPr>
        <w:t>Recommendation 5</w:t>
      </w:r>
      <w:bookmarkEnd w:id="571"/>
    </w:p>
    <w:tbl>
      <w:tblPr>
        <w:tblW w:w="5000" w:type="pct"/>
        <w:tblLook w:val="04A0" w:firstRow="1" w:lastRow="0" w:firstColumn="1" w:lastColumn="0" w:noHBand="0" w:noVBand="1"/>
      </w:tblPr>
      <w:tblGrid>
        <w:gridCol w:w="3894"/>
        <w:gridCol w:w="10064"/>
      </w:tblGrid>
      <w:tr w:rsidR="006C789B" w:rsidRPr="00894701" w14:paraId="40B4B650" w14:textId="77777777" w:rsidTr="00B639CA">
        <w:trPr>
          <w:trHeight w:val="1985"/>
        </w:trPr>
        <w:tc>
          <w:tcPr>
            <w:tcW w:w="1395" w:type="pct"/>
            <w:vMerge w:val="restart"/>
            <w:tcBorders>
              <w:top w:val="single" w:sz="18" w:space="0" w:color="FF0000"/>
              <w:left w:val="nil"/>
              <w:bottom w:val="nil"/>
              <w:right w:val="nil"/>
            </w:tcBorders>
            <w:shd w:val="clear" w:color="auto" w:fill="auto"/>
          </w:tcPr>
          <w:p w14:paraId="07704EB1" w14:textId="77777777" w:rsidR="006C789B" w:rsidRPr="00894701" w:rsidRDefault="006C789B" w:rsidP="00446B8D">
            <w:pPr>
              <w:spacing w:after="0" w:line="240" w:lineRule="auto"/>
              <w:contextualSpacing/>
              <w:jc w:val="both"/>
              <w:rPr>
                <w:b/>
                <w:bCs/>
                <w:color w:val="auto"/>
                <w:kern w:val="0"/>
                <w:szCs w:val="18"/>
              </w:rPr>
            </w:pPr>
            <w:r w:rsidRPr="00894701">
              <w:rPr>
                <w:b/>
                <w:bCs/>
                <w:color w:val="auto"/>
                <w:kern w:val="0"/>
                <w:szCs w:val="18"/>
                <w:u w:val="single"/>
              </w:rPr>
              <w:t>Description</w:t>
            </w:r>
            <w:r w:rsidRPr="00894701">
              <w:rPr>
                <w:b/>
                <w:bCs/>
                <w:color w:val="auto"/>
                <w:kern w:val="0"/>
                <w:szCs w:val="18"/>
              </w:rPr>
              <w:t>:</w:t>
            </w:r>
          </w:p>
          <w:p w14:paraId="2CF64579" w14:textId="14F3A7D9" w:rsidR="00B1510A" w:rsidRPr="00894701" w:rsidRDefault="001B5289" w:rsidP="00446B8D">
            <w:pPr>
              <w:spacing w:line="240" w:lineRule="auto"/>
              <w:jc w:val="both"/>
              <w:rPr>
                <w:color w:val="auto"/>
                <w:kern w:val="0"/>
                <w:szCs w:val="18"/>
              </w:rPr>
            </w:pPr>
            <w:r w:rsidRPr="00894701">
              <w:rPr>
                <w:color w:val="auto"/>
                <w:kern w:val="0"/>
                <w:szCs w:val="18"/>
              </w:rPr>
              <w:t>In accordance with Requirement 2.2</w:t>
            </w:r>
          </w:p>
        </w:tc>
        <w:tc>
          <w:tcPr>
            <w:tcW w:w="3605" w:type="pct"/>
            <w:tcBorders>
              <w:top w:val="single" w:sz="18" w:space="0" w:color="FF0000"/>
              <w:left w:val="nil"/>
              <w:bottom w:val="single" w:sz="18" w:space="0" w:color="FF0000"/>
              <w:right w:val="nil"/>
            </w:tcBorders>
            <w:shd w:val="clear" w:color="auto" w:fill="auto"/>
          </w:tcPr>
          <w:p w14:paraId="7ED40AD8" w14:textId="77777777" w:rsidR="006C789B" w:rsidRPr="00894701" w:rsidRDefault="006C789B" w:rsidP="00446B8D">
            <w:pPr>
              <w:spacing w:after="60" w:line="240" w:lineRule="auto"/>
              <w:jc w:val="both"/>
              <w:rPr>
                <w:b/>
                <w:bCs/>
                <w:color w:val="auto"/>
                <w:kern w:val="0"/>
                <w:szCs w:val="18"/>
              </w:rPr>
            </w:pPr>
            <w:r w:rsidRPr="00894701">
              <w:rPr>
                <w:b/>
                <w:bCs/>
                <w:color w:val="auto"/>
                <w:kern w:val="0"/>
                <w:szCs w:val="18"/>
                <w:u w:val="single"/>
              </w:rPr>
              <w:t>Recommended actions</w:t>
            </w:r>
            <w:r w:rsidRPr="00894701">
              <w:rPr>
                <w:b/>
                <w:bCs/>
                <w:color w:val="auto"/>
                <w:kern w:val="0"/>
                <w:szCs w:val="18"/>
              </w:rPr>
              <w:t>:</w:t>
            </w:r>
          </w:p>
          <w:p w14:paraId="4CD273E3" w14:textId="19D61E3E" w:rsidR="00B1510A" w:rsidRPr="00894701" w:rsidRDefault="001B5289" w:rsidP="00446B8D">
            <w:pPr>
              <w:spacing w:after="60" w:line="240" w:lineRule="auto"/>
              <w:jc w:val="both"/>
              <w:rPr>
                <w:color w:val="auto"/>
                <w:kern w:val="0"/>
                <w:szCs w:val="18"/>
              </w:rPr>
            </w:pPr>
            <w:r w:rsidRPr="00894701">
              <w:rPr>
                <w:color w:val="auto"/>
                <w:kern w:val="0"/>
                <w:szCs w:val="18"/>
              </w:rPr>
              <w:t>Suriname should ensure that comprehensive information about the recipients of mining, oil and gas licenses awarded and transferred in the year(s) under review are publicly accessible, alongside a description of the actual allocation and transfer process including the roles of relevant government entities and technical and financial criteria assessed (and weightings if applicable), and any non-trivial deviations from statutory procedures in practice. Where licenses are awarded through a bidding process, the government is required to disclose the list of applicants and the bid criteria. Suriname may also wish to comment on the efficiency of the current license allocation and transfer system as a means of clarifying procedures and curbing non-trivial deviations under review.</w:t>
            </w:r>
          </w:p>
        </w:tc>
      </w:tr>
      <w:tr w:rsidR="006C789B" w:rsidRPr="00894701" w14:paraId="49AF99FA" w14:textId="77777777" w:rsidTr="00446B8D">
        <w:trPr>
          <w:trHeight w:val="260"/>
        </w:trPr>
        <w:tc>
          <w:tcPr>
            <w:tcW w:w="1395" w:type="pct"/>
            <w:vMerge/>
            <w:tcBorders>
              <w:top w:val="single" w:sz="12" w:space="0" w:color="FF0000"/>
              <w:left w:val="nil"/>
              <w:bottom w:val="nil"/>
              <w:right w:val="nil"/>
            </w:tcBorders>
            <w:vAlign w:val="center"/>
          </w:tcPr>
          <w:p w14:paraId="6FC2F5A6" w14:textId="77777777" w:rsidR="006C789B" w:rsidRPr="00894701" w:rsidRDefault="006C789B" w:rsidP="00446B8D">
            <w:pPr>
              <w:spacing w:after="0" w:line="240" w:lineRule="auto"/>
              <w:rPr>
                <w:color w:val="auto"/>
                <w:kern w:val="0"/>
                <w:szCs w:val="18"/>
              </w:rPr>
            </w:pPr>
          </w:p>
        </w:tc>
        <w:tc>
          <w:tcPr>
            <w:tcW w:w="3605" w:type="pct"/>
            <w:tcBorders>
              <w:top w:val="single" w:sz="18" w:space="0" w:color="FF0000"/>
              <w:left w:val="nil"/>
              <w:bottom w:val="single" w:sz="18" w:space="0" w:color="FF0000"/>
              <w:right w:val="nil"/>
            </w:tcBorders>
            <w:shd w:val="clear" w:color="auto" w:fill="auto"/>
            <w:noWrap/>
            <w:vAlign w:val="bottom"/>
          </w:tcPr>
          <w:p w14:paraId="2556D24C" w14:textId="77777777" w:rsidR="006C789B" w:rsidRPr="00894701" w:rsidRDefault="006C789B" w:rsidP="00446B8D">
            <w:pPr>
              <w:spacing w:after="0" w:line="240" w:lineRule="auto"/>
              <w:contextualSpacing/>
              <w:rPr>
                <w:b/>
                <w:bCs/>
                <w:color w:val="auto"/>
                <w:kern w:val="0"/>
                <w:szCs w:val="18"/>
              </w:rPr>
            </w:pPr>
          </w:p>
          <w:p w14:paraId="0ECE8428" w14:textId="1D1E7F62" w:rsidR="006C789B" w:rsidRPr="00894701" w:rsidRDefault="006C789B" w:rsidP="00446B8D">
            <w:pPr>
              <w:spacing w:after="0" w:line="240" w:lineRule="auto"/>
              <w:contextualSpacing/>
              <w:rPr>
                <w:color w:val="auto"/>
                <w:kern w:val="0"/>
                <w:szCs w:val="18"/>
              </w:rPr>
            </w:pPr>
            <w:r w:rsidRPr="00894701">
              <w:rPr>
                <w:b/>
                <w:bCs/>
                <w:color w:val="auto"/>
                <w:kern w:val="0"/>
                <w:szCs w:val="18"/>
                <w:u w:val="single"/>
              </w:rPr>
              <w:t>Related agencies</w:t>
            </w:r>
            <w:r w:rsidRPr="00894701">
              <w:rPr>
                <w:b/>
                <w:bCs/>
                <w:color w:val="auto"/>
                <w:kern w:val="0"/>
                <w:szCs w:val="18"/>
              </w:rPr>
              <w:t>:</w:t>
            </w:r>
            <w:r w:rsidRPr="00894701">
              <w:rPr>
                <w:color w:val="auto"/>
                <w:kern w:val="0"/>
                <w:szCs w:val="18"/>
              </w:rPr>
              <w:t xml:space="preserve"> </w:t>
            </w:r>
            <w:r w:rsidR="009C358E" w:rsidRPr="00894701">
              <w:rPr>
                <w:color w:val="auto"/>
                <w:kern w:val="0"/>
                <w:szCs w:val="18"/>
              </w:rPr>
              <w:t>Government, esp. MINFIN and Planning and MONR</w:t>
            </w:r>
          </w:p>
          <w:p w14:paraId="23B09E24" w14:textId="77777777" w:rsidR="00B1510A" w:rsidRPr="00894701" w:rsidRDefault="00B1510A" w:rsidP="00446B8D">
            <w:pPr>
              <w:spacing w:after="0" w:line="240" w:lineRule="auto"/>
              <w:contextualSpacing/>
              <w:rPr>
                <w:color w:val="auto"/>
                <w:kern w:val="0"/>
                <w:szCs w:val="18"/>
              </w:rPr>
            </w:pPr>
          </w:p>
        </w:tc>
      </w:tr>
      <w:tr w:rsidR="006C789B" w:rsidRPr="00894701" w14:paraId="78C2781C" w14:textId="77777777" w:rsidTr="00446B8D">
        <w:trPr>
          <w:trHeight w:val="260"/>
        </w:trPr>
        <w:tc>
          <w:tcPr>
            <w:tcW w:w="1395" w:type="pct"/>
            <w:vMerge/>
            <w:tcBorders>
              <w:top w:val="single" w:sz="12" w:space="0" w:color="FF0000"/>
              <w:left w:val="nil"/>
              <w:bottom w:val="nil"/>
              <w:right w:val="nil"/>
            </w:tcBorders>
            <w:vAlign w:val="center"/>
          </w:tcPr>
          <w:p w14:paraId="70B2EFEC" w14:textId="77777777" w:rsidR="006C789B" w:rsidRPr="00894701" w:rsidRDefault="006C789B" w:rsidP="00446B8D">
            <w:pPr>
              <w:spacing w:after="0" w:line="240" w:lineRule="auto"/>
              <w:rPr>
                <w:color w:val="auto"/>
                <w:kern w:val="0"/>
                <w:szCs w:val="18"/>
              </w:rPr>
            </w:pPr>
          </w:p>
        </w:tc>
        <w:tc>
          <w:tcPr>
            <w:tcW w:w="3605" w:type="pct"/>
            <w:tcBorders>
              <w:top w:val="single" w:sz="18" w:space="0" w:color="FF0000"/>
              <w:left w:val="nil"/>
              <w:bottom w:val="single" w:sz="18" w:space="0" w:color="FF0000"/>
              <w:right w:val="nil"/>
            </w:tcBorders>
            <w:shd w:val="clear" w:color="auto" w:fill="auto"/>
            <w:noWrap/>
            <w:vAlign w:val="bottom"/>
          </w:tcPr>
          <w:p w14:paraId="1BAB245A" w14:textId="77777777" w:rsidR="006C789B" w:rsidRPr="00894701" w:rsidRDefault="006C789B" w:rsidP="00446B8D">
            <w:pPr>
              <w:spacing w:after="0" w:line="240" w:lineRule="auto"/>
              <w:contextualSpacing/>
              <w:rPr>
                <w:b/>
                <w:bCs/>
                <w:color w:val="auto"/>
                <w:kern w:val="0"/>
                <w:szCs w:val="18"/>
              </w:rPr>
            </w:pPr>
          </w:p>
          <w:p w14:paraId="0F9E4EAA" w14:textId="77777777" w:rsidR="006C789B" w:rsidRPr="00894701" w:rsidRDefault="006C789B" w:rsidP="00446B8D">
            <w:pPr>
              <w:spacing w:after="0" w:line="240" w:lineRule="auto"/>
              <w:contextualSpacing/>
              <w:rPr>
                <w:color w:val="auto"/>
                <w:kern w:val="0"/>
                <w:szCs w:val="18"/>
              </w:rPr>
            </w:pPr>
            <w:r w:rsidRPr="00894701">
              <w:rPr>
                <w:b/>
                <w:bCs/>
                <w:color w:val="auto"/>
                <w:kern w:val="0"/>
                <w:szCs w:val="18"/>
                <w:u w:val="single"/>
              </w:rPr>
              <w:t>Priority</w:t>
            </w:r>
            <w:r w:rsidRPr="00894701">
              <w:rPr>
                <w:b/>
                <w:bCs/>
                <w:color w:val="auto"/>
                <w:kern w:val="0"/>
                <w:szCs w:val="18"/>
              </w:rPr>
              <w:t>:</w:t>
            </w:r>
            <w:r w:rsidRPr="00894701">
              <w:rPr>
                <w:color w:val="auto"/>
                <w:kern w:val="0"/>
                <w:szCs w:val="18"/>
              </w:rPr>
              <w:t xml:space="preserve"> High</w:t>
            </w:r>
          </w:p>
          <w:p w14:paraId="473C8B8D" w14:textId="77777777" w:rsidR="00B1510A" w:rsidRPr="00894701" w:rsidRDefault="00B1510A" w:rsidP="00446B8D">
            <w:pPr>
              <w:spacing w:after="0" w:line="240" w:lineRule="auto"/>
              <w:contextualSpacing/>
              <w:rPr>
                <w:color w:val="auto"/>
                <w:kern w:val="0"/>
                <w:szCs w:val="18"/>
              </w:rPr>
            </w:pPr>
          </w:p>
        </w:tc>
      </w:tr>
      <w:tr w:rsidR="006C789B" w:rsidRPr="00894701" w14:paraId="2787EA40" w14:textId="77777777" w:rsidTr="00446B8D">
        <w:trPr>
          <w:trHeight w:val="260"/>
        </w:trPr>
        <w:tc>
          <w:tcPr>
            <w:tcW w:w="1395" w:type="pct"/>
            <w:vMerge/>
            <w:tcBorders>
              <w:top w:val="single" w:sz="12" w:space="0" w:color="FF0000"/>
              <w:left w:val="nil"/>
              <w:bottom w:val="nil"/>
              <w:right w:val="nil"/>
            </w:tcBorders>
            <w:vAlign w:val="center"/>
          </w:tcPr>
          <w:p w14:paraId="5786CCD8" w14:textId="77777777" w:rsidR="006C789B" w:rsidRPr="00894701" w:rsidRDefault="006C789B" w:rsidP="00446B8D">
            <w:pPr>
              <w:spacing w:after="0" w:line="240" w:lineRule="auto"/>
              <w:rPr>
                <w:color w:val="auto"/>
                <w:kern w:val="0"/>
                <w:szCs w:val="18"/>
              </w:rPr>
            </w:pPr>
          </w:p>
        </w:tc>
        <w:tc>
          <w:tcPr>
            <w:tcW w:w="3605" w:type="pct"/>
            <w:tcBorders>
              <w:top w:val="single" w:sz="18" w:space="0" w:color="FF0000"/>
              <w:left w:val="nil"/>
              <w:bottom w:val="single" w:sz="18" w:space="0" w:color="FF0000"/>
              <w:right w:val="nil"/>
            </w:tcBorders>
            <w:shd w:val="clear" w:color="auto" w:fill="auto"/>
            <w:vAlign w:val="bottom"/>
          </w:tcPr>
          <w:p w14:paraId="696D7247" w14:textId="77777777" w:rsidR="006C789B" w:rsidRPr="00894701" w:rsidRDefault="006C789B" w:rsidP="00446B8D">
            <w:pPr>
              <w:spacing w:after="0" w:line="240" w:lineRule="auto"/>
              <w:contextualSpacing/>
              <w:rPr>
                <w:b/>
                <w:bCs/>
                <w:color w:val="auto"/>
                <w:kern w:val="0"/>
                <w:szCs w:val="18"/>
              </w:rPr>
            </w:pPr>
          </w:p>
          <w:p w14:paraId="26C5F8A4" w14:textId="77777777" w:rsidR="006C789B" w:rsidRPr="00894701" w:rsidRDefault="006C789B" w:rsidP="00446B8D">
            <w:pPr>
              <w:spacing w:after="0" w:line="240" w:lineRule="auto"/>
              <w:contextualSpacing/>
              <w:rPr>
                <w:color w:val="auto"/>
                <w:kern w:val="0"/>
                <w:szCs w:val="18"/>
              </w:rPr>
            </w:pPr>
            <w:r w:rsidRPr="00894701">
              <w:rPr>
                <w:b/>
                <w:bCs/>
                <w:color w:val="auto"/>
                <w:kern w:val="0"/>
                <w:szCs w:val="18"/>
                <w:u w:val="single"/>
              </w:rPr>
              <w:t>Current status</w:t>
            </w:r>
            <w:r w:rsidRPr="00894701">
              <w:rPr>
                <w:b/>
                <w:bCs/>
                <w:color w:val="auto"/>
                <w:kern w:val="0"/>
                <w:szCs w:val="18"/>
              </w:rPr>
              <w:t>:</w:t>
            </w:r>
            <w:r w:rsidRPr="00894701">
              <w:rPr>
                <w:color w:val="auto"/>
                <w:kern w:val="0"/>
                <w:szCs w:val="18"/>
              </w:rPr>
              <w:t xml:space="preserve"> No progress</w:t>
            </w:r>
          </w:p>
          <w:p w14:paraId="13E0862B" w14:textId="77777777" w:rsidR="00B1510A" w:rsidRPr="00894701" w:rsidRDefault="00B1510A" w:rsidP="00446B8D">
            <w:pPr>
              <w:spacing w:after="0" w:line="240" w:lineRule="auto"/>
              <w:contextualSpacing/>
              <w:rPr>
                <w:color w:val="auto"/>
                <w:kern w:val="0"/>
                <w:szCs w:val="18"/>
              </w:rPr>
            </w:pPr>
          </w:p>
        </w:tc>
      </w:tr>
    </w:tbl>
    <w:p w14:paraId="47BD646A" w14:textId="77777777" w:rsidR="00B639CA" w:rsidRPr="00894701" w:rsidRDefault="00B639CA">
      <w:pPr>
        <w:spacing w:after="0" w:line="240" w:lineRule="auto"/>
        <w:rPr>
          <w:rFonts w:cs="Arial"/>
          <w:color w:val="auto"/>
          <w:sz w:val="20"/>
        </w:rPr>
      </w:pPr>
    </w:p>
    <w:p w14:paraId="7867B59E" w14:textId="77777777" w:rsidR="00B639CA" w:rsidRPr="00894701" w:rsidRDefault="00B639CA">
      <w:pPr>
        <w:spacing w:after="0" w:line="240" w:lineRule="auto"/>
        <w:rPr>
          <w:rFonts w:cs="Arial"/>
          <w:color w:val="auto"/>
          <w:sz w:val="20"/>
        </w:rPr>
      </w:pPr>
      <w:r w:rsidRPr="00894701">
        <w:rPr>
          <w:rFonts w:cs="Arial"/>
          <w:color w:val="auto"/>
          <w:sz w:val="20"/>
        </w:rPr>
        <w:br w:type="page"/>
      </w:r>
    </w:p>
    <w:p w14:paraId="270D70C6" w14:textId="02F45E08" w:rsidR="005D09D5" w:rsidRPr="00894701" w:rsidRDefault="001E79E7" w:rsidP="00860520">
      <w:pPr>
        <w:spacing w:after="240"/>
        <w:jc w:val="center"/>
        <w:rPr>
          <w:rFonts w:cs="Arial"/>
          <w:color w:val="auto"/>
          <w:sz w:val="20"/>
        </w:rPr>
      </w:pPr>
      <w:bookmarkStart w:id="572" w:name="_Toc146590552"/>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80</w:t>
      </w:r>
      <w:r w:rsidRPr="00894701">
        <w:rPr>
          <w:b/>
          <w:bCs/>
          <w:color w:val="98002E" w:themeColor="accent3"/>
          <w:sz w:val="20"/>
          <w:szCs w:val="20"/>
        </w:rPr>
        <w:fldChar w:fldCharType="end"/>
      </w:r>
      <w:r w:rsidRPr="00894701">
        <w:rPr>
          <w:b/>
          <w:bCs/>
          <w:color w:val="98002E" w:themeColor="accent3"/>
          <w:sz w:val="20"/>
          <w:szCs w:val="20"/>
        </w:rPr>
        <w:t xml:space="preserve">: </w:t>
      </w:r>
      <w:r>
        <w:rPr>
          <w:b/>
          <w:bCs/>
          <w:color w:val="98002E" w:themeColor="accent3"/>
          <w:sz w:val="20"/>
          <w:szCs w:val="20"/>
        </w:rPr>
        <w:t>Recommendation 6</w:t>
      </w:r>
      <w:bookmarkEnd w:id="572"/>
    </w:p>
    <w:tbl>
      <w:tblPr>
        <w:tblW w:w="5000" w:type="pct"/>
        <w:tblLook w:val="04A0" w:firstRow="1" w:lastRow="0" w:firstColumn="1" w:lastColumn="0" w:noHBand="0" w:noVBand="1"/>
      </w:tblPr>
      <w:tblGrid>
        <w:gridCol w:w="3894"/>
        <w:gridCol w:w="10064"/>
      </w:tblGrid>
      <w:tr w:rsidR="005D09D5" w:rsidRPr="00894701" w14:paraId="6C5CE2A4" w14:textId="77777777" w:rsidTr="00446B8D">
        <w:trPr>
          <w:trHeight w:val="1985"/>
        </w:trPr>
        <w:tc>
          <w:tcPr>
            <w:tcW w:w="1395" w:type="pct"/>
            <w:vMerge w:val="restart"/>
            <w:tcBorders>
              <w:top w:val="single" w:sz="18" w:space="0" w:color="FF0000"/>
              <w:left w:val="nil"/>
              <w:bottom w:val="nil"/>
              <w:right w:val="nil"/>
            </w:tcBorders>
            <w:shd w:val="clear" w:color="auto" w:fill="auto"/>
          </w:tcPr>
          <w:p w14:paraId="49AC1CD1" w14:textId="77777777" w:rsidR="005D09D5" w:rsidRPr="00894701" w:rsidRDefault="005D09D5" w:rsidP="00446B8D">
            <w:pPr>
              <w:spacing w:after="0" w:line="240" w:lineRule="auto"/>
              <w:contextualSpacing/>
              <w:jc w:val="both"/>
              <w:rPr>
                <w:b/>
                <w:bCs/>
                <w:color w:val="auto"/>
                <w:kern w:val="0"/>
                <w:szCs w:val="18"/>
              </w:rPr>
            </w:pPr>
            <w:r w:rsidRPr="00894701">
              <w:rPr>
                <w:b/>
                <w:bCs/>
                <w:color w:val="auto"/>
                <w:kern w:val="0"/>
                <w:szCs w:val="18"/>
                <w:u w:val="single"/>
              </w:rPr>
              <w:t>Description</w:t>
            </w:r>
            <w:r w:rsidRPr="00894701">
              <w:rPr>
                <w:b/>
                <w:bCs/>
                <w:color w:val="auto"/>
                <w:kern w:val="0"/>
                <w:szCs w:val="18"/>
              </w:rPr>
              <w:t>:</w:t>
            </w:r>
          </w:p>
          <w:p w14:paraId="572077F5" w14:textId="6FDC2B4E" w:rsidR="005D09D5" w:rsidRPr="00894701" w:rsidRDefault="009C358E" w:rsidP="00446B8D">
            <w:pPr>
              <w:spacing w:after="0" w:line="240" w:lineRule="auto"/>
              <w:contextualSpacing/>
              <w:jc w:val="both"/>
              <w:rPr>
                <w:color w:val="auto"/>
                <w:kern w:val="0"/>
                <w:szCs w:val="18"/>
              </w:rPr>
            </w:pPr>
            <w:r w:rsidRPr="00894701">
              <w:rPr>
                <w:color w:val="auto"/>
                <w:kern w:val="0"/>
                <w:szCs w:val="18"/>
              </w:rPr>
              <w:t>In accordance with Requirement 2.3</w:t>
            </w:r>
          </w:p>
          <w:p w14:paraId="13A6DCEE" w14:textId="3A656562" w:rsidR="00B1510A" w:rsidRPr="00894701" w:rsidRDefault="00B1510A" w:rsidP="00446B8D">
            <w:pPr>
              <w:spacing w:line="240" w:lineRule="auto"/>
              <w:jc w:val="both"/>
              <w:rPr>
                <w:color w:val="auto"/>
                <w:kern w:val="0"/>
                <w:szCs w:val="18"/>
              </w:rPr>
            </w:pPr>
          </w:p>
        </w:tc>
        <w:tc>
          <w:tcPr>
            <w:tcW w:w="3605" w:type="pct"/>
            <w:tcBorders>
              <w:top w:val="single" w:sz="18" w:space="0" w:color="FF0000"/>
              <w:left w:val="nil"/>
              <w:bottom w:val="single" w:sz="18" w:space="0" w:color="FF0000"/>
              <w:right w:val="nil"/>
            </w:tcBorders>
            <w:shd w:val="clear" w:color="auto" w:fill="auto"/>
          </w:tcPr>
          <w:p w14:paraId="037651A9" w14:textId="77777777" w:rsidR="005D09D5" w:rsidRPr="00894701" w:rsidRDefault="005D09D5" w:rsidP="00446B8D">
            <w:pPr>
              <w:spacing w:after="60" w:line="240" w:lineRule="auto"/>
              <w:jc w:val="both"/>
              <w:rPr>
                <w:b/>
                <w:bCs/>
                <w:color w:val="auto"/>
                <w:kern w:val="0"/>
                <w:szCs w:val="18"/>
              </w:rPr>
            </w:pPr>
            <w:r w:rsidRPr="00894701">
              <w:rPr>
                <w:b/>
                <w:bCs/>
                <w:color w:val="auto"/>
                <w:kern w:val="0"/>
                <w:szCs w:val="18"/>
                <w:u w:val="single"/>
              </w:rPr>
              <w:t>Recommended actions</w:t>
            </w:r>
            <w:r w:rsidRPr="00894701">
              <w:rPr>
                <w:b/>
                <w:bCs/>
                <w:color w:val="auto"/>
                <w:kern w:val="0"/>
                <w:szCs w:val="18"/>
              </w:rPr>
              <w:t>:</w:t>
            </w:r>
          </w:p>
          <w:p w14:paraId="55C4722C" w14:textId="4A628424" w:rsidR="00B1510A" w:rsidRPr="00894701" w:rsidRDefault="009C358E" w:rsidP="00446B8D">
            <w:pPr>
              <w:spacing w:after="60" w:line="240" w:lineRule="auto"/>
              <w:jc w:val="both"/>
              <w:rPr>
                <w:color w:val="auto"/>
                <w:kern w:val="0"/>
                <w:szCs w:val="18"/>
              </w:rPr>
            </w:pPr>
            <w:r w:rsidRPr="00894701">
              <w:rPr>
                <w:color w:val="auto"/>
                <w:kern w:val="0"/>
                <w:szCs w:val="18"/>
              </w:rPr>
              <w:t>Suriname should maintain a publicly available register or cadastre system with timely and comprehensive information on all mining, oil and gas licenses including license-holder name, dates of application, award and expiry, commodity(ies) covered and coordinates. The MSG should work with the MONR, GMD and Staatsolie to ensure all license information listed in Requirement 2.3.b is available for all extractives licenses active in the period</w:t>
            </w:r>
          </w:p>
        </w:tc>
      </w:tr>
      <w:tr w:rsidR="005D09D5" w:rsidRPr="00894701" w14:paraId="1CD28409" w14:textId="77777777" w:rsidTr="00446B8D">
        <w:trPr>
          <w:trHeight w:val="260"/>
        </w:trPr>
        <w:tc>
          <w:tcPr>
            <w:tcW w:w="1395" w:type="pct"/>
            <w:vMerge/>
            <w:tcBorders>
              <w:top w:val="single" w:sz="12" w:space="0" w:color="FF0000"/>
              <w:left w:val="nil"/>
              <w:bottom w:val="nil"/>
              <w:right w:val="nil"/>
            </w:tcBorders>
            <w:vAlign w:val="center"/>
          </w:tcPr>
          <w:p w14:paraId="426F938E" w14:textId="77777777" w:rsidR="005D09D5" w:rsidRPr="00894701" w:rsidRDefault="005D09D5" w:rsidP="00446B8D">
            <w:pPr>
              <w:spacing w:after="0" w:line="240" w:lineRule="auto"/>
              <w:rPr>
                <w:color w:val="auto"/>
                <w:kern w:val="0"/>
                <w:szCs w:val="18"/>
              </w:rPr>
            </w:pPr>
          </w:p>
        </w:tc>
        <w:tc>
          <w:tcPr>
            <w:tcW w:w="3605" w:type="pct"/>
            <w:tcBorders>
              <w:top w:val="single" w:sz="18" w:space="0" w:color="FF0000"/>
              <w:left w:val="nil"/>
              <w:bottom w:val="single" w:sz="18" w:space="0" w:color="FF0000"/>
              <w:right w:val="nil"/>
            </w:tcBorders>
            <w:shd w:val="clear" w:color="auto" w:fill="auto"/>
            <w:noWrap/>
            <w:vAlign w:val="bottom"/>
          </w:tcPr>
          <w:p w14:paraId="4D7C90AB" w14:textId="77777777" w:rsidR="005D09D5" w:rsidRPr="00894701" w:rsidRDefault="005D09D5" w:rsidP="00446B8D">
            <w:pPr>
              <w:spacing w:after="0" w:line="240" w:lineRule="auto"/>
              <w:contextualSpacing/>
              <w:rPr>
                <w:b/>
                <w:bCs/>
                <w:color w:val="auto"/>
                <w:kern w:val="0"/>
                <w:szCs w:val="18"/>
              </w:rPr>
            </w:pPr>
          </w:p>
          <w:p w14:paraId="3EC6C10B" w14:textId="1D7AFAEB" w:rsidR="005D09D5" w:rsidRPr="00894701" w:rsidRDefault="005D09D5" w:rsidP="00446B8D">
            <w:pPr>
              <w:spacing w:after="0" w:line="240" w:lineRule="auto"/>
              <w:contextualSpacing/>
              <w:rPr>
                <w:color w:val="auto"/>
                <w:kern w:val="0"/>
                <w:szCs w:val="18"/>
              </w:rPr>
            </w:pPr>
            <w:r w:rsidRPr="00894701">
              <w:rPr>
                <w:b/>
                <w:bCs/>
                <w:color w:val="auto"/>
                <w:kern w:val="0"/>
                <w:szCs w:val="18"/>
                <w:u w:val="single"/>
              </w:rPr>
              <w:t>Related agencies</w:t>
            </w:r>
            <w:r w:rsidRPr="00894701">
              <w:rPr>
                <w:b/>
                <w:bCs/>
                <w:color w:val="auto"/>
                <w:kern w:val="0"/>
                <w:szCs w:val="18"/>
              </w:rPr>
              <w:t>:</w:t>
            </w:r>
            <w:r w:rsidRPr="00894701">
              <w:rPr>
                <w:color w:val="auto"/>
                <w:kern w:val="0"/>
                <w:szCs w:val="18"/>
              </w:rPr>
              <w:t xml:space="preserve"> </w:t>
            </w:r>
            <w:r w:rsidR="009C358E" w:rsidRPr="00894701">
              <w:rPr>
                <w:color w:val="auto"/>
                <w:kern w:val="0"/>
                <w:szCs w:val="18"/>
              </w:rPr>
              <w:t>MSG/ MONR</w:t>
            </w:r>
          </w:p>
          <w:p w14:paraId="69E8A36D" w14:textId="77777777" w:rsidR="00B1510A" w:rsidRPr="00894701" w:rsidRDefault="00B1510A" w:rsidP="00446B8D">
            <w:pPr>
              <w:spacing w:after="0" w:line="240" w:lineRule="auto"/>
              <w:contextualSpacing/>
              <w:rPr>
                <w:color w:val="auto"/>
                <w:kern w:val="0"/>
                <w:szCs w:val="18"/>
              </w:rPr>
            </w:pPr>
          </w:p>
        </w:tc>
      </w:tr>
      <w:tr w:rsidR="005D09D5" w:rsidRPr="00894701" w14:paraId="554846BC" w14:textId="77777777" w:rsidTr="00446B8D">
        <w:trPr>
          <w:trHeight w:val="260"/>
        </w:trPr>
        <w:tc>
          <w:tcPr>
            <w:tcW w:w="1395" w:type="pct"/>
            <w:vMerge/>
            <w:tcBorders>
              <w:top w:val="single" w:sz="12" w:space="0" w:color="FF0000"/>
              <w:left w:val="nil"/>
              <w:bottom w:val="nil"/>
              <w:right w:val="nil"/>
            </w:tcBorders>
            <w:vAlign w:val="center"/>
          </w:tcPr>
          <w:p w14:paraId="53201546" w14:textId="77777777" w:rsidR="005D09D5" w:rsidRPr="00894701" w:rsidRDefault="005D09D5" w:rsidP="00446B8D">
            <w:pPr>
              <w:spacing w:after="0" w:line="240" w:lineRule="auto"/>
              <w:rPr>
                <w:color w:val="auto"/>
                <w:kern w:val="0"/>
                <w:szCs w:val="18"/>
              </w:rPr>
            </w:pPr>
          </w:p>
        </w:tc>
        <w:tc>
          <w:tcPr>
            <w:tcW w:w="3605" w:type="pct"/>
            <w:tcBorders>
              <w:top w:val="single" w:sz="18" w:space="0" w:color="FF0000"/>
              <w:left w:val="nil"/>
              <w:bottom w:val="single" w:sz="18" w:space="0" w:color="FF0000"/>
              <w:right w:val="nil"/>
            </w:tcBorders>
            <w:shd w:val="clear" w:color="auto" w:fill="auto"/>
            <w:noWrap/>
            <w:vAlign w:val="bottom"/>
          </w:tcPr>
          <w:p w14:paraId="10DD0DA0" w14:textId="77777777" w:rsidR="005D09D5" w:rsidRPr="00894701" w:rsidRDefault="005D09D5" w:rsidP="00446B8D">
            <w:pPr>
              <w:spacing w:after="0" w:line="240" w:lineRule="auto"/>
              <w:contextualSpacing/>
              <w:rPr>
                <w:b/>
                <w:bCs/>
                <w:color w:val="auto"/>
                <w:kern w:val="0"/>
                <w:szCs w:val="18"/>
              </w:rPr>
            </w:pPr>
          </w:p>
          <w:p w14:paraId="0B607BE2" w14:textId="77777777" w:rsidR="005D09D5" w:rsidRPr="00894701" w:rsidRDefault="005D09D5" w:rsidP="00446B8D">
            <w:pPr>
              <w:spacing w:after="0" w:line="240" w:lineRule="auto"/>
              <w:contextualSpacing/>
              <w:rPr>
                <w:color w:val="auto"/>
                <w:kern w:val="0"/>
                <w:szCs w:val="18"/>
              </w:rPr>
            </w:pPr>
            <w:r w:rsidRPr="00894701">
              <w:rPr>
                <w:b/>
                <w:bCs/>
                <w:color w:val="auto"/>
                <w:kern w:val="0"/>
                <w:szCs w:val="18"/>
                <w:u w:val="single"/>
              </w:rPr>
              <w:t>Priority</w:t>
            </w:r>
            <w:r w:rsidRPr="00894701">
              <w:rPr>
                <w:b/>
                <w:bCs/>
                <w:color w:val="auto"/>
                <w:kern w:val="0"/>
                <w:szCs w:val="18"/>
              </w:rPr>
              <w:t>:</w:t>
            </w:r>
            <w:r w:rsidRPr="00894701">
              <w:rPr>
                <w:color w:val="auto"/>
                <w:kern w:val="0"/>
                <w:szCs w:val="18"/>
              </w:rPr>
              <w:t xml:space="preserve"> High</w:t>
            </w:r>
          </w:p>
          <w:p w14:paraId="0F7D4EE4" w14:textId="77777777" w:rsidR="00B1510A" w:rsidRPr="00894701" w:rsidRDefault="00B1510A" w:rsidP="00446B8D">
            <w:pPr>
              <w:spacing w:after="0" w:line="240" w:lineRule="auto"/>
              <w:contextualSpacing/>
              <w:rPr>
                <w:color w:val="auto"/>
                <w:kern w:val="0"/>
                <w:szCs w:val="18"/>
              </w:rPr>
            </w:pPr>
          </w:p>
        </w:tc>
      </w:tr>
      <w:tr w:rsidR="005D09D5" w:rsidRPr="00894701" w14:paraId="44E5F433" w14:textId="77777777" w:rsidTr="00446B8D">
        <w:trPr>
          <w:trHeight w:val="260"/>
        </w:trPr>
        <w:tc>
          <w:tcPr>
            <w:tcW w:w="1395" w:type="pct"/>
            <w:vMerge/>
            <w:tcBorders>
              <w:top w:val="single" w:sz="12" w:space="0" w:color="FF0000"/>
              <w:left w:val="nil"/>
              <w:bottom w:val="nil"/>
              <w:right w:val="nil"/>
            </w:tcBorders>
            <w:vAlign w:val="center"/>
          </w:tcPr>
          <w:p w14:paraId="50CE8631" w14:textId="77777777" w:rsidR="005D09D5" w:rsidRPr="00894701" w:rsidRDefault="005D09D5" w:rsidP="00446B8D">
            <w:pPr>
              <w:spacing w:after="0" w:line="240" w:lineRule="auto"/>
              <w:rPr>
                <w:color w:val="auto"/>
                <w:kern w:val="0"/>
                <w:szCs w:val="18"/>
              </w:rPr>
            </w:pPr>
          </w:p>
        </w:tc>
        <w:tc>
          <w:tcPr>
            <w:tcW w:w="3605" w:type="pct"/>
            <w:tcBorders>
              <w:top w:val="single" w:sz="18" w:space="0" w:color="FF0000"/>
              <w:left w:val="nil"/>
              <w:bottom w:val="single" w:sz="18" w:space="0" w:color="FF0000"/>
              <w:right w:val="nil"/>
            </w:tcBorders>
            <w:shd w:val="clear" w:color="auto" w:fill="auto"/>
            <w:vAlign w:val="bottom"/>
          </w:tcPr>
          <w:p w14:paraId="1DFEF539" w14:textId="77777777" w:rsidR="005D09D5" w:rsidRPr="00894701" w:rsidRDefault="005D09D5" w:rsidP="00446B8D">
            <w:pPr>
              <w:spacing w:after="0" w:line="240" w:lineRule="auto"/>
              <w:contextualSpacing/>
              <w:rPr>
                <w:b/>
                <w:bCs/>
                <w:color w:val="auto"/>
                <w:kern w:val="0"/>
                <w:szCs w:val="18"/>
              </w:rPr>
            </w:pPr>
          </w:p>
          <w:p w14:paraId="59124301" w14:textId="77777777" w:rsidR="005D09D5" w:rsidRPr="00894701" w:rsidRDefault="005D09D5" w:rsidP="00446B8D">
            <w:pPr>
              <w:spacing w:after="0" w:line="240" w:lineRule="auto"/>
              <w:contextualSpacing/>
              <w:rPr>
                <w:color w:val="auto"/>
                <w:kern w:val="0"/>
                <w:szCs w:val="18"/>
              </w:rPr>
            </w:pPr>
            <w:r w:rsidRPr="00894701">
              <w:rPr>
                <w:b/>
                <w:bCs/>
                <w:color w:val="auto"/>
                <w:kern w:val="0"/>
                <w:szCs w:val="18"/>
                <w:u w:val="single"/>
              </w:rPr>
              <w:t>Current status</w:t>
            </w:r>
            <w:r w:rsidRPr="00894701">
              <w:rPr>
                <w:b/>
                <w:bCs/>
                <w:color w:val="auto"/>
                <w:kern w:val="0"/>
                <w:szCs w:val="18"/>
              </w:rPr>
              <w:t>:</w:t>
            </w:r>
            <w:r w:rsidRPr="00894701">
              <w:rPr>
                <w:color w:val="auto"/>
                <w:kern w:val="0"/>
                <w:szCs w:val="18"/>
              </w:rPr>
              <w:t xml:space="preserve"> No progress</w:t>
            </w:r>
          </w:p>
          <w:p w14:paraId="2CA15927" w14:textId="77777777" w:rsidR="00B1510A" w:rsidRPr="00894701" w:rsidRDefault="00B1510A" w:rsidP="00446B8D">
            <w:pPr>
              <w:spacing w:after="0" w:line="240" w:lineRule="auto"/>
              <w:contextualSpacing/>
              <w:rPr>
                <w:color w:val="auto"/>
                <w:kern w:val="0"/>
                <w:szCs w:val="18"/>
              </w:rPr>
            </w:pPr>
          </w:p>
        </w:tc>
      </w:tr>
    </w:tbl>
    <w:p w14:paraId="55C95D50" w14:textId="5F38F49F" w:rsidR="00B96128" w:rsidRPr="00894701" w:rsidRDefault="00B96128">
      <w:pPr>
        <w:spacing w:after="0" w:line="240" w:lineRule="auto"/>
        <w:rPr>
          <w:rFonts w:cs="Arial"/>
          <w:color w:val="auto"/>
          <w:sz w:val="20"/>
        </w:rPr>
      </w:pPr>
      <w:r w:rsidRPr="00894701">
        <w:rPr>
          <w:rFonts w:cs="Arial"/>
          <w:color w:val="auto"/>
          <w:sz w:val="20"/>
        </w:rPr>
        <w:br w:type="page"/>
      </w:r>
    </w:p>
    <w:p w14:paraId="1A3236DF" w14:textId="77777777" w:rsidR="00A811E2" w:rsidRPr="00894701" w:rsidRDefault="00A811E2">
      <w:pPr>
        <w:spacing w:after="0" w:line="240" w:lineRule="auto"/>
        <w:rPr>
          <w:rFonts w:cs="Arial"/>
          <w:color w:val="auto"/>
          <w:sz w:val="20"/>
        </w:rPr>
      </w:pPr>
    </w:p>
    <w:p w14:paraId="423426D9" w14:textId="779FBE07" w:rsidR="00A811E2" w:rsidRPr="00894701" w:rsidRDefault="001E79E7" w:rsidP="00860520">
      <w:pPr>
        <w:spacing w:after="240"/>
        <w:jc w:val="center"/>
        <w:rPr>
          <w:rFonts w:cs="Arial"/>
          <w:color w:val="auto"/>
          <w:sz w:val="20"/>
        </w:rPr>
      </w:pPr>
      <w:bookmarkStart w:id="573" w:name="_Toc146590553"/>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81</w:t>
      </w:r>
      <w:r w:rsidRPr="00894701">
        <w:rPr>
          <w:b/>
          <w:bCs/>
          <w:color w:val="98002E" w:themeColor="accent3"/>
          <w:sz w:val="20"/>
          <w:szCs w:val="20"/>
        </w:rPr>
        <w:fldChar w:fldCharType="end"/>
      </w:r>
      <w:r w:rsidRPr="00894701">
        <w:rPr>
          <w:b/>
          <w:bCs/>
          <w:color w:val="98002E" w:themeColor="accent3"/>
          <w:sz w:val="20"/>
          <w:szCs w:val="20"/>
        </w:rPr>
        <w:t xml:space="preserve">: </w:t>
      </w:r>
      <w:r>
        <w:rPr>
          <w:b/>
          <w:bCs/>
          <w:color w:val="98002E" w:themeColor="accent3"/>
          <w:sz w:val="20"/>
          <w:szCs w:val="20"/>
        </w:rPr>
        <w:t>Recommendation 7</w:t>
      </w:r>
      <w:bookmarkEnd w:id="573"/>
    </w:p>
    <w:tbl>
      <w:tblPr>
        <w:tblW w:w="5000" w:type="pct"/>
        <w:tblLook w:val="04A0" w:firstRow="1" w:lastRow="0" w:firstColumn="1" w:lastColumn="0" w:noHBand="0" w:noVBand="1"/>
      </w:tblPr>
      <w:tblGrid>
        <w:gridCol w:w="3894"/>
        <w:gridCol w:w="10064"/>
      </w:tblGrid>
      <w:tr w:rsidR="00A811E2" w:rsidRPr="00894701" w14:paraId="6FF8B7E2" w14:textId="77777777" w:rsidTr="00446B8D">
        <w:trPr>
          <w:trHeight w:val="1985"/>
        </w:trPr>
        <w:tc>
          <w:tcPr>
            <w:tcW w:w="1395" w:type="pct"/>
            <w:vMerge w:val="restart"/>
            <w:tcBorders>
              <w:top w:val="single" w:sz="18" w:space="0" w:color="FF0000"/>
              <w:left w:val="nil"/>
              <w:bottom w:val="nil"/>
              <w:right w:val="nil"/>
            </w:tcBorders>
            <w:shd w:val="clear" w:color="auto" w:fill="auto"/>
          </w:tcPr>
          <w:p w14:paraId="65C3269A" w14:textId="77777777" w:rsidR="00A811E2" w:rsidRPr="00894701" w:rsidRDefault="00A811E2" w:rsidP="00446B8D">
            <w:pPr>
              <w:spacing w:after="0" w:line="240" w:lineRule="auto"/>
              <w:contextualSpacing/>
              <w:jc w:val="both"/>
              <w:rPr>
                <w:b/>
                <w:bCs/>
                <w:color w:val="auto"/>
                <w:kern w:val="0"/>
                <w:szCs w:val="18"/>
              </w:rPr>
            </w:pPr>
            <w:r w:rsidRPr="00894701">
              <w:rPr>
                <w:b/>
                <w:bCs/>
                <w:color w:val="auto"/>
                <w:kern w:val="0"/>
                <w:szCs w:val="18"/>
                <w:u w:val="single"/>
              </w:rPr>
              <w:t>Description</w:t>
            </w:r>
            <w:r w:rsidRPr="00894701">
              <w:rPr>
                <w:b/>
                <w:bCs/>
                <w:color w:val="auto"/>
                <w:kern w:val="0"/>
                <w:szCs w:val="18"/>
              </w:rPr>
              <w:t>:</w:t>
            </w:r>
          </w:p>
          <w:p w14:paraId="201A1AC7" w14:textId="3A0545A0" w:rsidR="00A811E2" w:rsidRPr="00894701" w:rsidRDefault="0007227A" w:rsidP="00446B8D">
            <w:pPr>
              <w:spacing w:after="0" w:line="240" w:lineRule="auto"/>
              <w:contextualSpacing/>
              <w:jc w:val="both"/>
              <w:rPr>
                <w:color w:val="auto"/>
                <w:kern w:val="0"/>
                <w:szCs w:val="18"/>
              </w:rPr>
            </w:pPr>
            <w:r w:rsidRPr="00894701">
              <w:rPr>
                <w:color w:val="auto"/>
                <w:kern w:val="0"/>
                <w:szCs w:val="18"/>
              </w:rPr>
              <w:t>To meet the Requirement 2.4</w:t>
            </w:r>
          </w:p>
          <w:p w14:paraId="24821A8A" w14:textId="77777777" w:rsidR="00B1510A" w:rsidRPr="00894701" w:rsidRDefault="00B1510A" w:rsidP="00446B8D">
            <w:pPr>
              <w:spacing w:line="240" w:lineRule="auto"/>
              <w:jc w:val="both"/>
              <w:rPr>
                <w:color w:val="auto"/>
                <w:kern w:val="0"/>
                <w:szCs w:val="18"/>
              </w:rPr>
            </w:pPr>
          </w:p>
        </w:tc>
        <w:tc>
          <w:tcPr>
            <w:tcW w:w="3605" w:type="pct"/>
            <w:tcBorders>
              <w:top w:val="single" w:sz="18" w:space="0" w:color="FF0000"/>
              <w:left w:val="nil"/>
              <w:bottom w:val="single" w:sz="18" w:space="0" w:color="FF0000"/>
              <w:right w:val="nil"/>
            </w:tcBorders>
            <w:shd w:val="clear" w:color="auto" w:fill="auto"/>
          </w:tcPr>
          <w:p w14:paraId="2E40D63C" w14:textId="77777777" w:rsidR="00A811E2" w:rsidRPr="00894701" w:rsidRDefault="00A811E2" w:rsidP="00446B8D">
            <w:pPr>
              <w:spacing w:after="60" w:line="240" w:lineRule="auto"/>
              <w:jc w:val="both"/>
              <w:rPr>
                <w:b/>
                <w:bCs/>
                <w:color w:val="auto"/>
                <w:kern w:val="0"/>
                <w:szCs w:val="18"/>
              </w:rPr>
            </w:pPr>
            <w:r w:rsidRPr="00894701">
              <w:rPr>
                <w:b/>
                <w:bCs/>
                <w:color w:val="auto"/>
                <w:kern w:val="0"/>
                <w:szCs w:val="18"/>
                <w:u w:val="single"/>
              </w:rPr>
              <w:t>Recommended actions</w:t>
            </w:r>
            <w:r w:rsidRPr="00894701">
              <w:rPr>
                <w:b/>
                <w:bCs/>
                <w:color w:val="auto"/>
                <w:kern w:val="0"/>
                <w:szCs w:val="18"/>
              </w:rPr>
              <w:t>:</w:t>
            </w:r>
          </w:p>
          <w:p w14:paraId="20C99227" w14:textId="4817F898" w:rsidR="00B1510A" w:rsidRPr="00894701" w:rsidRDefault="009C358E" w:rsidP="00446B8D">
            <w:pPr>
              <w:spacing w:after="60" w:line="240" w:lineRule="auto"/>
              <w:jc w:val="both"/>
              <w:rPr>
                <w:color w:val="auto"/>
                <w:kern w:val="0"/>
                <w:szCs w:val="18"/>
              </w:rPr>
            </w:pPr>
            <w:r w:rsidRPr="00894701">
              <w:rPr>
                <w:color w:val="auto"/>
                <w:kern w:val="0"/>
                <w:szCs w:val="18"/>
              </w:rPr>
              <w:t>Suriname must document the government’s policy on disclosure of contracts and licenses that govern the exploration and exploitation of oil, gas and minerals. This should include relevant legal provisions, actual disclosure practices and any reforms that are planned or underway. An overview of the contracts and licenses that are publicly available should be disclosed in the public domain and include a reference or link to the location where these are published. Suriname is encouraged to publish PSCs currently in force with relevant annexes, and to undertake a review of published mining and oil contracts ensuring that the published contracts are available in a centralized website which should be regularly updated. In accordance with Requirement 2.4.a, Suriname is required to disclose any contracts and licenses that are granted, entered into or amended from 1 January 2021</w:t>
            </w:r>
          </w:p>
        </w:tc>
      </w:tr>
      <w:tr w:rsidR="00A811E2" w:rsidRPr="00894701" w14:paraId="716376B4" w14:textId="77777777" w:rsidTr="00446B8D">
        <w:trPr>
          <w:trHeight w:val="260"/>
        </w:trPr>
        <w:tc>
          <w:tcPr>
            <w:tcW w:w="1395" w:type="pct"/>
            <w:vMerge/>
            <w:tcBorders>
              <w:top w:val="single" w:sz="12" w:space="0" w:color="FF0000"/>
              <w:left w:val="nil"/>
              <w:bottom w:val="nil"/>
              <w:right w:val="nil"/>
            </w:tcBorders>
            <w:vAlign w:val="center"/>
          </w:tcPr>
          <w:p w14:paraId="33B35183" w14:textId="77777777" w:rsidR="00A811E2" w:rsidRPr="00894701" w:rsidRDefault="00A811E2" w:rsidP="00446B8D">
            <w:pPr>
              <w:spacing w:after="0" w:line="240" w:lineRule="auto"/>
              <w:rPr>
                <w:color w:val="auto"/>
                <w:kern w:val="0"/>
                <w:szCs w:val="18"/>
              </w:rPr>
            </w:pPr>
          </w:p>
        </w:tc>
        <w:tc>
          <w:tcPr>
            <w:tcW w:w="3605" w:type="pct"/>
            <w:tcBorders>
              <w:top w:val="single" w:sz="18" w:space="0" w:color="FF0000"/>
              <w:left w:val="nil"/>
              <w:bottom w:val="single" w:sz="18" w:space="0" w:color="FF0000"/>
              <w:right w:val="nil"/>
            </w:tcBorders>
            <w:shd w:val="clear" w:color="auto" w:fill="auto"/>
            <w:noWrap/>
            <w:vAlign w:val="bottom"/>
          </w:tcPr>
          <w:p w14:paraId="014AE489" w14:textId="77777777" w:rsidR="00A811E2" w:rsidRPr="00894701" w:rsidRDefault="00A811E2" w:rsidP="00446B8D">
            <w:pPr>
              <w:spacing w:after="0" w:line="240" w:lineRule="auto"/>
              <w:contextualSpacing/>
              <w:rPr>
                <w:b/>
                <w:bCs/>
                <w:color w:val="auto"/>
                <w:kern w:val="0"/>
                <w:szCs w:val="18"/>
              </w:rPr>
            </w:pPr>
          </w:p>
          <w:p w14:paraId="312E1C5C" w14:textId="36DA85ED" w:rsidR="00A811E2" w:rsidRPr="00894701" w:rsidRDefault="00A811E2" w:rsidP="00446B8D">
            <w:pPr>
              <w:spacing w:after="0" w:line="240" w:lineRule="auto"/>
              <w:contextualSpacing/>
              <w:rPr>
                <w:color w:val="auto"/>
                <w:kern w:val="0"/>
                <w:szCs w:val="18"/>
              </w:rPr>
            </w:pPr>
            <w:r w:rsidRPr="00894701">
              <w:rPr>
                <w:b/>
                <w:bCs/>
                <w:color w:val="auto"/>
                <w:kern w:val="0"/>
                <w:szCs w:val="18"/>
                <w:u w:val="single"/>
              </w:rPr>
              <w:t>Related agencies</w:t>
            </w:r>
            <w:r w:rsidRPr="00894701">
              <w:rPr>
                <w:b/>
                <w:bCs/>
                <w:color w:val="auto"/>
                <w:kern w:val="0"/>
                <w:szCs w:val="18"/>
              </w:rPr>
              <w:t>:</w:t>
            </w:r>
            <w:r w:rsidRPr="00894701">
              <w:rPr>
                <w:color w:val="auto"/>
                <w:kern w:val="0"/>
                <w:szCs w:val="18"/>
              </w:rPr>
              <w:t xml:space="preserve"> </w:t>
            </w:r>
            <w:r w:rsidR="0007227A" w:rsidRPr="00894701">
              <w:rPr>
                <w:color w:val="auto"/>
                <w:kern w:val="0"/>
                <w:szCs w:val="18"/>
              </w:rPr>
              <w:t>MSG/ MONR, State Oil Company</w:t>
            </w:r>
          </w:p>
          <w:p w14:paraId="5102BEED" w14:textId="77777777" w:rsidR="00B1510A" w:rsidRPr="00894701" w:rsidRDefault="00B1510A" w:rsidP="00446B8D">
            <w:pPr>
              <w:spacing w:after="0" w:line="240" w:lineRule="auto"/>
              <w:contextualSpacing/>
              <w:rPr>
                <w:color w:val="auto"/>
                <w:kern w:val="0"/>
                <w:szCs w:val="18"/>
              </w:rPr>
            </w:pPr>
          </w:p>
        </w:tc>
      </w:tr>
      <w:tr w:rsidR="00A811E2" w:rsidRPr="00894701" w14:paraId="0C3C66FB" w14:textId="77777777" w:rsidTr="00446B8D">
        <w:trPr>
          <w:trHeight w:val="260"/>
        </w:trPr>
        <w:tc>
          <w:tcPr>
            <w:tcW w:w="1395" w:type="pct"/>
            <w:vMerge/>
            <w:tcBorders>
              <w:top w:val="single" w:sz="12" w:space="0" w:color="FF0000"/>
              <w:left w:val="nil"/>
              <w:bottom w:val="nil"/>
              <w:right w:val="nil"/>
            </w:tcBorders>
            <w:vAlign w:val="center"/>
          </w:tcPr>
          <w:p w14:paraId="0FCDCF6E" w14:textId="77777777" w:rsidR="00A811E2" w:rsidRPr="00894701" w:rsidRDefault="00A811E2" w:rsidP="00446B8D">
            <w:pPr>
              <w:spacing w:after="0" w:line="240" w:lineRule="auto"/>
              <w:rPr>
                <w:color w:val="auto"/>
                <w:kern w:val="0"/>
                <w:szCs w:val="18"/>
              </w:rPr>
            </w:pPr>
          </w:p>
        </w:tc>
        <w:tc>
          <w:tcPr>
            <w:tcW w:w="3605" w:type="pct"/>
            <w:tcBorders>
              <w:top w:val="single" w:sz="18" w:space="0" w:color="FF0000"/>
              <w:left w:val="nil"/>
              <w:bottom w:val="single" w:sz="18" w:space="0" w:color="FF0000"/>
              <w:right w:val="nil"/>
            </w:tcBorders>
            <w:shd w:val="clear" w:color="auto" w:fill="auto"/>
            <w:noWrap/>
            <w:vAlign w:val="bottom"/>
          </w:tcPr>
          <w:p w14:paraId="659B6223" w14:textId="77777777" w:rsidR="00A811E2" w:rsidRPr="00894701" w:rsidRDefault="00A811E2" w:rsidP="00446B8D">
            <w:pPr>
              <w:spacing w:after="0" w:line="240" w:lineRule="auto"/>
              <w:contextualSpacing/>
              <w:rPr>
                <w:b/>
                <w:bCs/>
                <w:color w:val="auto"/>
                <w:kern w:val="0"/>
                <w:szCs w:val="18"/>
              </w:rPr>
            </w:pPr>
          </w:p>
          <w:p w14:paraId="1510B4E1" w14:textId="77777777" w:rsidR="00A811E2" w:rsidRPr="00894701" w:rsidRDefault="00A811E2" w:rsidP="00446B8D">
            <w:pPr>
              <w:spacing w:after="0" w:line="240" w:lineRule="auto"/>
              <w:contextualSpacing/>
              <w:rPr>
                <w:color w:val="auto"/>
                <w:kern w:val="0"/>
                <w:szCs w:val="18"/>
              </w:rPr>
            </w:pPr>
            <w:r w:rsidRPr="00894701">
              <w:rPr>
                <w:b/>
                <w:bCs/>
                <w:color w:val="auto"/>
                <w:kern w:val="0"/>
                <w:szCs w:val="18"/>
                <w:u w:val="single"/>
              </w:rPr>
              <w:t>Priority</w:t>
            </w:r>
            <w:r w:rsidRPr="00894701">
              <w:rPr>
                <w:b/>
                <w:bCs/>
                <w:color w:val="auto"/>
                <w:kern w:val="0"/>
                <w:szCs w:val="18"/>
              </w:rPr>
              <w:t>:</w:t>
            </w:r>
            <w:r w:rsidRPr="00894701">
              <w:rPr>
                <w:color w:val="auto"/>
                <w:kern w:val="0"/>
                <w:szCs w:val="18"/>
              </w:rPr>
              <w:t xml:space="preserve"> High</w:t>
            </w:r>
          </w:p>
          <w:p w14:paraId="3CF7DF40" w14:textId="77777777" w:rsidR="00B1510A" w:rsidRPr="00894701" w:rsidRDefault="00B1510A" w:rsidP="00446B8D">
            <w:pPr>
              <w:spacing w:after="0" w:line="240" w:lineRule="auto"/>
              <w:contextualSpacing/>
              <w:rPr>
                <w:color w:val="auto"/>
                <w:kern w:val="0"/>
                <w:szCs w:val="18"/>
              </w:rPr>
            </w:pPr>
          </w:p>
        </w:tc>
      </w:tr>
      <w:tr w:rsidR="00A811E2" w:rsidRPr="00894701" w14:paraId="574E95AB" w14:textId="77777777" w:rsidTr="00446B8D">
        <w:trPr>
          <w:trHeight w:val="260"/>
        </w:trPr>
        <w:tc>
          <w:tcPr>
            <w:tcW w:w="1395" w:type="pct"/>
            <w:vMerge/>
            <w:tcBorders>
              <w:top w:val="single" w:sz="12" w:space="0" w:color="FF0000"/>
              <w:left w:val="nil"/>
              <w:bottom w:val="nil"/>
              <w:right w:val="nil"/>
            </w:tcBorders>
            <w:vAlign w:val="center"/>
          </w:tcPr>
          <w:p w14:paraId="04475EAA" w14:textId="77777777" w:rsidR="00A811E2" w:rsidRPr="00894701" w:rsidRDefault="00A811E2" w:rsidP="00446B8D">
            <w:pPr>
              <w:spacing w:after="0" w:line="240" w:lineRule="auto"/>
              <w:rPr>
                <w:color w:val="auto"/>
                <w:kern w:val="0"/>
                <w:szCs w:val="18"/>
              </w:rPr>
            </w:pPr>
          </w:p>
        </w:tc>
        <w:tc>
          <w:tcPr>
            <w:tcW w:w="3605" w:type="pct"/>
            <w:tcBorders>
              <w:top w:val="single" w:sz="18" w:space="0" w:color="FF0000"/>
              <w:left w:val="nil"/>
              <w:bottom w:val="single" w:sz="18" w:space="0" w:color="FF0000"/>
              <w:right w:val="nil"/>
            </w:tcBorders>
            <w:shd w:val="clear" w:color="auto" w:fill="auto"/>
            <w:vAlign w:val="bottom"/>
          </w:tcPr>
          <w:p w14:paraId="41074B11" w14:textId="77777777" w:rsidR="00A811E2" w:rsidRPr="00894701" w:rsidRDefault="00A811E2" w:rsidP="00446B8D">
            <w:pPr>
              <w:spacing w:after="0" w:line="240" w:lineRule="auto"/>
              <w:contextualSpacing/>
              <w:rPr>
                <w:b/>
                <w:bCs/>
                <w:color w:val="auto"/>
                <w:kern w:val="0"/>
                <w:szCs w:val="18"/>
              </w:rPr>
            </w:pPr>
          </w:p>
          <w:p w14:paraId="4FD7A491" w14:textId="77777777" w:rsidR="00A811E2" w:rsidRPr="00894701" w:rsidRDefault="00A811E2" w:rsidP="00446B8D">
            <w:pPr>
              <w:spacing w:after="0" w:line="240" w:lineRule="auto"/>
              <w:contextualSpacing/>
              <w:rPr>
                <w:color w:val="auto"/>
                <w:kern w:val="0"/>
                <w:szCs w:val="18"/>
              </w:rPr>
            </w:pPr>
            <w:r w:rsidRPr="00894701">
              <w:rPr>
                <w:b/>
                <w:bCs/>
                <w:color w:val="auto"/>
                <w:kern w:val="0"/>
                <w:szCs w:val="18"/>
                <w:u w:val="single"/>
              </w:rPr>
              <w:t>Current status</w:t>
            </w:r>
            <w:r w:rsidRPr="00894701">
              <w:rPr>
                <w:b/>
                <w:bCs/>
                <w:color w:val="auto"/>
                <w:kern w:val="0"/>
                <w:szCs w:val="18"/>
              </w:rPr>
              <w:t>:</w:t>
            </w:r>
            <w:r w:rsidRPr="00894701">
              <w:rPr>
                <w:color w:val="auto"/>
                <w:kern w:val="0"/>
                <w:szCs w:val="18"/>
              </w:rPr>
              <w:t xml:space="preserve"> No progress</w:t>
            </w:r>
          </w:p>
          <w:p w14:paraId="1ED11CE7" w14:textId="77777777" w:rsidR="00B1510A" w:rsidRPr="00894701" w:rsidRDefault="00B1510A" w:rsidP="00446B8D">
            <w:pPr>
              <w:spacing w:after="0" w:line="240" w:lineRule="auto"/>
              <w:contextualSpacing/>
              <w:rPr>
                <w:color w:val="auto"/>
                <w:kern w:val="0"/>
                <w:szCs w:val="18"/>
              </w:rPr>
            </w:pPr>
          </w:p>
        </w:tc>
      </w:tr>
    </w:tbl>
    <w:p w14:paraId="6EAB172C" w14:textId="77777777" w:rsidR="00E3278C" w:rsidRPr="00894701" w:rsidRDefault="00E3278C">
      <w:pPr>
        <w:spacing w:after="0" w:line="240" w:lineRule="auto"/>
        <w:rPr>
          <w:rFonts w:cs="Arial"/>
          <w:color w:val="auto"/>
          <w:sz w:val="20"/>
        </w:rPr>
      </w:pPr>
    </w:p>
    <w:p w14:paraId="337793C6" w14:textId="77777777" w:rsidR="00E3278C" w:rsidRDefault="00E3278C">
      <w:pPr>
        <w:spacing w:after="0" w:line="240" w:lineRule="auto"/>
        <w:rPr>
          <w:rFonts w:cs="Arial"/>
          <w:color w:val="auto"/>
          <w:sz w:val="20"/>
        </w:rPr>
      </w:pPr>
      <w:r w:rsidRPr="00894701">
        <w:rPr>
          <w:rFonts w:cs="Arial"/>
          <w:color w:val="auto"/>
          <w:sz w:val="20"/>
        </w:rPr>
        <w:br w:type="page"/>
      </w:r>
    </w:p>
    <w:p w14:paraId="062D6C84" w14:textId="3A602FE7" w:rsidR="001E79E7" w:rsidRPr="00894701" w:rsidRDefault="001E79E7" w:rsidP="00860520">
      <w:pPr>
        <w:spacing w:after="240"/>
        <w:jc w:val="center"/>
        <w:rPr>
          <w:rFonts w:cs="Arial"/>
          <w:color w:val="auto"/>
          <w:sz w:val="20"/>
        </w:rPr>
      </w:pPr>
      <w:bookmarkStart w:id="574" w:name="_Toc146590554"/>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82</w:t>
      </w:r>
      <w:r w:rsidRPr="00894701">
        <w:rPr>
          <w:b/>
          <w:bCs/>
          <w:color w:val="98002E" w:themeColor="accent3"/>
          <w:sz w:val="20"/>
          <w:szCs w:val="20"/>
        </w:rPr>
        <w:fldChar w:fldCharType="end"/>
      </w:r>
      <w:r w:rsidRPr="00894701">
        <w:rPr>
          <w:b/>
          <w:bCs/>
          <w:color w:val="98002E" w:themeColor="accent3"/>
          <w:sz w:val="20"/>
          <w:szCs w:val="20"/>
        </w:rPr>
        <w:t xml:space="preserve">: </w:t>
      </w:r>
      <w:r>
        <w:rPr>
          <w:b/>
          <w:bCs/>
          <w:color w:val="98002E" w:themeColor="accent3"/>
          <w:sz w:val="20"/>
          <w:szCs w:val="20"/>
        </w:rPr>
        <w:t>Recommendation 8</w:t>
      </w:r>
      <w:bookmarkEnd w:id="574"/>
    </w:p>
    <w:tbl>
      <w:tblPr>
        <w:tblW w:w="5000" w:type="pct"/>
        <w:tblLook w:val="04A0" w:firstRow="1" w:lastRow="0" w:firstColumn="1" w:lastColumn="0" w:noHBand="0" w:noVBand="1"/>
      </w:tblPr>
      <w:tblGrid>
        <w:gridCol w:w="3894"/>
        <w:gridCol w:w="10064"/>
      </w:tblGrid>
      <w:tr w:rsidR="00C668BD" w:rsidRPr="00894701" w14:paraId="64F443E5" w14:textId="77777777" w:rsidTr="00446B8D">
        <w:trPr>
          <w:trHeight w:val="1985"/>
        </w:trPr>
        <w:tc>
          <w:tcPr>
            <w:tcW w:w="1395" w:type="pct"/>
            <w:vMerge w:val="restart"/>
            <w:tcBorders>
              <w:top w:val="single" w:sz="18" w:space="0" w:color="FF0000"/>
              <w:left w:val="nil"/>
              <w:bottom w:val="nil"/>
              <w:right w:val="nil"/>
            </w:tcBorders>
            <w:shd w:val="clear" w:color="auto" w:fill="auto"/>
          </w:tcPr>
          <w:p w14:paraId="5E7C8CCF" w14:textId="77777777" w:rsidR="00C668BD" w:rsidRPr="00894701" w:rsidRDefault="00C668BD" w:rsidP="00446B8D">
            <w:pPr>
              <w:spacing w:after="0" w:line="240" w:lineRule="auto"/>
              <w:contextualSpacing/>
              <w:jc w:val="both"/>
              <w:rPr>
                <w:b/>
                <w:bCs/>
                <w:color w:val="auto"/>
                <w:kern w:val="0"/>
                <w:szCs w:val="18"/>
              </w:rPr>
            </w:pPr>
            <w:r w:rsidRPr="00894701">
              <w:rPr>
                <w:b/>
                <w:bCs/>
                <w:color w:val="auto"/>
                <w:kern w:val="0"/>
                <w:szCs w:val="18"/>
                <w:u w:val="single"/>
              </w:rPr>
              <w:t>Description</w:t>
            </w:r>
            <w:r w:rsidRPr="00894701">
              <w:rPr>
                <w:b/>
                <w:bCs/>
                <w:color w:val="auto"/>
                <w:kern w:val="0"/>
                <w:szCs w:val="18"/>
              </w:rPr>
              <w:t>:</w:t>
            </w:r>
          </w:p>
          <w:p w14:paraId="675597AC" w14:textId="6822EC11" w:rsidR="00B1510A" w:rsidRPr="00894701" w:rsidRDefault="006F7DBD" w:rsidP="00446B8D">
            <w:pPr>
              <w:spacing w:line="240" w:lineRule="auto"/>
              <w:jc w:val="both"/>
              <w:rPr>
                <w:color w:val="auto"/>
                <w:kern w:val="0"/>
                <w:szCs w:val="18"/>
              </w:rPr>
            </w:pPr>
            <w:r w:rsidRPr="00894701">
              <w:rPr>
                <w:color w:val="auto"/>
                <w:kern w:val="0"/>
                <w:szCs w:val="18"/>
              </w:rPr>
              <w:t xml:space="preserve">In accordance with Requirement 2.5 and the Board-agreed framework for assessing progress, </w:t>
            </w:r>
          </w:p>
        </w:tc>
        <w:tc>
          <w:tcPr>
            <w:tcW w:w="3605" w:type="pct"/>
            <w:tcBorders>
              <w:top w:val="single" w:sz="18" w:space="0" w:color="FF0000"/>
              <w:left w:val="nil"/>
              <w:bottom w:val="single" w:sz="18" w:space="0" w:color="FF0000"/>
              <w:right w:val="nil"/>
            </w:tcBorders>
            <w:shd w:val="clear" w:color="auto" w:fill="auto"/>
          </w:tcPr>
          <w:p w14:paraId="3566DA8D" w14:textId="77777777" w:rsidR="00DC281F" w:rsidRPr="00894701" w:rsidRDefault="00C668BD" w:rsidP="00DC281F">
            <w:pPr>
              <w:spacing w:after="60" w:line="240" w:lineRule="auto"/>
              <w:jc w:val="both"/>
              <w:rPr>
                <w:b/>
                <w:bCs/>
                <w:color w:val="auto"/>
                <w:kern w:val="0"/>
                <w:szCs w:val="18"/>
              </w:rPr>
            </w:pPr>
            <w:r w:rsidRPr="00894701">
              <w:rPr>
                <w:b/>
                <w:bCs/>
                <w:color w:val="auto"/>
                <w:kern w:val="0"/>
                <w:szCs w:val="18"/>
                <w:u w:val="single"/>
              </w:rPr>
              <w:t>Recommended actions</w:t>
            </w:r>
            <w:r w:rsidRPr="00894701">
              <w:rPr>
                <w:b/>
                <w:bCs/>
                <w:color w:val="auto"/>
                <w:kern w:val="0"/>
                <w:szCs w:val="18"/>
              </w:rPr>
              <w:t>:</w:t>
            </w:r>
          </w:p>
          <w:p w14:paraId="65845C8F" w14:textId="6E8863F5" w:rsidR="00DC281F" w:rsidRPr="00894701" w:rsidRDefault="00DC281F" w:rsidP="00DC281F">
            <w:pPr>
              <w:spacing w:after="60" w:line="240" w:lineRule="auto"/>
              <w:jc w:val="both"/>
              <w:rPr>
                <w:b/>
                <w:bCs/>
                <w:color w:val="auto"/>
                <w:kern w:val="0"/>
                <w:szCs w:val="18"/>
              </w:rPr>
            </w:pPr>
            <w:r w:rsidRPr="00894701">
              <w:rPr>
                <w:color w:val="auto"/>
                <w:kern w:val="0"/>
                <w:szCs w:val="18"/>
              </w:rPr>
              <w:t>Suriname is required to disclose the beneficial owners of all companies holding or applying for extractive licenses by 31 December 2021. To achieve this target, the following measures are recommended:</w:t>
            </w:r>
          </w:p>
          <w:p w14:paraId="21DFC224" w14:textId="77777777" w:rsidR="00DC281F" w:rsidRPr="00894701" w:rsidRDefault="00DC281F" w:rsidP="00DC281F">
            <w:pPr>
              <w:spacing w:after="60" w:line="240" w:lineRule="auto"/>
              <w:jc w:val="both"/>
              <w:rPr>
                <w:color w:val="auto"/>
                <w:kern w:val="0"/>
                <w:szCs w:val="18"/>
              </w:rPr>
            </w:pPr>
            <w:r w:rsidRPr="00894701">
              <w:rPr>
                <w:color w:val="auto"/>
                <w:kern w:val="0"/>
                <w:szCs w:val="18"/>
              </w:rPr>
              <w:t>In accordance with Requirement 2.5 and the Board-agreed framework for assessing progress, Suriname is required to disclose the beneficial owners of all companies holding or applying for extractive licenses by 31 December 2021. To achieve this target, the following measures are recommended:</w:t>
            </w:r>
          </w:p>
          <w:p w14:paraId="20279554" w14:textId="0A5E7F69" w:rsidR="00DC281F" w:rsidRPr="00894701" w:rsidRDefault="00DC281F" w:rsidP="00A834A8">
            <w:pPr>
              <w:pStyle w:val="ListParagraph"/>
              <w:numPr>
                <w:ilvl w:val="8"/>
                <w:numId w:val="74"/>
              </w:numPr>
              <w:spacing w:after="60" w:line="240" w:lineRule="auto"/>
              <w:ind w:left="529"/>
              <w:jc w:val="both"/>
              <w:rPr>
                <w:color w:val="auto"/>
                <w:kern w:val="0"/>
                <w:szCs w:val="18"/>
              </w:rPr>
            </w:pPr>
            <w:r w:rsidRPr="00894701">
              <w:rPr>
                <w:color w:val="auto"/>
                <w:kern w:val="0"/>
                <w:szCs w:val="18"/>
              </w:rPr>
              <w:t>Suriname is requested to agree an appropriate definition for the terms “beneficial owner” and “politically exposed person”.</w:t>
            </w:r>
          </w:p>
          <w:p w14:paraId="29987E79" w14:textId="19DE4464" w:rsidR="00DC281F" w:rsidRPr="00894701" w:rsidRDefault="00DC281F" w:rsidP="00A834A8">
            <w:pPr>
              <w:pStyle w:val="ListParagraph"/>
              <w:numPr>
                <w:ilvl w:val="8"/>
                <w:numId w:val="74"/>
              </w:numPr>
              <w:spacing w:after="60" w:line="240" w:lineRule="auto"/>
              <w:ind w:left="529"/>
              <w:jc w:val="both"/>
              <w:rPr>
                <w:color w:val="auto"/>
                <w:kern w:val="0"/>
                <w:szCs w:val="18"/>
              </w:rPr>
            </w:pPr>
            <w:r w:rsidRPr="00894701">
              <w:rPr>
                <w:color w:val="auto"/>
                <w:kern w:val="0"/>
                <w:szCs w:val="18"/>
              </w:rPr>
              <w:t>Suriname is expected to request all companies holding oil, gas and mining licenses to disclose BO information and provide adequate assurances for data reliability. The government is encouraged to establish a public register of beneficial owners which could be integrated into the Trade Register managed by the SCCI.</w:t>
            </w:r>
          </w:p>
          <w:p w14:paraId="5A38C252" w14:textId="2A66F600" w:rsidR="00DC281F" w:rsidRPr="00894701" w:rsidRDefault="00DC281F" w:rsidP="00A834A8">
            <w:pPr>
              <w:pStyle w:val="ListParagraph"/>
              <w:numPr>
                <w:ilvl w:val="8"/>
                <w:numId w:val="74"/>
              </w:numPr>
              <w:spacing w:after="60" w:line="240" w:lineRule="auto"/>
              <w:ind w:left="529"/>
              <w:jc w:val="both"/>
              <w:rPr>
                <w:color w:val="auto"/>
                <w:kern w:val="0"/>
                <w:szCs w:val="18"/>
              </w:rPr>
            </w:pPr>
            <w:r w:rsidRPr="00894701">
              <w:rPr>
                <w:color w:val="auto"/>
                <w:kern w:val="0"/>
                <w:szCs w:val="18"/>
              </w:rPr>
              <w:t>Suriname is encouraged to require all applicants of oil, gas and mining licenses to disclose their beneficial owners at the application stage. An assessment of the comprehensiveness and reliability of this information should be integrated into the licensing procedures followed by the MONR and Staatsolie.</w:t>
            </w:r>
          </w:p>
          <w:p w14:paraId="4E839FE0" w14:textId="30C6D835" w:rsidR="00DC281F" w:rsidRPr="00894701" w:rsidRDefault="00DC281F" w:rsidP="00A834A8">
            <w:pPr>
              <w:pStyle w:val="ListParagraph"/>
              <w:numPr>
                <w:ilvl w:val="8"/>
                <w:numId w:val="74"/>
              </w:numPr>
              <w:spacing w:after="60" w:line="240" w:lineRule="auto"/>
              <w:ind w:left="529"/>
              <w:jc w:val="both"/>
              <w:rPr>
                <w:color w:val="auto"/>
                <w:kern w:val="0"/>
                <w:szCs w:val="18"/>
              </w:rPr>
            </w:pPr>
            <w:r w:rsidRPr="00894701">
              <w:rPr>
                <w:color w:val="auto"/>
                <w:kern w:val="0"/>
                <w:szCs w:val="18"/>
              </w:rPr>
              <w:t xml:space="preserve">Suriname is encouraged to agree priorities for BO disclosures </w:t>
            </w:r>
            <w:r w:rsidR="000B4C43" w:rsidRPr="00894701">
              <w:rPr>
                <w:color w:val="auto"/>
                <w:kern w:val="0"/>
                <w:szCs w:val="18"/>
              </w:rPr>
              <w:t>and</w:t>
            </w:r>
            <w:r w:rsidRPr="00894701">
              <w:rPr>
                <w:color w:val="auto"/>
                <w:kern w:val="0"/>
                <w:szCs w:val="18"/>
              </w:rPr>
              <w:t xml:space="preserve"> based on these priorities, plan efforts to obtain this data. For example, Suriname may prioritise disclosures by certain types of companies holding a certain type of license or producing a certain commodity due to risks related to corruption or tax evasion. These priorities should guide outreach efforts to companies and provide them guidance.</w:t>
            </w:r>
          </w:p>
          <w:p w14:paraId="133E2F70" w14:textId="77777777" w:rsidR="00314180" w:rsidRPr="00894701" w:rsidRDefault="00DC281F" w:rsidP="00A834A8">
            <w:pPr>
              <w:pStyle w:val="ListParagraph"/>
              <w:numPr>
                <w:ilvl w:val="8"/>
                <w:numId w:val="74"/>
              </w:numPr>
              <w:spacing w:after="60" w:line="240" w:lineRule="auto"/>
              <w:ind w:left="529"/>
              <w:jc w:val="both"/>
              <w:rPr>
                <w:color w:val="auto"/>
                <w:kern w:val="0"/>
                <w:szCs w:val="18"/>
              </w:rPr>
            </w:pPr>
            <w:r w:rsidRPr="00894701">
              <w:rPr>
                <w:color w:val="auto"/>
                <w:kern w:val="0"/>
                <w:szCs w:val="18"/>
              </w:rPr>
              <w:t>It is recommended that Suriname considers using the EITI’s model BO declaration form to ensure that disclosures are published in open data format, comparable and easy to analyse.</w:t>
            </w:r>
          </w:p>
          <w:p w14:paraId="32DD0ACE" w14:textId="4D42B59D" w:rsidR="00B1510A" w:rsidRPr="00894701" w:rsidRDefault="00DC281F" w:rsidP="00A834A8">
            <w:pPr>
              <w:pStyle w:val="ListParagraph"/>
              <w:numPr>
                <w:ilvl w:val="8"/>
                <w:numId w:val="74"/>
              </w:numPr>
              <w:spacing w:after="60" w:line="240" w:lineRule="auto"/>
              <w:ind w:left="529"/>
              <w:jc w:val="both"/>
              <w:rPr>
                <w:color w:val="auto"/>
                <w:kern w:val="0"/>
                <w:szCs w:val="18"/>
              </w:rPr>
            </w:pPr>
            <w:r w:rsidRPr="00894701">
              <w:rPr>
                <w:color w:val="auto"/>
                <w:kern w:val="0"/>
                <w:szCs w:val="18"/>
              </w:rPr>
              <w:t>Suriname may also wish to expand BO disclosures to other segments of the upstream extractive value chain, for instance through collection and disclosure of BO information from extractive-sector service providers to improve the public debate</w:t>
            </w:r>
          </w:p>
        </w:tc>
      </w:tr>
      <w:tr w:rsidR="00C668BD" w:rsidRPr="00894701" w14:paraId="5B517F9B" w14:textId="77777777" w:rsidTr="00446B8D">
        <w:trPr>
          <w:trHeight w:val="260"/>
        </w:trPr>
        <w:tc>
          <w:tcPr>
            <w:tcW w:w="1395" w:type="pct"/>
            <w:vMerge/>
            <w:tcBorders>
              <w:top w:val="single" w:sz="12" w:space="0" w:color="FF0000"/>
              <w:left w:val="nil"/>
              <w:bottom w:val="nil"/>
              <w:right w:val="nil"/>
            </w:tcBorders>
            <w:vAlign w:val="center"/>
          </w:tcPr>
          <w:p w14:paraId="09DD97D7" w14:textId="77777777" w:rsidR="00C668BD" w:rsidRPr="00894701" w:rsidRDefault="00C668BD" w:rsidP="00446B8D">
            <w:pPr>
              <w:spacing w:after="0" w:line="240" w:lineRule="auto"/>
              <w:rPr>
                <w:color w:val="auto"/>
                <w:kern w:val="0"/>
                <w:szCs w:val="18"/>
              </w:rPr>
            </w:pPr>
          </w:p>
        </w:tc>
        <w:tc>
          <w:tcPr>
            <w:tcW w:w="3605" w:type="pct"/>
            <w:tcBorders>
              <w:top w:val="single" w:sz="18" w:space="0" w:color="FF0000"/>
              <w:left w:val="nil"/>
              <w:bottom w:val="single" w:sz="18" w:space="0" w:color="FF0000"/>
              <w:right w:val="nil"/>
            </w:tcBorders>
            <w:shd w:val="clear" w:color="auto" w:fill="auto"/>
            <w:noWrap/>
            <w:vAlign w:val="bottom"/>
          </w:tcPr>
          <w:p w14:paraId="1516B8F2" w14:textId="77777777" w:rsidR="00C668BD" w:rsidRPr="00894701" w:rsidRDefault="00C668BD" w:rsidP="00446B8D">
            <w:pPr>
              <w:spacing w:after="0" w:line="240" w:lineRule="auto"/>
              <w:contextualSpacing/>
              <w:rPr>
                <w:b/>
                <w:bCs/>
                <w:color w:val="auto"/>
                <w:kern w:val="0"/>
                <w:szCs w:val="18"/>
              </w:rPr>
            </w:pPr>
          </w:p>
          <w:p w14:paraId="23C1EB57" w14:textId="2F15CB76" w:rsidR="00C668BD" w:rsidRPr="00894701" w:rsidRDefault="00C668BD" w:rsidP="00446B8D">
            <w:pPr>
              <w:spacing w:after="0" w:line="240" w:lineRule="auto"/>
              <w:contextualSpacing/>
              <w:rPr>
                <w:color w:val="auto"/>
                <w:kern w:val="0"/>
                <w:szCs w:val="18"/>
              </w:rPr>
            </w:pPr>
            <w:r w:rsidRPr="00894701">
              <w:rPr>
                <w:b/>
                <w:bCs/>
                <w:color w:val="auto"/>
                <w:kern w:val="0"/>
                <w:szCs w:val="18"/>
                <w:u w:val="single"/>
              </w:rPr>
              <w:t>Related agencies</w:t>
            </w:r>
            <w:r w:rsidRPr="00894701">
              <w:rPr>
                <w:b/>
                <w:bCs/>
                <w:color w:val="auto"/>
                <w:kern w:val="0"/>
                <w:szCs w:val="18"/>
              </w:rPr>
              <w:t>:</w:t>
            </w:r>
            <w:r w:rsidRPr="00894701">
              <w:rPr>
                <w:color w:val="auto"/>
                <w:kern w:val="0"/>
                <w:szCs w:val="18"/>
              </w:rPr>
              <w:t xml:space="preserve"> </w:t>
            </w:r>
            <w:r w:rsidR="006F7DBD" w:rsidRPr="00894701">
              <w:rPr>
                <w:color w:val="auto"/>
                <w:kern w:val="0"/>
                <w:szCs w:val="18"/>
              </w:rPr>
              <w:t>MSG/ all constituencies</w:t>
            </w:r>
          </w:p>
          <w:p w14:paraId="616E30C2" w14:textId="77777777" w:rsidR="00B1510A" w:rsidRPr="00894701" w:rsidRDefault="00B1510A" w:rsidP="00446B8D">
            <w:pPr>
              <w:spacing w:after="0" w:line="240" w:lineRule="auto"/>
              <w:contextualSpacing/>
              <w:rPr>
                <w:color w:val="auto"/>
                <w:kern w:val="0"/>
                <w:szCs w:val="18"/>
              </w:rPr>
            </w:pPr>
          </w:p>
        </w:tc>
      </w:tr>
      <w:tr w:rsidR="00C668BD" w:rsidRPr="00894701" w14:paraId="2BAFE0CC" w14:textId="77777777" w:rsidTr="00446B8D">
        <w:trPr>
          <w:trHeight w:val="260"/>
        </w:trPr>
        <w:tc>
          <w:tcPr>
            <w:tcW w:w="1395" w:type="pct"/>
            <w:vMerge/>
            <w:tcBorders>
              <w:top w:val="single" w:sz="12" w:space="0" w:color="FF0000"/>
              <w:left w:val="nil"/>
              <w:bottom w:val="nil"/>
              <w:right w:val="nil"/>
            </w:tcBorders>
            <w:vAlign w:val="center"/>
          </w:tcPr>
          <w:p w14:paraId="6099442F" w14:textId="77777777" w:rsidR="00C668BD" w:rsidRPr="00894701" w:rsidRDefault="00C668BD" w:rsidP="00446B8D">
            <w:pPr>
              <w:spacing w:after="0" w:line="240" w:lineRule="auto"/>
              <w:rPr>
                <w:color w:val="auto"/>
                <w:kern w:val="0"/>
                <w:szCs w:val="18"/>
              </w:rPr>
            </w:pPr>
          </w:p>
        </w:tc>
        <w:tc>
          <w:tcPr>
            <w:tcW w:w="3605" w:type="pct"/>
            <w:tcBorders>
              <w:top w:val="single" w:sz="18" w:space="0" w:color="FF0000"/>
              <w:left w:val="nil"/>
              <w:bottom w:val="single" w:sz="18" w:space="0" w:color="FF0000"/>
              <w:right w:val="nil"/>
            </w:tcBorders>
            <w:shd w:val="clear" w:color="auto" w:fill="auto"/>
            <w:noWrap/>
            <w:vAlign w:val="bottom"/>
          </w:tcPr>
          <w:p w14:paraId="72D9A7F9" w14:textId="77777777" w:rsidR="00C668BD" w:rsidRPr="00894701" w:rsidRDefault="00C668BD" w:rsidP="00446B8D">
            <w:pPr>
              <w:spacing w:after="0" w:line="240" w:lineRule="auto"/>
              <w:contextualSpacing/>
              <w:rPr>
                <w:b/>
                <w:bCs/>
                <w:color w:val="auto"/>
                <w:kern w:val="0"/>
                <w:szCs w:val="18"/>
              </w:rPr>
            </w:pPr>
          </w:p>
          <w:p w14:paraId="230DE0B0" w14:textId="77777777" w:rsidR="00C668BD" w:rsidRPr="00894701" w:rsidRDefault="00C668BD" w:rsidP="00446B8D">
            <w:pPr>
              <w:spacing w:after="0" w:line="240" w:lineRule="auto"/>
              <w:contextualSpacing/>
              <w:rPr>
                <w:color w:val="auto"/>
                <w:kern w:val="0"/>
                <w:szCs w:val="18"/>
              </w:rPr>
            </w:pPr>
            <w:r w:rsidRPr="00894701">
              <w:rPr>
                <w:b/>
                <w:bCs/>
                <w:color w:val="auto"/>
                <w:kern w:val="0"/>
                <w:szCs w:val="18"/>
                <w:u w:val="single"/>
              </w:rPr>
              <w:t>Priority</w:t>
            </w:r>
            <w:r w:rsidRPr="00894701">
              <w:rPr>
                <w:b/>
                <w:bCs/>
                <w:color w:val="auto"/>
                <w:kern w:val="0"/>
                <w:szCs w:val="18"/>
              </w:rPr>
              <w:t>:</w:t>
            </w:r>
            <w:r w:rsidRPr="00894701">
              <w:rPr>
                <w:color w:val="auto"/>
                <w:kern w:val="0"/>
                <w:szCs w:val="18"/>
              </w:rPr>
              <w:t xml:space="preserve"> High</w:t>
            </w:r>
          </w:p>
          <w:p w14:paraId="667182B2" w14:textId="77777777" w:rsidR="00B1510A" w:rsidRPr="00894701" w:rsidRDefault="00B1510A" w:rsidP="00446B8D">
            <w:pPr>
              <w:spacing w:after="0" w:line="240" w:lineRule="auto"/>
              <w:contextualSpacing/>
              <w:rPr>
                <w:color w:val="auto"/>
                <w:kern w:val="0"/>
                <w:szCs w:val="18"/>
              </w:rPr>
            </w:pPr>
          </w:p>
        </w:tc>
      </w:tr>
      <w:tr w:rsidR="00C668BD" w:rsidRPr="00894701" w14:paraId="5D488D1B" w14:textId="77777777" w:rsidTr="00446B8D">
        <w:trPr>
          <w:trHeight w:val="260"/>
        </w:trPr>
        <w:tc>
          <w:tcPr>
            <w:tcW w:w="1395" w:type="pct"/>
            <w:vMerge/>
            <w:tcBorders>
              <w:top w:val="single" w:sz="12" w:space="0" w:color="FF0000"/>
              <w:left w:val="nil"/>
              <w:bottom w:val="nil"/>
              <w:right w:val="nil"/>
            </w:tcBorders>
            <w:vAlign w:val="center"/>
          </w:tcPr>
          <w:p w14:paraId="154FCECC" w14:textId="77777777" w:rsidR="00C668BD" w:rsidRPr="00894701" w:rsidRDefault="00C668BD" w:rsidP="00446B8D">
            <w:pPr>
              <w:spacing w:after="0" w:line="240" w:lineRule="auto"/>
              <w:rPr>
                <w:color w:val="auto"/>
                <w:kern w:val="0"/>
                <w:szCs w:val="18"/>
              </w:rPr>
            </w:pPr>
          </w:p>
        </w:tc>
        <w:tc>
          <w:tcPr>
            <w:tcW w:w="3605" w:type="pct"/>
            <w:tcBorders>
              <w:top w:val="single" w:sz="18" w:space="0" w:color="FF0000"/>
              <w:left w:val="nil"/>
              <w:bottom w:val="single" w:sz="18" w:space="0" w:color="FF0000"/>
              <w:right w:val="nil"/>
            </w:tcBorders>
            <w:shd w:val="clear" w:color="auto" w:fill="auto"/>
            <w:vAlign w:val="bottom"/>
          </w:tcPr>
          <w:p w14:paraId="31BD3609" w14:textId="77777777" w:rsidR="00C668BD" w:rsidRPr="00C573CA" w:rsidRDefault="00C668BD" w:rsidP="00446B8D">
            <w:pPr>
              <w:spacing w:after="0" w:line="240" w:lineRule="auto"/>
              <w:contextualSpacing/>
              <w:rPr>
                <w:b/>
                <w:bCs/>
                <w:color w:val="auto"/>
                <w:kern w:val="0"/>
                <w:szCs w:val="18"/>
              </w:rPr>
            </w:pPr>
          </w:p>
          <w:p w14:paraId="42CECD83" w14:textId="4652EC2B" w:rsidR="00C668BD" w:rsidRPr="00C573CA" w:rsidRDefault="00C668BD" w:rsidP="00197D9B">
            <w:pPr>
              <w:spacing w:after="0" w:line="240" w:lineRule="auto"/>
              <w:contextualSpacing/>
              <w:jc w:val="both"/>
              <w:rPr>
                <w:color w:val="auto"/>
                <w:kern w:val="0"/>
                <w:szCs w:val="18"/>
              </w:rPr>
            </w:pPr>
            <w:r w:rsidRPr="00C573CA">
              <w:rPr>
                <w:b/>
                <w:bCs/>
                <w:color w:val="auto"/>
                <w:kern w:val="0"/>
                <w:szCs w:val="18"/>
                <w:u w:val="single"/>
              </w:rPr>
              <w:t>Current status</w:t>
            </w:r>
            <w:r w:rsidRPr="00C573CA">
              <w:rPr>
                <w:b/>
                <w:bCs/>
                <w:color w:val="auto"/>
                <w:kern w:val="0"/>
                <w:szCs w:val="18"/>
              </w:rPr>
              <w:t>:</w:t>
            </w:r>
            <w:r w:rsidRPr="00C573CA">
              <w:rPr>
                <w:color w:val="auto"/>
                <w:kern w:val="0"/>
                <w:szCs w:val="18"/>
              </w:rPr>
              <w:t xml:space="preserve"> </w:t>
            </w:r>
            <w:r w:rsidR="00F968F8" w:rsidRPr="00197D9B">
              <w:rPr>
                <w:rFonts w:asciiTheme="minorHAnsi" w:hAnsiTheme="minorHAnsi"/>
                <w:color w:val="auto"/>
                <w:szCs w:val="18"/>
              </w:rPr>
              <w:t>A legal assessment of the institutional framework for Beneficial Ownership (BO) in Suriname was conducted in 2020</w:t>
            </w:r>
            <w:r w:rsidR="00C573CA">
              <w:rPr>
                <w:rFonts w:asciiTheme="minorHAnsi" w:hAnsiTheme="minorHAnsi"/>
                <w:color w:val="auto"/>
                <w:szCs w:val="18"/>
              </w:rPr>
              <w:t xml:space="preserve"> </w:t>
            </w:r>
            <w:r w:rsidR="00F968F8" w:rsidRPr="00197D9B">
              <w:rPr>
                <w:rFonts w:asciiTheme="minorHAnsi" w:hAnsiTheme="minorHAnsi"/>
                <w:color w:val="auto"/>
                <w:szCs w:val="18"/>
              </w:rPr>
              <w:t>which advices on the first steps of BO implementation as detailed in Section 3.13 of this report.</w:t>
            </w:r>
          </w:p>
          <w:p w14:paraId="12AEF70E" w14:textId="77777777" w:rsidR="00B1510A" w:rsidRPr="00C573CA" w:rsidRDefault="00B1510A" w:rsidP="00446B8D">
            <w:pPr>
              <w:spacing w:after="0" w:line="240" w:lineRule="auto"/>
              <w:contextualSpacing/>
              <w:rPr>
                <w:color w:val="auto"/>
                <w:kern w:val="0"/>
                <w:szCs w:val="18"/>
              </w:rPr>
            </w:pPr>
          </w:p>
        </w:tc>
      </w:tr>
    </w:tbl>
    <w:p w14:paraId="12A31B7F" w14:textId="77777777" w:rsidR="00E7530F" w:rsidRPr="00894701" w:rsidRDefault="00E7530F">
      <w:pPr>
        <w:spacing w:after="0" w:line="240" w:lineRule="auto"/>
        <w:rPr>
          <w:rFonts w:cs="Arial"/>
          <w:color w:val="auto"/>
          <w:sz w:val="20"/>
        </w:rPr>
      </w:pPr>
    </w:p>
    <w:p w14:paraId="61352F1F" w14:textId="77777777" w:rsidR="00E7530F" w:rsidRDefault="00E7530F">
      <w:pPr>
        <w:spacing w:after="0" w:line="240" w:lineRule="auto"/>
        <w:rPr>
          <w:rFonts w:cs="Arial"/>
          <w:color w:val="auto"/>
          <w:sz w:val="20"/>
        </w:rPr>
      </w:pPr>
      <w:r w:rsidRPr="00894701">
        <w:rPr>
          <w:rFonts w:cs="Arial"/>
          <w:color w:val="auto"/>
          <w:sz w:val="20"/>
        </w:rPr>
        <w:br w:type="page"/>
      </w:r>
    </w:p>
    <w:p w14:paraId="199218FB" w14:textId="53A04E62" w:rsidR="001E79E7" w:rsidRPr="00894701" w:rsidRDefault="001E79E7" w:rsidP="00860520">
      <w:pPr>
        <w:spacing w:after="240"/>
        <w:jc w:val="center"/>
        <w:rPr>
          <w:rFonts w:cs="Arial"/>
          <w:color w:val="auto"/>
          <w:sz w:val="20"/>
        </w:rPr>
      </w:pPr>
      <w:bookmarkStart w:id="575" w:name="_Toc146590555"/>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83</w:t>
      </w:r>
      <w:r w:rsidRPr="00894701">
        <w:rPr>
          <w:b/>
          <w:bCs/>
          <w:color w:val="98002E" w:themeColor="accent3"/>
          <w:sz w:val="20"/>
          <w:szCs w:val="20"/>
        </w:rPr>
        <w:fldChar w:fldCharType="end"/>
      </w:r>
      <w:r w:rsidRPr="00894701">
        <w:rPr>
          <w:b/>
          <w:bCs/>
          <w:color w:val="98002E" w:themeColor="accent3"/>
          <w:sz w:val="20"/>
          <w:szCs w:val="20"/>
        </w:rPr>
        <w:t xml:space="preserve">: </w:t>
      </w:r>
      <w:r>
        <w:rPr>
          <w:b/>
          <w:bCs/>
          <w:color w:val="98002E" w:themeColor="accent3"/>
          <w:sz w:val="20"/>
          <w:szCs w:val="20"/>
        </w:rPr>
        <w:t>Recommendation 9</w:t>
      </w:r>
      <w:bookmarkEnd w:id="575"/>
    </w:p>
    <w:tbl>
      <w:tblPr>
        <w:tblW w:w="5000" w:type="pct"/>
        <w:tblLook w:val="04A0" w:firstRow="1" w:lastRow="0" w:firstColumn="1" w:lastColumn="0" w:noHBand="0" w:noVBand="1"/>
      </w:tblPr>
      <w:tblGrid>
        <w:gridCol w:w="4536"/>
        <w:gridCol w:w="9422"/>
      </w:tblGrid>
      <w:tr w:rsidR="006D246F" w:rsidRPr="00894701" w14:paraId="3260678D" w14:textId="77777777" w:rsidTr="006D246F">
        <w:trPr>
          <w:trHeight w:val="1985"/>
        </w:trPr>
        <w:tc>
          <w:tcPr>
            <w:tcW w:w="1625" w:type="pct"/>
            <w:vMerge w:val="restart"/>
            <w:tcBorders>
              <w:top w:val="single" w:sz="18" w:space="0" w:color="FF0000"/>
              <w:left w:val="nil"/>
              <w:bottom w:val="nil"/>
              <w:right w:val="nil"/>
            </w:tcBorders>
            <w:shd w:val="clear" w:color="auto" w:fill="auto"/>
          </w:tcPr>
          <w:p w14:paraId="505DB04C" w14:textId="77777777" w:rsidR="00E7530F" w:rsidRPr="00894701" w:rsidRDefault="00E7530F" w:rsidP="00446B8D">
            <w:pPr>
              <w:spacing w:after="0" w:line="240" w:lineRule="auto"/>
              <w:contextualSpacing/>
              <w:jc w:val="both"/>
              <w:rPr>
                <w:b/>
                <w:bCs/>
                <w:color w:val="auto"/>
                <w:kern w:val="0"/>
                <w:szCs w:val="18"/>
              </w:rPr>
            </w:pPr>
            <w:r w:rsidRPr="00894701">
              <w:rPr>
                <w:b/>
                <w:bCs/>
                <w:color w:val="auto"/>
                <w:kern w:val="0"/>
                <w:szCs w:val="18"/>
                <w:u w:val="single"/>
              </w:rPr>
              <w:t>Description</w:t>
            </w:r>
            <w:r w:rsidRPr="00894701">
              <w:rPr>
                <w:b/>
                <w:bCs/>
                <w:color w:val="auto"/>
                <w:kern w:val="0"/>
                <w:szCs w:val="18"/>
              </w:rPr>
              <w:t>:</w:t>
            </w:r>
          </w:p>
          <w:p w14:paraId="11F415A2" w14:textId="14462BA5" w:rsidR="00B1510A" w:rsidRPr="00894701" w:rsidRDefault="00D75DD9" w:rsidP="009506A6">
            <w:pPr>
              <w:spacing w:after="0" w:line="240" w:lineRule="auto"/>
              <w:contextualSpacing/>
              <w:jc w:val="both"/>
              <w:rPr>
                <w:color w:val="auto"/>
                <w:kern w:val="0"/>
                <w:szCs w:val="18"/>
              </w:rPr>
            </w:pPr>
            <w:r w:rsidRPr="00894701">
              <w:rPr>
                <w:color w:val="auto"/>
                <w:kern w:val="0"/>
                <w:szCs w:val="18"/>
              </w:rPr>
              <w:t>In accordance with Requirement 2.6</w:t>
            </w:r>
          </w:p>
        </w:tc>
        <w:tc>
          <w:tcPr>
            <w:tcW w:w="3375" w:type="pct"/>
            <w:tcBorders>
              <w:top w:val="single" w:sz="18" w:space="0" w:color="FF0000"/>
              <w:left w:val="nil"/>
              <w:bottom w:val="single" w:sz="18" w:space="0" w:color="FF0000"/>
              <w:right w:val="nil"/>
            </w:tcBorders>
            <w:shd w:val="clear" w:color="auto" w:fill="auto"/>
          </w:tcPr>
          <w:p w14:paraId="5BEEA25F" w14:textId="77777777" w:rsidR="00E7530F" w:rsidRPr="00894701" w:rsidRDefault="00E7530F" w:rsidP="00446B8D">
            <w:pPr>
              <w:spacing w:after="60" w:line="240" w:lineRule="auto"/>
              <w:jc w:val="both"/>
              <w:rPr>
                <w:b/>
                <w:bCs/>
                <w:color w:val="auto"/>
                <w:kern w:val="0"/>
                <w:szCs w:val="18"/>
              </w:rPr>
            </w:pPr>
            <w:r w:rsidRPr="00894701">
              <w:rPr>
                <w:b/>
                <w:bCs/>
                <w:color w:val="auto"/>
                <w:kern w:val="0"/>
                <w:szCs w:val="18"/>
                <w:u w:val="single"/>
              </w:rPr>
              <w:t>Recommended actions</w:t>
            </w:r>
            <w:r w:rsidRPr="00894701">
              <w:rPr>
                <w:b/>
                <w:bCs/>
                <w:color w:val="auto"/>
                <w:kern w:val="0"/>
                <w:szCs w:val="18"/>
              </w:rPr>
              <w:t>:</w:t>
            </w:r>
          </w:p>
          <w:p w14:paraId="6CD7EB07" w14:textId="3148F61A" w:rsidR="00B1510A" w:rsidRPr="00894701" w:rsidRDefault="000B4C43" w:rsidP="00446B8D">
            <w:pPr>
              <w:spacing w:after="60" w:line="240" w:lineRule="auto"/>
              <w:jc w:val="both"/>
              <w:rPr>
                <w:color w:val="auto"/>
                <w:kern w:val="0"/>
                <w:szCs w:val="18"/>
              </w:rPr>
            </w:pPr>
            <w:r w:rsidRPr="00894701">
              <w:rPr>
                <w:color w:val="auto"/>
                <w:kern w:val="0"/>
                <w:szCs w:val="18"/>
              </w:rPr>
              <w:t>Suriname should ensure that a comprehensive overview of Grassalco is publicly disclosed, including an explanation of the prevailing rules and practices related to Grassalco’</w:t>
            </w:r>
            <w:r w:rsidR="00FB273C" w:rsidRPr="00894701">
              <w:rPr>
                <w:color w:val="auto"/>
                <w:kern w:val="0"/>
                <w:szCs w:val="18"/>
              </w:rPr>
              <w:t>s</w:t>
            </w:r>
            <w:r w:rsidRPr="00894701">
              <w:rPr>
                <w:color w:val="auto"/>
                <w:kern w:val="0"/>
                <w:szCs w:val="18"/>
              </w:rPr>
              <w:t xml:space="preserve"> retained earnings, reinvestment and third-party funding. The government should also ensure annual disclosure of a comprehensive account of any loans or loan guarantees extended by the state or Grassalco to mining, oil, and gas companies in line with Requirement 2.6.b. The terms of Staatsolie’s participation in the Merian Gold Mine should be comprehensively disclosed. Suriname is required to clarify whether NV1 is a government- owned corporation, and whether it is a material state -owned enterprise.</w:t>
            </w:r>
          </w:p>
        </w:tc>
      </w:tr>
      <w:tr w:rsidR="006D246F" w:rsidRPr="00894701" w14:paraId="3AD42D70" w14:textId="77777777" w:rsidTr="006D246F">
        <w:trPr>
          <w:trHeight w:val="260"/>
        </w:trPr>
        <w:tc>
          <w:tcPr>
            <w:tcW w:w="1625" w:type="pct"/>
            <w:vMerge/>
            <w:tcBorders>
              <w:top w:val="single" w:sz="12" w:space="0" w:color="FF0000"/>
              <w:left w:val="nil"/>
              <w:bottom w:val="nil"/>
              <w:right w:val="nil"/>
            </w:tcBorders>
            <w:vAlign w:val="center"/>
          </w:tcPr>
          <w:p w14:paraId="37715760" w14:textId="77777777" w:rsidR="00E7530F" w:rsidRPr="00894701" w:rsidRDefault="00E7530F" w:rsidP="00446B8D">
            <w:pPr>
              <w:spacing w:after="0" w:line="240" w:lineRule="auto"/>
              <w:rPr>
                <w:color w:val="auto"/>
                <w:kern w:val="0"/>
                <w:szCs w:val="18"/>
              </w:rPr>
            </w:pPr>
          </w:p>
        </w:tc>
        <w:tc>
          <w:tcPr>
            <w:tcW w:w="3375" w:type="pct"/>
            <w:tcBorders>
              <w:top w:val="single" w:sz="18" w:space="0" w:color="FF0000"/>
              <w:left w:val="nil"/>
              <w:bottom w:val="single" w:sz="18" w:space="0" w:color="FF0000"/>
              <w:right w:val="nil"/>
            </w:tcBorders>
            <w:shd w:val="clear" w:color="auto" w:fill="auto"/>
            <w:noWrap/>
            <w:vAlign w:val="bottom"/>
          </w:tcPr>
          <w:p w14:paraId="1231DED6" w14:textId="77777777" w:rsidR="00E7530F" w:rsidRPr="00894701" w:rsidRDefault="00E7530F" w:rsidP="00446B8D">
            <w:pPr>
              <w:spacing w:after="0" w:line="240" w:lineRule="auto"/>
              <w:contextualSpacing/>
              <w:rPr>
                <w:b/>
                <w:bCs/>
                <w:color w:val="auto"/>
                <w:kern w:val="0"/>
                <w:szCs w:val="18"/>
              </w:rPr>
            </w:pPr>
          </w:p>
          <w:p w14:paraId="1E3E6CDE" w14:textId="4D8047B3" w:rsidR="00E7530F" w:rsidRPr="00894701" w:rsidRDefault="00E7530F" w:rsidP="00446B8D">
            <w:pPr>
              <w:spacing w:after="0" w:line="240" w:lineRule="auto"/>
              <w:contextualSpacing/>
              <w:rPr>
                <w:color w:val="auto"/>
                <w:kern w:val="0"/>
                <w:szCs w:val="18"/>
              </w:rPr>
            </w:pPr>
            <w:r w:rsidRPr="00894701">
              <w:rPr>
                <w:b/>
                <w:bCs/>
                <w:color w:val="auto"/>
                <w:kern w:val="0"/>
                <w:szCs w:val="18"/>
                <w:u w:val="single"/>
              </w:rPr>
              <w:t>Related agencies</w:t>
            </w:r>
            <w:r w:rsidRPr="00894701">
              <w:rPr>
                <w:b/>
                <w:bCs/>
                <w:color w:val="auto"/>
                <w:kern w:val="0"/>
                <w:szCs w:val="18"/>
              </w:rPr>
              <w:t>:</w:t>
            </w:r>
            <w:r w:rsidRPr="00894701">
              <w:rPr>
                <w:color w:val="auto"/>
                <w:kern w:val="0"/>
                <w:szCs w:val="18"/>
              </w:rPr>
              <w:t xml:space="preserve"> </w:t>
            </w:r>
            <w:r w:rsidR="00F97281" w:rsidRPr="00894701">
              <w:rPr>
                <w:color w:val="auto"/>
                <w:kern w:val="0"/>
                <w:szCs w:val="18"/>
              </w:rPr>
              <w:t>Government</w:t>
            </w:r>
          </w:p>
          <w:p w14:paraId="5BE3522B" w14:textId="77777777" w:rsidR="00B1510A" w:rsidRPr="00894701" w:rsidRDefault="00B1510A" w:rsidP="00446B8D">
            <w:pPr>
              <w:spacing w:after="0" w:line="240" w:lineRule="auto"/>
              <w:contextualSpacing/>
              <w:rPr>
                <w:color w:val="auto"/>
                <w:kern w:val="0"/>
                <w:szCs w:val="18"/>
              </w:rPr>
            </w:pPr>
          </w:p>
        </w:tc>
      </w:tr>
      <w:tr w:rsidR="006D246F" w:rsidRPr="00894701" w14:paraId="0DC48734" w14:textId="77777777" w:rsidTr="006D246F">
        <w:trPr>
          <w:trHeight w:val="260"/>
        </w:trPr>
        <w:tc>
          <w:tcPr>
            <w:tcW w:w="1625" w:type="pct"/>
            <w:vMerge/>
            <w:tcBorders>
              <w:top w:val="single" w:sz="12" w:space="0" w:color="FF0000"/>
              <w:left w:val="nil"/>
              <w:bottom w:val="nil"/>
              <w:right w:val="nil"/>
            </w:tcBorders>
            <w:vAlign w:val="center"/>
          </w:tcPr>
          <w:p w14:paraId="78DFF827" w14:textId="77777777" w:rsidR="00E7530F" w:rsidRPr="00894701" w:rsidRDefault="00E7530F" w:rsidP="00446B8D">
            <w:pPr>
              <w:spacing w:after="0" w:line="240" w:lineRule="auto"/>
              <w:rPr>
                <w:color w:val="auto"/>
                <w:kern w:val="0"/>
                <w:szCs w:val="18"/>
              </w:rPr>
            </w:pPr>
          </w:p>
        </w:tc>
        <w:tc>
          <w:tcPr>
            <w:tcW w:w="3375" w:type="pct"/>
            <w:tcBorders>
              <w:top w:val="single" w:sz="18" w:space="0" w:color="FF0000"/>
              <w:left w:val="nil"/>
              <w:bottom w:val="single" w:sz="18" w:space="0" w:color="FF0000"/>
              <w:right w:val="nil"/>
            </w:tcBorders>
            <w:shd w:val="clear" w:color="auto" w:fill="auto"/>
            <w:noWrap/>
            <w:vAlign w:val="bottom"/>
          </w:tcPr>
          <w:p w14:paraId="433FE189" w14:textId="77777777" w:rsidR="00E7530F" w:rsidRPr="00894701" w:rsidRDefault="00E7530F" w:rsidP="00446B8D">
            <w:pPr>
              <w:spacing w:after="0" w:line="240" w:lineRule="auto"/>
              <w:contextualSpacing/>
              <w:rPr>
                <w:b/>
                <w:bCs/>
                <w:color w:val="auto"/>
                <w:kern w:val="0"/>
                <w:szCs w:val="18"/>
              </w:rPr>
            </w:pPr>
          </w:p>
          <w:p w14:paraId="04BC17DE" w14:textId="77777777" w:rsidR="00E7530F" w:rsidRPr="00894701" w:rsidRDefault="00E7530F" w:rsidP="00446B8D">
            <w:pPr>
              <w:spacing w:after="0" w:line="240" w:lineRule="auto"/>
              <w:contextualSpacing/>
              <w:rPr>
                <w:color w:val="auto"/>
                <w:kern w:val="0"/>
                <w:szCs w:val="18"/>
              </w:rPr>
            </w:pPr>
            <w:r w:rsidRPr="00894701">
              <w:rPr>
                <w:b/>
                <w:bCs/>
                <w:color w:val="auto"/>
                <w:kern w:val="0"/>
                <w:szCs w:val="18"/>
                <w:u w:val="single"/>
              </w:rPr>
              <w:t>Priority</w:t>
            </w:r>
            <w:r w:rsidRPr="00894701">
              <w:rPr>
                <w:b/>
                <w:bCs/>
                <w:color w:val="auto"/>
                <w:kern w:val="0"/>
                <w:szCs w:val="18"/>
              </w:rPr>
              <w:t>:</w:t>
            </w:r>
            <w:r w:rsidRPr="00894701">
              <w:rPr>
                <w:color w:val="auto"/>
                <w:kern w:val="0"/>
                <w:szCs w:val="18"/>
              </w:rPr>
              <w:t xml:space="preserve"> High</w:t>
            </w:r>
          </w:p>
          <w:p w14:paraId="3EEC63FC" w14:textId="77777777" w:rsidR="00B1510A" w:rsidRPr="00894701" w:rsidRDefault="00B1510A" w:rsidP="00446B8D">
            <w:pPr>
              <w:spacing w:after="0" w:line="240" w:lineRule="auto"/>
              <w:contextualSpacing/>
              <w:rPr>
                <w:color w:val="auto"/>
                <w:kern w:val="0"/>
                <w:szCs w:val="18"/>
              </w:rPr>
            </w:pPr>
          </w:p>
        </w:tc>
      </w:tr>
      <w:tr w:rsidR="006D246F" w:rsidRPr="00894701" w14:paraId="314E0920" w14:textId="77777777" w:rsidTr="006D246F">
        <w:trPr>
          <w:trHeight w:val="260"/>
        </w:trPr>
        <w:tc>
          <w:tcPr>
            <w:tcW w:w="1625" w:type="pct"/>
            <w:vMerge/>
            <w:tcBorders>
              <w:top w:val="single" w:sz="12" w:space="0" w:color="FF0000"/>
              <w:left w:val="nil"/>
              <w:bottom w:val="nil"/>
              <w:right w:val="nil"/>
            </w:tcBorders>
            <w:vAlign w:val="center"/>
          </w:tcPr>
          <w:p w14:paraId="47838266" w14:textId="77777777" w:rsidR="00E7530F" w:rsidRPr="00894701" w:rsidRDefault="00E7530F" w:rsidP="00446B8D">
            <w:pPr>
              <w:spacing w:after="0" w:line="240" w:lineRule="auto"/>
              <w:rPr>
                <w:color w:val="auto"/>
                <w:kern w:val="0"/>
                <w:szCs w:val="18"/>
              </w:rPr>
            </w:pPr>
          </w:p>
        </w:tc>
        <w:tc>
          <w:tcPr>
            <w:tcW w:w="3375" w:type="pct"/>
            <w:tcBorders>
              <w:top w:val="single" w:sz="18" w:space="0" w:color="FF0000"/>
              <w:left w:val="nil"/>
              <w:bottom w:val="single" w:sz="18" w:space="0" w:color="FF0000"/>
              <w:right w:val="nil"/>
            </w:tcBorders>
            <w:shd w:val="clear" w:color="auto" w:fill="auto"/>
            <w:vAlign w:val="bottom"/>
          </w:tcPr>
          <w:p w14:paraId="1B2E58DA" w14:textId="77777777" w:rsidR="00E7530F" w:rsidRPr="00894701" w:rsidRDefault="00E7530F" w:rsidP="00446B8D">
            <w:pPr>
              <w:spacing w:after="0" w:line="240" w:lineRule="auto"/>
              <w:contextualSpacing/>
              <w:rPr>
                <w:b/>
                <w:bCs/>
                <w:color w:val="auto"/>
                <w:kern w:val="0"/>
                <w:szCs w:val="18"/>
              </w:rPr>
            </w:pPr>
          </w:p>
          <w:p w14:paraId="5C1355D8" w14:textId="77777777" w:rsidR="00E7530F" w:rsidRPr="00894701" w:rsidRDefault="00E7530F" w:rsidP="00446B8D">
            <w:pPr>
              <w:spacing w:after="0" w:line="240" w:lineRule="auto"/>
              <w:contextualSpacing/>
              <w:rPr>
                <w:color w:val="auto"/>
                <w:kern w:val="0"/>
                <w:szCs w:val="18"/>
              </w:rPr>
            </w:pPr>
            <w:r w:rsidRPr="00894701">
              <w:rPr>
                <w:b/>
                <w:bCs/>
                <w:color w:val="auto"/>
                <w:kern w:val="0"/>
                <w:szCs w:val="18"/>
                <w:u w:val="single"/>
              </w:rPr>
              <w:t>Current status</w:t>
            </w:r>
            <w:r w:rsidRPr="00894701">
              <w:rPr>
                <w:b/>
                <w:bCs/>
                <w:color w:val="auto"/>
                <w:kern w:val="0"/>
                <w:szCs w:val="18"/>
              </w:rPr>
              <w:t>:</w:t>
            </w:r>
            <w:r w:rsidRPr="00894701">
              <w:rPr>
                <w:color w:val="auto"/>
                <w:kern w:val="0"/>
                <w:szCs w:val="18"/>
              </w:rPr>
              <w:t xml:space="preserve"> No progress</w:t>
            </w:r>
          </w:p>
          <w:p w14:paraId="6CD13794" w14:textId="77777777" w:rsidR="00B1510A" w:rsidRPr="00894701" w:rsidRDefault="00B1510A" w:rsidP="00446B8D">
            <w:pPr>
              <w:spacing w:after="0" w:line="240" w:lineRule="auto"/>
              <w:contextualSpacing/>
              <w:rPr>
                <w:color w:val="auto"/>
                <w:kern w:val="0"/>
                <w:szCs w:val="18"/>
              </w:rPr>
            </w:pPr>
          </w:p>
        </w:tc>
      </w:tr>
    </w:tbl>
    <w:p w14:paraId="27A3E9EE" w14:textId="1662A3DE" w:rsidR="00C937BD" w:rsidRPr="00894701" w:rsidRDefault="00C937BD">
      <w:pPr>
        <w:spacing w:after="0" w:line="240" w:lineRule="auto"/>
        <w:rPr>
          <w:rFonts w:cs="Arial"/>
          <w:color w:val="auto"/>
          <w:sz w:val="20"/>
        </w:rPr>
      </w:pPr>
      <w:r w:rsidRPr="00894701">
        <w:rPr>
          <w:rFonts w:cs="Arial"/>
          <w:color w:val="auto"/>
          <w:sz w:val="20"/>
        </w:rPr>
        <w:br w:type="page"/>
      </w:r>
    </w:p>
    <w:p w14:paraId="55702228" w14:textId="6040BF99" w:rsidR="00956627" w:rsidRPr="00894701" w:rsidRDefault="002D2CCB" w:rsidP="00A834A8">
      <w:pPr>
        <w:pStyle w:val="AltMinorHeading"/>
        <w:numPr>
          <w:ilvl w:val="2"/>
          <w:numId w:val="68"/>
        </w:numPr>
        <w:spacing w:before="100" w:beforeAutospacing="1" w:after="120"/>
        <w:ind w:right="454"/>
        <w:rPr>
          <w:color w:val="auto"/>
          <w:sz w:val="20"/>
        </w:rPr>
      </w:pPr>
      <w:bookmarkStart w:id="576" w:name="_Toc122478958"/>
      <w:r w:rsidRPr="00894701">
        <w:rPr>
          <w:rStyle w:val="Emphasis"/>
        </w:rPr>
        <w:t>Revenue collection</w:t>
      </w:r>
      <w:bookmarkEnd w:id="576"/>
      <w:r w:rsidRPr="00894701">
        <w:rPr>
          <w:rStyle w:val="Emphasis"/>
        </w:rPr>
        <w:tab/>
      </w:r>
      <w:r w:rsidRPr="00894701">
        <w:rPr>
          <w:color w:val="auto"/>
          <w:sz w:val="20"/>
        </w:rPr>
        <w:tab/>
      </w:r>
    </w:p>
    <w:p w14:paraId="24EF81BF" w14:textId="77777777" w:rsidR="002D2CCB" w:rsidRDefault="002D2CCB">
      <w:pPr>
        <w:spacing w:after="0" w:line="240" w:lineRule="auto"/>
        <w:rPr>
          <w:rFonts w:cs="Arial"/>
          <w:color w:val="auto"/>
          <w:sz w:val="20"/>
        </w:rPr>
      </w:pPr>
    </w:p>
    <w:p w14:paraId="49AE4086" w14:textId="53FD5587" w:rsidR="001E79E7" w:rsidRPr="00894701" w:rsidRDefault="001E79E7" w:rsidP="00860520">
      <w:pPr>
        <w:spacing w:after="240"/>
        <w:jc w:val="center"/>
        <w:rPr>
          <w:rFonts w:cs="Arial"/>
          <w:color w:val="auto"/>
          <w:sz w:val="20"/>
        </w:rPr>
      </w:pPr>
      <w:bookmarkStart w:id="577" w:name="_Toc146590556"/>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84</w:t>
      </w:r>
      <w:r w:rsidRPr="00894701">
        <w:rPr>
          <w:b/>
          <w:bCs/>
          <w:color w:val="98002E" w:themeColor="accent3"/>
          <w:sz w:val="20"/>
          <w:szCs w:val="20"/>
        </w:rPr>
        <w:fldChar w:fldCharType="end"/>
      </w:r>
      <w:r w:rsidRPr="00894701">
        <w:rPr>
          <w:b/>
          <w:bCs/>
          <w:color w:val="98002E" w:themeColor="accent3"/>
          <w:sz w:val="20"/>
          <w:szCs w:val="20"/>
        </w:rPr>
        <w:t xml:space="preserve">: </w:t>
      </w:r>
      <w:r>
        <w:rPr>
          <w:b/>
          <w:bCs/>
          <w:color w:val="98002E" w:themeColor="accent3"/>
          <w:sz w:val="20"/>
          <w:szCs w:val="20"/>
        </w:rPr>
        <w:t>Recommendation 10</w:t>
      </w:r>
      <w:bookmarkEnd w:id="577"/>
    </w:p>
    <w:tbl>
      <w:tblPr>
        <w:tblW w:w="5000" w:type="pct"/>
        <w:tblLook w:val="04A0" w:firstRow="1" w:lastRow="0" w:firstColumn="1" w:lastColumn="0" w:noHBand="0" w:noVBand="1"/>
      </w:tblPr>
      <w:tblGrid>
        <w:gridCol w:w="4679"/>
        <w:gridCol w:w="9279"/>
      </w:tblGrid>
      <w:tr w:rsidR="002D2CCB" w:rsidRPr="00894701" w14:paraId="1460737F" w14:textId="77777777" w:rsidTr="00446B8D">
        <w:trPr>
          <w:trHeight w:val="1985"/>
        </w:trPr>
        <w:tc>
          <w:tcPr>
            <w:tcW w:w="1676" w:type="pct"/>
            <w:vMerge w:val="restart"/>
            <w:tcBorders>
              <w:top w:val="single" w:sz="18" w:space="0" w:color="FF0000"/>
              <w:left w:val="nil"/>
              <w:bottom w:val="nil"/>
              <w:right w:val="nil"/>
            </w:tcBorders>
            <w:shd w:val="clear" w:color="auto" w:fill="auto"/>
          </w:tcPr>
          <w:p w14:paraId="13515242" w14:textId="77777777" w:rsidR="002D2CCB" w:rsidRPr="00894701" w:rsidRDefault="002D2CCB" w:rsidP="00446B8D">
            <w:pPr>
              <w:spacing w:after="0" w:line="240" w:lineRule="auto"/>
              <w:contextualSpacing/>
              <w:jc w:val="both"/>
              <w:rPr>
                <w:b/>
                <w:bCs/>
                <w:color w:val="auto"/>
                <w:kern w:val="0"/>
                <w:szCs w:val="18"/>
              </w:rPr>
            </w:pPr>
            <w:r w:rsidRPr="00894701">
              <w:rPr>
                <w:b/>
                <w:bCs/>
                <w:color w:val="auto"/>
                <w:kern w:val="0"/>
                <w:szCs w:val="18"/>
                <w:u w:val="single"/>
              </w:rPr>
              <w:t>Description</w:t>
            </w:r>
            <w:r w:rsidRPr="00894701">
              <w:rPr>
                <w:b/>
                <w:bCs/>
                <w:color w:val="auto"/>
                <w:kern w:val="0"/>
                <w:szCs w:val="18"/>
              </w:rPr>
              <w:t>:</w:t>
            </w:r>
          </w:p>
          <w:p w14:paraId="31CD6799" w14:textId="77777777" w:rsidR="00B1510A" w:rsidRPr="00894701" w:rsidRDefault="002D2CCB" w:rsidP="00446B8D">
            <w:pPr>
              <w:spacing w:before="60" w:after="60" w:line="240" w:lineRule="auto"/>
              <w:jc w:val="both"/>
              <w:rPr>
                <w:color w:val="auto"/>
                <w:kern w:val="0"/>
                <w:szCs w:val="18"/>
              </w:rPr>
            </w:pPr>
            <w:r w:rsidRPr="00894701">
              <w:rPr>
                <w:color w:val="auto"/>
                <w:kern w:val="0"/>
                <w:szCs w:val="18"/>
              </w:rPr>
              <w:t>In accordance with Requirement 4.1</w:t>
            </w:r>
          </w:p>
        </w:tc>
        <w:tc>
          <w:tcPr>
            <w:tcW w:w="3324" w:type="pct"/>
            <w:tcBorders>
              <w:top w:val="single" w:sz="18" w:space="0" w:color="FF0000"/>
              <w:left w:val="nil"/>
              <w:bottom w:val="single" w:sz="18" w:space="0" w:color="FF0000"/>
              <w:right w:val="nil"/>
            </w:tcBorders>
            <w:shd w:val="clear" w:color="auto" w:fill="auto"/>
          </w:tcPr>
          <w:p w14:paraId="300C2636" w14:textId="77777777" w:rsidR="002D2CCB" w:rsidRPr="00894701" w:rsidRDefault="002D2CCB" w:rsidP="00446B8D">
            <w:pPr>
              <w:spacing w:after="60" w:line="240" w:lineRule="auto"/>
              <w:jc w:val="both"/>
              <w:rPr>
                <w:b/>
                <w:bCs/>
                <w:color w:val="auto"/>
                <w:kern w:val="0"/>
                <w:szCs w:val="18"/>
              </w:rPr>
            </w:pPr>
            <w:r w:rsidRPr="00894701">
              <w:rPr>
                <w:b/>
                <w:bCs/>
                <w:color w:val="auto"/>
                <w:kern w:val="0"/>
                <w:szCs w:val="18"/>
                <w:u w:val="single"/>
              </w:rPr>
              <w:t>Recommended actions</w:t>
            </w:r>
            <w:r w:rsidRPr="00894701">
              <w:rPr>
                <w:b/>
                <w:bCs/>
                <w:color w:val="auto"/>
                <w:kern w:val="0"/>
                <w:szCs w:val="18"/>
              </w:rPr>
              <w:t>:</w:t>
            </w:r>
          </w:p>
          <w:p w14:paraId="5D229FFC" w14:textId="77777777" w:rsidR="00B1510A" w:rsidRPr="00894701" w:rsidRDefault="002D2CCB" w:rsidP="00446B8D">
            <w:pPr>
              <w:spacing w:before="60" w:after="60" w:line="240" w:lineRule="auto"/>
              <w:jc w:val="both"/>
              <w:rPr>
                <w:color w:val="auto"/>
                <w:kern w:val="0"/>
                <w:szCs w:val="18"/>
              </w:rPr>
            </w:pPr>
            <w:r w:rsidRPr="00894701">
              <w:rPr>
                <w:color w:val="auto"/>
                <w:kern w:val="0"/>
                <w:szCs w:val="18"/>
              </w:rPr>
              <w:t>Suriname should demonstrate that all material payments and revenues are comprehensively disclosed by government entities and extractive companies. In addition, Suriname should guarantee that any material omissions should be disclosed, and the non-reporting entities named. Suriname must assess whether gold exporters should be considered as material companies ahead of future EITI reporting.</w:t>
            </w:r>
          </w:p>
        </w:tc>
      </w:tr>
      <w:tr w:rsidR="002D2CCB" w:rsidRPr="00894701" w14:paraId="458489CD" w14:textId="77777777" w:rsidTr="00446B8D">
        <w:trPr>
          <w:trHeight w:val="260"/>
        </w:trPr>
        <w:tc>
          <w:tcPr>
            <w:tcW w:w="1676" w:type="pct"/>
            <w:vMerge/>
            <w:tcBorders>
              <w:top w:val="single" w:sz="12" w:space="0" w:color="FF0000"/>
              <w:left w:val="nil"/>
              <w:bottom w:val="nil"/>
              <w:right w:val="nil"/>
            </w:tcBorders>
            <w:vAlign w:val="center"/>
          </w:tcPr>
          <w:p w14:paraId="533B86A8" w14:textId="77777777" w:rsidR="002D2CCB" w:rsidRPr="00894701" w:rsidRDefault="002D2CCB" w:rsidP="00446B8D">
            <w:pPr>
              <w:spacing w:after="0" w:line="240" w:lineRule="auto"/>
              <w:rPr>
                <w:color w:val="auto"/>
                <w:kern w:val="0"/>
                <w:szCs w:val="18"/>
              </w:rPr>
            </w:pPr>
          </w:p>
        </w:tc>
        <w:tc>
          <w:tcPr>
            <w:tcW w:w="3324" w:type="pct"/>
            <w:tcBorders>
              <w:top w:val="single" w:sz="18" w:space="0" w:color="FF0000"/>
              <w:left w:val="nil"/>
              <w:bottom w:val="single" w:sz="18" w:space="0" w:color="FF0000"/>
              <w:right w:val="nil"/>
            </w:tcBorders>
            <w:shd w:val="clear" w:color="auto" w:fill="auto"/>
            <w:noWrap/>
            <w:vAlign w:val="bottom"/>
          </w:tcPr>
          <w:p w14:paraId="2DA9CBBA" w14:textId="77777777" w:rsidR="002D2CCB" w:rsidRPr="00894701" w:rsidRDefault="002D2CCB" w:rsidP="00446B8D">
            <w:pPr>
              <w:spacing w:after="0" w:line="240" w:lineRule="auto"/>
              <w:contextualSpacing/>
              <w:rPr>
                <w:b/>
                <w:bCs/>
                <w:color w:val="auto"/>
                <w:kern w:val="0"/>
                <w:szCs w:val="18"/>
              </w:rPr>
            </w:pPr>
          </w:p>
          <w:p w14:paraId="65F9593D" w14:textId="77777777" w:rsidR="002D2CCB" w:rsidRPr="00894701" w:rsidRDefault="002D2CCB" w:rsidP="00446B8D">
            <w:pPr>
              <w:spacing w:after="0" w:line="240" w:lineRule="auto"/>
              <w:contextualSpacing/>
              <w:rPr>
                <w:color w:val="auto"/>
                <w:kern w:val="0"/>
                <w:szCs w:val="18"/>
              </w:rPr>
            </w:pPr>
            <w:r w:rsidRPr="00894701">
              <w:rPr>
                <w:b/>
                <w:bCs/>
                <w:color w:val="auto"/>
                <w:kern w:val="0"/>
                <w:szCs w:val="18"/>
                <w:u w:val="single"/>
              </w:rPr>
              <w:t>Related agencies</w:t>
            </w:r>
            <w:r w:rsidRPr="00894701">
              <w:rPr>
                <w:b/>
                <w:bCs/>
                <w:color w:val="auto"/>
                <w:kern w:val="0"/>
                <w:szCs w:val="18"/>
              </w:rPr>
              <w:t>:</w:t>
            </w:r>
            <w:r w:rsidRPr="00894701">
              <w:rPr>
                <w:color w:val="auto"/>
                <w:kern w:val="0"/>
                <w:szCs w:val="18"/>
              </w:rPr>
              <w:t xml:space="preserve"> Government and Companies</w:t>
            </w:r>
          </w:p>
          <w:p w14:paraId="29E15B9E" w14:textId="77777777" w:rsidR="00B1510A" w:rsidRPr="00894701" w:rsidRDefault="00B1510A" w:rsidP="00446B8D">
            <w:pPr>
              <w:spacing w:after="0" w:line="240" w:lineRule="auto"/>
              <w:contextualSpacing/>
              <w:rPr>
                <w:color w:val="auto"/>
                <w:kern w:val="0"/>
                <w:szCs w:val="18"/>
              </w:rPr>
            </w:pPr>
          </w:p>
        </w:tc>
      </w:tr>
      <w:tr w:rsidR="002D2CCB" w:rsidRPr="00894701" w14:paraId="3F967502" w14:textId="77777777" w:rsidTr="00446B8D">
        <w:trPr>
          <w:trHeight w:val="260"/>
        </w:trPr>
        <w:tc>
          <w:tcPr>
            <w:tcW w:w="1676" w:type="pct"/>
            <w:vMerge/>
            <w:tcBorders>
              <w:top w:val="single" w:sz="12" w:space="0" w:color="FF0000"/>
              <w:left w:val="nil"/>
              <w:bottom w:val="nil"/>
              <w:right w:val="nil"/>
            </w:tcBorders>
            <w:vAlign w:val="center"/>
          </w:tcPr>
          <w:p w14:paraId="08A7494E" w14:textId="77777777" w:rsidR="002D2CCB" w:rsidRPr="00894701" w:rsidRDefault="002D2CCB" w:rsidP="00446B8D">
            <w:pPr>
              <w:spacing w:after="0" w:line="240" w:lineRule="auto"/>
              <w:rPr>
                <w:color w:val="auto"/>
                <w:kern w:val="0"/>
                <w:szCs w:val="18"/>
              </w:rPr>
            </w:pPr>
          </w:p>
        </w:tc>
        <w:tc>
          <w:tcPr>
            <w:tcW w:w="3324" w:type="pct"/>
            <w:tcBorders>
              <w:top w:val="single" w:sz="18" w:space="0" w:color="FF0000"/>
              <w:left w:val="nil"/>
              <w:bottom w:val="single" w:sz="18" w:space="0" w:color="FF0000"/>
              <w:right w:val="nil"/>
            </w:tcBorders>
            <w:shd w:val="clear" w:color="auto" w:fill="auto"/>
            <w:noWrap/>
            <w:vAlign w:val="bottom"/>
          </w:tcPr>
          <w:p w14:paraId="14B3E1EC" w14:textId="77777777" w:rsidR="002D2CCB" w:rsidRPr="00894701" w:rsidRDefault="002D2CCB" w:rsidP="00446B8D">
            <w:pPr>
              <w:spacing w:after="0" w:line="240" w:lineRule="auto"/>
              <w:contextualSpacing/>
              <w:rPr>
                <w:b/>
                <w:bCs/>
                <w:color w:val="auto"/>
                <w:kern w:val="0"/>
                <w:szCs w:val="18"/>
              </w:rPr>
            </w:pPr>
          </w:p>
          <w:p w14:paraId="53EED122" w14:textId="77777777" w:rsidR="002D2CCB" w:rsidRPr="00894701" w:rsidRDefault="002D2CCB" w:rsidP="00446B8D">
            <w:pPr>
              <w:spacing w:after="0" w:line="240" w:lineRule="auto"/>
              <w:contextualSpacing/>
              <w:rPr>
                <w:color w:val="auto"/>
                <w:kern w:val="0"/>
                <w:szCs w:val="18"/>
              </w:rPr>
            </w:pPr>
            <w:r w:rsidRPr="00894701">
              <w:rPr>
                <w:b/>
                <w:bCs/>
                <w:color w:val="auto"/>
                <w:kern w:val="0"/>
                <w:szCs w:val="18"/>
                <w:u w:val="single"/>
              </w:rPr>
              <w:t>Priority</w:t>
            </w:r>
            <w:r w:rsidRPr="00894701">
              <w:rPr>
                <w:b/>
                <w:bCs/>
                <w:color w:val="auto"/>
                <w:kern w:val="0"/>
                <w:szCs w:val="18"/>
              </w:rPr>
              <w:t>:</w:t>
            </w:r>
            <w:r w:rsidRPr="00894701">
              <w:rPr>
                <w:color w:val="auto"/>
                <w:kern w:val="0"/>
                <w:szCs w:val="18"/>
              </w:rPr>
              <w:t xml:space="preserve"> High</w:t>
            </w:r>
          </w:p>
          <w:p w14:paraId="0BD9DA40" w14:textId="77777777" w:rsidR="00B1510A" w:rsidRPr="00894701" w:rsidRDefault="00B1510A" w:rsidP="00446B8D">
            <w:pPr>
              <w:spacing w:after="0" w:line="240" w:lineRule="auto"/>
              <w:contextualSpacing/>
              <w:rPr>
                <w:color w:val="auto"/>
                <w:kern w:val="0"/>
                <w:szCs w:val="18"/>
              </w:rPr>
            </w:pPr>
          </w:p>
        </w:tc>
      </w:tr>
      <w:tr w:rsidR="002D2CCB" w:rsidRPr="00894701" w14:paraId="1E8D19D7" w14:textId="77777777" w:rsidTr="00446B8D">
        <w:trPr>
          <w:trHeight w:val="260"/>
        </w:trPr>
        <w:tc>
          <w:tcPr>
            <w:tcW w:w="1676" w:type="pct"/>
            <w:vMerge/>
            <w:tcBorders>
              <w:top w:val="single" w:sz="12" w:space="0" w:color="FF0000"/>
              <w:left w:val="nil"/>
              <w:bottom w:val="nil"/>
              <w:right w:val="nil"/>
            </w:tcBorders>
            <w:vAlign w:val="center"/>
          </w:tcPr>
          <w:p w14:paraId="0A13AA91" w14:textId="77777777" w:rsidR="002D2CCB" w:rsidRPr="00894701" w:rsidRDefault="002D2CCB" w:rsidP="00446B8D">
            <w:pPr>
              <w:spacing w:after="0" w:line="240" w:lineRule="auto"/>
              <w:rPr>
                <w:color w:val="auto"/>
                <w:kern w:val="0"/>
                <w:szCs w:val="18"/>
              </w:rPr>
            </w:pPr>
          </w:p>
        </w:tc>
        <w:tc>
          <w:tcPr>
            <w:tcW w:w="3324" w:type="pct"/>
            <w:tcBorders>
              <w:top w:val="single" w:sz="18" w:space="0" w:color="FF0000"/>
              <w:left w:val="nil"/>
              <w:bottom w:val="single" w:sz="18" w:space="0" w:color="FF0000"/>
              <w:right w:val="nil"/>
            </w:tcBorders>
            <w:shd w:val="clear" w:color="auto" w:fill="auto"/>
          </w:tcPr>
          <w:p w14:paraId="2F83322D" w14:textId="77777777" w:rsidR="002D2CCB" w:rsidRPr="00894701" w:rsidRDefault="002D2CCB" w:rsidP="00446B8D">
            <w:pPr>
              <w:spacing w:after="0" w:line="240" w:lineRule="auto"/>
              <w:contextualSpacing/>
              <w:rPr>
                <w:b/>
                <w:bCs/>
                <w:color w:val="auto"/>
                <w:kern w:val="0"/>
                <w:szCs w:val="18"/>
              </w:rPr>
            </w:pPr>
          </w:p>
          <w:p w14:paraId="5728B659" w14:textId="77777777" w:rsidR="002D2CCB" w:rsidRPr="00894701" w:rsidRDefault="002D2CCB" w:rsidP="00446B8D">
            <w:pPr>
              <w:spacing w:after="0" w:line="240" w:lineRule="auto"/>
              <w:contextualSpacing/>
              <w:rPr>
                <w:color w:val="auto"/>
                <w:kern w:val="0"/>
                <w:szCs w:val="18"/>
              </w:rPr>
            </w:pPr>
            <w:r w:rsidRPr="00894701">
              <w:rPr>
                <w:b/>
                <w:bCs/>
                <w:color w:val="auto"/>
                <w:kern w:val="0"/>
                <w:szCs w:val="18"/>
                <w:u w:val="single"/>
              </w:rPr>
              <w:t>Current status</w:t>
            </w:r>
            <w:r w:rsidRPr="00894701">
              <w:rPr>
                <w:b/>
                <w:bCs/>
                <w:color w:val="auto"/>
                <w:kern w:val="0"/>
                <w:szCs w:val="18"/>
              </w:rPr>
              <w:t>:</w:t>
            </w:r>
            <w:r w:rsidRPr="00894701">
              <w:rPr>
                <w:color w:val="auto"/>
                <w:kern w:val="0"/>
                <w:szCs w:val="18"/>
              </w:rPr>
              <w:t xml:space="preserve"> No progress</w:t>
            </w:r>
          </w:p>
          <w:p w14:paraId="4FE8518B" w14:textId="77777777" w:rsidR="00B1510A" w:rsidRPr="00894701" w:rsidRDefault="00B1510A" w:rsidP="00446B8D">
            <w:pPr>
              <w:spacing w:after="0" w:line="240" w:lineRule="auto"/>
              <w:contextualSpacing/>
              <w:rPr>
                <w:color w:val="auto"/>
                <w:kern w:val="0"/>
                <w:szCs w:val="18"/>
              </w:rPr>
            </w:pPr>
          </w:p>
        </w:tc>
      </w:tr>
    </w:tbl>
    <w:p w14:paraId="2DE8ECFF" w14:textId="1CF2AD4F" w:rsidR="006D246F" w:rsidRPr="00894701" w:rsidRDefault="008F072D">
      <w:pPr>
        <w:spacing w:after="0" w:line="240" w:lineRule="auto"/>
        <w:rPr>
          <w:rFonts w:cs="Arial"/>
          <w:color w:val="auto"/>
          <w:sz w:val="20"/>
        </w:rPr>
      </w:pPr>
      <w:r w:rsidRPr="00894701">
        <w:rPr>
          <w:rFonts w:cs="Arial"/>
          <w:color w:val="auto"/>
          <w:sz w:val="20"/>
        </w:rPr>
        <w:br w:type="page"/>
      </w:r>
    </w:p>
    <w:p w14:paraId="6F2C3CE5" w14:textId="77777777" w:rsidR="002D2CCB" w:rsidRPr="00894701" w:rsidRDefault="002D2CCB">
      <w:pPr>
        <w:spacing w:after="0" w:line="240" w:lineRule="auto"/>
        <w:rPr>
          <w:rFonts w:cs="Arial"/>
          <w:color w:val="auto"/>
          <w:sz w:val="20"/>
        </w:rPr>
      </w:pPr>
    </w:p>
    <w:p w14:paraId="35FDAD2A" w14:textId="17A900AF" w:rsidR="002D2CCB" w:rsidRPr="00894701" w:rsidRDefault="001E79E7" w:rsidP="00860520">
      <w:pPr>
        <w:spacing w:after="240"/>
        <w:jc w:val="center"/>
        <w:rPr>
          <w:rFonts w:cs="Arial"/>
          <w:color w:val="auto"/>
          <w:sz w:val="20"/>
        </w:rPr>
      </w:pPr>
      <w:bookmarkStart w:id="578" w:name="_Toc146590557"/>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85</w:t>
      </w:r>
      <w:r w:rsidRPr="00894701">
        <w:rPr>
          <w:b/>
          <w:bCs/>
          <w:color w:val="98002E" w:themeColor="accent3"/>
          <w:sz w:val="20"/>
          <w:szCs w:val="20"/>
        </w:rPr>
        <w:fldChar w:fldCharType="end"/>
      </w:r>
      <w:r w:rsidRPr="00894701">
        <w:rPr>
          <w:b/>
          <w:bCs/>
          <w:color w:val="98002E" w:themeColor="accent3"/>
          <w:sz w:val="20"/>
          <w:szCs w:val="20"/>
        </w:rPr>
        <w:t xml:space="preserve">: </w:t>
      </w:r>
      <w:r>
        <w:rPr>
          <w:b/>
          <w:bCs/>
          <w:color w:val="98002E" w:themeColor="accent3"/>
          <w:sz w:val="20"/>
          <w:szCs w:val="20"/>
        </w:rPr>
        <w:t>Recommendation 11</w:t>
      </w:r>
      <w:bookmarkEnd w:id="578"/>
    </w:p>
    <w:tbl>
      <w:tblPr>
        <w:tblW w:w="5000" w:type="pct"/>
        <w:tblLook w:val="04A0" w:firstRow="1" w:lastRow="0" w:firstColumn="1" w:lastColumn="0" w:noHBand="0" w:noVBand="1"/>
      </w:tblPr>
      <w:tblGrid>
        <w:gridCol w:w="4536"/>
        <w:gridCol w:w="9422"/>
      </w:tblGrid>
      <w:tr w:rsidR="002D2CCB" w:rsidRPr="00894701" w14:paraId="342FAA3C" w14:textId="77777777" w:rsidTr="00446B8D">
        <w:trPr>
          <w:trHeight w:val="1985"/>
        </w:trPr>
        <w:tc>
          <w:tcPr>
            <w:tcW w:w="1625" w:type="pct"/>
            <w:vMerge w:val="restart"/>
            <w:tcBorders>
              <w:top w:val="single" w:sz="18" w:space="0" w:color="FF0000"/>
              <w:left w:val="nil"/>
              <w:bottom w:val="nil"/>
              <w:right w:val="nil"/>
            </w:tcBorders>
            <w:shd w:val="clear" w:color="auto" w:fill="auto"/>
          </w:tcPr>
          <w:p w14:paraId="5FE8E525" w14:textId="77777777" w:rsidR="002D2CCB" w:rsidRPr="00894701" w:rsidRDefault="002D2CCB" w:rsidP="00446B8D">
            <w:pPr>
              <w:spacing w:after="0" w:line="240" w:lineRule="auto"/>
              <w:contextualSpacing/>
              <w:jc w:val="both"/>
              <w:rPr>
                <w:b/>
                <w:bCs/>
                <w:color w:val="auto"/>
                <w:kern w:val="0"/>
                <w:szCs w:val="18"/>
              </w:rPr>
            </w:pPr>
            <w:bookmarkStart w:id="579" w:name="_Hlk117529626"/>
            <w:r w:rsidRPr="00894701">
              <w:rPr>
                <w:b/>
                <w:bCs/>
                <w:color w:val="auto"/>
                <w:kern w:val="0"/>
                <w:szCs w:val="18"/>
                <w:u w:val="single"/>
              </w:rPr>
              <w:t>Description</w:t>
            </w:r>
            <w:r w:rsidRPr="00894701">
              <w:rPr>
                <w:b/>
                <w:bCs/>
                <w:color w:val="auto"/>
                <w:kern w:val="0"/>
                <w:szCs w:val="18"/>
              </w:rPr>
              <w:t>:</w:t>
            </w:r>
          </w:p>
          <w:p w14:paraId="04ABA1D3" w14:textId="77777777" w:rsidR="00B1510A" w:rsidRPr="00894701" w:rsidRDefault="002D2CCB" w:rsidP="00446B8D">
            <w:pPr>
              <w:spacing w:before="60" w:after="60" w:line="240" w:lineRule="auto"/>
              <w:jc w:val="both"/>
              <w:rPr>
                <w:color w:val="auto"/>
                <w:kern w:val="0"/>
                <w:szCs w:val="18"/>
              </w:rPr>
            </w:pPr>
            <w:r w:rsidRPr="00894701">
              <w:rPr>
                <w:color w:val="auto"/>
                <w:kern w:val="0"/>
                <w:szCs w:val="18"/>
              </w:rPr>
              <w:t>In accordance with Requirement 4.2</w:t>
            </w:r>
          </w:p>
        </w:tc>
        <w:tc>
          <w:tcPr>
            <w:tcW w:w="3375" w:type="pct"/>
            <w:tcBorders>
              <w:top w:val="single" w:sz="18" w:space="0" w:color="FF0000"/>
              <w:left w:val="nil"/>
              <w:bottom w:val="single" w:sz="18" w:space="0" w:color="FF0000"/>
              <w:right w:val="nil"/>
            </w:tcBorders>
            <w:shd w:val="clear" w:color="auto" w:fill="auto"/>
          </w:tcPr>
          <w:p w14:paraId="476BC5E9" w14:textId="77777777" w:rsidR="002D2CCB" w:rsidRPr="00894701" w:rsidRDefault="002D2CCB" w:rsidP="00446B8D">
            <w:pPr>
              <w:spacing w:after="60" w:line="240" w:lineRule="auto"/>
              <w:jc w:val="both"/>
              <w:rPr>
                <w:b/>
                <w:bCs/>
                <w:color w:val="auto"/>
                <w:kern w:val="0"/>
                <w:szCs w:val="18"/>
              </w:rPr>
            </w:pPr>
            <w:r w:rsidRPr="00894701">
              <w:rPr>
                <w:b/>
                <w:bCs/>
                <w:color w:val="auto"/>
                <w:kern w:val="0"/>
                <w:szCs w:val="18"/>
                <w:u w:val="single"/>
              </w:rPr>
              <w:t>Recommended actions</w:t>
            </w:r>
            <w:r w:rsidRPr="00894701">
              <w:rPr>
                <w:b/>
                <w:bCs/>
                <w:color w:val="auto"/>
                <w:kern w:val="0"/>
                <w:szCs w:val="18"/>
              </w:rPr>
              <w:t>:</w:t>
            </w:r>
          </w:p>
          <w:p w14:paraId="0C946692" w14:textId="671C0148" w:rsidR="002D2CCB" w:rsidRPr="00894701" w:rsidRDefault="006219CA" w:rsidP="00446B8D">
            <w:pPr>
              <w:spacing w:before="60" w:after="60" w:line="240" w:lineRule="auto"/>
              <w:jc w:val="both"/>
              <w:rPr>
                <w:color w:val="auto"/>
                <w:kern w:val="0"/>
                <w:szCs w:val="18"/>
              </w:rPr>
            </w:pPr>
            <w:r>
              <w:rPr>
                <w:color w:val="auto"/>
                <w:kern w:val="0"/>
                <w:szCs w:val="18"/>
              </w:rPr>
              <w:t>T</w:t>
            </w:r>
            <w:r w:rsidR="002D2CCB" w:rsidRPr="00894701">
              <w:rPr>
                <w:color w:val="auto"/>
                <w:kern w:val="0"/>
                <w:szCs w:val="18"/>
              </w:rPr>
              <w:t>he MSG should agree whether the sale of the state’s share of production or other revenues collected in kind is material. Suriname is required to disclose the volumes sold and revenues received, disaggregated by individual company and to levels commensurate with the reporting of other payments and revenue streams. Reporting could also break down disclosures by the type of product, price, market and sale volume. The MSG is encouraged to task the IA with reconciling the volumes sold and revenues received</w:t>
            </w:r>
            <w:r w:rsidR="00EF2B4A">
              <w:rPr>
                <w:color w:val="auto"/>
                <w:kern w:val="0"/>
                <w:szCs w:val="18"/>
              </w:rPr>
              <w:t xml:space="preserve">, </w:t>
            </w:r>
            <w:r w:rsidR="002D2CCB" w:rsidRPr="00894701">
              <w:rPr>
                <w:color w:val="auto"/>
                <w:kern w:val="0"/>
                <w:szCs w:val="18"/>
              </w:rPr>
              <w:t>including the buying companies in the reporting process.</w:t>
            </w:r>
          </w:p>
        </w:tc>
      </w:tr>
      <w:tr w:rsidR="002D2CCB" w:rsidRPr="00894701" w14:paraId="43AB4492" w14:textId="77777777" w:rsidTr="00446B8D">
        <w:trPr>
          <w:trHeight w:val="260"/>
        </w:trPr>
        <w:tc>
          <w:tcPr>
            <w:tcW w:w="1625" w:type="pct"/>
            <w:vMerge/>
            <w:tcBorders>
              <w:top w:val="single" w:sz="12" w:space="0" w:color="FF0000"/>
              <w:left w:val="nil"/>
              <w:bottom w:val="nil"/>
              <w:right w:val="nil"/>
            </w:tcBorders>
            <w:vAlign w:val="center"/>
          </w:tcPr>
          <w:p w14:paraId="23A2864E" w14:textId="77777777" w:rsidR="002D2CCB" w:rsidRPr="00894701" w:rsidRDefault="002D2CCB" w:rsidP="00446B8D">
            <w:pPr>
              <w:spacing w:after="0" w:line="240" w:lineRule="auto"/>
              <w:rPr>
                <w:color w:val="auto"/>
                <w:kern w:val="0"/>
                <w:szCs w:val="18"/>
              </w:rPr>
            </w:pPr>
          </w:p>
        </w:tc>
        <w:tc>
          <w:tcPr>
            <w:tcW w:w="3375" w:type="pct"/>
            <w:tcBorders>
              <w:top w:val="single" w:sz="18" w:space="0" w:color="FF0000"/>
              <w:left w:val="nil"/>
              <w:bottom w:val="single" w:sz="18" w:space="0" w:color="FF0000"/>
              <w:right w:val="nil"/>
            </w:tcBorders>
            <w:shd w:val="clear" w:color="auto" w:fill="auto"/>
            <w:noWrap/>
            <w:vAlign w:val="bottom"/>
          </w:tcPr>
          <w:p w14:paraId="2D073541" w14:textId="77777777" w:rsidR="002D2CCB" w:rsidRPr="00894701" w:rsidRDefault="002D2CCB" w:rsidP="00446B8D">
            <w:pPr>
              <w:spacing w:after="0" w:line="240" w:lineRule="auto"/>
              <w:contextualSpacing/>
              <w:rPr>
                <w:b/>
                <w:bCs/>
                <w:color w:val="auto"/>
                <w:kern w:val="0"/>
                <w:szCs w:val="18"/>
              </w:rPr>
            </w:pPr>
          </w:p>
          <w:p w14:paraId="0892CD11" w14:textId="77777777" w:rsidR="002D2CCB" w:rsidRPr="00894701" w:rsidRDefault="002D2CCB" w:rsidP="00446B8D">
            <w:pPr>
              <w:spacing w:after="0" w:line="240" w:lineRule="auto"/>
              <w:contextualSpacing/>
              <w:rPr>
                <w:color w:val="auto"/>
                <w:kern w:val="0"/>
                <w:szCs w:val="18"/>
              </w:rPr>
            </w:pPr>
            <w:r w:rsidRPr="00894701">
              <w:rPr>
                <w:b/>
                <w:bCs/>
                <w:color w:val="auto"/>
                <w:kern w:val="0"/>
                <w:szCs w:val="18"/>
                <w:u w:val="single"/>
              </w:rPr>
              <w:t>Related agencies</w:t>
            </w:r>
            <w:r w:rsidRPr="00894701">
              <w:rPr>
                <w:b/>
                <w:bCs/>
                <w:color w:val="auto"/>
                <w:kern w:val="0"/>
                <w:szCs w:val="18"/>
              </w:rPr>
              <w:t>:</w:t>
            </w:r>
            <w:r w:rsidRPr="00894701">
              <w:rPr>
                <w:color w:val="auto"/>
                <w:kern w:val="0"/>
                <w:szCs w:val="18"/>
              </w:rPr>
              <w:t xml:space="preserve"> MSG/ IA</w:t>
            </w:r>
          </w:p>
          <w:p w14:paraId="02D1BF79" w14:textId="77777777" w:rsidR="00B1510A" w:rsidRPr="00894701" w:rsidRDefault="00B1510A" w:rsidP="00446B8D">
            <w:pPr>
              <w:spacing w:after="0" w:line="240" w:lineRule="auto"/>
              <w:contextualSpacing/>
              <w:rPr>
                <w:color w:val="auto"/>
                <w:kern w:val="0"/>
                <w:szCs w:val="18"/>
              </w:rPr>
            </w:pPr>
          </w:p>
        </w:tc>
      </w:tr>
      <w:tr w:rsidR="002D2CCB" w:rsidRPr="00894701" w14:paraId="10001CBC" w14:textId="77777777" w:rsidTr="00446B8D">
        <w:trPr>
          <w:trHeight w:val="260"/>
        </w:trPr>
        <w:tc>
          <w:tcPr>
            <w:tcW w:w="1625" w:type="pct"/>
            <w:vMerge/>
            <w:tcBorders>
              <w:top w:val="single" w:sz="12" w:space="0" w:color="FF0000"/>
              <w:left w:val="nil"/>
              <w:bottom w:val="nil"/>
              <w:right w:val="nil"/>
            </w:tcBorders>
            <w:vAlign w:val="center"/>
          </w:tcPr>
          <w:p w14:paraId="1C72770D" w14:textId="77777777" w:rsidR="002D2CCB" w:rsidRPr="00894701" w:rsidRDefault="002D2CCB" w:rsidP="00446B8D">
            <w:pPr>
              <w:spacing w:after="0" w:line="240" w:lineRule="auto"/>
              <w:rPr>
                <w:color w:val="auto"/>
                <w:kern w:val="0"/>
                <w:szCs w:val="18"/>
              </w:rPr>
            </w:pPr>
          </w:p>
        </w:tc>
        <w:tc>
          <w:tcPr>
            <w:tcW w:w="3375" w:type="pct"/>
            <w:tcBorders>
              <w:top w:val="single" w:sz="18" w:space="0" w:color="FF0000"/>
              <w:left w:val="nil"/>
              <w:bottom w:val="single" w:sz="18" w:space="0" w:color="FF0000"/>
              <w:right w:val="nil"/>
            </w:tcBorders>
            <w:shd w:val="clear" w:color="auto" w:fill="auto"/>
            <w:noWrap/>
            <w:vAlign w:val="bottom"/>
          </w:tcPr>
          <w:p w14:paraId="6E4DE850" w14:textId="77777777" w:rsidR="002D2CCB" w:rsidRPr="00894701" w:rsidRDefault="002D2CCB" w:rsidP="00446B8D">
            <w:pPr>
              <w:spacing w:after="0" w:line="240" w:lineRule="auto"/>
              <w:contextualSpacing/>
              <w:rPr>
                <w:b/>
                <w:bCs/>
                <w:color w:val="auto"/>
                <w:kern w:val="0"/>
                <w:szCs w:val="18"/>
              </w:rPr>
            </w:pPr>
          </w:p>
          <w:p w14:paraId="3DD646EA" w14:textId="77777777" w:rsidR="002D2CCB" w:rsidRPr="00894701" w:rsidRDefault="002D2CCB" w:rsidP="00446B8D">
            <w:pPr>
              <w:spacing w:after="0" w:line="240" w:lineRule="auto"/>
              <w:contextualSpacing/>
              <w:rPr>
                <w:color w:val="auto"/>
                <w:kern w:val="0"/>
                <w:szCs w:val="18"/>
              </w:rPr>
            </w:pPr>
            <w:r w:rsidRPr="00894701">
              <w:rPr>
                <w:b/>
                <w:bCs/>
                <w:color w:val="auto"/>
                <w:kern w:val="0"/>
                <w:szCs w:val="18"/>
                <w:u w:val="single"/>
              </w:rPr>
              <w:t>Priority</w:t>
            </w:r>
            <w:r w:rsidRPr="00894701">
              <w:rPr>
                <w:b/>
                <w:bCs/>
                <w:color w:val="auto"/>
                <w:kern w:val="0"/>
                <w:szCs w:val="18"/>
              </w:rPr>
              <w:t>:</w:t>
            </w:r>
            <w:r w:rsidRPr="00894701">
              <w:rPr>
                <w:color w:val="auto"/>
                <w:kern w:val="0"/>
                <w:szCs w:val="18"/>
              </w:rPr>
              <w:t xml:space="preserve"> High</w:t>
            </w:r>
          </w:p>
          <w:p w14:paraId="606B509A" w14:textId="77777777" w:rsidR="00B1510A" w:rsidRPr="00894701" w:rsidRDefault="00B1510A" w:rsidP="00446B8D">
            <w:pPr>
              <w:spacing w:after="0" w:line="240" w:lineRule="auto"/>
              <w:contextualSpacing/>
              <w:rPr>
                <w:color w:val="auto"/>
                <w:kern w:val="0"/>
                <w:szCs w:val="18"/>
              </w:rPr>
            </w:pPr>
          </w:p>
        </w:tc>
      </w:tr>
      <w:tr w:rsidR="002D2CCB" w:rsidRPr="00894701" w14:paraId="5CDE483A" w14:textId="77777777" w:rsidTr="00446B8D">
        <w:trPr>
          <w:trHeight w:val="260"/>
        </w:trPr>
        <w:tc>
          <w:tcPr>
            <w:tcW w:w="1625" w:type="pct"/>
            <w:vMerge/>
            <w:tcBorders>
              <w:top w:val="single" w:sz="12" w:space="0" w:color="FF0000"/>
              <w:left w:val="nil"/>
              <w:bottom w:val="nil"/>
              <w:right w:val="nil"/>
            </w:tcBorders>
            <w:vAlign w:val="center"/>
          </w:tcPr>
          <w:p w14:paraId="6F5B0447" w14:textId="77777777" w:rsidR="002D2CCB" w:rsidRPr="00894701" w:rsidRDefault="002D2CCB" w:rsidP="00446B8D">
            <w:pPr>
              <w:spacing w:after="0" w:line="240" w:lineRule="auto"/>
              <w:rPr>
                <w:color w:val="auto"/>
                <w:kern w:val="0"/>
                <w:szCs w:val="18"/>
              </w:rPr>
            </w:pPr>
          </w:p>
        </w:tc>
        <w:tc>
          <w:tcPr>
            <w:tcW w:w="3375" w:type="pct"/>
            <w:tcBorders>
              <w:top w:val="single" w:sz="18" w:space="0" w:color="FF0000"/>
              <w:left w:val="nil"/>
              <w:bottom w:val="single" w:sz="18" w:space="0" w:color="FF0000"/>
              <w:right w:val="nil"/>
            </w:tcBorders>
            <w:shd w:val="clear" w:color="auto" w:fill="auto"/>
          </w:tcPr>
          <w:p w14:paraId="11C0098A" w14:textId="77777777" w:rsidR="002D2CCB" w:rsidRPr="00894701" w:rsidRDefault="002D2CCB" w:rsidP="00446B8D">
            <w:pPr>
              <w:spacing w:after="0" w:line="240" w:lineRule="auto"/>
              <w:contextualSpacing/>
              <w:rPr>
                <w:b/>
                <w:bCs/>
                <w:color w:val="auto"/>
                <w:kern w:val="0"/>
                <w:szCs w:val="18"/>
              </w:rPr>
            </w:pPr>
          </w:p>
          <w:p w14:paraId="0F3A9C6C" w14:textId="77777777" w:rsidR="002D2CCB" w:rsidRPr="00894701" w:rsidRDefault="002D2CCB" w:rsidP="00446B8D">
            <w:pPr>
              <w:spacing w:after="0" w:line="240" w:lineRule="auto"/>
              <w:contextualSpacing/>
              <w:rPr>
                <w:color w:val="auto"/>
                <w:kern w:val="0"/>
                <w:szCs w:val="18"/>
              </w:rPr>
            </w:pPr>
            <w:r w:rsidRPr="00894701">
              <w:rPr>
                <w:b/>
                <w:bCs/>
                <w:color w:val="auto"/>
                <w:kern w:val="0"/>
                <w:szCs w:val="18"/>
                <w:u w:val="single"/>
              </w:rPr>
              <w:t>Current status</w:t>
            </w:r>
            <w:r w:rsidRPr="00894701">
              <w:rPr>
                <w:b/>
                <w:bCs/>
                <w:color w:val="auto"/>
                <w:kern w:val="0"/>
                <w:szCs w:val="18"/>
              </w:rPr>
              <w:t>:</w:t>
            </w:r>
            <w:r w:rsidRPr="00894701">
              <w:rPr>
                <w:color w:val="auto"/>
                <w:kern w:val="0"/>
                <w:szCs w:val="18"/>
              </w:rPr>
              <w:t xml:space="preserve"> No progress</w:t>
            </w:r>
          </w:p>
          <w:p w14:paraId="568F91EE" w14:textId="77777777" w:rsidR="00B1510A" w:rsidRPr="00894701" w:rsidRDefault="00B1510A" w:rsidP="00446B8D">
            <w:pPr>
              <w:spacing w:after="0" w:line="240" w:lineRule="auto"/>
              <w:contextualSpacing/>
              <w:rPr>
                <w:color w:val="auto"/>
                <w:kern w:val="0"/>
                <w:szCs w:val="18"/>
              </w:rPr>
            </w:pPr>
          </w:p>
        </w:tc>
      </w:tr>
      <w:bookmarkEnd w:id="579"/>
    </w:tbl>
    <w:p w14:paraId="65DB1E60" w14:textId="0F291455" w:rsidR="000E3C57" w:rsidRDefault="006D246F">
      <w:pPr>
        <w:spacing w:after="0" w:line="240" w:lineRule="auto"/>
        <w:rPr>
          <w:rFonts w:cs="Arial"/>
          <w:color w:val="auto"/>
          <w:sz w:val="20"/>
        </w:rPr>
      </w:pPr>
      <w:r w:rsidRPr="00894701">
        <w:rPr>
          <w:rFonts w:cs="Arial"/>
          <w:color w:val="auto"/>
          <w:sz w:val="20"/>
        </w:rPr>
        <w:br w:type="page"/>
      </w:r>
    </w:p>
    <w:p w14:paraId="2D3AC294" w14:textId="140D7F99" w:rsidR="0052437D" w:rsidRPr="00894701" w:rsidRDefault="0052437D" w:rsidP="00860520">
      <w:pPr>
        <w:spacing w:after="240"/>
        <w:jc w:val="center"/>
        <w:rPr>
          <w:rFonts w:cs="Arial"/>
          <w:color w:val="auto"/>
          <w:sz w:val="20"/>
        </w:rPr>
      </w:pPr>
      <w:bookmarkStart w:id="580" w:name="_Toc146590558"/>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86</w:t>
      </w:r>
      <w:r w:rsidRPr="00894701">
        <w:rPr>
          <w:b/>
          <w:bCs/>
          <w:color w:val="98002E" w:themeColor="accent3"/>
          <w:sz w:val="20"/>
          <w:szCs w:val="20"/>
        </w:rPr>
        <w:fldChar w:fldCharType="end"/>
      </w:r>
      <w:r w:rsidRPr="00894701">
        <w:rPr>
          <w:b/>
          <w:bCs/>
          <w:color w:val="98002E" w:themeColor="accent3"/>
          <w:sz w:val="20"/>
          <w:szCs w:val="20"/>
        </w:rPr>
        <w:t xml:space="preserve">: </w:t>
      </w:r>
      <w:r>
        <w:rPr>
          <w:b/>
          <w:bCs/>
          <w:color w:val="98002E" w:themeColor="accent3"/>
          <w:sz w:val="20"/>
          <w:szCs w:val="20"/>
        </w:rPr>
        <w:t>Recommendation 12</w:t>
      </w:r>
      <w:bookmarkEnd w:id="580"/>
    </w:p>
    <w:tbl>
      <w:tblPr>
        <w:tblW w:w="5000" w:type="pct"/>
        <w:tblLook w:val="04A0" w:firstRow="1" w:lastRow="0" w:firstColumn="1" w:lastColumn="0" w:noHBand="0" w:noVBand="1"/>
      </w:tblPr>
      <w:tblGrid>
        <w:gridCol w:w="5530"/>
        <w:gridCol w:w="8428"/>
      </w:tblGrid>
      <w:tr w:rsidR="004C2516" w:rsidRPr="00894701" w14:paraId="65FC6DB7" w14:textId="77777777" w:rsidTr="00446B8D">
        <w:trPr>
          <w:trHeight w:val="1985"/>
        </w:trPr>
        <w:tc>
          <w:tcPr>
            <w:tcW w:w="1981" w:type="pct"/>
            <w:vMerge w:val="restart"/>
            <w:tcBorders>
              <w:top w:val="single" w:sz="18" w:space="0" w:color="FF0000"/>
              <w:left w:val="nil"/>
              <w:bottom w:val="nil"/>
              <w:right w:val="nil"/>
            </w:tcBorders>
            <w:shd w:val="clear" w:color="auto" w:fill="auto"/>
          </w:tcPr>
          <w:p w14:paraId="72B262B1" w14:textId="77777777" w:rsidR="004C2516" w:rsidRPr="00894701" w:rsidRDefault="004C2516" w:rsidP="00446B8D">
            <w:pPr>
              <w:spacing w:after="0" w:line="240" w:lineRule="auto"/>
              <w:contextualSpacing/>
              <w:jc w:val="both"/>
              <w:rPr>
                <w:b/>
                <w:bCs/>
                <w:color w:val="auto"/>
                <w:kern w:val="0"/>
                <w:szCs w:val="18"/>
              </w:rPr>
            </w:pPr>
            <w:r w:rsidRPr="00894701">
              <w:rPr>
                <w:b/>
                <w:bCs/>
                <w:color w:val="auto"/>
                <w:kern w:val="0"/>
                <w:szCs w:val="18"/>
                <w:u w:val="single"/>
              </w:rPr>
              <w:t>Description</w:t>
            </w:r>
            <w:r w:rsidRPr="00894701">
              <w:rPr>
                <w:b/>
                <w:bCs/>
                <w:color w:val="auto"/>
                <w:kern w:val="0"/>
                <w:szCs w:val="18"/>
              </w:rPr>
              <w:t>:</w:t>
            </w:r>
          </w:p>
          <w:p w14:paraId="0493DC2E" w14:textId="792F7DE1" w:rsidR="00B1510A" w:rsidRPr="00894701" w:rsidRDefault="00DB364E" w:rsidP="00677369">
            <w:pPr>
              <w:spacing w:before="60" w:after="60" w:line="240" w:lineRule="auto"/>
              <w:jc w:val="both"/>
              <w:rPr>
                <w:color w:val="auto"/>
                <w:kern w:val="0"/>
                <w:szCs w:val="18"/>
              </w:rPr>
            </w:pPr>
            <w:r w:rsidRPr="00894701">
              <w:rPr>
                <w:color w:val="auto"/>
                <w:kern w:val="0"/>
                <w:szCs w:val="18"/>
              </w:rPr>
              <w:t>In accordance with Requirement 4.5</w:t>
            </w:r>
          </w:p>
        </w:tc>
        <w:tc>
          <w:tcPr>
            <w:tcW w:w="3019" w:type="pct"/>
            <w:tcBorders>
              <w:top w:val="single" w:sz="18" w:space="0" w:color="FF0000"/>
              <w:left w:val="nil"/>
              <w:bottom w:val="single" w:sz="18" w:space="0" w:color="FF0000"/>
              <w:right w:val="nil"/>
            </w:tcBorders>
            <w:shd w:val="clear" w:color="auto" w:fill="auto"/>
          </w:tcPr>
          <w:p w14:paraId="3772896F" w14:textId="77777777" w:rsidR="004C2516" w:rsidRPr="00894701" w:rsidRDefault="004C2516" w:rsidP="00446B8D">
            <w:pPr>
              <w:spacing w:after="60" w:line="240" w:lineRule="auto"/>
              <w:jc w:val="both"/>
              <w:rPr>
                <w:b/>
                <w:bCs/>
                <w:color w:val="auto"/>
                <w:kern w:val="0"/>
                <w:szCs w:val="18"/>
              </w:rPr>
            </w:pPr>
            <w:r w:rsidRPr="00894701">
              <w:rPr>
                <w:b/>
                <w:bCs/>
                <w:color w:val="auto"/>
                <w:kern w:val="0"/>
                <w:szCs w:val="18"/>
                <w:u w:val="single"/>
              </w:rPr>
              <w:t>Recommended actions</w:t>
            </w:r>
            <w:r w:rsidRPr="00894701">
              <w:rPr>
                <w:b/>
                <w:bCs/>
                <w:color w:val="auto"/>
                <w:kern w:val="0"/>
                <w:szCs w:val="18"/>
              </w:rPr>
              <w:t>:</w:t>
            </w:r>
          </w:p>
          <w:p w14:paraId="7D1D3EBA" w14:textId="49D63E9E" w:rsidR="004C2516" w:rsidRPr="00894701" w:rsidRDefault="00DB364E" w:rsidP="00DB364E">
            <w:pPr>
              <w:spacing w:before="60" w:after="60" w:line="240" w:lineRule="auto"/>
              <w:jc w:val="both"/>
              <w:rPr>
                <w:color w:val="auto"/>
                <w:kern w:val="0"/>
                <w:szCs w:val="18"/>
              </w:rPr>
            </w:pPr>
            <w:r w:rsidRPr="00894701">
              <w:rPr>
                <w:color w:val="auto"/>
                <w:kern w:val="0"/>
                <w:szCs w:val="18"/>
              </w:rPr>
              <w:t>Suriname must ensure that the EITI reporting process comprehensively includes material payments to SOEs from oil, gas and mining companies, and transfers between SOEs and other government agencies. In particular, Suriname should ensure that all material dividends collected by SOEs such as Staatsolie from extractive companies such as Surgold JV be comprehensively and reliably disclosed.</w:t>
            </w:r>
          </w:p>
        </w:tc>
      </w:tr>
      <w:tr w:rsidR="004C2516" w:rsidRPr="00894701" w14:paraId="165020EA" w14:textId="77777777" w:rsidTr="00446B8D">
        <w:trPr>
          <w:trHeight w:val="260"/>
        </w:trPr>
        <w:tc>
          <w:tcPr>
            <w:tcW w:w="1981" w:type="pct"/>
            <w:vMerge/>
            <w:tcBorders>
              <w:top w:val="single" w:sz="12" w:space="0" w:color="FF0000"/>
              <w:left w:val="nil"/>
              <w:bottom w:val="nil"/>
              <w:right w:val="nil"/>
            </w:tcBorders>
            <w:vAlign w:val="center"/>
          </w:tcPr>
          <w:p w14:paraId="2009E0F8" w14:textId="77777777" w:rsidR="004C2516" w:rsidRPr="00894701" w:rsidRDefault="004C2516" w:rsidP="00446B8D">
            <w:pPr>
              <w:spacing w:after="0" w:line="240" w:lineRule="auto"/>
              <w:rPr>
                <w:color w:val="auto"/>
                <w:kern w:val="0"/>
                <w:szCs w:val="18"/>
              </w:rPr>
            </w:pPr>
          </w:p>
        </w:tc>
        <w:tc>
          <w:tcPr>
            <w:tcW w:w="3019" w:type="pct"/>
            <w:tcBorders>
              <w:top w:val="single" w:sz="18" w:space="0" w:color="FF0000"/>
              <w:left w:val="nil"/>
              <w:bottom w:val="single" w:sz="18" w:space="0" w:color="FF0000"/>
              <w:right w:val="nil"/>
            </w:tcBorders>
            <w:shd w:val="clear" w:color="auto" w:fill="auto"/>
            <w:noWrap/>
            <w:vAlign w:val="bottom"/>
          </w:tcPr>
          <w:p w14:paraId="36085B9E" w14:textId="77777777" w:rsidR="004C2516" w:rsidRPr="00894701" w:rsidRDefault="004C2516" w:rsidP="00446B8D">
            <w:pPr>
              <w:spacing w:after="0" w:line="240" w:lineRule="auto"/>
              <w:contextualSpacing/>
              <w:rPr>
                <w:b/>
                <w:bCs/>
                <w:color w:val="auto"/>
                <w:kern w:val="0"/>
                <w:szCs w:val="18"/>
              </w:rPr>
            </w:pPr>
          </w:p>
          <w:p w14:paraId="79AF87D9" w14:textId="4C73C510" w:rsidR="004C2516" w:rsidRPr="00894701" w:rsidRDefault="004C2516" w:rsidP="00446B8D">
            <w:pPr>
              <w:spacing w:after="0" w:line="240" w:lineRule="auto"/>
              <w:contextualSpacing/>
              <w:rPr>
                <w:color w:val="auto"/>
                <w:kern w:val="0"/>
                <w:szCs w:val="18"/>
              </w:rPr>
            </w:pPr>
            <w:r w:rsidRPr="00894701">
              <w:rPr>
                <w:b/>
                <w:bCs/>
                <w:color w:val="auto"/>
                <w:kern w:val="0"/>
                <w:szCs w:val="18"/>
                <w:u w:val="single"/>
              </w:rPr>
              <w:t>Related agencies</w:t>
            </w:r>
            <w:r w:rsidRPr="00894701">
              <w:rPr>
                <w:b/>
                <w:bCs/>
                <w:color w:val="auto"/>
                <w:kern w:val="0"/>
                <w:szCs w:val="18"/>
              </w:rPr>
              <w:t>:</w:t>
            </w:r>
            <w:r w:rsidRPr="00894701">
              <w:rPr>
                <w:color w:val="auto"/>
                <w:kern w:val="0"/>
                <w:szCs w:val="18"/>
              </w:rPr>
              <w:t xml:space="preserve"> </w:t>
            </w:r>
            <w:r w:rsidR="00294C14" w:rsidRPr="00894701">
              <w:rPr>
                <w:color w:val="auto"/>
                <w:kern w:val="0"/>
                <w:szCs w:val="18"/>
              </w:rPr>
              <w:t>MSG/ IA</w:t>
            </w:r>
          </w:p>
          <w:p w14:paraId="5DFB8CA9" w14:textId="77777777" w:rsidR="00B1510A" w:rsidRPr="00894701" w:rsidRDefault="00B1510A" w:rsidP="00446B8D">
            <w:pPr>
              <w:spacing w:after="0" w:line="240" w:lineRule="auto"/>
              <w:contextualSpacing/>
              <w:rPr>
                <w:color w:val="auto"/>
                <w:kern w:val="0"/>
                <w:szCs w:val="18"/>
              </w:rPr>
            </w:pPr>
          </w:p>
        </w:tc>
      </w:tr>
      <w:tr w:rsidR="004C2516" w:rsidRPr="00894701" w14:paraId="2D3F27FD" w14:textId="77777777" w:rsidTr="00446B8D">
        <w:trPr>
          <w:trHeight w:val="260"/>
        </w:trPr>
        <w:tc>
          <w:tcPr>
            <w:tcW w:w="1981" w:type="pct"/>
            <w:vMerge/>
            <w:tcBorders>
              <w:top w:val="single" w:sz="12" w:space="0" w:color="FF0000"/>
              <w:left w:val="nil"/>
              <w:bottom w:val="nil"/>
              <w:right w:val="nil"/>
            </w:tcBorders>
            <w:vAlign w:val="center"/>
          </w:tcPr>
          <w:p w14:paraId="1B0B6B9B" w14:textId="77777777" w:rsidR="004C2516" w:rsidRPr="00894701" w:rsidRDefault="004C2516" w:rsidP="00446B8D">
            <w:pPr>
              <w:spacing w:after="0" w:line="240" w:lineRule="auto"/>
              <w:rPr>
                <w:color w:val="auto"/>
                <w:kern w:val="0"/>
                <w:szCs w:val="18"/>
              </w:rPr>
            </w:pPr>
          </w:p>
        </w:tc>
        <w:tc>
          <w:tcPr>
            <w:tcW w:w="3019" w:type="pct"/>
            <w:tcBorders>
              <w:top w:val="single" w:sz="18" w:space="0" w:color="FF0000"/>
              <w:left w:val="nil"/>
              <w:bottom w:val="single" w:sz="18" w:space="0" w:color="FF0000"/>
              <w:right w:val="nil"/>
            </w:tcBorders>
            <w:shd w:val="clear" w:color="auto" w:fill="auto"/>
            <w:noWrap/>
            <w:vAlign w:val="bottom"/>
          </w:tcPr>
          <w:p w14:paraId="202BCE6F" w14:textId="77777777" w:rsidR="004C2516" w:rsidRPr="00894701" w:rsidRDefault="004C2516" w:rsidP="00446B8D">
            <w:pPr>
              <w:spacing w:after="0" w:line="240" w:lineRule="auto"/>
              <w:contextualSpacing/>
              <w:rPr>
                <w:b/>
                <w:bCs/>
                <w:color w:val="auto"/>
                <w:kern w:val="0"/>
                <w:szCs w:val="18"/>
              </w:rPr>
            </w:pPr>
          </w:p>
          <w:p w14:paraId="4B9B49D9" w14:textId="77777777" w:rsidR="004C2516" w:rsidRPr="00894701" w:rsidRDefault="004C2516" w:rsidP="00446B8D">
            <w:pPr>
              <w:spacing w:after="0" w:line="240" w:lineRule="auto"/>
              <w:contextualSpacing/>
              <w:rPr>
                <w:color w:val="auto"/>
                <w:kern w:val="0"/>
                <w:szCs w:val="18"/>
              </w:rPr>
            </w:pPr>
            <w:r w:rsidRPr="00894701">
              <w:rPr>
                <w:b/>
                <w:bCs/>
                <w:color w:val="auto"/>
                <w:kern w:val="0"/>
                <w:szCs w:val="18"/>
                <w:u w:val="single"/>
              </w:rPr>
              <w:t>Priority</w:t>
            </w:r>
            <w:r w:rsidRPr="00894701">
              <w:rPr>
                <w:b/>
                <w:bCs/>
                <w:color w:val="auto"/>
                <w:kern w:val="0"/>
                <w:szCs w:val="18"/>
              </w:rPr>
              <w:t>:</w:t>
            </w:r>
            <w:r w:rsidRPr="00894701">
              <w:rPr>
                <w:color w:val="auto"/>
                <w:kern w:val="0"/>
                <w:szCs w:val="18"/>
              </w:rPr>
              <w:t xml:space="preserve"> High</w:t>
            </w:r>
          </w:p>
          <w:p w14:paraId="1F6CD54A" w14:textId="77777777" w:rsidR="00B1510A" w:rsidRPr="00894701" w:rsidRDefault="00B1510A" w:rsidP="00446B8D">
            <w:pPr>
              <w:spacing w:after="0" w:line="240" w:lineRule="auto"/>
              <w:contextualSpacing/>
              <w:rPr>
                <w:color w:val="auto"/>
                <w:kern w:val="0"/>
                <w:szCs w:val="18"/>
              </w:rPr>
            </w:pPr>
          </w:p>
        </w:tc>
      </w:tr>
      <w:tr w:rsidR="004C2516" w:rsidRPr="00894701" w14:paraId="3F3CE663" w14:textId="77777777" w:rsidTr="00446B8D">
        <w:trPr>
          <w:trHeight w:val="260"/>
        </w:trPr>
        <w:tc>
          <w:tcPr>
            <w:tcW w:w="1981" w:type="pct"/>
            <w:vMerge/>
            <w:tcBorders>
              <w:top w:val="single" w:sz="12" w:space="0" w:color="FF0000"/>
              <w:left w:val="nil"/>
              <w:bottom w:val="nil"/>
              <w:right w:val="nil"/>
            </w:tcBorders>
            <w:vAlign w:val="center"/>
          </w:tcPr>
          <w:p w14:paraId="6AEDDFE9" w14:textId="77777777" w:rsidR="004C2516" w:rsidRPr="00894701" w:rsidRDefault="004C2516" w:rsidP="00446B8D">
            <w:pPr>
              <w:spacing w:after="0" w:line="240" w:lineRule="auto"/>
              <w:rPr>
                <w:color w:val="auto"/>
                <w:kern w:val="0"/>
                <w:szCs w:val="18"/>
              </w:rPr>
            </w:pPr>
          </w:p>
        </w:tc>
        <w:tc>
          <w:tcPr>
            <w:tcW w:w="3019" w:type="pct"/>
            <w:tcBorders>
              <w:top w:val="single" w:sz="18" w:space="0" w:color="FF0000"/>
              <w:left w:val="nil"/>
              <w:bottom w:val="single" w:sz="18" w:space="0" w:color="FF0000"/>
              <w:right w:val="nil"/>
            </w:tcBorders>
            <w:shd w:val="clear" w:color="auto" w:fill="auto"/>
          </w:tcPr>
          <w:p w14:paraId="42B3E707" w14:textId="77777777" w:rsidR="004C2516" w:rsidRPr="00894701" w:rsidRDefault="004C2516" w:rsidP="00446B8D">
            <w:pPr>
              <w:spacing w:after="0" w:line="240" w:lineRule="auto"/>
              <w:contextualSpacing/>
              <w:rPr>
                <w:b/>
                <w:bCs/>
                <w:color w:val="auto"/>
                <w:kern w:val="0"/>
                <w:szCs w:val="18"/>
              </w:rPr>
            </w:pPr>
          </w:p>
          <w:p w14:paraId="0AB2DB47" w14:textId="77777777" w:rsidR="004C2516" w:rsidRPr="00894701" w:rsidRDefault="004C2516" w:rsidP="00446B8D">
            <w:pPr>
              <w:spacing w:after="0" w:line="240" w:lineRule="auto"/>
              <w:contextualSpacing/>
              <w:rPr>
                <w:color w:val="auto"/>
                <w:kern w:val="0"/>
                <w:szCs w:val="18"/>
              </w:rPr>
            </w:pPr>
            <w:r w:rsidRPr="00894701">
              <w:rPr>
                <w:b/>
                <w:bCs/>
                <w:color w:val="auto"/>
                <w:kern w:val="0"/>
                <w:szCs w:val="18"/>
                <w:u w:val="single"/>
              </w:rPr>
              <w:t>Current status</w:t>
            </w:r>
            <w:r w:rsidRPr="00894701">
              <w:rPr>
                <w:b/>
                <w:bCs/>
                <w:color w:val="auto"/>
                <w:kern w:val="0"/>
                <w:szCs w:val="18"/>
              </w:rPr>
              <w:t>:</w:t>
            </w:r>
            <w:r w:rsidRPr="00894701">
              <w:rPr>
                <w:color w:val="auto"/>
                <w:kern w:val="0"/>
                <w:szCs w:val="18"/>
              </w:rPr>
              <w:t xml:space="preserve"> No progress</w:t>
            </w:r>
          </w:p>
          <w:p w14:paraId="0A92DD35" w14:textId="77777777" w:rsidR="00B1510A" w:rsidRPr="00894701" w:rsidRDefault="00B1510A" w:rsidP="00446B8D">
            <w:pPr>
              <w:spacing w:after="0" w:line="240" w:lineRule="auto"/>
              <w:contextualSpacing/>
              <w:rPr>
                <w:color w:val="auto"/>
                <w:kern w:val="0"/>
                <w:szCs w:val="18"/>
              </w:rPr>
            </w:pPr>
          </w:p>
        </w:tc>
      </w:tr>
    </w:tbl>
    <w:p w14:paraId="48BC165A" w14:textId="77777777" w:rsidR="004C2516" w:rsidRPr="00894701" w:rsidRDefault="004C2516" w:rsidP="004C2516">
      <w:pPr>
        <w:ind w:firstLine="720"/>
        <w:rPr>
          <w:rFonts w:cs="Arial"/>
          <w:color w:val="auto"/>
          <w:sz w:val="20"/>
        </w:rPr>
      </w:pPr>
    </w:p>
    <w:p w14:paraId="5456898B" w14:textId="77777777" w:rsidR="004C2516" w:rsidRPr="00894701" w:rsidRDefault="004C2516" w:rsidP="004C2516">
      <w:pPr>
        <w:rPr>
          <w:rFonts w:cs="Arial"/>
          <w:color w:val="auto"/>
          <w:sz w:val="20"/>
        </w:rPr>
      </w:pPr>
    </w:p>
    <w:p w14:paraId="1C731D98" w14:textId="18BA8AC6" w:rsidR="001A6360" w:rsidRPr="00894701" w:rsidRDefault="001A6360">
      <w:pPr>
        <w:spacing w:after="0" w:line="240" w:lineRule="auto"/>
        <w:rPr>
          <w:rFonts w:cs="Arial"/>
          <w:sz w:val="20"/>
        </w:rPr>
      </w:pPr>
      <w:r w:rsidRPr="00894701">
        <w:rPr>
          <w:rFonts w:cs="Arial"/>
          <w:sz w:val="20"/>
        </w:rPr>
        <w:br w:type="page"/>
      </w:r>
    </w:p>
    <w:p w14:paraId="476A9B41" w14:textId="046BA4B0" w:rsidR="00BE40C8" w:rsidRPr="00860520" w:rsidRDefault="0052437D" w:rsidP="00860520">
      <w:pPr>
        <w:spacing w:after="240"/>
        <w:jc w:val="center"/>
        <w:rPr>
          <w:rFonts w:cs="Arial"/>
          <w:color w:val="auto"/>
          <w:sz w:val="20"/>
        </w:rPr>
      </w:pPr>
      <w:bookmarkStart w:id="581" w:name="_Toc146590559"/>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87</w:t>
      </w:r>
      <w:r w:rsidRPr="00894701">
        <w:rPr>
          <w:b/>
          <w:bCs/>
          <w:color w:val="98002E" w:themeColor="accent3"/>
          <w:sz w:val="20"/>
          <w:szCs w:val="20"/>
        </w:rPr>
        <w:fldChar w:fldCharType="end"/>
      </w:r>
      <w:r w:rsidRPr="00894701">
        <w:rPr>
          <w:b/>
          <w:bCs/>
          <w:color w:val="98002E" w:themeColor="accent3"/>
          <w:sz w:val="20"/>
          <w:szCs w:val="20"/>
        </w:rPr>
        <w:t xml:space="preserve">: </w:t>
      </w:r>
      <w:r>
        <w:rPr>
          <w:b/>
          <w:bCs/>
          <w:color w:val="98002E" w:themeColor="accent3"/>
          <w:sz w:val="20"/>
          <w:szCs w:val="20"/>
        </w:rPr>
        <w:t>Recommendation 13</w:t>
      </w:r>
      <w:bookmarkEnd w:id="581"/>
    </w:p>
    <w:tbl>
      <w:tblPr>
        <w:tblW w:w="5000" w:type="pct"/>
        <w:tblLook w:val="04A0" w:firstRow="1" w:lastRow="0" w:firstColumn="1" w:lastColumn="0" w:noHBand="0" w:noVBand="1"/>
      </w:tblPr>
      <w:tblGrid>
        <w:gridCol w:w="5530"/>
        <w:gridCol w:w="8428"/>
      </w:tblGrid>
      <w:tr w:rsidR="00BE40C8" w:rsidRPr="00894701" w14:paraId="59186DA8" w14:textId="77777777" w:rsidTr="00446B8D">
        <w:trPr>
          <w:trHeight w:val="1985"/>
        </w:trPr>
        <w:tc>
          <w:tcPr>
            <w:tcW w:w="1981" w:type="pct"/>
            <w:vMerge w:val="restart"/>
            <w:tcBorders>
              <w:top w:val="single" w:sz="18" w:space="0" w:color="FF0000"/>
              <w:left w:val="nil"/>
              <w:bottom w:val="nil"/>
              <w:right w:val="nil"/>
            </w:tcBorders>
            <w:shd w:val="clear" w:color="auto" w:fill="auto"/>
          </w:tcPr>
          <w:p w14:paraId="207E4D03" w14:textId="77777777" w:rsidR="00BE40C8" w:rsidRPr="00894701" w:rsidRDefault="00BE40C8" w:rsidP="00446B8D">
            <w:pPr>
              <w:spacing w:after="0" w:line="240" w:lineRule="auto"/>
              <w:contextualSpacing/>
              <w:jc w:val="both"/>
              <w:rPr>
                <w:b/>
                <w:bCs/>
                <w:color w:val="auto"/>
                <w:kern w:val="0"/>
                <w:szCs w:val="18"/>
              </w:rPr>
            </w:pPr>
            <w:bookmarkStart w:id="582" w:name="_Hlk117532313"/>
            <w:r w:rsidRPr="00894701">
              <w:rPr>
                <w:b/>
                <w:bCs/>
                <w:color w:val="auto"/>
                <w:kern w:val="0"/>
                <w:szCs w:val="18"/>
                <w:u w:val="single"/>
              </w:rPr>
              <w:t>Description</w:t>
            </w:r>
            <w:r w:rsidRPr="00894701">
              <w:rPr>
                <w:b/>
                <w:bCs/>
                <w:color w:val="auto"/>
                <w:kern w:val="0"/>
                <w:szCs w:val="18"/>
              </w:rPr>
              <w:t>:</w:t>
            </w:r>
          </w:p>
          <w:p w14:paraId="62A3D479" w14:textId="7DF8619D" w:rsidR="00B1510A" w:rsidRPr="00894701" w:rsidRDefault="00294C14" w:rsidP="00446B8D">
            <w:pPr>
              <w:spacing w:before="60" w:after="60" w:line="240" w:lineRule="auto"/>
              <w:jc w:val="both"/>
              <w:rPr>
                <w:color w:val="auto"/>
                <w:kern w:val="0"/>
                <w:szCs w:val="18"/>
              </w:rPr>
            </w:pPr>
            <w:r w:rsidRPr="00894701">
              <w:rPr>
                <w:color w:val="auto"/>
                <w:kern w:val="0"/>
                <w:szCs w:val="18"/>
              </w:rPr>
              <w:t>In accordance with Requirement 4.9</w:t>
            </w:r>
          </w:p>
        </w:tc>
        <w:tc>
          <w:tcPr>
            <w:tcW w:w="3019" w:type="pct"/>
            <w:tcBorders>
              <w:top w:val="single" w:sz="18" w:space="0" w:color="FF0000"/>
              <w:left w:val="nil"/>
              <w:bottom w:val="single" w:sz="18" w:space="0" w:color="FF0000"/>
              <w:right w:val="nil"/>
            </w:tcBorders>
            <w:shd w:val="clear" w:color="auto" w:fill="auto"/>
          </w:tcPr>
          <w:p w14:paraId="421B099D" w14:textId="77777777" w:rsidR="00BE40C8" w:rsidRPr="00894701" w:rsidRDefault="00BE40C8" w:rsidP="00446B8D">
            <w:pPr>
              <w:spacing w:after="60" w:line="240" w:lineRule="auto"/>
              <w:jc w:val="both"/>
              <w:rPr>
                <w:b/>
                <w:bCs/>
                <w:color w:val="auto"/>
                <w:kern w:val="0"/>
                <w:szCs w:val="18"/>
              </w:rPr>
            </w:pPr>
            <w:r w:rsidRPr="00894701">
              <w:rPr>
                <w:b/>
                <w:bCs/>
                <w:color w:val="auto"/>
                <w:kern w:val="0"/>
                <w:szCs w:val="18"/>
                <w:u w:val="single"/>
              </w:rPr>
              <w:t>Recommended actions</w:t>
            </w:r>
            <w:r w:rsidRPr="00894701">
              <w:rPr>
                <w:b/>
                <w:bCs/>
                <w:color w:val="auto"/>
                <w:kern w:val="0"/>
                <w:szCs w:val="18"/>
              </w:rPr>
              <w:t>:</w:t>
            </w:r>
          </w:p>
          <w:p w14:paraId="4DBCA525" w14:textId="30411B87" w:rsidR="00BE40C8" w:rsidRPr="00894701" w:rsidRDefault="00294C14" w:rsidP="00294C14">
            <w:pPr>
              <w:spacing w:before="60" w:after="60" w:line="240" w:lineRule="auto"/>
              <w:jc w:val="both"/>
              <w:rPr>
                <w:b/>
                <w:bCs/>
                <w:color w:val="auto"/>
                <w:kern w:val="0"/>
                <w:szCs w:val="18"/>
              </w:rPr>
            </w:pPr>
            <w:r w:rsidRPr="00894701">
              <w:rPr>
                <w:color w:val="auto"/>
                <w:kern w:val="0"/>
                <w:szCs w:val="18"/>
              </w:rPr>
              <w:t>Suriname should ensure that future EITI Reports include a clear assessment of the IA on the comprehensiveness and data reliability. The MSG must clearly agree what assurances should be provided by the MOF, and later assess the compliance with the assurance agreed. The MSG is encouraged to document the audit policy and practice of the MOF.</w:t>
            </w:r>
          </w:p>
        </w:tc>
      </w:tr>
      <w:tr w:rsidR="00BE40C8" w:rsidRPr="00894701" w14:paraId="61D24078" w14:textId="77777777" w:rsidTr="00446B8D">
        <w:trPr>
          <w:trHeight w:val="260"/>
        </w:trPr>
        <w:tc>
          <w:tcPr>
            <w:tcW w:w="1981" w:type="pct"/>
            <w:vMerge/>
            <w:tcBorders>
              <w:top w:val="single" w:sz="12" w:space="0" w:color="FF0000"/>
              <w:left w:val="nil"/>
              <w:bottom w:val="nil"/>
              <w:right w:val="nil"/>
            </w:tcBorders>
            <w:vAlign w:val="center"/>
          </w:tcPr>
          <w:p w14:paraId="1933B17B" w14:textId="77777777" w:rsidR="00BE40C8" w:rsidRPr="00894701" w:rsidRDefault="00BE40C8" w:rsidP="00446B8D">
            <w:pPr>
              <w:spacing w:after="0" w:line="240" w:lineRule="auto"/>
              <w:rPr>
                <w:color w:val="auto"/>
                <w:kern w:val="0"/>
                <w:szCs w:val="18"/>
              </w:rPr>
            </w:pPr>
          </w:p>
        </w:tc>
        <w:tc>
          <w:tcPr>
            <w:tcW w:w="3019" w:type="pct"/>
            <w:tcBorders>
              <w:top w:val="single" w:sz="18" w:space="0" w:color="FF0000"/>
              <w:left w:val="nil"/>
              <w:bottom w:val="single" w:sz="18" w:space="0" w:color="FF0000"/>
              <w:right w:val="nil"/>
            </w:tcBorders>
            <w:shd w:val="clear" w:color="auto" w:fill="auto"/>
            <w:noWrap/>
            <w:vAlign w:val="bottom"/>
          </w:tcPr>
          <w:p w14:paraId="6F2C814A" w14:textId="77777777" w:rsidR="00BE40C8" w:rsidRPr="00894701" w:rsidRDefault="00BE40C8" w:rsidP="00446B8D">
            <w:pPr>
              <w:spacing w:after="0" w:line="240" w:lineRule="auto"/>
              <w:contextualSpacing/>
              <w:rPr>
                <w:b/>
                <w:bCs/>
                <w:color w:val="auto"/>
                <w:kern w:val="0"/>
                <w:szCs w:val="18"/>
              </w:rPr>
            </w:pPr>
          </w:p>
          <w:p w14:paraId="1968EA46" w14:textId="137113B8" w:rsidR="00BE40C8" w:rsidRPr="00894701" w:rsidRDefault="00BE40C8" w:rsidP="00446B8D">
            <w:pPr>
              <w:spacing w:after="0" w:line="240" w:lineRule="auto"/>
              <w:contextualSpacing/>
              <w:rPr>
                <w:color w:val="auto"/>
                <w:kern w:val="0"/>
                <w:szCs w:val="18"/>
              </w:rPr>
            </w:pPr>
            <w:r w:rsidRPr="00894701">
              <w:rPr>
                <w:b/>
                <w:bCs/>
                <w:color w:val="auto"/>
                <w:kern w:val="0"/>
                <w:szCs w:val="18"/>
                <w:u w:val="single"/>
              </w:rPr>
              <w:t>Related agencies</w:t>
            </w:r>
            <w:r w:rsidRPr="00894701">
              <w:rPr>
                <w:b/>
                <w:bCs/>
                <w:color w:val="auto"/>
                <w:kern w:val="0"/>
                <w:szCs w:val="18"/>
              </w:rPr>
              <w:t>:</w:t>
            </w:r>
            <w:r w:rsidRPr="00894701">
              <w:rPr>
                <w:color w:val="auto"/>
                <w:kern w:val="0"/>
                <w:szCs w:val="18"/>
              </w:rPr>
              <w:t xml:space="preserve"> </w:t>
            </w:r>
            <w:r w:rsidR="00B3683E" w:rsidRPr="00894701">
              <w:rPr>
                <w:color w:val="auto"/>
                <w:kern w:val="0"/>
                <w:szCs w:val="18"/>
              </w:rPr>
              <w:t>MSG/IA</w:t>
            </w:r>
          </w:p>
          <w:p w14:paraId="68F0329B" w14:textId="77777777" w:rsidR="00B1510A" w:rsidRPr="00894701" w:rsidRDefault="00B1510A" w:rsidP="00446B8D">
            <w:pPr>
              <w:spacing w:after="0" w:line="240" w:lineRule="auto"/>
              <w:contextualSpacing/>
              <w:rPr>
                <w:color w:val="auto"/>
                <w:kern w:val="0"/>
                <w:szCs w:val="18"/>
              </w:rPr>
            </w:pPr>
          </w:p>
        </w:tc>
      </w:tr>
      <w:tr w:rsidR="00BE40C8" w:rsidRPr="00894701" w14:paraId="7AD98048" w14:textId="77777777" w:rsidTr="00446B8D">
        <w:trPr>
          <w:trHeight w:val="260"/>
        </w:trPr>
        <w:tc>
          <w:tcPr>
            <w:tcW w:w="1981" w:type="pct"/>
            <w:vMerge/>
            <w:tcBorders>
              <w:top w:val="single" w:sz="12" w:space="0" w:color="FF0000"/>
              <w:left w:val="nil"/>
              <w:bottom w:val="nil"/>
              <w:right w:val="nil"/>
            </w:tcBorders>
            <w:vAlign w:val="center"/>
          </w:tcPr>
          <w:p w14:paraId="5A002577" w14:textId="77777777" w:rsidR="00BE40C8" w:rsidRPr="00894701" w:rsidRDefault="00BE40C8" w:rsidP="00446B8D">
            <w:pPr>
              <w:spacing w:after="0" w:line="240" w:lineRule="auto"/>
              <w:rPr>
                <w:color w:val="auto"/>
                <w:kern w:val="0"/>
                <w:szCs w:val="18"/>
              </w:rPr>
            </w:pPr>
          </w:p>
        </w:tc>
        <w:tc>
          <w:tcPr>
            <w:tcW w:w="3019" w:type="pct"/>
            <w:tcBorders>
              <w:top w:val="single" w:sz="18" w:space="0" w:color="FF0000"/>
              <w:left w:val="nil"/>
              <w:bottom w:val="single" w:sz="18" w:space="0" w:color="FF0000"/>
              <w:right w:val="nil"/>
            </w:tcBorders>
            <w:shd w:val="clear" w:color="auto" w:fill="auto"/>
            <w:noWrap/>
            <w:vAlign w:val="bottom"/>
          </w:tcPr>
          <w:p w14:paraId="52AA3952" w14:textId="77777777" w:rsidR="00BE40C8" w:rsidRPr="00894701" w:rsidRDefault="00BE40C8" w:rsidP="00446B8D">
            <w:pPr>
              <w:spacing w:after="0" w:line="240" w:lineRule="auto"/>
              <w:contextualSpacing/>
              <w:rPr>
                <w:b/>
                <w:bCs/>
                <w:color w:val="auto"/>
                <w:kern w:val="0"/>
                <w:szCs w:val="18"/>
              </w:rPr>
            </w:pPr>
          </w:p>
          <w:p w14:paraId="6765D8A0" w14:textId="77777777" w:rsidR="00BE40C8" w:rsidRPr="00894701" w:rsidRDefault="00BE40C8" w:rsidP="00446B8D">
            <w:pPr>
              <w:spacing w:after="0" w:line="240" w:lineRule="auto"/>
              <w:contextualSpacing/>
              <w:rPr>
                <w:color w:val="auto"/>
                <w:kern w:val="0"/>
                <w:szCs w:val="18"/>
              </w:rPr>
            </w:pPr>
            <w:r w:rsidRPr="00894701">
              <w:rPr>
                <w:b/>
                <w:bCs/>
                <w:color w:val="auto"/>
                <w:kern w:val="0"/>
                <w:szCs w:val="18"/>
                <w:u w:val="single"/>
              </w:rPr>
              <w:t>Priority</w:t>
            </w:r>
            <w:r w:rsidRPr="00894701">
              <w:rPr>
                <w:b/>
                <w:bCs/>
                <w:color w:val="auto"/>
                <w:kern w:val="0"/>
                <w:szCs w:val="18"/>
              </w:rPr>
              <w:t>:</w:t>
            </w:r>
            <w:r w:rsidRPr="00894701">
              <w:rPr>
                <w:color w:val="auto"/>
                <w:kern w:val="0"/>
                <w:szCs w:val="18"/>
              </w:rPr>
              <w:t xml:space="preserve"> High</w:t>
            </w:r>
          </w:p>
          <w:p w14:paraId="49346A29" w14:textId="77777777" w:rsidR="00B1510A" w:rsidRPr="00894701" w:rsidRDefault="00B1510A" w:rsidP="00446B8D">
            <w:pPr>
              <w:spacing w:after="0" w:line="240" w:lineRule="auto"/>
              <w:contextualSpacing/>
              <w:rPr>
                <w:color w:val="auto"/>
                <w:kern w:val="0"/>
                <w:szCs w:val="18"/>
              </w:rPr>
            </w:pPr>
          </w:p>
        </w:tc>
      </w:tr>
      <w:tr w:rsidR="00BE40C8" w:rsidRPr="00894701" w14:paraId="5CA4AD1C" w14:textId="77777777" w:rsidTr="00446B8D">
        <w:trPr>
          <w:trHeight w:val="260"/>
        </w:trPr>
        <w:tc>
          <w:tcPr>
            <w:tcW w:w="1981" w:type="pct"/>
            <w:vMerge/>
            <w:tcBorders>
              <w:top w:val="single" w:sz="12" w:space="0" w:color="FF0000"/>
              <w:left w:val="nil"/>
              <w:bottom w:val="nil"/>
              <w:right w:val="nil"/>
            </w:tcBorders>
            <w:vAlign w:val="center"/>
          </w:tcPr>
          <w:p w14:paraId="051B3EC0" w14:textId="77777777" w:rsidR="00BE40C8" w:rsidRPr="00894701" w:rsidRDefault="00BE40C8" w:rsidP="00446B8D">
            <w:pPr>
              <w:spacing w:after="0" w:line="240" w:lineRule="auto"/>
              <w:rPr>
                <w:color w:val="auto"/>
                <w:kern w:val="0"/>
                <w:szCs w:val="18"/>
              </w:rPr>
            </w:pPr>
          </w:p>
        </w:tc>
        <w:tc>
          <w:tcPr>
            <w:tcW w:w="3019" w:type="pct"/>
            <w:tcBorders>
              <w:top w:val="single" w:sz="18" w:space="0" w:color="FF0000"/>
              <w:left w:val="nil"/>
              <w:bottom w:val="single" w:sz="18" w:space="0" w:color="FF0000"/>
              <w:right w:val="nil"/>
            </w:tcBorders>
            <w:shd w:val="clear" w:color="auto" w:fill="auto"/>
          </w:tcPr>
          <w:p w14:paraId="0142F125" w14:textId="77777777" w:rsidR="00BE40C8" w:rsidRPr="00894701" w:rsidRDefault="00BE40C8" w:rsidP="00446B8D">
            <w:pPr>
              <w:spacing w:after="0" w:line="240" w:lineRule="auto"/>
              <w:contextualSpacing/>
              <w:rPr>
                <w:b/>
                <w:bCs/>
                <w:color w:val="auto"/>
                <w:kern w:val="0"/>
                <w:szCs w:val="18"/>
              </w:rPr>
            </w:pPr>
          </w:p>
          <w:p w14:paraId="0029BE0F" w14:textId="77777777" w:rsidR="00BE40C8" w:rsidRPr="00894701" w:rsidRDefault="00BE40C8" w:rsidP="00446B8D">
            <w:pPr>
              <w:spacing w:after="0" w:line="240" w:lineRule="auto"/>
              <w:contextualSpacing/>
              <w:rPr>
                <w:color w:val="auto"/>
                <w:kern w:val="0"/>
                <w:szCs w:val="18"/>
              </w:rPr>
            </w:pPr>
            <w:r w:rsidRPr="00894701">
              <w:rPr>
                <w:b/>
                <w:bCs/>
                <w:color w:val="auto"/>
                <w:kern w:val="0"/>
                <w:szCs w:val="18"/>
                <w:u w:val="single"/>
              </w:rPr>
              <w:t>Current status</w:t>
            </w:r>
            <w:r w:rsidRPr="00894701">
              <w:rPr>
                <w:b/>
                <w:bCs/>
                <w:color w:val="auto"/>
                <w:kern w:val="0"/>
                <w:szCs w:val="18"/>
              </w:rPr>
              <w:t>:</w:t>
            </w:r>
            <w:r w:rsidRPr="00894701">
              <w:rPr>
                <w:color w:val="auto"/>
                <w:kern w:val="0"/>
                <w:szCs w:val="18"/>
              </w:rPr>
              <w:t xml:space="preserve"> No progress</w:t>
            </w:r>
          </w:p>
          <w:p w14:paraId="5C6CFFF8" w14:textId="77777777" w:rsidR="00B1510A" w:rsidRPr="00894701" w:rsidRDefault="00B1510A" w:rsidP="00446B8D">
            <w:pPr>
              <w:spacing w:after="0" w:line="240" w:lineRule="auto"/>
              <w:contextualSpacing/>
              <w:rPr>
                <w:color w:val="auto"/>
                <w:kern w:val="0"/>
                <w:szCs w:val="18"/>
              </w:rPr>
            </w:pPr>
          </w:p>
        </w:tc>
      </w:tr>
      <w:bookmarkEnd w:id="582"/>
    </w:tbl>
    <w:p w14:paraId="58A3AE88" w14:textId="77777777" w:rsidR="001A6360" w:rsidRPr="00894701" w:rsidRDefault="001A6360">
      <w:pPr>
        <w:spacing w:after="0" w:line="240" w:lineRule="auto"/>
        <w:rPr>
          <w:rFonts w:cs="Arial"/>
          <w:sz w:val="20"/>
        </w:rPr>
      </w:pPr>
      <w:r w:rsidRPr="00894701">
        <w:rPr>
          <w:rFonts w:cs="Arial"/>
          <w:sz w:val="20"/>
        </w:rPr>
        <w:br w:type="page"/>
      </w:r>
    </w:p>
    <w:p w14:paraId="6501CE17" w14:textId="3A3F0E35" w:rsidR="00B3683E" w:rsidRPr="00894701" w:rsidRDefault="00205B89" w:rsidP="00A834A8">
      <w:pPr>
        <w:pStyle w:val="AltMinorHeading"/>
        <w:numPr>
          <w:ilvl w:val="2"/>
          <w:numId w:val="68"/>
        </w:numPr>
        <w:spacing w:before="100" w:beforeAutospacing="1" w:after="120"/>
        <w:ind w:right="454"/>
        <w:rPr>
          <w:sz w:val="20"/>
        </w:rPr>
      </w:pPr>
      <w:bookmarkStart w:id="583" w:name="_Toc122478959"/>
      <w:r w:rsidRPr="00894701">
        <w:rPr>
          <w:rStyle w:val="Emphasis"/>
        </w:rPr>
        <w:t>Social and economic spending</w:t>
      </w:r>
      <w:bookmarkEnd w:id="583"/>
      <w:r w:rsidRPr="00894701">
        <w:rPr>
          <w:rStyle w:val="Emphasis"/>
        </w:rPr>
        <w:tab/>
      </w:r>
      <w:r w:rsidRPr="00894701">
        <w:rPr>
          <w:sz w:val="20"/>
        </w:rPr>
        <w:tab/>
      </w:r>
    </w:p>
    <w:p w14:paraId="131832ED" w14:textId="77777777" w:rsidR="00205B89" w:rsidRDefault="00205B89">
      <w:pPr>
        <w:spacing w:after="0" w:line="240" w:lineRule="auto"/>
        <w:rPr>
          <w:rFonts w:cs="Arial"/>
          <w:sz w:val="20"/>
        </w:rPr>
      </w:pPr>
    </w:p>
    <w:p w14:paraId="312D9A6B" w14:textId="45AA3860" w:rsidR="0052437D" w:rsidRPr="00860520" w:rsidRDefault="0052437D" w:rsidP="00860520">
      <w:pPr>
        <w:spacing w:after="240"/>
        <w:jc w:val="center"/>
        <w:rPr>
          <w:rFonts w:cs="Arial"/>
          <w:color w:val="auto"/>
          <w:sz w:val="20"/>
        </w:rPr>
      </w:pPr>
      <w:bookmarkStart w:id="584" w:name="_Toc146590560"/>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88</w:t>
      </w:r>
      <w:r w:rsidRPr="00894701">
        <w:rPr>
          <w:b/>
          <w:bCs/>
          <w:color w:val="98002E" w:themeColor="accent3"/>
          <w:sz w:val="20"/>
          <w:szCs w:val="20"/>
        </w:rPr>
        <w:fldChar w:fldCharType="end"/>
      </w:r>
      <w:r w:rsidRPr="00894701">
        <w:rPr>
          <w:b/>
          <w:bCs/>
          <w:color w:val="98002E" w:themeColor="accent3"/>
          <w:sz w:val="20"/>
          <w:szCs w:val="20"/>
        </w:rPr>
        <w:t xml:space="preserve">: </w:t>
      </w:r>
      <w:r>
        <w:rPr>
          <w:b/>
          <w:bCs/>
          <w:color w:val="98002E" w:themeColor="accent3"/>
          <w:sz w:val="20"/>
          <w:szCs w:val="20"/>
        </w:rPr>
        <w:t>Recommendation 14</w:t>
      </w:r>
      <w:bookmarkEnd w:id="584"/>
    </w:p>
    <w:tbl>
      <w:tblPr>
        <w:tblW w:w="5000" w:type="pct"/>
        <w:tblLook w:val="04A0" w:firstRow="1" w:lastRow="0" w:firstColumn="1" w:lastColumn="0" w:noHBand="0" w:noVBand="1"/>
      </w:tblPr>
      <w:tblGrid>
        <w:gridCol w:w="5530"/>
        <w:gridCol w:w="8428"/>
      </w:tblGrid>
      <w:tr w:rsidR="004F6D22" w:rsidRPr="00894701" w14:paraId="0C1A58B2" w14:textId="77777777" w:rsidTr="00446B8D">
        <w:trPr>
          <w:trHeight w:val="1985"/>
        </w:trPr>
        <w:tc>
          <w:tcPr>
            <w:tcW w:w="1981" w:type="pct"/>
            <w:vMerge w:val="restart"/>
            <w:tcBorders>
              <w:top w:val="single" w:sz="18" w:space="0" w:color="FF0000"/>
              <w:left w:val="nil"/>
              <w:bottom w:val="nil"/>
              <w:right w:val="nil"/>
            </w:tcBorders>
            <w:shd w:val="clear" w:color="auto" w:fill="auto"/>
          </w:tcPr>
          <w:p w14:paraId="2227A480" w14:textId="77777777" w:rsidR="004F6D22" w:rsidRPr="00894701" w:rsidRDefault="004F6D22" w:rsidP="00446B8D">
            <w:pPr>
              <w:spacing w:after="0" w:line="240" w:lineRule="auto"/>
              <w:contextualSpacing/>
              <w:jc w:val="both"/>
              <w:rPr>
                <w:b/>
                <w:bCs/>
                <w:color w:val="auto"/>
                <w:kern w:val="0"/>
                <w:szCs w:val="18"/>
              </w:rPr>
            </w:pPr>
            <w:r w:rsidRPr="00894701">
              <w:rPr>
                <w:b/>
                <w:bCs/>
                <w:color w:val="auto"/>
                <w:kern w:val="0"/>
                <w:szCs w:val="18"/>
                <w:u w:val="single"/>
              </w:rPr>
              <w:t>Description</w:t>
            </w:r>
            <w:r w:rsidRPr="00894701">
              <w:rPr>
                <w:b/>
                <w:bCs/>
                <w:color w:val="auto"/>
                <w:kern w:val="0"/>
                <w:szCs w:val="18"/>
              </w:rPr>
              <w:t>:</w:t>
            </w:r>
          </w:p>
          <w:p w14:paraId="65DE7B98" w14:textId="70133B1A" w:rsidR="00B1510A" w:rsidRPr="00894701" w:rsidRDefault="004F6D22" w:rsidP="00446B8D">
            <w:pPr>
              <w:spacing w:before="60" w:after="60" w:line="240" w:lineRule="auto"/>
              <w:jc w:val="both"/>
              <w:rPr>
                <w:color w:val="auto"/>
                <w:kern w:val="0"/>
                <w:szCs w:val="18"/>
              </w:rPr>
            </w:pPr>
            <w:r w:rsidRPr="00894701">
              <w:rPr>
                <w:color w:val="auto"/>
                <w:kern w:val="0"/>
                <w:szCs w:val="18"/>
              </w:rPr>
              <w:t>In accordance with Requirement 6.1</w:t>
            </w:r>
          </w:p>
        </w:tc>
        <w:tc>
          <w:tcPr>
            <w:tcW w:w="3019" w:type="pct"/>
            <w:tcBorders>
              <w:top w:val="single" w:sz="18" w:space="0" w:color="FF0000"/>
              <w:left w:val="nil"/>
              <w:bottom w:val="single" w:sz="18" w:space="0" w:color="FF0000"/>
              <w:right w:val="nil"/>
            </w:tcBorders>
            <w:shd w:val="clear" w:color="auto" w:fill="auto"/>
          </w:tcPr>
          <w:p w14:paraId="23385FCB" w14:textId="77777777" w:rsidR="004F6D22" w:rsidRPr="00894701" w:rsidRDefault="004F6D22" w:rsidP="00446B8D">
            <w:pPr>
              <w:spacing w:after="60" w:line="240" w:lineRule="auto"/>
              <w:jc w:val="both"/>
              <w:rPr>
                <w:b/>
                <w:bCs/>
                <w:color w:val="auto"/>
                <w:kern w:val="0"/>
                <w:szCs w:val="18"/>
              </w:rPr>
            </w:pPr>
            <w:r w:rsidRPr="00894701">
              <w:rPr>
                <w:b/>
                <w:bCs/>
                <w:color w:val="auto"/>
                <w:kern w:val="0"/>
                <w:szCs w:val="18"/>
                <w:u w:val="single"/>
              </w:rPr>
              <w:t>Recommended actions</w:t>
            </w:r>
            <w:r w:rsidRPr="00894701">
              <w:rPr>
                <w:b/>
                <w:bCs/>
                <w:color w:val="auto"/>
                <w:kern w:val="0"/>
                <w:szCs w:val="18"/>
              </w:rPr>
              <w:t>:</w:t>
            </w:r>
          </w:p>
          <w:p w14:paraId="44BFC5F6" w14:textId="26CD0EA0" w:rsidR="004F6D22" w:rsidRPr="00894701" w:rsidRDefault="004F6D22" w:rsidP="00446B8D">
            <w:pPr>
              <w:spacing w:before="60" w:after="60" w:line="240" w:lineRule="auto"/>
              <w:jc w:val="both"/>
              <w:rPr>
                <w:b/>
                <w:bCs/>
                <w:color w:val="auto"/>
                <w:kern w:val="0"/>
                <w:szCs w:val="18"/>
              </w:rPr>
            </w:pPr>
            <w:r w:rsidRPr="00894701">
              <w:rPr>
                <w:color w:val="auto"/>
                <w:kern w:val="0"/>
                <w:szCs w:val="18"/>
              </w:rPr>
              <w:t>Suriname should ensure that a clear definition of any mandatory social expenditures mandated by law or contract is publicly provided and assess the materiality of such expenditures in the period under review. Suriname may wish to consider the extent to which disclosure of PSCs would be necessary to provide a comprehensive overview of all mandatory social expenditures in the oil sector. Suriname should ensure that public disclosure of mandatory social expenditures be disaggregated by type of payment (distinguishing cash and in-kind) and beneficiary, clarifying the name and function of any non-government (third-party) beneficiaries of mandatory social expenditures.</w:t>
            </w:r>
          </w:p>
        </w:tc>
      </w:tr>
      <w:tr w:rsidR="004F6D22" w:rsidRPr="00894701" w14:paraId="1F9F3991" w14:textId="77777777" w:rsidTr="00446B8D">
        <w:trPr>
          <w:trHeight w:val="260"/>
        </w:trPr>
        <w:tc>
          <w:tcPr>
            <w:tcW w:w="1981" w:type="pct"/>
            <w:vMerge/>
            <w:tcBorders>
              <w:top w:val="single" w:sz="12" w:space="0" w:color="FF0000"/>
              <w:left w:val="nil"/>
              <w:bottom w:val="nil"/>
              <w:right w:val="nil"/>
            </w:tcBorders>
            <w:vAlign w:val="center"/>
          </w:tcPr>
          <w:p w14:paraId="69C94E79" w14:textId="77777777" w:rsidR="004F6D22" w:rsidRPr="00894701" w:rsidRDefault="004F6D22" w:rsidP="00446B8D">
            <w:pPr>
              <w:spacing w:after="0" w:line="240" w:lineRule="auto"/>
              <w:rPr>
                <w:color w:val="auto"/>
                <w:kern w:val="0"/>
                <w:szCs w:val="18"/>
              </w:rPr>
            </w:pPr>
          </w:p>
        </w:tc>
        <w:tc>
          <w:tcPr>
            <w:tcW w:w="3019" w:type="pct"/>
            <w:tcBorders>
              <w:top w:val="single" w:sz="18" w:space="0" w:color="FF0000"/>
              <w:left w:val="nil"/>
              <w:bottom w:val="single" w:sz="18" w:space="0" w:color="FF0000"/>
              <w:right w:val="nil"/>
            </w:tcBorders>
            <w:shd w:val="clear" w:color="auto" w:fill="auto"/>
            <w:noWrap/>
            <w:vAlign w:val="bottom"/>
          </w:tcPr>
          <w:p w14:paraId="6AD45F6E" w14:textId="77777777" w:rsidR="004F6D22" w:rsidRPr="00894701" w:rsidRDefault="004F6D22" w:rsidP="00446B8D">
            <w:pPr>
              <w:spacing w:after="0" w:line="240" w:lineRule="auto"/>
              <w:contextualSpacing/>
              <w:rPr>
                <w:b/>
                <w:bCs/>
                <w:color w:val="auto"/>
                <w:kern w:val="0"/>
                <w:szCs w:val="18"/>
              </w:rPr>
            </w:pPr>
          </w:p>
          <w:p w14:paraId="705DF93E" w14:textId="3A07580D" w:rsidR="004F6D22" w:rsidRPr="00894701" w:rsidRDefault="004F6D22" w:rsidP="00446B8D">
            <w:pPr>
              <w:spacing w:after="0" w:line="240" w:lineRule="auto"/>
              <w:contextualSpacing/>
              <w:rPr>
                <w:color w:val="auto"/>
                <w:kern w:val="0"/>
                <w:szCs w:val="18"/>
              </w:rPr>
            </w:pPr>
            <w:r w:rsidRPr="00894701">
              <w:rPr>
                <w:b/>
                <w:bCs/>
                <w:color w:val="auto"/>
                <w:kern w:val="0"/>
                <w:szCs w:val="18"/>
                <w:u w:val="single"/>
              </w:rPr>
              <w:t>Related agencies</w:t>
            </w:r>
            <w:r w:rsidRPr="00894701">
              <w:rPr>
                <w:b/>
                <w:bCs/>
                <w:color w:val="auto"/>
                <w:kern w:val="0"/>
                <w:szCs w:val="18"/>
              </w:rPr>
              <w:t>:</w:t>
            </w:r>
            <w:r w:rsidRPr="00894701">
              <w:rPr>
                <w:color w:val="auto"/>
                <w:kern w:val="0"/>
                <w:szCs w:val="18"/>
              </w:rPr>
              <w:t xml:space="preserve"> </w:t>
            </w:r>
            <w:r w:rsidR="00F97281" w:rsidRPr="00894701">
              <w:rPr>
                <w:color w:val="auto"/>
                <w:kern w:val="0"/>
                <w:szCs w:val="18"/>
              </w:rPr>
              <w:t>MoFP</w:t>
            </w:r>
          </w:p>
          <w:p w14:paraId="602FAA25" w14:textId="77777777" w:rsidR="00B1510A" w:rsidRPr="00894701" w:rsidRDefault="00B1510A" w:rsidP="00446B8D">
            <w:pPr>
              <w:spacing w:after="0" w:line="240" w:lineRule="auto"/>
              <w:contextualSpacing/>
              <w:rPr>
                <w:color w:val="auto"/>
                <w:kern w:val="0"/>
                <w:szCs w:val="18"/>
              </w:rPr>
            </w:pPr>
          </w:p>
        </w:tc>
      </w:tr>
      <w:tr w:rsidR="004F6D22" w:rsidRPr="00894701" w14:paraId="00F3F7D6" w14:textId="77777777" w:rsidTr="00446B8D">
        <w:trPr>
          <w:trHeight w:val="260"/>
        </w:trPr>
        <w:tc>
          <w:tcPr>
            <w:tcW w:w="1981" w:type="pct"/>
            <w:vMerge/>
            <w:tcBorders>
              <w:top w:val="single" w:sz="12" w:space="0" w:color="FF0000"/>
              <w:left w:val="nil"/>
              <w:bottom w:val="nil"/>
              <w:right w:val="nil"/>
            </w:tcBorders>
            <w:vAlign w:val="center"/>
          </w:tcPr>
          <w:p w14:paraId="3A702746" w14:textId="77777777" w:rsidR="004F6D22" w:rsidRPr="00894701" w:rsidRDefault="004F6D22" w:rsidP="00446B8D">
            <w:pPr>
              <w:spacing w:after="0" w:line="240" w:lineRule="auto"/>
              <w:rPr>
                <w:color w:val="auto"/>
                <w:kern w:val="0"/>
                <w:szCs w:val="18"/>
              </w:rPr>
            </w:pPr>
          </w:p>
        </w:tc>
        <w:tc>
          <w:tcPr>
            <w:tcW w:w="3019" w:type="pct"/>
            <w:tcBorders>
              <w:top w:val="single" w:sz="18" w:space="0" w:color="FF0000"/>
              <w:left w:val="nil"/>
              <w:bottom w:val="single" w:sz="18" w:space="0" w:color="FF0000"/>
              <w:right w:val="nil"/>
            </w:tcBorders>
            <w:shd w:val="clear" w:color="auto" w:fill="auto"/>
            <w:noWrap/>
            <w:vAlign w:val="bottom"/>
          </w:tcPr>
          <w:p w14:paraId="7B9F79B9" w14:textId="77777777" w:rsidR="004F6D22" w:rsidRPr="00894701" w:rsidRDefault="004F6D22" w:rsidP="00446B8D">
            <w:pPr>
              <w:spacing w:after="0" w:line="240" w:lineRule="auto"/>
              <w:contextualSpacing/>
              <w:rPr>
                <w:b/>
                <w:bCs/>
                <w:color w:val="auto"/>
                <w:kern w:val="0"/>
                <w:szCs w:val="18"/>
              </w:rPr>
            </w:pPr>
          </w:p>
          <w:p w14:paraId="300DB17C" w14:textId="77777777" w:rsidR="004F6D22" w:rsidRPr="00894701" w:rsidRDefault="004F6D22" w:rsidP="00446B8D">
            <w:pPr>
              <w:spacing w:after="0" w:line="240" w:lineRule="auto"/>
              <w:contextualSpacing/>
              <w:rPr>
                <w:color w:val="auto"/>
                <w:kern w:val="0"/>
                <w:szCs w:val="18"/>
              </w:rPr>
            </w:pPr>
            <w:r w:rsidRPr="00894701">
              <w:rPr>
                <w:b/>
                <w:bCs/>
                <w:color w:val="auto"/>
                <w:kern w:val="0"/>
                <w:szCs w:val="18"/>
                <w:u w:val="single"/>
              </w:rPr>
              <w:t>Priority</w:t>
            </w:r>
            <w:r w:rsidRPr="00894701">
              <w:rPr>
                <w:b/>
                <w:bCs/>
                <w:color w:val="auto"/>
                <w:kern w:val="0"/>
                <w:szCs w:val="18"/>
              </w:rPr>
              <w:t>:</w:t>
            </w:r>
            <w:r w:rsidRPr="00894701">
              <w:rPr>
                <w:color w:val="auto"/>
                <w:kern w:val="0"/>
                <w:szCs w:val="18"/>
              </w:rPr>
              <w:t xml:space="preserve"> High</w:t>
            </w:r>
          </w:p>
          <w:p w14:paraId="185E9E84" w14:textId="77777777" w:rsidR="00B1510A" w:rsidRPr="00894701" w:rsidRDefault="00B1510A" w:rsidP="00446B8D">
            <w:pPr>
              <w:spacing w:after="0" w:line="240" w:lineRule="auto"/>
              <w:contextualSpacing/>
              <w:rPr>
                <w:color w:val="auto"/>
                <w:kern w:val="0"/>
                <w:szCs w:val="18"/>
              </w:rPr>
            </w:pPr>
          </w:p>
        </w:tc>
      </w:tr>
      <w:tr w:rsidR="004F6D22" w:rsidRPr="00894701" w14:paraId="2E1E8305" w14:textId="77777777" w:rsidTr="00446B8D">
        <w:trPr>
          <w:trHeight w:val="260"/>
        </w:trPr>
        <w:tc>
          <w:tcPr>
            <w:tcW w:w="1981" w:type="pct"/>
            <w:vMerge/>
            <w:tcBorders>
              <w:top w:val="single" w:sz="12" w:space="0" w:color="FF0000"/>
              <w:left w:val="nil"/>
              <w:bottom w:val="nil"/>
              <w:right w:val="nil"/>
            </w:tcBorders>
            <w:vAlign w:val="center"/>
          </w:tcPr>
          <w:p w14:paraId="2A7783F7" w14:textId="77777777" w:rsidR="004F6D22" w:rsidRPr="00894701" w:rsidRDefault="004F6D22" w:rsidP="00446B8D">
            <w:pPr>
              <w:spacing w:after="0" w:line="240" w:lineRule="auto"/>
              <w:rPr>
                <w:color w:val="auto"/>
                <w:kern w:val="0"/>
                <w:szCs w:val="18"/>
              </w:rPr>
            </w:pPr>
          </w:p>
        </w:tc>
        <w:tc>
          <w:tcPr>
            <w:tcW w:w="3019" w:type="pct"/>
            <w:tcBorders>
              <w:top w:val="single" w:sz="18" w:space="0" w:color="FF0000"/>
              <w:left w:val="nil"/>
              <w:bottom w:val="single" w:sz="18" w:space="0" w:color="FF0000"/>
              <w:right w:val="nil"/>
            </w:tcBorders>
            <w:shd w:val="clear" w:color="auto" w:fill="auto"/>
          </w:tcPr>
          <w:p w14:paraId="460E6F8D" w14:textId="77777777" w:rsidR="004F6D22" w:rsidRPr="00894701" w:rsidRDefault="004F6D22" w:rsidP="00446B8D">
            <w:pPr>
              <w:spacing w:after="0" w:line="240" w:lineRule="auto"/>
              <w:contextualSpacing/>
              <w:rPr>
                <w:b/>
                <w:bCs/>
                <w:color w:val="auto"/>
                <w:kern w:val="0"/>
                <w:szCs w:val="18"/>
              </w:rPr>
            </w:pPr>
          </w:p>
          <w:p w14:paraId="32DA4AE1" w14:textId="77777777" w:rsidR="004F6D22" w:rsidRPr="00894701" w:rsidRDefault="004F6D22" w:rsidP="00446B8D">
            <w:pPr>
              <w:spacing w:after="0" w:line="240" w:lineRule="auto"/>
              <w:contextualSpacing/>
              <w:rPr>
                <w:color w:val="auto"/>
                <w:kern w:val="0"/>
                <w:szCs w:val="18"/>
              </w:rPr>
            </w:pPr>
            <w:r w:rsidRPr="00894701">
              <w:rPr>
                <w:b/>
                <w:bCs/>
                <w:color w:val="auto"/>
                <w:kern w:val="0"/>
                <w:szCs w:val="18"/>
                <w:u w:val="single"/>
              </w:rPr>
              <w:t>Current status</w:t>
            </w:r>
            <w:r w:rsidRPr="00894701">
              <w:rPr>
                <w:b/>
                <w:bCs/>
                <w:color w:val="auto"/>
                <w:kern w:val="0"/>
                <w:szCs w:val="18"/>
              </w:rPr>
              <w:t>:</w:t>
            </w:r>
            <w:r w:rsidRPr="00894701">
              <w:rPr>
                <w:color w:val="auto"/>
                <w:kern w:val="0"/>
                <w:szCs w:val="18"/>
              </w:rPr>
              <w:t xml:space="preserve"> No progress</w:t>
            </w:r>
          </w:p>
          <w:p w14:paraId="7B776304" w14:textId="77777777" w:rsidR="00B1510A" w:rsidRPr="00894701" w:rsidRDefault="00B1510A" w:rsidP="00446B8D">
            <w:pPr>
              <w:spacing w:after="0" w:line="240" w:lineRule="auto"/>
              <w:contextualSpacing/>
              <w:rPr>
                <w:color w:val="auto"/>
                <w:kern w:val="0"/>
                <w:szCs w:val="18"/>
              </w:rPr>
            </w:pPr>
          </w:p>
        </w:tc>
      </w:tr>
    </w:tbl>
    <w:p w14:paraId="5FD08A3E" w14:textId="15A3D662" w:rsidR="004F6D22" w:rsidRDefault="004F6D22">
      <w:pPr>
        <w:spacing w:after="0" w:line="240" w:lineRule="auto"/>
        <w:rPr>
          <w:rFonts w:cs="Arial"/>
          <w:sz w:val="20"/>
        </w:rPr>
      </w:pPr>
      <w:r w:rsidRPr="00894701">
        <w:rPr>
          <w:rFonts w:cs="Arial"/>
          <w:sz w:val="20"/>
        </w:rPr>
        <w:br w:type="page"/>
      </w:r>
    </w:p>
    <w:p w14:paraId="3C8EE9E3" w14:textId="14884A2F" w:rsidR="0052437D" w:rsidRPr="00860520" w:rsidRDefault="0052437D" w:rsidP="00860520">
      <w:pPr>
        <w:spacing w:after="240"/>
        <w:jc w:val="center"/>
        <w:rPr>
          <w:rFonts w:cs="Arial"/>
          <w:color w:val="auto"/>
          <w:sz w:val="20"/>
        </w:rPr>
      </w:pPr>
      <w:bookmarkStart w:id="585" w:name="_Toc146590561"/>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89</w:t>
      </w:r>
      <w:r w:rsidRPr="00894701">
        <w:rPr>
          <w:b/>
          <w:bCs/>
          <w:color w:val="98002E" w:themeColor="accent3"/>
          <w:sz w:val="20"/>
          <w:szCs w:val="20"/>
        </w:rPr>
        <w:fldChar w:fldCharType="end"/>
      </w:r>
      <w:r w:rsidRPr="00894701">
        <w:rPr>
          <w:b/>
          <w:bCs/>
          <w:color w:val="98002E" w:themeColor="accent3"/>
          <w:sz w:val="20"/>
          <w:szCs w:val="20"/>
        </w:rPr>
        <w:t xml:space="preserve">: </w:t>
      </w:r>
      <w:r>
        <w:rPr>
          <w:b/>
          <w:bCs/>
          <w:color w:val="98002E" w:themeColor="accent3"/>
          <w:sz w:val="20"/>
          <w:szCs w:val="20"/>
        </w:rPr>
        <w:t>Recommendation 15</w:t>
      </w:r>
      <w:bookmarkEnd w:id="585"/>
    </w:p>
    <w:tbl>
      <w:tblPr>
        <w:tblW w:w="5000" w:type="pct"/>
        <w:tblLook w:val="04A0" w:firstRow="1" w:lastRow="0" w:firstColumn="1" w:lastColumn="0" w:noHBand="0" w:noVBand="1"/>
      </w:tblPr>
      <w:tblGrid>
        <w:gridCol w:w="5530"/>
        <w:gridCol w:w="8428"/>
      </w:tblGrid>
      <w:tr w:rsidR="00B64628" w:rsidRPr="00894701" w14:paraId="0E0C64DC" w14:textId="77777777" w:rsidTr="00446B8D">
        <w:trPr>
          <w:trHeight w:val="1985"/>
        </w:trPr>
        <w:tc>
          <w:tcPr>
            <w:tcW w:w="1981" w:type="pct"/>
            <w:vMerge w:val="restart"/>
            <w:tcBorders>
              <w:top w:val="single" w:sz="18" w:space="0" w:color="FF0000"/>
              <w:left w:val="nil"/>
              <w:bottom w:val="nil"/>
              <w:right w:val="nil"/>
            </w:tcBorders>
            <w:shd w:val="clear" w:color="auto" w:fill="auto"/>
          </w:tcPr>
          <w:p w14:paraId="7FFD14AB" w14:textId="77777777" w:rsidR="00B64628" w:rsidRPr="00894701" w:rsidRDefault="00B64628" w:rsidP="00446B8D">
            <w:pPr>
              <w:spacing w:after="0" w:line="240" w:lineRule="auto"/>
              <w:contextualSpacing/>
              <w:jc w:val="both"/>
              <w:rPr>
                <w:b/>
                <w:bCs/>
                <w:color w:val="auto"/>
                <w:kern w:val="0"/>
                <w:szCs w:val="18"/>
              </w:rPr>
            </w:pPr>
            <w:r w:rsidRPr="00894701">
              <w:rPr>
                <w:b/>
                <w:bCs/>
                <w:color w:val="auto"/>
                <w:kern w:val="0"/>
                <w:szCs w:val="18"/>
                <w:u w:val="single"/>
              </w:rPr>
              <w:t>Description</w:t>
            </w:r>
            <w:r w:rsidRPr="00894701">
              <w:rPr>
                <w:b/>
                <w:bCs/>
                <w:color w:val="auto"/>
                <w:kern w:val="0"/>
                <w:szCs w:val="18"/>
              </w:rPr>
              <w:t>:</w:t>
            </w:r>
          </w:p>
          <w:p w14:paraId="2B0ED0EB" w14:textId="77777777" w:rsidR="00B1510A" w:rsidRPr="00894701" w:rsidRDefault="00B64628" w:rsidP="00446B8D">
            <w:pPr>
              <w:spacing w:before="60" w:after="60" w:line="240" w:lineRule="auto"/>
              <w:jc w:val="both"/>
              <w:rPr>
                <w:color w:val="auto"/>
                <w:kern w:val="0"/>
                <w:szCs w:val="18"/>
              </w:rPr>
            </w:pPr>
            <w:r w:rsidRPr="00894701">
              <w:rPr>
                <w:color w:val="auto"/>
                <w:kern w:val="0"/>
                <w:szCs w:val="18"/>
              </w:rPr>
              <w:t>In accordance with Requirement 6.2</w:t>
            </w:r>
          </w:p>
        </w:tc>
        <w:tc>
          <w:tcPr>
            <w:tcW w:w="3019" w:type="pct"/>
            <w:tcBorders>
              <w:top w:val="single" w:sz="18" w:space="0" w:color="FF0000"/>
              <w:left w:val="nil"/>
              <w:bottom w:val="single" w:sz="18" w:space="0" w:color="FF0000"/>
              <w:right w:val="nil"/>
            </w:tcBorders>
            <w:shd w:val="clear" w:color="auto" w:fill="auto"/>
          </w:tcPr>
          <w:p w14:paraId="72719751" w14:textId="77777777" w:rsidR="00B64628" w:rsidRPr="00894701" w:rsidRDefault="00B64628" w:rsidP="00446B8D">
            <w:pPr>
              <w:spacing w:after="60" w:line="240" w:lineRule="auto"/>
              <w:jc w:val="both"/>
              <w:rPr>
                <w:b/>
                <w:bCs/>
                <w:color w:val="auto"/>
                <w:kern w:val="0"/>
                <w:szCs w:val="18"/>
              </w:rPr>
            </w:pPr>
            <w:r w:rsidRPr="00894701">
              <w:rPr>
                <w:b/>
                <w:bCs/>
                <w:color w:val="auto"/>
                <w:kern w:val="0"/>
                <w:szCs w:val="18"/>
                <w:u w:val="single"/>
              </w:rPr>
              <w:t>Recommended actions</w:t>
            </w:r>
            <w:r w:rsidRPr="00894701">
              <w:rPr>
                <w:b/>
                <w:bCs/>
                <w:color w:val="auto"/>
                <w:kern w:val="0"/>
                <w:szCs w:val="18"/>
              </w:rPr>
              <w:t>:</w:t>
            </w:r>
          </w:p>
          <w:p w14:paraId="0AC6F75D" w14:textId="77777777" w:rsidR="00B64628" w:rsidRPr="00894701" w:rsidRDefault="00B64628" w:rsidP="00446B8D">
            <w:pPr>
              <w:spacing w:before="60" w:after="60" w:line="240" w:lineRule="auto"/>
              <w:jc w:val="both"/>
              <w:rPr>
                <w:b/>
                <w:bCs/>
                <w:color w:val="auto"/>
                <w:kern w:val="0"/>
                <w:szCs w:val="18"/>
              </w:rPr>
            </w:pPr>
            <w:r w:rsidRPr="00894701">
              <w:rPr>
                <w:color w:val="auto"/>
                <w:kern w:val="0"/>
                <w:szCs w:val="18"/>
              </w:rPr>
              <w:t>In accordance with Requirement 6.2, Suriname should undertake a comprehensive review of all expenditures undertaken by extractives SOEs that could be considered quasi-fiscal expenditures. Suriname should develop a reporting process for quasi-fiscal expenditures with a view to achieving a level of transparency commensurate with other payments and revenue streams.</w:t>
            </w:r>
          </w:p>
        </w:tc>
      </w:tr>
      <w:tr w:rsidR="00B64628" w:rsidRPr="00894701" w14:paraId="6BB96CCC" w14:textId="77777777" w:rsidTr="00446B8D">
        <w:trPr>
          <w:trHeight w:val="260"/>
        </w:trPr>
        <w:tc>
          <w:tcPr>
            <w:tcW w:w="1981" w:type="pct"/>
            <w:vMerge/>
            <w:tcBorders>
              <w:top w:val="single" w:sz="12" w:space="0" w:color="FF0000"/>
              <w:left w:val="nil"/>
              <w:bottom w:val="nil"/>
              <w:right w:val="nil"/>
            </w:tcBorders>
            <w:vAlign w:val="center"/>
          </w:tcPr>
          <w:p w14:paraId="0C85F6A2" w14:textId="77777777" w:rsidR="00B64628" w:rsidRPr="00894701" w:rsidRDefault="00B64628" w:rsidP="00446B8D">
            <w:pPr>
              <w:spacing w:after="0" w:line="240" w:lineRule="auto"/>
              <w:rPr>
                <w:color w:val="auto"/>
                <w:kern w:val="0"/>
                <w:szCs w:val="18"/>
              </w:rPr>
            </w:pPr>
          </w:p>
        </w:tc>
        <w:tc>
          <w:tcPr>
            <w:tcW w:w="3019" w:type="pct"/>
            <w:tcBorders>
              <w:top w:val="single" w:sz="18" w:space="0" w:color="FF0000"/>
              <w:left w:val="nil"/>
              <w:bottom w:val="single" w:sz="18" w:space="0" w:color="FF0000"/>
              <w:right w:val="nil"/>
            </w:tcBorders>
            <w:shd w:val="clear" w:color="auto" w:fill="auto"/>
            <w:noWrap/>
            <w:vAlign w:val="bottom"/>
          </w:tcPr>
          <w:p w14:paraId="0A536CDC" w14:textId="77777777" w:rsidR="00B64628" w:rsidRPr="00894701" w:rsidRDefault="00B64628" w:rsidP="00446B8D">
            <w:pPr>
              <w:spacing w:after="0" w:line="240" w:lineRule="auto"/>
              <w:contextualSpacing/>
              <w:rPr>
                <w:b/>
                <w:bCs/>
                <w:color w:val="auto"/>
                <w:kern w:val="0"/>
                <w:szCs w:val="18"/>
              </w:rPr>
            </w:pPr>
          </w:p>
          <w:p w14:paraId="3D83FCC1" w14:textId="1BD98DD8" w:rsidR="00B64628" w:rsidRPr="00894701" w:rsidRDefault="00B64628" w:rsidP="00446B8D">
            <w:pPr>
              <w:spacing w:after="0" w:line="240" w:lineRule="auto"/>
              <w:contextualSpacing/>
              <w:rPr>
                <w:color w:val="auto"/>
                <w:kern w:val="0"/>
                <w:szCs w:val="18"/>
              </w:rPr>
            </w:pPr>
            <w:r w:rsidRPr="00894701">
              <w:rPr>
                <w:b/>
                <w:bCs/>
                <w:color w:val="auto"/>
                <w:kern w:val="0"/>
                <w:szCs w:val="18"/>
                <w:u w:val="single"/>
              </w:rPr>
              <w:t>Related agencies</w:t>
            </w:r>
            <w:r w:rsidRPr="00894701">
              <w:rPr>
                <w:b/>
                <w:bCs/>
                <w:color w:val="auto"/>
                <w:kern w:val="0"/>
                <w:szCs w:val="18"/>
              </w:rPr>
              <w:t>:</w:t>
            </w:r>
            <w:r w:rsidRPr="00894701">
              <w:rPr>
                <w:color w:val="auto"/>
                <w:kern w:val="0"/>
                <w:szCs w:val="18"/>
              </w:rPr>
              <w:t xml:space="preserve"> </w:t>
            </w:r>
            <w:r w:rsidR="003C058D" w:rsidRPr="00894701">
              <w:rPr>
                <w:color w:val="auto"/>
                <w:kern w:val="0"/>
                <w:szCs w:val="18"/>
              </w:rPr>
              <w:t xml:space="preserve">MoFP </w:t>
            </w:r>
            <w:r w:rsidRPr="00894701">
              <w:rPr>
                <w:color w:val="auto"/>
                <w:kern w:val="0"/>
                <w:szCs w:val="18"/>
              </w:rPr>
              <w:t>and MONR</w:t>
            </w:r>
          </w:p>
          <w:p w14:paraId="0B8440DF" w14:textId="77777777" w:rsidR="00B1510A" w:rsidRPr="00894701" w:rsidRDefault="00B1510A" w:rsidP="00446B8D">
            <w:pPr>
              <w:spacing w:after="0" w:line="240" w:lineRule="auto"/>
              <w:contextualSpacing/>
              <w:rPr>
                <w:color w:val="auto"/>
                <w:kern w:val="0"/>
                <w:szCs w:val="18"/>
              </w:rPr>
            </w:pPr>
          </w:p>
        </w:tc>
      </w:tr>
      <w:tr w:rsidR="00B64628" w:rsidRPr="00894701" w14:paraId="36EA7623" w14:textId="77777777" w:rsidTr="00446B8D">
        <w:trPr>
          <w:trHeight w:val="260"/>
        </w:trPr>
        <w:tc>
          <w:tcPr>
            <w:tcW w:w="1981" w:type="pct"/>
            <w:vMerge/>
            <w:tcBorders>
              <w:top w:val="single" w:sz="12" w:space="0" w:color="FF0000"/>
              <w:left w:val="nil"/>
              <w:bottom w:val="nil"/>
              <w:right w:val="nil"/>
            </w:tcBorders>
            <w:vAlign w:val="center"/>
          </w:tcPr>
          <w:p w14:paraId="438FBA62" w14:textId="77777777" w:rsidR="00B64628" w:rsidRPr="00894701" w:rsidRDefault="00B64628" w:rsidP="00446B8D">
            <w:pPr>
              <w:spacing w:after="0" w:line="240" w:lineRule="auto"/>
              <w:rPr>
                <w:color w:val="auto"/>
                <w:kern w:val="0"/>
                <w:szCs w:val="18"/>
              </w:rPr>
            </w:pPr>
          </w:p>
        </w:tc>
        <w:tc>
          <w:tcPr>
            <w:tcW w:w="3019" w:type="pct"/>
            <w:tcBorders>
              <w:top w:val="single" w:sz="18" w:space="0" w:color="FF0000"/>
              <w:left w:val="nil"/>
              <w:bottom w:val="single" w:sz="18" w:space="0" w:color="FF0000"/>
              <w:right w:val="nil"/>
            </w:tcBorders>
            <w:shd w:val="clear" w:color="auto" w:fill="auto"/>
            <w:noWrap/>
            <w:vAlign w:val="bottom"/>
          </w:tcPr>
          <w:p w14:paraId="7BEE0735" w14:textId="77777777" w:rsidR="00B64628" w:rsidRPr="00894701" w:rsidRDefault="00B64628" w:rsidP="00446B8D">
            <w:pPr>
              <w:spacing w:after="0" w:line="240" w:lineRule="auto"/>
              <w:contextualSpacing/>
              <w:rPr>
                <w:b/>
                <w:bCs/>
                <w:color w:val="auto"/>
                <w:kern w:val="0"/>
                <w:szCs w:val="18"/>
              </w:rPr>
            </w:pPr>
          </w:p>
          <w:p w14:paraId="759772A3" w14:textId="77777777" w:rsidR="00B64628" w:rsidRPr="00894701" w:rsidRDefault="00B64628" w:rsidP="00446B8D">
            <w:pPr>
              <w:spacing w:after="0" w:line="240" w:lineRule="auto"/>
              <w:contextualSpacing/>
              <w:rPr>
                <w:color w:val="auto"/>
                <w:kern w:val="0"/>
                <w:szCs w:val="18"/>
              </w:rPr>
            </w:pPr>
            <w:r w:rsidRPr="00894701">
              <w:rPr>
                <w:b/>
                <w:bCs/>
                <w:color w:val="auto"/>
                <w:kern w:val="0"/>
                <w:szCs w:val="18"/>
                <w:u w:val="single"/>
              </w:rPr>
              <w:t>Priority</w:t>
            </w:r>
            <w:r w:rsidRPr="00894701">
              <w:rPr>
                <w:b/>
                <w:bCs/>
                <w:color w:val="auto"/>
                <w:kern w:val="0"/>
                <w:szCs w:val="18"/>
              </w:rPr>
              <w:t>:</w:t>
            </w:r>
            <w:r w:rsidRPr="00894701">
              <w:rPr>
                <w:color w:val="auto"/>
                <w:kern w:val="0"/>
                <w:szCs w:val="18"/>
              </w:rPr>
              <w:t xml:space="preserve"> High</w:t>
            </w:r>
          </w:p>
          <w:p w14:paraId="4E15D71E" w14:textId="77777777" w:rsidR="00B1510A" w:rsidRPr="00894701" w:rsidRDefault="00B1510A" w:rsidP="00446B8D">
            <w:pPr>
              <w:spacing w:after="0" w:line="240" w:lineRule="auto"/>
              <w:contextualSpacing/>
              <w:rPr>
                <w:color w:val="auto"/>
                <w:kern w:val="0"/>
                <w:szCs w:val="18"/>
              </w:rPr>
            </w:pPr>
          </w:p>
        </w:tc>
      </w:tr>
      <w:tr w:rsidR="00B64628" w:rsidRPr="00894701" w14:paraId="15A643FC" w14:textId="77777777" w:rsidTr="00446B8D">
        <w:trPr>
          <w:trHeight w:val="260"/>
        </w:trPr>
        <w:tc>
          <w:tcPr>
            <w:tcW w:w="1981" w:type="pct"/>
            <w:vMerge/>
            <w:tcBorders>
              <w:top w:val="single" w:sz="12" w:space="0" w:color="FF0000"/>
              <w:left w:val="nil"/>
              <w:bottom w:val="nil"/>
              <w:right w:val="nil"/>
            </w:tcBorders>
            <w:vAlign w:val="center"/>
          </w:tcPr>
          <w:p w14:paraId="5BC2E731" w14:textId="77777777" w:rsidR="00B64628" w:rsidRPr="00894701" w:rsidRDefault="00B64628" w:rsidP="00446B8D">
            <w:pPr>
              <w:spacing w:after="0" w:line="240" w:lineRule="auto"/>
              <w:rPr>
                <w:color w:val="auto"/>
                <w:kern w:val="0"/>
                <w:szCs w:val="18"/>
              </w:rPr>
            </w:pPr>
          </w:p>
        </w:tc>
        <w:tc>
          <w:tcPr>
            <w:tcW w:w="3019" w:type="pct"/>
            <w:tcBorders>
              <w:top w:val="single" w:sz="18" w:space="0" w:color="FF0000"/>
              <w:left w:val="nil"/>
              <w:bottom w:val="single" w:sz="18" w:space="0" w:color="FF0000"/>
              <w:right w:val="nil"/>
            </w:tcBorders>
            <w:shd w:val="clear" w:color="auto" w:fill="auto"/>
          </w:tcPr>
          <w:p w14:paraId="5F2C31C5" w14:textId="77777777" w:rsidR="00B64628" w:rsidRPr="00894701" w:rsidRDefault="00B64628" w:rsidP="00446B8D">
            <w:pPr>
              <w:spacing w:after="0" w:line="240" w:lineRule="auto"/>
              <w:contextualSpacing/>
              <w:rPr>
                <w:b/>
                <w:bCs/>
                <w:color w:val="auto"/>
                <w:kern w:val="0"/>
                <w:szCs w:val="18"/>
              </w:rPr>
            </w:pPr>
          </w:p>
          <w:p w14:paraId="3D7E2CC8" w14:textId="77777777" w:rsidR="00B64628" w:rsidRPr="00894701" w:rsidRDefault="00B64628" w:rsidP="00446B8D">
            <w:pPr>
              <w:spacing w:after="0" w:line="240" w:lineRule="auto"/>
              <w:contextualSpacing/>
              <w:rPr>
                <w:color w:val="auto"/>
                <w:kern w:val="0"/>
                <w:szCs w:val="18"/>
              </w:rPr>
            </w:pPr>
            <w:r w:rsidRPr="00894701">
              <w:rPr>
                <w:b/>
                <w:bCs/>
                <w:color w:val="auto"/>
                <w:kern w:val="0"/>
                <w:szCs w:val="18"/>
                <w:u w:val="single"/>
              </w:rPr>
              <w:t>Current status</w:t>
            </w:r>
            <w:r w:rsidRPr="00894701">
              <w:rPr>
                <w:b/>
                <w:bCs/>
                <w:color w:val="auto"/>
                <w:kern w:val="0"/>
                <w:szCs w:val="18"/>
              </w:rPr>
              <w:t>:</w:t>
            </w:r>
            <w:r w:rsidRPr="00894701">
              <w:rPr>
                <w:color w:val="auto"/>
                <w:kern w:val="0"/>
                <w:szCs w:val="18"/>
              </w:rPr>
              <w:t xml:space="preserve"> No progress</w:t>
            </w:r>
          </w:p>
          <w:p w14:paraId="2C88C2CF" w14:textId="77777777" w:rsidR="00B1510A" w:rsidRPr="00894701" w:rsidRDefault="00B1510A" w:rsidP="00446B8D">
            <w:pPr>
              <w:spacing w:after="0" w:line="240" w:lineRule="auto"/>
              <w:contextualSpacing/>
              <w:rPr>
                <w:color w:val="auto"/>
                <w:kern w:val="0"/>
                <w:szCs w:val="18"/>
              </w:rPr>
            </w:pPr>
          </w:p>
        </w:tc>
      </w:tr>
    </w:tbl>
    <w:p w14:paraId="6AA9DE50" w14:textId="77777777" w:rsidR="00B64628" w:rsidRPr="00894701" w:rsidRDefault="00B64628">
      <w:pPr>
        <w:spacing w:after="0" w:line="240" w:lineRule="auto"/>
        <w:rPr>
          <w:rFonts w:cs="Arial"/>
          <w:sz w:val="20"/>
        </w:rPr>
      </w:pPr>
    </w:p>
    <w:p w14:paraId="71210ED7" w14:textId="77777777" w:rsidR="00B64628" w:rsidRDefault="00B64628">
      <w:pPr>
        <w:spacing w:after="0" w:line="240" w:lineRule="auto"/>
        <w:rPr>
          <w:rFonts w:cs="Arial"/>
          <w:sz w:val="20"/>
        </w:rPr>
      </w:pPr>
      <w:r w:rsidRPr="00894701">
        <w:rPr>
          <w:rFonts w:cs="Arial"/>
          <w:sz w:val="20"/>
        </w:rPr>
        <w:br w:type="page"/>
      </w:r>
    </w:p>
    <w:p w14:paraId="189D47AC" w14:textId="45D67622" w:rsidR="0052437D" w:rsidRPr="00860520" w:rsidRDefault="0052437D" w:rsidP="00860520">
      <w:pPr>
        <w:spacing w:after="240"/>
        <w:jc w:val="center"/>
        <w:rPr>
          <w:rFonts w:cs="Arial"/>
          <w:color w:val="auto"/>
          <w:sz w:val="20"/>
        </w:rPr>
      </w:pPr>
      <w:bookmarkStart w:id="586" w:name="_Toc146590562"/>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90</w:t>
      </w:r>
      <w:r w:rsidRPr="00894701">
        <w:rPr>
          <w:b/>
          <w:bCs/>
          <w:color w:val="98002E" w:themeColor="accent3"/>
          <w:sz w:val="20"/>
          <w:szCs w:val="20"/>
        </w:rPr>
        <w:fldChar w:fldCharType="end"/>
      </w:r>
      <w:r w:rsidRPr="00894701">
        <w:rPr>
          <w:b/>
          <w:bCs/>
          <w:color w:val="98002E" w:themeColor="accent3"/>
          <w:sz w:val="20"/>
          <w:szCs w:val="20"/>
        </w:rPr>
        <w:t xml:space="preserve">: </w:t>
      </w:r>
      <w:r>
        <w:rPr>
          <w:b/>
          <w:bCs/>
          <w:color w:val="98002E" w:themeColor="accent3"/>
          <w:sz w:val="20"/>
          <w:szCs w:val="20"/>
        </w:rPr>
        <w:t>Recommendation 16</w:t>
      </w:r>
      <w:bookmarkEnd w:id="586"/>
    </w:p>
    <w:tbl>
      <w:tblPr>
        <w:tblW w:w="5000" w:type="pct"/>
        <w:tblLook w:val="04A0" w:firstRow="1" w:lastRow="0" w:firstColumn="1" w:lastColumn="0" w:noHBand="0" w:noVBand="1"/>
      </w:tblPr>
      <w:tblGrid>
        <w:gridCol w:w="5530"/>
        <w:gridCol w:w="8428"/>
      </w:tblGrid>
      <w:tr w:rsidR="00B64628" w:rsidRPr="00894701" w14:paraId="42A7F073" w14:textId="77777777" w:rsidTr="00446B8D">
        <w:trPr>
          <w:trHeight w:val="1985"/>
        </w:trPr>
        <w:tc>
          <w:tcPr>
            <w:tcW w:w="1981" w:type="pct"/>
            <w:vMerge w:val="restart"/>
            <w:tcBorders>
              <w:top w:val="single" w:sz="18" w:space="0" w:color="FF0000"/>
              <w:left w:val="nil"/>
              <w:bottom w:val="nil"/>
              <w:right w:val="nil"/>
            </w:tcBorders>
            <w:shd w:val="clear" w:color="auto" w:fill="auto"/>
          </w:tcPr>
          <w:p w14:paraId="1C43476B" w14:textId="77777777" w:rsidR="00B64628" w:rsidRPr="00894701" w:rsidRDefault="00B64628" w:rsidP="00446B8D">
            <w:pPr>
              <w:spacing w:after="0" w:line="240" w:lineRule="auto"/>
              <w:contextualSpacing/>
              <w:jc w:val="both"/>
              <w:rPr>
                <w:b/>
                <w:bCs/>
                <w:color w:val="auto"/>
                <w:kern w:val="0"/>
                <w:szCs w:val="18"/>
              </w:rPr>
            </w:pPr>
            <w:r w:rsidRPr="00894701">
              <w:rPr>
                <w:b/>
                <w:bCs/>
                <w:color w:val="auto"/>
                <w:kern w:val="0"/>
                <w:szCs w:val="18"/>
                <w:u w:val="single"/>
              </w:rPr>
              <w:t>Description</w:t>
            </w:r>
            <w:r w:rsidRPr="00894701">
              <w:rPr>
                <w:b/>
                <w:bCs/>
                <w:color w:val="auto"/>
                <w:kern w:val="0"/>
                <w:szCs w:val="18"/>
              </w:rPr>
              <w:t>:</w:t>
            </w:r>
          </w:p>
          <w:p w14:paraId="5C178A58" w14:textId="70FD1739" w:rsidR="00B1510A" w:rsidRPr="00894701" w:rsidRDefault="00B64628" w:rsidP="00446B8D">
            <w:pPr>
              <w:spacing w:before="60" w:after="60" w:line="240" w:lineRule="auto"/>
              <w:jc w:val="both"/>
              <w:rPr>
                <w:color w:val="auto"/>
                <w:kern w:val="0"/>
                <w:szCs w:val="18"/>
              </w:rPr>
            </w:pPr>
            <w:r w:rsidRPr="00894701">
              <w:rPr>
                <w:color w:val="auto"/>
                <w:kern w:val="0"/>
                <w:szCs w:val="18"/>
              </w:rPr>
              <w:t>In accordance with Requirement 6.3</w:t>
            </w:r>
          </w:p>
        </w:tc>
        <w:tc>
          <w:tcPr>
            <w:tcW w:w="3019" w:type="pct"/>
            <w:tcBorders>
              <w:top w:val="single" w:sz="18" w:space="0" w:color="FF0000"/>
              <w:left w:val="nil"/>
              <w:bottom w:val="single" w:sz="18" w:space="0" w:color="FF0000"/>
              <w:right w:val="nil"/>
            </w:tcBorders>
            <w:shd w:val="clear" w:color="auto" w:fill="auto"/>
          </w:tcPr>
          <w:p w14:paraId="0E232DD6" w14:textId="77777777" w:rsidR="00B64628" w:rsidRPr="00894701" w:rsidRDefault="00B64628" w:rsidP="00446B8D">
            <w:pPr>
              <w:spacing w:after="60" w:line="240" w:lineRule="auto"/>
              <w:jc w:val="both"/>
              <w:rPr>
                <w:b/>
                <w:bCs/>
                <w:color w:val="auto"/>
                <w:kern w:val="0"/>
                <w:szCs w:val="18"/>
              </w:rPr>
            </w:pPr>
            <w:r w:rsidRPr="00894701">
              <w:rPr>
                <w:b/>
                <w:bCs/>
                <w:color w:val="auto"/>
                <w:kern w:val="0"/>
                <w:szCs w:val="18"/>
                <w:u w:val="single"/>
              </w:rPr>
              <w:t>Recommended actions</w:t>
            </w:r>
            <w:r w:rsidRPr="00894701">
              <w:rPr>
                <w:b/>
                <w:bCs/>
                <w:color w:val="auto"/>
                <w:kern w:val="0"/>
                <w:szCs w:val="18"/>
              </w:rPr>
              <w:t>:</w:t>
            </w:r>
          </w:p>
          <w:p w14:paraId="76A21260" w14:textId="73D9CA99" w:rsidR="00B64628" w:rsidRPr="00894701" w:rsidRDefault="00B64628" w:rsidP="00D627EF">
            <w:pPr>
              <w:spacing w:before="60" w:after="60" w:line="240" w:lineRule="auto"/>
              <w:jc w:val="both"/>
              <w:rPr>
                <w:b/>
                <w:bCs/>
                <w:color w:val="auto"/>
                <w:kern w:val="0"/>
                <w:szCs w:val="18"/>
              </w:rPr>
            </w:pPr>
            <w:r w:rsidRPr="00894701">
              <w:rPr>
                <w:color w:val="auto"/>
                <w:kern w:val="0"/>
                <w:szCs w:val="18"/>
              </w:rPr>
              <w:t xml:space="preserve">Suriname should disclose employment in the extractive industries in absolute terms and as a percentage of the total employment. Given the importance of artisanal mining for Suriname’s economy, </w:t>
            </w:r>
            <w:r w:rsidR="00D627EF">
              <w:rPr>
                <w:color w:val="auto"/>
                <w:kern w:val="0"/>
                <w:szCs w:val="18"/>
              </w:rPr>
              <w:t>the national statistics</w:t>
            </w:r>
            <w:r w:rsidR="00D627EF" w:rsidRPr="00894701">
              <w:rPr>
                <w:color w:val="auto"/>
                <w:kern w:val="0"/>
                <w:szCs w:val="18"/>
              </w:rPr>
              <w:t xml:space="preserve"> </w:t>
            </w:r>
            <w:r w:rsidR="00D627EF">
              <w:rPr>
                <w:color w:val="auto"/>
                <w:kern w:val="0"/>
                <w:szCs w:val="18"/>
              </w:rPr>
              <w:t xml:space="preserve">provided by the bureau of statistics </w:t>
            </w:r>
            <w:r w:rsidRPr="00894701">
              <w:rPr>
                <w:color w:val="auto"/>
                <w:kern w:val="0"/>
                <w:szCs w:val="18"/>
              </w:rPr>
              <w:t xml:space="preserve">should also </w:t>
            </w:r>
            <w:bookmarkStart w:id="587" w:name="_Hlk146370883"/>
            <w:r w:rsidR="00D627EF">
              <w:rPr>
                <w:color w:val="auto"/>
                <w:kern w:val="0"/>
                <w:szCs w:val="18"/>
              </w:rPr>
              <w:t xml:space="preserve">include </w:t>
            </w:r>
            <w:r w:rsidRPr="00894701">
              <w:rPr>
                <w:color w:val="auto"/>
                <w:kern w:val="0"/>
                <w:szCs w:val="18"/>
              </w:rPr>
              <w:t>estimates of informal extractive activities, including artisanal and small-scale mining</w:t>
            </w:r>
            <w:bookmarkEnd w:id="587"/>
            <w:r w:rsidR="00D627EF">
              <w:rPr>
                <w:color w:val="auto"/>
                <w:kern w:val="0"/>
                <w:szCs w:val="18"/>
              </w:rPr>
              <w:t xml:space="preserve"> in collaboration with GMD</w:t>
            </w:r>
            <w:r w:rsidRPr="00894701">
              <w:rPr>
                <w:color w:val="auto"/>
                <w:kern w:val="0"/>
                <w:szCs w:val="18"/>
              </w:rPr>
              <w:t>, in future EITI reporting.</w:t>
            </w:r>
          </w:p>
        </w:tc>
      </w:tr>
      <w:tr w:rsidR="00B64628" w:rsidRPr="00894701" w14:paraId="567EE34F" w14:textId="77777777" w:rsidTr="00446B8D">
        <w:trPr>
          <w:trHeight w:val="260"/>
        </w:trPr>
        <w:tc>
          <w:tcPr>
            <w:tcW w:w="1981" w:type="pct"/>
            <w:vMerge/>
            <w:tcBorders>
              <w:top w:val="single" w:sz="12" w:space="0" w:color="FF0000"/>
              <w:left w:val="nil"/>
              <w:bottom w:val="nil"/>
              <w:right w:val="nil"/>
            </w:tcBorders>
            <w:vAlign w:val="center"/>
          </w:tcPr>
          <w:p w14:paraId="3FC0441E" w14:textId="77777777" w:rsidR="00B64628" w:rsidRPr="00894701" w:rsidRDefault="00B64628" w:rsidP="00446B8D">
            <w:pPr>
              <w:spacing w:after="0" w:line="240" w:lineRule="auto"/>
              <w:rPr>
                <w:color w:val="auto"/>
                <w:kern w:val="0"/>
                <w:szCs w:val="18"/>
              </w:rPr>
            </w:pPr>
          </w:p>
        </w:tc>
        <w:tc>
          <w:tcPr>
            <w:tcW w:w="3019" w:type="pct"/>
            <w:tcBorders>
              <w:top w:val="single" w:sz="18" w:space="0" w:color="FF0000"/>
              <w:left w:val="nil"/>
              <w:bottom w:val="single" w:sz="18" w:space="0" w:color="FF0000"/>
              <w:right w:val="nil"/>
            </w:tcBorders>
            <w:shd w:val="clear" w:color="auto" w:fill="auto"/>
            <w:noWrap/>
            <w:vAlign w:val="bottom"/>
          </w:tcPr>
          <w:p w14:paraId="4E0212A8" w14:textId="77777777" w:rsidR="00B64628" w:rsidRPr="00894701" w:rsidRDefault="00B64628" w:rsidP="00446B8D">
            <w:pPr>
              <w:spacing w:after="0" w:line="240" w:lineRule="auto"/>
              <w:contextualSpacing/>
              <w:rPr>
                <w:b/>
                <w:bCs/>
                <w:color w:val="auto"/>
                <w:kern w:val="0"/>
                <w:szCs w:val="18"/>
              </w:rPr>
            </w:pPr>
          </w:p>
          <w:p w14:paraId="4092961E" w14:textId="5869B7F0" w:rsidR="00B64628" w:rsidRPr="00894701" w:rsidRDefault="00B64628" w:rsidP="00446B8D">
            <w:pPr>
              <w:spacing w:after="0" w:line="240" w:lineRule="auto"/>
              <w:contextualSpacing/>
              <w:rPr>
                <w:color w:val="auto"/>
                <w:kern w:val="0"/>
                <w:szCs w:val="18"/>
              </w:rPr>
            </w:pPr>
            <w:r w:rsidRPr="00894701">
              <w:rPr>
                <w:b/>
                <w:bCs/>
                <w:color w:val="auto"/>
                <w:kern w:val="0"/>
                <w:szCs w:val="18"/>
                <w:u w:val="single"/>
              </w:rPr>
              <w:t>Related agencies</w:t>
            </w:r>
            <w:r w:rsidRPr="00894701">
              <w:rPr>
                <w:b/>
                <w:bCs/>
                <w:color w:val="auto"/>
                <w:kern w:val="0"/>
                <w:szCs w:val="18"/>
              </w:rPr>
              <w:t>:</w:t>
            </w:r>
            <w:r w:rsidRPr="00894701">
              <w:rPr>
                <w:color w:val="auto"/>
                <w:kern w:val="0"/>
                <w:szCs w:val="18"/>
              </w:rPr>
              <w:t xml:space="preserve"> Government and Companies</w:t>
            </w:r>
          </w:p>
          <w:p w14:paraId="5295C3A1" w14:textId="77777777" w:rsidR="00B1510A" w:rsidRPr="00894701" w:rsidRDefault="00B1510A" w:rsidP="00446B8D">
            <w:pPr>
              <w:spacing w:after="0" w:line="240" w:lineRule="auto"/>
              <w:contextualSpacing/>
              <w:rPr>
                <w:color w:val="auto"/>
                <w:kern w:val="0"/>
                <w:szCs w:val="18"/>
              </w:rPr>
            </w:pPr>
          </w:p>
        </w:tc>
      </w:tr>
      <w:tr w:rsidR="00B64628" w:rsidRPr="00894701" w14:paraId="0D742952" w14:textId="77777777" w:rsidTr="00446B8D">
        <w:trPr>
          <w:trHeight w:val="260"/>
        </w:trPr>
        <w:tc>
          <w:tcPr>
            <w:tcW w:w="1981" w:type="pct"/>
            <w:vMerge/>
            <w:tcBorders>
              <w:top w:val="single" w:sz="12" w:space="0" w:color="FF0000"/>
              <w:left w:val="nil"/>
              <w:bottom w:val="nil"/>
              <w:right w:val="nil"/>
            </w:tcBorders>
            <w:vAlign w:val="center"/>
          </w:tcPr>
          <w:p w14:paraId="5CE33626" w14:textId="77777777" w:rsidR="00B64628" w:rsidRPr="00894701" w:rsidRDefault="00B64628" w:rsidP="00446B8D">
            <w:pPr>
              <w:spacing w:after="0" w:line="240" w:lineRule="auto"/>
              <w:rPr>
                <w:color w:val="auto"/>
                <w:kern w:val="0"/>
                <w:szCs w:val="18"/>
              </w:rPr>
            </w:pPr>
          </w:p>
        </w:tc>
        <w:tc>
          <w:tcPr>
            <w:tcW w:w="3019" w:type="pct"/>
            <w:tcBorders>
              <w:top w:val="single" w:sz="18" w:space="0" w:color="FF0000"/>
              <w:left w:val="nil"/>
              <w:bottom w:val="single" w:sz="18" w:space="0" w:color="FF0000"/>
              <w:right w:val="nil"/>
            </w:tcBorders>
            <w:shd w:val="clear" w:color="auto" w:fill="auto"/>
            <w:noWrap/>
            <w:vAlign w:val="bottom"/>
          </w:tcPr>
          <w:p w14:paraId="13A13197" w14:textId="77777777" w:rsidR="00B64628" w:rsidRPr="00894701" w:rsidRDefault="00B64628" w:rsidP="00446B8D">
            <w:pPr>
              <w:spacing w:after="0" w:line="240" w:lineRule="auto"/>
              <w:contextualSpacing/>
              <w:rPr>
                <w:b/>
                <w:bCs/>
                <w:color w:val="auto"/>
                <w:kern w:val="0"/>
                <w:szCs w:val="18"/>
              </w:rPr>
            </w:pPr>
          </w:p>
          <w:p w14:paraId="29F822E8" w14:textId="77777777" w:rsidR="00B64628" w:rsidRPr="00894701" w:rsidRDefault="00B64628" w:rsidP="00446B8D">
            <w:pPr>
              <w:spacing w:after="0" w:line="240" w:lineRule="auto"/>
              <w:contextualSpacing/>
              <w:rPr>
                <w:color w:val="auto"/>
                <w:kern w:val="0"/>
                <w:szCs w:val="18"/>
              </w:rPr>
            </w:pPr>
            <w:r w:rsidRPr="00894701">
              <w:rPr>
                <w:b/>
                <w:bCs/>
                <w:color w:val="auto"/>
                <w:kern w:val="0"/>
                <w:szCs w:val="18"/>
                <w:u w:val="single"/>
              </w:rPr>
              <w:t>Priority</w:t>
            </w:r>
            <w:r w:rsidRPr="00894701">
              <w:rPr>
                <w:b/>
                <w:bCs/>
                <w:color w:val="auto"/>
                <w:kern w:val="0"/>
                <w:szCs w:val="18"/>
              </w:rPr>
              <w:t>:</w:t>
            </w:r>
            <w:r w:rsidRPr="00894701">
              <w:rPr>
                <w:color w:val="auto"/>
                <w:kern w:val="0"/>
                <w:szCs w:val="18"/>
              </w:rPr>
              <w:t xml:space="preserve"> High</w:t>
            </w:r>
          </w:p>
          <w:p w14:paraId="2F5FE8D6" w14:textId="77777777" w:rsidR="00B1510A" w:rsidRPr="00894701" w:rsidRDefault="00B1510A" w:rsidP="00446B8D">
            <w:pPr>
              <w:spacing w:after="0" w:line="240" w:lineRule="auto"/>
              <w:contextualSpacing/>
              <w:rPr>
                <w:color w:val="auto"/>
                <w:kern w:val="0"/>
                <w:szCs w:val="18"/>
              </w:rPr>
            </w:pPr>
          </w:p>
        </w:tc>
      </w:tr>
      <w:tr w:rsidR="00B64628" w:rsidRPr="00894701" w14:paraId="4D5D53C3" w14:textId="77777777" w:rsidTr="00446B8D">
        <w:trPr>
          <w:trHeight w:val="260"/>
        </w:trPr>
        <w:tc>
          <w:tcPr>
            <w:tcW w:w="1981" w:type="pct"/>
            <w:vMerge/>
            <w:tcBorders>
              <w:top w:val="single" w:sz="12" w:space="0" w:color="FF0000"/>
              <w:left w:val="nil"/>
              <w:bottom w:val="nil"/>
              <w:right w:val="nil"/>
            </w:tcBorders>
            <w:vAlign w:val="center"/>
          </w:tcPr>
          <w:p w14:paraId="3C61DE85" w14:textId="77777777" w:rsidR="00B64628" w:rsidRPr="00894701" w:rsidRDefault="00B64628" w:rsidP="00446B8D">
            <w:pPr>
              <w:spacing w:after="0" w:line="240" w:lineRule="auto"/>
              <w:rPr>
                <w:color w:val="auto"/>
                <w:kern w:val="0"/>
                <w:szCs w:val="18"/>
              </w:rPr>
            </w:pPr>
          </w:p>
        </w:tc>
        <w:tc>
          <w:tcPr>
            <w:tcW w:w="3019" w:type="pct"/>
            <w:tcBorders>
              <w:top w:val="single" w:sz="18" w:space="0" w:color="FF0000"/>
              <w:left w:val="nil"/>
              <w:bottom w:val="single" w:sz="18" w:space="0" w:color="FF0000"/>
              <w:right w:val="nil"/>
            </w:tcBorders>
            <w:shd w:val="clear" w:color="auto" w:fill="auto"/>
          </w:tcPr>
          <w:p w14:paraId="11A262D8" w14:textId="77777777" w:rsidR="00B64628" w:rsidRPr="00894701" w:rsidRDefault="00B64628" w:rsidP="00446B8D">
            <w:pPr>
              <w:spacing w:after="0" w:line="240" w:lineRule="auto"/>
              <w:contextualSpacing/>
              <w:rPr>
                <w:b/>
                <w:bCs/>
                <w:color w:val="auto"/>
                <w:kern w:val="0"/>
                <w:szCs w:val="18"/>
              </w:rPr>
            </w:pPr>
          </w:p>
          <w:p w14:paraId="1DB6B9BC" w14:textId="77777777" w:rsidR="00B64628" w:rsidRPr="00894701" w:rsidRDefault="00B64628" w:rsidP="00446B8D">
            <w:pPr>
              <w:spacing w:after="0" w:line="240" w:lineRule="auto"/>
              <w:contextualSpacing/>
              <w:rPr>
                <w:color w:val="auto"/>
                <w:kern w:val="0"/>
                <w:szCs w:val="18"/>
              </w:rPr>
            </w:pPr>
            <w:r w:rsidRPr="00894701">
              <w:rPr>
                <w:b/>
                <w:bCs/>
                <w:color w:val="auto"/>
                <w:kern w:val="0"/>
                <w:szCs w:val="18"/>
                <w:u w:val="single"/>
              </w:rPr>
              <w:t>Current status</w:t>
            </w:r>
            <w:r w:rsidRPr="00894701">
              <w:rPr>
                <w:b/>
                <w:bCs/>
                <w:color w:val="auto"/>
                <w:kern w:val="0"/>
                <w:szCs w:val="18"/>
              </w:rPr>
              <w:t>:</w:t>
            </w:r>
            <w:r w:rsidRPr="00894701">
              <w:rPr>
                <w:color w:val="auto"/>
                <w:kern w:val="0"/>
                <w:szCs w:val="18"/>
              </w:rPr>
              <w:t xml:space="preserve"> No progress</w:t>
            </w:r>
          </w:p>
          <w:p w14:paraId="06001CCB" w14:textId="77777777" w:rsidR="00B1510A" w:rsidRPr="00894701" w:rsidRDefault="00B1510A" w:rsidP="00446B8D">
            <w:pPr>
              <w:spacing w:after="0" w:line="240" w:lineRule="auto"/>
              <w:contextualSpacing/>
              <w:rPr>
                <w:color w:val="auto"/>
                <w:kern w:val="0"/>
                <w:szCs w:val="18"/>
              </w:rPr>
            </w:pPr>
          </w:p>
        </w:tc>
      </w:tr>
    </w:tbl>
    <w:p w14:paraId="457F6A07" w14:textId="77777777" w:rsidR="00B64628" w:rsidRPr="00894701" w:rsidRDefault="00B64628">
      <w:pPr>
        <w:spacing w:after="0" w:line="240" w:lineRule="auto"/>
        <w:rPr>
          <w:rFonts w:cs="Arial"/>
          <w:sz w:val="20"/>
        </w:rPr>
      </w:pPr>
    </w:p>
    <w:p w14:paraId="35C0DE7C" w14:textId="77777777" w:rsidR="00B64628" w:rsidRPr="00894701" w:rsidRDefault="00B64628">
      <w:pPr>
        <w:spacing w:after="0" w:line="240" w:lineRule="auto"/>
        <w:rPr>
          <w:rFonts w:cs="Arial"/>
          <w:sz w:val="20"/>
        </w:rPr>
      </w:pPr>
      <w:r w:rsidRPr="00894701">
        <w:rPr>
          <w:rFonts w:cs="Arial"/>
          <w:sz w:val="20"/>
        </w:rPr>
        <w:br w:type="page"/>
      </w:r>
    </w:p>
    <w:p w14:paraId="4611DBC8" w14:textId="2A448F38" w:rsidR="006F1FAB" w:rsidRPr="00894701" w:rsidRDefault="006F1FAB">
      <w:pPr>
        <w:spacing w:after="0" w:line="240" w:lineRule="auto"/>
        <w:rPr>
          <w:rFonts w:cs="Arial"/>
          <w:sz w:val="20"/>
        </w:rPr>
      </w:pPr>
      <w:r w:rsidRPr="00894701">
        <w:rPr>
          <w:rFonts w:cs="Arial"/>
          <w:sz w:val="20"/>
        </w:rPr>
        <w:t>Outcomes and impact</w:t>
      </w:r>
      <w:r w:rsidRPr="00894701">
        <w:rPr>
          <w:rFonts w:cs="Arial"/>
          <w:sz w:val="20"/>
        </w:rPr>
        <w:tab/>
      </w:r>
    </w:p>
    <w:p w14:paraId="2337165C" w14:textId="1B321B66" w:rsidR="00CA5C4C" w:rsidRPr="00860520" w:rsidRDefault="0052437D" w:rsidP="00860520">
      <w:pPr>
        <w:spacing w:after="240"/>
        <w:jc w:val="center"/>
        <w:rPr>
          <w:rFonts w:cs="Arial"/>
          <w:color w:val="auto"/>
          <w:sz w:val="20"/>
        </w:rPr>
      </w:pPr>
      <w:bookmarkStart w:id="588" w:name="_Toc146590563"/>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91</w:t>
      </w:r>
      <w:r w:rsidRPr="00894701">
        <w:rPr>
          <w:b/>
          <w:bCs/>
          <w:color w:val="98002E" w:themeColor="accent3"/>
          <w:sz w:val="20"/>
          <w:szCs w:val="20"/>
        </w:rPr>
        <w:fldChar w:fldCharType="end"/>
      </w:r>
      <w:r w:rsidRPr="00894701">
        <w:rPr>
          <w:b/>
          <w:bCs/>
          <w:color w:val="98002E" w:themeColor="accent3"/>
          <w:sz w:val="20"/>
          <w:szCs w:val="20"/>
        </w:rPr>
        <w:t xml:space="preserve">: </w:t>
      </w:r>
      <w:r>
        <w:rPr>
          <w:b/>
          <w:bCs/>
          <w:color w:val="98002E" w:themeColor="accent3"/>
          <w:sz w:val="20"/>
          <w:szCs w:val="20"/>
        </w:rPr>
        <w:t>Recommendation 17</w:t>
      </w:r>
      <w:bookmarkEnd w:id="588"/>
    </w:p>
    <w:tbl>
      <w:tblPr>
        <w:tblW w:w="5000" w:type="pct"/>
        <w:tblLook w:val="04A0" w:firstRow="1" w:lastRow="0" w:firstColumn="1" w:lastColumn="0" w:noHBand="0" w:noVBand="1"/>
      </w:tblPr>
      <w:tblGrid>
        <w:gridCol w:w="5530"/>
        <w:gridCol w:w="8428"/>
      </w:tblGrid>
      <w:tr w:rsidR="00CA5C4C" w:rsidRPr="00894701" w14:paraId="0504F973" w14:textId="77777777" w:rsidTr="00446B8D">
        <w:trPr>
          <w:trHeight w:val="1985"/>
        </w:trPr>
        <w:tc>
          <w:tcPr>
            <w:tcW w:w="1981" w:type="pct"/>
            <w:vMerge w:val="restart"/>
            <w:tcBorders>
              <w:top w:val="single" w:sz="18" w:space="0" w:color="FF0000"/>
              <w:left w:val="nil"/>
              <w:bottom w:val="nil"/>
              <w:right w:val="nil"/>
            </w:tcBorders>
            <w:shd w:val="clear" w:color="auto" w:fill="auto"/>
          </w:tcPr>
          <w:p w14:paraId="39C74513" w14:textId="77777777" w:rsidR="00CA5C4C" w:rsidRPr="00894701" w:rsidRDefault="00CA5C4C" w:rsidP="00446B8D">
            <w:pPr>
              <w:spacing w:after="0" w:line="240" w:lineRule="auto"/>
              <w:contextualSpacing/>
              <w:jc w:val="both"/>
              <w:rPr>
                <w:b/>
                <w:bCs/>
                <w:color w:val="auto"/>
                <w:kern w:val="0"/>
                <w:szCs w:val="18"/>
              </w:rPr>
            </w:pPr>
            <w:bookmarkStart w:id="589" w:name="_Hlk117533017"/>
            <w:r w:rsidRPr="00894701">
              <w:rPr>
                <w:b/>
                <w:bCs/>
                <w:color w:val="auto"/>
                <w:kern w:val="0"/>
                <w:szCs w:val="18"/>
                <w:u w:val="single"/>
              </w:rPr>
              <w:t>Description</w:t>
            </w:r>
            <w:r w:rsidRPr="00894701">
              <w:rPr>
                <w:b/>
                <w:bCs/>
                <w:color w:val="auto"/>
                <w:kern w:val="0"/>
                <w:szCs w:val="18"/>
              </w:rPr>
              <w:t>:</w:t>
            </w:r>
          </w:p>
          <w:p w14:paraId="2CB1C1F2" w14:textId="07799790" w:rsidR="00B1510A" w:rsidRPr="00894701" w:rsidRDefault="009A7249" w:rsidP="00446B8D">
            <w:pPr>
              <w:spacing w:before="60" w:after="60" w:line="240" w:lineRule="auto"/>
              <w:jc w:val="both"/>
              <w:rPr>
                <w:color w:val="auto"/>
                <w:kern w:val="0"/>
                <w:szCs w:val="18"/>
              </w:rPr>
            </w:pPr>
            <w:r w:rsidRPr="00894701">
              <w:rPr>
                <w:color w:val="auto"/>
                <w:kern w:val="0"/>
                <w:szCs w:val="18"/>
              </w:rPr>
              <w:t>In accordance with Requirement 7.1,</w:t>
            </w:r>
          </w:p>
        </w:tc>
        <w:tc>
          <w:tcPr>
            <w:tcW w:w="3019" w:type="pct"/>
            <w:tcBorders>
              <w:top w:val="single" w:sz="18" w:space="0" w:color="FF0000"/>
              <w:left w:val="nil"/>
              <w:bottom w:val="single" w:sz="18" w:space="0" w:color="FF0000"/>
              <w:right w:val="nil"/>
            </w:tcBorders>
            <w:shd w:val="clear" w:color="auto" w:fill="auto"/>
          </w:tcPr>
          <w:p w14:paraId="3A6A24CD" w14:textId="77777777" w:rsidR="00CA5C4C" w:rsidRPr="00894701" w:rsidRDefault="00CA5C4C" w:rsidP="00446B8D">
            <w:pPr>
              <w:spacing w:after="60" w:line="240" w:lineRule="auto"/>
              <w:jc w:val="both"/>
              <w:rPr>
                <w:b/>
                <w:bCs/>
                <w:color w:val="auto"/>
                <w:kern w:val="0"/>
                <w:szCs w:val="18"/>
              </w:rPr>
            </w:pPr>
            <w:r w:rsidRPr="00894701">
              <w:rPr>
                <w:b/>
                <w:bCs/>
                <w:color w:val="auto"/>
                <w:kern w:val="0"/>
                <w:szCs w:val="18"/>
                <w:u w:val="single"/>
              </w:rPr>
              <w:t>Recommended actions</w:t>
            </w:r>
            <w:r w:rsidRPr="00894701">
              <w:rPr>
                <w:b/>
                <w:bCs/>
                <w:color w:val="auto"/>
                <w:kern w:val="0"/>
                <w:szCs w:val="18"/>
              </w:rPr>
              <w:t>:</w:t>
            </w:r>
          </w:p>
          <w:p w14:paraId="151295AE" w14:textId="7E89593A" w:rsidR="00CA5C4C" w:rsidRPr="00894701" w:rsidRDefault="009A7249" w:rsidP="00446B8D">
            <w:pPr>
              <w:spacing w:before="60" w:after="60" w:line="240" w:lineRule="auto"/>
              <w:jc w:val="both"/>
              <w:rPr>
                <w:color w:val="auto"/>
                <w:kern w:val="0"/>
                <w:szCs w:val="18"/>
              </w:rPr>
            </w:pPr>
            <w:r w:rsidRPr="00894701">
              <w:rPr>
                <w:color w:val="auto"/>
                <w:kern w:val="0"/>
                <w:szCs w:val="18"/>
              </w:rPr>
              <w:t>Suriname should ensure that EITI reports are comprehensible, actively promoted, publicly accessible and contribute to public debate. Suriname should ensure timely communication of EITI data and findings, as well as effective outreach to key stakeholders. Outreach events should be undertaken to spread awareness of and facilitate dialogue about EITI disclosures across the country. EITI-SR should adopt an open data policy and ensure that EITI data is available in open format. To strengthen implementation, the MSG may wish to consider linking a clear EITI-SR communications strategy more closely to the work plan and tailoring key messages to sector priorities rather than to EITI implementation more broadly. Suriname is encouraged to explore creative ways to strengthen the EITI’s contribution to public debate and engage with the communities in the hinterland where extractive activities take place. It is recommended that Suriname updates the EITI-SR website</w:t>
            </w:r>
          </w:p>
        </w:tc>
      </w:tr>
      <w:tr w:rsidR="00CA5C4C" w:rsidRPr="00894701" w14:paraId="4D57A3C5" w14:textId="77777777" w:rsidTr="00446B8D">
        <w:trPr>
          <w:trHeight w:val="260"/>
        </w:trPr>
        <w:tc>
          <w:tcPr>
            <w:tcW w:w="1981" w:type="pct"/>
            <w:vMerge/>
            <w:tcBorders>
              <w:top w:val="single" w:sz="12" w:space="0" w:color="FF0000"/>
              <w:left w:val="nil"/>
              <w:bottom w:val="nil"/>
              <w:right w:val="nil"/>
            </w:tcBorders>
            <w:vAlign w:val="center"/>
          </w:tcPr>
          <w:p w14:paraId="2AE25DF6" w14:textId="77777777" w:rsidR="00CA5C4C" w:rsidRPr="00894701" w:rsidRDefault="00CA5C4C" w:rsidP="00446B8D">
            <w:pPr>
              <w:spacing w:after="0" w:line="240" w:lineRule="auto"/>
              <w:rPr>
                <w:color w:val="auto"/>
                <w:kern w:val="0"/>
                <w:szCs w:val="18"/>
              </w:rPr>
            </w:pPr>
          </w:p>
        </w:tc>
        <w:tc>
          <w:tcPr>
            <w:tcW w:w="3019" w:type="pct"/>
            <w:tcBorders>
              <w:top w:val="single" w:sz="18" w:space="0" w:color="FF0000"/>
              <w:left w:val="nil"/>
              <w:bottom w:val="single" w:sz="18" w:space="0" w:color="FF0000"/>
              <w:right w:val="nil"/>
            </w:tcBorders>
            <w:shd w:val="clear" w:color="auto" w:fill="auto"/>
            <w:noWrap/>
            <w:vAlign w:val="bottom"/>
          </w:tcPr>
          <w:p w14:paraId="493B6E26" w14:textId="77777777" w:rsidR="00CA5C4C" w:rsidRPr="00894701" w:rsidRDefault="00CA5C4C" w:rsidP="00446B8D">
            <w:pPr>
              <w:spacing w:after="0" w:line="240" w:lineRule="auto"/>
              <w:contextualSpacing/>
              <w:rPr>
                <w:b/>
                <w:bCs/>
                <w:color w:val="auto"/>
                <w:kern w:val="0"/>
                <w:szCs w:val="18"/>
              </w:rPr>
            </w:pPr>
          </w:p>
          <w:p w14:paraId="07FD8219" w14:textId="2846E2F9" w:rsidR="00CA5C4C" w:rsidRPr="00894701" w:rsidRDefault="00CA5C4C" w:rsidP="00446B8D">
            <w:pPr>
              <w:spacing w:after="0" w:line="240" w:lineRule="auto"/>
              <w:contextualSpacing/>
              <w:rPr>
                <w:color w:val="auto"/>
                <w:kern w:val="0"/>
                <w:szCs w:val="18"/>
              </w:rPr>
            </w:pPr>
            <w:r w:rsidRPr="00894701">
              <w:rPr>
                <w:b/>
                <w:bCs/>
                <w:color w:val="auto"/>
                <w:kern w:val="0"/>
                <w:szCs w:val="18"/>
                <w:u w:val="single"/>
              </w:rPr>
              <w:t>Related agencies</w:t>
            </w:r>
            <w:r w:rsidRPr="00894701">
              <w:rPr>
                <w:b/>
                <w:bCs/>
                <w:color w:val="auto"/>
                <w:kern w:val="0"/>
                <w:szCs w:val="18"/>
              </w:rPr>
              <w:t>:</w:t>
            </w:r>
            <w:r w:rsidRPr="00894701">
              <w:rPr>
                <w:color w:val="auto"/>
                <w:kern w:val="0"/>
                <w:szCs w:val="18"/>
              </w:rPr>
              <w:t xml:space="preserve"> </w:t>
            </w:r>
            <w:r w:rsidR="00B27294" w:rsidRPr="00894701">
              <w:rPr>
                <w:color w:val="auto"/>
                <w:kern w:val="0"/>
                <w:szCs w:val="18"/>
              </w:rPr>
              <w:t>MSG</w:t>
            </w:r>
          </w:p>
          <w:p w14:paraId="2374A7D7" w14:textId="77777777" w:rsidR="00B1510A" w:rsidRPr="00894701" w:rsidRDefault="00B1510A" w:rsidP="00446B8D">
            <w:pPr>
              <w:spacing w:after="0" w:line="240" w:lineRule="auto"/>
              <w:contextualSpacing/>
              <w:rPr>
                <w:color w:val="auto"/>
                <w:kern w:val="0"/>
                <w:szCs w:val="18"/>
              </w:rPr>
            </w:pPr>
          </w:p>
        </w:tc>
      </w:tr>
      <w:tr w:rsidR="00CA5C4C" w:rsidRPr="00894701" w14:paraId="3E9BC87B" w14:textId="77777777" w:rsidTr="00446B8D">
        <w:trPr>
          <w:trHeight w:val="260"/>
        </w:trPr>
        <w:tc>
          <w:tcPr>
            <w:tcW w:w="1981" w:type="pct"/>
            <w:vMerge/>
            <w:tcBorders>
              <w:top w:val="single" w:sz="12" w:space="0" w:color="FF0000"/>
              <w:left w:val="nil"/>
              <w:bottom w:val="nil"/>
              <w:right w:val="nil"/>
            </w:tcBorders>
            <w:vAlign w:val="center"/>
          </w:tcPr>
          <w:p w14:paraId="36328D0A" w14:textId="77777777" w:rsidR="00CA5C4C" w:rsidRPr="00894701" w:rsidRDefault="00CA5C4C" w:rsidP="00446B8D">
            <w:pPr>
              <w:spacing w:after="0" w:line="240" w:lineRule="auto"/>
              <w:rPr>
                <w:color w:val="auto"/>
                <w:kern w:val="0"/>
                <w:szCs w:val="18"/>
              </w:rPr>
            </w:pPr>
          </w:p>
        </w:tc>
        <w:tc>
          <w:tcPr>
            <w:tcW w:w="3019" w:type="pct"/>
            <w:tcBorders>
              <w:top w:val="single" w:sz="18" w:space="0" w:color="FF0000"/>
              <w:left w:val="nil"/>
              <w:bottom w:val="single" w:sz="18" w:space="0" w:color="FF0000"/>
              <w:right w:val="nil"/>
            </w:tcBorders>
            <w:shd w:val="clear" w:color="auto" w:fill="auto"/>
            <w:noWrap/>
            <w:vAlign w:val="bottom"/>
          </w:tcPr>
          <w:p w14:paraId="4C59959E" w14:textId="77777777" w:rsidR="00CA5C4C" w:rsidRPr="00894701" w:rsidRDefault="00CA5C4C" w:rsidP="00446B8D">
            <w:pPr>
              <w:spacing w:after="0" w:line="240" w:lineRule="auto"/>
              <w:contextualSpacing/>
              <w:rPr>
                <w:b/>
                <w:bCs/>
                <w:color w:val="auto"/>
                <w:kern w:val="0"/>
                <w:szCs w:val="18"/>
              </w:rPr>
            </w:pPr>
          </w:p>
          <w:p w14:paraId="23CDB833" w14:textId="77777777" w:rsidR="00CA5C4C" w:rsidRPr="00894701" w:rsidRDefault="00CA5C4C" w:rsidP="00446B8D">
            <w:pPr>
              <w:spacing w:after="0" w:line="240" w:lineRule="auto"/>
              <w:contextualSpacing/>
              <w:rPr>
                <w:color w:val="auto"/>
                <w:kern w:val="0"/>
                <w:szCs w:val="18"/>
              </w:rPr>
            </w:pPr>
            <w:r w:rsidRPr="00894701">
              <w:rPr>
                <w:b/>
                <w:bCs/>
                <w:color w:val="auto"/>
                <w:kern w:val="0"/>
                <w:szCs w:val="18"/>
                <w:u w:val="single"/>
              </w:rPr>
              <w:t>Priority</w:t>
            </w:r>
            <w:r w:rsidRPr="00894701">
              <w:rPr>
                <w:b/>
                <w:bCs/>
                <w:color w:val="auto"/>
                <w:kern w:val="0"/>
                <w:szCs w:val="18"/>
              </w:rPr>
              <w:t>:</w:t>
            </w:r>
            <w:r w:rsidRPr="00894701">
              <w:rPr>
                <w:color w:val="auto"/>
                <w:kern w:val="0"/>
                <w:szCs w:val="18"/>
              </w:rPr>
              <w:t xml:space="preserve"> High</w:t>
            </w:r>
          </w:p>
          <w:p w14:paraId="2620424A" w14:textId="77777777" w:rsidR="00B1510A" w:rsidRPr="00894701" w:rsidRDefault="00B1510A" w:rsidP="00446B8D">
            <w:pPr>
              <w:spacing w:after="0" w:line="240" w:lineRule="auto"/>
              <w:contextualSpacing/>
              <w:rPr>
                <w:color w:val="auto"/>
                <w:kern w:val="0"/>
                <w:szCs w:val="18"/>
              </w:rPr>
            </w:pPr>
          </w:p>
        </w:tc>
      </w:tr>
      <w:tr w:rsidR="00CA5C4C" w:rsidRPr="00894701" w14:paraId="18478DE7" w14:textId="77777777" w:rsidTr="00446B8D">
        <w:trPr>
          <w:trHeight w:val="260"/>
        </w:trPr>
        <w:tc>
          <w:tcPr>
            <w:tcW w:w="1981" w:type="pct"/>
            <w:vMerge/>
            <w:tcBorders>
              <w:top w:val="single" w:sz="12" w:space="0" w:color="FF0000"/>
              <w:left w:val="nil"/>
              <w:bottom w:val="nil"/>
              <w:right w:val="nil"/>
            </w:tcBorders>
            <w:vAlign w:val="center"/>
          </w:tcPr>
          <w:p w14:paraId="7966E7FA" w14:textId="77777777" w:rsidR="00CA5C4C" w:rsidRPr="00894701" w:rsidRDefault="00CA5C4C" w:rsidP="00446B8D">
            <w:pPr>
              <w:spacing w:after="0" w:line="240" w:lineRule="auto"/>
              <w:rPr>
                <w:color w:val="auto"/>
                <w:kern w:val="0"/>
                <w:szCs w:val="18"/>
              </w:rPr>
            </w:pPr>
          </w:p>
        </w:tc>
        <w:tc>
          <w:tcPr>
            <w:tcW w:w="3019" w:type="pct"/>
            <w:tcBorders>
              <w:top w:val="single" w:sz="18" w:space="0" w:color="FF0000"/>
              <w:left w:val="nil"/>
              <w:bottom w:val="single" w:sz="18" w:space="0" w:color="FF0000"/>
              <w:right w:val="nil"/>
            </w:tcBorders>
            <w:shd w:val="clear" w:color="auto" w:fill="auto"/>
          </w:tcPr>
          <w:p w14:paraId="7BDE6517" w14:textId="77777777" w:rsidR="00CA5C4C" w:rsidRPr="00894701" w:rsidRDefault="00CA5C4C" w:rsidP="00446B8D">
            <w:pPr>
              <w:spacing w:after="0" w:line="240" w:lineRule="auto"/>
              <w:contextualSpacing/>
              <w:rPr>
                <w:b/>
                <w:bCs/>
                <w:color w:val="auto"/>
                <w:kern w:val="0"/>
                <w:szCs w:val="18"/>
              </w:rPr>
            </w:pPr>
          </w:p>
          <w:p w14:paraId="1DD92C8D" w14:textId="77777777" w:rsidR="00CA5C4C" w:rsidRPr="00894701" w:rsidRDefault="00CA5C4C" w:rsidP="00446B8D">
            <w:pPr>
              <w:spacing w:after="0" w:line="240" w:lineRule="auto"/>
              <w:contextualSpacing/>
              <w:rPr>
                <w:color w:val="auto"/>
                <w:kern w:val="0"/>
                <w:szCs w:val="18"/>
              </w:rPr>
            </w:pPr>
            <w:r w:rsidRPr="00894701">
              <w:rPr>
                <w:b/>
                <w:bCs/>
                <w:color w:val="auto"/>
                <w:kern w:val="0"/>
                <w:szCs w:val="18"/>
                <w:u w:val="single"/>
              </w:rPr>
              <w:t>Current status</w:t>
            </w:r>
            <w:r w:rsidRPr="00894701">
              <w:rPr>
                <w:b/>
                <w:bCs/>
                <w:color w:val="auto"/>
                <w:kern w:val="0"/>
                <w:szCs w:val="18"/>
              </w:rPr>
              <w:t>:</w:t>
            </w:r>
            <w:r w:rsidRPr="00894701">
              <w:rPr>
                <w:color w:val="auto"/>
                <w:kern w:val="0"/>
                <w:szCs w:val="18"/>
              </w:rPr>
              <w:t xml:space="preserve"> No progress</w:t>
            </w:r>
          </w:p>
          <w:p w14:paraId="2F8EE72E" w14:textId="77777777" w:rsidR="00B1510A" w:rsidRPr="00894701" w:rsidRDefault="00B1510A" w:rsidP="00446B8D">
            <w:pPr>
              <w:spacing w:after="0" w:line="240" w:lineRule="auto"/>
              <w:contextualSpacing/>
              <w:rPr>
                <w:color w:val="auto"/>
                <w:kern w:val="0"/>
                <w:szCs w:val="18"/>
              </w:rPr>
            </w:pPr>
          </w:p>
        </w:tc>
      </w:tr>
      <w:bookmarkEnd w:id="589"/>
    </w:tbl>
    <w:p w14:paraId="711AA399" w14:textId="77777777" w:rsidR="00B27294" w:rsidRPr="00894701" w:rsidRDefault="00B27294">
      <w:pPr>
        <w:spacing w:after="0" w:line="240" w:lineRule="auto"/>
        <w:rPr>
          <w:rFonts w:cs="Arial"/>
          <w:sz w:val="20"/>
        </w:rPr>
      </w:pPr>
    </w:p>
    <w:p w14:paraId="5E87E8B8" w14:textId="77777777" w:rsidR="00B27294" w:rsidRDefault="00B27294">
      <w:pPr>
        <w:spacing w:after="0" w:line="240" w:lineRule="auto"/>
        <w:rPr>
          <w:rFonts w:cs="Arial"/>
          <w:sz w:val="20"/>
        </w:rPr>
      </w:pPr>
      <w:r w:rsidRPr="00894701">
        <w:rPr>
          <w:rFonts w:cs="Arial"/>
          <w:sz w:val="20"/>
        </w:rPr>
        <w:br w:type="page"/>
      </w:r>
    </w:p>
    <w:p w14:paraId="039A2949" w14:textId="63D344F3" w:rsidR="0052437D" w:rsidRPr="00860520" w:rsidRDefault="0052437D" w:rsidP="00860520">
      <w:pPr>
        <w:spacing w:after="240"/>
        <w:jc w:val="center"/>
        <w:rPr>
          <w:rFonts w:cs="Arial"/>
          <w:color w:val="auto"/>
          <w:sz w:val="20"/>
        </w:rPr>
      </w:pPr>
      <w:bookmarkStart w:id="590" w:name="_Toc146590564"/>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92</w:t>
      </w:r>
      <w:r w:rsidRPr="00894701">
        <w:rPr>
          <w:b/>
          <w:bCs/>
          <w:color w:val="98002E" w:themeColor="accent3"/>
          <w:sz w:val="20"/>
          <w:szCs w:val="20"/>
        </w:rPr>
        <w:fldChar w:fldCharType="end"/>
      </w:r>
      <w:r w:rsidRPr="00894701">
        <w:rPr>
          <w:b/>
          <w:bCs/>
          <w:color w:val="98002E" w:themeColor="accent3"/>
          <w:sz w:val="20"/>
          <w:szCs w:val="20"/>
        </w:rPr>
        <w:t xml:space="preserve">: </w:t>
      </w:r>
      <w:r>
        <w:rPr>
          <w:b/>
          <w:bCs/>
          <w:color w:val="98002E" w:themeColor="accent3"/>
          <w:sz w:val="20"/>
          <w:szCs w:val="20"/>
        </w:rPr>
        <w:t>Recommendation 18</w:t>
      </w:r>
      <w:bookmarkEnd w:id="590"/>
    </w:p>
    <w:tbl>
      <w:tblPr>
        <w:tblW w:w="5000" w:type="pct"/>
        <w:tblLook w:val="04A0" w:firstRow="1" w:lastRow="0" w:firstColumn="1" w:lastColumn="0" w:noHBand="0" w:noVBand="1"/>
      </w:tblPr>
      <w:tblGrid>
        <w:gridCol w:w="5530"/>
        <w:gridCol w:w="8428"/>
      </w:tblGrid>
      <w:tr w:rsidR="00B27294" w:rsidRPr="00894701" w14:paraId="5AEAB5E2" w14:textId="77777777" w:rsidTr="00446B8D">
        <w:trPr>
          <w:trHeight w:val="1985"/>
        </w:trPr>
        <w:tc>
          <w:tcPr>
            <w:tcW w:w="1981" w:type="pct"/>
            <w:vMerge w:val="restart"/>
            <w:tcBorders>
              <w:top w:val="single" w:sz="18" w:space="0" w:color="FF0000"/>
              <w:left w:val="nil"/>
              <w:bottom w:val="nil"/>
              <w:right w:val="nil"/>
            </w:tcBorders>
            <w:shd w:val="clear" w:color="auto" w:fill="auto"/>
          </w:tcPr>
          <w:p w14:paraId="3E367FB2" w14:textId="77777777" w:rsidR="00B27294" w:rsidRPr="00894701" w:rsidRDefault="00B27294" w:rsidP="00446B8D">
            <w:pPr>
              <w:spacing w:after="0" w:line="240" w:lineRule="auto"/>
              <w:contextualSpacing/>
              <w:jc w:val="both"/>
              <w:rPr>
                <w:b/>
                <w:bCs/>
                <w:color w:val="auto"/>
                <w:kern w:val="0"/>
                <w:szCs w:val="18"/>
              </w:rPr>
            </w:pPr>
            <w:r w:rsidRPr="00894701">
              <w:rPr>
                <w:b/>
                <w:bCs/>
                <w:color w:val="auto"/>
                <w:kern w:val="0"/>
                <w:szCs w:val="18"/>
                <w:u w:val="single"/>
              </w:rPr>
              <w:t>Description</w:t>
            </w:r>
            <w:r w:rsidRPr="00894701">
              <w:rPr>
                <w:b/>
                <w:bCs/>
                <w:color w:val="auto"/>
                <w:kern w:val="0"/>
                <w:szCs w:val="18"/>
              </w:rPr>
              <w:t>:</w:t>
            </w:r>
          </w:p>
          <w:p w14:paraId="4BCD92E0" w14:textId="48D7CB57" w:rsidR="00B1510A" w:rsidRPr="00894701" w:rsidRDefault="00FD51B8" w:rsidP="00446B8D">
            <w:pPr>
              <w:spacing w:before="60" w:after="60" w:line="240" w:lineRule="auto"/>
              <w:jc w:val="both"/>
              <w:rPr>
                <w:color w:val="auto"/>
                <w:kern w:val="0"/>
                <w:szCs w:val="18"/>
              </w:rPr>
            </w:pPr>
            <w:r w:rsidRPr="00894701">
              <w:rPr>
                <w:color w:val="auto"/>
                <w:kern w:val="0"/>
                <w:szCs w:val="18"/>
              </w:rPr>
              <w:t>In accordance with Requirement 7.3</w:t>
            </w:r>
          </w:p>
        </w:tc>
        <w:tc>
          <w:tcPr>
            <w:tcW w:w="3019" w:type="pct"/>
            <w:tcBorders>
              <w:top w:val="single" w:sz="18" w:space="0" w:color="FF0000"/>
              <w:left w:val="nil"/>
              <w:bottom w:val="single" w:sz="18" w:space="0" w:color="FF0000"/>
              <w:right w:val="nil"/>
            </w:tcBorders>
            <w:shd w:val="clear" w:color="auto" w:fill="auto"/>
          </w:tcPr>
          <w:p w14:paraId="28887298" w14:textId="77777777" w:rsidR="00B27294" w:rsidRPr="00894701" w:rsidRDefault="00B27294" w:rsidP="00446B8D">
            <w:pPr>
              <w:spacing w:after="60" w:line="240" w:lineRule="auto"/>
              <w:jc w:val="both"/>
              <w:rPr>
                <w:b/>
                <w:bCs/>
                <w:color w:val="auto"/>
                <w:kern w:val="0"/>
                <w:szCs w:val="18"/>
              </w:rPr>
            </w:pPr>
            <w:r w:rsidRPr="00894701">
              <w:rPr>
                <w:b/>
                <w:bCs/>
                <w:color w:val="auto"/>
                <w:kern w:val="0"/>
                <w:szCs w:val="18"/>
                <w:u w:val="single"/>
              </w:rPr>
              <w:t>Recommended actions</w:t>
            </w:r>
            <w:r w:rsidRPr="00894701">
              <w:rPr>
                <w:b/>
                <w:bCs/>
                <w:color w:val="auto"/>
                <w:kern w:val="0"/>
                <w:szCs w:val="18"/>
              </w:rPr>
              <w:t>:</w:t>
            </w:r>
          </w:p>
          <w:p w14:paraId="15A0F52E" w14:textId="386A2603" w:rsidR="00B27294" w:rsidRPr="00894701" w:rsidRDefault="00FD51B8" w:rsidP="00446B8D">
            <w:pPr>
              <w:spacing w:before="60" w:after="60" w:line="240" w:lineRule="auto"/>
              <w:jc w:val="both"/>
              <w:rPr>
                <w:color w:val="auto"/>
                <w:kern w:val="0"/>
                <w:szCs w:val="18"/>
              </w:rPr>
            </w:pPr>
            <w:r w:rsidRPr="00894701">
              <w:rPr>
                <w:color w:val="auto"/>
                <w:kern w:val="0"/>
                <w:szCs w:val="18"/>
              </w:rPr>
              <w:t>Suriname is required to take steps to act upon lessons learnt with a view to strengthen</w:t>
            </w:r>
            <w:r w:rsidR="00A8010E">
              <w:rPr>
                <w:color w:val="auto"/>
                <w:kern w:val="0"/>
                <w:szCs w:val="18"/>
              </w:rPr>
              <w:t>ing</w:t>
            </w:r>
            <w:r w:rsidRPr="00894701">
              <w:rPr>
                <w:color w:val="auto"/>
                <w:kern w:val="0"/>
                <w:szCs w:val="18"/>
              </w:rPr>
              <w:t xml:space="preserve"> the impact of EITI implementation on natural resource governance. </w:t>
            </w:r>
            <w:r w:rsidR="0002752E" w:rsidRPr="00894701">
              <w:rPr>
                <w:color w:val="auto"/>
                <w:kern w:val="0"/>
                <w:szCs w:val="18"/>
              </w:rPr>
              <w:t>Suriname</w:t>
            </w:r>
            <w:r w:rsidRPr="00894701">
              <w:rPr>
                <w:color w:val="auto"/>
                <w:kern w:val="0"/>
                <w:szCs w:val="18"/>
              </w:rPr>
              <w:t xml:space="preserve"> should consider improving its procedures to analyse and follow-up on the recommendations resulting from EITI reporting</w:t>
            </w:r>
            <w:r w:rsidR="0002752E">
              <w:rPr>
                <w:color w:val="auto"/>
                <w:kern w:val="0"/>
                <w:szCs w:val="18"/>
              </w:rPr>
              <w:t>,</w:t>
            </w:r>
            <w:r w:rsidRPr="00894701">
              <w:rPr>
                <w:color w:val="auto"/>
                <w:kern w:val="0"/>
                <w:szCs w:val="18"/>
              </w:rPr>
              <w:t xml:space="preserve"> making use of tools established in its own ToRs such as the subcommittees.</w:t>
            </w:r>
          </w:p>
        </w:tc>
      </w:tr>
      <w:tr w:rsidR="00B27294" w:rsidRPr="00894701" w14:paraId="70A91F9B" w14:textId="77777777" w:rsidTr="00446B8D">
        <w:trPr>
          <w:trHeight w:val="260"/>
        </w:trPr>
        <w:tc>
          <w:tcPr>
            <w:tcW w:w="1981" w:type="pct"/>
            <w:vMerge/>
            <w:tcBorders>
              <w:top w:val="single" w:sz="12" w:space="0" w:color="FF0000"/>
              <w:left w:val="nil"/>
              <w:bottom w:val="nil"/>
              <w:right w:val="nil"/>
            </w:tcBorders>
            <w:vAlign w:val="center"/>
          </w:tcPr>
          <w:p w14:paraId="79508693" w14:textId="77777777" w:rsidR="00B27294" w:rsidRPr="00894701" w:rsidRDefault="00B27294" w:rsidP="00446B8D">
            <w:pPr>
              <w:spacing w:after="0" w:line="240" w:lineRule="auto"/>
              <w:rPr>
                <w:color w:val="auto"/>
                <w:kern w:val="0"/>
                <w:szCs w:val="18"/>
              </w:rPr>
            </w:pPr>
          </w:p>
        </w:tc>
        <w:tc>
          <w:tcPr>
            <w:tcW w:w="3019" w:type="pct"/>
            <w:tcBorders>
              <w:top w:val="single" w:sz="18" w:space="0" w:color="FF0000"/>
              <w:left w:val="nil"/>
              <w:bottom w:val="single" w:sz="18" w:space="0" w:color="FF0000"/>
              <w:right w:val="nil"/>
            </w:tcBorders>
            <w:shd w:val="clear" w:color="auto" w:fill="auto"/>
            <w:noWrap/>
            <w:vAlign w:val="bottom"/>
          </w:tcPr>
          <w:p w14:paraId="2147AFB0" w14:textId="77777777" w:rsidR="00B27294" w:rsidRPr="00894701" w:rsidRDefault="00B27294" w:rsidP="00446B8D">
            <w:pPr>
              <w:spacing w:after="0" w:line="240" w:lineRule="auto"/>
              <w:contextualSpacing/>
              <w:rPr>
                <w:b/>
                <w:bCs/>
                <w:color w:val="auto"/>
                <w:kern w:val="0"/>
                <w:szCs w:val="18"/>
              </w:rPr>
            </w:pPr>
          </w:p>
          <w:p w14:paraId="562BB732" w14:textId="77777777" w:rsidR="00B27294" w:rsidRPr="00894701" w:rsidRDefault="00B27294" w:rsidP="00446B8D">
            <w:pPr>
              <w:spacing w:after="0" w:line="240" w:lineRule="auto"/>
              <w:contextualSpacing/>
              <w:rPr>
                <w:color w:val="auto"/>
                <w:kern w:val="0"/>
                <w:szCs w:val="18"/>
              </w:rPr>
            </w:pPr>
            <w:r w:rsidRPr="00894701">
              <w:rPr>
                <w:b/>
                <w:bCs/>
                <w:color w:val="auto"/>
                <w:kern w:val="0"/>
                <w:szCs w:val="18"/>
                <w:u w:val="single"/>
              </w:rPr>
              <w:t>Related agencies</w:t>
            </w:r>
            <w:r w:rsidRPr="00894701">
              <w:rPr>
                <w:b/>
                <w:bCs/>
                <w:color w:val="auto"/>
                <w:kern w:val="0"/>
                <w:szCs w:val="18"/>
              </w:rPr>
              <w:t>:</w:t>
            </w:r>
            <w:r w:rsidRPr="00894701">
              <w:rPr>
                <w:color w:val="auto"/>
                <w:kern w:val="0"/>
                <w:szCs w:val="18"/>
              </w:rPr>
              <w:t xml:space="preserve"> MSG with assistance of the SEITI Secretariat</w:t>
            </w:r>
          </w:p>
          <w:p w14:paraId="661FE535" w14:textId="77777777" w:rsidR="00B1510A" w:rsidRPr="00894701" w:rsidRDefault="00B1510A" w:rsidP="00446B8D">
            <w:pPr>
              <w:spacing w:after="0" w:line="240" w:lineRule="auto"/>
              <w:contextualSpacing/>
              <w:rPr>
                <w:color w:val="auto"/>
                <w:kern w:val="0"/>
                <w:szCs w:val="18"/>
              </w:rPr>
            </w:pPr>
          </w:p>
        </w:tc>
      </w:tr>
      <w:tr w:rsidR="00B27294" w:rsidRPr="00894701" w14:paraId="4096D8E0" w14:textId="77777777" w:rsidTr="00446B8D">
        <w:trPr>
          <w:trHeight w:val="260"/>
        </w:trPr>
        <w:tc>
          <w:tcPr>
            <w:tcW w:w="1981" w:type="pct"/>
            <w:vMerge/>
            <w:tcBorders>
              <w:top w:val="single" w:sz="12" w:space="0" w:color="FF0000"/>
              <w:left w:val="nil"/>
              <w:bottom w:val="nil"/>
              <w:right w:val="nil"/>
            </w:tcBorders>
            <w:vAlign w:val="center"/>
          </w:tcPr>
          <w:p w14:paraId="232E7918" w14:textId="77777777" w:rsidR="00B27294" w:rsidRPr="00894701" w:rsidRDefault="00B27294" w:rsidP="00446B8D">
            <w:pPr>
              <w:spacing w:after="0" w:line="240" w:lineRule="auto"/>
              <w:rPr>
                <w:color w:val="auto"/>
                <w:kern w:val="0"/>
                <w:szCs w:val="18"/>
              </w:rPr>
            </w:pPr>
          </w:p>
        </w:tc>
        <w:tc>
          <w:tcPr>
            <w:tcW w:w="3019" w:type="pct"/>
            <w:tcBorders>
              <w:top w:val="single" w:sz="18" w:space="0" w:color="FF0000"/>
              <w:left w:val="nil"/>
              <w:bottom w:val="single" w:sz="18" w:space="0" w:color="FF0000"/>
              <w:right w:val="nil"/>
            </w:tcBorders>
            <w:shd w:val="clear" w:color="auto" w:fill="auto"/>
            <w:noWrap/>
            <w:vAlign w:val="bottom"/>
          </w:tcPr>
          <w:p w14:paraId="48E843E4" w14:textId="77777777" w:rsidR="00B27294" w:rsidRPr="00894701" w:rsidRDefault="00B27294" w:rsidP="00446B8D">
            <w:pPr>
              <w:spacing w:after="0" w:line="240" w:lineRule="auto"/>
              <w:contextualSpacing/>
              <w:rPr>
                <w:b/>
                <w:bCs/>
                <w:color w:val="auto"/>
                <w:kern w:val="0"/>
                <w:szCs w:val="18"/>
              </w:rPr>
            </w:pPr>
          </w:p>
          <w:p w14:paraId="1181682F" w14:textId="77777777" w:rsidR="00B27294" w:rsidRPr="00894701" w:rsidRDefault="00B27294" w:rsidP="00446B8D">
            <w:pPr>
              <w:spacing w:after="0" w:line="240" w:lineRule="auto"/>
              <w:contextualSpacing/>
              <w:rPr>
                <w:color w:val="auto"/>
                <w:kern w:val="0"/>
                <w:szCs w:val="18"/>
              </w:rPr>
            </w:pPr>
            <w:r w:rsidRPr="00894701">
              <w:rPr>
                <w:b/>
                <w:bCs/>
                <w:color w:val="auto"/>
                <w:kern w:val="0"/>
                <w:szCs w:val="18"/>
                <w:u w:val="single"/>
              </w:rPr>
              <w:t>Priority</w:t>
            </w:r>
            <w:r w:rsidRPr="00894701">
              <w:rPr>
                <w:b/>
                <w:bCs/>
                <w:color w:val="auto"/>
                <w:kern w:val="0"/>
                <w:szCs w:val="18"/>
              </w:rPr>
              <w:t>:</w:t>
            </w:r>
            <w:r w:rsidRPr="00894701">
              <w:rPr>
                <w:color w:val="auto"/>
                <w:kern w:val="0"/>
                <w:szCs w:val="18"/>
              </w:rPr>
              <w:t xml:space="preserve"> High</w:t>
            </w:r>
          </w:p>
          <w:p w14:paraId="2C868B32" w14:textId="77777777" w:rsidR="00B1510A" w:rsidRPr="00894701" w:rsidRDefault="00B1510A" w:rsidP="00446B8D">
            <w:pPr>
              <w:spacing w:after="0" w:line="240" w:lineRule="auto"/>
              <w:contextualSpacing/>
              <w:rPr>
                <w:color w:val="auto"/>
                <w:kern w:val="0"/>
                <w:szCs w:val="18"/>
              </w:rPr>
            </w:pPr>
          </w:p>
        </w:tc>
      </w:tr>
      <w:tr w:rsidR="00B27294" w:rsidRPr="00894701" w14:paraId="411D195F" w14:textId="77777777" w:rsidTr="00446B8D">
        <w:trPr>
          <w:trHeight w:val="260"/>
        </w:trPr>
        <w:tc>
          <w:tcPr>
            <w:tcW w:w="1981" w:type="pct"/>
            <w:vMerge/>
            <w:tcBorders>
              <w:top w:val="single" w:sz="12" w:space="0" w:color="FF0000"/>
              <w:left w:val="nil"/>
              <w:bottom w:val="nil"/>
              <w:right w:val="nil"/>
            </w:tcBorders>
            <w:vAlign w:val="center"/>
          </w:tcPr>
          <w:p w14:paraId="760AEFCD" w14:textId="77777777" w:rsidR="00B27294" w:rsidRPr="00894701" w:rsidRDefault="00B27294" w:rsidP="00446B8D">
            <w:pPr>
              <w:spacing w:after="0" w:line="240" w:lineRule="auto"/>
              <w:rPr>
                <w:color w:val="auto"/>
                <w:kern w:val="0"/>
                <w:szCs w:val="18"/>
              </w:rPr>
            </w:pPr>
          </w:p>
        </w:tc>
        <w:tc>
          <w:tcPr>
            <w:tcW w:w="3019" w:type="pct"/>
            <w:tcBorders>
              <w:top w:val="single" w:sz="18" w:space="0" w:color="FF0000"/>
              <w:left w:val="nil"/>
              <w:bottom w:val="single" w:sz="18" w:space="0" w:color="FF0000"/>
              <w:right w:val="nil"/>
            </w:tcBorders>
            <w:shd w:val="clear" w:color="auto" w:fill="auto"/>
          </w:tcPr>
          <w:p w14:paraId="1C9E70EE" w14:textId="77777777" w:rsidR="00B27294" w:rsidRPr="00894701" w:rsidRDefault="00B27294" w:rsidP="00446B8D">
            <w:pPr>
              <w:spacing w:after="0" w:line="240" w:lineRule="auto"/>
              <w:contextualSpacing/>
              <w:rPr>
                <w:b/>
                <w:bCs/>
                <w:color w:val="auto"/>
                <w:kern w:val="0"/>
                <w:szCs w:val="18"/>
              </w:rPr>
            </w:pPr>
          </w:p>
          <w:p w14:paraId="055F0BD8" w14:textId="77777777" w:rsidR="00B27294" w:rsidRPr="00894701" w:rsidRDefault="00B27294" w:rsidP="00446B8D">
            <w:pPr>
              <w:spacing w:after="0" w:line="240" w:lineRule="auto"/>
              <w:contextualSpacing/>
              <w:rPr>
                <w:color w:val="auto"/>
                <w:kern w:val="0"/>
                <w:szCs w:val="18"/>
              </w:rPr>
            </w:pPr>
            <w:r w:rsidRPr="00894701">
              <w:rPr>
                <w:b/>
                <w:bCs/>
                <w:color w:val="auto"/>
                <w:kern w:val="0"/>
                <w:szCs w:val="18"/>
                <w:u w:val="single"/>
              </w:rPr>
              <w:t>Current status</w:t>
            </w:r>
            <w:r w:rsidRPr="00894701">
              <w:rPr>
                <w:b/>
                <w:bCs/>
                <w:color w:val="auto"/>
                <w:kern w:val="0"/>
                <w:szCs w:val="18"/>
              </w:rPr>
              <w:t>:</w:t>
            </w:r>
            <w:r w:rsidRPr="00894701">
              <w:rPr>
                <w:color w:val="auto"/>
                <w:kern w:val="0"/>
                <w:szCs w:val="18"/>
              </w:rPr>
              <w:t xml:space="preserve"> No progress</w:t>
            </w:r>
          </w:p>
          <w:p w14:paraId="2A56057B" w14:textId="77777777" w:rsidR="00B1510A" w:rsidRPr="00894701" w:rsidRDefault="00B1510A" w:rsidP="00446B8D">
            <w:pPr>
              <w:spacing w:after="0" w:line="240" w:lineRule="auto"/>
              <w:contextualSpacing/>
              <w:rPr>
                <w:color w:val="auto"/>
                <w:kern w:val="0"/>
                <w:szCs w:val="18"/>
              </w:rPr>
            </w:pPr>
          </w:p>
        </w:tc>
      </w:tr>
    </w:tbl>
    <w:p w14:paraId="15DF5866" w14:textId="77777777" w:rsidR="00FA4AFC" w:rsidRDefault="00B64628">
      <w:pPr>
        <w:spacing w:after="0" w:line="240" w:lineRule="auto"/>
        <w:rPr>
          <w:rFonts w:cs="Arial"/>
          <w:sz w:val="20"/>
        </w:rPr>
      </w:pPr>
      <w:r w:rsidRPr="00894701">
        <w:rPr>
          <w:rFonts w:cs="Arial"/>
          <w:sz w:val="20"/>
        </w:rPr>
        <w:br w:type="page"/>
      </w:r>
    </w:p>
    <w:p w14:paraId="39E18638" w14:textId="1DC5BE96" w:rsidR="0052437D" w:rsidRPr="00860520" w:rsidRDefault="0052437D" w:rsidP="00860520">
      <w:pPr>
        <w:spacing w:after="240"/>
        <w:jc w:val="center"/>
        <w:rPr>
          <w:rFonts w:cs="Arial"/>
          <w:color w:val="auto"/>
          <w:sz w:val="20"/>
        </w:rPr>
      </w:pPr>
      <w:bookmarkStart w:id="591" w:name="_Toc146590565"/>
      <w:r w:rsidRPr="00894701">
        <w:rPr>
          <w:b/>
          <w:bCs/>
          <w:color w:val="98002E" w:themeColor="accent3"/>
          <w:sz w:val="20"/>
          <w:szCs w:val="20"/>
        </w:rPr>
        <w:t xml:space="preserve">Table </w:t>
      </w:r>
      <w:r w:rsidRPr="00894701">
        <w:rPr>
          <w:b/>
          <w:bCs/>
          <w:color w:val="98002E" w:themeColor="accent3"/>
          <w:sz w:val="20"/>
          <w:szCs w:val="20"/>
        </w:rPr>
        <w:fldChar w:fldCharType="begin"/>
      </w:r>
      <w:r w:rsidRPr="00894701">
        <w:rPr>
          <w:b/>
          <w:bCs/>
          <w:color w:val="98002E" w:themeColor="accent3"/>
          <w:sz w:val="20"/>
          <w:szCs w:val="20"/>
        </w:rPr>
        <w:instrText xml:space="preserve"> SEQ Table \* ARABIC </w:instrText>
      </w:r>
      <w:r w:rsidRPr="00894701">
        <w:rPr>
          <w:b/>
          <w:bCs/>
          <w:color w:val="98002E" w:themeColor="accent3"/>
          <w:sz w:val="20"/>
          <w:szCs w:val="20"/>
        </w:rPr>
        <w:fldChar w:fldCharType="separate"/>
      </w:r>
      <w:r w:rsidR="0035303B">
        <w:rPr>
          <w:b/>
          <w:bCs/>
          <w:noProof/>
          <w:color w:val="98002E" w:themeColor="accent3"/>
          <w:sz w:val="20"/>
          <w:szCs w:val="20"/>
        </w:rPr>
        <w:t>93</w:t>
      </w:r>
      <w:r w:rsidRPr="00894701">
        <w:rPr>
          <w:b/>
          <w:bCs/>
          <w:color w:val="98002E" w:themeColor="accent3"/>
          <w:sz w:val="20"/>
          <w:szCs w:val="20"/>
        </w:rPr>
        <w:fldChar w:fldCharType="end"/>
      </w:r>
      <w:r w:rsidRPr="00894701">
        <w:rPr>
          <w:b/>
          <w:bCs/>
          <w:color w:val="98002E" w:themeColor="accent3"/>
          <w:sz w:val="20"/>
          <w:szCs w:val="20"/>
        </w:rPr>
        <w:t xml:space="preserve">: </w:t>
      </w:r>
      <w:r>
        <w:rPr>
          <w:b/>
          <w:bCs/>
          <w:color w:val="98002E" w:themeColor="accent3"/>
          <w:sz w:val="20"/>
          <w:szCs w:val="20"/>
        </w:rPr>
        <w:t>Recommendation 19</w:t>
      </w:r>
      <w:bookmarkEnd w:id="591"/>
    </w:p>
    <w:tbl>
      <w:tblPr>
        <w:tblW w:w="5000" w:type="pct"/>
        <w:tblLook w:val="04A0" w:firstRow="1" w:lastRow="0" w:firstColumn="1" w:lastColumn="0" w:noHBand="0" w:noVBand="1"/>
      </w:tblPr>
      <w:tblGrid>
        <w:gridCol w:w="5530"/>
        <w:gridCol w:w="8428"/>
      </w:tblGrid>
      <w:tr w:rsidR="00FA4AFC" w:rsidRPr="00894701" w14:paraId="31FFDB54" w14:textId="77777777" w:rsidTr="00446B8D">
        <w:trPr>
          <w:trHeight w:val="1985"/>
        </w:trPr>
        <w:tc>
          <w:tcPr>
            <w:tcW w:w="1981" w:type="pct"/>
            <w:vMerge w:val="restart"/>
            <w:tcBorders>
              <w:top w:val="single" w:sz="18" w:space="0" w:color="FF0000"/>
              <w:left w:val="nil"/>
              <w:bottom w:val="nil"/>
              <w:right w:val="nil"/>
            </w:tcBorders>
            <w:shd w:val="clear" w:color="auto" w:fill="auto"/>
          </w:tcPr>
          <w:p w14:paraId="344F047E" w14:textId="77777777" w:rsidR="00FA4AFC" w:rsidRPr="00894701" w:rsidRDefault="00FA4AFC" w:rsidP="00446B8D">
            <w:pPr>
              <w:spacing w:after="0" w:line="240" w:lineRule="auto"/>
              <w:contextualSpacing/>
              <w:jc w:val="both"/>
              <w:rPr>
                <w:b/>
                <w:bCs/>
                <w:color w:val="auto"/>
                <w:kern w:val="0"/>
                <w:szCs w:val="18"/>
              </w:rPr>
            </w:pPr>
            <w:r w:rsidRPr="00894701">
              <w:rPr>
                <w:b/>
                <w:bCs/>
                <w:color w:val="auto"/>
                <w:kern w:val="0"/>
                <w:szCs w:val="18"/>
                <w:u w:val="single"/>
              </w:rPr>
              <w:t>Description</w:t>
            </w:r>
            <w:r w:rsidRPr="00894701">
              <w:rPr>
                <w:b/>
                <w:bCs/>
                <w:color w:val="auto"/>
                <w:kern w:val="0"/>
                <w:szCs w:val="18"/>
              </w:rPr>
              <w:t>:</w:t>
            </w:r>
          </w:p>
          <w:p w14:paraId="566C1B88" w14:textId="31D62BD5" w:rsidR="00B1510A" w:rsidRPr="00894701" w:rsidRDefault="00FA4AFC" w:rsidP="00446B8D">
            <w:pPr>
              <w:spacing w:before="60" w:after="60" w:line="240" w:lineRule="auto"/>
              <w:jc w:val="both"/>
              <w:rPr>
                <w:color w:val="auto"/>
                <w:kern w:val="0"/>
                <w:szCs w:val="18"/>
              </w:rPr>
            </w:pPr>
            <w:r w:rsidRPr="00894701">
              <w:rPr>
                <w:color w:val="auto"/>
                <w:kern w:val="0"/>
                <w:szCs w:val="18"/>
              </w:rPr>
              <w:t>In accordance with Requirement 7.</w:t>
            </w:r>
            <w:r w:rsidR="00240D9B" w:rsidRPr="00894701">
              <w:rPr>
                <w:color w:val="auto"/>
                <w:kern w:val="0"/>
                <w:szCs w:val="18"/>
              </w:rPr>
              <w:t>4</w:t>
            </w:r>
          </w:p>
        </w:tc>
        <w:tc>
          <w:tcPr>
            <w:tcW w:w="3019" w:type="pct"/>
            <w:tcBorders>
              <w:top w:val="single" w:sz="18" w:space="0" w:color="FF0000"/>
              <w:left w:val="nil"/>
              <w:bottom w:val="single" w:sz="18" w:space="0" w:color="FF0000"/>
              <w:right w:val="nil"/>
            </w:tcBorders>
            <w:shd w:val="clear" w:color="auto" w:fill="auto"/>
          </w:tcPr>
          <w:p w14:paraId="0C690E5F" w14:textId="77777777" w:rsidR="00FA4AFC" w:rsidRPr="00894701" w:rsidRDefault="00FA4AFC" w:rsidP="00446B8D">
            <w:pPr>
              <w:spacing w:after="60" w:line="240" w:lineRule="auto"/>
              <w:jc w:val="both"/>
              <w:rPr>
                <w:b/>
                <w:bCs/>
                <w:color w:val="auto"/>
                <w:kern w:val="0"/>
                <w:szCs w:val="18"/>
              </w:rPr>
            </w:pPr>
            <w:r w:rsidRPr="00894701">
              <w:rPr>
                <w:b/>
                <w:bCs/>
                <w:color w:val="auto"/>
                <w:kern w:val="0"/>
                <w:szCs w:val="18"/>
                <w:u w:val="single"/>
              </w:rPr>
              <w:t>Recommended actions</w:t>
            </w:r>
            <w:r w:rsidRPr="00894701">
              <w:rPr>
                <w:b/>
                <w:bCs/>
                <w:color w:val="auto"/>
                <w:kern w:val="0"/>
                <w:szCs w:val="18"/>
              </w:rPr>
              <w:t>:</w:t>
            </w:r>
          </w:p>
          <w:p w14:paraId="3558FD72" w14:textId="66960C9E" w:rsidR="00FA4AFC" w:rsidRPr="00894701" w:rsidRDefault="00240D9B" w:rsidP="00446B8D">
            <w:pPr>
              <w:spacing w:before="60" w:after="60" w:line="240" w:lineRule="auto"/>
              <w:jc w:val="both"/>
              <w:rPr>
                <w:color w:val="auto"/>
                <w:kern w:val="0"/>
                <w:szCs w:val="18"/>
              </w:rPr>
            </w:pPr>
            <w:r w:rsidRPr="00894701">
              <w:rPr>
                <w:color w:val="auto"/>
                <w:kern w:val="0"/>
                <w:szCs w:val="18"/>
              </w:rPr>
              <w:t>In accordance with Requirement 7.4, Suriname is required to review the outcomes and impact of EITI implementation on natural resource governance. Suriname should ensure that all stakeholders are able to participate in the production of the annual progress report and review the impact of EITI implementation. Stakeholders beyond the MSG should be able to provide feedback on the EITI process and have their views reflected in the annual progress report. The MSG should ensure that an assessment of progress with achieving the objectives set out in its work plan is carried out, including the impact and outcomes of the stated objectives. The MSG may wish to also ensure that the APR, the MSG’s action plan and any other management tools are used to feed into the annual work plans.</w:t>
            </w:r>
          </w:p>
        </w:tc>
      </w:tr>
      <w:tr w:rsidR="00FA4AFC" w:rsidRPr="00894701" w14:paraId="1F959C59" w14:textId="77777777" w:rsidTr="00446B8D">
        <w:trPr>
          <w:trHeight w:val="260"/>
        </w:trPr>
        <w:tc>
          <w:tcPr>
            <w:tcW w:w="1981" w:type="pct"/>
            <w:vMerge/>
            <w:tcBorders>
              <w:top w:val="single" w:sz="12" w:space="0" w:color="FF0000"/>
              <w:left w:val="nil"/>
              <w:bottom w:val="nil"/>
              <w:right w:val="nil"/>
            </w:tcBorders>
            <w:vAlign w:val="center"/>
          </w:tcPr>
          <w:p w14:paraId="3F8DE1FC" w14:textId="77777777" w:rsidR="00FA4AFC" w:rsidRPr="00894701" w:rsidRDefault="00FA4AFC" w:rsidP="00446B8D">
            <w:pPr>
              <w:spacing w:after="0" w:line="240" w:lineRule="auto"/>
              <w:rPr>
                <w:color w:val="auto"/>
                <w:kern w:val="0"/>
                <w:szCs w:val="18"/>
              </w:rPr>
            </w:pPr>
          </w:p>
        </w:tc>
        <w:tc>
          <w:tcPr>
            <w:tcW w:w="3019" w:type="pct"/>
            <w:tcBorders>
              <w:top w:val="single" w:sz="18" w:space="0" w:color="FF0000"/>
              <w:left w:val="nil"/>
              <w:bottom w:val="single" w:sz="18" w:space="0" w:color="FF0000"/>
              <w:right w:val="nil"/>
            </w:tcBorders>
            <w:shd w:val="clear" w:color="auto" w:fill="auto"/>
            <w:noWrap/>
            <w:vAlign w:val="bottom"/>
          </w:tcPr>
          <w:p w14:paraId="41234A6D" w14:textId="77777777" w:rsidR="00FA4AFC" w:rsidRPr="00894701" w:rsidRDefault="00FA4AFC" w:rsidP="00446B8D">
            <w:pPr>
              <w:spacing w:after="0" w:line="240" w:lineRule="auto"/>
              <w:contextualSpacing/>
              <w:rPr>
                <w:b/>
                <w:bCs/>
                <w:color w:val="auto"/>
                <w:kern w:val="0"/>
                <w:szCs w:val="18"/>
              </w:rPr>
            </w:pPr>
          </w:p>
          <w:p w14:paraId="01EB1530" w14:textId="3321383F" w:rsidR="00FA4AFC" w:rsidRPr="00894701" w:rsidRDefault="00FA4AFC" w:rsidP="00446B8D">
            <w:pPr>
              <w:spacing w:after="0" w:line="240" w:lineRule="auto"/>
              <w:contextualSpacing/>
              <w:rPr>
                <w:color w:val="auto"/>
                <w:kern w:val="0"/>
                <w:szCs w:val="18"/>
              </w:rPr>
            </w:pPr>
            <w:r w:rsidRPr="00894701">
              <w:rPr>
                <w:b/>
                <w:bCs/>
                <w:color w:val="auto"/>
                <w:kern w:val="0"/>
                <w:szCs w:val="18"/>
                <w:u w:val="single"/>
              </w:rPr>
              <w:t>Related agencies</w:t>
            </w:r>
            <w:r w:rsidRPr="00894701">
              <w:rPr>
                <w:b/>
                <w:bCs/>
                <w:color w:val="auto"/>
                <w:kern w:val="0"/>
                <w:szCs w:val="18"/>
              </w:rPr>
              <w:t>:</w:t>
            </w:r>
            <w:r w:rsidRPr="00894701">
              <w:rPr>
                <w:color w:val="auto"/>
                <w:kern w:val="0"/>
                <w:szCs w:val="18"/>
              </w:rPr>
              <w:t xml:space="preserve"> </w:t>
            </w:r>
            <w:r w:rsidR="00240D9B" w:rsidRPr="00894701">
              <w:rPr>
                <w:color w:val="auto"/>
                <w:kern w:val="0"/>
                <w:szCs w:val="18"/>
              </w:rPr>
              <w:t>MSG and all constituencies</w:t>
            </w:r>
          </w:p>
          <w:p w14:paraId="329880E5" w14:textId="77777777" w:rsidR="00B1510A" w:rsidRPr="00894701" w:rsidRDefault="00B1510A" w:rsidP="00446B8D">
            <w:pPr>
              <w:spacing w:after="0" w:line="240" w:lineRule="auto"/>
              <w:contextualSpacing/>
              <w:rPr>
                <w:color w:val="auto"/>
                <w:kern w:val="0"/>
                <w:szCs w:val="18"/>
              </w:rPr>
            </w:pPr>
          </w:p>
        </w:tc>
      </w:tr>
      <w:tr w:rsidR="00FA4AFC" w:rsidRPr="00894701" w14:paraId="508F17FA" w14:textId="77777777" w:rsidTr="00446B8D">
        <w:trPr>
          <w:trHeight w:val="260"/>
        </w:trPr>
        <w:tc>
          <w:tcPr>
            <w:tcW w:w="1981" w:type="pct"/>
            <w:vMerge/>
            <w:tcBorders>
              <w:top w:val="single" w:sz="12" w:space="0" w:color="FF0000"/>
              <w:left w:val="nil"/>
              <w:bottom w:val="nil"/>
              <w:right w:val="nil"/>
            </w:tcBorders>
            <w:vAlign w:val="center"/>
          </w:tcPr>
          <w:p w14:paraId="499BD3EE" w14:textId="77777777" w:rsidR="00FA4AFC" w:rsidRPr="00894701" w:rsidRDefault="00FA4AFC" w:rsidP="00446B8D">
            <w:pPr>
              <w:spacing w:after="0" w:line="240" w:lineRule="auto"/>
              <w:rPr>
                <w:color w:val="auto"/>
                <w:kern w:val="0"/>
                <w:szCs w:val="18"/>
              </w:rPr>
            </w:pPr>
          </w:p>
        </w:tc>
        <w:tc>
          <w:tcPr>
            <w:tcW w:w="3019" w:type="pct"/>
            <w:tcBorders>
              <w:top w:val="single" w:sz="18" w:space="0" w:color="FF0000"/>
              <w:left w:val="nil"/>
              <w:bottom w:val="single" w:sz="18" w:space="0" w:color="FF0000"/>
              <w:right w:val="nil"/>
            </w:tcBorders>
            <w:shd w:val="clear" w:color="auto" w:fill="auto"/>
            <w:noWrap/>
            <w:vAlign w:val="bottom"/>
          </w:tcPr>
          <w:p w14:paraId="7A1E23E1" w14:textId="77777777" w:rsidR="00FA4AFC" w:rsidRPr="00894701" w:rsidRDefault="00FA4AFC" w:rsidP="00446B8D">
            <w:pPr>
              <w:spacing w:after="0" w:line="240" w:lineRule="auto"/>
              <w:contextualSpacing/>
              <w:rPr>
                <w:b/>
                <w:bCs/>
                <w:color w:val="auto"/>
                <w:kern w:val="0"/>
                <w:szCs w:val="18"/>
              </w:rPr>
            </w:pPr>
          </w:p>
          <w:p w14:paraId="71536772" w14:textId="77777777" w:rsidR="00FA4AFC" w:rsidRPr="00894701" w:rsidRDefault="00FA4AFC" w:rsidP="00446B8D">
            <w:pPr>
              <w:spacing w:after="0" w:line="240" w:lineRule="auto"/>
              <w:contextualSpacing/>
              <w:rPr>
                <w:color w:val="auto"/>
                <w:kern w:val="0"/>
                <w:szCs w:val="18"/>
              </w:rPr>
            </w:pPr>
            <w:r w:rsidRPr="00894701">
              <w:rPr>
                <w:b/>
                <w:bCs/>
                <w:color w:val="auto"/>
                <w:kern w:val="0"/>
                <w:szCs w:val="18"/>
                <w:u w:val="single"/>
              </w:rPr>
              <w:t>Priority</w:t>
            </w:r>
            <w:r w:rsidRPr="00894701">
              <w:rPr>
                <w:b/>
                <w:bCs/>
                <w:color w:val="auto"/>
                <w:kern w:val="0"/>
                <w:szCs w:val="18"/>
              </w:rPr>
              <w:t>:</w:t>
            </w:r>
            <w:r w:rsidRPr="00894701">
              <w:rPr>
                <w:color w:val="auto"/>
                <w:kern w:val="0"/>
                <w:szCs w:val="18"/>
              </w:rPr>
              <w:t xml:space="preserve"> High</w:t>
            </w:r>
          </w:p>
          <w:p w14:paraId="27B4723B" w14:textId="77777777" w:rsidR="00B1510A" w:rsidRPr="00894701" w:rsidRDefault="00B1510A" w:rsidP="00446B8D">
            <w:pPr>
              <w:spacing w:after="0" w:line="240" w:lineRule="auto"/>
              <w:contextualSpacing/>
              <w:rPr>
                <w:color w:val="auto"/>
                <w:kern w:val="0"/>
                <w:szCs w:val="18"/>
              </w:rPr>
            </w:pPr>
          </w:p>
        </w:tc>
      </w:tr>
      <w:tr w:rsidR="00FA4AFC" w:rsidRPr="00894701" w14:paraId="67E02863" w14:textId="77777777" w:rsidTr="00446B8D">
        <w:trPr>
          <w:trHeight w:val="260"/>
        </w:trPr>
        <w:tc>
          <w:tcPr>
            <w:tcW w:w="1981" w:type="pct"/>
            <w:vMerge/>
            <w:tcBorders>
              <w:top w:val="single" w:sz="12" w:space="0" w:color="FF0000"/>
              <w:left w:val="nil"/>
              <w:bottom w:val="nil"/>
              <w:right w:val="nil"/>
            </w:tcBorders>
            <w:vAlign w:val="center"/>
          </w:tcPr>
          <w:p w14:paraId="1C97A3CB" w14:textId="77777777" w:rsidR="00FA4AFC" w:rsidRPr="00894701" w:rsidRDefault="00FA4AFC" w:rsidP="00446B8D">
            <w:pPr>
              <w:spacing w:after="0" w:line="240" w:lineRule="auto"/>
              <w:rPr>
                <w:color w:val="auto"/>
                <w:kern w:val="0"/>
                <w:szCs w:val="18"/>
              </w:rPr>
            </w:pPr>
          </w:p>
        </w:tc>
        <w:tc>
          <w:tcPr>
            <w:tcW w:w="3019" w:type="pct"/>
            <w:tcBorders>
              <w:top w:val="single" w:sz="18" w:space="0" w:color="FF0000"/>
              <w:left w:val="nil"/>
              <w:bottom w:val="single" w:sz="18" w:space="0" w:color="FF0000"/>
              <w:right w:val="nil"/>
            </w:tcBorders>
            <w:shd w:val="clear" w:color="auto" w:fill="auto"/>
          </w:tcPr>
          <w:p w14:paraId="007371A6" w14:textId="77777777" w:rsidR="00FA4AFC" w:rsidRPr="00894701" w:rsidRDefault="00FA4AFC" w:rsidP="00446B8D">
            <w:pPr>
              <w:spacing w:after="0" w:line="240" w:lineRule="auto"/>
              <w:contextualSpacing/>
              <w:rPr>
                <w:b/>
                <w:bCs/>
                <w:color w:val="auto"/>
                <w:kern w:val="0"/>
                <w:szCs w:val="18"/>
              </w:rPr>
            </w:pPr>
          </w:p>
          <w:p w14:paraId="67DBAB0B" w14:textId="77777777" w:rsidR="00FA4AFC" w:rsidRPr="00894701" w:rsidRDefault="00FA4AFC" w:rsidP="00446B8D">
            <w:pPr>
              <w:spacing w:after="0" w:line="240" w:lineRule="auto"/>
              <w:contextualSpacing/>
              <w:rPr>
                <w:color w:val="auto"/>
                <w:kern w:val="0"/>
                <w:szCs w:val="18"/>
              </w:rPr>
            </w:pPr>
            <w:r w:rsidRPr="00894701">
              <w:rPr>
                <w:b/>
                <w:bCs/>
                <w:color w:val="auto"/>
                <w:kern w:val="0"/>
                <w:szCs w:val="18"/>
                <w:u w:val="single"/>
              </w:rPr>
              <w:t>Current status</w:t>
            </w:r>
            <w:r w:rsidRPr="00894701">
              <w:rPr>
                <w:b/>
                <w:bCs/>
                <w:color w:val="auto"/>
                <w:kern w:val="0"/>
                <w:szCs w:val="18"/>
              </w:rPr>
              <w:t>:</w:t>
            </w:r>
            <w:r w:rsidRPr="00894701">
              <w:rPr>
                <w:color w:val="auto"/>
                <w:kern w:val="0"/>
                <w:szCs w:val="18"/>
              </w:rPr>
              <w:t xml:space="preserve"> No progress</w:t>
            </w:r>
          </w:p>
          <w:p w14:paraId="713DB89C" w14:textId="77777777" w:rsidR="00B1510A" w:rsidRPr="00894701" w:rsidRDefault="00B1510A" w:rsidP="00446B8D">
            <w:pPr>
              <w:spacing w:after="0" w:line="240" w:lineRule="auto"/>
              <w:contextualSpacing/>
              <w:rPr>
                <w:color w:val="auto"/>
                <w:kern w:val="0"/>
                <w:szCs w:val="18"/>
              </w:rPr>
            </w:pPr>
          </w:p>
        </w:tc>
      </w:tr>
    </w:tbl>
    <w:p w14:paraId="3069D6C7" w14:textId="77777777" w:rsidR="00B64628" w:rsidRPr="00894701" w:rsidRDefault="00B64628">
      <w:pPr>
        <w:spacing w:after="0" w:line="240" w:lineRule="auto"/>
        <w:rPr>
          <w:rFonts w:cs="Arial"/>
          <w:sz w:val="20"/>
        </w:rPr>
      </w:pPr>
    </w:p>
    <w:p w14:paraId="265402D3" w14:textId="77777777" w:rsidR="004C2516" w:rsidRPr="00894701" w:rsidRDefault="004C2516" w:rsidP="004C2516">
      <w:pPr>
        <w:rPr>
          <w:rFonts w:cs="Arial"/>
          <w:sz w:val="20"/>
        </w:rPr>
        <w:sectPr w:rsidR="004C2516" w:rsidRPr="00894701" w:rsidSect="001E7D3B">
          <w:pgSz w:w="16838" w:h="11906" w:orient="landscape" w:code="9"/>
          <w:pgMar w:top="1440" w:right="1440" w:bottom="1418" w:left="1440" w:header="851" w:footer="748" w:gutter="0"/>
          <w:cols w:space="708"/>
          <w:docGrid w:linePitch="360"/>
        </w:sectPr>
      </w:pPr>
    </w:p>
    <w:p w14:paraId="6B34AB8A" w14:textId="77777777" w:rsidR="001E7D3B" w:rsidRPr="00894701" w:rsidRDefault="001E7D3B" w:rsidP="001E7D3B">
      <w:pPr>
        <w:spacing w:after="240"/>
        <w:jc w:val="both"/>
        <w:rPr>
          <w:rFonts w:cs="Arial"/>
          <w:color w:val="auto"/>
          <w:sz w:val="20"/>
        </w:rPr>
      </w:pPr>
    </w:p>
    <w:p w14:paraId="35B6954F" w14:textId="483A18E1" w:rsidR="004B1F53" w:rsidRPr="00894701" w:rsidRDefault="004B1F53">
      <w:pPr>
        <w:spacing w:after="0" w:line="240" w:lineRule="auto"/>
        <w:rPr>
          <w:rFonts w:asciiTheme="minorHAnsi" w:hAnsiTheme="minorHAnsi"/>
        </w:rPr>
      </w:pPr>
    </w:p>
    <w:p w14:paraId="7D4726A5" w14:textId="77777777" w:rsidR="004F615A" w:rsidRPr="00894701" w:rsidRDefault="004F615A" w:rsidP="004F615A">
      <w:pPr>
        <w:pStyle w:val="BodyText"/>
        <w:rPr>
          <w:rFonts w:asciiTheme="minorHAnsi" w:hAnsiTheme="minorHAnsi"/>
        </w:rPr>
      </w:pPr>
    </w:p>
    <w:p w14:paraId="3F78D99C" w14:textId="1A41010D" w:rsidR="004F615A" w:rsidRPr="00894701" w:rsidRDefault="004F615A" w:rsidP="004F615A">
      <w:pPr>
        <w:pStyle w:val="BodyText"/>
        <w:rPr>
          <w:rFonts w:asciiTheme="minorHAnsi" w:hAnsiTheme="minorHAnsi"/>
        </w:rPr>
      </w:pPr>
    </w:p>
    <w:p w14:paraId="4AD21F39" w14:textId="7A049CD4" w:rsidR="004F615A" w:rsidRPr="00894701" w:rsidRDefault="004F615A" w:rsidP="004F615A">
      <w:pPr>
        <w:pStyle w:val="BodyText"/>
        <w:rPr>
          <w:rFonts w:asciiTheme="minorHAnsi" w:hAnsiTheme="minorHAnsi"/>
        </w:rPr>
      </w:pPr>
    </w:p>
    <w:p w14:paraId="1E016A07" w14:textId="2310E640" w:rsidR="004F615A" w:rsidRPr="00894701" w:rsidRDefault="004F615A" w:rsidP="004F615A">
      <w:pPr>
        <w:pStyle w:val="BodyText"/>
        <w:rPr>
          <w:rFonts w:asciiTheme="minorHAnsi" w:hAnsiTheme="minorHAnsi"/>
        </w:rPr>
      </w:pPr>
    </w:p>
    <w:p w14:paraId="5A5DEDA1" w14:textId="60722529" w:rsidR="00B6028F" w:rsidRPr="00894701" w:rsidRDefault="00B6028F" w:rsidP="004F615A">
      <w:pPr>
        <w:pStyle w:val="BodyText"/>
        <w:rPr>
          <w:rFonts w:asciiTheme="minorHAnsi" w:hAnsiTheme="minorHAnsi"/>
        </w:rPr>
      </w:pPr>
    </w:p>
    <w:p w14:paraId="16087069" w14:textId="5CCD2FCE" w:rsidR="00B6028F" w:rsidRPr="00894701" w:rsidRDefault="00B6028F" w:rsidP="004F615A">
      <w:pPr>
        <w:pStyle w:val="BodyText"/>
        <w:rPr>
          <w:rFonts w:asciiTheme="minorHAnsi" w:hAnsiTheme="minorHAnsi"/>
        </w:rPr>
      </w:pPr>
    </w:p>
    <w:p w14:paraId="46AFCC80" w14:textId="61451C18" w:rsidR="00B6028F" w:rsidRPr="00894701" w:rsidRDefault="00B6028F" w:rsidP="004F615A">
      <w:pPr>
        <w:pStyle w:val="BodyText"/>
        <w:rPr>
          <w:rFonts w:asciiTheme="minorHAnsi" w:hAnsiTheme="minorHAnsi"/>
        </w:rPr>
      </w:pPr>
    </w:p>
    <w:p w14:paraId="3353BD81" w14:textId="77777777" w:rsidR="00B6028F" w:rsidRPr="00894701" w:rsidRDefault="00B6028F" w:rsidP="004F615A">
      <w:pPr>
        <w:pStyle w:val="BodyText"/>
        <w:rPr>
          <w:rFonts w:asciiTheme="minorHAnsi" w:hAnsiTheme="minorHAnsi"/>
        </w:rPr>
      </w:pPr>
    </w:p>
    <w:p w14:paraId="2BEFF436" w14:textId="2F78881F" w:rsidR="004F615A" w:rsidRPr="00894701" w:rsidRDefault="004F615A" w:rsidP="004F615A">
      <w:pPr>
        <w:pStyle w:val="BodyText"/>
        <w:rPr>
          <w:rFonts w:asciiTheme="minorHAnsi" w:hAnsiTheme="minorHAnsi"/>
        </w:rPr>
      </w:pPr>
    </w:p>
    <w:p w14:paraId="3E0AD232" w14:textId="402EA633" w:rsidR="004F615A" w:rsidRPr="00894701" w:rsidRDefault="004F615A" w:rsidP="004F615A">
      <w:pPr>
        <w:pStyle w:val="BodyText"/>
        <w:rPr>
          <w:rFonts w:asciiTheme="minorHAnsi" w:hAnsiTheme="minorHAnsi"/>
        </w:rPr>
      </w:pPr>
    </w:p>
    <w:p w14:paraId="1AB746AF" w14:textId="6B39F0A5" w:rsidR="00D041C7" w:rsidRPr="00894701" w:rsidRDefault="004F615A" w:rsidP="00DA3FD8">
      <w:pPr>
        <w:pStyle w:val="Heading2"/>
        <w:numPr>
          <w:ilvl w:val="0"/>
          <w:numId w:val="0"/>
        </w:numPr>
        <w:spacing w:before="120" w:after="240"/>
        <w:ind w:right="476"/>
        <w:jc w:val="center"/>
        <w:rPr>
          <w:rFonts w:asciiTheme="minorHAnsi" w:hAnsiTheme="minorHAnsi"/>
          <w:color w:val="FF0000"/>
          <w:sz w:val="36"/>
          <w:szCs w:val="36"/>
        </w:rPr>
      </w:pPr>
      <w:bookmarkStart w:id="592" w:name="_Toc54895953"/>
      <w:bookmarkStart w:id="593" w:name="_Toc60309484"/>
      <w:bookmarkStart w:id="594" w:name="_Toc93244777"/>
      <w:bookmarkStart w:id="595" w:name="_Toc122478960"/>
      <w:r w:rsidRPr="00894701">
        <w:rPr>
          <w:rFonts w:asciiTheme="minorHAnsi" w:hAnsiTheme="minorHAnsi"/>
          <w:color w:val="FF0000"/>
          <w:sz w:val="36"/>
          <w:szCs w:val="36"/>
        </w:rPr>
        <w:t>Annexes</w:t>
      </w:r>
      <w:bookmarkEnd w:id="592"/>
      <w:bookmarkEnd w:id="593"/>
      <w:bookmarkEnd w:id="594"/>
      <w:bookmarkEnd w:id="595"/>
    </w:p>
    <w:p w14:paraId="3CC188C4" w14:textId="77777777" w:rsidR="0044001C" w:rsidRPr="00894701" w:rsidRDefault="0044001C" w:rsidP="0044001C">
      <w:pPr>
        <w:pStyle w:val="BodyText"/>
        <w:rPr>
          <w:rFonts w:asciiTheme="minorHAnsi" w:hAnsiTheme="minorHAnsi"/>
        </w:rPr>
        <w:sectPr w:rsidR="0044001C" w:rsidRPr="00894701" w:rsidSect="0085550C">
          <w:pgSz w:w="11906" w:h="16838" w:code="9"/>
          <w:pgMar w:top="1440" w:right="1416" w:bottom="1440" w:left="1440" w:header="851" w:footer="750" w:gutter="0"/>
          <w:cols w:space="708"/>
          <w:docGrid w:linePitch="360"/>
        </w:sectPr>
      </w:pPr>
    </w:p>
    <w:p w14:paraId="27B7CAC6" w14:textId="0D420DDD" w:rsidR="007A11EA" w:rsidRPr="00894701" w:rsidRDefault="007A11EA" w:rsidP="007A11EA">
      <w:pPr>
        <w:pStyle w:val="Heading2"/>
        <w:numPr>
          <w:ilvl w:val="0"/>
          <w:numId w:val="0"/>
        </w:numPr>
        <w:spacing w:before="120" w:after="240"/>
        <w:ind w:right="476"/>
        <w:jc w:val="both"/>
        <w:rPr>
          <w:rFonts w:asciiTheme="minorHAnsi" w:hAnsiTheme="minorHAnsi"/>
          <w:sz w:val="28"/>
          <w:szCs w:val="28"/>
        </w:rPr>
      </w:pPr>
      <w:bookmarkStart w:id="596" w:name="_Toc122478961"/>
      <w:r w:rsidRPr="00894701">
        <w:rPr>
          <w:rFonts w:asciiTheme="minorHAnsi" w:hAnsiTheme="minorHAnsi"/>
          <w:sz w:val="28"/>
          <w:szCs w:val="28"/>
        </w:rPr>
        <w:t xml:space="preserve">Annex </w:t>
      </w:r>
      <w:r w:rsidR="00730D54" w:rsidRPr="00894701">
        <w:rPr>
          <w:rFonts w:asciiTheme="minorHAnsi" w:hAnsiTheme="minorHAnsi"/>
          <w:sz w:val="28"/>
          <w:szCs w:val="28"/>
        </w:rPr>
        <w:t>1</w:t>
      </w:r>
      <w:r w:rsidRPr="00894701">
        <w:rPr>
          <w:rFonts w:asciiTheme="minorHAnsi" w:hAnsiTheme="minorHAnsi"/>
          <w:sz w:val="28"/>
          <w:szCs w:val="28"/>
        </w:rPr>
        <w:t>: List of active mining licenses during FY 2018, 2019 and 2020</w:t>
      </w:r>
      <w:bookmarkEnd w:id="596"/>
      <w:r w:rsidR="00206BA2" w:rsidRPr="00894701">
        <w:rPr>
          <w:rFonts w:asciiTheme="minorHAnsi" w:hAnsiTheme="minorHAnsi"/>
          <w:sz w:val="28"/>
          <w:szCs w:val="28"/>
        </w:rPr>
        <w:t xml:space="preserve"> </w:t>
      </w:r>
    </w:p>
    <w:tbl>
      <w:tblPr>
        <w:tblStyle w:val="GridTable4-Accent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
        <w:gridCol w:w="5434"/>
        <w:gridCol w:w="1258"/>
        <w:gridCol w:w="2159"/>
        <w:gridCol w:w="1342"/>
        <w:gridCol w:w="1456"/>
        <w:gridCol w:w="1738"/>
      </w:tblGrid>
      <w:tr w:rsidR="000934EA" w:rsidRPr="00894701" w14:paraId="39370C70" w14:textId="77777777" w:rsidTr="00BE1B23">
        <w:trPr>
          <w:cnfStyle w:val="100000000000" w:firstRow="1" w:lastRow="0" w:firstColumn="0" w:lastColumn="0" w:oddVBand="0" w:evenVBand="0" w:oddHBand="0" w:evenHBand="0" w:firstRowFirstColumn="0" w:firstRowLastColumn="0" w:lastRowFirstColumn="0" w:lastRowLastColumn="0"/>
          <w:trHeight w:val="523"/>
          <w:tblHeader/>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6CE1962D" w14:textId="77777777" w:rsidR="000934EA" w:rsidRPr="00894701" w:rsidRDefault="000934EA" w:rsidP="00BE1B23">
            <w:pPr>
              <w:spacing w:after="0" w:line="240" w:lineRule="auto"/>
              <w:jc w:val="center"/>
              <w:rPr>
                <w:rFonts w:asciiTheme="minorHAnsi" w:hAnsiTheme="minorHAnsi" w:cs="Calibri"/>
                <w:color w:val="FFFFFF" w:themeColor="background1"/>
                <w:kern w:val="0"/>
                <w:sz w:val="16"/>
                <w:szCs w:val="16"/>
                <w:lang w:eastAsia="fr-FR"/>
              </w:rPr>
            </w:pPr>
            <w:r w:rsidRPr="00894701">
              <w:rPr>
                <w:rFonts w:asciiTheme="minorHAnsi" w:hAnsiTheme="minorHAnsi" w:cs="Calibri"/>
                <w:color w:val="FFFFFF" w:themeColor="background1"/>
                <w:kern w:val="0"/>
                <w:sz w:val="16"/>
                <w:szCs w:val="16"/>
                <w:lang w:eastAsia="fr-FR"/>
              </w:rPr>
              <w:t>No</w:t>
            </w:r>
          </w:p>
        </w:tc>
        <w:tc>
          <w:tcPr>
            <w:tcW w:w="1948" w:type="pct"/>
            <w:vAlign w:val="center"/>
            <w:hideMark/>
          </w:tcPr>
          <w:p w14:paraId="254B1FB4" w14:textId="77777777" w:rsidR="000934EA" w:rsidRPr="00894701" w:rsidRDefault="000934EA" w:rsidP="00BE1B23">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Calibri"/>
                <w:color w:val="FFFFFF" w:themeColor="background1"/>
                <w:kern w:val="0"/>
                <w:sz w:val="16"/>
                <w:szCs w:val="16"/>
                <w:lang w:eastAsia="fr-FR"/>
              </w:rPr>
            </w:pPr>
            <w:r w:rsidRPr="00894701">
              <w:rPr>
                <w:rFonts w:asciiTheme="minorHAnsi" w:hAnsiTheme="minorHAnsi" w:cs="Calibri"/>
                <w:color w:val="FFFFFF" w:themeColor="background1"/>
                <w:kern w:val="0"/>
                <w:sz w:val="16"/>
                <w:szCs w:val="16"/>
                <w:lang w:eastAsia="fr-FR"/>
              </w:rPr>
              <w:t>Naam Houder Van Mijnbouwrecht</w:t>
            </w:r>
          </w:p>
        </w:tc>
        <w:tc>
          <w:tcPr>
            <w:tcW w:w="451" w:type="pct"/>
            <w:vAlign w:val="center"/>
            <w:hideMark/>
          </w:tcPr>
          <w:p w14:paraId="4E0C10D6" w14:textId="77777777" w:rsidR="000934EA" w:rsidRPr="00894701" w:rsidRDefault="000934EA" w:rsidP="000934E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color w:val="FFFFFF" w:themeColor="background1"/>
                <w:kern w:val="0"/>
                <w:sz w:val="16"/>
                <w:szCs w:val="16"/>
                <w:lang w:eastAsia="fr-FR"/>
              </w:rPr>
            </w:pPr>
            <w:r w:rsidRPr="00894701">
              <w:rPr>
                <w:rFonts w:asciiTheme="minorHAnsi" w:hAnsiTheme="minorHAnsi" w:cs="Calibri"/>
                <w:color w:val="FFFFFF" w:themeColor="background1"/>
                <w:kern w:val="0"/>
                <w:sz w:val="16"/>
                <w:szCs w:val="16"/>
                <w:lang w:eastAsia="fr-FR"/>
              </w:rPr>
              <w:t>Gmd Nummer</w:t>
            </w:r>
          </w:p>
        </w:tc>
        <w:tc>
          <w:tcPr>
            <w:tcW w:w="774" w:type="pct"/>
            <w:vAlign w:val="center"/>
            <w:hideMark/>
          </w:tcPr>
          <w:p w14:paraId="3FEEB06B" w14:textId="77777777" w:rsidR="000934EA" w:rsidRPr="00894701" w:rsidRDefault="000934EA" w:rsidP="000934E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color w:val="FFFFFF" w:themeColor="background1"/>
                <w:kern w:val="0"/>
                <w:sz w:val="16"/>
                <w:szCs w:val="16"/>
                <w:lang w:eastAsia="fr-FR"/>
              </w:rPr>
            </w:pPr>
            <w:r w:rsidRPr="00894701">
              <w:rPr>
                <w:rFonts w:asciiTheme="minorHAnsi" w:hAnsiTheme="minorHAnsi" w:cs="Calibri"/>
                <w:color w:val="FFFFFF" w:themeColor="background1"/>
                <w:kern w:val="0"/>
                <w:sz w:val="16"/>
                <w:szCs w:val="16"/>
                <w:lang w:eastAsia="fr-FR"/>
              </w:rPr>
              <w:t>Type Of Mining</w:t>
            </w:r>
          </w:p>
        </w:tc>
        <w:tc>
          <w:tcPr>
            <w:tcW w:w="481" w:type="pct"/>
            <w:vAlign w:val="center"/>
            <w:hideMark/>
          </w:tcPr>
          <w:p w14:paraId="42F2C812" w14:textId="77777777" w:rsidR="000934EA" w:rsidRPr="00894701" w:rsidRDefault="000934EA" w:rsidP="000934E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color w:val="FFFFFF" w:themeColor="background1"/>
                <w:kern w:val="0"/>
                <w:sz w:val="16"/>
                <w:szCs w:val="16"/>
                <w:lang w:eastAsia="fr-FR"/>
              </w:rPr>
            </w:pPr>
            <w:r w:rsidRPr="00894701">
              <w:rPr>
                <w:rFonts w:asciiTheme="minorHAnsi" w:hAnsiTheme="minorHAnsi" w:cs="Calibri"/>
                <w:color w:val="FFFFFF" w:themeColor="background1"/>
                <w:kern w:val="0"/>
                <w:sz w:val="16"/>
                <w:szCs w:val="16"/>
                <w:lang w:eastAsia="fr-FR"/>
              </w:rPr>
              <w:t>Area (Ha)</w:t>
            </w:r>
          </w:p>
        </w:tc>
        <w:tc>
          <w:tcPr>
            <w:tcW w:w="522" w:type="pct"/>
            <w:vAlign w:val="center"/>
            <w:hideMark/>
          </w:tcPr>
          <w:p w14:paraId="76F23426" w14:textId="77777777" w:rsidR="000934EA" w:rsidRPr="00894701" w:rsidRDefault="000934EA" w:rsidP="000934E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color w:val="FFFFFF" w:themeColor="background1"/>
                <w:kern w:val="0"/>
                <w:sz w:val="16"/>
                <w:szCs w:val="16"/>
                <w:lang w:eastAsia="fr-FR"/>
              </w:rPr>
            </w:pPr>
            <w:r w:rsidRPr="00894701">
              <w:rPr>
                <w:rFonts w:asciiTheme="minorHAnsi" w:hAnsiTheme="minorHAnsi" w:cs="Calibri"/>
                <w:color w:val="FFFFFF" w:themeColor="background1"/>
                <w:kern w:val="0"/>
                <w:sz w:val="16"/>
                <w:szCs w:val="16"/>
                <w:lang w:eastAsia="fr-FR"/>
              </w:rPr>
              <w:t>Date Of Submission</w:t>
            </w:r>
          </w:p>
        </w:tc>
        <w:tc>
          <w:tcPr>
            <w:tcW w:w="623" w:type="pct"/>
            <w:vAlign w:val="center"/>
            <w:hideMark/>
          </w:tcPr>
          <w:p w14:paraId="44C79F4C" w14:textId="77777777" w:rsidR="000934EA" w:rsidRPr="00894701" w:rsidRDefault="000934EA" w:rsidP="000934E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color w:val="FFFFFF" w:themeColor="background1"/>
                <w:kern w:val="0"/>
                <w:sz w:val="16"/>
                <w:szCs w:val="16"/>
                <w:lang w:eastAsia="fr-FR"/>
              </w:rPr>
            </w:pPr>
            <w:r w:rsidRPr="00894701">
              <w:rPr>
                <w:rFonts w:asciiTheme="minorHAnsi" w:hAnsiTheme="minorHAnsi" w:cs="Calibri"/>
                <w:color w:val="FFFFFF" w:themeColor="background1"/>
                <w:kern w:val="0"/>
                <w:sz w:val="16"/>
                <w:szCs w:val="16"/>
                <w:lang w:eastAsia="fr-FR"/>
              </w:rPr>
              <w:t>Date Of Termination</w:t>
            </w:r>
          </w:p>
        </w:tc>
      </w:tr>
      <w:tr w:rsidR="000934EA" w:rsidRPr="00894701" w14:paraId="21109446"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0FE4F8C3"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w:t>
            </w:r>
          </w:p>
        </w:tc>
        <w:tc>
          <w:tcPr>
            <w:tcW w:w="1948" w:type="pct"/>
            <w:vAlign w:val="center"/>
            <w:hideMark/>
          </w:tcPr>
          <w:p w14:paraId="5E27FCAC" w14:textId="7777777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Tipa Baja</w:t>
            </w:r>
          </w:p>
        </w:tc>
        <w:tc>
          <w:tcPr>
            <w:tcW w:w="451" w:type="pct"/>
            <w:hideMark/>
          </w:tcPr>
          <w:p w14:paraId="3F15364A"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857/16</w:t>
            </w:r>
          </w:p>
        </w:tc>
        <w:tc>
          <w:tcPr>
            <w:tcW w:w="774" w:type="pct"/>
            <w:hideMark/>
          </w:tcPr>
          <w:p w14:paraId="2BD08CA0"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7AAFA47F"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7989 ha</w:t>
            </w:r>
          </w:p>
        </w:tc>
        <w:tc>
          <w:tcPr>
            <w:tcW w:w="522" w:type="pct"/>
            <w:hideMark/>
          </w:tcPr>
          <w:p w14:paraId="3F469C31"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07/08/2013</w:t>
            </w:r>
          </w:p>
        </w:tc>
        <w:tc>
          <w:tcPr>
            <w:tcW w:w="623" w:type="pct"/>
            <w:hideMark/>
          </w:tcPr>
          <w:p w14:paraId="12E2C79D"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06/06/2023</w:t>
            </w:r>
          </w:p>
        </w:tc>
      </w:tr>
      <w:tr w:rsidR="000934EA" w:rsidRPr="00894701" w14:paraId="311D19FC"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14150ACA"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w:t>
            </w:r>
          </w:p>
        </w:tc>
        <w:tc>
          <w:tcPr>
            <w:tcW w:w="1948" w:type="pct"/>
            <w:vAlign w:val="center"/>
            <w:hideMark/>
          </w:tcPr>
          <w:p w14:paraId="064B9432" w14:textId="4756DB3C"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N.V Placer mining compa</w:t>
            </w:r>
            <w:r w:rsidR="00FB273C" w:rsidRPr="00894701">
              <w:rPr>
                <w:rFonts w:asciiTheme="minorHAnsi" w:hAnsiTheme="minorHAnsi" w:cs="Calibri"/>
                <w:color w:val="000000" w:themeColor="text1"/>
                <w:kern w:val="0"/>
                <w:sz w:val="16"/>
                <w:szCs w:val="16"/>
                <w:lang w:eastAsia="fr-FR"/>
              </w:rPr>
              <w:t>n</w:t>
            </w:r>
            <w:r w:rsidRPr="00894701">
              <w:rPr>
                <w:rFonts w:asciiTheme="minorHAnsi" w:hAnsiTheme="minorHAnsi" w:cs="Calibri"/>
                <w:color w:val="000000" w:themeColor="text1"/>
                <w:kern w:val="0"/>
                <w:sz w:val="16"/>
                <w:szCs w:val="16"/>
                <w:lang w:eastAsia="fr-FR"/>
              </w:rPr>
              <w:t>y</w:t>
            </w:r>
          </w:p>
        </w:tc>
        <w:tc>
          <w:tcPr>
            <w:tcW w:w="451" w:type="pct"/>
            <w:hideMark/>
          </w:tcPr>
          <w:p w14:paraId="1C80E71B"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098/14</w:t>
            </w:r>
          </w:p>
        </w:tc>
        <w:tc>
          <w:tcPr>
            <w:tcW w:w="774" w:type="pct"/>
            <w:hideMark/>
          </w:tcPr>
          <w:p w14:paraId="182EBF58"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Exploitation</w:t>
            </w:r>
          </w:p>
        </w:tc>
        <w:tc>
          <w:tcPr>
            <w:tcW w:w="481" w:type="pct"/>
            <w:hideMark/>
          </w:tcPr>
          <w:p w14:paraId="546F3FDA"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10.000 ha</w:t>
            </w:r>
          </w:p>
        </w:tc>
        <w:tc>
          <w:tcPr>
            <w:tcW w:w="522" w:type="pct"/>
            <w:hideMark/>
          </w:tcPr>
          <w:p w14:paraId="4AF16077"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04/03/2014</w:t>
            </w:r>
          </w:p>
        </w:tc>
        <w:tc>
          <w:tcPr>
            <w:tcW w:w="623" w:type="pct"/>
            <w:hideMark/>
          </w:tcPr>
          <w:p w14:paraId="290EA001"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niet gezien</w:t>
            </w:r>
          </w:p>
        </w:tc>
      </w:tr>
      <w:tr w:rsidR="000934EA" w:rsidRPr="00894701" w14:paraId="7C7D63E7"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447AA74C"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w:t>
            </w:r>
          </w:p>
        </w:tc>
        <w:tc>
          <w:tcPr>
            <w:tcW w:w="1948" w:type="pct"/>
            <w:vAlign w:val="center"/>
            <w:hideMark/>
          </w:tcPr>
          <w:p w14:paraId="3070E4C7" w14:textId="7777777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Pedie Enter Antelina</w:t>
            </w:r>
          </w:p>
        </w:tc>
        <w:tc>
          <w:tcPr>
            <w:tcW w:w="451" w:type="pct"/>
            <w:hideMark/>
          </w:tcPr>
          <w:p w14:paraId="76057BC8"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462/16</w:t>
            </w:r>
          </w:p>
        </w:tc>
        <w:tc>
          <w:tcPr>
            <w:tcW w:w="774" w:type="pct"/>
            <w:hideMark/>
          </w:tcPr>
          <w:p w14:paraId="4B6AB186"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Small Scale Mining</w:t>
            </w:r>
          </w:p>
        </w:tc>
        <w:tc>
          <w:tcPr>
            <w:tcW w:w="481" w:type="pct"/>
            <w:hideMark/>
          </w:tcPr>
          <w:p w14:paraId="572943E9"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7989 ha</w:t>
            </w:r>
          </w:p>
        </w:tc>
        <w:tc>
          <w:tcPr>
            <w:tcW w:w="522" w:type="pct"/>
            <w:hideMark/>
          </w:tcPr>
          <w:p w14:paraId="651F2080"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07/03/2015</w:t>
            </w:r>
          </w:p>
        </w:tc>
        <w:tc>
          <w:tcPr>
            <w:tcW w:w="623" w:type="pct"/>
            <w:hideMark/>
          </w:tcPr>
          <w:p w14:paraId="762ECD0D"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19/02/2021</w:t>
            </w:r>
          </w:p>
        </w:tc>
      </w:tr>
      <w:tr w:rsidR="000934EA" w:rsidRPr="00894701" w14:paraId="5FA5F350"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716EA29B"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w:t>
            </w:r>
          </w:p>
        </w:tc>
        <w:tc>
          <w:tcPr>
            <w:tcW w:w="1948" w:type="pct"/>
            <w:vAlign w:val="center"/>
            <w:hideMark/>
          </w:tcPr>
          <w:p w14:paraId="3C6100BB" w14:textId="77777777"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Sanvisi August, David</w:t>
            </w:r>
          </w:p>
        </w:tc>
        <w:tc>
          <w:tcPr>
            <w:tcW w:w="451" w:type="pct"/>
            <w:hideMark/>
          </w:tcPr>
          <w:p w14:paraId="7065D97A"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281/16</w:t>
            </w:r>
          </w:p>
        </w:tc>
        <w:tc>
          <w:tcPr>
            <w:tcW w:w="774" w:type="pct"/>
            <w:hideMark/>
          </w:tcPr>
          <w:p w14:paraId="0E550B78"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Small Scale Mining</w:t>
            </w:r>
          </w:p>
        </w:tc>
        <w:tc>
          <w:tcPr>
            <w:tcW w:w="481" w:type="pct"/>
            <w:hideMark/>
          </w:tcPr>
          <w:p w14:paraId="6FA5AEAB"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200 ha</w:t>
            </w:r>
          </w:p>
        </w:tc>
        <w:tc>
          <w:tcPr>
            <w:tcW w:w="522" w:type="pct"/>
            <w:hideMark/>
          </w:tcPr>
          <w:p w14:paraId="422AB92D"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05/04/2016</w:t>
            </w:r>
          </w:p>
        </w:tc>
        <w:tc>
          <w:tcPr>
            <w:tcW w:w="623" w:type="pct"/>
            <w:hideMark/>
          </w:tcPr>
          <w:p w14:paraId="7C0ED247"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14/12/2021</w:t>
            </w:r>
          </w:p>
        </w:tc>
      </w:tr>
      <w:tr w:rsidR="000934EA" w:rsidRPr="00894701" w14:paraId="0BD19EFF"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7C743846"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w:t>
            </w:r>
          </w:p>
        </w:tc>
        <w:tc>
          <w:tcPr>
            <w:tcW w:w="1948" w:type="pct"/>
            <w:vAlign w:val="center"/>
            <w:hideMark/>
          </w:tcPr>
          <w:p w14:paraId="119FCB12" w14:textId="7777777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Sanvisi, Guno Nijman</w:t>
            </w:r>
          </w:p>
        </w:tc>
        <w:tc>
          <w:tcPr>
            <w:tcW w:w="451" w:type="pct"/>
            <w:hideMark/>
          </w:tcPr>
          <w:p w14:paraId="3A3E2BE9"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280/16</w:t>
            </w:r>
          </w:p>
        </w:tc>
        <w:tc>
          <w:tcPr>
            <w:tcW w:w="774" w:type="pct"/>
            <w:hideMark/>
          </w:tcPr>
          <w:p w14:paraId="7E275039"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Small Scale Mining</w:t>
            </w:r>
          </w:p>
        </w:tc>
        <w:tc>
          <w:tcPr>
            <w:tcW w:w="481" w:type="pct"/>
            <w:hideMark/>
          </w:tcPr>
          <w:p w14:paraId="453D9EF5"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200 ha</w:t>
            </w:r>
          </w:p>
        </w:tc>
        <w:tc>
          <w:tcPr>
            <w:tcW w:w="522" w:type="pct"/>
            <w:hideMark/>
          </w:tcPr>
          <w:p w14:paraId="6807E768"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05/04/2016</w:t>
            </w:r>
          </w:p>
        </w:tc>
        <w:tc>
          <w:tcPr>
            <w:tcW w:w="623" w:type="pct"/>
            <w:hideMark/>
          </w:tcPr>
          <w:p w14:paraId="124568C9"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14/12/2021</w:t>
            </w:r>
          </w:p>
        </w:tc>
      </w:tr>
      <w:tr w:rsidR="000934EA" w:rsidRPr="00894701" w14:paraId="0427D21D"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03CD440E"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w:t>
            </w:r>
          </w:p>
        </w:tc>
        <w:tc>
          <w:tcPr>
            <w:tcW w:w="1948" w:type="pct"/>
            <w:vAlign w:val="center"/>
            <w:hideMark/>
          </w:tcPr>
          <w:p w14:paraId="74B86F07" w14:textId="77777777"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Sanvisi, Guno Nijman</w:t>
            </w:r>
          </w:p>
        </w:tc>
        <w:tc>
          <w:tcPr>
            <w:tcW w:w="451" w:type="pct"/>
            <w:hideMark/>
          </w:tcPr>
          <w:p w14:paraId="6288443F"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280/16</w:t>
            </w:r>
          </w:p>
        </w:tc>
        <w:tc>
          <w:tcPr>
            <w:tcW w:w="774" w:type="pct"/>
            <w:hideMark/>
          </w:tcPr>
          <w:p w14:paraId="20AF0386"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Small Scale Mining</w:t>
            </w:r>
          </w:p>
        </w:tc>
        <w:tc>
          <w:tcPr>
            <w:tcW w:w="481" w:type="pct"/>
            <w:hideMark/>
          </w:tcPr>
          <w:p w14:paraId="7526EEF6"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200 ha</w:t>
            </w:r>
          </w:p>
        </w:tc>
        <w:tc>
          <w:tcPr>
            <w:tcW w:w="522" w:type="pct"/>
            <w:hideMark/>
          </w:tcPr>
          <w:p w14:paraId="71AA57EA"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05/04/2016</w:t>
            </w:r>
          </w:p>
        </w:tc>
        <w:tc>
          <w:tcPr>
            <w:tcW w:w="623" w:type="pct"/>
            <w:hideMark/>
          </w:tcPr>
          <w:p w14:paraId="2EFB9249"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14/12/2021</w:t>
            </w:r>
          </w:p>
        </w:tc>
      </w:tr>
      <w:tr w:rsidR="000934EA" w:rsidRPr="00894701" w14:paraId="46AA548D"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06B462FA"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w:t>
            </w:r>
          </w:p>
        </w:tc>
        <w:tc>
          <w:tcPr>
            <w:tcW w:w="1948" w:type="pct"/>
            <w:vAlign w:val="center"/>
            <w:hideMark/>
          </w:tcPr>
          <w:p w14:paraId="5145CC63" w14:textId="7798216D"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Rock &amp; Dirt Shippers N.V</w:t>
            </w:r>
            <w:r w:rsidR="00FB273C" w:rsidRPr="00894701">
              <w:rPr>
                <w:rFonts w:asciiTheme="minorHAnsi" w:hAnsiTheme="minorHAnsi" w:cs="Calibri"/>
                <w:color w:val="000000" w:themeColor="text1"/>
                <w:kern w:val="0"/>
                <w:sz w:val="16"/>
                <w:szCs w:val="16"/>
                <w:lang w:eastAsia="fr-FR"/>
              </w:rPr>
              <w:t>.</w:t>
            </w:r>
          </w:p>
        </w:tc>
        <w:tc>
          <w:tcPr>
            <w:tcW w:w="451" w:type="pct"/>
            <w:hideMark/>
          </w:tcPr>
          <w:p w14:paraId="7DBEDB50"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015/17</w:t>
            </w:r>
          </w:p>
        </w:tc>
        <w:tc>
          <w:tcPr>
            <w:tcW w:w="774" w:type="pct"/>
            <w:hideMark/>
          </w:tcPr>
          <w:p w14:paraId="1DF074BD"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2CBB470F"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285 Ha</w:t>
            </w:r>
          </w:p>
        </w:tc>
        <w:tc>
          <w:tcPr>
            <w:tcW w:w="522" w:type="pct"/>
            <w:hideMark/>
          </w:tcPr>
          <w:p w14:paraId="27A1E078"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06/01/2017</w:t>
            </w:r>
          </w:p>
        </w:tc>
        <w:tc>
          <w:tcPr>
            <w:tcW w:w="623" w:type="pct"/>
            <w:hideMark/>
          </w:tcPr>
          <w:p w14:paraId="082D2327"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10/07/2025</w:t>
            </w:r>
          </w:p>
        </w:tc>
      </w:tr>
      <w:tr w:rsidR="000934EA" w:rsidRPr="00894701" w14:paraId="730A105A"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0F7A86B5"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8</w:t>
            </w:r>
          </w:p>
        </w:tc>
        <w:tc>
          <w:tcPr>
            <w:tcW w:w="1948" w:type="pct"/>
            <w:vAlign w:val="center"/>
            <w:hideMark/>
          </w:tcPr>
          <w:p w14:paraId="6A8E8D4A" w14:textId="6A256669"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Lingisi- Mining N.V</w:t>
            </w:r>
            <w:r w:rsidR="00FB273C" w:rsidRPr="00894701">
              <w:rPr>
                <w:rFonts w:asciiTheme="minorHAnsi" w:hAnsiTheme="minorHAnsi" w:cs="Calibri"/>
                <w:color w:val="000000" w:themeColor="text1"/>
                <w:kern w:val="0"/>
                <w:sz w:val="16"/>
                <w:szCs w:val="16"/>
                <w:lang w:eastAsia="fr-FR"/>
              </w:rPr>
              <w:t>.</w:t>
            </w:r>
          </w:p>
        </w:tc>
        <w:tc>
          <w:tcPr>
            <w:tcW w:w="451" w:type="pct"/>
            <w:hideMark/>
          </w:tcPr>
          <w:p w14:paraId="79CF5148"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438/16</w:t>
            </w:r>
          </w:p>
        </w:tc>
        <w:tc>
          <w:tcPr>
            <w:tcW w:w="774" w:type="pct"/>
            <w:hideMark/>
          </w:tcPr>
          <w:p w14:paraId="216E2B99"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1A8B4A8D"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17.000 ha</w:t>
            </w:r>
          </w:p>
        </w:tc>
        <w:tc>
          <w:tcPr>
            <w:tcW w:w="522" w:type="pct"/>
            <w:hideMark/>
          </w:tcPr>
          <w:p w14:paraId="6CB7BF03"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04/03/2017</w:t>
            </w:r>
          </w:p>
        </w:tc>
        <w:tc>
          <w:tcPr>
            <w:tcW w:w="623" w:type="pct"/>
            <w:hideMark/>
          </w:tcPr>
          <w:p w14:paraId="6027D458"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05/07/2023</w:t>
            </w:r>
          </w:p>
        </w:tc>
      </w:tr>
      <w:tr w:rsidR="000934EA" w:rsidRPr="00894701" w14:paraId="6410693B"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64224B79"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9</w:t>
            </w:r>
          </w:p>
        </w:tc>
        <w:tc>
          <w:tcPr>
            <w:tcW w:w="1948" w:type="pct"/>
            <w:vAlign w:val="center"/>
            <w:hideMark/>
          </w:tcPr>
          <w:p w14:paraId="12B647B0" w14:textId="120BB98D"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Nero Norite Resources N.V</w:t>
            </w:r>
            <w:r w:rsidR="00FB273C"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75E8DF89"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364/17</w:t>
            </w:r>
          </w:p>
        </w:tc>
        <w:tc>
          <w:tcPr>
            <w:tcW w:w="774" w:type="pct"/>
            <w:hideMark/>
          </w:tcPr>
          <w:p w14:paraId="01D4783E"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4F15A489"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403 Ha</w:t>
            </w:r>
          </w:p>
        </w:tc>
        <w:tc>
          <w:tcPr>
            <w:tcW w:w="522" w:type="pct"/>
            <w:hideMark/>
          </w:tcPr>
          <w:p w14:paraId="0C55F697"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04/03/2017</w:t>
            </w:r>
          </w:p>
        </w:tc>
        <w:tc>
          <w:tcPr>
            <w:tcW w:w="623" w:type="pct"/>
            <w:hideMark/>
          </w:tcPr>
          <w:p w14:paraId="58E1A8AA"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19/12/2022</w:t>
            </w:r>
          </w:p>
        </w:tc>
      </w:tr>
      <w:tr w:rsidR="000934EA" w:rsidRPr="00894701" w14:paraId="5AD9D6DA"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64A1F6B7"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10</w:t>
            </w:r>
          </w:p>
        </w:tc>
        <w:tc>
          <w:tcPr>
            <w:tcW w:w="1948" w:type="pct"/>
            <w:vAlign w:val="center"/>
            <w:hideMark/>
          </w:tcPr>
          <w:p w14:paraId="3482B51B" w14:textId="77777777"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Duurham Wendell Gerhard </w:t>
            </w:r>
          </w:p>
        </w:tc>
        <w:tc>
          <w:tcPr>
            <w:tcW w:w="451" w:type="pct"/>
            <w:hideMark/>
          </w:tcPr>
          <w:p w14:paraId="156A927F"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706/17</w:t>
            </w:r>
          </w:p>
        </w:tc>
        <w:tc>
          <w:tcPr>
            <w:tcW w:w="774" w:type="pct"/>
            <w:hideMark/>
          </w:tcPr>
          <w:p w14:paraId="3482C2C4"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Small Scale Mining</w:t>
            </w:r>
          </w:p>
        </w:tc>
        <w:tc>
          <w:tcPr>
            <w:tcW w:w="481" w:type="pct"/>
            <w:hideMark/>
          </w:tcPr>
          <w:p w14:paraId="1776AEA0"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200 Ha</w:t>
            </w:r>
          </w:p>
        </w:tc>
        <w:tc>
          <w:tcPr>
            <w:tcW w:w="522" w:type="pct"/>
            <w:hideMark/>
          </w:tcPr>
          <w:p w14:paraId="3F15E64C"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17/04/2017</w:t>
            </w:r>
          </w:p>
        </w:tc>
        <w:tc>
          <w:tcPr>
            <w:tcW w:w="623" w:type="pct"/>
            <w:hideMark/>
          </w:tcPr>
          <w:p w14:paraId="4630D7F6"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19/12/2021</w:t>
            </w:r>
          </w:p>
        </w:tc>
      </w:tr>
      <w:tr w:rsidR="000934EA" w:rsidRPr="00894701" w14:paraId="08B79A22"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721444E8"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11</w:t>
            </w:r>
          </w:p>
        </w:tc>
        <w:tc>
          <w:tcPr>
            <w:tcW w:w="1948" w:type="pct"/>
            <w:vAlign w:val="center"/>
            <w:hideMark/>
          </w:tcPr>
          <w:p w14:paraId="0EA45EB6" w14:textId="7777777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Aannemingsbedrijf Koeman N.V</w:t>
            </w:r>
          </w:p>
        </w:tc>
        <w:tc>
          <w:tcPr>
            <w:tcW w:w="451" w:type="pct"/>
            <w:hideMark/>
          </w:tcPr>
          <w:p w14:paraId="52D22B48"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568/17</w:t>
            </w:r>
          </w:p>
        </w:tc>
        <w:tc>
          <w:tcPr>
            <w:tcW w:w="774" w:type="pct"/>
            <w:hideMark/>
          </w:tcPr>
          <w:p w14:paraId="63D347B7"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3B731A29"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200 Ha</w:t>
            </w:r>
          </w:p>
        </w:tc>
        <w:tc>
          <w:tcPr>
            <w:tcW w:w="522" w:type="pct"/>
            <w:hideMark/>
          </w:tcPr>
          <w:p w14:paraId="49BF7933"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09/05/2017</w:t>
            </w:r>
          </w:p>
        </w:tc>
        <w:tc>
          <w:tcPr>
            <w:tcW w:w="623" w:type="pct"/>
            <w:hideMark/>
          </w:tcPr>
          <w:p w14:paraId="51997F5B"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24/06/2023</w:t>
            </w:r>
          </w:p>
        </w:tc>
      </w:tr>
      <w:tr w:rsidR="000934EA" w:rsidRPr="00894701" w14:paraId="757545A3" w14:textId="77777777" w:rsidTr="00BE1B23">
        <w:trPr>
          <w:trHeight w:val="247"/>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06A0B630"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12</w:t>
            </w:r>
          </w:p>
        </w:tc>
        <w:tc>
          <w:tcPr>
            <w:tcW w:w="1948" w:type="pct"/>
            <w:vAlign w:val="center"/>
            <w:hideMark/>
          </w:tcPr>
          <w:p w14:paraId="5E7A0CE1" w14:textId="77777777"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Pinas Johannes D </w:t>
            </w:r>
          </w:p>
        </w:tc>
        <w:tc>
          <w:tcPr>
            <w:tcW w:w="451" w:type="pct"/>
            <w:hideMark/>
          </w:tcPr>
          <w:p w14:paraId="0B4CEB7C"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710/17</w:t>
            </w:r>
          </w:p>
        </w:tc>
        <w:tc>
          <w:tcPr>
            <w:tcW w:w="774" w:type="pct"/>
            <w:hideMark/>
          </w:tcPr>
          <w:p w14:paraId="20F29C10"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Small Scale Mining</w:t>
            </w:r>
          </w:p>
        </w:tc>
        <w:tc>
          <w:tcPr>
            <w:tcW w:w="481" w:type="pct"/>
            <w:hideMark/>
          </w:tcPr>
          <w:p w14:paraId="1659C524"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200 Ha</w:t>
            </w:r>
          </w:p>
        </w:tc>
        <w:tc>
          <w:tcPr>
            <w:tcW w:w="522" w:type="pct"/>
            <w:hideMark/>
          </w:tcPr>
          <w:p w14:paraId="0CECB9D1"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15/05/2017</w:t>
            </w:r>
          </w:p>
        </w:tc>
        <w:tc>
          <w:tcPr>
            <w:tcW w:w="623" w:type="pct"/>
            <w:hideMark/>
          </w:tcPr>
          <w:p w14:paraId="70A14231"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not indicated</w:t>
            </w:r>
          </w:p>
        </w:tc>
      </w:tr>
      <w:tr w:rsidR="000934EA" w:rsidRPr="00894701" w14:paraId="48B12C69"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2EFD7786"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13</w:t>
            </w:r>
          </w:p>
        </w:tc>
        <w:tc>
          <w:tcPr>
            <w:tcW w:w="1948" w:type="pct"/>
            <w:vAlign w:val="center"/>
            <w:hideMark/>
          </w:tcPr>
          <w:p w14:paraId="4CDF2C84" w14:textId="7777777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Joohna Franklijn Jerry </w:t>
            </w:r>
          </w:p>
        </w:tc>
        <w:tc>
          <w:tcPr>
            <w:tcW w:w="451" w:type="pct"/>
            <w:hideMark/>
          </w:tcPr>
          <w:p w14:paraId="28BB9FD1"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385/17</w:t>
            </w:r>
          </w:p>
        </w:tc>
        <w:tc>
          <w:tcPr>
            <w:tcW w:w="774" w:type="pct"/>
            <w:hideMark/>
          </w:tcPr>
          <w:p w14:paraId="40EEE2ED"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27847B4F"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100 ha</w:t>
            </w:r>
          </w:p>
        </w:tc>
        <w:tc>
          <w:tcPr>
            <w:tcW w:w="522" w:type="pct"/>
            <w:hideMark/>
          </w:tcPr>
          <w:p w14:paraId="207B5E0B"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19/05/2017</w:t>
            </w:r>
          </w:p>
        </w:tc>
        <w:tc>
          <w:tcPr>
            <w:tcW w:w="623" w:type="pct"/>
            <w:hideMark/>
          </w:tcPr>
          <w:p w14:paraId="37D38564"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24/08/2020</w:t>
            </w:r>
          </w:p>
        </w:tc>
      </w:tr>
      <w:tr w:rsidR="000934EA" w:rsidRPr="00894701" w14:paraId="1ADA8478"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5001A53D"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14</w:t>
            </w:r>
          </w:p>
        </w:tc>
        <w:tc>
          <w:tcPr>
            <w:tcW w:w="1948" w:type="pct"/>
            <w:vAlign w:val="center"/>
            <w:hideMark/>
          </w:tcPr>
          <w:p w14:paraId="6A2D00FB" w14:textId="77777777"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Doesburg Oswald W </w:t>
            </w:r>
          </w:p>
        </w:tc>
        <w:tc>
          <w:tcPr>
            <w:tcW w:w="451" w:type="pct"/>
            <w:hideMark/>
          </w:tcPr>
          <w:p w14:paraId="5B8B85A2"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348/17</w:t>
            </w:r>
          </w:p>
        </w:tc>
        <w:tc>
          <w:tcPr>
            <w:tcW w:w="774" w:type="pct"/>
            <w:hideMark/>
          </w:tcPr>
          <w:p w14:paraId="129279A3"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18511744"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120 Ha</w:t>
            </w:r>
          </w:p>
        </w:tc>
        <w:tc>
          <w:tcPr>
            <w:tcW w:w="522" w:type="pct"/>
            <w:hideMark/>
          </w:tcPr>
          <w:p w14:paraId="79F65641"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22/05/2017</w:t>
            </w:r>
          </w:p>
        </w:tc>
        <w:tc>
          <w:tcPr>
            <w:tcW w:w="623" w:type="pct"/>
            <w:hideMark/>
          </w:tcPr>
          <w:p w14:paraId="7A57F18C"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12/12/2020</w:t>
            </w:r>
          </w:p>
        </w:tc>
      </w:tr>
      <w:tr w:rsidR="000934EA" w:rsidRPr="00894701" w14:paraId="2B7C6D31"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4C18A5C4"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15</w:t>
            </w:r>
          </w:p>
        </w:tc>
        <w:tc>
          <w:tcPr>
            <w:tcW w:w="1948" w:type="pct"/>
            <w:vAlign w:val="center"/>
            <w:hideMark/>
          </w:tcPr>
          <w:p w14:paraId="689C368E" w14:textId="7777777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Gravenbeek Regina Albertina </w:t>
            </w:r>
          </w:p>
        </w:tc>
        <w:tc>
          <w:tcPr>
            <w:tcW w:w="451" w:type="pct"/>
            <w:hideMark/>
          </w:tcPr>
          <w:p w14:paraId="4BE5C412"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867/17</w:t>
            </w:r>
          </w:p>
        </w:tc>
        <w:tc>
          <w:tcPr>
            <w:tcW w:w="774" w:type="pct"/>
            <w:hideMark/>
          </w:tcPr>
          <w:p w14:paraId="489FC240"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33EBF7AE"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200 Ha</w:t>
            </w:r>
          </w:p>
        </w:tc>
        <w:tc>
          <w:tcPr>
            <w:tcW w:w="522" w:type="pct"/>
            <w:hideMark/>
          </w:tcPr>
          <w:p w14:paraId="7E898D4C"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02/06/2017</w:t>
            </w:r>
          </w:p>
        </w:tc>
        <w:tc>
          <w:tcPr>
            <w:tcW w:w="623" w:type="pct"/>
            <w:hideMark/>
          </w:tcPr>
          <w:p w14:paraId="7DFE9A8F"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16/06/2023</w:t>
            </w:r>
          </w:p>
        </w:tc>
      </w:tr>
      <w:tr w:rsidR="000934EA" w:rsidRPr="00894701" w14:paraId="27704C89"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5F75B369"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16</w:t>
            </w:r>
          </w:p>
        </w:tc>
        <w:tc>
          <w:tcPr>
            <w:tcW w:w="1948" w:type="pct"/>
            <w:vAlign w:val="center"/>
            <w:hideMark/>
          </w:tcPr>
          <w:p w14:paraId="4170AF57" w14:textId="77777777"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Doesburg Oswald W </w:t>
            </w:r>
          </w:p>
        </w:tc>
        <w:tc>
          <w:tcPr>
            <w:tcW w:w="451" w:type="pct"/>
            <w:hideMark/>
          </w:tcPr>
          <w:p w14:paraId="1B038189"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872/17</w:t>
            </w:r>
          </w:p>
        </w:tc>
        <w:tc>
          <w:tcPr>
            <w:tcW w:w="774" w:type="pct"/>
            <w:hideMark/>
          </w:tcPr>
          <w:p w14:paraId="708D31F1"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Small Scale Mining</w:t>
            </w:r>
          </w:p>
        </w:tc>
        <w:tc>
          <w:tcPr>
            <w:tcW w:w="481" w:type="pct"/>
            <w:hideMark/>
          </w:tcPr>
          <w:p w14:paraId="73C1EE32"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194 Ha</w:t>
            </w:r>
          </w:p>
        </w:tc>
        <w:tc>
          <w:tcPr>
            <w:tcW w:w="522" w:type="pct"/>
            <w:hideMark/>
          </w:tcPr>
          <w:p w14:paraId="71DBF9E9"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20/06/2017</w:t>
            </w:r>
          </w:p>
        </w:tc>
        <w:tc>
          <w:tcPr>
            <w:tcW w:w="623" w:type="pct"/>
            <w:hideMark/>
          </w:tcPr>
          <w:p w14:paraId="1F0F4254"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12/07/2022</w:t>
            </w:r>
          </w:p>
        </w:tc>
      </w:tr>
      <w:tr w:rsidR="000934EA" w:rsidRPr="00894701" w14:paraId="40F1DADB"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1A34EA34"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17</w:t>
            </w:r>
          </w:p>
        </w:tc>
        <w:tc>
          <w:tcPr>
            <w:tcW w:w="1948" w:type="pct"/>
            <w:vAlign w:val="center"/>
            <w:hideMark/>
          </w:tcPr>
          <w:p w14:paraId="7B099CD6" w14:textId="7777777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Van Aaron Rachida Clarita </w:t>
            </w:r>
          </w:p>
        </w:tc>
        <w:tc>
          <w:tcPr>
            <w:tcW w:w="451" w:type="pct"/>
            <w:hideMark/>
          </w:tcPr>
          <w:p w14:paraId="3AD2B6AD"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1150/17</w:t>
            </w:r>
          </w:p>
        </w:tc>
        <w:tc>
          <w:tcPr>
            <w:tcW w:w="774" w:type="pct"/>
            <w:hideMark/>
          </w:tcPr>
          <w:p w14:paraId="40B6EB48"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Small Scale Mining</w:t>
            </w:r>
          </w:p>
        </w:tc>
        <w:tc>
          <w:tcPr>
            <w:tcW w:w="481" w:type="pct"/>
            <w:hideMark/>
          </w:tcPr>
          <w:p w14:paraId="446CFA3B"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200 Ha</w:t>
            </w:r>
          </w:p>
        </w:tc>
        <w:tc>
          <w:tcPr>
            <w:tcW w:w="522" w:type="pct"/>
            <w:hideMark/>
          </w:tcPr>
          <w:p w14:paraId="23C87171"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13/11/2017</w:t>
            </w:r>
          </w:p>
        </w:tc>
        <w:tc>
          <w:tcPr>
            <w:tcW w:w="623" w:type="pct"/>
            <w:hideMark/>
          </w:tcPr>
          <w:p w14:paraId="5BB4C4E1"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18/12/2021</w:t>
            </w:r>
          </w:p>
        </w:tc>
      </w:tr>
      <w:tr w:rsidR="000934EA" w:rsidRPr="00894701" w14:paraId="6B9C2549"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1965EBB6"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18</w:t>
            </w:r>
          </w:p>
        </w:tc>
        <w:tc>
          <w:tcPr>
            <w:tcW w:w="1948" w:type="pct"/>
            <w:vAlign w:val="center"/>
            <w:hideMark/>
          </w:tcPr>
          <w:p w14:paraId="76106B06" w14:textId="37D6AD47"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Hager Mining N.V</w:t>
            </w:r>
            <w:r w:rsidR="00FB273C" w:rsidRPr="00894701">
              <w:rPr>
                <w:rFonts w:asciiTheme="minorHAnsi" w:hAnsiTheme="minorHAnsi" w:cs="Calibri"/>
                <w:color w:val="000000" w:themeColor="text1"/>
                <w:kern w:val="0"/>
                <w:sz w:val="16"/>
                <w:szCs w:val="16"/>
                <w:lang w:eastAsia="fr-FR"/>
              </w:rPr>
              <w:t>.</w:t>
            </w:r>
          </w:p>
        </w:tc>
        <w:tc>
          <w:tcPr>
            <w:tcW w:w="451" w:type="pct"/>
            <w:hideMark/>
          </w:tcPr>
          <w:p w14:paraId="6EE6B113"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129/18</w:t>
            </w:r>
          </w:p>
        </w:tc>
        <w:tc>
          <w:tcPr>
            <w:tcW w:w="774" w:type="pct"/>
            <w:hideMark/>
          </w:tcPr>
          <w:p w14:paraId="23241553"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3A52C886"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85 Ha</w:t>
            </w:r>
          </w:p>
        </w:tc>
        <w:tc>
          <w:tcPr>
            <w:tcW w:w="522" w:type="pct"/>
            <w:hideMark/>
          </w:tcPr>
          <w:p w14:paraId="14E39F70"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12/01/2018</w:t>
            </w:r>
          </w:p>
        </w:tc>
        <w:tc>
          <w:tcPr>
            <w:tcW w:w="623" w:type="pct"/>
            <w:hideMark/>
          </w:tcPr>
          <w:p w14:paraId="7B684E98"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21/03/2023</w:t>
            </w:r>
          </w:p>
        </w:tc>
      </w:tr>
      <w:tr w:rsidR="000934EA" w:rsidRPr="00894701" w14:paraId="1BC76646"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604F5C53"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19</w:t>
            </w:r>
          </w:p>
        </w:tc>
        <w:tc>
          <w:tcPr>
            <w:tcW w:w="1948" w:type="pct"/>
            <w:vAlign w:val="center"/>
            <w:hideMark/>
          </w:tcPr>
          <w:p w14:paraId="5F95D143" w14:textId="7777777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Moifatoe Mining N.V. </w:t>
            </w:r>
          </w:p>
        </w:tc>
        <w:tc>
          <w:tcPr>
            <w:tcW w:w="451" w:type="pct"/>
            <w:hideMark/>
          </w:tcPr>
          <w:p w14:paraId="1189F3E0"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022/18</w:t>
            </w:r>
          </w:p>
        </w:tc>
        <w:tc>
          <w:tcPr>
            <w:tcW w:w="774" w:type="pct"/>
            <w:hideMark/>
          </w:tcPr>
          <w:p w14:paraId="745D8781"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4324435E"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9.447,5 ha</w:t>
            </w:r>
          </w:p>
        </w:tc>
        <w:tc>
          <w:tcPr>
            <w:tcW w:w="522" w:type="pct"/>
            <w:hideMark/>
          </w:tcPr>
          <w:p w14:paraId="61394F61"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17/01/2018</w:t>
            </w:r>
          </w:p>
        </w:tc>
        <w:tc>
          <w:tcPr>
            <w:tcW w:w="623" w:type="pct"/>
            <w:hideMark/>
          </w:tcPr>
          <w:p w14:paraId="6EA71B18"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10/07/2023</w:t>
            </w:r>
          </w:p>
        </w:tc>
      </w:tr>
      <w:tr w:rsidR="000934EA" w:rsidRPr="00894701" w14:paraId="0E422D38"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4BAB5D53"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w:t>
            </w:r>
          </w:p>
        </w:tc>
        <w:tc>
          <w:tcPr>
            <w:tcW w:w="1948" w:type="pct"/>
            <w:vAlign w:val="center"/>
            <w:hideMark/>
          </w:tcPr>
          <w:p w14:paraId="08282773" w14:textId="77777777"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W &amp; S TRANSPORT </w:t>
            </w:r>
          </w:p>
        </w:tc>
        <w:tc>
          <w:tcPr>
            <w:tcW w:w="451" w:type="pct"/>
            <w:hideMark/>
          </w:tcPr>
          <w:p w14:paraId="077E28A5"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023/18</w:t>
            </w:r>
          </w:p>
        </w:tc>
        <w:tc>
          <w:tcPr>
            <w:tcW w:w="774" w:type="pct"/>
            <w:hideMark/>
          </w:tcPr>
          <w:p w14:paraId="0DE9E875"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618791EA"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128 ha</w:t>
            </w:r>
          </w:p>
        </w:tc>
        <w:tc>
          <w:tcPr>
            <w:tcW w:w="522" w:type="pct"/>
            <w:hideMark/>
          </w:tcPr>
          <w:p w14:paraId="28F5ADCD"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17/01/2018</w:t>
            </w:r>
          </w:p>
        </w:tc>
        <w:tc>
          <w:tcPr>
            <w:tcW w:w="623" w:type="pct"/>
            <w:hideMark/>
          </w:tcPr>
          <w:p w14:paraId="74196B9C"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21/10/2022</w:t>
            </w:r>
          </w:p>
        </w:tc>
      </w:tr>
      <w:tr w:rsidR="000934EA" w:rsidRPr="00894701" w14:paraId="72843086"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1BCD8667"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21</w:t>
            </w:r>
          </w:p>
        </w:tc>
        <w:tc>
          <w:tcPr>
            <w:tcW w:w="1948" w:type="pct"/>
            <w:vAlign w:val="center"/>
            <w:hideMark/>
          </w:tcPr>
          <w:p w14:paraId="36A9D4B7" w14:textId="7777777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Santai Benaja Peronie </w:t>
            </w:r>
          </w:p>
        </w:tc>
        <w:tc>
          <w:tcPr>
            <w:tcW w:w="451" w:type="pct"/>
            <w:hideMark/>
          </w:tcPr>
          <w:p w14:paraId="2C524C45"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074/18</w:t>
            </w:r>
          </w:p>
        </w:tc>
        <w:tc>
          <w:tcPr>
            <w:tcW w:w="774" w:type="pct"/>
            <w:hideMark/>
          </w:tcPr>
          <w:p w14:paraId="6C44BA19"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Small Scale Mining</w:t>
            </w:r>
          </w:p>
        </w:tc>
        <w:tc>
          <w:tcPr>
            <w:tcW w:w="481" w:type="pct"/>
            <w:hideMark/>
          </w:tcPr>
          <w:p w14:paraId="23A4326A"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200 Ha</w:t>
            </w:r>
          </w:p>
        </w:tc>
        <w:tc>
          <w:tcPr>
            <w:tcW w:w="522" w:type="pct"/>
            <w:hideMark/>
          </w:tcPr>
          <w:p w14:paraId="6D2EE48C"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08/02/2018</w:t>
            </w:r>
          </w:p>
        </w:tc>
        <w:tc>
          <w:tcPr>
            <w:tcW w:w="623" w:type="pct"/>
            <w:hideMark/>
          </w:tcPr>
          <w:p w14:paraId="3B02B91C"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25/06/2022</w:t>
            </w:r>
          </w:p>
        </w:tc>
      </w:tr>
      <w:tr w:rsidR="000934EA" w:rsidRPr="00894701" w14:paraId="0771341A" w14:textId="77777777" w:rsidTr="00BE1B23">
        <w:trPr>
          <w:trHeight w:val="351"/>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54467E36"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22</w:t>
            </w:r>
          </w:p>
        </w:tc>
        <w:tc>
          <w:tcPr>
            <w:tcW w:w="1948" w:type="pct"/>
            <w:vAlign w:val="center"/>
            <w:hideMark/>
          </w:tcPr>
          <w:p w14:paraId="2F64CF6F" w14:textId="72F3E018"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ZHONG DA INTERNATIONAL ENGINEERING COMPANY (SURINAME)</w:t>
            </w:r>
            <w:r w:rsidR="00206BA2" w:rsidRPr="00894701">
              <w:rPr>
                <w:rFonts w:asciiTheme="minorHAnsi" w:hAnsiTheme="minorHAnsi" w:cs="Calibri"/>
                <w:color w:val="000000" w:themeColor="text1"/>
                <w:kern w:val="0"/>
                <w:sz w:val="16"/>
                <w:szCs w:val="16"/>
                <w:lang w:eastAsia="fr-FR"/>
              </w:rPr>
              <w:t xml:space="preserve"> </w:t>
            </w:r>
          </w:p>
        </w:tc>
        <w:tc>
          <w:tcPr>
            <w:tcW w:w="451" w:type="pct"/>
            <w:hideMark/>
          </w:tcPr>
          <w:p w14:paraId="4976ABCB"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026/18</w:t>
            </w:r>
          </w:p>
        </w:tc>
        <w:tc>
          <w:tcPr>
            <w:tcW w:w="774" w:type="pct"/>
            <w:hideMark/>
          </w:tcPr>
          <w:p w14:paraId="68A955BF"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434B79C5"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334 ha</w:t>
            </w:r>
          </w:p>
        </w:tc>
        <w:tc>
          <w:tcPr>
            <w:tcW w:w="522" w:type="pct"/>
            <w:hideMark/>
          </w:tcPr>
          <w:p w14:paraId="418B5E4C"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20/02/2018</w:t>
            </w:r>
          </w:p>
        </w:tc>
        <w:tc>
          <w:tcPr>
            <w:tcW w:w="623" w:type="pct"/>
            <w:hideMark/>
          </w:tcPr>
          <w:p w14:paraId="1AAD5A62"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18/11/2024</w:t>
            </w:r>
          </w:p>
        </w:tc>
      </w:tr>
      <w:tr w:rsidR="000934EA" w:rsidRPr="00894701" w14:paraId="1DB44066"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1CE87C66"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23</w:t>
            </w:r>
          </w:p>
        </w:tc>
        <w:tc>
          <w:tcPr>
            <w:tcW w:w="1948" w:type="pct"/>
            <w:vAlign w:val="center"/>
            <w:hideMark/>
          </w:tcPr>
          <w:p w14:paraId="1DF91C50" w14:textId="67942F5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The High State of Knowledge Company N.V</w:t>
            </w:r>
            <w:r w:rsidR="00FB273C"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78BFF8EF"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097/18</w:t>
            </w:r>
          </w:p>
        </w:tc>
        <w:tc>
          <w:tcPr>
            <w:tcW w:w="774" w:type="pct"/>
            <w:hideMark/>
          </w:tcPr>
          <w:p w14:paraId="77BDDAC9"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497F5BDD"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3422 Ha</w:t>
            </w:r>
          </w:p>
        </w:tc>
        <w:tc>
          <w:tcPr>
            <w:tcW w:w="522" w:type="pct"/>
            <w:hideMark/>
          </w:tcPr>
          <w:p w14:paraId="35F3F717"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02/05/2018</w:t>
            </w:r>
          </w:p>
        </w:tc>
        <w:tc>
          <w:tcPr>
            <w:tcW w:w="623" w:type="pct"/>
            <w:hideMark/>
          </w:tcPr>
          <w:p w14:paraId="6B5B03F8"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19/05/2023</w:t>
            </w:r>
          </w:p>
        </w:tc>
      </w:tr>
      <w:tr w:rsidR="000934EA" w:rsidRPr="00894701" w14:paraId="41A0DC92"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271753E9"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24</w:t>
            </w:r>
          </w:p>
        </w:tc>
        <w:tc>
          <w:tcPr>
            <w:tcW w:w="1948" w:type="pct"/>
            <w:vAlign w:val="center"/>
            <w:hideMark/>
          </w:tcPr>
          <w:p w14:paraId="44FAD6BA" w14:textId="77777777"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Doea Marvin </w:t>
            </w:r>
          </w:p>
        </w:tc>
        <w:tc>
          <w:tcPr>
            <w:tcW w:w="451" w:type="pct"/>
            <w:hideMark/>
          </w:tcPr>
          <w:p w14:paraId="660C898A"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092/18</w:t>
            </w:r>
          </w:p>
        </w:tc>
        <w:tc>
          <w:tcPr>
            <w:tcW w:w="774" w:type="pct"/>
            <w:hideMark/>
          </w:tcPr>
          <w:p w14:paraId="0A056986"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Small Scale Mining</w:t>
            </w:r>
          </w:p>
        </w:tc>
        <w:tc>
          <w:tcPr>
            <w:tcW w:w="481" w:type="pct"/>
            <w:hideMark/>
          </w:tcPr>
          <w:p w14:paraId="0CADECDC"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200 Ha</w:t>
            </w:r>
          </w:p>
        </w:tc>
        <w:tc>
          <w:tcPr>
            <w:tcW w:w="522" w:type="pct"/>
            <w:hideMark/>
          </w:tcPr>
          <w:p w14:paraId="076469B9"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03/05/2018</w:t>
            </w:r>
          </w:p>
        </w:tc>
        <w:tc>
          <w:tcPr>
            <w:tcW w:w="623" w:type="pct"/>
            <w:hideMark/>
          </w:tcPr>
          <w:p w14:paraId="3238A1B8"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09/07/2022</w:t>
            </w:r>
          </w:p>
        </w:tc>
      </w:tr>
      <w:tr w:rsidR="000934EA" w:rsidRPr="00894701" w14:paraId="40BF4CDD"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533AA6E1"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25</w:t>
            </w:r>
          </w:p>
        </w:tc>
        <w:tc>
          <w:tcPr>
            <w:tcW w:w="1948" w:type="pct"/>
            <w:vAlign w:val="center"/>
            <w:hideMark/>
          </w:tcPr>
          <w:p w14:paraId="0C20D76A" w14:textId="7777777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Dapaloe, Adjamde </w:t>
            </w:r>
          </w:p>
        </w:tc>
        <w:tc>
          <w:tcPr>
            <w:tcW w:w="451" w:type="pct"/>
            <w:hideMark/>
          </w:tcPr>
          <w:p w14:paraId="62F4B088"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618/16</w:t>
            </w:r>
          </w:p>
        </w:tc>
        <w:tc>
          <w:tcPr>
            <w:tcW w:w="774" w:type="pct"/>
            <w:hideMark/>
          </w:tcPr>
          <w:p w14:paraId="602545FE"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Small Scale Mining</w:t>
            </w:r>
          </w:p>
        </w:tc>
        <w:tc>
          <w:tcPr>
            <w:tcW w:w="481" w:type="pct"/>
            <w:hideMark/>
          </w:tcPr>
          <w:p w14:paraId="10FB1364"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200 ha</w:t>
            </w:r>
          </w:p>
        </w:tc>
        <w:tc>
          <w:tcPr>
            <w:tcW w:w="522" w:type="pct"/>
            <w:hideMark/>
          </w:tcPr>
          <w:p w14:paraId="0B23AF4F"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08/06/2018</w:t>
            </w:r>
          </w:p>
        </w:tc>
        <w:tc>
          <w:tcPr>
            <w:tcW w:w="623" w:type="pct"/>
            <w:hideMark/>
          </w:tcPr>
          <w:p w14:paraId="73092437"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07/06/2022</w:t>
            </w:r>
          </w:p>
        </w:tc>
      </w:tr>
      <w:tr w:rsidR="000934EA" w:rsidRPr="00894701" w14:paraId="1548606A"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05F48FEF"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26</w:t>
            </w:r>
          </w:p>
        </w:tc>
        <w:tc>
          <w:tcPr>
            <w:tcW w:w="1948" w:type="pct"/>
            <w:vAlign w:val="center"/>
            <w:hideMark/>
          </w:tcPr>
          <w:p w14:paraId="1242688B" w14:textId="2F33133E"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Kingdom Resources N.V</w:t>
            </w:r>
            <w:r w:rsidR="00FB273C"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18B15020"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774/20</w:t>
            </w:r>
          </w:p>
        </w:tc>
        <w:tc>
          <w:tcPr>
            <w:tcW w:w="774" w:type="pct"/>
            <w:hideMark/>
          </w:tcPr>
          <w:p w14:paraId="655B94DE"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056B002A"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16.284 Ha</w:t>
            </w:r>
          </w:p>
        </w:tc>
        <w:tc>
          <w:tcPr>
            <w:tcW w:w="522" w:type="pct"/>
            <w:hideMark/>
          </w:tcPr>
          <w:p w14:paraId="74F1F3DE"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13/06/2018</w:t>
            </w:r>
          </w:p>
        </w:tc>
        <w:tc>
          <w:tcPr>
            <w:tcW w:w="623" w:type="pct"/>
            <w:hideMark/>
          </w:tcPr>
          <w:p w14:paraId="012576BA"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10/07/2023</w:t>
            </w:r>
          </w:p>
        </w:tc>
      </w:tr>
      <w:tr w:rsidR="000934EA" w:rsidRPr="00894701" w14:paraId="60DA593F"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14A787BF"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27</w:t>
            </w:r>
          </w:p>
        </w:tc>
        <w:tc>
          <w:tcPr>
            <w:tcW w:w="1948" w:type="pct"/>
            <w:vAlign w:val="center"/>
            <w:hideMark/>
          </w:tcPr>
          <w:p w14:paraId="7A0F6311" w14:textId="2FD438AE"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Tepete Jare Ponong N.V</w:t>
            </w:r>
            <w:r w:rsidR="00FB273C"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3B587FF8"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156/18</w:t>
            </w:r>
          </w:p>
        </w:tc>
        <w:tc>
          <w:tcPr>
            <w:tcW w:w="774" w:type="pct"/>
            <w:hideMark/>
          </w:tcPr>
          <w:p w14:paraId="4D3227D5"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182EEEF2"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130 Ha</w:t>
            </w:r>
          </w:p>
        </w:tc>
        <w:tc>
          <w:tcPr>
            <w:tcW w:w="522" w:type="pct"/>
            <w:hideMark/>
          </w:tcPr>
          <w:p w14:paraId="5B918836"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04/07/2018</w:t>
            </w:r>
          </w:p>
        </w:tc>
        <w:tc>
          <w:tcPr>
            <w:tcW w:w="623" w:type="pct"/>
            <w:hideMark/>
          </w:tcPr>
          <w:p w14:paraId="792378B3"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27/04/2023</w:t>
            </w:r>
          </w:p>
        </w:tc>
      </w:tr>
      <w:tr w:rsidR="000934EA" w:rsidRPr="00894701" w14:paraId="70A683BC"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339EA738"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28</w:t>
            </w:r>
          </w:p>
        </w:tc>
        <w:tc>
          <w:tcPr>
            <w:tcW w:w="1948" w:type="pct"/>
            <w:vAlign w:val="center"/>
            <w:hideMark/>
          </w:tcPr>
          <w:p w14:paraId="6881E74F" w14:textId="4925B80D"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Famor Resources Company N.V</w:t>
            </w:r>
            <w:r w:rsidR="00FB273C"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5A93A4FA"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159/18</w:t>
            </w:r>
          </w:p>
        </w:tc>
        <w:tc>
          <w:tcPr>
            <w:tcW w:w="774" w:type="pct"/>
            <w:hideMark/>
          </w:tcPr>
          <w:p w14:paraId="6D2CFE82"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722CAC72"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2448 Ha</w:t>
            </w:r>
          </w:p>
        </w:tc>
        <w:tc>
          <w:tcPr>
            <w:tcW w:w="522" w:type="pct"/>
            <w:hideMark/>
          </w:tcPr>
          <w:p w14:paraId="36E08EEB"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11/07/2018</w:t>
            </w:r>
          </w:p>
        </w:tc>
        <w:tc>
          <w:tcPr>
            <w:tcW w:w="623" w:type="pct"/>
            <w:hideMark/>
          </w:tcPr>
          <w:p w14:paraId="5FD7B0CD"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15/05/2023</w:t>
            </w:r>
          </w:p>
        </w:tc>
      </w:tr>
      <w:tr w:rsidR="000934EA" w:rsidRPr="00894701" w14:paraId="690CDAD4"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3F18A647"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29</w:t>
            </w:r>
          </w:p>
        </w:tc>
        <w:tc>
          <w:tcPr>
            <w:tcW w:w="1948" w:type="pct"/>
            <w:vAlign w:val="center"/>
            <w:hideMark/>
          </w:tcPr>
          <w:p w14:paraId="2FAFC9AF" w14:textId="1D92240A"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Vasu Timber N.V</w:t>
            </w:r>
            <w:r w:rsidR="00FB273C"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05D91AE4"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161/18</w:t>
            </w:r>
          </w:p>
        </w:tc>
        <w:tc>
          <w:tcPr>
            <w:tcW w:w="774" w:type="pct"/>
            <w:hideMark/>
          </w:tcPr>
          <w:p w14:paraId="74E947E9"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3478A07E"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4846 Ha</w:t>
            </w:r>
          </w:p>
        </w:tc>
        <w:tc>
          <w:tcPr>
            <w:tcW w:w="522" w:type="pct"/>
            <w:hideMark/>
          </w:tcPr>
          <w:p w14:paraId="12B1DC84"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11/07/2018</w:t>
            </w:r>
          </w:p>
        </w:tc>
        <w:tc>
          <w:tcPr>
            <w:tcW w:w="623" w:type="pct"/>
            <w:hideMark/>
          </w:tcPr>
          <w:p w14:paraId="4C656628"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20/06/2023</w:t>
            </w:r>
          </w:p>
        </w:tc>
      </w:tr>
      <w:tr w:rsidR="000934EA" w:rsidRPr="00894701" w14:paraId="51AC914E"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2D33F01A"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30</w:t>
            </w:r>
          </w:p>
        </w:tc>
        <w:tc>
          <w:tcPr>
            <w:tcW w:w="1948" w:type="pct"/>
            <w:vAlign w:val="center"/>
            <w:hideMark/>
          </w:tcPr>
          <w:p w14:paraId="3C8EDD4D" w14:textId="409DB169"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D&amp; D Suriname Working Factory N.V</w:t>
            </w:r>
            <w:r w:rsidR="00FB273C"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4FCCB43B"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142/18</w:t>
            </w:r>
          </w:p>
        </w:tc>
        <w:tc>
          <w:tcPr>
            <w:tcW w:w="774" w:type="pct"/>
            <w:hideMark/>
          </w:tcPr>
          <w:p w14:paraId="7B2B0C6E"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3D88BF5D"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3698 Ha</w:t>
            </w:r>
          </w:p>
        </w:tc>
        <w:tc>
          <w:tcPr>
            <w:tcW w:w="522" w:type="pct"/>
            <w:hideMark/>
          </w:tcPr>
          <w:p w14:paraId="42221FBD"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12/07/2018</w:t>
            </w:r>
          </w:p>
        </w:tc>
        <w:tc>
          <w:tcPr>
            <w:tcW w:w="623" w:type="pct"/>
            <w:hideMark/>
          </w:tcPr>
          <w:p w14:paraId="32285E0B"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22/05/2023</w:t>
            </w:r>
          </w:p>
        </w:tc>
      </w:tr>
      <w:tr w:rsidR="000934EA" w:rsidRPr="00894701" w14:paraId="78CFFB9B"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644F37D9"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31</w:t>
            </w:r>
          </w:p>
        </w:tc>
        <w:tc>
          <w:tcPr>
            <w:tcW w:w="1948" w:type="pct"/>
            <w:vAlign w:val="center"/>
            <w:hideMark/>
          </w:tcPr>
          <w:p w14:paraId="4E1E69DB" w14:textId="53D457FE"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Pinbada Mining Company N.V</w:t>
            </w:r>
            <w:r w:rsidR="00FB273C"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7FCFD138"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157/18</w:t>
            </w:r>
          </w:p>
        </w:tc>
        <w:tc>
          <w:tcPr>
            <w:tcW w:w="774" w:type="pct"/>
            <w:hideMark/>
          </w:tcPr>
          <w:p w14:paraId="629A494D"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53FB07D5"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163 Ha</w:t>
            </w:r>
          </w:p>
        </w:tc>
        <w:tc>
          <w:tcPr>
            <w:tcW w:w="522" w:type="pct"/>
            <w:hideMark/>
          </w:tcPr>
          <w:p w14:paraId="60684FB1"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02/08/2018</w:t>
            </w:r>
          </w:p>
        </w:tc>
        <w:tc>
          <w:tcPr>
            <w:tcW w:w="623" w:type="pct"/>
            <w:hideMark/>
          </w:tcPr>
          <w:p w14:paraId="1CC626EC"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12/07/2025</w:t>
            </w:r>
          </w:p>
        </w:tc>
      </w:tr>
      <w:tr w:rsidR="000934EA" w:rsidRPr="00894701" w14:paraId="7202D92A"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5DF45B46"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32</w:t>
            </w:r>
          </w:p>
        </w:tc>
        <w:tc>
          <w:tcPr>
            <w:tcW w:w="1948" w:type="pct"/>
            <w:vAlign w:val="center"/>
            <w:hideMark/>
          </w:tcPr>
          <w:p w14:paraId="025E70EA" w14:textId="77777777"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Waterberg Roy Maxmiliaan </w:t>
            </w:r>
          </w:p>
        </w:tc>
        <w:tc>
          <w:tcPr>
            <w:tcW w:w="451" w:type="pct"/>
            <w:hideMark/>
          </w:tcPr>
          <w:p w14:paraId="7C1E645F"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164/18</w:t>
            </w:r>
          </w:p>
        </w:tc>
        <w:tc>
          <w:tcPr>
            <w:tcW w:w="774" w:type="pct"/>
            <w:hideMark/>
          </w:tcPr>
          <w:p w14:paraId="34FD8687"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7D1EB6BD"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200 Ha</w:t>
            </w:r>
          </w:p>
        </w:tc>
        <w:tc>
          <w:tcPr>
            <w:tcW w:w="522" w:type="pct"/>
            <w:hideMark/>
          </w:tcPr>
          <w:p w14:paraId="1E557EBA"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24/08/2018</w:t>
            </w:r>
          </w:p>
        </w:tc>
        <w:tc>
          <w:tcPr>
            <w:tcW w:w="623" w:type="pct"/>
            <w:hideMark/>
          </w:tcPr>
          <w:p w14:paraId="50EB6808"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24/06/2023</w:t>
            </w:r>
          </w:p>
        </w:tc>
      </w:tr>
      <w:tr w:rsidR="000934EA" w:rsidRPr="00894701" w14:paraId="7D9EB1AD"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72520D6D"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33</w:t>
            </w:r>
          </w:p>
        </w:tc>
        <w:tc>
          <w:tcPr>
            <w:tcW w:w="1948" w:type="pct"/>
            <w:vAlign w:val="center"/>
            <w:hideMark/>
          </w:tcPr>
          <w:p w14:paraId="50DA0176" w14:textId="7777777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Lamsberg Glenn M </w:t>
            </w:r>
          </w:p>
        </w:tc>
        <w:tc>
          <w:tcPr>
            <w:tcW w:w="451" w:type="pct"/>
            <w:hideMark/>
          </w:tcPr>
          <w:p w14:paraId="5676F73D"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183/18</w:t>
            </w:r>
          </w:p>
        </w:tc>
        <w:tc>
          <w:tcPr>
            <w:tcW w:w="774" w:type="pct"/>
            <w:hideMark/>
          </w:tcPr>
          <w:p w14:paraId="2CF7C42A"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382D5367"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 Ha</w:t>
            </w:r>
          </w:p>
        </w:tc>
        <w:tc>
          <w:tcPr>
            <w:tcW w:w="522" w:type="pct"/>
            <w:hideMark/>
          </w:tcPr>
          <w:p w14:paraId="3DE56F95"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14/09/2018</w:t>
            </w:r>
          </w:p>
        </w:tc>
        <w:tc>
          <w:tcPr>
            <w:tcW w:w="623" w:type="pct"/>
            <w:hideMark/>
          </w:tcPr>
          <w:p w14:paraId="25F686D0"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26/06/2023</w:t>
            </w:r>
          </w:p>
        </w:tc>
      </w:tr>
      <w:tr w:rsidR="000934EA" w:rsidRPr="00894701" w14:paraId="78C39B01"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4C132B10"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34</w:t>
            </w:r>
          </w:p>
        </w:tc>
        <w:tc>
          <w:tcPr>
            <w:tcW w:w="1948" w:type="pct"/>
            <w:vAlign w:val="center"/>
            <w:hideMark/>
          </w:tcPr>
          <w:p w14:paraId="1667F056" w14:textId="25DDBDA2"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Roceb N.V</w:t>
            </w:r>
            <w:r w:rsidR="00FB273C"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2C7BDFD2"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199/18</w:t>
            </w:r>
          </w:p>
        </w:tc>
        <w:tc>
          <w:tcPr>
            <w:tcW w:w="774" w:type="pct"/>
            <w:hideMark/>
          </w:tcPr>
          <w:p w14:paraId="27464731"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4E25FCB7"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345 Ha</w:t>
            </w:r>
          </w:p>
        </w:tc>
        <w:tc>
          <w:tcPr>
            <w:tcW w:w="522" w:type="pct"/>
            <w:hideMark/>
          </w:tcPr>
          <w:p w14:paraId="225CD11F"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31/10/2018</w:t>
            </w:r>
          </w:p>
        </w:tc>
        <w:tc>
          <w:tcPr>
            <w:tcW w:w="623" w:type="pct"/>
            <w:hideMark/>
          </w:tcPr>
          <w:p w14:paraId="5DCF6787"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15/05/2023</w:t>
            </w:r>
          </w:p>
        </w:tc>
      </w:tr>
      <w:tr w:rsidR="000934EA" w:rsidRPr="00894701" w14:paraId="0EBBDA66"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031E63F6"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35</w:t>
            </w:r>
          </w:p>
        </w:tc>
        <w:tc>
          <w:tcPr>
            <w:tcW w:w="1948" w:type="pct"/>
            <w:vAlign w:val="center"/>
            <w:hideMark/>
          </w:tcPr>
          <w:p w14:paraId="3FED8BBD" w14:textId="7777777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Goudberg Miquel Howard </w:t>
            </w:r>
          </w:p>
        </w:tc>
        <w:tc>
          <w:tcPr>
            <w:tcW w:w="451" w:type="pct"/>
            <w:hideMark/>
          </w:tcPr>
          <w:p w14:paraId="1716B46C"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012/18</w:t>
            </w:r>
          </w:p>
        </w:tc>
        <w:tc>
          <w:tcPr>
            <w:tcW w:w="774" w:type="pct"/>
            <w:hideMark/>
          </w:tcPr>
          <w:p w14:paraId="5D1446C9"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6DEC65A8" w14:textId="533DD784"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200</w:t>
            </w:r>
            <w:r w:rsidR="00206BA2" w:rsidRPr="00894701">
              <w:rPr>
                <w:rFonts w:asciiTheme="minorHAnsi" w:hAnsiTheme="minorHAnsi" w:cs="Calibri"/>
                <w:color w:val="000000" w:themeColor="text1"/>
                <w:kern w:val="0"/>
                <w:sz w:val="16"/>
                <w:szCs w:val="16"/>
                <w:lang w:eastAsia="fr-FR"/>
              </w:rPr>
              <w:t xml:space="preserve"> </w:t>
            </w:r>
            <w:r w:rsidRPr="00894701">
              <w:rPr>
                <w:rFonts w:asciiTheme="minorHAnsi" w:hAnsiTheme="minorHAnsi" w:cs="Calibri"/>
                <w:color w:val="000000" w:themeColor="text1"/>
                <w:kern w:val="0"/>
                <w:sz w:val="16"/>
                <w:szCs w:val="16"/>
                <w:lang w:eastAsia="fr-FR"/>
              </w:rPr>
              <w:t>ha</w:t>
            </w:r>
          </w:p>
        </w:tc>
        <w:tc>
          <w:tcPr>
            <w:tcW w:w="522" w:type="pct"/>
            <w:hideMark/>
          </w:tcPr>
          <w:p w14:paraId="2104D9AA"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12/12/2018</w:t>
            </w:r>
          </w:p>
        </w:tc>
        <w:tc>
          <w:tcPr>
            <w:tcW w:w="623" w:type="pct"/>
            <w:hideMark/>
          </w:tcPr>
          <w:p w14:paraId="521F1D82"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01/03/2021</w:t>
            </w:r>
          </w:p>
        </w:tc>
      </w:tr>
      <w:tr w:rsidR="000934EA" w:rsidRPr="00894701" w14:paraId="4334F746"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57B62A2F"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36</w:t>
            </w:r>
          </w:p>
        </w:tc>
        <w:tc>
          <w:tcPr>
            <w:tcW w:w="1948" w:type="pct"/>
            <w:vAlign w:val="center"/>
            <w:hideMark/>
          </w:tcPr>
          <w:p w14:paraId="027D3095" w14:textId="3D0608F5"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Adriaan Asadonoe</w:t>
            </w:r>
            <w:r w:rsidR="00206BA2" w:rsidRPr="00894701">
              <w:rPr>
                <w:rFonts w:asciiTheme="minorHAnsi" w:hAnsiTheme="minorHAnsi" w:cs="Calibri"/>
                <w:color w:val="000000" w:themeColor="text1"/>
                <w:kern w:val="0"/>
                <w:sz w:val="16"/>
                <w:szCs w:val="16"/>
                <w:lang w:eastAsia="fr-FR"/>
              </w:rPr>
              <w:t xml:space="preserve"> </w:t>
            </w:r>
          </w:p>
        </w:tc>
        <w:tc>
          <w:tcPr>
            <w:tcW w:w="451" w:type="pct"/>
            <w:hideMark/>
          </w:tcPr>
          <w:p w14:paraId="17BD8000"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238/18</w:t>
            </w:r>
          </w:p>
        </w:tc>
        <w:tc>
          <w:tcPr>
            <w:tcW w:w="774" w:type="pct"/>
            <w:hideMark/>
          </w:tcPr>
          <w:p w14:paraId="5BE4387F"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5D584F54"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343 Ha</w:t>
            </w:r>
          </w:p>
        </w:tc>
        <w:tc>
          <w:tcPr>
            <w:tcW w:w="522" w:type="pct"/>
            <w:hideMark/>
          </w:tcPr>
          <w:p w14:paraId="1FE838A3"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21/12/2018</w:t>
            </w:r>
          </w:p>
        </w:tc>
        <w:tc>
          <w:tcPr>
            <w:tcW w:w="623" w:type="pct"/>
            <w:hideMark/>
          </w:tcPr>
          <w:p w14:paraId="2AD18701"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14/06/2023</w:t>
            </w:r>
          </w:p>
        </w:tc>
      </w:tr>
      <w:tr w:rsidR="000934EA" w:rsidRPr="00894701" w14:paraId="5467E9E7"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61FEFDF6"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37</w:t>
            </w:r>
          </w:p>
        </w:tc>
        <w:tc>
          <w:tcPr>
            <w:tcW w:w="1948" w:type="pct"/>
            <w:vAlign w:val="center"/>
            <w:hideMark/>
          </w:tcPr>
          <w:p w14:paraId="0E61B5CA" w14:textId="7777777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WeeWee Johannes</w:t>
            </w:r>
          </w:p>
        </w:tc>
        <w:tc>
          <w:tcPr>
            <w:tcW w:w="451" w:type="pct"/>
            <w:hideMark/>
          </w:tcPr>
          <w:p w14:paraId="5587BDAE"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406/19</w:t>
            </w:r>
          </w:p>
        </w:tc>
        <w:tc>
          <w:tcPr>
            <w:tcW w:w="774" w:type="pct"/>
            <w:hideMark/>
          </w:tcPr>
          <w:p w14:paraId="538497FF"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Small Scale Minin</w:t>
            </w:r>
          </w:p>
        </w:tc>
        <w:tc>
          <w:tcPr>
            <w:tcW w:w="481" w:type="pct"/>
            <w:hideMark/>
          </w:tcPr>
          <w:p w14:paraId="20C7FF09"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200 ha</w:t>
            </w:r>
          </w:p>
        </w:tc>
        <w:tc>
          <w:tcPr>
            <w:tcW w:w="522" w:type="pct"/>
            <w:hideMark/>
          </w:tcPr>
          <w:p w14:paraId="338FB73D"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11/01/2019</w:t>
            </w:r>
          </w:p>
        </w:tc>
        <w:tc>
          <w:tcPr>
            <w:tcW w:w="623" w:type="pct"/>
            <w:hideMark/>
          </w:tcPr>
          <w:p w14:paraId="2B757721"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19/12/2021</w:t>
            </w:r>
          </w:p>
        </w:tc>
      </w:tr>
      <w:tr w:rsidR="000934EA" w:rsidRPr="00894701" w14:paraId="18DB71CB"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3185369C"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38</w:t>
            </w:r>
          </w:p>
        </w:tc>
        <w:tc>
          <w:tcPr>
            <w:tcW w:w="1948" w:type="pct"/>
            <w:vAlign w:val="center"/>
            <w:hideMark/>
          </w:tcPr>
          <w:p w14:paraId="5E8CC388" w14:textId="77777777"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Wolff Wensly</w:t>
            </w:r>
          </w:p>
        </w:tc>
        <w:tc>
          <w:tcPr>
            <w:tcW w:w="451" w:type="pct"/>
            <w:hideMark/>
          </w:tcPr>
          <w:p w14:paraId="59360F79"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417/19</w:t>
            </w:r>
          </w:p>
        </w:tc>
        <w:tc>
          <w:tcPr>
            <w:tcW w:w="774" w:type="pct"/>
            <w:hideMark/>
          </w:tcPr>
          <w:p w14:paraId="09FC7159"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34951563"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200 ha</w:t>
            </w:r>
          </w:p>
        </w:tc>
        <w:tc>
          <w:tcPr>
            <w:tcW w:w="522" w:type="pct"/>
            <w:hideMark/>
          </w:tcPr>
          <w:p w14:paraId="56623754"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04/02/2019</w:t>
            </w:r>
          </w:p>
        </w:tc>
        <w:tc>
          <w:tcPr>
            <w:tcW w:w="623" w:type="pct"/>
            <w:hideMark/>
          </w:tcPr>
          <w:p w14:paraId="10F16C7B"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21/10/2022</w:t>
            </w:r>
          </w:p>
        </w:tc>
      </w:tr>
      <w:tr w:rsidR="000934EA" w:rsidRPr="00894701" w14:paraId="49CAA31C"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35A93AAF"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39</w:t>
            </w:r>
          </w:p>
        </w:tc>
        <w:tc>
          <w:tcPr>
            <w:tcW w:w="1948" w:type="pct"/>
            <w:vAlign w:val="center"/>
            <w:hideMark/>
          </w:tcPr>
          <w:p w14:paraId="383D1F6B" w14:textId="7777777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Golden Prapy</w:t>
            </w:r>
          </w:p>
        </w:tc>
        <w:tc>
          <w:tcPr>
            <w:tcW w:w="451" w:type="pct"/>
            <w:hideMark/>
          </w:tcPr>
          <w:p w14:paraId="1BEB2F87"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223/18</w:t>
            </w:r>
          </w:p>
        </w:tc>
        <w:tc>
          <w:tcPr>
            <w:tcW w:w="774" w:type="pct"/>
            <w:hideMark/>
          </w:tcPr>
          <w:p w14:paraId="288B17D9"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7B1EB672"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400Ha</w:t>
            </w:r>
          </w:p>
        </w:tc>
        <w:tc>
          <w:tcPr>
            <w:tcW w:w="522" w:type="pct"/>
            <w:hideMark/>
          </w:tcPr>
          <w:p w14:paraId="644A32B7"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21/02/2019</w:t>
            </w:r>
          </w:p>
        </w:tc>
        <w:tc>
          <w:tcPr>
            <w:tcW w:w="623" w:type="pct"/>
            <w:hideMark/>
          </w:tcPr>
          <w:p w14:paraId="0D8887B3"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09/07/2025</w:t>
            </w:r>
          </w:p>
        </w:tc>
      </w:tr>
      <w:tr w:rsidR="000934EA" w:rsidRPr="00894701" w14:paraId="419B7AEF"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7DE05524"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40</w:t>
            </w:r>
          </w:p>
        </w:tc>
        <w:tc>
          <w:tcPr>
            <w:tcW w:w="1948" w:type="pct"/>
            <w:vAlign w:val="center"/>
            <w:hideMark/>
          </w:tcPr>
          <w:p w14:paraId="222F3C78" w14:textId="77777777"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Irlun N.V. </w:t>
            </w:r>
          </w:p>
        </w:tc>
        <w:tc>
          <w:tcPr>
            <w:tcW w:w="451" w:type="pct"/>
            <w:hideMark/>
          </w:tcPr>
          <w:p w14:paraId="092F7AC6"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279/19</w:t>
            </w:r>
          </w:p>
        </w:tc>
        <w:tc>
          <w:tcPr>
            <w:tcW w:w="774" w:type="pct"/>
            <w:hideMark/>
          </w:tcPr>
          <w:p w14:paraId="7D85B3BA"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0D4CD073"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352 ha</w:t>
            </w:r>
          </w:p>
        </w:tc>
        <w:tc>
          <w:tcPr>
            <w:tcW w:w="522" w:type="pct"/>
            <w:hideMark/>
          </w:tcPr>
          <w:p w14:paraId="56E57237"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03/04/2019</w:t>
            </w:r>
          </w:p>
        </w:tc>
        <w:tc>
          <w:tcPr>
            <w:tcW w:w="623" w:type="pct"/>
            <w:hideMark/>
          </w:tcPr>
          <w:p w14:paraId="3B5B88CA"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26/01/2023</w:t>
            </w:r>
          </w:p>
        </w:tc>
      </w:tr>
      <w:tr w:rsidR="000934EA" w:rsidRPr="00894701" w14:paraId="3940B06E"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04C7FC98"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41</w:t>
            </w:r>
          </w:p>
        </w:tc>
        <w:tc>
          <w:tcPr>
            <w:tcW w:w="1948" w:type="pct"/>
            <w:vAlign w:val="center"/>
            <w:hideMark/>
          </w:tcPr>
          <w:p w14:paraId="0731F790" w14:textId="5F73B57C"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Luna N.V</w:t>
            </w:r>
            <w:r w:rsidR="00FB273C"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22F30676"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266/19</w:t>
            </w:r>
          </w:p>
        </w:tc>
        <w:tc>
          <w:tcPr>
            <w:tcW w:w="774" w:type="pct"/>
            <w:hideMark/>
          </w:tcPr>
          <w:p w14:paraId="604BAAB7"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51E1241E"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395 ha</w:t>
            </w:r>
          </w:p>
        </w:tc>
        <w:tc>
          <w:tcPr>
            <w:tcW w:w="522" w:type="pct"/>
            <w:hideMark/>
          </w:tcPr>
          <w:p w14:paraId="4533737B"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02/06/2019</w:t>
            </w:r>
          </w:p>
        </w:tc>
        <w:tc>
          <w:tcPr>
            <w:tcW w:w="623" w:type="pct"/>
            <w:hideMark/>
          </w:tcPr>
          <w:p w14:paraId="61E214B1"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19/12/2022</w:t>
            </w:r>
          </w:p>
        </w:tc>
      </w:tr>
      <w:tr w:rsidR="000934EA" w:rsidRPr="00894701" w14:paraId="7519DC30"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01BD358B"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42</w:t>
            </w:r>
          </w:p>
        </w:tc>
        <w:tc>
          <w:tcPr>
            <w:tcW w:w="1948" w:type="pct"/>
            <w:vAlign w:val="center"/>
            <w:hideMark/>
          </w:tcPr>
          <w:p w14:paraId="52BBD735" w14:textId="77777777"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Ankossie André </w:t>
            </w:r>
          </w:p>
        </w:tc>
        <w:tc>
          <w:tcPr>
            <w:tcW w:w="451" w:type="pct"/>
            <w:hideMark/>
          </w:tcPr>
          <w:p w14:paraId="0B3BF190"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325/19</w:t>
            </w:r>
          </w:p>
        </w:tc>
        <w:tc>
          <w:tcPr>
            <w:tcW w:w="774" w:type="pct"/>
            <w:hideMark/>
          </w:tcPr>
          <w:p w14:paraId="15AEDB9C"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Small Scale Mining</w:t>
            </w:r>
          </w:p>
        </w:tc>
        <w:tc>
          <w:tcPr>
            <w:tcW w:w="481" w:type="pct"/>
            <w:hideMark/>
          </w:tcPr>
          <w:p w14:paraId="702BAF49"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200 ha</w:t>
            </w:r>
          </w:p>
        </w:tc>
        <w:tc>
          <w:tcPr>
            <w:tcW w:w="522" w:type="pct"/>
            <w:hideMark/>
          </w:tcPr>
          <w:p w14:paraId="56F06586"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04/06/2019</w:t>
            </w:r>
          </w:p>
        </w:tc>
        <w:tc>
          <w:tcPr>
            <w:tcW w:w="623" w:type="pct"/>
            <w:hideMark/>
          </w:tcPr>
          <w:p w14:paraId="5F73B5FF"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26/06/2022</w:t>
            </w:r>
          </w:p>
        </w:tc>
      </w:tr>
      <w:tr w:rsidR="000934EA" w:rsidRPr="00894701" w14:paraId="1343AEAF"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7C21147F"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43</w:t>
            </w:r>
          </w:p>
        </w:tc>
        <w:tc>
          <w:tcPr>
            <w:tcW w:w="1948" w:type="pct"/>
            <w:vAlign w:val="center"/>
            <w:hideMark/>
          </w:tcPr>
          <w:p w14:paraId="1C1C3E1B" w14:textId="041EB8E2"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val="fr-FR" w:eastAsia="fr-FR"/>
              </w:rPr>
            </w:pPr>
            <w:r w:rsidRPr="00894701">
              <w:rPr>
                <w:rFonts w:asciiTheme="minorHAnsi" w:hAnsiTheme="minorHAnsi" w:cs="Calibri"/>
                <w:color w:val="000000" w:themeColor="text1"/>
                <w:kern w:val="0"/>
                <w:sz w:val="16"/>
                <w:szCs w:val="16"/>
                <w:lang w:val="fr-FR" w:eastAsia="fr-FR"/>
              </w:rPr>
              <w:t>Gezusters van de Leuv N.V</w:t>
            </w:r>
            <w:r w:rsidR="00FB273C" w:rsidRPr="00894701">
              <w:rPr>
                <w:rFonts w:asciiTheme="minorHAnsi" w:hAnsiTheme="minorHAnsi" w:cs="Calibri"/>
                <w:color w:val="000000" w:themeColor="text1"/>
                <w:kern w:val="0"/>
                <w:sz w:val="16"/>
                <w:szCs w:val="16"/>
                <w:lang w:val="fr-FR" w:eastAsia="fr-FR"/>
              </w:rPr>
              <w:t>.</w:t>
            </w:r>
            <w:r w:rsidRPr="00894701">
              <w:rPr>
                <w:rFonts w:asciiTheme="minorHAnsi" w:hAnsiTheme="minorHAnsi" w:cs="Calibri"/>
                <w:color w:val="000000" w:themeColor="text1"/>
                <w:kern w:val="0"/>
                <w:sz w:val="16"/>
                <w:szCs w:val="16"/>
                <w:lang w:val="fr-FR" w:eastAsia="fr-FR"/>
              </w:rPr>
              <w:t xml:space="preserve"> </w:t>
            </w:r>
          </w:p>
        </w:tc>
        <w:tc>
          <w:tcPr>
            <w:tcW w:w="451" w:type="pct"/>
            <w:hideMark/>
          </w:tcPr>
          <w:p w14:paraId="02874FEE"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118/18</w:t>
            </w:r>
          </w:p>
        </w:tc>
        <w:tc>
          <w:tcPr>
            <w:tcW w:w="774" w:type="pct"/>
            <w:hideMark/>
          </w:tcPr>
          <w:p w14:paraId="1C1200D4"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79B694AA"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435,55 Ha</w:t>
            </w:r>
          </w:p>
        </w:tc>
        <w:tc>
          <w:tcPr>
            <w:tcW w:w="522" w:type="pct"/>
            <w:hideMark/>
          </w:tcPr>
          <w:p w14:paraId="6C7231D2"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11/06/2019</w:t>
            </w:r>
          </w:p>
        </w:tc>
        <w:tc>
          <w:tcPr>
            <w:tcW w:w="623" w:type="pct"/>
            <w:hideMark/>
          </w:tcPr>
          <w:p w14:paraId="73EE2D10"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18/12/2020</w:t>
            </w:r>
          </w:p>
        </w:tc>
      </w:tr>
      <w:tr w:rsidR="000934EA" w:rsidRPr="00894701" w14:paraId="25294303"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26912A65"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44</w:t>
            </w:r>
          </w:p>
        </w:tc>
        <w:tc>
          <w:tcPr>
            <w:tcW w:w="1948" w:type="pct"/>
            <w:vAlign w:val="center"/>
            <w:hideMark/>
          </w:tcPr>
          <w:p w14:paraId="2A142EB9" w14:textId="7244BF7A"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Virdevza 3 N.V</w:t>
            </w:r>
            <w:r w:rsidR="00FB273C"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6351345D"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580/20</w:t>
            </w:r>
          </w:p>
        </w:tc>
        <w:tc>
          <w:tcPr>
            <w:tcW w:w="774" w:type="pct"/>
            <w:hideMark/>
          </w:tcPr>
          <w:p w14:paraId="3D52C6BA"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2B9E9979"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196 ha</w:t>
            </w:r>
          </w:p>
        </w:tc>
        <w:tc>
          <w:tcPr>
            <w:tcW w:w="522" w:type="pct"/>
            <w:hideMark/>
          </w:tcPr>
          <w:p w14:paraId="7E7290DE"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11/07/2019</w:t>
            </w:r>
          </w:p>
        </w:tc>
        <w:tc>
          <w:tcPr>
            <w:tcW w:w="623" w:type="pct"/>
            <w:hideMark/>
          </w:tcPr>
          <w:p w14:paraId="0C2C93A8"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24/06/2023</w:t>
            </w:r>
          </w:p>
        </w:tc>
      </w:tr>
      <w:tr w:rsidR="000934EA" w:rsidRPr="00894701" w14:paraId="05C29151"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3AFC9FA9"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45</w:t>
            </w:r>
          </w:p>
        </w:tc>
        <w:tc>
          <w:tcPr>
            <w:tcW w:w="1948" w:type="pct"/>
            <w:vAlign w:val="center"/>
            <w:hideMark/>
          </w:tcPr>
          <w:p w14:paraId="0885DA82" w14:textId="7777777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Karijodikoro Djanmady A </w:t>
            </w:r>
          </w:p>
        </w:tc>
        <w:tc>
          <w:tcPr>
            <w:tcW w:w="451" w:type="pct"/>
            <w:hideMark/>
          </w:tcPr>
          <w:p w14:paraId="121C64FA"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574/20</w:t>
            </w:r>
          </w:p>
        </w:tc>
        <w:tc>
          <w:tcPr>
            <w:tcW w:w="774" w:type="pct"/>
            <w:hideMark/>
          </w:tcPr>
          <w:p w14:paraId="665A83B0"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397AF1F8"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200 ha</w:t>
            </w:r>
          </w:p>
        </w:tc>
        <w:tc>
          <w:tcPr>
            <w:tcW w:w="522" w:type="pct"/>
            <w:hideMark/>
          </w:tcPr>
          <w:p w14:paraId="3CA19AAD"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12/07/2019</w:t>
            </w:r>
          </w:p>
        </w:tc>
        <w:tc>
          <w:tcPr>
            <w:tcW w:w="623" w:type="pct"/>
            <w:hideMark/>
          </w:tcPr>
          <w:p w14:paraId="1EB7A1B0"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29/06/2025</w:t>
            </w:r>
          </w:p>
        </w:tc>
      </w:tr>
      <w:tr w:rsidR="000934EA" w:rsidRPr="00894701" w14:paraId="6675CCA9"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144D82A1"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46</w:t>
            </w:r>
          </w:p>
        </w:tc>
        <w:tc>
          <w:tcPr>
            <w:tcW w:w="1948" w:type="pct"/>
            <w:vAlign w:val="center"/>
            <w:hideMark/>
          </w:tcPr>
          <w:p w14:paraId="7C9928C9" w14:textId="54C56515"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Kyara Mining &amp; Consult N.V</w:t>
            </w:r>
            <w:r w:rsidR="00FB273C"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1ABEA01B"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457/19</w:t>
            </w:r>
          </w:p>
        </w:tc>
        <w:tc>
          <w:tcPr>
            <w:tcW w:w="774" w:type="pct"/>
            <w:hideMark/>
          </w:tcPr>
          <w:p w14:paraId="1E10F3AB"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0B60A205"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400 Ha</w:t>
            </w:r>
          </w:p>
        </w:tc>
        <w:tc>
          <w:tcPr>
            <w:tcW w:w="522" w:type="pct"/>
            <w:hideMark/>
          </w:tcPr>
          <w:p w14:paraId="15344474"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23/07/2019</w:t>
            </w:r>
          </w:p>
        </w:tc>
        <w:tc>
          <w:tcPr>
            <w:tcW w:w="623" w:type="pct"/>
            <w:hideMark/>
          </w:tcPr>
          <w:p w14:paraId="1132D72E"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14/06/2023</w:t>
            </w:r>
          </w:p>
        </w:tc>
      </w:tr>
      <w:tr w:rsidR="000934EA" w:rsidRPr="00894701" w14:paraId="00DEFCA9"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50395E23"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47</w:t>
            </w:r>
          </w:p>
        </w:tc>
        <w:tc>
          <w:tcPr>
            <w:tcW w:w="1948" w:type="pct"/>
            <w:vAlign w:val="center"/>
            <w:hideMark/>
          </w:tcPr>
          <w:p w14:paraId="43DD5063" w14:textId="7777777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Breeveld Sergio Gregory </w:t>
            </w:r>
          </w:p>
        </w:tc>
        <w:tc>
          <w:tcPr>
            <w:tcW w:w="451" w:type="pct"/>
            <w:hideMark/>
          </w:tcPr>
          <w:p w14:paraId="1C61C07B"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416/19</w:t>
            </w:r>
          </w:p>
        </w:tc>
        <w:tc>
          <w:tcPr>
            <w:tcW w:w="774" w:type="pct"/>
            <w:hideMark/>
          </w:tcPr>
          <w:p w14:paraId="6D21F257"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4A5AF4A2"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43 ha</w:t>
            </w:r>
          </w:p>
        </w:tc>
        <w:tc>
          <w:tcPr>
            <w:tcW w:w="522" w:type="pct"/>
            <w:hideMark/>
          </w:tcPr>
          <w:p w14:paraId="1E67BC9A"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07/08/2019</w:t>
            </w:r>
          </w:p>
        </w:tc>
        <w:tc>
          <w:tcPr>
            <w:tcW w:w="623" w:type="pct"/>
            <w:hideMark/>
          </w:tcPr>
          <w:p w14:paraId="0CBB19F1"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22/10/2022</w:t>
            </w:r>
          </w:p>
        </w:tc>
      </w:tr>
      <w:tr w:rsidR="000934EA" w:rsidRPr="00894701" w14:paraId="22354AE7"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058F852A"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48</w:t>
            </w:r>
          </w:p>
        </w:tc>
        <w:tc>
          <w:tcPr>
            <w:tcW w:w="1948" w:type="pct"/>
            <w:vAlign w:val="center"/>
            <w:hideMark/>
          </w:tcPr>
          <w:p w14:paraId="6DF43E59" w14:textId="026CD5A2"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Handelmij Dharmsingh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4E08DA78"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438/19</w:t>
            </w:r>
          </w:p>
        </w:tc>
        <w:tc>
          <w:tcPr>
            <w:tcW w:w="774" w:type="pct"/>
            <w:hideMark/>
          </w:tcPr>
          <w:p w14:paraId="44B20B08"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7D5DF8C9"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56 Ha</w:t>
            </w:r>
          </w:p>
        </w:tc>
        <w:tc>
          <w:tcPr>
            <w:tcW w:w="522" w:type="pct"/>
            <w:hideMark/>
          </w:tcPr>
          <w:p w14:paraId="191E30C8"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19/08/2019</w:t>
            </w:r>
          </w:p>
        </w:tc>
        <w:tc>
          <w:tcPr>
            <w:tcW w:w="623" w:type="pct"/>
            <w:hideMark/>
          </w:tcPr>
          <w:p w14:paraId="36422294"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18/12/202</w:t>
            </w:r>
          </w:p>
        </w:tc>
      </w:tr>
      <w:tr w:rsidR="000934EA" w:rsidRPr="00894701" w14:paraId="71544F58"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7187502A"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49</w:t>
            </w:r>
          </w:p>
        </w:tc>
        <w:tc>
          <w:tcPr>
            <w:tcW w:w="1948" w:type="pct"/>
            <w:vAlign w:val="center"/>
            <w:hideMark/>
          </w:tcPr>
          <w:p w14:paraId="6F1B49B3" w14:textId="7777777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Bont Brain Carlos </w:t>
            </w:r>
          </w:p>
        </w:tc>
        <w:tc>
          <w:tcPr>
            <w:tcW w:w="451" w:type="pct"/>
            <w:hideMark/>
          </w:tcPr>
          <w:p w14:paraId="04E74E58"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451/19</w:t>
            </w:r>
          </w:p>
        </w:tc>
        <w:tc>
          <w:tcPr>
            <w:tcW w:w="774" w:type="pct"/>
            <w:hideMark/>
          </w:tcPr>
          <w:p w14:paraId="38B53241"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1A55A881"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124 Ha</w:t>
            </w:r>
          </w:p>
        </w:tc>
        <w:tc>
          <w:tcPr>
            <w:tcW w:w="522" w:type="pct"/>
            <w:hideMark/>
          </w:tcPr>
          <w:p w14:paraId="632E1BE0"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11/09/2019</w:t>
            </w:r>
          </w:p>
        </w:tc>
        <w:tc>
          <w:tcPr>
            <w:tcW w:w="623" w:type="pct"/>
            <w:hideMark/>
          </w:tcPr>
          <w:p w14:paraId="7AF0575C"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11/05/2025</w:t>
            </w:r>
          </w:p>
        </w:tc>
      </w:tr>
      <w:tr w:rsidR="000934EA" w:rsidRPr="00894701" w14:paraId="10FF1A28"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4A74C49A"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50</w:t>
            </w:r>
          </w:p>
        </w:tc>
        <w:tc>
          <w:tcPr>
            <w:tcW w:w="1948" w:type="pct"/>
            <w:vAlign w:val="center"/>
            <w:hideMark/>
          </w:tcPr>
          <w:p w14:paraId="7CA7157E" w14:textId="16F99EB3"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Infinity Mining &amp; Consultancy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30F082E7"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458/19</w:t>
            </w:r>
          </w:p>
        </w:tc>
        <w:tc>
          <w:tcPr>
            <w:tcW w:w="774" w:type="pct"/>
            <w:hideMark/>
          </w:tcPr>
          <w:p w14:paraId="15DAA2C6"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7FA34B03"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200 Ha</w:t>
            </w:r>
          </w:p>
        </w:tc>
        <w:tc>
          <w:tcPr>
            <w:tcW w:w="522" w:type="pct"/>
            <w:hideMark/>
          </w:tcPr>
          <w:p w14:paraId="36819E10"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23/09/2019</w:t>
            </w:r>
          </w:p>
        </w:tc>
        <w:tc>
          <w:tcPr>
            <w:tcW w:w="623" w:type="pct"/>
            <w:hideMark/>
          </w:tcPr>
          <w:p w14:paraId="25999BEA"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15/06/2023</w:t>
            </w:r>
          </w:p>
        </w:tc>
      </w:tr>
      <w:tr w:rsidR="000934EA" w:rsidRPr="00894701" w14:paraId="194E896B"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259B2236"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51</w:t>
            </w:r>
          </w:p>
        </w:tc>
        <w:tc>
          <w:tcPr>
            <w:tcW w:w="1948" w:type="pct"/>
            <w:vAlign w:val="center"/>
            <w:hideMark/>
          </w:tcPr>
          <w:p w14:paraId="4B7C3580" w14:textId="7777777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Asaf Robby Franklin </w:t>
            </w:r>
          </w:p>
        </w:tc>
        <w:tc>
          <w:tcPr>
            <w:tcW w:w="451" w:type="pct"/>
            <w:hideMark/>
          </w:tcPr>
          <w:p w14:paraId="771D5F11" w14:textId="77777777" w:rsidR="000934EA" w:rsidRPr="00894701" w:rsidRDefault="000934EA" w:rsidP="000934EA">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400/19</w:t>
            </w:r>
          </w:p>
        </w:tc>
        <w:tc>
          <w:tcPr>
            <w:tcW w:w="774" w:type="pct"/>
            <w:hideMark/>
          </w:tcPr>
          <w:p w14:paraId="3CD4FAC6" w14:textId="740A8746" w:rsidR="000934EA" w:rsidRPr="00894701" w:rsidRDefault="000934EA" w:rsidP="000934EA">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Small Scale Mining</w:t>
            </w:r>
            <w:r w:rsidR="00206BA2" w:rsidRPr="00894701">
              <w:rPr>
                <w:rFonts w:asciiTheme="minorHAnsi" w:hAnsiTheme="minorHAnsi" w:cs="Calibri"/>
                <w:color w:val="000000" w:themeColor="text1"/>
                <w:kern w:val="0"/>
                <w:sz w:val="16"/>
                <w:szCs w:val="16"/>
                <w:lang w:eastAsia="fr-FR"/>
              </w:rPr>
              <w:t xml:space="preserve">    </w:t>
            </w:r>
          </w:p>
        </w:tc>
        <w:tc>
          <w:tcPr>
            <w:tcW w:w="481" w:type="pct"/>
            <w:hideMark/>
          </w:tcPr>
          <w:p w14:paraId="51A55179" w14:textId="77777777" w:rsidR="000934EA" w:rsidRPr="00894701" w:rsidRDefault="000934EA" w:rsidP="000934EA">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200 ha</w:t>
            </w:r>
          </w:p>
        </w:tc>
        <w:tc>
          <w:tcPr>
            <w:tcW w:w="522" w:type="pct"/>
            <w:hideMark/>
          </w:tcPr>
          <w:p w14:paraId="4E337D1A" w14:textId="77777777" w:rsidR="000934EA" w:rsidRPr="00894701" w:rsidRDefault="000934EA" w:rsidP="000934E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06/10/2019</w:t>
            </w:r>
          </w:p>
        </w:tc>
        <w:tc>
          <w:tcPr>
            <w:tcW w:w="623" w:type="pct"/>
            <w:hideMark/>
          </w:tcPr>
          <w:p w14:paraId="285328BC" w14:textId="77777777" w:rsidR="000934EA" w:rsidRPr="00894701" w:rsidRDefault="000934EA" w:rsidP="000934E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16/09/2021</w:t>
            </w:r>
          </w:p>
        </w:tc>
      </w:tr>
      <w:tr w:rsidR="000934EA" w:rsidRPr="00894701" w14:paraId="597AA90F"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74FA8E88"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52</w:t>
            </w:r>
          </w:p>
        </w:tc>
        <w:tc>
          <w:tcPr>
            <w:tcW w:w="1948" w:type="pct"/>
            <w:vAlign w:val="center"/>
            <w:hideMark/>
          </w:tcPr>
          <w:p w14:paraId="4B3AEE3E" w14:textId="0F936B8C"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Vani Resources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2ED29DA9"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475/19</w:t>
            </w:r>
          </w:p>
        </w:tc>
        <w:tc>
          <w:tcPr>
            <w:tcW w:w="774" w:type="pct"/>
            <w:hideMark/>
          </w:tcPr>
          <w:p w14:paraId="60F72DC4"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05A39C16"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200Ha</w:t>
            </w:r>
          </w:p>
        </w:tc>
        <w:tc>
          <w:tcPr>
            <w:tcW w:w="522" w:type="pct"/>
            <w:hideMark/>
          </w:tcPr>
          <w:p w14:paraId="70A7B056"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16/10/2019</w:t>
            </w:r>
          </w:p>
        </w:tc>
        <w:tc>
          <w:tcPr>
            <w:tcW w:w="623" w:type="pct"/>
            <w:hideMark/>
          </w:tcPr>
          <w:p w14:paraId="6C24C3DB"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21/06/2025</w:t>
            </w:r>
          </w:p>
        </w:tc>
      </w:tr>
      <w:tr w:rsidR="000934EA" w:rsidRPr="00894701" w14:paraId="27E1B32D"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51B49212"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53</w:t>
            </w:r>
          </w:p>
        </w:tc>
        <w:tc>
          <w:tcPr>
            <w:tcW w:w="1948" w:type="pct"/>
            <w:vAlign w:val="center"/>
            <w:hideMark/>
          </w:tcPr>
          <w:p w14:paraId="17548C6A" w14:textId="3FFC79FA"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United Suri-Fast Mining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219B8A1D"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189/18</w:t>
            </w:r>
          </w:p>
        </w:tc>
        <w:tc>
          <w:tcPr>
            <w:tcW w:w="774" w:type="pct"/>
            <w:hideMark/>
          </w:tcPr>
          <w:p w14:paraId="670E3893"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279D4887"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4276 Ha</w:t>
            </w:r>
          </w:p>
        </w:tc>
        <w:tc>
          <w:tcPr>
            <w:tcW w:w="522" w:type="pct"/>
            <w:hideMark/>
          </w:tcPr>
          <w:p w14:paraId="57F436D0"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24/10/2019</w:t>
            </w:r>
          </w:p>
        </w:tc>
        <w:tc>
          <w:tcPr>
            <w:tcW w:w="623" w:type="pct"/>
            <w:hideMark/>
          </w:tcPr>
          <w:p w14:paraId="4EE7A640"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13/07/2023</w:t>
            </w:r>
          </w:p>
        </w:tc>
      </w:tr>
      <w:tr w:rsidR="000934EA" w:rsidRPr="00894701" w14:paraId="50FC9C78"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18A39B98"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54</w:t>
            </w:r>
          </w:p>
        </w:tc>
        <w:tc>
          <w:tcPr>
            <w:tcW w:w="1948" w:type="pct"/>
            <w:vAlign w:val="center"/>
            <w:hideMark/>
          </w:tcPr>
          <w:p w14:paraId="5794CC51" w14:textId="3962D110"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Capital Gold Eagle Mining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026F1ED0"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520/17</w:t>
            </w:r>
          </w:p>
        </w:tc>
        <w:tc>
          <w:tcPr>
            <w:tcW w:w="774" w:type="pct"/>
            <w:hideMark/>
          </w:tcPr>
          <w:p w14:paraId="7BFDCDCD"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Exploitation</w:t>
            </w:r>
          </w:p>
        </w:tc>
        <w:tc>
          <w:tcPr>
            <w:tcW w:w="481" w:type="pct"/>
            <w:hideMark/>
          </w:tcPr>
          <w:p w14:paraId="52CD332D"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2554 Ha</w:t>
            </w:r>
          </w:p>
        </w:tc>
        <w:tc>
          <w:tcPr>
            <w:tcW w:w="522" w:type="pct"/>
            <w:hideMark/>
          </w:tcPr>
          <w:p w14:paraId="25311FF0"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25/10/2019</w:t>
            </w:r>
          </w:p>
        </w:tc>
        <w:tc>
          <w:tcPr>
            <w:tcW w:w="623" w:type="pct"/>
            <w:hideMark/>
          </w:tcPr>
          <w:p w14:paraId="68A304D0"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30/04/2023</w:t>
            </w:r>
          </w:p>
        </w:tc>
      </w:tr>
      <w:tr w:rsidR="000934EA" w:rsidRPr="00894701" w14:paraId="0C4A6BA9"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060B7992"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55</w:t>
            </w:r>
          </w:p>
        </w:tc>
        <w:tc>
          <w:tcPr>
            <w:tcW w:w="1948" w:type="pct"/>
            <w:vAlign w:val="center"/>
            <w:hideMark/>
          </w:tcPr>
          <w:p w14:paraId="01437E94" w14:textId="6C000212"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Handelmij Dharmsingh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155BB182"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480/19</w:t>
            </w:r>
          </w:p>
        </w:tc>
        <w:tc>
          <w:tcPr>
            <w:tcW w:w="774" w:type="pct"/>
            <w:hideMark/>
          </w:tcPr>
          <w:p w14:paraId="79B5957A"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46345913"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87.59 Ha</w:t>
            </w:r>
          </w:p>
        </w:tc>
        <w:tc>
          <w:tcPr>
            <w:tcW w:w="522" w:type="pct"/>
            <w:hideMark/>
          </w:tcPr>
          <w:p w14:paraId="614A17C6"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28/10/2019</w:t>
            </w:r>
          </w:p>
        </w:tc>
        <w:tc>
          <w:tcPr>
            <w:tcW w:w="623" w:type="pct"/>
            <w:hideMark/>
          </w:tcPr>
          <w:p w14:paraId="727EFA04"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09/07/2023</w:t>
            </w:r>
          </w:p>
        </w:tc>
      </w:tr>
      <w:tr w:rsidR="000934EA" w:rsidRPr="00894701" w14:paraId="0425E615"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1E10DDC8"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56</w:t>
            </w:r>
          </w:p>
        </w:tc>
        <w:tc>
          <w:tcPr>
            <w:tcW w:w="1948" w:type="pct"/>
            <w:vAlign w:val="center"/>
            <w:hideMark/>
          </w:tcPr>
          <w:p w14:paraId="0818FBA8" w14:textId="11CDCA0E"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Noah Mining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417AFFC6"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489/19</w:t>
            </w:r>
          </w:p>
        </w:tc>
        <w:tc>
          <w:tcPr>
            <w:tcW w:w="774" w:type="pct"/>
            <w:hideMark/>
          </w:tcPr>
          <w:p w14:paraId="26B31B0F"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4021D6E8"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1600 Ha</w:t>
            </w:r>
          </w:p>
        </w:tc>
        <w:tc>
          <w:tcPr>
            <w:tcW w:w="522" w:type="pct"/>
            <w:hideMark/>
          </w:tcPr>
          <w:p w14:paraId="6D3E4E8E"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01/11/2019</w:t>
            </w:r>
          </w:p>
        </w:tc>
        <w:tc>
          <w:tcPr>
            <w:tcW w:w="623" w:type="pct"/>
            <w:hideMark/>
          </w:tcPr>
          <w:p w14:paraId="0A589A58"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13/07/2023</w:t>
            </w:r>
          </w:p>
        </w:tc>
      </w:tr>
      <w:tr w:rsidR="000934EA" w:rsidRPr="00894701" w14:paraId="191F783E"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3CF86B60"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57</w:t>
            </w:r>
          </w:p>
        </w:tc>
        <w:tc>
          <w:tcPr>
            <w:tcW w:w="1948" w:type="pct"/>
            <w:vAlign w:val="center"/>
            <w:hideMark/>
          </w:tcPr>
          <w:p w14:paraId="213C211C" w14:textId="1A5A7CC6"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Selakriki Okanisi Resources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1ACF03D8"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490/19</w:t>
            </w:r>
          </w:p>
        </w:tc>
        <w:tc>
          <w:tcPr>
            <w:tcW w:w="774" w:type="pct"/>
            <w:hideMark/>
          </w:tcPr>
          <w:p w14:paraId="12D332B0"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4B4C4CC6"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11825 Ha</w:t>
            </w:r>
          </w:p>
        </w:tc>
        <w:tc>
          <w:tcPr>
            <w:tcW w:w="522" w:type="pct"/>
            <w:hideMark/>
          </w:tcPr>
          <w:p w14:paraId="492A22AB"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01/11/2019</w:t>
            </w:r>
          </w:p>
        </w:tc>
        <w:tc>
          <w:tcPr>
            <w:tcW w:w="623" w:type="pct"/>
            <w:hideMark/>
          </w:tcPr>
          <w:p w14:paraId="7080D2AF"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09/07/2023</w:t>
            </w:r>
          </w:p>
        </w:tc>
      </w:tr>
      <w:tr w:rsidR="000934EA" w:rsidRPr="00894701" w14:paraId="5E68FCA3"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67548EF4"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58</w:t>
            </w:r>
          </w:p>
        </w:tc>
        <w:tc>
          <w:tcPr>
            <w:tcW w:w="1948" w:type="pct"/>
            <w:vAlign w:val="center"/>
            <w:hideMark/>
          </w:tcPr>
          <w:p w14:paraId="31FD1BD4" w14:textId="77777777"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val="nl-NL" w:eastAsia="fr-FR"/>
              </w:rPr>
            </w:pPr>
            <w:r w:rsidRPr="00894701">
              <w:rPr>
                <w:rFonts w:asciiTheme="minorHAnsi" w:hAnsiTheme="minorHAnsi" w:cs="Calibri"/>
                <w:color w:val="000000" w:themeColor="text1"/>
                <w:kern w:val="0"/>
                <w:sz w:val="16"/>
                <w:szCs w:val="16"/>
                <w:lang w:val="nl-NL" w:eastAsia="fr-FR"/>
              </w:rPr>
              <w:t xml:space="preserve">Bouw- en Civieltechnische werken D&amp;D NV </w:t>
            </w:r>
          </w:p>
        </w:tc>
        <w:tc>
          <w:tcPr>
            <w:tcW w:w="451" w:type="pct"/>
            <w:hideMark/>
          </w:tcPr>
          <w:p w14:paraId="56217127"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494/19</w:t>
            </w:r>
          </w:p>
        </w:tc>
        <w:tc>
          <w:tcPr>
            <w:tcW w:w="774" w:type="pct"/>
            <w:hideMark/>
          </w:tcPr>
          <w:p w14:paraId="5BFEB68A"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55ADB003"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9,64 Ha</w:t>
            </w:r>
          </w:p>
        </w:tc>
        <w:tc>
          <w:tcPr>
            <w:tcW w:w="522" w:type="pct"/>
            <w:hideMark/>
          </w:tcPr>
          <w:p w14:paraId="034641CE"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04/11/2019</w:t>
            </w:r>
          </w:p>
        </w:tc>
        <w:tc>
          <w:tcPr>
            <w:tcW w:w="623" w:type="pct"/>
            <w:hideMark/>
          </w:tcPr>
          <w:p w14:paraId="39571FBA"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18/12/2024</w:t>
            </w:r>
          </w:p>
        </w:tc>
      </w:tr>
      <w:tr w:rsidR="000934EA" w:rsidRPr="00894701" w14:paraId="766D0E8E"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7CB0D06E"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59</w:t>
            </w:r>
          </w:p>
        </w:tc>
        <w:tc>
          <w:tcPr>
            <w:tcW w:w="1948" w:type="pct"/>
            <w:vAlign w:val="center"/>
            <w:hideMark/>
          </w:tcPr>
          <w:p w14:paraId="2638F649" w14:textId="7777777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val="nl-NL" w:eastAsia="fr-FR"/>
              </w:rPr>
            </w:pPr>
            <w:r w:rsidRPr="00894701">
              <w:rPr>
                <w:rFonts w:asciiTheme="minorHAnsi" w:hAnsiTheme="minorHAnsi" w:cs="Calibri"/>
                <w:color w:val="000000" w:themeColor="text1"/>
                <w:kern w:val="0"/>
                <w:sz w:val="16"/>
                <w:szCs w:val="16"/>
                <w:lang w:val="nl-NL" w:eastAsia="fr-FR"/>
              </w:rPr>
              <w:t xml:space="preserve">Bouw- en Civieltechnische werken D&amp;D NV </w:t>
            </w:r>
          </w:p>
        </w:tc>
        <w:tc>
          <w:tcPr>
            <w:tcW w:w="451" w:type="pct"/>
            <w:hideMark/>
          </w:tcPr>
          <w:p w14:paraId="724D1EC4"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493/19</w:t>
            </w:r>
          </w:p>
        </w:tc>
        <w:tc>
          <w:tcPr>
            <w:tcW w:w="774" w:type="pct"/>
            <w:hideMark/>
          </w:tcPr>
          <w:p w14:paraId="13A233A7"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50A43741"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4,715 Ha</w:t>
            </w:r>
          </w:p>
        </w:tc>
        <w:tc>
          <w:tcPr>
            <w:tcW w:w="522" w:type="pct"/>
            <w:hideMark/>
          </w:tcPr>
          <w:p w14:paraId="46E88B2F"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05/11/2019</w:t>
            </w:r>
          </w:p>
        </w:tc>
        <w:tc>
          <w:tcPr>
            <w:tcW w:w="623" w:type="pct"/>
            <w:hideMark/>
          </w:tcPr>
          <w:p w14:paraId="62306A5B"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03/02/2025</w:t>
            </w:r>
          </w:p>
        </w:tc>
      </w:tr>
      <w:tr w:rsidR="000934EA" w:rsidRPr="00894701" w14:paraId="43CD2DB6"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50D45432"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60</w:t>
            </w:r>
          </w:p>
        </w:tc>
        <w:tc>
          <w:tcPr>
            <w:tcW w:w="1948" w:type="pct"/>
            <w:vAlign w:val="center"/>
            <w:hideMark/>
          </w:tcPr>
          <w:p w14:paraId="7CAEF0AE" w14:textId="77777777"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val="nl-NL" w:eastAsia="fr-FR"/>
              </w:rPr>
            </w:pPr>
            <w:r w:rsidRPr="00894701">
              <w:rPr>
                <w:rFonts w:asciiTheme="minorHAnsi" w:hAnsiTheme="minorHAnsi" w:cs="Calibri"/>
                <w:color w:val="000000" w:themeColor="text1"/>
                <w:kern w:val="0"/>
                <w:sz w:val="16"/>
                <w:szCs w:val="16"/>
                <w:lang w:val="nl-NL" w:eastAsia="fr-FR"/>
              </w:rPr>
              <w:t xml:space="preserve">Bouw- en Civieltechnische werken D&amp;D NV </w:t>
            </w:r>
          </w:p>
        </w:tc>
        <w:tc>
          <w:tcPr>
            <w:tcW w:w="451" w:type="pct"/>
            <w:hideMark/>
          </w:tcPr>
          <w:p w14:paraId="5E544057"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495/19</w:t>
            </w:r>
          </w:p>
        </w:tc>
        <w:tc>
          <w:tcPr>
            <w:tcW w:w="774" w:type="pct"/>
            <w:hideMark/>
          </w:tcPr>
          <w:p w14:paraId="613530A1"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50978753"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15,62 Ha</w:t>
            </w:r>
          </w:p>
        </w:tc>
        <w:tc>
          <w:tcPr>
            <w:tcW w:w="522" w:type="pct"/>
            <w:hideMark/>
          </w:tcPr>
          <w:p w14:paraId="602F5823"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05/11/2019</w:t>
            </w:r>
          </w:p>
        </w:tc>
        <w:tc>
          <w:tcPr>
            <w:tcW w:w="623" w:type="pct"/>
            <w:hideMark/>
          </w:tcPr>
          <w:p w14:paraId="13552084"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26/12/2024</w:t>
            </w:r>
          </w:p>
        </w:tc>
      </w:tr>
      <w:tr w:rsidR="000934EA" w:rsidRPr="00894701" w14:paraId="34F6DB46"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315F7D14"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61</w:t>
            </w:r>
          </w:p>
        </w:tc>
        <w:tc>
          <w:tcPr>
            <w:tcW w:w="1948" w:type="pct"/>
            <w:vAlign w:val="center"/>
            <w:hideMark/>
          </w:tcPr>
          <w:p w14:paraId="374E3990" w14:textId="7777777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val="nl-NL" w:eastAsia="fr-FR"/>
              </w:rPr>
            </w:pPr>
            <w:r w:rsidRPr="00894701">
              <w:rPr>
                <w:rFonts w:asciiTheme="minorHAnsi" w:hAnsiTheme="minorHAnsi" w:cs="Calibri"/>
                <w:color w:val="000000" w:themeColor="text1"/>
                <w:kern w:val="0"/>
                <w:sz w:val="16"/>
                <w:szCs w:val="16"/>
                <w:lang w:val="nl-NL" w:eastAsia="fr-FR"/>
              </w:rPr>
              <w:t xml:space="preserve">Bouw- en Civieltechnische werken D&amp;D NV </w:t>
            </w:r>
          </w:p>
        </w:tc>
        <w:tc>
          <w:tcPr>
            <w:tcW w:w="451" w:type="pct"/>
            <w:hideMark/>
          </w:tcPr>
          <w:p w14:paraId="4F032639"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496/19</w:t>
            </w:r>
          </w:p>
        </w:tc>
        <w:tc>
          <w:tcPr>
            <w:tcW w:w="774" w:type="pct"/>
            <w:hideMark/>
          </w:tcPr>
          <w:p w14:paraId="46DE3B8A"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569EE703"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24,4 Ha</w:t>
            </w:r>
          </w:p>
        </w:tc>
        <w:tc>
          <w:tcPr>
            <w:tcW w:w="522" w:type="pct"/>
            <w:hideMark/>
          </w:tcPr>
          <w:p w14:paraId="29113BAD"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05/11/2019</w:t>
            </w:r>
          </w:p>
        </w:tc>
        <w:tc>
          <w:tcPr>
            <w:tcW w:w="623" w:type="pct"/>
            <w:hideMark/>
          </w:tcPr>
          <w:p w14:paraId="152B30AB"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01/02/2025</w:t>
            </w:r>
          </w:p>
        </w:tc>
      </w:tr>
      <w:tr w:rsidR="000934EA" w:rsidRPr="00894701" w14:paraId="42CE348F"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7D46ED62"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62</w:t>
            </w:r>
          </w:p>
        </w:tc>
        <w:tc>
          <w:tcPr>
            <w:tcW w:w="1948" w:type="pct"/>
            <w:vAlign w:val="center"/>
            <w:hideMark/>
          </w:tcPr>
          <w:p w14:paraId="250DCA74" w14:textId="77777777"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Ramsoekh Adishkumaar R P </w:t>
            </w:r>
          </w:p>
        </w:tc>
        <w:tc>
          <w:tcPr>
            <w:tcW w:w="451" w:type="pct"/>
            <w:hideMark/>
          </w:tcPr>
          <w:p w14:paraId="1D1C95BD"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575/20</w:t>
            </w:r>
          </w:p>
        </w:tc>
        <w:tc>
          <w:tcPr>
            <w:tcW w:w="774" w:type="pct"/>
            <w:hideMark/>
          </w:tcPr>
          <w:p w14:paraId="6CA94614"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34F265FA"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200 ha</w:t>
            </w:r>
          </w:p>
        </w:tc>
        <w:tc>
          <w:tcPr>
            <w:tcW w:w="522" w:type="pct"/>
            <w:hideMark/>
          </w:tcPr>
          <w:p w14:paraId="523EF346"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12/11/2019</w:t>
            </w:r>
          </w:p>
        </w:tc>
        <w:tc>
          <w:tcPr>
            <w:tcW w:w="623" w:type="pct"/>
            <w:hideMark/>
          </w:tcPr>
          <w:p w14:paraId="54079AE5"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29/06/2025</w:t>
            </w:r>
          </w:p>
        </w:tc>
      </w:tr>
      <w:tr w:rsidR="000934EA" w:rsidRPr="00894701" w14:paraId="1449E5E2"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7BC324F7"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63</w:t>
            </w:r>
          </w:p>
        </w:tc>
        <w:tc>
          <w:tcPr>
            <w:tcW w:w="1948" w:type="pct"/>
            <w:vAlign w:val="center"/>
            <w:hideMark/>
          </w:tcPr>
          <w:p w14:paraId="086E21D4" w14:textId="666CDD78"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Mapane Mining &amp; Consult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04146C81"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456/19</w:t>
            </w:r>
          </w:p>
        </w:tc>
        <w:tc>
          <w:tcPr>
            <w:tcW w:w="774" w:type="pct"/>
            <w:hideMark/>
          </w:tcPr>
          <w:p w14:paraId="1E9343F7"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12A32FED"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372 Ha</w:t>
            </w:r>
          </w:p>
        </w:tc>
        <w:tc>
          <w:tcPr>
            <w:tcW w:w="522" w:type="pct"/>
            <w:hideMark/>
          </w:tcPr>
          <w:p w14:paraId="19725EBB"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12/11/2019</w:t>
            </w:r>
          </w:p>
        </w:tc>
        <w:tc>
          <w:tcPr>
            <w:tcW w:w="623" w:type="pct"/>
            <w:hideMark/>
          </w:tcPr>
          <w:p w14:paraId="53A8F849"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23/06/2023</w:t>
            </w:r>
          </w:p>
        </w:tc>
      </w:tr>
      <w:tr w:rsidR="000934EA" w:rsidRPr="00894701" w14:paraId="5D229130" w14:textId="77777777" w:rsidTr="00BE1B23">
        <w:trPr>
          <w:trHeight w:val="315"/>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7204CF03"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64</w:t>
            </w:r>
          </w:p>
        </w:tc>
        <w:tc>
          <w:tcPr>
            <w:tcW w:w="1948" w:type="pct"/>
            <w:vAlign w:val="center"/>
            <w:hideMark/>
          </w:tcPr>
          <w:p w14:paraId="3D86A3F8" w14:textId="77777777"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N.V Grasshopper Aluminum Company (N.V Grassalco) </w:t>
            </w:r>
          </w:p>
        </w:tc>
        <w:tc>
          <w:tcPr>
            <w:tcW w:w="451" w:type="pct"/>
            <w:hideMark/>
          </w:tcPr>
          <w:p w14:paraId="714D40ED"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524/19</w:t>
            </w:r>
          </w:p>
        </w:tc>
        <w:tc>
          <w:tcPr>
            <w:tcW w:w="774" w:type="pct"/>
            <w:hideMark/>
          </w:tcPr>
          <w:p w14:paraId="3BC0AA27"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694C5CED"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onbekend</w:t>
            </w:r>
          </w:p>
        </w:tc>
        <w:tc>
          <w:tcPr>
            <w:tcW w:w="522" w:type="pct"/>
            <w:hideMark/>
          </w:tcPr>
          <w:p w14:paraId="3195EA3B"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26/11/2019</w:t>
            </w:r>
          </w:p>
        </w:tc>
        <w:tc>
          <w:tcPr>
            <w:tcW w:w="623" w:type="pct"/>
            <w:hideMark/>
          </w:tcPr>
          <w:p w14:paraId="5F47B61E"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09/12/2034</w:t>
            </w:r>
          </w:p>
        </w:tc>
      </w:tr>
      <w:tr w:rsidR="000934EA" w:rsidRPr="00894701" w14:paraId="57BA87A9" w14:textId="77777777" w:rsidTr="00BE1B23">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1228B4AF"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65</w:t>
            </w:r>
          </w:p>
        </w:tc>
        <w:tc>
          <w:tcPr>
            <w:tcW w:w="1948" w:type="pct"/>
            <w:vAlign w:val="center"/>
            <w:hideMark/>
          </w:tcPr>
          <w:p w14:paraId="3EA853AC" w14:textId="7777777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N.V Grasshopper Aluminum Company (N.V Grassalco) </w:t>
            </w:r>
          </w:p>
        </w:tc>
        <w:tc>
          <w:tcPr>
            <w:tcW w:w="451" w:type="pct"/>
            <w:hideMark/>
          </w:tcPr>
          <w:p w14:paraId="5A9ECCDE"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525/19</w:t>
            </w:r>
          </w:p>
        </w:tc>
        <w:tc>
          <w:tcPr>
            <w:tcW w:w="774" w:type="pct"/>
            <w:hideMark/>
          </w:tcPr>
          <w:p w14:paraId="19264342"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6BEEEFF3"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onbekend</w:t>
            </w:r>
          </w:p>
        </w:tc>
        <w:tc>
          <w:tcPr>
            <w:tcW w:w="522" w:type="pct"/>
            <w:hideMark/>
          </w:tcPr>
          <w:p w14:paraId="4878273A"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26/11/2019</w:t>
            </w:r>
          </w:p>
        </w:tc>
        <w:tc>
          <w:tcPr>
            <w:tcW w:w="623" w:type="pct"/>
            <w:hideMark/>
          </w:tcPr>
          <w:p w14:paraId="4485AFEA"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09/12/2034</w:t>
            </w:r>
          </w:p>
        </w:tc>
      </w:tr>
      <w:tr w:rsidR="000934EA" w:rsidRPr="00894701" w14:paraId="7A1E70C7" w14:textId="77777777" w:rsidTr="00BE1B23">
        <w:trPr>
          <w:trHeight w:val="281"/>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29F34E90"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66</w:t>
            </w:r>
          </w:p>
        </w:tc>
        <w:tc>
          <w:tcPr>
            <w:tcW w:w="1948" w:type="pct"/>
            <w:vAlign w:val="center"/>
            <w:hideMark/>
          </w:tcPr>
          <w:p w14:paraId="7619C0ED" w14:textId="77777777"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N.V Grasshopper Aluminum Company (N.V Grassalco) </w:t>
            </w:r>
          </w:p>
        </w:tc>
        <w:tc>
          <w:tcPr>
            <w:tcW w:w="451" w:type="pct"/>
            <w:hideMark/>
          </w:tcPr>
          <w:p w14:paraId="550B4366"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526/19</w:t>
            </w:r>
          </w:p>
        </w:tc>
        <w:tc>
          <w:tcPr>
            <w:tcW w:w="774" w:type="pct"/>
            <w:hideMark/>
          </w:tcPr>
          <w:p w14:paraId="2C259146"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3842EF84"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onbekend</w:t>
            </w:r>
          </w:p>
        </w:tc>
        <w:tc>
          <w:tcPr>
            <w:tcW w:w="522" w:type="pct"/>
            <w:hideMark/>
          </w:tcPr>
          <w:p w14:paraId="7AEB608F"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26/11/2019</w:t>
            </w:r>
          </w:p>
        </w:tc>
        <w:tc>
          <w:tcPr>
            <w:tcW w:w="623" w:type="pct"/>
            <w:hideMark/>
          </w:tcPr>
          <w:p w14:paraId="32E44456"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09/12/2034</w:t>
            </w:r>
          </w:p>
        </w:tc>
      </w:tr>
      <w:tr w:rsidR="000934EA" w:rsidRPr="00894701" w14:paraId="1149308D"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7CD984D1"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67</w:t>
            </w:r>
          </w:p>
        </w:tc>
        <w:tc>
          <w:tcPr>
            <w:tcW w:w="1948" w:type="pct"/>
            <w:vAlign w:val="center"/>
            <w:hideMark/>
          </w:tcPr>
          <w:p w14:paraId="3FC92FF3" w14:textId="7777777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val="nl-NL" w:eastAsia="fr-FR"/>
              </w:rPr>
            </w:pPr>
            <w:r w:rsidRPr="00894701">
              <w:rPr>
                <w:rFonts w:asciiTheme="minorHAnsi" w:hAnsiTheme="minorHAnsi" w:cs="Calibri"/>
                <w:color w:val="000000" w:themeColor="text1"/>
                <w:kern w:val="0"/>
                <w:sz w:val="16"/>
                <w:szCs w:val="16"/>
                <w:lang w:val="nl-NL" w:eastAsia="fr-FR"/>
              </w:rPr>
              <w:t xml:space="preserve">Bouw- en Civieltechnische werken D&amp;D NV </w:t>
            </w:r>
          </w:p>
        </w:tc>
        <w:tc>
          <w:tcPr>
            <w:tcW w:w="451" w:type="pct"/>
            <w:hideMark/>
          </w:tcPr>
          <w:p w14:paraId="24415804"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531/19</w:t>
            </w:r>
          </w:p>
        </w:tc>
        <w:tc>
          <w:tcPr>
            <w:tcW w:w="774" w:type="pct"/>
            <w:hideMark/>
          </w:tcPr>
          <w:p w14:paraId="79DA6A04"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4B22101E"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92 Ha</w:t>
            </w:r>
          </w:p>
        </w:tc>
        <w:tc>
          <w:tcPr>
            <w:tcW w:w="522" w:type="pct"/>
            <w:hideMark/>
          </w:tcPr>
          <w:p w14:paraId="74D121B1"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27/11/2019</w:t>
            </w:r>
          </w:p>
        </w:tc>
        <w:tc>
          <w:tcPr>
            <w:tcW w:w="623" w:type="pct"/>
            <w:hideMark/>
          </w:tcPr>
          <w:p w14:paraId="1606787E"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13/04/2025</w:t>
            </w:r>
          </w:p>
        </w:tc>
      </w:tr>
      <w:tr w:rsidR="000934EA" w:rsidRPr="00894701" w14:paraId="3675B8C8"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3FD83C3B"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68</w:t>
            </w:r>
          </w:p>
        </w:tc>
        <w:tc>
          <w:tcPr>
            <w:tcW w:w="1948" w:type="pct"/>
            <w:vAlign w:val="center"/>
            <w:hideMark/>
          </w:tcPr>
          <w:p w14:paraId="658B8750" w14:textId="3B4067FB"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N &amp; F Group N.V</w:t>
            </w:r>
            <w:r w:rsidR="0090575B" w:rsidRPr="00894701">
              <w:rPr>
                <w:rFonts w:asciiTheme="minorHAnsi" w:hAnsiTheme="minorHAnsi" w:cs="Calibri"/>
                <w:color w:val="000000" w:themeColor="text1"/>
                <w:kern w:val="0"/>
                <w:sz w:val="16"/>
                <w:szCs w:val="16"/>
                <w:lang w:eastAsia="fr-FR"/>
              </w:rPr>
              <w:t>.</w:t>
            </w:r>
            <w:r w:rsidR="00206BA2" w:rsidRPr="00894701">
              <w:rPr>
                <w:rFonts w:asciiTheme="minorHAnsi" w:hAnsiTheme="minorHAnsi" w:cs="Calibri"/>
                <w:color w:val="000000" w:themeColor="text1"/>
                <w:kern w:val="0"/>
                <w:sz w:val="16"/>
                <w:szCs w:val="16"/>
                <w:lang w:eastAsia="fr-FR"/>
              </w:rPr>
              <w:t xml:space="preserve"> </w:t>
            </w:r>
          </w:p>
        </w:tc>
        <w:tc>
          <w:tcPr>
            <w:tcW w:w="451" w:type="pct"/>
            <w:hideMark/>
          </w:tcPr>
          <w:p w14:paraId="34D2E6C6"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538/19</w:t>
            </w:r>
          </w:p>
        </w:tc>
        <w:tc>
          <w:tcPr>
            <w:tcW w:w="774" w:type="pct"/>
            <w:hideMark/>
          </w:tcPr>
          <w:p w14:paraId="19EC0430"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0E695924"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73 Ha</w:t>
            </w:r>
          </w:p>
        </w:tc>
        <w:tc>
          <w:tcPr>
            <w:tcW w:w="522" w:type="pct"/>
            <w:hideMark/>
          </w:tcPr>
          <w:p w14:paraId="7A8D7A4A"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04/12/2019</w:t>
            </w:r>
          </w:p>
        </w:tc>
        <w:tc>
          <w:tcPr>
            <w:tcW w:w="623" w:type="pct"/>
            <w:hideMark/>
          </w:tcPr>
          <w:p w14:paraId="20995C46"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05/05/2023</w:t>
            </w:r>
          </w:p>
        </w:tc>
      </w:tr>
      <w:tr w:rsidR="000934EA" w:rsidRPr="00894701" w14:paraId="760C1F1F"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5D3E91D8"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69</w:t>
            </w:r>
          </w:p>
        </w:tc>
        <w:tc>
          <w:tcPr>
            <w:tcW w:w="1948" w:type="pct"/>
            <w:vAlign w:val="center"/>
            <w:hideMark/>
          </w:tcPr>
          <w:p w14:paraId="446DE65B" w14:textId="3E09CF2D"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N &amp; F Group N.V</w:t>
            </w:r>
            <w:r w:rsidR="0090575B" w:rsidRPr="00894701">
              <w:rPr>
                <w:rFonts w:asciiTheme="minorHAnsi" w:hAnsiTheme="minorHAnsi" w:cs="Calibri"/>
                <w:color w:val="000000" w:themeColor="text1"/>
                <w:kern w:val="0"/>
                <w:sz w:val="16"/>
                <w:szCs w:val="16"/>
                <w:lang w:eastAsia="fr-FR"/>
              </w:rPr>
              <w:t>.</w:t>
            </w:r>
            <w:r w:rsidR="00206BA2" w:rsidRPr="00894701">
              <w:rPr>
                <w:rFonts w:asciiTheme="minorHAnsi" w:hAnsiTheme="minorHAnsi" w:cs="Calibri"/>
                <w:color w:val="000000" w:themeColor="text1"/>
                <w:kern w:val="0"/>
                <w:sz w:val="16"/>
                <w:szCs w:val="16"/>
                <w:lang w:eastAsia="fr-FR"/>
              </w:rPr>
              <w:t xml:space="preserve"> </w:t>
            </w:r>
          </w:p>
        </w:tc>
        <w:tc>
          <w:tcPr>
            <w:tcW w:w="451" w:type="pct"/>
            <w:hideMark/>
          </w:tcPr>
          <w:p w14:paraId="472B178F"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539/19</w:t>
            </w:r>
          </w:p>
        </w:tc>
        <w:tc>
          <w:tcPr>
            <w:tcW w:w="774" w:type="pct"/>
            <w:hideMark/>
          </w:tcPr>
          <w:p w14:paraId="5B33B55E"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69C1D0FB"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266 Ha</w:t>
            </w:r>
          </w:p>
        </w:tc>
        <w:tc>
          <w:tcPr>
            <w:tcW w:w="522" w:type="pct"/>
            <w:hideMark/>
          </w:tcPr>
          <w:p w14:paraId="4B7B145C"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04/12/2019</w:t>
            </w:r>
          </w:p>
        </w:tc>
        <w:tc>
          <w:tcPr>
            <w:tcW w:w="623" w:type="pct"/>
            <w:hideMark/>
          </w:tcPr>
          <w:p w14:paraId="4BC8EBD5"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16/07/2023</w:t>
            </w:r>
          </w:p>
        </w:tc>
      </w:tr>
      <w:tr w:rsidR="000934EA" w:rsidRPr="00894701" w14:paraId="473141B3"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4A12D2CF"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70</w:t>
            </w:r>
          </w:p>
        </w:tc>
        <w:tc>
          <w:tcPr>
            <w:tcW w:w="1948" w:type="pct"/>
            <w:vAlign w:val="center"/>
            <w:hideMark/>
          </w:tcPr>
          <w:p w14:paraId="4F2E346D" w14:textId="41B4CDA0"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Glance Resources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3A9E22A6"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542/19</w:t>
            </w:r>
          </w:p>
        </w:tc>
        <w:tc>
          <w:tcPr>
            <w:tcW w:w="774" w:type="pct"/>
            <w:hideMark/>
          </w:tcPr>
          <w:p w14:paraId="5FA4071B"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32B1779E"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3900 Ha</w:t>
            </w:r>
          </w:p>
        </w:tc>
        <w:tc>
          <w:tcPr>
            <w:tcW w:w="522" w:type="pct"/>
            <w:hideMark/>
          </w:tcPr>
          <w:p w14:paraId="5D46B5F3"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06/12/2019</w:t>
            </w:r>
          </w:p>
        </w:tc>
        <w:tc>
          <w:tcPr>
            <w:tcW w:w="623" w:type="pct"/>
            <w:hideMark/>
          </w:tcPr>
          <w:p w14:paraId="7CBF050A"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28/07/2022</w:t>
            </w:r>
          </w:p>
        </w:tc>
      </w:tr>
      <w:tr w:rsidR="000934EA" w:rsidRPr="00894701" w14:paraId="54B1EEA9"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47B24D9D"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71</w:t>
            </w:r>
          </w:p>
        </w:tc>
        <w:tc>
          <w:tcPr>
            <w:tcW w:w="1948" w:type="pct"/>
            <w:vAlign w:val="center"/>
            <w:hideMark/>
          </w:tcPr>
          <w:p w14:paraId="1E5854DB" w14:textId="501B282D"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Jabokai Resources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3DBC20B6"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780/20</w:t>
            </w:r>
          </w:p>
        </w:tc>
        <w:tc>
          <w:tcPr>
            <w:tcW w:w="774" w:type="pct"/>
            <w:hideMark/>
          </w:tcPr>
          <w:p w14:paraId="753FC712"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2AC4FF64"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1777 ha</w:t>
            </w:r>
          </w:p>
        </w:tc>
        <w:tc>
          <w:tcPr>
            <w:tcW w:w="522" w:type="pct"/>
            <w:hideMark/>
          </w:tcPr>
          <w:p w14:paraId="628670EC"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11/12/2019</w:t>
            </w:r>
          </w:p>
        </w:tc>
        <w:tc>
          <w:tcPr>
            <w:tcW w:w="623" w:type="pct"/>
            <w:hideMark/>
          </w:tcPr>
          <w:p w14:paraId="5AA70684"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07/10/2023</w:t>
            </w:r>
          </w:p>
        </w:tc>
      </w:tr>
      <w:tr w:rsidR="000934EA" w:rsidRPr="00894701" w14:paraId="4492E000"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491DBB23"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72</w:t>
            </w:r>
          </w:p>
        </w:tc>
        <w:tc>
          <w:tcPr>
            <w:tcW w:w="1948" w:type="pct"/>
            <w:vAlign w:val="center"/>
            <w:hideMark/>
          </w:tcPr>
          <w:p w14:paraId="14A0FD37" w14:textId="40B6CADF"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B.S.P Minestrone Resources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7F1EF61A"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544/19</w:t>
            </w:r>
          </w:p>
        </w:tc>
        <w:tc>
          <w:tcPr>
            <w:tcW w:w="774" w:type="pct"/>
            <w:hideMark/>
          </w:tcPr>
          <w:p w14:paraId="61D43C74"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Small Scale Mining</w:t>
            </w:r>
          </w:p>
        </w:tc>
        <w:tc>
          <w:tcPr>
            <w:tcW w:w="481" w:type="pct"/>
            <w:hideMark/>
          </w:tcPr>
          <w:p w14:paraId="26201578"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200 Ha</w:t>
            </w:r>
          </w:p>
        </w:tc>
        <w:tc>
          <w:tcPr>
            <w:tcW w:w="522" w:type="pct"/>
            <w:hideMark/>
          </w:tcPr>
          <w:p w14:paraId="37E46294"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11/12/2019</w:t>
            </w:r>
          </w:p>
        </w:tc>
        <w:tc>
          <w:tcPr>
            <w:tcW w:w="623" w:type="pct"/>
            <w:hideMark/>
          </w:tcPr>
          <w:p w14:paraId="4FA69444"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08/07/2025</w:t>
            </w:r>
          </w:p>
        </w:tc>
      </w:tr>
      <w:tr w:rsidR="000934EA" w:rsidRPr="00894701" w14:paraId="3C8418BD"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51A83E09"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73</w:t>
            </w:r>
          </w:p>
        </w:tc>
        <w:tc>
          <w:tcPr>
            <w:tcW w:w="1948" w:type="pct"/>
            <w:vAlign w:val="center"/>
            <w:hideMark/>
          </w:tcPr>
          <w:p w14:paraId="3E60B789" w14:textId="588D3AFC"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Thinking About Mining Development N.V</w:t>
            </w:r>
            <w:r w:rsidR="0090575B" w:rsidRPr="00894701">
              <w:rPr>
                <w:rFonts w:asciiTheme="minorHAnsi" w:hAnsiTheme="minorHAnsi" w:cs="Calibri"/>
                <w:color w:val="000000" w:themeColor="text1"/>
                <w:kern w:val="0"/>
                <w:sz w:val="16"/>
                <w:szCs w:val="16"/>
                <w:lang w:eastAsia="fr-FR"/>
              </w:rPr>
              <w:t>.</w:t>
            </w:r>
          </w:p>
        </w:tc>
        <w:tc>
          <w:tcPr>
            <w:tcW w:w="451" w:type="pct"/>
            <w:hideMark/>
          </w:tcPr>
          <w:p w14:paraId="1F6DDB90"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549/19</w:t>
            </w:r>
          </w:p>
        </w:tc>
        <w:tc>
          <w:tcPr>
            <w:tcW w:w="774" w:type="pct"/>
            <w:hideMark/>
          </w:tcPr>
          <w:p w14:paraId="548CE027"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3B8024E4"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200 Ha</w:t>
            </w:r>
          </w:p>
        </w:tc>
        <w:tc>
          <w:tcPr>
            <w:tcW w:w="522" w:type="pct"/>
            <w:hideMark/>
          </w:tcPr>
          <w:p w14:paraId="3E1407CF"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13/12/2019</w:t>
            </w:r>
          </w:p>
        </w:tc>
        <w:tc>
          <w:tcPr>
            <w:tcW w:w="623" w:type="pct"/>
            <w:hideMark/>
          </w:tcPr>
          <w:p w14:paraId="217C66E5"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09/07/2020</w:t>
            </w:r>
          </w:p>
        </w:tc>
      </w:tr>
      <w:tr w:rsidR="000934EA" w:rsidRPr="00894701" w14:paraId="42F8E97B" w14:textId="77777777" w:rsidTr="00BE1B23">
        <w:trPr>
          <w:trHeight w:val="54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32B5D152"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74</w:t>
            </w:r>
          </w:p>
        </w:tc>
        <w:tc>
          <w:tcPr>
            <w:tcW w:w="1948" w:type="pct"/>
            <w:vAlign w:val="center"/>
            <w:hideMark/>
          </w:tcPr>
          <w:p w14:paraId="042BF549" w14:textId="569C7E66"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N.V Grasshopper Aluminum Company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Grassalco)</w:t>
            </w:r>
          </w:p>
        </w:tc>
        <w:tc>
          <w:tcPr>
            <w:tcW w:w="451" w:type="pct"/>
            <w:hideMark/>
          </w:tcPr>
          <w:p w14:paraId="256D915E"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552/19</w:t>
            </w:r>
          </w:p>
        </w:tc>
        <w:tc>
          <w:tcPr>
            <w:tcW w:w="774" w:type="pct"/>
            <w:hideMark/>
          </w:tcPr>
          <w:p w14:paraId="776E7E30"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64EBFCBC"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330000 Ha</w:t>
            </w:r>
          </w:p>
        </w:tc>
        <w:tc>
          <w:tcPr>
            <w:tcW w:w="522" w:type="pct"/>
            <w:hideMark/>
          </w:tcPr>
          <w:p w14:paraId="4C4B9788"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18/12/2019</w:t>
            </w:r>
          </w:p>
        </w:tc>
        <w:tc>
          <w:tcPr>
            <w:tcW w:w="623" w:type="pct"/>
            <w:hideMark/>
          </w:tcPr>
          <w:p w14:paraId="0B011114"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20/01/2021</w:t>
            </w:r>
          </w:p>
        </w:tc>
      </w:tr>
      <w:tr w:rsidR="000934EA" w:rsidRPr="00894701" w14:paraId="33927CA3"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6221FCE2"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75</w:t>
            </w:r>
          </w:p>
        </w:tc>
        <w:tc>
          <w:tcPr>
            <w:tcW w:w="1948" w:type="pct"/>
            <w:vAlign w:val="center"/>
            <w:hideMark/>
          </w:tcPr>
          <w:p w14:paraId="4CEF44D7" w14:textId="41C23C2F"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Dania's Rich Resources N.V</w:t>
            </w:r>
            <w:r w:rsidR="0090575B" w:rsidRPr="00894701">
              <w:rPr>
                <w:rFonts w:asciiTheme="minorHAnsi" w:hAnsiTheme="minorHAnsi" w:cs="Calibri"/>
                <w:color w:val="000000" w:themeColor="text1"/>
                <w:kern w:val="0"/>
                <w:sz w:val="16"/>
                <w:szCs w:val="16"/>
                <w:lang w:eastAsia="fr-FR"/>
              </w:rPr>
              <w:t>.</w:t>
            </w:r>
          </w:p>
        </w:tc>
        <w:tc>
          <w:tcPr>
            <w:tcW w:w="451" w:type="pct"/>
            <w:hideMark/>
          </w:tcPr>
          <w:p w14:paraId="1230C4AD"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553/19</w:t>
            </w:r>
          </w:p>
        </w:tc>
        <w:tc>
          <w:tcPr>
            <w:tcW w:w="774" w:type="pct"/>
            <w:hideMark/>
          </w:tcPr>
          <w:p w14:paraId="73F5C8C8"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372499BE"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364 Ha</w:t>
            </w:r>
          </w:p>
        </w:tc>
        <w:tc>
          <w:tcPr>
            <w:tcW w:w="522" w:type="pct"/>
            <w:hideMark/>
          </w:tcPr>
          <w:p w14:paraId="122AD5E2"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20/12/2019</w:t>
            </w:r>
          </w:p>
        </w:tc>
        <w:tc>
          <w:tcPr>
            <w:tcW w:w="623" w:type="pct"/>
            <w:hideMark/>
          </w:tcPr>
          <w:p w14:paraId="105BFA00"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20/05/2023</w:t>
            </w:r>
          </w:p>
        </w:tc>
      </w:tr>
      <w:tr w:rsidR="000934EA" w:rsidRPr="00894701" w14:paraId="7067BA01"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15C43A41"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76</w:t>
            </w:r>
          </w:p>
        </w:tc>
        <w:tc>
          <w:tcPr>
            <w:tcW w:w="1948" w:type="pct"/>
            <w:vAlign w:val="center"/>
            <w:hideMark/>
          </w:tcPr>
          <w:p w14:paraId="23FB9C91" w14:textId="51C61486"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Agnesia Mijnbouwonderneming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06B22F0F"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558/19</w:t>
            </w:r>
          </w:p>
        </w:tc>
        <w:tc>
          <w:tcPr>
            <w:tcW w:w="774" w:type="pct"/>
            <w:hideMark/>
          </w:tcPr>
          <w:p w14:paraId="7CC417C1"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09D047FE"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6524 Ha</w:t>
            </w:r>
          </w:p>
        </w:tc>
        <w:tc>
          <w:tcPr>
            <w:tcW w:w="522" w:type="pct"/>
            <w:hideMark/>
          </w:tcPr>
          <w:p w14:paraId="16669EF0"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24/12/2019</w:t>
            </w:r>
          </w:p>
        </w:tc>
        <w:tc>
          <w:tcPr>
            <w:tcW w:w="623" w:type="pct"/>
            <w:hideMark/>
          </w:tcPr>
          <w:p w14:paraId="79EC117C"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06/07/2025</w:t>
            </w:r>
          </w:p>
        </w:tc>
      </w:tr>
      <w:tr w:rsidR="000934EA" w:rsidRPr="00894701" w14:paraId="41AB9DFE"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5657B139"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77</w:t>
            </w:r>
          </w:p>
        </w:tc>
        <w:tc>
          <w:tcPr>
            <w:tcW w:w="1948" w:type="pct"/>
            <w:vAlign w:val="center"/>
            <w:hideMark/>
          </w:tcPr>
          <w:p w14:paraId="7D36B118" w14:textId="4E0D1DDD"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val="nl-NL" w:eastAsia="fr-FR"/>
              </w:rPr>
            </w:pPr>
            <w:r w:rsidRPr="00894701">
              <w:rPr>
                <w:rFonts w:asciiTheme="minorHAnsi" w:hAnsiTheme="minorHAnsi" w:cs="Calibri"/>
                <w:color w:val="000000" w:themeColor="text1"/>
                <w:kern w:val="0"/>
                <w:sz w:val="16"/>
                <w:szCs w:val="16"/>
                <w:lang w:val="nl-NL" w:eastAsia="fr-FR"/>
              </w:rPr>
              <w:t>Surinaamse Constructie maatschappij N.V</w:t>
            </w:r>
            <w:r w:rsidR="0090575B" w:rsidRPr="00894701">
              <w:rPr>
                <w:rFonts w:asciiTheme="minorHAnsi" w:hAnsiTheme="minorHAnsi" w:cs="Calibri"/>
                <w:color w:val="000000" w:themeColor="text1"/>
                <w:kern w:val="0"/>
                <w:sz w:val="16"/>
                <w:szCs w:val="16"/>
                <w:lang w:val="nl-NL" w:eastAsia="fr-FR"/>
              </w:rPr>
              <w:t>.</w:t>
            </w:r>
            <w:r w:rsidRPr="00894701">
              <w:rPr>
                <w:rFonts w:asciiTheme="minorHAnsi" w:hAnsiTheme="minorHAnsi" w:cs="Calibri"/>
                <w:color w:val="000000" w:themeColor="text1"/>
                <w:kern w:val="0"/>
                <w:sz w:val="16"/>
                <w:szCs w:val="16"/>
                <w:lang w:val="nl-NL" w:eastAsia="fr-FR"/>
              </w:rPr>
              <w:t xml:space="preserve"> </w:t>
            </w:r>
          </w:p>
        </w:tc>
        <w:tc>
          <w:tcPr>
            <w:tcW w:w="451" w:type="pct"/>
            <w:hideMark/>
          </w:tcPr>
          <w:p w14:paraId="3634DA4F"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570/20</w:t>
            </w:r>
          </w:p>
        </w:tc>
        <w:tc>
          <w:tcPr>
            <w:tcW w:w="774" w:type="pct"/>
            <w:hideMark/>
          </w:tcPr>
          <w:p w14:paraId="24A7D474"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558E321E"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400Ha</w:t>
            </w:r>
          </w:p>
        </w:tc>
        <w:tc>
          <w:tcPr>
            <w:tcW w:w="522" w:type="pct"/>
            <w:hideMark/>
          </w:tcPr>
          <w:p w14:paraId="4B2589C8"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20/01/2020</w:t>
            </w:r>
          </w:p>
        </w:tc>
        <w:tc>
          <w:tcPr>
            <w:tcW w:w="623" w:type="pct"/>
            <w:hideMark/>
          </w:tcPr>
          <w:p w14:paraId="7A23922C"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14/06/2025</w:t>
            </w:r>
          </w:p>
        </w:tc>
      </w:tr>
      <w:tr w:rsidR="000934EA" w:rsidRPr="00894701" w14:paraId="4CAF0A0A"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6FD8E46D"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78</w:t>
            </w:r>
          </w:p>
        </w:tc>
        <w:tc>
          <w:tcPr>
            <w:tcW w:w="1948" w:type="pct"/>
            <w:vAlign w:val="center"/>
            <w:hideMark/>
          </w:tcPr>
          <w:p w14:paraId="6EC00A8D" w14:textId="4B4C1C33"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Vir Precious Metals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5861C539"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571/20</w:t>
            </w:r>
          </w:p>
        </w:tc>
        <w:tc>
          <w:tcPr>
            <w:tcW w:w="774" w:type="pct"/>
            <w:hideMark/>
          </w:tcPr>
          <w:p w14:paraId="39D7FB3E"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2DCE43B4"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240 Ha</w:t>
            </w:r>
          </w:p>
        </w:tc>
        <w:tc>
          <w:tcPr>
            <w:tcW w:w="522" w:type="pct"/>
            <w:hideMark/>
          </w:tcPr>
          <w:p w14:paraId="5D08237C"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20/01/2020</w:t>
            </w:r>
          </w:p>
        </w:tc>
        <w:tc>
          <w:tcPr>
            <w:tcW w:w="623" w:type="pct"/>
            <w:hideMark/>
          </w:tcPr>
          <w:p w14:paraId="1C4636BF"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20/05/2025</w:t>
            </w:r>
          </w:p>
        </w:tc>
      </w:tr>
      <w:tr w:rsidR="000934EA" w:rsidRPr="00894701" w14:paraId="0C146DC3"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7220F480"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79</w:t>
            </w:r>
          </w:p>
        </w:tc>
        <w:tc>
          <w:tcPr>
            <w:tcW w:w="1948" w:type="pct"/>
            <w:vAlign w:val="center"/>
            <w:hideMark/>
          </w:tcPr>
          <w:p w14:paraId="7550CEA7" w14:textId="4AADF139"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Aannemingsmaatschappij Baitali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3814DC1F"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569/20</w:t>
            </w:r>
          </w:p>
        </w:tc>
        <w:tc>
          <w:tcPr>
            <w:tcW w:w="774" w:type="pct"/>
            <w:hideMark/>
          </w:tcPr>
          <w:p w14:paraId="134D6A0E"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1BEA57EE"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375 Ha</w:t>
            </w:r>
          </w:p>
        </w:tc>
        <w:tc>
          <w:tcPr>
            <w:tcW w:w="522" w:type="pct"/>
            <w:hideMark/>
          </w:tcPr>
          <w:p w14:paraId="083C0BD3"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23/01/2020</w:t>
            </w:r>
          </w:p>
        </w:tc>
        <w:tc>
          <w:tcPr>
            <w:tcW w:w="623" w:type="pct"/>
            <w:hideMark/>
          </w:tcPr>
          <w:p w14:paraId="029E4046"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07/04/2025</w:t>
            </w:r>
          </w:p>
        </w:tc>
      </w:tr>
      <w:tr w:rsidR="000934EA" w:rsidRPr="00894701" w14:paraId="4E39D529"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06C38B64"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80</w:t>
            </w:r>
          </w:p>
        </w:tc>
        <w:tc>
          <w:tcPr>
            <w:tcW w:w="1948" w:type="pct"/>
            <w:vAlign w:val="center"/>
            <w:hideMark/>
          </w:tcPr>
          <w:p w14:paraId="16C7329E" w14:textId="77777777"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Sno Maikel Ludwig </w:t>
            </w:r>
          </w:p>
        </w:tc>
        <w:tc>
          <w:tcPr>
            <w:tcW w:w="451" w:type="pct"/>
            <w:hideMark/>
          </w:tcPr>
          <w:p w14:paraId="72EDA3ED"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622/20</w:t>
            </w:r>
          </w:p>
        </w:tc>
        <w:tc>
          <w:tcPr>
            <w:tcW w:w="774" w:type="pct"/>
            <w:hideMark/>
          </w:tcPr>
          <w:p w14:paraId="21B6ADD1"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7836E1FF"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392 ha</w:t>
            </w:r>
          </w:p>
        </w:tc>
        <w:tc>
          <w:tcPr>
            <w:tcW w:w="522" w:type="pct"/>
            <w:hideMark/>
          </w:tcPr>
          <w:p w14:paraId="6C88E0E1"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02/02/2020</w:t>
            </w:r>
          </w:p>
        </w:tc>
        <w:tc>
          <w:tcPr>
            <w:tcW w:w="623" w:type="pct"/>
            <w:hideMark/>
          </w:tcPr>
          <w:p w14:paraId="5A2811A5"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06/02/2023</w:t>
            </w:r>
          </w:p>
        </w:tc>
      </w:tr>
      <w:tr w:rsidR="000934EA" w:rsidRPr="00894701" w14:paraId="7EB46382"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1BB36727"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81</w:t>
            </w:r>
          </w:p>
        </w:tc>
        <w:tc>
          <w:tcPr>
            <w:tcW w:w="1948" w:type="pct"/>
            <w:vAlign w:val="center"/>
            <w:hideMark/>
          </w:tcPr>
          <w:p w14:paraId="4C89142A" w14:textId="7777777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Honggodikromo Helly S </w:t>
            </w:r>
          </w:p>
        </w:tc>
        <w:tc>
          <w:tcPr>
            <w:tcW w:w="451" w:type="pct"/>
            <w:hideMark/>
          </w:tcPr>
          <w:p w14:paraId="41D776A9"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624/20</w:t>
            </w:r>
          </w:p>
        </w:tc>
        <w:tc>
          <w:tcPr>
            <w:tcW w:w="774" w:type="pct"/>
            <w:hideMark/>
          </w:tcPr>
          <w:p w14:paraId="01EFFE5A"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6EFD64B6"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200 ha</w:t>
            </w:r>
          </w:p>
        </w:tc>
        <w:tc>
          <w:tcPr>
            <w:tcW w:w="522" w:type="pct"/>
            <w:hideMark/>
          </w:tcPr>
          <w:p w14:paraId="0A0D85CC"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02/02/2020</w:t>
            </w:r>
          </w:p>
        </w:tc>
        <w:tc>
          <w:tcPr>
            <w:tcW w:w="623" w:type="pct"/>
            <w:hideMark/>
          </w:tcPr>
          <w:p w14:paraId="43D287E6"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07/02/2023</w:t>
            </w:r>
          </w:p>
        </w:tc>
      </w:tr>
      <w:tr w:rsidR="000934EA" w:rsidRPr="00894701" w14:paraId="2B1BFEC4"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695A7413"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82</w:t>
            </w:r>
          </w:p>
        </w:tc>
        <w:tc>
          <w:tcPr>
            <w:tcW w:w="1948" w:type="pct"/>
            <w:vAlign w:val="center"/>
            <w:hideMark/>
          </w:tcPr>
          <w:p w14:paraId="4E23F4DD" w14:textId="77777777"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Chotkan, Soenderpersad </w:t>
            </w:r>
          </w:p>
        </w:tc>
        <w:tc>
          <w:tcPr>
            <w:tcW w:w="451" w:type="pct"/>
            <w:hideMark/>
          </w:tcPr>
          <w:p w14:paraId="547594B5"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276/19</w:t>
            </w:r>
          </w:p>
        </w:tc>
        <w:tc>
          <w:tcPr>
            <w:tcW w:w="774" w:type="pct"/>
            <w:hideMark/>
          </w:tcPr>
          <w:p w14:paraId="3DD6B61A"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7114CED2"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169 ha</w:t>
            </w:r>
          </w:p>
        </w:tc>
        <w:tc>
          <w:tcPr>
            <w:tcW w:w="522" w:type="pct"/>
            <w:hideMark/>
          </w:tcPr>
          <w:p w14:paraId="464F4427"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03/02/2020</w:t>
            </w:r>
          </w:p>
        </w:tc>
        <w:tc>
          <w:tcPr>
            <w:tcW w:w="623" w:type="pct"/>
            <w:hideMark/>
          </w:tcPr>
          <w:p w14:paraId="69F65B5D"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06/04/2025</w:t>
            </w:r>
          </w:p>
        </w:tc>
      </w:tr>
      <w:tr w:rsidR="000934EA" w:rsidRPr="00894701" w14:paraId="3A766DF5"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6C0961F8"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83</w:t>
            </w:r>
          </w:p>
        </w:tc>
        <w:tc>
          <w:tcPr>
            <w:tcW w:w="1948" w:type="pct"/>
            <w:vAlign w:val="center"/>
            <w:hideMark/>
          </w:tcPr>
          <w:p w14:paraId="3F004CD9" w14:textId="7777777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Caffe Xergio G </w:t>
            </w:r>
          </w:p>
        </w:tc>
        <w:tc>
          <w:tcPr>
            <w:tcW w:w="451" w:type="pct"/>
            <w:hideMark/>
          </w:tcPr>
          <w:p w14:paraId="0990EE16"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690/20</w:t>
            </w:r>
          </w:p>
        </w:tc>
        <w:tc>
          <w:tcPr>
            <w:tcW w:w="774" w:type="pct"/>
            <w:hideMark/>
          </w:tcPr>
          <w:p w14:paraId="180A7FE3"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65D8DC4A"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200 ha</w:t>
            </w:r>
          </w:p>
        </w:tc>
        <w:tc>
          <w:tcPr>
            <w:tcW w:w="522" w:type="pct"/>
            <w:hideMark/>
          </w:tcPr>
          <w:p w14:paraId="4B87DEE5"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03/02/2020</w:t>
            </w:r>
          </w:p>
        </w:tc>
        <w:tc>
          <w:tcPr>
            <w:tcW w:w="623" w:type="pct"/>
            <w:hideMark/>
          </w:tcPr>
          <w:p w14:paraId="367ED321"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17/06/2023</w:t>
            </w:r>
          </w:p>
        </w:tc>
      </w:tr>
      <w:tr w:rsidR="000934EA" w:rsidRPr="00894701" w14:paraId="6EBA0DE9"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6C652917"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84</w:t>
            </w:r>
          </w:p>
        </w:tc>
        <w:tc>
          <w:tcPr>
            <w:tcW w:w="1948" w:type="pct"/>
            <w:vAlign w:val="center"/>
            <w:hideMark/>
          </w:tcPr>
          <w:p w14:paraId="7FE6566E" w14:textId="3A62FD7D"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Century natural stone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428EBC90"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745/20</w:t>
            </w:r>
          </w:p>
        </w:tc>
        <w:tc>
          <w:tcPr>
            <w:tcW w:w="774" w:type="pct"/>
            <w:hideMark/>
          </w:tcPr>
          <w:p w14:paraId="78E4AADD"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777BD638"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4784 ha</w:t>
            </w:r>
          </w:p>
        </w:tc>
        <w:tc>
          <w:tcPr>
            <w:tcW w:w="522" w:type="pct"/>
            <w:hideMark/>
          </w:tcPr>
          <w:p w14:paraId="64D61EF3"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07/02/2020</w:t>
            </w:r>
          </w:p>
        </w:tc>
        <w:tc>
          <w:tcPr>
            <w:tcW w:w="623" w:type="pct"/>
            <w:hideMark/>
          </w:tcPr>
          <w:p w14:paraId="056E2CD1"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07/06/2023</w:t>
            </w:r>
          </w:p>
        </w:tc>
      </w:tr>
      <w:tr w:rsidR="000934EA" w:rsidRPr="00894701" w14:paraId="20187981"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72B4A87D"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85</w:t>
            </w:r>
          </w:p>
        </w:tc>
        <w:tc>
          <w:tcPr>
            <w:tcW w:w="1948" w:type="pct"/>
            <w:vAlign w:val="center"/>
            <w:hideMark/>
          </w:tcPr>
          <w:p w14:paraId="17B0C590" w14:textId="6766729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Century natural stone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7397EC6B"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735/20</w:t>
            </w:r>
          </w:p>
        </w:tc>
        <w:tc>
          <w:tcPr>
            <w:tcW w:w="774" w:type="pct"/>
            <w:hideMark/>
          </w:tcPr>
          <w:p w14:paraId="2655AD2C"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3FE144D4"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1295 ha</w:t>
            </w:r>
          </w:p>
        </w:tc>
        <w:tc>
          <w:tcPr>
            <w:tcW w:w="522" w:type="pct"/>
            <w:hideMark/>
          </w:tcPr>
          <w:p w14:paraId="401A5CAC"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07/02/2020</w:t>
            </w:r>
          </w:p>
        </w:tc>
        <w:tc>
          <w:tcPr>
            <w:tcW w:w="623" w:type="pct"/>
            <w:hideMark/>
          </w:tcPr>
          <w:p w14:paraId="4E61FC4A"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07/06/2023</w:t>
            </w:r>
          </w:p>
        </w:tc>
      </w:tr>
      <w:tr w:rsidR="000934EA" w:rsidRPr="00894701" w14:paraId="30D4AFE6" w14:textId="77777777" w:rsidTr="00BE1B23">
        <w:trPr>
          <w:trHeight w:val="45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65F9FC70"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86</w:t>
            </w:r>
          </w:p>
        </w:tc>
        <w:tc>
          <w:tcPr>
            <w:tcW w:w="1948" w:type="pct"/>
            <w:vAlign w:val="center"/>
            <w:hideMark/>
          </w:tcPr>
          <w:p w14:paraId="425645D4" w14:textId="24516F3C"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val="fr-FR" w:eastAsia="fr-FR"/>
              </w:rPr>
            </w:pPr>
            <w:r w:rsidRPr="00894701">
              <w:rPr>
                <w:rFonts w:asciiTheme="minorHAnsi" w:hAnsiTheme="minorHAnsi" w:cs="Calibri"/>
                <w:color w:val="000000" w:themeColor="text1"/>
                <w:kern w:val="0"/>
                <w:sz w:val="16"/>
                <w:szCs w:val="16"/>
                <w:lang w:val="fr-FR" w:eastAsia="fr-FR"/>
              </w:rPr>
              <w:t>Commewijne Exploration- en Exploitation maatschappij N.V</w:t>
            </w:r>
            <w:r w:rsidR="0090575B" w:rsidRPr="00894701">
              <w:rPr>
                <w:rFonts w:asciiTheme="minorHAnsi" w:hAnsiTheme="minorHAnsi" w:cs="Calibri"/>
                <w:color w:val="000000" w:themeColor="text1"/>
                <w:kern w:val="0"/>
                <w:sz w:val="16"/>
                <w:szCs w:val="16"/>
                <w:lang w:val="fr-FR" w:eastAsia="fr-FR"/>
              </w:rPr>
              <w:t>.</w:t>
            </w:r>
            <w:r w:rsidRPr="00894701">
              <w:rPr>
                <w:rFonts w:asciiTheme="minorHAnsi" w:hAnsiTheme="minorHAnsi" w:cs="Calibri"/>
                <w:color w:val="000000" w:themeColor="text1"/>
                <w:kern w:val="0"/>
                <w:sz w:val="16"/>
                <w:szCs w:val="16"/>
                <w:lang w:val="fr-FR" w:eastAsia="fr-FR"/>
              </w:rPr>
              <w:t xml:space="preserve"> </w:t>
            </w:r>
          </w:p>
        </w:tc>
        <w:tc>
          <w:tcPr>
            <w:tcW w:w="451" w:type="pct"/>
            <w:hideMark/>
          </w:tcPr>
          <w:p w14:paraId="02C1BA80"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598/20</w:t>
            </w:r>
          </w:p>
        </w:tc>
        <w:tc>
          <w:tcPr>
            <w:tcW w:w="774" w:type="pct"/>
            <w:hideMark/>
          </w:tcPr>
          <w:p w14:paraId="5D1C63DD"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25300B4D"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200 Ha</w:t>
            </w:r>
          </w:p>
        </w:tc>
        <w:tc>
          <w:tcPr>
            <w:tcW w:w="522" w:type="pct"/>
            <w:hideMark/>
          </w:tcPr>
          <w:p w14:paraId="3F2E56AC"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10/02/2020</w:t>
            </w:r>
          </w:p>
        </w:tc>
        <w:tc>
          <w:tcPr>
            <w:tcW w:w="623" w:type="pct"/>
            <w:hideMark/>
          </w:tcPr>
          <w:p w14:paraId="6FBFEC2F"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03/05/2025</w:t>
            </w:r>
          </w:p>
        </w:tc>
      </w:tr>
      <w:tr w:rsidR="000934EA" w:rsidRPr="00894701" w14:paraId="6B986FE1"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6A6CE8E3"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87</w:t>
            </w:r>
          </w:p>
        </w:tc>
        <w:tc>
          <w:tcPr>
            <w:tcW w:w="1948" w:type="pct"/>
            <w:vAlign w:val="center"/>
            <w:hideMark/>
          </w:tcPr>
          <w:p w14:paraId="6F2F409A" w14:textId="6F5EF304"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Exquisitely yours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02CE429E"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595/20</w:t>
            </w:r>
          </w:p>
        </w:tc>
        <w:tc>
          <w:tcPr>
            <w:tcW w:w="774" w:type="pct"/>
            <w:hideMark/>
          </w:tcPr>
          <w:p w14:paraId="3DDE65D0"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17F4C22C"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392 ha</w:t>
            </w:r>
          </w:p>
        </w:tc>
        <w:tc>
          <w:tcPr>
            <w:tcW w:w="522" w:type="pct"/>
            <w:hideMark/>
          </w:tcPr>
          <w:p w14:paraId="23C9C1CA"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02/03/2020</w:t>
            </w:r>
          </w:p>
        </w:tc>
        <w:tc>
          <w:tcPr>
            <w:tcW w:w="623" w:type="pct"/>
            <w:hideMark/>
          </w:tcPr>
          <w:p w14:paraId="0E1C37E1"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06/04/2023</w:t>
            </w:r>
          </w:p>
        </w:tc>
      </w:tr>
      <w:tr w:rsidR="000934EA" w:rsidRPr="00894701" w14:paraId="2671515E"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5208ECF8"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88</w:t>
            </w:r>
          </w:p>
        </w:tc>
        <w:tc>
          <w:tcPr>
            <w:tcW w:w="1948" w:type="pct"/>
            <w:vAlign w:val="center"/>
            <w:hideMark/>
          </w:tcPr>
          <w:p w14:paraId="3B77C507" w14:textId="77777777"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N.V Prosperity Hope Mining </w:t>
            </w:r>
          </w:p>
        </w:tc>
        <w:tc>
          <w:tcPr>
            <w:tcW w:w="451" w:type="pct"/>
            <w:hideMark/>
          </w:tcPr>
          <w:p w14:paraId="7CCE7CB3"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734/20</w:t>
            </w:r>
          </w:p>
        </w:tc>
        <w:tc>
          <w:tcPr>
            <w:tcW w:w="774" w:type="pct"/>
            <w:hideMark/>
          </w:tcPr>
          <w:p w14:paraId="1892D318"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53B90121"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5.576 ha</w:t>
            </w:r>
          </w:p>
        </w:tc>
        <w:tc>
          <w:tcPr>
            <w:tcW w:w="522" w:type="pct"/>
            <w:hideMark/>
          </w:tcPr>
          <w:p w14:paraId="7B6D3EC7"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07/03/2020</w:t>
            </w:r>
          </w:p>
        </w:tc>
        <w:tc>
          <w:tcPr>
            <w:tcW w:w="623" w:type="pct"/>
            <w:hideMark/>
          </w:tcPr>
          <w:p w14:paraId="290E58CC"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07/07/2023</w:t>
            </w:r>
          </w:p>
        </w:tc>
      </w:tr>
      <w:tr w:rsidR="000934EA" w:rsidRPr="00894701" w14:paraId="36B8DE2B"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644B5305"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89</w:t>
            </w:r>
          </w:p>
        </w:tc>
        <w:tc>
          <w:tcPr>
            <w:tcW w:w="1948" w:type="pct"/>
            <w:vAlign w:val="center"/>
            <w:hideMark/>
          </w:tcPr>
          <w:p w14:paraId="38BCD8C8" w14:textId="7777777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Gregory Paul Coulor </w:t>
            </w:r>
          </w:p>
        </w:tc>
        <w:tc>
          <w:tcPr>
            <w:tcW w:w="451" w:type="pct"/>
            <w:hideMark/>
          </w:tcPr>
          <w:p w14:paraId="3FD5550F"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623/20</w:t>
            </w:r>
          </w:p>
        </w:tc>
        <w:tc>
          <w:tcPr>
            <w:tcW w:w="774" w:type="pct"/>
            <w:hideMark/>
          </w:tcPr>
          <w:p w14:paraId="762D0992"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38D5202C"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50 ha</w:t>
            </w:r>
          </w:p>
        </w:tc>
        <w:tc>
          <w:tcPr>
            <w:tcW w:w="522" w:type="pct"/>
            <w:hideMark/>
          </w:tcPr>
          <w:p w14:paraId="634014D2"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03/04/2020</w:t>
            </w:r>
          </w:p>
        </w:tc>
        <w:tc>
          <w:tcPr>
            <w:tcW w:w="623" w:type="pct"/>
            <w:hideMark/>
          </w:tcPr>
          <w:p w14:paraId="2C6B9827"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06/04/2023</w:t>
            </w:r>
          </w:p>
        </w:tc>
      </w:tr>
      <w:tr w:rsidR="000934EA" w:rsidRPr="00894701" w14:paraId="358A0E9C"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6D2FF4D4"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90</w:t>
            </w:r>
          </w:p>
        </w:tc>
        <w:tc>
          <w:tcPr>
            <w:tcW w:w="1948" w:type="pct"/>
            <w:vAlign w:val="center"/>
            <w:hideMark/>
          </w:tcPr>
          <w:p w14:paraId="63D067B8" w14:textId="77777777"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Ceder Patrick Stanley Dennis Maria </w:t>
            </w:r>
          </w:p>
        </w:tc>
        <w:tc>
          <w:tcPr>
            <w:tcW w:w="451" w:type="pct"/>
            <w:hideMark/>
          </w:tcPr>
          <w:p w14:paraId="4D27DDAD"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329/19</w:t>
            </w:r>
          </w:p>
        </w:tc>
        <w:tc>
          <w:tcPr>
            <w:tcW w:w="774" w:type="pct"/>
            <w:hideMark/>
          </w:tcPr>
          <w:p w14:paraId="0D701BE7"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Small Scale Mining</w:t>
            </w:r>
          </w:p>
        </w:tc>
        <w:tc>
          <w:tcPr>
            <w:tcW w:w="481" w:type="pct"/>
            <w:hideMark/>
          </w:tcPr>
          <w:p w14:paraId="20EB2F88"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161 Ha</w:t>
            </w:r>
          </w:p>
        </w:tc>
        <w:tc>
          <w:tcPr>
            <w:tcW w:w="522" w:type="pct"/>
            <w:hideMark/>
          </w:tcPr>
          <w:p w14:paraId="798B3A3C"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05/05/2020</w:t>
            </w:r>
          </w:p>
        </w:tc>
        <w:tc>
          <w:tcPr>
            <w:tcW w:w="623" w:type="pct"/>
            <w:hideMark/>
          </w:tcPr>
          <w:p w14:paraId="6D461B16"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22/06/2022</w:t>
            </w:r>
          </w:p>
        </w:tc>
      </w:tr>
      <w:tr w:rsidR="000934EA" w:rsidRPr="00894701" w14:paraId="7152EDC1"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0C5F34A4"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91</w:t>
            </w:r>
          </w:p>
        </w:tc>
        <w:tc>
          <w:tcPr>
            <w:tcW w:w="1948" w:type="pct"/>
            <w:vAlign w:val="center"/>
            <w:hideMark/>
          </w:tcPr>
          <w:p w14:paraId="3B73335F" w14:textId="7777777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Barron Gerrit J. M </w:t>
            </w:r>
          </w:p>
        </w:tc>
        <w:tc>
          <w:tcPr>
            <w:tcW w:w="451" w:type="pct"/>
            <w:hideMark/>
          </w:tcPr>
          <w:p w14:paraId="4D869B67"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667/20</w:t>
            </w:r>
          </w:p>
        </w:tc>
        <w:tc>
          <w:tcPr>
            <w:tcW w:w="774" w:type="pct"/>
            <w:hideMark/>
          </w:tcPr>
          <w:p w14:paraId="40049ABB"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0BB0C962"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100 Ha</w:t>
            </w:r>
          </w:p>
        </w:tc>
        <w:tc>
          <w:tcPr>
            <w:tcW w:w="522" w:type="pct"/>
            <w:hideMark/>
          </w:tcPr>
          <w:p w14:paraId="182A7917"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05/05/2020</w:t>
            </w:r>
          </w:p>
        </w:tc>
        <w:tc>
          <w:tcPr>
            <w:tcW w:w="623" w:type="pct"/>
            <w:hideMark/>
          </w:tcPr>
          <w:p w14:paraId="30741B95"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29/06/2025</w:t>
            </w:r>
          </w:p>
        </w:tc>
      </w:tr>
      <w:tr w:rsidR="000934EA" w:rsidRPr="00894701" w14:paraId="5C4FA396"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15780206"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92</w:t>
            </w:r>
          </w:p>
        </w:tc>
        <w:tc>
          <w:tcPr>
            <w:tcW w:w="1948" w:type="pct"/>
            <w:vAlign w:val="center"/>
            <w:hideMark/>
          </w:tcPr>
          <w:p w14:paraId="37F24BDD" w14:textId="77777777"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N.V Grassalco </w:t>
            </w:r>
          </w:p>
        </w:tc>
        <w:tc>
          <w:tcPr>
            <w:tcW w:w="451" w:type="pct"/>
            <w:hideMark/>
          </w:tcPr>
          <w:p w14:paraId="65553327"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693/20</w:t>
            </w:r>
          </w:p>
        </w:tc>
        <w:tc>
          <w:tcPr>
            <w:tcW w:w="774" w:type="pct"/>
            <w:hideMark/>
          </w:tcPr>
          <w:p w14:paraId="10983F28"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3BBB88CB"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40.000 ha</w:t>
            </w:r>
          </w:p>
        </w:tc>
        <w:tc>
          <w:tcPr>
            <w:tcW w:w="522" w:type="pct"/>
            <w:hideMark/>
          </w:tcPr>
          <w:p w14:paraId="247BB47B"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06/05/2020</w:t>
            </w:r>
          </w:p>
        </w:tc>
        <w:tc>
          <w:tcPr>
            <w:tcW w:w="623" w:type="pct"/>
            <w:hideMark/>
          </w:tcPr>
          <w:p w14:paraId="38C79944"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07/07/2023</w:t>
            </w:r>
          </w:p>
        </w:tc>
      </w:tr>
      <w:tr w:rsidR="000934EA" w:rsidRPr="00894701" w14:paraId="630D1ED5"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7643A22E"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93</w:t>
            </w:r>
          </w:p>
        </w:tc>
        <w:tc>
          <w:tcPr>
            <w:tcW w:w="1948" w:type="pct"/>
            <w:vAlign w:val="center"/>
            <w:hideMark/>
          </w:tcPr>
          <w:p w14:paraId="1BB1C61C" w14:textId="7777777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N.V Grassalco </w:t>
            </w:r>
          </w:p>
        </w:tc>
        <w:tc>
          <w:tcPr>
            <w:tcW w:w="451" w:type="pct"/>
            <w:hideMark/>
          </w:tcPr>
          <w:p w14:paraId="0E09DC58"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694/20</w:t>
            </w:r>
          </w:p>
        </w:tc>
        <w:tc>
          <w:tcPr>
            <w:tcW w:w="774" w:type="pct"/>
            <w:hideMark/>
          </w:tcPr>
          <w:p w14:paraId="2B56C9FA"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3B8F4387"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40.000 ha</w:t>
            </w:r>
          </w:p>
        </w:tc>
        <w:tc>
          <w:tcPr>
            <w:tcW w:w="522" w:type="pct"/>
            <w:hideMark/>
          </w:tcPr>
          <w:p w14:paraId="021E655E"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06/05/2020</w:t>
            </w:r>
          </w:p>
        </w:tc>
        <w:tc>
          <w:tcPr>
            <w:tcW w:w="623" w:type="pct"/>
            <w:hideMark/>
          </w:tcPr>
          <w:p w14:paraId="63237A06"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07/02/2023</w:t>
            </w:r>
          </w:p>
        </w:tc>
      </w:tr>
      <w:tr w:rsidR="000934EA" w:rsidRPr="00894701" w14:paraId="7652BEFF"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0964BC61"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94</w:t>
            </w:r>
          </w:p>
        </w:tc>
        <w:tc>
          <w:tcPr>
            <w:tcW w:w="1948" w:type="pct"/>
            <w:vAlign w:val="center"/>
            <w:hideMark/>
          </w:tcPr>
          <w:p w14:paraId="789B9766" w14:textId="77777777"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N.V Grassalco </w:t>
            </w:r>
          </w:p>
        </w:tc>
        <w:tc>
          <w:tcPr>
            <w:tcW w:w="451" w:type="pct"/>
            <w:hideMark/>
          </w:tcPr>
          <w:p w14:paraId="040C0CCF"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695/20</w:t>
            </w:r>
          </w:p>
        </w:tc>
        <w:tc>
          <w:tcPr>
            <w:tcW w:w="774" w:type="pct"/>
            <w:hideMark/>
          </w:tcPr>
          <w:p w14:paraId="5D541247"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7D4E06A8"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40.000 ha</w:t>
            </w:r>
          </w:p>
        </w:tc>
        <w:tc>
          <w:tcPr>
            <w:tcW w:w="522" w:type="pct"/>
            <w:hideMark/>
          </w:tcPr>
          <w:p w14:paraId="35624535"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06/05/2020</w:t>
            </w:r>
          </w:p>
        </w:tc>
        <w:tc>
          <w:tcPr>
            <w:tcW w:w="623" w:type="pct"/>
            <w:hideMark/>
          </w:tcPr>
          <w:p w14:paraId="1605C491"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07/02/2023</w:t>
            </w:r>
          </w:p>
        </w:tc>
      </w:tr>
      <w:tr w:rsidR="000934EA" w:rsidRPr="00894701" w14:paraId="482CFF45"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5F76320C"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95</w:t>
            </w:r>
          </w:p>
        </w:tc>
        <w:tc>
          <w:tcPr>
            <w:tcW w:w="1948" w:type="pct"/>
            <w:vAlign w:val="center"/>
            <w:hideMark/>
          </w:tcPr>
          <w:p w14:paraId="546AE879" w14:textId="7777777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N.V Grassalco </w:t>
            </w:r>
          </w:p>
        </w:tc>
        <w:tc>
          <w:tcPr>
            <w:tcW w:w="451" w:type="pct"/>
            <w:hideMark/>
          </w:tcPr>
          <w:p w14:paraId="24655C4D"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696/20</w:t>
            </w:r>
          </w:p>
        </w:tc>
        <w:tc>
          <w:tcPr>
            <w:tcW w:w="774" w:type="pct"/>
            <w:hideMark/>
          </w:tcPr>
          <w:p w14:paraId="5F92B07D"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1989A64C"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40.000 ha</w:t>
            </w:r>
          </w:p>
        </w:tc>
        <w:tc>
          <w:tcPr>
            <w:tcW w:w="522" w:type="pct"/>
            <w:hideMark/>
          </w:tcPr>
          <w:p w14:paraId="50BD60E3"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06/05/2020</w:t>
            </w:r>
          </w:p>
        </w:tc>
        <w:tc>
          <w:tcPr>
            <w:tcW w:w="623" w:type="pct"/>
            <w:hideMark/>
          </w:tcPr>
          <w:p w14:paraId="0C3AD5E9"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07/02/2023</w:t>
            </w:r>
          </w:p>
        </w:tc>
      </w:tr>
      <w:tr w:rsidR="000934EA" w:rsidRPr="00894701" w14:paraId="668B4DA8"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0149D9AE"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96</w:t>
            </w:r>
          </w:p>
        </w:tc>
        <w:tc>
          <w:tcPr>
            <w:tcW w:w="1948" w:type="pct"/>
            <w:vAlign w:val="center"/>
            <w:hideMark/>
          </w:tcPr>
          <w:p w14:paraId="09309300" w14:textId="5F0F4C8D"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Grassalco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27840F9D"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778/20</w:t>
            </w:r>
          </w:p>
        </w:tc>
        <w:tc>
          <w:tcPr>
            <w:tcW w:w="774" w:type="pct"/>
            <w:hideMark/>
          </w:tcPr>
          <w:p w14:paraId="1057CA40"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12F6AAAB"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11993 ha</w:t>
            </w:r>
          </w:p>
        </w:tc>
        <w:tc>
          <w:tcPr>
            <w:tcW w:w="522" w:type="pct"/>
            <w:hideMark/>
          </w:tcPr>
          <w:p w14:paraId="1BFE20CD"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06/05/2020</w:t>
            </w:r>
          </w:p>
        </w:tc>
        <w:tc>
          <w:tcPr>
            <w:tcW w:w="623" w:type="pct"/>
            <w:hideMark/>
          </w:tcPr>
          <w:p w14:paraId="7F3D1CEB"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07/10/2023</w:t>
            </w:r>
          </w:p>
        </w:tc>
      </w:tr>
      <w:tr w:rsidR="000934EA" w:rsidRPr="00894701" w14:paraId="53EA16A2"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092F0605"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97</w:t>
            </w:r>
          </w:p>
        </w:tc>
        <w:tc>
          <w:tcPr>
            <w:tcW w:w="1948" w:type="pct"/>
            <w:vAlign w:val="center"/>
            <w:hideMark/>
          </w:tcPr>
          <w:p w14:paraId="6C069514" w14:textId="361DA9DA"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Grassalco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539200FF"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787/20</w:t>
            </w:r>
          </w:p>
        </w:tc>
        <w:tc>
          <w:tcPr>
            <w:tcW w:w="774" w:type="pct"/>
            <w:hideMark/>
          </w:tcPr>
          <w:p w14:paraId="233D23A9"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7B8DC8E2"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21477 ha</w:t>
            </w:r>
          </w:p>
        </w:tc>
        <w:tc>
          <w:tcPr>
            <w:tcW w:w="522" w:type="pct"/>
            <w:hideMark/>
          </w:tcPr>
          <w:p w14:paraId="096072AD"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06/05/2020</w:t>
            </w:r>
          </w:p>
        </w:tc>
        <w:tc>
          <w:tcPr>
            <w:tcW w:w="623" w:type="pct"/>
            <w:hideMark/>
          </w:tcPr>
          <w:p w14:paraId="541C11F7"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07/10/2023</w:t>
            </w:r>
          </w:p>
        </w:tc>
      </w:tr>
      <w:tr w:rsidR="000934EA" w:rsidRPr="00894701" w14:paraId="5A551FB2"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56731FE3"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98</w:t>
            </w:r>
          </w:p>
        </w:tc>
        <w:tc>
          <w:tcPr>
            <w:tcW w:w="1948" w:type="pct"/>
            <w:vAlign w:val="center"/>
            <w:hideMark/>
          </w:tcPr>
          <w:p w14:paraId="199B3BE8" w14:textId="3740BA83"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Chavarma Mining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7355F118"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481/19</w:t>
            </w:r>
          </w:p>
        </w:tc>
        <w:tc>
          <w:tcPr>
            <w:tcW w:w="774" w:type="pct"/>
            <w:hideMark/>
          </w:tcPr>
          <w:p w14:paraId="430F204D"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36570A1B"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511 Ha</w:t>
            </w:r>
          </w:p>
        </w:tc>
        <w:tc>
          <w:tcPr>
            <w:tcW w:w="522" w:type="pct"/>
            <w:hideMark/>
          </w:tcPr>
          <w:p w14:paraId="442B895F"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06/05/2020</w:t>
            </w:r>
          </w:p>
        </w:tc>
        <w:tc>
          <w:tcPr>
            <w:tcW w:w="623" w:type="pct"/>
            <w:hideMark/>
          </w:tcPr>
          <w:p w14:paraId="5541DA00"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09/07/2023</w:t>
            </w:r>
          </w:p>
        </w:tc>
      </w:tr>
      <w:tr w:rsidR="000934EA" w:rsidRPr="00894701" w14:paraId="61DF9B7F"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0EADC682"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99</w:t>
            </w:r>
          </w:p>
        </w:tc>
        <w:tc>
          <w:tcPr>
            <w:tcW w:w="1948" w:type="pct"/>
            <w:vAlign w:val="center"/>
            <w:hideMark/>
          </w:tcPr>
          <w:p w14:paraId="3BA530B5" w14:textId="1A3C4E75"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Consolidated Resources Suriname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4B4A7488"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659/20</w:t>
            </w:r>
          </w:p>
        </w:tc>
        <w:tc>
          <w:tcPr>
            <w:tcW w:w="774" w:type="pct"/>
            <w:hideMark/>
          </w:tcPr>
          <w:p w14:paraId="02656B03"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07C71142"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39450 Ha</w:t>
            </w:r>
          </w:p>
        </w:tc>
        <w:tc>
          <w:tcPr>
            <w:tcW w:w="522" w:type="pct"/>
            <w:hideMark/>
          </w:tcPr>
          <w:p w14:paraId="7AEDC92C"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13/05/2020</w:t>
            </w:r>
          </w:p>
        </w:tc>
        <w:tc>
          <w:tcPr>
            <w:tcW w:w="623" w:type="pct"/>
            <w:hideMark/>
          </w:tcPr>
          <w:p w14:paraId="0F4B96A9"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21/05/2023</w:t>
            </w:r>
          </w:p>
        </w:tc>
      </w:tr>
      <w:tr w:rsidR="000934EA" w:rsidRPr="00894701" w14:paraId="03DA737D"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5A5D49A0"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100</w:t>
            </w:r>
          </w:p>
        </w:tc>
        <w:tc>
          <w:tcPr>
            <w:tcW w:w="1948" w:type="pct"/>
            <w:vAlign w:val="center"/>
            <w:hideMark/>
          </w:tcPr>
          <w:p w14:paraId="47DE6DF2" w14:textId="65257550"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Consolidated Resources Suriname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3B2CA931"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660/20</w:t>
            </w:r>
          </w:p>
        </w:tc>
        <w:tc>
          <w:tcPr>
            <w:tcW w:w="774" w:type="pct"/>
            <w:hideMark/>
          </w:tcPr>
          <w:p w14:paraId="3B639332"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7612A932"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39679 Ha</w:t>
            </w:r>
          </w:p>
        </w:tc>
        <w:tc>
          <w:tcPr>
            <w:tcW w:w="522" w:type="pct"/>
            <w:hideMark/>
          </w:tcPr>
          <w:p w14:paraId="44F1E0AB"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13/05/2020</w:t>
            </w:r>
          </w:p>
        </w:tc>
        <w:tc>
          <w:tcPr>
            <w:tcW w:w="623" w:type="pct"/>
            <w:hideMark/>
          </w:tcPr>
          <w:p w14:paraId="0E44E38E"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21/05/2028</w:t>
            </w:r>
          </w:p>
        </w:tc>
      </w:tr>
      <w:tr w:rsidR="000934EA" w:rsidRPr="00894701" w14:paraId="7F657888"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6E8D3F06"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101</w:t>
            </w:r>
          </w:p>
        </w:tc>
        <w:tc>
          <w:tcPr>
            <w:tcW w:w="1948" w:type="pct"/>
            <w:vAlign w:val="center"/>
            <w:hideMark/>
          </w:tcPr>
          <w:p w14:paraId="3BB7C75C" w14:textId="59E0075E"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A.C. Bos Gold Mining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1467E9C5"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662/20</w:t>
            </w:r>
          </w:p>
        </w:tc>
        <w:tc>
          <w:tcPr>
            <w:tcW w:w="774" w:type="pct"/>
            <w:hideMark/>
          </w:tcPr>
          <w:p w14:paraId="717FD9C5"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50D2450A"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14368 Ha</w:t>
            </w:r>
          </w:p>
        </w:tc>
        <w:tc>
          <w:tcPr>
            <w:tcW w:w="522" w:type="pct"/>
            <w:hideMark/>
          </w:tcPr>
          <w:p w14:paraId="2DAF6ED2"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14/05/2020</w:t>
            </w:r>
          </w:p>
        </w:tc>
        <w:tc>
          <w:tcPr>
            <w:tcW w:w="623" w:type="pct"/>
            <w:hideMark/>
          </w:tcPr>
          <w:p w14:paraId="3E3B2E21"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21/05/2023</w:t>
            </w:r>
          </w:p>
        </w:tc>
      </w:tr>
      <w:tr w:rsidR="000934EA" w:rsidRPr="00894701" w14:paraId="79495F84"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72CE03B9"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102</w:t>
            </w:r>
          </w:p>
        </w:tc>
        <w:tc>
          <w:tcPr>
            <w:tcW w:w="1948" w:type="pct"/>
            <w:vAlign w:val="center"/>
            <w:hideMark/>
          </w:tcPr>
          <w:p w14:paraId="6471B608" w14:textId="7CD7E61E"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Weewee Johannes</w:t>
            </w:r>
            <w:r w:rsidR="00206BA2" w:rsidRPr="00894701">
              <w:rPr>
                <w:rFonts w:asciiTheme="minorHAnsi" w:hAnsiTheme="minorHAnsi" w:cs="Calibri"/>
                <w:color w:val="000000" w:themeColor="text1"/>
                <w:kern w:val="0"/>
                <w:sz w:val="16"/>
                <w:szCs w:val="16"/>
                <w:lang w:eastAsia="fr-FR"/>
              </w:rPr>
              <w:t xml:space="preserve"> </w:t>
            </w:r>
          </w:p>
        </w:tc>
        <w:tc>
          <w:tcPr>
            <w:tcW w:w="451" w:type="pct"/>
            <w:hideMark/>
          </w:tcPr>
          <w:p w14:paraId="79614B69"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663/20</w:t>
            </w:r>
          </w:p>
        </w:tc>
        <w:tc>
          <w:tcPr>
            <w:tcW w:w="774" w:type="pct"/>
            <w:hideMark/>
          </w:tcPr>
          <w:p w14:paraId="2496FAAD"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4F1B7851"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325 Ha</w:t>
            </w:r>
          </w:p>
        </w:tc>
        <w:tc>
          <w:tcPr>
            <w:tcW w:w="522" w:type="pct"/>
            <w:hideMark/>
          </w:tcPr>
          <w:p w14:paraId="6BE3A17A"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14/05/2020</w:t>
            </w:r>
          </w:p>
        </w:tc>
        <w:tc>
          <w:tcPr>
            <w:tcW w:w="623" w:type="pct"/>
            <w:hideMark/>
          </w:tcPr>
          <w:p w14:paraId="16B6AE4C"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02/05/2040</w:t>
            </w:r>
          </w:p>
        </w:tc>
      </w:tr>
      <w:tr w:rsidR="000934EA" w:rsidRPr="00894701" w14:paraId="6E19A1AC"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0EE236DA"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103</w:t>
            </w:r>
          </w:p>
        </w:tc>
        <w:tc>
          <w:tcPr>
            <w:tcW w:w="1948" w:type="pct"/>
            <w:vAlign w:val="center"/>
            <w:hideMark/>
          </w:tcPr>
          <w:p w14:paraId="175F1241" w14:textId="7777777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N.V Placer Mining Company (N.V Plaminco) </w:t>
            </w:r>
          </w:p>
        </w:tc>
        <w:tc>
          <w:tcPr>
            <w:tcW w:w="451" w:type="pct"/>
            <w:hideMark/>
          </w:tcPr>
          <w:p w14:paraId="354BFEE9"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669/20</w:t>
            </w:r>
          </w:p>
        </w:tc>
        <w:tc>
          <w:tcPr>
            <w:tcW w:w="774" w:type="pct"/>
            <w:hideMark/>
          </w:tcPr>
          <w:p w14:paraId="3F7F0C6F"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080CC55C"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10000 Ha</w:t>
            </w:r>
          </w:p>
        </w:tc>
        <w:tc>
          <w:tcPr>
            <w:tcW w:w="522" w:type="pct"/>
            <w:hideMark/>
          </w:tcPr>
          <w:p w14:paraId="6CFC1563"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15/05/2020</w:t>
            </w:r>
          </w:p>
        </w:tc>
        <w:tc>
          <w:tcPr>
            <w:tcW w:w="623" w:type="pct"/>
            <w:hideMark/>
          </w:tcPr>
          <w:p w14:paraId="1DCD754C"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22/06/2030</w:t>
            </w:r>
          </w:p>
        </w:tc>
      </w:tr>
      <w:tr w:rsidR="000934EA" w:rsidRPr="00894701" w14:paraId="72B860B0"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685C451C"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104</w:t>
            </w:r>
          </w:p>
        </w:tc>
        <w:tc>
          <w:tcPr>
            <w:tcW w:w="1948" w:type="pct"/>
            <w:vAlign w:val="center"/>
            <w:hideMark/>
          </w:tcPr>
          <w:p w14:paraId="36D4264E" w14:textId="77777777"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Pure Domestic Mineral Resources </w:t>
            </w:r>
          </w:p>
        </w:tc>
        <w:tc>
          <w:tcPr>
            <w:tcW w:w="451" w:type="pct"/>
            <w:hideMark/>
          </w:tcPr>
          <w:p w14:paraId="03CE3DBB"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670/20</w:t>
            </w:r>
          </w:p>
        </w:tc>
        <w:tc>
          <w:tcPr>
            <w:tcW w:w="774" w:type="pct"/>
            <w:hideMark/>
          </w:tcPr>
          <w:p w14:paraId="1A22D5AD"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456BFDCD"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37275 Ha</w:t>
            </w:r>
          </w:p>
        </w:tc>
        <w:tc>
          <w:tcPr>
            <w:tcW w:w="522" w:type="pct"/>
            <w:hideMark/>
          </w:tcPr>
          <w:p w14:paraId="5AF484E7"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15/05/2020</w:t>
            </w:r>
          </w:p>
        </w:tc>
        <w:tc>
          <w:tcPr>
            <w:tcW w:w="623" w:type="pct"/>
            <w:hideMark/>
          </w:tcPr>
          <w:p w14:paraId="719B6D2E"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09/07/2023</w:t>
            </w:r>
          </w:p>
        </w:tc>
      </w:tr>
      <w:tr w:rsidR="000934EA" w:rsidRPr="00894701" w14:paraId="5FD49071"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26623E32"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105</w:t>
            </w:r>
          </w:p>
        </w:tc>
        <w:tc>
          <w:tcPr>
            <w:tcW w:w="1948" w:type="pct"/>
            <w:vAlign w:val="center"/>
            <w:hideMark/>
          </w:tcPr>
          <w:p w14:paraId="21F8BA31" w14:textId="223EB9F1"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Precious Metal Exchange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5E0B9BDA"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439 A/17</w:t>
            </w:r>
          </w:p>
        </w:tc>
        <w:tc>
          <w:tcPr>
            <w:tcW w:w="774" w:type="pct"/>
            <w:hideMark/>
          </w:tcPr>
          <w:p w14:paraId="7E66E0EB"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Exploitation</w:t>
            </w:r>
          </w:p>
        </w:tc>
        <w:tc>
          <w:tcPr>
            <w:tcW w:w="481" w:type="pct"/>
            <w:hideMark/>
          </w:tcPr>
          <w:p w14:paraId="4BCF98B2"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1479 Ha</w:t>
            </w:r>
          </w:p>
        </w:tc>
        <w:tc>
          <w:tcPr>
            <w:tcW w:w="522" w:type="pct"/>
            <w:hideMark/>
          </w:tcPr>
          <w:p w14:paraId="7621D248"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29/05/2020</w:t>
            </w:r>
          </w:p>
        </w:tc>
        <w:tc>
          <w:tcPr>
            <w:tcW w:w="623" w:type="pct"/>
            <w:hideMark/>
          </w:tcPr>
          <w:p w14:paraId="0A8D0A66"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17/06/2022</w:t>
            </w:r>
          </w:p>
        </w:tc>
      </w:tr>
      <w:tr w:rsidR="000934EA" w:rsidRPr="00894701" w14:paraId="0DE2F819"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78B63163"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106</w:t>
            </w:r>
          </w:p>
        </w:tc>
        <w:tc>
          <w:tcPr>
            <w:tcW w:w="1948" w:type="pct"/>
            <w:vAlign w:val="center"/>
            <w:hideMark/>
          </w:tcPr>
          <w:p w14:paraId="0091AA37" w14:textId="7DEAB24F"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Abilo Mining N.V</w:t>
            </w:r>
            <w:r w:rsidR="0090575B" w:rsidRPr="00894701">
              <w:rPr>
                <w:rFonts w:asciiTheme="minorHAnsi" w:hAnsiTheme="minorHAnsi" w:cs="Calibri"/>
                <w:color w:val="000000" w:themeColor="text1"/>
                <w:kern w:val="0"/>
                <w:sz w:val="16"/>
                <w:szCs w:val="16"/>
                <w:lang w:eastAsia="fr-FR"/>
              </w:rPr>
              <w:t>.</w:t>
            </w:r>
            <w:r w:rsidR="00206BA2" w:rsidRPr="00894701">
              <w:rPr>
                <w:rFonts w:asciiTheme="minorHAnsi" w:hAnsiTheme="minorHAnsi" w:cs="Calibri"/>
                <w:color w:val="000000" w:themeColor="text1"/>
                <w:kern w:val="0"/>
                <w:sz w:val="16"/>
                <w:szCs w:val="16"/>
                <w:lang w:eastAsia="fr-FR"/>
              </w:rPr>
              <w:t xml:space="preserve"> </w:t>
            </w:r>
          </w:p>
        </w:tc>
        <w:tc>
          <w:tcPr>
            <w:tcW w:w="451" w:type="pct"/>
            <w:hideMark/>
          </w:tcPr>
          <w:p w14:paraId="6F3BAE35"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651/20</w:t>
            </w:r>
          </w:p>
        </w:tc>
        <w:tc>
          <w:tcPr>
            <w:tcW w:w="774" w:type="pct"/>
            <w:hideMark/>
          </w:tcPr>
          <w:p w14:paraId="5F972A3A"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453BEBEE"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18822 ha</w:t>
            </w:r>
          </w:p>
        </w:tc>
        <w:tc>
          <w:tcPr>
            <w:tcW w:w="522" w:type="pct"/>
            <w:hideMark/>
          </w:tcPr>
          <w:p w14:paraId="26D6E2C7"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05/06/2020</w:t>
            </w:r>
          </w:p>
        </w:tc>
        <w:tc>
          <w:tcPr>
            <w:tcW w:w="623" w:type="pct"/>
            <w:hideMark/>
          </w:tcPr>
          <w:p w14:paraId="1CC6B38D"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05/07/2023</w:t>
            </w:r>
          </w:p>
        </w:tc>
      </w:tr>
      <w:tr w:rsidR="000934EA" w:rsidRPr="00894701" w14:paraId="32D92D60"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5754A2AF"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107</w:t>
            </w:r>
          </w:p>
        </w:tc>
        <w:tc>
          <w:tcPr>
            <w:tcW w:w="1948" w:type="pct"/>
            <w:vAlign w:val="center"/>
            <w:hideMark/>
          </w:tcPr>
          <w:p w14:paraId="64F1F7FA" w14:textId="5EDF84D1"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Abilo Mining N.V</w:t>
            </w:r>
            <w:r w:rsidR="0090575B" w:rsidRPr="00894701">
              <w:rPr>
                <w:rFonts w:asciiTheme="minorHAnsi" w:hAnsiTheme="minorHAnsi" w:cs="Calibri"/>
                <w:color w:val="000000" w:themeColor="text1"/>
                <w:kern w:val="0"/>
                <w:sz w:val="16"/>
                <w:szCs w:val="16"/>
                <w:lang w:eastAsia="fr-FR"/>
              </w:rPr>
              <w:t>.</w:t>
            </w:r>
            <w:r w:rsidR="00206BA2" w:rsidRPr="00894701">
              <w:rPr>
                <w:rFonts w:asciiTheme="minorHAnsi" w:hAnsiTheme="minorHAnsi" w:cs="Calibri"/>
                <w:color w:val="000000" w:themeColor="text1"/>
                <w:kern w:val="0"/>
                <w:sz w:val="16"/>
                <w:szCs w:val="16"/>
                <w:lang w:eastAsia="fr-FR"/>
              </w:rPr>
              <w:t xml:space="preserve"> </w:t>
            </w:r>
          </w:p>
        </w:tc>
        <w:tc>
          <w:tcPr>
            <w:tcW w:w="451" w:type="pct"/>
            <w:hideMark/>
          </w:tcPr>
          <w:p w14:paraId="31C31AF2"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652/20</w:t>
            </w:r>
          </w:p>
        </w:tc>
        <w:tc>
          <w:tcPr>
            <w:tcW w:w="774" w:type="pct"/>
            <w:hideMark/>
          </w:tcPr>
          <w:p w14:paraId="24ED89B0"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47C7DB43"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37758 ha</w:t>
            </w:r>
          </w:p>
        </w:tc>
        <w:tc>
          <w:tcPr>
            <w:tcW w:w="522" w:type="pct"/>
            <w:hideMark/>
          </w:tcPr>
          <w:p w14:paraId="59336744"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05/06/2020</w:t>
            </w:r>
          </w:p>
        </w:tc>
        <w:tc>
          <w:tcPr>
            <w:tcW w:w="623" w:type="pct"/>
            <w:hideMark/>
          </w:tcPr>
          <w:p w14:paraId="240D71F3"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05/07/2023</w:t>
            </w:r>
          </w:p>
        </w:tc>
      </w:tr>
      <w:tr w:rsidR="000934EA" w:rsidRPr="00894701" w14:paraId="357DEACE"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50AE9B42"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108</w:t>
            </w:r>
          </w:p>
        </w:tc>
        <w:tc>
          <w:tcPr>
            <w:tcW w:w="1948" w:type="pct"/>
            <w:vAlign w:val="center"/>
            <w:hideMark/>
          </w:tcPr>
          <w:p w14:paraId="55871595" w14:textId="6D1E32B0"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Global Minarals Trade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3A53D078"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793/20</w:t>
            </w:r>
          </w:p>
        </w:tc>
        <w:tc>
          <w:tcPr>
            <w:tcW w:w="774" w:type="pct"/>
            <w:hideMark/>
          </w:tcPr>
          <w:p w14:paraId="3C714F2E"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61F76B67"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18.423 ha</w:t>
            </w:r>
          </w:p>
        </w:tc>
        <w:tc>
          <w:tcPr>
            <w:tcW w:w="522" w:type="pct"/>
            <w:hideMark/>
          </w:tcPr>
          <w:p w14:paraId="6BE04A7F"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06/06/2020</w:t>
            </w:r>
          </w:p>
        </w:tc>
        <w:tc>
          <w:tcPr>
            <w:tcW w:w="623" w:type="pct"/>
            <w:hideMark/>
          </w:tcPr>
          <w:p w14:paraId="1696E28D"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07/10/2023</w:t>
            </w:r>
          </w:p>
        </w:tc>
      </w:tr>
      <w:tr w:rsidR="000934EA" w:rsidRPr="00894701" w14:paraId="0A013D84"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3AA5A16D"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109</w:t>
            </w:r>
          </w:p>
        </w:tc>
        <w:tc>
          <w:tcPr>
            <w:tcW w:w="1948" w:type="pct"/>
            <w:vAlign w:val="center"/>
            <w:hideMark/>
          </w:tcPr>
          <w:p w14:paraId="7F2E9C19" w14:textId="56856BDE"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Consolidated Resources Suriname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3A27728E"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668/20</w:t>
            </w:r>
          </w:p>
        </w:tc>
        <w:tc>
          <w:tcPr>
            <w:tcW w:w="774" w:type="pct"/>
            <w:hideMark/>
          </w:tcPr>
          <w:p w14:paraId="166274A6"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5A21CD95"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3860 Ha</w:t>
            </w:r>
          </w:p>
        </w:tc>
        <w:tc>
          <w:tcPr>
            <w:tcW w:w="522" w:type="pct"/>
            <w:hideMark/>
          </w:tcPr>
          <w:p w14:paraId="5DD8BFB1"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19/06/2020</w:t>
            </w:r>
          </w:p>
        </w:tc>
        <w:tc>
          <w:tcPr>
            <w:tcW w:w="623" w:type="pct"/>
            <w:hideMark/>
          </w:tcPr>
          <w:p w14:paraId="5F3EDF16"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22/06/2035</w:t>
            </w:r>
          </w:p>
        </w:tc>
      </w:tr>
      <w:tr w:rsidR="000934EA" w:rsidRPr="00894701" w14:paraId="3CD42D7D"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6CA1A15B"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110</w:t>
            </w:r>
          </w:p>
        </w:tc>
        <w:tc>
          <w:tcPr>
            <w:tcW w:w="1948" w:type="pct"/>
            <w:vAlign w:val="center"/>
            <w:hideMark/>
          </w:tcPr>
          <w:p w14:paraId="0FB806F0" w14:textId="77A7FE0A"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Anjisa Wood &amp; Mining N.V</w:t>
            </w:r>
            <w:r w:rsidR="0090575B" w:rsidRPr="00894701">
              <w:rPr>
                <w:rFonts w:asciiTheme="minorHAnsi" w:hAnsiTheme="minorHAnsi" w:cs="Calibri"/>
                <w:color w:val="000000" w:themeColor="text1"/>
                <w:kern w:val="0"/>
                <w:sz w:val="16"/>
                <w:szCs w:val="16"/>
                <w:lang w:eastAsia="fr-FR"/>
              </w:rPr>
              <w:t>.</w:t>
            </w:r>
            <w:r w:rsidR="00206BA2" w:rsidRPr="00894701">
              <w:rPr>
                <w:rFonts w:asciiTheme="minorHAnsi" w:hAnsiTheme="minorHAnsi" w:cs="Calibri"/>
                <w:color w:val="000000" w:themeColor="text1"/>
                <w:kern w:val="0"/>
                <w:sz w:val="16"/>
                <w:szCs w:val="16"/>
                <w:lang w:eastAsia="fr-FR"/>
              </w:rPr>
              <w:t xml:space="preserve"> </w:t>
            </w:r>
          </w:p>
        </w:tc>
        <w:tc>
          <w:tcPr>
            <w:tcW w:w="451" w:type="pct"/>
            <w:hideMark/>
          </w:tcPr>
          <w:p w14:paraId="21EEE7CD"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727/20</w:t>
            </w:r>
          </w:p>
        </w:tc>
        <w:tc>
          <w:tcPr>
            <w:tcW w:w="774" w:type="pct"/>
            <w:hideMark/>
          </w:tcPr>
          <w:p w14:paraId="653F694E"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4CB7BA44"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w:t>
            </w:r>
          </w:p>
        </w:tc>
        <w:tc>
          <w:tcPr>
            <w:tcW w:w="522" w:type="pct"/>
            <w:hideMark/>
          </w:tcPr>
          <w:p w14:paraId="3F718FE1"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12994 Ha</w:t>
            </w:r>
          </w:p>
        </w:tc>
        <w:tc>
          <w:tcPr>
            <w:tcW w:w="623" w:type="pct"/>
            <w:hideMark/>
          </w:tcPr>
          <w:p w14:paraId="02A98807"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21/06/2020</w:t>
            </w:r>
          </w:p>
        </w:tc>
      </w:tr>
      <w:tr w:rsidR="000934EA" w:rsidRPr="00894701" w14:paraId="45A56E6E"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32E1F00D"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111</w:t>
            </w:r>
          </w:p>
        </w:tc>
        <w:tc>
          <w:tcPr>
            <w:tcW w:w="1948" w:type="pct"/>
            <w:vAlign w:val="center"/>
            <w:hideMark/>
          </w:tcPr>
          <w:p w14:paraId="20C2F2D3" w14:textId="7777777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Chotkan Soenderpersad </w:t>
            </w:r>
          </w:p>
        </w:tc>
        <w:tc>
          <w:tcPr>
            <w:tcW w:w="451" w:type="pct"/>
            <w:hideMark/>
          </w:tcPr>
          <w:p w14:paraId="71EA42CB"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642/17</w:t>
            </w:r>
          </w:p>
        </w:tc>
        <w:tc>
          <w:tcPr>
            <w:tcW w:w="774" w:type="pct"/>
            <w:hideMark/>
          </w:tcPr>
          <w:p w14:paraId="43116426"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0D3BF022"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31.5552 Ha</w:t>
            </w:r>
          </w:p>
        </w:tc>
        <w:tc>
          <w:tcPr>
            <w:tcW w:w="522" w:type="pct"/>
            <w:hideMark/>
          </w:tcPr>
          <w:p w14:paraId="4F77F229"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24/06/2020</w:t>
            </w:r>
          </w:p>
        </w:tc>
        <w:tc>
          <w:tcPr>
            <w:tcW w:w="623" w:type="pct"/>
            <w:hideMark/>
          </w:tcPr>
          <w:p w14:paraId="4791F65F"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29/06/2025</w:t>
            </w:r>
          </w:p>
        </w:tc>
      </w:tr>
      <w:tr w:rsidR="000934EA" w:rsidRPr="00894701" w14:paraId="3AB07CD0"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768A5C95"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112</w:t>
            </w:r>
          </w:p>
        </w:tc>
        <w:tc>
          <w:tcPr>
            <w:tcW w:w="1948" w:type="pct"/>
            <w:vAlign w:val="center"/>
            <w:hideMark/>
          </w:tcPr>
          <w:p w14:paraId="350EAC2D" w14:textId="77777777"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TayaSton Mining </w:t>
            </w:r>
          </w:p>
        </w:tc>
        <w:tc>
          <w:tcPr>
            <w:tcW w:w="451" w:type="pct"/>
            <w:hideMark/>
          </w:tcPr>
          <w:p w14:paraId="0EF0117E"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324/20</w:t>
            </w:r>
          </w:p>
        </w:tc>
        <w:tc>
          <w:tcPr>
            <w:tcW w:w="774" w:type="pct"/>
            <w:hideMark/>
          </w:tcPr>
          <w:p w14:paraId="2ADBCBC4"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4D24F27F"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9985 Ha</w:t>
            </w:r>
          </w:p>
        </w:tc>
        <w:tc>
          <w:tcPr>
            <w:tcW w:w="522" w:type="pct"/>
            <w:hideMark/>
          </w:tcPr>
          <w:p w14:paraId="1D77D93E"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26/06/2020</w:t>
            </w:r>
          </w:p>
        </w:tc>
        <w:tc>
          <w:tcPr>
            <w:tcW w:w="623" w:type="pct"/>
            <w:hideMark/>
          </w:tcPr>
          <w:p w14:paraId="19D5D09B"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25/06/2030</w:t>
            </w:r>
          </w:p>
        </w:tc>
      </w:tr>
      <w:tr w:rsidR="000934EA" w:rsidRPr="00894701" w14:paraId="1654CC77"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1FB0FB60"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113</w:t>
            </w:r>
          </w:p>
        </w:tc>
        <w:tc>
          <w:tcPr>
            <w:tcW w:w="1948" w:type="pct"/>
            <w:vAlign w:val="center"/>
            <w:hideMark/>
          </w:tcPr>
          <w:p w14:paraId="63A8541C" w14:textId="7777777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Jackson Helen Eline </w:t>
            </w:r>
          </w:p>
        </w:tc>
        <w:tc>
          <w:tcPr>
            <w:tcW w:w="451" w:type="pct"/>
            <w:hideMark/>
          </w:tcPr>
          <w:p w14:paraId="4BAFA5E4"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079/18</w:t>
            </w:r>
          </w:p>
        </w:tc>
        <w:tc>
          <w:tcPr>
            <w:tcW w:w="774" w:type="pct"/>
            <w:hideMark/>
          </w:tcPr>
          <w:p w14:paraId="2C7BEF00"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298C9E4E"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5932 Ha</w:t>
            </w:r>
          </w:p>
        </w:tc>
        <w:tc>
          <w:tcPr>
            <w:tcW w:w="522" w:type="pct"/>
            <w:hideMark/>
          </w:tcPr>
          <w:p w14:paraId="12A1DEDF"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29/06/2020</w:t>
            </w:r>
          </w:p>
        </w:tc>
        <w:tc>
          <w:tcPr>
            <w:tcW w:w="623" w:type="pct"/>
            <w:hideMark/>
          </w:tcPr>
          <w:p w14:paraId="66EFBDE4"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01/07/2023</w:t>
            </w:r>
          </w:p>
        </w:tc>
      </w:tr>
      <w:tr w:rsidR="000934EA" w:rsidRPr="00894701" w14:paraId="1E6C33E1"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4E34B5A4"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114</w:t>
            </w:r>
          </w:p>
        </w:tc>
        <w:tc>
          <w:tcPr>
            <w:tcW w:w="1948" w:type="pct"/>
            <w:vAlign w:val="center"/>
            <w:hideMark/>
          </w:tcPr>
          <w:p w14:paraId="57292832" w14:textId="5B4113E2"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Nikhil contrators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60F7FB46"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746/20</w:t>
            </w:r>
          </w:p>
        </w:tc>
        <w:tc>
          <w:tcPr>
            <w:tcW w:w="774" w:type="pct"/>
            <w:hideMark/>
          </w:tcPr>
          <w:p w14:paraId="246FA8F6"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6AB1BADC"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200 Ha</w:t>
            </w:r>
          </w:p>
        </w:tc>
        <w:tc>
          <w:tcPr>
            <w:tcW w:w="522" w:type="pct"/>
            <w:hideMark/>
          </w:tcPr>
          <w:p w14:paraId="3F5A6D6D"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30/06/2020</w:t>
            </w:r>
          </w:p>
        </w:tc>
        <w:tc>
          <w:tcPr>
            <w:tcW w:w="623" w:type="pct"/>
            <w:hideMark/>
          </w:tcPr>
          <w:p w14:paraId="0B24D0D5"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09/07/2025</w:t>
            </w:r>
          </w:p>
        </w:tc>
      </w:tr>
      <w:tr w:rsidR="000934EA" w:rsidRPr="00894701" w14:paraId="0710289D"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380EF091"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115</w:t>
            </w:r>
          </w:p>
        </w:tc>
        <w:tc>
          <w:tcPr>
            <w:tcW w:w="1948" w:type="pct"/>
            <w:vAlign w:val="center"/>
            <w:hideMark/>
          </w:tcPr>
          <w:p w14:paraId="302FBC80" w14:textId="0713291E"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Independent Mineral Resources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325F3B77"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722/20</w:t>
            </w:r>
          </w:p>
        </w:tc>
        <w:tc>
          <w:tcPr>
            <w:tcW w:w="774" w:type="pct"/>
            <w:hideMark/>
          </w:tcPr>
          <w:p w14:paraId="0A790A38"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6089AC7B"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7999 Ha</w:t>
            </w:r>
          </w:p>
        </w:tc>
        <w:tc>
          <w:tcPr>
            <w:tcW w:w="522" w:type="pct"/>
            <w:hideMark/>
          </w:tcPr>
          <w:p w14:paraId="1CAAD5FC"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30/06/2020</w:t>
            </w:r>
          </w:p>
        </w:tc>
        <w:tc>
          <w:tcPr>
            <w:tcW w:w="623" w:type="pct"/>
            <w:hideMark/>
          </w:tcPr>
          <w:p w14:paraId="60DFDC38"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06/07/2023</w:t>
            </w:r>
          </w:p>
        </w:tc>
      </w:tr>
      <w:tr w:rsidR="000934EA" w:rsidRPr="00894701" w14:paraId="5E851A3A"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11F2C177"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116</w:t>
            </w:r>
          </w:p>
        </w:tc>
        <w:tc>
          <w:tcPr>
            <w:tcW w:w="1948" w:type="pct"/>
            <w:vAlign w:val="center"/>
            <w:hideMark/>
          </w:tcPr>
          <w:p w14:paraId="28F4AF13" w14:textId="1AF4933D"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Binson Mining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4DED3242"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723/20</w:t>
            </w:r>
          </w:p>
        </w:tc>
        <w:tc>
          <w:tcPr>
            <w:tcW w:w="774" w:type="pct"/>
            <w:hideMark/>
          </w:tcPr>
          <w:p w14:paraId="1FADFD53"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70DC097A"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1050 Ha</w:t>
            </w:r>
          </w:p>
        </w:tc>
        <w:tc>
          <w:tcPr>
            <w:tcW w:w="522" w:type="pct"/>
            <w:hideMark/>
          </w:tcPr>
          <w:p w14:paraId="44649398"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30/06/2020</w:t>
            </w:r>
          </w:p>
        </w:tc>
        <w:tc>
          <w:tcPr>
            <w:tcW w:w="623" w:type="pct"/>
            <w:hideMark/>
          </w:tcPr>
          <w:p w14:paraId="617EF4E0"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02/07/2023</w:t>
            </w:r>
          </w:p>
        </w:tc>
      </w:tr>
      <w:tr w:rsidR="000934EA" w:rsidRPr="00894701" w14:paraId="1506B25F"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334C0FA4"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117</w:t>
            </w:r>
          </w:p>
        </w:tc>
        <w:tc>
          <w:tcPr>
            <w:tcW w:w="1948" w:type="pct"/>
            <w:vAlign w:val="center"/>
            <w:hideMark/>
          </w:tcPr>
          <w:p w14:paraId="0800E7FD" w14:textId="5BD79A01"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Refak</w:t>
            </w:r>
            <w:r w:rsidR="00206BA2" w:rsidRPr="00894701">
              <w:rPr>
                <w:rFonts w:asciiTheme="minorHAnsi" w:hAnsiTheme="minorHAnsi" w:cs="Calibri"/>
                <w:color w:val="000000" w:themeColor="text1"/>
                <w:kern w:val="0"/>
                <w:sz w:val="16"/>
                <w:szCs w:val="16"/>
                <w:lang w:eastAsia="fr-FR"/>
              </w:rPr>
              <w:t xml:space="preserve"> </w:t>
            </w:r>
            <w:r w:rsidRPr="00894701">
              <w:rPr>
                <w:rFonts w:asciiTheme="minorHAnsi" w:hAnsiTheme="minorHAnsi" w:cs="Calibri"/>
                <w:color w:val="000000" w:themeColor="text1"/>
                <w:kern w:val="0"/>
                <w:sz w:val="16"/>
                <w:szCs w:val="16"/>
                <w:lang w:eastAsia="fr-FR"/>
              </w:rPr>
              <w:t xml:space="preserve">Mining </w:t>
            </w:r>
          </w:p>
        </w:tc>
        <w:tc>
          <w:tcPr>
            <w:tcW w:w="451" w:type="pct"/>
            <w:hideMark/>
          </w:tcPr>
          <w:p w14:paraId="25D08D7C"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724/20</w:t>
            </w:r>
          </w:p>
        </w:tc>
        <w:tc>
          <w:tcPr>
            <w:tcW w:w="774" w:type="pct"/>
            <w:hideMark/>
          </w:tcPr>
          <w:p w14:paraId="4CD086D8"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76D1DA2B"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1000 Ha</w:t>
            </w:r>
          </w:p>
        </w:tc>
        <w:tc>
          <w:tcPr>
            <w:tcW w:w="522" w:type="pct"/>
            <w:hideMark/>
          </w:tcPr>
          <w:p w14:paraId="6BAB8B52"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30/06/2020</w:t>
            </w:r>
          </w:p>
        </w:tc>
        <w:tc>
          <w:tcPr>
            <w:tcW w:w="623" w:type="pct"/>
            <w:hideMark/>
          </w:tcPr>
          <w:p w14:paraId="2F0CB19D"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06/07/2023</w:t>
            </w:r>
          </w:p>
        </w:tc>
      </w:tr>
      <w:tr w:rsidR="000934EA" w:rsidRPr="00894701" w14:paraId="1298FA2C"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3CF5B44A"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118</w:t>
            </w:r>
          </w:p>
        </w:tc>
        <w:tc>
          <w:tcPr>
            <w:tcW w:w="1948" w:type="pct"/>
            <w:vAlign w:val="center"/>
            <w:hideMark/>
          </w:tcPr>
          <w:p w14:paraId="39124330" w14:textId="6AA4BA4A"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Creation mining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0CA86D25"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637/20</w:t>
            </w:r>
          </w:p>
        </w:tc>
        <w:tc>
          <w:tcPr>
            <w:tcW w:w="774" w:type="pct"/>
            <w:hideMark/>
          </w:tcPr>
          <w:p w14:paraId="346FDCB7"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42731BC4"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1765 ha</w:t>
            </w:r>
          </w:p>
        </w:tc>
        <w:tc>
          <w:tcPr>
            <w:tcW w:w="522" w:type="pct"/>
            <w:hideMark/>
          </w:tcPr>
          <w:p w14:paraId="54FD0C63"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02/07/2020</w:t>
            </w:r>
          </w:p>
        </w:tc>
        <w:tc>
          <w:tcPr>
            <w:tcW w:w="623" w:type="pct"/>
            <w:hideMark/>
          </w:tcPr>
          <w:p w14:paraId="0AD1182C"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26/06/2023</w:t>
            </w:r>
          </w:p>
        </w:tc>
      </w:tr>
      <w:tr w:rsidR="000934EA" w:rsidRPr="00894701" w14:paraId="6C3832B4"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11C22794"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119</w:t>
            </w:r>
          </w:p>
        </w:tc>
        <w:tc>
          <w:tcPr>
            <w:tcW w:w="1948" w:type="pct"/>
            <w:vAlign w:val="center"/>
            <w:hideMark/>
          </w:tcPr>
          <w:p w14:paraId="60751814" w14:textId="5B6CDCBB" w:rsidR="000934EA" w:rsidRPr="001307EB"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val="fr-FR" w:eastAsia="fr-FR"/>
              </w:rPr>
            </w:pPr>
            <w:r w:rsidRPr="001307EB">
              <w:rPr>
                <w:rFonts w:asciiTheme="minorHAnsi" w:hAnsiTheme="minorHAnsi" w:cs="Calibri"/>
                <w:color w:val="000000" w:themeColor="text1"/>
                <w:kern w:val="0"/>
                <w:sz w:val="16"/>
                <w:szCs w:val="16"/>
                <w:lang w:val="fr-FR" w:eastAsia="fr-FR"/>
              </w:rPr>
              <w:t>Devine Resources &amp; Consultancy N.V</w:t>
            </w:r>
            <w:r w:rsidR="0090575B" w:rsidRPr="001307EB">
              <w:rPr>
                <w:rFonts w:asciiTheme="minorHAnsi" w:hAnsiTheme="minorHAnsi" w:cs="Calibri"/>
                <w:color w:val="000000" w:themeColor="text1"/>
                <w:kern w:val="0"/>
                <w:sz w:val="16"/>
                <w:szCs w:val="16"/>
                <w:lang w:val="fr-FR" w:eastAsia="fr-FR"/>
              </w:rPr>
              <w:t>.</w:t>
            </w:r>
            <w:r w:rsidRPr="001307EB">
              <w:rPr>
                <w:rFonts w:asciiTheme="minorHAnsi" w:hAnsiTheme="minorHAnsi" w:cs="Calibri"/>
                <w:color w:val="000000" w:themeColor="text1"/>
                <w:kern w:val="0"/>
                <w:sz w:val="16"/>
                <w:szCs w:val="16"/>
                <w:lang w:val="fr-FR" w:eastAsia="fr-FR"/>
              </w:rPr>
              <w:t xml:space="preserve"> </w:t>
            </w:r>
          </w:p>
        </w:tc>
        <w:tc>
          <w:tcPr>
            <w:tcW w:w="451" w:type="pct"/>
            <w:hideMark/>
          </w:tcPr>
          <w:p w14:paraId="0729A3C4"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548/19</w:t>
            </w:r>
          </w:p>
        </w:tc>
        <w:tc>
          <w:tcPr>
            <w:tcW w:w="774" w:type="pct"/>
            <w:hideMark/>
          </w:tcPr>
          <w:p w14:paraId="637C4A47"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323A68D9"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254 Ha</w:t>
            </w:r>
          </w:p>
        </w:tc>
        <w:tc>
          <w:tcPr>
            <w:tcW w:w="522" w:type="pct"/>
            <w:hideMark/>
          </w:tcPr>
          <w:p w14:paraId="05D52B9F"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02/07/2020</w:t>
            </w:r>
          </w:p>
        </w:tc>
        <w:tc>
          <w:tcPr>
            <w:tcW w:w="623" w:type="pct"/>
            <w:hideMark/>
          </w:tcPr>
          <w:p w14:paraId="5DF71D9F"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14/06/2023</w:t>
            </w:r>
          </w:p>
        </w:tc>
      </w:tr>
      <w:tr w:rsidR="000934EA" w:rsidRPr="00894701" w14:paraId="13982E4E"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42FE0A58"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120</w:t>
            </w:r>
          </w:p>
        </w:tc>
        <w:tc>
          <w:tcPr>
            <w:tcW w:w="1948" w:type="pct"/>
            <w:vAlign w:val="center"/>
            <w:hideMark/>
          </w:tcPr>
          <w:p w14:paraId="26DF9BA0" w14:textId="055625FB"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Trans Atlantic Group of Company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6B6211CE"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736/20</w:t>
            </w:r>
          </w:p>
        </w:tc>
        <w:tc>
          <w:tcPr>
            <w:tcW w:w="774" w:type="pct"/>
            <w:hideMark/>
          </w:tcPr>
          <w:p w14:paraId="2C51ED05"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5DFEA2EB"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1897 Ha</w:t>
            </w:r>
          </w:p>
        </w:tc>
        <w:tc>
          <w:tcPr>
            <w:tcW w:w="522" w:type="pct"/>
            <w:hideMark/>
          </w:tcPr>
          <w:p w14:paraId="0CBD03DD"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02/07/2020</w:t>
            </w:r>
          </w:p>
        </w:tc>
        <w:tc>
          <w:tcPr>
            <w:tcW w:w="623" w:type="pct"/>
            <w:hideMark/>
          </w:tcPr>
          <w:p w14:paraId="4A49FDBE"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07/07/2023</w:t>
            </w:r>
          </w:p>
        </w:tc>
      </w:tr>
      <w:tr w:rsidR="000934EA" w:rsidRPr="00894701" w14:paraId="0C716915"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5035165D"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121</w:t>
            </w:r>
          </w:p>
        </w:tc>
        <w:tc>
          <w:tcPr>
            <w:tcW w:w="1948" w:type="pct"/>
            <w:vAlign w:val="center"/>
            <w:hideMark/>
          </w:tcPr>
          <w:p w14:paraId="1FA7D830" w14:textId="06C871AD"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Trans Atlantic Group of Company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051D5A38"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737/20</w:t>
            </w:r>
          </w:p>
        </w:tc>
        <w:tc>
          <w:tcPr>
            <w:tcW w:w="774" w:type="pct"/>
            <w:hideMark/>
          </w:tcPr>
          <w:p w14:paraId="521AD356"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6A2A5E89"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30433 Ha</w:t>
            </w:r>
          </w:p>
        </w:tc>
        <w:tc>
          <w:tcPr>
            <w:tcW w:w="522" w:type="pct"/>
            <w:hideMark/>
          </w:tcPr>
          <w:p w14:paraId="767994DE"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02/07/2020</w:t>
            </w:r>
          </w:p>
        </w:tc>
        <w:tc>
          <w:tcPr>
            <w:tcW w:w="623" w:type="pct"/>
            <w:hideMark/>
          </w:tcPr>
          <w:p w14:paraId="31510674"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07/07/2023</w:t>
            </w:r>
          </w:p>
        </w:tc>
      </w:tr>
      <w:tr w:rsidR="000934EA" w:rsidRPr="00894701" w14:paraId="541E705A"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75D91568"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122</w:t>
            </w:r>
          </w:p>
        </w:tc>
        <w:tc>
          <w:tcPr>
            <w:tcW w:w="1948" w:type="pct"/>
            <w:vAlign w:val="center"/>
            <w:hideMark/>
          </w:tcPr>
          <w:p w14:paraId="24171B43" w14:textId="7C453070"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Lasting Tone Resources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257DA325"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738/20</w:t>
            </w:r>
          </w:p>
        </w:tc>
        <w:tc>
          <w:tcPr>
            <w:tcW w:w="774" w:type="pct"/>
            <w:hideMark/>
          </w:tcPr>
          <w:p w14:paraId="5FE8990F"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7944AD63"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895 Ha</w:t>
            </w:r>
          </w:p>
        </w:tc>
        <w:tc>
          <w:tcPr>
            <w:tcW w:w="522" w:type="pct"/>
            <w:hideMark/>
          </w:tcPr>
          <w:p w14:paraId="5ABCA01B"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02/07/2020</w:t>
            </w:r>
          </w:p>
        </w:tc>
        <w:tc>
          <w:tcPr>
            <w:tcW w:w="623" w:type="pct"/>
            <w:hideMark/>
          </w:tcPr>
          <w:p w14:paraId="11571071"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07/07/2023</w:t>
            </w:r>
          </w:p>
        </w:tc>
      </w:tr>
      <w:tr w:rsidR="000934EA" w:rsidRPr="00894701" w14:paraId="73DC828E"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2EC91A77"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123</w:t>
            </w:r>
          </w:p>
        </w:tc>
        <w:tc>
          <w:tcPr>
            <w:tcW w:w="1948" w:type="pct"/>
            <w:vAlign w:val="center"/>
            <w:hideMark/>
          </w:tcPr>
          <w:p w14:paraId="7409250A" w14:textId="607D103A"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Dalimo Minerals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1DDEDA5C"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739/20</w:t>
            </w:r>
          </w:p>
        </w:tc>
        <w:tc>
          <w:tcPr>
            <w:tcW w:w="774" w:type="pct"/>
            <w:hideMark/>
          </w:tcPr>
          <w:p w14:paraId="096BBA4A"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04D66B93"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19230 Ha</w:t>
            </w:r>
          </w:p>
        </w:tc>
        <w:tc>
          <w:tcPr>
            <w:tcW w:w="522" w:type="pct"/>
            <w:hideMark/>
          </w:tcPr>
          <w:p w14:paraId="30E98CD8"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02/07/2020</w:t>
            </w:r>
          </w:p>
        </w:tc>
        <w:tc>
          <w:tcPr>
            <w:tcW w:w="623" w:type="pct"/>
            <w:hideMark/>
          </w:tcPr>
          <w:p w14:paraId="0ACCF4EB"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07/07/2023</w:t>
            </w:r>
          </w:p>
        </w:tc>
      </w:tr>
      <w:tr w:rsidR="000934EA" w:rsidRPr="00894701" w14:paraId="77C53F44"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6D8981B6"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124</w:t>
            </w:r>
          </w:p>
        </w:tc>
        <w:tc>
          <w:tcPr>
            <w:tcW w:w="1948" w:type="pct"/>
            <w:vAlign w:val="center"/>
            <w:hideMark/>
          </w:tcPr>
          <w:p w14:paraId="4F421455" w14:textId="2FAC0F46"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Dalimo Minerals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3512EC67"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739/20</w:t>
            </w:r>
          </w:p>
        </w:tc>
        <w:tc>
          <w:tcPr>
            <w:tcW w:w="774" w:type="pct"/>
            <w:hideMark/>
          </w:tcPr>
          <w:p w14:paraId="3203F7FF"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5D4DBD8A"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19230 Ha</w:t>
            </w:r>
          </w:p>
        </w:tc>
        <w:tc>
          <w:tcPr>
            <w:tcW w:w="522" w:type="pct"/>
            <w:hideMark/>
          </w:tcPr>
          <w:p w14:paraId="0A6D310D"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02/07/2020</w:t>
            </w:r>
          </w:p>
        </w:tc>
        <w:tc>
          <w:tcPr>
            <w:tcW w:w="623" w:type="pct"/>
            <w:hideMark/>
          </w:tcPr>
          <w:p w14:paraId="19FF7201"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07/07/2023</w:t>
            </w:r>
          </w:p>
        </w:tc>
      </w:tr>
      <w:tr w:rsidR="000934EA" w:rsidRPr="00894701" w14:paraId="01552555"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651908AA"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125</w:t>
            </w:r>
          </w:p>
        </w:tc>
        <w:tc>
          <w:tcPr>
            <w:tcW w:w="1948" w:type="pct"/>
            <w:vAlign w:val="center"/>
            <w:hideMark/>
          </w:tcPr>
          <w:p w14:paraId="0C6E506E" w14:textId="3801372A"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Nikhil contratcors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7F104A4C"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751/20</w:t>
            </w:r>
          </w:p>
        </w:tc>
        <w:tc>
          <w:tcPr>
            <w:tcW w:w="774" w:type="pct"/>
            <w:hideMark/>
          </w:tcPr>
          <w:p w14:paraId="2EFF4A9C"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12DE0609"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400 Ha</w:t>
            </w:r>
          </w:p>
        </w:tc>
        <w:tc>
          <w:tcPr>
            <w:tcW w:w="522" w:type="pct"/>
            <w:hideMark/>
          </w:tcPr>
          <w:p w14:paraId="6A9A460F"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03/07/2020</w:t>
            </w:r>
          </w:p>
        </w:tc>
        <w:tc>
          <w:tcPr>
            <w:tcW w:w="623" w:type="pct"/>
            <w:hideMark/>
          </w:tcPr>
          <w:p w14:paraId="3B7E8F88"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09/07/2025</w:t>
            </w:r>
          </w:p>
        </w:tc>
      </w:tr>
      <w:tr w:rsidR="000934EA" w:rsidRPr="00894701" w14:paraId="4DC47D11"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3A85E7F3"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126</w:t>
            </w:r>
          </w:p>
        </w:tc>
        <w:tc>
          <w:tcPr>
            <w:tcW w:w="1948" w:type="pct"/>
            <w:vAlign w:val="center"/>
            <w:hideMark/>
          </w:tcPr>
          <w:p w14:paraId="3E20265A" w14:textId="1C25FE01"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Century Natural Stone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726C1E2A"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750/20</w:t>
            </w:r>
          </w:p>
        </w:tc>
        <w:tc>
          <w:tcPr>
            <w:tcW w:w="774" w:type="pct"/>
            <w:hideMark/>
          </w:tcPr>
          <w:p w14:paraId="38CE186F"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558C38CF"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700 Ha</w:t>
            </w:r>
          </w:p>
        </w:tc>
        <w:tc>
          <w:tcPr>
            <w:tcW w:w="522" w:type="pct"/>
            <w:hideMark/>
          </w:tcPr>
          <w:p w14:paraId="7F6C38E8"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03/07/2020</w:t>
            </w:r>
          </w:p>
        </w:tc>
        <w:tc>
          <w:tcPr>
            <w:tcW w:w="623" w:type="pct"/>
            <w:hideMark/>
          </w:tcPr>
          <w:p w14:paraId="75D02912"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09/07/2023</w:t>
            </w:r>
          </w:p>
        </w:tc>
      </w:tr>
      <w:tr w:rsidR="000934EA" w:rsidRPr="00894701" w14:paraId="63AA5F8D"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05FED3D0"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127</w:t>
            </w:r>
          </w:p>
        </w:tc>
        <w:tc>
          <w:tcPr>
            <w:tcW w:w="1948" w:type="pct"/>
            <w:vAlign w:val="center"/>
            <w:hideMark/>
          </w:tcPr>
          <w:p w14:paraId="1C1095DA" w14:textId="394C0E4B"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Nikhil contratcors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43518404"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748/20</w:t>
            </w:r>
          </w:p>
        </w:tc>
        <w:tc>
          <w:tcPr>
            <w:tcW w:w="774" w:type="pct"/>
            <w:hideMark/>
          </w:tcPr>
          <w:p w14:paraId="294273A8"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755BC494"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29657 Ha</w:t>
            </w:r>
          </w:p>
        </w:tc>
        <w:tc>
          <w:tcPr>
            <w:tcW w:w="522" w:type="pct"/>
            <w:hideMark/>
          </w:tcPr>
          <w:p w14:paraId="5C9145B8"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03/07/2020</w:t>
            </w:r>
          </w:p>
        </w:tc>
        <w:tc>
          <w:tcPr>
            <w:tcW w:w="623" w:type="pct"/>
            <w:hideMark/>
          </w:tcPr>
          <w:p w14:paraId="4C2C89AC"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09/07/2023</w:t>
            </w:r>
          </w:p>
        </w:tc>
      </w:tr>
      <w:tr w:rsidR="000934EA" w:rsidRPr="00894701" w14:paraId="5B401E6E"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1A209CC9"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128</w:t>
            </w:r>
          </w:p>
        </w:tc>
        <w:tc>
          <w:tcPr>
            <w:tcW w:w="1948" w:type="pct"/>
            <w:vAlign w:val="center"/>
            <w:hideMark/>
          </w:tcPr>
          <w:p w14:paraId="702B8875" w14:textId="77777777"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Eduards Rickey Steve </w:t>
            </w:r>
          </w:p>
        </w:tc>
        <w:tc>
          <w:tcPr>
            <w:tcW w:w="451" w:type="pct"/>
            <w:hideMark/>
          </w:tcPr>
          <w:p w14:paraId="511EEE9C"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781/20</w:t>
            </w:r>
          </w:p>
        </w:tc>
        <w:tc>
          <w:tcPr>
            <w:tcW w:w="774" w:type="pct"/>
            <w:hideMark/>
          </w:tcPr>
          <w:p w14:paraId="2AB4A520"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Small Scale Mining</w:t>
            </w:r>
          </w:p>
        </w:tc>
        <w:tc>
          <w:tcPr>
            <w:tcW w:w="481" w:type="pct"/>
            <w:hideMark/>
          </w:tcPr>
          <w:p w14:paraId="6F2F76EB"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200 ha</w:t>
            </w:r>
          </w:p>
        </w:tc>
        <w:tc>
          <w:tcPr>
            <w:tcW w:w="522" w:type="pct"/>
            <w:hideMark/>
          </w:tcPr>
          <w:p w14:paraId="0AF1FB5A"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07/07/2020</w:t>
            </w:r>
          </w:p>
        </w:tc>
        <w:tc>
          <w:tcPr>
            <w:tcW w:w="623" w:type="pct"/>
            <w:hideMark/>
          </w:tcPr>
          <w:p w14:paraId="0044676B"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07/10/2023</w:t>
            </w:r>
          </w:p>
        </w:tc>
      </w:tr>
      <w:tr w:rsidR="000934EA" w:rsidRPr="00894701" w14:paraId="522F5100"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45DC4265"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129</w:t>
            </w:r>
          </w:p>
        </w:tc>
        <w:tc>
          <w:tcPr>
            <w:tcW w:w="1948" w:type="pct"/>
            <w:vAlign w:val="center"/>
            <w:hideMark/>
          </w:tcPr>
          <w:p w14:paraId="2DEBFC27" w14:textId="7777777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Leo Adang </w:t>
            </w:r>
          </w:p>
        </w:tc>
        <w:tc>
          <w:tcPr>
            <w:tcW w:w="451" w:type="pct"/>
            <w:hideMark/>
          </w:tcPr>
          <w:p w14:paraId="51352761"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783/20</w:t>
            </w:r>
          </w:p>
        </w:tc>
        <w:tc>
          <w:tcPr>
            <w:tcW w:w="774" w:type="pct"/>
            <w:hideMark/>
          </w:tcPr>
          <w:p w14:paraId="7F348B74"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1DD6CB77"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200 ha</w:t>
            </w:r>
          </w:p>
        </w:tc>
        <w:tc>
          <w:tcPr>
            <w:tcW w:w="522" w:type="pct"/>
            <w:hideMark/>
          </w:tcPr>
          <w:p w14:paraId="5448647A"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07/07/2020</w:t>
            </w:r>
          </w:p>
        </w:tc>
        <w:tc>
          <w:tcPr>
            <w:tcW w:w="623" w:type="pct"/>
            <w:hideMark/>
          </w:tcPr>
          <w:p w14:paraId="78438AC3"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07/09/2025</w:t>
            </w:r>
          </w:p>
        </w:tc>
      </w:tr>
      <w:tr w:rsidR="000934EA" w:rsidRPr="00894701" w14:paraId="18E6B25C"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7C435812"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130</w:t>
            </w:r>
          </w:p>
        </w:tc>
        <w:tc>
          <w:tcPr>
            <w:tcW w:w="1948" w:type="pct"/>
            <w:vAlign w:val="center"/>
            <w:hideMark/>
          </w:tcPr>
          <w:p w14:paraId="3E969A08" w14:textId="77777777"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Caffe Xergio George </w:t>
            </w:r>
          </w:p>
        </w:tc>
        <w:tc>
          <w:tcPr>
            <w:tcW w:w="451" w:type="pct"/>
            <w:hideMark/>
          </w:tcPr>
          <w:p w14:paraId="32A00989"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757/20</w:t>
            </w:r>
          </w:p>
        </w:tc>
        <w:tc>
          <w:tcPr>
            <w:tcW w:w="774" w:type="pct"/>
            <w:hideMark/>
          </w:tcPr>
          <w:p w14:paraId="409AA470"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Small Scale Mining</w:t>
            </w:r>
          </w:p>
        </w:tc>
        <w:tc>
          <w:tcPr>
            <w:tcW w:w="481" w:type="pct"/>
            <w:hideMark/>
          </w:tcPr>
          <w:p w14:paraId="07A32419"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200 Ha</w:t>
            </w:r>
          </w:p>
        </w:tc>
        <w:tc>
          <w:tcPr>
            <w:tcW w:w="522" w:type="pct"/>
            <w:hideMark/>
          </w:tcPr>
          <w:p w14:paraId="18AC8A88"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07/07/2020</w:t>
            </w:r>
          </w:p>
        </w:tc>
        <w:tc>
          <w:tcPr>
            <w:tcW w:w="623" w:type="pct"/>
            <w:hideMark/>
          </w:tcPr>
          <w:p w14:paraId="2E4B46C5"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10/07/2022</w:t>
            </w:r>
          </w:p>
        </w:tc>
      </w:tr>
      <w:tr w:rsidR="000934EA" w:rsidRPr="00894701" w14:paraId="7AA9A5D0"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65552F23"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131</w:t>
            </w:r>
          </w:p>
        </w:tc>
        <w:tc>
          <w:tcPr>
            <w:tcW w:w="1948" w:type="pct"/>
            <w:vAlign w:val="center"/>
            <w:hideMark/>
          </w:tcPr>
          <w:p w14:paraId="0FFE4901" w14:textId="7777777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Caffe Xergio George </w:t>
            </w:r>
          </w:p>
        </w:tc>
        <w:tc>
          <w:tcPr>
            <w:tcW w:w="451" w:type="pct"/>
            <w:hideMark/>
          </w:tcPr>
          <w:p w14:paraId="2943656F"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758/20</w:t>
            </w:r>
          </w:p>
        </w:tc>
        <w:tc>
          <w:tcPr>
            <w:tcW w:w="774" w:type="pct"/>
            <w:hideMark/>
          </w:tcPr>
          <w:p w14:paraId="19972466"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Small Scale Mining</w:t>
            </w:r>
          </w:p>
        </w:tc>
        <w:tc>
          <w:tcPr>
            <w:tcW w:w="481" w:type="pct"/>
            <w:hideMark/>
          </w:tcPr>
          <w:p w14:paraId="565C250F"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161 Ha</w:t>
            </w:r>
          </w:p>
        </w:tc>
        <w:tc>
          <w:tcPr>
            <w:tcW w:w="522" w:type="pct"/>
            <w:hideMark/>
          </w:tcPr>
          <w:p w14:paraId="28069FA5"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07/07/2020</w:t>
            </w:r>
          </w:p>
        </w:tc>
        <w:tc>
          <w:tcPr>
            <w:tcW w:w="623" w:type="pct"/>
            <w:hideMark/>
          </w:tcPr>
          <w:p w14:paraId="212745B3"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10/07/2022</w:t>
            </w:r>
          </w:p>
        </w:tc>
      </w:tr>
      <w:tr w:rsidR="000934EA" w:rsidRPr="00894701" w14:paraId="1DC51818"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594B08D5"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132</w:t>
            </w:r>
          </w:p>
        </w:tc>
        <w:tc>
          <w:tcPr>
            <w:tcW w:w="1948" w:type="pct"/>
            <w:vAlign w:val="center"/>
            <w:hideMark/>
          </w:tcPr>
          <w:p w14:paraId="2E9EBF5A" w14:textId="77777777"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Daniels Roshen Gene </w:t>
            </w:r>
          </w:p>
        </w:tc>
        <w:tc>
          <w:tcPr>
            <w:tcW w:w="451" w:type="pct"/>
            <w:hideMark/>
          </w:tcPr>
          <w:p w14:paraId="1B1FAFB9"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759/20</w:t>
            </w:r>
          </w:p>
        </w:tc>
        <w:tc>
          <w:tcPr>
            <w:tcW w:w="774" w:type="pct"/>
            <w:hideMark/>
          </w:tcPr>
          <w:p w14:paraId="29A4FF62"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Small Scale Mining</w:t>
            </w:r>
          </w:p>
        </w:tc>
        <w:tc>
          <w:tcPr>
            <w:tcW w:w="481" w:type="pct"/>
            <w:hideMark/>
          </w:tcPr>
          <w:p w14:paraId="39E62EC4"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174 Ha</w:t>
            </w:r>
          </w:p>
        </w:tc>
        <w:tc>
          <w:tcPr>
            <w:tcW w:w="522" w:type="pct"/>
            <w:hideMark/>
          </w:tcPr>
          <w:p w14:paraId="4E9CD8B7"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07/07/2020</w:t>
            </w:r>
          </w:p>
        </w:tc>
        <w:tc>
          <w:tcPr>
            <w:tcW w:w="623" w:type="pct"/>
            <w:hideMark/>
          </w:tcPr>
          <w:p w14:paraId="7232B134"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10/07/2022</w:t>
            </w:r>
          </w:p>
        </w:tc>
      </w:tr>
      <w:tr w:rsidR="000934EA" w:rsidRPr="00894701" w14:paraId="06BAD872"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2D3A2278"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133</w:t>
            </w:r>
          </w:p>
        </w:tc>
        <w:tc>
          <w:tcPr>
            <w:tcW w:w="1948" w:type="pct"/>
            <w:vAlign w:val="center"/>
            <w:hideMark/>
          </w:tcPr>
          <w:p w14:paraId="2A490F97" w14:textId="4C8B8605"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Grand Exploration Mining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4FE7DDF5"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635/20</w:t>
            </w:r>
          </w:p>
        </w:tc>
        <w:tc>
          <w:tcPr>
            <w:tcW w:w="774" w:type="pct"/>
            <w:hideMark/>
          </w:tcPr>
          <w:p w14:paraId="0D3AF27F"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Exploitation</w:t>
            </w:r>
          </w:p>
        </w:tc>
        <w:tc>
          <w:tcPr>
            <w:tcW w:w="481" w:type="pct"/>
            <w:hideMark/>
          </w:tcPr>
          <w:p w14:paraId="2975BA98"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3165 ha</w:t>
            </w:r>
          </w:p>
        </w:tc>
        <w:tc>
          <w:tcPr>
            <w:tcW w:w="522" w:type="pct"/>
            <w:hideMark/>
          </w:tcPr>
          <w:p w14:paraId="2484257F"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02/08/2020</w:t>
            </w:r>
          </w:p>
        </w:tc>
        <w:tc>
          <w:tcPr>
            <w:tcW w:w="623" w:type="pct"/>
            <w:hideMark/>
          </w:tcPr>
          <w:p w14:paraId="7C9F4F87"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13/07/2035</w:t>
            </w:r>
          </w:p>
        </w:tc>
      </w:tr>
      <w:tr w:rsidR="000934EA" w:rsidRPr="00894701" w14:paraId="25ED9658"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490E3E31"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134</w:t>
            </w:r>
          </w:p>
        </w:tc>
        <w:tc>
          <w:tcPr>
            <w:tcW w:w="1948" w:type="pct"/>
            <w:vAlign w:val="center"/>
            <w:hideMark/>
          </w:tcPr>
          <w:p w14:paraId="4274C128" w14:textId="77777777"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Bont, Brain, Carlos </w:t>
            </w:r>
          </w:p>
        </w:tc>
        <w:tc>
          <w:tcPr>
            <w:tcW w:w="451" w:type="pct"/>
            <w:hideMark/>
          </w:tcPr>
          <w:p w14:paraId="1422EFD4"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653/20</w:t>
            </w:r>
          </w:p>
        </w:tc>
        <w:tc>
          <w:tcPr>
            <w:tcW w:w="774" w:type="pct"/>
            <w:hideMark/>
          </w:tcPr>
          <w:p w14:paraId="1B5758C2"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00F4BB8F"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113 ha</w:t>
            </w:r>
          </w:p>
        </w:tc>
        <w:tc>
          <w:tcPr>
            <w:tcW w:w="522" w:type="pct"/>
            <w:hideMark/>
          </w:tcPr>
          <w:p w14:paraId="47CC0F73"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05/08/2020</w:t>
            </w:r>
          </w:p>
        </w:tc>
        <w:tc>
          <w:tcPr>
            <w:tcW w:w="623" w:type="pct"/>
            <w:hideMark/>
          </w:tcPr>
          <w:p w14:paraId="7A7998F3"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20/05/2025</w:t>
            </w:r>
          </w:p>
        </w:tc>
      </w:tr>
      <w:tr w:rsidR="000934EA" w:rsidRPr="00894701" w14:paraId="0B9EFD75"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26AD6F62"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135</w:t>
            </w:r>
          </w:p>
        </w:tc>
        <w:tc>
          <w:tcPr>
            <w:tcW w:w="1948" w:type="pct"/>
            <w:vAlign w:val="center"/>
            <w:hideMark/>
          </w:tcPr>
          <w:p w14:paraId="6696CC07" w14:textId="7777777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Bont, Brain, Carlos </w:t>
            </w:r>
          </w:p>
        </w:tc>
        <w:tc>
          <w:tcPr>
            <w:tcW w:w="451" w:type="pct"/>
            <w:hideMark/>
          </w:tcPr>
          <w:p w14:paraId="421E290C"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654/20</w:t>
            </w:r>
          </w:p>
        </w:tc>
        <w:tc>
          <w:tcPr>
            <w:tcW w:w="774" w:type="pct"/>
            <w:hideMark/>
          </w:tcPr>
          <w:p w14:paraId="1A19788B"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5E323566"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72 ha</w:t>
            </w:r>
          </w:p>
        </w:tc>
        <w:tc>
          <w:tcPr>
            <w:tcW w:w="522" w:type="pct"/>
            <w:hideMark/>
          </w:tcPr>
          <w:p w14:paraId="47378024"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05/08/2020</w:t>
            </w:r>
          </w:p>
        </w:tc>
        <w:tc>
          <w:tcPr>
            <w:tcW w:w="623" w:type="pct"/>
            <w:hideMark/>
          </w:tcPr>
          <w:p w14:paraId="373BC91C"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21/05/2025</w:t>
            </w:r>
          </w:p>
        </w:tc>
      </w:tr>
      <w:tr w:rsidR="000934EA" w:rsidRPr="00894701" w14:paraId="63C3B613"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6D6E3383"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136</w:t>
            </w:r>
          </w:p>
        </w:tc>
        <w:tc>
          <w:tcPr>
            <w:tcW w:w="1948" w:type="pct"/>
            <w:vAlign w:val="center"/>
            <w:hideMark/>
          </w:tcPr>
          <w:p w14:paraId="37BB29C4" w14:textId="77777777"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Bont, Brain, Carlos </w:t>
            </w:r>
          </w:p>
        </w:tc>
        <w:tc>
          <w:tcPr>
            <w:tcW w:w="451" w:type="pct"/>
            <w:hideMark/>
          </w:tcPr>
          <w:p w14:paraId="223E23BD"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655/20</w:t>
            </w:r>
          </w:p>
        </w:tc>
        <w:tc>
          <w:tcPr>
            <w:tcW w:w="774" w:type="pct"/>
            <w:hideMark/>
          </w:tcPr>
          <w:p w14:paraId="44EDD3D7"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72E4B233"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148 ha</w:t>
            </w:r>
          </w:p>
        </w:tc>
        <w:tc>
          <w:tcPr>
            <w:tcW w:w="522" w:type="pct"/>
            <w:hideMark/>
          </w:tcPr>
          <w:p w14:paraId="4A95393A"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05/08/2020</w:t>
            </w:r>
          </w:p>
        </w:tc>
        <w:tc>
          <w:tcPr>
            <w:tcW w:w="623" w:type="pct"/>
            <w:hideMark/>
          </w:tcPr>
          <w:p w14:paraId="59C132B9"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21/05/2025</w:t>
            </w:r>
          </w:p>
        </w:tc>
      </w:tr>
      <w:tr w:rsidR="000934EA" w:rsidRPr="00894701" w14:paraId="27134DC6"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662CF30E"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137</w:t>
            </w:r>
          </w:p>
        </w:tc>
        <w:tc>
          <w:tcPr>
            <w:tcW w:w="1948" w:type="pct"/>
            <w:vAlign w:val="center"/>
            <w:hideMark/>
          </w:tcPr>
          <w:p w14:paraId="65755F76" w14:textId="7777777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Bhagwandin Harischandre </w:t>
            </w:r>
          </w:p>
        </w:tc>
        <w:tc>
          <w:tcPr>
            <w:tcW w:w="451" w:type="pct"/>
            <w:hideMark/>
          </w:tcPr>
          <w:p w14:paraId="62DC29FA"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484/19</w:t>
            </w:r>
          </w:p>
        </w:tc>
        <w:tc>
          <w:tcPr>
            <w:tcW w:w="774" w:type="pct"/>
            <w:hideMark/>
          </w:tcPr>
          <w:p w14:paraId="33433C2E"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35687AD1"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100Ha</w:t>
            </w:r>
          </w:p>
        </w:tc>
        <w:tc>
          <w:tcPr>
            <w:tcW w:w="522" w:type="pct"/>
            <w:hideMark/>
          </w:tcPr>
          <w:p w14:paraId="043C700F"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06/08/2020</w:t>
            </w:r>
          </w:p>
        </w:tc>
        <w:tc>
          <w:tcPr>
            <w:tcW w:w="623" w:type="pct"/>
            <w:hideMark/>
          </w:tcPr>
          <w:p w14:paraId="1DA3918B"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09/07/2025</w:t>
            </w:r>
          </w:p>
        </w:tc>
      </w:tr>
      <w:tr w:rsidR="000934EA" w:rsidRPr="00894701" w14:paraId="477F4C1A"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2A9B7B53"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138</w:t>
            </w:r>
          </w:p>
        </w:tc>
        <w:tc>
          <w:tcPr>
            <w:tcW w:w="1948" w:type="pct"/>
            <w:vAlign w:val="center"/>
            <w:hideMark/>
          </w:tcPr>
          <w:p w14:paraId="29D6E330" w14:textId="4DA074A4"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Stargold Surinama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33D67F95"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704/20</w:t>
            </w:r>
          </w:p>
        </w:tc>
        <w:tc>
          <w:tcPr>
            <w:tcW w:w="774" w:type="pct"/>
            <w:hideMark/>
          </w:tcPr>
          <w:p w14:paraId="46E9341F"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7B815D8E"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9087 ha</w:t>
            </w:r>
          </w:p>
        </w:tc>
        <w:tc>
          <w:tcPr>
            <w:tcW w:w="522" w:type="pct"/>
            <w:hideMark/>
          </w:tcPr>
          <w:p w14:paraId="2CEEF7B0"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07/08/2020</w:t>
            </w:r>
          </w:p>
        </w:tc>
        <w:tc>
          <w:tcPr>
            <w:tcW w:w="623" w:type="pct"/>
            <w:hideMark/>
          </w:tcPr>
          <w:p w14:paraId="66A0F260"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07/10/2023</w:t>
            </w:r>
          </w:p>
        </w:tc>
      </w:tr>
      <w:tr w:rsidR="000934EA" w:rsidRPr="00894701" w14:paraId="3E3E7CED"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79976B9E"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139</w:t>
            </w:r>
          </w:p>
        </w:tc>
        <w:tc>
          <w:tcPr>
            <w:tcW w:w="1948" w:type="pct"/>
            <w:vAlign w:val="center"/>
            <w:hideMark/>
          </w:tcPr>
          <w:p w14:paraId="41087500" w14:textId="359A3084"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Arctobo</w:t>
            </w:r>
            <w:r w:rsidR="00206BA2" w:rsidRPr="00894701">
              <w:rPr>
                <w:rFonts w:asciiTheme="minorHAnsi" w:hAnsiTheme="minorHAnsi" w:cs="Calibri"/>
                <w:color w:val="000000" w:themeColor="text1"/>
                <w:kern w:val="0"/>
                <w:sz w:val="16"/>
                <w:szCs w:val="16"/>
                <w:lang w:eastAsia="fr-FR"/>
              </w:rPr>
              <w:t xml:space="preserve"> </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7C7D4A5A"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631/20</w:t>
            </w:r>
          </w:p>
        </w:tc>
        <w:tc>
          <w:tcPr>
            <w:tcW w:w="774" w:type="pct"/>
            <w:hideMark/>
          </w:tcPr>
          <w:p w14:paraId="6D9A583A"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55379AE3"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200 ha</w:t>
            </w:r>
          </w:p>
        </w:tc>
        <w:tc>
          <w:tcPr>
            <w:tcW w:w="522" w:type="pct"/>
            <w:hideMark/>
          </w:tcPr>
          <w:p w14:paraId="513DCD02"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03/09/2020</w:t>
            </w:r>
          </w:p>
        </w:tc>
        <w:tc>
          <w:tcPr>
            <w:tcW w:w="623" w:type="pct"/>
            <w:hideMark/>
          </w:tcPr>
          <w:p w14:paraId="4AEE97B3"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05/07/2023</w:t>
            </w:r>
          </w:p>
        </w:tc>
      </w:tr>
      <w:tr w:rsidR="000934EA" w:rsidRPr="00894701" w14:paraId="579ABB77"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7E4B7433"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140</w:t>
            </w:r>
          </w:p>
        </w:tc>
        <w:tc>
          <w:tcPr>
            <w:tcW w:w="1948" w:type="pct"/>
            <w:vAlign w:val="center"/>
            <w:hideMark/>
          </w:tcPr>
          <w:p w14:paraId="2FB5BC25" w14:textId="65BF4BAA"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JaJa Mining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69FF9568"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697/20</w:t>
            </w:r>
          </w:p>
        </w:tc>
        <w:tc>
          <w:tcPr>
            <w:tcW w:w="774" w:type="pct"/>
            <w:hideMark/>
          </w:tcPr>
          <w:p w14:paraId="0D1398F1"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43DF0714"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555 ha</w:t>
            </w:r>
          </w:p>
        </w:tc>
        <w:tc>
          <w:tcPr>
            <w:tcW w:w="522" w:type="pct"/>
            <w:hideMark/>
          </w:tcPr>
          <w:p w14:paraId="5E1F6693"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05/09/2020</w:t>
            </w:r>
          </w:p>
        </w:tc>
        <w:tc>
          <w:tcPr>
            <w:tcW w:w="623" w:type="pct"/>
            <w:hideMark/>
          </w:tcPr>
          <w:p w14:paraId="75AF0D36"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22/06/2023</w:t>
            </w:r>
          </w:p>
        </w:tc>
      </w:tr>
      <w:tr w:rsidR="000934EA" w:rsidRPr="00894701" w14:paraId="244ECDF6"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66169EF7"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141</w:t>
            </w:r>
          </w:p>
        </w:tc>
        <w:tc>
          <w:tcPr>
            <w:tcW w:w="1948" w:type="pct"/>
            <w:vAlign w:val="center"/>
            <w:hideMark/>
          </w:tcPr>
          <w:p w14:paraId="0CDD68AA" w14:textId="7777777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Lintang N.V </w:t>
            </w:r>
          </w:p>
        </w:tc>
        <w:tc>
          <w:tcPr>
            <w:tcW w:w="451" w:type="pct"/>
            <w:hideMark/>
          </w:tcPr>
          <w:p w14:paraId="2504E9B2"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698/20</w:t>
            </w:r>
          </w:p>
        </w:tc>
        <w:tc>
          <w:tcPr>
            <w:tcW w:w="774" w:type="pct"/>
            <w:hideMark/>
          </w:tcPr>
          <w:p w14:paraId="48862462"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5D2EB1D2"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100 ha</w:t>
            </w:r>
          </w:p>
        </w:tc>
        <w:tc>
          <w:tcPr>
            <w:tcW w:w="522" w:type="pct"/>
            <w:hideMark/>
          </w:tcPr>
          <w:p w14:paraId="6368A68B"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06/09/2020</w:t>
            </w:r>
          </w:p>
        </w:tc>
        <w:tc>
          <w:tcPr>
            <w:tcW w:w="623" w:type="pct"/>
            <w:hideMark/>
          </w:tcPr>
          <w:p w14:paraId="40CA19DB"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18/06/2023</w:t>
            </w:r>
          </w:p>
        </w:tc>
      </w:tr>
      <w:tr w:rsidR="000934EA" w:rsidRPr="00894701" w14:paraId="21067F18"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7E402351"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142</w:t>
            </w:r>
          </w:p>
        </w:tc>
        <w:tc>
          <w:tcPr>
            <w:tcW w:w="1948" w:type="pct"/>
            <w:vAlign w:val="center"/>
            <w:hideMark/>
          </w:tcPr>
          <w:p w14:paraId="7D97C92B" w14:textId="71CE295E"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Century natural stone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430D6271"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792/20</w:t>
            </w:r>
          </w:p>
        </w:tc>
        <w:tc>
          <w:tcPr>
            <w:tcW w:w="774" w:type="pct"/>
            <w:hideMark/>
          </w:tcPr>
          <w:p w14:paraId="73867193"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07BFFD28"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15.597 ha</w:t>
            </w:r>
          </w:p>
        </w:tc>
        <w:tc>
          <w:tcPr>
            <w:tcW w:w="522" w:type="pct"/>
            <w:hideMark/>
          </w:tcPr>
          <w:p w14:paraId="6B5F989B"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07/10/2020</w:t>
            </w:r>
          </w:p>
        </w:tc>
        <w:tc>
          <w:tcPr>
            <w:tcW w:w="623" w:type="pct"/>
            <w:hideMark/>
          </w:tcPr>
          <w:p w14:paraId="4D6E7189"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07/10/2023</w:t>
            </w:r>
          </w:p>
        </w:tc>
      </w:tr>
      <w:tr w:rsidR="000934EA" w:rsidRPr="00894701" w14:paraId="687B700E"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11468BE5"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143</w:t>
            </w:r>
          </w:p>
        </w:tc>
        <w:tc>
          <w:tcPr>
            <w:tcW w:w="1948" w:type="pct"/>
            <w:vAlign w:val="center"/>
            <w:hideMark/>
          </w:tcPr>
          <w:p w14:paraId="5A71914E" w14:textId="7777777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WeeWee Johannes </w:t>
            </w:r>
          </w:p>
        </w:tc>
        <w:tc>
          <w:tcPr>
            <w:tcW w:w="451" w:type="pct"/>
            <w:hideMark/>
          </w:tcPr>
          <w:p w14:paraId="51E03141"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384/19</w:t>
            </w:r>
          </w:p>
        </w:tc>
        <w:tc>
          <w:tcPr>
            <w:tcW w:w="774" w:type="pct"/>
            <w:hideMark/>
          </w:tcPr>
          <w:p w14:paraId="20CE753D"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Exploitation</w:t>
            </w:r>
          </w:p>
        </w:tc>
        <w:tc>
          <w:tcPr>
            <w:tcW w:w="481" w:type="pct"/>
            <w:hideMark/>
          </w:tcPr>
          <w:p w14:paraId="2B746AD8"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2129 ha</w:t>
            </w:r>
          </w:p>
        </w:tc>
        <w:tc>
          <w:tcPr>
            <w:tcW w:w="522" w:type="pct"/>
            <w:hideMark/>
          </w:tcPr>
          <w:p w14:paraId="2C33B776"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05/11/2020</w:t>
            </w:r>
          </w:p>
        </w:tc>
        <w:tc>
          <w:tcPr>
            <w:tcW w:w="623" w:type="pct"/>
            <w:hideMark/>
          </w:tcPr>
          <w:p w14:paraId="5711FF49"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21/05/2030</w:t>
            </w:r>
          </w:p>
        </w:tc>
      </w:tr>
      <w:tr w:rsidR="000934EA" w:rsidRPr="00894701" w14:paraId="3A894FCA"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6286AF70"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144</w:t>
            </w:r>
          </w:p>
        </w:tc>
        <w:tc>
          <w:tcPr>
            <w:tcW w:w="1948" w:type="pct"/>
            <w:vAlign w:val="center"/>
            <w:hideMark/>
          </w:tcPr>
          <w:p w14:paraId="64053A2C" w14:textId="301954C2"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Enbian Group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379585B3"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801/20</w:t>
            </w:r>
          </w:p>
        </w:tc>
        <w:tc>
          <w:tcPr>
            <w:tcW w:w="774" w:type="pct"/>
            <w:hideMark/>
          </w:tcPr>
          <w:p w14:paraId="7E36E416"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1AD92BD0"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24000 ha</w:t>
            </w:r>
          </w:p>
        </w:tc>
        <w:tc>
          <w:tcPr>
            <w:tcW w:w="522" w:type="pct"/>
            <w:hideMark/>
          </w:tcPr>
          <w:p w14:paraId="18727BF1"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07/11/2020</w:t>
            </w:r>
          </w:p>
        </w:tc>
        <w:tc>
          <w:tcPr>
            <w:tcW w:w="623" w:type="pct"/>
            <w:hideMark/>
          </w:tcPr>
          <w:p w14:paraId="7B099AEC"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15/07/2023</w:t>
            </w:r>
          </w:p>
        </w:tc>
      </w:tr>
      <w:tr w:rsidR="000934EA" w:rsidRPr="00894701" w14:paraId="0E9E6BB1"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40C6BC31"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145</w:t>
            </w:r>
          </w:p>
        </w:tc>
        <w:tc>
          <w:tcPr>
            <w:tcW w:w="1948" w:type="pct"/>
            <w:vAlign w:val="center"/>
            <w:hideMark/>
          </w:tcPr>
          <w:p w14:paraId="232E8C67" w14:textId="7777777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Chotkan Soenderpersad </w:t>
            </w:r>
          </w:p>
        </w:tc>
        <w:tc>
          <w:tcPr>
            <w:tcW w:w="451" w:type="pct"/>
            <w:hideMark/>
          </w:tcPr>
          <w:p w14:paraId="4BCD14C6"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119/18</w:t>
            </w:r>
          </w:p>
        </w:tc>
        <w:tc>
          <w:tcPr>
            <w:tcW w:w="774" w:type="pct"/>
            <w:hideMark/>
          </w:tcPr>
          <w:p w14:paraId="15A2C31A"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202387C0"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77613 Ha</w:t>
            </w:r>
          </w:p>
        </w:tc>
        <w:tc>
          <w:tcPr>
            <w:tcW w:w="522" w:type="pct"/>
            <w:hideMark/>
          </w:tcPr>
          <w:p w14:paraId="0E1B9949"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31/05/2018</w:t>
            </w:r>
          </w:p>
        </w:tc>
        <w:tc>
          <w:tcPr>
            <w:tcW w:w="623" w:type="pct"/>
            <w:hideMark/>
          </w:tcPr>
          <w:p w14:paraId="53D43267"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22/03/2023</w:t>
            </w:r>
          </w:p>
        </w:tc>
      </w:tr>
      <w:tr w:rsidR="000934EA" w:rsidRPr="00894701" w14:paraId="3282B13E"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6E9629B5"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146</w:t>
            </w:r>
          </w:p>
        </w:tc>
        <w:tc>
          <w:tcPr>
            <w:tcW w:w="1948" w:type="pct"/>
            <w:vAlign w:val="center"/>
            <w:hideMark/>
          </w:tcPr>
          <w:p w14:paraId="11CAFEBE" w14:textId="1E8F5B3B"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Akantoina International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339B6769"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384/16</w:t>
            </w:r>
          </w:p>
        </w:tc>
        <w:tc>
          <w:tcPr>
            <w:tcW w:w="774" w:type="pct"/>
            <w:hideMark/>
          </w:tcPr>
          <w:p w14:paraId="6BDAFD4F"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4B34BB8E"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4027 ha</w:t>
            </w:r>
          </w:p>
        </w:tc>
        <w:tc>
          <w:tcPr>
            <w:tcW w:w="522" w:type="pct"/>
            <w:hideMark/>
          </w:tcPr>
          <w:p w14:paraId="410C1A2A"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07/06/201</w:t>
            </w:r>
          </w:p>
        </w:tc>
        <w:tc>
          <w:tcPr>
            <w:tcW w:w="623" w:type="pct"/>
            <w:hideMark/>
          </w:tcPr>
          <w:p w14:paraId="0854A676"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07/06/201</w:t>
            </w:r>
          </w:p>
        </w:tc>
      </w:tr>
      <w:tr w:rsidR="000934EA" w:rsidRPr="00894701" w14:paraId="11F8B158"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5AD67016"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147</w:t>
            </w:r>
          </w:p>
        </w:tc>
        <w:tc>
          <w:tcPr>
            <w:tcW w:w="1948" w:type="pct"/>
            <w:vAlign w:val="center"/>
            <w:hideMark/>
          </w:tcPr>
          <w:p w14:paraId="6F96F0A7" w14:textId="54A18B4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val="nl-NL" w:eastAsia="fr-FR"/>
              </w:rPr>
            </w:pPr>
            <w:r w:rsidRPr="00894701">
              <w:rPr>
                <w:rFonts w:asciiTheme="minorHAnsi" w:hAnsiTheme="minorHAnsi" w:cs="Calibri"/>
                <w:color w:val="000000" w:themeColor="text1"/>
                <w:kern w:val="0"/>
                <w:sz w:val="16"/>
                <w:szCs w:val="16"/>
                <w:lang w:val="nl-NL" w:eastAsia="fr-FR"/>
              </w:rPr>
              <w:t>Bouw en Civile technische werken D&amp;D NV</w:t>
            </w:r>
            <w:r w:rsidR="00206BA2" w:rsidRPr="00894701">
              <w:rPr>
                <w:rFonts w:asciiTheme="minorHAnsi" w:hAnsiTheme="minorHAnsi" w:cs="Calibri"/>
                <w:color w:val="000000" w:themeColor="text1"/>
                <w:kern w:val="0"/>
                <w:sz w:val="16"/>
                <w:szCs w:val="16"/>
                <w:lang w:val="nl-NL" w:eastAsia="fr-FR"/>
              </w:rPr>
              <w:t xml:space="preserve"> </w:t>
            </w:r>
          </w:p>
        </w:tc>
        <w:tc>
          <w:tcPr>
            <w:tcW w:w="451" w:type="pct"/>
            <w:hideMark/>
          </w:tcPr>
          <w:p w14:paraId="0C9B2FC1"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573/20</w:t>
            </w:r>
          </w:p>
        </w:tc>
        <w:tc>
          <w:tcPr>
            <w:tcW w:w="774" w:type="pct"/>
            <w:hideMark/>
          </w:tcPr>
          <w:p w14:paraId="3883C6F8"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3274F95A"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60 ha</w:t>
            </w:r>
          </w:p>
        </w:tc>
        <w:tc>
          <w:tcPr>
            <w:tcW w:w="522" w:type="pct"/>
            <w:hideMark/>
          </w:tcPr>
          <w:p w14:paraId="4C8EC2B1"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13/01/2020</w:t>
            </w:r>
          </w:p>
        </w:tc>
        <w:tc>
          <w:tcPr>
            <w:tcW w:w="623" w:type="pct"/>
            <w:hideMark/>
          </w:tcPr>
          <w:p w14:paraId="1BCFE7B4"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13/07/2025</w:t>
            </w:r>
          </w:p>
        </w:tc>
      </w:tr>
      <w:tr w:rsidR="000934EA" w:rsidRPr="00894701" w14:paraId="0514CA4F"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0CB8455A"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148</w:t>
            </w:r>
          </w:p>
        </w:tc>
        <w:tc>
          <w:tcPr>
            <w:tcW w:w="1948" w:type="pct"/>
            <w:vAlign w:val="center"/>
            <w:hideMark/>
          </w:tcPr>
          <w:p w14:paraId="14495302" w14:textId="5D76A494"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val="nl-NL" w:eastAsia="fr-FR"/>
              </w:rPr>
            </w:pPr>
            <w:r w:rsidRPr="00894701">
              <w:rPr>
                <w:rFonts w:asciiTheme="minorHAnsi" w:hAnsiTheme="minorHAnsi" w:cs="Calibri"/>
                <w:color w:val="000000" w:themeColor="text1"/>
                <w:kern w:val="0"/>
                <w:sz w:val="16"/>
                <w:szCs w:val="16"/>
                <w:lang w:val="nl-NL" w:eastAsia="fr-FR"/>
              </w:rPr>
              <w:t>Bouw en Civile technische werken D&amp;D NV</w:t>
            </w:r>
            <w:r w:rsidR="00206BA2" w:rsidRPr="00894701">
              <w:rPr>
                <w:rFonts w:asciiTheme="minorHAnsi" w:hAnsiTheme="minorHAnsi" w:cs="Calibri"/>
                <w:color w:val="000000" w:themeColor="text1"/>
                <w:kern w:val="0"/>
                <w:sz w:val="16"/>
                <w:szCs w:val="16"/>
                <w:lang w:val="nl-NL" w:eastAsia="fr-FR"/>
              </w:rPr>
              <w:t xml:space="preserve"> </w:t>
            </w:r>
          </w:p>
        </w:tc>
        <w:tc>
          <w:tcPr>
            <w:tcW w:w="451" w:type="pct"/>
            <w:hideMark/>
          </w:tcPr>
          <w:p w14:paraId="5C0227E0"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572/20</w:t>
            </w:r>
          </w:p>
        </w:tc>
        <w:tc>
          <w:tcPr>
            <w:tcW w:w="774" w:type="pct"/>
            <w:hideMark/>
          </w:tcPr>
          <w:p w14:paraId="59C0A666"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4EBC71B8"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66 ha</w:t>
            </w:r>
          </w:p>
        </w:tc>
        <w:tc>
          <w:tcPr>
            <w:tcW w:w="522" w:type="pct"/>
            <w:hideMark/>
          </w:tcPr>
          <w:p w14:paraId="2E637171"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13/01/2020</w:t>
            </w:r>
          </w:p>
        </w:tc>
        <w:tc>
          <w:tcPr>
            <w:tcW w:w="623" w:type="pct"/>
            <w:hideMark/>
          </w:tcPr>
          <w:p w14:paraId="3803CE79"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29/06/2025</w:t>
            </w:r>
          </w:p>
        </w:tc>
      </w:tr>
      <w:tr w:rsidR="000934EA" w:rsidRPr="00894701" w14:paraId="50CBF1CF"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09A1DDB8"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149</w:t>
            </w:r>
          </w:p>
        </w:tc>
        <w:tc>
          <w:tcPr>
            <w:tcW w:w="1948" w:type="pct"/>
            <w:vAlign w:val="center"/>
            <w:hideMark/>
          </w:tcPr>
          <w:p w14:paraId="21C384FB" w14:textId="7777777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Asaf Robby Franklin </w:t>
            </w:r>
          </w:p>
        </w:tc>
        <w:tc>
          <w:tcPr>
            <w:tcW w:w="451" w:type="pct"/>
            <w:hideMark/>
          </w:tcPr>
          <w:p w14:paraId="64D1604E"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285/19</w:t>
            </w:r>
          </w:p>
        </w:tc>
        <w:tc>
          <w:tcPr>
            <w:tcW w:w="774" w:type="pct"/>
            <w:hideMark/>
          </w:tcPr>
          <w:p w14:paraId="4F688958"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Small Scale Mining</w:t>
            </w:r>
          </w:p>
        </w:tc>
        <w:tc>
          <w:tcPr>
            <w:tcW w:w="481" w:type="pct"/>
            <w:hideMark/>
          </w:tcPr>
          <w:p w14:paraId="7869DC38"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194 ha</w:t>
            </w:r>
          </w:p>
        </w:tc>
        <w:tc>
          <w:tcPr>
            <w:tcW w:w="522" w:type="pct"/>
            <w:hideMark/>
          </w:tcPr>
          <w:p w14:paraId="103235BA"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13/03/2019/</w:t>
            </w:r>
          </w:p>
        </w:tc>
        <w:tc>
          <w:tcPr>
            <w:tcW w:w="623" w:type="pct"/>
            <w:hideMark/>
          </w:tcPr>
          <w:p w14:paraId="7143CAE7"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08/07/2021</w:t>
            </w:r>
          </w:p>
        </w:tc>
      </w:tr>
      <w:tr w:rsidR="000934EA" w:rsidRPr="00894701" w14:paraId="7CE88C88"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3B086FA3"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150</w:t>
            </w:r>
          </w:p>
        </w:tc>
        <w:tc>
          <w:tcPr>
            <w:tcW w:w="1948" w:type="pct"/>
            <w:vAlign w:val="center"/>
            <w:hideMark/>
          </w:tcPr>
          <w:p w14:paraId="4DAF8719" w14:textId="77777777"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Niradjan, Jamnapersad </w:t>
            </w:r>
          </w:p>
        </w:tc>
        <w:tc>
          <w:tcPr>
            <w:tcW w:w="451" w:type="pct"/>
            <w:hideMark/>
          </w:tcPr>
          <w:p w14:paraId="61DE9D7A"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386/19</w:t>
            </w:r>
          </w:p>
        </w:tc>
        <w:tc>
          <w:tcPr>
            <w:tcW w:w="774" w:type="pct"/>
            <w:hideMark/>
          </w:tcPr>
          <w:p w14:paraId="344C3187"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Small Scale Mining</w:t>
            </w:r>
          </w:p>
        </w:tc>
        <w:tc>
          <w:tcPr>
            <w:tcW w:w="481" w:type="pct"/>
            <w:hideMark/>
          </w:tcPr>
          <w:p w14:paraId="6A14EA92"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200 ha</w:t>
            </w:r>
          </w:p>
        </w:tc>
        <w:tc>
          <w:tcPr>
            <w:tcW w:w="522" w:type="pct"/>
            <w:hideMark/>
          </w:tcPr>
          <w:p w14:paraId="3F77DDC6"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13/05/2019</w:t>
            </w:r>
          </w:p>
        </w:tc>
        <w:tc>
          <w:tcPr>
            <w:tcW w:w="623" w:type="pct"/>
            <w:hideMark/>
          </w:tcPr>
          <w:p w14:paraId="7483BCA2"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13/05/2019</w:t>
            </w:r>
          </w:p>
        </w:tc>
      </w:tr>
      <w:tr w:rsidR="000934EA" w:rsidRPr="00894701" w14:paraId="36653ED2"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00643D03"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151</w:t>
            </w:r>
          </w:p>
        </w:tc>
        <w:tc>
          <w:tcPr>
            <w:tcW w:w="1948" w:type="pct"/>
            <w:vAlign w:val="center"/>
            <w:hideMark/>
          </w:tcPr>
          <w:p w14:paraId="20855C75" w14:textId="7777777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Consolidated Gold Resources </w:t>
            </w:r>
          </w:p>
        </w:tc>
        <w:tc>
          <w:tcPr>
            <w:tcW w:w="451" w:type="pct"/>
            <w:hideMark/>
          </w:tcPr>
          <w:p w14:paraId="3738A91B"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404/19</w:t>
            </w:r>
          </w:p>
        </w:tc>
        <w:tc>
          <w:tcPr>
            <w:tcW w:w="774" w:type="pct"/>
            <w:hideMark/>
          </w:tcPr>
          <w:p w14:paraId="13BC464E"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38E1DB7A"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7583 ha</w:t>
            </w:r>
          </w:p>
        </w:tc>
        <w:tc>
          <w:tcPr>
            <w:tcW w:w="522" w:type="pct"/>
            <w:hideMark/>
          </w:tcPr>
          <w:p w14:paraId="4BADB98D"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13/05/2019</w:t>
            </w:r>
          </w:p>
        </w:tc>
        <w:tc>
          <w:tcPr>
            <w:tcW w:w="623" w:type="pct"/>
            <w:hideMark/>
          </w:tcPr>
          <w:p w14:paraId="62B43515"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26/01/2023</w:t>
            </w:r>
          </w:p>
        </w:tc>
      </w:tr>
      <w:tr w:rsidR="000934EA" w:rsidRPr="00894701" w14:paraId="6F26208B"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6527D01C"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152</w:t>
            </w:r>
          </w:p>
        </w:tc>
        <w:tc>
          <w:tcPr>
            <w:tcW w:w="1948" w:type="pct"/>
            <w:vAlign w:val="center"/>
            <w:hideMark/>
          </w:tcPr>
          <w:p w14:paraId="4367A980" w14:textId="77777777"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Consolidated Gold Resources </w:t>
            </w:r>
          </w:p>
        </w:tc>
        <w:tc>
          <w:tcPr>
            <w:tcW w:w="451" w:type="pct"/>
            <w:hideMark/>
          </w:tcPr>
          <w:p w14:paraId="7ADE597B"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403/20</w:t>
            </w:r>
          </w:p>
        </w:tc>
        <w:tc>
          <w:tcPr>
            <w:tcW w:w="774" w:type="pct"/>
            <w:hideMark/>
          </w:tcPr>
          <w:p w14:paraId="3F1BB68D"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2537043C"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4922 ha</w:t>
            </w:r>
          </w:p>
        </w:tc>
        <w:tc>
          <w:tcPr>
            <w:tcW w:w="522" w:type="pct"/>
            <w:hideMark/>
          </w:tcPr>
          <w:p w14:paraId="4AAA3070"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13/07/2019</w:t>
            </w:r>
          </w:p>
        </w:tc>
        <w:tc>
          <w:tcPr>
            <w:tcW w:w="623" w:type="pct"/>
            <w:hideMark/>
          </w:tcPr>
          <w:p w14:paraId="7E110CD4"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26/01/2023</w:t>
            </w:r>
          </w:p>
        </w:tc>
      </w:tr>
      <w:tr w:rsidR="000934EA" w:rsidRPr="00894701" w14:paraId="0B74EE77"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24BB5455"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153</w:t>
            </w:r>
          </w:p>
        </w:tc>
        <w:tc>
          <w:tcPr>
            <w:tcW w:w="1948" w:type="pct"/>
            <w:vAlign w:val="center"/>
            <w:hideMark/>
          </w:tcPr>
          <w:p w14:paraId="419F00A5" w14:textId="185048C1"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Aim high Co.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0BE88386"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800/20</w:t>
            </w:r>
          </w:p>
        </w:tc>
        <w:tc>
          <w:tcPr>
            <w:tcW w:w="774" w:type="pct"/>
            <w:hideMark/>
          </w:tcPr>
          <w:p w14:paraId="720A6D64"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15137AA2"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4.825 ha</w:t>
            </w:r>
          </w:p>
        </w:tc>
        <w:tc>
          <w:tcPr>
            <w:tcW w:w="522" w:type="pct"/>
            <w:hideMark/>
          </w:tcPr>
          <w:p w14:paraId="27546282"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13/07/2020</w:t>
            </w:r>
          </w:p>
        </w:tc>
        <w:tc>
          <w:tcPr>
            <w:tcW w:w="623" w:type="pct"/>
            <w:hideMark/>
          </w:tcPr>
          <w:p w14:paraId="6B53DDE8"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13/07/2023</w:t>
            </w:r>
          </w:p>
        </w:tc>
      </w:tr>
      <w:tr w:rsidR="000934EA" w:rsidRPr="00894701" w14:paraId="6D3F55EB"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1FED1556"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154</w:t>
            </w:r>
          </w:p>
        </w:tc>
        <w:tc>
          <w:tcPr>
            <w:tcW w:w="1948" w:type="pct"/>
            <w:vAlign w:val="center"/>
            <w:hideMark/>
          </w:tcPr>
          <w:p w14:paraId="6558505E" w14:textId="4C2D180C"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val="nl-NL" w:eastAsia="fr-FR"/>
              </w:rPr>
            </w:pPr>
            <w:r w:rsidRPr="00894701">
              <w:rPr>
                <w:rFonts w:asciiTheme="minorHAnsi" w:hAnsiTheme="minorHAnsi" w:cs="Calibri"/>
                <w:color w:val="000000" w:themeColor="text1"/>
                <w:kern w:val="0"/>
                <w:sz w:val="16"/>
                <w:szCs w:val="16"/>
                <w:lang w:val="nl-NL" w:eastAsia="fr-FR"/>
              </w:rPr>
              <w:t>Handel mij Dharmsingh N.V</w:t>
            </w:r>
            <w:r w:rsidR="0090575B" w:rsidRPr="00894701">
              <w:rPr>
                <w:rFonts w:asciiTheme="minorHAnsi" w:hAnsiTheme="minorHAnsi" w:cs="Calibri"/>
                <w:color w:val="000000" w:themeColor="text1"/>
                <w:kern w:val="0"/>
                <w:sz w:val="16"/>
                <w:szCs w:val="16"/>
                <w:lang w:val="nl-NL" w:eastAsia="fr-FR"/>
              </w:rPr>
              <w:t>.</w:t>
            </w:r>
            <w:r w:rsidRPr="00894701">
              <w:rPr>
                <w:rFonts w:asciiTheme="minorHAnsi" w:hAnsiTheme="minorHAnsi" w:cs="Calibri"/>
                <w:color w:val="000000" w:themeColor="text1"/>
                <w:kern w:val="0"/>
                <w:sz w:val="16"/>
                <w:szCs w:val="16"/>
                <w:lang w:val="nl-NL" w:eastAsia="fr-FR"/>
              </w:rPr>
              <w:t xml:space="preserve"> </w:t>
            </w:r>
          </w:p>
        </w:tc>
        <w:tc>
          <w:tcPr>
            <w:tcW w:w="451" w:type="pct"/>
            <w:hideMark/>
          </w:tcPr>
          <w:p w14:paraId="081014F9"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440/19</w:t>
            </w:r>
          </w:p>
        </w:tc>
        <w:tc>
          <w:tcPr>
            <w:tcW w:w="774" w:type="pct"/>
            <w:hideMark/>
          </w:tcPr>
          <w:p w14:paraId="6C013A5E"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062924E8"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100 ha</w:t>
            </w:r>
          </w:p>
        </w:tc>
        <w:tc>
          <w:tcPr>
            <w:tcW w:w="522" w:type="pct"/>
            <w:hideMark/>
          </w:tcPr>
          <w:p w14:paraId="73799C63"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13/08/2019</w:t>
            </w:r>
          </w:p>
        </w:tc>
        <w:tc>
          <w:tcPr>
            <w:tcW w:w="623" w:type="pct"/>
            <w:hideMark/>
          </w:tcPr>
          <w:p w14:paraId="1B718671"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19/12/2024</w:t>
            </w:r>
          </w:p>
        </w:tc>
      </w:tr>
      <w:tr w:rsidR="000934EA" w:rsidRPr="00894701" w14:paraId="38BF3F4B"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31D01368"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155</w:t>
            </w:r>
          </w:p>
        </w:tc>
        <w:tc>
          <w:tcPr>
            <w:tcW w:w="1948" w:type="pct"/>
            <w:vAlign w:val="center"/>
            <w:hideMark/>
          </w:tcPr>
          <w:p w14:paraId="16853A26" w14:textId="7777777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N.V Imelas zandbedrijf </w:t>
            </w:r>
          </w:p>
        </w:tc>
        <w:tc>
          <w:tcPr>
            <w:tcW w:w="451" w:type="pct"/>
            <w:hideMark/>
          </w:tcPr>
          <w:p w14:paraId="10149495"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501/19</w:t>
            </w:r>
          </w:p>
        </w:tc>
        <w:tc>
          <w:tcPr>
            <w:tcW w:w="774" w:type="pct"/>
            <w:hideMark/>
          </w:tcPr>
          <w:p w14:paraId="0094C444"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663A17A7"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196 ha</w:t>
            </w:r>
          </w:p>
        </w:tc>
        <w:tc>
          <w:tcPr>
            <w:tcW w:w="522" w:type="pct"/>
            <w:hideMark/>
          </w:tcPr>
          <w:p w14:paraId="5DAA4F4A"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14/10/2019</w:t>
            </w:r>
          </w:p>
        </w:tc>
        <w:tc>
          <w:tcPr>
            <w:tcW w:w="623" w:type="pct"/>
            <w:hideMark/>
          </w:tcPr>
          <w:p w14:paraId="69B0A538"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06/04/2023</w:t>
            </w:r>
          </w:p>
        </w:tc>
      </w:tr>
      <w:tr w:rsidR="000934EA" w:rsidRPr="00894701" w14:paraId="7C731783"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1BEBF3F2"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156</w:t>
            </w:r>
          </w:p>
        </w:tc>
        <w:tc>
          <w:tcPr>
            <w:tcW w:w="1948" w:type="pct"/>
            <w:vAlign w:val="center"/>
            <w:hideMark/>
          </w:tcPr>
          <w:p w14:paraId="45FA3A45" w14:textId="6E7EA414"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TILBORG </w:t>
            </w:r>
            <w:r w:rsidR="00BE1B23" w:rsidRPr="00894701">
              <w:rPr>
                <w:rFonts w:asciiTheme="minorHAnsi" w:hAnsiTheme="minorHAnsi" w:cs="Calibri"/>
                <w:color w:val="000000" w:themeColor="text1"/>
                <w:kern w:val="0"/>
                <w:sz w:val="16"/>
                <w:szCs w:val="16"/>
                <w:lang w:eastAsia="fr-FR"/>
              </w:rPr>
              <w:t>Xavier Edson</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2B9A3B1D"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511/19</w:t>
            </w:r>
          </w:p>
        </w:tc>
        <w:tc>
          <w:tcPr>
            <w:tcW w:w="774" w:type="pct"/>
            <w:hideMark/>
          </w:tcPr>
          <w:p w14:paraId="56DA9D67"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1BD55867"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35 ha</w:t>
            </w:r>
          </w:p>
        </w:tc>
        <w:tc>
          <w:tcPr>
            <w:tcW w:w="522" w:type="pct"/>
            <w:hideMark/>
          </w:tcPr>
          <w:p w14:paraId="62AD350B"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14/11/2019</w:t>
            </w:r>
          </w:p>
        </w:tc>
        <w:tc>
          <w:tcPr>
            <w:tcW w:w="623" w:type="pct"/>
            <w:hideMark/>
          </w:tcPr>
          <w:p w14:paraId="29D8C7BB"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29/06/2025</w:t>
            </w:r>
          </w:p>
        </w:tc>
      </w:tr>
      <w:tr w:rsidR="000934EA" w:rsidRPr="00894701" w14:paraId="40841943"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665A00D6"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157</w:t>
            </w:r>
          </w:p>
        </w:tc>
        <w:tc>
          <w:tcPr>
            <w:tcW w:w="1948" w:type="pct"/>
            <w:vAlign w:val="center"/>
            <w:hideMark/>
          </w:tcPr>
          <w:p w14:paraId="25DF0283" w14:textId="7777777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Jacott Steven Albert </w:t>
            </w:r>
          </w:p>
        </w:tc>
        <w:tc>
          <w:tcPr>
            <w:tcW w:w="451" w:type="pct"/>
            <w:hideMark/>
          </w:tcPr>
          <w:p w14:paraId="77701D39"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518/19</w:t>
            </w:r>
          </w:p>
        </w:tc>
        <w:tc>
          <w:tcPr>
            <w:tcW w:w="774" w:type="pct"/>
            <w:hideMark/>
          </w:tcPr>
          <w:p w14:paraId="231E1868"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549B1BA1"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196 ha</w:t>
            </w:r>
          </w:p>
        </w:tc>
        <w:tc>
          <w:tcPr>
            <w:tcW w:w="522" w:type="pct"/>
            <w:hideMark/>
          </w:tcPr>
          <w:p w14:paraId="5D7FE520"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14/11/2019</w:t>
            </w:r>
          </w:p>
        </w:tc>
        <w:tc>
          <w:tcPr>
            <w:tcW w:w="623" w:type="pct"/>
            <w:hideMark/>
          </w:tcPr>
          <w:p w14:paraId="0E85DD36"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15/05/2023</w:t>
            </w:r>
          </w:p>
        </w:tc>
      </w:tr>
      <w:tr w:rsidR="000934EA" w:rsidRPr="00894701" w14:paraId="67719791"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26CA0578"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158</w:t>
            </w:r>
          </w:p>
        </w:tc>
        <w:tc>
          <w:tcPr>
            <w:tcW w:w="1948" w:type="pct"/>
            <w:vAlign w:val="center"/>
            <w:hideMark/>
          </w:tcPr>
          <w:p w14:paraId="2F40962D" w14:textId="77777777"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Babel Gwendoline Civillia </w:t>
            </w:r>
          </w:p>
        </w:tc>
        <w:tc>
          <w:tcPr>
            <w:tcW w:w="451" w:type="pct"/>
            <w:hideMark/>
          </w:tcPr>
          <w:p w14:paraId="5BCDFE0F"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519/19</w:t>
            </w:r>
          </w:p>
        </w:tc>
        <w:tc>
          <w:tcPr>
            <w:tcW w:w="774" w:type="pct"/>
            <w:hideMark/>
          </w:tcPr>
          <w:p w14:paraId="08986AC2"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5A4437C4"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196 ha</w:t>
            </w:r>
          </w:p>
        </w:tc>
        <w:tc>
          <w:tcPr>
            <w:tcW w:w="522" w:type="pct"/>
            <w:hideMark/>
          </w:tcPr>
          <w:p w14:paraId="061C4940"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14/11/2019</w:t>
            </w:r>
          </w:p>
        </w:tc>
        <w:tc>
          <w:tcPr>
            <w:tcW w:w="623" w:type="pct"/>
            <w:hideMark/>
          </w:tcPr>
          <w:p w14:paraId="0632D713"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15/05/2023</w:t>
            </w:r>
          </w:p>
        </w:tc>
      </w:tr>
      <w:tr w:rsidR="000934EA" w:rsidRPr="00894701" w14:paraId="3CE67929"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0BD08134"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159</w:t>
            </w:r>
          </w:p>
        </w:tc>
        <w:tc>
          <w:tcPr>
            <w:tcW w:w="1948" w:type="pct"/>
            <w:vAlign w:val="center"/>
            <w:hideMark/>
          </w:tcPr>
          <w:p w14:paraId="58F94E1A" w14:textId="7777777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Linscheer Anthony James </w:t>
            </w:r>
          </w:p>
        </w:tc>
        <w:tc>
          <w:tcPr>
            <w:tcW w:w="451" w:type="pct"/>
            <w:hideMark/>
          </w:tcPr>
          <w:p w14:paraId="6F362DB5"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380/19</w:t>
            </w:r>
          </w:p>
        </w:tc>
        <w:tc>
          <w:tcPr>
            <w:tcW w:w="774" w:type="pct"/>
            <w:hideMark/>
          </w:tcPr>
          <w:p w14:paraId="0C847909"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5124008C"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135 Ha</w:t>
            </w:r>
          </w:p>
        </w:tc>
        <w:tc>
          <w:tcPr>
            <w:tcW w:w="522" w:type="pct"/>
            <w:hideMark/>
          </w:tcPr>
          <w:p w14:paraId="6D35D020"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15/04/2019</w:t>
            </w:r>
          </w:p>
        </w:tc>
        <w:tc>
          <w:tcPr>
            <w:tcW w:w="623" w:type="pct"/>
            <w:hideMark/>
          </w:tcPr>
          <w:p w14:paraId="447E5097"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15/01/2023</w:t>
            </w:r>
          </w:p>
        </w:tc>
      </w:tr>
      <w:tr w:rsidR="000934EA" w:rsidRPr="00894701" w14:paraId="096C6496"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70C2FE98"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160</w:t>
            </w:r>
          </w:p>
        </w:tc>
        <w:tc>
          <w:tcPr>
            <w:tcW w:w="1948" w:type="pct"/>
            <w:vAlign w:val="center"/>
            <w:hideMark/>
          </w:tcPr>
          <w:p w14:paraId="03AE1238" w14:textId="0BB3FF69"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Coral Genaral Mining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47FDB1B4"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744/20</w:t>
            </w:r>
          </w:p>
        </w:tc>
        <w:tc>
          <w:tcPr>
            <w:tcW w:w="774" w:type="pct"/>
            <w:hideMark/>
          </w:tcPr>
          <w:p w14:paraId="6A972B8B"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446E5594"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400 ha</w:t>
            </w:r>
          </w:p>
        </w:tc>
        <w:tc>
          <w:tcPr>
            <w:tcW w:w="522" w:type="pct"/>
            <w:hideMark/>
          </w:tcPr>
          <w:p w14:paraId="57D5DFB0"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15/05/2020</w:t>
            </w:r>
          </w:p>
        </w:tc>
        <w:tc>
          <w:tcPr>
            <w:tcW w:w="623" w:type="pct"/>
            <w:hideMark/>
          </w:tcPr>
          <w:p w14:paraId="42F3435F"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15/07/2023</w:t>
            </w:r>
          </w:p>
        </w:tc>
      </w:tr>
      <w:tr w:rsidR="000934EA" w:rsidRPr="00894701" w14:paraId="1F5473C2"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1E5B9680"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161</w:t>
            </w:r>
          </w:p>
        </w:tc>
        <w:tc>
          <w:tcPr>
            <w:tcW w:w="1948" w:type="pct"/>
            <w:vAlign w:val="center"/>
            <w:hideMark/>
          </w:tcPr>
          <w:p w14:paraId="3AA97555" w14:textId="50E44B70"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Akantoina International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120706A3"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436/19</w:t>
            </w:r>
          </w:p>
        </w:tc>
        <w:tc>
          <w:tcPr>
            <w:tcW w:w="774" w:type="pct"/>
            <w:hideMark/>
          </w:tcPr>
          <w:p w14:paraId="32965D01"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Exploitation</w:t>
            </w:r>
          </w:p>
        </w:tc>
        <w:tc>
          <w:tcPr>
            <w:tcW w:w="481" w:type="pct"/>
            <w:hideMark/>
          </w:tcPr>
          <w:p w14:paraId="4D7AB545"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4027 ha</w:t>
            </w:r>
          </w:p>
        </w:tc>
        <w:tc>
          <w:tcPr>
            <w:tcW w:w="522" w:type="pct"/>
            <w:hideMark/>
          </w:tcPr>
          <w:p w14:paraId="778903F6"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15/07/2019</w:t>
            </w:r>
          </w:p>
        </w:tc>
        <w:tc>
          <w:tcPr>
            <w:tcW w:w="623" w:type="pct"/>
            <w:hideMark/>
          </w:tcPr>
          <w:p w14:paraId="5E69E3C9"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13/07/2025</w:t>
            </w:r>
          </w:p>
        </w:tc>
      </w:tr>
      <w:tr w:rsidR="000934EA" w:rsidRPr="00894701" w14:paraId="5AE44B24"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05E995DF"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162</w:t>
            </w:r>
          </w:p>
        </w:tc>
        <w:tc>
          <w:tcPr>
            <w:tcW w:w="1948" w:type="pct"/>
            <w:vAlign w:val="center"/>
            <w:hideMark/>
          </w:tcPr>
          <w:p w14:paraId="6D274EEC" w14:textId="77777777"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BBA Consulting N.V </w:t>
            </w:r>
          </w:p>
        </w:tc>
        <w:tc>
          <w:tcPr>
            <w:tcW w:w="451" w:type="pct"/>
            <w:hideMark/>
          </w:tcPr>
          <w:p w14:paraId="180B9572"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507/19</w:t>
            </w:r>
          </w:p>
        </w:tc>
        <w:tc>
          <w:tcPr>
            <w:tcW w:w="774" w:type="pct"/>
            <w:hideMark/>
          </w:tcPr>
          <w:p w14:paraId="0F70E480"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78FAAACF"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200 ha</w:t>
            </w:r>
          </w:p>
        </w:tc>
        <w:tc>
          <w:tcPr>
            <w:tcW w:w="522" w:type="pct"/>
            <w:hideMark/>
          </w:tcPr>
          <w:p w14:paraId="4377BCC3"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15/12/2019</w:t>
            </w:r>
          </w:p>
        </w:tc>
        <w:tc>
          <w:tcPr>
            <w:tcW w:w="623" w:type="pct"/>
            <w:hideMark/>
          </w:tcPr>
          <w:p w14:paraId="63915E87"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15/03/2023</w:t>
            </w:r>
          </w:p>
        </w:tc>
      </w:tr>
      <w:tr w:rsidR="000934EA" w:rsidRPr="00894701" w14:paraId="4764D3F8"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032385B7"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163</w:t>
            </w:r>
          </w:p>
        </w:tc>
        <w:tc>
          <w:tcPr>
            <w:tcW w:w="1948" w:type="pct"/>
            <w:vAlign w:val="center"/>
            <w:hideMark/>
          </w:tcPr>
          <w:p w14:paraId="04CD6499" w14:textId="66A88B44"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Consolidated Gold Resources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5698EE04"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633/20</w:t>
            </w:r>
          </w:p>
        </w:tc>
        <w:tc>
          <w:tcPr>
            <w:tcW w:w="774" w:type="pct"/>
            <w:hideMark/>
          </w:tcPr>
          <w:p w14:paraId="43EFF545"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67A14336"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5885 ha</w:t>
            </w:r>
          </w:p>
        </w:tc>
        <w:tc>
          <w:tcPr>
            <w:tcW w:w="522" w:type="pct"/>
            <w:hideMark/>
          </w:tcPr>
          <w:p w14:paraId="309C6515"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16/03/2020</w:t>
            </w:r>
          </w:p>
        </w:tc>
        <w:tc>
          <w:tcPr>
            <w:tcW w:w="623" w:type="pct"/>
            <w:hideMark/>
          </w:tcPr>
          <w:p w14:paraId="7ADE90C5"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15/06/2023</w:t>
            </w:r>
          </w:p>
        </w:tc>
      </w:tr>
      <w:tr w:rsidR="000934EA" w:rsidRPr="00894701" w14:paraId="6719A928"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0224BB6C"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164</w:t>
            </w:r>
          </w:p>
        </w:tc>
        <w:tc>
          <w:tcPr>
            <w:tcW w:w="1948" w:type="pct"/>
            <w:vAlign w:val="center"/>
            <w:hideMark/>
          </w:tcPr>
          <w:p w14:paraId="5636C80B" w14:textId="734D1443"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Consoli</w:t>
            </w:r>
            <w:r w:rsidR="00C95E79">
              <w:rPr>
                <w:rFonts w:asciiTheme="minorHAnsi" w:hAnsiTheme="minorHAnsi" w:cs="Calibri"/>
                <w:color w:val="000000" w:themeColor="text1"/>
                <w:kern w:val="0"/>
                <w:sz w:val="16"/>
                <w:szCs w:val="16"/>
                <w:lang w:eastAsia="fr-FR"/>
              </w:rPr>
              <w:t>d</w:t>
            </w:r>
            <w:r w:rsidRPr="00894701">
              <w:rPr>
                <w:rFonts w:asciiTheme="minorHAnsi" w:hAnsiTheme="minorHAnsi" w:cs="Calibri"/>
                <w:color w:val="000000" w:themeColor="text1"/>
                <w:kern w:val="0"/>
                <w:sz w:val="16"/>
                <w:szCs w:val="16"/>
                <w:lang w:eastAsia="fr-FR"/>
              </w:rPr>
              <w:t>ated Gold Resources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0EA5357A"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636/20</w:t>
            </w:r>
          </w:p>
        </w:tc>
        <w:tc>
          <w:tcPr>
            <w:tcW w:w="774" w:type="pct"/>
            <w:hideMark/>
          </w:tcPr>
          <w:p w14:paraId="73014DE0"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1415924C"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36.000 ha</w:t>
            </w:r>
          </w:p>
        </w:tc>
        <w:tc>
          <w:tcPr>
            <w:tcW w:w="522" w:type="pct"/>
            <w:hideMark/>
          </w:tcPr>
          <w:p w14:paraId="1A9A3445"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16/03/2020</w:t>
            </w:r>
          </w:p>
        </w:tc>
        <w:tc>
          <w:tcPr>
            <w:tcW w:w="623" w:type="pct"/>
            <w:hideMark/>
          </w:tcPr>
          <w:p w14:paraId="28D3F98F"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15/06/2023</w:t>
            </w:r>
          </w:p>
        </w:tc>
      </w:tr>
      <w:tr w:rsidR="000934EA" w:rsidRPr="00894701" w14:paraId="25ABC06F"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5E7B44F0"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165</w:t>
            </w:r>
          </w:p>
        </w:tc>
        <w:tc>
          <w:tcPr>
            <w:tcW w:w="1948" w:type="pct"/>
            <w:vAlign w:val="center"/>
            <w:hideMark/>
          </w:tcPr>
          <w:p w14:paraId="3A108A1F" w14:textId="7777777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Gooding Linio G </w:t>
            </w:r>
          </w:p>
        </w:tc>
        <w:tc>
          <w:tcPr>
            <w:tcW w:w="451" w:type="pct"/>
            <w:hideMark/>
          </w:tcPr>
          <w:p w14:paraId="278FA66C"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700/20</w:t>
            </w:r>
          </w:p>
        </w:tc>
        <w:tc>
          <w:tcPr>
            <w:tcW w:w="774" w:type="pct"/>
            <w:hideMark/>
          </w:tcPr>
          <w:p w14:paraId="4CF04AEF"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39779A87"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206 ha</w:t>
            </w:r>
          </w:p>
        </w:tc>
        <w:tc>
          <w:tcPr>
            <w:tcW w:w="522" w:type="pct"/>
            <w:hideMark/>
          </w:tcPr>
          <w:p w14:paraId="3C6FEF81"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16/05/2020</w:t>
            </w:r>
          </w:p>
        </w:tc>
        <w:tc>
          <w:tcPr>
            <w:tcW w:w="623" w:type="pct"/>
            <w:hideMark/>
          </w:tcPr>
          <w:p w14:paraId="2D440620"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25/06/2025</w:t>
            </w:r>
          </w:p>
        </w:tc>
      </w:tr>
      <w:tr w:rsidR="000934EA" w:rsidRPr="00894701" w14:paraId="67FBD85A"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49022EC0"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166</w:t>
            </w:r>
          </w:p>
        </w:tc>
        <w:tc>
          <w:tcPr>
            <w:tcW w:w="1948" w:type="pct"/>
            <w:vAlign w:val="center"/>
            <w:hideMark/>
          </w:tcPr>
          <w:p w14:paraId="73C86013" w14:textId="62ABC26D"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Suriventure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691AC16B"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431/19</w:t>
            </w:r>
          </w:p>
        </w:tc>
        <w:tc>
          <w:tcPr>
            <w:tcW w:w="774" w:type="pct"/>
            <w:hideMark/>
          </w:tcPr>
          <w:p w14:paraId="427B2446"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092B7BAF"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48 ha</w:t>
            </w:r>
          </w:p>
        </w:tc>
        <w:tc>
          <w:tcPr>
            <w:tcW w:w="522" w:type="pct"/>
            <w:hideMark/>
          </w:tcPr>
          <w:p w14:paraId="64348B6A"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16/07/2019</w:t>
            </w:r>
          </w:p>
        </w:tc>
        <w:tc>
          <w:tcPr>
            <w:tcW w:w="623" w:type="pct"/>
            <w:hideMark/>
          </w:tcPr>
          <w:p w14:paraId="4ED54D1B"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09/02/2023</w:t>
            </w:r>
          </w:p>
        </w:tc>
      </w:tr>
      <w:tr w:rsidR="000934EA" w:rsidRPr="00894701" w14:paraId="5A8873CE"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43A7E2D7"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167</w:t>
            </w:r>
          </w:p>
        </w:tc>
        <w:tc>
          <w:tcPr>
            <w:tcW w:w="1948" w:type="pct"/>
            <w:vAlign w:val="center"/>
            <w:hideMark/>
          </w:tcPr>
          <w:p w14:paraId="1AB62C66" w14:textId="352369D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Acinon ecources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59D1F3CF"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675/20</w:t>
            </w:r>
          </w:p>
        </w:tc>
        <w:tc>
          <w:tcPr>
            <w:tcW w:w="774" w:type="pct"/>
            <w:hideMark/>
          </w:tcPr>
          <w:p w14:paraId="66833339"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5251088B"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9318,41 ha</w:t>
            </w:r>
          </w:p>
        </w:tc>
        <w:tc>
          <w:tcPr>
            <w:tcW w:w="522" w:type="pct"/>
            <w:hideMark/>
          </w:tcPr>
          <w:p w14:paraId="09C1997C"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17/03/2020</w:t>
            </w:r>
          </w:p>
        </w:tc>
        <w:tc>
          <w:tcPr>
            <w:tcW w:w="623" w:type="pct"/>
            <w:hideMark/>
          </w:tcPr>
          <w:p w14:paraId="6329ED7B"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07/02/2023</w:t>
            </w:r>
          </w:p>
        </w:tc>
      </w:tr>
      <w:tr w:rsidR="000934EA" w:rsidRPr="00894701" w14:paraId="4D868092"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3FCF83CC"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168</w:t>
            </w:r>
          </w:p>
        </w:tc>
        <w:tc>
          <w:tcPr>
            <w:tcW w:w="1948" w:type="pct"/>
            <w:vAlign w:val="center"/>
            <w:hideMark/>
          </w:tcPr>
          <w:p w14:paraId="16FFFA69" w14:textId="4115087A"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Vasu Timber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753644B0"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383/19</w:t>
            </w:r>
          </w:p>
        </w:tc>
        <w:tc>
          <w:tcPr>
            <w:tcW w:w="774" w:type="pct"/>
            <w:hideMark/>
          </w:tcPr>
          <w:p w14:paraId="3DF61D22"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25C86B4F"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13000 ha</w:t>
            </w:r>
          </w:p>
        </w:tc>
        <w:tc>
          <w:tcPr>
            <w:tcW w:w="522" w:type="pct"/>
            <w:hideMark/>
          </w:tcPr>
          <w:p w14:paraId="14C973E5"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17/05/2019</w:t>
            </w:r>
          </w:p>
        </w:tc>
        <w:tc>
          <w:tcPr>
            <w:tcW w:w="623" w:type="pct"/>
            <w:hideMark/>
          </w:tcPr>
          <w:p w14:paraId="0F6FC287"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07/10/2023</w:t>
            </w:r>
          </w:p>
        </w:tc>
      </w:tr>
      <w:tr w:rsidR="000934EA" w:rsidRPr="00894701" w14:paraId="15819CEB"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3BFF3E7A"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169</w:t>
            </w:r>
          </w:p>
        </w:tc>
        <w:tc>
          <w:tcPr>
            <w:tcW w:w="1948" w:type="pct"/>
            <w:vAlign w:val="center"/>
            <w:hideMark/>
          </w:tcPr>
          <w:p w14:paraId="4A0C9534" w14:textId="0A2F6CBB"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Aim high Co.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5FC4BF49"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686/20</w:t>
            </w:r>
          </w:p>
        </w:tc>
        <w:tc>
          <w:tcPr>
            <w:tcW w:w="774" w:type="pct"/>
            <w:hideMark/>
          </w:tcPr>
          <w:p w14:paraId="19EB33BB"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6F2C4919"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1180 ha</w:t>
            </w:r>
          </w:p>
        </w:tc>
        <w:tc>
          <w:tcPr>
            <w:tcW w:w="522" w:type="pct"/>
            <w:hideMark/>
          </w:tcPr>
          <w:p w14:paraId="10FD3ED1"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17/05/2020</w:t>
            </w:r>
          </w:p>
        </w:tc>
        <w:tc>
          <w:tcPr>
            <w:tcW w:w="623" w:type="pct"/>
            <w:hideMark/>
          </w:tcPr>
          <w:p w14:paraId="5E5F9FC8"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18/06/2023</w:t>
            </w:r>
          </w:p>
        </w:tc>
      </w:tr>
      <w:tr w:rsidR="000934EA" w:rsidRPr="00894701" w14:paraId="17596FB0"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286D8E02"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170</w:t>
            </w:r>
          </w:p>
        </w:tc>
        <w:tc>
          <w:tcPr>
            <w:tcW w:w="1948" w:type="pct"/>
            <w:vAlign w:val="center"/>
            <w:hideMark/>
          </w:tcPr>
          <w:p w14:paraId="0DEDA3C5" w14:textId="1FA13F31"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United </w:t>
            </w:r>
            <w:r w:rsidR="00B01B9B">
              <w:rPr>
                <w:rFonts w:asciiTheme="minorHAnsi" w:hAnsiTheme="minorHAnsi" w:cs="Calibri"/>
                <w:color w:val="000000" w:themeColor="text1"/>
                <w:kern w:val="0"/>
                <w:sz w:val="16"/>
                <w:szCs w:val="16"/>
                <w:lang w:eastAsia="fr-FR"/>
              </w:rPr>
              <w:t>minerals</w:t>
            </w:r>
            <w:r w:rsidR="00B01B9B" w:rsidRPr="00894701">
              <w:rPr>
                <w:rFonts w:asciiTheme="minorHAnsi" w:hAnsiTheme="minorHAnsi" w:cs="Calibri"/>
                <w:color w:val="000000" w:themeColor="text1"/>
                <w:kern w:val="0"/>
                <w:sz w:val="16"/>
                <w:szCs w:val="16"/>
                <w:lang w:eastAsia="fr-FR"/>
              </w:rPr>
              <w:t xml:space="preserve"> </w:t>
            </w:r>
            <w:r w:rsidRPr="00894701">
              <w:rPr>
                <w:rFonts w:asciiTheme="minorHAnsi" w:hAnsiTheme="minorHAnsi" w:cs="Calibri"/>
                <w:color w:val="000000" w:themeColor="text1"/>
                <w:kern w:val="0"/>
                <w:sz w:val="16"/>
                <w:szCs w:val="16"/>
                <w:lang w:eastAsia="fr-FR"/>
              </w:rPr>
              <w:t>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70B06327"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565/20</w:t>
            </w:r>
          </w:p>
        </w:tc>
        <w:tc>
          <w:tcPr>
            <w:tcW w:w="774" w:type="pct"/>
            <w:hideMark/>
          </w:tcPr>
          <w:p w14:paraId="39D8BDEA"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4AFA7F77"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7547 ha</w:t>
            </w:r>
          </w:p>
        </w:tc>
        <w:tc>
          <w:tcPr>
            <w:tcW w:w="522" w:type="pct"/>
            <w:hideMark/>
          </w:tcPr>
          <w:p w14:paraId="06F8E0AF"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17/12/2019</w:t>
            </w:r>
          </w:p>
        </w:tc>
        <w:tc>
          <w:tcPr>
            <w:tcW w:w="623" w:type="pct"/>
            <w:hideMark/>
          </w:tcPr>
          <w:p w14:paraId="14D054FF"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13/07/2023</w:t>
            </w:r>
          </w:p>
        </w:tc>
      </w:tr>
      <w:tr w:rsidR="000934EA" w:rsidRPr="00894701" w14:paraId="63862DEF"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5D1E7D7D"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171</w:t>
            </w:r>
          </w:p>
        </w:tc>
        <w:tc>
          <w:tcPr>
            <w:tcW w:w="1948" w:type="pct"/>
            <w:vAlign w:val="center"/>
            <w:hideMark/>
          </w:tcPr>
          <w:p w14:paraId="75C11A58" w14:textId="7777777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Tooy Gerda Doema </w:t>
            </w:r>
          </w:p>
        </w:tc>
        <w:tc>
          <w:tcPr>
            <w:tcW w:w="451" w:type="pct"/>
            <w:hideMark/>
          </w:tcPr>
          <w:p w14:paraId="0C1C9E6E"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379/19</w:t>
            </w:r>
          </w:p>
        </w:tc>
        <w:tc>
          <w:tcPr>
            <w:tcW w:w="774" w:type="pct"/>
            <w:hideMark/>
          </w:tcPr>
          <w:p w14:paraId="40F68A33"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4D208EC2"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400Ha</w:t>
            </w:r>
          </w:p>
        </w:tc>
        <w:tc>
          <w:tcPr>
            <w:tcW w:w="522" w:type="pct"/>
            <w:hideMark/>
          </w:tcPr>
          <w:p w14:paraId="75118635"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18/04/2019</w:t>
            </w:r>
          </w:p>
        </w:tc>
        <w:tc>
          <w:tcPr>
            <w:tcW w:w="623" w:type="pct"/>
            <w:hideMark/>
          </w:tcPr>
          <w:p w14:paraId="3C56A860"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15/05/2023</w:t>
            </w:r>
          </w:p>
        </w:tc>
      </w:tr>
      <w:tr w:rsidR="000934EA" w:rsidRPr="00894701" w14:paraId="7110D12D"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2D9D1978"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172</w:t>
            </w:r>
          </w:p>
        </w:tc>
        <w:tc>
          <w:tcPr>
            <w:tcW w:w="1948" w:type="pct"/>
            <w:vAlign w:val="center"/>
            <w:hideMark/>
          </w:tcPr>
          <w:p w14:paraId="7EE6DCCB" w14:textId="77777777"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Wielzen Arnold A </w:t>
            </w:r>
          </w:p>
        </w:tc>
        <w:tc>
          <w:tcPr>
            <w:tcW w:w="451" w:type="pct"/>
            <w:hideMark/>
          </w:tcPr>
          <w:p w14:paraId="79B14D88"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620/20</w:t>
            </w:r>
          </w:p>
        </w:tc>
        <w:tc>
          <w:tcPr>
            <w:tcW w:w="774" w:type="pct"/>
            <w:hideMark/>
          </w:tcPr>
          <w:p w14:paraId="21F848ED"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4D1282F0"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50 ha</w:t>
            </w:r>
          </w:p>
        </w:tc>
        <w:tc>
          <w:tcPr>
            <w:tcW w:w="522" w:type="pct"/>
            <w:hideMark/>
          </w:tcPr>
          <w:p w14:paraId="5A361F08"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18/05/2020</w:t>
            </w:r>
          </w:p>
        </w:tc>
        <w:tc>
          <w:tcPr>
            <w:tcW w:w="623" w:type="pct"/>
            <w:hideMark/>
          </w:tcPr>
          <w:p w14:paraId="69515AAF"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25/06/2023</w:t>
            </w:r>
          </w:p>
        </w:tc>
      </w:tr>
      <w:tr w:rsidR="000934EA" w:rsidRPr="00894701" w14:paraId="7DDE8D05"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2D3590E1"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173</w:t>
            </w:r>
          </w:p>
        </w:tc>
        <w:tc>
          <w:tcPr>
            <w:tcW w:w="1948" w:type="pct"/>
            <w:vAlign w:val="center"/>
            <w:hideMark/>
          </w:tcPr>
          <w:p w14:paraId="7B03C002" w14:textId="5E8721CD"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Enard Wood &amp; Minin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59E9F660"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798/20</w:t>
            </w:r>
          </w:p>
        </w:tc>
        <w:tc>
          <w:tcPr>
            <w:tcW w:w="774" w:type="pct"/>
            <w:hideMark/>
          </w:tcPr>
          <w:p w14:paraId="7F9D9F35"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5CF1A864"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8.943 ha</w:t>
            </w:r>
          </w:p>
        </w:tc>
        <w:tc>
          <w:tcPr>
            <w:tcW w:w="522" w:type="pct"/>
            <w:hideMark/>
          </w:tcPr>
          <w:p w14:paraId="3DD5F326"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18/05/2020</w:t>
            </w:r>
          </w:p>
        </w:tc>
        <w:tc>
          <w:tcPr>
            <w:tcW w:w="623" w:type="pct"/>
            <w:hideMark/>
          </w:tcPr>
          <w:p w14:paraId="53DDC515"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13/07/2023</w:t>
            </w:r>
          </w:p>
        </w:tc>
      </w:tr>
      <w:tr w:rsidR="000934EA" w:rsidRPr="00894701" w14:paraId="41F27510"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5DD4E337"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174</w:t>
            </w:r>
          </w:p>
        </w:tc>
        <w:tc>
          <w:tcPr>
            <w:tcW w:w="1948" w:type="pct"/>
            <w:vAlign w:val="center"/>
            <w:hideMark/>
          </w:tcPr>
          <w:p w14:paraId="4B1D8C1F" w14:textId="474C8B36"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Century natural stone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4795649E"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799/20</w:t>
            </w:r>
          </w:p>
        </w:tc>
        <w:tc>
          <w:tcPr>
            <w:tcW w:w="774" w:type="pct"/>
            <w:hideMark/>
          </w:tcPr>
          <w:p w14:paraId="4941D5B1"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7DAFCE66"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3.653 ha</w:t>
            </w:r>
          </w:p>
        </w:tc>
        <w:tc>
          <w:tcPr>
            <w:tcW w:w="522" w:type="pct"/>
            <w:hideMark/>
          </w:tcPr>
          <w:p w14:paraId="5C8E1CDC"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18/05/2020</w:t>
            </w:r>
          </w:p>
        </w:tc>
        <w:tc>
          <w:tcPr>
            <w:tcW w:w="623" w:type="pct"/>
            <w:hideMark/>
          </w:tcPr>
          <w:p w14:paraId="52F5FCDC"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13/07/2023</w:t>
            </w:r>
          </w:p>
        </w:tc>
      </w:tr>
      <w:tr w:rsidR="000934EA" w:rsidRPr="00894701" w14:paraId="353A6F30"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0D81CB4B"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175</w:t>
            </w:r>
          </w:p>
        </w:tc>
        <w:tc>
          <w:tcPr>
            <w:tcW w:w="1948" w:type="pct"/>
            <w:vAlign w:val="center"/>
            <w:hideMark/>
          </w:tcPr>
          <w:p w14:paraId="4760C5FA" w14:textId="6FAD4275"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JaJa Mining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6697D778"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701/20</w:t>
            </w:r>
          </w:p>
        </w:tc>
        <w:tc>
          <w:tcPr>
            <w:tcW w:w="774" w:type="pct"/>
            <w:hideMark/>
          </w:tcPr>
          <w:p w14:paraId="6A31F3A7"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195D3E70"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1556 ha</w:t>
            </w:r>
          </w:p>
        </w:tc>
        <w:tc>
          <w:tcPr>
            <w:tcW w:w="522" w:type="pct"/>
            <w:hideMark/>
          </w:tcPr>
          <w:p w14:paraId="29311054"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18/05/2020</w:t>
            </w:r>
          </w:p>
        </w:tc>
        <w:tc>
          <w:tcPr>
            <w:tcW w:w="623" w:type="pct"/>
            <w:hideMark/>
          </w:tcPr>
          <w:p w14:paraId="5A4C1E7C"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25/06/2023</w:t>
            </w:r>
          </w:p>
        </w:tc>
      </w:tr>
      <w:tr w:rsidR="000934EA" w:rsidRPr="00894701" w14:paraId="74EA2C1D"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1DC84CBF"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176</w:t>
            </w:r>
          </w:p>
        </w:tc>
        <w:tc>
          <w:tcPr>
            <w:tcW w:w="1948" w:type="pct"/>
            <w:vAlign w:val="center"/>
            <w:hideMark/>
          </w:tcPr>
          <w:p w14:paraId="2834F9BB" w14:textId="30CA41FF"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Mifacla Resources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135D3335"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702/20</w:t>
            </w:r>
          </w:p>
        </w:tc>
        <w:tc>
          <w:tcPr>
            <w:tcW w:w="774" w:type="pct"/>
            <w:hideMark/>
          </w:tcPr>
          <w:p w14:paraId="79823B89"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1432FB52"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185 ha</w:t>
            </w:r>
          </w:p>
        </w:tc>
        <w:tc>
          <w:tcPr>
            <w:tcW w:w="522" w:type="pct"/>
            <w:hideMark/>
          </w:tcPr>
          <w:p w14:paraId="02E038B5"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18/05/2020</w:t>
            </w:r>
          </w:p>
        </w:tc>
        <w:tc>
          <w:tcPr>
            <w:tcW w:w="623" w:type="pct"/>
            <w:hideMark/>
          </w:tcPr>
          <w:p w14:paraId="6EEC28E8"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24/06/2023</w:t>
            </w:r>
          </w:p>
        </w:tc>
      </w:tr>
      <w:tr w:rsidR="000934EA" w:rsidRPr="00894701" w14:paraId="7FB688F1"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56AB5197"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177</w:t>
            </w:r>
          </w:p>
        </w:tc>
        <w:tc>
          <w:tcPr>
            <w:tcW w:w="1948" w:type="pct"/>
            <w:vAlign w:val="center"/>
            <w:hideMark/>
          </w:tcPr>
          <w:p w14:paraId="0565EDD8" w14:textId="29F571A3"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Mineral Proof Mining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32621EBB"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721/20</w:t>
            </w:r>
          </w:p>
        </w:tc>
        <w:tc>
          <w:tcPr>
            <w:tcW w:w="774" w:type="pct"/>
            <w:hideMark/>
          </w:tcPr>
          <w:p w14:paraId="7941CCAA"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6C5582B4"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28.351 ha</w:t>
            </w:r>
          </w:p>
        </w:tc>
        <w:tc>
          <w:tcPr>
            <w:tcW w:w="522" w:type="pct"/>
            <w:hideMark/>
          </w:tcPr>
          <w:p w14:paraId="2784116D"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18/06/2020</w:t>
            </w:r>
          </w:p>
        </w:tc>
        <w:tc>
          <w:tcPr>
            <w:tcW w:w="623" w:type="pct"/>
            <w:hideMark/>
          </w:tcPr>
          <w:p w14:paraId="109D5AF1"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18/06/2023</w:t>
            </w:r>
          </w:p>
        </w:tc>
      </w:tr>
      <w:tr w:rsidR="000934EA" w:rsidRPr="00894701" w14:paraId="248FBE03" w14:textId="77777777" w:rsidTr="00BE1B23">
        <w:trPr>
          <w:trHeight w:val="247"/>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18B08B00"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178</w:t>
            </w:r>
          </w:p>
        </w:tc>
        <w:tc>
          <w:tcPr>
            <w:tcW w:w="1948" w:type="pct"/>
            <w:vAlign w:val="center"/>
            <w:hideMark/>
          </w:tcPr>
          <w:p w14:paraId="47D145CF" w14:textId="20D38126"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Grassalco </w:t>
            </w:r>
          </w:p>
        </w:tc>
        <w:tc>
          <w:tcPr>
            <w:tcW w:w="451" w:type="pct"/>
            <w:hideMark/>
          </w:tcPr>
          <w:p w14:paraId="426FE2A0"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604/20</w:t>
            </w:r>
          </w:p>
        </w:tc>
        <w:tc>
          <w:tcPr>
            <w:tcW w:w="774" w:type="pct"/>
            <w:hideMark/>
          </w:tcPr>
          <w:p w14:paraId="5955F874"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52295C4C"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33.910,64 ha</w:t>
            </w:r>
          </w:p>
        </w:tc>
        <w:tc>
          <w:tcPr>
            <w:tcW w:w="522" w:type="pct"/>
            <w:hideMark/>
          </w:tcPr>
          <w:p w14:paraId="17C6A781"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18/12/2019</w:t>
            </w:r>
          </w:p>
        </w:tc>
        <w:tc>
          <w:tcPr>
            <w:tcW w:w="623" w:type="pct"/>
            <w:hideMark/>
          </w:tcPr>
          <w:p w14:paraId="3B14B5D0"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21/01/2021</w:t>
            </w:r>
          </w:p>
        </w:tc>
      </w:tr>
      <w:tr w:rsidR="000934EA" w:rsidRPr="00894701" w14:paraId="0607E9D9" w14:textId="77777777" w:rsidTr="00BE1B23">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39793D93"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179</w:t>
            </w:r>
          </w:p>
        </w:tc>
        <w:tc>
          <w:tcPr>
            <w:tcW w:w="1948" w:type="pct"/>
            <w:vAlign w:val="center"/>
            <w:hideMark/>
          </w:tcPr>
          <w:p w14:paraId="7B3C0AFD" w14:textId="66A3EA85"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Grassalco </w:t>
            </w:r>
          </w:p>
        </w:tc>
        <w:tc>
          <w:tcPr>
            <w:tcW w:w="451" w:type="pct"/>
            <w:hideMark/>
          </w:tcPr>
          <w:p w14:paraId="497E7CE7"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605/20</w:t>
            </w:r>
          </w:p>
        </w:tc>
        <w:tc>
          <w:tcPr>
            <w:tcW w:w="774" w:type="pct"/>
            <w:hideMark/>
          </w:tcPr>
          <w:p w14:paraId="148A8077"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206F00D7"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39.265,14 ha</w:t>
            </w:r>
          </w:p>
        </w:tc>
        <w:tc>
          <w:tcPr>
            <w:tcW w:w="522" w:type="pct"/>
            <w:hideMark/>
          </w:tcPr>
          <w:p w14:paraId="5D800701"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18/12/2019</w:t>
            </w:r>
          </w:p>
        </w:tc>
        <w:tc>
          <w:tcPr>
            <w:tcW w:w="623" w:type="pct"/>
            <w:hideMark/>
          </w:tcPr>
          <w:p w14:paraId="13999578"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21/01/2021</w:t>
            </w:r>
          </w:p>
        </w:tc>
      </w:tr>
      <w:tr w:rsidR="000934EA" w:rsidRPr="00894701" w14:paraId="5A00DD2E" w14:textId="77777777" w:rsidTr="00BE1B23">
        <w:trPr>
          <w:trHeight w:val="283"/>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78A2E7B8"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180</w:t>
            </w:r>
          </w:p>
        </w:tc>
        <w:tc>
          <w:tcPr>
            <w:tcW w:w="1948" w:type="pct"/>
            <w:vAlign w:val="center"/>
            <w:hideMark/>
          </w:tcPr>
          <w:p w14:paraId="1CA07F66" w14:textId="538BA42D"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N.V</w:t>
            </w:r>
            <w:r w:rsidR="0090575B" w:rsidRPr="00894701">
              <w:rPr>
                <w:rFonts w:asciiTheme="minorHAnsi" w:hAnsiTheme="minorHAnsi" w:cs="Calibri"/>
                <w:color w:val="000000" w:themeColor="text1"/>
                <w:kern w:val="0"/>
                <w:sz w:val="16"/>
                <w:szCs w:val="16"/>
                <w:lang w:eastAsia="fr-FR"/>
              </w:rPr>
              <w:t xml:space="preserve">. </w:t>
            </w:r>
            <w:r w:rsidRPr="00894701">
              <w:rPr>
                <w:rFonts w:asciiTheme="minorHAnsi" w:hAnsiTheme="minorHAnsi" w:cs="Calibri"/>
                <w:color w:val="000000" w:themeColor="text1"/>
                <w:kern w:val="0"/>
                <w:sz w:val="16"/>
                <w:szCs w:val="16"/>
                <w:lang w:eastAsia="fr-FR"/>
              </w:rPr>
              <w:t xml:space="preserve">Grassalco </w:t>
            </w:r>
          </w:p>
        </w:tc>
        <w:tc>
          <w:tcPr>
            <w:tcW w:w="451" w:type="pct"/>
            <w:hideMark/>
          </w:tcPr>
          <w:p w14:paraId="544421C7"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606/20</w:t>
            </w:r>
          </w:p>
        </w:tc>
        <w:tc>
          <w:tcPr>
            <w:tcW w:w="774" w:type="pct"/>
            <w:hideMark/>
          </w:tcPr>
          <w:p w14:paraId="54D0B233"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65511F5F"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39.101,08 ha</w:t>
            </w:r>
          </w:p>
        </w:tc>
        <w:tc>
          <w:tcPr>
            <w:tcW w:w="522" w:type="pct"/>
            <w:hideMark/>
          </w:tcPr>
          <w:p w14:paraId="742D7F56"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18/12/2019</w:t>
            </w:r>
          </w:p>
        </w:tc>
        <w:tc>
          <w:tcPr>
            <w:tcW w:w="623" w:type="pct"/>
            <w:hideMark/>
          </w:tcPr>
          <w:p w14:paraId="107B01CD"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21/01/2021</w:t>
            </w:r>
          </w:p>
        </w:tc>
      </w:tr>
      <w:tr w:rsidR="000934EA" w:rsidRPr="00894701" w14:paraId="75F1CDA4" w14:textId="77777777" w:rsidTr="00BE1B23">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6E320107"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181</w:t>
            </w:r>
          </w:p>
        </w:tc>
        <w:tc>
          <w:tcPr>
            <w:tcW w:w="1948" w:type="pct"/>
            <w:vAlign w:val="center"/>
            <w:hideMark/>
          </w:tcPr>
          <w:p w14:paraId="0F5E6926" w14:textId="196912E2"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Grassalco </w:t>
            </w:r>
          </w:p>
        </w:tc>
        <w:tc>
          <w:tcPr>
            <w:tcW w:w="451" w:type="pct"/>
            <w:hideMark/>
          </w:tcPr>
          <w:p w14:paraId="33F4972B"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607/20</w:t>
            </w:r>
          </w:p>
        </w:tc>
        <w:tc>
          <w:tcPr>
            <w:tcW w:w="774" w:type="pct"/>
            <w:hideMark/>
          </w:tcPr>
          <w:p w14:paraId="49582795"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55F36C99"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38.058,87 ha</w:t>
            </w:r>
          </w:p>
        </w:tc>
        <w:tc>
          <w:tcPr>
            <w:tcW w:w="522" w:type="pct"/>
            <w:hideMark/>
          </w:tcPr>
          <w:p w14:paraId="769A11E1"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18/12/2019</w:t>
            </w:r>
          </w:p>
        </w:tc>
        <w:tc>
          <w:tcPr>
            <w:tcW w:w="623" w:type="pct"/>
            <w:hideMark/>
          </w:tcPr>
          <w:p w14:paraId="0FACDEF3"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21/01/2021</w:t>
            </w:r>
          </w:p>
        </w:tc>
      </w:tr>
      <w:tr w:rsidR="000934EA" w:rsidRPr="00894701" w14:paraId="0B6AB66E" w14:textId="77777777" w:rsidTr="00BE1B23">
        <w:trPr>
          <w:trHeight w:val="291"/>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586B03B7"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182</w:t>
            </w:r>
          </w:p>
        </w:tc>
        <w:tc>
          <w:tcPr>
            <w:tcW w:w="1948" w:type="pct"/>
            <w:vAlign w:val="center"/>
            <w:hideMark/>
          </w:tcPr>
          <w:p w14:paraId="1C7A5621" w14:textId="5E1951BA"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Grassalco </w:t>
            </w:r>
          </w:p>
        </w:tc>
        <w:tc>
          <w:tcPr>
            <w:tcW w:w="451" w:type="pct"/>
            <w:hideMark/>
          </w:tcPr>
          <w:p w14:paraId="1C46F0E1"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610/20</w:t>
            </w:r>
          </w:p>
        </w:tc>
        <w:tc>
          <w:tcPr>
            <w:tcW w:w="774" w:type="pct"/>
            <w:hideMark/>
          </w:tcPr>
          <w:p w14:paraId="6893A6C0"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03710ABD"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34.006,29 ha</w:t>
            </w:r>
          </w:p>
        </w:tc>
        <w:tc>
          <w:tcPr>
            <w:tcW w:w="522" w:type="pct"/>
            <w:hideMark/>
          </w:tcPr>
          <w:p w14:paraId="22B5B939"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18/12/2019</w:t>
            </w:r>
          </w:p>
        </w:tc>
        <w:tc>
          <w:tcPr>
            <w:tcW w:w="623" w:type="pct"/>
            <w:hideMark/>
          </w:tcPr>
          <w:p w14:paraId="308F7AE7"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21/01/2021</w:t>
            </w:r>
          </w:p>
        </w:tc>
      </w:tr>
      <w:tr w:rsidR="000934EA" w:rsidRPr="00894701" w14:paraId="4B41BFBE" w14:textId="77777777" w:rsidTr="00BE1B23">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17E54A84"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183</w:t>
            </w:r>
          </w:p>
        </w:tc>
        <w:tc>
          <w:tcPr>
            <w:tcW w:w="1948" w:type="pct"/>
            <w:vAlign w:val="center"/>
            <w:hideMark/>
          </w:tcPr>
          <w:p w14:paraId="52687867" w14:textId="0EEA7745"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Grassalco </w:t>
            </w:r>
          </w:p>
        </w:tc>
        <w:tc>
          <w:tcPr>
            <w:tcW w:w="451" w:type="pct"/>
            <w:hideMark/>
          </w:tcPr>
          <w:p w14:paraId="0CDFE814"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611/20</w:t>
            </w:r>
          </w:p>
        </w:tc>
        <w:tc>
          <w:tcPr>
            <w:tcW w:w="774" w:type="pct"/>
            <w:hideMark/>
          </w:tcPr>
          <w:p w14:paraId="04D706E2"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482FC7BF"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34.017,52 ha</w:t>
            </w:r>
          </w:p>
        </w:tc>
        <w:tc>
          <w:tcPr>
            <w:tcW w:w="522" w:type="pct"/>
            <w:hideMark/>
          </w:tcPr>
          <w:p w14:paraId="6C0EB457"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18/12/2019</w:t>
            </w:r>
          </w:p>
        </w:tc>
        <w:tc>
          <w:tcPr>
            <w:tcW w:w="623" w:type="pct"/>
            <w:hideMark/>
          </w:tcPr>
          <w:p w14:paraId="0B29522A"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21/01/2021</w:t>
            </w:r>
          </w:p>
        </w:tc>
      </w:tr>
      <w:tr w:rsidR="000934EA" w:rsidRPr="00894701" w14:paraId="690B6337" w14:textId="77777777" w:rsidTr="00BE1B23">
        <w:trPr>
          <w:trHeight w:val="271"/>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3465B57D"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184</w:t>
            </w:r>
          </w:p>
        </w:tc>
        <w:tc>
          <w:tcPr>
            <w:tcW w:w="1948" w:type="pct"/>
            <w:vAlign w:val="center"/>
            <w:hideMark/>
          </w:tcPr>
          <w:p w14:paraId="3CF0519B" w14:textId="48BC6D2D"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Grassalco </w:t>
            </w:r>
          </w:p>
        </w:tc>
        <w:tc>
          <w:tcPr>
            <w:tcW w:w="451" w:type="pct"/>
            <w:hideMark/>
          </w:tcPr>
          <w:p w14:paraId="6A776EF0"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612/20</w:t>
            </w:r>
          </w:p>
        </w:tc>
        <w:tc>
          <w:tcPr>
            <w:tcW w:w="774" w:type="pct"/>
            <w:hideMark/>
          </w:tcPr>
          <w:p w14:paraId="02E7DFE8"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14857E48"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37.6177,57 ha</w:t>
            </w:r>
          </w:p>
        </w:tc>
        <w:tc>
          <w:tcPr>
            <w:tcW w:w="522" w:type="pct"/>
            <w:hideMark/>
          </w:tcPr>
          <w:p w14:paraId="604A5012"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18/12/2019</w:t>
            </w:r>
          </w:p>
        </w:tc>
        <w:tc>
          <w:tcPr>
            <w:tcW w:w="623" w:type="pct"/>
            <w:hideMark/>
          </w:tcPr>
          <w:p w14:paraId="1DEEB110"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21/01/2021</w:t>
            </w:r>
          </w:p>
        </w:tc>
      </w:tr>
      <w:tr w:rsidR="000934EA" w:rsidRPr="00894701" w14:paraId="3B5DBB41" w14:textId="77777777" w:rsidTr="00BE1B23">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74EA1BDB"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185</w:t>
            </w:r>
          </w:p>
        </w:tc>
        <w:tc>
          <w:tcPr>
            <w:tcW w:w="1948" w:type="pct"/>
            <w:vAlign w:val="center"/>
            <w:hideMark/>
          </w:tcPr>
          <w:p w14:paraId="543B8975" w14:textId="4D0F3FA0"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Grassalco </w:t>
            </w:r>
          </w:p>
        </w:tc>
        <w:tc>
          <w:tcPr>
            <w:tcW w:w="451" w:type="pct"/>
            <w:hideMark/>
          </w:tcPr>
          <w:p w14:paraId="0B1532BC"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613/20</w:t>
            </w:r>
          </w:p>
        </w:tc>
        <w:tc>
          <w:tcPr>
            <w:tcW w:w="774" w:type="pct"/>
            <w:hideMark/>
          </w:tcPr>
          <w:p w14:paraId="474818FC"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33F34859"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35.793,10 ha</w:t>
            </w:r>
          </w:p>
        </w:tc>
        <w:tc>
          <w:tcPr>
            <w:tcW w:w="522" w:type="pct"/>
            <w:hideMark/>
          </w:tcPr>
          <w:p w14:paraId="172B5F24"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18/12/2019</w:t>
            </w:r>
          </w:p>
        </w:tc>
        <w:tc>
          <w:tcPr>
            <w:tcW w:w="623" w:type="pct"/>
            <w:hideMark/>
          </w:tcPr>
          <w:p w14:paraId="75EDB5A0"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21/01/2021</w:t>
            </w:r>
          </w:p>
        </w:tc>
      </w:tr>
      <w:tr w:rsidR="000934EA" w:rsidRPr="00894701" w14:paraId="2402E861"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15E57778"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186</w:t>
            </w:r>
          </w:p>
        </w:tc>
        <w:tc>
          <w:tcPr>
            <w:tcW w:w="1948" w:type="pct"/>
            <w:vAlign w:val="center"/>
            <w:hideMark/>
          </w:tcPr>
          <w:p w14:paraId="1F24FBAE" w14:textId="77777777"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Main Sandely </w:t>
            </w:r>
          </w:p>
        </w:tc>
        <w:tc>
          <w:tcPr>
            <w:tcW w:w="451" w:type="pct"/>
            <w:hideMark/>
          </w:tcPr>
          <w:p w14:paraId="68D807D1"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291/19</w:t>
            </w:r>
          </w:p>
        </w:tc>
        <w:tc>
          <w:tcPr>
            <w:tcW w:w="774" w:type="pct"/>
            <w:hideMark/>
          </w:tcPr>
          <w:p w14:paraId="42B0D350"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14A77D9B"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100 ha</w:t>
            </w:r>
          </w:p>
        </w:tc>
        <w:tc>
          <w:tcPr>
            <w:tcW w:w="522" w:type="pct"/>
            <w:hideMark/>
          </w:tcPr>
          <w:p w14:paraId="788A591B"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19/03/2019</w:t>
            </w:r>
          </w:p>
        </w:tc>
        <w:tc>
          <w:tcPr>
            <w:tcW w:w="623" w:type="pct"/>
            <w:hideMark/>
          </w:tcPr>
          <w:p w14:paraId="6E894AAE"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13/07/2025</w:t>
            </w:r>
          </w:p>
        </w:tc>
      </w:tr>
      <w:tr w:rsidR="000934EA" w:rsidRPr="00894701" w14:paraId="76BE0830"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1E998BC2"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187</w:t>
            </w:r>
          </w:p>
        </w:tc>
        <w:tc>
          <w:tcPr>
            <w:tcW w:w="1948" w:type="pct"/>
            <w:vAlign w:val="center"/>
            <w:hideMark/>
          </w:tcPr>
          <w:p w14:paraId="03936600" w14:textId="75C83B66"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Augusta Mining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48BCBD48"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412/16</w:t>
            </w:r>
          </w:p>
        </w:tc>
        <w:tc>
          <w:tcPr>
            <w:tcW w:w="774" w:type="pct"/>
            <w:hideMark/>
          </w:tcPr>
          <w:p w14:paraId="0BB63E3D"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Exploitation</w:t>
            </w:r>
          </w:p>
        </w:tc>
        <w:tc>
          <w:tcPr>
            <w:tcW w:w="481" w:type="pct"/>
            <w:hideMark/>
          </w:tcPr>
          <w:p w14:paraId="697E5DC9"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3.285 ha</w:t>
            </w:r>
          </w:p>
        </w:tc>
        <w:tc>
          <w:tcPr>
            <w:tcW w:w="522" w:type="pct"/>
            <w:hideMark/>
          </w:tcPr>
          <w:p w14:paraId="2FE0C7A1"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19/06/2019</w:t>
            </w:r>
          </w:p>
        </w:tc>
        <w:tc>
          <w:tcPr>
            <w:tcW w:w="623" w:type="pct"/>
            <w:hideMark/>
          </w:tcPr>
          <w:p w14:paraId="5D573CA2"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29/06/2025</w:t>
            </w:r>
          </w:p>
        </w:tc>
      </w:tr>
      <w:tr w:rsidR="000934EA" w:rsidRPr="00894701" w14:paraId="4B0441F9"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734D0482"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188</w:t>
            </w:r>
          </w:p>
        </w:tc>
        <w:tc>
          <w:tcPr>
            <w:tcW w:w="1948" w:type="pct"/>
            <w:vAlign w:val="center"/>
            <w:hideMark/>
          </w:tcPr>
          <w:p w14:paraId="6CB2DECB" w14:textId="3F9E9664"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Augusta Mining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2519FD6C"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935/16</w:t>
            </w:r>
          </w:p>
        </w:tc>
        <w:tc>
          <w:tcPr>
            <w:tcW w:w="774" w:type="pct"/>
            <w:hideMark/>
          </w:tcPr>
          <w:p w14:paraId="711BCC75"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527F957F"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1274 ha</w:t>
            </w:r>
          </w:p>
        </w:tc>
        <w:tc>
          <w:tcPr>
            <w:tcW w:w="522" w:type="pct"/>
            <w:hideMark/>
          </w:tcPr>
          <w:p w14:paraId="0396FFAF"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19/06/2019</w:t>
            </w:r>
          </w:p>
        </w:tc>
        <w:tc>
          <w:tcPr>
            <w:tcW w:w="623" w:type="pct"/>
            <w:hideMark/>
          </w:tcPr>
          <w:p w14:paraId="52DB882F"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07/10/2025</w:t>
            </w:r>
          </w:p>
        </w:tc>
      </w:tr>
      <w:tr w:rsidR="000934EA" w:rsidRPr="00894701" w14:paraId="3A0A9F62"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7D63D18F"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189</w:t>
            </w:r>
          </w:p>
        </w:tc>
        <w:tc>
          <w:tcPr>
            <w:tcW w:w="1948" w:type="pct"/>
            <w:vAlign w:val="center"/>
            <w:hideMark/>
          </w:tcPr>
          <w:p w14:paraId="796B4E8F" w14:textId="0D4E3AD8"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val="nl-NL" w:eastAsia="fr-FR"/>
              </w:rPr>
            </w:pPr>
            <w:r w:rsidRPr="00894701">
              <w:rPr>
                <w:rFonts w:asciiTheme="minorHAnsi" w:hAnsiTheme="minorHAnsi" w:cs="Calibri"/>
                <w:color w:val="000000" w:themeColor="text1"/>
                <w:kern w:val="0"/>
                <w:sz w:val="16"/>
                <w:szCs w:val="16"/>
                <w:lang w:val="nl-NL" w:eastAsia="fr-FR"/>
              </w:rPr>
              <w:t>Handel mij Dharmsingh N.V</w:t>
            </w:r>
            <w:r w:rsidR="0090575B" w:rsidRPr="00894701">
              <w:rPr>
                <w:rFonts w:asciiTheme="minorHAnsi" w:hAnsiTheme="minorHAnsi" w:cs="Calibri"/>
                <w:color w:val="000000" w:themeColor="text1"/>
                <w:kern w:val="0"/>
                <w:sz w:val="16"/>
                <w:szCs w:val="16"/>
                <w:lang w:val="nl-NL" w:eastAsia="fr-FR"/>
              </w:rPr>
              <w:t>.</w:t>
            </w:r>
            <w:r w:rsidRPr="00894701">
              <w:rPr>
                <w:rFonts w:asciiTheme="minorHAnsi" w:hAnsiTheme="minorHAnsi" w:cs="Calibri"/>
                <w:color w:val="000000" w:themeColor="text1"/>
                <w:kern w:val="0"/>
                <w:sz w:val="16"/>
                <w:szCs w:val="16"/>
                <w:lang w:val="nl-NL" w:eastAsia="fr-FR"/>
              </w:rPr>
              <w:t xml:space="preserve"> </w:t>
            </w:r>
          </w:p>
        </w:tc>
        <w:tc>
          <w:tcPr>
            <w:tcW w:w="451" w:type="pct"/>
            <w:hideMark/>
          </w:tcPr>
          <w:p w14:paraId="24B1CEA5"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439/19</w:t>
            </w:r>
          </w:p>
        </w:tc>
        <w:tc>
          <w:tcPr>
            <w:tcW w:w="774" w:type="pct"/>
            <w:hideMark/>
          </w:tcPr>
          <w:p w14:paraId="54514BCF"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4DD6230F"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17 ha</w:t>
            </w:r>
          </w:p>
        </w:tc>
        <w:tc>
          <w:tcPr>
            <w:tcW w:w="522" w:type="pct"/>
            <w:hideMark/>
          </w:tcPr>
          <w:p w14:paraId="2B0BCEA4"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19/08/2019</w:t>
            </w:r>
          </w:p>
        </w:tc>
        <w:tc>
          <w:tcPr>
            <w:tcW w:w="623" w:type="pct"/>
            <w:hideMark/>
          </w:tcPr>
          <w:p w14:paraId="7F033B65"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19/12/2024</w:t>
            </w:r>
          </w:p>
        </w:tc>
      </w:tr>
      <w:tr w:rsidR="000934EA" w:rsidRPr="00894701" w14:paraId="39C7FDFA"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449138A9"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190</w:t>
            </w:r>
          </w:p>
        </w:tc>
        <w:tc>
          <w:tcPr>
            <w:tcW w:w="1948" w:type="pct"/>
            <w:vAlign w:val="center"/>
            <w:hideMark/>
          </w:tcPr>
          <w:p w14:paraId="12377EDE" w14:textId="77777777"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Ramdin, Jerry </w:t>
            </w:r>
          </w:p>
        </w:tc>
        <w:tc>
          <w:tcPr>
            <w:tcW w:w="451" w:type="pct"/>
            <w:hideMark/>
          </w:tcPr>
          <w:p w14:paraId="760ACB75"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1006/16</w:t>
            </w:r>
          </w:p>
        </w:tc>
        <w:tc>
          <w:tcPr>
            <w:tcW w:w="774" w:type="pct"/>
            <w:hideMark/>
          </w:tcPr>
          <w:p w14:paraId="172C4C48"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Small Scale Mining</w:t>
            </w:r>
          </w:p>
        </w:tc>
        <w:tc>
          <w:tcPr>
            <w:tcW w:w="481" w:type="pct"/>
            <w:hideMark/>
          </w:tcPr>
          <w:p w14:paraId="1977148A"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200 ha</w:t>
            </w:r>
          </w:p>
        </w:tc>
        <w:tc>
          <w:tcPr>
            <w:tcW w:w="522" w:type="pct"/>
            <w:hideMark/>
          </w:tcPr>
          <w:p w14:paraId="085BB652"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20/07/2016</w:t>
            </w:r>
          </w:p>
        </w:tc>
        <w:tc>
          <w:tcPr>
            <w:tcW w:w="623" w:type="pct"/>
            <w:hideMark/>
          </w:tcPr>
          <w:p w14:paraId="416E2681"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05/06/2022</w:t>
            </w:r>
          </w:p>
        </w:tc>
      </w:tr>
      <w:tr w:rsidR="000934EA" w:rsidRPr="00894701" w14:paraId="46CD93EF"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486734DD"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191</w:t>
            </w:r>
          </w:p>
        </w:tc>
        <w:tc>
          <w:tcPr>
            <w:tcW w:w="1948" w:type="pct"/>
            <w:vAlign w:val="center"/>
            <w:hideMark/>
          </w:tcPr>
          <w:p w14:paraId="3A63E258" w14:textId="7777777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Anjisa Wood &amp; Mining </w:t>
            </w:r>
          </w:p>
        </w:tc>
        <w:tc>
          <w:tcPr>
            <w:tcW w:w="451" w:type="pct"/>
            <w:hideMark/>
          </w:tcPr>
          <w:p w14:paraId="24EF1E91"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725/20</w:t>
            </w:r>
          </w:p>
        </w:tc>
        <w:tc>
          <w:tcPr>
            <w:tcW w:w="774" w:type="pct"/>
            <w:hideMark/>
          </w:tcPr>
          <w:p w14:paraId="047456EE"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7E37890D"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14019 ha</w:t>
            </w:r>
          </w:p>
        </w:tc>
        <w:tc>
          <w:tcPr>
            <w:tcW w:w="522" w:type="pct"/>
            <w:hideMark/>
          </w:tcPr>
          <w:p w14:paraId="3391B873"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21/06/2020</w:t>
            </w:r>
          </w:p>
        </w:tc>
        <w:tc>
          <w:tcPr>
            <w:tcW w:w="623" w:type="pct"/>
            <w:hideMark/>
          </w:tcPr>
          <w:p w14:paraId="785DF003"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07/06/2023</w:t>
            </w:r>
          </w:p>
        </w:tc>
      </w:tr>
      <w:tr w:rsidR="000934EA" w:rsidRPr="00894701" w14:paraId="533A7DC6"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57B10094"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192</w:t>
            </w:r>
          </w:p>
        </w:tc>
        <w:tc>
          <w:tcPr>
            <w:tcW w:w="1948" w:type="pct"/>
            <w:vAlign w:val="center"/>
            <w:hideMark/>
          </w:tcPr>
          <w:p w14:paraId="3C7015EB" w14:textId="62D2566D"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Trans Altlantic group of company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33059E48"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603/20</w:t>
            </w:r>
          </w:p>
        </w:tc>
        <w:tc>
          <w:tcPr>
            <w:tcW w:w="774" w:type="pct"/>
            <w:hideMark/>
          </w:tcPr>
          <w:p w14:paraId="7995F5B0"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08FF505C"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15000 ha</w:t>
            </w:r>
          </w:p>
        </w:tc>
        <w:tc>
          <w:tcPr>
            <w:tcW w:w="522" w:type="pct"/>
            <w:hideMark/>
          </w:tcPr>
          <w:p w14:paraId="45BA90CB"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22/10/2019</w:t>
            </w:r>
          </w:p>
        </w:tc>
        <w:tc>
          <w:tcPr>
            <w:tcW w:w="623" w:type="pct"/>
            <w:hideMark/>
          </w:tcPr>
          <w:p w14:paraId="21519E81"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07/027/2023</w:t>
            </w:r>
          </w:p>
        </w:tc>
      </w:tr>
      <w:tr w:rsidR="000934EA" w:rsidRPr="00894701" w14:paraId="12E37BA5"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05F7F6A4"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193</w:t>
            </w:r>
          </w:p>
        </w:tc>
        <w:tc>
          <w:tcPr>
            <w:tcW w:w="1948" w:type="pct"/>
            <w:vAlign w:val="center"/>
            <w:hideMark/>
          </w:tcPr>
          <w:p w14:paraId="14BD9FA9" w14:textId="01C01CDA"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val="nl-NL" w:eastAsia="fr-FR"/>
              </w:rPr>
            </w:pPr>
            <w:r w:rsidRPr="00894701">
              <w:rPr>
                <w:rFonts w:asciiTheme="minorHAnsi" w:hAnsiTheme="minorHAnsi" w:cs="Calibri"/>
                <w:color w:val="000000" w:themeColor="text1"/>
                <w:kern w:val="0"/>
                <w:sz w:val="16"/>
                <w:szCs w:val="16"/>
                <w:lang w:val="nl-NL" w:eastAsia="fr-FR"/>
              </w:rPr>
              <w:t>Bouw en Civile technische werken D&amp;D NV</w:t>
            </w:r>
            <w:r w:rsidR="00206BA2" w:rsidRPr="00894701">
              <w:rPr>
                <w:rFonts w:asciiTheme="minorHAnsi" w:hAnsiTheme="minorHAnsi" w:cs="Calibri"/>
                <w:color w:val="000000" w:themeColor="text1"/>
                <w:kern w:val="0"/>
                <w:sz w:val="16"/>
                <w:szCs w:val="16"/>
                <w:lang w:val="nl-NL" w:eastAsia="fr-FR"/>
              </w:rPr>
              <w:t xml:space="preserve"> </w:t>
            </w:r>
          </w:p>
        </w:tc>
        <w:tc>
          <w:tcPr>
            <w:tcW w:w="451" w:type="pct"/>
            <w:hideMark/>
          </w:tcPr>
          <w:p w14:paraId="49A2E512"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588/20</w:t>
            </w:r>
          </w:p>
        </w:tc>
        <w:tc>
          <w:tcPr>
            <w:tcW w:w="774" w:type="pct"/>
            <w:hideMark/>
          </w:tcPr>
          <w:p w14:paraId="093AB2BE"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2BE7D647"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55 ha</w:t>
            </w:r>
          </w:p>
        </w:tc>
        <w:tc>
          <w:tcPr>
            <w:tcW w:w="522" w:type="pct"/>
            <w:hideMark/>
          </w:tcPr>
          <w:p w14:paraId="78141E8F"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23/01/2020</w:t>
            </w:r>
          </w:p>
        </w:tc>
        <w:tc>
          <w:tcPr>
            <w:tcW w:w="623" w:type="pct"/>
            <w:hideMark/>
          </w:tcPr>
          <w:p w14:paraId="36E539B4"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29/06/2025</w:t>
            </w:r>
          </w:p>
        </w:tc>
      </w:tr>
      <w:tr w:rsidR="000934EA" w:rsidRPr="00894701" w14:paraId="2B2E5648"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3C0B26D5"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194</w:t>
            </w:r>
          </w:p>
        </w:tc>
        <w:tc>
          <w:tcPr>
            <w:tcW w:w="1948" w:type="pct"/>
            <w:vAlign w:val="center"/>
            <w:hideMark/>
          </w:tcPr>
          <w:p w14:paraId="12DD9492" w14:textId="4EDB5CE0"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val="nl-NL" w:eastAsia="fr-FR"/>
              </w:rPr>
            </w:pPr>
            <w:r w:rsidRPr="00894701">
              <w:rPr>
                <w:rFonts w:asciiTheme="minorHAnsi" w:hAnsiTheme="minorHAnsi" w:cs="Calibri"/>
                <w:color w:val="000000" w:themeColor="text1"/>
                <w:kern w:val="0"/>
                <w:sz w:val="16"/>
                <w:szCs w:val="16"/>
                <w:lang w:val="nl-NL" w:eastAsia="fr-FR"/>
              </w:rPr>
              <w:t>Bouw en Civile technische werken D&amp;D NV</w:t>
            </w:r>
            <w:r w:rsidR="00206BA2" w:rsidRPr="00894701">
              <w:rPr>
                <w:rFonts w:asciiTheme="minorHAnsi" w:hAnsiTheme="minorHAnsi" w:cs="Calibri"/>
                <w:color w:val="000000" w:themeColor="text1"/>
                <w:kern w:val="0"/>
                <w:sz w:val="16"/>
                <w:szCs w:val="16"/>
                <w:lang w:val="nl-NL" w:eastAsia="fr-FR"/>
              </w:rPr>
              <w:t xml:space="preserve"> </w:t>
            </w:r>
          </w:p>
        </w:tc>
        <w:tc>
          <w:tcPr>
            <w:tcW w:w="451" w:type="pct"/>
            <w:hideMark/>
          </w:tcPr>
          <w:p w14:paraId="59995AB0"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589/20</w:t>
            </w:r>
          </w:p>
        </w:tc>
        <w:tc>
          <w:tcPr>
            <w:tcW w:w="774" w:type="pct"/>
            <w:hideMark/>
          </w:tcPr>
          <w:p w14:paraId="6B38EDDF"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020A7F59"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9,95 ha</w:t>
            </w:r>
          </w:p>
        </w:tc>
        <w:tc>
          <w:tcPr>
            <w:tcW w:w="522" w:type="pct"/>
            <w:hideMark/>
          </w:tcPr>
          <w:p w14:paraId="67C42C35"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23/01/2020</w:t>
            </w:r>
          </w:p>
        </w:tc>
        <w:tc>
          <w:tcPr>
            <w:tcW w:w="623" w:type="pct"/>
            <w:hideMark/>
          </w:tcPr>
          <w:p w14:paraId="6BE0D3E8"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29/06/2025</w:t>
            </w:r>
          </w:p>
        </w:tc>
      </w:tr>
      <w:tr w:rsidR="000934EA" w:rsidRPr="00894701" w14:paraId="345CB45E"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2BB0CA52"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195</w:t>
            </w:r>
          </w:p>
        </w:tc>
        <w:tc>
          <w:tcPr>
            <w:tcW w:w="1948" w:type="pct"/>
            <w:vAlign w:val="center"/>
            <w:hideMark/>
          </w:tcPr>
          <w:p w14:paraId="384E6E2D" w14:textId="0DE70C6D"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194</w:t>
            </w:r>
            <w:r w:rsidR="00206BA2" w:rsidRPr="00894701">
              <w:rPr>
                <w:rFonts w:asciiTheme="minorHAnsi" w:hAnsiTheme="minorHAnsi" w:cs="Calibri"/>
                <w:color w:val="000000" w:themeColor="text1"/>
                <w:kern w:val="0"/>
                <w:sz w:val="16"/>
                <w:szCs w:val="16"/>
                <w:lang w:eastAsia="fr-FR"/>
              </w:rPr>
              <w:t xml:space="preserve"> </w:t>
            </w:r>
            <w:r w:rsidR="00206BA2" w:rsidRPr="00894701">
              <w:rPr>
                <w:rFonts w:asciiTheme="minorHAnsi" w:hAnsiTheme="minorHAnsi"/>
                <w:color w:val="000000" w:themeColor="text1"/>
                <w:kern w:val="0"/>
                <w:sz w:val="16"/>
                <w:szCs w:val="16"/>
                <w:lang w:eastAsia="fr-FR"/>
              </w:rPr>
              <w:t xml:space="preserve">    </w:t>
            </w:r>
            <w:r w:rsidRPr="00894701">
              <w:rPr>
                <w:rFonts w:asciiTheme="minorHAnsi" w:hAnsiTheme="minorHAnsi" w:cs="Calibri"/>
                <w:color w:val="000000" w:themeColor="text1"/>
                <w:kern w:val="0"/>
                <w:sz w:val="16"/>
                <w:szCs w:val="16"/>
                <w:lang w:eastAsia="fr-FR"/>
              </w:rPr>
              <w:t>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Buenocarib </w:t>
            </w:r>
          </w:p>
        </w:tc>
        <w:tc>
          <w:tcPr>
            <w:tcW w:w="451" w:type="pct"/>
            <w:hideMark/>
          </w:tcPr>
          <w:p w14:paraId="33E58BA4"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642/20</w:t>
            </w:r>
          </w:p>
        </w:tc>
        <w:tc>
          <w:tcPr>
            <w:tcW w:w="774" w:type="pct"/>
            <w:hideMark/>
          </w:tcPr>
          <w:p w14:paraId="082ADD83"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Exploitation</w:t>
            </w:r>
          </w:p>
        </w:tc>
        <w:tc>
          <w:tcPr>
            <w:tcW w:w="481" w:type="pct"/>
            <w:hideMark/>
          </w:tcPr>
          <w:p w14:paraId="6F809047"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248 ha</w:t>
            </w:r>
          </w:p>
        </w:tc>
        <w:tc>
          <w:tcPr>
            <w:tcW w:w="522" w:type="pct"/>
            <w:hideMark/>
          </w:tcPr>
          <w:p w14:paraId="322BDBA5"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23/01/2020</w:t>
            </w:r>
          </w:p>
        </w:tc>
        <w:tc>
          <w:tcPr>
            <w:tcW w:w="623" w:type="pct"/>
            <w:hideMark/>
          </w:tcPr>
          <w:p w14:paraId="5796197D"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21/05/2023</w:t>
            </w:r>
          </w:p>
        </w:tc>
      </w:tr>
      <w:tr w:rsidR="000934EA" w:rsidRPr="00894701" w14:paraId="55350575"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63803976"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196</w:t>
            </w:r>
          </w:p>
        </w:tc>
        <w:tc>
          <w:tcPr>
            <w:tcW w:w="1948" w:type="pct"/>
            <w:vAlign w:val="center"/>
            <w:hideMark/>
          </w:tcPr>
          <w:p w14:paraId="4929505D" w14:textId="0BE441D3"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195</w:t>
            </w:r>
            <w:r w:rsidR="00206BA2" w:rsidRPr="00894701">
              <w:rPr>
                <w:rFonts w:asciiTheme="minorHAnsi" w:hAnsiTheme="minorHAnsi" w:cs="Calibri"/>
                <w:color w:val="000000" w:themeColor="text1"/>
                <w:kern w:val="0"/>
                <w:sz w:val="16"/>
                <w:szCs w:val="16"/>
                <w:lang w:eastAsia="fr-FR"/>
              </w:rPr>
              <w:t xml:space="preserve"> </w:t>
            </w:r>
            <w:r w:rsidR="00206BA2" w:rsidRPr="00894701">
              <w:rPr>
                <w:rFonts w:asciiTheme="minorHAnsi" w:hAnsiTheme="minorHAnsi"/>
                <w:color w:val="000000" w:themeColor="text1"/>
                <w:kern w:val="0"/>
                <w:sz w:val="16"/>
                <w:szCs w:val="16"/>
                <w:lang w:eastAsia="fr-FR"/>
              </w:rPr>
              <w:t xml:space="preserve">    </w:t>
            </w:r>
            <w:r w:rsidRPr="00894701">
              <w:rPr>
                <w:rFonts w:asciiTheme="minorHAnsi" w:hAnsiTheme="minorHAnsi" w:cs="Calibri"/>
                <w:color w:val="000000" w:themeColor="text1"/>
                <w:kern w:val="0"/>
                <w:sz w:val="16"/>
                <w:szCs w:val="16"/>
                <w:lang w:eastAsia="fr-FR"/>
              </w:rPr>
              <w:t>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Placer mining company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50FCDA39"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718/20</w:t>
            </w:r>
          </w:p>
        </w:tc>
        <w:tc>
          <w:tcPr>
            <w:tcW w:w="774" w:type="pct"/>
            <w:hideMark/>
          </w:tcPr>
          <w:p w14:paraId="0F4C9FC4"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0999DAA1"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10.000 ha</w:t>
            </w:r>
          </w:p>
        </w:tc>
        <w:tc>
          <w:tcPr>
            <w:tcW w:w="522" w:type="pct"/>
            <w:hideMark/>
          </w:tcPr>
          <w:p w14:paraId="6E64FD58"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23/06/2020</w:t>
            </w:r>
          </w:p>
        </w:tc>
        <w:tc>
          <w:tcPr>
            <w:tcW w:w="623" w:type="pct"/>
            <w:hideMark/>
          </w:tcPr>
          <w:p w14:paraId="33581547"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07/07/2030</w:t>
            </w:r>
          </w:p>
        </w:tc>
      </w:tr>
      <w:tr w:rsidR="000934EA" w:rsidRPr="00894701" w14:paraId="69165F24"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6E1F29F9"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197</w:t>
            </w:r>
          </w:p>
        </w:tc>
        <w:tc>
          <w:tcPr>
            <w:tcW w:w="1948" w:type="pct"/>
            <w:vAlign w:val="center"/>
            <w:hideMark/>
          </w:tcPr>
          <w:p w14:paraId="3C9A38CF" w14:textId="7777777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Finisie Melion </w:t>
            </w:r>
          </w:p>
        </w:tc>
        <w:tc>
          <w:tcPr>
            <w:tcW w:w="451" w:type="pct"/>
            <w:hideMark/>
          </w:tcPr>
          <w:p w14:paraId="038220B7"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328/19</w:t>
            </w:r>
          </w:p>
        </w:tc>
        <w:tc>
          <w:tcPr>
            <w:tcW w:w="774" w:type="pct"/>
            <w:hideMark/>
          </w:tcPr>
          <w:p w14:paraId="322DB2D8"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1E32E24F"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400 ha</w:t>
            </w:r>
          </w:p>
        </w:tc>
        <w:tc>
          <w:tcPr>
            <w:tcW w:w="522" w:type="pct"/>
            <w:hideMark/>
          </w:tcPr>
          <w:p w14:paraId="2120C260"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23/04/2019</w:t>
            </w:r>
          </w:p>
        </w:tc>
        <w:tc>
          <w:tcPr>
            <w:tcW w:w="623" w:type="pct"/>
            <w:hideMark/>
          </w:tcPr>
          <w:p w14:paraId="00CD8FE8"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05/11/2023</w:t>
            </w:r>
          </w:p>
        </w:tc>
      </w:tr>
      <w:tr w:rsidR="000934EA" w:rsidRPr="00894701" w14:paraId="5D1D9D9A"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1A4CDA33"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198</w:t>
            </w:r>
          </w:p>
        </w:tc>
        <w:tc>
          <w:tcPr>
            <w:tcW w:w="1948" w:type="pct"/>
            <w:vAlign w:val="center"/>
            <w:hideMark/>
          </w:tcPr>
          <w:p w14:paraId="115B879C" w14:textId="77777777"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N.V Atalia Sand Company </w:t>
            </w:r>
          </w:p>
        </w:tc>
        <w:tc>
          <w:tcPr>
            <w:tcW w:w="451" w:type="pct"/>
            <w:hideMark/>
          </w:tcPr>
          <w:p w14:paraId="7F6E1E2C"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500/19</w:t>
            </w:r>
          </w:p>
        </w:tc>
        <w:tc>
          <w:tcPr>
            <w:tcW w:w="774" w:type="pct"/>
            <w:hideMark/>
          </w:tcPr>
          <w:p w14:paraId="3E886828"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1210AF36"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392 ha</w:t>
            </w:r>
          </w:p>
        </w:tc>
        <w:tc>
          <w:tcPr>
            <w:tcW w:w="522" w:type="pct"/>
            <w:hideMark/>
          </w:tcPr>
          <w:p w14:paraId="251E5494"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24/09/2019</w:t>
            </w:r>
          </w:p>
        </w:tc>
        <w:tc>
          <w:tcPr>
            <w:tcW w:w="623" w:type="pct"/>
            <w:hideMark/>
          </w:tcPr>
          <w:p w14:paraId="179F80D1"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21/05/2023</w:t>
            </w:r>
          </w:p>
        </w:tc>
      </w:tr>
      <w:tr w:rsidR="000934EA" w:rsidRPr="00894701" w14:paraId="60600DEB"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54340851"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199</w:t>
            </w:r>
          </w:p>
        </w:tc>
        <w:tc>
          <w:tcPr>
            <w:tcW w:w="1948" w:type="pct"/>
            <w:vAlign w:val="center"/>
            <w:hideMark/>
          </w:tcPr>
          <w:p w14:paraId="6B2FF06D" w14:textId="7777777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Ansoe, Guillermo Gregory </w:t>
            </w:r>
          </w:p>
        </w:tc>
        <w:tc>
          <w:tcPr>
            <w:tcW w:w="451" w:type="pct"/>
            <w:hideMark/>
          </w:tcPr>
          <w:p w14:paraId="2927801B"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594/20</w:t>
            </w:r>
          </w:p>
        </w:tc>
        <w:tc>
          <w:tcPr>
            <w:tcW w:w="774" w:type="pct"/>
            <w:hideMark/>
          </w:tcPr>
          <w:p w14:paraId="6B6A650C"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6BB36402"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200 ha</w:t>
            </w:r>
          </w:p>
        </w:tc>
        <w:tc>
          <w:tcPr>
            <w:tcW w:w="522" w:type="pct"/>
            <w:hideMark/>
          </w:tcPr>
          <w:p w14:paraId="5C109B3C"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24/12/2019</w:t>
            </w:r>
          </w:p>
        </w:tc>
        <w:tc>
          <w:tcPr>
            <w:tcW w:w="623" w:type="pct"/>
            <w:hideMark/>
          </w:tcPr>
          <w:p w14:paraId="0420260A"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25/05/2023</w:t>
            </w:r>
          </w:p>
        </w:tc>
      </w:tr>
      <w:tr w:rsidR="000934EA" w:rsidRPr="00894701" w14:paraId="1EC56DD5"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6002EABA"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200</w:t>
            </w:r>
          </w:p>
        </w:tc>
        <w:tc>
          <w:tcPr>
            <w:tcW w:w="1948" w:type="pct"/>
            <w:vAlign w:val="center"/>
            <w:hideMark/>
          </w:tcPr>
          <w:p w14:paraId="6AF3D329" w14:textId="77777777"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Castillion Regillio J. </w:t>
            </w:r>
          </w:p>
        </w:tc>
        <w:tc>
          <w:tcPr>
            <w:tcW w:w="451" w:type="pct"/>
            <w:hideMark/>
          </w:tcPr>
          <w:p w14:paraId="26F8B3D2"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322/19</w:t>
            </w:r>
          </w:p>
        </w:tc>
        <w:tc>
          <w:tcPr>
            <w:tcW w:w="774" w:type="pct"/>
            <w:hideMark/>
          </w:tcPr>
          <w:p w14:paraId="2E1756BB"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50671CCC"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200Ha</w:t>
            </w:r>
          </w:p>
        </w:tc>
        <w:tc>
          <w:tcPr>
            <w:tcW w:w="522" w:type="pct"/>
            <w:hideMark/>
          </w:tcPr>
          <w:p w14:paraId="1EC8A849"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25/03/2019</w:t>
            </w:r>
          </w:p>
        </w:tc>
        <w:tc>
          <w:tcPr>
            <w:tcW w:w="623" w:type="pct"/>
            <w:hideMark/>
          </w:tcPr>
          <w:p w14:paraId="12ECBAC2"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13/07/2025</w:t>
            </w:r>
          </w:p>
        </w:tc>
      </w:tr>
      <w:tr w:rsidR="000934EA" w:rsidRPr="00894701" w14:paraId="342711D8"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1713578D"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201</w:t>
            </w:r>
          </w:p>
        </w:tc>
        <w:tc>
          <w:tcPr>
            <w:tcW w:w="1948" w:type="pct"/>
            <w:vAlign w:val="center"/>
            <w:hideMark/>
          </w:tcPr>
          <w:p w14:paraId="5C128786" w14:textId="3BF410EB"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val="nl-NL" w:eastAsia="fr-FR"/>
              </w:rPr>
            </w:pPr>
            <w:r w:rsidRPr="00894701">
              <w:rPr>
                <w:rFonts w:asciiTheme="minorHAnsi" w:hAnsiTheme="minorHAnsi" w:cs="Calibri"/>
                <w:color w:val="000000" w:themeColor="text1"/>
                <w:kern w:val="0"/>
                <w:sz w:val="16"/>
                <w:szCs w:val="16"/>
                <w:lang w:val="nl-NL" w:eastAsia="fr-FR"/>
              </w:rPr>
              <w:t>Sur Kam Tak Mining N.V</w:t>
            </w:r>
            <w:r w:rsidR="0090575B" w:rsidRPr="00894701">
              <w:rPr>
                <w:rFonts w:asciiTheme="minorHAnsi" w:hAnsiTheme="minorHAnsi" w:cs="Calibri"/>
                <w:color w:val="000000" w:themeColor="text1"/>
                <w:kern w:val="0"/>
                <w:sz w:val="16"/>
                <w:szCs w:val="16"/>
                <w:lang w:val="nl-NL" w:eastAsia="fr-FR"/>
              </w:rPr>
              <w:t>.</w:t>
            </w:r>
            <w:r w:rsidRPr="00894701">
              <w:rPr>
                <w:rFonts w:asciiTheme="minorHAnsi" w:hAnsiTheme="minorHAnsi" w:cs="Calibri"/>
                <w:color w:val="000000" w:themeColor="text1"/>
                <w:kern w:val="0"/>
                <w:sz w:val="16"/>
                <w:szCs w:val="16"/>
                <w:lang w:val="nl-NL" w:eastAsia="fr-FR"/>
              </w:rPr>
              <w:t xml:space="preserve"> </w:t>
            </w:r>
          </w:p>
        </w:tc>
        <w:tc>
          <w:tcPr>
            <w:tcW w:w="451" w:type="pct"/>
            <w:hideMark/>
          </w:tcPr>
          <w:p w14:paraId="4DE60E93"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650/20</w:t>
            </w:r>
          </w:p>
        </w:tc>
        <w:tc>
          <w:tcPr>
            <w:tcW w:w="774" w:type="pct"/>
            <w:hideMark/>
          </w:tcPr>
          <w:p w14:paraId="0DC9F0A7"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Exploitation</w:t>
            </w:r>
          </w:p>
        </w:tc>
        <w:tc>
          <w:tcPr>
            <w:tcW w:w="481" w:type="pct"/>
            <w:hideMark/>
          </w:tcPr>
          <w:p w14:paraId="1721E294"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6992 ha</w:t>
            </w:r>
          </w:p>
        </w:tc>
        <w:tc>
          <w:tcPr>
            <w:tcW w:w="522" w:type="pct"/>
            <w:hideMark/>
          </w:tcPr>
          <w:p w14:paraId="09FE0C2E"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25/06/2020</w:t>
            </w:r>
          </w:p>
        </w:tc>
        <w:tc>
          <w:tcPr>
            <w:tcW w:w="623" w:type="pct"/>
            <w:hideMark/>
          </w:tcPr>
          <w:p w14:paraId="7225EDF7"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24/06/2040</w:t>
            </w:r>
          </w:p>
        </w:tc>
      </w:tr>
      <w:tr w:rsidR="000934EA" w:rsidRPr="00894701" w14:paraId="707F7193"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59E461B6"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202</w:t>
            </w:r>
          </w:p>
        </w:tc>
        <w:tc>
          <w:tcPr>
            <w:tcW w:w="1948" w:type="pct"/>
            <w:vAlign w:val="center"/>
            <w:hideMark/>
          </w:tcPr>
          <w:p w14:paraId="29855F95" w14:textId="0F1BE1B4"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Lera Mining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7CB09025"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703/20</w:t>
            </w:r>
          </w:p>
        </w:tc>
        <w:tc>
          <w:tcPr>
            <w:tcW w:w="774" w:type="pct"/>
            <w:hideMark/>
          </w:tcPr>
          <w:p w14:paraId="1C96E46A"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63C56B7B"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12000 ha</w:t>
            </w:r>
          </w:p>
        </w:tc>
        <w:tc>
          <w:tcPr>
            <w:tcW w:w="522" w:type="pct"/>
            <w:hideMark/>
          </w:tcPr>
          <w:p w14:paraId="27B937A2"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25/06/2020</w:t>
            </w:r>
          </w:p>
        </w:tc>
        <w:tc>
          <w:tcPr>
            <w:tcW w:w="623" w:type="pct"/>
            <w:hideMark/>
          </w:tcPr>
          <w:p w14:paraId="0798158D"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25/06/2023</w:t>
            </w:r>
          </w:p>
        </w:tc>
      </w:tr>
      <w:tr w:rsidR="000934EA" w:rsidRPr="00894701" w14:paraId="10DD3347"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64350CCF"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203</w:t>
            </w:r>
          </w:p>
        </w:tc>
        <w:tc>
          <w:tcPr>
            <w:tcW w:w="1948" w:type="pct"/>
            <w:vAlign w:val="center"/>
            <w:hideMark/>
          </w:tcPr>
          <w:p w14:paraId="62395D81" w14:textId="38AECB16"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C- Minning SURINAME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4DC504D0"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263/16</w:t>
            </w:r>
          </w:p>
        </w:tc>
        <w:tc>
          <w:tcPr>
            <w:tcW w:w="774" w:type="pct"/>
            <w:hideMark/>
          </w:tcPr>
          <w:p w14:paraId="1A568F6F"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Exploitation</w:t>
            </w:r>
          </w:p>
        </w:tc>
        <w:tc>
          <w:tcPr>
            <w:tcW w:w="481" w:type="pct"/>
            <w:hideMark/>
          </w:tcPr>
          <w:p w14:paraId="05C95012"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9600 ha</w:t>
            </w:r>
          </w:p>
        </w:tc>
        <w:tc>
          <w:tcPr>
            <w:tcW w:w="522" w:type="pct"/>
            <w:hideMark/>
          </w:tcPr>
          <w:p w14:paraId="1711859A"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25/03/2016</w:t>
            </w:r>
          </w:p>
        </w:tc>
        <w:tc>
          <w:tcPr>
            <w:tcW w:w="623" w:type="pct"/>
            <w:hideMark/>
          </w:tcPr>
          <w:p w14:paraId="163F2E3A"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15/05/2030</w:t>
            </w:r>
          </w:p>
        </w:tc>
      </w:tr>
      <w:tr w:rsidR="000934EA" w:rsidRPr="00894701" w14:paraId="682E56D0"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1104D3DB"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204</w:t>
            </w:r>
          </w:p>
        </w:tc>
        <w:tc>
          <w:tcPr>
            <w:tcW w:w="1948" w:type="pct"/>
            <w:vAlign w:val="center"/>
            <w:hideMark/>
          </w:tcPr>
          <w:p w14:paraId="014040B8" w14:textId="77777777"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Voorburg Siegfried Ramon </w:t>
            </w:r>
          </w:p>
        </w:tc>
        <w:tc>
          <w:tcPr>
            <w:tcW w:w="451" w:type="pct"/>
            <w:hideMark/>
          </w:tcPr>
          <w:p w14:paraId="18FF8340"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427/16</w:t>
            </w:r>
          </w:p>
        </w:tc>
        <w:tc>
          <w:tcPr>
            <w:tcW w:w="774" w:type="pct"/>
            <w:hideMark/>
          </w:tcPr>
          <w:p w14:paraId="1D5AEEC4"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4486A33E"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100 ha</w:t>
            </w:r>
          </w:p>
        </w:tc>
        <w:tc>
          <w:tcPr>
            <w:tcW w:w="522" w:type="pct"/>
            <w:hideMark/>
          </w:tcPr>
          <w:p w14:paraId="7C314F09"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26/07/2019</w:t>
            </w:r>
          </w:p>
        </w:tc>
        <w:tc>
          <w:tcPr>
            <w:tcW w:w="623" w:type="pct"/>
            <w:hideMark/>
          </w:tcPr>
          <w:p w14:paraId="0AB1F5C6"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15/01/2023</w:t>
            </w:r>
          </w:p>
        </w:tc>
      </w:tr>
      <w:tr w:rsidR="000934EA" w:rsidRPr="00894701" w14:paraId="02423FB6"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54C55801"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205</w:t>
            </w:r>
          </w:p>
        </w:tc>
        <w:tc>
          <w:tcPr>
            <w:tcW w:w="1948" w:type="pct"/>
            <w:vAlign w:val="center"/>
            <w:hideMark/>
          </w:tcPr>
          <w:p w14:paraId="31CE1487" w14:textId="4D865CAD" w:rsidR="000934EA" w:rsidRPr="001307EB"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val="es-ES" w:eastAsia="fr-FR"/>
              </w:rPr>
            </w:pPr>
            <w:r w:rsidRPr="001307EB">
              <w:rPr>
                <w:rFonts w:asciiTheme="minorHAnsi" w:hAnsiTheme="minorHAnsi" w:cs="Calibri"/>
                <w:color w:val="000000" w:themeColor="text1"/>
                <w:kern w:val="0"/>
                <w:sz w:val="16"/>
                <w:szCs w:val="16"/>
                <w:lang w:val="es-ES" w:eastAsia="fr-FR"/>
              </w:rPr>
              <w:t>N.V</w:t>
            </w:r>
            <w:r w:rsidR="0090575B" w:rsidRPr="001307EB">
              <w:rPr>
                <w:rFonts w:asciiTheme="minorHAnsi" w:hAnsiTheme="minorHAnsi" w:cs="Calibri"/>
                <w:color w:val="000000" w:themeColor="text1"/>
                <w:kern w:val="0"/>
                <w:sz w:val="16"/>
                <w:szCs w:val="16"/>
                <w:lang w:val="es-ES" w:eastAsia="fr-FR"/>
              </w:rPr>
              <w:t>.</w:t>
            </w:r>
            <w:r w:rsidRPr="001307EB">
              <w:rPr>
                <w:rFonts w:asciiTheme="minorHAnsi" w:hAnsiTheme="minorHAnsi" w:cs="Calibri"/>
                <w:color w:val="000000" w:themeColor="text1"/>
                <w:kern w:val="0"/>
                <w:sz w:val="16"/>
                <w:szCs w:val="16"/>
                <w:lang w:val="es-ES" w:eastAsia="fr-FR"/>
              </w:rPr>
              <w:t xml:space="preserve"> Gadu manda wan kai </w:t>
            </w:r>
          </w:p>
        </w:tc>
        <w:tc>
          <w:tcPr>
            <w:tcW w:w="451" w:type="pct"/>
            <w:hideMark/>
          </w:tcPr>
          <w:p w14:paraId="49F643AD"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528/19</w:t>
            </w:r>
          </w:p>
        </w:tc>
        <w:tc>
          <w:tcPr>
            <w:tcW w:w="774" w:type="pct"/>
            <w:hideMark/>
          </w:tcPr>
          <w:p w14:paraId="078F2C60"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Exploitation</w:t>
            </w:r>
          </w:p>
        </w:tc>
        <w:tc>
          <w:tcPr>
            <w:tcW w:w="481" w:type="pct"/>
            <w:hideMark/>
          </w:tcPr>
          <w:p w14:paraId="1AA62144"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1452 ha</w:t>
            </w:r>
          </w:p>
        </w:tc>
        <w:tc>
          <w:tcPr>
            <w:tcW w:w="522" w:type="pct"/>
            <w:hideMark/>
          </w:tcPr>
          <w:p w14:paraId="7256DEA1"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26/11/2019</w:t>
            </w:r>
          </w:p>
        </w:tc>
        <w:tc>
          <w:tcPr>
            <w:tcW w:w="623" w:type="pct"/>
            <w:hideMark/>
          </w:tcPr>
          <w:p w14:paraId="09A7B7C9"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15/01/2025</w:t>
            </w:r>
          </w:p>
        </w:tc>
      </w:tr>
      <w:tr w:rsidR="000934EA" w:rsidRPr="00894701" w14:paraId="6D24BAC5"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4292EA9B"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206</w:t>
            </w:r>
          </w:p>
        </w:tc>
        <w:tc>
          <w:tcPr>
            <w:tcW w:w="1948" w:type="pct"/>
            <w:vAlign w:val="center"/>
            <w:hideMark/>
          </w:tcPr>
          <w:p w14:paraId="193F0CB6" w14:textId="51B816DB" w:rsidR="000934EA" w:rsidRPr="001307EB"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val="es-ES" w:eastAsia="fr-FR"/>
              </w:rPr>
            </w:pPr>
            <w:r w:rsidRPr="001307EB">
              <w:rPr>
                <w:rFonts w:asciiTheme="minorHAnsi" w:hAnsiTheme="minorHAnsi" w:cs="Calibri"/>
                <w:color w:val="000000" w:themeColor="text1"/>
                <w:kern w:val="0"/>
                <w:sz w:val="16"/>
                <w:szCs w:val="16"/>
                <w:lang w:val="es-ES" w:eastAsia="fr-FR"/>
              </w:rPr>
              <w:t>N.V</w:t>
            </w:r>
            <w:r w:rsidR="0090575B" w:rsidRPr="001307EB">
              <w:rPr>
                <w:rFonts w:asciiTheme="minorHAnsi" w:hAnsiTheme="minorHAnsi" w:cs="Calibri"/>
                <w:color w:val="000000" w:themeColor="text1"/>
                <w:kern w:val="0"/>
                <w:sz w:val="16"/>
                <w:szCs w:val="16"/>
                <w:lang w:val="es-ES" w:eastAsia="fr-FR"/>
              </w:rPr>
              <w:t>.</w:t>
            </w:r>
            <w:r w:rsidRPr="001307EB">
              <w:rPr>
                <w:rFonts w:asciiTheme="minorHAnsi" w:hAnsiTheme="minorHAnsi" w:cs="Calibri"/>
                <w:color w:val="000000" w:themeColor="text1"/>
                <w:kern w:val="0"/>
                <w:sz w:val="16"/>
                <w:szCs w:val="16"/>
                <w:lang w:val="es-ES" w:eastAsia="fr-FR"/>
              </w:rPr>
              <w:t xml:space="preserve"> Gadu manda wan kai </w:t>
            </w:r>
          </w:p>
        </w:tc>
        <w:tc>
          <w:tcPr>
            <w:tcW w:w="451" w:type="pct"/>
            <w:hideMark/>
          </w:tcPr>
          <w:p w14:paraId="22D768C7"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529/19</w:t>
            </w:r>
          </w:p>
        </w:tc>
        <w:tc>
          <w:tcPr>
            <w:tcW w:w="774" w:type="pct"/>
            <w:hideMark/>
          </w:tcPr>
          <w:p w14:paraId="3CDB58C9"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Exploitation</w:t>
            </w:r>
          </w:p>
        </w:tc>
        <w:tc>
          <w:tcPr>
            <w:tcW w:w="481" w:type="pct"/>
            <w:hideMark/>
          </w:tcPr>
          <w:p w14:paraId="45E9DD3A"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2920 ha</w:t>
            </w:r>
          </w:p>
        </w:tc>
        <w:tc>
          <w:tcPr>
            <w:tcW w:w="522" w:type="pct"/>
            <w:hideMark/>
          </w:tcPr>
          <w:p w14:paraId="37D8DB7A"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26/11/2019</w:t>
            </w:r>
          </w:p>
        </w:tc>
        <w:tc>
          <w:tcPr>
            <w:tcW w:w="623" w:type="pct"/>
            <w:hideMark/>
          </w:tcPr>
          <w:p w14:paraId="1568B642"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15/01/2025</w:t>
            </w:r>
          </w:p>
        </w:tc>
      </w:tr>
      <w:tr w:rsidR="000934EA" w:rsidRPr="00894701" w14:paraId="69673E2D"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351E0BA2"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207</w:t>
            </w:r>
          </w:p>
        </w:tc>
        <w:tc>
          <w:tcPr>
            <w:tcW w:w="1948" w:type="pct"/>
            <w:vAlign w:val="center"/>
            <w:hideMark/>
          </w:tcPr>
          <w:p w14:paraId="5CB10743" w14:textId="6E738DC9"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Sarakreek minarals development company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0E708523"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560/20</w:t>
            </w:r>
          </w:p>
        </w:tc>
        <w:tc>
          <w:tcPr>
            <w:tcW w:w="774" w:type="pct"/>
            <w:hideMark/>
          </w:tcPr>
          <w:p w14:paraId="0DB0437E"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Exploitation</w:t>
            </w:r>
          </w:p>
        </w:tc>
        <w:tc>
          <w:tcPr>
            <w:tcW w:w="481" w:type="pct"/>
            <w:hideMark/>
          </w:tcPr>
          <w:p w14:paraId="3E19FFF5"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2500 ha</w:t>
            </w:r>
          </w:p>
        </w:tc>
        <w:tc>
          <w:tcPr>
            <w:tcW w:w="522" w:type="pct"/>
            <w:hideMark/>
          </w:tcPr>
          <w:p w14:paraId="067D22EA"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27/01/2020</w:t>
            </w:r>
          </w:p>
        </w:tc>
        <w:tc>
          <w:tcPr>
            <w:tcW w:w="623" w:type="pct"/>
            <w:hideMark/>
          </w:tcPr>
          <w:p w14:paraId="09B1145F"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07/09/2045</w:t>
            </w:r>
          </w:p>
        </w:tc>
      </w:tr>
      <w:tr w:rsidR="000934EA" w:rsidRPr="00894701" w14:paraId="64B1BD22"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38C930FF"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208</w:t>
            </w:r>
          </w:p>
        </w:tc>
        <w:tc>
          <w:tcPr>
            <w:tcW w:w="1948" w:type="pct"/>
            <w:vAlign w:val="center"/>
            <w:hideMark/>
          </w:tcPr>
          <w:p w14:paraId="196968A7" w14:textId="77777777"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Marc Clifton Adriaans </w:t>
            </w:r>
          </w:p>
        </w:tc>
        <w:tc>
          <w:tcPr>
            <w:tcW w:w="451" w:type="pct"/>
            <w:hideMark/>
          </w:tcPr>
          <w:p w14:paraId="7BE0831D"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593/20</w:t>
            </w:r>
          </w:p>
        </w:tc>
        <w:tc>
          <w:tcPr>
            <w:tcW w:w="774" w:type="pct"/>
            <w:hideMark/>
          </w:tcPr>
          <w:p w14:paraId="6F12F56E"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455E6D94"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392 ha</w:t>
            </w:r>
          </w:p>
        </w:tc>
        <w:tc>
          <w:tcPr>
            <w:tcW w:w="522" w:type="pct"/>
            <w:hideMark/>
          </w:tcPr>
          <w:p w14:paraId="529EA0E7"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27/01/2020</w:t>
            </w:r>
          </w:p>
        </w:tc>
        <w:tc>
          <w:tcPr>
            <w:tcW w:w="623" w:type="pct"/>
            <w:hideMark/>
          </w:tcPr>
          <w:p w14:paraId="2A8FAB77"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06/04/2023</w:t>
            </w:r>
          </w:p>
        </w:tc>
      </w:tr>
      <w:tr w:rsidR="000934EA" w:rsidRPr="00894701" w14:paraId="1CFFCBDB"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11B1B771"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209</w:t>
            </w:r>
          </w:p>
        </w:tc>
        <w:tc>
          <w:tcPr>
            <w:tcW w:w="1948" w:type="pct"/>
            <w:vAlign w:val="center"/>
            <w:hideMark/>
          </w:tcPr>
          <w:p w14:paraId="69D727B7" w14:textId="10378F5E"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Rekaf Minning </w:t>
            </w:r>
          </w:p>
        </w:tc>
        <w:tc>
          <w:tcPr>
            <w:tcW w:w="451" w:type="pct"/>
            <w:hideMark/>
          </w:tcPr>
          <w:p w14:paraId="7E1B841F"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632/20</w:t>
            </w:r>
          </w:p>
        </w:tc>
        <w:tc>
          <w:tcPr>
            <w:tcW w:w="774" w:type="pct"/>
            <w:hideMark/>
          </w:tcPr>
          <w:p w14:paraId="00A8A801"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6141E2E3"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200 ha</w:t>
            </w:r>
          </w:p>
        </w:tc>
        <w:tc>
          <w:tcPr>
            <w:tcW w:w="522" w:type="pct"/>
            <w:hideMark/>
          </w:tcPr>
          <w:p w14:paraId="37AA04F8"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27/02/2020</w:t>
            </w:r>
          </w:p>
        </w:tc>
        <w:tc>
          <w:tcPr>
            <w:tcW w:w="623" w:type="pct"/>
            <w:hideMark/>
          </w:tcPr>
          <w:p w14:paraId="108D6F9E"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22/06/2025</w:t>
            </w:r>
          </w:p>
        </w:tc>
      </w:tr>
      <w:tr w:rsidR="000934EA" w:rsidRPr="00894701" w14:paraId="079F239C"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1C3C40AA"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210</w:t>
            </w:r>
          </w:p>
        </w:tc>
        <w:tc>
          <w:tcPr>
            <w:tcW w:w="1948" w:type="pct"/>
            <w:vAlign w:val="center"/>
            <w:hideMark/>
          </w:tcPr>
          <w:p w14:paraId="4E8984C3" w14:textId="77777777"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Dwarka Soerishcandre </w:t>
            </w:r>
          </w:p>
        </w:tc>
        <w:tc>
          <w:tcPr>
            <w:tcW w:w="451" w:type="pct"/>
            <w:hideMark/>
          </w:tcPr>
          <w:p w14:paraId="0CB6FFDD"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688/20</w:t>
            </w:r>
          </w:p>
        </w:tc>
        <w:tc>
          <w:tcPr>
            <w:tcW w:w="774" w:type="pct"/>
            <w:hideMark/>
          </w:tcPr>
          <w:p w14:paraId="63827EA6"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20419D71"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107 ha</w:t>
            </w:r>
          </w:p>
        </w:tc>
        <w:tc>
          <w:tcPr>
            <w:tcW w:w="522" w:type="pct"/>
            <w:hideMark/>
          </w:tcPr>
          <w:p w14:paraId="1041CA8D"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27/05/2020</w:t>
            </w:r>
          </w:p>
        </w:tc>
        <w:tc>
          <w:tcPr>
            <w:tcW w:w="623" w:type="pct"/>
            <w:hideMark/>
          </w:tcPr>
          <w:p w14:paraId="4704362C"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27/06/2025</w:t>
            </w:r>
          </w:p>
        </w:tc>
      </w:tr>
      <w:tr w:rsidR="000934EA" w:rsidRPr="00894701" w14:paraId="63FBFDBB"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7F25C12E"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211</w:t>
            </w:r>
          </w:p>
        </w:tc>
        <w:tc>
          <w:tcPr>
            <w:tcW w:w="1948" w:type="pct"/>
            <w:vAlign w:val="center"/>
            <w:hideMark/>
          </w:tcPr>
          <w:p w14:paraId="6670F3AD" w14:textId="0BC7538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Eema Group of Service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16411854"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619/20</w:t>
            </w:r>
          </w:p>
        </w:tc>
        <w:tc>
          <w:tcPr>
            <w:tcW w:w="774" w:type="pct"/>
            <w:hideMark/>
          </w:tcPr>
          <w:p w14:paraId="5A4F183E"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2761F88A"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394 ha</w:t>
            </w:r>
          </w:p>
        </w:tc>
        <w:tc>
          <w:tcPr>
            <w:tcW w:w="522" w:type="pct"/>
            <w:hideMark/>
          </w:tcPr>
          <w:p w14:paraId="74887CD4"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28/01/2020</w:t>
            </w:r>
          </w:p>
        </w:tc>
        <w:tc>
          <w:tcPr>
            <w:tcW w:w="623" w:type="pct"/>
            <w:hideMark/>
          </w:tcPr>
          <w:p w14:paraId="3329C1C9"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05/10/2023</w:t>
            </w:r>
          </w:p>
        </w:tc>
      </w:tr>
      <w:tr w:rsidR="000934EA" w:rsidRPr="00894701" w14:paraId="1AA918E3"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5541D43C"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212</w:t>
            </w:r>
          </w:p>
        </w:tc>
        <w:tc>
          <w:tcPr>
            <w:tcW w:w="1948" w:type="pct"/>
            <w:vAlign w:val="center"/>
            <w:hideMark/>
          </w:tcPr>
          <w:p w14:paraId="5977F1D0" w14:textId="302DAA10"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Alexander Goldmining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6984A79B"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246/15</w:t>
            </w:r>
          </w:p>
        </w:tc>
        <w:tc>
          <w:tcPr>
            <w:tcW w:w="774" w:type="pct"/>
            <w:hideMark/>
          </w:tcPr>
          <w:p w14:paraId="211EC67E"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Exploitation</w:t>
            </w:r>
          </w:p>
        </w:tc>
        <w:tc>
          <w:tcPr>
            <w:tcW w:w="481" w:type="pct"/>
            <w:hideMark/>
          </w:tcPr>
          <w:p w14:paraId="34B199CE"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4000 ha</w:t>
            </w:r>
          </w:p>
        </w:tc>
        <w:tc>
          <w:tcPr>
            <w:tcW w:w="522" w:type="pct"/>
            <w:hideMark/>
          </w:tcPr>
          <w:p w14:paraId="1C6638FF"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28/08/2015</w:t>
            </w:r>
          </w:p>
        </w:tc>
        <w:tc>
          <w:tcPr>
            <w:tcW w:w="623" w:type="pct"/>
            <w:hideMark/>
          </w:tcPr>
          <w:p w14:paraId="18A55B37"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21/05/2030</w:t>
            </w:r>
          </w:p>
        </w:tc>
      </w:tr>
      <w:tr w:rsidR="000934EA" w:rsidRPr="00894701" w14:paraId="27FCB84E"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642C7003"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213</w:t>
            </w:r>
          </w:p>
        </w:tc>
        <w:tc>
          <w:tcPr>
            <w:tcW w:w="1948" w:type="pct"/>
            <w:vAlign w:val="center"/>
            <w:hideMark/>
          </w:tcPr>
          <w:p w14:paraId="17D22219" w14:textId="7777777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Caffe Xergio G </w:t>
            </w:r>
          </w:p>
        </w:tc>
        <w:tc>
          <w:tcPr>
            <w:tcW w:w="451" w:type="pct"/>
            <w:hideMark/>
          </w:tcPr>
          <w:p w14:paraId="7372C7FC"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691/20</w:t>
            </w:r>
          </w:p>
        </w:tc>
        <w:tc>
          <w:tcPr>
            <w:tcW w:w="774" w:type="pct"/>
            <w:hideMark/>
          </w:tcPr>
          <w:p w14:paraId="156F0383"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5EE680E5"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136 ha</w:t>
            </w:r>
          </w:p>
        </w:tc>
        <w:tc>
          <w:tcPr>
            <w:tcW w:w="522" w:type="pct"/>
            <w:hideMark/>
          </w:tcPr>
          <w:p w14:paraId="4BEBB5E5"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28/10/2019</w:t>
            </w:r>
          </w:p>
        </w:tc>
        <w:tc>
          <w:tcPr>
            <w:tcW w:w="623" w:type="pct"/>
            <w:hideMark/>
          </w:tcPr>
          <w:p w14:paraId="2CADF0D4"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17/06/2023</w:t>
            </w:r>
          </w:p>
        </w:tc>
      </w:tr>
      <w:tr w:rsidR="000934EA" w:rsidRPr="00894701" w14:paraId="484078E4"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25374029"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214</w:t>
            </w:r>
          </w:p>
        </w:tc>
        <w:tc>
          <w:tcPr>
            <w:tcW w:w="1948" w:type="pct"/>
            <w:vAlign w:val="center"/>
            <w:hideMark/>
          </w:tcPr>
          <w:p w14:paraId="53A524BC" w14:textId="245CF541"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consolidated resources Suriname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017F10D9"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658/20</w:t>
            </w:r>
          </w:p>
        </w:tc>
        <w:tc>
          <w:tcPr>
            <w:tcW w:w="774" w:type="pct"/>
            <w:hideMark/>
          </w:tcPr>
          <w:p w14:paraId="02B6126D"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1DED9EEA"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13761 ha</w:t>
            </w:r>
          </w:p>
        </w:tc>
        <w:tc>
          <w:tcPr>
            <w:tcW w:w="522" w:type="pct"/>
            <w:hideMark/>
          </w:tcPr>
          <w:p w14:paraId="3FF648A4"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29/05/2020</w:t>
            </w:r>
          </w:p>
        </w:tc>
        <w:tc>
          <w:tcPr>
            <w:tcW w:w="623" w:type="pct"/>
            <w:hideMark/>
          </w:tcPr>
          <w:p w14:paraId="664D8DA9"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18/06/2023</w:t>
            </w:r>
          </w:p>
        </w:tc>
      </w:tr>
      <w:tr w:rsidR="000934EA" w:rsidRPr="00894701" w14:paraId="35182386"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6C6A9D44"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215</w:t>
            </w:r>
          </w:p>
        </w:tc>
        <w:tc>
          <w:tcPr>
            <w:tcW w:w="1948" w:type="pct"/>
            <w:vAlign w:val="center"/>
            <w:hideMark/>
          </w:tcPr>
          <w:p w14:paraId="51201CC2" w14:textId="0801F852" w:rsidR="000934EA" w:rsidRPr="00894701" w:rsidRDefault="00B01B9B"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Pr>
                <w:rFonts w:asciiTheme="minorHAnsi" w:hAnsiTheme="minorHAnsi" w:cs="Calibri"/>
                <w:color w:val="000000" w:themeColor="text1"/>
                <w:kern w:val="0"/>
                <w:sz w:val="16"/>
                <w:szCs w:val="16"/>
                <w:lang w:eastAsia="fr-FR"/>
              </w:rPr>
              <w:t>Independent</w:t>
            </w:r>
            <w:r w:rsidRPr="00894701">
              <w:rPr>
                <w:rFonts w:asciiTheme="minorHAnsi" w:hAnsiTheme="minorHAnsi" w:cs="Calibri"/>
                <w:color w:val="000000" w:themeColor="text1"/>
                <w:kern w:val="0"/>
                <w:sz w:val="16"/>
                <w:szCs w:val="16"/>
                <w:lang w:eastAsia="fr-FR"/>
              </w:rPr>
              <w:t xml:space="preserve"> </w:t>
            </w:r>
            <w:r w:rsidR="000934EA" w:rsidRPr="00894701">
              <w:rPr>
                <w:rFonts w:asciiTheme="minorHAnsi" w:hAnsiTheme="minorHAnsi" w:cs="Calibri"/>
                <w:color w:val="000000" w:themeColor="text1"/>
                <w:kern w:val="0"/>
                <w:sz w:val="16"/>
                <w:szCs w:val="16"/>
                <w:lang w:eastAsia="fr-FR"/>
              </w:rPr>
              <w:t>Mineral Resources N.V</w:t>
            </w:r>
            <w:r w:rsidR="0090575B" w:rsidRPr="00894701">
              <w:rPr>
                <w:rFonts w:asciiTheme="minorHAnsi" w:hAnsiTheme="minorHAnsi" w:cs="Calibri"/>
                <w:color w:val="000000" w:themeColor="text1"/>
                <w:kern w:val="0"/>
                <w:sz w:val="16"/>
                <w:szCs w:val="16"/>
                <w:lang w:eastAsia="fr-FR"/>
              </w:rPr>
              <w:t>.</w:t>
            </w:r>
            <w:r w:rsidR="000934EA" w:rsidRPr="00894701">
              <w:rPr>
                <w:rFonts w:asciiTheme="minorHAnsi" w:hAnsiTheme="minorHAnsi" w:cs="Calibri"/>
                <w:color w:val="000000" w:themeColor="text1"/>
                <w:kern w:val="0"/>
                <w:sz w:val="16"/>
                <w:szCs w:val="16"/>
                <w:lang w:eastAsia="fr-FR"/>
              </w:rPr>
              <w:t xml:space="preserve"> </w:t>
            </w:r>
          </w:p>
        </w:tc>
        <w:tc>
          <w:tcPr>
            <w:tcW w:w="451" w:type="pct"/>
            <w:hideMark/>
          </w:tcPr>
          <w:p w14:paraId="57FC1D69"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720/20</w:t>
            </w:r>
          </w:p>
        </w:tc>
        <w:tc>
          <w:tcPr>
            <w:tcW w:w="774" w:type="pct"/>
            <w:hideMark/>
          </w:tcPr>
          <w:p w14:paraId="7E01244D"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0CDA920A"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25.775 ha</w:t>
            </w:r>
          </w:p>
        </w:tc>
        <w:tc>
          <w:tcPr>
            <w:tcW w:w="522" w:type="pct"/>
            <w:hideMark/>
          </w:tcPr>
          <w:p w14:paraId="38214B0C"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29/06/2020</w:t>
            </w:r>
          </w:p>
        </w:tc>
        <w:tc>
          <w:tcPr>
            <w:tcW w:w="623" w:type="pct"/>
            <w:hideMark/>
          </w:tcPr>
          <w:p w14:paraId="7048D4C9"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07/05/2023</w:t>
            </w:r>
          </w:p>
        </w:tc>
      </w:tr>
      <w:tr w:rsidR="000934EA" w:rsidRPr="00894701" w14:paraId="19B2A492" w14:textId="77777777" w:rsidTr="00BE1B23">
        <w:trPr>
          <w:trHeight w:val="375"/>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7A1792EF"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216</w:t>
            </w:r>
          </w:p>
        </w:tc>
        <w:tc>
          <w:tcPr>
            <w:tcW w:w="1948" w:type="pct"/>
            <w:vAlign w:val="center"/>
            <w:hideMark/>
          </w:tcPr>
          <w:p w14:paraId="756CD10F" w14:textId="61DFB386"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Nofamo</w:t>
            </w:r>
            <w:r w:rsidR="00206BA2" w:rsidRPr="00894701">
              <w:rPr>
                <w:rFonts w:asciiTheme="minorHAnsi" w:hAnsiTheme="minorHAnsi" w:cs="Calibri"/>
                <w:color w:val="000000" w:themeColor="text1"/>
                <w:kern w:val="0"/>
                <w:sz w:val="16"/>
                <w:szCs w:val="16"/>
                <w:lang w:eastAsia="fr-FR"/>
              </w:rPr>
              <w:t xml:space="preserve"> </w:t>
            </w:r>
            <w:r w:rsidRPr="00894701">
              <w:rPr>
                <w:rFonts w:asciiTheme="minorHAnsi" w:hAnsiTheme="minorHAnsi" w:cs="Calibri"/>
                <w:color w:val="000000" w:themeColor="text1"/>
                <w:kern w:val="0"/>
                <w:sz w:val="16"/>
                <w:szCs w:val="16"/>
                <w:lang w:eastAsia="fr-FR"/>
              </w:rPr>
              <w:t>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6A9D1E90"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729/20</w:t>
            </w:r>
          </w:p>
        </w:tc>
        <w:tc>
          <w:tcPr>
            <w:tcW w:w="774" w:type="pct"/>
            <w:hideMark/>
          </w:tcPr>
          <w:p w14:paraId="28AA6CBB"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2D1A036C"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23.915,67 ha</w:t>
            </w:r>
          </w:p>
        </w:tc>
        <w:tc>
          <w:tcPr>
            <w:tcW w:w="522" w:type="pct"/>
            <w:hideMark/>
          </w:tcPr>
          <w:p w14:paraId="5A0216A2"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29/06/2020</w:t>
            </w:r>
          </w:p>
        </w:tc>
        <w:tc>
          <w:tcPr>
            <w:tcW w:w="623" w:type="pct"/>
            <w:hideMark/>
          </w:tcPr>
          <w:p w14:paraId="1D2B1ADF"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07/10/2023</w:t>
            </w:r>
          </w:p>
        </w:tc>
      </w:tr>
      <w:tr w:rsidR="000934EA" w:rsidRPr="00894701" w14:paraId="6962AF80"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75603A6B"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217</w:t>
            </w:r>
          </w:p>
        </w:tc>
        <w:tc>
          <w:tcPr>
            <w:tcW w:w="1948" w:type="pct"/>
            <w:vAlign w:val="center"/>
            <w:hideMark/>
          </w:tcPr>
          <w:p w14:paraId="07AE22B8" w14:textId="77777777"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w:t>
            </w:r>
          </w:p>
        </w:tc>
        <w:tc>
          <w:tcPr>
            <w:tcW w:w="451" w:type="pct"/>
            <w:hideMark/>
          </w:tcPr>
          <w:p w14:paraId="3E76AC75"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733/20</w:t>
            </w:r>
          </w:p>
        </w:tc>
        <w:tc>
          <w:tcPr>
            <w:tcW w:w="774" w:type="pct"/>
            <w:hideMark/>
          </w:tcPr>
          <w:p w14:paraId="69C2E682"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7511F98B"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9.840,74 ha</w:t>
            </w:r>
          </w:p>
        </w:tc>
        <w:tc>
          <w:tcPr>
            <w:tcW w:w="522" w:type="pct"/>
            <w:hideMark/>
          </w:tcPr>
          <w:p w14:paraId="4D9F2E0D"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29/06/2020</w:t>
            </w:r>
          </w:p>
        </w:tc>
        <w:tc>
          <w:tcPr>
            <w:tcW w:w="623" w:type="pct"/>
            <w:hideMark/>
          </w:tcPr>
          <w:p w14:paraId="6EB67991"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13/07/2023</w:t>
            </w:r>
          </w:p>
        </w:tc>
      </w:tr>
      <w:tr w:rsidR="000934EA" w:rsidRPr="00894701" w14:paraId="7A0915DB"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09F3BD36"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218</w:t>
            </w:r>
          </w:p>
        </w:tc>
        <w:tc>
          <w:tcPr>
            <w:tcW w:w="1948" w:type="pct"/>
            <w:vAlign w:val="center"/>
            <w:hideMark/>
          </w:tcPr>
          <w:p w14:paraId="66AE6FD2" w14:textId="77777777"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Anjisa Wood &amp; Mining </w:t>
            </w:r>
          </w:p>
        </w:tc>
        <w:tc>
          <w:tcPr>
            <w:tcW w:w="451" w:type="pct"/>
            <w:hideMark/>
          </w:tcPr>
          <w:p w14:paraId="4D04B5C3"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726/20</w:t>
            </w:r>
          </w:p>
        </w:tc>
        <w:tc>
          <w:tcPr>
            <w:tcW w:w="774" w:type="pct"/>
            <w:hideMark/>
          </w:tcPr>
          <w:p w14:paraId="48BDD7F3"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36126483"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8745,62 ha</w:t>
            </w:r>
          </w:p>
        </w:tc>
        <w:tc>
          <w:tcPr>
            <w:tcW w:w="522" w:type="pct"/>
            <w:hideMark/>
          </w:tcPr>
          <w:p w14:paraId="7AA6CA41"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29/06/2020</w:t>
            </w:r>
          </w:p>
        </w:tc>
        <w:tc>
          <w:tcPr>
            <w:tcW w:w="623" w:type="pct"/>
            <w:hideMark/>
          </w:tcPr>
          <w:p w14:paraId="6BAA298E"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13/07/2023</w:t>
            </w:r>
          </w:p>
        </w:tc>
      </w:tr>
      <w:tr w:rsidR="000934EA" w:rsidRPr="00894701" w14:paraId="1AEE1E68"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49987AB4"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219</w:t>
            </w:r>
          </w:p>
        </w:tc>
        <w:tc>
          <w:tcPr>
            <w:tcW w:w="1948" w:type="pct"/>
            <w:vAlign w:val="center"/>
            <w:hideMark/>
          </w:tcPr>
          <w:p w14:paraId="79A826E0" w14:textId="2F25EC2A"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val="nl-NL" w:eastAsia="fr-FR"/>
              </w:rPr>
            </w:pPr>
            <w:r w:rsidRPr="00894701">
              <w:rPr>
                <w:rFonts w:asciiTheme="minorHAnsi" w:hAnsiTheme="minorHAnsi" w:cs="Calibri"/>
                <w:color w:val="000000" w:themeColor="text1"/>
                <w:kern w:val="0"/>
                <w:sz w:val="16"/>
                <w:szCs w:val="16"/>
                <w:lang w:val="nl-NL" w:eastAsia="fr-FR"/>
              </w:rPr>
              <w:t>.L Group&amp; transportbedrijven N.V</w:t>
            </w:r>
            <w:r w:rsidR="0090575B" w:rsidRPr="00894701">
              <w:rPr>
                <w:rFonts w:asciiTheme="minorHAnsi" w:hAnsiTheme="minorHAnsi" w:cs="Calibri"/>
                <w:color w:val="000000" w:themeColor="text1"/>
                <w:kern w:val="0"/>
                <w:sz w:val="16"/>
                <w:szCs w:val="16"/>
                <w:lang w:val="nl-NL" w:eastAsia="fr-FR"/>
              </w:rPr>
              <w:t>.</w:t>
            </w:r>
            <w:r w:rsidRPr="00894701">
              <w:rPr>
                <w:rFonts w:asciiTheme="minorHAnsi" w:hAnsiTheme="minorHAnsi" w:cs="Calibri"/>
                <w:color w:val="000000" w:themeColor="text1"/>
                <w:kern w:val="0"/>
                <w:sz w:val="16"/>
                <w:szCs w:val="16"/>
                <w:lang w:val="nl-NL" w:eastAsia="fr-FR"/>
              </w:rPr>
              <w:t xml:space="preserve"> </w:t>
            </w:r>
          </w:p>
        </w:tc>
        <w:tc>
          <w:tcPr>
            <w:tcW w:w="451" w:type="pct"/>
            <w:hideMark/>
          </w:tcPr>
          <w:p w14:paraId="42E85743"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585/20</w:t>
            </w:r>
          </w:p>
        </w:tc>
        <w:tc>
          <w:tcPr>
            <w:tcW w:w="774" w:type="pct"/>
            <w:hideMark/>
          </w:tcPr>
          <w:p w14:paraId="666870CA"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4FBBF236"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100 ha</w:t>
            </w:r>
          </w:p>
        </w:tc>
        <w:tc>
          <w:tcPr>
            <w:tcW w:w="522" w:type="pct"/>
            <w:hideMark/>
          </w:tcPr>
          <w:p w14:paraId="7847F2FB"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29/10/2019</w:t>
            </w:r>
          </w:p>
        </w:tc>
        <w:tc>
          <w:tcPr>
            <w:tcW w:w="623" w:type="pct"/>
            <w:hideMark/>
          </w:tcPr>
          <w:p w14:paraId="7B418090"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07/09/2025</w:t>
            </w:r>
          </w:p>
        </w:tc>
      </w:tr>
      <w:tr w:rsidR="000934EA" w:rsidRPr="00894701" w14:paraId="3E92ECEB"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3C114CA1"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220</w:t>
            </w:r>
          </w:p>
        </w:tc>
        <w:tc>
          <w:tcPr>
            <w:tcW w:w="1948" w:type="pct"/>
            <w:vAlign w:val="center"/>
            <w:hideMark/>
          </w:tcPr>
          <w:p w14:paraId="7EB595F3" w14:textId="77777777"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Poeran Rupesh Anil </w:t>
            </w:r>
          </w:p>
        </w:tc>
        <w:tc>
          <w:tcPr>
            <w:tcW w:w="451" w:type="pct"/>
            <w:hideMark/>
          </w:tcPr>
          <w:p w14:paraId="174686D6"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343/19</w:t>
            </w:r>
          </w:p>
        </w:tc>
        <w:tc>
          <w:tcPr>
            <w:tcW w:w="774" w:type="pct"/>
            <w:hideMark/>
          </w:tcPr>
          <w:p w14:paraId="07AF8774"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73EC1A18"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57 ha</w:t>
            </w:r>
          </w:p>
        </w:tc>
        <w:tc>
          <w:tcPr>
            <w:tcW w:w="522" w:type="pct"/>
            <w:hideMark/>
          </w:tcPr>
          <w:p w14:paraId="43B20A52"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29/11/2019</w:t>
            </w:r>
          </w:p>
        </w:tc>
        <w:tc>
          <w:tcPr>
            <w:tcW w:w="623" w:type="pct"/>
            <w:hideMark/>
          </w:tcPr>
          <w:p w14:paraId="2042D285"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19/12/2024</w:t>
            </w:r>
          </w:p>
        </w:tc>
      </w:tr>
      <w:tr w:rsidR="000934EA" w:rsidRPr="00894701" w14:paraId="3B68CE0F"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2597BA7B"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221</w:t>
            </w:r>
          </w:p>
        </w:tc>
        <w:tc>
          <w:tcPr>
            <w:tcW w:w="1948" w:type="pct"/>
            <w:vAlign w:val="center"/>
            <w:hideMark/>
          </w:tcPr>
          <w:p w14:paraId="48D9C29F" w14:textId="65B9FBAB"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Diversified Natural Resources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650C219B"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603/16</w:t>
            </w:r>
          </w:p>
        </w:tc>
        <w:tc>
          <w:tcPr>
            <w:tcW w:w="774" w:type="pct"/>
            <w:hideMark/>
          </w:tcPr>
          <w:p w14:paraId="1D721AF7"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3D813F89"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5.906 ha</w:t>
            </w:r>
          </w:p>
        </w:tc>
        <w:tc>
          <w:tcPr>
            <w:tcW w:w="522" w:type="pct"/>
            <w:hideMark/>
          </w:tcPr>
          <w:p w14:paraId="226F4164"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29/11/2018</w:t>
            </w:r>
          </w:p>
        </w:tc>
        <w:tc>
          <w:tcPr>
            <w:tcW w:w="623" w:type="pct"/>
            <w:hideMark/>
          </w:tcPr>
          <w:p w14:paraId="212C4BE8"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04/08/2022</w:t>
            </w:r>
          </w:p>
        </w:tc>
      </w:tr>
      <w:tr w:rsidR="000934EA" w:rsidRPr="00894701" w14:paraId="45668F8F"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3EB5F9EE"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222</w:t>
            </w:r>
          </w:p>
        </w:tc>
        <w:tc>
          <w:tcPr>
            <w:tcW w:w="1948" w:type="pct"/>
            <w:vAlign w:val="center"/>
            <w:hideMark/>
          </w:tcPr>
          <w:p w14:paraId="6641E930" w14:textId="6333916D"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Nikhil Contractor. N.V</w:t>
            </w:r>
            <w:r w:rsidR="0090575B" w:rsidRPr="00894701">
              <w:rPr>
                <w:rFonts w:asciiTheme="minorHAnsi" w:hAnsiTheme="minorHAnsi" w:cs="Calibri"/>
                <w:color w:val="000000" w:themeColor="text1"/>
                <w:kern w:val="0"/>
                <w:sz w:val="16"/>
                <w:szCs w:val="16"/>
                <w:lang w:eastAsia="fr-FR"/>
              </w:rPr>
              <w:t>.</w:t>
            </w:r>
            <w:r w:rsidRPr="00894701">
              <w:rPr>
                <w:rFonts w:asciiTheme="minorHAnsi" w:hAnsiTheme="minorHAnsi" w:cs="Calibri"/>
                <w:color w:val="000000" w:themeColor="text1"/>
                <w:kern w:val="0"/>
                <w:sz w:val="16"/>
                <w:szCs w:val="16"/>
                <w:lang w:eastAsia="fr-FR"/>
              </w:rPr>
              <w:t xml:space="preserve"> </w:t>
            </w:r>
          </w:p>
        </w:tc>
        <w:tc>
          <w:tcPr>
            <w:tcW w:w="451" w:type="pct"/>
            <w:hideMark/>
          </w:tcPr>
          <w:p w14:paraId="099BCC74"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746/20</w:t>
            </w:r>
          </w:p>
        </w:tc>
        <w:tc>
          <w:tcPr>
            <w:tcW w:w="774" w:type="pct"/>
            <w:hideMark/>
          </w:tcPr>
          <w:p w14:paraId="38FF34D7"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319AE683"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200 ha</w:t>
            </w:r>
          </w:p>
        </w:tc>
        <w:tc>
          <w:tcPr>
            <w:tcW w:w="522" w:type="pct"/>
            <w:hideMark/>
          </w:tcPr>
          <w:p w14:paraId="1E89F13B"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30/06/2020</w:t>
            </w:r>
          </w:p>
        </w:tc>
        <w:tc>
          <w:tcPr>
            <w:tcW w:w="623" w:type="pct"/>
            <w:hideMark/>
          </w:tcPr>
          <w:p w14:paraId="2CF81C68"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07/09/2025</w:t>
            </w:r>
          </w:p>
        </w:tc>
      </w:tr>
      <w:tr w:rsidR="000934EA" w:rsidRPr="00894701" w14:paraId="39A86D8B" w14:textId="77777777" w:rsidTr="00BE1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0A9E2942"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223</w:t>
            </w:r>
          </w:p>
        </w:tc>
        <w:tc>
          <w:tcPr>
            <w:tcW w:w="1948" w:type="pct"/>
            <w:vAlign w:val="center"/>
            <w:hideMark/>
          </w:tcPr>
          <w:p w14:paraId="70A18750" w14:textId="53A4E30B" w:rsidR="000934EA" w:rsidRPr="00894701" w:rsidRDefault="000934EA" w:rsidP="00BE1B2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kern w:val="0"/>
                <w:sz w:val="16"/>
                <w:szCs w:val="16"/>
                <w:lang w:eastAsia="fr-FR"/>
              </w:rPr>
            </w:pPr>
            <w:r w:rsidRPr="00894701">
              <w:rPr>
                <w:rFonts w:asciiTheme="minorHAnsi" w:hAnsiTheme="minorHAnsi"/>
                <w:color w:val="000000" w:themeColor="text1"/>
                <w:kern w:val="0"/>
                <w:sz w:val="16"/>
                <w:szCs w:val="16"/>
                <w:lang w:eastAsia="fr-FR"/>
              </w:rPr>
              <w:t xml:space="preserve">Morsen Raoul Rodney </w:t>
            </w:r>
          </w:p>
        </w:tc>
        <w:tc>
          <w:tcPr>
            <w:tcW w:w="451" w:type="pct"/>
            <w:hideMark/>
          </w:tcPr>
          <w:p w14:paraId="7FD10D0F"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777/20</w:t>
            </w:r>
          </w:p>
        </w:tc>
        <w:tc>
          <w:tcPr>
            <w:tcW w:w="774" w:type="pct"/>
            <w:hideMark/>
          </w:tcPr>
          <w:p w14:paraId="11EEE22D"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Building Materials</w:t>
            </w:r>
          </w:p>
        </w:tc>
        <w:tc>
          <w:tcPr>
            <w:tcW w:w="481" w:type="pct"/>
            <w:hideMark/>
          </w:tcPr>
          <w:p w14:paraId="14679737"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44 ha</w:t>
            </w:r>
          </w:p>
        </w:tc>
        <w:tc>
          <w:tcPr>
            <w:tcW w:w="522" w:type="pct"/>
            <w:hideMark/>
          </w:tcPr>
          <w:p w14:paraId="6520DBAA"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30/06/2020</w:t>
            </w:r>
          </w:p>
        </w:tc>
        <w:tc>
          <w:tcPr>
            <w:tcW w:w="623" w:type="pct"/>
            <w:hideMark/>
          </w:tcPr>
          <w:p w14:paraId="3897FBEC" w14:textId="77777777" w:rsidR="000934EA" w:rsidRPr="00894701" w:rsidRDefault="000934EA" w:rsidP="00093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07/09/2025</w:t>
            </w:r>
          </w:p>
        </w:tc>
      </w:tr>
      <w:tr w:rsidR="000934EA" w:rsidRPr="00894701" w14:paraId="1759CA13" w14:textId="77777777" w:rsidTr="00BE1B23">
        <w:trPr>
          <w:trHeight w:val="300"/>
        </w:trPr>
        <w:tc>
          <w:tcPr>
            <w:cnfStyle w:val="001000000000" w:firstRow="0" w:lastRow="0" w:firstColumn="1" w:lastColumn="0" w:oddVBand="0" w:evenVBand="0" w:oddHBand="0" w:evenHBand="0" w:firstRowFirstColumn="0" w:firstRowLastColumn="0" w:lastRowFirstColumn="0" w:lastRowLastColumn="0"/>
            <w:tcW w:w="201" w:type="pct"/>
            <w:vAlign w:val="center"/>
            <w:hideMark/>
          </w:tcPr>
          <w:p w14:paraId="0D7F3B0D" w14:textId="77777777" w:rsidR="000934EA" w:rsidRPr="00894701" w:rsidRDefault="000934EA" w:rsidP="00BE1B23">
            <w:pPr>
              <w:spacing w:after="0" w:line="240" w:lineRule="auto"/>
              <w:jc w:val="center"/>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224</w:t>
            </w:r>
          </w:p>
        </w:tc>
        <w:tc>
          <w:tcPr>
            <w:tcW w:w="1948" w:type="pct"/>
            <w:vAlign w:val="center"/>
            <w:hideMark/>
          </w:tcPr>
          <w:p w14:paraId="6509151F" w14:textId="2F2628AB" w:rsidR="000934EA" w:rsidRPr="00894701" w:rsidRDefault="000934EA" w:rsidP="00BE1B2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 xml:space="preserve">Safeni Resources </w:t>
            </w:r>
            <w:r w:rsidR="00BE1B23" w:rsidRPr="00894701">
              <w:rPr>
                <w:rFonts w:asciiTheme="minorHAnsi" w:hAnsiTheme="minorHAnsi" w:cs="Calibri"/>
                <w:color w:val="000000" w:themeColor="text1"/>
                <w:kern w:val="0"/>
                <w:sz w:val="16"/>
                <w:szCs w:val="16"/>
                <w:lang w:eastAsia="fr-FR"/>
              </w:rPr>
              <w:t>N.V</w:t>
            </w:r>
            <w:r w:rsidR="0090575B" w:rsidRPr="00894701">
              <w:rPr>
                <w:rFonts w:asciiTheme="minorHAnsi" w:hAnsiTheme="minorHAnsi" w:cs="Calibri"/>
                <w:color w:val="000000" w:themeColor="text1"/>
                <w:kern w:val="0"/>
                <w:sz w:val="16"/>
                <w:szCs w:val="16"/>
                <w:lang w:eastAsia="fr-FR"/>
              </w:rPr>
              <w:t>.</w:t>
            </w:r>
          </w:p>
        </w:tc>
        <w:tc>
          <w:tcPr>
            <w:tcW w:w="451" w:type="pct"/>
            <w:hideMark/>
          </w:tcPr>
          <w:p w14:paraId="287C3755" w14:textId="5C26B2C4" w:rsidR="000934EA" w:rsidRPr="00894701" w:rsidRDefault="000934EA" w:rsidP="00BE1B2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730/20</w:t>
            </w:r>
          </w:p>
        </w:tc>
        <w:tc>
          <w:tcPr>
            <w:tcW w:w="774" w:type="pct"/>
            <w:hideMark/>
          </w:tcPr>
          <w:p w14:paraId="40636F07"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Exploration</w:t>
            </w:r>
          </w:p>
        </w:tc>
        <w:tc>
          <w:tcPr>
            <w:tcW w:w="481" w:type="pct"/>
            <w:hideMark/>
          </w:tcPr>
          <w:p w14:paraId="41A72D65"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1400 ha</w:t>
            </w:r>
          </w:p>
        </w:tc>
        <w:tc>
          <w:tcPr>
            <w:tcW w:w="522" w:type="pct"/>
            <w:hideMark/>
          </w:tcPr>
          <w:p w14:paraId="45854AF7"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30/06/2020</w:t>
            </w:r>
          </w:p>
        </w:tc>
        <w:tc>
          <w:tcPr>
            <w:tcW w:w="623" w:type="pct"/>
            <w:hideMark/>
          </w:tcPr>
          <w:p w14:paraId="2599C651" w14:textId="77777777" w:rsidR="000934EA" w:rsidRPr="00894701" w:rsidRDefault="000934EA" w:rsidP="00093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themeColor="text1"/>
                <w:kern w:val="0"/>
                <w:sz w:val="16"/>
                <w:szCs w:val="16"/>
                <w:lang w:eastAsia="fr-FR"/>
              </w:rPr>
            </w:pPr>
            <w:r w:rsidRPr="00894701">
              <w:rPr>
                <w:rFonts w:asciiTheme="minorHAnsi" w:hAnsiTheme="minorHAnsi" w:cs="Calibri"/>
                <w:color w:val="000000" w:themeColor="text1"/>
                <w:kern w:val="0"/>
                <w:sz w:val="16"/>
                <w:szCs w:val="16"/>
                <w:lang w:eastAsia="fr-FR"/>
              </w:rPr>
              <w:t>07/07/2023</w:t>
            </w:r>
          </w:p>
        </w:tc>
      </w:tr>
    </w:tbl>
    <w:p w14:paraId="28D1DD55" w14:textId="6C7B6951" w:rsidR="0044001C" w:rsidRPr="00894701" w:rsidRDefault="0044001C" w:rsidP="0044001C">
      <w:pPr>
        <w:pStyle w:val="BodyText"/>
        <w:rPr>
          <w:rFonts w:asciiTheme="minorHAnsi" w:hAnsiTheme="minorHAnsi"/>
        </w:rPr>
      </w:pPr>
    </w:p>
    <w:p w14:paraId="558426C2" w14:textId="49CFD4B1" w:rsidR="000675D4" w:rsidRPr="00894701" w:rsidRDefault="000675D4" w:rsidP="0036443C"/>
    <w:p w14:paraId="451F5993" w14:textId="5EBC3CFC" w:rsidR="000675D4" w:rsidRPr="00894701" w:rsidRDefault="000675D4" w:rsidP="0036443C"/>
    <w:p w14:paraId="767C6E8E" w14:textId="1EAA23B7" w:rsidR="000675D4" w:rsidRPr="00894701" w:rsidRDefault="000675D4" w:rsidP="0036443C"/>
    <w:p w14:paraId="0028ED24" w14:textId="3D1E2065" w:rsidR="000675D4" w:rsidRPr="00894701" w:rsidRDefault="000675D4" w:rsidP="0036443C"/>
    <w:p w14:paraId="47CDA3E0" w14:textId="3714A0CB" w:rsidR="000675D4" w:rsidRPr="00894701" w:rsidRDefault="000675D4" w:rsidP="0036443C"/>
    <w:p w14:paraId="2D694C1C" w14:textId="3B99A923" w:rsidR="000675D4" w:rsidRPr="00894701" w:rsidRDefault="000675D4" w:rsidP="0036443C"/>
    <w:p w14:paraId="10FA6AD3" w14:textId="71E0E296" w:rsidR="000675D4" w:rsidRPr="00894701" w:rsidRDefault="000675D4" w:rsidP="0036443C"/>
    <w:p w14:paraId="5B618EB3" w14:textId="48AC4CC2" w:rsidR="000675D4" w:rsidRPr="00894701" w:rsidRDefault="000675D4" w:rsidP="0036443C"/>
    <w:p w14:paraId="15097F41" w14:textId="28638CBF" w:rsidR="000675D4" w:rsidRPr="00894701" w:rsidRDefault="000675D4" w:rsidP="0036443C"/>
    <w:p w14:paraId="0E1B54B4" w14:textId="498D44A6" w:rsidR="000675D4" w:rsidRPr="00894701" w:rsidRDefault="000675D4" w:rsidP="0036443C"/>
    <w:p w14:paraId="4B8F642E" w14:textId="57030450" w:rsidR="000675D4" w:rsidRPr="00894701" w:rsidRDefault="000675D4" w:rsidP="0036443C"/>
    <w:p w14:paraId="29C95578" w14:textId="2BE09F5B" w:rsidR="000675D4" w:rsidRPr="00894701" w:rsidRDefault="000675D4" w:rsidP="0036443C"/>
    <w:p w14:paraId="634E39D4" w14:textId="4B0D56B4" w:rsidR="000675D4" w:rsidRPr="00894701" w:rsidRDefault="000675D4" w:rsidP="0036443C"/>
    <w:p w14:paraId="59C40551" w14:textId="500CCAAB" w:rsidR="000675D4" w:rsidRPr="00894701" w:rsidRDefault="000675D4" w:rsidP="0036443C"/>
    <w:p w14:paraId="15C7DE96" w14:textId="2FB2D984" w:rsidR="000675D4" w:rsidRPr="00894701" w:rsidRDefault="000675D4" w:rsidP="0036443C"/>
    <w:p w14:paraId="7B4F5931" w14:textId="2E1DAE81" w:rsidR="000675D4" w:rsidRPr="00894701" w:rsidRDefault="000675D4" w:rsidP="000675D4">
      <w:pPr>
        <w:rPr>
          <w:rFonts w:asciiTheme="minorHAnsi" w:hAnsiTheme="minorHAnsi"/>
        </w:rPr>
      </w:pPr>
    </w:p>
    <w:p w14:paraId="26F6D044" w14:textId="77777777" w:rsidR="00730D54" w:rsidRPr="00894701" w:rsidRDefault="00730D54">
      <w:pPr>
        <w:spacing w:after="0" w:line="240" w:lineRule="auto"/>
      </w:pPr>
      <w:r w:rsidRPr="00894701">
        <w:br w:type="page"/>
      </w:r>
    </w:p>
    <w:p w14:paraId="6BC503BC" w14:textId="139BB666" w:rsidR="00730D54" w:rsidRPr="00894701" w:rsidRDefault="00C46C29" w:rsidP="00C46C29">
      <w:pPr>
        <w:pStyle w:val="Heading2"/>
        <w:numPr>
          <w:ilvl w:val="0"/>
          <w:numId w:val="0"/>
        </w:numPr>
        <w:spacing w:before="120" w:after="240"/>
        <w:ind w:right="476"/>
        <w:jc w:val="both"/>
        <w:rPr>
          <w:rFonts w:asciiTheme="minorHAnsi" w:hAnsiTheme="minorHAnsi"/>
          <w:sz w:val="28"/>
          <w:szCs w:val="28"/>
        </w:rPr>
      </w:pPr>
      <w:bookmarkStart w:id="597" w:name="_Toc122478962"/>
      <w:r w:rsidRPr="00894701">
        <w:rPr>
          <w:rFonts w:asciiTheme="minorHAnsi" w:hAnsiTheme="minorHAnsi"/>
          <w:sz w:val="28"/>
          <w:szCs w:val="28"/>
        </w:rPr>
        <w:t>Annex 2: Beneficial ownership</w:t>
      </w:r>
      <w:bookmarkEnd w:id="597"/>
    </w:p>
    <w:tbl>
      <w:tblPr>
        <w:tblW w:w="15141" w:type="dxa"/>
        <w:jc w:val="center"/>
        <w:tblCellMar>
          <w:left w:w="70" w:type="dxa"/>
          <w:right w:w="70" w:type="dxa"/>
        </w:tblCellMar>
        <w:tblLook w:val="04A0" w:firstRow="1" w:lastRow="0" w:firstColumn="1" w:lastColumn="0" w:noHBand="0" w:noVBand="1"/>
      </w:tblPr>
      <w:tblGrid>
        <w:gridCol w:w="341"/>
        <w:gridCol w:w="3487"/>
        <w:gridCol w:w="1616"/>
        <w:gridCol w:w="287"/>
        <w:gridCol w:w="1003"/>
        <w:gridCol w:w="2396"/>
        <w:gridCol w:w="733"/>
        <w:gridCol w:w="550"/>
        <w:gridCol w:w="733"/>
        <w:gridCol w:w="601"/>
        <w:gridCol w:w="980"/>
        <w:gridCol w:w="1254"/>
        <w:gridCol w:w="1160"/>
      </w:tblGrid>
      <w:tr w:rsidR="00837F1C" w:rsidRPr="00894701" w14:paraId="52263CB1" w14:textId="77777777" w:rsidTr="00532891">
        <w:trPr>
          <w:trHeight w:val="540"/>
          <w:jc w:val="center"/>
        </w:trPr>
        <w:tc>
          <w:tcPr>
            <w:tcW w:w="341" w:type="dxa"/>
            <w:tcBorders>
              <w:top w:val="nil"/>
              <w:left w:val="nil"/>
              <w:bottom w:val="single" w:sz="8" w:space="0" w:color="FF0000"/>
              <w:right w:val="nil"/>
            </w:tcBorders>
            <w:shd w:val="clear" w:color="000000" w:fill="800000"/>
            <w:vAlign w:val="center"/>
            <w:hideMark/>
          </w:tcPr>
          <w:p w14:paraId="4FEE867B" w14:textId="77777777" w:rsidR="00532891" w:rsidRPr="00894701" w:rsidRDefault="00532891" w:rsidP="00532891">
            <w:pPr>
              <w:spacing w:after="0" w:line="240" w:lineRule="auto"/>
              <w:jc w:val="center"/>
              <w:rPr>
                <w:rFonts w:asciiTheme="majorHAnsi" w:hAnsiTheme="majorHAnsi" w:cs="Arial"/>
                <w:b/>
                <w:bCs/>
                <w:color w:val="FFFFFF"/>
                <w:kern w:val="0"/>
                <w:sz w:val="16"/>
                <w:szCs w:val="16"/>
                <w:lang w:val="fr-FR" w:eastAsia="fr-FR"/>
              </w:rPr>
            </w:pPr>
            <w:r w:rsidRPr="00894701">
              <w:rPr>
                <w:rFonts w:asciiTheme="majorHAnsi" w:hAnsiTheme="majorHAnsi" w:cs="Arial"/>
                <w:b/>
                <w:bCs/>
                <w:color w:val="FFFFFF"/>
                <w:kern w:val="0"/>
                <w:sz w:val="16"/>
                <w:szCs w:val="16"/>
                <w:lang w:val="fr-FR" w:eastAsia="fr-FR"/>
              </w:rPr>
              <w:t>N°</w:t>
            </w:r>
          </w:p>
        </w:tc>
        <w:tc>
          <w:tcPr>
            <w:tcW w:w="3487" w:type="dxa"/>
            <w:tcBorders>
              <w:top w:val="nil"/>
              <w:left w:val="nil"/>
              <w:bottom w:val="single" w:sz="8" w:space="0" w:color="FF0000"/>
              <w:right w:val="nil"/>
            </w:tcBorders>
            <w:shd w:val="clear" w:color="000000" w:fill="800000"/>
            <w:vAlign w:val="center"/>
            <w:hideMark/>
          </w:tcPr>
          <w:p w14:paraId="0CA9F600" w14:textId="77777777" w:rsidR="00532891" w:rsidRPr="00894701" w:rsidRDefault="00532891" w:rsidP="00532891">
            <w:pPr>
              <w:spacing w:after="0" w:line="240" w:lineRule="auto"/>
              <w:jc w:val="center"/>
              <w:rPr>
                <w:rFonts w:asciiTheme="majorHAnsi" w:hAnsiTheme="majorHAnsi" w:cs="Arial"/>
                <w:b/>
                <w:bCs/>
                <w:color w:val="FFFFFF"/>
                <w:kern w:val="0"/>
                <w:sz w:val="16"/>
                <w:szCs w:val="16"/>
                <w:lang w:val="fr-FR" w:eastAsia="fr-FR"/>
              </w:rPr>
            </w:pPr>
            <w:r w:rsidRPr="00894701">
              <w:rPr>
                <w:rFonts w:asciiTheme="majorHAnsi" w:hAnsiTheme="majorHAnsi" w:cs="Arial"/>
                <w:b/>
                <w:bCs/>
                <w:color w:val="FFFFFF"/>
                <w:kern w:val="0"/>
                <w:sz w:val="16"/>
                <w:szCs w:val="16"/>
                <w:lang w:val="fr-FR" w:eastAsia="fr-FR"/>
              </w:rPr>
              <w:t>Companies</w:t>
            </w:r>
          </w:p>
        </w:tc>
        <w:tc>
          <w:tcPr>
            <w:tcW w:w="1616" w:type="dxa"/>
            <w:tcBorders>
              <w:top w:val="nil"/>
              <w:left w:val="nil"/>
              <w:bottom w:val="single" w:sz="8" w:space="0" w:color="FF0000"/>
              <w:right w:val="nil"/>
            </w:tcBorders>
            <w:shd w:val="clear" w:color="000000" w:fill="800000"/>
            <w:vAlign w:val="center"/>
            <w:hideMark/>
          </w:tcPr>
          <w:p w14:paraId="6F4F2541" w14:textId="77777777" w:rsidR="00532891" w:rsidRPr="00894701" w:rsidRDefault="00532891" w:rsidP="00532891">
            <w:pPr>
              <w:spacing w:after="0" w:line="240" w:lineRule="auto"/>
              <w:jc w:val="center"/>
              <w:rPr>
                <w:rFonts w:asciiTheme="majorHAnsi" w:hAnsiTheme="majorHAnsi" w:cs="Arial"/>
                <w:b/>
                <w:bCs/>
                <w:color w:val="FFFFFF"/>
                <w:kern w:val="0"/>
                <w:sz w:val="16"/>
                <w:szCs w:val="16"/>
                <w:lang w:eastAsia="fr-FR"/>
              </w:rPr>
            </w:pPr>
            <w:r w:rsidRPr="00894701">
              <w:rPr>
                <w:rFonts w:asciiTheme="majorHAnsi" w:hAnsiTheme="majorHAnsi" w:cs="Arial"/>
                <w:b/>
                <w:bCs/>
                <w:color w:val="FFFFFF"/>
                <w:kern w:val="0"/>
                <w:sz w:val="16"/>
                <w:szCs w:val="16"/>
                <w:lang w:eastAsia="fr-FR"/>
              </w:rPr>
              <w:t>Identity of the beneficial ownership</w:t>
            </w:r>
          </w:p>
        </w:tc>
        <w:tc>
          <w:tcPr>
            <w:tcW w:w="287" w:type="dxa"/>
            <w:tcBorders>
              <w:top w:val="nil"/>
              <w:left w:val="nil"/>
              <w:bottom w:val="nil"/>
              <w:right w:val="nil"/>
            </w:tcBorders>
            <w:shd w:val="clear" w:color="000000" w:fill="FFFFFF"/>
            <w:vAlign w:val="center"/>
            <w:hideMark/>
          </w:tcPr>
          <w:p w14:paraId="4A5524DA" w14:textId="77777777" w:rsidR="00532891" w:rsidRPr="00894701" w:rsidRDefault="00532891" w:rsidP="00532891">
            <w:pPr>
              <w:spacing w:after="0" w:line="240" w:lineRule="auto"/>
              <w:jc w:val="center"/>
              <w:rPr>
                <w:rFonts w:asciiTheme="majorHAnsi" w:hAnsiTheme="majorHAnsi" w:cs="Arial"/>
                <w:b/>
                <w:bCs/>
                <w:color w:val="FFFFFF"/>
                <w:kern w:val="0"/>
                <w:sz w:val="16"/>
                <w:szCs w:val="16"/>
                <w:lang w:eastAsia="fr-FR"/>
              </w:rPr>
            </w:pPr>
            <w:r w:rsidRPr="00894701">
              <w:rPr>
                <w:rFonts w:asciiTheme="majorHAnsi" w:hAnsiTheme="majorHAnsi" w:cs="Arial"/>
                <w:b/>
                <w:bCs/>
                <w:color w:val="FFFFFF"/>
                <w:kern w:val="0"/>
                <w:sz w:val="16"/>
                <w:szCs w:val="16"/>
                <w:lang w:eastAsia="fr-FR"/>
              </w:rPr>
              <w:t> </w:t>
            </w:r>
          </w:p>
        </w:tc>
        <w:tc>
          <w:tcPr>
            <w:tcW w:w="1003" w:type="dxa"/>
            <w:tcBorders>
              <w:top w:val="nil"/>
              <w:left w:val="nil"/>
              <w:bottom w:val="single" w:sz="8" w:space="0" w:color="FF0000"/>
              <w:right w:val="nil"/>
            </w:tcBorders>
            <w:shd w:val="clear" w:color="000000" w:fill="800000"/>
            <w:vAlign w:val="center"/>
            <w:hideMark/>
          </w:tcPr>
          <w:p w14:paraId="3F738AF3" w14:textId="77777777" w:rsidR="00532891" w:rsidRPr="00894701" w:rsidRDefault="00532891" w:rsidP="00532891">
            <w:pPr>
              <w:spacing w:after="0" w:line="240" w:lineRule="auto"/>
              <w:jc w:val="center"/>
              <w:rPr>
                <w:rFonts w:asciiTheme="majorHAnsi" w:hAnsiTheme="majorHAnsi" w:cs="Arial"/>
                <w:b/>
                <w:bCs/>
                <w:color w:val="FFFFFF"/>
                <w:kern w:val="0"/>
                <w:sz w:val="16"/>
                <w:szCs w:val="16"/>
                <w:lang w:val="fr-FR" w:eastAsia="fr-FR"/>
              </w:rPr>
            </w:pPr>
            <w:r w:rsidRPr="00894701">
              <w:rPr>
                <w:rFonts w:asciiTheme="majorHAnsi" w:hAnsiTheme="majorHAnsi" w:cs="Arial"/>
                <w:b/>
                <w:bCs/>
                <w:color w:val="FFFFFF"/>
                <w:kern w:val="0"/>
                <w:sz w:val="16"/>
                <w:szCs w:val="16"/>
                <w:lang w:val="fr-FR" w:eastAsia="fr-FR"/>
              </w:rPr>
              <w:t>Nationality of the owner</w:t>
            </w:r>
          </w:p>
        </w:tc>
        <w:tc>
          <w:tcPr>
            <w:tcW w:w="2396" w:type="dxa"/>
            <w:tcBorders>
              <w:top w:val="nil"/>
              <w:left w:val="nil"/>
              <w:bottom w:val="single" w:sz="8" w:space="0" w:color="FF0000"/>
              <w:right w:val="nil"/>
            </w:tcBorders>
            <w:shd w:val="clear" w:color="000000" w:fill="800000"/>
            <w:vAlign w:val="center"/>
            <w:hideMark/>
          </w:tcPr>
          <w:p w14:paraId="4EA65841" w14:textId="77777777" w:rsidR="00532891" w:rsidRPr="00894701" w:rsidRDefault="00532891" w:rsidP="00532891">
            <w:pPr>
              <w:spacing w:after="0" w:line="240" w:lineRule="auto"/>
              <w:jc w:val="center"/>
              <w:rPr>
                <w:rFonts w:asciiTheme="majorHAnsi" w:hAnsiTheme="majorHAnsi" w:cs="Arial"/>
                <w:b/>
                <w:bCs/>
                <w:color w:val="FFFFFF"/>
                <w:kern w:val="0"/>
                <w:sz w:val="16"/>
                <w:szCs w:val="16"/>
                <w:lang w:val="fr-FR" w:eastAsia="fr-FR"/>
              </w:rPr>
            </w:pPr>
            <w:r w:rsidRPr="00894701">
              <w:rPr>
                <w:rFonts w:asciiTheme="majorHAnsi" w:hAnsiTheme="majorHAnsi" w:cs="Arial"/>
                <w:b/>
                <w:bCs/>
                <w:color w:val="FFFFFF"/>
                <w:kern w:val="0"/>
                <w:sz w:val="16"/>
                <w:szCs w:val="16"/>
                <w:lang w:val="fr-FR" w:eastAsia="fr-FR"/>
              </w:rPr>
              <w:t>Country of residence</w:t>
            </w:r>
          </w:p>
        </w:tc>
        <w:tc>
          <w:tcPr>
            <w:tcW w:w="733" w:type="dxa"/>
            <w:tcBorders>
              <w:top w:val="nil"/>
              <w:left w:val="nil"/>
              <w:bottom w:val="single" w:sz="8" w:space="0" w:color="FF0000"/>
              <w:right w:val="nil"/>
            </w:tcBorders>
            <w:shd w:val="clear" w:color="000000" w:fill="800000"/>
            <w:vAlign w:val="center"/>
            <w:hideMark/>
          </w:tcPr>
          <w:p w14:paraId="5E94967E" w14:textId="77777777" w:rsidR="00532891" w:rsidRPr="00894701" w:rsidRDefault="00532891" w:rsidP="00532891">
            <w:pPr>
              <w:spacing w:after="0" w:line="240" w:lineRule="auto"/>
              <w:jc w:val="center"/>
              <w:rPr>
                <w:rFonts w:asciiTheme="majorHAnsi" w:hAnsiTheme="majorHAnsi" w:cs="Arial"/>
                <w:b/>
                <w:bCs/>
                <w:color w:val="FFFFFF"/>
                <w:kern w:val="0"/>
                <w:sz w:val="16"/>
                <w:szCs w:val="16"/>
                <w:lang w:val="fr-FR" w:eastAsia="fr-FR"/>
              </w:rPr>
            </w:pPr>
            <w:r w:rsidRPr="00894701">
              <w:rPr>
                <w:rFonts w:asciiTheme="majorHAnsi" w:hAnsiTheme="majorHAnsi" w:cs="Arial"/>
                <w:b/>
                <w:bCs/>
                <w:color w:val="FFFFFF"/>
                <w:kern w:val="0"/>
                <w:sz w:val="16"/>
                <w:szCs w:val="16"/>
                <w:lang w:val="fr-FR" w:eastAsia="fr-FR"/>
              </w:rPr>
              <w:t>Number of share</w:t>
            </w:r>
          </w:p>
        </w:tc>
        <w:tc>
          <w:tcPr>
            <w:tcW w:w="550" w:type="dxa"/>
            <w:tcBorders>
              <w:top w:val="nil"/>
              <w:left w:val="nil"/>
              <w:bottom w:val="single" w:sz="8" w:space="0" w:color="FF0000"/>
              <w:right w:val="nil"/>
            </w:tcBorders>
            <w:shd w:val="clear" w:color="000000" w:fill="800000"/>
            <w:vAlign w:val="center"/>
            <w:hideMark/>
          </w:tcPr>
          <w:p w14:paraId="055E5AA9" w14:textId="77777777" w:rsidR="00532891" w:rsidRPr="00894701" w:rsidRDefault="00532891" w:rsidP="00532891">
            <w:pPr>
              <w:spacing w:after="0" w:line="240" w:lineRule="auto"/>
              <w:jc w:val="center"/>
              <w:rPr>
                <w:rFonts w:asciiTheme="majorHAnsi" w:hAnsiTheme="majorHAnsi" w:cs="Arial"/>
                <w:b/>
                <w:bCs/>
                <w:color w:val="FFFFFF"/>
                <w:kern w:val="0"/>
                <w:sz w:val="16"/>
                <w:szCs w:val="16"/>
                <w:lang w:val="fr-FR" w:eastAsia="fr-FR"/>
              </w:rPr>
            </w:pPr>
            <w:r w:rsidRPr="00894701">
              <w:rPr>
                <w:rFonts w:asciiTheme="majorHAnsi" w:hAnsiTheme="majorHAnsi" w:cs="Arial"/>
                <w:b/>
                <w:bCs/>
                <w:color w:val="FFFFFF"/>
                <w:kern w:val="0"/>
                <w:sz w:val="16"/>
                <w:szCs w:val="16"/>
                <w:lang w:val="fr-FR" w:eastAsia="fr-FR"/>
              </w:rPr>
              <w:t>% of share</w:t>
            </w:r>
          </w:p>
        </w:tc>
        <w:tc>
          <w:tcPr>
            <w:tcW w:w="733" w:type="dxa"/>
            <w:tcBorders>
              <w:top w:val="nil"/>
              <w:left w:val="nil"/>
              <w:bottom w:val="single" w:sz="8" w:space="0" w:color="FF0000"/>
              <w:right w:val="nil"/>
            </w:tcBorders>
            <w:shd w:val="clear" w:color="000000" w:fill="800000"/>
            <w:vAlign w:val="center"/>
            <w:hideMark/>
          </w:tcPr>
          <w:p w14:paraId="0FC8B4AD" w14:textId="77777777" w:rsidR="00532891" w:rsidRPr="00894701" w:rsidRDefault="00532891" w:rsidP="00532891">
            <w:pPr>
              <w:spacing w:after="0" w:line="240" w:lineRule="auto"/>
              <w:jc w:val="center"/>
              <w:rPr>
                <w:rFonts w:asciiTheme="majorHAnsi" w:hAnsiTheme="majorHAnsi" w:cs="Arial"/>
                <w:b/>
                <w:bCs/>
                <w:color w:val="FFFFFF"/>
                <w:kern w:val="0"/>
                <w:sz w:val="16"/>
                <w:szCs w:val="16"/>
                <w:lang w:val="fr-FR" w:eastAsia="fr-FR"/>
              </w:rPr>
            </w:pPr>
            <w:r w:rsidRPr="00894701">
              <w:rPr>
                <w:rFonts w:asciiTheme="majorHAnsi" w:hAnsiTheme="majorHAnsi" w:cs="Arial"/>
                <w:b/>
                <w:bCs/>
                <w:color w:val="FFFFFF"/>
                <w:kern w:val="0"/>
                <w:sz w:val="16"/>
                <w:szCs w:val="16"/>
                <w:lang w:val="fr-FR" w:eastAsia="fr-FR"/>
              </w:rPr>
              <w:t>Number of votes</w:t>
            </w:r>
          </w:p>
        </w:tc>
        <w:tc>
          <w:tcPr>
            <w:tcW w:w="601" w:type="dxa"/>
            <w:tcBorders>
              <w:top w:val="nil"/>
              <w:left w:val="nil"/>
              <w:bottom w:val="single" w:sz="8" w:space="0" w:color="FF0000"/>
              <w:right w:val="nil"/>
            </w:tcBorders>
            <w:shd w:val="clear" w:color="000000" w:fill="800000"/>
            <w:vAlign w:val="center"/>
            <w:hideMark/>
          </w:tcPr>
          <w:p w14:paraId="21C81BEE" w14:textId="77777777" w:rsidR="00532891" w:rsidRPr="00894701" w:rsidRDefault="00532891" w:rsidP="00532891">
            <w:pPr>
              <w:spacing w:after="0" w:line="240" w:lineRule="auto"/>
              <w:jc w:val="center"/>
              <w:rPr>
                <w:rFonts w:asciiTheme="majorHAnsi" w:hAnsiTheme="majorHAnsi" w:cs="Arial"/>
                <w:b/>
                <w:bCs/>
                <w:color w:val="FFFFFF"/>
                <w:kern w:val="0"/>
                <w:sz w:val="16"/>
                <w:szCs w:val="16"/>
                <w:lang w:val="fr-FR" w:eastAsia="fr-FR"/>
              </w:rPr>
            </w:pPr>
            <w:r w:rsidRPr="00894701">
              <w:rPr>
                <w:rFonts w:asciiTheme="majorHAnsi" w:hAnsiTheme="majorHAnsi" w:cs="Arial"/>
                <w:b/>
                <w:bCs/>
                <w:color w:val="FFFFFF"/>
                <w:kern w:val="0"/>
                <w:sz w:val="16"/>
                <w:szCs w:val="16"/>
                <w:lang w:val="fr-FR" w:eastAsia="fr-FR"/>
              </w:rPr>
              <w:t>% of voting rights</w:t>
            </w:r>
          </w:p>
        </w:tc>
        <w:tc>
          <w:tcPr>
            <w:tcW w:w="980" w:type="dxa"/>
            <w:tcBorders>
              <w:top w:val="nil"/>
              <w:left w:val="nil"/>
              <w:bottom w:val="single" w:sz="8" w:space="0" w:color="FF0000"/>
              <w:right w:val="nil"/>
            </w:tcBorders>
            <w:shd w:val="clear" w:color="000000" w:fill="800000"/>
            <w:vAlign w:val="center"/>
            <w:hideMark/>
          </w:tcPr>
          <w:p w14:paraId="14E42D17" w14:textId="77777777" w:rsidR="00532891" w:rsidRPr="00894701" w:rsidRDefault="00532891" w:rsidP="00532891">
            <w:pPr>
              <w:spacing w:after="0" w:line="240" w:lineRule="auto"/>
              <w:jc w:val="center"/>
              <w:rPr>
                <w:rFonts w:asciiTheme="majorHAnsi" w:hAnsiTheme="majorHAnsi" w:cs="Arial"/>
                <w:b/>
                <w:bCs/>
                <w:color w:val="FFFFFF"/>
                <w:kern w:val="0"/>
                <w:sz w:val="16"/>
                <w:szCs w:val="16"/>
                <w:lang w:eastAsia="fr-FR"/>
              </w:rPr>
            </w:pPr>
            <w:r w:rsidRPr="00894701">
              <w:rPr>
                <w:rFonts w:asciiTheme="majorHAnsi" w:hAnsiTheme="majorHAnsi" w:cs="Arial"/>
                <w:b/>
                <w:bCs/>
                <w:color w:val="FFFFFF"/>
                <w:kern w:val="0"/>
                <w:sz w:val="16"/>
                <w:szCs w:val="16"/>
                <w:lang w:eastAsia="fr-FR"/>
              </w:rPr>
              <w:t>Date when beneficial Interest was aquired</w:t>
            </w:r>
          </w:p>
        </w:tc>
        <w:tc>
          <w:tcPr>
            <w:tcW w:w="1254" w:type="dxa"/>
            <w:tcBorders>
              <w:top w:val="nil"/>
              <w:left w:val="nil"/>
              <w:bottom w:val="single" w:sz="8" w:space="0" w:color="FF0000"/>
              <w:right w:val="nil"/>
            </w:tcBorders>
            <w:shd w:val="clear" w:color="000000" w:fill="800000"/>
            <w:vAlign w:val="center"/>
            <w:hideMark/>
          </w:tcPr>
          <w:p w14:paraId="10A2849B" w14:textId="77777777" w:rsidR="00532891" w:rsidRPr="00894701" w:rsidRDefault="00532891" w:rsidP="00532891">
            <w:pPr>
              <w:spacing w:after="0" w:line="240" w:lineRule="auto"/>
              <w:jc w:val="center"/>
              <w:rPr>
                <w:rFonts w:asciiTheme="majorHAnsi" w:hAnsiTheme="majorHAnsi" w:cs="Arial"/>
                <w:b/>
                <w:bCs/>
                <w:color w:val="FFFFFF"/>
                <w:kern w:val="0"/>
                <w:sz w:val="16"/>
                <w:szCs w:val="16"/>
                <w:lang w:eastAsia="fr-FR"/>
              </w:rPr>
            </w:pPr>
            <w:r w:rsidRPr="00894701">
              <w:rPr>
                <w:rFonts w:asciiTheme="majorHAnsi" w:hAnsiTheme="majorHAnsi" w:cs="Arial"/>
                <w:b/>
                <w:bCs/>
                <w:color w:val="FFFFFF"/>
                <w:kern w:val="0"/>
                <w:sz w:val="16"/>
                <w:szCs w:val="16"/>
                <w:lang w:eastAsia="fr-FR"/>
              </w:rPr>
              <w:t>Politically exposed  person (Yes/No)</w:t>
            </w:r>
          </w:p>
        </w:tc>
        <w:tc>
          <w:tcPr>
            <w:tcW w:w="1160" w:type="dxa"/>
            <w:tcBorders>
              <w:top w:val="nil"/>
              <w:left w:val="nil"/>
              <w:bottom w:val="nil"/>
              <w:right w:val="nil"/>
            </w:tcBorders>
            <w:shd w:val="clear" w:color="000000" w:fill="800000"/>
            <w:vAlign w:val="center"/>
            <w:hideMark/>
          </w:tcPr>
          <w:p w14:paraId="45C5D918" w14:textId="77777777" w:rsidR="00532891" w:rsidRPr="00894701" w:rsidRDefault="00532891" w:rsidP="00532891">
            <w:pPr>
              <w:spacing w:after="0" w:line="240" w:lineRule="auto"/>
              <w:jc w:val="center"/>
              <w:rPr>
                <w:rFonts w:asciiTheme="majorHAnsi" w:hAnsiTheme="majorHAnsi" w:cs="Arial"/>
                <w:b/>
                <w:bCs/>
                <w:color w:val="FFFFFF"/>
                <w:kern w:val="0"/>
                <w:sz w:val="16"/>
                <w:szCs w:val="16"/>
                <w:lang w:val="fr-FR" w:eastAsia="fr-FR"/>
              </w:rPr>
            </w:pPr>
            <w:r w:rsidRPr="00894701">
              <w:rPr>
                <w:rFonts w:asciiTheme="majorHAnsi" w:hAnsiTheme="majorHAnsi" w:cs="Arial"/>
                <w:b/>
                <w:bCs/>
                <w:color w:val="FFFFFF"/>
                <w:kern w:val="0"/>
                <w:sz w:val="16"/>
                <w:szCs w:val="16"/>
                <w:lang w:val="fr-FR" w:eastAsia="fr-FR"/>
              </w:rPr>
              <w:t>Service address</w:t>
            </w:r>
          </w:p>
        </w:tc>
      </w:tr>
      <w:tr w:rsidR="00904D64" w:rsidRPr="00894701" w14:paraId="41EEB62A" w14:textId="77777777" w:rsidTr="00532891">
        <w:trPr>
          <w:trHeight w:val="276"/>
          <w:jc w:val="center"/>
        </w:trPr>
        <w:tc>
          <w:tcPr>
            <w:tcW w:w="341" w:type="dxa"/>
            <w:tcBorders>
              <w:top w:val="nil"/>
              <w:left w:val="nil"/>
              <w:bottom w:val="nil"/>
              <w:right w:val="nil"/>
            </w:tcBorders>
            <w:shd w:val="clear" w:color="000000" w:fill="FF9999"/>
            <w:noWrap/>
            <w:vAlign w:val="center"/>
            <w:hideMark/>
          </w:tcPr>
          <w:p w14:paraId="1FF33D60"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1</w:t>
            </w:r>
          </w:p>
        </w:tc>
        <w:tc>
          <w:tcPr>
            <w:tcW w:w="3487" w:type="dxa"/>
            <w:tcBorders>
              <w:top w:val="nil"/>
              <w:left w:val="nil"/>
              <w:bottom w:val="nil"/>
              <w:right w:val="nil"/>
            </w:tcBorders>
            <w:shd w:val="clear" w:color="000000" w:fill="FF9999"/>
            <w:noWrap/>
            <w:vAlign w:val="center"/>
            <w:hideMark/>
          </w:tcPr>
          <w:p w14:paraId="51865501"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Kosmos Energy Suriname</w:t>
            </w:r>
          </w:p>
        </w:tc>
        <w:tc>
          <w:tcPr>
            <w:tcW w:w="1616" w:type="dxa"/>
            <w:tcBorders>
              <w:top w:val="nil"/>
              <w:left w:val="nil"/>
              <w:bottom w:val="nil"/>
              <w:right w:val="nil"/>
            </w:tcBorders>
            <w:shd w:val="clear" w:color="000000" w:fill="FF9999"/>
            <w:noWrap/>
            <w:vAlign w:val="center"/>
            <w:hideMark/>
          </w:tcPr>
          <w:p w14:paraId="2977EBFE"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Kosmos Energy Ltd. ("KEL")</w:t>
            </w:r>
          </w:p>
        </w:tc>
        <w:tc>
          <w:tcPr>
            <w:tcW w:w="287" w:type="dxa"/>
            <w:tcBorders>
              <w:top w:val="nil"/>
              <w:left w:val="nil"/>
              <w:bottom w:val="nil"/>
              <w:right w:val="nil"/>
            </w:tcBorders>
            <w:shd w:val="clear" w:color="000000" w:fill="FFFFFF"/>
            <w:noWrap/>
            <w:vAlign w:val="center"/>
            <w:hideMark/>
          </w:tcPr>
          <w:p w14:paraId="78A546F0"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 </w:t>
            </w:r>
          </w:p>
        </w:tc>
        <w:tc>
          <w:tcPr>
            <w:tcW w:w="1003" w:type="dxa"/>
            <w:tcBorders>
              <w:top w:val="nil"/>
              <w:left w:val="nil"/>
              <w:bottom w:val="nil"/>
              <w:right w:val="nil"/>
            </w:tcBorders>
            <w:shd w:val="clear" w:color="000000" w:fill="FF9999"/>
            <w:noWrap/>
            <w:vAlign w:val="center"/>
            <w:hideMark/>
          </w:tcPr>
          <w:p w14:paraId="779F52F4"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Cayman Islands</w:t>
            </w:r>
          </w:p>
        </w:tc>
        <w:tc>
          <w:tcPr>
            <w:tcW w:w="2396" w:type="dxa"/>
            <w:tcBorders>
              <w:top w:val="nil"/>
              <w:left w:val="nil"/>
              <w:bottom w:val="nil"/>
              <w:right w:val="nil"/>
            </w:tcBorders>
            <w:shd w:val="clear" w:color="000000" w:fill="FF9999"/>
            <w:noWrap/>
            <w:vAlign w:val="center"/>
            <w:hideMark/>
          </w:tcPr>
          <w:p w14:paraId="363E5EE4" w14:textId="77777777" w:rsidR="00532891" w:rsidRPr="00894701" w:rsidRDefault="00532891" w:rsidP="00532891">
            <w:pPr>
              <w:spacing w:after="0" w:line="240" w:lineRule="auto"/>
              <w:jc w:val="center"/>
              <w:rPr>
                <w:rFonts w:asciiTheme="majorHAnsi" w:hAnsiTheme="majorHAnsi" w:cs="Arial"/>
                <w:color w:val="auto"/>
                <w:kern w:val="0"/>
                <w:sz w:val="16"/>
                <w:szCs w:val="16"/>
                <w:lang w:eastAsia="fr-FR"/>
              </w:rPr>
            </w:pPr>
            <w:r w:rsidRPr="00894701">
              <w:rPr>
                <w:rFonts w:asciiTheme="majorHAnsi" w:hAnsiTheme="majorHAnsi" w:cs="Arial"/>
                <w:color w:val="auto"/>
                <w:kern w:val="0"/>
                <w:sz w:val="16"/>
                <w:szCs w:val="16"/>
                <w:lang w:eastAsia="fr-FR"/>
              </w:rPr>
              <w:t>Registered Address in Cayman Islands - 4th Floor Century Yard, Elgin Avenue, George Town, Cayman Islands KYI -1209</w:t>
            </w:r>
          </w:p>
        </w:tc>
        <w:tc>
          <w:tcPr>
            <w:tcW w:w="733" w:type="dxa"/>
            <w:tcBorders>
              <w:top w:val="nil"/>
              <w:left w:val="nil"/>
              <w:bottom w:val="nil"/>
              <w:right w:val="nil"/>
            </w:tcBorders>
            <w:shd w:val="clear" w:color="000000" w:fill="FF9999"/>
            <w:noWrap/>
            <w:vAlign w:val="center"/>
            <w:hideMark/>
          </w:tcPr>
          <w:p w14:paraId="11CB1B3C"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NC</w:t>
            </w:r>
          </w:p>
        </w:tc>
        <w:tc>
          <w:tcPr>
            <w:tcW w:w="550" w:type="dxa"/>
            <w:tcBorders>
              <w:top w:val="nil"/>
              <w:left w:val="nil"/>
              <w:bottom w:val="nil"/>
              <w:right w:val="nil"/>
            </w:tcBorders>
            <w:shd w:val="clear" w:color="000000" w:fill="FF9999"/>
            <w:noWrap/>
            <w:vAlign w:val="center"/>
            <w:hideMark/>
          </w:tcPr>
          <w:p w14:paraId="37E08E6F"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100%</w:t>
            </w:r>
          </w:p>
        </w:tc>
        <w:tc>
          <w:tcPr>
            <w:tcW w:w="733" w:type="dxa"/>
            <w:tcBorders>
              <w:top w:val="nil"/>
              <w:left w:val="nil"/>
              <w:bottom w:val="nil"/>
              <w:right w:val="nil"/>
            </w:tcBorders>
            <w:shd w:val="clear" w:color="000000" w:fill="FF9999"/>
            <w:noWrap/>
            <w:vAlign w:val="center"/>
            <w:hideMark/>
          </w:tcPr>
          <w:p w14:paraId="3CC516A9"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N/A</w:t>
            </w:r>
          </w:p>
        </w:tc>
        <w:tc>
          <w:tcPr>
            <w:tcW w:w="601" w:type="dxa"/>
            <w:tcBorders>
              <w:top w:val="nil"/>
              <w:left w:val="nil"/>
              <w:bottom w:val="nil"/>
              <w:right w:val="nil"/>
            </w:tcBorders>
            <w:shd w:val="clear" w:color="000000" w:fill="FF9999"/>
            <w:noWrap/>
            <w:vAlign w:val="center"/>
            <w:hideMark/>
          </w:tcPr>
          <w:p w14:paraId="70031F2B"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N/A</w:t>
            </w:r>
          </w:p>
        </w:tc>
        <w:tc>
          <w:tcPr>
            <w:tcW w:w="980" w:type="dxa"/>
            <w:tcBorders>
              <w:top w:val="nil"/>
              <w:left w:val="nil"/>
              <w:bottom w:val="nil"/>
              <w:right w:val="nil"/>
            </w:tcBorders>
            <w:shd w:val="clear" w:color="000000" w:fill="FF9999"/>
            <w:noWrap/>
            <w:vAlign w:val="center"/>
            <w:hideMark/>
          </w:tcPr>
          <w:p w14:paraId="42CFA34A"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13/05/2011</w:t>
            </w:r>
          </w:p>
        </w:tc>
        <w:tc>
          <w:tcPr>
            <w:tcW w:w="1254" w:type="dxa"/>
            <w:tcBorders>
              <w:top w:val="nil"/>
              <w:left w:val="nil"/>
              <w:bottom w:val="nil"/>
              <w:right w:val="nil"/>
            </w:tcBorders>
            <w:shd w:val="clear" w:color="000000" w:fill="FF9999"/>
            <w:noWrap/>
            <w:vAlign w:val="center"/>
            <w:hideMark/>
          </w:tcPr>
          <w:p w14:paraId="32B832AA"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N/A</w:t>
            </w:r>
          </w:p>
        </w:tc>
        <w:tc>
          <w:tcPr>
            <w:tcW w:w="1160" w:type="dxa"/>
            <w:tcBorders>
              <w:top w:val="nil"/>
              <w:left w:val="nil"/>
              <w:bottom w:val="nil"/>
              <w:right w:val="nil"/>
            </w:tcBorders>
            <w:shd w:val="clear" w:color="000000" w:fill="FF9999"/>
            <w:noWrap/>
            <w:vAlign w:val="center"/>
            <w:hideMark/>
          </w:tcPr>
          <w:p w14:paraId="5F7C62FF"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N/A</w:t>
            </w:r>
          </w:p>
        </w:tc>
      </w:tr>
      <w:tr w:rsidR="00904D64" w:rsidRPr="00894701" w14:paraId="797EA75D" w14:textId="77777777" w:rsidTr="00532891">
        <w:trPr>
          <w:trHeight w:val="264"/>
          <w:jc w:val="center"/>
        </w:trPr>
        <w:tc>
          <w:tcPr>
            <w:tcW w:w="341" w:type="dxa"/>
            <w:tcBorders>
              <w:top w:val="nil"/>
              <w:left w:val="nil"/>
              <w:bottom w:val="nil"/>
              <w:right w:val="nil"/>
            </w:tcBorders>
            <w:shd w:val="clear" w:color="000000" w:fill="FFFFFF"/>
            <w:noWrap/>
            <w:vAlign w:val="center"/>
            <w:hideMark/>
          </w:tcPr>
          <w:p w14:paraId="7DCF47D0"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2</w:t>
            </w:r>
          </w:p>
        </w:tc>
        <w:tc>
          <w:tcPr>
            <w:tcW w:w="3487" w:type="dxa"/>
            <w:tcBorders>
              <w:top w:val="nil"/>
              <w:left w:val="nil"/>
              <w:bottom w:val="nil"/>
              <w:right w:val="nil"/>
            </w:tcBorders>
            <w:shd w:val="clear" w:color="000000" w:fill="FFFFFF"/>
            <w:noWrap/>
            <w:vAlign w:val="center"/>
            <w:hideMark/>
          </w:tcPr>
          <w:p w14:paraId="1402FF9C"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Tullow Oil Plc</w:t>
            </w:r>
          </w:p>
        </w:tc>
        <w:tc>
          <w:tcPr>
            <w:tcW w:w="1616" w:type="dxa"/>
            <w:tcBorders>
              <w:top w:val="nil"/>
              <w:left w:val="nil"/>
              <w:bottom w:val="nil"/>
              <w:right w:val="nil"/>
            </w:tcBorders>
            <w:shd w:val="clear" w:color="000000" w:fill="FFFFFF"/>
            <w:noWrap/>
            <w:vAlign w:val="center"/>
            <w:hideMark/>
          </w:tcPr>
          <w:p w14:paraId="5214BFB0"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NS</w:t>
            </w:r>
          </w:p>
        </w:tc>
        <w:tc>
          <w:tcPr>
            <w:tcW w:w="287" w:type="dxa"/>
            <w:tcBorders>
              <w:top w:val="nil"/>
              <w:left w:val="nil"/>
              <w:bottom w:val="nil"/>
              <w:right w:val="nil"/>
            </w:tcBorders>
            <w:shd w:val="clear" w:color="000000" w:fill="FFFFFF"/>
            <w:noWrap/>
            <w:vAlign w:val="center"/>
            <w:hideMark/>
          </w:tcPr>
          <w:p w14:paraId="010AAFBD"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 </w:t>
            </w:r>
          </w:p>
        </w:tc>
        <w:tc>
          <w:tcPr>
            <w:tcW w:w="1003" w:type="dxa"/>
            <w:tcBorders>
              <w:top w:val="nil"/>
              <w:left w:val="nil"/>
              <w:bottom w:val="nil"/>
              <w:right w:val="nil"/>
            </w:tcBorders>
            <w:shd w:val="clear" w:color="000000" w:fill="FFFFFF"/>
            <w:noWrap/>
            <w:vAlign w:val="center"/>
            <w:hideMark/>
          </w:tcPr>
          <w:p w14:paraId="12048F40"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NS</w:t>
            </w:r>
          </w:p>
        </w:tc>
        <w:tc>
          <w:tcPr>
            <w:tcW w:w="2396" w:type="dxa"/>
            <w:tcBorders>
              <w:top w:val="nil"/>
              <w:left w:val="nil"/>
              <w:bottom w:val="nil"/>
              <w:right w:val="nil"/>
            </w:tcBorders>
            <w:shd w:val="clear" w:color="000000" w:fill="FFFFFF"/>
            <w:noWrap/>
            <w:vAlign w:val="center"/>
            <w:hideMark/>
          </w:tcPr>
          <w:p w14:paraId="53F83675"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NS</w:t>
            </w:r>
          </w:p>
        </w:tc>
        <w:tc>
          <w:tcPr>
            <w:tcW w:w="733" w:type="dxa"/>
            <w:tcBorders>
              <w:top w:val="nil"/>
              <w:left w:val="nil"/>
              <w:bottom w:val="nil"/>
              <w:right w:val="nil"/>
            </w:tcBorders>
            <w:shd w:val="clear" w:color="000000" w:fill="FFFFFF"/>
            <w:noWrap/>
            <w:vAlign w:val="center"/>
            <w:hideMark/>
          </w:tcPr>
          <w:p w14:paraId="744E1249"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NS</w:t>
            </w:r>
          </w:p>
        </w:tc>
        <w:tc>
          <w:tcPr>
            <w:tcW w:w="550" w:type="dxa"/>
            <w:tcBorders>
              <w:top w:val="nil"/>
              <w:left w:val="nil"/>
              <w:bottom w:val="nil"/>
              <w:right w:val="nil"/>
            </w:tcBorders>
            <w:shd w:val="clear" w:color="000000" w:fill="FFFFFF"/>
            <w:noWrap/>
            <w:vAlign w:val="center"/>
            <w:hideMark/>
          </w:tcPr>
          <w:p w14:paraId="722072B4"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NS</w:t>
            </w:r>
          </w:p>
        </w:tc>
        <w:tc>
          <w:tcPr>
            <w:tcW w:w="733" w:type="dxa"/>
            <w:tcBorders>
              <w:top w:val="nil"/>
              <w:left w:val="nil"/>
              <w:bottom w:val="nil"/>
              <w:right w:val="nil"/>
            </w:tcBorders>
            <w:shd w:val="clear" w:color="000000" w:fill="FFFFFF"/>
            <w:noWrap/>
            <w:vAlign w:val="center"/>
            <w:hideMark/>
          </w:tcPr>
          <w:p w14:paraId="61DD4AB7"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NS</w:t>
            </w:r>
          </w:p>
        </w:tc>
        <w:tc>
          <w:tcPr>
            <w:tcW w:w="601" w:type="dxa"/>
            <w:tcBorders>
              <w:top w:val="nil"/>
              <w:left w:val="nil"/>
              <w:bottom w:val="nil"/>
              <w:right w:val="nil"/>
            </w:tcBorders>
            <w:shd w:val="clear" w:color="000000" w:fill="FFFFFF"/>
            <w:noWrap/>
            <w:vAlign w:val="center"/>
            <w:hideMark/>
          </w:tcPr>
          <w:p w14:paraId="01883AE8"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NS</w:t>
            </w:r>
          </w:p>
        </w:tc>
        <w:tc>
          <w:tcPr>
            <w:tcW w:w="980" w:type="dxa"/>
            <w:tcBorders>
              <w:top w:val="nil"/>
              <w:left w:val="nil"/>
              <w:bottom w:val="nil"/>
              <w:right w:val="nil"/>
            </w:tcBorders>
            <w:shd w:val="clear" w:color="000000" w:fill="FFFFFF"/>
            <w:noWrap/>
            <w:vAlign w:val="center"/>
            <w:hideMark/>
          </w:tcPr>
          <w:p w14:paraId="62488363"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NS</w:t>
            </w:r>
          </w:p>
        </w:tc>
        <w:tc>
          <w:tcPr>
            <w:tcW w:w="1254" w:type="dxa"/>
            <w:tcBorders>
              <w:top w:val="nil"/>
              <w:left w:val="nil"/>
              <w:bottom w:val="nil"/>
              <w:right w:val="nil"/>
            </w:tcBorders>
            <w:shd w:val="clear" w:color="000000" w:fill="FFFFFF"/>
            <w:noWrap/>
            <w:vAlign w:val="center"/>
            <w:hideMark/>
          </w:tcPr>
          <w:p w14:paraId="12E55425"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NS</w:t>
            </w:r>
          </w:p>
        </w:tc>
        <w:tc>
          <w:tcPr>
            <w:tcW w:w="1160" w:type="dxa"/>
            <w:tcBorders>
              <w:top w:val="nil"/>
              <w:left w:val="nil"/>
              <w:bottom w:val="nil"/>
              <w:right w:val="nil"/>
            </w:tcBorders>
            <w:shd w:val="clear" w:color="000000" w:fill="FFFFFF"/>
            <w:noWrap/>
            <w:vAlign w:val="center"/>
            <w:hideMark/>
          </w:tcPr>
          <w:p w14:paraId="02D9D2F5"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NS</w:t>
            </w:r>
          </w:p>
        </w:tc>
      </w:tr>
      <w:tr w:rsidR="00904D64" w:rsidRPr="00894701" w14:paraId="569D3BD1" w14:textId="77777777" w:rsidTr="00532891">
        <w:trPr>
          <w:trHeight w:val="264"/>
          <w:jc w:val="center"/>
        </w:trPr>
        <w:tc>
          <w:tcPr>
            <w:tcW w:w="341" w:type="dxa"/>
            <w:tcBorders>
              <w:top w:val="nil"/>
              <w:left w:val="nil"/>
              <w:bottom w:val="nil"/>
              <w:right w:val="nil"/>
            </w:tcBorders>
            <w:shd w:val="clear" w:color="000000" w:fill="FF9999"/>
            <w:noWrap/>
            <w:vAlign w:val="center"/>
            <w:hideMark/>
          </w:tcPr>
          <w:p w14:paraId="0AE79AFE"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3</w:t>
            </w:r>
          </w:p>
        </w:tc>
        <w:tc>
          <w:tcPr>
            <w:tcW w:w="3487" w:type="dxa"/>
            <w:tcBorders>
              <w:top w:val="nil"/>
              <w:left w:val="nil"/>
              <w:bottom w:val="nil"/>
              <w:right w:val="nil"/>
            </w:tcBorders>
            <w:shd w:val="clear" w:color="000000" w:fill="FF9999"/>
            <w:noWrap/>
            <w:vAlign w:val="center"/>
            <w:hideMark/>
          </w:tcPr>
          <w:p w14:paraId="7231C495" w14:textId="77777777" w:rsidR="00532891" w:rsidRPr="00894701" w:rsidRDefault="00532891" w:rsidP="00532891">
            <w:pPr>
              <w:spacing w:after="0" w:line="240" w:lineRule="auto"/>
              <w:rPr>
                <w:rFonts w:asciiTheme="majorHAnsi" w:hAnsiTheme="majorHAnsi" w:cs="Arial"/>
                <w:color w:val="auto"/>
                <w:kern w:val="0"/>
                <w:sz w:val="16"/>
                <w:szCs w:val="16"/>
                <w:lang w:eastAsia="fr-FR"/>
              </w:rPr>
            </w:pPr>
            <w:r w:rsidRPr="00894701">
              <w:rPr>
                <w:rFonts w:asciiTheme="majorHAnsi" w:hAnsiTheme="majorHAnsi" w:cs="Arial"/>
                <w:color w:val="auto"/>
                <w:kern w:val="0"/>
                <w:sz w:val="16"/>
                <w:szCs w:val="16"/>
                <w:lang w:eastAsia="fr-FR"/>
              </w:rPr>
              <w:t xml:space="preserve">Total E&amp;P Suriname B.V. </w:t>
            </w:r>
          </w:p>
        </w:tc>
        <w:tc>
          <w:tcPr>
            <w:tcW w:w="1616" w:type="dxa"/>
            <w:tcBorders>
              <w:top w:val="nil"/>
              <w:left w:val="nil"/>
              <w:bottom w:val="nil"/>
              <w:right w:val="nil"/>
            </w:tcBorders>
            <w:shd w:val="clear" w:color="000000" w:fill="FF9999"/>
            <w:noWrap/>
            <w:vAlign w:val="center"/>
            <w:hideMark/>
          </w:tcPr>
          <w:p w14:paraId="7A4F7ED0"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N/A</w:t>
            </w:r>
          </w:p>
        </w:tc>
        <w:tc>
          <w:tcPr>
            <w:tcW w:w="287" w:type="dxa"/>
            <w:tcBorders>
              <w:top w:val="nil"/>
              <w:left w:val="nil"/>
              <w:bottom w:val="nil"/>
              <w:right w:val="nil"/>
            </w:tcBorders>
            <w:shd w:val="clear" w:color="000000" w:fill="FFFFFF"/>
            <w:noWrap/>
            <w:vAlign w:val="center"/>
            <w:hideMark/>
          </w:tcPr>
          <w:p w14:paraId="56C0E6F9"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 </w:t>
            </w:r>
          </w:p>
        </w:tc>
        <w:tc>
          <w:tcPr>
            <w:tcW w:w="1003" w:type="dxa"/>
            <w:tcBorders>
              <w:top w:val="nil"/>
              <w:left w:val="nil"/>
              <w:bottom w:val="nil"/>
              <w:right w:val="nil"/>
            </w:tcBorders>
            <w:shd w:val="clear" w:color="000000" w:fill="FF9999"/>
            <w:noWrap/>
            <w:vAlign w:val="center"/>
            <w:hideMark/>
          </w:tcPr>
          <w:p w14:paraId="4169D093"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N/A</w:t>
            </w:r>
          </w:p>
        </w:tc>
        <w:tc>
          <w:tcPr>
            <w:tcW w:w="2396" w:type="dxa"/>
            <w:tcBorders>
              <w:top w:val="nil"/>
              <w:left w:val="nil"/>
              <w:bottom w:val="nil"/>
              <w:right w:val="nil"/>
            </w:tcBorders>
            <w:shd w:val="clear" w:color="000000" w:fill="FF9999"/>
            <w:noWrap/>
            <w:vAlign w:val="center"/>
            <w:hideMark/>
          </w:tcPr>
          <w:p w14:paraId="13736362"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N/A</w:t>
            </w:r>
          </w:p>
        </w:tc>
        <w:tc>
          <w:tcPr>
            <w:tcW w:w="733" w:type="dxa"/>
            <w:tcBorders>
              <w:top w:val="nil"/>
              <w:left w:val="nil"/>
              <w:bottom w:val="nil"/>
              <w:right w:val="nil"/>
            </w:tcBorders>
            <w:shd w:val="clear" w:color="000000" w:fill="FF9999"/>
            <w:noWrap/>
            <w:vAlign w:val="center"/>
            <w:hideMark/>
          </w:tcPr>
          <w:p w14:paraId="4CB8611F"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N/A</w:t>
            </w:r>
          </w:p>
        </w:tc>
        <w:tc>
          <w:tcPr>
            <w:tcW w:w="550" w:type="dxa"/>
            <w:tcBorders>
              <w:top w:val="nil"/>
              <w:left w:val="nil"/>
              <w:bottom w:val="nil"/>
              <w:right w:val="nil"/>
            </w:tcBorders>
            <w:shd w:val="clear" w:color="000000" w:fill="FF9999"/>
            <w:noWrap/>
            <w:vAlign w:val="center"/>
            <w:hideMark/>
          </w:tcPr>
          <w:p w14:paraId="5872B6C8"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N/A</w:t>
            </w:r>
          </w:p>
        </w:tc>
        <w:tc>
          <w:tcPr>
            <w:tcW w:w="733" w:type="dxa"/>
            <w:tcBorders>
              <w:top w:val="nil"/>
              <w:left w:val="nil"/>
              <w:bottom w:val="nil"/>
              <w:right w:val="nil"/>
            </w:tcBorders>
            <w:shd w:val="clear" w:color="000000" w:fill="FF9999"/>
            <w:noWrap/>
            <w:vAlign w:val="center"/>
            <w:hideMark/>
          </w:tcPr>
          <w:p w14:paraId="43DAEC4D"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N/A</w:t>
            </w:r>
          </w:p>
        </w:tc>
        <w:tc>
          <w:tcPr>
            <w:tcW w:w="601" w:type="dxa"/>
            <w:tcBorders>
              <w:top w:val="nil"/>
              <w:left w:val="nil"/>
              <w:bottom w:val="nil"/>
              <w:right w:val="nil"/>
            </w:tcBorders>
            <w:shd w:val="clear" w:color="000000" w:fill="FF9999"/>
            <w:noWrap/>
            <w:vAlign w:val="center"/>
            <w:hideMark/>
          </w:tcPr>
          <w:p w14:paraId="40A8110D"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N/A</w:t>
            </w:r>
          </w:p>
        </w:tc>
        <w:tc>
          <w:tcPr>
            <w:tcW w:w="980" w:type="dxa"/>
            <w:tcBorders>
              <w:top w:val="nil"/>
              <w:left w:val="nil"/>
              <w:bottom w:val="nil"/>
              <w:right w:val="nil"/>
            </w:tcBorders>
            <w:shd w:val="clear" w:color="000000" w:fill="FF9999"/>
            <w:noWrap/>
            <w:vAlign w:val="center"/>
            <w:hideMark/>
          </w:tcPr>
          <w:p w14:paraId="0AA2F9B7"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N/A</w:t>
            </w:r>
          </w:p>
        </w:tc>
        <w:tc>
          <w:tcPr>
            <w:tcW w:w="1254" w:type="dxa"/>
            <w:tcBorders>
              <w:top w:val="nil"/>
              <w:left w:val="nil"/>
              <w:bottom w:val="nil"/>
              <w:right w:val="nil"/>
            </w:tcBorders>
            <w:shd w:val="clear" w:color="000000" w:fill="FF9999"/>
            <w:noWrap/>
            <w:vAlign w:val="center"/>
            <w:hideMark/>
          </w:tcPr>
          <w:p w14:paraId="29529ABA"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N/A</w:t>
            </w:r>
          </w:p>
        </w:tc>
        <w:tc>
          <w:tcPr>
            <w:tcW w:w="1160" w:type="dxa"/>
            <w:tcBorders>
              <w:top w:val="nil"/>
              <w:left w:val="nil"/>
              <w:bottom w:val="nil"/>
              <w:right w:val="nil"/>
            </w:tcBorders>
            <w:shd w:val="clear" w:color="000000" w:fill="FF9999"/>
            <w:noWrap/>
            <w:vAlign w:val="center"/>
            <w:hideMark/>
          </w:tcPr>
          <w:p w14:paraId="6106A2B7"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N/A</w:t>
            </w:r>
          </w:p>
        </w:tc>
      </w:tr>
      <w:tr w:rsidR="00904D64" w:rsidRPr="00894701" w14:paraId="5B16766D" w14:textId="77777777" w:rsidTr="00532891">
        <w:trPr>
          <w:trHeight w:val="276"/>
          <w:jc w:val="center"/>
        </w:trPr>
        <w:tc>
          <w:tcPr>
            <w:tcW w:w="341" w:type="dxa"/>
            <w:tcBorders>
              <w:top w:val="nil"/>
              <w:left w:val="nil"/>
              <w:bottom w:val="nil"/>
              <w:right w:val="nil"/>
            </w:tcBorders>
            <w:shd w:val="clear" w:color="000000" w:fill="FFFFFF"/>
            <w:noWrap/>
            <w:vAlign w:val="center"/>
            <w:hideMark/>
          </w:tcPr>
          <w:p w14:paraId="690CABFF"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4</w:t>
            </w:r>
          </w:p>
        </w:tc>
        <w:tc>
          <w:tcPr>
            <w:tcW w:w="3487" w:type="dxa"/>
            <w:tcBorders>
              <w:top w:val="nil"/>
              <w:left w:val="nil"/>
              <w:bottom w:val="nil"/>
              <w:right w:val="nil"/>
            </w:tcBorders>
            <w:shd w:val="clear" w:color="000000" w:fill="FFFFFF"/>
            <w:noWrap/>
            <w:vAlign w:val="center"/>
            <w:hideMark/>
          </w:tcPr>
          <w:p w14:paraId="262F4522"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Capricorn Energy Plc</w:t>
            </w:r>
          </w:p>
        </w:tc>
        <w:tc>
          <w:tcPr>
            <w:tcW w:w="1616" w:type="dxa"/>
            <w:tcBorders>
              <w:top w:val="nil"/>
              <w:left w:val="nil"/>
              <w:bottom w:val="nil"/>
              <w:right w:val="nil"/>
            </w:tcBorders>
            <w:shd w:val="clear" w:color="000000" w:fill="FFFFFF"/>
            <w:noWrap/>
            <w:vAlign w:val="center"/>
            <w:hideMark/>
          </w:tcPr>
          <w:p w14:paraId="7E7BE79D"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Capricorn Energy Holdings Limited</w:t>
            </w:r>
          </w:p>
        </w:tc>
        <w:tc>
          <w:tcPr>
            <w:tcW w:w="287" w:type="dxa"/>
            <w:tcBorders>
              <w:top w:val="nil"/>
              <w:left w:val="nil"/>
              <w:bottom w:val="nil"/>
              <w:right w:val="nil"/>
            </w:tcBorders>
            <w:shd w:val="clear" w:color="000000" w:fill="FFFFFF"/>
            <w:noWrap/>
            <w:vAlign w:val="center"/>
            <w:hideMark/>
          </w:tcPr>
          <w:p w14:paraId="72717010"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 </w:t>
            </w:r>
          </w:p>
        </w:tc>
        <w:tc>
          <w:tcPr>
            <w:tcW w:w="1003" w:type="dxa"/>
            <w:tcBorders>
              <w:top w:val="nil"/>
              <w:left w:val="nil"/>
              <w:bottom w:val="nil"/>
              <w:right w:val="nil"/>
            </w:tcBorders>
            <w:shd w:val="clear" w:color="000000" w:fill="FFFFFF"/>
            <w:noWrap/>
            <w:vAlign w:val="center"/>
            <w:hideMark/>
          </w:tcPr>
          <w:p w14:paraId="04E503BC"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Scotland</w:t>
            </w:r>
          </w:p>
        </w:tc>
        <w:tc>
          <w:tcPr>
            <w:tcW w:w="2396" w:type="dxa"/>
            <w:tcBorders>
              <w:top w:val="nil"/>
              <w:left w:val="nil"/>
              <w:bottom w:val="nil"/>
              <w:right w:val="nil"/>
            </w:tcBorders>
            <w:shd w:val="clear" w:color="000000" w:fill="FFFFFF"/>
            <w:noWrap/>
            <w:vAlign w:val="center"/>
            <w:hideMark/>
          </w:tcPr>
          <w:p w14:paraId="60CD08C1"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United Kingdom</w:t>
            </w:r>
          </w:p>
        </w:tc>
        <w:tc>
          <w:tcPr>
            <w:tcW w:w="733" w:type="dxa"/>
            <w:tcBorders>
              <w:top w:val="nil"/>
              <w:left w:val="nil"/>
              <w:bottom w:val="nil"/>
              <w:right w:val="nil"/>
            </w:tcBorders>
            <w:shd w:val="clear" w:color="000000" w:fill="FFFFFF"/>
            <w:noWrap/>
            <w:vAlign w:val="center"/>
            <w:hideMark/>
          </w:tcPr>
          <w:p w14:paraId="34D5BC90"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NC</w:t>
            </w:r>
          </w:p>
        </w:tc>
        <w:tc>
          <w:tcPr>
            <w:tcW w:w="550" w:type="dxa"/>
            <w:tcBorders>
              <w:top w:val="nil"/>
              <w:left w:val="nil"/>
              <w:bottom w:val="nil"/>
              <w:right w:val="nil"/>
            </w:tcBorders>
            <w:shd w:val="clear" w:color="000000" w:fill="FFFFFF"/>
            <w:noWrap/>
            <w:vAlign w:val="center"/>
            <w:hideMark/>
          </w:tcPr>
          <w:p w14:paraId="06AFC219"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100%</w:t>
            </w:r>
          </w:p>
        </w:tc>
        <w:tc>
          <w:tcPr>
            <w:tcW w:w="733" w:type="dxa"/>
            <w:tcBorders>
              <w:top w:val="nil"/>
              <w:left w:val="nil"/>
              <w:bottom w:val="nil"/>
              <w:right w:val="nil"/>
            </w:tcBorders>
            <w:shd w:val="clear" w:color="000000" w:fill="FFFFFF"/>
            <w:noWrap/>
            <w:vAlign w:val="center"/>
            <w:hideMark/>
          </w:tcPr>
          <w:p w14:paraId="1FB5EE22"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NC</w:t>
            </w:r>
          </w:p>
        </w:tc>
        <w:tc>
          <w:tcPr>
            <w:tcW w:w="601" w:type="dxa"/>
            <w:tcBorders>
              <w:top w:val="nil"/>
              <w:left w:val="nil"/>
              <w:bottom w:val="nil"/>
              <w:right w:val="nil"/>
            </w:tcBorders>
            <w:shd w:val="clear" w:color="000000" w:fill="FFFFFF"/>
            <w:noWrap/>
            <w:vAlign w:val="center"/>
            <w:hideMark/>
          </w:tcPr>
          <w:p w14:paraId="217D58E8"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NC</w:t>
            </w:r>
          </w:p>
        </w:tc>
        <w:tc>
          <w:tcPr>
            <w:tcW w:w="980" w:type="dxa"/>
            <w:tcBorders>
              <w:top w:val="nil"/>
              <w:left w:val="nil"/>
              <w:bottom w:val="nil"/>
              <w:right w:val="nil"/>
            </w:tcBorders>
            <w:shd w:val="clear" w:color="000000" w:fill="FFFFFF"/>
            <w:noWrap/>
            <w:vAlign w:val="center"/>
            <w:hideMark/>
          </w:tcPr>
          <w:p w14:paraId="60C88BDA"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NC</w:t>
            </w:r>
          </w:p>
        </w:tc>
        <w:tc>
          <w:tcPr>
            <w:tcW w:w="1254" w:type="dxa"/>
            <w:tcBorders>
              <w:top w:val="nil"/>
              <w:left w:val="nil"/>
              <w:bottom w:val="nil"/>
              <w:right w:val="nil"/>
            </w:tcBorders>
            <w:shd w:val="clear" w:color="000000" w:fill="FFFFFF"/>
            <w:noWrap/>
            <w:vAlign w:val="center"/>
            <w:hideMark/>
          </w:tcPr>
          <w:p w14:paraId="08AA26A8"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NC</w:t>
            </w:r>
          </w:p>
        </w:tc>
        <w:tc>
          <w:tcPr>
            <w:tcW w:w="1160" w:type="dxa"/>
            <w:tcBorders>
              <w:top w:val="nil"/>
              <w:left w:val="nil"/>
              <w:bottom w:val="nil"/>
              <w:right w:val="nil"/>
            </w:tcBorders>
            <w:shd w:val="clear" w:color="000000" w:fill="FFFFFF"/>
            <w:noWrap/>
            <w:vAlign w:val="center"/>
            <w:hideMark/>
          </w:tcPr>
          <w:p w14:paraId="0299A332"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NC</w:t>
            </w:r>
          </w:p>
        </w:tc>
      </w:tr>
      <w:tr w:rsidR="00904D64" w:rsidRPr="00894701" w14:paraId="5219EB7D" w14:textId="77777777" w:rsidTr="00532891">
        <w:trPr>
          <w:trHeight w:val="276"/>
          <w:jc w:val="center"/>
        </w:trPr>
        <w:tc>
          <w:tcPr>
            <w:tcW w:w="341" w:type="dxa"/>
            <w:tcBorders>
              <w:top w:val="nil"/>
              <w:left w:val="nil"/>
              <w:bottom w:val="nil"/>
              <w:right w:val="nil"/>
            </w:tcBorders>
            <w:shd w:val="clear" w:color="000000" w:fill="FF9999"/>
            <w:noWrap/>
            <w:vAlign w:val="center"/>
            <w:hideMark/>
          </w:tcPr>
          <w:p w14:paraId="07CA1576"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5</w:t>
            </w:r>
          </w:p>
        </w:tc>
        <w:tc>
          <w:tcPr>
            <w:tcW w:w="3487" w:type="dxa"/>
            <w:tcBorders>
              <w:top w:val="nil"/>
              <w:left w:val="nil"/>
              <w:bottom w:val="nil"/>
              <w:right w:val="nil"/>
            </w:tcBorders>
            <w:shd w:val="clear" w:color="000000" w:fill="FF9999"/>
            <w:noWrap/>
            <w:vAlign w:val="center"/>
            <w:hideMark/>
          </w:tcPr>
          <w:p w14:paraId="6EA5FC86"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Petronas Suriname Exploration &amp; production B.V.</w:t>
            </w:r>
          </w:p>
        </w:tc>
        <w:tc>
          <w:tcPr>
            <w:tcW w:w="1616" w:type="dxa"/>
            <w:tcBorders>
              <w:top w:val="nil"/>
              <w:left w:val="nil"/>
              <w:bottom w:val="nil"/>
              <w:right w:val="nil"/>
            </w:tcBorders>
            <w:shd w:val="clear" w:color="000000" w:fill="FF9999"/>
            <w:noWrap/>
            <w:vAlign w:val="center"/>
            <w:hideMark/>
          </w:tcPr>
          <w:p w14:paraId="70D58468" w14:textId="77777777" w:rsidR="00532891" w:rsidRPr="001307EB" w:rsidRDefault="00532891" w:rsidP="00532891">
            <w:pPr>
              <w:spacing w:after="0" w:line="240" w:lineRule="auto"/>
              <w:jc w:val="center"/>
              <w:rPr>
                <w:rFonts w:asciiTheme="majorHAnsi" w:hAnsiTheme="majorHAnsi" w:cs="Arial"/>
                <w:color w:val="auto"/>
                <w:kern w:val="0"/>
                <w:sz w:val="16"/>
                <w:szCs w:val="16"/>
                <w:lang w:val="it-IT" w:eastAsia="fr-FR"/>
              </w:rPr>
            </w:pPr>
            <w:r w:rsidRPr="001307EB">
              <w:rPr>
                <w:rFonts w:asciiTheme="majorHAnsi" w:hAnsiTheme="majorHAnsi" w:cs="Arial"/>
                <w:color w:val="auto"/>
                <w:kern w:val="0"/>
                <w:sz w:val="16"/>
                <w:szCs w:val="16"/>
                <w:lang w:val="it-IT" w:eastAsia="fr-FR"/>
              </w:rPr>
              <w:t>Petronas Carigali International E&amp;P B.V.</w:t>
            </w:r>
          </w:p>
        </w:tc>
        <w:tc>
          <w:tcPr>
            <w:tcW w:w="287" w:type="dxa"/>
            <w:tcBorders>
              <w:top w:val="nil"/>
              <w:left w:val="nil"/>
              <w:bottom w:val="nil"/>
              <w:right w:val="nil"/>
            </w:tcBorders>
            <w:shd w:val="clear" w:color="000000" w:fill="FFFFFF"/>
            <w:noWrap/>
            <w:vAlign w:val="center"/>
            <w:hideMark/>
          </w:tcPr>
          <w:p w14:paraId="4A4580FE" w14:textId="77777777" w:rsidR="00532891" w:rsidRPr="001307EB" w:rsidRDefault="00532891" w:rsidP="00532891">
            <w:pPr>
              <w:spacing w:after="0" w:line="240" w:lineRule="auto"/>
              <w:jc w:val="center"/>
              <w:rPr>
                <w:rFonts w:asciiTheme="majorHAnsi" w:hAnsiTheme="majorHAnsi" w:cs="Arial"/>
                <w:color w:val="000000"/>
                <w:kern w:val="0"/>
                <w:sz w:val="16"/>
                <w:szCs w:val="16"/>
                <w:lang w:val="it-IT" w:eastAsia="fr-FR"/>
              </w:rPr>
            </w:pPr>
            <w:r w:rsidRPr="001307EB">
              <w:rPr>
                <w:rFonts w:asciiTheme="majorHAnsi" w:hAnsiTheme="majorHAnsi" w:cs="Arial"/>
                <w:color w:val="000000"/>
                <w:kern w:val="0"/>
                <w:sz w:val="16"/>
                <w:szCs w:val="16"/>
                <w:lang w:val="it-IT" w:eastAsia="fr-FR"/>
              </w:rPr>
              <w:t> </w:t>
            </w:r>
          </w:p>
        </w:tc>
        <w:tc>
          <w:tcPr>
            <w:tcW w:w="1003" w:type="dxa"/>
            <w:tcBorders>
              <w:top w:val="nil"/>
              <w:left w:val="nil"/>
              <w:bottom w:val="nil"/>
              <w:right w:val="nil"/>
            </w:tcBorders>
            <w:shd w:val="clear" w:color="000000" w:fill="FF9999"/>
            <w:noWrap/>
            <w:vAlign w:val="center"/>
            <w:hideMark/>
          </w:tcPr>
          <w:p w14:paraId="677269D0" w14:textId="77777777" w:rsidR="00532891" w:rsidRPr="001307EB" w:rsidRDefault="00532891" w:rsidP="00532891">
            <w:pPr>
              <w:spacing w:after="0" w:line="240" w:lineRule="auto"/>
              <w:jc w:val="center"/>
              <w:rPr>
                <w:rFonts w:asciiTheme="majorHAnsi" w:hAnsiTheme="majorHAnsi" w:cs="Arial"/>
                <w:color w:val="000000"/>
                <w:kern w:val="0"/>
                <w:sz w:val="16"/>
                <w:szCs w:val="16"/>
                <w:lang w:val="it-IT" w:eastAsia="fr-FR"/>
              </w:rPr>
            </w:pPr>
            <w:r w:rsidRPr="001307EB">
              <w:rPr>
                <w:rFonts w:asciiTheme="majorHAnsi" w:hAnsiTheme="majorHAnsi" w:cs="Arial"/>
                <w:color w:val="000000"/>
                <w:kern w:val="0"/>
                <w:sz w:val="16"/>
                <w:szCs w:val="16"/>
                <w:lang w:val="it-IT" w:eastAsia="fr-FR"/>
              </w:rPr>
              <w:t> </w:t>
            </w:r>
          </w:p>
        </w:tc>
        <w:tc>
          <w:tcPr>
            <w:tcW w:w="2396" w:type="dxa"/>
            <w:tcBorders>
              <w:top w:val="nil"/>
              <w:left w:val="nil"/>
              <w:bottom w:val="nil"/>
              <w:right w:val="nil"/>
            </w:tcBorders>
            <w:shd w:val="clear" w:color="000000" w:fill="FF9999"/>
            <w:noWrap/>
            <w:vAlign w:val="center"/>
            <w:hideMark/>
          </w:tcPr>
          <w:p w14:paraId="2B522CBA"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Amsterdam</w:t>
            </w:r>
          </w:p>
        </w:tc>
        <w:tc>
          <w:tcPr>
            <w:tcW w:w="733" w:type="dxa"/>
            <w:tcBorders>
              <w:top w:val="nil"/>
              <w:left w:val="nil"/>
              <w:bottom w:val="nil"/>
              <w:right w:val="nil"/>
            </w:tcBorders>
            <w:shd w:val="clear" w:color="000000" w:fill="FF9999"/>
            <w:noWrap/>
            <w:vAlign w:val="center"/>
            <w:hideMark/>
          </w:tcPr>
          <w:p w14:paraId="0A8A9F16"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NC</w:t>
            </w:r>
          </w:p>
        </w:tc>
        <w:tc>
          <w:tcPr>
            <w:tcW w:w="550" w:type="dxa"/>
            <w:tcBorders>
              <w:top w:val="nil"/>
              <w:left w:val="nil"/>
              <w:bottom w:val="nil"/>
              <w:right w:val="nil"/>
            </w:tcBorders>
            <w:shd w:val="clear" w:color="000000" w:fill="FF9999"/>
            <w:noWrap/>
            <w:vAlign w:val="center"/>
            <w:hideMark/>
          </w:tcPr>
          <w:p w14:paraId="0305B55C"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100%</w:t>
            </w:r>
          </w:p>
        </w:tc>
        <w:tc>
          <w:tcPr>
            <w:tcW w:w="733" w:type="dxa"/>
            <w:tcBorders>
              <w:top w:val="nil"/>
              <w:left w:val="nil"/>
              <w:bottom w:val="nil"/>
              <w:right w:val="nil"/>
            </w:tcBorders>
            <w:shd w:val="clear" w:color="000000" w:fill="FF9999"/>
            <w:noWrap/>
            <w:vAlign w:val="center"/>
            <w:hideMark/>
          </w:tcPr>
          <w:p w14:paraId="0D0B3DE7"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N/A</w:t>
            </w:r>
          </w:p>
        </w:tc>
        <w:tc>
          <w:tcPr>
            <w:tcW w:w="601" w:type="dxa"/>
            <w:tcBorders>
              <w:top w:val="nil"/>
              <w:left w:val="nil"/>
              <w:bottom w:val="nil"/>
              <w:right w:val="nil"/>
            </w:tcBorders>
            <w:shd w:val="clear" w:color="000000" w:fill="FF9999"/>
            <w:noWrap/>
            <w:vAlign w:val="center"/>
            <w:hideMark/>
          </w:tcPr>
          <w:p w14:paraId="0352723C"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N/A</w:t>
            </w:r>
          </w:p>
        </w:tc>
        <w:tc>
          <w:tcPr>
            <w:tcW w:w="980" w:type="dxa"/>
            <w:tcBorders>
              <w:top w:val="nil"/>
              <w:left w:val="nil"/>
              <w:bottom w:val="nil"/>
              <w:right w:val="nil"/>
            </w:tcBorders>
            <w:shd w:val="clear" w:color="000000" w:fill="FF9999"/>
            <w:noWrap/>
            <w:vAlign w:val="center"/>
            <w:hideMark/>
          </w:tcPr>
          <w:p w14:paraId="0CF50B75"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N/A</w:t>
            </w:r>
          </w:p>
        </w:tc>
        <w:tc>
          <w:tcPr>
            <w:tcW w:w="1254" w:type="dxa"/>
            <w:tcBorders>
              <w:top w:val="nil"/>
              <w:left w:val="nil"/>
              <w:bottom w:val="nil"/>
              <w:right w:val="nil"/>
            </w:tcBorders>
            <w:shd w:val="clear" w:color="000000" w:fill="FF9999"/>
            <w:noWrap/>
            <w:vAlign w:val="center"/>
            <w:hideMark/>
          </w:tcPr>
          <w:p w14:paraId="2FC53D69"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N/A</w:t>
            </w:r>
          </w:p>
        </w:tc>
        <w:tc>
          <w:tcPr>
            <w:tcW w:w="1160" w:type="dxa"/>
            <w:tcBorders>
              <w:top w:val="nil"/>
              <w:left w:val="nil"/>
              <w:bottom w:val="nil"/>
              <w:right w:val="nil"/>
            </w:tcBorders>
            <w:shd w:val="clear" w:color="000000" w:fill="FF9999"/>
            <w:noWrap/>
            <w:vAlign w:val="center"/>
            <w:hideMark/>
          </w:tcPr>
          <w:p w14:paraId="3CD1A7AA"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N/A</w:t>
            </w:r>
          </w:p>
        </w:tc>
      </w:tr>
      <w:tr w:rsidR="00904D64" w:rsidRPr="00894701" w14:paraId="210BFAA2" w14:textId="77777777" w:rsidTr="00532891">
        <w:trPr>
          <w:trHeight w:val="264"/>
          <w:jc w:val="center"/>
        </w:trPr>
        <w:tc>
          <w:tcPr>
            <w:tcW w:w="341" w:type="dxa"/>
            <w:tcBorders>
              <w:top w:val="nil"/>
              <w:left w:val="nil"/>
              <w:bottom w:val="nil"/>
              <w:right w:val="nil"/>
            </w:tcBorders>
            <w:shd w:val="clear" w:color="000000" w:fill="FFFFFF"/>
            <w:noWrap/>
            <w:vAlign w:val="center"/>
            <w:hideMark/>
          </w:tcPr>
          <w:p w14:paraId="476C063B"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6</w:t>
            </w:r>
          </w:p>
        </w:tc>
        <w:tc>
          <w:tcPr>
            <w:tcW w:w="3487" w:type="dxa"/>
            <w:tcBorders>
              <w:top w:val="nil"/>
              <w:left w:val="nil"/>
              <w:bottom w:val="nil"/>
              <w:right w:val="nil"/>
            </w:tcBorders>
            <w:shd w:val="clear" w:color="000000" w:fill="FFFFFF"/>
            <w:noWrap/>
            <w:vAlign w:val="center"/>
            <w:hideMark/>
          </w:tcPr>
          <w:p w14:paraId="1637EDE3"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Challenger Energy Group Plc</w:t>
            </w:r>
          </w:p>
        </w:tc>
        <w:tc>
          <w:tcPr>
            <w:tcW w:w="1616" w:type="dxa"/>
            <w:tcBorders>
              <w:top w:val="nil"/>
              <w:left w:val="nil"/>
              <w:bottom w:val="nil"/>
              <w:right w:val="nil"/>
            </w:tcBorders>
            <w:shd w:val="clear" w:color="000000" w:fill="FFFFFF"/>
            <w:noWrap/>
            <w:vAlign w:val="center"/>
            <w:hideMark/>
          </w:tcPr>
          <w:p w14:paraId="7AADD8E1"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NS</w:t>
            </w:r>
          </w:p>
        </w:tc>
        <w:tc>
          <w:tcPr>
            <w:tcW w:w="287" w:type="dxa"/>
            <w:tcBorders>
              <w:top w:val="nil"/>
              <w:left w:val="nil"/>
              <w:bottom w:val="nil"/>
              <w:right w:val="nil"/>
            </w:tcBorders>
            <w:shd w:val="clear" w:color="000000" w:fill="FFFFFF"/>
            <w:noWrap/>
            <w:vAlign w:val="center"/>
            <w:hideMark/>
          </w:tcPr>
          <w:p w14:paraId="7A663183"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 </w:t>
            </w:r>
          </w:p>
        </w:tc>
        <w:tc>
          <w:tcPr>
            <w:tcW w:w="1003" w:type="dxa"/>
            <w:tcBorders>
              <w:top w:val="nil"/>
              <w:left w:val="nil"/>
              <w:bottom w:val="nil"/>
              <w:right w:val="nil"/>
            </w:tcBorders>
            <w:shd w:val="clear" w:color="000000" w:fill="FFFFFF"/>
            <w:noWrap/>
            <w:vAlign w:val="center"/>
            <w:hideMark/>
          </w:tcPr>
          <w:p w14:paraId="3D865F82"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NS</w:t>
            </w:r>
          </w:p>
        </w:tc>
        <w:tc>
          <w:tcPr>
            <w:tcW w:w="2396" w:type="dxa"/>
            <w:tcBorders>
              <w:top w:val="nil"/>
              <w:left w:val="nil"/>
              <w:bottom w:val="nil"/>
              <w:right w:val="nil"/>
            </w:tcBorders>
            <w:shd w:val="clear" w:color="000000" w:fill="FFFFFF"/>
            <w:noWrap/>
            <w:vAlign w:val="center"/>
            <w:hideMark/>
          </w:tcPr>
          <w:p w14:paraId="670ACDE0"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NS</w:t>
            </w:r>
          </w:p>
        </w:tc>
        <w:tc>
          <w:tcPr>
            <w:tcW w:w="733" w:type="dxa"/>
            <w:tcBorders>
              <w:top w:val="nil"/>
              <w:left w:val="nil"/>
              <w:bottom w:val="nil"/>
              <w:right w:val="nil"/>
            </w:tcBorders>
            <w:shd w:val="clear" w:color="000000" w:fill="FFFFFF"/>
            <w:noWrap/>
            <w:vAlign w:val="center"/>
            <w:hideMark/>
          </w:tcPr>
          <w:p w14:paraId="2488E770"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NS</w:t>
            </w:r>
          </w:p>
        </w:tc>
        <w:tc>
          <w:tcPr>
            <w:tcW w:w="550" w:type="dxa"/>
            <w:tcBorders>
              <w:top w:val="nil"/>
              <w:left w:val="nil"/>
              <w:bottom w:val="nil"/>
              <w:right w:val="nil"/>
            </w:tcBorders>
            <w:shd w:val="clear" w:color="000000" w:fill="FFFFFF"/>
            <w:noWrap/>
            <w:vAlign w:val="center"/>
            <w:hideMark/>
          </w:tcPr>
          <w:p w14:paraId="33237E18"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NS</w:t>
            </w:r>
          </w:p>
        </w:tc>
        <w:tc>
          <w:tcPr>
            <w:tcW w:w="733" w:type="dxa"/>
            <w:tcBorders>
              <w:top w:val="nil"/>
              <w:left w:val="nil"/>
              <w:bottom w:val="nil"/>
              <w:right w:val="nil"/>
            </w:tcBorders>
            <w:shd w:val="clear" w:color="000000" w:fill="FFFFFF"/>
            <w:noWrap/>
            <w:vAlign w:val="center"/>
            <w:hideMark/>
          </w:tcPr>
          <w:p w14:paraId="73A9205A"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NS</w:t>
            </w:r>
          </w:p>
        </w:tc>
        <w:tc>
          <w:tcPr>
            <w:tcW w:w="601" w:type="dxa"/>
            <w:tcBorders>
              <w:top w:val="nil"/>
              <w:left w:val="nil"/>
              <w:bottom w:val="nil"/>
              <w:right w:val="nil"/>
            </w:tcBorders>
            <w:shd w:val="clear" w:color="000000" w:fill="FFFFFF"/>
            <w:noWrap/>
            <w:vAlign w:val="center"/>
            <w:hideMark/>
          </w:tcPr>
          <w:p w14:paraId="3A4B2165"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NS</w:t>
            </w:r>
          </w:p>
        </w:tc>
        <w:tc>
          <w:tcPr>
            <w:tcW w:w="980" w:type="dxa"/>
            <w:tcBorders>
              <w:top w:val="nil"/>
              <w:left w:val="nil"/>
              <w:bottom w:val="nil"/>
              <w:right w:val="nil"/>
            </w:tcBorders>
            <w:shd w:val="clear" w:color="000000" w:fill="FFFFFF"/>
            <w:noWrap/>
            <w:vAlign w:val="center"/>
            <w:hideMark/>
          </w:tcPr>
          <w:p w14:paraId="6F4CED8A"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NS</w:t>
            </w:r>
          </w:p>
        </w:tc>
        <w:tc>
          <w:tcPr>
            <w:tcW w:w="1254" w:type="dxa"/>
            <w:tcBorders>
              <w:top w:val="nil"/>
              <w:left w:val="nil"/>
              <w:bottom w:val="nil"/>
              <w:right w:val="nil"/>
            </w:tcBorders>
            <w:shd w:val="clear" w:color="000000" w:fill="FFFFFF"/>
            <w:noWrap/>
            <w:vAlign w:val="center"/>
            <w:hideMark/>
          </w:tcPr>
          <w:p w14:paraId="7541BCC4"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NS</w:t>
            </w:r>
          </w:p>
        </w:tc>
        <w:tc>
          <w:tcPr>
            <w:tcW w:w="1160" w:type="dxa"/>
            <w:tcBorders>
              <w:top w:val="nil"/>
              <w:left w:val="nil"/>
              <w:bottom w:val="nil"/>
              <w:right w:val="nil"/>
            </w:tcBorders>
            <w:shd w:val="clear" w:color="000000" w:fill="FFFFFF"/>
            <w:noWrap/>
            <w:vAlign w:val="center"/>
            <w:hideMark/>
          </w:tcPr>
          <w:p w14:paraId="75F3B24C"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NS</w:t>
            </w:r>
          </w:p>
        </w:tc>
      </w:tr>
      <w:tr w:rsidR="00904D64" w:rsidRPr="00894701" w14:paraId="72671818" w14:textId="77777777" w:rsidTr="00532891">
        <w:trPr>
          <w:trHeight w:val="264"/>
          <w:jc w:val="center"/>
        </w:trPr>
        <w:tc>
          <w:tcPr>
            <w:tcW w:w="341" w:type="dxa"/>
            <w:tcBorders>
              <w:top w:val="nil"/>
              <w:left w:val="nil"/>
              <w:bottom w:val="nil"/>
              <w:right w:val="nil"/>
            </w:tcBorders>
            <w:shd w:val="clear" w:color="000000" w:fill="FF9999"/>
            <w:noWrap/>
            <w:vAlign w:val="center"/>
            <w:hideMark/>
          </w:tcPr>
          <w:p w14:paraId="639AD76A"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7</w:t>
            </w:r>
          </w:p>
        </w:tc>
        <w:tc>
          <w:tcPr>
            <w:tcW w:w="3487" w:type="dxa"/>
            <w:tcBorders>
              <w:top w:val="nil"/>
              <w:left w:val="nil"/>
              <w:bottom w:val="nil"/>
              <w:right w:val="nil"/>
            </w:tcBorders>
            <w:shd w:val="clear" w:color="000000" w:fill="FF9999"/>
            <w:noWrap/>
            <w:vAlign w:val="center"/>
            <w:hideMark/>
          </w:tcPr>
          <w:p w14:paraId="4646F10C"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Staatsolie Maatschappij Suriname N.V.</w:t>
            </w:r>
          </w:p>
        </w:tc>
        <w:tc>
          <w:tcPr>
            <w:tcW w:w="1616" w:type="dxa"/>
            <w:tcBorders>
              <w:top w:val="nil"/>
              <w:left w:val="nil"/>
              <w:bottom w:val="nil"/>
              <w:right w:val="nil"/>
            </w:tcBorders>
            <w:shd w:val="clear" w:color="000000" w:fill="FF9999"/>
            <w:noWrap/>
            <w:vAlign w:val="center"/>
            <w:hideMark/>
          </w:tcPr>
          <w:p w14:paraId="2A9A36A6"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Republic of Suriname</w:t>
            </w:r>
          </w:p>
        </w:tc>
        <w:tc>
          <w:tcPr>
            <w:tcW w:w="287" w:type="dxa"/>
            <w:tcBorders>
              <w:top w:val="nil"/>
              <w:left w:val="nil"/>
              <w:bottom w:val="nil"/>
              <w:right w:val="nil"/>
            </w:tcBorders>
            <w:shd w:val="clear" w:color="000000" w:fill="FFFFFF"/>
            <w:noWrap/>
            <w:vAlign w:val="center"/>
            <w:hideMark/>
          </w:tcPr>
          <w:p w14:paraId="792F373F"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 </w:t>
            </w:r>
          </w:p>
        </w:tc>
        <w:tc>
          <w:tcPr>
            <w:tcW w:w="1003" w:type="dxa"/>
            <w:tcBorders>
              <w:top w:val="nil"/>
              <w:left w:val="nil"/>
              <w:bottom w:val="nil"/>
              <w:right w:val="nil"/>
            </w:tcBorders>
            <w:shd w:val="clear" w:color="000000" w:fill="FF9999"/>
            <w:noWrap/>
            <w:vAlign w:val="center"/>
            <w:hideMark/>
          </w:tcPr>
          <w:p w14:paraId="23676DE4"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Suriname</w:t>
            </w:r>
          </w:p>
        </w:tc>
        <w:tc>
          <w:tcPr>
            <w:tcW w:w="2396" w:type="dxa"/>
            <w:tcBorders>
              <w:top w:val="nil"/>
              <w:left w:val="nil"/>
              <w:bottom w:val="nil"/>
              <w:right w:val="nil"/>
            </w:tcBorders>
            <w:shd w:val="clear" w:color="000000" w:fill="FF9999"/>
            <w:noWrap/>
            <w:vAlign w:val="center"/>
            <w:hideMark/>
          </w:tcPr>
          <w:p w14:paraId="51EF7CFF" w14:textId="77777777" w:rsidR="00532891" w:rsidRPr="00894701" w:rsidRDefault="00532891" w:rsidP="00532891">
            <w:pPr>
              <w:spacing w:after="0" w:line="240" w:lineRule="auto"/>
              <w:jc w:val="center"/>
              <w:rPr>
                <w:rFonts w:asciiTheme="majorHAnsi" w:hAnsiTheme="majorHAnsi" w:cs="Arial"/>
                <w:color w:val="auto"/>
                <w:kern w:val="0"/>
                <w:sz w:val="16"/>
                <w:szCs w:val="16"/>
                <w:lang w:val="nl-NL" w:eastAsia="fr-FR"/>
              </w:rPr>
            </w:pPr>
            <w:r w:rsidRPr="00894701">
              <w:rPr>
                <w:rFonts w:asciiTheme="majorHAnsi" w:hAnsiTheme="majorHAnsi" w:cs="Arial"/>
                <w:color w:val="auto"/>
                <w:kern w:val="0"/>
                <w:sz w:val="16"/>
                <w:szCs w:val="16"/>
                <w:lang w:val="nl-NL" w:eastAsia="fr-FR"/>
              </w:rPr>
              <w:t>Dr. Ir. H.S. Adhinstraat 21</w:t>
            </w:r>
          </w:p>
        </w:tc>
        <w:tc>
          <w:tcPr>
            <w:tcW w:w="733" w:type="dxa"/>
            <w:tcBorders>
              <w:top w:val="nil"/>
              <w:left w:val="nil"/>
              <w:bottom w:val="nil"/>
              <w:right w:val="nil"/>
            </w:tcBorders>
            <w:shd w:val="clear" w:color="000000" w:fill="FF9999"/>
            <w:noWrap/>
            <w:vAlign w:val="center"/>
            <w:hideMark/>
          </w:tcPr>
          <w:p w14:paraId="6B9B332D"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NC</w:t>
            </w:r>
          </w:p>
        </w:tc>
        <w:tc>
          <w:tcPr>
            <w:tcW w:w="550" w:type="dxa"/>
            <w:tcBorders>
              <w:top w:val="nil"/>
              <w:left w:val="nil"/>
              <w:bottom w:val="nil"/>
              <w:right w:val="nil"/>
            </w:tcBorders>
            <w:shd w:val="clear" w:color="000000" w:fill="FF9999"/>
            <w:noWrap/>
            <w:vAlign w:val="center"/>
            <w:hideMark/>
          </w:tcPr>
          <w:p w14:paraId="3C073ECF"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100%</w:t>
            </w:r>
          </w:p>
        </w:tc>
        <w:tc>
          <w:tcPr>
            <w:tcW w:w="733" w:type="dxa"/>
            <w:tcBorders>
              <w:top w:val="nil"/>
              <w:left w:val="nil"/>
              <w:bottom w:val="nil"/>
              <w:right w:val="nil"/>
            </w:tcBorders>
            <w:shd w:val="clear" w:color="000000" w:fill="FF9999"/>
            <w:noWrap/>
            <w:vAlign w:val="center"/>
            <w:hideMark/>
          </w:tcPr>
          <w:p w14:paraId="7D014F9B"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NC</w:t>
            </w:r>
          </w:p>
        </w:tc>
        <w:tc>
          <w:tcPr>
            <w:tcW w:w="601" w:type="dxa"/>
            <w:tcBorders>
              <w:top w:val="nil"/>
              <w:left w:val="nil"/>
              <w:bottom w:val="nil"/>
              <w:right w:val="nil"/>
            </w:tcBorders>
            <w:shd w:val="clear" w:color="000000" w:fill="FF9999"/>
            <w:noWrap/>
            <w:vAlign w:val="center"/>
            <w:hideMark/>
          </w:tcPr>
          <w:p w14:paraId="3657E74B"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NC</w:t>
            </w:r>
          </w:p>
        </w:tc>
        <w:tc>
          <w:tcPr>
            <w:tcW w:w="980" w:type="dxa"/>
            <w:tcBorders>
              <w:top w:val="nil"/>
              <w:left w:val="nil"/>
              <w:bottom w:val="nil"/>
              <w:right w:val="nil"/>
            </w:tcBorders>
            <w:shd w:val="clear" w:color="000000" w:fill="FF9999"/>
            <w:noWrap/>
            <w:vAlign w:val="center"/>
            <w:hideMark/>
          </w:tcPr>
          <w:p w14:paraId="6550F6FE"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NC</w:t>
            </w:r>
          </w:p>
        </w:tc>
        <w:tc>
          <w:tcPr>
            <w:tcW w:w="1254" w:type="dxa"/>
            <w:tcBorders>
              <w:top w:val="nil"/>
              <w:left w:val="nil"/>
              <w:bottom w:val="nil"/>
              <w:right w:val="nil"/>
            </w:tcBorders>
            <w:shd w:val="clear" w:color="000000" w:fill="FF9999"/>
            <w:noWrap/>
            <w:vAlign w:val="center"/>
            <w:hideMark/>
          </w:tcPr>
          <w:p w14:paraId="6E206ACD"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NC</w:t>
            </w:r>
          </w:p>
        </w:tc>
        <w:tc>
          <w:tcPr>
            <w:tcW w:w="1160" w:type="dxa"/>
            <w:tcBorders>
              <w:top w:val="nil"/>
              <w:left w:val="nil"/>
              <w:bottom w:val="nil"/>
              <w:right w:val="nil"/>
            </w:tcBorders>
            <w:shd w:val="clear" w:color="000000" w:fill="FF9999"/>
            <w:noWrap/>
            <w:vAlign w:val="center"/>
            <w:hideMark/>
          </w:tcPr>
          <w:p w14:paraId="6CAE3654"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NC</w:t>
            </w:r>
          </w:p>
        </w:tc>
      </w:tr>
      <w:tr w:rsidR="00904D64" w:rsidRPr="00894701" w14:paraId="33528AFE" w14:textId="77777777" w:rsidTr="00532891">
        <w:trPr>
          <w:trHeight w:val="264"/>
          <w:jc w:val="center"/>
        </w:trPr>
        <w:tc>
          <w:tcPr>
            <w:tcW w:w="341" w:type="dxa"/>
            <w:tcBorders>
              <w:top w:val="nil"/>
              <w:left w:val="nil"/>
              <w:bottom w:val="nil"/>
              <w:right w:val="nil"/>
            </w:tcBorders>
            <w:shd w:val="clear" w:color="000000" w:fill="FFFFFF"/>
            <w:noWrap/>
            <w:vAlign w:val="center"/>
            <w:hideMark/>
          </w:tcPr>
          <w:p w14:paraId="781439FD"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8</w:t>
            </w:r>
          </w:p>
        </w:tc>
        <w:tc>
          <w:tcPr>
            <w:tcW w:w="3487" w:type="dxa"/>
            <w:tcBorders>
              <w:top w:val="nil"/>
              <w:left w:val="nil"/>
              <w:bottom w:val="nil"/>
              <w:right w:val="nil"/>
            </w:tcBorders>
            <w:shd w:val="clear" w:color="000000" w:fill="FFFFFF"/>
            <w:noWrap/>
            <w:vAlign w:val="center"/>
            <w:hideMark/>
          </w:tcPr>
          <w:p w14:paraId="3B01A70E" w14:textId="77777777" w:rsidR="00532891" w:rsidRPr="00894701" w:rsidRDefault="00532891" w:rsidP="00532891">
            <w:pPr>
              <w:spacing w:after="0" w:line="240" w:lineRule="auto"/>
              <w:rPr>
                <w:rFonts w:asciiTheme="majorHAnsi" w:hAnsiTheme="majorHAnsi" w:cs="Arial"/>
                <w:color w:val="auto"/>
                <w:kern w:val="0"/>
                <w:sz w:val="16"/>
                <w:szCs w:val="16"/>
                <w:lang w:eastAsia="fr-FR"/>
              </w:rPr>
            </w:pPr>
            <w:r w:rsidRPr="00894701">
              <w:rPr>
                <w:rFonts w:asciiTheme="majorHAnsi" w:hAnsiTheme="majorHAnsi" w:cs="Arial"/>
                <w:color w:val="auto"/>
                <w:kern w:val="0"/>
                <w:sz w:val="16"/>
                <w:szCs w:val="16"/>
                <w:lang w:eastAsia="fr-FR"/>
              </w:rPr>
              <w:t>ExxonMobil Exploration and Production Suriname B.V.</w:t>
            </w:r>
          </w:p>
        </w:tc>
        <w:tc>
          <w:tcPr>
            <w:tcW w:w="1616" w:type="dxa"/>
            <w:tcBorders>
              <w:top w:val="nil"/>
              <w:left w:val="nil"/>
              <w:bottom w:val="nil"/>
              <w:right w:val="nil"/>
            </w:tcBorders>
            <w:shd w:val="clear" w:color="000000" w:fill="FFFFFF"/>
            <w:vAlign w:val="center"/>
            <w:hideMark/>
          </w:tcPr>
          <w:p w14:paraId="49729F93" w14:textId="77777777" w:rsidR="00532891" w:rsidRPr="00894701" w:rsidRDefault="00532891" w:rsidP="00532891">
            <w:pPr>
              <w:spacing w:after="0" w:line="240" w:lineRule="auto"/>
              <w:jc w:val="center"/>
              <w:rPr>
                <w:rFonts w:asciiTheme="majorHAnsi" w:hAnsiTheme="majorHAnsi" w:cs="Arial"/>
                <w:color w:val="auto"/>
                <w:kern w:val="0"/>
                <w:sz w:val="16"/>
                <w:szCs w:val="16"/>
                <w:lang w:eastAsia="fr-FR"/>
              </w:rPr>
            </w:pPr>
            <w:r w:rsidRPr="00894701">
              <w:rPr>
                <w:rFonts w:asciiTheme="majorHAnsi" w:hAnsiTheme="majorHAnsi" w:cs="Arial"/>
                <w:color w:val="auto"/>
                <w:kern w:val="0"/>
                <w:sz w:val="16"/>
                <w:szCs w:val="16"/>
                <w:lang w:eastAsia="fr-FR"/>
              </w:rPr>
              <w:t>ExxonMobil Global Holding Investment B.V.</w:t>
            </w:r>
          </w:p>
        </w:tc>
        <w:tc>
          <w:tcPr>
            <w:tcW w:w="287" w:type="dxa"/>
            <w:tcBorders>
              <w:top w:val="nil"/>
              <w:left w:val="nil"/>
              <w:bottom w:val="nil"/>
              <w:right w:val="nil"/>
            </w:tcBorders>
            <w:shd w:val="clear" w:color="000000" w:fill="FFFFFF"/>
            <w:noWrap/>
            <w:vAlign w:val="center"/>
            <w:hideMark/>
          </w:tcPr>
          <w:p w14:paraId="4D609BED" w14:textId="77777777" w:rsidR="00532891" w:rsidRPr="00894701" w:rsidRDefault="00532891" w:rsidP="00532891">
            <w:pPr>
              <w:spacing w:after="0" w:line="240" w:lineRule="auto"/>
              <w:jc w:val="center"/>
              <w:rPr>
                <w:rFonts w:asciiTheme="majorHAnsi" w:hAnsiTheme="majorHAnsi" w:cs="Arial"/>
                <w:color w:val="auto"/>
                <w:kern w:val="0"/>
                <w:sz w:val="16"/>
                <w:szCs w:val="16"/>
                <w:lang w:eastAsia="fr-FR"/>
              </w:rPr>
            </w:pPr>
            <w:r w:rsidRPr="00894701">
              <w:rPr>
                <w:rFonts w:asciiTheme="majorHAnsi" w:hAnsiTheme="majorHAnsi" w:cs="Arial"/>
                <w:color w:val="auto"/>
                <w:kern w:val="0"/>
                <w:sz w:val="16"/>
                <w:szCs w:val="16"/>
                <w:lang w:eastAsia="fr-FR"/>
              </w:rPr>
              <w:t> </w:t>
            </w:r>
          </w:p>
        </w:tc>
        <w:tc>
          <w:tcPr>
            <w:tcW w:w="1003" w:type="dxa"/>
            <w:tcBorders>
              <w:top w:val="nil"/>
              <w:left w:val="nil"/>
              <w:bottom w:val="nil"/>
              <w:right w:val="nil"/>
            </w:tcBorders>
            <w:shd w:val="clear" w:color="000000" w:fill="FFFFFF"/>
            <w:noWrap/>
            <w:vAlign w:val="center"/>
            <w:hideMark/>
          </w:tcPr>
          <w:p w14:paraId="0E4A9E8E"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Netherlands</w:t>
            </w:r>
          </w:p>
        </w:tc>
        <w:tc>
          <w:tcPr>
            <w:tcW w:w="2396" w:type="dxa"/>
            <w:tcBorders>
              <w:top w:val="nil"/>
              <w:left w:val="nil"/>
              <w:bottom w:val="nil"/>
              <w:right w:val="nil"/>
            </w:tcBorders>
            <w:shd w:val="clear" w:color="000000" w:fill="FFFFFF"/>
            <w:noWrap/>
            <w:vAlign w:val="center"/>
            <w:hideMark/>
          </w:tcPr>
          <w:p w14:paraId="5FB15DB0"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Netherlands</w:t>
            </w:r>
          </w:p>
        </w:tc>
        <w:tc>
          <w:tcPr>
            <w:tcW w:w="733" w:type="dxa"/>
            <w:tcBorders>
              <w:top w:val="nil"/>
              <w:left w:val="nil"/>
              <w:bottom w:val="nil"/>
              <w:right w:val="nil"/>
            </w:tcBorders>
            <w:shd w:val="clear" w:color="000000" w:fill="FFFFFF"/>
            <w:noWrap/>
            <w:vAlign w:val="center"/>
            <w:hideMark/>
          </w:tcPr>
          <w:p w14:paraId="32641A4E"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NC</w:t>
            </w:r>
          </w:p>
        </w:tc>
        <w:tc>
          <w:tcPr>
            <w:tcW w:w="550" w:type="dxa"/>
            <w:tcBorders>
              <w:top w:val="nil"/>
              <w:left w:val="nil"/>
              <w:bottom w:val="nil"/>
              <w:right w:val="nil"/>
            </w:tcBorders>
            <w:shd w:val="clear" w:color="000000" w:fill="FFFFFF"/>
            <w:noWrap/>
            <w:vAlign w:val="center"/>
            <w:hideMark/>
          </w:tcPr>
          <w:p w14:paraId="4551F55B"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100%</w:t>
            </w:r>
          </w:p>
        </w:tc>
        <w:tc>
          <w:tcPr>
            <w:tcW w:w="733" w:type="dxa"/>
            <w:tcBorders>
              <w:top w:val="nil"/>
              <w:left w:val="nil"/>
              <w:bottom w:val="nil"/>
              <w:right w:val="nil"/>
            </w:tcBorders>
            <w:shd w:val="clear" w:color="000000" w:fill="FFFFFF"/>
            <w:noWrap/>
            <w:vAlign w:val="center"/>
            <w:hideMark/>
          </w:tcPr>
          <w:p w14:paraId="743E87C9"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NC</w:t>
            </w:r>
          </w:p>
        </w:tc>
        <w:tc>
          <w:tcPr>
            <w:tcW w:w="601" w:type="dxa"/>
            <w:tcBorders>
              <w:top w:val="nil"/>
              <w:left w:val="nil"/>
              <w:bottom w:val="nil"/>
              <w:right w:val="nil"/>
            </w:tcBorders>
            <w:shd w:val="clear" w:color="000000" w:fill="FFFFFF"/>
            <w:noWrap/>
            <w:vAlign w:val="center"/>
            <w:hideMark/>
          </w:tcPr>
          <w:p w14:paraId="1DEC2128"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NC</w:t>
            </w:r>
          </w:p>
        </w:tc>
        <w:tc>
          <w:tcPr>
            <w:tcW w:w="980" w:type="dxa"/>
            <w:tcBorders>
              <w:top w:val="nil"/>
              <w:left w:val="nil"/>
              <w:bottom w:val="nil"/>
              <w:right w:val="nil"/>
            </w:tcBorders>
            <w:shd w:val="clear" w:color="000000" w:fill="FFFFFF"/>
            <w:noWrap/>
            <w:vAlign w:val="center"/>
            <w:hideMark/>
          </w:tcPr>
          <w:p w14:paraId="06C0CE2E"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NC</w:t>
            </w:r>
          </w:p>
        </w:tc>
        <w:tc>
          <w:tcPr>
            <w:tcW w:w="1254" w:type="dxa"/>
            <w:tcBorders>
              <w:top w:val="nil"/>
              <w:left w:val="nil"/>
              <w:bottom w:val="nil"/>
              <w:right w:val="nil"/>
            </w:tcBorders>
            <w:shd w:val="clear" w:color="000000" w:fill="FFFFFF"/>
            <w:noWrap/>
            <w:vAlign w:val="center"/>
            <w:hideMark/>
          </w:tcPr>
          <w:p w14:paraId="2DB27B9A"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NC</w:t>
            </w:r>
          </w:p>
        </w:tc>
        <w:tc>
          <w:tcPr>
            <w:tcW w:w="1160" w:type="dxa"/>
            <w:tcBorders>
              <w:top w:val="nil"/>
              <w:left w:val="nil"/>
              <w:bottom w:val="nil"/>
              <w:right w:val="nil"/>
            </w:tcBorders>
            <w:shd w:val="clear" w:color="000000" w:fill="FFFFFF"/>
            <w:noWrap/>
            <w:vAlign w:val="center"/>
            <w:hideMark/>
          </w:tcPr>
          <w:p w14:paraId="333C81F6"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NC</w:t>
            </w:r>
          </w:p>
        </w:tc>
      </w:tr>
    </w:tbl>
    <w:p w14:paraId="0E4FA848" w14:textId="5609888C" w:rsidR="00532891" w:rsidRPr="00894701" w:rsidRDefault="00532891" w:rsidP="00E17928">
      <w:pPr>
        <w:spacing w:after="0" w:line="240" w:lineRule="auto"/>
        <w:rPr>
          <w:i/>
          <w:iCs/>
          <w:color w:val="auto"/>
          <w:sz w:val="16"/>
          <w:szCs w:val="22"/>
        </w:rPr>
      </w:pPr>
      <w:r w:rsidRPr="00894701">
        <w:rPr>
          <w:i/>
          <w:iCs/>
          <w:color w:val="auto"/>
          <w:sz w:val="16"/>
          <w:szCs w:val="22"/>
        </w:rPr>
        <w:t>N/S : Reporting template not submitted</w:t>
      </w:r>
    </w:p>
    <w:p w14:paraId="49FCB885" w14:textId="6C943F5C" w:rsidR="00E17928" w:rsidRPr="00894701" w:rsidRDefault="00E17928" w:rsidP="00E17928">
      <w:pPr>
        <w:spacing w:after="0" w:line="240" w:lineRule="auto"/>
        <w:rPr>
          <w:i/>
          <w:iCs/>
          <w:color w:val="auto"/>
          <w:sz w:val="16"/>
          <w:szCs w:val="22"/>
        </w:rPr>
      </w:pPr>
      <w:r w:rsidRPr="00894701">
        <w:rPr>
          <w:i/>
          <w:iCs/>
          <w:color w:val="auto"/>
          <w:sz w:val="16"/>
          <w:szCs w:val="22"/>
        </w:rPr>
        <w:t>N/A : Not Applicable</w:t>
      </w:r>
    </w:p>
    <w:p w14:paraId="717E61C0" w14:textId="7F3FB282" w:rsidR="00E17928" w:rsidRPr="00894701" w:rsidRDefault="00E17928" w:rsidP="00E17928">
      <w:pPr>
        <w:spacing w:after="0" w:line="240" w:lineRule="auto"/>
      </w:pPr>
      <w:r w:rsidRPr="00894701">
        <w:rPr>
          <w:i/>
          <w:iCs/>
          <w:color w:val="auto"/>
          <w:sz w:val="16"/>
          <w:szCs w:val="22"/>
        </w:rPr>
        <w:t>NC : Not communicated</w:t>
      </w:r>
      <w:r w:rsidRPr="00894701">
        <w:br w:type="page"/>
      </w:r>
    </w:p>
    <w:p w14:paraId="18790128" w14:textId="77777777" w:rsidR="00E17928" w:rsidRPr="00894701" w:rsidRDefault="00E17928" w:rsidP="00E17928">
      <w:pPr>
        <w:pStyle w:val="Heading2"/>
        <w:numPr>
          <w:ilvl w:val="0"/>
          <w:numId w:val="0"/>
        </w:numPr>
        <w:spacing w:before="120" w:after="240"/>
        <w:ind w:right="476"/>
        <w:jc w:val="both"/>
        <w:rPr>
          <w:rFonts w:asciiTheme="minorHAnsi" w:hAnsiTheme="minorHAnsi"/>
          <w:sz w:val="28"/>
          <w:szCs w:val="28"/>
        </w:rPr>
      </w:pPr>
      <w:bookmarkStart w:id="598" w:name="_Toc122478963"/>
      <w:r w:rsidRPr="00894701">
        <w:rPr>
          <w:rFonts w:asciiTheme="minorHAnsi" w:hAnsiTheme="minorHAnsi"/>
          <w:sz w:val="28"/>
          <w:szCs w:val="28"/>
        </w:rPr>
        <w:t>Annex 3: Legal ownership</w:t>
      </w:r>
      <w:bookmarkEnd w:id="598"/>
    </w:p>
    <w:p w14:paraId="73725156" w14:textId="77777777" w:rsidR="00E17928" w:rsidRPr="00894701" w:rsidRDefault="00E17928" w:rsidP="00E17928">
      <w:pPr>
        <w:spacing w:after="0" w:line="240" w:lineRule="auto"/>
        <w:rPr>
          <w:i/>
          <w:iCs/>
          <w:color w:val="auto"/>
          <w:sz w:val="16"/>
          <w:szCs w:val="22"/>
        </w:rPr>
      </w:pPr>
    </w:p>
    <w:tbl>
      <w:tblPr>
        <w:tblW w:w="14890" w:type="dxa"/>
        <w:jc w:val="center"/>
        <w:tblCellMar>
          <w:left w:w="70" w:type="dxa"/>
          <w:right w:w="70" w:type="dxa"/>
        </w:tblCellMar>
        <w:tblLook w:val="04A0" w:firstRow="1" w:lastRow="0" w:firstColumn="1" w:lastColumn="0" w:noHBand="0" w:noVBand="1"/>
      </w:tblPr>
      <w:tblGrid>
        <w:gridCol w:w="341"/>
        <w:gridCol w:w="2778"/>
        <w:gridCol w:w="341"/>
        <w:gridCol w:w="3344"/>
        <w:gridCol w:w="1036"/>
        <w:gridCol w:w="938"/>
        <w:gridCol w:w="1003"/>
        <w:gridCol w:w="933"/>
        <w:gridCol w:w="849"/>
        <w:gridCol w:w="914"/>
        <w:gridCol w:w="2413"/>
      </w:tblGrid>
      <w:tr w:rsidR="00904D64" w:rsidRPr="00894701" w14:paraId="127720D9" w14:textId="77777777" w:rsidTr="00532891">
        <w:trPr>
          <w:trHeight w:val="1365"/>
          <w:jc w:val="center"/>
        </w:trPr>
        <w:tc>
          <w:tcPr>
            <w:tcW w:w="341" w:type="dxa"/>
            <w:tcBorders>
              <w:top w:val="nil"/>
              <w:left w:val="nil"/>
              <w:bottom w:val="nil"/>
              <w:right w:val="nil"/>
            </w:tcBorders>
            <w:shd w:val="clear" w:color="000000" w:fill="800000"/>
            <w:vAlign w:val="center"/>
            <w:hideMark/>
          </w:tcPr>
          <w:p w14:paraId="78CB0C5A" w14:textId="77777777" w:rsidR="00532891" w:rsidRPr="00894701" w:rsidRDefault="00532891" w:rsidP="00532891">
            <w:pPr>
              <w:spacing w:after="0" w:line="240" w:lineRule="auto"/>
              <w:jc w:val="center"/>
              <w:rPr>
                <w:rFonts w:asciiTheme="majorHAnsi" w:hAnsiTheme="majorHAnsi" w:cs="Arial"/>
                <w:b/>
                <w:bCs/>
                <w:color w:val="FFFFFF"/>
                <w:kern w:val="0"/>
                <w:sz w:val="16"/>
                <w:szCs w:val="16"/>
                <w:lang w:val="fr-FR" w:eastAsia="fr-FR"/>
              </w:rPr>
            </w:pPr>
            <w:r w:rsidRPr="00894701">
              <w:rPr>
                <w:rFonts w:asciiTheme="majorHAnsi" w:hAnsiTheme="majorHAnsi" w:cs="Arial"/>
                <w:b/>
                <w:bCs/>
                <w:color w:val="FFFFFF"/>
                <w:kern w:val="0"/>
                <w:sz w:val="16"/>
                <w:szCs w:val="16"/>
                <w:lang w:val="fr-FR" w:eastAsia="fr-FR"/>
              </w:rPr>
              <w:t>N°</w:t>
            </w:r>
          </w:p>
        </w:tc>
        <w:tc>
          <w:tcPr>
            <w:tcW w:w="2778" w:type="dxa"/>
            <w:tcBorders>
              <w:top w:val="nil"/>
              <w:left w:val="nil"/>
              <w:bottom w:val="nil"/>
              <w:right w:val="nil"/>
            </w:tcBorders>
            <w:shd w:val="clear" w:color="000000" w:fill="800000"/>
            <w:vAlign w:val="center"/>
            <w:hideMark/>
          </w:tcPr>
          <w:p w14:paraId="20A5E065" w14:textId="77777777" w:rsidR="00532891" w:rsidRPr="00894701" w:rsidRDefault="00532891" w:rsidP="00532891">
            <w:pPr>
              <w:spacing w:after="0" w:line="240" w:lineRule="auto"/>
              <w:jc w:val="center"/>
              <w:rPr>
                <w:rFonts w:asciiTheme="majorHAnsi" w:hAnsiTheme="majorHAnsi" w:cs="Arial"/>
                <w:b/>
                <w:bCs/>
                <w:color w:val="FFFFFF"/>
                <w:kern w:val="0"/>
                <w:sz w:val="16"/>
                <w:szCs w:val="16"/>
                <w:lang w:val="fr-FR" w:eastAsia="fr-FR"/>
              </w:rPr>
            </w:pPr>
            <w:r w:rsidRPr="00894701">
              <w:rPr>
                <w:rFonts w:asciiTheme="majorHAnsi" w:hAnsiTheme="majorHAnsi" w:cs="Arial"/>
                <w:b/>
                <w:bCs/>
                <w:color w:val="FFFFFF"/>
                <w:kern w:val="0"/>
                <w:sz w:val="16"/>
                <w:szCs w:val="16"/>
                <w:lang w:val="fr-FR" w:eastAsia="fr-FR"/>
              </w:rPr>
              <w:t>Companies</w:t>
            </w:r>
          </w:p>
        </w:tc>
        <w:tc>
          <w:tcPr>
            <w:tcW w:w="341" w:type="dxa"/>
            <w:tcBorders>
              <w:top w:val="nil"/>
              <w:left w:val="nil"/>
              <w:bottom w:val="nil"/>
              <w:right w:val="nil"/>
            </w:tcBorders>
            <w:shd w:val="clear" w:color="000000" w:fill="800000"/>
            <w:vAlign w:val="center"/>
            <w:hideMark/>
          </w:tcPr>
          <w:p w14:paraId="169E345F" w14:textId="77777777" w:rsidR="00532891" w:rsidRPr="00894701" w:rsidRDefault="00532891" w:rsidP="00532891">
            <w:pPr>
              <w:spacing w:after="0" w:line="240" w:lineRule="auto"/>
              <w:jc w:val="center"/>
              <w:rPr>
                <w:rFonts w:asciiTheme="majorHAnsi" w:hAnsiTheme="majorHAnsi" w:cs="Arial"/>
                <w:b/>
                <w:bCs/>
                <w:color w:val="FFFFFF"/>
                <w:kern w:val="0"/>
                <w:sz w:val="16"/>
                <w:szCs w:val="16"/>
                <w:lang w:val="fr-FR" w:eastAsia="fr-FR"/>
              </w:rPr>
            </w:pPr>
            <w:r w:rsidRPr="00894701">
              <w:rPr>
                <w:rFonts w:asciiTheme="majorHAnsi" w:hAnsiTheme="majorHAnsi" w:cs="Arial"/>
                <w:b/>
                <w:bCs/>
                <w:color w:val="FFFFFF"/>
                <w:kern w:val="0"/>
                <w:sz w:val="16"/>
                <w:szCs w:val="16"/>
                <w:lang w:val="fr-FR" w:eastAsia="fr-FR"/>
              </w:rPr>
              <w:t>N°</w:t>
            </w:r>
          </w:p>
        </w:tc>
        <w:tc>
          <w:tcPr>
            <w:tcW w:w="3344" w:type="dxa"/>
            <w:tcBorders>
              <w:top w:val="nil"/>
              <w:left w:val="nil"/>
              <w:bottom w:val="nil"/>
              <w:right w:val="nil"/>
            </w:tcBorders>
            <w:shd w:val="clear" w:color="000000" w:fill="800000"/>
            <w:vAlign w:val="center"/>
            <w:hideMark/>
          </w:tcPr>
          <w:p w14:paraId="4E4BE465" w14:textId="77777777" w:rsidR="00532891" w:rsidRPr="00894701" w:rsidRDefault="00532891" w:rsidP="00532891">
            <w:pPr>
              <w:spacing w:after="0" w:line="240" w:lineRule="auto"/>
              <w:jc w:val="center"/>
              <w:rPr>
                <w:rFonts w:asciiTheme="majorHAnsi" w:hAnsiTheme="majorHAnsi" w:cs="Arial"/>
                <w:b/>
                <w:bCs/>
                <w:color w:val="FFFFFF"/>
                <w:kern w:val="0"/>
                <w:sz w:val="16"/>
                <w:szCs w:val="16"/>
                <w:lang w:val="fr-FR" w:eastAsia="fr-FR"/>
              </w:rPr>
            </w:pPr>
            <w:r w:rsidRPr="00894701">
              <w:rPr>
                <w:rFonts w:asciiTheme="majorHAnsi" w:hAnsiTheme="majorHAnsi" w:cs="Arial"/>
                <w:b/>
                <w:bCs/>
                <w:color w:val="FFFFFF"/>
                <w:kern w:val="0"/>
                <w:sz w:val="16"/>
                <w:szCs w:val="16"/>
                <w:lang w:val="fr-FR" w:eastAsia="fr-FR"/>
              </w:rPr>
              <w:t>Name/Entity</w:t>
            </w:r>
          </w:p>
        </w:tc>
        <w:tc>
          <w:tcPr>
            <w:tcW w:w="1036" w:type="dxa"/>
            <w:tcBorders>
              <w:top w:val="nil"/>
              <w:left w:val="nil"/>
              <w:bottom w:val="nil"/>
              <w:right w:val="nil"/>
            </w:tcBorders>
            <w:shd w:val="clear" w:color="000000" w:fill="800000"/>
            <w:vAlign w:val="center"/>
            <w:hideMark/>
          </w:tcPr>
          <w:p w14:paraId="5085E642" w14:textId="77777777" w:rsidR="00532891" w:rsidRPr="00894701" w:rsidRDefault="00532891" w:rsidP="00532891">
            <w:pPr>
              <w:spacing w:after="0" w:line="240" w:lineRule="auto"/>
              <w:jc w:val="center"/>
              <w:rPr>
                <w:rFonts w:asciiTheme="majorHAnsi" w:hAnsiTheme="majorHAnsi" w:cs="Arial"/>
                <w:b/>
                <w:bCs/>
                <w:color w:val="FFFFFF"/>
                <w:kern w:val="0"/>
                <w:sz w:val="16"/>
                <w:szCs w:val="16"/>
                <w:lang w:val="fr-FR" w:eastAsia="fr-FR"/>
              </w:rPr>
            </w:pPr>
            <w:r w:rsidRPr="00894701">
              <w:rPr>
                <w:rFonts w:asciiTheme="majorHAnsi" w:hAnsiTheme="majorHAnsi" w:cs="Arial"/>
                <w:b/>
                <w:bCs/>
                <w:color w:val="FFFFFF"/>
                <w:kern w:val="0"/>
                <w:sz w:val="16"/>
                <w:szCs w:val="16"/>
                <w:lang w:val="fr-FR" w:eastAsia="fr-FR"/>
              </w:rPr>
              <w:t>Amount shareholder (SRD)</w:t>
            </w:r>
          </w:p>
        </w:tc>
        <w:tc>
          <w:tcPr>
            <w:tcW w:w="938" w:type="dxa"/>
            <w:tcBorders>
              <w:top w:val="nil"/>
              <w:left w:val="nil"/>
              <w:bottom w:val="nil"/>
              <w:right w:val="nil"/>
            </w:tcBorders>
            <w:shd w:val="clear" w:color="000000" w:fill="800000"/>
            <w:vAlign w:val="center"/>
            <w:hideMark/>
          </w:tcPr>
          <w:p w14:paraId="3BDF5D93" w14:textId="77777777" w:rsidR="00532891" w:rsidRPr="00894701" w:rsidRDefault="00532891" w:rsidP="00532891">
            <w:pPr>
              <w:spacing w:after="0" w:line="240" w:lineRule="auto"/>
              <w:jc w:val="center"/>
              <w:rPr>
                <w:rFonts w:asciiTheme="majorHAnsi" w:hAnsiTheme="majorHAnsi" w:cs="Arial"/>
                <w:b/>
                <w:bCs/>
                <w:color w:val="FFFFFF"/>
                <w:kern w:val="0"/>
                <w:sz w:val="16"/>
                <w:szCs w:val="16"/>
                <w:lang w:val="fr-FR" w:eastAsia="fr-FR"/>
              </w:rPr>
            </w:pPr>
            <w:r w:rsidRPr="00894701">
              <w:rPr>
                <w:rFonts w:asciiTheme="majorHAnsi" w:hAnsiTheme="majorHAnsi" w:cs="Arial"/>
                <w:b/>
                <w:bCs/>
                <w:color w:val="FFFFFF"/>
                <w:kern w:val="0"/>
                <w:sz w:val="16"/>
                <w:szCs w:val="16"/>
                <w:lang w:val="fr-FR" w:eastAsia="fr-FR"/>
              </w:rPr>
              <w:t>Level of Ownership</w:t>
            </w:r>
          </w:p>
        </w:tc>
        <w:tc>
          <w:tcPr>
            <w:tcW w:w="1003" w:type="dxa"/>
            <w:tcBorders>
              <w:top w:val="nil"/>
              <w:left w:val="nil"/>
              <w:bottom w:val="nil"/>
              <w:right w:val="nil"/>
            </w:tcBorders>
            <w:shd w:val="clear" w:color="000000" w:fill="800000"/>
            <w:vAlign w:val="center"/>
            <w:hideMark/>
          </w:tcPr>
          <w:p w14:paraId="0315A3F4" w14:textId="77777777" w:rsidR="00532891" w:rsidRPr="00894701" w:rsidRDefault="00532891" w:rsidP="00532891">
            <w:pPr>
              <w:spacing w:after="0" w:line="240" w:lineRule="auto"/>
              <w:jc w:val="center"/>
              <w:rPr>
                <w:rFonts w:asciiTheme="majorHAnsi" w:hAnsiTheme="majorHAnsi" w:cs="Arial"/>
                <w:b/>
                <w:bCs/>
                <w:color w:val="FFFFFF"/>
                <w:kern w:val="0"/>
                <w:sz w:val="16"/>
                <w:szCs w:val="16"/>
                <w:lang w:val="fr-FR" w:eastAsia="fr-FR"/>
              </w:rPr>
            </w:pPr>
            <w:r w:rsidRPr="00894701">
              <w:rPr>
                <w:rFonts w:asciiTheme="majorHAnsi" w:hAnsiTheme="majorHAnsi" w:cs="Arial"/>
                <w:b/>
                <w:bCs/>
                <w:color w:val="FFFFFF"/>
                <w:kern w:val="0"/>
                <w:sz w:val="16"/>
                <w:szCs w:val="16"/>
                <w:lang w:val="fr-FR" w:eastAsia="fr-FR"/>
              </w:rPr>
              <w:t>Nationality of the Owner</w:t>
            </w:r>
          </w:p>
        </w:tc>
        <w:tc>
          <w:tcPr>
            <w:tcW w:w="933" w:type="dxa"/>
            <w:tcBorders>
              <w:top w:val="nil"/>
              <w:left w:val="nil"/>
              <w:bottom w:val="nil"/>
              <w:right w:val="nil"/>
            </w:tcBorders>
            <w:shd w:val="clear" w:color="000000" w:fill="800000"/>
            <w:vAlign w:val="center"/>
            <w:hideMark/>
          </w:tcPr>
          <w:p w14:paraId="703F690E" w14:textId="77777777" w:rsidR="00532891" w:rsidRPr="00894701" w:rsidRDefault="00532891" w:rsidP="00532891">
            <w:pPr>
              <w:spacing w:after="0" w:line="240" w:lineRule="auto"/>
              <w:jc w:val="center"/>
              <w:rPr>
                <w:rFonts w:asciiTheme="majorHAnsi" w:hAnsiTheme="majorHAnsi" w:cs="Arial"/>
                <w:b/>
                <w:bCs/>
                <w:color w:val="FFFFFF"/>
                <w:kern w:val="0"/>
                <w:sz w:val="16"/>
                <w:szCs w:val="16"/>
                <w:lang w:eastAsia="fr-FR"/>
              </w:rPr>
            </w:pPr>
            <w:r w:rsidRPr="00894701">
              <w:rPr>
                <w:rFonts w:asciiTheme="majorHAnsi" w:hAnsiTheme="majorHAnsi" w:cs="Arial"/>
                <w:b/>
                <w:bCs/>
                <w:color w:val="FFFFFF"/>
                <w:kern w:val="0"/>
                <w:sz w:val="16"/>
                <w:szCs w:val="16"/>
                <w:lang w:eastAsia="fr-FR"/>
              </w:rPr>
              <w:t>Stock exchange quotations (Yes/No)</w:t>
            </w:r>
          </w:p>
        </w:tc>
        <w:tc>
          <w:tcPr>
            <w:tcW w:w="849" w:type="dxa"/>
            <w:tcBorders>
              <w:top w:val="nil"/>
              <w:left w:val="nil"/>
              <w:bottom w:val="nil"/>
              <w:right w:val="nil"/>
            </w:tcBorders>
            <w:shd w:val="clear" w:color="000000" w:fill="800000"/>
            <w:vAlign w:val="center"/>
            <w:hideMark/>
          </w:tcPr>
          <w:p w14:paraId="4BAE3EBD" w14:textId="77777777" w:rsidR="00532891" w:rsidRPr="00894701" w:rsidRDefault="00532891" w:rsidP="00532891">
            <w:pPr>
              <w:spacing w:after="0" w:line="240" w:lineRule="auto"/>
              <w:jc w:val="center"/>
              <w:rPr>
                <w:rFonts w:asciiTheme="majorHAnsi" w:hAnsiTheme="majorHAnsi" w:cs="Arial"/>
                <w:b/>
                <w:bCs/>
                <w:color w:val="FFFFFF"/>
                <w:kern w:val="0"/>
                <w:sz w:val="16"/>
                <w:szCs w:val="16"/>
                <w:lang w:val="fr-FR" w:eastAsia="fr-FR"/>
              </w:rPr>
            </w:pPr>
            <w:r w:rsidRPr="00894701">
              <w:rPr>
                <w:rFonts w:asciiTheme="majorHAnsi" w:hAnsiTheme="majorHAnsi" w:cs="Arial"/>
                <w:b/>
                <w:bCs/>
                <w:color w:val="FFFFFF"/>
                <w:kern w:val="0"/>
                <w:sz w:val="16"/>
                <w:szCs w:val="16"/>
                <w:lang w:val="fr-FR" w:eastAsia="fr-FR"/>
              </w:rPr>
              <w:t>Stock Exchange</w:t>
            </w:r>
          </w:p>
        </w:tc>
        <w:tc>
          <w:tcPr>
            <w:tcW w:w="914" w:type="dxa"/>
            <w:tcBorders>
              <w:top w:val="nil"/>
              <w:left w:val="nil"/>
              <w:bottom w:val="nil"/>
              <w:right w:val="nil"/>
            </w:tcBorders>
            <w:shd w:val="clear" w:color="000000" w:fill="800000"/>
            <w:vAlign w:val="center"/>
            <w:hideMark/>
          </w:tcPr>
          <w:p w14:paraId="76A9C4C7" w14:textId="77777777" w:rsidR="00532891" w:rsidRPr="00894701" w:rsidRDefault="00532891" w:rsidP="00532891">
            <w:pPr>
              <w:spacing w:after="0" w:line="240" w:lineRule="auto"/>
              <w:jc w:val="center"/>
              <w:rPr>
                <w:rFonts w:asciiTheme="majorHAnsi" w:hAnsiTheme="majorHAnsi" w:cs="Arial"/>
                <w:b/>
                <w:bCs/>
                <w:color w:val="FFFFFF"/>
                <w:kern w:val="0"/>
                <w:sz w:val="16"/>
                <w:szCs w:val="16"/>
                <w:lang w:eastAsia="fr-FR"/>
              </w:rPr>
            </w:pPr>
            <w:r w:rsidRPr="00894701">
              <w:rPr>
                <w:rFonts w:asciiTheme="majorHAnsi" w:hAnsiTheme="majorHAnsi" w:cs="Arial"/>
                <w:b/>
                <w:bCs/>
                <w:color w:val="FFFFFF"/>
                <w:kern w:val="0"/>
                <w:sz w:val="16"/>
                <w:szCs w:val="16"/>
                <w:lang w:eastAsia="fr-FR"/>
              </w:rPr>
              <w:t>Owner (if the company's shares are not quoted)</w:t>
            </w:r>
          </w:p>
        </w:tc>
        <w:tc>
          <w:tcPr>
            <w:tcW w:w="2413" w:type="dxa"/>
            <w:tcBorders>
              <w:top w:val="single" w:sz="8" w:space="0" w:color="0070C0"/>
              <w:left w:val="nil"/>
              <w:bottom w:val="nil"/>
              <w:right w:val="single" w:sz="8" w:space="0" w:color="0070C0"/>
            </w:tcBorders>
            <w:shd w:val="clear" w:color="000000" w:fill="800000"/>
            <w:vAlign w:val="center"/>
            <w:hideMark/>
          </w:tcPr>
          <w:p w14:paraId="69EF0A9D" w14:textId="77777777" w:rsidR="00532891" w:rsidRPr="00894701" w:rsidRDefault="00532891" w:rsidP="00532891">
            <w:pPr>
              <w:spacing w:after="0" w:line="240" w:lineRule="auto"/>
              <w:jc w:val="center"/>
              <w:rPr>
                <w:rFonts w:asciiTheme="majorHAnsi" w:hAnsiTheme="majorHAnsi" w:cs="Arial"/>
                <w:b/>
                <w:bCs/>
                <w:color w:val="FFFFFF"/>
                <w:kern w:val="0"/>
                <w:sz w:val="16"/>
                <w:szCs w:val="16"/>
                <w:lang w:eastAsia="fr-FR"/>
              </w:rPr>
            </w:pPr>
            <w:r w:rsidRPr="00894701">
              <w:rPr>
                <w:rFonts w:asciiTheme="majorHAnsi" w:hAnsiTheme="majorHAnsi" w:cs="Arial"/>
                <w:b/>
                <w:bCs/>
                <w:color w:val="FFFFFF"/>
                <w:kern w:val="0"/>
                <w:sz w:val="16"/>
                <w:szCs w:val="16"/>
                <w:lang w:eastAsia="fr-FR"/>
              </w:rPr>
              <w:t>link to the stock exchange filings where they are listed (if the Company's shares are quoted)</w:t>
            </w:r>
          </w:p>
        </w:tc>
      </w:tr>
      <w:tr w:rsidR="00904D64" w:rsidRPr="00894701" w14:paraId="616482A2" w14:textId="77777777" w:rsidTr="00532891">
        <w:trPr>
          <w:trHeight w:val="264"/>
          <w:jc w:val="center"/>
        </w:trPr>
        <w:tc>
          <w:tcPr>
            <w:tcW w:w="341" w:type="dxa"/>
            <w:tcBorders>
              <w:top w:val="nil"/>
              <w:left w:val="nil"/>
              <w:bottom w:val="nil"/>
              <w:right w:val="nil"/>
            </w:tcBorders>
            <w:shd w:val="clear" w:color="000000" w:fill="FF9999"/>
            <w:noWrap/>
            <w:vAlign w:val="center"/>
            <w:hideMark/>
          </w:tcPr>
          <w:p w14:paraId="7F33E950"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1</w:t>
            </w:r>
          </w:p>
        </w:tc>
        <w:tc>
          <w:tcPr>
            <w:tcW w:w="2778" w:type="dxa"/>
            <w:tcBorders>
              <w:top w:val="nil"/>
              <w:left w:val="nil"/>
              <w:bottom w:val="nil"/>
              <w:right w:val="nil"/>
            </w:tcBorders>
            <w:shd w:val="clear" w:color="000000" w:fill="FF9999"/>
            <w:noWrap/>
            <w:vAlign w:val="center"/>
            <w:hideMark/>
          </w:tcPr>
          <w:p w14:paraId="058AA305"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Kosmos Energy Suriname</w:t>
            </w:r>
          </w:p>
        </w:tc>
        <w:tc>
          <w:tcPr>
            <w:tcW w:w="341" w:type="dxa"/>
            <w:tcBorders>
              <w:top w:val="nil"/>
              <w:left w:val="nil"/>
              <w:bottom w:val="nil"/>
              <w:right w:val="nil"/>
            </w:tcBorders>
            <w:shd w:val="clear" w:color="000000" w:fill="FF9999"/>
            <w:noWrap/>
            <w:vAlign w:val="center"/>
            <w:hideMark/>
          </w:tcPr>
          <w:p w14:paraId="329C9B28"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 </w:t>
            </w:r>
          </w:p>
        </w:tc>
        <w:tc>
          <w:tcPr>
            <w:tcW w:w="3344" w:type="dxa"/>
            <w:tcBorders>
              <w:top w:val="nil"/>
              <w:left w:val="nil"/>
              <w:bottom w:val="nil"/>
              <w:right w:val="nil"/>
            </w:tcBorders>
            <w:shd w:val="clear" w:color="000000" w:fill="FF9999"/>
            <w:noWrap/>
            <w:vAlign w:val="center"/>
            <w:hideMark/>
          </w:tcPr>
          <w:p w14:paraId="3CF92B0B"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Kosmos Energy Operating ("KEO")</w:t>
            </w:r>
          </w:p>
        </w:tc>
        <w:tc>
          <w:tcPr>
            <w:tcW w:w="1036" w:type="dxa"/>
            <w:tcBorders>
              <w:top w:val="nil"/>
              <w:left w:val="nil"/>
              <w:bottom w:val="nil"/>
              <w:right w:val="nil"/>
            </w:tcBorders>
            <w:shd w:val="clear" w:color="000000" w:fill="FF9999"/>
            <w:noWrap/>
            <w:vAlign w:val="center"/>
            <w:hideMark/>
          </w:tcPr>
          <w:p w14:paraId="3DF512D9"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NC</w:t>
            </w:r>
          </w:p>
        </w:tc>
        <w:tc>
          <w:tcPr>
            <w:tcW w:w="938" w:type="dxa"/>
            <w:tcBorders>
              <w:top w:val="nil"/>
              <w:left w:val="nil"/>
              <w:bottom w:val="nil"/>
              <w:right w:val="nil"/>
            </w:tcBorders>
            <w:shd w:val="clear" w:color="000000" w:fill="FF9999"/>
            <w:noWrap/>
            <w:vAlign w:val="center"/>
            <w:hideMark/>
          </w:tcPr>
          <w:p w14:paraId="7DE0DE1A" w14:textId="77777777" w:rsidR="00532891" w:rsidRPr="00894701" w:rsidRDefault="00532891" w:rsidP="00532891">
            <w:pPr>
              <w:spacing w:after="0" w:line="240" w:lineRule="auto"/>
              <w:jc w:val="right"/>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100%</w:t>
            </w:r>
          </w:p>
        </w:tc>
        <w:tc>
          <w:tcPr>
            <w:tcW w:w="1003" w:type="dxa"/>
            <w:tcBorders>
              <w:top w:val="nil"/>
              <w:left w:val="nil"/>
              <w:bottom w:val="nil"/>
              <w:right w:val="nil"/>
            </w:tcBorders>
            <w:shd w:val="clear" w:color="000000" w:fill="FF9999"/>
            <w:noWrap/>
            <w:vAlign w:val="center"/>
            <w:hideMark/>
          </w:tcPr>
          <w:p w14:paraId="36B59264"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Cayman Islands</w:t>
            </w:r>
          </w:p>
        </w:tc>
        <w:tc>
          <w:tcPr>
            <w:tcW w:w="933" w:type="dxa"/>
            <w:tcBorders>
              <w:top w:val="nil"/>
              <w:left w:val="nil"/>
              <w:bottom w:val="nil"/>
              <w:right w:val="nil"/>
            </w:tcBorders>
            <w:shd w:val="clear" w:color="000000" w:fill="FF9999"/>
            <w:noWrap/>
            <w:vAlign w:val="center"/>
            <w:hideMark/>
          </w:tcPr>
          <w:p w14:paraId="6EBDE569"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Yes</w:t>
            </w:r>
          </w:p>
        </w:tc>
        <w:tc>
          <w:tcPr>
            <w:tcW w:w="849" w:type="dxa"/>
            <w:tcBorders>
              <w:top w:val="nil"/>
              <w:left w:val="nil"/>
              <w:bottom w:val="nil"/>
              <w:right w:val="nil"/>
            </w:tcBorders>
            <w:shd w:val="clear" w:color="000000" w:fill="FF9999"/>
            <w:vAlign w:val="center"/>
            <w:hideMark/>
          </w:tcPr>
          <w:p w14:paraId="0616DA3E"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NYSE and LSE</w:t>
            </w:r>
          </w:p>
        </w:tc>
        <w:tc>
          <w:tcPr>
            <w:tcW w:w="914" w:type="dxa"/>
            <w:tcBorders>
              <w:top w:val="nil"/>
              <w:left w:val="nil"/>
              <w:bottom w:val="nil"/>
              <w:right w:val="nil"/>
            </w:tcBorders>
            <w:shd w:val="clear" w:color="000000" w:fill="FF9999"/>
            <w:noWrap/>
            <w:vAlign w:val="center"/>
            <w:hideMark/>
          </w:tcPr>
          <w:p w14:paraId="35BF41FC"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N/A</w:t>
            </w:r>
          </w:p>
        </w:tc>
        <w:tc>
          <w:tcPr>
            <w:tcW w:w="2413" w:type="dxa"/>
            <w:tcBorders>
              <w:top w:val="nil"/>
              <w:left w:val="nil"/>
              <w:bottom w:val="nil"/>
              <w:right w:val="nil"/>
            </w:tcBorders>
            <w:shd w:val="clear" w:color="000000" w:fill="FF9999"/>
            <w:vAlign w:val="center"/>
            <w:hideMark/>
          </w:tcPr>
          <w:p w14:paraId="055322A3" w14:textId="7118B7A2" w:rsidR="00532891" w:rsidRPr="00860520" w:rsidRDefault="00511B60" w:rsidP="00860520">
            <w:pPr>
              <w:pStyle w:val="BodyText"/>
              <w:rPr>
                <w:sz w:val="16"/>
                <w:szCs w:val="16"/>
              </w:rPr>
            </w:pPr>
            <w:hyperlink r:id="rId72" w:history="1">
              <w:r w:rsidR="00DA0039" w:rsidRPr="00860520">
                <w:rPr>
                  <w:rStyle w:val="Hyperlink"/>
                  <w:sz w:val="16"/>
                  <w:szCs w:val="16"/>
                </w:rPr>
                <w:t>SEC</w:t>
              </w:r>
            </w:hyperlink>
          </w:p>
        </w:tc>
      </w:tr>
      <w:tr w:rsidR="00532891" w:rsidRPr="00894701" w14:paraId="161DCD78" w14:textId="77777777" w:rsidTr="00BA29E5">
        <w:trPr>
          <w:trHeight w:val="264"/>
          <w:jc w:val="center"/>
        </w:trPr>
        <w:tc>
          <w:tcPr>
            <w:tcW w:w="341" w:type="dxa"/>
            <w:tcBorders>
              <w:top w:val="nil"/>
              <w:left w:val="nil"/>
              <w:bottom w:val="nil"/>
              <w:right w:val="nil"/>
            </w:tcBorders>
            <w:shd w:val="clear" w:color="auto" w:fill="FFFFFF" w:themeFill="background1"/>
            <w:noWrap/>
            <w:vAlign w:val="center"/>
            <w:hideMark/>
          </w:tcPr>
          <w:p w14:paraId="67F45C43"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2</w:t>
            </w:r>
          </w:p>
        </w:tc>
        <w:tc>
          <w:tcPr>
            <w:tcW w:w="2778" w:type="dxa"/>
            <w:tcBorders>
              <w:top w:val="nil"/>
              <w:left w:val="nil"/>
              <w:bottom w:val="nil"/>
              <w:right w:val="nil"/>
            </w:tcBorders>
            <w:shd w:val="clear" w:color="auto" w:fill="FFFFFF" w:themeFill="background1"/>
            <w:noWrap/>
            <w:vAlign w:val="center"/>
            <w:hideMark/>
          </w:tcPr>
          <w:p w14:paraId="24846742"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Tullow Oil Plc</w:t>
            </w:r>
          </w:p>
        </w:tc>
        <w:tc>
          <w:tcPr>
            <w:tcW w:w="341" w:type="dxa"/>
            <w:tcBorders>
              <w:top w:val="nil"/>
              <w:left w:val="nil"/>
              <w:bottom w:val="nil"/>
              <w:right w:val="nil"/>
            </w:tcBorders>
            <w:shd w:val="clear" w:color="auto" w:fill="FFFFFF" w:themeFill="background1"/>
            <w:noWrap/>
            <w:vAlign w:val="center"/>
            <w:hideMark/>
          </w:tcPr>
          <w:p w14:paraId="067A1E8E"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p>
        </w:tc>
        <w:tc>
          <w:tcPr>
            <w:tcW w:w="3344" w:type="dxa"/>
            <w:tcBorders>
              <w:top w:val="nil"/>
              <w:left w:val="nil"/>
              <w:bottom w:val="nil"/>
              <w:right w:val="nil"/>
            </w:tcBorders>
            <w:shd w:val="clear" w:color="auto" w:fill="FFFFFF" w:themeFill="background1"/>
            <w:noWrap/>
            <w:vAlign w:val="center"/>
            <w:hideMark/>
          </w:tcPr>
          <w:p w14:paraId="15F2DD51"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NS</w:t>
            </w:r>
          </w:p>
        </w:tc>
        <w:tc>
          <w:tcPr>
            <w:tcW w:w="1036" w:type="dxa"/>
            <w:tcBorders>
              <w:top w:val="nil"/>
              <w:left w:val="nil"/>
              <w:bottom w:val="nil"/>
              <w:right w:val="nil"/>
            </w:tcBorders>
            <w:shd w:val="clear" w:color="auto" w:fill="FFFFFF" w:themeFill="background1"/>
            <w:noWrap/>
            <w:vAlign w:val="center"/>
            <w:hideMark/>
          </w:tcPr>
          <w:p w14:paraId="21213AF4"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NS</w:t>
            </w:r>
          </w:p>
        </w:tc>
        <w:tc>
          <w:tcPr>
            <w:tcW w:w="938" w:type="dxa"/>
            <w:tcBorders>
              <w:top w:val="nil"/>
              <w:left w:val="nil"/>
              <w:bottom w:val="nil"/>
              <w:right w:val="nil"/>
            </w:tcBorders>
            <w:shd w:val="clear" w:color="auto" w:fill="FFFFFF" w:themeFill="background1"/>
            <w:noWrap/>
            <w:vAlign w:val="center"/>
            <w:hideMark/>
          </w:tcPr>
          <w:p w14:paraId="12DF63E8"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NS</w:t>
            </w:r>
          </w:p>
        </w:tc>
        <w:tc>
          <w:tcPr>
            <w:tcW w:w="1003" w:type="dxa"/>
            <w:tcBorders>
              <w:top w:val="nil"/>
              <w:left w:val="nil"/>
              <w:bottom w:val="nil"/>
              <w:right w:val="nil"/>
            </w:tcBorders>
            <w:shd w:val="clear" w:color="auto" w:fill="FFFFFF" w:themeFill="background1"/>
            <w:noWrap/>
            <w:vAlign w:val="center"/>
            <w:hideMark/>
          </w:tcPr>
          <w:p w14:paraId="1F0876C7"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NS</w:t>
            </w:r>
          </w:p>
        </w:tc>
        <w:tc>
          <w:tcPr>
            <w:tcW w:w="933" w:type="dxa"/>
            <w:tcBorders>
              <w:top w:val="nil"/>
              <w:left w:val="nil"/>
              <w:bottom w:val="nil"/>
              <w:right w:val="nil"/>
            </w:tcBorders>
            <w:shd w:val="clear" w:color="auto" w:fill="FFFFFF" w:themeFill="background1"/>
            <w:noWrap/>
            <w:vAlign w:val="center"/>
            <w:hideMark/>
          </w:tcPr>
          <w:p w14:paraId="22C16C50"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NS</w:t>
            </w:r>
          </w:p>
        </w:tc>
        <w:tc>
          <w:tcPr>
            <w:tcW w:w="849" w:type="dxa"/>
            <w:tcBorders>
              <w:top w:val="nil"/>
              <w:left w:val="nil"/>
              <w:bottom w:val="nil"/>
              <w:right w:val="nil"/>
            </w:tcBorders>
            <w:shd w:val="clear" w:color="auto" w:fill="FFFFFF" w:themeFill="background1"/>
            <w:noWrap/>
            <w:vAlign w:val="center"/>
            <w:hideMark/>
          </w:tcPr>
          <w:p w14:paraId="7164FF7E"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NS</w:t>
            </w:r>
          </w:p>
        </w:tc>
        <w:tc>
          <w:tcPr>
            <w:tcW w:w="914" w:type="dxa"/>
            <w:tcBorders>
              <w:top w:val="nil"/>
              <w:left w:val="nil"/>
              <w:bottom w:val="nil"/>
              <w:right w:val="nil"/>
            </w:tcBorders>
            <w:shd w:val="clear" w:color="auto" w:fill="FFFFFF" w:themeFill="background1"/>
            <w:noWrap/>
            <w:vAlign w:val="center"/>
            <w:hideMark/>
          </w:tcPr>
          <w:p w14:paraId="4AAA7B16"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NS</w:t>
            </w:r>
          </w:p>
        </w:tc>
        <w:tc>
          <w:tcPr>
            <w:tcW w:w="2413" w:type="dxa"/>
            <w:tcBorders>
              <w:top w:val="nil"/>
              <w:left w:val="nil"/>
              <w:bottom w:val="nil"/>
              <w:right w:val="nil"/>
            </w:tcBorders>
            <w:shd w:val="clear" w:color="auto" w:fill="FFFFFF" w:themeFill="background1"/>
            <w:noWrap/>
            <w:vAlign w:val="center"/>
            <w:hideMark/>
          </w:tcPr>
          <w:p w14:paraId="0940CDA4" w14:textId="77777777" w:rsidR="00532891" w:rsidRPr="00AD3312" w:rsidRDefault="00532891" w:rsidP="00532891">
            <w:pPr>
              <w:spacing w:after="0" w:line="240" w:lineRule="auto"/>
              <w:rPr>
                <w:rFonts w:asciiTheme="majorHAnsi" w:hAnsiTheme="majorHAnsi" w:cs="Arial"/>
                <w:color w:val="auto"/>
                <w:kern w:val="0"/>
                <w:sz w:val="16"/>
                <w:szCs w:val="16"/>
                <w:lang w:val="fr-FR" w:eastAsia="fr-FR"/>
              </w:rPr>
            </w:pPr>
            <w:r w:rsidRPr="00AD3312">
              <w:rPr>
                <w:rFonts w:asciiTheme="majorHAnsi" w:hAnsiTheme="majorHAnsi" w:cs="Arial"/>
                <w:color w:val="auto"/>
                <w:kern w:val="0"/>
                <w:sz w:val="16"/>
                <w:szCs w:val="16"/>
                <w:lang w:val="fr-FR" w:eastAsia="fr-FR"/>
              </w:rPr>
              <w:t>NS</w:t>
            </w:r>
          </w:p>
        </w:tc>
      </w:tr>
      <w:tr w:rsidR="00904D64" w:rsidRPr="00894701" w14:paraId="46D3E9F6" w14:textId="77777777" w:rsidTr="00532891">
        <w:trPr>
          <w:trHeight w:val="264"/>
          <w:jc w:val="center"/>
        </w:trPr>
        <w:tc>
          <w:tcPr>
            <w:tcW w:w="341" w:type="dxa"/>
            <w:tcBorders>
              <w:top w:val="nil"/>
              <w:left w:val="nil"/>
              <w:bottom w:val="nil"/>
              <w:right w:val="nil"/>
            </w:tcBorders>
            <w:shd w:val="clear" w:color="000000" w:fill="FF9999"/>
            <w:noWrap/>
            <w:vAlign w:val="center"/>
            <w:hideMark/>
          </w:tcPr>
          <w:p w14:paraId="1060339D"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3</w:t>
            </w:r>
          </w:p>
        </w:tc>
        <w:tc>
          <w:tcPr>
            <w:tcW w:w="2778" w:type="dxa"/>
            <w:tcBorders>
              <w:top w:val="nil"/>
              <w:left w:val="nil"/>
              <w:bottom w:val="nil"/>
              <w:right w:val="nil"/>
            </w:tcBorders>
            <w:shd w:val="clear" w:color="000000" w:fill="FF9999"/>
            <w:noWrap/>
            <w:vAlign w:val="center"/>
            <w:hideMark/>
          </w:tcPr>
          <w:p w14:paraId="55A8B84B" w14:textId="77777777" w:rsidR="00532891" w:rsidRPr="00894701" w:rsidRDefault="00532891" w:rsidP="00532891">
            <w:pPr>
              <w:spacing w:after="0" w:line="240" w:lineRule="auto"/>
              <w:rPr>
                <w:rFonts w:asciiTheme="majorHAnsi" w:hAnsiTheme="majorHAnsi" w:cs="Arial"/>
                <w:color w:val="auto"/>
                <w:kern w:val="0"/>
                <w:sz w:val="16"/>
                <w:szCs w:val="16"/>
                <w:lang w:eastAsia="fr-FR"/>
              </w:rPr>
            </w:pPr>
            <w:r w:rsidRPr="00894701">
              <w:rPr>
                <w:rFonts w:asciiTheme="majorHAnsi" w:hAnsiTheme="majorHAnsi" w:cs="Arial"/>
                <w:color w:val="auto"/>
                <w:kern w:val="0"/>
                <w:sz w:val="16"/>
                <w:szCs w:val="16"/>
                <w:lang w:eastAsia="fr-FR"/>
              </w:rPr>
              <w:t xml:space="preserve">Total E&amp;P Suriname B.V. </w:t>
            </w:r>
          </w:p>
        </w:tc>
        <w:tc>
          <w:tcPr>
            <w:tcW w:w="341" w:type="dxa"/>
            <w:tcBorders>
              <w:top w:val="nil"/>
              <w:left w:val="nil"/>
              <w:bottom w:val="nil"/>
              <w:right w:val="nil"/>
            </w:tcBorders>
            <w:shd w:val="clear" w:color="000000" w:fill="FF9999"/>
            <w:noWrap/>
            <w:vAlign w:val="center"/>
            <w:hideMark/>
          </w:tcPr>
          <w:p w14:paraId="44B3002B" w14:textId="77777777" w:rsidR="00532891" w:rsidRPr="00894701" w:rsidRDefault="00532891" w:rsidP="00532891">
            <w:pPr>
              <w:spacing w:after="0" w:line="240" w:lineRule="auto"/>
              <w:jc w:val="center"/>
              <w:rPr>
                <w:rFonts w:asciiTheme="majorHAnsi" w:hAnsiTheme="majorHAnsi" w:cs="Arial"/>
                <w:color w:val="auto"/>
                <w:kern w:val="0"/>
                <w:sz w:val="16"/>
                <w:szCs w:val="16"/>
                <w:lang w:eastAsia="fr-FR"/>
              </w:rPr>
            </w:pPr>
            <w:r w:rsidRPr="00894701">
              <w:rPr>
                <w:rFonts w:asciiTheme="majorHAnsi" w:hAnsiTheme="majorHAnsi" w:cs="Arial"/>
                <w:color w:val="auto"/>
                <w:kern w:val="0"/>
                <w:sz w:val="16"/>
                <w:szCs w:val="16"/>
                <w:lang w:eastAsia="fr-FR"/>
              </w:rPr>
              <w:t> </w:t>
            </w:r>
          </w:p>
        </w:tc>
        <w:tc>
          <w:tcPr>
            <w:tcW w:w="3344" w:type="dxa"/>
            <w:tcBorders>
              <w:top w:val="nil"/>
              <w:left w:val="nil"/>
              <w:bottom w:val="nil"/>
              <w:right w:val="nil"/>
            </w:tcBorders>
            <w:shd w:val="clear" w:color="000000" w:fill="FF9999"/>
            <w:noWrap/>
            <w:vAlign w:val="center"/>
            <w:hideMark/>
          </w:tcPr>
          <w:p w14:paraId="221A532E"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N/A</w:t>
            </w:r>
          </w:p>
        </w:tc>
        <w:tc>
          <w:tcPr>
            <w:tcW w:w="1036" w:type="dxa"/>
            <w:tcBorders>
              <w:top w:val="nil"/>
              <w:left w:val="nil"/>
              <w:bottom w:val="nil"/>
              <w:right w:val="nil"/>
            </w:tcBorders>
            <w:shd w:val="clear" w:color="000000" w:fill="FF9999"/>
            <w:noWrap/>
            <w:vAlign w:val="center"/>
            <w:hideMark/>
          </w:tcPr>
          <w:p w14:paraId="66F5D237"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N/A</w:t>
            </w:r>
          </w:p>
        </w:tc>
        <w:tc>
          <w:tcPr>
            <w:tcW w:w="938" w:type="dxa"/>
            <w:tcBorders>
              <w:top w:val="nil"/>
              <w:left w:val="nil"/>
              <w:bottom w:val="nil"/>
              <w:right w:val="nil"/>
            </w:tcBorders>
            <w:shd w:val="clear" w:color="000000" w:fill="FF9999"/>
            <w:noWrap/>
            <w:vAlign w:val="center"/>
            <w:hideMark/>
          </w:tcPr>
          <w:p w14:paraId="7F8E8542"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N/A</w:t>
            </w:r>
          </w:p>
        </w:tc>
        <w:tc>
          <w:tcPr>
            <w:tcW w:w="1003" w:type="dxa"/>
            <w:tcBorders>
              <w:top w:val="nil"/>
              <w:left w:val="nil"/>
              <w:bottom w:val="nil"/>
              <w:right w:val="nil"/>
            </w:tcBorders>
            <w:shd w:val="clear" w:color="000000" w:fill="FF9999"/>
            <w:noWrap/>
            <w:vAlign w:val="center"/>
            <w:hideMark/>
          </w:tcPr>
          <w:p w14:paraId="199B29CB"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N/A</w:t>
            </w:r>
          </w:p>
        </w:tc>
        <w:tc>
          <w:tcPr>
            <w:tcW w:w="933" w:type="dxa"/>
            <w:tcBorders>
              <w:top w:val="nil"/>
              <w:left w:val="nil"/>
              <w:bottom w:val="nil"/>
              <w:right w:val="nil"/>
            </w:tcBorders>
            <w:shd w:val="clear" w:color="000000" w:fill="FF9999"/>
            <w:noWrap/>
            <w:vAlign w:val="center"/>
            <w:hideMark/>
          </w:tcPr>
          <w:p w14:paraId="709F0B1D"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N/A</w:t>
            </w:r>
          </w:p>
        </w:tc>
        <w:tc>
          <w:tcPr>
            <w:tcW w:w="849" w:type="dxa"/>
            <w:tcBorders>
              <w:top w:val="nil"/>
              <w:left w:val="nil"/>
              <w:bottom w:val="nil"/>
              <w:right w:val="nil"/>
            </w:tcBorders>
            <w:shd w:val="clear" w:color="000000" w:fill="FF9999"/>
            <w:noWrap/>
            <w:vAlign w:val="center"/>
            <w:hideMark/>
          </w:tcPr>
          <w:p w14:paraId="207A447C"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N/A</w:t>
            </w:r>
          </w:p>
        </w:tc>
        <w:tc>
          <w:tcPr>
            <w:tcW w:w="914" w:type="dxa"/>
            <w:tcBorders>
              <w:top w:val="nil"/>
              <w:left w:val="nil"/>
              <w:bottom w:val="nil"/>
              <w:right w:val="nil"/>
            </w:tcBorders>
            <w:shd w:val="clear" w:color="000000" w:fill="FF9999"/>
            <w:noWrap/>
            <w:vAlign w:val="center"/>
            <w:hideMark/>
          </w:tcPr>
          <w:p w14:paraId="0DA200B9"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N/A</w:t>
            </w:r>
          </w:p>
        </w:tc>
        <w:tc>
          <w:tcPr>
            <w:tcW w:w="2413" w:type="dxa"/>
            <w:tcBorders>
              <w:top w:val="nil"/>
              <w:left w:val="nil"/>
              <w:bottom w:val="nil"/>
              <w:right w:val="nil"/>
            </w:tcBorders>
            <w:shd w:val="clear" w:color="000000" w:fill="FF9999"/>
            <w:noWrap/>
            <w:vAlign w:val="center"/>
            <w:hideMark/>
          </w:tcPr>
          <w:p w14:paraId="1B026B1D"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N/A</w:t>
            </w:r>
          </w:p>
        </w:tc>
      </w:tr>
      <w:tr w:rsidR="00532891" w:rsidRPr="00894701" w14:paraId="75E56797" w14:textId="77777777" w:rsidTr="00BA29E5">
        <w:trPr>
          <w:trHeight w:val="264"/>
          <w:jc w:val="center"/>
        </w:trPr>
        <w:tc>
          <w:tcPr>
            <w:tcW w:w="341" w:type="dxa"/>
            <w:tcBorders>
              <w:top w:val="nil"/>
              <w:left w:val="nil"/>
              <w:bottom w:val="nil"/>
              <w:right w:val="nil"/>
            </w:tcBorders>
            <w:shd w:val="clear" w:color="000000" w:fill="FFFFFF"/>
            <w:noWrap/>
            <w:vAlign w:val="center"/>
            <w:hideMark/>
          </w:tcPr>
          <w:p w14:paraId="4AC36592"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4</w:t>
            </w:r>
          </w:p>
        </w:tc>
        <w:tc>
          <w:tcPr>
            <w:tcW w:w="2778" w:type="dxa"/>
            <w:tcBorders>
              <w:top w:val="nil"/>
              <w:left w:val="nil"/>
              <w:bottom w:val="nil"/>
              <w:right w:val="nil"/>
            </w:tcBorders>
            <w:shd w:val="clear" w:color="auto" w:fill="FFFFFF" w:themeFill="background1"/>
            <w:noWrap/>
            <w:vAlign w:val="center"/>
            <w:hideMark/>
          </w:tcPr>
          <w:p w14:paraId="451C7EC3"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Capricorn Energy Plc</w:t>
            </w:r>
          </w:p>
        </w:tc>
        <w:tc>
          <w:tcPr>
            <w:tcW w:w="341" w:type="dxa"/>
            <w:tcBorders>
              <w:top w:val="nil"/>
              <w:left w:val="nil"/>
              <w:bottom w:val="nil"/>
              <w:right w:val="nil"/>
            </w:tcBorders>
            <w:shd w:val="clear" w:color="auto" w:fill="FFFFFF" w:themeFill="background1"/>
            <w:noWrap/>
            <w:vAlign w:val="center"/>
            <w:hideMark/>
          </w:tcPr>
          <w:p w14:paraId="7137C7D1"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 </w:t>
            </w:r>
          </w:p>
        </w:tc>
        <w:tc>
          <w:tcPr>
            <w:tcW w:w="3344" w:type="dxa"/>
            <w:tcBorders>
              <w:top w:val="nil"/>
              <w:left w:val="nil"/>
              <w:bottom w:val="nil"/>
              <w:right w:val="nil"/>
            </w:tcBorders>
            <w:shd w:val="clear" w:color="auto" w:fill="FFFFFF" w:themeFill="background1"/>
            <w:noWrap/>
            <w:vAlign w:val="center"/>
            <w:hideMark/>
          </w:tcPr>
          <w:p w14:paraId="03F999FC"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Capricorn Energy Holdings Limited</w:t>
            </w:r>
          </w:p>
        </w:tc>
        <w:tc>
          <w:tcPr>
            <w:tcW w:w="1036" w:type="dxa"/>
            <w:tcBorders>
              <w:top w:val="nil"/>
              <w:left w:val="nil"/>
              <w:bottom w:val="nil"/>
              <w:right w:val="nil"/>
            </w:tcBorders>
            <w:shd w:val="clear" w:color="auto" w:fill="FFFFFF" w:themeFill="background1"/>
            <w:noWrap/>
            <w:vAlign w:val="center"/>
            <w:hideMark/>
          </w:tcPr>
          <w:p w14:paraId="1995122B"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NC</w:t>
            </w:r>
          </w:p>
        </w:tc>
        <w:tc>
          <w:tcPr>
            <w:tcW w:w="938" w:type="dxa"/>
            <w:tcBorders>
              <w:top w:val="nil"/>
              <w:left w:val="nil"/>
              <w:bottom w:val="nil"/>
              <w:right w:val="nil"/>
            </w:tcBorders>
            <w:shd w:val="clear" w:color="auto" w:fill="FFFFFF" w:themeFill="background1"/>
            <w:noWrap/>
            <w:vAlign w:val="center"/>
            <w:hideMark/>
          </w:tcPr>
          <w:p w14:paraId="06E6C940" w14:textId="77777777" w:rsidR="00532891" w:rsidRPr="00894701" w:rsidRDefault="00532891" w:rsidP="00532891">
            <w:pPr>
              <w:spacing w:after="0" w:line="240" w:lineRule="auto"/>
              <w:jc w:val="right"/>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100%</w:t>
            </w:r>
          </w:p>
        </w:tc>
        <w:tc>
          <w:tcPr>
            <w:tcW w:w="1003" w:type="dxa"/>
            <w:tcBorders>
              <w:top w:val="nil"/>
              <w:left w:val="nil"/>
              <w:bottom w:val="nil"/>
              <w:right w:val="nil"/>
            </w:tcBorders>
            <w:shd w:val="clear" w:color="auto" w:fill="FFFFFF" w:themeFill="background1"/>
            <w:noWrap/>
            <w:vAlign w:val="center"/>
            <w:hideMark/>
          </w:tcPr>
          <w:p w14:paraId="5EC3569E"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Scotland</w:t>
            </w:r>
          </w:p>
        </w:tc>
        <w:tc>
          <w:tcPr>
            <w:tcW w:w="933" w:type="dxa"/>
            <w:tcBorders>
              <w:top w:val="nil"/>
              <w:left w:val="nil"/>
              <w:bottom w:val="nil"/>
              <w:right w:val="nil"/>
            </w:tcBorders>
            <w:shd w:val="clear" w:color="auto" w:fill="FFFFFF" w:themeFill="background1"/>
            <w:noWrap/>
            <w:vAlign w:val="center"/>
            <w:hideMark/>
          </w:tcPr>
          <w:p w14:paraId="06DED859"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N/A</w:t>
            </w:r>
          </w:p>
        </w:tc>
        <w:tc>
          <w:tcPr>
            <w:tcW w:w="849" w:type="dxa"/>
            <w:tcBorders>
              <w:top w:val="nil"/>
              <w:left w:val="nil"/>
              <w:bottom w:val="nil"/>
              <w:right w:val="nil"/>
            </w:tcBorders>
            <w:shd w:val="clear" w:color="auto" w:fill="FFFFFF" w:themeFill="background1"/>
            <w:vAlign w:val="center"/>
            <w:hideMark/>
          </w:tcPr>
          <w:p w14:paraId="2E1E85DB"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N/A</w:t>
            </w:r>
          </w:p>
        </w:tc>
        <w:tc>
          <w:tcPr>
            <w:tcW w:w="914" w:type="dxa"/>
            <w:tcBorders>
              <w:top w:val="nil"/>
              <w:left w:val="nil"/>
              <w:bottom w:val="nil"/>
              <w:right w:val="nil"/>
            </w:tcBorders>
            <w:shd w:val="clear" w:color="auto" w:fill="FFFFFF" w:themeFill="background1"/>
            <w:noWrap/>
            <w:vAlign w:val="center"/>
            <w:hideMark/>
          </w:tcPr>
          <w:p w14:paraId="6401ECE3"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N/A</w:t>
            </w:r>
          </w:p>
        </w:tc>
        <w:tc>
          <w:tcPr>
            <w:tcW w:w="2413" w:type="dxa"/>
            <w:tcBorders>
              <w:top w:val="nil"/>
              <w:left w:val="nil"/>
              <w:bottom w:val="nil"/>
              <w:right w:val="nil"/>
            </w:tcBorders>
            <w:shd w:val="clear" w:color="auto" w:fill="FFFFFF" w:themeFill="background1"/>
            <w:noWrap/>
            <w:vAlign w:val="center"/>
            <w:hideMark/>
          </w:tcPr>
          <w:p w14:paraId="38E9A17F"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N/A</w:t>
            </w:r>
          </w:p>
        </w:tc>
      </w:tr>
      <w:tr w:rsidR="00904D64" w:rsidRPr="00894701" w14:paraId="5B330684" w14:textId="77777777" w:rsidTr="00532891">
        <w:trPr>
          <w:trHeight w:val="264"/>
          <w:jc w:val="center"/>
        </w:trPr>
        <w:tc>
          <w:tcPr>
            <w:tcW w:w="341" w:type="dxa"/>
            <w:tcBorders>
              <w:top w:val="nil"/>
              <w:left w:val="nil"/>
              <w:bottom w:val="nil"/>
              <w:right w:val="nil"/>
            </w:tcBorders>
            <w:shd w:val="clear" w:color="000000" w:fill="FF9999"/>
            <w:noWrap/>
            <w:vAlign w:val="center"/>
            <w:hideMark/>
          </w:tcPr>
          <w:p w14:paraId="7CC3FF9E"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5</w:t>
            </w:r>
          </w:p>
        </w:tc>
        <w:tc>
          <w:tcPr>
            <w:tcW w:w="2778" w:type="dxa"/>
            <w:tcBorders>
              <w:top w:val="nil"/>
              <w:left w:val="nil"/>
              <w:bottom w:val="nil"/>
              <w:right w:val="nil"/>
            </w:tcBorders>
            <w:shd w:val="clear" w:color="000000" w:fill="FF9999"/>
            <w:noWrap/>
            <w:vAlign w:val="center"/>
            <w:hideMark/>
          </w:tcPr>
          <w:p w14:paraId="063242AB"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Petronas Suriname Exploration &amp; production B.V.</w:t>
            </w:r>
          </w:p>
        </w:tc>
        <w:tc>
          <w:tcPr>
            <w:tcW w:w="341" w:type="dxa"/>
            <w:tcBorders>
              <w:top w:val="nil"/>
              <w:left w:val="nil"/>
              <w:bottom w:val="nil"/>
              <w:right w:val="nil"/>
            </w:tcBorders>
            <w:shd w:val="clear" w:color="000000" w:fill="FF9999"/>
            <w:noWrap/>
            <w:vAlign w:val="center"/>
            <w:hideMark/>
          </w:tcPr>
          <w:p w14:paraId="51344DBF"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 </w:t>
            </w:r>
          </w:p>
        </w:tc>
        <w:tc>
          <w:tcPr>
            <w:tcW w:w="3344" w:type="dxa"/>
            <w:tcBorders>
              <w:top w:val="nil"/>
              <w:left w:val="nil"/>
              <w:bottom w:val="nil"/>
              <w:right w:val="nil"/>
            </w:tcBorders>
            <w:shd w:val="clear" w:color="000000" w:fill="FF9999"/>
            <w:noWrap/>
            <w:vAlign w:val="center"/>
            <w:hideMark/>
          </w:tcPr>
          <w:p w14:paraId="5E9777FE" w14:textId="77777777" w:rsidR="00532891" w:rsidRPr="001307EB" w:rsidRDefault="00532891" w:rsidP="00532891">
            <w:pPr>
              <w:spacing w:after="0" w:line="240" w:lineRule="auto"/>
              <w:rPr>
                <w:rFonts w:asciiTheme="majorHAnsi" w:hAnsiTheme="majorHAnsi" w:cs="Arial"/>
                <w:color w:val="auto"/>
                <w:kern w:val="0"/>
                <w:sz w:val="16"/>
                <w:szCs w:val="16"/>
                <w:lang w:val="it-IT" w:eastAsia="fr-FR"/>
              </w:rPr>
            </w:pPr>
            <w:r w:rsidRPr="001307EB">
              <w:rPr>
                <w:rFonts w:asciiTheme="majorHAnsi" w:hAnsiTheme="majorHAnsi" w:cs="Arial"/>
                <w:color w:val="auto"/>
                <w:kern w:val="0"/>
                <w:sz w:val="16"/>
                <w:szCs w:val="16"/>
                <w:lang w:val="it-IT" w:eastAsia="fr-FR"/>
              </w:rPr>
              <w:t>Petronas Carigali International E&amp;P B.V.</w:t>
            </w:r>
          </w:p>
        </w:tc>
        <w:tc>
          <w:tcPr>
            <w:tcW w:w="1036" w:type="dxa"/>
            <w:tcBorders>
              <w:top w:val="nil"/>
              <w:left w:val="nil"/>
              <w:bottom w:val="nil"/>
              <w:right w:val="nil"/>
            </w:tcBorders>
            <w:shd w:val="clear" w:color="000000" w:fill="FF9999"/>
            <w:noWrap/>
            <w:vAlign w:val="center"/>
            <w:hideMark/>
          </w:tcPr>
          <w:p w14:paraId="73E342C8"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NC</w:t>
            </w:r>
          </w:p>
        </w:tc>
        <w:tc>
          <w:tcPr>
            <w:tcW w:w="938" w:type="dxa"/>
            <w:tcBorders>
              <w:top w:val="nil"/>
              <w:left w:val="nil"/>
              <w:bottom w:val="nil"/>
              <w:right w:val="nil"/>
            </w:tcBorders>
            <w:shd w:val="clear" w:color="000000" w:fill="FF9999"/>
            <w:noWrap/>
            <w:vAlign w:val="center"/>
            <w:hideMark/>
          </w:tcPr>
          <w:p w14:paraId="7085E7FE" w14:textId="77777777" w:rsidR="00532891" w:rsidRPr="00894701" w:rsidRDefault="00532891" w:rsidP="00532891">
            <w:pPr>
              <w:spacing w:after="0" w:line="240" w:lineRule="auto"/>
              <w:jc w:val="right"/>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100%</w:t>
            </w:r>
          </w:p>
        </w:tc>
        <w:tc>
          <w:tcPr>
            <w:tcW w:w="1003" w:type="dxa"/>
            <w:tcBorders>
              <w:top w:val="nil"/>
              <w:left w:val="nil"/>
              <w:bottom w:val="nil"/>
              <w:right w:val="nil"/>
            </w:tcBorders>
            <w:shd w:val="clear" w:color="000000" w:fill="FF9999"/>
            <w:noWrap/>
            <w:vAlign w:val="center"/>
            <w:hideMark/>
          </w:tcPr>
          <w:p w14:paraId="5C21E67F"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Amsterdam</w:t>
            </w:r>
          </w:p>
        </w:tc>
        <w:tc>
          <w:tcPr>
            <w:tcW w:w="933" w:type="dxa"/>
            <w:tcBorders>
              <w:top w:val="nil"/>
              <w:left w:val="nil"/>
              <w:bottom w:val="nil"/>
              <w:right w:val="nil"/>
            </w:tcBorders>
            <w:shd w:val="clear" w:color="000000" w:fill="FF9999"/>
            <w:noWrap/>
            <w:vAlign w:val="center"/>
            <w:hideMark/>
          </w:tcPr>
          <w:p w14:paraId="1B946D48"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N/A</w:t>
            </w:r>
          </w:p>
        </w:tc>
        <w:tc>
          <w:tcPr>
            <w:tcW w:w="849" w:type="dxa"/>
            <w:tcBorders>
              <w:top w:val="nil"/>
              <w:left w:val="nil"/>
              <w:bottom w:val="nil"/>
              <w:right w:val="nil"/>
            </w:tcBorders>
            <w:shd w:val="clear" w:color="000000" w:fill="FF9999"/>
            <w:noWrap/>
            <w:vAlign w:val="center"/>
            <w:hideMark/>
          </w:tcPr>
          <w:p w14:paraId="28312026"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N/A</w:t>
            </w:r>
          </w:p>
        </w:tc>
        <w:tc>
          <w:tcPr>
            <w:tcW w:w="914" w:type="dxa"/>
            <w:tcBorders>
              <w:top w:val="nil"/>
              <w:left w:val="nil"/>
              <w:bottom w:val="nil"/>
              <w:right w:val="nil"/>
            </w:tcBorders>
            <w:shd w:val="clear" w:color="000000" w:fill="FF9999"/>
            <w:noWrap/>
            <w:vAlign w:val="center"/>
            <w:hideMark/>
          </w:tcPr>
          <w:p w14:paraId="7FAB2618"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N/A</w:t>
            </w:r>
          </w:p>
        </w:tc>
        <w:tc>
          <w:tcPr>
            <w:tcW w:w="2413" w:type="dxa"/>
            <w:tcBorders>
              <w:top w:val="nil"/>
              <w:left w:val="nil"/>
              <w:bottom w:val="nil"/>
              <w:right w:val="nil"/>
            </w:tcBorders>
            <w:shd w:val="clear" w:color="000000" w:fill="FF9999"/>
            <w:noWrap/>
            <w:vAlign w:val="center"/>
            <w:hideMark/>
          </w:tcPr>
          <w:p w14:paraId="63E1742E"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N/A</w:t>
            </w:r>
          </w:p>
        </w:tc>
      </w:tr>
      <w:tr w:rsidR="00532891" w:rsidRPr="00894701" w14:paraId="4E4EDB91" w14:textId="77777777" w:rsidTr="00BA29E5">
        <w:trPr>
          <w:trHeight w:val="264"/>
          <w:jc w:val="center"/>
        </w:trPr>
        <w:tc>
          <w:tcPr>
            <w:tcW w:w="341" w:type="dxa"/>
            <w:tcBorders>
              <w:top w:val="nil"/>
              <w:left w:val="nil"/>
              <w:bottom w:val="nil"/>
              <w:right w:val="nil"/>
            </w:tcBorders>
            <w:shd w:val="clear" w:color="auto" w:fill="FFFFFF" w:themeFill="background1"/>
            <w:noWrap/>
            <w:vAlign w:val="center"/>
            <w:hideMark/>
          </w:tcPr>
          <w:p w14:paraId="4F8DCED1"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6</w:t>
            </w:r>
          </w:p>
        </w:tc>
        <w:tc>
          <w:tcPr>
            <w:tcW w:w="2778" w:type="dxa"/>
            <w:tcBorders>
              <w:top w:val="nil"/>
              <w:left w:val="nil"/>
              <w:bottom w:val="nil"/>
              <w:right w:val="nil"/>
            </w:tcBorders>
            <w:shd w:val="clear" w:color="auto" w:fill="FFFFFF" w:themeFill="background1"/>
            <w:noWrap/>
            <w:vAlign w:val="center"/>
            <w:hideMark/>
          </w:tcPr>
          <w:p w14:paraId="0E44121A"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Challenger Energy Group Plc</w:t>
            </w:r>
          </w:p>
        </w:tc>
        <w:tc>
          <w:tcPr>
            <w:tcW w:w="341" w:type="dxa"/>
            <w:tcBorders>
              <w:top w:val="nil"/>
              <w:left w:val="nil"/>
              <w:bottom w:val="nil"/>
              <w:right w:val="nil"/>
            </w:tcBorders>
            <w:shd w:val="clear" w:color="auto" w:fill="FFFFFF" w:themeFill="background1"/>
            <w:noWrap/>
            <w:vAlign w:val="center"/>
            <w:hideMark/>
          </w:tcPr>
          <w:p w14:paraId="647731AE"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 </w:t>
            </w:r>
          </w:p>
        </w:tc>
        <w:tc>
          <w:tcPr>
            <w:tcW w:w="3344" w:type="dxa"/>
            <w:tcBorders>
              <w:top w:val="nil"/>
              <w:left w:val="nil"/>
              <w:bottom w:val="nil"/>
              <w:right w:val="nil"/>
            </w:tcBorders>
            <w:shd w:val="clear" w:color="auto" w:fill="FFFFFF" w:themeFill="background1"/>
            <w:noWrap/>
            <w:vAlign w:val="center"/>
            <w:hideMark/>
          </w:tcPr>
          <w:p w14:paraId="4BB9CFEE"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NS</w:t>
            </w:r>
          </w:p>
        </w:tc>
        <w:tc>
          <w:tcPr>
            <w:tcW w:w="1036" w:type="dxa"/>
            <w:tcBorders>
              <w:top w:val="nil"/>
              <w:left w:val="nil"/>
              <w:bottom w:val="nil"/>
              <w:right w:val="nil"/>
            </w:tcBorders>
            <w:shd w:val="clear" w:color="auto" w:fill="FFFFFF" w:themeFill="background1"/>
            <w:noWrap/>
            <w:vAlign w:val="center"/>
            <w:hideMark/>
          </w:tcPr>
          <w:p w14:paraId="326AB0A2"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NS</w:t>
            </w:r>
          </w:p>
        </w:tc>
        <w:tc>
          <w:tcPr>
            <w:tcW w:w="938" w:type="dxa"/>
            <w:tcBorders>
              <w:top w:val="nil"/>
              <w:left w:val="nil"/>
              <w:bottom w:val="nil"/>
              <w:right w:val="nil"/>
            </w:tcBorders>
            <w:shd w:val="clear" w:color="auto" w:fill="FFFFFF" w:themeFill="background1"/>
            <w:noWrap/>
            <w:vAlign w:val="center"/>
            <w:hideMark/>
          </w:tcPr>
          <w:p w14:paraId="42070228"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NS</w:t>
            </w:r>
          </w:p>
        </w:tc>
        <w:tc>
          <w:tcPr>
            <w:tcW w:w="1003" w:type="dxa"/>
            <w:tcBorders>
              <w:top w:val="nil"/>
              <w:left w:val="nil"/>
              <w:bottom w:val="nil"/>
              <w:right w:val="nil"/>
            </w:tcBorders>
            <w:shd w:val="clear" w:color="auto" w:fill="FFFFFF" w:themeFill="background1"/>
            <w:noWrap/>
            <w:vAlign w:val="center"/>
            <w:hideMark/>
          </w:tcPr>
          <w:p w14:paraId="21EA8110"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NS</w:t>
            </w:r>
          </w:p>
        </w:tc>
        <w:tc>
          <w:tcPr>
            <w:tcW w:w="933" w:type="dxa"/>
            <w:tcBorders>
              <w:top w:val="nil"/>
              <w:left w:val="nil"/>
              <w:bottom w:val="nil"/>
              <w:right w:val="nil"/>
            </w:tcBorders>
            <w:shd w:val="clear" w:color="auto" w:fill="FFFFFF" w:themeFill="background1"/>
            <w:noWrap/>
            <w:vAlign w:val="center"/>
            <w:hideMark/>
          </w:tcPr>
          <w:p w14:paraId="3C66160F"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NS</w:t>
            </w:r>
          </w:p>
        </w:tc>
        <w:tc>
          <w:tcPr>
            <w:tcW w:w="849" w:type="dxa"/>
            <w:tcBorders>
              <w:top w:val="nil"/>
              <w:left w:val="nil"/>
              <w:bottom w:val="nil"/>
              <w:right w:val="nil"/>
            </w:tcBorders>
            <w:shd w:val="clear" w:color="auto" w:fill="FFFFFF" w:themeFill="background1"/>
            <w:noWrap/>
            <w:vAlign w:val="center"/>
            <w:hideMark/>
          </w:tcPr>
          <w:p w14:paraId="33690FB9"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NS</w:t>
            </w:r>
          </w:p>
        </w:tc>
        <w:tc>
          <w:tcPr>
            <w:tcW w:w="914" w:type="dxa"/>
            <w:tcBorders>
              <w:top w:val="nil"/>
              <w:left w:val="nil"/>
              <w:bottom w:val="nil"/>
              <w:right w:val="nil"/>
            </w:tcBorders>
            <w:shd w:val="clear" w:color="auto" w:fill="FFFFFF" w:themeFill="background1"/>
            <w:noWrap/>
            <w:vAlign w:val="center"/>
            <w:hideMark/>
          </w:tcPr>
          <w:p w14:paraId="608CF09D"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NS</w:t>
            </w:r>
          </w:p>
        </w:tc>
        <w:tc>
          <w:tcPr>
            <w:tcW w:w="2413" w:type="dxa"/>
            <w:tcBorders>
              <w:top w:val="nil"/>
              <w:left w:val="nil"/>
              <w:bottom w:val="nil"/>
              <w:right w:val="nil"/>
            </w:tcBorders>
            <w:shd w:val="clear" w:color="auto" w:fill="FFFFFF" w:themeFill="background1"/>
            <w:noWrap/>
            <w:vAlign w:val="center"/>
            <w:hideMark/>
          </w:tcPr>
          <w:p w14:paraId="19F7B105"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NS</w:t>
            </w:r>
          </w:p>
        </w:tc>
      </w:tr>
      <w:tr w:rsidR="00904D64" w:rsidRPr="00894701" w14:paraId="79480115" w14:textId="77777777" w:rsidTr="00532891">
        <w:trPr>
          <w:trHeight w:val="264"/>
          <w:jc w:val="center"/>
        </w:trPr>
        <w:tc>
          <w:tcPr>
            <w:tcW w:w="341" w:type="dxa"/>
            <w:tcBorders>
              <w:top w:val="nil"/>
              <w:left w:val="nil"/>
              <w:bottom w:val="nil"/>
              <w:right w:val="nil"/>
            </w:tcBorders>
            <w:shd w:val="clear" w:color="000000" w:fill="FF9999"/>
            <w:noWrap/>
            <w:vAlign w:val="center"/>
            <w:hideMark/>
          </w:tcPr>
          <w:p w14:paraId="424A1FD8"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7</w:t>
            </w:r>
          </w:p>
        </w:tc>
        <w:tc>
          <w:tcPr>
            <w:tcW w:w="2778" w:type="dxa"/>
            <w:tcBorders>
              <w:top w:val="nil"/>
              <w:left w:val="nil"/>
              <w:bottom w:val="nil"/>
              <w:right w:val="nil"/>
            </w:tcBorders>
            <w:shd w:val="clear" w:color="000000" w:fill="FF9999"/>
            <w:noWrap/>
            <w:vAlign w:val="center"/>
            <w:hideMark/>
          </w:tcPr>
          <w:p w14:paraId="30B476F7"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Staatsolie Maatschappij Suriname N.V.</w:t>
            </w:r>
          </w:p>
        </w:tc>
        <w:tc>
          <w:tcPr>
            <w:tcW w:w="341" w:type="dxa"/>
            <w:tcBorders>
              <w:top w:val="nil"/>
              <w:left w:val="nil"/>
              <w:bottom w:val="nil"/>
              <w:right w:val="nil"/>
            </w:tcBorders>
            <w:shd w:val="clear" w:color="000000" w:fill="FF9999"/>
            <w:vAlign w:val="center"/>
            <w:hideMark/>
          </w:tcPr>
          <w:p w14:paraId="16449EE0" w14:textId="77777777" w:rsidR="00532891" w:rsidRPr="00894701" w:rsidRDefault="00532891" w:rsidP="00532891">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 </w:t>
            </w:r>
          </w:p>
        </w:tc>
        <w:tc>
          <w:tcPr>
            <w:tcW w:w="3344" w:type="dxa"/>
            <w:tcBorders>
              <w:top w:val="nil"/>
              <w:left w:val="nil"/>
              <w:bottom w:val="nil"/>
              <w:right w:val="nil"/>
            </w:tcBorders>
            <w:shd w:val="clear" w:color="000000" w:fill="FF9999"/>
            <w:vAlign w:val="center"/>
            <w:hideMark/>
          </w:tcPr>
          <w:p w14:paraId="618FB33E"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Republic of Suriname</w:t>
            </w:r>
          </w:p>
        </w:tc>
        <w:tc>
          <w:tcPr>
            <w:tcW w:w="1036" w:type="dxa"/>
            <w:tcBorders>
              <w:top w:val="nil"/>
              <w:left w:val="nil"/>
              <w:bottom w:val="nil"/>
              <w:right w:val="nil"/>
            </w:tcBorders>
            <w:shd w:val="clear" w:color="000000" w:fill="FF9999"/>
            <w:noWrap/>
            <w:vAlign w:val="center"/>
            <w:hideMark/>
          </w:tcPr>
          <w:p w14:paraId="60DC3062"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NC</w:t>
            </w:r>
          </w:p>
        </w:tc>
        <w:tc>
          <w:tcPr>
            <w:tcW w:w="938" w:type="dxa"/>
            <w:tcBorders>
              <w:top w:val="nil"/>
              <w:left w:val="nil"/>
              <w:bottom w:val="nil"/>
              <w:right w:val="nil"/>
            </w:tcBorders>
            <w:shd w:val="clear" w:color="000000" w:fill="FF9999"/>
            <w:vAlign w:val="center"/>
            <w:hideMark/>
          </w:tcPr>
          <w:p w14:paraId="7A38F7CA" w14:textId="77777777" w:rsidR="00532891" w:rsidRPr="00894701" w:rsidRDefault="00532891" w:rsidP="00532891">
            <w:pPr>
              <w:spacing w:after="0" w:line="240" w:lineRule="auto"/>
              <w:jc w:val="right"/>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100.0%</w:t>
            </w:r>
          </w:p>
        </w:tc>
        <w:tc>
          <w:tcPr>
            <w:tcW w:w="1003" w:type="dxa"/>
            <w:tcBorders>
              <w:top w:val="nil"/>
              <w:left w:val="nil"/>
              <w:bottom w:val="nil"/>
              <w:right w:val="nil"/>
            </w:tcBorders>
            <w:shd w:val="clear" w:color="000000" w:fill="FF9999"/>
            <w:vAlign w:val="center"/>
            <w:hideMark/>
          </w:tcPr>
          <w:p w14:paraId="7686F891"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Suriname</w:t>
            </w:r>
          </w:p>
        </w:tc>
        <w:tc>
          <w:tcPr>
            <w:tcW w:w="933" w:type="dxa"/>
            <w:tcBorders>
              <w:top w:val="nil"/>
              <w:left w:val="nil"/>
              <w:bottom w:val="nil"/>
              <w:right w:val="nil"/>
            </w:tcBorders>
            <w:shd w:val="clear" w:color="000000" w:fill="FF9999"/>
            <w:vAlign w:val="center"/>
            <w:hideMark/>
          </w:tcPr>
          <w:p w14:paraId="32FABA01"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N/A</w:t>
            </w:r>
          </w:p>
        </w:tc>
        <w:tc>
          <w:tcPr>
            <w:tcW w:w="849" w:type="dxa"/>
            <w:tcBorders>
              <w:top w:val="nil"/>
              <w:left w:val="nil"/>
              <w:bottom w:val="nil"/>
              <w:right w:val="nil"/>
            </w:tcBorders>
            <w:shd w:val="clear" w:color="000000" w:fill="FF9999"/>
            <w:vAlign w:val="center"/>
            <w:hideMark/>
          </w:tcPr>
          <w:p w14:paraId="57BE7E6C"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N/A</w:t>
            </w:r>
          </w:p>
        </w:tc>
        <w:tc>
          <w:tcPr>
            <w:tcW w:w="914" w:type="dxa"/>
            <w:tcBorders>
              <w:top w:val="nil"/>
              <w:left w:val="nil"/>
              <w:bottom w:val="nil"/>
              <w:right w:val="nil"/>
            </w:tcBorders>
            <w:shd w:val="clear" w:color="000000" w:fill="FF9999"/>
            <w:vAlign w:val="center"/>
            <w:hideMark/>
          </w:tcPr>
          <w:p w14:paraId="4204C8B4"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N/A</w:t>
            </w:r>
          </w:p>
        </w:tc>
        <w:tc>
          <w:tcPr>
            <w:tcW w:w="2413" w:type="dxa"/>
            <w:tcBorders>
              <w:top w:val="nil"/>
              <w:left w:val="nil"/>
              <w:bottom w:val="nil"/>
              <w:right w:val="nil"/>
            </w:tcBorders>
            <w:shd w:val="clear" w:color="000000" w:fill="FF9999"/>
            <w:noWrap/>
            <w:vAlign w:val="center"/>
            <w:hideMark/>
          </w:tcPr>
          <w:p w14:paraId="4C948891" w14:textId="77777777" w:rsidR="00532891" w:rsidRPr="00894701" w:rsidRDefault="00532891" w:rsidP="00532891">
            <w:pPr>
              <w:spacing w:after="0" w:line="240" w:lineRule="auto"/>
              <w:rPr>
                <w:rFonts w:asciiTheme="majorHAnsi" w:hAnsiTheme="majorHAnsi" w:cs="Arial"/>
                <w:color w:val="ED1A3B"/>
                <w:kern w:val="0"/>
                <w:sz w:val="16"/>
                <w:szCs w:val="16"/>
                <w:u w:val="single"/>
                <w:lang w:val="fr-FR" w:eastAsia="fr-FR"/>
              </w:rPr>
            </w:pPr>
            <w:r w:rsidRPr="00894701">
              <w:rPr>
                <w:rFonts w:asciiTheme="majorHAnsi" w:hAnsiTheme="majorHAnsi" w:cs="Arial"/>
                <w:color w:val="ED1A3B"/>
                <w:kern w:val="0"/>
                <w:sz w:val="16"/>
                <w:szCs w:val="16"/>
                <w:u w:val="single"/>
                <w:lang w:val="fr-FR" w:eastAsia="fr-FR"/>
              </w:rPr>
              <w:t> </w:t>
            </w:r>
          </w:p>
        </w:tc>
      </w:tr>
      <w:tr w:rsidR="00532891" w:rsidRPr="00894701" w14:paraId="6C077C78" w14:textId="77777777" w:rsidTr="00BA29E5">
        <w:trPr>
          <w:trHeight w:val="264"/>
          <w:jc w:val="center"/>
        </w:trPr>
        <w:tc>
          <w:tcPr>
            <w:tcW w:w="341" w:type="dxa"/>
            <w:tcBorders>
              <w:top w:val="nil"/>
              <w:left w:val="nil"/>
              <w:bottom w:val="nil"/>
              <w:right w:val="nil"/>
            </w:tcBorders>
            <w:shd w:val="clear" w:color="000000" w:fill="FFFFFF"/>
            <w:noWrap/>
            <w:vAlign w:val="center"/>
            <w:hideMark/>
          </w:tcPr>
          <w:p w14:paraId="5A5E7DBC"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8</w:t>
            </w:r>
          </w:p>
        </w:tc>
        <w:tc>
          <w:tcPr>
            <w:tcW w:w="3119" w:type="dxa"/>
            <w:gridSpan w:val="2"/>
            <w:tcBorders>
              <w:top w:val="nil"/>
              <w:left w:val="nil"/>
              <w:bottom w:val="nil"/>
              <w:right w:val="nil"/>
            </w:tcBorders>
            <w:shd w:val="clear" w:color="auto" w:fill="FFFFFF" w:themeFill="background1"/>
            <w:noWrap/>
            <w:vAlign w:val="center"/>
            <w:hideMark/>
          </w:tcPr>
          <w:p w14:paraId="760A7FEB" w14:textId="77777777" w:rsidR="00532891" w:rsidRPr="00894701" w:rsidRDefault="00532891" w:rsidP="00532891">
            <w:pPr>
              <w:spacing w:after="0" w:line="240" w:lineRule="auto"/>
              <w:rPr>
                <w:rFonts w:asciiTheme="majorHAnsi" w:hAnsiTheme="majorHAnsi" w:cs="Arial"/>
                <w:color w:val="auto"/>
                <w:kern w:val="0"/>
                <w:sz w:val="16"/>
                <w:szCs w:val="16"/>
                <w:lang w:eastAsia="fr-FR"/>
              </w:rPr>
            </w:pPr>
            <w:r w:rsidRPr="00894701">
              <w:rPr>
                <w:rFonts w:asciiTheme="majorHAnsi" w:hAnsiTheme="majorHAnsi" w:cs="Arial"/>
                <w:color w:val="auto"/>
                <w:kern w:val="0"/>
                <w:sz w:val="16"/>
                <w:szCs w:val="16"/>
                <w:lang w:eastAsia="fr-FR"/>
              </w:rPr>
              <w:t>ExxonMobil Exploration and Production Suriname B.V.</w:t>
            </w:r>
          </w:p>
        </w:tc>
        <w:tc>
          <w:tcPr>
            <w:tcW w:w="3344" w:type="dxa"/>
            <w:tcBorders>
              <w:top w:val="nil"/>
              <w:left w:val="nil"/>
              <w:bottom w:val="nil"/>
              <w:right w:val="nil"/>
            </w:tcBorders>
            <w:shd w:val="clear" w:color="auto" w:fill="FFFFFF" w:themeFill="background1"/>
            <w:vAlign w:val="center"/>
            <w:hideMark/>
          </w:tcPr>
          <w:p w14:paraId="0BDA466C" w14:textId="77777777" w:rsidR="00532891" w:rsidRPr="00894701" w:rsidRDefault="00532891" w:rsidP="00532891">
            <w:pPr>
              <w:spacing w:after="0" w:line="240" w:lineRule="auto"/>
              <w:rPr>
                <w:rFonts w:asciiTheme="majorHAnsi" w:hAnsiTheme="majorHAnsi" w:cs="Arial"/>
                <w:color w:val="auto"/>
                <w:kern w:val="0"/>
                <w:sz w:val="16"/>
                <w:szCs w:val="16"/>
                <w:lang w:eastAsia="fr-FR"/>
              </w:rPr>
            </w:pPr>
            <w:r w:rsidRPr="00894701">
              <w:rPr>
                <w:rFonts w:asciiTheme="majorHAnsi" w:hAnsiTheme="majorHAnsi" w:cs="Arial"/>
                <w:color w:val="auto"/>
                <w:kern w:val="0"/>
                <w:sz w:val="16"/>
                <w:szCs w:val="16"/>
                <w:lang w:eastAsia="fr-FR"/>
              </w:rPr>
              <w:t>ExxonMobil Global Holding Investment B.V.</w:t>
            </w:r>
          </w:p>
        </w:tc>
        <w:tc>
          <w:tcPr>
            <w:tcW w:w="1036" w:type="dxa"/>
            <w:tcBorders>
              <w:top w:val="nil"/>
              <w:left w:val="nil"/>
              <w:bottom w:val="nil"/>
              <w:right w:val="nil"/>
            </w:tcBorders>
            <w:shd w:val="clear" w:color="auto" w:fill="FFFFFF" w:themeFill="background1"/>
            <w:noWrap/>
            <w:vAlign w:val="center"/>
            <w:hideMark/>
          </w:tcPr>
          <w:p w14:paraId="4FCC4E03"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NC</w:t>
            </w:r>
          </w:p>
        </w:tc>
        <w:tc>
          <w:tcPr>
            <w:tcW w:w="938" w:type="dxa"/>
            <w:tcBorders>
              <w:top w:val="nil"/>
              <w:left w:val="nil"/>
              <w:bottom w:val="nil"/>
              <w:right w:val="nil"/>
            </w:tcBorders>
            <w:shd w:val="clear" w:color="auto" w:fill="FFFFFF" w:themeFill="background1"/>
            <w:noWrap/>
            <w:vAlign w:val="center"/>
            <w:hideMark/>
          </w:tcPr>
          <w:p w14:paraId="6BD9AC71" w14:textId="77777777" w:rsidR="00532891" w:rsidRPr="00894701" w:rsidRDefault="00532891" w:rsidP="00532891">
            <w:pPr>
              <w:spacing w:after="0" w:line="240" w:lineRule="auto"/>
              <w:jc w:val="right"/>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100%</w:t>
            </w:r>
          </w:p>
        </w:tc>
        <w:tc>
          <w:tcPr>
            <w:tcW w:w="1003" w:type="dxa"/>
            <w:tcBorders>
              <w:top w:val="nil"/>
              <w:left w:val="nil"/>
              <w:bottom w:val="nil"/>
              <w:right w:val="nil"/>
            </w:tcBorders>
            <w:shd w:val="clear" w:color="auto" w:fill="FFFFFF" w:themeFill="background1"/>
            <w:noWrap/>
            <w:vAlign w:val="center"/>
            <w:hideMark/>
          </w:tcPr>
          <w:p w14:paraId="18B965B6"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Netherlands</w:t>
            </w:r>
          </w:p>
        </w:tc>
        <w:tc>
          <w:tcPr>
            <w:tcW w:w="933" w:type="dxa"/>
            <w:tcBorders>
              <w:top w:val="nil"/>
              <w:left w:val="nil"/>
              <w:bottom w:val="nil"/>
              <w:right w:val="nil"/>
            </w:tcBorders>
            <w:shd w:val="clear" w:color="auto" w:fill="FFFFFF" w:themeFill="background1"/>
            <w:noWrap/>
            <w:vAlign w:val="center"/>
            <w:hideMark/>
          </w:tcPr>
          <w:p w14:paraId="1B7FB7EF"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N/A</w:t>
            </w:r>
          </w:p>
        </w:tc>
        <w:tc>
          <w:tcPr>
            <w:tcW w:w="849" w:type="dxa"/>
            <w:tcBorders>
              <w:top w:val="nil"/>
              <w:left w:val="nil"/>
              <w:bottom w:val="nil"/>
              <w:right w:val="nil"/>
            </w:tcBorders>
            <w:shd w:val="clear" w:color="auto" w:fill="FFFFFF" w:themeFill="background1"/>
            <w:vAlign w:val="center"/>
            <w:hideMark/>
          </w:tcPr>
          <w:p w14:paraId="0DC003E0"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N/A</w:t>
            </w:r>
          </w:p>
        </w:tc>
        <w:tc>
          <w:tcPr>
            <w:tcW w:w="914" w:type="dxa"/>
            <w:tcBorders>
              <w:top w:val="nil"/>
              <w:left w:val="nil"/>
              <w:bottom w:val="nil"/>
              <w:right w:val="nil"/>
            </w:tcBorders>
            <w:shd w:val="clear" w:color="auto" w:fill="FFFFFF" w:themeFill="background1"/>
            <w:noWrap/>
            <w:vAlign w:val="center"/>
            <w:hideMark/>
          </w:tcPr>
          <w:p w14:paraId="1A6156C2"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N/A</w:t>
            </w:r>
          </w:p>
        </w:tc>
        <w:tc>
          <w:tcPr>
            <w:tcW w:w="2413" w:type="dxa"/>
            <w:tcBorders>
              <w:top w:val="nil"/>
              <w:left w:val="nil"/>
              <w:bottom w:val="nil"/>
              <w:right w:val="nil"/>
            </w:tcBorders>
            <w:shd w:val="clear" w:color="auto" w:fill="FFFFFF" w:themeFill="background1"/>
            <w:noWrap/>
            <w:vAlign w:val="center"/>
            <w:hideMark/>
          </w:tcPr>
          <w:p w14:paraId="234A14AA" w14:textId="77777777" w:rsidR="00532891" w:rsidRPr="00894701" w:rsidRDefault="00532891" w:rsidP="00532891">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N/A</w:t>
            </w:r>
          </w:p>
        </w:tc>
      </w:tr>
    </w:tbl>
    <w:p w14:paraId="2B5672F9" w14:textId="77777777" w:rsidR="00532891" w:rsidRPr="00894701" w:rsidRDefault="00532891" w:rsidP="00532891">
      <w:pPr>
        <w:spacing w:after="0" w:line="240" w:lineRule="auto"/>
        <w:rPr>
          <w:i/>
          <w:iCs/>
          <w:color w:val="auto"/>
          <w:sz w:val="16"/>
          <w:szCs w:val="22"/>
        </w:rPr>
      </w:pPr>
      <w:r w:rsidRPr="00894701">
        <w:rPr>
          <w:i/>
          <w:iCs/>
          <w:color w:val="auto"/>
          <w:sz w:val="16"/>
          <w:szCs w:val="22"/>
        </w:rPr>
        <w:t>N/S : Reporting template not submitted</w:t>
      </w:r>
    </w:p>
    <w:p w14:paraId="677FBF78" w14:textId="1DD44546" w:rsidR="00E17928" w:rsidRPr="00894701" w:rsidRDefault="00E17928" w:rsidP="00E17928">
      <w:pPr>
        <w:spacing w:after="0" w:line="240" w:lineRule="auto"/>
        <w:rPr>
          <w:i/>
          <w:iCs/>
          <w:color w:val="auto"/>
          <w:sz w:val="16"/>
          <w:szCs w:val="22"/>
        </w:rPr>
      </w:pPr>
      <w:r w:rsidRPr="00894701">
        <w:rPr>
          <w:i/>
          <w:iCs/>
          <w:color w:val="auto"/>
          <w:sz w:val="16"/>
          <w:szCs w:val="22"/>
        </w:rPr>
        <w:t>N/A : Not Applicable</w:t>
      </w:r>
    </w:p>
    <w:p w14:paraId="28045E91" w14:textId="2AE13C55" w:rsidR="00E17928" w:rsidRPr="00894701" w:rsidRDefault="00E17928" w:rsidP="00E17928">
      <w:pPr>
        <w:rPr>
          <w:b/>
          <w:bCs/>
          <w:color w:val="FF0000"/>
          <w:sz w:val="20"/>
          <w:szCs w:val="20"/>
        </w:rPr>
      </w:pPr>
      <w:r w:rsidRPr="00894701">
        <w:rPr>
          <w:i/>
          <w:iCs/>
          <w:color w:val="auto"/>
          <w:sz w:val="16"/>
          <w:szCs w:val="22"/>
        </w:rPr>
        <w:t>NC : Not communicated</w:t>
      </w:r>
    </w:p>
    <w:p w14:paraId="4AACA89B" w14:textId="77777777" w:rsidR="00E17928" w:rsidRPr="00894701" w:rsidRDefault="00E17928" w:rsidP="00E17928">
      <w:pPr>
        <w:rPr>
          <w:b/>
          <w:bCs/>
          <w:color w:val="FF0000"/>
          <w:sz w:val="20"/>
          <w:szCs w:val="20"/>
        </w:rPr>
      </w:pPr>
    </w:p>
    <w:p w14:paraId="45F3C982" w14:textId="77777777" w:rsidR="00E17928" w:rsidRPr="00894701" w:rsidRDefault="00E17928">
      <w:pPr>
        <w:spacing w:after="0" w:line="240" w:lineRule="auto"/>
        <w:rPr>
          <w:rFonts w:asciiTheme="minorHAnsi" w:eastAsiaTheme="majorEastAsia" w:hAnsiTheme="minorHAnsi" w:cstheme="majorBidi"/>
          <w:b/>
          <w:sz w:val="28"/>
          <w:szCs w:val="28"/>
        </w:rPr>
      </w:pPr>
      <w:r w:rsidRPr="00894701">
        <w:rPr>
          <w:rFonts w:asciiTheme="minorHAnsi" w:hAnsiTheme="minorHAnsi"/>
          <w:sz w:val="28"/>
          <w:szCs w:val="28"/>
        </w:rPr>
        <w:br w:type="page"/>
      </w:r>
    </w:p>
    <w:p w14:paraId="45E596A5" w14:textId="60736F67" w:rsidR="00E17928" w:rsidRPr="00894701" w:rsidRDefault="00E17928" w:rsidP="00E17928">
      <w:pPr>
        <w:pStyle w:val="Heading2"/>
        <w:numPr>
          <w:ilvl w:val="0"/>
          <w:numId w:val="0"/>
        </w:numPr>
        <w:spacing w:before="120" w:after="240"/>
        <w:ind w:right="476"/>
        <w:jc w:val="both"/>
        <w:rPr>
          <w:rFonts w:asciiTheme="minorHAnsi" w:hAnsiTheme="minorHAnsi"/>
          <w:sz w:val="28"/>
          <w:szCs w:val="28"/>
        </w:rPr>
      </w:pPr>
      <w:bookmarkStart w:id="599" w:name="_Toc122478964"/>
      <w:r w:rsidRPr="00894701">
        <w:rPr>
          <w:rFonts w:asciiTheme="minorHAnsi" w:hAnsiTheme="minorHAnsi"/>
          <w:sz w:val="28"/>
          <w:szCs w:val="28"/>
        </w:rPr>
        <w:t>Annex 4: Data submission and reliabilit</w:t>
      </w:r>
      <w:r w:rsidR="00607498" w:rsidRPr="00894701">
        <w:rPr>
          <w:rFonts w:asciiTheme="minorHAnsi" w:hAnsiTheme="minorHAnsi"/>
          <w:sz w:val="28"/>
          <w:szCs w:val="28"/>
        </w:rPr>
        <w:t>y 2018, 2019 and 2020</w:t>
      </w:r>
      <w:bookmarkEnd w:id="599"/>
    </w:p>
    <w:p w14:paraId="13D11FB8" w14:textId="77777777" w:rsidR="00E17928" w:rsidRPr="00894701" w:rsidRDefault="00E17928" w:rsidP="00E17928">
      <w:pPr>
        <w:rPr>
          <w:b/>
          <w:bCs/>
          <w:color w:val="FF0000"/>
          <w:sz w:val="20"/>
          <w:szCs w:val="20"/>
        </w:rPr>
      </w:pPr>
      <w:r w:rsidRPr="00894701">
        <w:rPr>
          <w:b/>
          <w:bCs/>
          <w:color w:val="FF0000"/>
          <w:sz w:val="20"/>
          <w:szCs w:val="20"/>
        </w:rPr>
        <w:t>2018</w:t>
      </w:r>
    </w:p>
    <w:tbl>
      <w:tblPr>
        <w:tblW w:w="5312" w:type="pct"/>
        <w:tblLook w:val="04A0" w:firstRow="1" w:lastRow="0" w:firstColumn="1" w:lastColumn="0" w:noHBand="0" w:noVBand="1"/>
      </w:tblPr>
      <w:tblGrid>
        <w:gridCol w:w="418"/>
        <w:gridCol w:w="4125"/>
        <w:gridCol w:w="1240"/>
        <w:gridCol w:w="2263"/>
        <w:gridCol w:w="2263"/>
        <w:gridCol w:w="2263"/>
        <w:gridCol w:w="2257"/>
      </w:tblGrid>
      <w:tr w:rsidR="00E17928" w:rsidRPr="00894701" w14:paraId="68DAF9CD" w14:textId="77777777" w:rsidTr="00904D64">
        <w:trPr>
          <w:trHeight w:val="283"/>
        </w:trPr>
        <w:tc>
          <w:tcPr>
            <w:tcW w:w="141" w:type="pct"/>
            <w:tcBorders>
              <w:top w:val="nil"/>
              <w:left w:val="nil"/>
              <w:bottom w:val="single" w:sz="8" w:space="0" w:color="FF0000"/>
              <w:right w:val="nil"/>
            </w:tcBorders>
            <w:shd w:val="clear" w:color="000000" w:fill="7A091A"/>
            <w:vAlign w:val="center"/>
            <w:hideMark/>
          </w:tcPr>
          <w:p w14:paraId="58BA9F46" w14:textId="77777777" w:rsidR="00E17928" w:rsidRPr="00894701" w:rsidRDefault="00E17928" w:rsidP="00446B8D">
            <w:pPr>
              <w:spacing w:after="0" w:line="240" w:lineRule="auto"/>
              <w:jc w:val="center"/>
              <w:rPr>
                <w:rFonts w:asciiTheme="majorHAnsi" w:hAnsiTheme="majorHAnsi" w:cs="Arial"/>
                <w:b/>
                <w:bCs/>
                <w:color w:val="FFFFFF"/>
                <w:kern w:val="0"/>
                <w:sz w:val="16"/>
                <w:szCs w:val="16"/>
              </w:rPr>
            </w:pPr>
            <w:r w:rsidRPr="00894701">
              <w:rPr>
                <w:rFonts w:asciiTheme="majorHAnsi" w:hAnsiTheme="majorHAnsi" w:cs="Arial"/>
                <w:b/>
                <w:bCs/>
                <w:color w:val="FFFFFF"/>
                <w:kern w:val="0"/>
                <w:sz w:val="16"/>
                <w:szCs w:val="16"/>
              </w:rPr>
              <w:t>N°</w:t>
            </w:r>
          </w:p>
        </w:tc>
        <w:tc>
          <w:tcPr>
            <w:tcW w:w="1391" w:type="pct"/>
            <w:tcBorders>
              <w:top w:val="nil"/>
              <w:left w:val="nil"/>
              <w:bottom w:val="single" w:sz="8" w:space="0" w:color="FF0000"/>
              <w:right w:val="nil"/>
            </w:tcBorders>
            <w:shd w:val="clear" w:color="000000" w:fill="7A091A"/>
            <w:vAlign w:val="center"/>
            <w:hideMark/>
          </w:tcPr>
          <w:p w14:paraId="0A7D1A92" w14:textId="77777777" w:rsidR="00E17928" w:rsidRPr="00894701" w:rsidRDefault="00E17928" w:rsidP="00446B8D">
            <w:pPr>
              <w:spacing w:after="0" w:line="240" w:lineRule="auto"/>
              <w:rPr>
                <w:rFonts w:asciiTheme="majorHAnsi" w:hAnsiTheme="majorHAnsi" w:cs="Arial"/>
                <w:b/>
                <w:bCs/>
                <w:color w:val="FFFFFF"/>
                <w:kern w:val="0"/>
                <w:sz w:val="16"/>
                <w:szCs w:val="16"/>
              </w:rPr>
            </w:pPr>
            <w:r w:rsidRPr="00894701">
              <w:rPr>
                <w:rFonts w:asciiTheme="majorHAnsi" w:hAnsiTheme="majorHAnsi" w:cs="Arial"/>
                <w:b/>
                <w:bCs/>
                <w:color w:val="FFFFFF"/>
                <w:kern w:val="0"/>
                <w:sz w:val="16"/>
                <w:szCs w:val="16"/>
              </w:rPr>
              <w:t>Name of company</w:t>
            </w:r>
          </w:p>
        </w:tc>
        <w:tc>
          <w:tcPr>
            <w:tcW w:w="418" w:type="pct"/>
            <w:tcBorders>
              <w:top w:val="nil"/>
              <w:left w:val="nil"/>
              <w:bottom w:val="single" w:sz="8" w:space="0" w:color="FF0000"/>
              <w:right w:val="nil"/>
            </w:tcBorders>
            <w:shd w:val="clear" w:color="000000" w:fill="7A091A"/>
            <w:vAlign w:val="center"/>
            <w:hideMark/>
          </w:tcPr>
          <w:p w14:paraId="7C711A38" w14:textId="2AF1FE36" w:rsidR="00E17928" w:rsidRPr="00894701" w:rsidRDefault="00E17928" w:rsidP="00446B8D">
            <w:pPr>
              <w:spacing w:after="0" w:line="240" w:lineRule="auto"/>
              <w:rPr>
                <w:rFonts w:asciiTheme="majorHAnsi" w:hAnsiTheme="majorHAnsi" w:cs="Arial"/>
                <w:b/>
                <w:bCs/>
                <w:color w:val="FFFFFF"/>
                <w:kern w:val="0"/>
                <w:sz w:val="16"/>
                <w:szCs w:val="16"/>
              </w:rPr>
            </w:pPr>
          </w:p>
        </w:tc>
        <w:tc>
          <w:tcPr>
            <w:tcW w:w="763" w:type="pct"/>
            <w:tcBorders>
              <w:top w:val="nil"/>
              <w:left w:val="nil"/>
              <w:bottom w:val="single" w:sz="8" w:space="0" w:color="FF0000"/>
              <w:right w:val="nil"/>
            </w:tcBorders>
            <w:shd w:val="clear" w:color="000000" w:fill="7A091A"/>
            <w:vAlign w:val="center"/>
            <w:hideMark/>
          </w:tcPr>
          <w:p w14:paraId="1A07C59D" w14:textId="77777777" w:rsidR="00E17928" w:rsidRPr="00894701" w:rsidRDefault="00E17928" w:rsidP="00446B8D">
            <w:pPr>
              <w:spacing w:after="0" w:line="240" w:lineRule="auto"/>
              <w:rPr>
                <w:rFonts w:asciiTheme="majorHAnsi" w:hAnsiTheme="majorHAnsi" w:cs="Arial"/>
                <w:b/>
                <w:bCs/>
                <w:color w:val="FFFFFF"/>
                <w:kern w:val="0"/>
                <w:sz w:val="16"/>
                <w:szCs w:val="16"/>
              </w:rPr>
            </w:pPr>
            <w:r w:rsidRPr="00894701">
              <w:rPr>
                <w:rFonts w:asciiTheme="majorHAnsi" w:hAnsiTheme="majorHAnsi" w:cs="Arial"/>
                <w:b/>
                <w:bCs/>
                <w:color w:val="FFFFFF"/>
                <w:kern w:val="0"/>
                <w:sz w:val="16"/>
                <w:szCs w:val="16"/>
              </w:rPr>
              <w:t xml:space="preserve">Soft copy of the Reporting template </w:t>
            </w:r>
            <w:r w:rsidRPr="00894701">
              <w:rPr>
                <w:rFonts w:asciiTheme="majorHAnsi" w:hAnsiTheme="majorHAnsi" w:cs="Arial"/>
                <w:b/>
                <w:bCs/>
                <w:color w:val="FFFFFF"/>
                <w:kern w:val="0"/>
                <w:sz w:val="16"/>
                <w:szCs w:val="16"/>
              </w:rPr>
              <w:br/>
            </w:r>
            <w:r w:rsidRPr="00894701">
              <w:rPr>
                <w:rFonts w:asciiTheme="majorHAnsi" w:hAnsiTheme="majorHAnsi" w:cs="Arial"/>
                <w:b/>
                <w:bCs/>
                <w:color w:val="FFFFFF"/>
                <w:kern w:val="0"/>
                <w:sz w:val="16"/>
                <w:szCs w:val="16"/>
              </w:rPr>
              <w:br/>
              <w:t>(Submitted/Not submitted)</w:t>
            </w:r>
          </w:p>
        </w:tc>
        <w:tc>
          <w:tcPr>
            <w:tcW w:w="763" w:type="pct"/>
            <w:tcBorders>
              <w:top w:val="nil"/>
              <w:left w:val="nil"/>
              <w:bottom w:val="single" w:sz="8" w:space="0" w:color="FF0000"/>
              <w:right w:val="nil"/>
            </w:tcBorders>
            <w:shd w:val="clear" w:color="000000" w:fill="7A091A"/>
            <w:vAlign w:val="center"/>
            <w:hideMark/>
          </w:tcPr>
          <w:p w14:paraId="3734E7D6" w14:textId="77777777" w:rsidR="00E17928" w:rsidRPr="00894701" w:rsidRDefault="00E17928" w:rsidP="00446B8D">
            <w:pPr>
              <w:spacing w:after="0" w:line="240" w:lineRule="auto"/>
              <w:rPr>
                <w:rFonts w:asciiTheme="majorHAnsi" w:hAnsiTheme="majorHAnsi" w:cs="Arial"/>
                <w:b/>
                <w:bCs/>
                <w:color w:val="FFFFFF"/>
                <w:kern w:val="0"/>
                <w:sz w:val="16"/>
                <w:szCs w:val="16"/>
              </w:rPr>
            </w:pPr>
            <w:r w:rsidRPr="00894701">
              <w:rPr>
                <w:rFonts w:asciiTheme="majorHAnsi" w:hAnsiTheme="majorHAnsi" w:cs="Arial"/>
                <w:b/>
                <w:bCs/>
                <w:color w:val="FFFFFF"/>
                <w:kern w:val="0"/>
                <w:sz w:val="16"/>
                <w:szCs w:val="16"/>
              </w:rPr>
              <w:t>Audited Financial Statements</w:t>
            </w:r>
            <w:r w:rsidRPr="00894701">
              <w:rPr>
                <w:rFonts w:asciiTheme="majorHAnsi" w:hAnsiTheme="majorHAnsi" w:cs="Arial"/>
                <w:b/>
                <w:bCs/>
                <w:color w:val="FFFFFF"/>
                <w:kern w:val="0"/>
                <w:sz w:val="16"/>
                <w:szCs w:val="16"/>
              </w:rPr>
              <w:br/>
            </w:r>
            <w:r w:rsidRPr="00894701">
              <w:rPr>
                <w:rFonts w:asciiTheme="majorHAnsi" w:hAnsiTheme="majorHAnsi" w:cs="Arial"/>
                <w:b/>
                <w:bCs/>
                <w:color w:val="FFFFFF"/>
                <w:kern w:val="0"/>
                <w:sz w:val="16"/>
                <w:szCs w:val="16"/>
              </w:rPr>
              <w:br/>
              <w:t>(Submitted/Not submitted)</w:t>
            </w:r>
          </w:p>
        </w:tc>
        <w:tc>
          <w:tcPr>
            <w:tcW w:w="763" w:type="pct"/>
            <w:tcBorders>
              <w:top w:val="nil"/>
              <w:left w:val="nil"/>
              <w:bottom w:val="single" w:sz="8" w:space="0" w:color="FF0000"/>
              <w:right w:val="nil"/>
            </w:tcBorders>
            <w:shd w:val="clear" w:color="000000" w:fill="7A091A"/>
            <w:vAlign w:val="center"/>
            <w:hideMark/>
          </w:tcPr>
          <w:p w14:paraId="03AEC161" w14:textId="77777777" w:rsidR="00E17928" w:rsidRPr="00894701" w:rsidRDefault="00E17928" w:rsidP="00446B8D">
            <w:pPr>
              <w:spacing w:after="0" w:line="240" w:lineRule="auto"/>
              <w:rPr>
                <w:rFonts w:asciiTheme="majorHAnsi" w:hAnsiTheme="majorHAnsi" w:cs="Arial"/>
                <w:b/>
                <w:bCs/>
                <w:color w:val="FFFFFF"/>
                <w:kern w:val="0"/>
                <w:sz w:val="16"/>
                <w:szCs w:val="16"/>
              </w:rPr>
            </w:pPr>
            <w:r w:rsidRPr="00894701">
              <w:rPr>
                <w:rFonts w:asciiTheme="majorHAnsi" w:hAnsiTheme="majorHAnsi" w:cs="Arial"/>
                <w:b/>
                <w:bCs/>
                <w:color w:val="FFFFFF"/>
                <w:kern w:val="0"/>
                <w:sz w:val="16"/>
                <w:szCs w:val="16"/>
              </w:rPr>
              <w:t xml:space="preserve">Hard copy of Reporting template signed by Senior Management </w:t>
            </w:r>
            <w:r w:rsidRPr="00894701">
              <w:rPr>
                <w:rFonts w:asciiTheme="majorHAnsi" w:hAnsiTheme="majorHAnsi" w:cs="Arial"/>
                <w:b/>
                <w:bCs/>
                <w:color w:val="FFFFFF"/>
                <w:kern w:val="0"/>
                <w:sz w:val="16"/>
                <w:szCs w:val="16"/>
              </w:rPr>
              <w:br/>
              <w:t>(Submitted/Not submitted)</w:t>
            </w:r>
          </w:p>
        </w:tc>
        <w:tc>
          <w:tcPr>
            <w:tcW w:w="763" w:type="pct"/>
            <w:tcBorders>
              <w:top w:val="nil"/>
              <w:left w:val="nil"/>
              <w:bottom w:val="single" w:sz="8" w:space="0" w:color="FF0000"/>
              <w:right w:val="nil"/>
            </w:tcBorders>
            <w:shd w:val="clear" w:color="000000" w:fill="7A091A"/>
            <w:vAlign w:val="center"/>
            <w:hideMark/>
          </w:tcPr>
          <w:p w14:paraId="623D6866" w14:textId="77777777" w:rsidR="00E17928" w:rsidRPr="00894701" w:rsidRDefault="00E17928" w:rsidP="00446B8D">
            <w:pPr>
              <w:spacing w:after="0" w:line="240" w:lineRule="auto"/>
              <w:rPr>
                <w:rFonts w:asciiTheme="majorHAnsi" w:hAnsiTheme="majorHAnsi" w:cs="Arial"/>
                <w:b/>
                <w:bCs/>
                <w:color w:val="FFFFFF"/>
                <w:kern w:val="0"/>
                <w:sz w:val="16"/>
                <w:szCs w:val="16"/>
              </w:rPr>
            </w:pPr>
            <w:r w:rsidRPr="00894701">
              <w:rPr>
                <w:rFonts w:asciiTheme="majorHAnsi" w:hAnsiTheme="majorHAnsi" w:cs="Arial"/>
                <w:b/>
                <w:bCs/>
                <w:color w:val="FFFFFF"/>
                <w:kern w:val="0"/>
                <w:sz w:val="16"/>
                <w:szCs w:val="16"/>
              </w:rPr>
              <w:t>Reporting template certified by Auditor</w:t>
            </w:r>
            <w:r w:rsidRPr="00894701">
              <w:rPr>
                <w:rFonts w:asciiTheme="majorHAnsi" w:hAnsiTheme="majorHAnsi" w:cs="Arial"/>
                <w:b/>
                <w:bCs/>
                <w:color w:val="FFFFFF"/>
                <w:kern w:val="0"/>
                <w:sz w:val="16"/>
                <w:szCs w:val="16"/>
              </w:rPr>
              <w:br/>
            </w:r>
            <w:r w:rsidRPr="00894701">
              <w:rPr>
                <w:rFonts w:asciiTheme="majorHAnsi" w:hAnsiTheme="majorHAnsi" w:cs="Arial"/>
                <w:b/>
                <w:bCs/>
                <w:color w:val="FFFFFF"/>
                <w:kern w:val="0"/>
                <w:sz w:val="16"/>
                <w:szCs w:val="16"/>
              </w:rPr>
              <w:br/>
              <w:t>(Submitted/Not submitted)</w:t>
            </w:r>
          </w:p>
        </w:tc>
      </w:tr>
      <w:tr w:rsidR="00607498" w:rsidRPr="00894701" w14:paraId="6ABD5849" w14:textId="77777777" w:rsidTr="00CC42DF">
        <w:trPr>
          <w:trHeight w:val="283"/>
        </w:trPr>
        <w:tc>
          <w:tcPr>
            <w:tcW w:w="141" w:type="pct"/>
            <w:tcBorders>
              <w:top w:val="nil"/>
              <w:left w:val="nil"/>
              <w:bottom w:val="nil"/>
              <w:right w:val="nil"/>
            </w:tcBorders>
            <w:shd w:val="clear" w:color="000000" w:fill="F7A3B0"/>
            <w:noWrap/>
            <w:vAlign w:val="center"/>
            <w:hideMark/>
          </w:tcPr>
          <w:p w14:paraId="33AE2B21" w14:textId="77777777" w:rsidR="00607498" w:rsidRPr="00894701" w:rsidRDefault="00607498" w:rsidP="00607498">
            <w:pPr>
              <w:spacing w:after="0" w:line="240" w:lineRule="auto"/>
              <w:jc w:val="center"/>
              <w:rPr>
                <w:rFonts w:asciiTheme="majorHAnsi" w:hAnsiTheme="majorHAnsi" w:cs="Arial"/>
                <w:color w:val="000000"/>
                <w:kern w:val="0"/>
                <w:sz w:val="16"/>
                <w:szCs w:val="16"/>
              </w:rPr>
            </w:pPr>
            <w:r w:rsidRPr="00894701">
              <w:rPr>
                <w:rFonts w:asciiTheme="majorHAnsi" w:hAnsiTheme="majorHAnsi" w:cs="Arial"/>
                <w:color w:val="000000"/>
                <w:kern w:val="0"/>
                <w:sz w:val="16"/>
                <w:szCs w:val="16"/>
              </w:rPr>
              <w:t>1</w:t>
            </w:r>
          </w:p>
        </w:tc>
        <w:tc>
          <w:tcPr>
            <w:tcW w:w="1391" w:type="pct"/>
            <w:tcBorders>
              <w:top w:val="nil"/>
              <w:left w:val="nil"/>
              <w:bottom w:val="nil"/>
              <w:right w:val="nil"/>
            </w:tcBorders>
            <w:shd w:val="clear" w:color="000000" w:fill="F7A3B0"/>
            <w:noWrap/>
            <w:vAlign w:val="center"/>
            <w:hideMark/>
          </w:tcPr>
          <w:p w14:paraId="3BB95BEB" w14:textId="77777777"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kern w:val="0"/>
                <w:sz w:val="16"/>
                <w:szCs w:val="16"/>
              </w:rPr>
              <w:t>Kosmos Energy Suriname</w:t>
            </w:r>
          </w:p>
        </w:tc>
        <w:tc>
          <w:tcPr>
            <w:tcW w:w="418" w:type="pct"/>
            <w:tcBorders>
              <w:top w:val="nil"/>
              <w:left w:val="nil"/>
              <w:bottom w:val="nil"/>
              <w:right w:val="nil"/>
            </w:tcBorders>
            <w:shd w:val="clear" w:color="000000" w:fill="F7A3B0"/>
            <w:noWrap/>
            <w:vAlign w:val="center"/>
          </w:tcPr>
          <w:p w14:paraId="5108126C" w14:textId="20B22600" w:rsidR="00607498" w:rsidRPr="00894701" w:rsidRDefault="00607498" w:rsidP="00607498">
            <w:pPr>
              <w:spacing w:after="0" w:line="240" w:lineRule="auto"/>
              <w:rPr>
                <w:rFonts w:asciiTheme="majorHAnsi" w:hAnsiTheme="majorHAnsi" w:cs="Arial"/>
                <w:color w:val="000000"/>
                <w:kern w:val="0"/>
                <w:sz w:val="16"/>
                <w:szCs w:val="16"/>
              </w:rPr>
            </w:pPr>
          </w:p>
        </w:tc>
        <w:tc>
          <w:tcPr>
            <w:tcW w:w="763" w:type="pct"/>
            <w:tcBorders>
              <w:top w:val="nil"/>
              <w:left w:val="nil"/>
              <w:bottom w:val="nil"/>
              <w:right w:val="nil"/>
            </w:tcBorders>
            <w:shd w:val="clear" w:color="000000" w:fill="F7A3B0"/>
            <w:noWrap/>
            <w:vAlign w:val="center"/>
            <w:hideMark/>
          </w:tcPr>
          <w:p w14:paraId="3DB7A116" w14:textId="4785AE8A"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Submitted</w:t>
            </w:r>
          </w:p>
        </w:tc>
        <w:tc>
          <w:tcPr>
            <w:tcW w:w="763" w:type="pct"/>
            <w:tcBorders>
              <w:top w:val="nil"/>
              <w:left w:val="nil"/>
              <w:bottom w:val="nil"/>
              <w:right w:val="nil"/>
            </w:tcBorders>
            <w:shd w:val="clear" w:color="000000" w:fill="F7A3B0"/>
            <w:noWrap/>
            <w:vAlign w:val="center"/>
            <w:hideMark/>
          </w:tcPr>
          <w:p w14:paraId="48AB9964" w14:textId="6E85C217"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Submitted</w:t>
            </w:r>
          </w:p>
        </w:tc>
        <w:tc>
          <w:tcPr>
            <w:tcW w:w="763" w:type="pct"/>
            <w:tcBorders>
              <w:top w:val="nil"/>
              <w:left w:val="nil"/>
              <w:bottom w:val="nil"/>
              <w:right w:val="nil"/>
            </w:tcBorders>
            <w:shd w:val="clear" w:color="000000" w:fill="F7A3B0"/>
            <w:noWrap/>
            <w:vAlign w:val="center"/>
            <w:hideMark/>
          </w:tcPr>
          <w:p w14:paraId="7A286758" w14:textId="1C73E405"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Submitted</w:t>
            </w:r>
          </w:p>
        </w:tc>
        <w:tc>
          <w:tcPr>
            <w:tcW w:w="763" w:type="pct"/>
            <w:tcBorders>
              <w:top w:val="nil"/>
              <w:left w:val="nil"/>
              <w:bottom w:val="nil"/>
              <w:right w:val="nil"/>
            </w:tcBorders>
            <w:shd w:val="clear" w:color="000000" w:fill="F7A3B0"/>
            <w:noWrap/>
            <w:vAlign w:val="center"/>
            <w:hideMark/>
          </w:tcPr>
          <w:p w14:paraId="7B1188E3" w14:textId="24FF4A71"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Submitted</w:t>
            </w:r>
          </w:p>
        </w:tc>
      </w:tr>
      <w:tr w:rsidR="00607498" w:rsidRPr="00894701" w14:paraId="5F100E19" w14:textId="77777777" w:rsidTr="00CC42DF">
        <w:trPr>
          <w:trHeight w:val="283"/>
        </w:trPr>
        <w:tc>
          <w:tcPr>
            <w:tcW w:w="141" w:type="pct"/>
            <w:tcBorders>
              <w:top w:val="nil"/>
              <w:left w:val="nil"/>
              <w:bottom w:val="nil"/>
              <w:right w:val="nil"/>
            </w:tcBorders>
            <w:shd w:val="clear" w:color="000000" w:fill="FFFFFF"/>
            <w:noWrap/>
            <w:vAlign w:val="center"/>
            <w:hideMark/>
          </w:tcPr>
          <w:p w14:paraId="7CF0D10B" w14:textId="77777777" w:rsidR="00607498" w:rsidRPr="00894701" w:rsidRDefault="00607498" w:rsidP="00607498">
            <w:pPr>
              <w:spacing w:after="0" w:line="240" w:lineRule="auto"/>
              <w:jc w:val="center"/>
              <w:rPr>
                <w:rFonts w:asciiTheme="majorHAnsi" w:hAnsiTheme="majorHAnsi" w:cs="Arial"/>
                <w:color w:val="000000"/>
                <w:kern w:val="0"/>
                <w:sz w:val="16"/>
                <w:szCs w:val="16"/>
              </w:rPr>
            </w:pPr>
            <w:r w:rsidRPr="00894701">
              <w:rPr>
                <w:rFonts w:asciiTheme="majorHAnsi" w:hAnsiTheme="majorHAnsi" w:cs="Arial"/>
                <w:color w:val="000000"/>
                <w:kern w:val="0"/>
                <w:sz w:val="16"/>
                <w:szCs w:val="16"/>
              </w:rPr>
              <w:t>2</w:t>
            </w:r>
          </w:p>
        </w:tc>
        <w:tc>
          <w:tcPr>
            <w:tcW w:w="1391" w:type="pct"/>
            <w:tcBorders>
              <w:top w:val="nil"/>
              <w:left w:val="nil"/>
              <w:bottom w:val="nil"/>
              <w:right w:val="nil"/>
            </w:tcBorders>
            <w:shd w:val="clear" w:color="000000" w:fill="FFFFFF"/>
            <w:noWrap/>
            <w:vAlign w:val="center"/>
            <w:hideMark/>
          </w:tcPr>
          <w:p w14:paraId="3D907BBF" w14:textId="77777777"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kern w:val="0"/>
                <w:sz w:val="16"/>
                <w:szCs w:val="16"/>
              </w:rPr>
              <w:t>Tullow Oil Plc</w:t>
            </w:r>
          </w:p>
        </w:tc>
        <w:tc>
          <w:tcPr>
            <w:tcW w:w="418" w:type="pct"/>
            <w:tcBorders>
              <w:top w:val="nil"/>
              <w:left w:val="nil"/>
              <w:bottom w:val="nil"/>
              <w:right w:val="nil"/>
            </w:tcBorders>
            <w:shd w:val="clear" w:color="000000" w:fill="FFFFFF"/>
            <w:noWrap/>
            <w:vAlign w:val="center"/>
          </w:tcPr>
          <w:p w14:paraId="6AE825D3" w14:textId="6D68934E" w:rsidR="00607498" w:rsidRPr="00894701" w:rsidRDefault="00607498" w:rsidP="00607498">
            <w:pPr>
              <w:spacing w:after="0" w:line="240" w:lineRule="auto"/>
              <w:rPr>
                <w:rFonts w:asciiTheme="majorHAnsi" w:hAnsiTheme="majorHAnsi" w:cs="Arial"/>
                <w:color w:val="000000"/>
                <w:kern w:val="0"/>
                <w:sz w:val="16"/>
                <w:szCs w:val="16"/>
              </w:rPr>
            </w:pPr>
          </w:p>
        </w:tc>
        <w:tc>
          <w:tcPr>
            <w:tcW w:w="763" w:type="pct"/>
            <w:tcBorders>
              <w:top w:val="nil"/>
              <w:left w:val="nil"/>
              <w:bottom w:val="nil"/>
              <w:right w:val="nil"/>
            </w:tcBorders>
            <w:shd w:val="clear" w:color="000000" w:fill="FFFFFF"/>
            <w:noWrap/>
            <w:vAlign w:val="center"/>
            <w:hideMark/>
          </w:tcPr>
          <w:p w14:paraId="67000EE1" w14:textId="70D7947C"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Not submitted</w:t>
            </w:r>
          </w:p>
        </w:tc>
        <w:tc>
          <w:tcPr>
            <w:tcW w:w="763" w:type="pct"/>
            <w:tcBorders>
              <w:top w:val="nil"/>
              <w:left w:val="nil"/>
              <w:bottom w:val="nil"/>
              <w:right w:val="nil"/>
            </w:tcBorders>
            <w:shd w:val="clear" w:color="000000" w:fill="FFFFFF"/>
            <w:noWrap/>
            <w:vAlign w:val="center"/>
            <w:hideMark/>
          </w:tcPr>
          <w:p w14:paraId="0847B811" w14:textId="1968452C"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Not submitted</w:t>
            </w:r>
          </w:p>
        </w:tc>
        <w:tc>
          <w:tcPr>
            <w:tcW w:w="763" w:type="pct"/>
            <w:tcBorders>
              <w:top w:val="nil"/>
              <w:left w:val="nil"/>
              <w:bottom w:val="nil"/>
              <w:right w:val="nil"/>
            </w:tcBorders>
            <w:shd w:val="clear" w:color="000000" w:fill="FFFFFF"/>
            <w:noWrap/>
            <w:vAlign w:val="center"/>
            <w:hideMark/>
          </w:tcPr>
          <w:p w14:paraId="426D0DFC" w14:textId="503260A8"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Not submitted</w:t>
            </w:r>
          </w:p>
        </w:tc>
        <w:tc>
          <w:tcPr>
            <w:tcW w:w="763" w:type="pct"/>
            <w:tcBorders>
              <w:top w:val="nil"/>
              <w:left w:val="nil"/>
              <w:bottom w:val="nil"/>
              <w:right w:val="nil"/>
            </w:tcBorders>
            <w:shd w:val="clear" w:color="000000" w:fill="FFFFFF"/>
            <w:noWrap/>
            <w:vAlign w:val="center"/>
            <w:hideMark/>
          </w:tcPr>
          <w:p w14:paraId="6CBE6405" w14:textId="37B2E54C"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Not submitted</w:t>
            </w:r>
          </w:p>
        </w:tc>
      </w:tr>
      <w:tr w:rsidR="00607498" w:rsidRPr="00894701" w14:paraId="541DA99D" w14:textId="77777777" w:rsidTr="00CC42DF">
        <w:trPr>
          <w:trHeight w:val="283"/>
        </w:trPr>
        <w:tc>
          <w:tcPr>
            <w:tcW w:w="141" w:type="pct"/>
            <w:tcBorders>
              <w:top w:val="nil"/>
              <w:left w:val="nil"/>
              <w:bottom w:val="nil"/>
              <w:right w:val="nil"/>
            </w:tcBorders>
            <w:shd w:val="clear" w:color="000000" w:fill="F7A3B0"/>
            <w:noWrap/>
            <w:vAlign w:val="center"/>
            <w:hideMark/>
          </w:tcPr>
          <w:p w14:paraId="05F9BFB5" w14:textId="77777777" w:rsidR="00607498" w:rsidRPr="00894701" w:rsidRDefault="00607498" w:rsidP="00607498">
            <w:pPr>
              <w:spacing w:after="0" w:line="240" w:lineRule="auto"/>
              <w:jc w:val="center"/>
              <w:rPr>
                <w:rFonts w:asciiTheme="majorHAnsi" w:hAnsiTheme="majorHAnsi" w:cs="Arial"/>
                <w:color w:val="000000"/>
                <w:kern w:val="0"/>
                <w:sz w:val="16"/>
                <w:szCs w:val="16"/>
              </w:rPr>
            </w:pPr>
            <w:r w:rsidRPr="00894701">
              <w:rPr>
                <w:rFonts w:asciiTheme="majorHAnsi" w:hAnsiTheme="majorHAnsi" w:cs="Arial"/>
                <w:color w:val="000000"/>
                <w:kern w:val="0"/>
                <w:sz w:val="16"/>
                <w:szCs w:val="16"/>
              </w:rPr>
              <w:t>3</w:t>
            </w:r>
          </w:p>
        </w:tc>
        <w:tc>
          <w:tcPr>
            <w:tcW w:w="1391" w:type="pct"/>
            <w:tcBorders>
              <w:top w:val="nil"/>
              <w:left w:val="nil"/>
              <w:bottom w:val="nil"/>
              <w:right w:val="nil"/>
            </w:tcBorders>
            <w:shd w:val="clear" w:color="000000" w:fill="F7A3B0"/>
            <w:noWrap/>
            <w:vAlign w:val="center"/>
            <w:hideMark/>
          </w:tcPr>
          <w:p w14:paraId="593C4870" w14:textId="77777777"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kern w:val="0"/>
                <w:sz w:val="16"/>
                <w:szCs w:val="16"/>
              </w:rPr>
              <w:t xml:space="preserve">Total E&amp;P Suriname B.V. </w:t>
            </w:r>
          </w:p>
        </w:tc>
        <w:tc>
          <w:tcPr>
            <w:tcW w:w="418" w:type="pct"/>
            <w:tcBorders>
              <w:top w:val="nil"/>
              <w:left w:val="nil"/>
              <w:bottom w:val="nil"/>
              <w:right w:val="nil"/>
            </w:tcBorders>
            <w:shd w:val="clear" w:color="000000" w:fill="F7A3B0"/>
            <w:noWrap/>
            <w:vAlign w:val="center"/>
          </w:tcPr>
          <w:p w14:paraId="78B3C7AD" w14:textId="5FE81836" w:rsidR="00607498" w:rsidRPr="00894701" w:rsidRDefault="00607498" w:rsidP="00607498">
            <w:pPr>
              <w:spacing w:after="0" w:line="240" w:lineRule="auto"/>
              <w:rPr>
                <w:rFonts w:asciiTheme="majorHAnsi" w:hAnsiTheme="majorHAnsi" w:cs="Arial"/>
                <w:color w:val="000000"/>
                <w:kern w:val="0"/>
                <w:sz w:val="16"/>
                <w:szCs w:val="16"/>
              </w:rPr>
            </w:pPr>
          </w:p>
        </w:tc>
        <w:tc>
          <w:tcPr>
            <w:tcW w:w="763" w:type="pct"/>
            <w:tcBorders>
              <w:top w:val="nil"/>
              <w:left w:val="nil"/>
              <w:bottom w:val="nil"/>
              <w:right w:val="nil"/>
            </w:tcBorders>
            <w:shd w:val="clear" w:color="000000" w:fill="F7A3B0"/>
            <w:noWrap/>
            <w:vAlign w:val="center"/>
            <w:hideMark/>
          </w:tcPr>
          <w:p w14:paraId="240033A2" w14:textId="65136D66"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Submitted</w:t>
            </w:r>
          </w:p>
        </w:tc>
        <w:tc>
          <w:tcPr>
            <w:tcW w:w="763" w:type="pct"/>
            <w:tcBorders>
              <w:top w:val="nil"/>
              <w:left w:val="nil"/>
              <w:bottom w:val="nil"/>
              <w:right w:val="nil"/>
            </w:tcBorders>
            <w:shd w:val="clear" w:color="000000" w:fill="F7A3B0"/>
            <w:noWrap/>
            <w:vAlign w:val="center"/>
            <w:hideMark/>
          </w:tcPr>
          <w:p w14:paraId="36C98407" w14:textId="3558C543"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Not applicable</w:t>
            </w:r>
          </w:p>
        </w:tc>
        <w:tc>
          <w:tcPr>
            <w:tcW w:w="763" w:type="pct"/>
            <w:tcBorders>
              <w:top w:val="nil"/>
              <w:left w:val="nil"/>
              <w:bottom w:val="nil"/>
              <w:right w:val="nil"/>
            </w:tcBorders>
            <w:shd w:val="clear" w:color="000000" w:fill="F7A3B0"/>
            <w:noWrap/>
            <w:vAlign w:val="center"/>
            <w:hideMark/>
          </w:tcPr>
          <w:p w14:paraId="6BDAC088" w14:textId="299461B3"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Not applicable</w:t>
            </w:r>
          </w:p>
        </w:tc>
        <w:tc>
          <w:tcPr>
            <w:tcW w:w="763" w:type="pct"/>
            <w:tcBorders>
              <w:top w:val="nil"/>
              <w:left w:val="nil"/>
              <w:bottom w:val="nil"/>
              <w:right w:val="nil"/>
            </w:tcBorders>
            <w:shd w:val="clear" w:color="000000" w:fill="F7A3B0"/>
            <w:noWrap/>
            <w:vAlign w:val="center"/>
            <w:hideMark/>
          </w:tcPr>
          <w:p w14:paraId="4218FFE4" w14:textId="3C74D902"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Not applicable</w:t>
            </w:r>
          </w:p>
        </w:tc>
      </w:tr>
      <w:tr w:rsidR="00607498" w:rsidRPr="00894701" w14:paraId="530BD5B6" w14:textId="77777777" w:rsidTr="00CC42DF">
        <w:trPr>
          <w:trHeight w:val="283"/>
        </w:trPr>
        <w:tc>
          <w:tcPr>
            <w:tcW w:w="141" w:type="pct"/>
            <w:tcBorders>
              <w:top w:val="nil"/>
              <w:left w:val="nil"/>
              <w:bottom w:val="nil"/>
              <w:right w:val="nil"/>
            </w:tcBorders>
            <w:shd w:val="clear" w:color="000000" w:fill="FFFFFF"/>
            <w:noWrap/>
            <w:vAlign w:val="center"/>
            <w:hideMark/>
          </w:tcPr>
          <w:p w14:paraId="1100D96F" w14:textId="77777777" w:rsidR="00607498" w:rsidRPr="00894701" w:rsidRDefault="00607498" w:rsidP="00607498">
            <w:pPr>
              <w:spacing w:after="0" w:line="240" w:lineRule="auto"/>
              <w:jc w:val="center"/>
              <w:rPr>
                <w:rFonts w:asciiTheme="majorHAnsi" w:hAnsiTheme="majorHAnsi" w:cs="Arial"/>
                <w:color w:val="000000"/>
                <w:kern w:val="0"/>
                <w:sz w:val="16"/>
                <w:szCs w:val="16"/>
              </w:rPr>
            </w:pPr>
            <w:r w:rsidRPr="00894701">
              <w:rPr>
                <w:rFonts w:asciiTheme="majorHAnsi" w:hAnsiTheme="majorHAnsi" w:cs="Arial"/>
                <w:color w:val="000000"/>
                <w:kern w:val="0"/>
                <w:sz w:val="16"/>
                <w:szCs w:val="16"/>
              </w:rPr>
              <w:t>4</w:t>
            </w:r>
          </w:p>
        </w:tc>
        <w:tc>
          <w:tcPr>
            <w:tcW w:w="1391" w:type="pct"/>
            <w:tcBorders>
              <w:top w:val="nil"/>
              <w:left w:val="nil"/>
              <w:bottom w:val="nil"/>
              <w:right w:val="nil"/>
            </w:tcBorders>
            <w:shd w:val="clear" w:color="000000" w:fill="FFFFFF"/>
            <w:noWrap/>
            <w:vAlign w:val="center"/>
            <w:hideMark/>
          </w:tcPr>
          <w:p w14:paraId="68A2324A" w14:textId="77777777"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kern w:val="0"/>
                <w:sz w:val="16"/>
                <w:szCs w:val="16"/>
              </w:rPr>
              <w:t>Capricorn Suriname B.V.</w:t>
            </w:r>
          </w:p>
        </w:tc>
        <w:tc>
          <w:tcPr>
            <w:tcW w:w="418" w:type="pct"/>
            <w:tcBorders>
              <w:top w:val="nil"/>
              <w:left w:val="nil"/>
              <w:bottom w:val="nil"/>
              <w:right w:val="nil"/>
            </w:tcBorders>
            <w:shd w:val="clear" w:color="000000" w:fill="FFFFFF"/>
            <w:noWrap/>
            <w:vAlign w:val="center"/>
          </w:tcPr>
          <w:p w14:paraId="31703F37" w14:textId="65F5B9A4" w:rsidR="00607498" w:rsidRPr="00894701" w:rsidRDefault="00607498" w:rsidP="00607498">
            <w:pPr>
              <w:spacing w:after="0" w:line="240" w:lineRule="auto"/>
              <w:rPr>
                <w:rFonts w:asciiTheme="majorHAnsi" w:hAnsiTheme="majorHAnsi" w:cs="Arial"/>
                <w:color w:val="000000"/>
                <w:kern w:val="0"/>
                <w:sz w:val="16"/>
                <w:szCs w:val="16"/>
              </w:rPr>
            </w:pPr>
          </w:p>
        </w:tc>
        <w:tc>
          <w:tcPr>
            <w:tcW w:w="763" w:type="pct"/>
            <w:tcBorders>
              <w:top w:val="nil"/>
              <w:left w:val="nil"/>
              <w:bottom w:val="nil"/>
              <w:right w:val="nil"/>
            </w:tcBorders>
            <w:shd w:val="clear" w:color="000000" w:fill="FFFFFF"/>
            <w:noWrap/>
            <w:vAlign w:val="center"/>
            <w:hideMark/>
          </w:tcPr>
          <w:p w14:paraId="3A35DDE6" w14:textId="69B5F86B"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Submitted</w:t>
            </w:r>
          </w:p>
        </w:tc>
        <w:tc>
          <w:tcPr>
            <w:tcW w:w="763" w:type="pct"/>
            <w:tcBorders>
              <w:top w:val="nil"/>
              <w:left w:val="nil"/>
              <w:bottom w:val="nil"/>
              <w:right w:val="nil"/>
            </w:tcBorders>
            <w:shd w:val="clear" w:color="000000" w:fill="FFFFFF"/>
            <w:noWrap/>
            <w:vAlign w:val="center"/>
            <w:hideMark/>
          </w:tcPr>
          <w:p w14:paraId="3F8E8DE2" w14:textId="050800C9"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Submitted</w:t>
            </w:r>
          </w:p>
        </w:tc>
        <w:tc>
          <w:tcPr>
            <w:tcW w:w="763" w:type="pct"/>
            <w:tcBorders>
              <w:top w:val="nil"/>
              <w:left w:val="nil"/>
              <w:bottom w:val="nil"/>
              <w:right w:val="nil"/>
            </w:tcBorders>
            <w:shd w:val="clear" w:color="000000" w:fill="FFFFFF"/>
            <w:noWrap/>
            <w:vAlign w:val="center"/>
            <w:hideMark/>
          </w:tcPr>
          <w:p w14:paraId="5AE5DBF6" w14:textId="1F12BF51"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Not submitted</w:t>
            </w:r>
          </w:p>
        </w:tc>
        <w:tc>
          <w:tcPr>
            <w:tcW w:w="763" w:type="pct"/>
            <w:tcBorders>
              <w:top w:val="nil"/>
              <w:left w:val="nil"/>
              <w:bottom w:val="nil"/>
              <w:right w:val="nil"/>
            </w:tcBorders>
            <w:shd w:val="clear" w:color="000000" w:fill="FFFFFF"/>
            <w:noWrap/>
            <w:vAlign w:val="center"/>
            <w:hideMark/>
          </w:tcPr>
          <w:p w14:paraId="3F34436F" w14:textId="2D4244EB"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Not submitted</w:t>
            </w:r>
          </w:p>
        </w:tc>
      </w:tr>
      <w:tr w:rsidR="00607498" w:rsidRPr="00894701" w14:paraId="17276D3D" w14:textId="77777777" w:rsidTr="00904D64">
        <w:trPr>
          <w:trHeight w:val="283"/>
        </w:trPr>
        <w:tc>
          <w:tcPr>
            <w:tcW w:w="141" w:type="pct"/>
            <w:tcBorders>
              <w:top w:val="nil"/>
              <w:left w:val="nil"/>
              <w:bottom w:val="nil"/>
              <w:right w:val="nil"/>
            </w:tcBorders>
            <w:shd w:val="clear" w:color="000000" w:fill="F7A3B0"/>
            <w:noWrap/>
            <w:vAlign w:val="center"/>
            <w:hideMark/>
          </w:tcPr>
          <w:p w14:paraId="08127F89" w14:textId="77777777" w:rsidR="00607498" w:rsidRPr="00894701" w:rsidRDefault="00607498" w:rsidP="00607498">
            <w:pPr>
              <w:spacing w:after="0" w:line="240" w:lineRule="auto"/>
              <w:jc w:val="center"/>
              <w:rPr>
                <w:rFonts w:asciiTheme="majorHAnsi" w:hAnsiTheme="majorHAnsi" w:cs="Arial"/>
                <w:color w:val="000000"/>
                <w:kern w:val="0"/>
                <w:sz w:val="16"/>
                <w:szCs w:val="16"/>
              </w:rPr>
            </w:pPr>
            <w:r w:rsidRPr="00894701">
              <w:rPr>
                <w:rFonts w:asciiTheme="majorHAnsi" w:hAnsiTheme="majorHAnsi" w:cs="Arial"/>
                <w:color w:val="000000"/>
                <w:kern w:val="0"/>
                <w:sz w:val="16"/>
                <w:szCs w:val="16"/>
              </w:rPr>
              <w:t>5</w:t>
            </w:r>
          </w:p>
        </w:tc>
        <w:tc>
          <w:tcPr>
            <w:tcW w:w="1809" w:type="pct"/>
            <w:gridSpan w:val="2"/>
            <w:tcBorders>
              <w:top w:val="nil"/>
              <w:left w:val="nil"/>
              <w:bottom w:val="nil"/>
              <w:right w:val="nil"/>
            </w:tcBorders>
            <w:shd w:val="clear" w:color="000000" w:fill="F7A3B0"/>
            <w:noWrap/>
            <w:vAlign w:val="center"/>
            <w:hideMark/>
          </w:tcPr>
          <w:p w14:paraId="48B36B22" w14:textId="1EDFA33E"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kern w:val="0"/>
                <w:sz w:val="16"/>
                <w:szCs w:val="16"/>
              </w:rPr>
              <w:t>Petronas Suriname Exploration &amp; production B.V.</w:t>
            </w:r>
            <w:r w:rsidR="00373381" w:rsidRPr="00894701">
              <w:rPr>
                <w:rFonts w:asciiTheme="majorHAnsi" w:hAnsiTheme="majorHAnsi" w:cs="Arial"/>
                <w:color w:val="000000"/>
                <w:kern w:val="0"/>
                <w:sz w:val="16"/>
                <w:szCs w:val="16"/>
              </w:rPr>
              <w:t xml:space="preserve"> .         </w:t>
            </w:r>
          </w:p>
        </w:tc>
        <w:tc>
          <w:tcPr>
            <w:tcW w:w="763" w:type="pct"/>
            <w:tcBorders>
              <w:top w:val="nil"/>
              <w:left w:val="nil"/>
              <w:bottom w:val="nil"/>
              <w:right w:val="nil"/>
            </w:tcBorders>
            <w:shd w:val="clear" w:color="000000" w:fill="F7A3B0"/>
            <w:noWrap/>
            <w:vAlign w:val="center"/>
            <w:hideMark/>
          </w:tcPr>
          <w:p w14:paraId="2621D251" w14:textId="77777777"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kern w:val="0"/>
                <w:sz w:val="16"/>
                <w:szCs w:val="16"/>
              </w:rPr>
              <w:t xml:space="preserve"> Submitted</w:t>
            </w:r>
          </w:p>
        </w:tc>
        <w:tc>
          <w:tcPr>
            <w:tcW w:w="763" w:type="pct"/>
            <w:tcBorders>
              <w:top w:val="nil"/>
              <w:left w:val="nil"/>
              <w:bottom w:val="nil"/>
              <w:right w:val="nil"/>
            </w:tcBorders>
            <w:shd w:val="clear" w:color="000000" w:fill="F7A3B0"/>
            <w:noWrap/>
            <w:vAlign w:val="center"/>
            <w:hideMark/>
          </w:tcPr>
          <w:p w14:paraId="7A8E3488" w14:textId="625AB194"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Submitted</w:t>
            </w:r>
          </w:p>
        </w:tc>
        <w:tc>
          <w:tcPr>
            <w:tcW w:w="763" w:type="pct"/>
            <w:tcBorders>
              <w:top w:val="nil"/>
              <w:left w:val="nil"/>
              <w:bottom w:val="nil"/>
              <w:right w:val="nil"/>
            </w:tcBorders>
            <w:shd w:val="clear" w:color="000000" w:fill="F7A3B0"/>
            <w:noWrap/>
            <w:vAlign w:val="center"/>
            <w:hideMark/>
          </w:tcPr>
          <w:p w14:paraId="3C822DB5" w14:textId="4C5B5C2C"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Submitted</w:t>
            </w:r>
          </w:p>
        </w:tc>
        <w:tc>
          <w:tcPr>
            <w:tcW w:w="763" w:type="pct"/>
            <w:tcBorders>
              <w:top w:val="nil"/>
              <w:left w:val="nil"/>
              <w:bottom w:val="nil"/>
              <w:right w:val="nil"/>
            </w:tcBorders>
            <w:shd w:val="clear" w:color="000000" w:fill="F7A3B0"/>
            <w:noWrap/>
            <w:vAlign w:val="center"/>
            <w:hideMark/>
          </w:tcPr>
          <w:p w14:paraId="69204C99" w14:textId="67EBE2EB"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Submitted</w:t>
            </w:r>
          </w:p>
        </w:tc>
      </w:tr>
      <w:tr w:rsidR="00607498" w:rsidRPr="00894701" w14:paraId="55C902DC" w14:textId="77777777" w:rsidTr="00CC42DF">
        <w:trPr>
          <w:trHeight w:val="283"/>
        </w:trPr>
        <w:tc>
          <w:tcPr>
            <w:tcW w:w="141" w:type="pct"/>
            <w:tcBorders>
              <w:top w:val="nil"/>
              <w:left w:val="nil"/>
              <w:bottom w:val="nil"/>
              <w:right w:val="nil"/>
            </w:tcBorders>
            <w:shd w:val="clear" w:color="000000" w:fill="FFFFFF"/>
            <w:noWrap/>
            <w:vAlign w:val="center"/>
            <w:hideMark/>
          </w:tcPr>
          <w:p w14:paraId="5E9686F7" w14:textId="77777777" w:rsidR="00607498" w:rsidRPr="00894701" w:rsidRDefault="00607498" w:rsidP="00607498">
            <w:pPr>
              <w:spacing w:after="0" w:line="240" w:lineRule="auto"/>
              <w:jc w:val="center"/>
              <w:rPr>
                <w:rFonts w:asciiTheme="majorHAnsi" w:hAnsiTheme="majorHAnsi" w:cs="Arial"/>
                <w:color w:val="000000"/>
                <w:kern w:val="0"/>
                <w:sz w:val="16"/>
                <w:szCs w:val="16"/>
              </w:rPr>
            </w:pPr>
            <w:r w:rsidRPr="00894701">
              <w:rPr>
                <w:rFonts w:asciiTheme="majorHAnsi" w:hAnsiTheme="majorHAnsi" w:cs="Arial"/>
                <w:color w:val="000000"/>
                <w:kern w:val="0"/>
                <w:sz w:val="16"/>
                <w:szCs w:val="16"/>
              </w:rPr>
              <w:t>6</w:t>
            </w:r>
          </w:p>
        </w:tc>
        <w:tc>
          <w:tcPr>
            <w:tcW w:w="1391" w:type="pct"/>
            <w:tcBorders>
              <w:top w:val="nil"/>
              <w:left w:val="nil"/>
              <w:bottom w:val="nil"/>
              <w:right w:val="nil"/>
            </w:tcBorders>
            <w:shd w:val="clear" w:color="000000" w:fill="FFFFFF"/>
            <w:noWrap/>
            <w:vAlign w:val="center"/>
            <w:hideMark/>
          </w:tcPr>
          <w:p w14:paraId="4FC48859" w14:textId="77777777"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kern w:val="0"/>
                <w:sz w:val="16"/>
                <w:szCs w:val="16"/>
              </w:rPr>
              <w:t>Challenger Energy Group Plc</w:t>
            </w:r>
          </w:p>
        </w:tc>
        <w:tc>
          <w:tcPr>
            <w:tcW w:w="418" w:type="pct"/>
            <w:tcBorders>
              <w:top w:val="nil"/>
              <w:left w:val="nil"/>
              <w:bottom w:val="nil"/>
              <w:right w:val="nil"/>
            </w:tcBorders>
            <w:shd w:val="clear" w:color="000000" w:fill="FFFFFF"/>
            <w:noWrap/>
            <w:vAlign w:val="center"/>
          </w:tcPr>
          <w:p w14:paraId="41AF9746" w14:textId="04865320" w:rsidR="00607498" w:rsidRPr="00894701" w:rsidRDefault="00607498" w:rsidP="00607498">
            <w:pPr>
              <w:spacing w:after="0" w:line="240" w:lineRule="auto"/>
              <w:rPr>
                <w:rFonts w:asciiTheme="majorHAnsi" w:hAnsiTheme="majorHAnsi" w:cs="Arial"/>
                <w:color w:val="000000"/>
                <w:kern w:val="0"/>
                <w:sz w:val="16"/>
                <w:szCs w:val="16"/>
              </w:rPr>
            </w:pPr>
          </w:p>
        </w:tc>
        <w:tc>
          <w:tcPr>
            <w:tcW w:w="763" w:type="pct"/>
            <w:tcBorders>
              <w:top w:val="nil"/>
              <w:left w:val="nil"/>
              <w:bottom w:val="nil"/>
              <w:right w:val="nil"/>
            </w:tcBorders>
            <w:shd w:val="clear" w:color="000000" w:fill="FFFFFF"/>
            <w:noWrap/>
            <w:vAlign w:val="center"/>
            <w:hideMark/>
          </w:tcPr>
          <w:p w14:paraId="084B2336" w14:textId="5F6D3087"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Not submitted</w:t>
            </w:r>
          </w:p>
        </w:tc>
        <w:tc>
          <w:tcPr>
            <w:tcW w:w="763" w:type="pct"/>
            <w:tcBorders>
              <w:top w:val="nil"/>
              <w:left w:val="nil"/>
              <w:bottom w:val="nil"/>
              <w:right w:val="nil"/>
            </w:tcBorders>
            <w:shd w:val="clear" w:color="000000" w:fill="FFFFFF"/>
            <w:noWrap/>
            <w:vAlign w:val="center"/>
            <w:hideMark/>
          </w:tcPr>
          <w:p w14:paraId="45928CBC" w14:textId="7AEB9F1B"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Not submitted</w:t>
            </w:r>
          </w:p>
        </w:tc>
        <w:tc>
          <w:tcPr>
            <w:tcW w:w="763" w:type="pct"/>
            <w:tcBorders>
              <w:top w:val="nil"/>
              <w:left w:val="nil"/>
              <w:bottom w:val="nil"/>
              <w:right w:val="nil"/>
            </w:tcBorders>
            <w:shd w:val="clear" w:color="000000" w:fill="FFFFFF"/>
            <w:noWrap/>
            <w:vAlign w:val="center"/>
            <w:hideMark/>
          </w:tcPr>
          <w:p w14:paraId="222DD207" w14:textId="3C43B683"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Not submitted</w:t>
            </w:r>
          </w:p>
        </w:tc>
        <w:tc>
          <w:tcPr>
            <w:tcW w:w="763" w:type="pct"/>
            <w:tcBorders>
              <w:top w:val="nil"/>
              <w:left w:val="nil"/>
              <w:bottom w:val="nil"/>
              <w:right w:val="nil"/>
            </w:tcBorders>
            <w:shd w:val="clear" w:color="000000" w:fill="FFFFFF"/>
            <w:noWrap/>
            <w:vAlign w:val="center"/>
            <w:hideMark/>
          </w:tcPr>
          <w:p w14:paraId="52DF2631" w14:textId="0CBD820E"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Not submitted</w:t>
            </w:r>
          </w:p>
        </w:tc>
      </w:tr>
      <w:tr w:rsidR="00607498" w:rsidRPr="00894701" w14:paraId="5362E405" w14:textId="77777777" w:rsidTr="00CC42DF">
        <w:trPr>
          <w:trHeight w:val="283"/>
        </w:trPr>
        <w:tc>
          <w:tcPr>
            <w:tcW w:w="141" w:type="pct"/>
            <w:tcBorders>
              <w:top w:val="nil"/>
              <w:left w:val="nil"/>
              <w:bottom w:val="nil"/>
              <w:right w:val="nil"/>
            </w:tcBorders>
            <w:shd w:val="clear" w:color="000000" w:fill="F7A3B0"/>
            <w:noWrap/>
            <w:vAlign w:val="center"/>
            <w:hideMark/>
          </w:tcPr>
          <w:p w14:paraId="1B7FA2B1" w14:textId="77777777" w:rsidR="00607498" w:rsidRPr="00894701" w:rsidRDefault="00607498" w:rsidP="00607498">
            <w:pPr>
              <w:spacing w:after="0" w:line="240" w:lineRule="auto"/>
              <w:jc w:val="center"/>
              <w:rPr>
                <w:rFonts w:asciiTheme="majorHAnsi" w:hAnsiTheme="majorHAnsi" w:cs="Arial"/>
                <w:color w:val="000000"/>
                <w:kern w:val="0"/>
                <w:sz w:val="16"/>
                <w:szCs w:val="16"/>
              </w:rPr>
            </w:pPr>
            <w:r w:rsidRPr="00894701">
              <w:rPr>
                <w:rFonts w:asciiTheme="majorHAnsi" w:hAnsiTheme="majorHAnsi" w:cs="Arial"/>
                <w:color w:val="000000"/>
                <w:kern w:val="0"/>
                <w:sz w:val="16"/>
                <w:szCs w:val="16"/>
              </w:rPr>
              <w:t>7</w:t>
            </w:r>
          </w:p>
        </w:tc>
        <w:tc>
          <w:tcPr>
            <w:tcW w:w="1391" w:type="pct"/>
            <w:tcBorders>
              <w:top w:val="nil"/>
              <w:left w:val="nil"/>
              <w:bottom w:val="nil"/>
              <w:right w:val="nil"/>
            </w:tcBorders>
            <w:shd w:val="clear" w:color="000000" w:fill="F7A3B0"/>
            <w:noWrap/>
            <w:vAlign w:val="center"/>
            <w:hideMark/>
          </w:tcPr>
          <w:p w14:paraId="0A9121F1" w14:textId="77777777" w:rsidR="00607498" w:rsidRPr="00894701" w:rsidRDefault="00607498" w:rsidP="00607498">
            <w:pPr>
              <w:spacing w:after="0" w:line="240" w:lineRule="auto"/>
              <w:rPr>
                <w:rFonts w:asciiTheme="majorHAnsi" w:hAnsiTheme="majorHAnsi" w:cs="Arial"/>
                <w:color w:val="000000"/>
                <w:kern w:val="0"/>
                <w:sz w:val="16"/>
                <w:szCs w:val="16"/>
                <w:lang w:val="nl-NL"/>
              </w:rPr>
            </w:pPr>
            <w:r w:rsidRPr="00894701">
              <w:rPr>
                <w:rFonts w:asciiTheme="majorHAnsi" w:hAnsiTheme="majorHAnsi" w:cs="Arial"/>
                <w:color w:val="000000"/>
                <w:kern w:val="0"/>
                <w:sz w:val="16"/>
                <w:szCs w:val="16"/>
                <w:lang w:val="nl-NL"/>
              </w:rPr>
              <w:t>Staatsolie Maatschappij Suriname N.V.</w:t>
            </w:r>
          </w:p>
        </w:tc>
        <w:tc>
          <w:tcPr>
            <w:tcW w:w="418" w:type="pct"/>
            <w:tcBorders>
              <w:top w:val="nil"/>
              <w:left w:val="nil"/>
              <w:bottom w:val="nil"/>
              <w:right w:val="nil"/>
            </w:tcBorders>
            <w:shd w:val="clear" w:color="000000" w:fill="F7A3B0"/>
            <w:noWrap/>
            <w:vAlign w:val="center"/>
          </w:tcPr>
          <w:p w14:paraId="7CCFD285" w14:textId="302F9EAF" w:rsidR="00607498" w:rsidRPr="00894701" w:rsidRDefault="00607498" w:rsidP="00607498">
            <w:pPr>
              <w:spacing w:after="0" w:line="240" w:lineRule="auto"/>
              <w:rPr>
                <w:rFonts w:asciiTheme="majorHAnsi" w:hAnsiTheme="majorHAnsi" w:cs="Arial"/>
                <w:color w:val="000000"/>
                <w:kern w:val="0"/>
                <w:sz w:val="16"/>
                <w:szCs w:val="16"/>
                <w:lang w:val="nl-NL"/>
              </w:rPr>
            </w:pPr>
          </w:p>
        </w:tc>
        <w:tc>
          <w:tcPr>
            <w:tcW w:w="763" w:type="pct"/>
            <w:tcBorders>
              <w:top w:val="nil"/>
              <w:left w:val="nil"/>
              <w:bottom w:val="nil"/>
              <w:right w:val="nil"/>
            </w:tcBorders>
            <w:shd w:val="clear" w:color="000000" w:fill="F7A3B0"/>
            <w:noWrap/>
            <w:vAlign w:val="center"/>
            <w:hideMark/>
          </w:tcPr>
          <w:p w14:paraId="4BCC2C74" w14:textId="5D330AFB"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Submitted</w:t>
            </w:r>
          </w:p>
        </w:tc>
        <w:tc>
          <w:tcPr>
            <w:tcW w:w="763" w:type="pct"/>
            <w:tcBorders>
              <w:top w:val="nil"/>
              <w:left w:val="nil"/>
              <w:bottom w:val="nil"/>
              <w:right w:val="nil"/>
            </w:tcBorders>
            <w:shd w:val="clear" w:color="000000" w:fill="F7A3B0"/>
            <w:noWrap/>
            <w:vAlign w:val="center"/>
            <w:hideMark/>
          </w:tcPr>
          <w:p w14:paraId="72D24CF5" w14:textId="0A392C5C"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Submitted</w:t>
            </w:r>
          </w:p>
        </w:tc>
        <w:tc>
          <w:tcPr>
            <w:tcW w:w="763" w:type="pct"/>
            <w:tcBorders>
              <w:top w:val="nil"/>
              <w:left w:val="nil"/>
              <w:bottom w:val="nil"/>
              <w:right w:val="nil"/>
            </w:tcBorders>
            <w:shd w:val="clear" w:color="000000" w:fill="F7A3B0"/>
            <w:noWrap/>
            <w:vAlign w:val="center"/>
            <w:hideMark/>
          </w:tcPr>
          <w:p w14:paraId="08DF45A6" w14:textId="4776425B" w:rsidR="00607498" w:rsidRPr="00894701" w:rsidRDefault="001B4837">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S</w:t>
            </w:r>
            <w:r w:rsidR="00607498" w:rsidRPr="00894701">
              <w:rPr>
                <w:rFonts w:asciiTheme="majorHAnsi" w:hAnsiTheme="majorHAnsi" w:cs="Arial"/>
                <w:color w:val="000000"/>
                <w:sz w:val="16"/>
                <w:szCs w:val="16"/>
              </w:rPr>
              <w:t>ubmitted</w:t>
            </w:r>
          </w:p>
        </w:tc>
        <w:tc>
          <w:tcPr>
            <w:tcW w:w="763" w:type="pct"/>
            <w:tcBorders>
              <w:top w:val="nil"/>
              <w:left w:val="nil"/>
              <w:bottom w:val="nil"/>
              <w:right w:val="nil"/>
            </w:tcBorders>
            <w:shd w:val="clear" w:color="000000" w:fill="F7A3B0"/>
            <w:noWrap/>
            <w:vAlign w:val="center"/>
            <w:hideMark/>
          </w:tcPr>
          <w:p w14:paraId="787FA17B" w14:textId="70935860"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Not submitted</w:t>
            </w:r>
          </w:p>
        </w:tc>
      </w:tr>
      <w:tr w:rsidR="00607498" w:rsidRPr="00894701" w14:paraId="6D38BF42" w14:textId="77777777" w:rsidTr="00CC42DF">
        <w:trPr>
          <w:trHeight w:val="283"/>
        </w:trPr>
        <w:tc>
          <w:tcPr>
            <w:tcW w:w="141" w:type="pct"/>
            <w:tcBorders>
              <w:top w:val="nil"/>
              <w:left w:val="nil"/>
              <w:bottom w:val="nil"/>
              <w:right w:val="nil"/>
            </w:tcBorders>
            <w:shd w:val="clear" w:color="000000" w:fill="FFFFFF"/>
            <w:noWrap/>
            <w:vAlign w:val="center"/>
            <w:hideMark/>
          </w:tcPr>
          <w:p w14:paraId="13D262DE" w14:textId="5FB23D08" w:rsidR="00607498" w:rsidRPr="00894701" w:rsidRDefault="00607498" w:rsidP="00607498">
            <w:pPr>
              <w:spacing w:after="0" w:line="240" w:lineRule="auto"/>
              <w:jc w:val="center"/>
              <w:rPr>
                <w:rFonts w:asciiTheme="majorHAnsi" w:hAnsiTheme="majorHAnsi" w:cs="Arial"/>
                <w:color w:val="000000"/>
                <w:kern w:val="0"/>
                <w:sz w:val="16"/>
                <w:szCs w:val="16"/>
              </w:rPr>
            </w:pPr>
            <w:r w:rsidRPr="00894701">
              <w:rPr>
                <w:rFonts w:asciiTheme="majorHAnsi" w:hAnsiTheme="majorHAnsi" w:cs="Arial"/>
                <w:color w:val="auto"/>
                <w:kern w:val="0"/>
                <w:sz w:val="16"/>
                <w:szCs w:val="16"/>
                <w:lang w:val="fr-FR" w:eastAsia="fr-FR"/>
              </w:rPr>
              <w:t>8</w:t>
            </w:r>
          </w:p>
        </w:tc>
        <w:tc>
          <w:tcPr>
            <w:tcW w:w="1391" w:type="pct"/>
            <w:tcBorders>
              <w:top w:val="nil"/>
              <w:left w:val="nil"/>
              <w:bottom w:val="nil"/>
              <w:right w:val="nil"/>
            </w:tcBorders>
            <w:shd w:val="clear" w:color="000000" w:fill="FFFFFF"/>
            <w:noWrap/>
            <w:vAlign w:val="center"/>
            <w:hideMark/>
          </w:tcPr>
          <w:p w14:paraId="0927AA54" w14:textId="53DC33F2"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auto"/>
                <w:kern w:val="0"/>
                <w:sz w:val="16"/>
                <w:szCs w:val="16"/>
                <w:lang w:eastAsia="fr-FR"/>
              </w:rPr>
              <w:t>ExxonMobil Exploration and Production Suriname B.V.</w:t>
            </w:r>
          </w:p>
        </w:tc>
        <w:tc>
          <w:tcPr>
            <w:tcW w:w="418" w:type="pct"/>
            <w:tcBorders>
              <w:top w:val="nil"/>
              <w:left w:val="nil"/>
              <w:bottom w:val="nil"/>
              <w:right w:val="nil"/>
            </w:tcBorders>
            <w:shd w:val="clear" w:color="000000" w:fill="FFFFFF"/>
            <w:noWrap/>
            <w:vAlign w:val="center"/>
          </w:tcPr>
          <w:p w14:paraId="51BE1D86" w14:textId="2DE771EC" w:rsidR="00607498" w:rsidRPr="00894701" w:rsidRDefault="00607498" w:rsidP="00607498">
            <w:pPr>
              <w:spacing w:after="0" w:line="240" w:lineRule="auto"/>
              <w:rPr>
                <w:rFonts w:asciiTheme="majorHAnsi" w:hAnsiTheme="majorHAnsi" w:cs="Arial"/>
                <w:color w:val="000000"/>
                <w:kern w:val="0"/>
                <w:sz w:val="16"/>
                <w:szCs w:val="16"/>
              </w:rPr>
            </w:pPr>
          </w:p>
        </w:tc>
        <w:tc>
          <w:tcPr>
            <w:tcW w:w="763" w:type="pct"/>
            <w:tcBorders>
              <w:top w:val="nil"/>
              <w:left w:val="nil"/>
              <w:bottom w:val="nil"/>
              <w:right w:val="nil"/>
            </w:tcBorders>
            <w:shd w:val="clear" w:color="000000" w:fill="FFFFFF"/>
            <w:noWrap/>
            <w:vAlign w:val="center"/>
            <w:hideMark/>
          </w:tcPr>
          <w:p w14:paraId="057F82B0" w14:textId="3F4FD577"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Submitted</w:t>
            </w:r>
          </w:p>
        </w:tc>
        <w:tc>
          <w:tcPr>
            <w:tcW w:w="763" w:type="pct"/>
            <w:tcBorders>
              <w:top w:val="nil"/>
              <w:left w:val="nil"/>
              <w:bottom w:val="nil"/>
              <w:right w:val="nil"/>
            </w:tcBorders>
            <w:shd w:val="clear" w:color="000000" w:fill="FFFFFF"/>
            <w:noWrap/>
            <w:vAlign w:val="center"/>
            <w:hideMark/>
          </w:tcPr>
          <w:p w14:paraId="07C547B9" w14:textId="74BCFB76"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Not submitted</w:t>
            </w:r>
          </w:p>
        </w:tc>
        <w:tc>
          <w:tcPr>
            <w:tcW w:w="763" w:type="pct"/>
            <w:tcBorders>
              <w:top w:val="nil"/>
              <w:left w:val="nil"/>
              <w:bottom w:val="nil"/>
              <w:right w:val="nil"/>
            </w:tcBorders>
            <w:shd w:val="clear" w:color="000000" w:fill="FFFFFF"/>
            <w:noWrap/>
            <w:vAlign w:val="center"/>
            <w:hideMark/>
          </w:tcPr>
          <w:p w14:paraId="365D3702" w14:textId="1107D7C7"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Submitted</w:t>
            </w:r>
          </w:p>
        </w:tc>
        <w:tc>
          <w:tcPr>
            <w:tcW w:w="763" w:type="pct"/>
            <w:tcBorders>
              <w:top w:val="nil"/>
              <w:left w:val="nil"/>
              <w:bottom w:val="nil"/>
              <w:right w:val="nil"/>
            </w:tcBorders>
            <w:shd w:val="clear" w:color="000000" w:fill="FFFFFF"/>
            <w:noWrap/>
            <w:vAlign w:val="center"/>
            <w:hideMark/>
          </w:tcPr>
          <w:p w14:paraId="31142769" w14:textId="74EDB525"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Not submitted</w:t>
            </w:r>
          </w:p>
        </w:tc>
      </w:tr>
    </w:tbl>
    <w:p w14:paraId="350E3832" w14:textId="77777777" w:rsidR="00E17928" w:rsidRPr="00894701" w:rsidRDefault="00E17928" w:rsidP="00E17928">
      <w:pPr>
        <w:rPr>
          <w:b/>
          <w:bCs/>
          <w:color w:val="FF0000"/>
          <w:sz w:val="20"/>
          <w:szCs w:val="20"/>
        </w:rPr>
      </w:pPr>
    </w:p>
    <w:p w14:paraId="7D8E9B52" w14:textId="1DC3596F" w:rsidR="00E17928" w:rsidRPr="00894701" w:rsidRDefault="00E17928" w:rsidP="00E17928">
      <w:pPr>
        <w:rPr>
          <w:b/>
          <w:bCs/>
          <w:color w:val="FF0000"/>
          <w:sz w:val="20"/>
          <w:szCs w:val="20"/>
        </w:rPr>
      </w:pPr>
      <w:r w:rsidRPr="00894701">
        <w:rPr>
          <w:b/>
          <w:bCs/>
          <w:color w:val="FF0000"/>
          <w:sz w:val="20"/>
          <w:szCs w:val="20"/>
        </w:rPr>
        <w:t>2019</w:t>
      </w:r>
    </w:p>
    <w:tbl>
      <w:tblPr>
        <w:tblW w:w="5099" w:type="pct"/>
        <w:tblLook w:val="04A0" w:firstRow="1" w:lastRow="0" w:firstColumn="1" w:lastColumn="0" w:noHBand="0" w:noVBand="1"/>
      </w:tblPr>
      <w:tblGrid>
        <w:gridCol w:w="417"/>
        <w:gridCol w:w="4128"/>
        <w:gridCol w:w="1213"/>
        <w:gridCol w:w="2119"/>
        <w:gridCol w:w="2119"/>
        <w:gridCol w:w="2119"/>
        <w:gridCol w:w="2119"/>
      </w:tblGrid>
      <w:tr w:rsidR="00E17928" w:rsidRPr="00894701" w14:paraId="4AA30D50" w14:textId="77777777" w:rsidTr="00904D64">
        <w:trPr>
          <w:trHeight w:val="283"/>
          <w:tblHeader/>
        </w:trPr>
        <w:tc>
          <w:tcPr>
            <w:tcW w:w="142" w:type="pct"/>
            <w:tcBorders>
              <w:top w:val="nil"/>
              <w:left w:val="nil"/>
              <w:bottom w:val="single" w:sz="8" w:space="0" w:color="FF0000"/>
              <w:right w:val="nil"/>
            </w:tcBorders>
            <w:shd w:val="clear" w:color="000000" w:fill="7A091A"/>
            <w:vAlign w:val="center"/>
            <w:hideMark/>
          </w:tcPr>
          <w:p w14:paraId="62E98BBA" w14:textId="77777777" w:rsidR="00E17928" w:rsidRPr="00894701" w:rsidRDefault="00E17928" w:rsidP="00446B8D">
            <w:pPr>
              <w:spacing w:after="0" w:line="240" w:lineRule="auto"/>
              <w:jc w:val="center"/>
              <w:rPr>
                <w:rFonts w:asciiTheme="majorHAnsi" w:hAnsiTheme="majorHAnsi" w:cs="Arial"/>
                <w:b/>
                <w:bCs/>
                <w:color w:val="FFFFFF"/>
                <w:kern w:val="0"/>
                <w:sz w:val="16"/>
                <w:szCs w:val="16"/>
              </w:rPr>
            </w:pPr>
            <w:r w:rsidRPr="00894701">
              <w:rPr>
                <w:rFonts w:asciiTheme="majorHAnsi" w:hAnsiTheme="majorHAnsi" w:cs="Arial"/>
                <w:b/>
                <w:bCs/>
                <w:color w:val="FFFFFF"/>
                <w:kern w:val="0"/>
                <w:sz w:val="16"/>
                <w:szCs w:val="16"/>
              </w:rPr>
              <w:t>N°</w:t>
            </w:r>
          </w:p>
        </w:tc>
        <w:tc>
          <w:tcPr>
            <w:tcW w:w="1451" w:type="pct"/>
            <w:tcBorders>
              <w:top w:val="nil"/>
              <w:left w:val="nil"/>
              <w:bottom w:val="single" w:sz="8" w:space="0" w:color="FF0000"/>
              <w:right w:val="nil"/>
            </w:tcBorders>
            <w:shd w:val="clear" w:color="000000" w:fill="7A091A"/>
            <w:vAlign w:val="center"/>
            <w:hideMark/>
          </w:tcPr>
          <w:p w14:paraId="34A250FD" w14:textId="77777777" w:rsidR="00E17928" w:rsidRPr="00894701" w:rsidRDefault="00E17928" w:rsidP="00446B8D">
            <w:pPr>
              <w:spacing w:after="0" w:line="240" w:lineRule="auto"/>
              <w:rPr>
                <w:rFonts w:asciiTheme="majorHAnsi" w:hAnsiTheme="majorHAnsi" w:cs="Arial"/>
                <w:b/>
                <w:bCs/>
                <w:color w:val="FFFFFF"/>
                <w:kern w:val="0"/>
                <w:sz w:val="16"/>
                <w:szCs w:val="16"/>
              </w:rPr>
            </w:pPr>
            <w:r w:rsidRPr="00894701">
              <w:rPr>
                <w:rFonts w:asciiTheme="majorHAnsi" w:hAnsiTheme="majorHAnsi" w:cs="Arial"/>
                <w:b/>
                <w:bCs/>
                <w:color w:val="FFFFFF"/>
                <w:kern w:val="0"/>
                <w:sz w:val="16"/>
                <w:szCs w:val="16"/>
              </w:rPr>
              <w:t>Name of company</w:t>
            </w:r>
          </w:p>
        </w:tc>
        <w:tc>
          <w:tcPr>
            <w:tcW w:w="426" w:type="pct"/>
            <w:tcBorders>
              <w:top w:val="nil"/>
              <w:left w:val="nil"/>
              <w:bottom w:val="single" w:sz="8" w:space="0" w:color="FF0000"/>
              <w:right w:val="nil"/>
            </w:tcBorders>
            <w:shd w:val="clear" w:color="000000" w:fill="7A091A"/>
            <w:vAlign w:val="center"/>
            <w:hideMark/>
          </w:tcPr>
          <w:p w14:paraId="5209BB66" w14:textId="230A361D" w:rsidR="00E17928" w:rsidRPr="00894701" w:rsidRDefault="00E17928" w:rsidP="00446B8D">
            <w:pPr>
              <w:spacing w:after="0" w:line="240" w:lineRule="auto"/>
              <w:rPr>
                <w:rFonts w:asciiTheme="majorHAnsi" w:hAnsiTheme="majorHAnsi" w:cs="Arial"/>
                <w:b/>
                <w:bCs/>
                <w:color w:val="FFFFFF"/>
                <w:kern w:val="0"/>
                <w:sz w:val="16"/>
                <w:szCs w:val="16"/>
              </w:rPr>
            </w:pPr>
          </w:p>
        </w:tc>
        <w:tc>
          <w:tcPr>
            <w:tcW w:w="745" w:type="pct"/>
            <w:tcBorders>
              <w:top w:val="nil"/>
              <w:left w:val="nil"/>
              <w:bottom w:val="single" w:sz="8" w:space="0" w:color="FF0000"/>
              <w:right w:val="nil"/>
            </w:tcBorders>
            <w:shd w:val="clear" w:color="000000" w:fill="7A091A"/>
            <w:vAlign w:val="center"/>
            <w:hideMark/>
          </w:tcPr>
          <w:p w14:paraId="5A670874" w14:textId="77777777" w:rsidR="00E17928" w:rsidRPr="00894701" w:rsidRDefault="00E17928" w:rsidP="00446B8D">
            <w:pPr>
              <w:spacing w:after="0" w:line="240" w:lineRule="auto"/>
              <w:rPr>
                <w:rFonts w:asciiTheme="majorHAnsi" w:hAnsiTheme="majorHAnsi" w:cs="Arial"/>
                <w:b/>
                <w:bCs/>
                <w:color w:val="FFFFFF"/>
                <w:kern w:val="0"/>
                <w:sz w:val="16"/>
                <w:szCs w:val="16"/>
              </w:rPr>
            </w:pPr>
            <w:r w:rsidRPr="00894701">
              <w:rPr>
                <w:rFonts w:asciiTheme="majorHAnsi" w:hAnsiTheme="majorHAnsi" w:cs="Arial"/>
                <w:b/>
                <w:bCs/>
                <w:color w:val="FFFFFF"/>
                <w:kern w:val="0"/>
                <w:sz w:val="16"/>
                <w:szCs w:val="16"/>
              </w:rPr>
              <w:t xml:space="preserve">Soft copy of the Reporting template </w:t>
            </w:r>
            <w:r w:rsidRPr="00894701">
              <w:rPr>
                <w:rFonts w:asciiTheme="majorHAnsi" w:hAnsiTheme="majorHAnsi" w:cs="Arial"/>
                <w:b/>
                <w:bCs/>
                <w:color w:val="FFFFFF"/>
                <w:kern w:val="0"/>
                <w:sz w:val="16"/>
                <w:szCs w:val="16"/>
              </w:rPr>
              <w:br/>
            </w:r>
            <w:r w:rsidRPr="00894701">
              <w:rPr>
                <w:rFonts w:asciiTheme="majorHAnsi" w:hAnsiTheme="majorHAnsi" w:cs="Arial"/>
                <w:b/>
                <w:bCs/>
                <w:color w:val="FFFFFF"/>
                <w:kern w:val="0"/>
                <w:sz w:val="16"/>
                <w:szCs w:val="16"/>
              </w:rPr>
              <w:br/>
              <w:t>(Submitted/Not submitted)</w:t>
            </w:r>
          </w:p>
        </w:tc>
        <w:tc>
          <w:tcPr>
            <w:tcW w:w="745" w:type="pct"/>
            <w:tcBorders>
              <w:top w:val="nil"/>
              <w:left w:val="nil"/>
              <w:bottom w:val="single" w:sz="8" w:space="0" w:color="FF0000"/>
              <w:right w:val="nil"/>
            </w:tcBorders>
            <w:shd w:val="clear" w:color="000000" w:fill="7A091A"/>
            <w:vAlign w:val="center"/>
            <w:hideMark/>
          </w:tcPr>
          <w:p w14:paraId="3DBC2029" w14:textId="77777777" w:rsidR="00E17928" w:rsidRPr="00894701" w:rsidRDefault="00E17928" w:rsidP="00446B8D">
            <w:pPr>
              <w:spacing w:after="0" w:line="240" w:lineRule="auto"/>
              <w:rPr>
                <w:rFonts w:asciiTheme="majorHAnsi" w:hAnsiTheme="majorHAnsi" w:cs="Arial"/>
                <w:b/>
                <w:bCs/>
                <w:color w:val="FFFFFF"/>
                <w:kern w:val="0"/>
                <w:sz w:val="16"/>
                <w:szCs w:val="16"/>
              </w:rPr>
            </w:pPr>
            <w:r w:rsidRPr="00894701">
              <w:rPr>
                <w:rFonts w:asciiTheme="majorHAnsi" w:hAnsiTheme="majorHAnsi" w:cs="Arial"/>
                <w:b/>
                <w:bCs/>
                <w:color w:val="FFFFFF"/>
                <w:kern w:val="0"/>
                <w:sz w:val="16"/>
                <w:szCs w:val="16"/>
              </w:rPr>
              <w:t>Audited Financial Statements</w:t>
            </w:r>
            <w:r w:rsidRPr="00894701">
              <w:rPr>
                <w:rFonts w:asciiTheme="majorHAnsi" w:hAnsiTheme="majorHAnsi" w:cs="Arial"/>
                <w:b/>
                <w:bCs/>
                <w:color w:val="FFFFFF"/>
                <w:kern w:val="0"/>
                <w:sz w:val="16"/>
                <w:szCs w:val="16"/>
              </w:rPr>
              <w:br/>
            </w:r>
            <w:r w:rsidRPr="00894701">
              <w:rPr>
                <w:rFonts w:asciiTheme="majorHAnsi" w:hAnsiTheme="majorHAnsi" w:cs="Arial"/>
                <w:b/>
                <w:bCs/>
                <w:color w:val="FFFFFF"/>
                <w:kern w:val="0"/>
                <w:sz w:val="16"/>
                <w:szCs w:val="16"/>
              </w:rPr>
              <w:br/>
              <w:t>(Submitted/Not submitted)</w:t>
            </w:r>
          </w:p>
        </w:tc>
        <w:tc>
          <w:tcPr>
            <w:tcW w:w="745" w:type="pct"/>
            <w:tcBorders>
              <w:top w:val="nil"/>
              <w:left w:val="nil"/>
              <w:bottom w:val="single" w:sz="8" w:space="0" w:color="FF0000"/>
              <w:right w:val="nil"/>
            </w:tcBorders>
            <w:shd w:val="clear" w:color="000000" w:fill="7A091A"/>
            <w:vAlign w:val="center"/>
            <w:hideMark/>
          </w:tcPr>
          <w:p w14:paraId="752A8C73" w14:textId="77777777" w:rsidR="00E17928" w:rsidRPr="00894701" w:rsidRDefault="00E17928" w:rsidP="00446B8D">
            <w:pPr>
              <w:spacing w:after="0" w:line="240" w:lineRule="auto"/>
              <w:rPr>
                <w:rFonts w:asciiTheme="majorHAnsi" w:hAnsiTheme="majorHAnsi" w:cs="Arial"/>
                <w:b/>
                <w:bCs/>
                <w:color w:val="FFFFFF"/>
                <w:kern w:val="0"/>
                <w:sz w:val="16"/>
                <w:szCs w:val="16"/>
              </w:rPr>
            </w:pPr>
            <w:r w:rsidRPr="00894701">
              <w:rPr>
                <w:rFonts w:asciiTheme="majorHAnsi" w:hAnsiTheme="majorHAnsi" w:cs="Arial"/>
                <w:b/>
                <w:bCs/>
                <w:color w:val="FFFFFF"/>
                <w:kern w:val="0"/>
                <w:sz w:val="16"/>
                <w:szCs w:val="16"/>
              </w:rPr>
              <w:t xml:space="preserve">Hard copy of Reporting template signed by Senior Management </w:t>
            </w:r>
            <w:r w:rsidRPr="00894701">
              <w:rPr>
                <w:rFonts w:asciiTheme="majorHAnsi" w:hAnsiTheme="majorHAnsi" w:cs="Arial"/>
                <w:b/>
                <w:bCs/>
                <w:color w:val="FFFFFF"/>
                <w:kern w:val="0"/>
                <w:sz w:val="16"/>
                <w:szCs w:val="16"/>
              </w:rPr>
              <w:br/>
              <w:t>(Submitted/Not submitted)</w:t>
            </w:r>
          </w:p>
        </w:tc>
        <w:tc>
          <w:tcPr>
            <w:tcW w:w="745" w:type="pct"/>
            <w:tcBorders>
              <w:top w:val="nil"/>
              <w:left w:val="nil"/>
              <w:bottom w:val="single" w:sz="8" w:space="0" w:color="FF0000"/>
              <w:right w:val="nil"/>
            </w:tcBorders>
            <w:shd w:val="clear" w:color="000000" w:fill="7A091A"/>
            <w:vAlign w:val="center"/>
            <w:hideMark/>
          </w:tcPr>
          <w:p w14:paraId="7C5B0385" w14:textId="77777777" w:rsidR="00E17928" w:rsidRPr="00894701" w:rsidRDefault="00E17928" w:rsidP="00446B8D">
            <w:pPr>
              <w:spacing w:after="0" w:line="240" w:lineRule="auto"/>
              <w:rPr>
                <w:rFonts w:asciiTheme="majorHAnsi" w:hAnsiTheme="majorHAnsi" w:cs="Arial"/>
                <w:b/>
                <w:bCs/>
                <w:color w:val="FFFFFF"/>
                <w:kern w:val="0"/>
                <w:sz w:val="16"/>
                <w:szCs w:val="16"/>
              </w:rPr>
            </w:pPr>
            <w:r w:rsidRPr="00894701">
              <w:rPr>
                <w:rFonts w:asciiTheme="majorHAnsi" w:hAnsiTheme="majorHAnsi" w:cs="Arial"/>
                <w:b/>
                <w:bCs/>
                <w:color w:val="FFFFFF"/>
                <w:kern w:val="0"/>
                <w:sz w:val="16"/>
                <w:szCs w:val="16"/>
              </w:rPr>
              <w:t>Reporting template certified by Auditor</w:t>
            </w:r>
            <w:r w:rsidRPr="00894701">
              <w:rPr>
                <w:rFonts w:asciiTheme="majorHAnsi" w:hAnsiTheme="majorHAnsi" w:cs="Arial"/>
                <w:b/>
                <w:bCs/>
                <w:color w:val="FFFFFF"/>
                <w:kern w:val="0"/>
                <w:sz w:val="16"/>
                <w:szCs w:val="16"/>
              </w:rPr>
              <w:br/>
            </w:r>
            <w:r w:rsidRPr="00894701">
              <w:rPr>
                <w:rFonts w:asciiTheme="majorHAnsi" w:hAnsiTheme="majorHAnsi" w:cs="Arial"/>
                <w:b/>
                <w:bCs/>
                <w:color w:val="FFFFFF"/>
                <w:kern w:val="0"/>
                <w:sz w:val="16"/>
                <w:szCs w:val="16"/>
              </w:rPr>
              <w:br/>
              <w:t>(Submitted/Not submitted)</w:t>
            </w:r>
          </w:p>
        </w:tc>
      </w:tr>
      <w:tr w:rsidR="00607498" w:rsidRPr="00894701" w14:paraId="33100E48" w14:textId="77777777" w:rsidTr="00CC42DF">
        <w:trPr>
          <w:trHeight w:val="283"/>
        </w:trPr>
        <w:tc>
          <w:tcPr>
            <w:tcW w:w="142" w:type="pct"/>
            <w:tcBorders>
              <w:top w:val="nil"/>
              <w:left w:val="nil"/>
              <w:bottom w:val="nil"/>
              <w:right w:val="nil"/>
            </w:tcBorders>
            <w:shd w:val="clear" w:color="000000" w:fill="F7A3B0"/>
            <w:noWrap/>
            <w:vAlign w:val="center"/>
            <w:hideMark/>
          </w:tcPr>
          <w:p w14:paraId="6C42839C" w14:textId="77777777" w:rsidR="00607498" w:rsidRPr="00894701" w:rsidRDefault="00607498" w:rsidP="00607498">
            <w:pPr>
              <w:spacing w:after="0" w:line="240" w:lineRule="auto"/>
              <w:jc w:val="center"/>
              <w:rPr>
                <w:rFonts w:asciiTheme="majorHAnsi" w:hAnsiTheme="majorHAnsi" w:cs="Arial"/>
                <w:color w:val="000000"/>
                <w:kern w:val="0"/>
                <w:sz w:val="16"/>
                <w:szCs w:val="16"/>
              </w:rPr>
            </w:pPr>
            <w:r w:rsidRPr="00894701">
              <w:rPr>
                <w:rFonts w:asciiTheme="majorHAnsi" w:hAnsiTheme="majorHAnsi" w:cs="Arial"/>
                <w:color w:val="000000"/>
                <w:kern w:val="0"/>
                <w:sz w:val="16"/>
                <w:szCs w:val="16"/>
              </w:rPr>
              <w:t>1</w:t>
            </w:r>
          </w:p>
        </w:tc>
        <w:tc>
          <w:tcPr>
            <w:tcW w:w="1451" w:type="pct"/>
            <w:tcBorders>
              <w:top w:val="nil"/>
              <w:left w:val="nil"/>
              <w:bottom w:val="nil"/>
              <w:right w:val="nil"/>
            </w:tcBorders>
            <w:shd w:val="clear" w:color="000000" w:fill="F7A3B0"/>
            <w:noWrap/>
            <w:vAlign w:val="center"/>
            <w:hideMark/>
          </w:tcPr>
          <w:p w14:paraId="4EBFF7CC" w14:textId="77777777"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kern w:val="0"/>
                <w:sz w:val="16"/>
                <w:szCs w:val="16"/>
              </w:rPr>
              <w:t>Kosmos Energy Suriname</w:t>
            </w:r>
          </w:p>
        </w:tc>
        <w:tc>
          <w:tcPr>
            <w:tcW w:w="426" w:type="pct"/>
            <w:tcBorders>
              <w:top w:val="nil"/>
              <w:left w:val="nil"/>
              <w:bottom w:val="nil"/>
              <w:right w:val="nil"/>
            </w:tcBorders>
            <w:shd w:val="clear" w:color="000000" w:fill="F7A3B0"/>
            <w:noWrap/>
            <w:vAlign w:val="center"/>
          </w:tcPr>
          <w:p w14:paraId="35923E54" w14:textId="59CAC608" w:rsidR="00607498" w:rsidRPr="00894701" w:rsidRDefault="00607498" w:rsidP="00607498">
            <w:pPr>
              <w:spacing w:after="0" w:line="240" w:lineRule="auto"/>
              <w:rPr>
                <w:rFonts w:asciiTheme="majorHAnsi" w:hAnsiTheme="majorHAnsi" w:cs="Arial"/>
                <w:color w:val="000000"/>
                <w:kern w:val="0"/>
                <w:sz w:val="16"/>
                <w:szCs w:val="16"/>
              </w:rPr>
            </w:pPr>
          </w:p>
        </w:tc>
        <w:tc>
          <w:tcPr>
            <w:tcW w:w="745" w:type="pct"/>
            <w:tcBorders>
              <w:top w:val="nil"/>
              <w:left w:val="nil"/>
              <w:bottom w:val="nil"/>
              <w:right w:val="nil"/>
            </w:tcBorders>
            <w:shd w:val="clear" w:color="000000" w:fill="F7A3B0"/>
            <w:noWrap/>
            <w:vAlign w:val="center"/>
            <w:hideMark/>
          </w:tcPr>
          <w:p w14:paraId="466DE199" w14:textId="5E4B540F"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Submitted</w:t>
            </w:r>
          </w:p>
        </w:tc>
        <w:tc>
          <w:tcPr>
            <w:tcW w:w="745" w:type="pct"/>
            <w:tcBorders>
              <w:top w:val="nil"/>
              <w:left w:val="nil"/>
              <w:bottom w:val="nil"/>
              <w:right w:val="nil"/>
            </w:tcBorders>
            <w:shd w:val="clear" w:color="000000" w:fill="F7A3B0"/>
            <w:noWrap/>
            <w:vAlign w:val="center"/>
            <w:hideMark/>
          </w:tcPr>
          <w:p w14:paraId="0074968F" w14:textId="0AE4BAF7"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Submitted</w:t>
            </w:r>
          </w:p>
        </w:tc>
        <w:tc>
          <w:tcPr>
            <w:tcW w:w="745" w:type="pct"/>
            <w:tcBorders>
              <w:top w:val="nil"/>
              <w:left w:val="nil"/>
              <w:bottom w:val="nil"/>
              <w:right w:val="nil"/>
            </w:tcBorders>
            <w:shd w:val="clear" w:color="000000" w:fill="F7A3B0"/>
            <w:noWrap/>
            <w:vAlign w:val="center"/>
            <w:hideMark/>
          </w:tcPr>
          <w:p w14:paraId="13C0959D" w14:textId="03E53E58"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Submitted</w:t>
            </w:r>
          </w:p>
        </w:tc>
        <w:tc>
          <w:tcPr>
            <w:tcW w:w="745" w:type="pct"/>
            <w:tcBorders>
              <w:top w:val="nil"/>
              <w:left w:val="nil"/>
              <w:bottom w:val="nil"/>
              <w:right w:val="nil"/>
            </w:tcBorders>
            <w:shd w:val="clear" w:color="000000" w:fill="F7A3B0"/>
            <w:noWrap/>
            <w:vAlign w:val="center"/>
            <w:hideMark/>
          </w:tcPr>
          <w:p w14:paraId="5E385B36" w14:textId="0C957AAE"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Submitted</w:t>
            </w:r>
          </w:p>
        </w:tc>
      </w:tr>
      <w:tr w:rsidR="00607498" w:rsidRPr="00894701" w14:paraId="08968D3F" w14:textId="77777777" w:rsidTr="00CC42DF">
        <w:trPr>
          <w:trHeight w:val="283"/>
        </w:trPr>
        <w:tc>
          <w:tcPr>
            <w:tcW w:w="142" w:type="pct"/>
            <w:tcBorders>
              <w:top w:val="nil"/>
              <w:left w:val="nil"/>
              <w:bottom w:val="nil"/>
              <w:right w:val="nil"/>
            </w:tcBorders>
            <w:shd w:val="clear" w:color="000000" w:fill="FFFFFF"/>
            <w:noWrap/>
            <w:vAlign w:val="center"/>
            <w:hideMark/>
          </w:tcPr>
          <w:p w14:paraId="0A00B248" w14:textId="77777777" w:rsidR="00607498" w:rsidRPr="00894701" w:rsidRDefault="00607498" w:rsidP="00607498">
            <w:pPr>
              <w:spacing w:after="0" w:line="240" w:lineRule="auto"/>
              <w:jc w:val="center"/>
              <w:rPr>
                <w:rFonts w:asciiTheme="majorHAnsi" w:hAnsiTheme="majorHAnsi" w:cs="Arial"/>
                <w:color w:val="000000"/>
                <w:kern w:val="0"/>
                <w:sz w:val="16"/>
                <w:szCs w:val="16"/>
              </w:rPr>
            </w:pPr>
            <w:r w:rsidRPr="00894701">
              <w:rPr>
                <w:rFonts w:asciiTheme="majorHAnsi" w:hAnsiTheme="majorHAnsi" w:cs="Arial"/>
                <w:color w:val="000000"/>
                <w:kern w:val="0"/>
                <w:sz w:val="16"/>
                <w:szCs w:val="16"/>
              </w:rPr>
              <w:t>2</w:t>
            </w:r>
          </w:p>
        </w:tc>
        <w:tc>
          <w:tcPr>
            <w:tcW w:w="1451" w:type="pct"/>
            <w:tcBorders>
              <w:top w:val="nil"/>
              <w:left w:val="nil"/>
              <w:bottom w:val="nil"/>
              <w:right w:val="nil"/>
            </w:tcBorders>
            <w:shd w:val="clear" w:color="000000" w:fill="FFFFFF"/>
            <w:noWrap/>
            <w:vAlign w:val="center"/>
            <w:hideMark/>
          </w:tcPr>
          <w:p w14:paraId="57C42AA1" w14:textId="77777777"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kern w:val="0"/>
                <w:sz w:val="16"/>
                <w:szCs w:val="16"/>
              </w:rPr>
              <w:t>Tullow Oil Plc</w:t>
            </w:r>
          </w:p>
        </w:tc>
        <w:tc>
          <w:tcPr>
            <w:tcW w:w="426" w:type="pct"/>
            <w:tcBorders>
              <w:top w:val="nil"/>
              <w:left w:val="nil"/>
              <w:bottom w:val="nil"/>
              <w:right w:val="nil"/>
            </w:tcBorders>
            <w:shd w:val="clear" w:color="000000" w:fill="FFFFFF"/>
            <w:noWrap/>
            <w:vAlign w:val="center"/>
          </w:tcPr>
          <w:p w14:paraId="1BA43E5A" w14:textId="531C1665" w:rsidR="00607498" w:rsidRPr="00894701" w:rsidRDefault="00607498" w:rsidP="00607498">
            <w:pPr>
              <w:spacing w:after="0" w:line="240" w:lineRule="auto"/>
              <w:rPr>
                <w:rFonts w:asciiTheme="majorHAnsi" w:hAnsiTheme="majorHAnsi" w:cs="Arial"/>
                <w:color w:val="000000"/>
                <w:kern w:val="0"/>
                <w:sz w:val="16"/>
                <w:szCs w:val="16"/>
              </w:rPr>
            </w:pPr>
          </w:p>
        </w:tc>
        <w:tc>
          <w:tcPr>
            <w:tcW w:w="745" w:type="pct"/>
            <w:tcBorders>
              <w:top w:val="nil"/>
              <w:left w:val="nil"/>
              <w:bottom w:val="nil"/>
              <w:right w:val="nil"/>
            </w:tcBorders>
            <w:shd w:val="clear" w:color="000000" w:fill="FFFFFF"/>
            <w:noWrap/>
            <w:vAlign w:val="center"/>
            <w:hideMark/>
          </w:tcPr>
          <w:p w14:paraId="06F8D0B3" w14:textId="5D902E57"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Not submitted</w:t>
            </w:r>
          </w:p>
        </w:tc>
        <w:tc>
          <w:tcPr>
            <w:tcW w:w="745" w:type="pct"/>
            <w:tcBorders>
              <w:top w:val="nil"/>
              <w:left w:val="nil"/>
              <w:bottom w:val="nil"/>
              <w:right w:val="nil"/>
            </w:tcBorders>
            <w:shd w:val="clear" w:color="000000" w:fill="FFFFFF"/>
            <w:noWrap/>
            <w:vAlign w:val="center"/>
            <w:hideMark/>
          </w:tcPr>
          <w:p w14:paraId="126B19E1" w14:textId="7F4EA43B"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Not submitted</w:t>
            </w:r>
          </w:p>
        </w:tc>
        <w:tc>
          <w:tcPr>
            <w:tcW w:w="745" w:type="pct"/>
            <w:tcBorders>
              <w:top w:val="nil"/>
              <w:left w:val="nil"/>
              <w:bottom w:val="nil"/>
              <w:right w:val="nil"/>
            </w:tcBorders>
            <w:shd w:val="clear" w:color="000000" w:fill="FFFFFF"/>
            <w:noWrap/>
            <w:vAlign w:val="center"/>
            <w:hideMark/>
          </w:tcPr>
          <w:p w14:paraId="31CC7EB7" w14:textId="06FF6978"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Not submitted</w:t>
            </w:r>
          </w:p>
        </w:tc>
        <w:tc>
          <w:tcPr>
            <w:tcW w:w="745" w:type="pct"/>
            <w:tcBorders>
              <w:top w:val="nil"/>
              <w:left w:val="nil"/>
              <w:bottom w:val="nil"/>
              <w:right w:val="nil"/>
            </w:tcBorders>
            <w:shd w:val="clear" w:color="000000" w:fill="FFFFFF"/>
            <w:noWrap/>
            <w:vAlign w:val="center"/>
            <w:hideMark/>
          </w:tcPr>
          <w:p w14:paraId="0D26123E" w14:textId="0F7DC1CA"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Not submitted</w:t>
            </w:r>
          </w:p>
        </w:tc>
      </w:tr>
      <w:tr w:rsidR="00607498" w:rsidRPr="00894701" w14:paraId="48DD2246" w14:textId="77777777" w:rsidTr="00CC42DF">
        <w:trPr>
          <w:trHeight w:val="283"/>
        </w:trPr>
        <w:tc>
          <w:tcPr>
            <w:tcW w:w="142" w:type="pct"/>
            <w:tcBorders>
              <w:top w:val="nil"/>
              <w:left w:val="nil"/>
              <w:bottom w:val="nil"/>
              <w:right w:val="nil"/>
            </w:tcBorders>
            <w:shd w:val="clear" w:color="000000" w:fill="F7A3B0"/>
            <w:noWrap/>
            <w:vAlign w:val="center"/>
            <w:hideMark/>
          </w:tcPr>
          <w:p w14:paraId="12B5709F" w14:textId="77777777" w:rsidR="00607498" w:rsidRPr="00894701" w:rsidRDefault="00607498" w:rsidP="00607498">
            <w:pPr>
              <w:spacing w:after="0" w:line="240" w:lineRule="auto"/>
              <w:jc w:val="center"/>
              <w:rPr>
                <w:rFonts w:asciiTheme="majorHAnsi" w:hAnsiTheme="majorHAnsi" w:cs="Arial"/>
                <w:color w:val="000000"/>
                <w:kern w:val="0"/>
                <w:sz w:val="16"/>
                <w:szCs w:val="16"/>
              </w:rPr>
            </w:pPr>
            <w:r w:rsidRPr="00894701">
              <w:rPr>
                <w:rFonts w:asciiTheme="majorHAnsi" w:hAnsiTheme="majorHAnsi" w:cs="Arial"/>
                <w:color w:val="000000"/>
                <w:kern w:val="0"/>
                <w:sz w:val="16"/>
                <w:szCs w:val="16"/>
              </w:rPr>
              <w:t>3</w:t>
            </w:r>
          </w:p>
        </w:tc>
        <w:tc>
          <w:tcPr>
            <w:tcW w:w="1451" w:type="pct"/>
            <w:tcBorders>
              <w:top w:val="nil"/>
              <w:left w:val="nil"/>
              <w:bottom w:val="nil"/>
              <w:right w:val="nil"/>
            </w:tcBorders>
            <w:shd w:val="clear" w:color="000000" w:fill="F7A3B0"/>
            <w:noWrap/>
            <w:vAlign w:val="center"/>
            <w:hideMark/>
          </w:tcPr>
          <w:p w14:paraId="55AE4938" w14:textId="77777777"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kern w:val="0"/>
                <w:sz w:val="16"/>
                <w:szCs w:val="16"/>
              </w:rPr>
              <w:t xml:space="preserve">Total E&amp;P Suriname B.V. </w:t>
            </w:r>
          </w:p>
        </w:tc>
        <w:tc>
          <w:tcPr>
            <w:tcW w:w="426" w:type="pct"/>
            <w:tcBorders>
              <w:top w:val="nil"/>
              <w:left w:val="nil"/>
              <w:bottom w:val="nil"/>
              <w:right w:val="nil"/>
            </w:tcBorders>
            <w:shd w:val="clear" w:color="000000" w:fill="F7A3B0"/>
            <w:noWrap/>
            <w:vAlign w:val="center"/>
          </w:tcPr>
          <w:p w14:paraId="1A3BD1CC" w14:textId="7793F356" w:rsidR="00607498" w:rsidRPr="00894701" w:rsidRDefault="00607498" w:rsidP="00607498">
            <w:pPr>
              <w:spacing w:after="0" w:line="240" w:lineRule="auto"/>
              <w:rPr>
                <w:rFonts w:asciiTheme="majorHAnsi" w:hAnsiTheme="majorHAnsi" w:cs="Arial"/>
                <w:color w:val="000000"/>
                <w:kern w:val="0"/>
                <w:sz w:val="16"/>
                <w:szCs w:val="16"/>
              </w:rPr>
            </w:pPr>
          </w:p>
        </w:tc>
        <w:tc>
          <w:tcPr>
            <w:tcW w:w="745" w:type="pct"/>
            <w:tcBorders>
              <w:top w:val="nil"/>
              <w:left w:val="nil"/>
              <w:bottom w:val="nil"/>
              <w:right w:val="nil"/>
            </w:tcBorders>
            <w:shd w:val="clear" w:color="000000" w:fill="F7A3B0"/>
            <w:noWrap/>
            <w:vAlign w:val="center"/>
            <w:hideMark/>
          </w:tcPr>
          <w:p w14:paraId="03EC3A88" w14:textId="668027C4"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Submitted</w:t>
            </w:r>
          </w:p>
        </w:tc>
        <w:tc>
          <w:tcPr>
            <w:tcW w:w="745" w:type="pct"/>
            <w:tcBorders>
              <w:top w:val="nil"/>
              <w:left w:val="nil"/>
              <w:bottom w:val="nil"/>
              <w:right w:val="nil"/>
            </w:tcBorders>
            <w:shd w:val="clear" w:color="000000" w:fill="F7A3B0"/>
            <w:noWrap/>
            <w:vAlign w:val="center"/>
            <w:hideMark/>
          </w:tcPr>
          <w:p w14:paraId="188E2875" w14:textId="5D826BAF"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Not applicable</w:t>
            </w:r>
          </w:p>
        </w:tc>
        <w:tc>
          <w:tcPr>
            <w:tcW w:w="745" w:type="pct"/>
            <w:tcBorders>
              <w:top w:val="nil"/>
              <w:left w:val="nil"/>
              <w:bottom w:val="nil"/>
              <w:right w:val="nil"/>
            </w:tcBorders>
            <w:shd w:val="clear" w:color="000000" w:fill="F7A3B0"/>
            <w:noWrap/>
            <w:vAlign w:val="center"/>
            <w:hideMark/>
          </w:tcPr>
          <w:p w14:paraId="20B2DB0F" w14:textId="6F69FE79"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Not applicable</w:t>
            </w:r>
          </w:p>
        </w:tc>
        <w:tc>
          <w:tcPr>
            <w:tcW w:w="745" w:type="pct"/>
            <w:tcBorders>
              <w:top w:val="nil"/>
              <w:left w:val="nil"/>
              <w:bottom w:val="nil"/>
              <w:right w:val="nil"/>
            </w:tcBorders>
            <w:shd w:val="clear" w:color="000000" w:fill="F7A3B0"/>
            <w:noWrap/>
            <w:vAlign w:val="center"/>
            <w:hideMark/>
          </w:tcPr>
          <w:p w14:paraId="088A9E07" w14:textId="5054695C"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Not applicable</w:t>
            </w:r>
          </w:p>
        </w:tc>
      </w:tr>
      <w:tr w:rsidR="00607498" w:rsidRPr="00894701" w14:paraId="6D1853E1" w14:textId="77777777" w:rsidTr="00CC42DF">
        <w:trPr>
          <w:trHeight w:val="283"/>
        </w:trPr>
        <w:tc>
          <w:tcPr>
            <w:tcW w:w="142" w:type="pct"/>
            <w:tcBorders>
              <w:top w:val="nil"/>
              <w:left w:val="nil"/>
              <w:bottom w:val="nil"/>
              <w:right w:val="nil"/>
            </w:tcBorders>
            <w:shd w:val="clear" w:color="000000" w:fill="FFFFFF"/>
            <w:noWrap/>
            <w:vAlign w:val="center"/>
            <w:hideMark/>
          </w:tcPr>
          <w:p w14:paraId="6678A5F4" w14:textId="77777777" w:rsidR="00607498" w:rsidRPr="00894701" w:rsidRDefault="00607498" w:rsidP="00607498">
            <w:pPr>
              <w:spacing w:after="0" w:line="240" w:lineRule="auto"/>
              <w:jc w:val="center"/>
              <w:rPr>
                <w:rFonts w:asciiTheme="majorHAnsi" w:hAnsiTheme="majorHAnsi" w:cs="Arial"/>
                <w:color w:val="000000"/>
                <w:kern w:val="0"/>
                <w:sz w:val="16"/>
                <w:szCs w:val="16"/>
              </w:rPr>
            </w:pPr>
            <w:r w:rsidRPr="00894701">
              <w:rPr>
                <w:rFonts w:asciiTheme="majorHAnsi" w:hAnsiTheme="majorHAnsi" w:cs="Arial"/>
                <w:color w:val="000000"/>
                <w:kern w:val="0"/>
                <w:sz w:val="16"/>
                <w:szCs w:val="16"/>
              </w:rPr>
              <w:t>4</w:t>
            </w:r>
          </w:p>
        </w:tc>
        <w:tc>
          <w:tcPr>
            <w:tcW w:w="1451" w:type="pct"/>
            <w:tcBorders>
              <w:top w:val="nil"/>
              <w:left w:val="nil"/>
              <w:bottom w:val="nil"/>
              <w:right w:val="nil"/>
            </w:tcBorders>
            <w:shd w:val="clear" w:color="000000" w:fill="FFFFFF"/>
            <w:noWrap/>
            <w:vAlign w:val="center"/>
            <w:hideMark/>
          </w:tcPr>
          <w:p w14:paraId="3D836944" w14:textId="77777777"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kern w:val="0"/>
                <w:sz w:val="16"/>
                <w:szCs w:val="16"/>
              </w:rPr>
              <w:t>Capricorn Suriname B.V.</w:t>
            </w:r>
          </w:p>
        </w:tc>
        <w:tc>
          <w:tcPr>
            <w:tcW w:w="426" w:type="pct"/>
            <w:tcBorders>
              <w:top w:val="nil"/>
              <w:left w:val="nil"/>
              <w:bottom w:val="nil"/>
              <w:right w:val="nil"/>
            </w:tcBorders>
            <w:shd w:val="clear" w:color="000000" w:fill="FFFFFF"/>
            <w:noWrap/>
            <w:vAlign w:val="center"/>
          </w:tcPr>
          <w:p w14:paraId="756A378E" w14:textId="01EB117F" w:rsidR="00607498" w:rsidRPr="00894701" w:rsidRDefault="00607498" w:rsidP="00607498">
            <w:pPr>
              <w:spacing w:after="0" w:line="240" w:lineRule="auto"/>
              <w:rPr>
                <w:rFonts w:asciiTheme="majorHAnsi" w:hAnsiTheme="majorHAnsi" w:cs="Arial"/>
                <w:color w:val="000000"/>
                <w:kern w:val="0"/>
                <w:sz w:val="16"/>
                <w:szCs w:val="16"/>
              </w:rPr>
            </w:pPr>
          </w:p>
        </w:tc>
        <w:tc>
          <w:tcPr>
            <w:tcW w:w="745" w:type="pct"/>
            <w:tcBorders>
              <w:top w:val="nil"/>
              <w:left w:val="nil"/>
              <w:bottom w:val="nil"/>
              <w:right w:val="nil"/>
            </w:tcBorders>
            <w:shd w:val="clear" w:color="000000" w:fill="FFFFFF"/>
            <w:noWrap/>
            <w:vAlign w:val="center"/>
            <w:hideMark/>
          </w:tcPr>
          <w:p w14:paraId="06E24B55" w14:textId="515ABC92"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Submitted</w:t>
            </w:r>
          </w:p>
        </w:tc>
        <w:tc>
          <w:tcPr>
            <w:tcW w:w="745" w:type="pct"/>
            <w:tcBorders>
              <w:top w:val="nil"/>
              <w:left w:val="nil"/>
              <w:bottom w:val="nil"/>
              <w:right w:val="nil"/>
            </w:tcBorders>
            <w:shd w:val="clear" w:color="000000" w:fill="FFFFFF"/>
            <w:noWrap/>
            <w:vAlign w:val="center"/>
            <w:hideMark/>
          </w:tcPr>
          <w:p w14:paraId="3270C263" w14:textId="21011830"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Submitted</w:t>
            </w:r>
          </w:p>
        </w:tc>
        <w:tc>
          <w:tcPr>
            <w:tcW w:w="745" w:type="pct"/>
            <w:tcBorders>
              <w:top w:val="nil"/>
              <w:left w:val="nil"/>
              <w:bottom w:val="nil"/>
              <w:right w:val="nil"/>
            </w:tcBorders>
            <w:shd w:val="clear" w:color="000000" w:fill="FFFFFF"/>
            <w:noWrap/>
            <w:vAlign w:val="center"/>
            <w:hideMark/>
          </w:tcPr>
          <w:p w14:paraId="2ADE26E2" w14:textId="4209B989"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Not submitted</w:t>
            </w:r>
          </w:p>
        </w:tc>
        <w:tc>
          <w:tcPr>
            <w:tcW w:w="745" w:type="pct"/>
            <w:tcBorders>
              <w:top w:val="nil"/>
              <w:left w:val="nil"/>
              <w:bottom w:val="nil"/>
              <w:right w:val="nil"/>
            </w:tcBorders>
            <w:shd w:val="clear" w:color="000000" w:fill="FFFFFF"/>
            <w:noWrap/>
            <w:vAlign w:val="center"/>
            <w:hideMark/>
          </w:tcPr>
          <w:p w14:paraId="27867A8E" w14:textId="0A1F9D48"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Not submitted</w:t>
            </w:r>
          </w:p>
        </w:tc>
      </w:tr>
      <w:tr w:rsidR="00607498" w:rsidRPr="00894701" w14:paraId="5BB4EA5E" w14:textId="77777777" w:rsidTr="00904D64">
        <w:trPr>
          <w:trHeight w:val="283"/>
        </w:trPr>
        <w:tc>
          <w:tcPr>
            <w:tcW w:w="142" w:type="pct"/>
            <w:tcBorders>
              <w:top w:val="nil"/>
              <w:left w:val="nil"/>
              <w:bottom w:val="nil"/>
              <w:right w:val="nil"/>
            </w:tcBorders>
            <w:shd w:val="clear" w:color="000000" w:fill="F7A3B0"/>
            <w:noWrap/>
            <w:vAlign w:val="center"/>
            <w:hideMark/>
          </w:tcPr>
          <w:p w14:paraId="5956C4B7" w14:textId="77777777" w:rsidR="00607498" w:rsidRPr="00894701" w:rsidRDefault="00607498" w:rsidP="00607498">
            <w:pPr>
              <w:spacing w:after="0" w:line="240" w:lineRule="auto"/>
              <w:jc w:val="center"/>
              <w:rPr>
                <w:rFonts w:asciiTheme="majorHAnsi" w:hAnsiTheme="majorHAnsi" w:cs="Arial"/>
                <w:color w:val="000000"/>
                <w:kern w:val="0"/>
                <w:sz w:val="16"/>
                <w:szCs w:val="16"/>
              </w:rPr>
            </w:pPr>
            <w:r w:rsidRPr="00894701">
              <w:rPr>
                <w:rFonts w:asciiTheme="majorHAnsi" w:hAnsiTheme="majorHAnsi" w:cs="Arial"/>
                <w:color w:val="000000"/>
                <w:kern w:val="0"/>
                <w:sz w:val="16"/>
                <w:szCs w:val="16"/>
              </w:rPr>
              <w:t>5</w:t>
            </w:r>
          </w:p>
        </w:tc>
        <w:tc>
          <w:tcPr>
            <w:tcW w:w="1878" w:type="pct"/>
            <w:gridSpan w:val="2"/>
            <w:tcBorders>
              <w:top w:val="nil"/>
              <w:left w:val="nil"/>
              <w:bottom w:val="nil"/>
              <w:right w:val="nil"/>
            </w:tcBorders>
            <w:shd w:val="clear" w:color="000000" w:fill="F7A3B0"/>
            <w:noWrap/>
            <w:vAlign w:val="center"/>
            <w:hideMark/>
          </w:tcPr>
          <w:p w14:paraId="70C5828F" w14:textId="320AF44D"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kern w:val="0"/>
                <w:sz w:val="16"/>
                <w:szCs w:val="16"/>
              </w:rPr>
              <w:t>Petronas Suriname Exploration &amp; production B.V.</w:t>
            </w:r>
            <w:r w:rsidR="000F7A2C" w:rsidRPr="00894701">
              <w:rPr>
                <w:rFonts w:asciiTheme="majorHAnsi" w:hAnsiTheme="majorHAnsi" w:cs="Arial"/>
                <w:color w:val="000000"/>
                <w:kern w:val="0"/>
                <w:sz w:val="16"/>
                <w:szCs w:val="16"/>
              </w:rPr>
              <w:t xml:space="preserve">            </w:t>
            </w:r>
          </w:p>
        </w:tc>
        <w:tc>
          <w:tcPr>
            <w:tcW w:w="745" w:type="pct"/>
            <w:tcBorders>
              <w:top w:val="nil"/>
              <w:left w:val="nil"/>
              <w:bottom w:val="nil"/>
              <w:right w:val="nil"/>
            </w:tcBorders>
            <w:shd w:val="clear" w:color="000000" w:fill="F7A3B0"/>
            <w:noWrap/>
            <w:vAlign w:val="center"/>
            <w:hideMark/>
          </w:tcPr>
          <w:p w14:paraId="642E9F3C" w14:textId="77777777"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kern w:val="0"/>
                <w:sz w:val="16"/>
                <w:szCs w:val="16"/>
              </w:rPr>
              <w:t xml:space="preserve"> Submitted</w:t>
            </w:r>
          </w:p>
        </w:tc>
        <w:tc>
          <w:tcPr>
            <w:tcW w:w="745" w:type="pct"/>
            <w:tcBorders>
              <w:top w:val="nil"/>
              <w:left w:val="nil"/>
              <w:bottom w:val="nil"/>
              <w:right w:val="nil"/>
            </w:tcBorders>
            <w:shd w:val="clear" w:color="000000" w:fill="F7A3B0"/>
            <w:noWrap/>
            <w:vAlign w:val="center"/>
            <w:hideMark/>
          </w:tcPr>
          <w:p w14:paraId="6B9FA13A" w14:textId="79E184D5"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Submitted</w:t>
            </w:r>
          </w:p>
        </w:tc>
        <w:tc>
          <w:tcPr>
            <w:tcW w:w="745" w:type="pct"/>
            <w:tcBorders>
              <w:top w:val="nil"/>
              <w:left w:val="nil"/>
              <w:bottom w:val="nil"/>
              <w:right w:val="nil"/>
            </w:tcBorders>
            <w:shd w:val="clear" w:color="000000" w:fill="F7A3B0"/>
            <w:noWrap/>
            <w:vAlign w:val="center"/>
            <w:hideMark/>
          </w:tcPr>
          <w:p w14:paraId="65F92581" w14:textId="5BB1C9A0"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Submitted</w:t>
            </w:r>
          </w:p>
        </w:tc>
        <w:tc>
          <w:tcPr>
            <w:tcW w:w="745" w:type="pct"/>
            <w:tcBorders>
              <w:top w:val="nil"/>
              <w:left w:val="nil"/>
              <w:bottom w:val="nil"/>
              <w:right w:val="nil"/>
            </w:tcBorders>
            <w:shd w:val="clear" w:color="000000" w:fill="F7A3B0"/>
            <w:noWrap/>
            <w:vAlign w:val="center"/>
            <w:hideMark/>
          </w:tcPr>
          <w:p w14:paraId="2220B462" w14:textId="4E90EED8"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Submitted</w:t>
            </w:r>
          </w:p>
        </w:tc>
      </w:tr>
      <w:tr w:rsidR="00607498" w:rsidRPr="00894701" w14:paraId="1E2C4330" w14:textId="77777777" w:rsidTr="00CC42DF">
        <w:trPr>
          <w:trHeight w:val="283"/>
        </w:trPr>
        <w:tc>
          <w:tcPr>
            <w:tcW w:w="142" w:type="pct"/>
            <w:tcBorders>
              <w:top w:val="nil"/>
              <w:left w:val="nil"/>
              <w:bottom w:val="nil"/>
              <w:right w:val="nil"/>
            </w:tcBorders>
            <w:shd w:val="clear" w:color="000000" w:fill="FFFFFF"/>
            <w:noWrap/>
            <w:vAlign w:val="center"/>
            <w:hideMark/>
          </w:tcPr>
          <w:p w14:paraId="468FFF06" w14:textId="77777777" w:rsidR="00607498" w:rsidRPr="00894701" w:rsidRDefault="00607498" w:rsidP="00607498">
            <w:pPr>
              <w:spacing w:after="0" w:line="240" w:lineRule="auto"/>
              <w:jc w:val="center"/>
              <w:rPr>
                <w:rFonts w:asciiTheme="majorHAnsi" w:hAnsiTheme="majorHAnsi" w:cs="Arial"/>
                <w:color w:val="000000"/>
                <w:kern w:val="0"/>
                <w:sz w:val="16"/>
                <w:szCs w:val="16"/>
              </w:rPr>
            </w:pPr>
            <w:r w:rsidRPr="00894701">
              <w:rPr>
                <w:rFonts w:asciiTheme="majorHAnsi" w:hAnsiTheme="majorHAnsi" w:cs="Arial"/>
                <w:color w:val="000000"/>
                <w:kern w:val="0"/>
                <w:sz w:val="16"/>
                <w:szCs w:val="16"/>
              </w:rPr>
              <w:t>6</w:t>
            </w:r>
          </w:p>
        </w:tc>
        <w:tc>
          <w:tcPr>
            <w:tcW w:w="1451" w:type="pct"/>
            <w:tcBorders>
              <w:top w:val="nil"/>
              <w:left w:val="nil"/>
              <w:bottom w:val="nil"/>
              <w:right w:val="nil"/>
            </w:tcBorders>
            <w:shd w:val="clear" w:color="000000" w:fill="FFFFFF"/>
            <w:noWrap/>
            <w:vAlign w:val="center"/>
            <w:hideMark/>
          </w:tcPr>
          <w:p w14:paraId="1D377215" w14:textId="77777777"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kern w:val="0"/>
                <w:sz w:val="16"/>
                <w:szCs w:val="16"/>
              </w:rPr>
              <w:t>Challenger Energy Group Plc</w:t>
            </w:r>
          </w:p>
        </w:tc>
        <w:tc>
          <w:tcPr>
            <w:tcW w:w="426" w:type="pct"/>
            <w:tcBorders>
              <w:top w:val="nil"/>
              <w:left w:val="nil"/>
              <w:bottom w:val="nil"/>
              <w:right w:val="nil"/>
            </w:tcBorders>
            <w:shd w:val="clear" w:color="000000" w:fill="FFFFFF"/>
            <w:noWrap/>
            <w:vAlign w:val="center"/>
          </w:tcPr>
          <w:p w14:paraId="73204E7E" w14:textId="694B0C88" w:rsidR="00607498" w:rsidRPr="00894701" w:rsidRDefault="00607498" w:rsidP="00607498">
            <w:pPr>
              <w:spacing w:after="0" w:line="240" w:lineRule="auto"/>
              <w:rPr>
                <w:rFonts w:asciiTheme="majorHAnsi" w:hAnsiTheme="majorHAnsi" w:cs="Arial"/>
                <w:color w:val="000000"/>
                <w:kern w:val="0"/>
                <w:sz w:val="16"/>
                <w:szCs w:val="16"/>
              </w:rPr>
            </w:pPr>
          </w:p>
        </w:tc>
        <w:tc>
          <w:tcPr>
            <w:tcW w:w="745" w:type="pct"/>
            <w:tcBorders>
              <w:top w:val="nil"/>
              <w:left w:val="nil"/>
              <w:bottom w:val="nil"/>
              <w:right w:val="nil"/>
            </w:tcBorders>
            <w:shd w:val="clear" w:color="000000" w:fill="FFFFFF"/>
            <w:noWrap/>
            <w:vAlign w:val="center"/>
            <w:hideMark/>
          </w:tcPr>
          <w:p w14:paraId="397020D3" w14:textId="715709E1"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Not submitted</w:t>
            </w:r>
          </w:p>
        </w:tc>
        <w:tc>
          <w:tcPr>
            <w:tcW w:w="745" w:type="pct"/>
            <w:tcBorders>
              <w:top w:val="nil"/>
              <w:left w:val="nil"/>
              <w:bottom w:val="nil"/>
              <w:right w:val="nil"/>
            </w:tcBorders>
            <w:shd w:val="clear" w:color="000000" w:fill="FFFFFF"/>
            <w:noWrap/>
            <w:vAlign w:val="center"/>
            <w:hideMark/>
          </w:tcPr>
          <w:p w14:paraId="1DA80B9B" w14:textId="3322EBA2"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Not submitted</w:t>
            </w:r>
          </w:p>
        </w:tc>
        <w:tc>
          <w:tcPr>
            <w:tcW w:w="745" w:type="pct"/>
            <w:tcBorders>
              <w:top w:val="nil"/>
              <w:left w:val="nil"/>
              <w:bottom w:val="nil"/>
              <w:right w:val="nil"/>
            </w:tcBorders>
            <w:shd w:val="clear" w:color="000000" w:fill="FFFFFF"/>
            <w:noWrap/>
            <w:vAlign w:val="center"/>
            <w:hideMark/>
          </w:tcPr>
          <w:p w14:paraId="52D201B0" w14:textId="5DB67918"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Not submitted</w:t>
            </w:r>
          </w:p>
        </w:tc>
        <w:tc>
          <w:tcPr>
            <w:tcW w:w="745" w:type="pct"/>
            <w:tcBorders>
              <w:top w:val="nil"/>
              <w:left w:val="nil"/>
              <w:bottom w:val="nil"/>
              <w:right w:val="nil"/>
            </w:tcBorders>
            <w:shd w:val="clear" w:color="000000" w:fill="FFFFFF"/>
            <w:noWrap/>
            <w:vAlign w:val="center"/>
            <w:hideMark/>
          </w:tcPr>
          <w:p w14:paraId="5D97A89C" w14:textId="3C50865B"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Not submitted</w:t>
            </w:r>
          </w:p>
        </w:tc>
      </w:tr>
      <w:tr w:rsidR="00607498" w:rsidRPr="00894701" w14:paraId="17CE34FF" w14:textId="77777777" w:rsidTr="00CC42DF">
        <w:trPr>
          <w:trHeight w:val="283"/>
        </w:trPr>
        <w:tc>
          <w:tcPr>
            <w:tcW w:w="142" w:type="pct"/>
            <w:tcBorders>
              <w:top w:val="nil"/>
              <w:left w:val="nil"/>
              <w:bottom w:val="nil"/>
              <w:right w:val="nil"/>
            </w:tcBorders>
            <w:shd w:val="clear" w:color="000000" w:fill="F7A3B0"/>
            <w:noWrap/>
            <w:vAlign w:val="center"/>
            <w:hideMark/>
          </w:tcPr>
          <w:p w14:paraId="231A4C1A" w14:textId="77777777" w:rsidR="00607498" w:rsidRPr="00894701" w:rsidRDefault="00607498" w:rsidP="00607498">
            <w:pPr>
              <w:spacing w:after="0" w:line="240" w:lineRule="auto"/>
              <w:jc w:val="center"/>
              <w:rPr>
                <w:rFonts w:asciiTheme="majorHAnsi" w:hAnsiTheme="majorHAnsi" w:cs="Arial"/>
                <w:color w:val="000000"/>
                <w:kern w:val="0"/>
                <w:sz w:val="16"/>
                <w:szCs w:val="16"/>
              </w:rPr>
            </w:pPr>
            <w:r w:rsidRPr="00894701">
              <w:rPr>
                <w:rFonts w:asciiTheme="majorHAnsi" w:hAnsiTheme="majorHAnsi" w:cs="Arial"/>
                <w:color w:val="000000"/>
                <w:kern w:val="0"/>
                <w:sz w:val="16"/>
                <w:szCs w:val="16"/>
              </w:rPr>
              <w:t>7</w:t>
            </w:r>
          </w:p>
        </w:tc>
        <w:tc>
          <w:tcPr>
            <w:tcW w:w="1451" w:type="pct"/>
            <w:tcBorders>
              <w:top w:val="nil"/>
              <w:left w:val="nil"/>
              <w:bottom w:val="nil"/>
              <w:right w:val="nil"/>
            </w:tcBorders>
            <w:shd w:val="clear" w:color="000000" w:fill="F7A3B0"/>
            <w:noWrap/>
            <w:vAlign w:val="center"/>
            <w:hideMark/>
          </w:tcPr>
          <w:p w14:paraId="42E635BF" w14:textId="77777777" w:rsidR="00607498" w:rsidRPr="00894701" w:rsidRDefault="00607498" w:rsidP="00607498">
            <w:pPr>
              <w:spacing w:after="0" w:line="240" w:lineRule="auto"/>
              <w:rPr>
                <w:rFonts w:asciiTheme="majorHAnsi" w:hAnsiTheme="majorHAnsi" w:cs="Arial"/>
                <w:color w:val="000000"/>
                <w:kern w:val="0"/>
                <w:sz w:val="16"/>
                <w:szCs w:val="16"/>
                <w:lang w:val="nl-NL"/>
              </w:rPr>
            </w:pPr>
            <w:r w:rsidRPr="00894701">
              <w:rPr>
                <w:rFonts w:asciiTheme="majorHAnsi" w:hAnsiTheme="majorHAnsi" w:cs="Arial"/>
                <w:color w:val="000000"/>
                <w:kern w:val="0"/>
                <w:sz w:val="16"/>
                <w:szCs w:val="16"/>
                <w:lang w:val="nl-NL"/>
              </w:rPr>
              <w:t>Staatsolie Maatschappij Suriname N.V.</w:t>
            </w:r>
          </w:p>
        </w:tc>
        <w:tc>
          <w:tcPr>
            <w:tcW w:w="426" w:type="pct"/>
            <w:tcBorders>
              <w:top w:val="nil"/>
              <w:left w:val="nil"/>
              <w:bottom w:val="nil"/>
              <w:right w:val="nil"/>
            </w:tcBorders>
            <w:shd w:val="clear" w:color="000000" w:fill="F7A3B0"/>
            <w:noWrap/>
            <w:vAlign w:val="center"/>
          </w:tcPr>
          <w:p w14:paraId="14A8B1FD" w14:textId="7F2CB716" w:rsidR="00607498" w:rsidRPr="00894701" w:rsidRDefault="00607498" w:rsidP="00607498">
            <w:pPr>
              <w:spacing w:after="0" w:line="240" w:lineRule="auto"/>
              <w:rPr>
                <w:rFonts w:asciiTheme="majorHAnsi" w:hAnsiTheme="majorHAnsi" w:cs="Arial"/>
                <w:color w:val="000000"/>
                <w:kern w:val="0"/>
                <w:sz w:val="16"/>
                <w:szCs w:val="16"/>
                <w:lang w:val="nl-NL"/>
              </w:rPr>
            </w:pPr>
          </w:p>
        </w:tc>
        <w:tc>
          <w:tcPr>
            <w:tcW w:w="745" w:type="pct"/>
            <w:tcBorders>
              <w:top w:val="nil"/>
              <w:left w:val="nil"/>
              <w:bottom w:val="nil"/>
              <w:right w:val="nil"/>
            </w:tcBorders>
            <w:shd w:val="clear" w:color="000000" w:fill="F7A3B0"/>
            <w:noWrap/>
            <w:vAlign w:val="center"/>
            <w:hideMark/>
          </w:tcPr>
          <w:p w14:paraId="26C0E2F8" w14:textId="783F1577"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Submitted</w:t>
            </w:r>
          </w:p>
        </w:tc>
        <w:tc>
          <w:tcPr>
            <w:tcW w:w="745" w:type="pct"/>
            <w:tcBorders>
              <w:top w:val="nil"/>
              <w:left w:val="nil"/>
              <w:bottom w:val="nil"/>
              <w:right w:val="nil"/>
            </w:tcBorders>
            <w:shd w:val="clear" w:color="000000" w:fill="F7A3B0"/>
            <w:noWrap/>
            <w:vAlign w:val="center"/>
            <w:hideMark/>
          </w:tcPr>
          <w:p w14:paraId="50D01670" w14:textId="27277037"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Submitted</w:t>
            </w:r>
          </w:p>
        </w:tc>
        <w:tc>
          <w:tcPr>
            <w:tcW w:w="745" w:type="pct"/>
            <w:tcBorders>
              <w:top w:val="nil"/>
              <w:left w:val="nil"/>
              <w:bottom w:val="nil"/>
              <w:right w:val="nil"/>
            </w:tcBorders>
            <w:shd w:val="clear" w:color="000000" w:fill="F7A3B0"/>
            <w:noWrap/>
            <w:vAlign w:val="center"/>
            <w:hideMark/>
          </w:tcPr>
          <w:p w14:paraId="59F9B86D" w14:textId="1EDC67EA" w:rsidR="00607498" w:rsidRPr="00894701" w:rsidRDefault="001B4837"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S</w:t>
            </w:r>
            <w:r w:rsidR="00607498" w:rsidRPr="00894701">
              <w:rPr>
                <w:rFonts w:asciiTheme="majorHAnsi" w:hAnsiTheme="majorHAnsi" w:cs="Arial"/>
                <w:color w:val="000000"/>
                <w:sz w:val="16"/>
                <w:szCs w:val="16"/>
              </w:rPr>
              <w:t>ubmitted</w:t>
            </w:r>
          </w:p>
        </w:tc>
        <w:tc>
          <w:tcPr>
            <w:tcW w:w="745" w:type="pct"/>
            <w:tcBorders>
              <w:top w:val="nil"/>
              <w:left w:val="nil"/>
              <w:bottom w:val="nil"/>
              <w:right w:val="nil"/>
            </w:tcBorders>
            <w:shd w:val="clear" w:color="000000" w:fill="F7A3B0"/>
            <w:noWrap/>
            <w:vAlign w:val="center"/>
            <w:hideMark/>
          </w:tcPr>
          <w:p w14:paraId="5C252375" w14:textId="7D3D2819"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Not submitted</w:t>
            </w:r>
          </w:p>
        </w:tc>
      </w:tr>
      <w:tr w:rsidR="00607498" w:rsidRPr="00894701" w14:paraId="618A302A" w14:textId="77777777" w:rsidTr="00904D64">
        <w:trPr>
          <w:trHeight w:val="283"/>
        </w:trPr>
        <w:tc>
          <w:tcPr>
            <w:tcW w:w="142" w:type="pct"/>
            <w:tcBorders>
              <w:top w:val="nil"/>
              <w:left w:val="nil"/>
              <w:bottom w:val="nil"/>
              <w:right w:val="nil"/>
            </w:tcBorders>
            <w:shd w:val="clear" w:color="000000" w:fill="FFFFFF"/>
            <w:noWrap/>
            <w:vAlign w:val="center"/>
            <w:hideMark/>
          </w:tcPr>
          <w:p w14:paraId="5CD3C6EB" w14:textId="2E3842F1" w:rsidR="00607498" w:rsidRPr="00894701" w:rsidRDefault="00607498" w:rsidP="00607498">
            <w:pPr>
              <w:spacing w:after="0" w:line="240" w:lineRule="auto"/>
              <w:jc w:val="center"/>
              <w:rPr>
                <w:rFonts w:asciiTheme="majorHAnsi" w:hAnsiTheme="majorHAnsi" w:cs="Arial"/>
                <w:color w:val="000000"/>
                <w:kern w:val="0"/>
                <w:sz w:val="16"/>
                <w:szCs w:val="16"/>
              </w:rPr>
            </w:pPr>
            <w:r w:rsidRPr="00894701">
              <w:rPr>
                <w:rFonts w:asciiTheme="majorHAnsi" w:hAnsiTheme="majorHAnsi" w:cs="Arial"/>
                <w:color w:val="auto"/>
                <w:kern w:val="0"/>
                <w:sz w:val="16"/>
                <w:szCs w:val="16"/>
                <w:lang w:val="fr-FR" w:eastAsia="fr-FR"/>
              </w:rPr>
              <w:t>8</w:t>
            </w:r>
          </w:p>
        </w:tc>
        <w:tc>
          <w:tcPr>
            <w:tcW w:w="1451" w:type="pct"/>
            <w:tcBorders>
              <w:top w:val="nil"/>
              <w:left w:val="nil"/>
              <w:bottom w:val="nil"/>
              <w:right w:val="nil"/>
            </w:tcBorders>
            <w:shd w:val="clear" w:color="000000" w:fill="FFFFFF"/>
            <w:noWrap/>
            <w:vAlign w:val="center"/>
            <w:hideMark/>
          </w:tcPr>
          <w:p w14:paraId="43830C9F" w14:textId="3F6CD4C4"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auto"/>
                <w:kern w:val="0"/>
                <w:sz w:val="16"/>
                <w:szCs w:val="16"/>
                <w:lang w:eastAsia="fr-FR"/>
              </w:rPr>
              <w:t>ExxonMobil Exploration and Production Suriname B.V.</w:t>
            </w:r>
          </w:p>
        </w:tc>
        <w:tc>
          <w:tcPr>
            <w:tcW w:w="426" w:type="pct"/>
            <w:tcBorders>
              <w:top w:val="nil"/>
              <w:left w:val="nil"/>
              <w:bottom w:val="nil"/>
              <w:right w:val="nil"/>
            </w:tcBorders>
            <w:shd w:val="clear" w:color="000000" w:fill="FFFFFF"/>
            <w:noWrap/>
            <w:vAlign w:val="center"/>
            <w:hideMark/>
          </w:tcPr>
          <w:p w14:paraId="15881525" w14:textId="7178C698"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kern w:val="0"/>
                <w:sz w:val="16"/>
                <w:szCs w:val="16"/>
              </w:rPr>
              <w:t> </w:t>
            </w:r>
          </w:p>
        </w:tc>
        <w:tc>
          <w:tcPr>
            <w:tcW w:w="745" w:type="pct"/>
            <w:tcBorders>
              <w:top w:val="nil"/>
              <w:left w:val="nil"/>
              <w:bottom w:val="nil"/>
              <w:right w:val="nil"/>
            </w:tcBorders>
            <w:shd w:val="clear" w:color="000000" w:fill="FFFFFF"/>
            <w:noWrap/>
            <w:vAlign w:val="center"/>
            <w:hideMark/>
          </w:tcPr>
          <w:p w14:paraId="209FD6B4" w14:textId="4D2B4C67"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Submitted</w:t>
            </w:r>
          </w:p>
        </w:tc>
        <w:tc>
          <w:tcPr>
            <w:tcW w:w="745" w:type="pct"/>
            <w:tcBorders>
              <w:top w:val="nil"/>
              <w:left w:val="nil"/>
              <w:bottom w:val="nil"/>
              <w:right w:val="nil"/>
            </w:tcBorders>
            <w:shd w:val="clear" w:color="000000" w:fill="FFFFFF"/>
            <w:noWrap/>
            <w:vAlign w:val="center"/>
            <w:hideMark/>
          </w:tcPr>
          <w:p w14:paraId="2EFC7BF4" w14:textId="111EE629"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Not submitted</w:t>
            </w:r>
          </w:p>
        </w:tc>
        <w:tc>
          <w:tcPr>
            <w:tcW w:w="745" w:type="pct"/>
            <w:tcBorders>
              <w:top w:val="nil"/>
              <w:left w:val="nil"/>
              <w:bottom w:val="nil"/>
              <w:right w:val="nil"/>
            </w:tcBorders>
            <w:shd w:val="clear" w:color="000000" w:fill="FFFFFF"/>
            <w:noWrap/>
            <w:vAlign w:val="center"/>
            <w:hideMark/>
          </w:tcPr>
          <w:p w14:paraId="272BFAD6" w14:textId="69706518"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Submitted</w:t>
            </w:r>
          </w:p>
        </w:tc>
        <w:tc>
          <w:tcPr>
            <w:tcW w:w="745" w:type="pct"/>
            <w:tcBorders>
              <w:top w:val="nil"/>
              <w:left w:val="nil"/>
              <w:bottom w:val="nil"/>
              <w:right w:val="nil"/>
            </w:tcBorders>
            <w:shd w:val="clear" w:color="000000" w:fill="FFFFFF"/>
            <w:noWrap/>
            <w:vAlign w:val="center"/>
            <w:hideMark/>
          </w:tcPr>
          <w:p w14:paraId="5D42AA40" w14:textId="17E33E63"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Not submitted</w:t>
            </w:r>
          </w:p>
        </w:tc>
      </w:tr>
    </w:tbl>
    <w:p w14:paraId="0D66B013" w14:textId="77777777" w:rsidR="00E17928" w:rsidRPr="00894701" w:rsidRDefault="00E17928" w:rsidP="00E17928">
      <w:pPr>
        <w:rPr>
          <w:b/>
          <w:bCs/>
          <w:color w:val="FF0000"/>
          <w:sz w:val="20"/>
          <w:szCs w:val="20"/>
        </w:rPr>
      </w:pPr>
    </w:p>
    <w:p w14:paraId="7BE6A14D" w14:textId="77777777" w:rsidR="00E17928" w:rsidRPr="00894701" w:rsidRDefault="00E17928" w:rsidP="00E17928">
      <w:pPr>
        <w:rPr>
          <w:b/>
          <w:bCs/>
          <w:color w:val="FF0000"/>
          <w:sz w:val="20"/>
          <w:szCs w:val="20"/>
        </w:rPr>
      </w:pPr>
    </w:p>
    <w:p w14:paraId="4403742A" w14:textId="6CFB949A" w:rsidR="00E17928" w:rsidRPr="00894701" w:rsidRDefault="00E17928" w:rsidP="00E17928">
      <w:pPr>
        <w:rPr>
          <w:b/>
          <w:bCs/>
          <w:color w:val="FF0000"/>
          <w:sz w:val="20"/>
          <w:szCs w:val="20"/>
        </w:rPr>
      </w:pPr>
    </w:p>
    <w:p w14:paraId="498F223A" w14:textId="77777777" w:rsidR="00E17928" w:rsidRPr="00894701" w:rsidRDefault="00E17928" w:rsidP="00E17928">
      <w:pPr>
        <w:rPr>
          <w:b/>
          <w:bCs/>
          <w:color w:val="FF0000"/>
          <w:sz w:val="20"/>
          <w:szCs w:val="20"/>
        </w:rPr>
      </w:pPr>
    </w:p>
    <w:p w14:paraId="377D8333" w14:textId="538C5469" w:rsidR="00E17928" w:rsidRPr="00894701" w:rsidRDefault="00E17928" w:rsidP="00E17928">
      <w:pPr>
        <w:rPr>
          <w:b/>
          <w:bCs/>
          <w:color w:val="FF0000"/>
          <w:sz w:val="20"/>
          <w:szCs w:val="20"/>
        </w:rPr>
      </w:pPr>
      <w:r w:rsidRPr="00894701">
        <w:rPr>
          <w:b/>
          <w:bCs/>
          <w:color w:val="FF0000"/>
          <w:sz w:val="20"/>
          <w:szCs w:val="20"/>
        </w:rPr>
        <w:t>2020</w:t>
      </w:r>
    </w:p>
    <w:tbl>
      <w:tblPr>
        <w:tblW w:w="5070" w:type="pct"/>
        <w:tblLook w:val="04A0" w:firstRow="1" w:lastRow="0" w:firstColumn="1" w:lastColumn="0" w:noHBand="0" w:noVBand="1"/>
      </w:tblPr>
      <w:tblGrid>
        <w:gridCol w:w="417"/>
        <w:gridCol w:w="4077"/>
        <w:gridCol w:w="1363"/>
        <w:gridCol w:w="2074"/>
        <w:gridCol w:w="2074"/>
        <w:gridCol w:w="2074"/>
        <w:gridCol w:w="2074"/>
      </w:tblGrid>
      <w:tr w:rsidR="00E17928" w:rsidRPr="00894701" w14:paraId="61475C66" w14:textId="77777777" w:rsidTr="00904D64">
        <w:trPr>
          <w:trHeight w:val="283"/>
        </w:trPr>
        <w:tc>
          <w:tcPr>
            <w:tcW w:w="143" w:type="pct"/>
            <w:tcBorders>
              <w:top w:val="nil"/>
              <w:left w:val="nil"/>
              <w:bottom w:val="single" w:sz="8" w:space="0" w:color="FF0000"/>
              <w:right w:val="nil"/>
            </w:tcBorders>
            <w:shd w:val="clear" w:color="000000" w:fill="7A091A"/>
            <w:vAlign w:val="center"/>
            <w:hideMark/>
          </w:tcPr>
          <w:p w14:paraId="651EFB24" w14:textId="77777777" w:rsidR="00E17928" w:rsidRPr="00894701" w:rsidRDefault="00E17928" w:rsidP="00446B8D">
            <w:pPr>
              <w:spacing w:after="0" w:line="240" w:lineRule="auto"/>
              <w:jc w:val="center"/>
              <w:rPr>
                <w:rFonts w:asciiTheme="majorHAnsi" w:hAnsiTheme="majorHAnsi" w:cs="Arial"/>
                <w:b/>
                <w:bCs/>
                <w:color w:val="FFFFFF"/>
                <w:kern w:val="0"/>
                <w:sz w:val="16"/>
                <w:szCs w:val="16"/>
              </w:rPr>
            </w:pPr>
            <w:r w:rsidRPr="00894701">
              <w:rPr>
                <w:rFonts w:asciiTheme="majorHAnsi" w:hAnsiTheme="majorHAnsi" w:cs="Arial"/>
                <w:b/>
                <w:bCs/>
                <w:color w:val="FFFFFF"/>
                <w:kern w:val="0"/>
                <w:sz w:val="16"/>
                <w:szCs w:val="16"/>
              </w:rPr>
              <w:t>N°</w:t>
            </w:r>
          </w:p>
        </w:tc>
        <w:tc>
          <w:tcPr>
            <w:tcW w:w="1363" w:type="pct"/>
            <w:tcBorders>
              <w:top w:val="nil"/>
              <w:left w:val="nil"/>
              <w:bottom w:val="single" w:sz="8" w:space="0" w:color="FF0000"/>
              <w:right w:val="nil"/>
            </w:tcBorders>
            <w:shd w:val="clear" w:color="000000" w:fill="7A091A"/>
            <w:vAlign w:val="center"/>
            <w:hideMark/>
          </w:tcPr>
          <w:p w14:paraId="70957615" w14:textId="77777777" w:rsidR="00E17928" w:rsidRPr="00894701" w:rsidRDefault="00E17928" w:rsidP="00446B8D">
            <w:pPr>
              <w:spacing w:after="0" w:line="240" w:lineRule="auto"/>
              <w:rPr>
                <w:rFonts w:asciiTheme="majorHAnsi" w:hAnsiTheme="majorHAnsi" w:cs="Arial"/>
                <w:b/>
                <w:bCs/>
                <w:color w:val="FFFFFF"/>
                <w:kern w:val="0"/>
                <w:sz w:val="16"/>
                <w:szCs w:val="16"/>
              </w:rPr>
            </w:pPr>
            <w:r w:rsidRPr="00894701">
              <w:rPr>
                <w:rFonts w:asciiTheme="majorHAnsi" w:hAnsiTheme="majorHAnsi" w:cs="Arial"/>
                <w:b/>
                <w:bCs/>
                <w:color w:val="FFFFFF"/>
                <w:kern w:val="0"/>
                <w:sz w:val="16"/>
                <w:szCs w:val="16"/>
              </w:rPr>
              <w:t>Name of company</w:t>
            </w:r>
          </w:p>
        </w:tc>
        <w:tc>
          <w:tcPr>
            <w:tcW w:w="498" w:type="pct"/>
            <w:tcBorders>
              <w:top w:val="nil"/>
              <w:left w:val="nil"/>
              <w:bottom w:val="single" w:sz="8" w:space="0" w:color="FF0000"/>
              <w:right w:val="nil"/>
            </w:tcBorders>
            <w:shd w:val="clear" w:color="000000" w:fill="7A091A"/>
            <w:vAlign w:val="center"/>
            <w:hideMark/>
          </w:tcPr>
          <w:p w14:paraId="30DFF3F3" w14:textId="41679BF2" w:rsidR="00E17928" w:rsidRPr="00894701" w:rsidRDefault="00E17928" w:rsidP="00446B8D">
            <w:pPr>
              <w:spacing w:after="0" w:line="240" w:lineRule="auto"/>
              <w:rPr>
                <w:rFonts w:asciiTheme="majorHAnsi" w:hAnsiTheme="majorHAnsi" w:cs="Arial"/>
                <w:b/>
                <w:bCs/>
                <w:color w:val="FFFFFF"/>
                <w:kern w:val="0"/>
                <w:sz w:val="16"/>
                <w:szCs w:val="16"/>
              </w:rPr>
            </w:pPr>
          </w:p>
        </w:tc>
        <w:tc>
          <w:tcPr>
            <w:tcW w:w="749" w:type="pct"/>
            <w:tcBorders>
              <w:top w:val="nil"/>
              <w:left w:val="nil"/>
              <w:bottom w:val="single" w:sz="8" w:space="0" w:color="FF0000"/>
              <w:right w:val="nil"/>
            </w:tcBorders>
            <w:shd w:val="clear" w:color="000000" w:fill="7A091A"/>
            <w:vAlign w:val="center"/>
            <w:hideMark/>
          </w:tcPr>
          <w:p w14:paraId="1A9E6F8C" w14:textId="77777777" w:rsidR="00E17928" w:rsidRPr="00894701" w:rsidRDefault="00E17928" w:rsidP="00446B8D">
            <w:pPr>
              <w:spacing w:after="0" w:line="240" w:lineRule="auto"/>
              <w:rPr>
                <w:rFonts w:asciiTheme="majorHAnsi" w:hAnsiTheme="majorHAnsi" w:cs="Arial"/>
                <w:b/>
                <w:bCs/>
                <w:color w:val="FFFFFF"/>
                <w:kern w:val="0"/>
                <w:sz w:val="16"/>
                <w:szCs w:val="16"/>
              </w:rPr>
            </w:pPr>
            <w:r w:rsidRPr="00894701">
              <w:rPr>
                <w:rFonts w:asciiTheme="majorHAnsi" w:hAnsiTheme="majorHAnsi" w:cs="Arial"/>
                <w:b/>
                <w:bCs/>
                <w:color w:val="FFFFFF"/>
                <w:kern w:val="0"/>
                <w:sz w:val="16"/>
                <w:szCs w:val="16"/>
              </w:rPr>
              <w:t xml:space="preserve">Soft copy of the Reporting template </w:t>
            </w:r>
            <w:r w:rsidRPr="00894701">
              <w:rPr>
                <w:rFonts w:asciiTheme="majorHAnsi" w:hAnsiTheme="majorHAnsi" w:cs="Arial"/>
                <w:b/>
                <w:bCs/>
                <w:color w:val="FFFFFF"/>
                <w:kern w:val="0"/>
                <w:sz w:val="16"/>
                <w:szCs w:val="16"/>
              </w:rPr>
              <w:br/>
            </w:r>
            <w:r w:rsidRPr="00894701">
              <w:rPr>
                <w:rFonts w:asciiTheme="majorHAnsi" w:hAnsiTheme="majorHAnsi" w:cs="Arial"/>
                <w:b/>
                <w:bCs/>
                <w:color w:val="FFFFFF"/>
                <w:kern w:val="0"/>
                <w:sz w:val="16"/>
                <w:szCs w:val="16"/>
              </w:rPr>
              <w:br/>
              <w:t>(Submitted/Not submitted)</w:t>
            </w:r>
          </w:p>
        </w:tc>
        <w:tc>
          <w:tcPr>
            <w:tcW w:w="749" w:type="pct"/>
            <w:tcBorders>
              <w:top w:val="nil"/>
              <w:left w:val="nil"/>
              <w:bottom w:val="single" w:sz="8" w:space="0" w:color="FF0000"/>
              <w:right w:val="nil"/>
            </w:tcBorders>
            <w:shd w:val="clear" w:color="000000" w:fill="7A091A"/>
            <w:vAlign w:val="center"/>
            <w:hideMark/>
          </w:tcPr>
          <w:p w14:paraId="4B29FF29" w14:textId="77777777" w:rsidR="00E17928" w:rsidRPr="00894701" w:rsidRDefault="00E17928" w:rsidP="00446B8D">
            <w:pPr>
              <w:spacing w:after="0" w:line="240" w:lineRule="auto"/>
              <w:rPr>
                <w:rFonts w:asciiTheme="majorHAnsi" w:hAnsiTheme="majorHAnsi" w:cs="Arial"/>
                <w:b/>
                <w:bCs/>
                <w:color w:val="FFFFFF"/>
                <w:kern w:val="0"/>
                <w:sz w:val="16"/>
                <w:szCs w:val="16"/>
              </w:rPr>
            </w:pPr>
            <w:r w:rsidRPr="00894701">
              <w:rPr>
                <w:rFonts w:asciiTheme="majorHAnsi" w:hAnsiTheme="majorHAnsi" w:cs="Arial"/>
                <w:b/>
                <w:bCs/>
                <w:color w:val="FFFFFF"/>
                <w:kern w:val="0"/>
                <w:sz w:val="16"/>
                <w:szCs w:val="16"/>
              </w:rPr>
              <w:t>Audited Financial Statements</w:t>
            </w:r>
            <w:r w:rsidRPr="00894701">
              <w:rPr>
                <w:rFonts w:asciiTheme="majorHAnsi" w:hAnsiTheme="majorHAnsi" w:cs="Arial"/>
                <w:b/>
                <w:bCs/>
                <w:color w:val="FFFFFF"/>
                <w:kern w:val="0"/>
                <w:sz w:val="16"/>
                <w:szCs w:val="16"/>
              </w:rPr>
              <w:br/>
            </w:r>
            <w:r w:rsidRPr="00894701">
              <w:rPr>
                <w:rFonts w:asciiTheme="majorHAnsi" w:hAnsiTheme="majorHAnsi" w:cs="Arial"/>
                <w:b/>
                <w:bCs/>
                <w:color w:val="FFFFFF"/>
                <w:kern w:val="0"/>
                <w:sz w:val="16"/>
                <w:szCs w:val="16"/>
              </w:rPr>
              <w:br/>
              <w:t>(Submitted/Not submitted)</w:t>
            </w:r>
          </w:p>
        </w:tc>
        <w:tc>
          <w:tcPr>
            <w:tcW w:w="749" w:type="pct"/>
            <w:tcBorders>
              <w:top w:val="nil"/>
              <w:left w:val="nil"/>
              <w:bottom w:val="single" w:sz="8" w:space="0" w:color="FF0000"/>
              <w:right w:val="nil"/>
            </w:tcBorders>
            <w:shd w:val="clear" w:color="000000" w:fill="7A091A"/>
            <w:vAlign w:val="center"/>
            <w:hideMark/>
          </w:tcPr>
          <w:p w14:paraId="252EB5AB" w14:textId="77777777" w:rsidR="00E17928" w:rsidRPr="00894701" w:rsidRDefault="00E17928" w:rsidP="00446B8D">
            <w:pPr>
              <w:spacing w:after="0" w:line="240" w:lineRule="auto"/>
              <w:rPr>
                <w:rFonts w:asciiTheme="majorHAnsi" w:hAnsiTheme="majorHAnsi" w:cs="Arial"/>
                <w:b/>
                <w:bCs/>
                <w:color w:val="FFFFFF"/>
                <w:kern w:val="0"/>
                <w:sz w:val="16"/>
                <w:szCs w:val="16"/>
              </w:rPr>
            </w:pPr>
            <w:r w:rsidRPr="00894701">
              <w:rPr>
                <w:rFonts w:asciiTheme="majorHAnsi" w:hAnsiTheme="majorHAnsi" w:cs="Arial"/>
                <w:b/>
                <w:bCs/>
                <w:color w:val="FFFFFF"/>
                <w:kern w:val="0"/>
                <w:sz w:val="16"/>
                <w:szCs w:val="16"/>
              </w:rPr>
              <w:t xml:space="preserve">Hard copy of Reporting template signed by Senior Management </w:t>
            </w:r>
            <w:r w:rsidRPr="00894701">
              <w:rPr>
                <w:rFonts w:asciiTheme="majorHAnsi" w:hAnsiTheme="majorHAnsi" w:cs="Arial"/>
                <w:b/>
                <w:bCs/>
                <w:color w:val="FFFFFF"/>
                <w:kern w:val="0"/>
                <w:sz w:val="16"/>
                <w:szCs w:val="16"/>
              </w:rPr>
              <w:br/>
              <w:t>(Submitted/Not submitted)</w:t>
            </w:r>
          </w:p>
        </w:tc>
        <w:tc>
          <w:tcPr>
            <w:tcW w:w="749" w:type="pct"/>
            <w:tcBorders>
              <w:top w:val="nil"/>
              <w:left w:val="nil"/>
              <w:bottom w:val="single" w:sz="8" w:space="0" w:color="FF0000"/>
              <w:right w:val="nil"/>
            </w:tcBorders>
            <w:shd w:val="clear" w:color="000000" w:fill="7A091A"/>
            <w:vAlign w:val="center"/>
            <w:hideMark/>
          </w:tcPr>
          <w:p w14:paraId="0BFC1892" w14:textId="77777777" w:rsidR="00E17928" w:rsidRPr="00894701" w:rsidRDefault="00E17928" w:rsidP="00446B8D">
            <w:pPr>
              <w:spacing w:after="0" w:line="240" w:lineRule="auto"/>
              <w:rPr>
                <w:rFonts w:asciiTheme="majorHAnsi" w:hAnsiTheme="majorHAnsi" w:cs="Arial"/>
                <w:b/>
                <w:bCs/>
                <w:color w:val="FFFFFF"/>
                <w:kern w:val="0"/>
                <w:sz w:val="16"/>
                <w:szCs w:val="16"/>
              </w:rPr>
            </w:pPr>
            <w:r w:rsidRPr="00894701">
              <w:rPr>
                <w:rFonts w:asciiTheme="majorHAnsi" w:hAnsiTheme="majorHAnsi" w:cs="Arial"/>
                <w:b/>
                <w:bCs/>
                <w:color w:val="FFFFFF"/>
                <w:kern w:val="0"/>
                <w:sz w:val="16"/>
                <w:szCs w:val="16"/>
              </w:rPr>
              <w:t>Reporting template certified by Auditor</w:t>
            </w:r>
            <w:r w:rsidRPr="00894701">
              <w:rPr>
                <w:rFonts w:asciiTheme="majorHAnsi" w:hAnsiTheme="majorHAnsi" w:cs="Arial"/>
                <w:b/>
                <w:bCs/>
                <w:color w:val="FFFFFF"/>
                <w:kern w:val="0"/>
                <w:sz w:val="16"/>
                <w:szCs w:val="16"/>
              </w:rPr>
              <w:br/>
            </w:r>
            <w:r w:rsidRPr="00894701">
              <w:rPr>
                <w:rFonts w:asciiTheme="majorHAnsi" w:hAnsiTheme="majorHAnsi" w:cs="Arial"/>
                <w:b/>
                <w:bCs/>
                <w:color w:val="FFFFFF"/>
                <w:kern w:val="0"/>
                <w:sz w:val="16"/>
                <w:szCs w:val="16"/>
              </w:rPr>
              <w:br/>
              <w:t>(Submitted/Not submitted)</w:t>
            </w:r>
          </w:p>
        </w:tc>
      </w:tr>
      <w:tr w:rsidR="00607498" w:rsidRPr="00894701" w14:paraId="78D64AD2" w14:textId="77777777" w:rsidTr="00CC42DF">
        <w:trPr>
          <w:trHeight w:val="283"/>
        </w:trPr>
        <w:tc>
          <w:tcPr>
            <w:tcW w:w="143" w:type="pct"/>
            <w:tcBorders>
              <w:top w:val="nil"/>
              <w:left w:val="nil"/>
              <w:bottom w:val="nil"/>
              <w:right w:val="nil"/>
            </w:tcBorders>
            <w:shd w:val="clear" w:color="000000" w:fill="F7A3B0"/>
            <w:noWrap/>
            <w:vAlign w:val="center"/>
            <w:hideMark/>
          </w:tcPr>
          <w:p w14:paraId="09B09A36" w14:textId="77777777" w:rsidR="00607498" w:rsidRPr="00894701" w:rsidRDefault="00607498" w:rsidP="00607498">
            <w:pPr>
              <w:spacing w:after="0" w:line="240" w:lineRule="auto"/>
              <w:jc w:val="center"/>
              <w:rPr>
                <w:rFonts w:asciiTheme="majorHAnsi" w:hAnsiTheme="majorHAnsi" w:cs="Arial"/>
                <w:color w:val="000000"/>
                <w:kern w:val="0"/>
                <w:sz w:val="16"/>
                <w:szCs w:val="16"/>
              </w:rPr>
            </w:pPr>
            <w:r w:rsidRPr="00894701">
              <w:rPr>
                <w:rFonts w:asciiTheme="majorHAnsi" w:hAnsiTheme="majorHAnsi" w:cs="Arial"/>
                <w:color w:val="000000"/>
                <w:kern w:val="0"/>
                <w:sz w:val="16"/>
                <w:szCs w:val="16"/>
              </w:rPr>
              <w:t>1</w:t>
            </w:r>
          </w:p>
        </w:tc>
        <w:tc>
          <w:tcPr>
            <w:tcW w:w="1363" w:type="pct"/>
            <w:tcBorders>
              <w:top w:val="nil"/>
              <w:left w:val="nil"/>
              <w:bottom w:val="nil"/>
              <w:right w:val="nil"/>
            </w:tcBorders>
            <w:shd w:val="clear" w:color="000000" w:fill="F7A3B0"/>
            <w:noWrap/>
            <w:vAlign w:val="center"/>
            <w:hideMark/>
          </w:tcPr>
          <w:p w14:paraId="5718C555" w14:textId="77777777"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kern w:val="0"/>
                <w:sz w:val="16"/>
                <w:szCs w:val="16"/>
              </w:rPr>
              <w:t>Kosmos Energy Suriname</w:t>
            </w:r>
          </w:p>
        </w:tc>
        <w:tc>
          <w:tcPr>
            <w:tcW w:w="498" w:type="pct"/>
            <w:tcBorders>
              <w:top w:val="nil"/>
              <w:left w:val="nil"/>
              <w:bottom w:val="nil"/>
              <w:right w:val="nil"/>
            </w:tcBorders>
            <w:shd w:val="clear" w:color="000000" w:fill="F7A3B0"/>
            <w:noWrap/>
            <w:vAlign w:val="center"/>
          </w:tcPr>
          <w:p w14:paraId="6C57452A" w14:textId="3ED66DF4" w:rsidR="00607498" w:rsidRPr="00894701" w:rsidRDefault="00607498" w:rsidP="00607498">
            <w:pPr>
              <w:spacing w:after="0" w:line="240" w:lineRule="auto"/>
              <w:rPr>
                <w:rFonts w:asciiTheme="majorHAnsi" w:hAnsiTheme="majorHAnsi" w:cs="Arial"/>
                <w:color w:val="000000"/>
                <w:kern w:val="0"/>
                <w:sz w:val="16"/>
                <w:szCs w:val="16"/>
              </w:rPr>
            </w:pPr>
          </w:p>
        </w:tc>
        <w:tc>
          <w:tcPr>
            <w:tcW w:w="749" w:type="pct"/>
            <w:tcBorders>
              <w:top w:val="nil"/>
              <w:left w:val="nil"/>
              <w:bottom w:val="nil"/>
              <w:right w:val="nil"/>
            </w:tcBorders>
            <w:shd w:val="clear" w:color="000000" w:fill="F7A3B0"/>
            <w:noWrap/>
            <w:vAlign w:val="center"/>
            <w:hideMark/>
          </w:tcPr>
          <w:p w14:paraId="6B053CB0" w14:textId="03DD0854"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Submitted</w:t>
            </w:r>
          </w:p>
        </w:tc>
        <w:tc>
          <w:tcPr>
            <w:tcW w:w="749" w:type="pct"/>
            <w:tcBorders>
              <w:top w:val="nil"/>
              <w:left w:val="nil"/>
              <w:bottom w:val="nil"/>
              <w:right w:val="nil"/>
            </w:tcBorders>
            <w:shd w:val="clear" w:color="000000" w:fill="F7A3B0"/>
            <w:noWrap/>
            <w:vAlign w:val="center"/>
            <w:hideMark/>
          </w:tcPr>
          <w:p w14:paraId="42F62373" w14:textId="51952002"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Not submitted</w:t>
            </w:r>
          </w:p>
        </w:tc>
        <w:tc>
          <w:tcPr>
            <w:tcW w:w="749" w:type="pct"/>
            <w:tcBorders>
              <w:top w:val="nil"/>
              <w:left w:val="nil"/>
              <w:bottom w:val="nil"/>
              <w:right w:val="nil"/>
            </w:tcBorders>
            <w:shd w:val="clear" w:color="000000" w:fill="F7A3B0"/>
            <w:noWrap/>
            <w:vAlign w:val="center"/>
            <w:hideMark/>
          </w:tcPr>
          <w:p w14:paraId="77BAC1D3" w14:textId="60F9CDFB"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Submitted</w:t>
            </w:r>
          </w:p>
        </w:tc>
        <w:tc>
          <w:tcPr>
            <w:tcW w:w="749" w:type="pct"/>
            <w:tcBorders>
              <w:top w:val="nil"/>
              <w:left w:val="nil"/>
              <w:bottom w:val="nil"/>
              <w:right w:val="nil"/>
            </w:tcBorders>
            <w:shd w:val="clear" w:color="000000" w:fill="F7A3B0"/>
            <w:noWrap/>
            <w:vAlign w:val="center"/>
            <w:hideMark/>
          </w:tcPr>
          <w:p w14:paraId="52AAADB1" w14:textId="6A600D8B"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Not submitted</w:t>
            </w:r>
          </w:p>
        </w:tc>
      </w:tr>
      <w:tr w:rsidR="00607498" w:rsidRPr="00894701" w14:paraId="524C6CCF" w14:textId="77777777" w:rsidTr="00CC42DF">
        <w:trPr>
          <w:trHeight w:val="283"/>
        </w:trPr>
        <w:tc>
          <w:tcPr>
            <w:tcW w:w="143" w:type="pct"/>
            <w:tcBorders>
              <w:top w:val="nil"/>
              <w:left w:val="nil"/>
              <w:bottom w:val="nil"/>
              <w:right w:val="nil"/>
            </w:tcBorders>
            <w:shd w:val="clear" w:color="000000" w:fill="FFFFFF"/>
            <w:noWrap/>
            <w:vAlign w:val="center"/>
            <w:hideMark/>
          </w:tcPr>
          <w:p w14:paraId="50014D3A" w14:textId="77777777" w:rsidR="00607498" w:rsidRPr="00894701" w:rsidRDefault="00607498" w:rsidP="00607498">
            <w:pPr>
              <w:spacing w:after="0" w:line="240" w:lineRule="auto"/>
              <w:jc w:val="center"/>
              <w:rPr>
                <w:rFonts w:asciiTheme="majorHAnsi" w:hAnsiTheme="majorHAnsi" w:cs="Arial"/>
                <w:color w:val="000000"/>
                <w:kern w:val="0"/>
                <w:sz w:val="16"/>
                <w:szCs w:val="16"/>
              </w:rPr>
            </w:pPr>
            <w:r w:rsidRPr="00894701">
              <w:rPr>
                <w:rFonts w:asciiTheme="majorHAnsi" w:hAnsiTheme="majorHAnsi" w:cs="Arial"/>
                <w:color w:val="000000"/>
                <w:kern w:val="0"/>
                <w:sz w:val="16"/>
                <w:szCs w:val="16"/>
              </w:rPr>
              <w:t>2</w:t>
            </w:r>
          </w:p>
        </w:tc>
        <w:tc>
          <w:tcPr>
            <w:tcW w:w="1363" w:type="pct"/>
            <w:tcBorders>
              <w:top w:val="nil"/>
              <w:left w:val="nil"/>
              <w:bottom w:val="nil"/>
              <w:right w:val="nil"/>
            </w:tcBorders>
            <w:shd w:val="clear" w:color="000000" w:fill="FFFFFF"/>
            <w:noWrap/>
            <w:vAlign w:val="center"/>
            <w:hideMark/>
          </w:tcPr>
          <w:p w14:paraId="5CFC9C7C" w14:textId="77777777"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kern w:val="0"/>
                <w:sz w:val="16"/>
                <w:szCs w:val="16"/>
              </w:rPr>
              <w:t>Tullow Oil Plc</w:t>
            </w:r>
          </w:p>
        </w:tc>
        <w:tc>
          <w:tcPr>
            <w:tcW w:w="498" w:type="pct"/>
            <w:tcBorders>
              <w:top w:val="nil"/>
              <w:left w:val="nil"/>
              <w:bottom w:val="nil"/>
              <w:right w:val="nil"/>
            </w:tcBorders>
            <w:shd w:val="clear" w:color="000000" w:fill="FFFFFF"/>
            <w:noWrap/>
            <w:vAlign w:val="center"/>
          </w:tcPr>
          <w:p w14:paraId="620C28E5" w14:textId="4344F7B7" w:rsidR="00607498" w:rsidRPr="00894701" w:rsidRDefault="00607498" w:rsidP="00607498">
            <w:pPr>
              <w:spacing w:after="0" w:line="240" w:lineRule="auto"/>
              <w:rPr>
                <w:rFonts w:asciiTheme="majorHAnsi" w:hAnsiTheme="majorHAnsi" w:cs="Arial"/>
                <w:color w:val="000000"/>
                <w:kern w:val="0"/>
                <w:sz w:val="16"/>
                <w:szCs w:val="16"/>
              </w:rPr>
            </w:pPr>
          </w:p>
        </w:tc>
        <w:tc>
          <w:tcPr>
            <w:tcW w:w="749" w:type="pct"/>
            <w:tcBorders>
              <w:top w:val="nil"/>
              <w:left w:val="nil"/>
              <w:bottom w:val="nil"/>
              <w:right w:val="nil"/>
            </w:tcBorders>
            <w:shd w:val="clear" w:color="000000" w:fill="FFFFFF"/>
            <w:noWrap/>
            <w:vAlign w:val="center"/>
            <w:hideMark/>
          </w:tcPr>
          <w:p w14:paraId="0789CFF5" w14:textId="01F474E7"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Not submitted</w:t>
            </w:r>
          </w:p>
        </w:tc>
        <w:tc>
          <w:tcPr>
            <w:tcW w:w="749" w:type="pct"/>
            <w:tcBorders>
              <w:top w:val="nil"/>
              <w:left w:val="nil"/>
              <w:bottom w:val="nil"/>
              <w:right w:val="nil"/>
            </w:tcBorders>
            <w:shd w:val="clear" w:color="000000" w:fill="FFFFFF"/>
            <w:noWrap/>
            <w:vAlign w:val="center"/>
            <w:hideMark/>
          </w:tcPr>
          <w:p w14:paraId="4CFB99A8" w14:textId="1A356882"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Not submitted</w:t>
            </w:r>
          </w:p>
        </w:tc>
        <w:tc>
          <w:tcPr>
            <w:tcW w:w="749" w:type="pct"/>
            <w:tcBorders>
              <w:top w:val="nil"/>
              <w:left w:val="nil"/>
              <w:bottom w:val="nil"/>
              <w:right w:val="nil"/>
            </w:tcBorders>
            <w:shd w:val="clear" w:color="000000" w:fill="FFFFFF"/>
            <w:noWrap/>
            <w:vAlign w:val="center"/>
            <w:hideMark/>
          </w:tcPr>
          <w:p w14:paraId="6B42AFF3" w14:textId="0DF70B9D"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Not submitted</w:t>
            </w:r>
          </w:p>
        </w:tc>
        <w:tc>
          <w:tcPr>
            <w:tcW w:w="749" w:type="pct"/>
            <w:tcBorders>
              <w:top w:val="nil"/>
              <w:left w:val="nil"/>
              <w:bottom w:val="nil"/>
              <w:right w:val="nil"/>
            </w:tcBorders>
            <w:shd w:val="clear" w:color="000000" w:fill="FFFFFF"/>
            <w:noWrap/>
            <w:vAlign w:val="center"/>
            <w:hideMark/>
          </w:tcPr>
          <w:p w14:paraId="7864E905" w14:textId="59853BFB"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Not submitted</w:t>
            </w:r>
          </w:p>
        </w:tc>
      </w:tr>
      <w:tr w:rsidR="00607498" w:rsidRPr="00894701" w14:paraId="0FDC8C78" w14:textId="77777777" w:rsidTr="00CC42DF">
        <w:trPr>
          <w:trHeight w:val="283"/>
        </w:trPr>
        <w:tc>
          <w:tcPr>
            <w:tcW w:w="143" w:type="pct"/>
            <w:tcBorders>
              <w:top w:val="nil"/>
              <w:left w:val="nil"/>
              <w:bottom w:val="nil"/>
              <w:right w:val="nil"/>
            </w:tcBorders>
            <w:shd w:val="clear" w:color="000000" w:fill="F7A3B0"/>
            <w:noWrap/>
            <w:vAlign w:val="center"/>
            <w:hideMark/>
          </w:tcPr>
          <w:p w14:paraId="58F7351D" w14:textId="77777777" w:rsidR="00607498" w:rsidRPr="00894701" w:rsidRDefault="00607498" w:rsidP="00607498">
            <w:pPr>
              <w:spacing w:after="0" w:line="240" w:lineRule="auto"/>
              <w:jc w:val="center"/>
              <w:rPr>
                <w:rFonts w:asciiTheme="majorHAnsi" w:hAnsiTheme="majorHAnsi" w:cs="Arial"/>
                <w:color w:val="000000"/>
                <w:kern w:val="0"/>
                <w:sz w:val="16"/>
                <w:szCs w:val="16"/>
              </w:rPr>
            </w:pPr>
            <w:r w:rsidRPr="00894701">
              <w:rPr>
                <w:rFonts w:asciiTheme="majorHAnsi" w:hAnsiTheme="majorHAnsi" w:cs="Arial"/>
                <w:color w:val="000000"/>
                <w:kern w:val="0"/>
                <w:sz w:val="16"/>
                <w:szCs w:val="16"/>
              </w:rPr>
              <w:t>3</w:t>
            </w:r>
          </w:p>
        </w:tc>
        <w:tc>
          <w:tcPr>
            <w:tcW w:w="1363" w:type="pct"/>
            <w:tcBorders>
              <w:top w:val="nil"/>
              <w:left w:val="nil"/>
              <w:bottom w:val="nil"/>
              <w:right w:val="nil"/>
            </w:tcBorders>
            <w:shd w:val="clear" w:color="000000" w:fill="F7A3B0"/>
            <w:noWrap/>
            <w:vAlign w:val="center"/>
            <w:hideMark/>
          </w:tcPr>
          <w:p w14:paraId="1EBD734D" w14:textId="77777777"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kern w:val="0"/>
                <w:sz w:val="16"/>
                <w:szCs w:val="16"/>
              </w:rPr>
              <w:t xml:space="preserve">Total E&amp;P Suriname B.V. </w:t>
            </w:r>
          </w:p>
        </w:tc>
        <w:tc>
          <w:tcPr>
            <w:tcW w:w="498" w:type="pct"/>
            <w:tcBorders>
              <w:top w:val="nil"/>
              <w:left w:val="nil"/>
              <w:bottom w:val="nil"/>
              <w:right w:val="nil"/>
            </w:tcBorders>
            <w:shd w:val="clear" w:color="000000" w:fill="F7A3B0"/>
            <w:noWrap/>
            <w:vAlign w:val="center"/>
          </w:tcPr>
          <w:p w14:paraId="64FD1BAD" w14:textId="47E00BA9" w:rsidR="00607498" w:rsidRPr="00894701" w:rsidRDefault="00607498" w:rsidP="00607498">
            <w:pPr>
              <w:spacing w:after="0" w:line="240" w:lineRule="auto"/>
              <w:rPr>
                <w:rFonts w:asciiTheme="majorHAnsi" w:hAnsiTheme="majorHAnsi" w:cs="Arial"/>
                <w:color w:val="000000"/>
                <w:kern w:val="0"/>
                <w:sz w:val="16"/>
                <w:szCs w:val="16"/>
              </w:rPr>
            </w:pPr>
          </w:p>
        </w:tc>
        <w:tc>
          <w:tcPr>
            <w:tcW w:w="749" w:type="pct"/>
            <w:tcBorders>
              <w:top w:val="nil"/>
              <w:left w:val="nil"/>
              <w:bottom w:val="nil"/>
              <w:right w:val="nil"/>
            </w:tcBorders>
            <w:shd w:val="clear" w:color="000000" w:fill="F7A3B0"/>
            <w:noWrap/>
            <w:vAlign w:val="center"/>
            <w:hideMark/>
          </w:tcPr>
          <w:p w14:paraId="5D1B995B" w14:textId="675B03FE"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Submitted</w:t>
            </w:r>
          </w:p>
        </w:tc>
        <w:tc>
          <w:tcPr>
            <w:tcW w:w="749" w:type="pct"/>
            <w:tcBorders>
              <w:top w:val="nil"/>
              <w:left w:val="nil"/>
              <w:bottom w:val="nil"/>
              <w:right w:val="nil"/>
            </w:tcBorders>
            <w:shd w:val="clear" w:color="000000" w:fill="F7A3B0"/>
            <w:noWrap/>
            <w:vAlign w:val="center"/>
            <w:hideMark/>
          </w:tcPr>
          <w:p w14:paraId="06D72C47" w14:textId="29B5121F"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Not submitted</w:t>
            </w:r>
          </w:p>
        </w:tc>
        <w:tc>
          <w:tcPr>
            <w:tcW w:w="749" w:type="pct"/>
            <w:tcBorders>
              <w:top w:val="nil"/>
              <w:left w:val="nil"/>
              <w:bottom w:val="nil"/>
              <w:right w:val="nil"/>
            </w:tcBorders>
            <w:shd w:val="clear" w:color="000000" w:fill="F7A3B0"/>
            <w:noWrap/>
            <w:vAlign w:val="center"/>
            <w:hideMark/>
          </w:tcPr>
          <w:p w14:paraId="07CA48B5" w14:textId="228509DA"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Not submitted</w:t>
            </w:r>
          </w:p>
        </w:tc>
        <w:tc>
          <w:tcPr>
            <w:tcW w:w="749" w:type="pct"/>
            <w:tcBorders>
              <w:top w:val="nil"/>
              <w:left w:val="nil"/>
              <w:bottom w:val="nil"/>
              <w:right w:val="nil"/>
            </w:tcBorders>
            <w:shd w:val="clear" w:color="000000" w:fill="F7A3B0"/>
            <w:noWrap/>
            <w:vAlign w:val="center"/>
            <w:hideMark/>
          </w:tcPr>
          <w:p w14:paraId="765401F8" w14:textId="64D7BAD2"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Not submitted</w:t>
            </w:r>
          </w:p>
        </w:tc>
      </w:tr>
      <w:tr w:rsidR="00607498" w:rsidRPr="00894701" w14:paraId="4859EB59" w14:textId="77777777" w:rsidTr="00CC42DF">
        <w:trPr>
          <w:trHeight w:val="283"/>
        </w:trPr>
        <w:tc>
          <w:tcPr>
            <w:tcW w:w="143" w:type="pct"/>
            <w:tcBorders>
              <w:top w:val="nil"/>
              <w:left w:val="nil"/>
              <w:bottom w:val="nil"/>
              <w:right w:val="nil"/>
            </w:tcBorders>
            <w:shd w:val="clear" w:color="000000" w:fill="FFFFFF"/>
            <w:noWrap/>
            <w:vAlign w:val="center"/>
            <w:hideMark/>
          </w:tcPr>
          <w:p w14:paraId="1B05975C" w14:textId="77777777" w:rsidR="00607498" w:rsidRPr="00894701" w:rsidRDefault="00607498" w:rsidP="00607498">
            <w:pPr>
              <w:spacing w:after="0" w:line="240" w:lineRule="auto"/>
              <w:jc w:val="center"/>
              <w:rPr>
                <w:rFonts w:asciiTheme="majorHAnsi" w:hAnsiTheme="majorHAnsi" w:cs="Arial"/>
                <w:color w:val="000000"/>
                <w:kern w:val="0"/>
                <w:sz w:val="16"/>
                <w:szCs w:val="16"/>
              </w:rPr>
            </w:pPr>
            <w:r w:rsidRPr="00894701">
              <w:rPr>
                <w:rFonts w:asciiTheme="majorHAnsi" w:hAnsiTheme="majorHAnsi" w:cs="Arial"/>
                <w:color w:val="000000"/>
                <w:kern w:val="0"/>
                <w:sz w:val="16"/>
                <w:szCs w:val="16"/>
              </w:rPr>
              <w:t>4</w:t>
            </w:r>
          </w:p>
        </w:tc>
        <w:tc>
          <w:tcPr>
            <w:tcW w:w="1363" w:type="pct"/>
            <w:tcBorders>
              <w:top w:val="nil"/>
              <w:left w:val="nil"/>
              <w:bottom w:val="nil"/>
              <w:right w:val="nil"/>
            </w:tcBorders>
            <w:shd w:val="clear" w:color="000000" w:fill="FFFFFF"/>
            <w:noWrap/>
            <w:vAlign w:val="center"/>
            <w:hideMark/>
          </w:tcPr>
          <w:p w14:paraId="408C6E00" w14:textId="77777777"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kern w:val="0"/>
                <w:sz w:val="16"/>
                <w:szCs w:val="16"/>
              </w:rPr>
              <w:t>Capricorn Suriname B.V.</w:t>
            </w:r>
          </w:p>
        </w:tc>
        <w:tc>
          <w:tcPr>
            <w:tcW w:w="498" w:type="pct"/>
            <w:tcBorders>
              <w:top w:val="nil"/>
              <w:left w:val="nil"/>
              <w:bottom w:val="nil"/>
              <w:right w:val="nil"/>
            </w:tcBorders>
            <w:shd w:val="clear" w:color="000000" w:fill="FFFFFF"/>
            <w:noWrap/>
            <w:vAlign w:val="center"/>
          </w:tcPr>
          <w:p w14:paraId="6664DE13" w14:textId="792C269C" w:rsidR="00607498" w:rsidRPr="00894701" w:rsidRDefault="00607498" w:rsidP="00607498">
            <w:pPr>
              <w:spacing w:after="0" w:line="240" w:lineRule="auto"/>
              <w:rPr>
                <w:rFonts w:asciiTheme="majorHAnsi" w:hAnsiTheme="majorHAnsi" w:cs="Arial"/>
                <w:color w:val="000000"/>
                <w:kern w:val="0"/>
                <w:sz w:val="16"/>
                <w:szCs w:val="16"/>
              </w:rPr>
            </w:pPr>
          </w:p>
        </w:tc>
        <w:tc>
          <w:tcPr>
            <w:tcW w:w="749" w:type="pct"/>
            <w:tcBorders>
              <w:top w:val="nil"/>
              <w:left w:val="nil"/>
              <w:bottom w:val="nil"/>
              <w:right w:val="nil"/>
            </w:tcBorders>
            <w:shd w:val="clear" w:color="000000" w:fill="FFFFFF"/>
            <w:noWrap/>
            <w:vAlign w:val="center"/>
            <w:hideMark/>
          </w:tcPr>
          <w:p w14:paraId="46A86435" w14:textId="43270732"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Submitted</w:t>
            </w:r>
          </w:p>
        </w:tc>
        <w:tc>
          <w:tcPr>
            <w:tcW w:w="749" w:type="pct"/>
            <w:tcBorders>
              <w:top w:val="nil"/>
              <w:left w:val="nil"/>
              <w:bottom w:val="nil"/>
              <w:right w:val="nil"/>
            </w:tcBorders>
            <w:shd w:val="clear" w:color="000000" w:fill="FFFFFF"/>
            <w:noWrap/>
            <w:vAlign w:val="center"/>
            <w:hideMark/>
          </w:tcPr>
          <w:p w14:paraId="45190EE9" w14:textId="4B4BDB23"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Submitted</w:t>
            </w:r>
          </w:p>
        </w:tc>
        <w:tc>
          <w:tcPr>
            <w:tcW w:w="749" w:type="pct"/>
            <w:tcBorders>
              <w:top w:val="nil"/>
              <w:left w:val="nil"/>
              <w:bottom w:val="nil"/>
              <w:right w:val="nil"/>
            </w:tcBorders>
            <w:shd w:val="clear" w:color="000000" w:fill="FFFFFF"/>
            <w:noWrap/>
            <w:vAlign w:val="center"/>
            <w:hideMark/>
          </w:tcPr>
          <w:p w14:paraId="6D5DC953" w14:textId="38229C9D"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Not submitted</w:t>
            </w:r>
          </w:p>
        </w:tc>
        <w:tc>
          <w:tcPr>
            <w:tcW w:w="749" w:type="pct"/>
            <w:tcBorders>
              <w:top w:val="nil"/>
              <w:left w:val="nil"/>
              <w:bottom w:val="nil"/>
              <w:right w:val="nil"/>
            </w:tcBorders>
            <w:shd w:val="clear" w:color="000000" w:fill="FFFFFF"/>
            <w:noWrap/>
            <w:vAlign w:val="center"/>
            <w:hideMark/>
          </w:tcPr>
          <w:p w14:paraId="42015656" w14:textId="22DF1724"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Not submitted</w:t>
            </w:r>
          </w:p>
        </w:tc>
      </w:tr>
      <w:tr w:rsidR="00607498" w:rsidRPr="00894701" w14:paraId="62716746" w14:textId="77777777" w:rsidTr="00904D64">
        <w:trPr>
          <w:trHeight w:val="283"/>
        </w:trPr>
        <w:tc>
          <w:tcPr>
            <w:tcW w:w="143" w:type="pct"/>
            <w:tcBorders>
              <w:top w:val="nil"/>
              <w:left w:val="nil"/>
              <w:bottom w:val="nil"/>
              <w:right w:val="nil"/>
            </w:tcBorders>
            <w:shd w:val="clear" w:color="000000" w:fill="F7A3B0"/>
            <w:noWrap/>
            <w:vAlign w:val="center"/>
            <w:hideMark/>
          </w:tcPr>
          <w:p w14:paraId="3CA68176" w14:textId="77777777" w:rsidR="00607498" w:rsidRPr="00894701" w:rsidRDefault="00607498" w:rsidP="00607498">
            <w:pPr>
              <w:spacing w:after="0" w:line="240" w:lineRule="auto"/>
              <w:jc w:val="center"/>
              <w:rPr>
                <w:rFonts w:asciiTheme="majorHAnsi" w:hAnsiTheme="majorHAnsi" w:cs="Arial"/>
                <w:color w:val="000000"/>
                <w:kern w:val="0"/>
                <w:sz w:val="16"/>
                <w:szCs w:val="16"/>
              </w:rPr>
            </w:pPr>
            <w:r w:rsidRPr="00894701">
              <w:rPr>
                <w:rFonts w:asciiTheme="majorHAnsi" w:hAnsiTheme="majorHAnsi" w:cs="Arial"/>
                <w:color w:val="000000"/>
                <w:kern w:val="0"/>
                <w:sz w:val="16"/>
                <w:szCs w:val="16"/>
              </w:rPr>
              <w:t>5</w:t>
            </w:r>
          </w:p>
        </w:tc>
        <w:tc>
          <w:tcPr>
            <w:tcW w:w="1860" w:type="pct"/>
            <w:gridSpan w:val="2"/>
            <w:tcBorders>
              <w:top w:val="nil"/>
              <w:left w:val="nil"/>
              <w:bottom w:val="nil"/>
              <w:right w:val="nil"/>
            </w:tcBorders>
            <w:shd w:val="clear" w:color="000000" w:fill="F7A3B0"/>
            <w:noWrap/>
            <w:vAlign w:val="center"/>
            <w:hideMark/>
          </w:tcPr>
          <w:p w14:paraId="5AC15452" w14:textId="2DD2352B"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kern w:val="0"/>
                <w:sz w:val="16"/>
                <w:szCs w:val="16"/>
              </w:rPr>
              <w:t>Petronas Suriname Exploration &amp; production B.V.</w:t>
            </w:r>
            <w:r w:rsidR="00373381" w:rsidRPr="00894701">
              <w:rPr>
                <w:rFonts w:asciiTheme="majorHAnsi" w:hAnsiTheme="majorHAnsi" w:cs="Arial"/>
                <w:color w:val="000000"/>
                <w:kern w:val="0"/>
                <w:sz w:val="16"/>
                <w:szCs w:val="16"/>
              </w:rPr>
              <w:t xml:space="preserve"> .         </w:t>
            </w:r>
          </w:p>
        </w:tc>
        <w:tc>
          <w:tcPr>
            <w:tcW w:w="749" w:type="pct"/>
            <w:tcBorders>
              <w:top w:val="nil"/>
              <w:left w:val="nil"/>
              <w:bottom w:val="nil"/>
              <w:right w:val="nil"/>
            </w:tcBorders>
            <w:shd w:val="clear" w:color="000000" w:fill="F7A3B0"/>
            <w:noWrap/>
            <w:vAlign w:val="center"/>
            <w:hideMark/>
          </w:tcPr>
          <w:p w14:paraId="45CCC06E" w14:textId="77777777"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kern w:val="0"/>
                <w:sz w:val="16"/>
                <w:szCs w:val="16"/>
              </w:rPr>
              <w:t xml:space="preserve"> Submitted</w:t>
            </w:r>
          </w:p>
        </w:tc>
        <w:tc>
          <w:tcPr>
            <w:tcW w:w="749" w:type="pct"/>
            <w:tcBorders>
              <w:top w:val="nil"/>
              <w:left w:val="nil"/>
              <w:bottom w:val="nil"/>
              <w:right w:val="nil"/>
            </w:tcBorders>
            <w:shd w:val="clear" w:color="000000" w:fill="F7A3B0"/>
            <w:noWrap/>
            <w:vAlign w:val="center"/>
            <w:hideMark/>
          </w:tcPr>
          <w:p w14:paraId="5AFF125A" w14:textId="63878D54"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Submitted</w:t>
            </w:r>
          </w:p>
        </w:tc>
        <w:tc>
          <w:tcPr>
            <w:tcW w:w="749" w:type="pct"/>
            <w:tcBorders>
              <w:top w:val="nil"/>
              <w:left w:val="nil"/>
              <w:bottom w:val="nil"/>
              <w:right w:val="nil"/>
            </w:tcBorders>
            <w:shd w:val="clear" w:color="000000" w:fill="F7A3B0"/>
            <w:noWrap/>
            <w:vAlign w:val="center"/>
            <w:hideMark/>
          </w:tcPr>
          <w:p w14:paraId="066FF119" w14:textId="6245B3C5"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Not submitted</w:t>
            </w:r>
          </w:p>
        </w:tc>
        <w:tc>
          <w:tcPr>
            <w:tcW w:w="749" w:type="pct"/>
            <w:tcBorders>
              <w:top w:val="nil"/>
              <w:left w:val="nil"/>
              <w:bottom w:val="nil"/>
              <w:right w:val="nil"/>
            </w:tcBorders>
            <w:shd w:val="clear" w:color="000000" w:fill="F7A3B0"/>
            <w:noWrap/>
            <w:vAlign w:val="center"/>
            <w:hideMark/>
          </w:tcPr>
          <w:p w14:paraId="0F80FCDD" w14:textId="270E67C2"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Submitted</w:t>
            </w:r>
          </w:p>
        </w:tc>
      </w:tr>
      <w:tr w:rsidR="00607498" w:rsidRPr="00894701" w14:paraId="4A544463" w14:textId="77777777" w:rsidTr="00CC42DF">
        <w:trPr>
          <w:trHeight w:val="283"/>
        </w:trPr>
        <w:tc>
          <w:tcPr>
            <w:tcW w:w="143" w:type="pct"/>
            <w:tcBorders>
              <w:top w:val="nil"/>
              <w:left w:val="nil"/>
              <w:bottom w:val="nil"/>
              <w:right w:val="nil"/>
            </w:tcBorders>
            <w:shd w:val="clear" w:color="000000" w:fill="FFFFFF"/>
            <w:noWrap/>
            <w:vAlign w:val="center"/>
            <w:hideMark/>
          </w:tcPr>
          <w:p w14:paraId="3393E317" w14:textId="77777777" w:rsidR="00607498" w:rsidRPr="00894701" w:rsidRDefault="00607498" w:rsidP="00607498">
            <w:pPr>
              <w:spacing w:after="0" w:line="240" w:lineRule="auto"/>
              <w:jc w:val="center"/>
              <w:rPr>
                <w:rFonts w:asciiTheme="majorHAnsi" w:hAnsiTheme="majorHAnsi" w:cs="Arial"/>
                <w:color w:val="000000"/>
                <w:kern w:val="0"/>
                <w:sz w:val="16"/>
                <w:szCs w:val="16"/>
              </w:rPr>
            </w:pPr>
            <w:r w:rsidRPr="00894701">
              <w:rPr>
                <w:rFonts w:asciiTheme="majorHAnsi" w:hAnsiTheme="majorHAnsi" w:cs="Arial"/>
                <w:color w:val="000000"/>
                <w:kern w:val="0"/>
                <w:sz w:val="16"/>
                <w:szCs w:val="16"/>
              </w:rPr>
              <w:t>6</w:t>
            </w:r>
          </w:p>
        </w:tc>
        <w:tc>
          <w:tcPr>
            <w:tcW w:w="1363" w:type="pct"/>
            <w:tcBorders>
              <w:top w:val="nil"/>
              <w:left w:val="nil"/>
              <w:bottom w:val="nil"/>
              <w:right w:val="nil"/>
            </w:tcBorders>
            <w:shd w:val="clear" w:color="000000" w:fill="FFFFFF"/>
            <w:noWrap/>
            <w:vAlign w:val="center"/>
            <w:hideMark/>
          </w:tcPr>
          <w:p w14:paraId="4B7BAA18" w14:textId="77777777"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kern w:val="0"/>
                <w:sz w:val="16"/>
                <w:szCs w:val="16"/>
              </w:rPr>
              <w:t>Challenger Energy Group Plc</w:t>
            </w:r>
          </w:p>
        </w:tc>
        <w:tc>
          <w:tcPr>
            <w:tcW w:w="498" w:type="pct"/>
            <w:tcBorders>
              <w:top w:val="nil"/>
              <w:left w:val="nil"/>
              <w:bottom w:val="nil"/>
              <w:right w:val="nil"/>
            </w:tcBorders>
            <w:shd w:val="clear" w:color="000000" w:fill="FFFFFF"/>
            <w:noWrap/>
            <w:vAlign w:val="center"/>
          </w:tcPr>
          <w:p w14:paraId="62393229" w14:textId="744E8E41" w:rsidR="00607498" w:rsidRPr="00894701" w:rsidRDefault="00607498" w:rsidP="00607498">
            <w:pPr>
              <w:spacing w:after="0" w:line="240" w:lineRule="auto"/>
              <w:rPr>
                <w:rFonts w:asciiTheme="majorHAnsi" w:hAnsiTheme="majorHAnsi" w:cs="Arial"/>
                <w:color w:val="000000"/>
                <w:kern w:val="0"/>
                <w:sz w:val="16"/>
                <w:szCs w:val="16"/>
              </w:rPr>
            </w:pPr>
          </w:p>
        </w:tc>
        <w:tc>
          <w:tcPr>
            <w:tcW w:w="749" w:type="pct"/>
            <w:tcBorders>
              <w:top w:val="nil"/>
              <w:left w:val="nil"/>
              <w:bottom w:val="nil"/>
              <w:right w:val="nil"/>
            </w:tcBorders>
            <w:shd w:val="clear" w:color="000000" w:fill="FFFFFF"/>
            <w:noWrap/>
            <w:vAlign w:val="center"/>
            <w:hideMark/>
          </w:tcPr>
          <w:p w14:paraId="474627C2" w14:textId="6EAF331F"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Not submitted</w:t>
            </w:r>
          </w:p>
        </w:tc>
        <w:tc>
          <w:tcPr>
            <w:tcW w:w="749" w:type="pct"/>
            <w:tcBorders>
              <w:top w:val="nil"/>
              <w:left w:val="nil"/>
              <w:bottom w:val="nil"/>
              <w:right w:val="nil"/>
            </w:tcBorders>
            <w:shd w:val="clear" w:color="000000" w:fill="FFFFFF"/>
            <w:noWrap/>
            <w:vAlign w:val="center"/>
            <w:hideMark/>
          </w:tcPr>
          <w:p w14:paraId="697027A6" w14:textId="52492E90"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Not submitted</w:t>
            </w:r>
          </w:p>
        </w:tc>
        <w:tc>
          <w:tcPr>
            <w:tcW w:w="749" w:type="pct"/>
            <w:tcBorders>
              <w:top w:val="nil"/>
              <w:left w:val="nil"/>
              <w:bottom w:val="nil"/>
              <w:right w:val="nil"/>
            </w:tcBorders>
            <w:shd w:val="clear" w:color="000000" w:fill="FFFFFF"/>
            <w:noWrap/>
            <w:vAlign w:val="center"/>
            <w:hideMark/>
          </w:tcPr>
          <w:p w14:paraId="0EADF3E8" w14:textId="069BC61F"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Not submitted</w:t>
            </w:r>
          </w:p>
        </w:tc>
        <w:tc>
          <w:tcPr>
            <w:tcW w:w="749" w:type="pct"/>
            <w:tcBorders>
              <w:top w:val="nil"/>
              <w:left w:val="nil"/>
              <w:bottom w:val="nil"/>
              <w:right w:val="nil"/>
            </w:tcBorders>
            <w:shd w:val="clear" w:color="000000" w:fill="FFFFFF"/>
            <w:noWrap/>
            <w:vAlign w:val="center"/>
            <w:hideMark/>
          </w:tcPr>
          <w:p w14:paraId="4272D4A3" w14:textId="210C417F"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Not submitted</w:t>
            </w:r>
          </w:p>
        </w:tc>
      </w:tr>
      <w:tr w:rsidR="00607498" w:rsidRPr="00894701" w14:paraId="1DF3E43A" w14:textId="77777777" w:rsidTr="00CC42DF">
        <w:trPr>
          <w:trHeight w:val="283"/>
        </w:trPr>
        <w:tc>
          <w:tcPr>
            <w:tcW w:w="143" w:type="pct"/>
            <w:tcBorders>
              <w:top w:val="nil"/>
              <w:left w:val="nil"/>
              <w:bottom w:val="nil"/>
              <w:right w:val="nil"/>
            </w:tcBorders>
            <w:shd w:val="clear" w:color="000000" w:fill="F7A3B0"/>
            <w:noWrap/>
            <w:vAlign w:val="center"/>
            <w:hideMark/>
          </w:tcPr>
          <w:p w14:paraId="1DD05545" w14:textId="77777777" w:rsidR="00607498" w:rsidRPr="00894701" w:rsidRDefault="00607498" w:rsidP="00607498">
            <w:pPr>
              <w:spacing w:after="0" w:line="240" w:lineRule="auto"/>
              <w:jc w:val="center"/>
              <w:rPr>
                <w:rFonts w:asciiTheme="majorHAnsi" w:hAnsiTheme="majorHAnsi" w:cs="Arial"/>
                <w:color w:val="000000"/>
                <w:kern w:val="0"/>
                <w:sz w:val="16"/>
                <w:szCs w:val="16"/>
              </w:rPr>
            </w:pPr>
            <w:r w:rsidRPr="00894701">
              <w:rPr>
                <w:rFonts w:asciiTheme="majorHAnsi" w:hAnsiTheme="majorHAnsi" w:cs="Arial"/>
                <w:color w:val="000000"/>
                <w:kern w:val="0"/>
                <w:sz w:val="16"/>
                <w:szCs w:val="16"/>
              </w:rPr>
              <w:t>7</w:t>
            </w:r>
          </w:p>
        </w:tc>
        <w:tc>
          <w:tcPr>
            <w:tcW w:w="1363" w:type="pct"/>
            <w:tcBorders>
              <w:top w:val="nil"/>
              <w:left w:val="nil"/>
              <w:bottom w:val="nil"/>
              <w:right w:val="nil"/>
            </w:tcBorders>
            <w:shd w:val="clear" w:color="000000" w:fill="F7A3B0"/>
            <w:noWrap/>
            <w:vAlign w:val="center"/>
            <w:hideMark/>
          </w:tcPr>
          <w:p w14:paraId="5C640098" w14:textId="77777777" w:rsidR="00607498" w:rsidRPr="00894701" w:rsidRDefault="00607498" w:rsidP="00607498">
            <w:pPr>
              <w:spacing w:after="0" w:line="240" w:lineRule="auto"/>
              <w:rPr>
                <w:rFonts w:asciiTheme="majorHAnsi" w:hAnsiTheme="majorHAnsi" w:cs="Arial"/>
                <w:color w:val="000000"/>
                <w:kern w:val="0"/>
                <w:sz w:val="16"/>
                <w:szCs w:val="16"/>
                <w:lang w:val="nl-NL"/>
              </w:rPr>
            </w:pPr>
            <w:r w:rsidRPr="00894701">
              <w:rPr>
                <w:rFonts w:asciiTheme="majorHAnsi" w:hAnsiTheme="majorHAnsi" w:cs="Arial"/>
                <w:color w:val="000000"/>
                <w:kern w:val="0"/>
                <w:sz w:val="16"/>
                <w:szCs w:val="16"/>
                <w:lang w:val="nl-NL"/>
              </w:rPr>
              <w:t>Staatsolie Maatschappij Suriname N.V.</w:t>
            </w:r>
          </w:p>
        </w:tc>
        <w:tc>
          <w:tcPr>
            <w:tcW w:w="498" w:type="pct"/>
            <w:tcBorders>
              <w:top w:val="nil"/>
              <w:left w:val="nil"/>
              <w:bottom w:val="nil"/>
              <w:right w:val="nil"/>
            </w:tcBorders>
            <w:shd w:val="clear" w:color="000000" w:fill="F7A3B0"/>
            <w:noWrap/>
            <w:vAlign w:val="center"/>
          </w:tcPr>
          <w:p w14:paraId="0377C0D5" w14:textId="04B45970" w:rsidR="00607498" w:rsidRPr="00894701" w:rsidRDefault="00607498" w:rsidP="00607498">
            <w:pPr>
              <w:spacing w:after="0" w:line="240" w:lineRule="auto"/>
              <w:rPr>
                <w:rFonts w:asciiTheme="majorHAnsi" w:hAnsiTheme="majorHAnsi" w:cs="Arial"/>
                <w:color w:val="000000"/>
                <w:kern w:val="0"/>
                <w:sz w:val="16"/>
                <w:szCs w:val="16"/>
                <w:lang w:val="nl-NL"/>
              </w:rPr>
            </w:pPr>
          </w:p>
        </w:tc>
        <w:tc>
          <w:tcPr>
            <w:tcW w:w="749" w:type="pct"/>
            <w:tcBorders>
              <w:top w:val="nil"/>
              <w:left w:val="nil"/>
              <w:bottom w:val="nil"/>
              <w:right w:val="nil"/>
            </w:tcBorders>
            <w:shd w:val="clear" w:color="000000" w:fill="F7A3B0"/>
            <w:noWrap/>
            <w:vAlign w:val="center"/>
            <w:hideMark/>
          </w:tcPr>
          <w:p w14:paraId="242D574A" w14:textId="6E395B62"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Submitted</w:t>
            </w:r>
          </w:p>
        </w:tc>
        <w:tc>
          <w:tcPr>
            <w:tcW w:w="749" w:type="pct"/>
            <w:tcBorders>
              <w:top w:val="nil"/>
              <w:left w:val="nil"/>
              <w:bottom w:val="nil"/>
              <w:right w:val="nil"/>
            </w:tcBorders>
            <w:shd w:val="clear" w:color="000000" w:fill="F7A3B0"/>
            <w:noWrap/>
            <w:vAlign w:val="center"/>
            <w:hideMark/>
          </w:tcPr>
          <w:p w14:paraId="7A7A764A" w14:textId="2973ABEC"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Submitted</w:t>
            </w:r>
          </w:p>
        </w:tc>
        <w:tc>
          <w:tcPr>
            <w:tcW w:w="749" w:type="pct"/>
            <w:tcBorders>
              <w:top w:val="nil"/>
              <w:left w:val="nil"/>
              <w:bottom w:val="nil"/>
              <w:right w:val="nil"/>
            </w:tcBorders>
            <w:shd w:val="clear" w:color="000000" w:fill="F7A3B0"/>
            <w:noWrap/>
            <w:vAlign w:val="center"/>
            <w:hideMark/>
          </w:tcPr>
          <w:p w14:paraId="4718EEDE" w14:textId="088B4118" w:rsidR="00607498" w:rsidRPr="00894701" w:rsidRDefault="001B4837"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S</w:t>
            </w:r>
            <w:r w:rsidR="00607498" w:rsidRPr="00894701">
              <w:rPr>
                <w:rFonts w:asciiTheme="majorHAnsi" w:hAnsiTheme="majorHAnsi" w:cs="Arial"/>
                <w:color w:val="000000"/>
                <w:sz w:val="16"/>
                <w:szCs w:val="16"/>
              </w:rPr>
              <w:t>ubmitted</w:t>
            </w:r>
          </w:p>
        </w:tc>
        <w:tc>
          <w:tcPr>
            <w:tcW w:w="749" w:type="pct"/>
            <w:tcBorders>
              <w:top w:val="nil"/>
              <w:left w:val="nil"/>
              <w:bottom w:val="nil"/>
              <w:right w:val="nil"/>
            </w:tcBorders>
            <w:shd w:val="clear" w:color="000000" w:fill="F7A3B0"/>
            <w:noWrap/>
            <w:vAlign w:val="center"/>
            <w:hideMark/>
          </w:tcPr>
          <w:p w14:paraId="22908966" w14:textId="29F8160B"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Not submitted</w:t>
            </w:r>
          </w:p>
        </w:tc>
      </w:tr>
      <w:tr w:rsidR="00607498" w:rsidRPr="00894701" w14:paraId="3FEDD75A" w14:textId="77777777" w:rsidTr="00CC42DF">
        <w:trPr>
          <w:trHeight w:val="283"/>
        </w:trPr>
        <w:tc>
          <w:tcPr>
            <w:tcW w:w="143" w:type="pct"/>
            <w:tcBorders>
              <w:top w:val="nil"/>
              <w:left w:val="nil"/>
              <w:bottom w:val="nil"/>
              <w:right w:val="nil"/>
            </w:tcBorders>
            <w:shd w:val="clear" w:color="000000" w:fill="FFFFFF"/>
            <w:noWrap/>
            <w:vAlign w:val="center"/>
            <w:hideMark/>
          </w:tcPr>
          <w:p w14:paraId="30873434" w14:textId="2D725C6B" w:rsidR="00607498" w:rsidRPr="00894701" w:rsidRDefault="00607498" w:rsidP="00607498">
            <w:pPr>
              <w:spacing w:after="0" w:line="240" w:lineRule="auto"/>
              <w:jc w:val="center"/>
              <w:rPr>
                <w:rFonts w:asciiTheme="majorHAnsi" w:hAnsiTheme="majorHAnsi" w:cs="Arial"/>
                <w:color w:val="000000"/>
                <w:kern w:val="0"/>
                <w:sz w:val="16"/>
                <w:szCs w:val="16"/>
              </w:rPr>
            </w:pPr>
            <w:r w:rsidRPr="00894701">
              <w:rPr>
                <w:rFonts w:asciiTheme="majorHAnsi" w:hAnsiTheme="majorHAnsi" w:cs="Arial"/>
                <w:color w:val="auto"/>
                <w:kern w:val="0"/>
                <w:sz w:val="16"/>
                <w:szCs w:val="16"/>
                <w:lang w:val="fr-FR" w:eastAsia="fr-FR"/>
              </w:rPr>
              <w:t>8</w:t>
            </w:r>
          </w:p>
        </w:tc>
        <w:tc>
          <w:tcPr>
            <w:tcW w:w="1363" w:type="pct"/>
            <w:tcBorders>
              <w:top w:val="nil"/>
              <w:left w:val="nil"/>
              <w:bottom w:val="nil"/>
              <w:right w:val="nil"/>
            </w:tcBorders>
            <w:shd w:val="clear" w:color="000000" w:fill="FFFFFF"/>
            <w:noWrap/>
            <w:vAlign w:val="center"/>
            <w:hideMark/>
          </w:tcPr>
          <w:p w14:paraId="4DEA6C08" w14:textId="17504619"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auto"/>
                <w:kern w:val="0"/>
                <w:sz w:val="16"/>
                <w:szCs w:val="16"/>
                <w:lang w:eastAsia="fr-FR"/>
              </w:rPr>
              <w:t>ExxonMobil Exploration and Production Suriname B.V.</w:t>
            </w:r>
          </w:p>
        </w:tc>
        <w:tc>
          <w:tcPr>
            <w:tcW w:w="498" w:type="pct"/>
            <w:tcBorders>
              <w:top w:val="nil"/>
              <w:left w:val="nil"/>
              <w:bottom w:val="nil"/>
              <w:right w:val="nil"/>
            </w:tcBorders>
            <w:shd w:val="clear" w:color="000000" w:fill="FFFFFF"/>
            <w:noWrap/>
            <w:vAlign w:val="center"/>
          </w:tcPr>
          <w:p w14:paraId="353F5123" w14:textId="15D7E10D" w:rsidR="00607498" w:rsidRPr="00894701" w:rsidRDefault="00607498" w:rsidP="00607498">
            <w:pPr>
              <w:spacing w:after="0" w:line="240" w:lineRule="auto"/>
              <w:rPr>
                <w:rFonts w:asciiTheme="majorHAnsi" w:hAnsiTheme="majorHAnsi" w:cs="Arial"/>
                <w:color w:val="000000"/>
                <w:kern w:val="0"/>
                <w:sz w:val="16"/>
                <w:szCs w:val="16"/>
              </w:rPr>
            </w:pPr>
          </w:p>
        </w:tc>
        <w:tc>
          <w:tcPr>
            <w:tcW w:w="749" w:type="pct"/>
            <w:tcBorders>
              <w:top w:val="nil"/>
              <w:left w:val="nil"/>
              <w:bottom w:val="nil"/>
              <w:right w:val="nil"/>
            </w:tcBorders>
            <w:shd w:val="clear" w:color="000000" w:fill="FFFFFF"/>
            <w:noWrap/>
            <w:vAlign w:val="center"/>
            <w:hideMark/>
          </w:tcPr>
          <w:p w14:paraId="59188A93" w14:textId="7D9DDCA8"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Submitted</w:t>
            </w:r>
          </w:p>
        </w:tc>
        <w:tc>
          <w:tcPr>
            <w:tcW w:w="749" w:type="pct"/>
            <w:tcBorders>
              <w:top w:val="nil"/>
              <w:left w:val="nil"/>
              <w:bottom w:val="nil"/>
              <w:right w:val="nil"/>
            </w:tcBorders>
            <w:shd w:val="clear" w:color="000000" w:fill="FFFFFF"/>
            <w:noWrap/>
            <w:vAlign w:val="center"/>
            <w:hideMark/>
          </w:tcPr>
          <w:p w14:paraId="1D890198" w14:textId="2C272659"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Not submitted</w:t>
            </w:r>
          </w:p>
        </w:tc>
        <w:tc>
          <w:tcPr>
            <w:tcW w:w="749" w:type="pct"/>
            <w:tcBorders>
              <w:top w:val="nil"/>
              <w:left w:val="nil"/>
              <w:bottom w:val="nil"/>
              <w:right w:val="nil"/>
            </w:tcBorders>
            <w:shd w:val="clear" w:color="000000" w:fill="FFFFFF"/>
            <w:noWrap/>
            <w:vAlign w:val="center"/>
            <w:hideMark/>
          </w:tcPr>
          <w:p w14:paraId="2C0EF60B" w14:textId="74F6EDFC"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Submitted</w:t>
            </w:r>
          </w:p>
        </w:tc>
        <w:tc>
          <w:tcPr>
            <w:tcW w:w="749" w:type="pct"/>
            <w:tcBorders>
              <w:top w:val="nil"/>
              <w:left w:val="nil"/>
              <w:bottom w:val="nil"/>
              <w:right w:val="nil"/>
            </w:tcBorders>
            <w:shd w:val="clear" w:color="000000" w:fill="FFFFFF"/>
            <w:noWrap/>
            <w:vAlign w:val="center"/>
            <w:hideMark/>
          </w:tcPr>
          <w:p w14:paraId="5501C4F5" w14:textId="4014CB97" w:rsidR="00607498" w:rsidRPr="00894701" w:rsidRDefault="00607498" w:rsidP="00607498">
            <w:pPr>
              <w:spacing w:after="0" w:line="240" w:lineRule="auto"/>
              <w:rPr>
                <w:rFonts w:asciiTheme="majorHAnsi" w:hAnsiTheme="majorHAnsi" w:cs="Arial"/>
                <w:color w:val="000000"/>
                <w:kern w:val="0"/>
                <w:sz w:val="16"/>
                <w:szCs w:val="16"/>
              </w:rPr>
            </w:pPr>
            <w:r w:rsidRPr="00894701">
              <w:rPr>
                <w:rFonts w:asciiTheme="majorHAnsi" w:hAnsiTheme="majorHAnsi" w:cs="Arial"/>
                <w:color w:val="000000"/>
                <w:sz w:val="16"/>
                <w:szCs w:val="16"/>
              </w:rPr>
              <w:t>Not submitted</w:t>
            </w:r>
          </w:p>
        </w:tc>
      </w:tr>
    </w:tbl>
    <w:p w14:paraId="226B6433" w14:textId="77777777" w:rsidR="00E17928" w:rsidRPr="00894701" w:rsidRDefault="00E17928" w:rsidP="00E17928">
      <w:pPr>
        <w:pStyle w:val="BodyText"/>
      </w:pPr>
    </w:p>
    <w:p w14:paraId="0CEFBD77" w14:textId="77777777" w:rsidR="00E17928" w:rsidRPr="00894701" w:rsidRDefault="00E17928" w:rsidP="00E17928">
      <w:pPr>
        <w:spacing w:after="0" w:line="240" w:lineRule="auto"/>
      </w:pPr>
      <w:r w:rsidRPr="00894701">
        <w:br w:type="page"/>
      </w:r>
    </w:p>
    <w:p w14:paraId="644435E6" w14:textId="77777777" w:rsidR="00E17928" w:rsidRPr="00894701" w:rsidRDefault="00E17928" w:rsidP="00E17928">
      <w:pPr>
        <w:pStyle w:val="BodyText"/>
      </w:pPr>
    </w:p>
    <w:p w14:paraId="27D4B72F" w14:textId="77777777" w:rsidR="00E17928" w:rsidRPr="00894701" w:rsidRDefault="00E17928" w:rsidP="00E17928">
      <w:pPr>
        <w:pStyle w:val="Heading2"/>
        <w:numPr>
          <w:ilvl w:val="0"/>
          <w:numId w:val="0"/>
        </w:numPr>
        <w:spacing w:before="120" w:after="240"/>
        <w:ind w:right="476"/>
        <w:jc w:val="both"/>
        <w:rPr>
          <w:rFonts w:asciiTheme="minorHAnsi" w:hAnsiTheme="minorHAnsi"/>
          <w:sz w:val="28"/>
          <w:szCs w:val="28"/>
        </w:rPr>
      </w:pPr>
      <w:bookmarkStart w:id="600" w:name="_Toc122478965"/>
      <w:bookmarkStart w:id="601" w:name="_Hlk119585870"/>
      <w:r w:rsidRPr="00894701">
        <w:rPr>
          <w:rFonts w:asciiTheme="minorHAnsi" w:hAnsiTheme="minorHAnsi"/>
          <w:sz w:val="28"/>
          <w:szCs w:val="28"/>
        </w:rPr>
        <w:t>Annex 5: Companies profile as declared by the oil and gas entities</w:t>
      </w:r>
      <w:bookmarkEnd w:id="600"/>
    </w:p>
    <w:tbl>
      <w:tblPr>
        <w:tblW w:w="15168" w:type="dxa"/>
        <w:tblCellMar>
          <w:left w:w="70" w:type="dxa"/>
          <w:right w:w="70" w:type="dxa"/>
        </w:tblCellMar>
        <w:tblLook w:val="04A0" w:firstRow="1" w:lastRow="0" w:firstColumn="1" w:lastColumn="0" w:noHBand="0" w:noVBand="1"/>
      </w:tblPr>
      <w:tblGrid>
        <w:gridCol w:w="397"/>
        <w:gridCol w:w="2297"/>
        <w:gridCol w:w="1280"/>
        <w:gridCol w:w="1271"/>
        <w:gridCol w:w="1239"/>
        <w:gridCol w:w="1628"/>
        <w:gridCol w:w="1239"/>
        <w:gridCol w:w="1239"/>
        <w:gridCol w:w="1239"/>
        <w:gridCol w:w="1014"/>
        <w:gridCol w:w="2325"/>
      </w:tblGrid>
      <w:tr w:rsidR="00904D64" w:rsidRPr="00894701" w14:paraId="20D79C6F" w14:textId="77777777" w:rsidTr="00607498">
        <w:trPr>
          <w:trHeight w:val="612"/>
        </w:trPr>
        <w:tc>
          <w:tcPr>
            <w:tcW w:w="397" w:type="dxa"/>
            <w:tcBorders>
              <w:top w:val="nil"/>
              <w:left w:val="nil"/>
              <w:bottom w:val="nil"/>
              <w:right w:val="nil"/>
            </w:tcBorders>
            <w:shd w:val="clear" w:color="000000" w:fill="800000"/>
            <w:vAlign w:val="center"/>
            <w:hideMark/>
          </w:tcPr>
          <w:bookmarkEnd w:id="601"/>
          <w:p w14:paraId="6062AE84" w14:textId="77777777" w:rsidR="00607498" w:rsidRPr="00894701" w:rsidRDefault="00607498" w:rsidP="00607498">
            <w:pPr>
              <w:spacing w:after="0" w:line="240" w:lineRule="auto"/>
              <w:jc w:val="center"/>
              <w:rPr>
                <w:rFonts w:asciiTheme="majorHAnsi" w:hAnsiTheme="majorHAnsi" w:cs="Arial"/>
                <w:b/>
                <w:bCs/>
                <w:color w:val="FFFFFF"/>
                <w:kern w:val="0"/>
                <w:sz w:val="16"/>
                <w:szCs w:val="16"/>
                <w:lang w:val="fr-FR" w:eastAsia="fr-FR"/>
              </w:rPr>
            </w:pPr>
            <w:r w:rsidRPr="00894701">
              <w:rPr>
                <w:rFonts w:asciiTheme="majorHAnsi" w:hAnsiTheme="majorHAnsi" w:cs="Arial"/>
                <w:b/>
                <w:bCs/>
                <w:color w:val="FFFFFF"/>
                <w:kern w:val="0"/>
                <w:sz w:val="16"/>
                <w:szCs w:val="16"/>
                <w:lang w:val="fr-FR" w:eastAsia="fr-FR"/>
              </w:rPr>
              <w:t>No.</w:t>
            </w:r>
          </w:p>
        </w:tc>
        <w:tc>
          <w:tcPr>
            <w:tcW w:w="2297" w:type="dxa"/>
            <w:tcBorders>
              <w:top w:val="nil"/>
              <w:left w:val="nil"/>
              <w:bottom w:val="nil"/>
              <w:right w:val="nil"/>
            </w:tcBorders>
            <w:shd w:val="clear" w:color="000000" w:fill="800000"/>
            <w:vAlign w:val="center"/>
            <w:hideMark/>
          </w:tcPr>
          <w:p w14:paraId="44CDE966" w14:textId="77777777" w:rsidR="00607498" w:rsidRPr="00894701" w:rsidRDefault="00607498" w:rsidP="00607498">
            <w:pPr>
              <w:spacing w:after="0" w:line="240" w:lineRule="auto"/>
              <w:jc w:val="center"/>
              <w:rPr>
                <w:rFonts w:asciiTheme="majorHAnsi" w:hAnsiTheme="majorHAnsi" w:cs="Arial"/>
                <w:b/>
                <w:bCs/>
                <w:color w:val="FFFFFF"/>
                <w:kern w:val="0"/>
                <w:sz w:val="16"/>
                <w:szCs w:val="16"/>
                <w:lang w:val="fr-FR" w:eastAsia="fr-FR"/>
              </w:rPr>
            </w:pPr>
            <w:r w:rsidRPr="00894701">
              <w:rPr>
                <w:rFonts w:asciiTheme="majorHAnsi" w:hAnsiTheme="majorHAnsi" w:cs="Arial"/>
                <w:b/>
                <w:bCs/>
                <w:color w:val="FFFFFF"/>
                <w:kern w:val="0"/>
                <w:sz w:val="16"/>
                <w:szCs w:val="16"/>
                <w:lang w:val="fr-FR" w:eastAsia="fr-FR"/>
              </w:rPr>
              <w:t>Company</w:t>
            </w:r>
          </w:p>
        </w:tc>
        <w:tc>
          <w:tcPr>
            <w:tcW w:w="1280" w:type="dxa"/>
            <w:tcBorders>
              <w:top w:val="nil"/>
              <w:left w:val="nil"/>
              <w:bottom w:val="nil"/>
              <w:right w:val="nil"/>
            </w:tcBorders>
            <w:shd w:val="clear" w:color="000000" w:fill="800000"/>
            <w:vAlign w:val="center"/>
            <w:hideMark/>
          </w:tcPr>
          <w:p w14:paraId="2A7FDA07" w14:textId="77777777" w:rsidR="00607498" w:rsidRPr="00894701" w:rsidRDefault="00607498" w:rsidP="00607498">
            <w:pPr>
              <w:spacing w:after="0" w:line="240" w:lineRule="auto"/>
              <w:jc w:val="center"/>
              <w:rPr>
                <w:rFonts w:asciiTheme="majorHAnsi" w:hAnsiTheme="majorHAnsi" w:cs="Arial"/>
                <w:b/>
                <w:bCs/>
                <w:color w:val="FFFFFF"/>
                <w:kern w:val="0"/>
                <w:sz w:val="16"/>
                <w:szCs w:val="16"/>
                <w:lang w:val="fr-FR" w:eastAsia="fr-FR"/>
              </w:rPr>
            </w:pPr>
            <w:r w:rsidRPr="00894701">
              <w:rPr>
                <w:rFonts w:asciiTheme="majorHAnsi" w:hAnsiTheme="majorHAnsi" w:cs="Arial"/>
                <w:b/>
                <w:bCs/>
                <w:color w:val="FFFFFF"/>
                <w:kern w:val="0"/>
                <w:sz w:val="16"/>
                <w:szCs w:val="16"/>
                <w:lang w:val="fr-FR" w:eastAsia="fr-FR"/>
              </w:rPr>
              <w:t>Tax Payer Identification Number (TPIN)</w:t>
            </w:r>
          </w:p>
        </w:tc>
        <w:tc>
          <w:tcPr>
            <w:tcW w:w="1271" w:type="dxa"/>
            <w:tcBorders>
              <w:top w:val="nil"/>
              <w:left w:val="nil"/>
              <w:bottom w:val="nil"/>
              <w:right w:val="nil"/>
            </w:tcBorders>
            <w:shd w:val="clear" w:color="000000" w:fill="800000"/>
            <w:vAlign w:val="center"/>
            <w:hideMark/>
          </w:tcPr>
          <w:p w14:paraId="05DC0E92" w14:textId="77777777" w:rsidR="00607498" w:rsidRPr="00894701" w:rsidRDefault="00607498" w:rsidP="00607498">
            <w:pPr>
              <w:spacing w:after="0" w:line="240" w:lineRule="auto"/>
              <w:jc w:val="center"/>
              <w:rPr>
                <w:rFonts w:asciiTheme="majorHAnsi" w:hAnsiTheme="majorHAnsi" w:cs="Arial"/>
                <w:b/>
                <w:bCs/>
                <w:color w:val="FFFFFF"/>
                <w:kern w:val="0"/>
                <w:sz w:val="16"/>
                <w:szCs w:val="16"/>
                <w:lang w:val="fr-FR" w:eastAsia="fr-FR"/>
              </w:rPr>
            </w:pPr>
            <w:r w:rsidRPr="00894701">
              <w:rPr>
                <w:rFonts w:asciiTheme="majorHAnsi" w:hAnsiTheme="majorHAnsi" w:cs="Arial"/>
                <w:b/>
                <w:bCs/>
                <w:color w:val="FFFFFF"/>
                <w:kern w:val="0"/>
                <w:sz w:val="16"/>
                <w:szCs w:val="16"/>
                <w:lang w:val="fr-FR" w:eastAsia="fr-FR"/>
              </w:rPr>
              <w:t>Incorporation date</w:t>
            </w:r>
          </w:p>
        </w:tc>
        <w:tc>
          <w:tcPr>
            <w:tcW w:w="1239" w:type="dxa"/>
            <w:tcBorders>
              <w:top w:val="nil"/>
              <w:left w:val="nil"/>
              <w:bottom w:val="nil"/>
              <w:right w:val="nil"/>
            </w:tcBorders>
            <w:shd w:val="clear" w:color="000000" w:fill="800000"/>
            <w:vAlign w:val="center"/>
            <w:hideMark/>
          </w:tcPr>
          <w:p w14:paraId="6627AA37" w14:textId="77777777" w:rsidR="00607498" w:rsidRPr="00894701" w:rsidRDefault="00607498" w:rsidP="00607498">
            <w:pPr>
              <w:spacing w:after="0" w:line="240" w:lineRule="auto"/>
              <w:jc w:val="center"/>
              <w:rPr>
                <w:rFonts w:asciiTheme="majorHAnsi" w:hAnsiTheme="majorHAnsi" w:cs="Arial"/>
                <w:b/>
                <w:bCs/>
                <w:color w:val="FFFFFF"/>
                <w:kern w:val="0"/>
                <w:sz w:val="16"/>
                <w:szCs w:val="16"/>
                <w:lang w:eastAsia="fr-FR"/>
              </w:rPr>
            </w:pPr>
            <w:r w:rsidRPr="00894701">
              <w:rPr>
                <w:rFonts w:asciiTheme="majorHAnsi" w:hAnsiTheme="majorHAnsi" w:cs="Arial"/>
                <w:b/>
                <w:bCs/>
                <w:color w:val="FFFFFF"/>
                <w:kern w:val="0"/>
                <w:sz w:val="16"/>
                <w:szCs w:val="16"/>
                <w:lang w:eastAsia="fr-FR"/>
              </w:rPr>
              <w:t>activity declared by the company</w:t>
            </w:r>
          </w:p>
        </w:tc>
        <w:tc>
          <w:tcPr>
            <w:tcW w:w="1628" w:type="dxa"/>
            <w:tcBorders>
              <w:top w:val="nil"/>
              <w:left w:val="nil"/>
              <w:bottom w:val="nil"/>
              <w:right w:val="nil"/>
            </w:tcBorders>
            <w:shd w:val="clear" w:color="000000" w:fill="800000"/>
            <w:vAlign w:val="center"/>
            <w:hideMark/>
          </w:tcPr>
          <w:p w14:paraId="1AB9DC25" w14:textId="77777777" w:rsidR="00607498" w:rsidRPr="00894701" w:rsidRDefault="00607498" w:rsidP="00607498">
            <w:pPr>
              <w:spacing w:after="0" w:line="240" w:lineRule="auto"/>
              <w:rPr>
                <w:rFonts w:asciiTheme="majorHAnsi" w:hAnsiTheme="majorHAnsi" w:cs="Arial"/>
                <w:b/>
                <w:bCs/>
                <w:color w:val="FFFFFF"/>
                <w:kern w:val="0"/>
                <w:sz w:val="16"/>
                <w:szCs w:val="16"/>
                <w:lang w:val="fr-FR" w:eastAsia="fr-FR"/>
              </w:rPr>
            </w:pPr>
            <w:r w:rsidRPr="00894701">
              <w:rPr>
                <w:rFonts w:asciiTheme="majorHAnsi" w:hAnsiTheme="majorHAnsi" w:cs="Arial"/>
                <w:b/>
                <w:bCs/>
                <w:color w:val="FFFFFF"/>
                <w:kern w:val="0"/>
                <w:sz w:val="16"/>
                <w:szCs w:val="16"/>
                <w:lang w:val="fr-FR" w:eastAsia="fr-FR"/>
              </w:rPr>
              <w:t>Nature of operations/Business</w:t>
            </w:r>
          </w:p>
        </w:tc>
        <w:tc>
          <w:tcPr>
            <w:tcW w:w="1239" w:type="dxa"/>
            <w:tcBorders>
              <w:top w:val="nil"/>
              <w:left w:val="nil"/>
              <w:bottom w:val="nil"/>
              <w:right w:val="nil"/>
            </w:tcBorders>
            <w:shd w:val="clear" w:color="000000" w:fill="800000"/>
            <w:vAlign w:val="center"/>
            <w:hideMark/>
          </w:tcPr>
          <w:p w14:paraId="673F3AF3" w14:textId="77777777" w:rsidR="00607498" w:rsidRPr="00894701" w:rsidRDefault="00607498" w:rsidP="00607498">
            <w:pPr>
              <w:spacing w:after="0" w:line="240" w:lineRule="auto"/>
              <w:jc w:val="center"/>
              <w:rPr>
                <w:rFonts w:asciiTheme="majorHAnsi" w:hAnsiTheme="majorHAnsi" w:cs="Arial"/>
                <w:b/>
                <w:bCs/>
                <w:color w:val="FFFFFF"/>
                <w:kern w:val="0"/>
                <w:sz w:val="16"/>
                <w:szCs w:val="16"/>
                <w:lang w:val="fr-FR" w:eastAsia="fr-FR"/>
              </w:rPr>
            </w:pPr>
            <w:r w:rsidRPr="00894701">
              <w:rPr>
                <w:rFonts w:asciiTheme="majorHAnsi" w:hAnsiTheme="majorHAnsi" w:cs="Arial"/>
                <w:b/>
                <w:bCs/>
                <w:color w:val="FFFFFF"/>
                <w:kern w:val="0"/>
                <w:sz w:val="16"/>
                <w:szCs w:val="16"/>
                <w:lang w:val="fr-FR" w:eastAsia="fr-FR"/>
              </w:rPr>
              <w:t>% other than mining activity</w:t>
            </w:r>
          </w:p>
        </w:tc>
        <w:tc>
          <w:tcPr>
            <w:tcW w:w="1239" w:type="dxa"/>
            <w:tcBorders>
              <w:top w:val="nil"/>
              <w:left w:val="nil"/>
              <w:bottom w:val="nil"/>
              <w:right w:val="nil"/>
            </w:tcBorders>
            <w:shd w:val="clear" w:color="000000" w:fill="800000"/>
            <w:vAlign w:val="center"/>
            <w:hideMark/>
          </w:tcPr>
          <w:p w14:paraId="7FC56F5D" w14:textId="77777777" w:rsidR="00607498" w:rsidRPr="00894701" w:rsidRDefault="00607498" w:rsidP="00607498">
            <w:pPr>
              <w:spacing w:after="0" w:line="240" w:lineRule="auto"/>
              <w:jc w:val="center"/>
              <w:rPr>
                <w:rFonts w:asciiTheme="majorHAnsi" w:hAnsiTheme="majorHAnsi" w:cs="Arial"/>
                <w:b/>
                <w:bCs/>
                <w:color w:val="FFFFFF"/>
                <w:kern w:val="0"/>
                <w:sz w:val="16"/>
                <w:szCs w:val="16"/>
                <w:lang w:val="fr-FR" w:eastAsia="fr-FR"/>
              </w:rPr>
            </w:pPr>
            <w:r w:rsidRPr="00894701">
              <w:rPr>
                <w:rFonts w:asciiTheme="majorHAnsi" w:hAnsiTheme="majorHAnsi" w:cs="Arial"/>
                <w:b/>
                <w:bCs/>
                <w:color w:val="FFFFFF"/>
                <w:kern w:val="0"/>
                <w:sz w:val="16"/>
                <w:szCs w:val="16"/>
                <w:lang w:val="fr-FR" w:eastAsia="fr-FR"/>
              </w:rPr>
              <w:t>%  Oil and Gas activity</w:t>
            </w:r>
          </w:p>
        </w:tc>
        <w:tc>
          <w:tcPr>
            <w:tcW w:w="1239" w:type="dxa"/>
            <w:tcBorders>
              <w:top w:val="nil"/>
              <w:left w:val="nil"/>
              <w:bottom w:val="nil"/>
              <w:right w:val="nil"/>
            </w:tcBorders>
            <w:shd w:val="clear" w:color="000000" w:fill="800000"/>
            <w:vAlign w:val="center"/>
            <w:hideMark/>
          </w:tcPr>
          <w:p w14:paraId="544E42FD" w14:textId="77777777" w:rsidR="00607498" w:rsidRPr="00894701" w:rsidRDefault="00607498" w:rsidP="00607498">
            <w:pPr>
              <w:spacing w:after="0" w:line="240" w:lineRule="auto"/>
              <w:jc w:val="center"/>
              <w:rPr>
                <w:rFonts w:asciiTheme="majorHAnsi" w:hAnsiTheme="majorHAnsi" w:cs="Arial"/>
                <w:b/>
                <w:bCs/>
                <w:color w:val="FFFFFF"/>
                <w:kern w:val="0"/>
                <w:sz w:val="16"/>
                <w:szCs w:val="16"/>
                <w:lang w:val="fr-FR" w:eastAsia="fr-FR"/>
              </w:rPr>
            </w:pPr>
            <w:r w:rsidRPr="00894701">
              <w:rPr>
                <w:rFonts w:asciiTheme="majorHAnsi" w:hAnsiTheme="majorHAnsi" w:cs="Arial"/>
                <w:b/>
                <w:bCs/>
                <w:color w:val="FFFFFF"/>
                <w:kern w:val="0"/>
                <w:sz w:val="16"/>
                <w:szCs w:val="16"/>
                <w:lang w:val="fr-FR" w:eastAsia="fr-FR"/>
              </w:rPr>
              <w:t>Legal Status</w:t>
            </w:r>
          </w:p>
        </w:tc>
        <w:tc>
          <w:tcPr>
            <w:tcW w:w="1014" w:type="dxa"/>
            <w:tcBorders>
              <w:top w:val="nil"/>
              <w:left w:val="nil"/>
              <w:bottom w:val="nil"/>
              <w:right w:val="nil"/>
            </w:tcBorders>
            <w:shd w:val="clear" w:color="000000" w:fill="800000"/>
            <w:vAlign w:val="center"/>
            <w:hideMark/>
          </w:tcPr>
          <w:p w14:paraId="596CB5A8" w14:textId="77777777" w:rsidR="00607498" w:rsidRPr="00894701" w:rsidRDefault="00607498" w:rsidP="00607498">
            <w:pPr>
              <w:spacing w:after="0" w:line="240" w:lineRule="auto"/>
              <w:jc w:val="center"/>
              <w:rPr>
                <w:rFonts w:asciiTheme="majorHAnsi" w:hAnsiTheme="majorHAnsi" w:cs="Arial"/>
                <w:b/>
                <w:bCs/>
                <w:color w:val="FFFFFF"/>
                <w:kern w:val="0"/>
                <w:sz w:val="16"/>
                <w:szCs w:val="16"/>
                <w:lang w:val="fr-FR" w:eastAsia="fr-FR"/>
              </w:rPr>
            </w:pPr>
            <w:r w:rsidRPr="00894701">
              <w:rPr>
                <w:rFonts w:asciiTheme="majorHAnsi" w:hAnsiTheme="majorHAnsi" w:cs="Arial"/>
                <w:b/>
                <w:bCs/>
                <w:color w:val="FFFFFF"/>
                <w:kern w:val="0"/>
                <w:sz w:val="16"/>
                <w:szCs w:val="16"/>
                <w:lang w:val="fr-FR" w:eastAsia="fr-FR"/>
              </w:rPr>
              <w:t>Capital</w:t>
            </w:r>
            <w:r w:rsidRPr="00894701">
              <w:rPr>
                <w:rFonts w:asciiTheme="majorHAnsi" w:hAnsiTheme="majorHAnsi" w:cs="Arial"/>
                <w:b/>
                <w:bCs/>
                <w:color w:val="FFFFFF"/>
                <w:kern w:val="0"/>
                <w:sz w:val="16"/>
                <w:szCs w:val="16"/>
                <w:lang w:val="fr-FR" w:eastAsia="fr-FR"/>
              </w:rPr>
              <w:br/>
              <w:t>(SRD)</w:t>
            </w:r>
          </w:p>
        </w:tc>
        <w:tc>
          <w:tcPr>
            <w:tcW w:w="2325" w:type="dxa"/>
            <w:tcBorders>
              <w:top w:val="nil"/>
              <w:left w:val="nil"/>
              <w:bottom w:val="nil"/>
              <w:right w:val="nil"/>
            </w:tcBorders>
            <w:shd w:val="clear" w:color="000000" w:fill="800000"/>
            <w:vAlign w:val="center"/>
            <w:hideMark/>
          </w:tcPr>
          <w:p w14:paraId="3A81CE64" w14:textId="77777777" w:rsidR="00607498" w:rsidRPr="00894701" w:rsidRDefault="00607498" w:rsidP="00607498">
            <w:pPr>
              <w:spacing w:after="0" w:line="240" w:lineRule="auto"/>
              <w:jc w:val="center"/>
              <w:rPr>
                <w:rFonts w:asciiTheme="majorHAnsi" w:hAnsiTheme="majorHAnsi" w:cs="Arial"/>
                <w:b/>
                <w:bCs/>
                <w:color w:val="FFFFFF"/>
                <w:kern w:val="0"/>
                <w:sz w:val="16"/>
                <w:szCs w:val="16"/>
                <w:lang w:val="fr-FR" w:eastAsia="fr-FR"/>
              </w:rPr>
            </w:pPr>
            <w:r w:rsidRPr="00894701">
              <w:rPr>
                <w:rFonts w:asciiTheme="majorHAnsi" w:hAnsiTheme="majorHAnsi" w:cs="Arial"/>
                <w:b/>
                <w:bCs/>
                <w:color w:val="FFFFFF"/>
                <w:kern w:val="0"/>
                <w:sz w:val="16"/>
                <w:szCs w:val="16"/>
                <w:lang w:val="fr-FR" w:eastAsia="fr-FR"/>
              </w:rPr>
              <w:t>Company Adress</w:t>
            </w:r>
          </w:p>
        </w:tc>
      </w:tr>
      <w:tr w:rsidR="00904D64" w:rsidRPr="00894701" w14:paraId="1D338E91" w14:textId="77777777" w:rsidTr="00607498">
        <w:trPr>
          <w:trHeight w:val="810"/>
        </w:trPr>
        <w:tc>
          <w:tcPr>
            <w:tcW w:w="397" w:type="dxa"/>
            <w:tcBorders>
              <w:top w:val="nil"/>
              <w:left w:val="nil"/>
              <w:bottom w:val="nil"/>
              <w:right w:val="nil"/>
            </w:tcBorders>
            <w:shd w:val="clear" w:color="000000" w:fill="FFA7A7"/>
            <w:noWrap/>
            <w:vAlign w:val="center"/>
            <w:hideMark/>
          </w:tcPr>
          <w:p w14:paraId="0A991A74" w14:textId="77777777" w:rsidR="00607498" w:rsidRPr="00894701" w:rsidRDefault="00607498" w:rsidP="00607498">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1</w:t>
            </w:r>
          </w:p>
        </w:tc>
        <w:tc>
          <w:tcPr>
            <w:tcW w:w="2297" w:type="dxa"/>
            <w:tcBorders>
              <w:top w:val="single" w:sz="4" w:space="0" w:color="auto"/>
              <w:left w:val="nil"/>
              <w:bottom w:val="single" w:sz="4" w:space="0" w:color="auto"/>
              <w:right w:val="nil"/>
            </w:tcBorders>
            <w:shd w:val="clear" w:color="000000" w:fill="FFA7A7"/>
            <w:vAlign w:val="center"/>
            <w:hideMark/>
          </w:tcPr>
          <w:p w14:paraId="2E989C99" w14:textId="77777777" w:rsidR="00607498" w:rsidRPr="00894701" w:rsidRDefault="00607498" w:rsidP="00607498">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Kosmos Energy Suriname</w:t>
            </w:r>
          </w:p>
        </w:tc>
        <w:tc>
          <w:tcPr>
            <w:tcW w:w="1280" w:type="dxa"/>
            <w:tcBorders>
              <w:top w:val="single" w:sz="4" w:space="0" w:color="auto"/>
              <w:left w:val="nil"/>
              <w:bottom w:val="single" w:sz="4" w:space="0" w:color="auto"/>
              <w:right w:val="nil"/>
            </w:tcBorders>
            <w:shd w:val="clear" w:color="000000" w:fill="FFA7A7"/>
            <w:vAlign w:val="center"/>
            <w:hideMark/>
          </w:tcPr>
          <w:p w14:paraId="2FBC65DC" w14:textId="77777777" w:rsidR="00607498" w:rsidRPr="00894701" w:rsidRDefault="00607498" w:rsidP="00607498">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57141</w:t>
            </w:r>
          </w:p>
        </w:tc>
        <w:tc>
          <w:tcPr>
            <w:tcW w:w="1271" w:type="dxa"/>
            <w:tcBorders>
              <w:top w:val="single" w:sz="4" w:space="0" w:color="auto"/>
              <w:left w:val="nil"/>
              <w:bottom w:val="single" w:sz="4" w:space="0" w:color="auto"/>
              <w:right w:val="nil"/>
            </w:tcBorders>
            <w:shd w:val="clear" w:color="000000" w:fill="FFA7A7"/>
            <w:vAlign w:val="center"/>
            <w:hideMark/>
          </w:tcPr>
          <w:p w14:paraId="699C7F50" w14:textId="77777777" w:rsidR="00607498" w:rsidRPr="00894701" w:rsidRDefault="00607498">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13/05/2011</w:t>
            </w:r>
          </w:p>
        </w:tc>
        <w:tc>
          <w:tcPr>
            <w:tcW w:w="1239" w:type="dxa"/>
            <w:tcBorders>
              <w:top w:val="single" w:sz="4" w:space="0" w:color="auto"/>
              <w:left w:val="nil"/>
              <w:bottom w:val="single" w:sz="4" w:space="0" w:color="auto"/>
              <w:right w:val="nil"/>
            </w:tcBorders>
            <w:shd w:val="clear" w:color="000000" w:fill="FFA7A7"/>
            <w:vAlign w:val="center"/>
            <w:hideMark/>
          </w:tcPr>
          <w:p w14:paraId="33CD0A76" w14:textId="77777777" w:rsidR="00607498" w:rsidRPr="00894701" w:rsidRDefault="00607498" w:rsidP="00BA29E5">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Oil &amp; Gas</w:t>
            </w:r>
          </w:p>
        </w:tc>
        <w:tc>
          <w:tcPr>
            <w:tcW w:w="1628" w:type="dxa"/>
            <w:tcBorders>
              <w:top w:val="single" w:sz="4" w:space="0" w:color="auto"/>
              <w:left w:val="nil"/>
              <w:bottom w:val="single" w:sz="4" w:space="0" w:color="auto"/>
              <w:right w:val="nil"/>
            </w:tcBorders>
            <w:shd w:val="clear" w:color="000000" w:fill="FFA7A7"/>
            <w:vAlign w:val="center"/>
            <w:hideMark/>
          </w:tcPr>
          <w:p w14:paraId="5C172802" w14:textId="77777777" w:rsidR="00607498" w:rsidRPr="00894701" w:rsidRDefault="00607498">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Exploration activity</w:t>
            </w:r>
          </w:p>
        </w:tc>
        <w:tc>
          <w:tcPr>
            <w:tcW w:w="1239" w:type="dxa"/>
            <w:tcBorders>
              <w:top w:val="single" w:sz="4" w:space="0" w:color="auto"/>
              <w:left w:val="nil"/>
              <w:bottom w:val="single" w:sz="4" w:space="0" w:color="auto"/>
              <w:right w:val="nil"/>
            </w:tcBorders>
            <w:shd w:val="clear" w:color="000000" w:fill="FFA7A7"/>
            <w:vAlign w:val="center"/>
            <w:hideMark/>
          </w:tcPr>
          <w:p w14:paraId="7F66B814" w14:textId="77777777" w:rsidR="00607498" w:rsidRPr="00894701" w:rsidRDefault="00607498">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0%</w:t>
            </w:r>
          </w:p>
        </w:tc>
        <w:tc>
          <w:tcPr>
            <w:tcW w:w="1239" w:type="dxa"/>
            <w:tcBorders>
              <w:top w:val="single" w:sz="4" w:space="0" w:color="auto"/>
              <w:left w:val="nil"/>
              <w:bottom w:val="single" w:sz="4" w:space="0" w:color="auto"/>
              <w:right w:val="nil"/>
            </w:tcBorders>
            <w:shd w:val="clear" w:color="000000" w:fill="FFA7A7"/>
            <w:vAlign w:val="center"/>
            <w:hideMark/>
          </w:tcPr>
          <w:p w14:paraId="22B0D1ED" w14:textId="77777777" w:rsidR="00607498" w:rsidRPr="00894701" w:rsidRDefault="00607498">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100%</w:t>
            </w:r>
          </w:p>
        </w:tc>
        <w:tc>
          <w:tcPr>
            <w:tcW w:w="1239" w:type="dxa"/>
            <w:tcBorders>
              <w:top w:val="single" w:sz="4" w:space="0" w:color="auto"/>
              <w:left w:val="nil"/>
              <w:bottom w:val="single" w:sz="4" w:space="0" w:color="auto"/>
              <w:right w:val="nil"/>
            </w:tcBorders>
            <w:shd w:val="clear" w:color="000000" w:fill="FFA7A7"/>
            <w:vAlign w:val="center"/>
            <w:hideMark/>
          </w:tcPr>
          <w:p w14:paraId="747231E8" w14:textId="77777777" w:rsidR="00607498" w:rsidRPr="00894701" w:rsidRDefault="00607498">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Active</w:t>
            </w:r>
          </w:p>
        </w:tc>
        <w:tc>
          <w:tcPr>
            <w:tcW w:w="1014" w:type="dxa"/>
            <w:tcBorders>
              <w:top w:val="single" w:sz="4" w:space="0" w:color="auto"/>
              <w:left w:val="nil"/>
              <w:bottom w:val="single" w:sz="4" w:space="0" w:color="auto"/>
              <w:right w:val="nil"/>
            </w:tcBorders>
            <w:shd w:val="clear" w:color="000000" w:fill="FFA7A7"/>
            <w:vAlign w:val="center"/>
            <w:hideMark/>
          </w:tcPr>
          <w:p w14:paraId="5BF1960E" w14:textId="77777777" w:rsidR="00607498" w:rsidRPr="00894701" w:rsidRDefault="00607498">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NC</w:t>
            </w:r>
          </w:p>
        </w:tc>
        <w:tc>
          <w:tcPr>
            <w:tcW w:w="2325" w:type="dxa"/>
            <w:tcBorders>
              <w:top w:val="single" w:sz="4" w:space="0" w:color="auto"/>
              <w:left w:val="nil"/>
              <w:bottom w:val="single" w:sz="4" w:space="0" w:color="auto"/>
              <w:right w:val="nil"/>
            </w:tcBorders>
            <w:shd w:val="clear" w:color="000000" w:fill="FFA7A7"/>
            <w:vAlign w:val="center"/>
            <w:hideMark/>
          </w:tcPr>
          <w:p w14:paraId="5E166BD4" w14:textId="77777777" w:rsidR="00607498" w:rsidRPr="00894701" w:rsidRDefault="00607498" w:rsidP="00607498">
            <w:pPr>
              <w:spacing w:after="0" w:line="240" w:lineRule="auto"/>
              <w:rPr>
                <w:rFonts w:asciiTheme="majorHAnsi" w:hAnsiTheme="majorHAnsi" w:cs="Arial"/>
                <w:color w:val="auto"/>
                <w:kern w:val="0"/>
                <w:sz w:val="16"/>
                <w:szCs w:val="16"/>
                <w:lang w:eastAsia="fr-FR"/>
              </w:rPr>
            </w:pPr>
            <w:r w:rsidRPr="00894701">
              <w:rPr>
                <w:rFonts w:asciiTheme="majorHAnsi" w:hAnsiTheme="majorHAnsi" w:cs="Arial"/>
                <w:color w:val="auto"/>
                <w:kern w:val="0"/>
                <w:sz w:val="16"/>
                <w:szCs w:val="16"/>
                <w:lang w:eastAsia="fr-FR"/>
              </w:rPr>
              <w:t>Registered Address in Cayman Islands - 4th Floor Century Yard, Elgin Avenue, George Town, Cayman Islands KYI -1209</w:t>
            </w:r>
          </w:p>
        </w:tc>
      </w:tr>
      <w:tr w:rsidR="00904D64" w:rsidRPr="00894701" w14:paraId="3513381C" w14:textId="77777777" w:rsidTr="00607498">
        <w:trPr>
          <w:trHeight w:val="264"/>
        </w:trPr>
        <w:tc>
          <w:tcPr>
            <w:tcW w:w="397" w:type="dxa"/>
            <w:tcBorders>
              <w:top w:val="nil"/>
              <w:left w:val="nil"/>
              <w:bottom w:val="nil"/>
              <w:right w:val="nil"/>
            </w:tcBorders>
            <w:shd w:val="clear" w:color="000000" w:fill="FFFFFF"/>
            <w:noWrap/>
            <w:vAlign w:val="center"/>
            <w:hideMark/>
          </w:tcPr>
          <w:p w14:paraId="5DF10F64" w14:textId="77777777" w:rsidR="00607498" w:rsidRPr="00894701" w:rsidRDefault="00607498" w:rsidP="00607498">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2</w:t>
            </w:r>
          </w:p>
        </w:tc>
        <w:tc>
          <w:tcPr>
            <w:tcW w:w="2297" w:type="dxa"/>
            <w:tcBorders>
              <w:top w:val="nil"/>
              <w:left w:val="nil"/>
              <w:bottom w:val="single" w:sz="4" w:space="0" w:color="auto"/>
              <w:right w:val="nil"/>
            </w:tcBorders>
            <w:shd w:val="clear" w:color="000000" w:fill="FFFFFF"/>
            <w:vAlign w:val="center"/>
            <w:hideMark/>
          </w:tcPr>
          <w:p w14:paraId="03E84A72" w14:textId="77777777" w:rsidR="00607498" w:rsidRPr="00894701" w:rsidRDefault="00607498" w:rsidP="00607498">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Tullow Oil Plc</w:t>
            </w:r>
          </w:p>
        </w:tc>
        <w:tc>
          <w:tcPr>
            <w:tcW w:w="1280" w:type="dxa"/>
            <w:tcBorders>
              <w:top w:val="nil"/>
              <w:left w:val="nil"/>
              <w:bottom w:val="single" w:sz="4" w:space="0" w:color="auto"/>
              <w:right w:val="nil"/>
            </w:tcBorders>
            <w:shd w:val="clear" w:color="000000" w:fill="FFFFFF"/>
            <w:vAlign w:val="center"/>
            <w:hideMark/>
          </w:tcPr>
          <w:p w14:paraId="017CA619" w14:textId="77777777" w:rsidR="00607498" w:rsidRPr="00894701" w:rsidRDefault="00607498" w:rsidP="00607498">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NS</w:t>
            </w:r>
          </w:p>
        </w:tc>
        <w:tc>
          <w:tcPr>
            <w:tcW w:w="1271" w:type="dxa"/>
            <w:tcBorders>
              <w:top w:val="nil"/>
              <w:left w:val="nil"/>
              <w:bottom w:val="single" w:sz="4" w:space="0" w:color="auto"/>
              <w:right w:val="nil"/>
            </w:tcBorders>
            <w:shd w:val="clear" w:color="000000" w:fill="FFFFFF"/>
            <w:vAlign w:val="center"/>
            <w:hideMark/>
          </w:tcPr>
          <w:p w14:paraId="25FCC6C7" w14:textId="77777777" w:rsidR="00607498" w:rsidRPr="00894701" w:rsidRDefault="00607498">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NS</w:t>
            </w:r>
          </w:p>
        </w:tc>
        <w:tc>
          <w:tcPr>
            <w:tcW w:w="1239" w:type="dxa"/>
            <w:tcBorders>
              <w:top w:val="nil"/>
              <w:left w:val="nil"/>
              <w:bottom w:val="single" w:sz="4" w:space="0" w:color="auto"/>
              <w:right w:val="nil"/>
            </w:tcBorders>
            <w:shd w:val="clear" w:color="000000" w:fill="FFFFFF"/>
            <w:vAlign w:val="center"/>
            <w:hideMark/>
          </w:tcPr>
          <w:p w14:paraId="6D6294E3" w14:textId="77777777" w:rsidR="00607498" w:rsidRPr="00894701" w:rsidRDefault="00607498" w:rsidP="0090575B">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NS</w:t>
            </w:r>
          </w:p>
        </w:tc>
        <w:tc>
          <w:tcPr>
            <w:tcW w:w="1628" w:type="dxa"/>
            <w:tcBorders>
              <w:top w:val="nil"/>
              <w:left w:val="nil"/>
              <w:bottom w:val="single" w:sz="4" w:space="0" w:color="auto"/>
              <w:right w:val="nil"/>
            </w:tcBorders>
            <w:shd w:val="clear" w:color="000000" w:fill="FFFFFF"/>
            <w:vAlign w:val="center"/>
            <w:hideMark/>
          </w:tcPr>
          <w:p w14:paraId="79F6B093" w14:textId="77777777" w:rsidR="00607498" w:rsidRPr="00894701" w:rsidRDefault="00607498">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NS</w:t>
            </w:r>
          </w:p>
        </w:tc>
        <w:tc>
          <w:tcPr>
            <w:tcW w:w="1239" w:type="dxa"/>
            <w:tcBorders>
              <w:top w:val="nil"/>
              <w:left w:val="nil"/>
              <w:bottom w:val="single" w:sz="4" w:space="0" w:color="auto"/>
              <w:right w:val="nil"/>
            </w:tcBorders>
            <w:shd w:val="clear" w:color="000000" w:fill="FFFFFF"/>
            <w:vAlign w:val="center"/>
            <w:hideMark/>
          </w:tcPr>
          <w:p w14:paraId="07E0F36A" w14:textId="77777777" w:rsidR="00607498" w:rsidRPr="00894701" w:rsidRDefault="00607498">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NS</w:t>
            </w:r>
          </w:p>
        </w:tc>
        <w:tc>
          <w:tcPr>
            <w:tcW w:w="1239" w:type="dxa"/>
            <w:tcBorders>
              <w:top w:val="nil"/>
              <w:left w:val="nil"/>
              <w:bottom w:val="single" w:sz="4" w:space="0" w:color="auto"/>
              <w:right w:val="nil"/>
            </w:tcBorders>
            <w:shd w:val="clear" w:color="000000" w:fill="FFFFFF"/>
            <w:vAlign w:val="center"/>
            <w:hideMark/>
          </w:tcPr>
          <w:p w14:paraId="5BE6CE4C" w14:textId="77777777" w:rsidR="00607498" w:rsidRPr="00894701" w:rsidRDefault="00607498">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NS</w:t>
            </w:r>
          </w:p>
        </w:tc>
        <w:tc>
          <w:tcPr>
            <w:tcW w:w="1239" w:type="dxa"/>
            <w:tcBorders>
              <w:top w:val="nil"/>
              <w:left w:val="nil"/>
              <w:bottom w:val="single" w:sz="4" w:space="0" w:color="auto"/>
              <w:right w:val="nil"/>
            </w:tcBorders>
            <w:shd w:val="clear" w:color="000000" w:fill="FFFFFF"/>
            <w:vAlign w:val="center"/>
            <w:hideMark/>
          </w:tcPr>
          <w:p w14:paraId="40851A91" w14:textId="77777777" w:rsidR="00607498" w:rsidRPr="00894701" w:rsidRDefault="00607498">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NS</w:t>
            </w:r>
          </w:p>
        </w:tc>
        <w:tc>
          <w:tcPr>
            <w:tcW w:w="1014" w:type="dxa"/>
            <w:tcBorders>
              <w:top w:val="nil"/>
              <w:left w:val="nil"/>
              <w:bottom w:val="single" w:sz="4" w:space="0" w:color="auto"/>
              <w:right w:val="nil"/>
            </w:tcBorders>
            <w:shd w:val="clear" w:color="000000" w:fill="FFFFFF"/>
            <w:vAlign w:val="center"/>
            <w:hideMark/>
          </w:tcPr>
          <w:p w14:paraId="4D59082A" w14:textId="77777777" w:rsidR="00607498" w:rsidRPr="00894701" w:rsidRDefault="00607498">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NS</w:t>
            </w:r>
          </w:p>
        </w:tc>
        <w:tc>
          <w:tcPr>
            <w:tcW w:w="2325" w:type="dxa"/>
            <w:tcBorders>
              <w:top w:val="nil"/>
              <w:left w:val="nil"/>
              <w:bottom w:val="single" w:sz="4" w:space="0" w:color="auto"/>
              <w:right w:val="nil"/>
            </w:tcBorders>
            <w:shd w:val="clear" w:color="000000" w:fill="FFFFFF"/>
            <w:vAlign w:val="center"/>
            <w:hideMark/>
          </w:tcPr>
          <w:p w14:paraId="6B9B04C7" w14:textId="77777777" w:rsidR="00607498" w:rsidRPr="00894701" w:rsidRDefault="00607498" w:rsidP="00607498">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NS</w:t>
            </w:r>
          </w:p>
        </w:tc>
      </w:tr>
      <w:tr w:rsidR="00904D64" w:rsidRPr="00894701" w14:paraId="274BA096" w14:textId="77777777" w:rsidTr="00607498">
        <w:trPr>
          <w:trHeight w:val="264"/>
        </w:trPr>
        <w:tc>
          <w:tcPr>
            <w:tcW w:w="397" w:type="dxa"/>
            <w:tcBorders>
              <w:top w:val="nil"/>
              <w:left w:val="nil"/>
              <w:bottom w:val="nil"/>
              <w:right w:val="nil"/>
            </w:tcBorders>
            <w:shd w:val="clear" w:color="000000" w:fill="FFA7A7"/>
            <w:noWrap/>
            <w:vAlign w:val="center"/>
            <w:hideMark/>
          </w:tcPr>
          <w:p w14:paraId="3D5C60B7" w14:textId="77777777" w:rsidR="00607498" w:rsidRPr="00894701" w:rsidRDefault="00607498" w:rsidP="00607498">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3</w:t>
            </w:r>
          </w:p>
        </w:tc>
        <w:tc>
          <w:tcPr>
            <w:tcW w:w="2297" w:type="dxa"/>
            <w:tcBorders>
              <w:top w:val="nil"/>
              <w:left w:val="nil"/>
              <w:bottom w:val="single" w:sz="4" w:space="0" w:color="auto"/>
              <w:right w:val="nil"/>
            </w:tcBorders>
            <w:shd w:val="clear" w:color="000000" w:fill="FFA7A7"/>
            <w:vAlign w:val="center"/>
            <w:hideMark/>
          </w:tcPr>
          <w:p w14:paraId="1BF71E74" w14:textId="77777777" w:rsidR="00607498" w:rsidRPr="00894701" w:rsidRDefault="00607498" w:rsidP="00607498">
            <w:pPr>
              <w:spacing w:after="0" w:line="240" w:lineRule="auto"/>
              <w:rPr>
                <w:rFonts w:asciiTheme="majorHAnsi" w:hAnsiTheme="majorHAnsi" w:cs="Arial"/>
                <w:color w:val="auto"/>
                <w:kern w:val="0"/>
                <w:sz w:val="16"/>
                <w:szCs w:val="16"/>
                <w:lang w:eastAsia="fr-FR"/>
              </w:rPr>
            </w:pPr>
            <w:r w:rsidRPr="00894701">
              <w:rPr>
                <w:rFonts w:asciiTheme="majorHAnsi" w:hAnsiTheme="majorHAnsi" w:cs="Arial"/>
                <w:color w:val="auto"/>
                <w:kern w:val="0"/>
                <w:sz w:val="16"/>
                <w:szCs w:val="16"/>
                <w:lang w:eastAsia="fr-FR"/>
              </w:rPr>
              <w:t xml:space="preserve">Total E&amp;P Suriname B.V. </w:t>
            </w:r>
          </w:p>
        </w:tc>
        <w:tc>
          <w:tcPr>
            <w:tcW w:w="1280" w:type="dxa"/>
            <w:tcBorders>
              <w:top w:val="nil"/>
              <w:left w:val="nil"/>
              <w:bottom w:val="single" w:sz="4" w:space="0" w:color="auto"/>
              <w:right w:val="nil"/>
            </w:tcBorders>
            <w:shd w:val="clear" w:color="000000" w:fill="FFA7A7"/>
            <w:vAlign w:val="center"/>
            <w:hideMark/>
          </w:tcPr>
          <w:p w14:paraId="7258170A" w14:textId="77777777" w:rsidR="00607498" w:rsidRPr="00894701" w:rsidRDefault="00607498" w:rsidP="00607498">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10304</w:t>
            </w:r>
          </w:p>
        </w:tc>
        <w:tc>
          <w:tcPr>
            <w:tcW w:w="1271" w:type="dxa"/>
            <w:tcBorders>
              <w:top w:val="nil"/>
              <w:left w:val="nil"/>
              <w:bottom w:val="single" w:sz="4" w:space="0" w:color="auto"/>
              <w:right w:val="nil"/>
            </w:tcBorders>
            <w:shd w:val="clear" w:color="000000" w:fill="FFA7A7"/>
            <w:vAlign w:val="center"/>
            <w:hideMark/>
          </w:tcPr>
          <w:p w14:paraId="3878BEBD" w14:textId="77777777" w:rsidR="00607498" w:rsidRPr="00894701" w:rsidRDefault="00607498">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28/05/2020</w:t>
            </w:r>
          </w:p>
        </w:tc>
        <w:tc>
          <w:tcPr>
            <w:tcW w:w="1239" w:type="dxa"/>
            <w:tcBorders>
              <w:top w:val="nil"/>
              <w:left w:val="nil"/>
              <w:bottom w:val="single" w:sz="4" w:space="0" w:color="auto"/>
              <w:right w:val="nil"/>
            </w:tcBorders>
            <w:shd w:val="clear" w:color="000000" w:fill="FFA7A7"/>
            <w:vAlign w:val="center"/>
            <w:hideMark/>
          </w:tcPr>
          <w:p w14:paraId="0B3A25EA" w14:textId="77777777" w:rsidR="00607498" w:rsidRPr="00894701" w:rsidRDefault="00607498" w:rsidP="0090575B">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Oil &amp; Gas</w:t>
            </w:r>
          </w:p>
        </w:tc>
        <w:tc>
          <w:tcPr>
            <w:tcW w:w="1628" w:type="dxa"/>
            <w:tcBorders>
              <w:top w:val="nil"/>
              <w:left w:val="nil"/>
              <w:bottom w:val="single" w:sz="4" w:space="0" w:color="auto"/>
              <w:right w:val="nil"/>
            </w:tcBorders>
            <w:shd w:val="clear" w:color="000000" w:fill="FFA7A7"/>
            <w:vAlign w:val="center"/>
            <w:hideMark/>
          </w:tcPr>
          <w:p w14:paraId="50CD3FE6" w14:textId="77777777" w:rsidR="00607498" w:rsidRPr="00894701" w:rsidRDefault="00607498">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Exploration activity</w:t>
            </w:r>
          </w:p>
        </w:tc>
        <w:tc>
          <w:tcPr>
            <w:tcW w:w="1239" w:type="dxa"/>
            <w:tcBorders>
              <w:top w:val="nil"/>
              <w:left w:val="nil"/>
              <w:bottom w:val="single" w:sz="4" w:space="0" w:color="auto"/>
              <w:right w:val="nil"/>
            </w:tcBorders>
            <w:shd w:val="clear" w:color="000000" w:fill="FFA7A7"/>
            <w:vAlign w:val="center"/>
            <w:hideMark/>
          </w:tcPr>
          <w:p w14:paraId="6D1935BD" w14:textId="77777777" w:rsidR="00607498" w:rsidRPr="00894701" w:rsidRDefault="00607498">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0%</w:t>
            </w:r>
          </w:p>
        </w:tc>
        <w:tc>
          <w:tcPr>
            <w:tcW w:w="1239" w:type="dxa"/>
            <w:tcBorders>
              <w:top w:val="nil"/>
              <w:left w:val="nil"/>
              <w:bottom w:val="single" w:sz="4" w:space="0" w:color="auto"/>
              <w:right w:val="nil"/>
            </w:tcBorders>
            <w:shd w:val="clear" w:color="000000" w:fill="FFA7A7"/>
            <w:vAlign w:val="center"/>
            <w:hideMark/>
          </w:tcPr>
          <w:p w14:paraId="7B2F9608" w14:textId="77777777" w:rsidR="00607498" w:rsidRPr="00894701" w:rsidRDefault="00607498">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100%</w:t>
            </w:r>
          </w:p>
        </w:tc>
        <w:tc>
          <w:tcPr>
            <w:tcW w:w="1239" w:type="dxa"/>
            <w:tcBorders>
              <w:top w:val="nil"/>
              <w:left w:val="nil"/>
              <w:bottom w:val="single" w:sz="4" w:space="0" w:color="auto"/>
              <w:right w:val="nil"/>
            </w:tcBorders>
            <w:shd w:val="clear" w:color="000000" w:fill="FFA7A7"/>
            <w:vAlign w:val="center"/>
            <w:hideMark/>
          </w:tcPr>
          <w:p w14:paraId="6B9BB334" w14:textId="77777777" w:rsidR="00607498" w:rsidRPr="00894701" w:rsidRDefault="00607498">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Active</w:t>
            </w:r>
          </w:p>
        </w:tc>
        <w:tc>
          <w:tcPr>
            <w:tcW w:w="1014" w:type="dxa"/>
            <w:tcBorders>
              <w:top w:val="nil"/>
              <w:left w:val="nil"/>
              <w:bottom w:val="single" w:sz="4" w:space="0" w:color="auto"/>
              <w:right w:val="nil"/>
            </w:tcBorders>
            <w:shd w:val="clear" w:color="000000" w:fill="FFA7A7"/>
            <w:vAlign w:val="center"/>
            <w:hideMark/>
          </w:tcPr>
          <w:p w14:paraId="4F36CD4C" w14:textId="77777777" w:rsidR="00607498" w:rsidRPr="00894701" w:rsidRDefault="00607498">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NC</w:t>
            </w:r>
          </w:p>
        </w:tc>
        <w:tc>
          <w:tcPr>
            <w:tcW w:w="2325" w:type="dxa"/>
            <w:tcBorders>
              <w:top w:val="nil"/>
              <w:left w:val="nil"/>
              <w:bottom w:val="single" w:sz="4" w:space="0" w:color="auto"/>
              <w:right w:val="nil"/>
            </w:tcBorders>
            <w:shd w:val="clear" w:color="000000" w:fill="FFA7A7"/>
            <w:vAlign w:val="center"/>
            <w:hideMark/>
          </w:tcPr>
          <w:p w14:paraId="046EBCBF" w14:textId="77777777" w:rsidR="00607498" w:rsidRPr="00894701" w:rsidRDefault="00607498" w:rsidP="00607498">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Recolaan 17, 7de etage, Paramaribo</w:t>
            </w:r>
          </w:p>
        </w:tc>
      </w:tr>
      <w:tr w:rsidR="00904D64" w:rsidRPr="00894701" w14:paraId="49530B55" w14:textId="77777777" w:rsidTr="00607498">
        <w:trPr>
          <w:trHeight w:val="612"/>
        </w:trPr>
        <w:tc>
          <w:tcPr>
            <w:tcW w:w="397" w:type="dxa"/>
            <w:tcBorders>
              <w:top w:val="nil"/>
              <w:left w:val="nil"/>
              <w:bottom w:val="nil"/>
              <w:right w:val="nil"/>
            </w:tcBorders>
            <w:shd w:val="clear" w:color="000000" w:fill="FFFFFF"/>
            <w:noWrap/>
            <w:vAlign w:val="center"/>
            <w:hideMark/>
          </w:tcPr>
          <w:p w14:paraId="1B5C72FC" w14:textId="77777777" w:rsidR="00607498" w:rsidRPr="00894701" w:rsidRDefault="00607498" w:rsidP="00607498">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4</w:t>
            </w:r>
          </w:p>
        </w:tc>
        <w:tc>
          <w:tcPr>
            <w:tcW w:w="2297" w:type="dxa"/>
            <w:tcBorders>
              <w:top w:val="nil"/>
              <w:left w:val="nil"/>
              <w:bottom w:val="single" w:sz="4" w:space="0" w:color="auto"/>
              <w:right w:val="nil"/>
            </w:tcBorders>
            <w:shd w:val="clear" w:color="000000" w:fill="FFFFFF"/>
            <w:vAlign w:val="center"/>
            <w:hideMark/>
          </w:tcPr>
          <w:p w14:paraId="44B3F4E1" w14:textId="77777777" w:rsidR="00607498" w:rsidRPr="00894701" w:rsidRDefault="00607498" w:rsidP="00607498">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Capricorn Energy Plc</w:t>
            </w:r>
          </w:p>
        </w:tc>
        <w:tc>
          <w:tcPr>
            <w:tcW w:w="1280" w:type="dxa"/>
            <w:tcBorders>
              <w:top w:val="nil"/>
              <w:left w:val="nil"/>
              <w:bottom w:val="single" w:sz="4" w:space="0" w:color="auto"/>
              <w:right w:val="nil"/>
            </w:tcBorders>
            <w:shd w:val="clear" w:color="000000" w:fill="FFFFFF"/>
            <w:vAlign w:val="center"/>
            <w:hideMark/>
          </w:tcPr>
          <w:p w14:paraId="46C63295" w14:textId="77777777" w:rsidR="00607498" w:rsidRPr="00894701" w:rsidRDefault="00607498" w:rsidP="00607498">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CCI: 71675264</w:t>
            </w:r>
            <w:r w:rsidRPr="00894701">
              <w:rPr>
                <w:rFonts w:asciiTheme="majorHAnsi" w:hAnsiTheme="majorHAnsi" w:cs="Arial"/>
                <w:color w:val="auto"/>
                <w:kern w:val="0"/>
                <w:sz w:val="16"/>
                <w:szCs w:val="16"/>
                <w:lang w:val="fr-FR" w:eastAsia="fr-FR"/>
              </w:rPr>
              <w:br/>
              <w:t>RSIN: 858805765</w:t>
            </w:r>
          </w:p>
        </w:tc>
        <w:tc>
          <w:tcPr>
            <w:tcW w:w="1271" w:type="dxa"/>
            <w:tcBorders>
              <w:top w:val="nil"/>
              <w:left w:val="nil"/>
              <w:bottom w:val="single" w:sz="4" w:space="0" w:color="auto"/>
              <w:right w:val="nil"/>
            </w:tcBorders>
            <w:shd w:val="clear" w:color="000000" w:fill="FFFFFF"/>
            <w:vAlign w:val="center"/>
            <w:hideMark/>
          </w:tcPr>
          <w:p w14:paraId="3C8F459C" w14:textId="77777777" w:rsidR="00607498" w:rsidRPr="00894701" w:rsidRDefault="00607498" w:rsidP="00904D64">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18/05/2018</w:t>
            </w:r>
          </w:p>
        </w:tc>
        <w:tc>
          <w:tcPr>
            <w:tcW w:w="1239" w:type="dxa"/>
            <w:tcBorders>
              <w:top w:val="nil"/>
              <w:left w:val="nil"/>
              <w:bottom w:val="single" w:sz="4" w:space="0" w:color="auto"/>
              <w:right w:val="nil"/>
            </w:tcBorders>
            <w:shd w:val="clear" w:color="000000" w:fill="FFFFFF"/>
            <w:vAlign w:val="center"/>
            <w:hideMark/>
          </w:tcPr>
          <w:p w14:paraId="5F6E5673" w14:textId="77777777" w:rsidR="00607498" w:rsidRPr="00894701" w:rsidRDefault="00607498" w:rsidP="0090575B">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Oil &amp; Gas</w:t>
            </w:r>
          </w:p>
        </w:tc>
        <w:tc>
          <w:tcPr>
            <w:tcW w:w="1628" w:type="dxa"/>
            <w:tcBorders>
              <w:top w:val="nil"/>
              <w:left w:val="nil"/>
              <w:bottom w:val="single" w:sz="4" w:space="0" w:color="auto"/>
              <w:right w:val="nil"/>
            </w:tcBorders>
            <w:shd w:val="clear" w:color="000000" w:fill="FFFFFF"/>
            <w:vAlign w:val="center"/>
            <w:hideMark/>
          </w:tcPr>
          <w:p w14:paraId="26F75F62" w14:textId="77777777" w:rsidR="00607498" w:rsidRPr="00894701" w:rsidRDefault="00607498" w:rsidP="00904D64">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Exploration activity</w:t>
            </w:r>
          </w:p>
        </w:tc>
        <w:tc>
          <w:tcPr>
            <w:tcW w:w="1239" w:type="dxa"/>
            <w:tcBorders>
              <w:top w:val="nil"/>
              <w:left w:val="nil"/>
              <w:bottom w:val="single" w:sz="4" w:space="0" w:color="auto"/>
              <w:right w:val="nil"/>
            </w:tcBorders>
            <w:shd w:val="clear" w:color="000000" w:fill="FFFFFF"/>
            <w:vAlign w:val="center"/>
            <w:hideMark/>
          </w:tcPr>
          <w:p w14:paraId="7B12F1C3" w14:textId="77777777" w:rsidR="00607498" w:rsidRPr="00894701" w:rsidRDefault="00607498" w:rsidP="00904D64">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0%</w:t>
            </w:r>
          </w:p>
        </w:tc>
        <w:tc>
          <w:tcPr>
            <w:tcW w:w="1239" w:type="dxa"/>
            <w:tcBorders>
              <w:top w:val="nil"/>
              <w:left w:val="nil"/>
              <w:bottom w:val="single" w:sz="4" w:space="0" w:color="auto"/>
              <w:right w:val="nil"/>
            </w:tcBorders>
            <w:shd w:val="clear" w:color="000000" w:fill="FFFFFF"/>
            <w:vAlign w:val="center"/>
            <w:hideMark/>
          </w:tcPr>
          <w:p w14:paraId="20D1CAC4" w14:textId="77777777" w:rsidR="00607498" w:rsidRPr="00894701" w:rsidRDefault="00607498" w:rsidP="00904D64">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100%</w:t>
            </w:r>
          </w:p>
        </w:tc>
        <w:tc>
          <w:tcPr>
            <w:tcW w:w="1239" w:type="dxa"/>
            <w:tcBorders>
              <w:top w:val="nil"/>
              <w:left w:val="nil"/>
              <w:bottom w:val="single" w:sz="4" w:space="0" w:color="auto"/>
              <w:right w:val="nil"/>
            </w:tcBorders>
            <w:shd w:val="clear" w:color="000000" w:fill="FFFFFF"/>
            <w:vAlign w:val="center"/>
            <w:hideMark/>
          </w:tcPr>
          <w:p w14:paraId="2B5C7DAC" w14:textId="77777777" w:rsidR="00607498" w:rsidRPr="00894701" w:rsidRDefault="00607498" w:rsidP="00904D64">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Active</w:t>
            </w:r>
          </w:p>
        </w:tc>
        <w:tc>
          <w:tcPr>
            <w:tcW w:w="1014" w:type="dxa"/>
            <w:tcBorders>
              <w:top w:val="nil"/>
              <w:left w:val="nil"/>
              <w:bottom w:val="single" w:sz="4" w:space="0" w:color="auto"/>
              <w:right w:val="nil"/>
            </w:tcBorders>
            <w:shd w:val="clear" w:color="000000" w:fill="FFFFFF"/>
            <w:vAlign w:val="center"/>
            <w:hideMark/>
          </w:tcPr>
          <w:p w14:paraId="164DF95E" w14:textId="77777777" w:rsidR="00607498" w:rsidRPr="00894701" w:rsidRDefault="00607498" w:rsidP="00904D64">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1 USD</w:t>
            </w:r>
          </w:p>
        </w:tc>
        <w:tc>
          <w:tcPr>
            <w:tcW w:w="2325" w:type="dxa"/>
            <w:tcBorders>
              <w:top w:val="nil"/>
              <w:left w:val="nil"/>
              <w:bottom w:val="single" w:sz="4" w:space="0" w:color="auto"/>
              <w:right w:val="nil"/>
            </w:tcBorders>
            <w:shd w:val="clear" w:color="000000" w:fill="FFFFFF"/>
            <w:vAlign w:val="center"/>
            <w:hideMark/>
          </w:tcPr>
          <w:p w14:paraId="4864425F" w14:textId="77777777" w:rsidR="00607498" w:rsidRPr="00894701" w:rsidRDefault="00607498" w:rsidP="00607498">
            <w:pPr>
              <w:spacing w:after="0" w:line="240" w:lineRule="auto"/>
              <w:rPr>
                <w:rFonts w:asciiTheme="majorHAnsi" w:hAnsiTheme="majorHAnsi" w:cs="Arial"/>
                <w:color w:val="auto"/>
                <w:kern w:val="0"/>
                <w:sz w:val="16"/>
                <w:szCs w:val="16"/>
                <w:lang w:eastAsia="fr-FR"/>
              </w:rPr>
            </w:pPr>
            <w:r w:rsidRPr="00894701">
              <w:rPr>
                <w:rFonts w:asciiTheme="majorHAnsi" w:hAnsiTheme="majorHAnsi" w:cs="Arial"/>
                <w:color w:val="auto"/>
                <w:kern w:val="0"/>
                <w:sz w:val="16"/>
                <w:szCs w:val="16"/>
                <w:lang w:eastAsia="fr-FR"/>
              </w:rPr>
              <w:t>50 Lothian Road, Edinburgh, EH3 9BY, United Kingdom</w:t>
            </w:r>
          </w:p>
        </w:tc>
      </w:tr>
      <w:tr w:rsidR="00904D64" w:rsidRPr="00894701" w14:paraId="19E21C81" w14:textId="77777777" w:rsidTr="00607498">
        <w:trPr>
          <w:trHeight w:val="612"/>
        </w:trPr>
        <w:tc>
          <w:tcPr>
            <w:tcW w:w="397" w:type="dxa"/>
            <w:tcBorders>
              <w:top w:val="nil"/>
              <w:left w:val="nil"/>
              <w:bottom w:val="nil"/>
              <w:right w:val="nil"/>
            </w:tcBorders>
            <w:shd w:val="clear" w:color="000000" w:fill="FFA7A7"/>
            <w:noWrap/>
            <w:vAlign w:val="center"/>
            <w:hideMark/>
          </w:tcPr>
          <w:p w14:paraId="11E68709" w14:textId="77777777" w:rsidR="00607498" w:rsidRPr="00894701" w:rsidRDefault="00607498" w:rsidP="00607498">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5</w:t>
            </w:r>
          </w:p>
        </w:tc>
        <w:tc>
          <w:tcPr>
            <w:tcW w:w="2297" w:type="dxa"/>
            <w:tcBorders>
              <w:top w:val="nil"/>
              <w:left w:val="nil"/>
              <w:bottom w:val="single" w:sz="4" w:space="0" w:color="auto"/>
              <w:right w:val="nil"/>
            </w:tcBorders>
            <w:shd w:val="clear" w:color="000000" w:fill="FFA7A7"/>
            <w:vAlign w:val="center"/>
            <w:hideMark/>
          </w:tcPr>
          <w:p w14:paraId="53D71EDD" w14:textId="77777777" w:rsidR="00607498" w:rsidRPr="00894701" w:rsidRDefault="00607498" w:rsidP="00607498">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Petronas Suriname Exploration &amp; production B.V.</w:t>
            </w:r>
          </w:p>
        </w:tc>
        <w:tc>
          <w:tcPr>
            <w:tcW w:w="1280" w:type="dxa"/>
            <w:tcBorders>
              <w:top w:val="nil"/>
              <w:left w:val="nil"/>
              <w:bottom w:val="single" w:sz="4" w:space="0" w:color="auto"/>
              <w:right w:val="nil"/>
            </w:tcBorders>
            <w:shd w:val="clear" w:color="000000" w:fill="FFA7A7"/>
            <w:vAlign w:val="center"/>
            <w:hideMark/>
          </w:tcPr>
          <w:p w14:paraId="7EC7DFC5" w14:textId="77777777" w:rsidR="00607498" w:rsidRPr="00894701" w:rsidRDefault="00607498" w:rsidP="00607498">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57412863</w:t>
            </w:r>
          </w:p>
        </w:tc>
        <w:tc>
          <w:tcPr>
            <w:tcW w:w="1271" w:type="dxa"/>
            <w:tcBorders>
              <w:top w:val="nil"/>
              <w:left w:val="nil"/>
              <w:bottom w:val="single" w:sz="4" w:space="0" w:color="auto"/>
              <w:right w:val="nil"/>
            </w:tcBorders>
            <w:shd w:val="clear" w:color="000000" w:fill="FFA7A7"/>
            <w:vAlign w:val="center"/>
            <w:hideMark/>
          </w:tcPr>
          <w:p w14:paraId="54E08073" w14:textId="77777777" w:rsidR="00607498" w:rsidRPr="00894701" w:rsidRDefault="00607498">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06/032013</w:t>
            </w:r>
          </w:p>
        </w:tc>
        <w:tc>
          <w:tcPr>
            <w:tcW w:w="1239" w:type="dxa"/>
            <w:tcBorders>
              <w:top w:val="nil"/>
              <w:left w:val="nil"/>
              <w:bottom w:val="single" w:sz="4" w:space="0" w:color="auto"/>
              <w:right w:val="nil"/>
            </w:tcBorders>
            <w:shd w:val="clear" w:color="000000" w:fill="FFA7A7"/>
            <w:vAlign w:val="center"/>
            <w:hideMark/>
          </w:tcPr>
          <w:p w14:paraId="43ACAD98" w14:textId="77777777" w:rsidR="00607498" w:rsidRPr="00894701" w:rsidRDefault="00607498" w:rsidP="0090575B">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Oil &amp; Gas</w:t>
            </w:r>
          </w:p>
        </w:tc>
        <w:tc>
          <w:tcPr>
            <w:tcW w:w="1628" w:type="dxa"/>
            <w:tcBorders>
              <w:top w:val="nil"/>
              <w:left w:val="nil"/>
              <w:bottom w:val="single" w:sz="4" w:space="0" w:color="auto"/>
              <w:right w:val="nil"/>
            </w:tcBorders>
            <w:shd w:val="clear" w:color="000000" w:fill="FFA7A7"/>
            <w:vAlign w:val="center"/>
            <w:hideMark/>
          </w:tcPr>
          <w:p w14:paraId="528C76AF" w14:textId="77777777" w:rsidR="00607498" w:rsidRPr="00894701" w:rsidRDefault="00607498">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Exploration activity</w:t>
            </w:r>
          </w:p>
        </w:tc>
        <w:tc>
          <w:tcPr>
            <w:tcW w:w="1239" w:type="dxa"/>
            <w:tcBorders>
              <w:top w:val="nil"/>
              <w:left w:val="nil"/>
              <w:bottom w:val="single" w:sz="4" w:space="0" w:color="auto"/>
              <w:right w:val="nil"/>
            </w:tcBorders>
            <w:shd w:val="clear" w:color="000000" w:fill="FFA7A7"/>
            <w:vAlign w:val="center"/>
            <w:hideMark/>
          </w:tcPr>
          <w:p w14:paraId="71B208F0" w14:textId="77777777" w:rsidR="00607498" w:rsidRPr="00894701" w:rsidRDefault="00607498">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0%</w:t>
            </w:r>
          </w:p>
        </w:tc>
        <w:tc>
          <w:tcPr>
            <w:tcW w:w="1239" w:type="dxa"/>
            <w:tcBorders>
              <w:top w:val="nil"/>
              <w:left w:val="nil"/>
              <w:bottom w:val="single" w:sz="4" w:space="0" w:color="auto"/>
              <w:right w:val="nil"/>
            </w:tcBorders>
            <w:shd w:val="clear" w:color="000000" w:fill="FFA7A7"/>
            <w:vAlign w:val="center"/>
            <w:hideMark/>
          </w:tcPr>
          <w:p w14:paraId="560DD892" w14:textId="77777777" w:rsidR="00607498" w:rsidRPr="00894701" w:rsidRDefault="00607498">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100%</w:t>
            </w:r>
          </w:p>
        </w:tc>
        <w:tc>
          <w:tcPr>
            <w:tcW w:w="1239" w:type="dxa"/>
            <w:tcBorders>
              <w:top w:val="nil"/>
              <w:left w:val="nil"/>
              <w:bottom w:val="single" w:sz="4" w:space="0" w:color="auto"/>
              <w:right w:val="nil"/>
            </w:tcBorders>
            <w:shd w:val="clear" w:color="000000" w:fill="FFA7A7"/>
            <w:vAlign w:val="center"/>
            <w:hideMark/>
          </w:tcPr>
          <w:p w14:paraId="6C3A3CC4" w14:textId="77777777" w:rsidR="00607498" w:rsidRPr="00894701" w:rsidRDefault="00607498">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Active</w:t>
            </w:r>
          </w:p>
        </w:tc>
        <w:tc>
          <w:tcPr>
            <w:tcW w:w="1014" w:type="dxa"/>
            <w:tcBorders>
              <w:top w:val="nil"/>
              <w:left w:val="nil"/>
              <w:bottom w:val="single" w:sz="4" w:space="0" w:color="auto"/>
              <w:right w:val="nil"/>
            </w:tcBorders>
            <w:shd w:val="clear" w:color="000000" w:fill="FFA7A7"/>
            <w:vAlign w:val="center"/>
            <w:hideMark/>
          </w:tcPr>
          <w:p w14:paraId="113A2258" w14:textId="77777777" w:rsidR="00607498" w:rsidRPr="00894701" w:rsidRDefault="00607498">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NC</w:t>
            </w:r>
          </w:p>
        </w:tc>
        <w:tc>
          <w:tcPr>
            <w:tcW w:w="2325" w:type="dxa"/>
            <w:tcBorders>
              <w:top w:val="nil"/>
              <w:left w:val="nil"/>
              <w:bottom w:val="single" w:sz="4" w:space="0" w:color="auto"/>
              <w:right w:val="nil"/>
            </w:tcBorders>
            <w:shd w:val="clear" w:color="000000" w:fill="FFA7A7"/>
            <w:vAlign w:val="center"/>
            <w:hideMark/>
          </w:tcPr>
          <w:p w14:paraId="7E44363F" w14:textId="77777777" w:rsidR="00607498" w:rsidRPr="00894701" w:rsidRDefault="00607498" w:rsidP="00607498">
            <w:pPr>
              <w:spacing w:after="0" w:line="240" w:lineRule="auto"/>
              <w:rPr>
                <w:rFonts w:asciiTheme="majorHAnsi" w:hAnsiTheme="majorHAnsi" w:cs="Arial"/>
                <w:color w:val="auto"/>
                <w:kern w:val="0"/>
                <w:sz w:val="16"/>
                <w:szCs w:val="16"/>
                <w:lang w:eastAsia="fr-FR"/>
              </w:rPr>
            </w:pPr>
            <w:r w:rsidRPr="00894701">
              <w:rPr>
                <w:rFonts w:asciiTheme="majorHAnsi" w:hAnsiTheme="majorHAnsi" w:cs="Arial"/>
                <w:color w:val="auto"/>
                <w:kern w:val="0"/>
                <w:sz w:val="16"/>
                <w:szCs w:val="16"/>
                <w:lang w:eastAsia="fr-FR"/>
              </w:rPr>
              <w:t>Van't Hogerhuysstraat 15, Nieuwe Buisiness Center, Level 3 Paramaribo , Suriname, South America</w:t>
            </w:r>
          </w:p>
        </w:tc>
      </w:tr>
      <w:tr w:rsidR="00904D64" w:rsidRPr="00894701" w14:paraId="0E52B694" w14:textId="77777777" w:rsidTr="00607498">
        <w:trPr>
          <w:trHeight w:val="264"/>
        </w:trPr>
        <w:tc>
          <w:tcPr>
            <w:tcW w:w="397" w:type="dxa"/>
            <w:tcBorders>
              <w:top w:val="nil"/>
              <w:left w:val="nil"/>
              <w:bottom w:val="nil"/>
              <w:right w:val="nil"/>
            </w:tcBorders>
            <w:shd w:val="clear" w:color="000000" w:fill="FFFFFF"/>
            <w:noWrap/>
            <w:vAlign w:val="center"/>
            <w:hideMark/>
          </w:tcPr>
          <w:p w14:paraId="126C4008" w14:textId="77777777" w:rsidR="00607498" w:rsidRPr="00894701" w:rsidRDefault="00607498" w:rsidP="00607498">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6</w:t>
            </w:r>
          </w:p>
        </w:tc>
        <w:tc>
          <w:tcPr>
            <w:tcW w:w="2297" w:type="dxa"/>
            <w:tcBorders>
              <w:top w:val="nil"/>
              <w:left w:val="nil"/>
              <w:bottom w:val="single" w:sz="4" w:space="0" w:color="auto"/>
              <w:right w:val="nil"/>
            </w:tcBorders>
            <w:shd w:val="clear" w:color="000000" w:fill="FFFFFF"/>
            <w:vAlign w:val="center"/>
            <w:hideMark/>
          </w:tcPr>
          <w:p w14:paraId="5DE12B1A" w14:textId="77777777" w:rsidR="00607498" w:rsidRPr="00894701" w:rsidRDefault="00607498" w:rsidP="00607498">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Challenger Energy Group Plc</w:t>
            </w:r>
          </w:p>
        </w:tc>
        <w:tc>
          <w:tcPr>
            <w:tcW w:w="1280" w:type="dxa"/>
            <w:tcBorders>
              <w:top w:val="nil"/>
              <w:left w:val="nil"/>
              <w:bottom w:val="single" w:sz="4" w:space="0" w:color="auto"/>
              <w:right w:val="nil"/>
            </w:tcBorders>
            <w:shd w:val="clear" w:color="000000" w:fill="FFFFFF"/>
            <w:vAlign w:val="center"/>
            <w:hideMark/>
          </w:tcPr>
          <w:p w14:paraId="223F6721" w14:textId="77777777" w:rsidR="00607498" w:rsidRPr="00894701" w:rsidRDefault="00607498" w:rsidP="00607498">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NS</w:t>
            </w:r>
          </w:p>
        </w:tc>
        <w:tc>
          <w:tcPr>
            <w:tcW w:w="1271" w:type="dxa"/>
            <w:tcBorders>
              <w:top w:val="nil"/>
              <w:left w:val="nil"/>
              <w:bottom w:val="single" w:sz="4" w:space="0" w:color="auto"/>
              <w:right w:val="nil"/>
            </w:tcBorders>
            <w:shd w:val="clear" w:color="000000" w:fill="FFFFFF"/>
            <w:vAlign w:val="center"/>
            <w:hideMark/>
          </w:tcPr>
          <w:p w14:paraId="756418EE" w14:textId="77777777" w:rsidR="00607498" w:rsidRPr="00894701" w:rsidRDefault="00607498">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NS</w:t>
            </w:r>
          </w:p>
        </w:tc>
        <w:tc>
          <w:tcPr>
            <w:tcW w:w="1239" w:type="dxa"/>
            <w:tcBorders>
              <w:top w:val="nil"/>
              <w:left w:val="nil"/>
              <w:bottom w:val="single" w:sz="4" w:space="0" w:color="auto"/>
              <w:right w:val="nil"/>
            </w:tcBorders>
            <w:shd w:val="clear" w:color="000000" w:fill="FFFFFF"/>
            <w:vAlign w:val="center"/>
            <w:hideMark/>
          </w:tcPr>
          <w:p w14:paraId="1C1D484A" w14:textId="77777777" w:rsidR="00607498" w:rsidRPr="00894701" w:rsidRDefault="00607498" w:rsidP="0090575B">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NS</w:t>
            </w:r>
          </w:p>
        </w:tc>
        <w:tc>
          <w:tcPr>
            <w:tcW w:w="1628" w:type="dxa"/>
            <w:tcBorders>
              <w:top w:val="nil"/>
              <w:left w:val="nil"/>
              <w:bottom w:val="single" w:sz="4" w:space="0" w:color="auto"/>
              <w:right w:val="nil"/>
            </w:tcBorders>
            <w:shd w:val="clear" w:color="000000" w:fill="FFFFFF"/>
            <w:vAlign w:val="center"/>
            <w:hideMark/>
          </w:tcPr>
          <w:p w14:paraId="2A6B1307" w14:textId="77777777" w:rsidR="00607498" w:rsidRPr="00894701" w:rsidRDefault="00607498">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NS</w:t>
            </w:r>
          </w:p>
        </w:tc>
        <w:tc>
          <w:tcPr>
            <w:tcW w:w="1239" w:type="dxa"/>
            <w:tcBorders>
              <w:top w:val="nil"/>
              <w:left w:val="nil"/>
              <w:bottom w:val="single" w:sz="4" w:space="0" w:color="auto"/>
              <w:right w:val="nil"/>
            </w:tcBorders>
            <w:shd w:val="clear" w:color="000000" w:fill="FFFFFF"/>
            <w:vAlign w:val="center"/>
            <w:hideMark/>
          </w:tcPr>
          <w:p w14:paraId="68C5CCB5" w14:textId="77777777" w:rsidR="00607498" w:rsidRPr="00894701" w:rsidRDefault="00607498">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NS</w:t>
            </w:r>
          </w:p>
        </w:tc>
        <w:tc>
          <w:tcPr>
            <w:tcW w:w="1239" w:type="dxa"/>
            <w:tcBorders>
              <w:top w:val="nil"/>
              <w:left w:val="nil"/>
              <w:bottom w:val="single" w:sz="4" w:space="0" w:color="auto"/>
              <w:right w:val="nil"/>
            </w:tcBorders>
            <w:shd w:val="clear" w:color="000000" w:fill="FFFFFF"/>
            <w:vAlign w:val="center"/>
            <w:hideMark/>
          </w:tcPr>
          <w:p w14:paraId="074B1B71" w14:textId="77777777" w:rsidR="00607498" w:rsidRPr="00894701" w:rsidRDefault="00607498">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NS</w:t>
            </w:r>
          </w:p>
        </w:tc>
        <w:tc>
          <w:tcPr>
            <w:tcW w:w="1239" w:type="dxa"/>
            <w:tcBorders>
              <w:top w:val="nil"/>
              <w:left w:val="nil"/>
              <w:bottom w:val="single" w:sz="4" w:space="0" w:color="auto"/>
              <w:right w:val="nil"/>
            </w:tcBorders>
            <w:shd w:val="clear" w:color="000000" w:fill="FFFFFF"/>
            <w:vAlign w:val="center"/>
            <w:hideMark/>
          </w:tcPr>
          <w:p w14:paraId="67686FCD" w14:textId="77777777" w:rsidR="00607498" w:rsidRPr="00894701" w:rsidRDefault="00607498">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NS</w:t>
            </w:r>
          </w:p>
        </w:tc>
        <w:tc>
          <w:tcPr>
            <w:tcW w:w="1014" w:type="dxa"/>
            <w:tcBorders>
              <w:top w:val="nil"/>
              <w:left w:val="nil"/>
              <w:bottom w:val="single" w:sz="4" w:space="0" w:color="auto"/>
              <w:right w:val="nil"/>
            </w:tcBorders>
            <w:shd w:val="clear" w:color="000000" w:fill="FFFFFF"/>
            <w:vAlign w:val="center"/>
            <w:hideMark/>
          </w:tcPr>
          <w:p w14:paraId="2C95FCB1" w14:textId="77777777" w:rsidR="00607498" w:rsidRPr="00894701" w:rsidRDefault="00607498">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NS</w:t>
            </w:r>
          </w:p>
        </w:tc>
        <w:tc>
          <w:tcPr>
            <w:tcW w:w="2325" w:type="dxa"/>
            <w:tcBorders>
              <w:top w:val="nil"/>
              <w:left w:val="nil"/>
              <w:bottom w:val="single" w:sz="4" w:space="0" w:color="auto"/>
              <w:right w:val="nil"/>
            </w:tcBorders>
            <w:shd w:val="clear" w:color="000000" w:fill="FFFFFF"/>
            <w:vAlign w:val="center"/>
            <w:hideMark/>
          </w:tcPr>
          <w:p w14:paraId="110BD763" w14:textId="77777777" w:rsidR="00607498" w:rsidRPr="00894701" w:rsidRDefault="00607498" w:rsidP="00607498">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 </w:t>
            </w:r>
          </w:p>
        </w:tc>
      </w:tr>
      <w:tr w:rsidR="00904D64" w:rsidRPr="00860520" w14:paraId="759214BF" w14:textId="77777777" w:rsidTr="00607498">
        <w:trPr>
          <w:trHeight w:val="264"/>
        </w:trPr>
        <w:tc>
          <w:tcPr>
            <w:tcW w:w="397" w:type="dxa"/>
            <w:tcBorders>
              <w:top w:val="nil"/>
              <w:left w:val="nil"/>
              <w:bottom w:val="nil"/>
              <w:right w:val="nil"/>
            </w:tcBorders>
            <w:shd w:val="clear" w:color="000000" w:fill="FFA7A7"/>
            <w:noWrap/>
            <w:vAlign w:val="center"/>
            <w:hideMark/>
          </w:tcPr>
          <w:p w14:paraId="1632F56E" w14:textId="77777777" w:rsidR="00607498" w:rsidRPr="00894701" w:rsidRDefault="00607498" w:rsidP="00607498">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7</w:t>
            </w:r>
          </w:p>
        </w:tc>
        <w:tc>
          <w:tcPr>
            <w:tcW w:w="2297" w:type="dxa"/>
            <w:tcBorders>
              <w:top w:val="nil"/>
              <w:left w:val="nil"/>
              <w:bottom w:val="single" w:sz="4" w:space="0" w:color="auto"/>
              <w:right w:val="nil"/>
            </w:tcBorders>
            <w:shd w:val="clear" w:color="000000" w:fill="FFA7A7"/>
            <w:vAlign w:val="center"/>
            <w:hideMark/>
          </w:tcPr>
          <w:p w14:paraId="3BFE3023" w14:textId="77777777" w:rsidR="00607498" w:rsidRPr="00894701" w:rsidRDefault="00607498" w:rsidP="00607498">
            <w:pPr>
              <w:spacing w:after="0" w:line="240" w:lineRule="auto"/>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Staatsolie Maatschappij Suriname N.V.</w:t>
            </w:r>
          </w:p>
        </w:tc>
        <w:tc>
          <w:tcPr>
            <w:tcW w:w="1280" w:type="dxa"/>
            <w:tcBorders>
              <w:top w:val="nil"/>
              <w:left w:val="nil"/>
              <w:bottom w:val="single" w:sz="4" w:space="0" w:color="auto"/>
              <w:right w:val="nil"/>
            </w:tcBorders>
            <w:shd w:val="clear" w:color="000000" w:fill="FFA7A7"/>
            <w:vAlign w:val="center"/>
            <w:hideMark/>
          </w:tcPr>
          <w:p w14:paraId="21898AE1" w14:textId="77777777" w:rsidR="00607498" w:rsidRPr="00894701" w:rsidRDefault="00607498" w:rsidP="00607498">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15741</w:t>
            </w:r>
          </w:p>
        </w:tc>
        <w:tc>
          <w:tcPr>
            <w:tcW w:w="1271" w:type="dxa"/>
            <w:tcBorders>
              <w:top w:val="nil"/>
              <w:left w:val="nil"/>
              <w:bottom w:val="single" w:sz="4" w:space="0" w:color="auto"/>
              <w:right w:val="nil"/>
            </w:tcBorders>
            <w:shd w:val="clear" w:color="000000" w:fill="FFA7A7"/>
            <w:vAlign w:val="center"/>
            <w:hideMark/>
          </w:tcPr>
          <w:p w14:paraId="34A19D40" w14:textId="77777777" w:rsidR="00607498" w:rsidRPr="00894701" w:rsidRDefault="00607498">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NC</w:t>
            </w:r>
          </w:p>
        </w:tc>
        <w:tc>
          <w:tcPr>
            <w:tcW w:w="1239" w:type="dxa"/>
            <w:tcBorders>
              <w:top w:val="nil"/>
              <w:left w:val="nil"/>
              <w:bottom w:val="single" w:sz="4" w:space="0" w:color="auto"/>
              <w:right w:val="nil"/>
            </w:tcBorders>
            <w:shd w:val="clear" w:color="000000" w:fill="FFA7A7"/>
            <w:vAlign w:val="center"/>
            <w:hideMark/>
          </w:tcPr>
          <w:p w14:paraId="371A6CFA" w14:textId="77777777" w:rsidR="00607498" w:rsidRPr="00894701" w:rsidRDefault="00607498" w:rsidP="0090575B">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Oil &amp; Gas</w:t>
            </w:r>
          </w:p>
        </w:tc>
        <w:tc>
          <w:tcPr>
            <w:tcW w:w="1628" w:type="dxa"/>
            <w:tcBorders>
              <w:top w:val="nil"/>
              <w:left w:val="nil"/>
              <w:bottom w:val="single" w:sz="4" w:space="0" w:color="auto"/>
              <w:right w:val="nil"/>
            </w:tcBorders>
            <w:shd w:val="clear" w:color="000000" w:fill="FFA7A7"/>
            <w:vAlign w:val="center"/>
            <w:hideMark/>
          </w:tcPr>
          <w:p w14:paraId="0BD38CAA" w14:textId="77777777" w:rsidR="00607498" w:rsidRPr="00894701" w:rsidRDefault="00607498">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Exploration activity</w:t>
            </w:r>
          </w:p>
        </w:tc>
        <w:tc>
          <w:tcPr>
            <w:tcW w:w="1239" w:type="dxa"/>
            <w:tcBorders>
              <w:top w:val="nil"/>
              <w:left w:val="nil"/>
              <w:bottom w:val="single" w:sz="4" w:space="0" w:color="auto"/>
              <w:right w:val="nil"/>
            </w:tcBorders>
            <w:shd w:val="clear" w:color="000000" w:fill="FFA7A7"/>
            <w:vAlign w:val="center"/>
            <w:hideMark/>
          </w:tcPr>
          <w:p w14:paraId="4DC80111" w14:textId="77777777" w:rsidR="00607498" w:rsidRPr="00894701" w:rsidRDefault="00607498">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0%</w:t>
            </w:r>
          </w:p>
        </w:tc>
        <w:tc>
          <w:tcPr>
            <w:tcW w:w="1239" w:type="dxa"/>
            <w:tcBorders>
              <w:top w:val="nil"/>
              <w:left w:val="nil"/>
              <w:bottom w:val="single" w:sz="4" w:space="0" w:color="auto"/>
              <w:right w:val="nil"/>
            </w:tcBorders>
            <w:shd w:val="clear" w:color="000000" w:fill="FFA7A7"/>
            <w:vAlign w:val="center"/>
            <w:hideMark/>
          </w:tcPr>
          <w:p w14:paraId="0CDDC292" w14:textId="77777777" w:rsidR="00607498" w:rsidRPr="00894701" w:rsidRDefault="00607498">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100%</w:t>
            </w:r>
          </w:p>
        </w:tc>
        <w:tc>
          <w:tcPr>
            <w:tcW w:w="1239" w:type="dxa"/>
            <w:tcBorders>
              <w:top w:val="nil"/>
              <w:left w:val="nil"/>
              <w:bottom w:val="single" w:sz="4" w:space="0" w:color="auto"/>
              <w:right w:val="nil"/>
            </w:tcBorders>
            <w:shd w:val="clear" w:color="000000" w:fill="FFA7A7"/>
            <w:vAlign w:val="center"/>
            <w:hideMark/>
          </w:tcPr>
          <w:p w14:paraId="327E02E7" w14:textId="77777777" w:rsidR="00607498" w:rsidRPr="00894701" w:rsidRDefault="00607498">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Active</w:t>
            </w:r>
          </w:p>
        </w:tc>
        <w:tc>
          <w:tcPr>
            <w:tcW w:w="1014" w:type="dxa"/>
            <w:tcBorders>
              <w:top w:val="nil"/>
              <w:left w:val="nil"/>
              <w:bottom w:val="single" w:sz="4" w:space="0" w:color="auto"/>
              <w:right w:val="nil"/>
            </w:tcBorders>
            <w:shd w:val="clear" w:color="000000" w:fill="FFA7A7"/>
            <w:vAlign w:val="center"/>
            <w:hideMark/>
          </w:tcPr>
          <w:p w14:paraId="274223AC" w14:textId="77777777" w:rsidR="00607498" w:rsidRPr="00894701" w:rsidRDefault="00607498">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NC</w:t>
            </w:r>
          </w:p>
        </w:tc>
        <w:tc>
          <w:tcPr>
            <w:tcW w:w="2325" w:type="dxa"/>
            <w:tcBorders>
              <w:top w:val="nil"/>
              <w:left w:val="nil"/>
              <w:bottom w:val="single" w:sz="4" w:space="0" w:color="auto"/>
              <w:right w:val="nil"/>
            </w:tcBorders>
            <w:shd w:val="clear" w:color="000000" w:fill="FFA7A7"/>
            <w:vAlign w:val="center"/>
            <w:hideMark/>
          </w:tcPr>
          <w:p w14:paraId="2F5F4977" w14:textId="77777777" w:rsidR="00607498" w:rsidRPr="00894701" w:rsidRDefault="00607498" w:rsidP="00607498">
            <w:pPr>
              <w:spacing w:after="0" w:line="240" w:lineRule="auto"/>
              <w:rPr>
                <w:rFonts w:asciiTheme="majorHAnsi" w:hAnsiTheme="majorHAnsi" w:cs="Arial"/>
                <w:color w:val="auto"/>
                <w:kern w:val="0"/>
                <w:sz w:val="16"/>
                <w:szCs w:val="16"/>
                <w:lang w:val="nl-NL" w:eastAsia="fr-FR"/>
              </w:rPr>
            </w:pPr>
            <w:r w:rsidRPr="00894701">
              <w:rPr>
                <w:rFonts w:asciiTheme="majorHAnsi" w:hAnsiTheme="majorHAnsi" w:cs="Arial"/>
                <w:color w:val="auto"/>
                <w:kern w:val="0"/>
                <w:sz w:val="16"/>
                <w:szCs w:val="16"/>
                <w:lang w:val="nl-NL" w:eastAsia="fr-FR"/>
              </w:rPr>
              <w:t>Dr. Ir. H.S. Adhinstraat 21</w:t>
            </w:r>
          </w:p>
        </w:tc>
      </w:tr>
      <w:tr w:rsidR="00904D64" w:rsidRPr="00860520" w14:paraId="1003D91D" w14:textId="77777777" w:rsidTr="00607498">
        <w:trPr>
          <w:trHeight w:val="408"/>
        </w:trPr>
        <w:tc>
          <w:tcPr>
            <w:tcW w:w="397" w:type="dxa"/>
            <w:tcBorders>
              <w:top w:val="nil"/>
              <w:left w:val="nil"/>
              <w:bottom w:val="nil"/>
              <w:right w:val="nil"/>
            </w:tcBorders>
            <w:shd w:val="clear" w:color="000000" w:fill="FFFFFF"/>
            <w:noWrap/>
            <w:vAlign w:val="center"/>
            <w:hideMark/>
          </w:tcPr>
          <w:p w14:paraId="0032DE46" w14:textId="77777777" w:rsidR="00607498" w:rsidRPr="00894701" w:rsidRDefault="00607498" w:rsidP="00607498">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8</w:t>
            </w:r>
          </w:p>
        </w:tc>
        <w:tc>
          <w:tcPr>
            <w:tcW w:w="2297" w:type="dxa"/>
            <w:tcBorders>
              <w:top w:val="nil"/>
              <w:left w:val="nil"/>
              <w:bottom w:val="single" w:sz="4" w:space="0" w:color="auto"/>
              <w:right w:val="nil"/>
            </w:tcBorders>
            <w:shd w:val="clear" w:color="000000" w:fill="FFFFFF"/>
            <w:vAlign w:val="center"/>
            <w:hideMark/>
          </w:tcPr>
          <w:p w14:paraId="3A85D2B6" w14:textId="77777777" w:rsidR="00607498" w:rsidRPr="00894701" w:rsidRDefault="00607498" w:rsidP="00607498">
            <w:pPr>
              <w:spacing w:after="0" w:line="240" w:lineRule="auto"/>
              <w:rPr>
                <w:rFonts w:asciiTheme="majorHAnsi" w:hAnsiTheme="majorHAnsi" w:cs="Arial"/>
                <w:color w:val="auto"/>
                <w:kern w:val="0"/>
                <w:sz w:val="16"/>
                <w:szCs w:val="16"/>
                <w:lang w:eastAsia="fr-FR"/>
              </w:rPr>
            </w:pPr>
            <w:r w:rsidRPr="00894701">
              <w:rPr>
                <w:rFonts w:asciiTheme="majorHAnsi" w:hAnsiTheme="majorHAnsi" w:cs="Arial"/>
                <w:color w:val="auto"/>
                <w:kern w:val="0"/>
                <w:sz w:val="16"/>
                <w:szCs w:val="16"/>
                <w:lang w:eastAsia="fr-FR"/>
              </w:rPr>
              <w:t>ExxonMobil Exploration and Production Suriname B.V.</w:t>
            </w:r>
          </w:p>
        </w:tc>
        <w:tc>
          <w:tcPr>
            <w:tcW w:w="1280" w:type="dxa"/>
            <w:tcBorders>
              <w:top w:val="nil"/>
              <w:left w:val="nil"/>
              <w:bottom w:val="single" w:sz="4" w:space="0" w:color="auto"/>
              <w:right w:val="nil"/>
            </w:tcBorders>
            <w:shd w:val="clear" w:color="000000" w:fill="FFFFFF"/>
            <w:vAlign w:val="center"/>
            <w:hideMark/>
          </w:tcPr>
          <w:p w14:paraId="3AF15B33" w14:textId="77777777" w:rsidR="00607498" w:rsidRPr="00894701" w:rsidRDefault="00607498" w:rsidP="00607498">
            <w:pPr>
              <w:spacing w:after="0" w:line="240" w:lineRule="auto"/>
              <w:rPr>
                <w:rFonts w:asciiTheme="majorHAnsi" w:hAnsiTheme="majorHAnsi" w:cs="Arial"/>
                <w:color w:val="auto"/>
                <w:kern w:val="0"/>
                <w:sz w:val="16"/>
                <w:szCs w:val="16"/>
                <w:lang w:eastAsia="fr-FR"/>
              </w:rPr>
            </w:pPr>
            <w:r w:rsidRPr="00894701">
              <w:rPr>
                <w:rFonts w:asciiTheme="majorHAnsi" w:hAnsiTheme="majorHAnsi" w:cs="Arial"/>
                <w:color w:val="auto"/>
                <w:kern w:val="0"/>
                <w:sz w:val="16"/>
                <w:szCs w:val="16"/>
                <w:lang w:eastAsia="fr-FR"/>
              </w:rPr>
              <w:t> </w:t>
            </w:r>
          </w:p>
        </w:tc>
        <w:tc>
          <w:tcPr>
            <w:tcW w:w="1271" w:type="dxa"/>
            <w:tcBorders>
              <w:top w:val="nil"/>
              <w:left w:val="nil"/>
              <w:bottom w:val="single" w:sz="4" w:space="0" w:color="auto"/>
              <w:right w:val="nil"/>
            </w:tcBorders>
            <w:shd w:val="clear" w:color="000000" w:fill="FFFFFF"/>
            <w:vAlign w:val="center"/>
            <w:hideMark/>
          </w:tcPr>
          <w:p w14:paraId="5844758A" w14:textId="77777777" w:rsidR="00607498" w:rsidRPr="00894701" w:rsidRDefault="00607498" w:rsidP="00904D64">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NC</w:t>
            </w:r>
          </w:p>
        </w:tc>
        <w:tc>
          <w:tcPr>
            <w:tcW w:w="1239" w:type="dxa"/>
            <w:tcBorders>
              <w:top w:val="nil"/>
              <w:left w:val="nil"/>
              <w:bottom w:val="single" w:sz="4" w:space="0" w:color="auto"/>
              <w:right w:val="nil"/>
            </w:tcBorders>
            <w:shd w:val="clear" w:color="000000" w:fill="FFFFFF"/>
            <w:vAlign w:val="center"/>
            <w:hideMark/>
          </w:tcPr>
          <w:p w14:paraId="555E09F2" w14:textId="77777777" w:rsidR="00607498" w:rsidRPr="00894701" w:rsidRDefault="00607498" w:rsidP="00BA29E5">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Oil &amp; Gas</w:t>
            </w:r>
          </w:p>
        </w:tc>
        <w:tc>
          <w:tcPr>
            <w:tcW w:w="1628" w:type="dxa"/>
            <w:tcBorders>
              <w:top w:val="nil"/>
              <w:left w:val="nil"/>
              <w:bottom w:val="single" w:sz="4" w:space="0" w:color="auto"/>
              <w:right w:val="nil"/>
            </w:tcBorders>
            <w:shd w:val="clear" w:color="000000" w:fill="FFFFFF"/>
            <w:vAlign w:val="center"/>
            <w:hideMark/>
          </w:tcPr>
          <w:p w14:paraId="13B06873" w14:textId="77777777" w:rsidR="00607498" w:rsidRPr="00894701" w:rsidRDefault="00607498" w:rsidP="00904D64">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Exploration activity</w:t>
            </w:r>
          </w:p>
        </w:tc>
        <w:tc>
          <w:tcPr>
            <w:tcW w:w="1239" w:type="dxa"/>
            <w:tcBorders>
              <w:top w:val="nil"/>
              <w:left w:val="nil"/>
              <w:bottom w:val="single" w:sz="4" w:space="0" w:color="auto"/>
              <w:right w:val="nil"/>
            </w:tcBorders>
            <w:shd w:val="clear" w:color="000000" w:fill="FFFFFF"/>
            <w:vAlign w:val="center"/>
            <w:hideMark/>
          </w:tcPr>
          <w:p w14:paraId="71A3CDF4" w14:textId="77777777" w:rsidR="00607498" w:rsidRPr="00894701" w:rsidRDefault="00607498" w:rsidP="00904D64">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0%</w:t>
            </w:r>
          </w:p>
        </w:tc>
        <w:tc>
          <w:tcPr>
            <w:tcW w:w="1239" w:type="dxa"/>
            <w:tcBorders>
              <w:top w:val="nil"/>
              <w:left w:val="nil"/>
              <w:bottom w:val="single" w:sz="4" w:space="0" w:color="auto"/>
              <w:right w:val="nil"/>
            </w:tcBorders>
            <w:shd w:val="clear" w:color="000000" w:fill="FFFFFF"/>
            <w:vAlign w:val="center"/>
            <w:hideMark/>
          </w:tcPr>
          <w:p w14:paraId="3421031A" w14:textId="77777777" w:rsidR="00607498" w:rsidRPr="00894701" w:rsidRDefault="00607498" w:rsidP="00904D64">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100%</w:t>
            </w:r>
          </w:p>
        </w:tc>
        <w:tc>
          <w:tcPr>
            <w:tcW w:w="1239" w:type="dxa"/>
            <w:tcBorders>
              <w:top w:val="nil"/>
              <w:left w:val="nil"/>
              <w:bottom w:val="single" w:sz="4" w:space="0" w:color="auto"/>
              <w:right w:val="nil"/>
            </w:tcBorders>
            <w:shd w:val="clear" w:color="000000" w:fill="FFFFFF"/>
            <w:vAlign w:val="center"/>
            <w:hideMark/>
          </w:tcPr>
          <w:p w14:paraId="7180C0DA" w14:textId="77777777" w:rsidR="00607498" w:rsidRPr="00894701" w:rsidRDefault="00607498" w:rsidP="00904D64">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Active</w:t>
            </w:r>
          </w:p>
        </w:tc>
        <w:tc>
          <w:tcPr>
            <w:tcW w:w="1014" w:type="dxa"/>
            <w:tcBorders>
              <w:top w:val="nil"/>
              <w:left w:val="nil"/>
              <w:bottom w:val="single" w:sz="4" w:space="0" w:color="auto"/>
              <w:right w:val="nil"/>
            </w:tcBorders>
            <w:shd w:val="clear" w:color="000000" w:fill="FFFFFF"/>
            <w:vAlign w:val="center"/>
            <w:hideMark/>
          </w:tcPr>
          <w:p w14:paraId="7373652D" w14:textId="77777777" w:rsidR="00607498" w:rsidRPr="00894701" w:rsidRDefault="00607498" w:rsidP="00904D64">
            <w:pPr>
              <w:spacing w:after="0" w:line="240" w:lineRule="auto"/>
              <w:jc w:val="center"/>
              <w:rPr>
                <w:rFonts w:asciiTheme="majorHAnsi" w:hAnsiTheme="majorHAnsi" w:cs="Arial"/>
                <w:color w:val="auto"/>
                <w:kern w:val="0"/>
                <w:sz w:val="16"/>
                <w:szCs w:val="16"/>
                <w:lang w:val="fr-FR" w:eastAsia="fr-FR"/>
              </w:rPr>
            </w:pPr>
            <w:r w:rsidRPr="00894701">
              <w:rPr>
                <w:rFonts w:asciiTheme="majorHAnsi" w:hAnsiTheme="majorHAnsi" w:cs="Arial"/>
                <w:color w:val="auto"/>
                <w:kern w:val="0"/>
                <w:sz w:val="16"/>
                <w:szCs w:val="16"/>
                <w:lang w:val="fr-FR" w:eastAsia="fr-FR"/>
              </w:rPr>
              <w:t>NC</w:t>
            </w:r>
          </w:p>
        </w:tc>
        <w:tc>
          <w:tcPr>
            <w:tcW w:w="2325" w:type="dxa"/>
            <w:tcBorders>
              <w:top w:val="nil"/>
              <w:left w:val="nil"/>
              <w:bottom w:val="single" w:sz="4" w:space="0" w:color="auto"/>
              <w:right w:val="nil"/>
            </w:tcBorders>
            <w:shd w:val="clear" w:color="000000" w:fill="FFFFFF"/>
            <w:vAlign w:val="center"/>
            <w:hideMark/>
          </w:tcPr>
          <w:p w14:paraId="2CFD6476" w14:textId="77777777" w:rsidR="00607498" w:rsidRPr="00894701" w:rsidRDefault="00607498" w:rsidP="00607498">
            <w:pPr>
              <w:spacing w:after="0" w:line="240" w:lineRule="auto"/>
              <w:rPr>
                <w:rFonts w:asciiTheme="majorHAnsi" w:hAnsiTheme="majorHAnsi" w:cs="Arial"/>
                <w:color w:val="auto"/>
                <w:kern w:val="0"/>
                <w:sz w:val="16"/>
                <w:szCs w:val="16"/>
                <w:lang w:val="nl-NL" w:eastAsia="fr-FR"/>
              </w:rPr>
            </w:pPr>
            <w:r w:rsidRPr="00894701">
              <w:rPr>
                <w:rFonts w:asciiTheme="majorHAnsi" w:hAnsiTheme="majorHAnsi" w:cs="Arial"/>
                <w:color w:val="auto"/>
                <w:kern w:val="0"/>
                <w:sz w:val="16"/>
                <w:szCs w:val="16"/>
                <w:lang w:val="nl-NL" w:eastAsia="fr-FR"/>
              </w:rPr>
              <w:t>75 Graaf Engelbertlaan, 4837 DS, Breda, Netherlands</w:t>
            </w:r>
          </w:p>
        </w:tc>
      </w:tr>
    </w:tbl>
    <w:p w14:paraId="3A04D5FD" w14:textId="77777777" w:rsidR="00607498" w:rsidRPr="00894701" w:rsidRDefault="00607498" w:rsidP="00607498">
      <w:pPr>
        <w:spacing w:after="0" w:line="240" w:lineRule="auto"/>
        <w:rPr>
          <w:i/>
          <w:iCs/>
          <w:color w:val="auto"/>
          <w:sz w:val="16"/>
          <w:szCs w:val="22"/>
        </w:rPr>
      </w:pPr>
      <w:r w:rsidRPr="00894701">
        <w:rPr>
          <w:i/>
          <w:iCs/>
          <w:color w:val="auto"/>
          <w:sz w:val="16"/>
          <w:szCs w:val="22"/>
        </w:rPr>
        <w:t>N/S : Reporting template not submitted</w:t>
      </w:r>
    </w:p>
    <w:p w14:paraId="669211DE" w14:textId="77777777" w:rsidR="00607498" w:rsidRPr="00894701" w:rsidRDefault="00607498" w:rsidP="00607498">
      <w:pPr>
        <w:spacing w:after="0" w:line="240" w:lineRule="auto"/>
        <w:rPr>
          <w:i/>
          <w:iCs/>
          <w:color w:val="auto"/>
          <w:sz w:val="16"/>
          <w:szCs w:val="22"/>
        </w:rPr>
      </w:pPr>
      <w:r w:rsidRPr="00894701">
        <w:rPr>
          <w:i/>
          <w:iCs/>
          <w:color w:val="auto"/>
          <w:sz w:val="16"/>
          <w:szCs w:val="22"/>
        </w:rPr>
        <w:t>N/A : Not Applicable</w:t>
      </w:r>
    </w:p>
    <w:p w14:paraId="301DEA4A" w14:textId="13412CD1" w:rsidR="00607498" w:rsidRPr="00894701" w:rsidRDefault="00607498" w:rsidP="00EF4420">
      <w:pPr>
        <w:pStyle w:val="BodyText"/>
        <w:rPr>
          <w:i/>
          <w:iCs/>
          <w:color w:val="auto"/>
          <w:sz w:val="16"/>
          <w:szCs w:val="22"/>
        </w:rPr>
      </w:pPr>
      <w:r w:rsidRPr="00894701">
        <w:rPr>
          <w:i/>
          <w:iCs/>
          <w:color w:val="auto"/>
          <w:sz w:val="16"/>
          <w:szCs w:val="22"/>
        </w:rPr>
        <w:t>NC : Not communicated</w:t>
      </w:r>
    </w:p>
    <w:p w14:paraId="70A01892" w14:textId="77777777" w:rsidR="00607498" w:rsidRPr="00894701" w:rsidRDefault="00607498">
      <w:pPr>
        <w:spacing w:after="0" w:line="240" w:lineRule="auto"/>
        <w:rPr>
          <w:i/>
          <w:iCs/>
          <w:color w:val="auto"/>
          <w:sz w:val="16"/>
          <w:szCs w:val="22"/>
        </w:rPr>
      </w:pPr>
      <w:r w:rsidRPr="00894701">
        <w:rPr>
          <w:i/>
          <w:iCs/>
          <w:color w:val="auto"/>
          <w:sz w:val="16"/>
          <w:szCs w:val="22"/>
        </w:rPr>
        <w:br w:type="page"/>
      </w:r>
    </w:p>
    <w:p w14:paraId="221C361A" w14:textId="44F751F8" w:rsidR="00607498" w:rsidRPr="00894701" w:rsidRDefault="00607498" w:rsidP="00E06D36">
      <w:pPr>
        <w:pStyle w:val="Heading2"/>
        <w:numPr>
          <w:ilvl w:val="0"/>
          <w:numId w:val="0"/>
        </w:numPr>
        <w:spacing w:after="0"/>
        <w:ind w:right="476"/>
        <w:jc w:val="both"/>
        <w:rPr>
          <w:rFonts w:asciiTheme="minorHAnsi" w:hAnsiTheme="minorHAnsi"/>
          <w:sz w:val="28"/>
          <w:szCs w:val="28"/>
        </w:rPr>
      </w:pPr>
      <w:bookmarkStart w:id="602" w:name="_Toc122478966"/>
      <w:r w:rsidRPr="00894701">
        <w:rPr>
          <w:rFonts w:asciiTheme="minorHAnsi" w:hAnsiTheme="minorHAnsi"/>
          <w:sz w:val="28"/>
          <w:szCs w:val="28"/>
        </w:rPr>
        <w:t>Annex 6: Reconciliation sheet by companies</w:t>
      </w:r>
      <w:bookmarkEnd w:id="602"/>
    </w:p>
    <w:p w14:paraId="71D8497E" w14:textId="2FF2BEAC" w:rsidR="00607498" w:rsidRPr="00894701" w:rsidRDefault="00E06D36" w:rsidP="00E06D36">
      <w:pPr>
        <w:pStyle w:val="AltMinorHeading"/>
        <w:spacing w:before="100" w:beforeAutospacing="1" w:after="120"/>
        <w:ind w:right="454"/>
        <w:rPr>
          <w:rStyle w:val="Emphasis"/>
        </w:rPr>
      </w:pPr>
      <w:bookmarkStart w:id="603" w:name="_Toc122478967"/>
      <w:r w:rsidRPr="00894701">
        <w:rPr>
          <w:rStyle w:val="Emphasis"/>
        </w:rPr>
        <w:t xml:space="preserve">Fiscal year </w:t>
      </w:r>
      <w:r w:rsidR="00607498" w:rsidRPr="00894701">
        <w:rPr>
          <w:rStyle w:val="Emphasis"/>
        </w:rPr>
        <w:t>2018</w:t>
      </w:r>
      <w:bookmarkEnd w:id="603"/>
    </w:p>
    <w:p w14:paraId="7AC333EB" w14:textId="77777777" w:rsidR="00607498" w:rsidRPr="00894701" w:rsidRDefault="00607498" w:rsidP="00607498">
      <w:r w:rsidRPr="00894701">
        <w:rPr>
          <w:noProof/>
          <w:lang w:val="en-US" w:eastAsia="en-US"/>
        </w:rPr>
        <w:drawing>
          <wp:inline distT="0" distB="0" distL="0" distR="0" wp14:anchorId="440DCED6" wp14:editId="2DC94C49">
            <wp:extent cx="8863330" cy="42291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863330" cy="4229100"/>
                    </a:xfrm>
                    <a:prstGeom prst="rect">
                      <a:avLst/>
                    </a:prstGeom>
                    <a:noFill/>
                    <a:ln>
                      <a:noFill/>
                    </a:ln>
                  </pic:spPr>
                </pic:pic>
              </a:graphicData>
            </a:graphic>
          </wp:inline>
        </w:drawing>
      </w:r>
    </w:p>
    <w:p w14:paraId="2DEC3F7B" w14:textId="77777777" w:rsidR="00607498" w:rsidRPr="00894701" w:rsidRDefault="00607498" w:rsidP="00607498">
      <w:r w:rsidRPr="00894701">
        <w:rPr>
          <w:noProof/>
          <w:lang w:val="en-US" w:eastAsia="en-US"/>
        </w:rPr>
        <w:drawing>
          <wp:inline distT="0" distB="0" distL="0" distR="0" wp14:anchorId="7737C351" wp14:editId="3C57DDA2">
            <wp:extent cx="8863330" cy="4978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863330" cy="4978400"/>
                    </a:xfrm>
                    <a:prstGeom prst="rect">
                      <a:avLst/>
                    </a:prstGeom>
                    <a:noFill/>
                    <a:ln>
                      <a:noFill/>
                    </a:ln>
                  </pic:spPr>
                </pic:pic>
              </a:graphicData>
            </a:graphic>
          </wp:inline>
        </w:drawing>
      </w:r>
    </w:p>
    <w:p w14:paraId="5B4C2C7F" w14:textId="77777777" w:rsidR="00607498" w:rsidRPr="00894701" w:rsidRDefault="00607498" w:rsidP="00607498">
      <w:r w:rsidRPr="00894701">
        <w:rPr>
          <w:noProof/>
          <w:lang w:val="en-US" w:eastAsia="en-US"/>
        </w:rPr>
        <w:drawing>
          <wp:inline distT="0" distB="0" distL="0" distR="0" wp14:anchorId="6DDF2AC6" wp14:editId="6AB7E565">
            <wp:extent cx="7863205" cy="4984750"/>
            <wp:effectExtent l="0" t="0" r="4445"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863205" cy="4984750"/>
                    </a:xfrm>
                    <a:prstGeom prst="rect">
                      <a:avLst/>
                    </a:prstGeom>
                    <a:noFill/>
                    <a:ln>
                      <a:noFill/>
                    </a:ln>
                  </pic:spPr>
                </pic:pic>
              </a:graphicData>
            </a:graphic>
          </wp:inline>
        </w:drawing>
      </w:r>
    </w:p>
    <w:p w14:paraId="1453E3AC" w14:textId="77777777" w:rsidR="00607498" w:rsidRPr="00894701" w:rsidRDefault="00607498" w:rsidP="00607498">
      <w:r w:rsidRPr="00894701">
        <w:rPr>
          <w:noProof/>
          <w:lang w:val="en-US" w:eastAsia="en-US"/>
        </w:rPr>
        <w:drawing>
          <wp:inline distT="0" distB="0" distL="0" distR="0" wp14:anchorId="269FF636" wp14:editId="2E9F3B3D">
            <wp:extent cx="8863330" cy="5016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863330" cy="5016500"/>
                    </a:xfrm>
                    <a:prstGeom prst="rect">
                      <a:avLst/>
                    </a:prstGeom>
                    <a:noFill/>
                    <a:ln>
                      <a:noFill/>
                    </a:ln>
                  </pic:spPr>
                </pic:pic>
              </a:graphicData>
            </a:graphic>
          </wp:inline>
        </w:drawing>
      </w:r>
    </w:p>
    <w:p w14:paraId="715207A9" w14:textId="32CC8BF8" w:rsidR="00607498" w:rsidRPr="00894701" w:rsidRDefault="00886610" w:rsidP="00607498">
      <w:r w:rsidRPr="00894701">
        <w:rPr>
          <w:noProof/>
          <w:lang w:val="en-US" w:eastAsia="en-US"/>
        </w:rPr>
        <w:drawing>
          <wp:inline distT="0" distB="0" distL="0" distR="0" wp14:anchorId="4CB194C7" wp14:editId="1FD4B1B0">
            <wp:extent cx="8862060" cy="50038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866599" cy="5006363"/>
                    </a:xfrm>
                    <a:prstGeom prst="rect">
                      <a:avLst/>
                    </a:prstGeom>
                    <a:noFill/>
                    <a:ln>
                      <a:noFill/>
                    </a:ln>
                  </pic:spPr>
                </pic:pic>
              </a:graphicData>
            </a:graphic>
          </wp:inline>
        </w:drawing>
      </w:r>
    </w:p>
    <w:p w14:paraId="72FCD7DA" w14:textId="77777777" w:rsidR="00607498" w:rsidRPr="00894701" w:rsidRDefault="00607498" w:rsidP="00607498">
      <w:r w:rsidRPr="00894701">
        <w:rPr>
          <w:noProof/>
          <w:lang w:val="en-US" w:eastAsia="en-US"/>
        </w:rPr>
        <w:drawing>
          <wp:inline distT="0" distB="0" distL="0" distR="0" wp14:anchorId="5AEDE0AE" wp14:editId="2C94144D">
            <wp:extent cx="8863330" cy="49593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863330" cy="4959350"/>
                    </a:xfrm>
                    <a:prstGeom prst="rect">
                      <a:avLst/>
                    </a:prstGeom>
                    <a:noFill/>
                    <a:ln>
                      <a:noFill/>
                    </a:ln>
                  </pic:spPr>
                </pic:pic>
              </a:graphicData>
            </a:graphic>
          </wp:inline>
        </w:drawing>
      </w:r>
    </w:p>
    <w:p w14:paraId="68F1B0F7" w14:textId="77777777" w:rsidR="00607498" w:rsidRPr="00894701" w:rsidRDefault="00607498" w:rsidP="00607498">
      <w:r w:rsidRPr="00894701">
        <w:rPr>
          <w:noProof/>
          <w:lang w:val="en-US" w:eastAsia="en-US"/>
        </w:rPr>
        <w:drawing>
          <wp:inline distT="0" distB="0" distL="0" distR="0" wp14:anchorId="66B02D6A" wp14:editId="0A0EAA97">
            <wp:extent cx="7774940" cy="49974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774940" cy="4997450"/>
                    </a:xfrm>
                    <a:prstGeom prst="rect">
                      <a:avLst/>
                    </a:prstGeom>
                    <a:noFill/>
                    <a:ln>
                      <a:noFill/>
                    </a:ln>
                  </pic:spPr>
                </pic:pic>
              </a:graphicData>
            </a:graphic>
          </wp:inline>
        </w:drawing>
      </w:r>
    </w:p>
    <w:p w14:paraId="1B1EEDCB" w14:textId="77777777" w:rsidR="00607498" w:rsidRPr="00894701" w:rsidRDefault="00607498" w:rsidP="00607498">
      <w:r w:rsidRPr="00894701">
        <w:rPr>
          <w:noProof/>
          <w:lang w:val="en-US" w:eastAsia="en-US"/>
        </w:rPr>
        <w:drawing>
          <wp:inline distT="0" distB="0" distL="0" distR="0" wp14:anchorId="7DC7FFF3" wp14:editId="4726596D">
            <wp:extent cx="8863330" cy="49276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863330" cy="4927600"/>
                    </a:xfrm>
                    <a:prstGeom prst="rect">
                      <a:avLst/>
                    </a:prstGeom>
                    <a:noFill/>
                    <a:ln>
                      <a:noFill/>
                    </a:ln>
                  </pic:spPr>
                </pic:pic>
              </a:graphicData>
            </a:graphic>
          </wp:inline>
        </w:drawing>
      </w:r>
    </w:p>
    <w:p w14:paraId="0C95341B" w14:textId="2F940CD1" w:rsidR="00607498" w:rsidRPr="00894701" w:rsidRDefault="00E06D36" w:rsidP="00E06D36">
      <w:pPr>
        <w:pStyle w:val="AltMinorHeading"/>
        <w:spacing w:before="100" w:beforeAutospacing="1" w:after="120"/>
        <w:ind w:right="454"/>
        <w:rPr>
          <w:rStyle w:val="Emphasis"/>
        </w:rPr>
      </w:pPr>
      <w:bookmarkStart w:id="604" w:name="_Toc122478968"/>
      <w:r w:rsidRPr="00894701">
        <w:rPr>
          <w:rStyle w:val="Emphasis"/>
        </w:rPr>
        <w:t xml:space="preserve">Fiscal year </w:t>
      </w:r>
      <w:r w:rsidR="00607498" w:rsidRPr="00894701">
        <w:rPr>
          <w:rStyle w:val="Emphasis"/>
        </w:rPr>
        <w:t>2019</w:t>
      </w:r>
      <w:bookmarkEnd w:id="604"/>
    </w:p>
    <w:p w14:paraId="52FC9B7E" w14:textId="77777777" w:rsidR="00607498" w:rsidRPr="00894701" w:rsidRDefault="00607498" w:rsidP="00607498">
      <w:r w:rsidRPr="00894701">
        <w:rPr>
          <w:noProof/>
          <w:lang w:val="en-US" w:eastAsia="en-US"/>
        </w:rPr>
        <w:drawing>
          <wp:inline distT="0" distB="0" distL="0" distR="0" wp14:anchorId="790B1C9B" wp14:editId="72E00255">
            <wp:extent cx="8863330" cy="46386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863330" cy="4638675"/>
                    </a:xfrm>
                    <a:prstGeom prst="rect">
                      <a:avLst/>
                    </a:prstGeom>
                    <a:noFill/>
                    <a:ln>
                      <a:noFill/>
                    </a:ln>
                  </pic:spPr>
                </pic:pic>
              </a:graphicData>
            </a:graphic>
          </wp:inline>
        </w:drawing>
      </w:r>
    </w:p>
    <w:p w14:paraId="3FE606A4" w14:textId="77777777" w:rsidR="00607498" w:rsidRPr="00894701" w:rsidRDefault="00607498" w:rsidP="00607498">
      <w:r w:rsidRPr="00894701">
        <w:rPr>
          <w:noProof/>
          <w:lang w:val="en-US" w:eastAsia="en-US"/>
        </w:rPr>
        <w:drawing>
          <wp:inline distT="0" distB="0" distL="0" distR="0" wp14:anchorId="75C9A9AF" wp14:editId="4B808F2C">
            <wp:extent cx="8863330" cy="4953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863330" cy="4953000"/>
                    </a:xfrm>
                    <a:prstGeom prst="rect">
                      <a:avLst/>
                    </a:prstGeom>
                    <a:noFill/>
                    <a:ln>
                      <a:noFill/>
                    </a:ln>
                  </pic:spPr>
                </pic:pic>
              </a:graphicData>
            </a:graphic>
          </wp:inline>
        </w:drawing>
      </w:r>
    </w:p>
    <w:p w14:paraId="7699A18F" w14:textId="77777777" w:rsidR="00607498" w:rsidRPr="00894701" w:rsidRDefault="00607498" w:rsidP="00607498">
      <w:r w:rsidRPr="00894701">
        <w:rPr>
          <w:noProof/>
          <w:lang w:val="en-US" w:eastAsia="en-US"/>
        </w:rPr>
        <w:drawing>
          <wp:inline distT="0" distB="0" distL="0" distR="0" wp14:anchorId="3D2C3EF0" wp14:editId="38D267B3">
            <wp:extent cx="7863205" cy="4984750"/>
            <wp:effectExtent l="0" t="0" r="4445"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863205" cy="4984750"/>
                    </a:xfrm>
                    <a:prstGeom prst="rect">
                      <a:avLst/>
                    </a:prstGeom>
                    <a:noFill/>
                    <a:ln>
                      <a:noFill/>
                    </a:ln>
                  </pic:spPr>
                </pic:pic>
              </a:graphicData>
            </a:graphic>
          </wp:inline>
        </w:drawing>
      </w:r>
    </w:p>
    <w:p w14:paraId="7ED7DEEF" w14:textId="77777777" w:rsidR="00607498" w:rsidRPr="00894701" w:rsidRDefault="00607498" w:rsidP="00607498">
      <w:r w:rsidRPr="00894701">
        <w:rPr>
          <w:noProof/>
          <w:lang w:val="en-US" w:eastAsia="en-US"/>
        </w:rPr>
        <w:drawing>
          <wp:inline distT="0" distB="0" distL="0" distR="0" wp14:anchorId="2C4A30A0" wp14:editId="20F9CEA5">
            <wp:extent cx="8863330" cy="4953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863330" cy="4953000"/>
                    </a:xfrm>
                    <a:prstGeom prst="rect">
                      <a:avLst/>
                    </a:prstGeom>
                    <a:noFill/>
                    <a:ln>
                      <a:noFill/>
                    </a:ln>
                  </pic:spPr>
                </pic:pic>
              </a:graphicData>
            </a:graphic>
          </wp:inline>
        </w:drawing>
      </w:r>
    </w:p>
    <w:p w14:paraId="3A907DEC" w14:textId="5960E571" w:rsidR="00607498" w:rsidRPr="00894701" w:rsidRDefault="002739BD" w:rsidP="00607498">
      <w:r w:rsidRPr="00894701">
        <w:rPr>
          <w:noProof/>
          <w:lang w:val="en-US" w:eastAsia="en-US"/>
        </w:rPr>
        <w:drawing>
          <wp:inline distT="0" distB="0" distL="0" distR="0" wp14:anchorId="4365AEAE" wp14:editId="15EC5A5C">
            <wp:extent cx="8862060" cy="5010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866601" cy="5012717"/>
                    </a:xfrm>
                    <a:prstGeom prst="rect">
                      <a:avLst/>
                    </a:prstGeom>
                    <a:noFill/>
                    <a:ln>
                      <a:noFill/>
                    </a:ln>
                  </pic:spPr>
                </pic:pic>
              </a:graphicData>
            </a:graphic>
          </wp:inline>
        </w:drawing>
      </w:r>
    </w:p>
    <w:p w14:paraId="543B8D64" w14:textId="77777777" w:rsidR="00607498" w:rsidRPr="00894701" w:rsidRDefault="00607498" w:rsidP="00607498">
      <w:r w:rsidRPr="00894701">
        <w:rPr>
          <w:noProof/>
          <w:lang w:val="en-US" w:eastAsia="en-US"/>
        </w:rPr>
        <w:drawing>
          <wp:inline distT="0" distB="0" distL="0" distR="0" wp14:anchorId="2E355C6C" wp14:editId="2B7E6454">
            <wp:extent cx="8863330" cy="49911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863330" cy="4991100"/>
                    </a:xfrm>
                    <a:prstGeom prst="rect">
                      <a:avLst/>
                    </a:prstGeom>
                    <a:noFill/>
                    <a:ln>
                      <a:noFill/>
                    </a:ln>
                  </pic:spPr>
                </pic:pic>
              </a:graphicData>
            </a:graphic>
          </wp:inline>
        </w:drawing>
      </w:r>
    </w:p>
    <w:p w14:paraId="0BAC1A2F" w14:textId="77777777" w:rsidR="00607498" w:rsidRPr="00894701" w:rsidRDefault="00607498" w:rsidP="00607498">
      <w:r w:rsidRPr="00894701">
        <w:rPr>
          <w:noProof/>
          <w:lang w:val="en-US" w:eastAsia="en-US"/>
        </w:rPr>
        <w:drawing>
          <wp:inline distT="0" distB="0" distL="0" distR="0" wp14:anchorId="110036E7" wp14:editId="6865E09A">
            <wp:extent cx="8863330" cy="50927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863330" cy="5092700"/>
                    </a:xfrm>
                    <a:prstGeom prst="rect">
                      <a:avLst/>
                    </a:prstGeom>
                    <a:noFill/>
                    <a:ln>
                      <a:noFill/>
                    </a:ln>
                  </pic:spPr>
                </pic:pic>
              </a:graphicData>
            </a:graphic>
          </wp:inline>
        </w:drawing>
      </w:r>
    </w:p>
    <w:p w14:paraId="64754348" w14:textId="77777777" w:rsidR="00607498" w:rsidRPr="00894701" w:rsidRDefault="00607498" w:rsidP="00607498">
      <w:r w:rsidRPr="00894701">
        <w:rPr>
          <w:noProof/>
          <w:lang w:val="en-US" w:eastAsia="en-US"/>
        </w:rPr>
        <w:drawing>
          <wp:inline distT="0" distB="0" distL="0" distR="0" wp14:anchorId="4C35690B" wp14:editId="6DD9E619">
            <wp:extent cx="8863330" cy="49149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863330" cy="4914900"/>
                    </a:xfrm>
                    <a:prstGeom prst="rect">
                      <a:avLst/>
                    </a:prstGeom>
                    <a:noFill/>
                    <a:ln>
                      <a:noFill/>
                    </a:ln>
                  </pic:spPr>
                </pic:pic>
              </a:graphicData>
            </a:graphic>
          </wp:inline>
        </w:drawing>
      </w:r>
    </w:p>
    <w:p w14:paraId="01A30291" w14:textId="79F794FE" w:rsidR="00607498" w:rsidRPr="00894701" w:rsidRDefault="00E06D36" w:rsidP="00E06D36">
      <w:pPr>
        <w:pStyle w:val="AltMinorHeading"/>
        <w:spacing w:before="100" w:beforeAutospacing="1" w:after="120"/>
        <w:ind w:right="454"/>
        <w:rPr>
          <w:rStyle w:val="Emphasis"/>
        </w:rPr>
      </w:pPr>
      <w:bookmarkStart w:id="605" w:name="_Toc122478969"/>
      <w:r w:rsidRPr="00894701">
        <w:rPr>
          <w:rStyle w:val="Emphasis"/>
        </w:rPr>
        <w:t xml:space="preserve">Fiscal year </w:t>
      </w:r>
      <w:r w:rsidR="00607498" w:rsidRPr="00894701">
        <w:rPr>
          <w:rStyle w:val="Emphasis"/>
        </w:rPr>
        <w:t>2020</w:t>
      </w:r>
      <w:bookmarkEnd w:id="605"/>
    </w:p>
    <w:p w14:paraId="65A62D3F" w14:textId="77777777" w:rsidR="00607498" w:rsidRPr="00894701" w:rsidRDefault="00607498" w:rsidP="00607498">
      <w:r w:rsidRPr="00894701">
        <w:rPr>
          <w:noProof/>
          <w:lang w:val="en-US" w:eastAsia="en-US"/>
        </w:rPr>
        <w:drawing>
          <wp:inline distT="0" distB="0" distL="0" distR="0" wp14:anchorId="33F5BDF0" wp14:editId="5886743C">
            <wp:extent cx="8863330" cy="46005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863330" cy="4600575"/>
                    </a:xfrm>
                    <a:prstGeom prst="rect">
                      <a:avLst/>
                    </a:prstGeom>
                    <a:noFill/>
                    <a:ln>
                      <a:noFill/>
                    </a:ln>
                  </pic:spPr>
                </pic:pic>
              </a:graphicData>
            </a:graphic>
          </wp:inline>
        </w:drawing>
      </w:r>
    </w:p>
    <w:p w14:paraId="3322A90C" w14:textId="77777777" w:rsidR="00607498" w:rsidRPr="00894701" w:rsidRDefault="00607498" w:rsidP="00607498">
      <w:r w:rsidRPr="00894701">
        <w:rPr>
          <w:noProof/>
          <w:lang w:val="en-US" w:eastAsia="en-US"/>
        </w:rPr>
        <w:drawing>
          <wp:inline distT="0" distB="0" distL="0" distR="0" wp14:anchorId="754A5BB9" wp14:editId="5C661BFE">
            <wp:extent cx="8863330" cy="4946650"/>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863330" cy="4946650"/>
                    </a:xfrm>
                    <a:prstGeom prst="rect">
                      <a:avLst/>
                    </a:prstGeom>
                    <a:noFill/>
                    <a:ln>
                      <a:noFill/>
                    </a:ln>
                  </pic:spPr>
                </pic:pic>
              </a:graphicData>
            </a:graphic>
          </wp:inline>
        </w:drawing>
      </w:r>
    </w:p>
    <w:p w14:paraId="53BC0A86" w14:textId="77777777" w:rsidR="00607498" w:rsidRPr="00894701" w:rsidRDefault="00607498" w:rsidP="00607498">
      <w:r w:rsidRPr="00894701">
        <w:rPr>
          <w:noProof/>
          <w:lang w:val="en-US" w:eastAsia="en-US"/>
        </w:rPr>
        <w:drawing>
          <wp:inline distT="0" distB="0" distL="0" distR="0" wp14:anchorId="635913A2" wp14:editId="12D000BD">
            <wp:extent cx="7863205" cy="4953000"/>
            <wp:effectExtent l="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863205" cy="4953000"/>
                    </a:xfrm>
                    <a:prstGeom prst="rect">
                      <a:avLst/>
                    </a:prstGeom>
                    <a:noFill/>
                    <a:ln>
                      <a:noFill/>
                    </a:ln>
                  </pic:spPr>
                </pic:pic>
              </a:graphicData>
            </a:graphic>
          </wp:inline>
        </w:drawing>
      </w:r>
    </w:p>
    <w:p w14:paraId="6FEC965C" w14:textId="77777777" w:rsidR="00607498" w:rsidRPr="00894701" w:rsidRDefault="00607498" w:rsidP="00607498">
      <w:r w:rsidRPr="00894701">
        <w:rPr>
          <w:noProof/>
          <w:lang w:val="en-US" w:eastAsia="en-US"/>
        </w:rPr>
        <w:drawing>
          <wp:inline distT="0" distB="0" distL="0" distR="0" wp14:anchorId="706588E7" wp14:editId="37ABDBCF">
            <wp:extent cx="8863330" cy="49022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863330" cy="4902200"/>
                    </a:xfrm>
                    <a:prstGeom prst="rect">
                      <a:avLst/>
                    </a:prstGeom>
                    <a:noFill/>
                    <a:ln>
                      <a:noFill/>
                    </a:ln>
                  </pic:spPr>
                </pic:pic>
              </a:graphicData>
            </a:graphic>
          </wp:inline>
        </w:drawing>
      </w:r>
    </w:p>
    <w:p w14:paraId="625145E6" w14:textId="6FDE105B" w:rsidR="00607498" w:rsidRPr="00894701" w:rsidRDefault="006E3938" w:rsidP="00607498">
      <w:r w:rsidRPr="00894701">
        <w:rPr>
          <w:noProof/>
          <w:lang w:val="en-US" w:eastAsia="en-US"/>
        </w:rPr>
        <w:drawing>
          <wp:inline distT="0" distB="0" distL="0" distR="0" wp14:anchorId="60C76350" wp14:editId="46C7255B">
            <wp:extent cx="8862060" cy="4940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867142" cy="4943133"/>
                    </a:xfrm>
                    <a:prstGeom prst="rect">
                      <a:avLst/>
                    </a:prstGeom>
                    <a:noFill/>
                    <a:ln>
                      <a:noFill/>
                    </a:ln>
                  </pic:spPr>
                </pic:pic>
              </a:graphicData>
            </a:graphic>
          </wp:inline>
        </w:drawing>
      </w:r>
    </w:p>
    <w:p w14:paraId="62F379C5" w14:textId="77777777" w:rsidR="00607498" w:rsidRPr="00894701" w:rsidRDefault="00607498" w:rsidP="00607498">
      <w:r w:rsidRPr="00894701">
        <w:rPr>
          <w:noProof/>
          <w:lang w:val="en-US" w:eastAsia="en-US"/>
        </w:rPr>
        <w:drawing>
          <wp:inline distT="0" distB="0" distL="0" distR="0" wp14:anchorId="4B1C39F5" wp14:editId="4717386D">
            <wp:extent cx="8863330" cy="4851400"/>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863330" cy="4851400"/>
                    </a:xfrm>
                    <a:prstGeom prst="rect">
                      <a:avLst/>
                    </a:prstGeom>
                    <a:noFill/>
                    <a:ln>
                      <a:noFill/>
                    </a:ln>
                  </pic:spPr>
                </pic:pic>
              </a:graphicData>
            </a:graphic>
          </wp:inline>
        </w:drawing>
      </w:r>
    </w:p>
    <w:p w14:paraId="31936604" w14:textId="77777777" w:rsidR="00607498" w:rsidRPr="00894701" w:rsidRDefault="00607498" w:rsidP="00607498">
      <w:r w:rsidRPr="00894701">
        <w:rPr>
          <w:noProof/>
          <w:lang w:val="en-US" w:eastAsia="en-US"/>
        </w:rPr>
        <w:drawing>
          <wp:inline distT="0" distB="0" distL="0" distR="0" wp14:anchorId="2C95CF1C" wp14:editId="1AEBFD34">
            <wp:extent cx="8863330" cy="4953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863330" cy="4953000"/>
                    </a:xfrm>
                    <a:prstGeom prst="rect">
                      <a:avLst/>
                    </a:prstGeom>
                    <a:noFill/>
                    <a:ln>
                      <a:noFill/>
                    </a:ln>
                  </pic:spPr>
                </pic:pic>
              </a:graphicData>
            </a:graphic>
          </wp:inline>
        </w:drawing>
      </w:r>
    </w:p>
    <w:p w14:paraId="7D2BEC3C" w14:textId="77777777" w:rsidR="00894701" w:rsidRDefault="006E3938" w:rsidP="00607498">
      <w:pPr>
        <w:sectPr w:rsidR="00894701" w:rsidSect="00EF4420">
          <w:pgSz w:w="16838" w:h="11906" w:orient="landscape" w:code="9"/>
          <w:pgMar w:top="1440" w:right="1440" w:bottom="1416" w:left="1440" w:header="851" w:footer="750" w:gutter="0"/>
          <w:cols w:space="708"/>
          <w:docGrid w:linePitch="360"/>
        </w:sectPr>
      </w:pPr>
      <w:r w:rsidRPr="00894701">
        <w:rPr>
          <w:noProof/>
          <w:lang w:val="en-US" w:eastAsia="en-US"/>
        </w:rPr>
        <w:drawing>
          <wp:inline distT="0" distB="0" distL="0" distR="0" wp14:anchorId="144C5D4B" wp14:editId="139A87F7">
            <wp:extent cx="8862636" cy="4876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867362" cy="4879401"/>
                    </a:xfrm>
                    <a:prstGeom prst="rect">
                      <a:avLst/>
                    </a:prstGeom>
                    <a:noFill/>
                    <a:ln>
                      <a:noFill/>
                    </a:ln>
                  </pic:spPr>
                </pic:pic>
              </a:graphicData>
            </a:graphic>
          </wp:inline>
        </w:drawing>
      </w:r>
    </w:p>
    <w:p w14:paraId="7EBD6D0F" w14:textId="18A14049" w:rsidR="00607498" w:rsidRPr="00894701" w:rsidRDefault="00607498" w:rsidP="00607498"/>
    <w:p w14:paraId="6E2F8E22" w14:textId="7773E9BD" w:rsidR="007704DD" w:rsidRPr="00894701" w:rsidRDefault="007704DD" w:rsidP="007704DD">
      <w:pPr>
        <w:pStyle w:val="Heading2"/>
        <w:numPr>
          <w:ilvl w:val="0"/>
          <w:numId w:val="0"/>
        </w:numPr>
        <w:spacing w:after="120"/>
        <w:ind w:right="476"/>
        <w:jc w:val="both"/>
        <w:rPr>
          <w:rFonts w:asciiTheme="minorHAnsi" w:hAnsiTheme="minorHAnsi"/>
          <w:sz w:val="28"/>
          <w:szCs w:val="28"/>
        </w:rPr>
      </w:pPr>
      <w:bookmarkStart w:id="606" w:name="_Toc67834476"/>
      <w:bookmarkStart w:id="607" w:name="_Toc122478970"/>
      <w:r w:rsidRPr="00894701">
        <w:rPr>
          <w:rFonts w:asciiTheme="minorHAnsi" w:hAnsiTheme="minorHAnsi"/>
          <w:sz w:val="28"/>
          <w:szCs w:val="28"/>
        </w:rPr>
        <w:t>Annex 7: Persons contacted or involved</w:t>
      </w:r>
      <w:bookmarkEnd w:id="606"/>
      <w:bookmarkEnd w:id="607"/>
    </w:p>
    <w:tbl>
      <w:tblPr>
        <w:tblW w:w="9780" w:type="dxa"/>
        <w:tblLook w:val="04A0" w:firstRow="1" w:lastRow="0" w:firstColumn="1" w:lastColumn="0" w:noHBand="0" w:noVBand="1"/>
      </w:tblPr>
      <w:tblGrid>
        <w:gridCol w:w="4360"/>
        <w:gridCol w:w="5420"/>
      </w:tblGrid>
      <w:tr w:rsidR="007704DD" w:rsidRPr="00894701" w14:paraId="593CA1B4" w14:textId="77777777" w:rsidTr="007704DD">
        <w:trPr>
          <w:trHeight w:val="294"/>
        </w:trPr>
        <w:tc>
          <w:tcPr>
            <w:tcW w:w="4360" w:type="dxa"/>
            <w:tcBorders>
              <w:top w:val="single" w:sz="8" w:space="0" w:color="FF0000"/>
              <w:left w:val="nil"/>
              <w:bottom w:val="single" w:sz="8" w:space="0" w:color="FF0000"/>
              <w:right w:val="nil"/>
            </w:tcBorders>
            <w:shd w:val="clear" w:color="auto" w:fill="7A091A"/>
            <w:noWrap/>
            <w:vAlign w:val="center"/>
            <w:hideMark/>
          </w:tcPr>
          <w:p w14:paraId="316CAACF" w14:textId="5C808AC1" w:rsidR="007704DD" w:rsidRPr="00894701" w:rsidRDefault="007704DD">
            <w:pPr>
              <w:spacing w:after="0" w:line="240" w:lineRule="auto"/>
              <w:rPr>
                <w:rFonts w:cs="Calibri"/>
                <w:color w:val="FFFFFF"/>
                <w:kern w:val="0"/>
                <w:szCs w:val="18"/>
                <w:lang w:val="en-US" w:eastAsia="en-US"/>
              </w:rPr>
            </w:pPr>
            <w:r w:rsidRPr="00894701">
              <w:rPr>
                <w:rFonts w:cs="Calibri"/>
                <w:color w:val="FFFFFF"/>
                <w:szCs w:val="18"/>
              </w:rPr>
              <w:t xml:space="preserve">SR-EITI Independent Administrator </w:t>
            </w:r>
          </w:p>
        </w:tc>
        <w:tc>
          <w:tcPr>
            <w:tcW w:w="5420" w:type="dxa"/>
            <w:tcBorders>
              <w:top w:val="single" w:sz="8" w:space="0" w:color="FF0000"/>
              <w:left w:val="nil"/>
              <w:bottom w:val="single" w:sz="8" w:space="0" w:color="FF0000"/>
              <w:right w:val="nil"/>
            </w:tcBorders>
            <w:shd w:val="clear" w:color="auto" w:fill="7A091A"/>
            <w:noWrap/>
            <w:vAlign w:val="center"/>
            <w:hideMark/>
          </w:tcPr>
          <w:p w14:paraId="30E195CD" w14:textId="77777777" w:rsidR="007704DD" w:rsidRPr="00894701" w:rsidRDefault="007704DD">
            <w:pPr>
              <w:spacing w:after="0" w:line="240" w:lineRule="auto"/>
              <w:jc w:val="center"/>
              <w:rPr>
                <w:rFonts w:cs="Calibri"/>
                <w:color w:val="FFFFFF"/>
                <w:szCs w:val="18"/>
              </w:rPr>
            </w:pPr>
            <w:r w:rsidRPr="00894701">
              <w:rPr>
                <w:rFonts w:cs="Calibri"/>
                <w:color w:val="FFFFFF"/>
                <w:szCs w:val="18"/>
              </w:rPr>
              <w:t> </w:t>
            </w:r>
          </w:p>
        </w:tc>
      </w:tr>
      <w:tr w:rsidR="007704DD" w:rsidRPr="00894701" w14:paraId="20C94A88" w14:textId="77777777" w:rsidTr="007704DD">
        <w:trPr>
          <w:trHeight w:val="234"/>
        </w:trPr>
        <w:tc>
          <w:tcPr>
            <w:tcW w:w="4360" w:type="dxa"/>
            <w:shd w:val="clear" w:color="auto" w:fill="F7A3B0"/>
            <w:noWrap/>
            <w:vAlign w:val="bottom"/>
          </w:tcPr>
          <w:p w14:paraId="6106779E" w14:textId="41658142" w:rsidR="007704DD" w:rsidRPr="00894701" w:rsidRDefault="007704DD" w:rsidP="007704DD">
            <w:pPr>
              <w:spacing w:after="0" w:line="240" w:lineRule="auto"/>
              <w:rPr>
                <w:rFonts w:cs="Calibri"/>
                <w:color w:val="000000"/>
                <w:szCs w:val="18"/>
              </w:rPr>
            </w:pPr>
            <w:r w:rsidRPr="00894701">
              <w:rPr>
                <w:rFonts w:cs="Calibri"/>
                <w:color w:val="000000"/>
                <w:szCs w:val="18"/>
              </w:rPr>
              <w:t>Mark Henderson</w:t>
            </w:r>
          </w:p>
        </w:tc>
        <w:tc>
          <w:tcPr>
            <w:tcW w:w="5420" w:type="dxa"/>
            <w:shd w:val="clear" w:color="auto" w:fill="F7A3B0"/>
            <w:noWrap/>
            <w:vAlign w:val="bottom"/>
          </w:tcPr>
          <w:p w14:paraId="5027C54F" w14:textId="0E588A65" w:rsidR="007704DD" w:rsidRPr="00894701" w:rsidRDefault="007704DD" w:rsidP="007704DD">
            <w:pPr>
              <w:spacing w:after="0" w:line="240" w:lineRule="auto"/>
              <w:rPr>
                <w:rFonts w:cs="Calibri"/>
                <w:color w:val="000000"/>
                <w:szCs w:val="18"/>
              </w:rPr>
            </w:pPr>
            <w:r w:rsidRPr="00894701">
              <w:rPr>
                <w:rFonts w:cs="Calibri"/>
                <w:color w:val="000000"/>
                <w:szCs w:val="18"/>
              </w:rPr>
              <w:t>International Partner</w:t>
            </w:r>
          </w:p>
        </w:tc>
      </w:tr>
      <w:tr w:rsidR="007704DD" w:rsidRPr="00894701" w14:paraId="54EF89B9" w14:textId="77777777" w:rsidTr="007704DD">
        <w:trPr>
          <w:trHeight w:val="234"/>
        </w:trPr>
        <w:tc>
          <w:tcPr>
            <w:tcW w:w="4360" w:type="dxa"/>
            <w:shd w:val="clear" w:color="auto" w:fill="auto"/>
            <w:noWrap/>
            <w:vAlign w:val="bottom"/>
          </w:tcPr>
          <w:p w14:paraId="550D09D9" w14:textId="6C020DA4" w:rsidR="007704DD" w:rsidRPr="00894701" w:rsidRDefault="007704DD" w:rsidP="007704DD">
            <w:pPr>
              <w:spacing w:after="0" w:line="240" w:lineRule="auto"/>
              <w:rPr>
                <w:rFonts w:cs="Calibri"/>
                <w:color w:val="000000"/>
                <w:szCs w:val="18"/>
              </w:rPr>
            </w:pPr>
            <w:r w:rsidRPr="00894701">
              <w:rPr>
                <w:rFonts w:cs="Calibri"/>
                <w:color w:val="000000"/>
                <w:szCs w:val="18"/>
              </w:rPr>
              <w:t xml:space="preserve">Ben Toorabally </w:t>
            </w:r>
          </w:p>
        </w:tc>
        <w:tc>
          <w:tcPr>
            <w:tcW w:w="5420" w:type="dxa"/>
            <w:shd w:val="clear" w:color="auto" w:fill="auto"/>
            <w:noWrap/>
            <w:vAlign w:val="bottom"/>
          </w:tcPr>
          <w:p w14:paraId="703FA6D1" w14:textId="25D23A20" w:rsidR="007704DD" w:rsidRPr="00894701" w:rsidRDefault="007704DD" w:rsidP="007704DD">
            <w:pPr>
              <w:spacing w:after="0" w:line="240" w:lineRule="auto"/>
              <w:rPr>
                <w:rFonts w:cs="Calibri"/>
                <w:color w:val="000000"/>
                <w:szCs w:val="18"/>
              </w:rPr>
            </w:pPr>
            <w:r w:rsidRPr="00894701">
              <w:rPr>
                <w:rFonts w:cs="Calibri"/>
                <w:color w:val="000000"/>
                <w:szCs w:val="18"/>
              </w:rPr>
              <w:t>Mission Director</w:t>
            </w:r>
          </w:p>
        </w:tc>
      </w:tr>
      <w:tr w:rsidR="007704DD" w:rsidRPr="00894701" w14:paraId="1910EFDC" w14:textId="77777777" w:rsidTr="007704DD">
        <w:trPr>
          <w:trHeight w:val="234"/>
        </w:trPr>
        <w:tc>
          <w:tcPr>
            <w:tcW w:w="4360" w:type="dxa"/>
            <w:shd w:val="clear" w:color="auto" w:fill="F7A3B0"/>
            <w:noWrap/>
            <w:vAlign w:val="bottom"/>
          </w:tcPr>
          <w:p w14:paraId="610F0320" w14:textId="0D0CA6AF" w:rsidR="007704DD" w:rsidRPr="00894701" w:rsidRDefault="007704DD" w:rsidP="007704DD">
            <w:pPr>
              <w:spacing w:after="0" w:line="240" w:lineRule="auto"/>
              <w:rPr>
                <w:rFonts w:cs="Calibri"/>
                <w:color w:val="000000"/>
                <w:szCs w:val="18"/>
              </w:rPr>
            </w:pPr>
            <w:r w:rsidRPr="00894701">
              <w:rPr>
                <w:rFonts w:cs="Calibri"/>
                <w:color w:val="000000"/>
                <w:szCs w:val="18"/>
              </w:rPr>
              <w:t xml:space="preserve">Rached Maalej </w:t>
            </w:r>
          </w:p>
        </w:tc>
        <w:tc>
          <w:tcPr>
            <w:tcW w:w="5420" w:type="dxa"/>
            <w:shd w:val="clear" w:color="auto" w:fill="F7A3B0"/>
            <w:noWrap/>
            <w:vAlign w:val="bottom"/>
          </w:tcPr>
          <w:p w14:paraId="17F7D0C6" w14:textId="39633EDF" w:rsidR="007704DD" w:rsidRPr="00894701" w:rsidRDefault="007704DD" w:rsidP="007704DD">
            <w:pPr>
              <w:spacing w:after="0" w:line="240" w:lineRule="auto"/>
              <w:rPr>
                <w:rFonts w:cs="Calibri"/>
                <w:color w:val="000000"/>
                <w:szCs w:val="18"/>
              </w:rPr>
            </w:pPr>
            <w:r w:rsidRPr="00894701">
              <w:rPr>
                <w:rFonts w:cs="Calibri"/>
                <w:color w:val="000000"/>
                <w:szCs w:val="18"/>
              </w:rPr>
              <w:t>Team Leader</w:t>
            </w:r>
          </w:p>
        </w:tc>
      </w:tr>
      <w:tr w:rsidR="007704DD" w:rsidRPr="00894701" w14:paraId="2E8A543C" w14:textId="77777777" w:rsidTr="007704DD">
        <w:trPr>
          <w:trHeight w:val="234"/>
        </w:trPr>
        <w:tc>
          <w:tcPr>
            <w:tcW w:w="4360" w:type="dxa"/>
            <w:shd w:val="clear" w:color="auto" w:fill="auto"/>
            <w:noWrap/>
            <w:vAlign w:val="bottom"/>
          </w:tcPr>
          <w:p w14:paraId="62FE0489" w14:textId="2F6FCCCD" w:rsidR="007704DD" w:rsidRPr="00894701" w:rsidRDefault="007704DD" w:rsidP="007704DD">
            <w:pPr>
              <w:spacing w:after="0" w:line="240" w:lineRule="auto"/>
              <w:rPr>
                <w:rFonts w:cs="Calibri"/>
                <w:color w:val="000000"/>
                <w:szCs w:val="18"/>
              </w:rPr>
            </w:pPr>
            <w:r w:rsidRPr="00894701">
              <w:rPr>
                <w:rFonts w:cs="Calibri"/>
                <w:color w:val="000000"/>
                <w:szCs w:val="18"/>
              </w:rPr>
              <w:t>Fidelys Rafenomanana</w:t>
            </w:r>
          </w:p>
        </w:tc>
        <w:tc>
          <w:tcPr>
            <w:tcW w:w="5420" w:type="dxa"/>
            <w:shd w:val="clear" w:color="auto" w:fill="auto"/>
            <w:noWrap/>
            <w:vAlign w:val="bottom"/>
          </w:tcPr>
          <w:p w14:paraId="4600FA2C" w14:textId="6F109B81" w:rsidR="007704DD" w:rsidRPr="00894701" w:rsidRDefault="007704DD" w:rsidP="007704DD">
            <w:pPr>
              <w:spacing w:after="0" w:line="240" w:lineRule="auto"/>
              <w:rPr>
                <w:rFonts w:cs="Calibri"/>
                <w:color w:val="000000"/>
                <w:szCs w:val="18"/>
              </w:rPr>
            </w:pPr>
            <w:r w:rsidRPr="00894701">
              <w:rPr>
                <w:rFonts w:cs="Calibri"/>
                <w:color w:val="000000"/>
                <w:szCs w:val="18"/>
              </w:rPr>
              <w:t>Manager</w:t>
            </w:r>
          </w:p>
        </w:tc>
      </w:tr>
      <w:tr w:rsidR="007704DD" w:rsidRPr="00894701" w14:paraId="04559C84" w14:textId="77777777" w:rsidTr="007704DD">
        <w:trPr>
          <w:trHeight w:val="234"/>
        </w:trPr>
        <w:tc>
          <w:tcPr>
            <w:tcW w:w="4360" w:type="dxa"/>
            <w:shd w:val="clear" w:color="auto" w:fill="F7A3B0"/>
            <w:noWrap/>
            <w:vAlign w:val="bottom"/>
          </w:tcPr>
          <w:p w14:paraId="06145421" w14:textId="6B2A8531" w:rsidR="007704DD" w:rsidRPr="00894701" w:rsidRDefault="007704DD" w:rsidP="007704DD">
            <w:pPr>
              <w:spacing w:after="0" w:line="240" w:lineRule="auto"/>
              <w:rPr>
                <w:rFonts w:cs="Calibri"/>
                <w:color w:val="000000"/>
                <w:szCs w:val="18"/>
              </w:rPr>
            </w:pPr>
            <w:r w:rsidRPr="00894701">
              <w:rPr>
                <w:rFonts w:cs="Calibri"/>
                <w:color w:val="000000"/>
                <w:szCs w:val="18"/>
              </w:rPr>
              <w:t>Robin Ferrier</w:t>
            </w:r>
          </w:p>
        </w:tc>
        <w:tc>
          <w:tcPr>
            <w:tcW w:w="5420" w:type="dxa"/>
            <w:shd w:val="clear" w:color="auto" w:fill="F7A3B0"/>
            <w:noWrap/>
            <w:vAlign w:val="bottom"/>
          </w:tcPr>
          <w:p w14:paraId="54EC3261" w14:textId="2EDE7D7B" w:rsidR="007704DD" w:rsidRPr="00894701" w:rsidRDefault="007704DD" w:rsidP="007704DD">
            <w:pPr>
              <w:spacing w:after="0" w:line="240" w:lineRule="auto"/>
              <w:rPr>
                <w:rFonts w:cs="Calibri"/>
                <w:color w:val="000000"/>
                <w:szCs w:val="18"/>
              </w:rPr>
            </w:pPr>
            <w:r w:rsidRPr="00894701">
              <w:rPr>
                <w:rFonts w:cs="Calibri"/>
                <w:color w:val="000000"/>
                <w:szCs w:val="18"/>
              </w:rPr>
              <w:t>Local Partner</w:t>
            </w:r>
          </w:p>
        </w:tc>
      </w:tr>
      <w:tr w:rsidR="007704DD" w:rsidRPr="00894701" w14:paraId="20F526C3" w14:textId="77777777" w:rsidTr="007704DD">
        <w:trPr>
          <w:trHeight w:val="234"/>
        </w:trPr>
        <w:tc>
          <w:tcPr>
            <w:tcW w:w="4360" w:type="dxa"/>
            <w:noWrap/>
            <w:vAlign w:val="bottom"/>
          </w:tcPr>
          <w:p w14:paraId="63622F4B" w14:textId="39CF6037" w:rsidR="007704DD" w:rsidRPr="00894701" w:rsidRDefault="007704DD" w:rsidP="007704DD">
            <w:pPr>
              <w:spacing w:after="0" w:line="240" w:lineRule="auto"/>
              <w:rPr>
                <w:rFonts w:cs="Calibri"/>
                <w:color w:val="000000"/>
                <w:szCs w:val="18"/>
              </w:rPr>
            </w:pPr>
            <w:r w:rsidRPr="00894701">
              <w:rPr>
                <w:rFonts w:cs="Calibri"/>
                <w:color w:val="000000"/>
                <w:szCs w:val="18"/>
              </w:rPr>
              <w:t>Arun Sadhoeram</w:t>
            </w:r>
          </w:p>
        </w:tc>
        <w:tc>
          <w:tcPr>
            <w:tcW w:w="5420" w:type="dxa"/>
            <w:noWrap/>
            <w:vAlign w:val="bottom"/>
          </w:tcPr>
          <w:p w14:paraId="48BD4B0E" w14:textId="63AAEE27" w:rsidR="007704DD" w:rsidRPr="00894701" w:rsidRDefault="007704DD" w:rsidP="007704DD">
            <w:pPr>
              <w:spacing w:after="0" w:line="240" w:lineRule="auto"/>
              <w:rPr>
                <w:rFonts w:cs="Calibri"/>
                <w:color w:val="000000"/>
                <w:szCs w:val="18"/>
              </w:rPr>
            </w:pPr>
            <w:r w:rsidRPr="00894701">
              <w:rPr>
                <w:rFonts w:cs="Calibri"/>
                <w:color w:val="000000"/>
                <w:szCs w:val="18"/>
              </w:rPr>
              <w:t>Senior Manager</w:t>
            </w:r>
          </w:p>
        </w:tc>
      </w:tr>
      <w:tr w:rsidR="007704DD" w:rsidRPr="00894701" w14:paraId="60E4AF04" w14:textId="77777777" w:rsidTr="007704DD">
        <w:trPr>
          <w:trHeight w:val="234"/>
        </w:trPr>
        <w:tc>
          <w:tcPr>
            <w:tcW w:w="4360" w:type="dxa"/>
            <w:shd w:val="clear" w:color="auto" w:fill="F7A3B0"/>
            <w:noWrap/>
            <w:vAlign w:val="bottom"/>
          </w:tcPr>
          <w:p w14:paraId="77DCD609" w14:textId="2F7F35A5" w:rsidR="007704DD" w:rsidRPr="00894701" w:rsidRDefault="007704DD" w:rsidP="007704DD">
            <w:pPr>
              <w:spacing w:after="0" w:line="240" w:lineRule="auto"/>
              <w:rPr>
                <w:rFonts w:cs="Calibri"/>
                <w:color w:val="000000"/>
                <w:szCs w:val="18"/>
              </w:rPr>
            </w:pPr>
            <w:r w:rsidRPr="00894701">
              <w:rPr>
                <w:rFonts w:cs="Calibri"/>
                <w:color w:val="000000"/>
                <w:szCs w:val="18"/>
              </w:rPr>
              <w:t>Lucinda Lie-A-Ling</w:t>
            </w:r>
          </w:p>
        </w:tc>
        <w:tc>
          <w:tcPr>
            <w:tcW w:w="5420" w:type="dxa"/>
            <w:shd w:val="clear" w:color="auto" w:fill="F7A3B0"/>
            <w:noWrap/>
            <w:vAlign w:val="bottom"/>
          </w:tcPr>
          <w:p w14:paraId="6E0C173F" w14:textId="3E39CEDD" w:rsidR="007704DD" w:rsidRPr="00894701" w:rsidRDefault="007704DD" w:rsidP="007704DD">
            <w:pPr>
              <w:spacing w:after="0" w:line="240" w:lineRule="auto"/>
              <w:rPr>
                <w:rFonts w:cs="Calibri"/>
                <w:color w:val="000000"/>
                <w:szCs w:val="18"/>
              </w:rPr>
            </w:pPr>
            <w:r w:rsidRPr="00894701">
              <w:rPr>
                <w:rFonts w:cs="Calibri"/>
                <w:color w:val="000000"/>
                <w:szCs w:val="18"/>
              </w:rPr>
              <w:t>Senior Advisor</w:t>
            </w:r>
          </w:p>
        </w:tc>
      </w:tr>
      <w:tr w:rsidR="007704DD" w:rsidRPr="00894701" w14:paraId="6C852155" w14:textId="77777777" w:rsidTr="007704DD">
        <w:trPr>
          <w:trHeight w:val="240"/>
        </w:trPr>
        <w:tc>
          <w:tcPr>
            <w:tcW w:w="4360" w:type="dxa"/>
            <w:noWrap/>
            <w:vAlign w:val="bottom"/>
            <w:hideMark/>
          </w:tcPr>
          <w:p w14:paraId="6C88E7F2" w14:textId="77777777" w:rsidR="007704DD" w:rsidRPr="00894701" w:rsidRDefault="007704DD" w:rsidP="007704DD">
            <w:pPr>
              <w:rPr>
                <w:rFonts w:cs="Calibri"/>
                <w:color w:val="000000"/>
                <w:szCs w:val="18"/>
              </w:rPr>
            </w:pPr>
          </w:p>
        </w:tc>
        <w:tc>
          <w:tcPr>
            <w:tcW w:w="5420" w:type="dxa"/>
            <w:noWrap/>
            <w:vAlign w:val="bottom"/>
            <w:hideMark/>
          </w:tcPr>
          <w:p w14:paraId="5B371DF5" w14:textId="77777777" w:rsidR="007704DD" w:rsidRPr="00894701" w:rsidRDefault="007704DD" w:rsidP="007704DD">
            <w:pPr>
              <w:spacing w:after="0"/>
              <w:rPr>
                <w:sz w:val="20"/>
                <w:szCs w:val="20"/>
                <w:lang w:val="fr-FR" w:eastAsia="fr-FR"/>
              </w:rPr>
            </w:pPr>
          </w:p>
        </w:tc>
      </w:tr>
      <w:tr w:rsidR="007704DD" w:rsidRPr="00894701" w14:paraId="27D490D7" w14:textId="77777777" w:rsidTr="007704DD">
        <w:trPr>
          <w:trHeight w:val="240"/>
        </w:trPr>
        <w:tc>
          <w:tcPr>
            <w:tcW w:w="4360" w:type="dxa"/>
            <w:tcBorders>
              <w:top w:val="single" w:sz="8" w:space="0" w:color="FF0000"/>
              <w:left w:val="nil"/>
              <w:bottom w:val="single" w:sz="8" w:space="0" w:color="FF0000"/>
              <w:right w:val="nil"/>
            </w:tcBorders>
            <w:shd w:val="clear" w:color="auto" w:fill="7A091A"/>
            <w:noWrap/>
            <w:vAlign w:val="center"/>
            <w:hideMark/>
          </w:tcPr>
          <w:p w14:paraId="4A5CB835" w14:textId="71E14B5C" w:rsidR="007704DD" w:rsidRPr="00894701" w:rsidRDefault="007704DD" w:rsidP="007704DD">
            <w:pPr>
              <w:spacing w:after="0" w:line="240" w:lineRule="auto"/>
              <w:rPr>
                <w:rFonts w:cs="Calibri"/>
                <w:color w:val="FFFFFF"/>
                <w:szCs w:val="18"/>
                <w:lang w:val="en-US" w:eastAsia="en-US"/>
              </w:rPr>
            </w:pPr>
            <w:r w:rsidRPr="00894701">
              <w:rPr>
                <w:rFonts w:cs="Calibri"/>
                <w:color w:val="FFFFFF"/>
                <w:szCs w:val="18"/>
              </w:rPr>
              <w:t>SR-EITI Secretariat</w:t>
            </w:r>
          </w:p>
        </w:tc>
        <w:tc>
          <w:tcPr>
            <w:tcW w:w="5420" w:type="dxa"/>
            <w:tcBorders>
              <w:top w:val="single" w:sz="8" w:space="0" w:color="FF0000"/>
              <w:left w:val="nil"/>
              <w:bottom w:val="single" w:sz="8" w:space="0" w:color="FF0000"/>
              <w:right w:val="nil"/>
            </w:tcBorders>
            <w:shd w:val="clear" w:color="auto" w:fill="7A091A"/>
            <w:noWrap/>
            <w:vAlign w:val="center"/>
            <w:hideMark/>
          </w:tcPr>
          <w:p w14:paraId="6213ACAF" w14:textId="77777777" w:rsidR="007704DD" w:rsidRPr="00894701" w:rsidRDefault="007704DD" w:rsidP="007704DD">
            <w:pPr>
              <w:spacing w:after="0" w:line="240" w:lineRule="auto"/>
              <w:jc w:val="center"/>
              <w:rPr>
                <w:rFonts w:cs="Calibri"/>
                <w:color w:val="FFFFFF"/>
                <w:szCs w:val="18"/>
              </w:rPr>
            </w:pPr>
            <w:r w:rsidRPr="00894701">
              <w:rPr>
                <w:rFonts w:cs="Calibri"/>
                <w:color w:val="FFFFFF"/>
                <w:szCs w:val="18"/>
              </w:rPr>
              <w:t> </w:t>
            </w:r>
          </w:p>
        </w:tc>
      </w:tr>
      <w:tr w:rsidR="007704DD" w:rsidRPr="00894701" w14:paraId="696D42C5" w14:textId="77777777" w:rsidTr="007704DD">
        <w:trPr>
          <w:trHeight w:val="234"/>
        </w:trPr>
        <w:tc>
          <w:tcPr>
            <w:tcW w:w="4360" w:type="dxa"/>
            <w:shd w:val="clear" w:color="auto" w:fill="auto"/>
            <w:noWrap/>
            <w:vAlign w:val="bottom"/>
          </w:tcPr>
          <w:p w14:paraId="4900CA84" w14:textId="226340DB" w:rsidR="007704DD" w:rsidRPr="00894701" w:rsidRDefault="007704DD" w:rsidP="007704DD">
            <w:pPr>
              <w:spacing w:after="0" w:line="240" w:lineRule="auto"/>
              <w:rPr>
                <w:rFonts w:cs="Calibri"/>
                <w:color w:val="000000"/>
                <w:szCs w:val="18"/>
              </w:rPr>
            </w:pPr>
            <w:r w:rsidRPr="00894701">
              <w:rPr>
                <w:rFonts w:cs="Calibri"/>
                <w:color w:val="000000"/>
                <w:szCs w:val="18"/>
              </w:rPr>
              <w:t>Clyde Griffith</w:t>
            </w:r>
          </w:p>
        </w:tc>
        <w:tc>
          <w:tcPr>
            <w:tcW w:w="5420" w:type="dxa"/>
            <w:shd w:val="clear" w:color="auto" w:fill="auto"/>
            <w:noWrap/>
            <w:vAlign w:val="bottom"/>
          </w:tcPr>
          <w:p w14:paraId="3E65FB7A" w14:textId="6FC1692F" w:rsidR="007704DD" w:rsidRPr="00894701" w:rsidRDefault="007704DD" w:rsidP="007704DD">
            <w:pPr>
              <w:spacing w:after="0" w:line="240" w:lineRule="auto"/>
              <w:rPr>
                <w:rFonts w:cs="Calibri"/>
                <w:color w:val="000000"/>
                <w:szCs w:val="18"/>
              </w:rPr>
            </w:pPr>
            <w:r w:rsidRPr="00894701">
              <w:rPr>
                <w:rFonts w:cs="Calibri"/>
                <w:color w:val="000000"/>
                <w:szCs w:val="18"/>
              </w:rPr>
              <w:t>National Coordinator</w:t>
            </w:r>
          </w:p>
        </w:tc>
      </w:tr>
      <w:tr w:rsidR="007704DD" w:rsidRPr="00894701" w14:paraId="1866CC87" w14:textId="77777777" w:rsidTr="007704DD">
        <w:trPr>
          <w:trHeight w:val="234"/>
        </w:trPr>
        <w:tc>
          <w:tcPr>
            <w:tcW w:w="4360" w:type="dxa"/>
            <w:shd w:val="clear" w:color="auto" w:fill="F7A3B0"/>
            <w:noWrap/>
            <w:vAlign w:val="bottom"/>
            <w:hideMark/>
          </w:tcPr>
          <w:p w14:paraId="20C544BA" w14:textId="16DD492F" w:rsidR="007704DD" w:rsidRPr="00894701" w:rsidRDefault="007704DD" w:rsidP="007704DD">
            <w:pPr>
              <w:spacing w:after="0" w:line="240" w:lineRule="auto"/>
              <w:rPr>
                <w:rFonts w:cs="Calibri"/>
                <w:color w:val="000000"/>
                <w:szCs w:val="18"/>
              </w:rPr>
            </w:pPr>
            <w:r w:rsidRPr="00894701">
              <w:rPr>
                <w:rFonts w:cs="Calibri"/>
                <w:color w:val="000000"/>
                <w:szCs w:val="18"/>
              </w:rPr>
              <w:t>Nancy Boldewijn</w:t>
            </w:r>
          </w:p>
        </w:tc>
        <w:tc>
          <w:tcPr>
            <w:tcW w:w="5420" w:type="dxa"/>
            <w:shd w:val="clear" w:color="auto" w:fill="F7A3B0"/>
            <w:noWrap/>
            <w:vAlign w:val="bottom"/>
            <w:hideMark/>
          </w:tcPr>
          <w:p w14:paraId="4AEA4506" w14:textId="09048A8B" w:rsidR="007704DD" w:rsidRPr="00894701" w:rsidRDefault="007704DD" w:rsidP="007704DD">
            <w:pPr>
              <w:spacing w:after="0" w:line="240" w:lineRule="auto"/>
              <w:rPr>
                <w:rFonts w:cs="Calibri"/>
                <w:color w:val="000000"/>
                <w:szCs w:val="18"/>
              </w:rPr>
            </w:pPr>
            <w:r w:rsidRPr="00894701">
              <w:rPr>
                <w:rFonts w:cs="Calibri"/>
                <w:color w:val="000000"/>
                <w:szCs w:val="18"/>
              </w:rPr>
              <w:t>Administration &amp; Communication Officer</w:t>
            </w:r>
          </w:p>
        </w:tc>
      </w:tr>
    </w:tbl>
    <w:p w14:paraId="4FAA463B" w14:textId="77777777" w:rsidR="007704DD" w:rsidRPr="00894701" w:rsidRDefault="007704DD" w:rsidP="007704DD">
      <w:pPr>
        <w:rPr>
          <w:rFonts w:asciiTheme="minorHAnsi" w:eastAsiaTheme="minorHAnsi" w:hAnsiTheme="minorHAnsi" w:cstheme="minorBidi"/>
          <w:color w:val="auto"/>
          <w:sz w:val="22"/>
          <w:szCs w:val="22"/>
          <w:lang w:eastAsia="en-US"/>
        </w:rPr>
      </w:pPr>
    </w:p>
    <w:tbl>
      <w:tblPr>
        <w:tblW w:w="9780" w:type="dxa"/>
        <w:tblLook w:val="04A0" w:firstRow="1" w:lastRow="0" w:firstColumn="1" w:lastColumn="0" w:noHBand="0" w:noVBand="1"/>
      </w:tblPr>
      <w:tblGrid>
        <w:gridCol w:w="4360"/>
        <w:gridCol w:w="5420"/>
      </w:tblGrid>
      <w:tr w:rsidR="00FE5887" w:rsidRPr="00894701" w14:paraId="1D34BDE1" w14:textId="77777777" w:rsidTr="00FE5887">
        <w:trPr>
          <w:trHeight w:val="240"/>
          <w:tblHeader/>
        </w:trPr>
        <w:tc>
          <w:tcPr>
            <w:tcW w:w="4360" w:type="dxa"/>
            <w:tcBorders>
              <w:top w:val="single" w:sz="8" w:space="0" w:color="FF0000"/>
              <w:left w:val="nil"/>
              <w:bottom w:val="single" w:sz="8" w:space="0" w:color="FF0000"/>
              <w:right w:val="nil"/>
            </w:tcBorders>
            <w:shd w:val="clear" w:color="auto" w:fill="7A091A"/>
            <w:noWrap/>
            <w:vAlign w:val="center"/>
            <w:hideMark/>
          </w:tcPr>
          <w:p w14:paraId="36855975" w14:textId="77777777" w:rsidR="00FE5887" w:rsidRPr="00894701" w:rsidRDefault="00FE5887" w:rsidP="00136607">
            <w:pPr>
              <w:spacing w:after="0" w:line="240" w:lineRule="auto"/>
              <w:rPr>
                <w:rFonts w:cs="Calibri"/>
                <w:color w:val="FFFFFF"/>
                <w:szCs w:val="18"/>
                <w:lang w:val="en-US" w:eastAsia="en-US"/>
              </w:rPr>
            </w:pPr>
            <w:r w:rsidRPr="00894701">
              <w:rPr>
                <w:rFonts w:cs="Calibri"/>
                <w:color w:val="FFFFFF"/>
                <w:szCs w:val="18"/>
              </w:rPr>
              <w:t>SR-EITI Multi-Stakeholder Group</w:t>
            </w:r>
          </w:p>
        </w:tc>
        <w:tc>
          <w:tcPr>
            <w:tcW w:w="5420" w:type="dxa"/>
            <w:tcBorders>
              <w:top w:val="single" w:sz="8" w:space="0" w:color="FF0000"/>
              <w:left w:val="nil"/>
              <w:bottom w:val="single" w:sz="8" w:space="0" w:color="FF0000"/>
              <w:right w:val="nil"/>
            </w:tcBorders>
            <w:shd w:val="clear" w:color="auto" w:fill="7A091A"/>
            <w:noWrap/>
            <w:vAlign w:val="center"/>
            <w:hideMark/>
          </w:tcPr>
          <w:p w14:paraId="34C5A416" w14:textId="77777777" w:rsidR="00FE5887" w:rsidRPr="00894701" w:rsidRDefault="00FE5887" w:rsidP="00136607">
            <w:pPr>
              <w:spacing w:after="0" w:line="240" w:lineRule="auto"/>
              <w:jc w:val="center"/>
              <w:rPr>
                <w:rFonts w:cs="Calibri"/>
                <w:color w:val="FFFFFF"/>
                <w:szCs w:val="18"/>
              </w:rPr>
            </w:pPr>
            <w:r w:rsidRPr="00894701">
              <w:rPr>
                <w:rFonts w:cs="Calibri"/>
                <w:color w:val="FFFFFF"/>
                <w:szCs w:val="18"/>
              </w:rPr>
              <w:t> </w:t>
            </w:r>
          </w:p>
        </w:tc>
      </w:tr>
      <w:tr w:rsidR="00B55953" w:rsidRPr="00894701" w14:paraId="1B02A643" w14:textId="77777777" w:rsidTr="00136607">
        <w:trPr>
          <w:trHeight w:val="234"/>
        </w:trPr>
        <w:tc>
          <w:tcPr>
            <w:tcW w:w="4360" w:type="dxa"/>
            <w:noWrap/>
            <w:vAlign w:val="bottom"/>
          </w:tcPr>
          <w:p w14:paraId="32322685" w14:textId="7390B049" w:rsidR="00B55953" w:rsidRPr="00894701" w:rsidRDefault="00B55953" w:rsidP="00B55953">
            <w:pPr>
              <w:spacing w:after="0" w:line="240" w:lineRule="auto"/>
              <w:rPr>
                <w:rFonts w:cs="Calibri"/>
                <w:color w:val="000000"/>
                <w:szCs w:val="18"/>
              </w:rPr>
            </w:pPr>
            <w:r w:rsidRPr="00894701">
              <w:rPr>
                <w:rFonts w:cs="Calibri"/>
                <w:color w:val="000000"/>
                <w:szCs w:val="18"/>
              </w:rPr>
              <w:t>Dave Abeleven</w:t>
            </w:r>
          </w:p>
        </w:tc>
        <w:tc>
          <w:tcPr>
            <w:tcW w:w="5420" w:type="dxa"/>
            <w:shd w:val="clear" w:color="auto" w:fill="EEE8E5" w:themeFill="background2"/>
            <w:noWrap/>
            <w:vAlign w:val="bottom"/>
          </w:tcPr>
          <w:p w14:paraId="48FC8838" w14:textId="10C7CD52" w:rsidR="00B55953" w:rsidRPr="00894701" w:rsidRDefault="00B55953" w:rsidP="00B55953">
            <w:pPr>
              <w:spacing w:after="0" w:line="240" w:lineRule="auto"/>
              <w:rPr>
                <w:rFonts w:cs="Calibri"/>
                <w:color w:val="000000"/>
                <w:szCs w:val="18"/>
              </w:rPr>
            </w:pPr>
            <w:r w:rsidRPr="00894701">
              <w:rPr>
                <w:rFonts w:cs="Calibri"/>
                <w:color w:val="000000"/>
                <w:szCs w:val="18"/>
              </w:rPr>
              <w:t>Ministry of Natural Resources</w:t>
            </w:r>
          </w:p>
        </w:tc>
      </w:tr>
      <w:tr w:rsidR="00B55953" w:rsidRPr="00894701" w14:paraId="1F1882B9" w14:textId="77777777" w:rsidTr="00136607">
        <w:trPr>
          <w:trHeight w:val="234"/>
        </w:trPr>
        <w:tc>
          <w:tcPr>
            <w:tcW w:w="4360" w:type="dxa"/>
            <w:shd w:val="clear" w:color="auto" w:fill="F7A3B0"/>
            <w:noWrap/>
            <w:vAlign w:val="bottom"/>
          </w:tcPr>
          <w:p w14:paraId="4FB10A9E" w14:textId="5C1C6C5F" w:rsidR="00B55953" w:rsidRPr="00894701" w:rsidRDefault="00B55953" w:rsidP="00B55953">
            <w:pPr>
              <w:spacing w:after="0" w:line="240" w:lineRule="auto"/>
              <w:rPr>
                <w:rFonts w:cs="Calibri"/>
                <w:color w:val="000000"/>
                <w:szCs w:val="18"/>
              </w:rPr>
            </w:pPr>
            <w:r w:rsidRPr="00894701">
              <w:rPr>
                <w:rFonts w:cs="Calibri"/>
                <w:color w:val="000000"/>
                <w:szCs w:val="18"/>
              </w:rPr>
              <w:t>V. Refos Lalji</w:t>
            </w:r>
          </w:p>
        </w:tc>
        <w:tc>
          <w:tcPr>
            <w:tcW w:w="5420" w:type="dxa"/>
            <w:shd w:val="clear" w:color="auto" w:fill="F7A3B0"/>
            <w:noWrap/>
            <w:vAlign w:val="bottom"/>
          </w:tcPr>
          <w:p w14:paraId="55F124AA" w14:textId="49767172" w:rsidR="00B55953" w:rsidRPr="00894701" w:rsidRDefault="00B55953" w:rsidP="00B55953">
            <w:pPr>
              <w:spacing w:after="0" w:line="240" w:lineRule="auto"/>
              <w:rPr>
                <w:rFonts w:cs="Calibri"/>
                <w:color w:val="000000"/>
                <w:szCs w:val="18"/>
              </w:rPr>
            </w:pPr>
            <w:r w:rsidRPr="00894701">
              <w:rPr>
                <w:rFonts w:cs="Calibri"/>
                <w:color w:val="000000"/>
                <w:szCs w:val="18"/>
              </w:rPr>
              <w:t>Ministry of Natural Resources</w:t>
            </w:r>
          </w:p>
        </w:tc>
      </w:tr>
      <w:tr w:rsidR="00B55953" w:rsidRPr="00894701" w14:paraId="3B9B32FE" w14:textId="77777777" w:rsidTr="00136607">
        <w:trPr>
          <w:trHeight w:val="234"/>
        </w:trPr>
        <w:tc>
          <w:tcPr>
            <w:tcW w:w="4360" w:type="dxa"/>
            <w:noWrap/>
            <w:vAlign w:val="bottom"/>
          </w:tcPr>
          <w:p w14:paraId="0A5BBB71" w14:textId="5FEB02B2" w:rsidR="00B55953" w:rsidRPr="00894701" w:rsidRDefault="00B55953" w:rsidP="00B55953">
            <w:pPr>
              <w:spacing w:after="0" w:line="240" w:lineRule="auto"/>
              <w:rPr>
                <w:rFonts w:cs="Calibri"/>
                <w:color w:val="000000"/>
                <w:szCs w:val="18"/>
              </w:rPr>
            </w:pPr>
            <w:r w:rsidRPr="00894701">
              <w:rPr>
                <w:rFonts w:cs="Calibri"/>
                <w:color w:val="000000"/>
                <w:szCs w:val="18"/>
              </w:rPr>
              <w:t>Joy ten Berge</w:t>
            </w:r>
          </w:p>
        </w:tc>
        <w:tc>
          <w:tcPr>
            <w:tcW w:w="5420" w:type="dxa"/>
            <w:noWrap/>
            <w:vAlign w:val="bottom"/>
          </w:tcPr>
          <w:p w14:paraId="7C32956B" w14:textId="55D35029" w:rsidR="00B55953" w:rsidRPr="00894701" w:rsidRDefault="00B55953" w:rsidP="00B55953">
            <w:pPr>
              <w:spacing w:after="0" w:line="240" w:lineRule="auto"/>
              <w:rPr>
                <w:rFonts w:cs="Calibri"/>
                <w:color w:val="000000"/>
                <w:szCs w:val="18"/>
              </w:rPr>
            </w:pPr>
            <w:r w:rsidRPr="00894701">
              <w:rPr>
                <w:rFonts w:cs="Calibri"/>
                <w:color w:val="000000"/>
                <w:szCs w:val="18"/>
              </w:rPr>
              <w:t xml:space="preserve">Ministry of Finance &amp; Planning </w:t>
            </w:r>
          </w:p>
        </w:tc>
      </w:tr>
      <w:tr w:rsidR="00B55953" w:rsidRPr="00894701" w14:paraId="2FC301E2" w14:textId="77777777" w:rsidTr="00136607">
        <w:trPr>
          <w:trHeight w:val="234"/>
        </w:trPr>
        <w:tc>
          <w:tcPr>
            <w:tcW w:w="4360" w:type="dxa"/>
            <w:shd w:val="clear" w:color="auto" w:fill="F7A3B0"/>
            <w:noWrap/>
            <w:vAlign w:val="bottom"/>
          </w:tcPr>
          <w:p w14:paraId="4BFFFD55" w14:textId="7B154485" w:rsidR="00B55953" w:rsidRPr="00894701" w:rsidRDefault="00B55953" w:rsidP="00B55953">
            <w:pPr>
              <w:spacing w:after="0" w:line="240" w:lineRule="auto"/>
              <w:rPr>
                <w:rFonts w:cs="Calibri"/>
                <w:color w:val="000000"/>
                <w:szCs w:val="18"/>
              </w:rPr>
            </w:pPr>
            <w:r w:rsidRPr="00894701">
              <w:rPr>
                <w:rFonts w:cs="Calibri"/>
                <w:color w:val="000000"/>
                <w:szCs w:val="18"/>
              </w:rPr>
              <w:t>Georgetine Tjalim</w:t>
            </w:r>
          </w:p>
        </w:tc>
        <w:tc>
          <w:tcPr>
            <w:tcW w:w="5420" w:type="dxa"/>
            <w:shd w:val="clear" w:color="auto" w:fill="F7A3B0"/>
            <w:noWrap/>
            <w:vAlign w:val="bottom"/>
          </w:tcPr>
          <w:p w14:paraId="36A69586" w14:textId="0C360382" w:rsidR="00B55953" w:rsidRPr="00894701" w:rsidRDefault="00B55953" w:rsidP="00B55953">
            <w:pPr>
              <w:spacing w:after="0" w:line="240" w:lineRule="auto"/>
              <w:rPr>
                <w:rFonts w:cs="Calibri"/>
                <w:color w:val="000000"/>
                <w:szCs w:val="18"/>
              </w:rPr>
            </w:pPr>
            <w:r w:rsidRPr="00894701">
              <w:rPr>
                <w:rFonts w:cs="Calibri"/>
                <w:color w:val="000000"/>
                <w:szCs w:val="18"/>
              </w:rPr>
              <w:t>Ministry of Finance &amp; Planning</w:t>
            </w:r>
          </w:p>
        </w:tc>
      </w:tr>
      <w:tr w:rsidR="00B55953" w:rsidRPr="00894701" w14:paraId="577A6C4B" w14:textId="77777777" w:rsidTr="00136607">
        <w:trPr>
          <w:trHeight w:val="234"/>
        </w:trPr>
        <w:tc>
          <w:tcPr>
            <w:tcW w:w="4360" w:type="dxa"/>
            <w:noWrap/>
            <w:vAlign w:val="bottom"/>
          </w:tcPr>
          <w:p w14:paraId="672C0A86" w14:textId="3782559C" w:rsidR="00B55953" w:rsidRPr="00894701" w:rsidRDefault="00B55953" w:rsidP="00B55953">
            <w:pPr>
              <w:spacing w:after="0" w:line="240" w:lineRule="auto"/>
              <w:rPr>
                <w:rFonts w:cs="Calibri"/>
                <w:color w:val="000000"/>
                <w:szCs w:val="18"/>
              </w:rPr>
            </w:pPr>
            <w:r w:rsidRPr="00894701">
              <w:rPr>
                <w:rFonts w:cs="Calibri"/>
                <w:color w:val="000000"/>
                <w:szCs w:val="18"/>
              </w:rPr>
              <w:t xml:space="preserve">Henk Deel </w:t>
            </w:r>
          </w:p>
        </w:tc>
        <w:tc>
          <w:tcPr>
            <w:tcW w:w="5420" w:type="dxa"/>
            <w:noWrap/>
            <w:vAlign w:val="bottom"/>
          </w:tcPr>
          <w:p w14:paraId="1F9CA534" w14:textId="1E1B142C" w:rsidR="00B55953" w:rsidRPr="00894701" w:rsidRDefault="00B55953" w:rsidP="00B55953">
            <w:pPr>
              <w:spacing w:after="0" w:line="240" w:lineRule="auto"/>
              <w:rPr>
                <w:rFonts w:cs="Calibri"/>
                <w:color w:val="000000"/>
                <w:szCs w:val="18"/>
              </w:rPr>
            </w:pPr>
            <w:r w:rsidRPr="00894701">
              <w:rPr>
                <w:rFonts w:cs="Calibri"/>
                <w:color w:val="000000"/>
                <w:szCs w:val="18"/>
              </w:rPr>
              <w:t xml:space="preserve">Ministry of Regional Development </w:t>
            </w:r>
          </w:p>
        </w:tc>
      </w:tr>
      <w:tr w:rsidR="00B55953" w:rsidRPr="00894701" w14:paraId="5DD4001F" w14:textId="77777777" w:rsidTr="00136607">
        <w:trPr>
          <w:trHeight w:val="234"/>
        </w:trPr>
        <w:tc>
          <w:tcPr>
            <w:tcW w:w="4360" w:type="dxa"/>
            <w:shd w:val="clear" w:color="auto" w:fill="F7A3B0"/>
            <w:noWrap/>
            <w:vAlign w:val="bottom"/>
          </w:tcPr>
          <w:p w14:paraId="0E996020" w14:textId="0FE18EF0" w:rsidR="00B55953" w:rsidRPr="00894701" w:rsidRDefault="00B55953" w:rsidP="00B55953">
            <w:pPr>
              <w:spacing w:after="0" w:line="240" w:lineRule="auto"/>
              <w:rPr>
                <w:rFonts w:cs="Calibri"/>
                <w:color w:val="000000"/>
                <w:szCs w:val="18"/>
              </w:rPr>
            </w:pPr>
            <w:r w:rsidRPr="00894701">
              <w:rPr>
                <w:rFonts w:cs="Calibri"/>
                <w:color w:val="000000"/>
                <w:szCs w:val="18"/>
              </w:rPr>
              <w:t>Quincy Wielson</w:t>
            </w:r>
          </w:p>
        </w:tc>
        <w:tc>
          <w:tcPr>
            <w:tcW w:w="5420" w:type="dxa"/>
            <w:shd w:val="clear" w:color="auto" w:fill="F7A3B0"/>
            <w:noWrap/>
            <w:vAlign w:val="bottom"/>
          </w:tcPr>
          <w:p w14:paraId="2D096E2A" w14:textId="5B355471" w:rsidR="00B55953" w:rsidRPr="00894701" w:rsidRDefault="00B55953" w:rsidP="00B55953">
            <w:pPr>
              <w:spacing w:after="0" w:line="240" w:lineRule="auto"/>
              <w:rPr>
                <w:rFonts w:cs="Calibri"/>
                <w:color w:val="000000"/>
                <w:szCs w:val="18"/>
              </w:rPr>
            </w:pPr>
            <w:r w:rsidRPr="00894701">
              <w:rPr>
                <w:rFonts w:cs="Calibri"/>
                <w:color w:val="000000"/>
                <w:szCs w:val="18"/>
              </w:rPr>
              <w:t>Ministry of Trade</w:t>
            </w:r>
          </w:p>
        </w:tc>
      </w:tr>
      <w:tr w:rsidR="00B55953" w:rsidRPr="00894701" w14:paraId="3EC78218" w14:textId="77777777" w:rsidTr="00136607">
        <w:trPr>
          <w:trHeight w:val="234"/>
        </w:trPr>
        <w:tc>
          <w:tcPr>
            <w:tcW w:w="4360" w:type="dxa"/>
            <w:noWrap/>
            <w:vAlign w:val="bottom"/>
          </w:tcPr>
          <w:p w14:paraId="29158E50" w14:textId="27F5694A" w:rsidR="00B55953" w:rsidRPr="00894701" w:rsidRDefault="00B55953" w:rsidP="00B55953">
            <w:pPr>
              <w:spacing w:after="0" w:line="240" w:lineRule="auto"/>
              <w:rPr>
                <w:rFonts w:cs="Calibri"/>
                <w:color w:val="000000"/>
                <w:szCs w:val="18"/>
              </w:rPr>
            </w:pPr>
            <w:r w:rsidRPr="00894701">
              <w:rPr>
                <w:rFonts w:cs="Calibri"/>
                <w:color w:val="000000"/>
                <w:szCs w:val="18"/>
              </w:rPr>
              <w:t>Tedy Jbara</w:t>
            </w:r>
          </w:p>
        </w:tc>
        <w:tc>
          <w:tcPr>
            <w:tcW w:w="5420" w:type="dxa"/>
            <w:noWrap/>
            <w:vAlign w:val="bottom"/>
          </w:tcPr>
          <w:p w14:paraId="3B015FDD" w14:textId="0CD5077D" w:rsidR="00B55953" w:rsidRPr="00894701" w:rsidRDefault="00B55953" w:rsidP="00B55953">
            <w:pPr>
              <w:spacing w:after="0" w:line="240" w:lineRule="auto"/>
              <w:rPr>
                <w:rFonts w:cs="Calibri"/>
                <w:color w:val="000000"/>
                <w:szCs w:val="18"/>
              </w:rPr>
            </w:pPr>
            <w:r w:rsidRPr="00894701">
              <w:rPr>
                <w:rFonts w:cs="Calibri"/>
                <w:color w:val="000000"/>
                <w:szCs w:val="18"/>
              </w:rPr>
              <w:t>SHMR Canasur Gold Limited)</w:t>
            </w:r>
          </w:p>
        </w:tc>
      </w:tr>
      <w:tr w:rsidR="00B55953" w:rsidRPr="00894701" w14:paraId="165CC616" w14:textId="77777777" w:rsidTr="00136607">
        <w:trPr>
          <w:trHeight w:val="234"/>
        </w:trPr>
        <w:tc>
          <w:tcPr>
            <w:tcW w:w="4360" w:type="dxa"/>
            <w:shd w:val="clear" w:color="auto" w:fill="F7A3B0"/>
            <w:noWrap/>
            <w:vAlign w:val="bottom"/>
          </w:tcPr>
          <w:p w14:paraId="06D6A046" w14:textId="638D0473" w:rsidR="00B55953" w:rsidRPr="00894701" w:rsidRDefault="00B55953" w:rsidP="00B55953">
            <w:pPr>
              <w:spacing w:after="0" w:line="240" w:lineRule="auto"/>
              <w:rPr>
                <w:rFonts w:cs="Calibri"/>
                <w:color w:val="000000"/>
                <w:szCs w:val="18"/>
              </w:rPr>
            </w:pPr>
            <w:r w:rsidRPr="00894701">
              <w:rPr>
                <w:rFonts w:cs="Calibri"/>
                <w:color w:val="000000"/>
                <w:szCs w:val="18"/>
              </w:rPr>
              <w:t>Micheal Naarendorp</w:t>
            </w:r>
          </w:p>
        </w:tc>
        <w:tc>
          <w:tcPr>
            <w:tcW w:w="5420" w:type="dxa"/>
            <w:shd w:val="clear" w:color="auto" w:fill="F7A3B0"/>
            <w:noWrap/>
            <w:vAlign w:val="bottom"/>
          </w:tcPr>
          <w:p w14:paraId="72CF50D4" w14:textId="33F098E7" w:rsidR="00B55953" w:rsidRPr="00894701" w:rsidRDefault="00B55953" w:rsidP="00B55953">
            <w:pPr>
              <w:spacing w:after="0" w:line="240" w:lineRule="auto"/>
              <w:rPr>
                <w:rFonts w:cs="Calibri"/>
                <w:color w:val="000000"/>
                <w:szCs w:val="18"/>
              </w:rPr>
            </w:pPr>
            <w:r w:rsidRPr="00894701">
              <w:rPr>
                <w:rFonts w:cs="Calibri"/>
                <w:color w:val="000000"/>
                <w:szCs w:val="18"/>
              </w:rPr>
              <w:t>Nana Resources N.V.</w:t>
            </w:r>
          </w:p>
        </w:tc>
      </w:tr>
      <w:tr w:rsidR="00B55953" w:rsidRPr="00894701" w14:paraId="7DC846A0" w14:textId="77777777" w:rsidTr="00136607">
        <w:trPr>
          <w:trHeight w:val="234"/>
        </w:trPr>
        <w:tc>
          <w:tcPr>
            <w:tcW w:w="4360" w:type="dxa"/>
            <w:shd w:val="clear" w:color="auto" w:fill="auto"/>
            <w:noWrap/>
            <w:vAlign w:val="bottom"/>
          </w:tcPr>
          <w:p w14:paraId="0027F138" w14:textId="3026A9B0" w:rsidR="00B55953" w:rsidRPr="00894701" w:rsidRDefault="00B55953" w:rsidP="00B55953">
            <w:pPr>
              <w:spacing w:after="0" w:line="240" w:lineRule="auto"/>
              <w:rPr>
                <w:rFonts w:cs="Calibri"/>
                <w:color w:val="000000"/>
                <w:szCs w:val="18"/>
              </w:rPr>
            </w:pPr>
            <w:r w:rsidRPr="00894701">
              <w:rPr>
                <w:rFonts w:cs="Calibri"/>
                <w:color w:val="000000"/>
                <w:szCs w:val="18"/>
              </w:rPr>
              <w:t>Daniela Herkul</w:t>
            </w:r>
          </w:p>
        </w:tc>
        <w:tc>
          <w:tcPr>
            <w:tcW w:w="5420" w:type="dxa"/>
            <w:shd w:val="clear" w:color="auto" w:fill="auto"/>
            <w:noWrap/>
            <w:vAlign w:val="bottom"/>
          </w:tcPr>
          <w:p w14:paraId="175D9FCD" w14:textId="5648A19F" w:rsidR="00B55953" w:rsidRPr="00894701" w:rsidRDefault="00B55953" w:rsidP="00B55953">
            <w:pPr>
              <w:spacing w:after="0" w:line="240" w:lineRule="auto"/>
              <w:rPr>
                <w:rFonts w:cs="Calibri"/>
                <w:color w:val="000000"/>
                <w:szCs w:val="18"/>
              </w:rPr>
            </w:pPr>
            <w:r w:rsidRPr="00894701">
              <w:rPr>
                <w:rFonts w:cs="Calibri"/>
                <w:color w:val="000000"/>
                <w:szCs w:val="18"/>
              </w:rPr>
              <w:t xml:space="preserve">Staatsolie </w:t>
            </w:r>
          </w:p>
        </w:tc>
      </w:tr>
      <w:tr w:rsidR="00B55953" w:rsidRPr="00894701" w14:paraId="718166CA" w14:textId="77777777" w:rsidTr="00136607">
        <w:trPr>
          <w:trHeight w:val="234"/>
        </w:trPr>
        <w:tc>
          <w:tcPr>
            <w:tcW w:w="4360" w:type="dxa"/>
            <w:shd w:val="clear" w:color="auto" w:fill="F7A3B0"/>
            <w:noWrap/>
            <w:vAlign w:val="bottom"/>
          </w:tcPr>
          <w:p w14:paraId="074A5774" w14:textId="3B6D450D" w:rsidR="00B55953" w:rsidRPr="00894701" w:rsidRDefault="00B55953" w:rsidP="00B55953">
            <w:pPr>
              <w:spacing w:after="0" w:line="240" w:lineRule="auto"/>
              <w:rPr>
                <w:rFonts w:cs="Calibri"/>
                <w:color w:val="000000"/>
                <w:szCs w:val="18"/>
              </w:rPr>
            </w:pPr>
            <w:r w:rsidRPr="00894701">
              <w:rPr>
                <w:rFonts w:cs="Calibri"/>
                <w:color w:val="000000"/>
                <w:szCs w:val="18"/>
              </w:rPr>
              <w:t>Richard Donallan</w:t>
            </w:r>
          </w:p>
        </w:tc>
        <w:tc>
          <w:tcPr>
            <w:tcW w:w="5420" w:type="dxa"/>
            <w:shd w:val="clear" w:color="auto" w:fill="F7A3B0"/>
            <w:noWrap/>
            <w:vAlign w:val="bottom"/>
          </w:tcPr>
          <w:p w14:paraId="4A09B569" w14:textId="69FED9F6" w:rsidR="00B55953" w:rsidRPr="00894701" w:rsidRDefault="00B55953" w:rsidP="00B55953">
            <w:pPr>
              <w:spacing w:after="0" w:line="240" w:lineRule="auto"/>
              <w:rPr>
                <w:rFonts w:cs="Calibri"/>
                <w:color w:val="000000"/>
                <w:szCs w:val="18"/>
              </w:rPr>
            </w:pPr>
            <w:r w:rsidRPr="00894701">
              <w:rPr>
                <w:rFonts w:cs="Calibri"/>
                <w:color w:val="000000"/>
                <w:szCs w:val="18"/>
              </w:rPr>
              <w:t>Tullow Oil</w:t>
            </w:r>
          </w:p>
        </w:tc>
      </w:tr>
      <w:tr w:rsidR="00B55953" w:rsidRPr="00894701" w14:paraId="5345C92D" w14:textId="77777777" w:rsidTr="00136607">
        <w:trPr>
          <w:trHeight w:val="234"/>
        </w:trPr>
        <w:tc>
          <w:tcPr>
            <w:tcW w:w="4360" w:type="dxa"/>
            <w:shd w:val="clear" w:color="auto" w:fill="auto"/>
            <w:noWrap/>
            <w:vAlign w:val="bottom"/>
          </w:tcPr>
          <w:p w14:paraId="0C5157EF" w14:textId="70FCB530" w:rsidR="00B55953" w:rsidRPr="00894701" w:rsidRDefault="00B55953" w:rsidP="00B55953">
            <w:pPr>
              <w:spacing w:after="0" w:line="240" w:lineRule="auto"/>
              <w:rPr>
                <w:rFonts w:cs="Calibri"/>
                <w:color w:val="000000"/>
                <w:szCs w:val="18"/>
              </w:rPr>
            </w:pPr>
            <w:r w:rsidRPr="00894701">
              <w:rPr>
                <w:rFonts w:cs="Calibri"/>
                <w:color w:val="000000"/>
                <w:szCs w:val="18"/>
              </w:rPr>
              <w:t xml:space="preserve">Michiel Raafenberg </w:t>
            </w:r>
          </w:p>
        </w:tc>
        <w:tc>
          <w:tcPr>
            <w:tcW w:w="5420" w:type="dxa"/>
            <w:shd w:val="clear" w:color="auto" w:fill="auto"/>
            <w:noWrap/>
            <w:vAlign w:val="bottom"/>
          </w:tcPr>
          <w:p w14:paraId="27A72BBD" w14:textId="29BFF830" w:rsidR="00B55953" w:rsidRPr="00894701" w:rsidRDefault="00B55953" w:rsidP="00B55953">
            <w:pPr>
              <w:spacing w:after="0" w:line="240" w:lineRule="auto"/>
              <w:rPr>
                <w:rFonts w:cs="Calibri"/>
                <w:color w:val="000000"/>
                <w:szCs w:val="18"/>
              </w:rPr>
            </w:pPr>
            <w:r w:rsidRPr="00894701">
              <w:rPr>
                <w:rFonts w:cs="Calibri"/>
                <w:color w:val="000000"/>
                <w:szCs w:val="18"/>
              </w:rPr>
              <w:t>Rosebel Gold Mines N.V.</w:t>
            </w:r>
          </w:p>
        </w:tc>
      </w:tr>
      <w:tr w:rsidR="00B55953" w:rsidRPr="00894701" w14:paraId="51C87ED0" w14:textId="77777777" w:rsidTr="00136607">
        <w:trPr>
          <w:trHeight w:val="234"/>
        </w:trPr>
        <w:tc>
          <w:tcPr>
            <w:tcW w:w="4360" w:type="dxa"/>
            <w:shd w:val="clear" w:color="auto" w:fill="F7A3B0"/>
            <w:noWrap/>
            <w:vAlign w:val="bottom"/>
          </w:tcPr>
          <w:p w14:paraId="3743A32F" w14:textId="44A105C1" w:rsidR="00B55953" w:rsidRPr="00894701" w:rsidRDefault="00B55953" w:rsidP="00B55953">
            <w:pPr>
              <w:spacing w:after="0" w:line="240" w:lineRule="auto"/>
              <w:rPr>
                <w:rFonts w:cs="Calibri"/>
                <w:color w:val="000000"/>
                <w:szCs w:val="18"/>
              </w:rPr>
            </w:pPr>
            <w:r w:rsidRPr="00894701">
              <w:rPr>
                <w:rFonts w:cs="Calibri"/>
                <w:color w:val="000000"/>
                <w:szCs w:val="18"/>
              </w:rPr>
              <w:t>Albert Ramdin</w:t>
            </w:r>
          </w:p>
        </w:tc>
        <w:tc>
          <w:tcPr>
            <w:tcW w:w="5420" w:type="dxa"/>
            <w:shd w:val="clear" w:color="auto" w:fill="F7A3B0"/>
            <w:noWrap/>
            <w:vAlign w:val="bottom"/>
          </w:tcPr>
          <w:p w14:paraId="38D801C4" w14:textId="70669F6B" w:rsidR="00B55953" w:rsidRPr="00894701" w:rsidRDefault="00B55953" w:rsidP="00B55953">
            <w:pPr>
              <w:spacing w:after="0" w:line="240" w:lineRule="auto"/>
              <w:rPr>
                <w:rFonts w:cs="Calibri"/>
                <w:color w:val="000000"/>
                <w:szCs w:val="18"/>
              </w:rPr>
            </w:pPr>
            <w:r w:rsidRPr="00894701">
              <w:rPr>
                <w:rFonts w:cs="Calibri"/>
                <w:color w:val="000000"/>
                <w:szCs w:val="18"/>
              </w:rPr>
              <w:t>Newmont Suriname</w:t>
            </w:r>
          </w:p>
        </w:tc>
      </w:tr>
      <w:tr w:rsidR="00B55953" w:rsidRPr="00894701" w14:paraId="54F8A2F5" w14:textId="77777777" w:rsidTr="00136607">
        <w:trPr>
          <w:trHeight w:val="234"/>
        </w:trPr>
        <w:tc>
          <w:tcPr>
            <w:tcW w:w="4360" w:type="dxa"/>
            <w:shd w:val="clear" w:color="auto" w:fill="auto"/>
            <w:noWrap/>
            <w:vAlign w:val="bottom"/>
          </w:tcPr>
          <w:p w14:paraId="13B5DDC3" w14:textId="2BFEB1B3" w:rsidR="00B55953" w:rsidRPr="00894701" w:rsidRDefault="00B55953" w:rsidP="00B55953">
            <w:pPr>
              <w:spacing w:after="0" w:line="240" w:lineRule="auto"/>
              <w:rPr>
                <w:rFonts w:cs="Calibri"/>
                <w:color w:val="000000"/>
                <w:szCs w:val="18"/>
              </w:rPr>
            </w:pPr>
            <w:r w:rsidRPr="00894701">
              <w:rPr>
                <w:rFonts w:cs="Calibri"/>
                <w:color w:val="000000"/>
                <w:szCs w:val="18"/>
              </w:rPr>
              <w:t>Rayah Battacharji</w:t>
            </w:r>
          </w:p>
        </w:tc>
        <w:tc>
          <w:tcPr>
            <w:tcW w:w="5420" w:type="dxa"/>
            <w:shd w:val="clear" w:color="auto" w:fill="auto"/>
            <w:noWrap/>
            <w:vAlign w:val="bottom"/>
          </w:tcPr>
          <w:p w14:paraId="43094068" w14:textId="64F3F42B" w:rsidR="00B55953" w:rsidRPr="00894701" w:rsidRDefault="00B55953" w:rsidP="00B55953">
            <w:pPr>
              <w:spacing w:after="0" w:line="240" w:lineRule="auto"/>
              <w:rPr>
                <w:rFonts w:cs="Calibri"/>
                <w:color w:val="000000"/>
                <w:szCs w:val="18"/>
              </w:rPr>
            </w:pPr>
            <w:r w:rsidRPr="00894701">
              <w:rPr>
                <w:rFonts w:cs="Calibri"/>
                <w:color w:val="000000"/>
                <w:szCs w:val="18"/>
              </w:rPr>
              <w:t xml:space="preserve">Stichting Projekta </w:t>
            </w:r>
          </w:p>
        </w:tc>
      </w:tr>
      <w:tr w:rsidR="00B55953" w:rsidRPr="00894701" w14:paraId="4EE8EF70" w14:textId="77777777" w:rsidTr="00136607">
        <w:trPr>
          <w:trHeight w:val="234"/>
        </w:trPr>
        <w:tc>
          <w:tcPr>
            <w:tcW w:w="4360" w:type="dxa"/>
            <w:shd w:val="clear" w:color="auto" w:fill="F7A3B0"/>
            <w:noWrap/>
            <w:vAlign w:val="bottom"/>
          </w:tcPr>
          <w:p w14:paraId="61906E4A" w14:textId="7DEB1525" w:rsidR="00B55953" w:rsidRPr="00894701" w:rsidRDefault="00B55953" w:rsidP="00B55953">
            <w:pPr>
              <w:spacing w:after="0" w:line="240" w:lineRule="auto"/>
              <w:rPr>
                <w:rFonts w:cs="Calibri"/>
                <w:color w:val="000000"/>
                <w:szCs w:val="18"/>
              </w:rPr>
            </w:pPr>
            <w:r w:rsidRPr="00894701">
              <w:rPr>
                <w:rFonts w:cs="Calibri"/>
                <w:color w:val="000000"/>
                <w:szCs w:val="18"/>
              </w:rPr>
              <w:t>Monique Essed-Fernades</w:t>
            </w:r>
          </w:p>
        </w:tc>
        <w:tc>
          <w:tcPr>
            <w:tcW w:w="5420" w:type="dxa"/>
            <w:shd w:val="clear" w:color="auto" w:fill="F7A3B0"/>
            <w:noWrap/>
            <w:vAlign w:val="bottom"/>
          </w:tcPr>
          <w:p w14:paraId="7CE3EC30" w14:textId="3E97327D" w:rsidR="00B55953" w:rsidRPr="00894701" w:rsidRDefault="00B55953" w:rsidP="00B55953">
            <w:pPr>
              <w:spacing w:after="0" w:line="240" w:lineRule="auto"/>
              <w:rPr>
                <w:rFonts w:cs="Calibri"/>
                <w:color w:val="000000"/>
                <w:szCs w:val="18"/>
                <w:lang w:val="nl-NL"/>
              </w:rPr>
            </w:pPr>
            <w:r w:rsidRPr="00894701">
              <w:rPr>
                <w:rFonts w:cs="Calibri"/>
                <w:color w:val="000000"/>
                <w:szCs w:val="18"/>
              </w:rPr>
              <w:t>Stichting Projekta</w:t>
            </w:r>
          </w:p>
        </w:tc>
      </w:tr>
      <w:tr w:rsidR="00B55953" w:rsidRPr="00860520" w14:paraId="25FBEE90" w14:textId="77777777" w:rsidTr="00136607">
        <w:trPr>
          <w:trHeight w:val="234"/>
        </w:trPr>
        <w:tc>
          <w:tcPr>
            <w:tcW w:w="4360" w:type="dxa"/>
            <w:shd w:val="clear" w:color="auto" w:fill="auto"/>
            <w:noWrap/>
            <w:vAlign w:val="bottom"/>
          </w:tcPr>
          <w:p w14:paraId="59367B38" w14:textId="4978BD9A" w:rsidR="00B55953" w:rsidRPr="00894701" w:rsidRDefault="00B55953" w:rsidP="00B55953">
            <w:pPr>
              <w:spacing w:after="0" w:line="240" w:lineRule="auto"/>
              <w:rPr>
                <w:rFonts w:cs="Calibri"/>
                <w:color w:val="000000"/>
                <w:szCs w:val="18"/>
              </w:rPr>
            </w:pPr>
            <w:r w:rsidRPr="00894701">
              <w:rPr>
                <w:rFonts w:cs="Calibri"/>
                <w:color w:val="000000"/>
                <w:szCs w:val="18"/>
              </w:rPr>
              <w:t>Rene Atrist</w:t>
            </w:r>
          </w:p>
        </w:tc>
        <w:tc>
          <w:tcPr>
            <w:tcW w:w="5420" w:type="dxa"/>
            <w:shd w:val="clear" w:color="auto" w:fill="auto"/>
            <w:noWrap/>
            <w:vAlign w:val="bottom"/>
          </w:tcPr>
          <w:p w14:paraId="1A2203E4" w14:textId="380E8EC5" w:rsidR="00B55953" w:rsidRPr="00894701" w:rsidRDefault="00B55953" w:rsidP="00B55953">
            <w:pPr>
              <w:spacing w:after="0" w:line="240" w:lineRule="auto"/>
              <w:rPr>
                <w:rFonts w:cs="Calibri"/>
                <w:color w:val="000000"/>
                <w:szCs w:val="18"/>
                <w:lang w:val="nl-NL"/>
              </w:rPr>
            </w:pPr>
            <w:r w:rsidRPr="00894701">
              <w:rPr>
                <w:rFonts w:cs="Calibri"/>
                <w:color w:val="000000"/>
                <w:szCs w:val="18"/>
                <w:lang w:val="nl-NL"/>
              </w:rPr>
              <w:t>VIDS, VSG &amp; 12 Lo’s der Aukaner</w:t>
            </w:r>
          </w:p>
        </w:tc>
      </w:tr>
      <w:tr w:rsidR="00B55953" w:rsidRPr="00860520" w14:paraId="1A33C3E1" w14:textId="77777777" w:rsidTr="00136607">
        <w:trPr>
          <w:trHeight w:val="234"/>
        </w:trPr>
        <w:tc>
          <w:tcPr>
            <w:tcW w:w="4360" w:type="dxa"/>
            <w:shd w:val="clear" w:color="auto" w:fill="F7A3B0"/>
            <w:noWrap/>
            <w:vAlign w:val="bottom"/>
          </w:tcPr>
          <w:p w14:paraId="4CFBCEA6" w14:textId="2187DC88" w:rsidR="00B55953" w:rsidRPr="00894701" w:rsidRDefault="00B55953" w:rsidP="00B55953">
            <w:pPr>
              <w:spacing w:after="0" w:line="240" w:lineRule="auto"/>
              <w:rPr>
                <w:rFonts w:cs="Calibri"/>
                <w:color w:val="000000"/>
                <w:szCs w:val="18"/>
              </w:rPr>
            </w:pPr>
            <w:r w:rsidRPr="00894701">
              <w:rPr>
                <w:rFonts w:cs="Calibri"/>
                <w:color w:val="000000"/>
                <w:szCs w:val="18"/>
              </w:rPr>
              <w:t>Ewald Poetrisi</w:t>
            </w:r>
          </w:p>
        </w:tc>
        <w:tc>
          <w:tcPr>
            <w:tcW w:w="5420" w:type="dxa"/>
            <w:shd w:val="clear" w:color="auto" w:fill="F7A3B0"/>
            <w:noWrap/>
            <w:vAlign w:val="bottom"/>
          </w:tcPr>
          <w:p w14:paraId="733382F4" w14:textId="74241363" w:rsidR="00B55953" w:rsidRPr="00894701" w:rsidRDefault="00B55953" w:rsidP="00B55953">
            <w:pPr>
              <w:spacing w:after="0" w:line="240" w:lineRule="auto"/>
              <w:rPr>
                <w:rFonts w:cs="Calibri"/>
                <w:color w:val="000000"/>
                <w:szCs w:val="18"/>
                <w:lang w:val="nl-NL"/>
              </w:rPr>
            </w:pPr>
            <w:r w:rsidRPr="00894701">
              <w:rPr>
                <w:rFonts w:cs="Calibri"/>
                <w:color w:val="000000"/>
                <w:szCs w:val="18"/>
                <w:lang w:val="nl-NL"/>
              </w:rPr>
              <w:t>VIDS, VSG &amp; 12 Lo’s der Aukaner</w:t>
            </w:r>
          </w:p>
        </w:tc>
      </w:tr>
      <w:tr w:rsidR="00B55953" w:rsidRPr="00860520" w14:paraId="4984A2BE" w14:textId="77777777" w:rsidTr="00136607">
        <w:trPr>
          <w:trHeight w:val="234"/>
        </w:trPr>
        <w:tc>
          <w:tcPr>
            <w:tcW w:w="4360" w:type="dxa"/>
            <w:shd w:val="clear" w:color="auto" w:fill="auto"/>
            <w:noWrap/>
            <w:vAlign w:val="bottom"/>
          </w:tcPr>
          <w:p w14:paraId="4EEE3E51" w14:textId="2708AFD5" w:rsidR="00B55953" w:rsidRPr="00894701" w:rsidRDefault="00B55953" w:rsidP="00B55953">
            <w:pPr>
              <w:spacing w:after="0" w:line="240" w:lineRule="auto"/>
              <w:rPr>
                <w:rFonts w:cs="Calibri"/>
                <w:color w:val="000000"/>
                <w:szCs w:val="18"/>
              </w:rPr>
            </w:pPr>
            <w:r w:rsidRPr="00894701">
              <w:rPr>
                <w:rFonts w:cs="Calibri"/>
                <w:color w:val="000000"/>
                <w:szCs w:val="18"/>
              </w:rPr>
              <w:t>Roy Caupain</w:t>
            </w:r>
          </w:p>
        </w:tc>
        <w:tc>
          <w:tcPr>
            <w:tcW w:w="5420" w:type="dxa"/>
            <w:shd w:val="clear" w:color="auto" w:fill="auto"/>
            <w:noWrap/>
            <w:vAlign w:val="bottom"/>
          </w:tcPr>
          <w:p w14:paraId="24D99061" w14:textId="134E4364" w:rsidR="00B55953" w:rsidRPr="00894701" w:rsidRDefault="00B55953" w:rsidP="00B55953">
            <w:pPr>
              <w:spacing w:after="0" w:line="240" w:lineRule="auto"/>
              <w:rPr>
                <w:rFonts w:cs="Calibri"/>
                <w:color w:val="000000"/>
                <w:szCs w:val="18"/>
                <w:lang w:val="nl-NL"/>
              </w:rPr>
            </w:pPr>
            <w:r w:rsidRPr="00894701">
              <w:rPr>
                <w:rFonts w:cs="Calibri"/>
                <w:color w:val="000000"/>
                <w:szCs w:val="18"/>
                <w:lang w:val="nl-NL"/>
              </w:rPr>
              <w:t>Vertegenwoordiger voor de Staatsolie Werknemers Organisatie Suriname (SWOS) en de Rosebel Gold Mines Werknemers Organisatie (RGWO)</w:t>
            </w:r>
          </w:p>
        </w:tc>
      </w:tr>
      <w:tr w:rsidR="00B55953" w:rsidRPr="00894701" w14:paraId="2C2C0ECA" w14:textId="77777777" w:rsidTr="00FE5887">
        <w:trPr>
          <w:trHeight w:val="234"/>
        </w:trPr>
        <w:tc>
          <w:tcPr>
            <w:tcW w:w="4360" w:type="dxa"/>
            <w:shd w:val="clear" w:color="auto" w:fill="F7A3B0"/>
            <w:noWrap/>
            <w:vAlign w:val="bottom"/>
          </w:tcPr>
          <w:p w14:paraId="00643422" w14:textId="3C7C11F8" w:rsidR="00B55953" w:rsidRPr="00894701" w:rsidRDefault="00B55953" w:rsidP="00B55953">
            <w:pPr>
              <w:spacing w:after="0" w:line="240" w:lineRule="auto"/>
              <w:rPr>
                <w:rFonts w:cs="Calibri"/>
                <w:color w:val="000000"/>
                <w:szCs w:val="18"/>
              </w:rPr>
            </w:pPr>
            <w:r w:rsidRPr="00894701">
              <w:rPr>
                <w:rFonts w:cs="Calibri"/>
                <w:color w:val="000000"/>
                <w:szCs w:val="18"/>
              </w:rPr>
              <w:t>Lisa Best</w:t>
            </w:r>
          </w:p>
        </w:tc>
        <w:tc>
          <w:tcPr>
            <w:tcW w:w="5420" w:type="dxa"/>
            <w:shd w:val="clear" w:color="auto" w:fill="F7A3B0"/>
            <w:noWrap/>
            <w:vAlign w:val="bottom"/>
          </w:tcPr>
          <w:p w14:paraId="1F30BF6A" w14:textId="7ECA2B3C" w:rsidR="00B55953" w:rsidRPr="00894701" w:rsidRDefault="00B55953" w:rsidP="00B55953">
            <w:pPr>
              <w:spacing w:after="0" w:line="240" w:lineRule="auto"/>
              <w:rPr>
                <w:rFonts w:cs="Calibri"/>
                <w:color w:val="000000"/>
                <w:szCs w:val="18"/>
              </w:rPr>
            </w:pPr>
            <w:r w:rsidRPr="00894701">
              <w:rPr>
                <w:rFonts w:cs="Calibri"/>
                <w:color w:val="000000"/>
                <w:szCs w:val="18"/>
              </w:rPr>
              <w:t>Vertegenwoordiger voor Tropenbos International</w:t>
            </w:r>
          </w:p>
        </w:tc>
      </w:tr>
      <w:tr w:rsidR="00B55953" w:rsidRPr="00894701" w14:paraId="09D08E8A" w14:textId="77777777" w:rsidTr="00136607">
        <w:trPr>
          <w:trHeight w:val="240"/>
        </w:trPr>
        <w:tc>
          <w:tcPr>
            <w:tcW w:w="4360" w:type="dxa"/>
            <w:noWrap/>
            <w:vAlign w:val="bottom"/>
            <w:hideMark/>
          </w:tcPr>
          <w:p w14:paraId="314035F9" w14:textId="77777777" w:rsidR="00B55953" w:rsidRPr="00894701" w:rsidRDefault="00B55953" w:rsidP="00B55953">
            <w:pPr>
              <w:rPr>
                <w:rFonts w:cs="Calibri"/>
                <w:color w:val="000000"/>
                <w:szCs w:val="18"/>
              </w:rPr>
            </w:pPr>
          </w:p>
        </w:tc>
        <w:tc>
          <w:tcPr>
            <w:tcW w:w="5420" w:type="dxa"/>
            <w:noWrap/>
            <w:vAlign w:val="bottom"/>
            <w:hideMark/>
          </w:tcPr>
          <w:p w14:paraId="07635C17" w14:textId="77777777" w:rsidR="00B55953" w:rsidRPr="00894701" w:rsidRDefault="00B55953" w:rsidP="00B55953">
            <w:pPr>
              <w:spacing w:after="0"/>
              <w:rPr>
                <w:sz w:val="20"/>
                <w:szCs w:val="20"/>
                <w:lang w:val="fr-FR" w:eastAsia="fr-FR"/>
              </w:rPr>
            </w:pPr>
          </w:p>
        </w:tc>
      </w:tr>
      <w:tr w:rsidR="00B55953" w:rsidRPr="00894701" w14:paraId="169FB3D7" w14:textId="77777777" w:rsidTr="00136607">
        <w:trPr>
          <w:trHeight w:val="240"/>
        </w:trPr>
        <w:tc>
          <w:tcPr>
            <w:tcW w:w="4360" w:type="dxa"/>
            <w:tcBorders>
              <w:top w:val="single" w:sz="8" w:space="0" w:color="FF0000"/>
              <w:left w:val="nil"/>
              <w:bottom w:val="single" w:sz="8" w:space="0" w:color="FF0000"/>
              <w:right w:val="nil"/>
            </w:tcBorders>
            <w:shd w:val="clear" w:color="auto" w:fill="7A091A"/>
            <w:noWrap/>
            <w:vAlign w:val="center"/>
            <w:hideMark/>
          </w:tcPr>
          <w:p w14:paraId="20F8EFBE" w14:textId="77777777" w:rsidR="00B55953" w:rsidRPr="00894701" w:rsidRDefault="00B55953" w:rsidP="00B55953">
            <w:pPr>
              <w:spacing w:after="0" w:line="240" w:lineRule="auto"/>
              <w:rPr>
                <w:rFonts w:cs="Calibri"/>
                <w:b/>
                <w:bCs/>
                <w:color w:val="FFFFFF"/>
                <w:szCs w:val="18"/>
                <w:lang w:val="en-US" w:eastAsia="en-US"/>
              </w:rPr>
            </w:pPr>
            <w:r w:rsidRPr="00894701">
              <w:rPr>
                <w:rFonts w:cs="Calibri"/>
                <w:b/>
                <w:bCs/>
                <w:color w:val="FFFFFF"/>
                <w:szCs w:val="18"/>
              </w:rPr>
              <w:t>Ministry of Finance and Planning</w:t>
            </w:r>
          </w:p>
        </w:tc>
        <w:tc>
          <w:tcPr>
            <w:tcW w:w="5420" w:type="dxa"/>
            <w:tcBorders>
              <w:top w:val="single" w:sz="8" w:space="0" w:color="FF0000"/>
              <w:left w:val="nil"/>
              <w:bottom w:val="single" w:sz="8" w:space="0" w:color="FF0000"/>
              <w:right w:val="nil"/>
            </w:tcBorders>
            <w:shd w:val="clear" w:color="auto" w:fill="7A091A"/>
            <w:noWrap/>
            <w:vAlign w:val="center"/>
            <w:hideMark/>
          </w:tcPr>
          <w:p w14:paraId="09121AED" w14:textId="77777777" w:rsidR="00B55953" w:rsidRPr="00894701" w:rsidRDefault="00B55953" w:rsidP="00B55953">
            <w:pPr>
              <w:spacing w:after="0" w:line="240" w:lineRule="auto"/>
              <w:jc w:val="center"/>
              <w:rPr>
                <w:rFonts w:cs="Calibri"/>
                <w:b/>
                <w:bCs/>
                <w:color w:val="FFFFFF"/>
                <w:szCs w:val="18"/>
              </w:rPr>
            </w:pPr>
            <w:r w:rsidRPr="00894701">
              <w:rPr>
                <w:rFonts w:cs="Calibri"/>
                <w:b/>
                <w:bCs/>
                <w:color w:val="FFFFFF"/>
                <w:szCs w:val="18"/>
              </w:rPr>
              <w:t> </w:t>
            </w:r>
          </w:p>
        </w:tc>
      </w:tr>
      <w:tr w:rsidR="00B55953" w:rsidRPr="00894701" w14:paraId="6FC64F3F" w14:textId="77777777" w:rsidTr="00136607">
        <w:trPr>
          <w:trHeight w:val="234"/>
        </w:trPr>
        <w:tc>
          <w:tcPr>
            <w:tcW w:w="4360" w:type="dxa"/>
            <w:shd w:val="clear" w:color="auto" w:fill="F7A3B0"/>
            <w:noWrap/>
            <w:vAlign w:val="bottom"/>
          </w:tcPr>
          <w:p w14:paraId="07C30C5C" w14:textId="6FF11EA1" w:rsidR="00B55953" w:rsidRPr="00894701" w:rsidRDefault="00B55953" w:rsidP="00B55953">
            <w:pPr>
              <w:spacing w:after="0" w:line="240" w:lineRule="auto"/>
              <w:rPr>
                <w:rFonts w:cs="Calibri"/>
                <w:color w:val="000000"/>
                <w:szCs w:val="18"/>
              </w:rPr>
            </w:pPr>
            <w:r w:rsidRPr="00A134AC">
              <w:rPr>
                <w:rFonts w:cs="Calibri"/>
                <w:color w:val="000000"/>
                <w:szCs w:val="18"/>
              </w:rPr>
              <w:t>Georgetine Tjalim</w:t>
            </w:r>
          </w:p>
        </w:tc>
        <w:tc>
          <w:tcPr>
            <w:tcW w:w="5420" w:type="dxa"/>
            <w:shd w:val="clear" w:color="auto" w:fill="F7A3B0"/>
            <w:noWrap/>
            <w:vAlign w:val="bottom"/>
          </w:tcPr>
          <w:p w14:paraId="60BDE350" w14:textId="0EBF9A41" w:rsidR="00B55953" w:rsidRPr="00894701" w:rsidRDefault="00B55953" w:rsidP="00B55953">
            <w:pPr>
              <w:spacing w:after="0" w:line="240" w:lineRule="auto"/>
              <w:rPr>
                <w:rFonts w:cs="Calibri"/>
                <w:color w:val="000000"/>
                <w:szCs w:val="18"/>
              </w:rPr>
            </w:pPr>
            <w:r w:rsidRPr="00894701">
              <w:rPr>
                <w:rFonts w:cs="Calibri"/>
                <w:color w:val="000000"/>
                <w:szCs w:val="18"/>
              </w:rPr>
              <w:t>Officer</w:t>
            </w:r>
          </w:p>
        </w:tc>
      </w:tr>
      <w:tr w:rsidR="00B55953" w:rsidRPr="00894701" w14:paraId="36ABDCC3" w14:textId="77777777" w:rsidTr="00136607">
        <w:trPr>
          <w:trHeight w:val="288"/>
        </w:trPr>
        <w:tc>
          <w:tcPr>
            <w:tcW w:w="4360" w:type="dxa"/>
            <w:noWrap/>
            <w:vAlign w:val="bottom"/>
          </w:tcPr>
          <w:p w14:paraId="25DB2644" w14:textId="3138000D" w:rsidR="00B55953" w:rsidRPr="00894701" w:rsidRDefault="00B55953" w:rsidP="00B55953">
            <w:pPr>
              <w:spacing w:after="0" w:line="240" w:lineRule="auto"/>
              <w:rPr>
                <w:rFonts w:cs="Calibri"/>
                <w:color w:val="000000"/>
                <w:szCs w:val="18"/>
              </w:rPr>
            </w:pPr>
            <w:r w:rsidRPr="00A134AC">
              <w:rPr>
                <w:rFonts w:cs="Calibri"/>
                <w:color w:val="000000"/>
                <w:szCs w:val="18"/>
              </w:rPr>
              <w:t>Sagita Jaggan</w:t>
            </w:r>
          </w:p>
        </w:tc>
        <w:tc>
          <w:tcPr>
            <w:tcW w:w="5420" w:type="dxa"/>
            <w:noWrap/>
            <w:vAlign w:val="bottom"/>
          </w:tcPr>
          <w:p w14:paraId="6357B446" w14:textId="3F0B4DC6" w:rsidR="00B55953" w:rsidRPr="00894701" w:rsidRDefault="00B55953" w:rsidP="00B55953">
            <w:pPr>
              <w:spacing w:after="0" w:line="240" w:lineRule="auto"/>
              <w:rPr>
                <w:rFonts w:cs="Calibri"/>
                <w:color w:val="000000"/>
                <w:szCs w:val="18"/>
              </w:rPr>
            </w:pPr>
            <w:r w:rsidRPr="00894701">
              <w:rPr>
                <w:rFonts w:cs="Calibri"/>
                <w:color w:val="000000"/>
                <w:szCs w:val="18"/>
              </w:rPr>
              <w:t>Officer</w:t>
            </w:r>
          </w:p>
        </w:tc>
      </w:tr>
      <w:tr w:rsidR="00B55953" w:rsidRPr="00894701" w14:paraId="6B96D583" w14:textId="77777777" w:rsidTr="00136607">
        <w:trPr>
          <w:trHeight w:val="288"/>
        </w:trPr>
        <w:tc>
          <w:tcPr>
            <w:tcW w:w="4360" w:type="dxa"/>
            <w:noWrap/>
            <w:vAlign w:val="bottom"/>
          </w:tcPr>
          <w:p w14:paraId="3F9E8005" w14:textId="77777777" w:rsidR="00B55953" w:rsidRPr="00894701" w:rsidRDefault="00B55953" w:rsidP="00B55953">
            <w:pPr>
              <w:spacing w:after="0" w:line="240" w:lineRule="auto"/>
              <w:rPr>
                <w:rFonts w:cs="Calibri"/>
                <w:color w:val="000000"/>
                <w:szCs w:val="18"/>
              </w:rPr>
            </w:pPr>
          </w:p>
        </w:tc>
        <w:tc>
          <w:tcPr>
            <w:tcW w:w="5420" w:type="dxa"/>
            <w:noWrap/>
            <w:vAlign w:val="bottom"/>
          </w:tcPr>
          <w:p w14:paraId="3EA2189B" w14:textId="77777777" w:rsidR="00B55953" w:rsidRPr="00894701" w:rsidRDefault="00B55953" w:rsidP="00B55953">
            <w:pPr>
              <w:spacing w:after="0" w:line="240" w:lineRule="auto"/>
              <w:rPr>
                <w:rFonts w:cs="Calibri"/>
                <w:color w:val="000000"/>
                <w:szCs w:val="18"/>
              </w:rPr>
            </w:pPr>
          </w:p>
        </w:tc>
      </w:tr>
      <w:tr w:rsidR="00B55953" w:rsidRPr="00894701" w14:paraId="53F71614" w14:textId="77777777" w:rsidTr="00136607">
        <w:trPr>
          <w:trHeight w:val="270"/>
        </w:trPr>
        <w:tc>
          <w:tcPr>
            <w:tcW w:w="4360" w:type="dxa"/>
            <w:tcBorders>
              <w:top w:val="single" w:sz="8" w:space="0" w:color="FF0000"/>
              <w:left w:val="nil"/>
              <w:bottom w:val="single" w:sz="8" w:space="0" w:color="FF0000"/>
              <w:right w:val="nil"/>
            </w:tcBorders>
            <w:shd w:val="clear" w:color="auto" w:fill="7A091A"/>
            <w:noWrap/>
            <w:vAlign w:val="center"/>
            <w:hideMark/>
          </w:tcPr>
          <w:p w14:paraId="14B2A591" w14:textId="77777777" w:rsidR="00B55953" w:rsidRPr="00894701" w:rsidRDefault="00B55953" w:rsidP="00B55953">
            <w:pPr>
              <w:spacing w:after="0" w:line="240" w:lineRule="auto"/>
              <w:rPr>
                <w:rFonts w:cs="Calibri"/>
                <w:b/>
                <w:bCs/>
                <w:color w:val="FFFFFF"/>
                <w:szCs w:val="18"/>
                <w:lang w:val="en-US" w:eastAsia="en-US"/>
              </w:rPr>
            </w:pPr>
            <w:r w:rsidRPr="00894701">
              <w:rPr>
                <w:rFonts w:cs="Calibri"/>
                <w:b/>
                <w:bCs/>
                <w:color w:val="FFFFFF"/>
                <w:szCs w:val="18"/>
              </w:rPr>
              <w:t>Companies</w:t>
            </w:r>
          </w:p>
        </w:tc>
        <w:tc>
          <w:tcPr>
            <w:tcW w:w="5420" w:type="dxa"/>
            <w:tcBorders>
              <w:top w:val="single" w:sz="8" w:space="0" w:color="FF0000"/>
              <w:left w:val="nil"/>
              <w:bottom w:val="single" w:sz="8" w:space="0" w:color="FF0000"/>
              <w:right w:val="nil"/>
            </w:tcBorders>
            <w:shd w:val="clear" w:color="auto" w:fill="7A091A"/>
            <w:noWrap/>
            <w:vAlign w:val="center"/>
            <w:hideMark/>
          </w:tcPr>
          <w:p w14:paraId="24866C57" w14:textId="77777777" w:rsidR="00B55953" w:rsidRPr="00894701" w:rsidRDefault="00B55953" w:rsidP="00B55953">
            <w:pPr>
              <w:spacing w:after="0" w:line="240" w:lineRule="auto"/>
              <w:jc w:val="center"/>
              <w:rPr>
                <w:rFonts w:cs="Calibri"/>
                <w:color w:val="FFFFFF"/>
                <w:szCs w:val="18"/>
              </w:rPr>
            </w:pPr>
            <w:r w:rsidRPr="00894701">
              <w:rPr>
                <w:rFonts w:cs="Calibri"/>
                <w:color w:val="FFFFFF"/>
                <w:szCs w:val="18"/>
              </w:rPr>
              <w:t> </w:t>
            </w:r>
          </w:p>
        </w:tc>
      </w:tr>
      <w:tr w:rsidR="00B55953" w:rsidRPr="00894701" w14:paraId="3144BF7B" w14:textId="77777777" w:rsidTr="00136607">
        <w:trPr>
          <w:trHeight w:val="234"/>
        </w:trPr>
        <w:tc>
          <w:tcPr>
            <w:tcW w:w="4360" w:type="dxa"/>
            <w:shd w:val="clear" w:color="auto" w:fill="F7A3B0"/>
            <w:noWrap/>
            <w:vAlign w:val="bottom"/>
          </w:tcPr>
          <w:p w14:paraId="4916DA40" w14:textId="77777777" w:rsidR="00B55953" w:rsidRPr="00894701" w:rsidRDefault="00B55953" w:rsidP="00B55953">
            <w:pPr>
              <w:spacing w:after="0" w:line="240" w:lineRule="auto"/>
              <w:rPr>
                <w:rFonts w:cs="Calibri"/>
                <w:color w:val="000000"/>
                <w:szCs w:val="18"/>
              </w:rPr>
            </w:pPr>
            <w:r w:rsidRPr="00894701">
              <w:rPr>
                <w:rFonts w:cs="Calibri"/>
                <w:color w:val="000000"/>
                <w:szCs w:val="18"/>
              </w:rPr>
              <w:t>Michiel Raafenberg</w:t>
            </w:r>
          </w:p>
        </w:tc>
        <w:tc>
          <w:tcPr>
            <w:tcW w:w="5420" w:type="dxa"/>
            <w:shd w:val="clear" w:color="auto" w:fill="F7A3B0"/>
            <w:noWrap/>
            <w:vAlign w:val="bottom"/>
          </w:tcPr>
          <w:p w14:paraId="0CBFB30D" w14:textId="77777777" w:rsidR="00B55953" w:rsidRPr="00894701" w:rsidRDefault="00B55953" w:rsidP="00B55953">
            <w:pPr>
              <w:spacing w:after="0" w:line="240" w:lineRule="auto"/>
              <w:rPr>
                <w:rFonts w:cs="Calibri"/>
                <w:color w:val="000000"/>
                <w:szCs w:val="18"/>
              </w:rPr>
            </w:pPr>
            <w:r w:rsidRPr="00894701">
              <w:rPr>
                <w:rFonts w:cs="Calibri"/>
                <w:color w:val="000000"/>
                <w:szCs w:val="18"/>
              </w:rPr>
              <w:t xml:space="preserve">Rosebel Gold Mines </w:t>
            </w:r>
          </w:p>
        </w:tc>
      </w:tr>
      <w:tr w:rsidR="00B55953" w:rsidRPr="00894701" w14:paraId="3D99E712" w14:textId="77777777" w:rsidTr="00136607">
        <w:trPr>
          <w:trHeight w:val="234"/>
        </w:trPr>
        <w:tc>
          <w:tcPr>
            <w:tcW w:w="4360" w:type="dxa"/>
            <w:noWrap/>
            <w:vAlign w:val="bottom"/>
          </w:tcPr>
          <w:p w14:paraId="3572AFA5" w14:textId="77777777" w:rsidR="00B55953" w:rsidRPr="00894701" w:rsidRDefault="00B55953" w:rsidP="00B55953">
            <w:pPr>
              <w:spacing w:after="0" w:line="240" w:lineRule="auto"/>
              <w:rPr>
                <w:rFonts w:cs="Calibri"/>
                <w:color w:val="000000"/>
                <w:szCs w:val="18"/>
              </w:rPr>
            </w:pPr>
            <w:r w:rsidRPr="00894701">
              <w:rPr>
                <w:rFonts w:cs="Calibri"/>
                <w:color w:val="000000"/>
                <w:szCs w:val="18"/>
              </w:rPr>
              <w:t>Armando Hernandez</w:t>
            </w:r>
          </w:p>
        </w:tc>
        <w:tc>
          <w:tcPr>
            <w:tcW w:w="5420" w:type="dxa"/>
            <w:noWrap/>
            <w:vAlign w:val="bottom"/>
          </w:tcPr>
          <w:p w14:paraId="0BC91E3E" w14:textId="77777777" w:rsidR="00B55953" w:rsidRPr="00894701" w:rsidRDefault="00B55953" w:rsidP="00B55953">
            <w:pPr>
              <w:spacing w:after="0" w:line="240" w:lineRule="auto"/>
              <w:rPr>
                <w:rFonts w:cs="Calibri"/>
                <w:color w:val="000000"/>
                <w:szCs w:val="18"/>
              </w:rPr>
            </w:pPr>
            <w:r w:rsidRPr="00894701">
              <w:rPr>
                <w:rFonts w:cs="Calibri"/>
                <w:color w:val="000000"/>
                <w:szCs w:val="18"/>
              </w:rPr>
              <w:t>Exxon Mobil</w:t>
            </w:r>
          </w:p>
        </w:tc>
      </w:tr>
      <w:tr w:rsidR="00B55953" w:rsidRPr="00894701" w14:paraId="378787EA" w14:textId="77777777" w:rsidTr="00136607">
        <w:trPr>
          <w:trHeight w:val="234"/>
        </w:trPr>
        <w:tc>
          <w:tcPr>
            <w:tcW w:w="4360" w:type="dxa"/>
            <w:shd w:val="clear" w:color="auto" w:fill="F7A3B0"/>
            <w:noWrap/>
            <w:vAlign w:val="bottom"/>
          </w:tcPr>
          <w:p w14:paraId="5442805E" w14:textId="77777777" w:rsidR="00B55953" w:rsidRPr="00894701" w:rsidRDefault="00B55953" w:rsidP="00B55953">
            <w:pPr>
              <w:spacing w:after="0" w:line="240" w:lineRule="auto"/>
              <w:rPr>
                <w:rFonts w:cs="Calibri"/>
                <w:color w:val="000000"/>
                <w:szCs w:val="18"/>
              </w:rPr>
            </w:pPr>
            <w:r w:rsidRPr="00894701">
              <w:rPr>
                <w:rFonts w:cs="Calibri"/>
                <w:color w:val="000000"/>
                <w:szCs w:val="18"/>
              </w:rPr>
              <w:t>Ruiz Soekha</w:t>
            </w:r>
          </w:p>
        </w:tc>
        <w:tc>
          <w:tcPr>
            <w:tcW w:w="5420" w:type="dxa"/>
            <w:shd w:val="clear" w:color="auto" w:fill="F7A3B0"/>
            <w:noWrap/>
            <w:vAlign w:val="bottom"/>
          </w:tcPr>
          <w:p w14:paraId="16438665" w14:textId="77777777" w:rsidR="00B55953" w:rsidRPr="00894701" w:rsidRDefault="00B55953" w:rsidP="00B55953">
            <w:pPr>
              <w:spacing w:after="0" w:line="240" w:lineRule="auto"/>
              <w:rPr>
                <w:rFonts w:cs="Calibri"/>
                <w:color w:val="000000"/>
                <w:szCs w:val="18"/>
              </w:rPr>
            </w:pPr>
            <w:r w:rsidRPr="00894701">
              <w:rPr>
                <w:rFonts w:cs="Calibri"/>
                <w:color w:val="000000"/>
                <w:szCs w:val="18"/>
              </w:rPr>
              <w:t xml:space="preserve">Staatsolie </w:t>
            </w:r>
          </w:p>
        </w:tc>
      </w:tr>
      <w:tr w:rsidR="00B55953" w:rsidRPr="00894701" w14:paraId="636D1294" w14:textId="77777777" w:rsidTr="00136607">
        <w:trPr>
          <w:trHeight w:val="288"/>
        </w:trPr>
        <w:tc>
          <w:tcPr>
            <w:tcW w:w="4360" w:type="dxa"/>
            <w:noWrap/>
            <w:vAlign w:val="bottom"/>
          </w:tcPr>
          <w:p w14:paraId="6575F0D3" w14:textId="77777777" w:rsidR="00B55953" w:rsidRPr="00894701" w:rsidRDefault="00B55953" w:rsidP="00B55953">
            <w:pPr>
              <w:spacing w:after="0" w:line="240" w:lineRule="auto"/>
              <w:rPr>
                <w:rFonts w:cs="Calibri"/>
                <w:color w:val="000000"/>
                <w:szCs w:val="18"/>
              </w:rPr>
            </w:pPr>
            <w:r w:rsidRPr="00894701">
              <w:rPr>
                <w:rFonts w:cs="Calibri"/>
                <w:color w:val="000000"/>
                <w:szCs w:val="18"/>
              </w:rPr>
              <w:t>Mark Regis</w:t>
            </w:r>
          </w:p>
        </w:tc>
        <w:tc>
          <w:tcPr>
            <w:tcW w:w="5420" w:type="dxa"/>
            <w:vAlign w:val="bottom"/>
          </w:tcPr>
          <w:p w14:paraId="78A4C02A" w14:textId="77777777" w:rsidR="00B55953" w:rsidRPr="00894701" w:rsidRDefault="00B55953" w:rsidP="00B55953">
            <w:pPr>
              <w:spacing w:after="0" w:line="240" w:lineRule="auto"/>
              <w:rPr>
                <w:rFonts w:cs="Calibri"/>
                <w:color w:val="000000"/>
                <w:szCs w:val="18"/>
              </w:rPr>
            </w:pPr>
            <w:r w:rsidRPr="00894701">
              <w:rPr>
                <w:rFonts w:cs="Calibri"/>
                <w:color w:val="000000"/>
                <w:szCs w:val="18"/>
              </w:rPr>
              <w:t>Shell Suriname Company</w:t>
            </w:r>
          </w:p>
        </w:tc>
      </w:tr>
      <w:tr w:rsidR="00B55953" w:rsidRPr="00894701" w14:paraId="08633BF4" w14:textId="77777777" w:rsidTr="00136607">
        <w:trPr>
          <w:trHeight w:val="234"/>
        </w:trPr>
        <w:tc>
          <w:tcPr>
            <w:tcW w:w="4360" w:type="dxa"/>
            <w:shd w:val="clear" w:color="auto" w:fill="F7A3B0"/>
            <w:noWrap/>
            <w:vAlign w:val="bottom"/>
          </w:tcPr>
          <w:p w14:paraId="6A6E9367" w14:textId="77777777" w:rsidR="00B55953" w:rsidRPr="00894701" w:rsidRDefault="00B55953" w:rsidP="00B55953">
            <w:pPr>
              <w:spacing w:after="0" w:line="240" w:lineRule="auto"/>
              <w:rPr>
                <w:rFonts w:cs="Calibri"/>
                <w:color w:val="000000"/>
                <w:szCs w:val="18"/>
              </w:rPr>
            </w:pPr>
            <w:r w:rsidRPr="00894701">
              <w:rPr>
                <w:rFonts w:cs="Calibri"/>
                <w:color w:val="000000"/>
                <w:szCs w:val="18"/>
              </w:rPr>
              <w:t>Micheal Pigg</w:t>
            </w:r>
          </w:p>
        </w:tc>
        <w:tc>
          <w:tcPr>
            <w:tcW w:w="5420" w:type="dxa"/>
            <w:shd w:val="clear" w:color="auto" w:fill="F7A3B0"/>
            <w:noWrap/>
            <w:vAlign w:val="bottom"/>
          </w:tcPr>
          <w:p w14:paraId="2F19B5E1" w14:textId="77777777" w:rsidR="00B55953" w:rsidRPr="00894701" w:rsidRDefault="00B55953" w:rsidP="00B55953">
            <w:pPr>
              <w:spacing w:after="0" w:line="240" w:lineRule="auto"/>
              <w:rPr>
                <w:rFonts w:cs="Calibri"/>
                <w:color w:val="000000"/>
                <w:szCs w:val="18"/>
              </w:rPr>
            </w:pPr>
            <w:r w:rsidRPr="00894701">
              <w:rPr>
                <w:rFonts w:cs="Calibri"/>
                <w:color w:val="000000"/>
                <w:szCs w:val="18"/>
              </w:rPr>
              <w:t>Kosmos Energy</w:t>
            </w:r>
          </w:p>
        </w:tc>
      </w:tr>
      <w:tr w:rsidR="00B55953" w:rsidRPr="00894701" w14:paraId="3496DB42" w14:textId="77777777" w:rsidTr="00136607">
        <w:trPr>
          <w:trHeight w:val="234"/>
        </w:trPr>
        <w:tc>
          <w:tcPr>
            <w:tcW w:w="4360" w:type="dxa"/>
            <w:noWrap/>
            <w:vAlign w:val="bottom"/>
          </w:tcPr>
          <w:p w14:paraId="61FFB07E" w14:textId="77777777" w:rsidR="00B55953" w:rsidRPr="00894701" w:rsidRDefault="00B55953" w:rsidP="00B55953">
            <w:pPr>
              <w:spacing w:after="0" w:line="240" w:lineRule="auto"/>
              <w:rPr>
                <w:rFonts w:cs="Calibri"/>
                <w:color w:val="000000"/>
                <w:szCs w:val="18"/>
              </w:rPr>
            </w:pPr>
            <w:r w:rsidRPr="00894701">
              <w:rPr>
                <w:rFonts w:cs="Calibri"/>
                <w:color w:val="000000"/>
                <w:szCs w:val="18"/>
              </w:rPr>
              <w:t>Vanessa Dubios</w:t>
            </w:r>
          </w:p>
        </w:tc>
        <w:tc>
          <w:tcPr>
            <w:tcW w:w="5420" w:type="dxa"/>
            <w:noWrap/>
            <w:vAlign w:val="bottom"/>
          </w:tcPr>
          <w:p w14:paraId="2922BC19" w14:textId="4EA01A22" w:rsidR="00B55953" w:rsidRPr="00894701" w:rsidRDefault="00B55953" w:rsidP="00B55953">
            <w:pPr>
              <w:spacing w:after="0" w:line="240" w:lineRule="auto"/>
              <w:rPr>
                <w:rFonts w:cs="Calibri"/>
                <w:color w:val="000000"/>
                <w:szCs w:val="18"/>
              </w:rPr>
            </w:pPr>
            <w:r w:rsidRPr="00894701">
              <w:rPr>
                <w:rFonts w:cs="Calibri"/>
                <w:color w:val="000000"/>
                <w:szCs w:val="18"/>
              </w:rPr>
              <w:t xml:space="preserve">Newmont Suriname </w:t>
            </w:r>
            <w:r w:rsidR="0085302F" w:rsidRPr="00894701">
              <w:rPr>
                <w:rFonts w:cs="Calibri"/>
                <w:color w:val="000000"/>
                <w:szCs w:val="18"/>
              </w:rPr>
              <w:t>LLC</w:t>
            </w:r>
          </w:p>
        </w:tc>
      </w:tr>
      <w:tr w:rsidR="00B55953" w:rsidRPr="00894701" w14:paraId="5507AA0D" w14:textId="77777777" w:rsidTr="00136607">
        <w:trPr>
          <w:trHeight w:val="234"/>
        </w:trPr>
        <w:tc>
          <w:tcPr>
            <w:tcW w:w="4360" w:type="dxa"/>
            <w:shd w:val="clear" w:color="auto" w:fill="F7A3B0"/>
            <w:noWrap/>
            <w:vAlign w:val="bottom"/>
          </w:tcPr>
          <w:p w14:paraId="1A663418" w14:textId="77777777" w:rsidR="00B55953" w:rsidRPr="00894701" w:rsidRDefault="00B55953" w:rsidP="00B55953">
            <w:pPr>
              <w:spacing w:after="0" w:line="240" w:lineRule="auto"/>
              <w:rPr>
                <w:rFonts w:cs="Calibri"/>
                <w:color w:val="000000"/>
                <w:szCs w:val="18"/>
              </w:rPr>
            </w:pPr>
            <w:r w:rsidRPr="00894701">
              <w:rPr>
                <w:rFonts w:cs="Calibri"/>
                <w:color w:val="000000"/>
                <w:szCs w:val="18"/>
              </w:rPr>
              <w:t>Lawrence Ogbonnah</w:t>
            </w:r>
          </w:p>
        </w:tc>
        <w:tc>
          <w:tcPr>
            <w:tcW w:w="5420" w:type="dxa"/>
            <w:shd w:val="clear" w:color="auto" w:fill="F7A3B0"/>
            <w:noWrap/>
            <w:vAlign w:val="bottom"/>
          </w:tcPr>
          <w:p w14:paraId="5DE92A46" w14:textId="77777777" w:rsidR="00B55953" w:rsidRPr="00894701" w:rsidRDefault="00B55953" w:rsidP="00B55953">
            <w:pPr>
              <w:spacing w:after="0" w:line="240" w:lineRule="auto"/>
              <w:rPr>
                <w:rFonts w:cs="Calibri"/>
                <w:color w:val="000000"/>
                <w:szCs w:val="18"/>
              </w:rPr>
            </w:pPr>
            <w:r w:rsidRPr="00894701">
              <w:rPr>
                <w:rFonts w:cs="Calibri"/>
                <w:color w:val="000000"/>
                <w:szCs w:val="18"/>
              </w:rPr>
              <w:t xml:space="preserve">Total Energies EP Suriname B.V. </w:t>
            </w:r>
          </w:p>
        </w:tc>
      </w:tr>
      <w:tr w:rsidR="00B55953" w14:paraId="61B64F5E" w14:textId="77777777" w:rsidTr="00136607">
        <w:trPr>
          <w:trHeight w:val="234"/>
        </w:trPr>
        <w:tc>
          <w:tcPr>
            <w:tcW w:w="4360" w:type="dxa"/>
            <w:noWrap/>
            <w:vAlign w:val="bottom"/>
          </w:tcPr>
          <w:p w14:paraId="2213A0C5" w14:textId="77777777" w:rsidR="00B55953" w:rsidRPr="00894701" w:rsidRDefault="00B55953" w:rsidP="00B55953">
            <w:pPr>
              <w:spacing w:after="0" w:line="240" w:lineRule="auto"/>
              <w:rPr>
                <w:rFonts w:cs="Calibri"/>
                <w:color w:val="000000"/>
                <w:szCs w:val="18"/>
              </w:rPr>
            </w:pPr>
            <w:r w:rsidRPr="00894701">
              <w:rPr>
                <w:rFonts w:cs="Calibri"/>
                <w:color w:val="000000"/>
                <w:szCs w:val="18"/>
              </w:rPr>
              <w:t>Kamila Froge</w:t>
            </w:r>
          </w:p>
        </w:tc>
        <w:tc>
          <w:tcPr>
            <w:tcW w:w="5420" w:type="dxa"/>
            <w:noWrap/>
            <w:vAlign w:val="bottom"/>
          </w:tcPr>
          <w:p w14:paraId="660B7C8E" w14:textId="77777777" w:rsidR="00B55953" w:rsidRDefault="00B55953" w:rsidP="00B55953">
            <w:pPr>
              <w:spacing w:after="0" w:line="240" w:lineRule="auto"/>
              <w:rPr>
                <w:rFonts w:cs="Calibri"/>
                <w:color w:val="000000"/>
                <w:szCs w:val="18"/>
              </w:rPr>
            </w:pPr>
            <w:r w:rsidRPr="00894701">
              <w:rPr>
                <w:rFonts w:cs="Calibri"/>
                <w:color w:val="000000"/>
                <w:szCs w:val="18"/>
              </w:rPr>
              <w:t>Capricorn Energy Suriname</w:t>
            </w:r>
            <w:r>
              <w:rPr>
                <w:rFonts w:cs="Calibri"/>
                <w:color w:val="000000"/>
                <w:szCs w:val="18"/>
              </w:rPr>
              <w:t xml:space="preserve"> </w:t>
            </w:r>
          </w:p>
        </w:tc>
      </w:tr>
    </w:tbl>
    <w:p w14:paraId="60E51E82" w14:textId="11F78B9E" w:rsidR="00EE783E" w:rsidRPr="0019705E" w:rsidRDefault="00EE783E" w:rsidP="00EF4420">
      <w:pPr>
        <w:pStyle w:val="BodyText"/>
        <w:rPr>
          <w:rFonts w:asciiTheme="minorHAnsi" w:hAnsiTheme="minorHAnsi"/>
          <w:sz w:val="28"/>
          <w:szCs w:val="28"/>
        </w:rPr>
      </w:pPr>
    </w:p>
    <w:sectPr w:rsidR="00EE783E" w:rsidRPr="0019705E" w:rsidSect="00B55953">
      <w:pgSz w:w="11906" w:h="16838" w:code="9"/>
      <w:pgMar w:top="1440" w:right="1416" w:bottom="1440" w:left="1440" w:header="851" w:footer="7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C98A78" w14:textId="77777777" w:rsidR="00511B60" w:rsidRDefault="00511B60" w:rsidP="00475DE5">
      <w:r>
        <w:separator/>
      </w:r>
    </w:p>
  </w:endnote>
  <w:endnote w:type="continuationSeparator" w:id="0">
    <w:p w14:paraId="1539218D" w14:textId="77777777" w:rsidR="00511B60" w:rsidRDefault="00511B60" w:rsidP="00475DE5">
      <w:r>
        <w:continuationSeparator/>
      </w:r>
    </w:p>
  </w:endnote>
  <w:endnote w:type="continuationNotice" w:id="1">
    <w:p w14:paraId="71191D98" w14:textId="77777777" w:rsidR="00511B60" w:rsidRDefault="00511B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TrebuchetMS">
    <w:altName w:val="Calibri"/>
    <w:charset w:val="00"/>
    <w:family w:val="auto"/>
    <w:pitch w:val="variable"/>
    <w:sig w:usb0="00000287" w:usb1="00000000" w:usb2="00000000" w:usb3="00000000" w:csb0="0000009F" w:csb1="00000000"/>
  </w:font>
  <w:font w:name="(none)">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mn-ea">
    <w:panose1 w:val="00000000000000000000"/>
    <w:charset w:val="00"/>
    <w:family w:val="roman"/>
    <w:notTrueType/>
    <w:pitch w:val="default"/>
  </w:font>
  <w:font w:name="+mj-ea">
    <w:panose1 w:val="00000000000000000000"/>
    <w:charset w:val="00"/>
    <w:family w:val="roman"/>
    <w:notTrueType/>
    <w:pitch w:val="default"/>
  </w:font>
  <w:font w:name="ヒラギノ角ゴ Pro W3">
    <w:altName w:val="Yu Gothic"/>
    <w:panose1 w:val="00000000000000000000"/>
    <w:charset w:val="80"/>
    <w:family w:val="auto"/>
    <w:notTrueType/>
    <w:pitch w:val="variable"/>
    <w:sig w:usb0="00000001" w:usb1="08070000" w:usb2="00000010" w:usb3="00000000" w:csb0="00020000" w:csb1="00000000"/>
  </w:font>
  <w:font w:name="Calibri Bold">
    <w:panose1 w:val="020F0702030404030204"/>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Helvetica Neue">
    <w:altName w:val="Times New Roman"/>
    <w:charset w:val="00"/>
    <w:family w:val="swiss"/>
    <w:pitch w:val="default"/>
    <w:sig w:usb0="00000003" w:usb1="00000000" w:usb2="00000000" w:usb3="00000000" w:csb0="00000001"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SemiCond">
    <w:altName w:val="Calibri"/>
    <w:panose1 w:val="00000000000000000000"/>
    <w:charset w:val="00"/>
    <w:family w:val="swiss"/>
    <w:notTrueType/>
    <w:pitch w:val="default"/>
    <w:sig w:usb0="00000003" w:usb1="00000000" w:usb2="00000000" w:usb3="00000000" w:csb0="00000001" w:csb1="00000000"/>
  </w:font>
  <w:font w:name="ICSJNV+EurostileLT-Demi">
    <w:altName w:val="Eurostile L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rebuchetMS-Bold">
    <w:altName w:val="Calibri"/>
    <w:charset w:val="00"/>
    <w:family w:val="auto"/>
    <w:pitch w:val="variable"/>
    <w:sig w:usb0="8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 w:name="TrebuchetMS-Italic">
    <w:charset w:val="00"/>
    <w:family w:val="auto"/>
    <w:pitch w:val="variable"/>
    <w:sig w:usb0="80000000" w:usb1="00000000" w:usb2="00000000" w:usb3="00000000" w:csb0="00000000" w:csb1="00000000"/>
  </w:font>
  <w:font w:name="Trebuchet-BoldItalic">
    <w:altName w:val="Calibri"/>
    <w:charset w:val="00"/>
    <w:family w:val="auto"/>
    <w:pitch w:val="variable"/>
    <w:sig w:usb0="80000000" w:usb1="00000000" w:usb2="00000000" w:usb3="00000000" w:csb0="00000000" w:csb1="00000000"/>
  </w:font>
  <w:font w:name="SymbolMT">
    <w:altName w:val="Calibri"/>
    <w:charset w:val="00"/>
    <w:family w:val="auto"/>
    <w:pitch w:val="variable"/>
    <w:sig w:usb0="80000000" w:usb1="00000000" w:usb2="00000000" w:usb3="00000000" w:csb0="00000000" w:csb1="00000000"/>
  </w:font>
  <w:font w:name="Trebuchet MS (Body)">
    <w:altName w:val="Trebuchet MS"/>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094" w:type="dxa"/>
      <w:tblLayout w:type="fixed"/>
      <w:tblCellMar>
        <w:left w:w="113" w:type="dxa"/>
        <w:right w:w="0" w:type="dxa"/>
      </w:tblCellMar>
      <w:tblLook w:val="04A0" w:firstRow="1" w:lastRow="0" w:firstColumn="1" w:lastColumn="0" w:noHBand="0" w:noVBand="1"/>
    </w:tblPr>
    <w:tblGrid>
      <w:gridCol w:w="4706"/>
      <w:gridCol w:w="510"/>
      <w:gridCol w:w="4878"/>
    </w:tblGrid>
    <w:tr w:rsidR="001B4837" w:rsidRPr="005D37D2" w14:paraId="67DC4B4A" w14:textId="77777777" w:rsidTr="00F75F58">
      <w:trPr>
        <w:cnfStyle w:val="100000000000" w:firstRow="1" w:lastRow="0" w:firstColumn="0" w:lastColumn="0" w:oddVBand="0" w:evenVBand="0" w:oddHBand="0" w:evenHBand="0" w:firstRowFirstColumn="0" w:firstRowLastColumn="0" w:lastRowFirstColumn="0" w:lastRowLastColumn="0"/>
        <w:trHeight w:hRule="exact" w:val="430"/>
      </w:trPr>
      <w:tc>
        <w:tcPr>
          <w:cnfStyle w:val="001000000000" w:firstRow="0" w:lastRow="0" w:firstColumn="1" w:lastColumn="0" w:oddVBand="0" w:evenVBand="0" w:oddHBand="0" w:evenHBand="0" w:firstRowFirstColumn="0" w:firstRowLastColumn="0" w:lastRowFirstColumn="0" w:lastRowLastColumn="0"/>
          <w:tcW w:w="4706" w:type="dxa"/>
        </w:tcPr>
        <w:p w14:paraId="74A14232" w14:textId="77777777" w:rsidR="001B4837" w:rsidRPr="00BB3191" w:rsidRDefault="001B4837" w:rsidP="00B17374">
          <w:pPr>
            <w:pStyle w:val="Footertext"/>
            <w:rPr>
              <w:b/>
            </w:rPr>
          </w:pPr>
          <w:r w:rsidRPr="00BB3191">
            <w:rPr>
              <w:b/>
            </w:rPr>
            <w:t>BDO LLP</w:t>
          </w:r>
        </w:p>
      </w:tc>
      <w:tc>
        <w:tcPr>
          <w:tcW w:w="510" w:type="dxa"/>
        </w:tcPr>
        <w:p w14:paraId="697568C7" w14:textId="77777777" w:rsidR="001B4837" w:rsidRPr="00BB3191" w:rsidRDefault="001B4837" w:rsidP="00B17374">
          <w:pPr>
            <w:pStyle w:val="Footertext"/>
            <w:ind w:left="-114"/>
            <w:jc w:val="center"/>
            <w:cnfStyle w:val="100000000000" w:firstRow="1" w:lastRow="0" w:firstColumn="0" w:lastColumn="0" w:oddVBand="0" w:evenVBand="0" w:oddHBand="0" w:evenHBand="0" w:firstRowFirstColumn="0" w:firstRowLastColumn="0" w:lastRowFirstColumn="0" w:lastRowLastColumn="0"/>
            <w:rPr>
              <w:b/>
            </w:rPr>
          </w:pPr>
          <w:r w:rsidRPr="00BB3191">
            <w:fldChar w:fldCharType="begin"/>
          </w:r>
          <w:r w:rsidRPr="00BB3191">
            <w:rPr>
              <w:b/>
            </w:rPr>
            <w:instrText xml:space="preserve"> PAGE  \* Arabic  \* MERGEFORMAT </w:instrText>
          </w:r>
          <w:r w:rsidRPr="00BB3191">
            <w:fldChar w:fldCharType="separate"/>
          </w:r>
          <w:r>
            <w:rPr>
              <w:b/>
              <w:noProof/>
            </w:rPr>
            <w:t>2</w:t>
          </w:r>
          <w:r w:rsidRPr="00BB3191">
            <w:fldChar w:fldCharType="end"/>
          </w:r>
        </w:p>
      </w:tc>
      <w:tc>
        <w:tcPr>
          <w:tcW w:w="4878" w:type="dxa"/>
        </w:tcPr>
        <w:p w14:paraId="58419ACB" w14:textId="1D601640" w:rsidR="001B4837" w:rsidRPr="008B34CE" w:rsidRDefault="001B4837" w:rsidP="00B17374">
          <w:pPr>
            <w:pStyle w:val="Footertext"/>
            <w:ind w:right="58"/>
            <w:jc w:val="right"/>
            <w:cnfStyle w:val="100000000000" w:firstRow="1" w:lastRow="0" w:firstColumn="0" w:lastColumn="0" w:oddVBand="0" w:evenVBand="0" w:oddHBand="0" w:evenHBand="0" w:firstRowFirstColumn="0" w:firstRowLastColumn="0" w:lastRowFirstColumn="0" w:lastRowLastColumn="0"/>
            <w:rPr>
              <w:b/>
              <w:lang w:val="fr-FR"/>
            </w:rPr>
          </w:pPr>
          <w:r w:rsidRPr="00BB3191">
            <w:fldChar w:fldCharType="begin"/>
          </w:r>
          <w:r w:rsidRPr="008B34CE">
            <w:rPr>
              <w:b/>
              <w:lang w:val="fr-FR"/>
            </w:rPr>
            <w:instrText xml:space="preserve"> STYLEREF  ~DocTitle </w:instrText>
          </w:r>
          <w:r w:rsidRPr="00BB3191">
            <w:fldChar w:fldCharType="separate"/>
          </w:r>
          <w:r w:rsidR="002E04D6">
            <w:rPr>
              <w:b/>
              <w:noProof/>
              <w:lang w:val="fr-FR"/>
            </w:rPr>
            <w:t>EXTRACTIVE INDUSTRIES TRANSPARENCY INITIATIVE SURINAME (EITI-SR)</w:t>
          </w:r>
          <w:r w:rsidRPr="00BB3191">
            <w:fldChar w:fldCharType="end"/>
          </w:r>
        </w:p>
      </w:tc>
    </w:tr>
  </w:tbl>
  <w:p w14:paraId="09414528" w14:textId="77777777" w:rsidR="001B4837" w:rsidRPr="008B34CE" w:rsidRDefault="001B4837">
    <w:pPr>
      <w:pStyle w:val="Footer"/>
      <w:rPr>
        <w:lang w:val="fr-F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420335" w14:textId="77777777" w:rsidR="001B4837" w:rsidRDefault="001B4837">
    <w:pPr>
      <w:pStyle w:val="Footer"/>
    </w:pPr>
    <w:r>
      <w:rPr>
        <w:noProof/>
        <w:lang w:val="en-US" w:eastAsia="en-US"/>
      </w:rPr>
      <w:drawing>
        <wp:anchor distT="0" distB="0" distL="114300" distR="114300" simplePos="0" relativeHeight="251658242" behindDoc="0" locked="0" layoutInCell="1" allowOverlap="1" wp14:anchorId="4FC38C14" wp14:editId="1BE1C238">
          <wp:simplePos x="0" y="0"/>
          <wp:positionH relativeFrom="page">
            <wp:posOffset>6012815</wp:posOffset>
          </wp:positionH>
          <wp:positionV relativeFrom="page">
            <wp:posOffset>9721215</wp:posOffset>
          </wp:positionV>
          <wp:extent cx="972000" cy="414000"/>
          <wp:effectExtent l="0" t="0" r="0" b="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O_logo_72dpi.jpg"/>
                  <pic:cNvPicPr/>
                </pic:nvPicPr>
                <pic:blipFill>
                  <a:blip r:embed="rId1">
                    <a:extLst>
                      <a:ext uri="{28A0092B-C50C-407E-A947-70E740481C1C}">
                        <a14:useLocalDpi xmlns:a14="http://schemas.microsoft.com/office/drawing/2010/main" val="0"/>
                      </a:ext>
                    </a:extLst>
                  </a:blip>
                  <a:stretch>
                    <a:fillRect/>
                  </a:stretch>
                </pic:blipFill>
                <pic:spPr>
                  <a:xfrm>
                    <a:off x="0" y="0"/>
                    <a:ext cx="972000" cy="41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094" w:type="dxa"/>
      <w:tblLayout w:type="fixed"/>
      <w:tblCellMar>
        <w:left w:w="113" w:type="dxa"/>
        <w:right w:w="0" w:type="dxa"/>
      </w:tblCellMar>
      <w:tblLook w:val="04A0" w:firstRow="1" w:lastRow="0" w:firstColumn="1" w:lastColumn="0" w:noHBand="0" w:noVBand="1"/>
    </w:tblPr>
    <w:tblGrid>
      <w:gridCol w:w="4706"/>
      <w:gridCol w:w="510"/>
      <w:gridCol w:w="4878"/>
    </w:tblGrid>
    <w:tr w:rsidR="001B4837" w:rsidRPr="005D37D2" w14:paraId="58520EE7" w14:textId="77777777" w:rsidTr="00F75F58">
      <w:trPr>
        <w:cnfStyle w:val="100000000000" w:firstRow="1" w:lastRow="0" w:firstColumn="0" w:lastColumn="0" w:oddVBand="0" w:evenVBand="0" w:oddHBand="0" w:evenHBand="0" w:firstRowFirstColumn="0" w:firstRowLastColumn="0" w:lastRowFirstColumn="0" w:lastRowLastColumn="0"/>
        <w:trHeight w:hRule="exact" w:val="430"/>
      </w:trPr>
      <w:tc>
        <w:tcPr>
          <w:cnfStyle w:val="001000000000" w:firstRow="0" w:lastRow="0" w:firstColumn="1" w:lastColumn="0" w:oddVBand="0" w:evenVBand="0" w:oddHBand="0" w:evenHBand="0" w:firstRowFirstColumn="0" w:firstRowLastColumn="0" w:lastRowFirstColumn="0" w:lastRowLastColumn="0"/>
          <w:tcW w:w="4706" w:type="dxa"/>
        </w:tcPr>
        <w:p w14:paraId="1B74F141" w14:textId="77777777" w:rsidR="001B4837" w:rsidRPr="00BB3191" w:rsidRDefault="001B4837" w:rsidP="00B17374">
          <w:pPr>
            <w:pStyle w:val="Footertext"/>
            <w:rPr>
              <w:b/>
            </w:rPr>
          </w:pPr>
          <w:r w:rsidRPr="00BB3191">
            <w:rPr>
              <w:b/>
            </w:rPr>
            <w:t>BDO LLP</w:t>
          </w:r>
        </w:p>
      </w:tc>
      <w:tc>
        <w:tcPr>
          <w:tcW w:w="510" w:type="dxa"/>
        </w:tcPr>
        <w:p w14:paraId="70580188" w14:textId="77777777" w:rsidR="001B4837" w:rsidRPr="00BB3191" w:rsidRDefault="001B4837" w:rsidP="00B17374">
          <w:pPr>
            <w:pStyle w:val="Footertext"/>
            <w:ind w:left="-114"/>
            <w:jc w:val="center"/>
            <w:cnfStyle w:val="100000000000" w:firstRow="1" w:lastRow="0" w:firstColumn="0" w:lastColumn="0" w:oddVBand="0" w:evenVBand="0" w:oddHBand="0" w:evenHBand="0" w:firstRowFirstColumn="0" w:firstRowLastColumn="0" w:lastRowFirstColumn="0" w:lastRowLastColumn="0"/>
            <w:rPr>
              <w:b/>
            </w:rPr>
          </w:pPr>
          <w:r w:rsidRPr="00BB3191">
            <w:fldChar w:fldCharType="begin"/>
          </w:r>
          <w:r w:rsidRPr="00BB3191">
            <w:rPr>
              <w:b/>
            </w:rPr>
            <w:instrText xml:space="preserve"> PAGE  \* Arabic  \* MERGEFORMAT </w:instrText>
          </w:r>
          <w:r w:rsidRPr="00BB3191">
            <w:fldChar w:fldCharType="separate"/>
          </w:r>
          <w:r>
            <w:rPr>
              <w:b/>
              <w:noProof/>
            </w:rPr>
            <w:t>2</w:t>
          </w:r>
          <w:r w:rsidRPr="00BB3191">
            <w:fldChar w:fldCharType="end"/>
          </w:r>
        </w:p>
      </w:tc>
      <w:tc>
        <w:tcPr>
          <w:tcW w:w="4878" w:type="dxa"/>
        </w:tcPr>
        <w:p w14:paraId="7B3FC413" w14:textId="2E98FA77" w:rsidR="001B4837" w:rsidRPr="008B34CE" w:rsidRDefault="001B4837" w:rsidP="00B17374">
          <w:pPr>
            <w:pStyle w:val="Footertext"/>
            <w:ind w:right="58"/>
            <w:jc w:val="right"/>
            <w:cnfStyle w:val="100000000000" w:firstRow="1" w:lastRow="0" w:firstColumn="0" w:lastColumn="0" w:oddVBand="0" w:evenVBand="0" w:oddHBand="0" w:evenHBand="0" w:firstRowFirstColumn="0" w:firstRowLastColumn="0" w:lastRowFirstColumn="0" w:lastRowLastColumn="0"/>
            <w:rPr>
              <w:b/>
              <w:lang w:val="fr-FR"/>
            </w:rPr>
          </w:pPr>
          <w:r w:rsidRPr="00BB3191">
            <w:fldChar w:fldCharType="begin"/>
          </w:r>
          <w:r w:rsidRPr="008B34CE">
            <w:rPr>
              <w:b/>
              <w:lang w:val="fr-FR"/>
            </w:rPr>
            <w:instrText xml:space="preserve"> STYLEREF  ~DocTitle </w:instrText>
          </w:r>
          <w:r w:rsidRPr="00BB3191">
            <w:fldChar w:fldCharType="separate"/>
          </w:r>
          <w:r w:rsidR="002E04D6">
            <w:rPr>
              <w:b/>
              <w:noProof/>
              <w:lang w:val="fr-FR"/>
            </w:rPr>
            <w:t>EXTRACTIVE INDUSTRIES TRANSPARENCY INITIATIVE SURINAME (EITI-SR)</w:t>
          </w:r>
          <w:r w:rsidRPr="00BB3191">
            <w:fldChar w:fldCharType="end"/>
          </w:r>
        </w:p>
      </w:tc>
    </w:tr>
  </w:tbl>
  <w:p w14:paraId="5F129373" w14:textId="77777777" w:rsidR="001B4837" w:rsidRPr="008B34CE" w:rsidRDefault="001B4837">
    <w:pPr>
      <w:pStyle w:val="Footer"/>
      <w:rPr>
        <w:lang w:val="fr-FR"/>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3081F" w14:textId="77777777" w:rsidR="001B4837" w:rsidRDefault="001B4837" w:rsidP="00FD4DC7">
    <w:pPr>
      <w:pStyle w:val="Footer"/>
      <w:tabs>
        <w:tab w:val="clear" w:pos="4513"/>
        <w:tab w:val="clear" w:pos="9026"/>
        <w:tab w:val="left" w:pos="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04F43" w14:textId="77777777" w:rsidR="001B4837" w:rsidRDefault="001B4837" w:rsidP="00FD4DC7">
    <w:pPr>
      <w:pStyle w:val="Footer"/>
      <w:tabs>
        <w:tab w:val="clear" w:pos="4513"/>
        <w:tab w:val="clear" w:pos="9026"/>
        <w:tab w:val="left" w:pos="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094" w:type="dxa"/>
      <w:tblLayout w:type="fixed"/>
      <w:tblCellMar>
        <w:left w:w="113" w:type="dxa"/>
        <w:right w:w="0" w:type="dxa"/>
      </w:tblCellMar>
      <w:tblLook w:val="04A0" w:firstRow="1" w:lastRow="0" w:firstColumn="1" w:lastColumn="0" w:noHBand="0" w:noVBand="1"/>
    </w:tblPr>
    <w:tblGrid>
      <w:gridCol w:w="4706"/>
      <w:gridCol w:w="510"/>
      <w:gridCol w:w="4878"/>
    </w:tblGrid>
    <w:tr w:rsidR="001B4837" w:rsidRPr="000E215C" w14:paraId="3DA03CE7" w14:textId="77777777" w:rsidTr="00843FAB">
      <w:trPr>
        <w:cnfStyle w:val="100000000000" w:firstRow="1" w:lastRow="0" w:firstColumn="0" w:lastColumn="0" w:oddVBand="0" w:evenVBand="0" w:oddHBand="0" w:evenHBand="0" w:firstRowFirstColumn="0" w:firstRowLastColumn="0" w:lastRowFirstColumn="0" w:lastRowLastColumn="0"/>
        <w:trHeight w:hRule="exact" w:val="430"/>
      </w:trPr>
      <w:tc>
        <w:tcPr>
          <w:cnfStyle w:val="001000000000" w:firstRow="0" w:lastRow="0" w:firstColumn="1" w:lastColumn="0" w:oddVBand="0" w:evenVBand="0" w:oddHBand="0" w:evenHBand="0" w:firstRowFirstColumn="0" w:firstRowLastColumn="0" w:lastRowFirstColumn="0" w:lastRowLastColumn="0"/>
          <w:tcW w:w="4706" w:type="dxa"/>
        </w:tcPr>
        <w:p w14:paraId="766799F3" w14:textId="77777777" w:rsidR="001B4837" w:rsidRPr="000E215C" w:rsidRDefault="001B4837" w:rsidP="007F26E3">
          <w:pPr>
            <w:pStyle w:val="Footer"/>
            <w:spacing w:after="144"/>
            <w:rPr>
              <w:color w:val="FFFFFF" w:themeColor="background1"/>
              <w:szCs w:val="18"/>
            </w:rPr>
          </w:pPr>
        </w:p>
      </w:tc>
      <w:tc>
        <w:tcPr>
          <w:tcW w:w="510" w:type="dxa"/>
        </w:tcPr>
        <w:p w14:paraId="7F89E9F9" w14:textId="30EC0F56" w:rsidR="001B4837" w:rsidRPr="000E215C" w:rsidRDefault="001B4837" w:rsidP="007F26E3">
          <w:pPr>
            <w:pStyle w:val="PageNumber"/>
            <w:framePr w:hSpace="0" w:wrap="auto" w:vAnchor="margin" w:hAnchor="text" w:xAlign="left" w:yAlign="inline"/>
            <w:spacing w:after="144" w:line="264" w:lineRule="auto"/>
            <w:suppressOverlap w:val="0"/>
            <w:jc w:val="center"/>
            <w:cnfStyle w:val="100000000000" w:firstRow="1" w:lastRow="0" w:firstColumn="0" w:lastColumn="0" w:oddVBand="0" w:evenVBand="0" w:oddHBand="0" w:evenHBand="0" w:firstRowFirstColumn="0" w:firstRowLastColumn="0" w:lastRowFirstColumn="0" w:lastRowLastColumn="0"/>
            <w:rPr>
              <w:rFonts w:ascii="Trebuchet MS" w:hAnsi="Trebuchet MS"/>
              <w:szCs w:val="18"/>
            </w:rPr>
          </w:pPr>
          <w:r w:rsidRPr="000E215C">
            <w:rPr>
              <w:rFonts w:ascii="Trebuchet MS" w:hAnsi="Trebuchet MS"/>
              <w:szCs w:val="18"/>
            </w:rPr>
            <w:fldChar w:fldCharType="begin"/>
          </w:r>
          <w:r w:rsidRPr="000E215C">
            <w:rPr>
              <w:rFonts w:ascii="Trebuchet MS" w:hAnsi="Trebuchet MS"/>
              <w:szCs w:val="18"/>
            </w:rPr>
            <w:instrText xml:space="preserve"> PAGE  \* Arabic  \* MERGEFORMAT </w:instrText>
          </w:r>
          <w:r w:rsidRPr="000E215C">
            <w:rPr>
              <w:rFonts w:ascii="Trebuchet MS" w:hAnsi="Trebuchet MS"/>
              <w:szCs w:val="18"/>
            </w:rPr>
            <w:fldChar w:fldCharType="separate"/>
          </w:r>
          <w:r w:rsidR="001E79AF">
            <w:rPr>
              <w:rFonts w:ascii="Trebuchet MS" w:hAnsi="Trebuchet MS"/>
              <w:noProof/>
              <w:szCs w:val="18"/>
            </w:rPr>
            <w:t>1</w:t>
          </w:r>
          <w:r w:rsidRPr="000E215C">
            <w:rPr>
              <w:rFonts w:ascii="Trebuchet MS" w:hAnsi="Trebuchet MS"/>
              <w:szCs w:val="18"/>
            </w:rPr>
            <w:fldChar w:fldCharType="end"/>
          </w:r>
        </w:p>
      </w:tc>
      <w:tc>
        <w:tcPr>
          <w:tcW w:w="4878" w:type="dxa"/>
        </w:tcPr>
        <w:p w14:paraId="68E1E878" w14:textId="77777777" w:rsidR="001B4837" w:rsidRPr="000E215C" w:rsidRDefault="001B4837" w:rsidP="007F26E3">
          <w:pPr>
            <w:pStyle w:val="Footer"/>
            <w:tabs>
              <w:tab w:val="clear" w:pos="4513"/>
            </w:tabs>
            <w:spacing w:after="144"/>
            <w:ind w:right="18"/>
            <w:jc w:val="right"/>
            <w:cnfStyle w:val="100000000000" w:firstRow="1" w:lastRow="0" w:firstColumn="0" w:lastColumn="0" w:oddVBand="0" w:evenVBand="0" w:oddHBand="0" w:evenHBand="0" w:firstRowFirstColumn="0" w:firstRowLastColumn="0" w:lastRowFirstColumn="0" w:lastRowLastColumn="0"/>
            <w:rPr>
              <w:color w:val="FFFFFF" w:themeColor="background1"/>
              <w:szCs w:val="18"/>
            </w:rPr>
          </w:pPr>
        </w:p>
      </w:tc>
    </w:tr>
  </w:tbl>
  <w:p w14:paraId="474D46AE" w14:textId="77777777" w:rsidR="001B4837" w:rsidRDefault="001B4837" w:rsidP="00FD4DC7">
    <w:pPr>
      <w:pStyle w:val="Footer"/>
      <w:tabs>
        <w:tab w:val="clear" w:pos="4513"/>
        <w:tab w:val="clear" w:pos="9026"/>
        <w:tab w:val="left" w:pos="0"/>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113" w:type="dxa"/>
      <w:tblLayout w:type="fixed"/>
      <w:tblCellMar>
        <w:left w:w="113" w:type="dxa"/>
        <w:right w:w="0" w:type="dxa"/>
      </w:tblCellMar>
      <w:tblLook w:val="04A0" w:firstRow="1" w:lastRow="0" w:firstColumn="1" w:lastColumn="0" w:noHBand="0" w:noVBand="1"/>
    </w:tblPr>
    <w:tblGrid>
      <w:gridCol w:w="4343"/>
      <w:gridCol w:w="360"/>
      <w:gridCol w:w="4410"/>
    </w:tblGrid>
    <w:tr w:rsidR="001B4837" w:rsidRPr="00BB3191" w14:paraId="0CCFC06C" w14:textId="77777777" w:rsidTr="009E5D28">
      <w:trPr>
        <w:cnfStyle w:val="100000000000" w:firstRow="1" w:lastRow="0" w:firstColumn="0" w:lastColumn="0" w:oddVBand="0" w:evenVBand="0" w:oddHBand="0" w:evenHBand="0" w:firstRowFirstColumn="0" w:firstRowLastColumn="0" w:lastRowFirstColumn="0" w:lastRowLastColumn="0"/>
        <w:trHeight w:hRule="exact" w:val="430"/>
      </w:trPr>
      <w:tc>
        <w:tcPr>
          <w:cnfStyle w:val="001000000000" w:firstRow="0" w:lastRow="0" w:firstColumn="1" w:lastColumn="0" w:oddVBand="0" w:evenVBand="0" w:oddHBand="0" w:evenHBand="0" w:firstRowFirstColumn="0" w:firstRowLastColumn="0" w:lastRowFirstColumn="0" w:lastRowLastColumn="0"/>
          <w:tcW w:w="4343" w:type="dxa"/>
        </w:tcPr>
        <w:p w14:paraId="786C7D78" w14:textId="16778333" w:rsidR="001B4837" w:rsidRPr="00BB3191" w:rsidRDefault="001B4837" w:rsidP="00BB3191">
          <w:pPr>
            <w:pStyle w:val="Footertext"/>
            <w:rPr>
              <w:b/>
            </w:rPr>
          </w:pPr>
          <w:r w:rsidRPr="00BB3191">
            <w:rPr>
              <w:b/>
            </w:rPr>
            <w:t>BDO LLP</w:t>
          </w:r>
          <w:r>
            <w:rPr>
              <w:b/>
            </w:rPr>
            <w:t xml:space="preserve"> &amp; BDO Suriname</w:t>
          </w:r>
        </w:p>
      </w:tc>
      <w:tc>
        <w:tcPr>
          <w:tcW w:w="360" w:type="dxa"/>
        </w:tcPr>
        <w:p w14:paraId="75166475" w14:textId="15893CF2" w:rsidR="001B4837" w:rsidRPr="00BB3191" w:rsidRDefault="001B4837" w:rsidP="00BB3191">
          <w:pPr>
            <w:pStyle w:val="Footertext"/>
            <w:ind w:left="-114"/>
            <w:jc w:val="center"/>
            <w:cnfStyle w:val="100000000000" w:firstRow="1" w:lastRow="0" w:firstColumn="0" w:lastColumn="0" w:oddVBand="0" w:evenVBand="0" w:oddHBand="0" w:evenHBand="0" w:firstRowFirstColumn="0" w:firstRowLastColumn="0" w:lastRowFirstColumn="0" w:lastRowLastColumn="0"/>
            <w:rPr>
              <w:b/>
            </w:rPr>
          </w:pPr>
          <w:r w:rsidRPr="00BB3191">
            <w:fldChar w:fldCharType="begin"/>
          </w:r>
          <w:r w:rsidRPr="00BB3191">
            <w:rPr>
              <w:b/>
            </w:rPr>
            <w:instrText xml:space="preserve"> PAGE  \* Arabic  \* MERGEFORMAT </w:instrText>
          </w:r>
          <w:r w:rsidRPr="00BB3191">
            <w:fldChar w:fldCharType="separate"/>
          </w:r>
          <w:r w:rsidR="001E79AF" w:rsidRPr="001E79AF">
            <w:rPr>
              <w:noProof/>
            </w:rPr>
            <w:t>84</w:t>
          </w:r>
          <w:r w:rsidRPr="00BB3191">
            <w:fldChar w:fldCharType="end"/>
          </w:r>
        </w:p>
      </w:tc>
      <w:tc>
        <w:tcPr>
          <w:tcW w:w="4410" w:type="dxa"/>
        </w:tcPr>
        <w:p w14:paraId="7718C879" w14:textId="4CA38D82" w:rsidR="001B4837" w:rsidRPr="00BB3191" w:rsidRDefault="001B4837" w:rsidP="00BB3191">
          <w:pPr>
            <w:pStyle w:val="Footertext"/>
            <w:ind w:right="58"/>
            <w:jc w:val="right"/>
            <w:cnfStyle w:val="100000000000" w:firstRow="1" w:lastRow="0" w:firstColumn="0" w:lastColumn="0" w:oddVBand="0" w:evenVBand="0" w:oddHBand="0" w:evenHBand="0" w:firstRowFirstColumn="0" w:firstRowLastColumn="0" w:lastRowFirstColumn="0" w:lastRowLastColumn="0"/>
            <w:rPr>
              <w:b/>
            </w:rPr>
          </w:pPr>
          <w:r w:rsidRPr="006C20EE">
            <w:t>EITI SURINAME</w:t>
          </w:r>
          <w:r>
            <w:t xml:space="preserve"> </w:t>
          </w:r>
        </w:p>
      </w:tc>
    </w:tr>
  </w:tbl>
  <w:p w14:paraId="1915A975" w14:textId="77777777" w:rsidR="001B4837" w:rsidRDefault="001B4837" w:rsidP="00927604">
    <w:pP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0" w:type="pct"/>
      <w:tblCellMar>
        <w:left w:w="113" w:type="dxa"/>
        <w:right w:w="0" w:type="dxa"/>
      </w:tblCellMar>
      <w:tblLook w:val="04A0" w:firstRow="1" w:lastRow="0" w:firstColumn="1" w:lastColumn="0" w:noHBand="0" w:noVBand="1"/>
    </w:tblPr>
    <w:tblGrid>
      <w:gridCol w:w="6652"/>
      <w:gridCol w:w="553"/>
      <w:gridCol w:w="6753"/>
    </w:tblGrid>
    <w:tr w:rsidR="001B4837" w:rsidRPr="00BB3191" w14:paraId="27449DA2" w14:textId="77777777" w:rsidTr="00EF0C3E">
      <w:trPr>
        <w:cnfStyle w:val="100000000000" w:firstRow="1" w:lastRow="0" w:firstColumn="0" w:lastColumn="0" w:oddVBand="0" w:evenVBand="0" w:oddHBand="0" w:evenHBand="0" w:firstRowFirstColumn="0" w:firstRowLastColumn="0" w:lastRowFirstColumn="0" w:lastRowLastColumn="0"/>
        <w:trHeight w:hRule="exact" w:val="430"/>
      </w:trPr>
      <w:tc>
        <w:tcPr>
          <w:cnfStyle w:val="001000000000" w:firstRow="0" w:lastRow="0" w:firstColumn="1" w:lastColumn="0" w:oddVBand="0" w:evenVBand="0" w:oddHBand="0" w:evenHBand="0" w:firstRowFirstColumn="0" w:firstRowLastColumn="0" w:lastRowFirstColumn="0" w:lastRowLastColumn="0"/>
          <w:tcW w:w="2383" w:type="pct"/>
        </w:tcPr>
        <w:p w14:paraId="7D8D23AE" w14:textId="48CA4829" w:rsidR="001B4837" w:rsidRPr="00BB3191" w:rsidRDefault="001B4837" w:rsidP="00B23C72">
          <w:pPr>
            <w:pStyle w:val="Footertext"/>
            <w:rPr>
              <w:b/>
            </w:rPr>
          </w:pPr>
          <w:r w:rsidRPr="00BB3191">
            <w:rPr>
              <w:b/>
            </w:rPr>
            <w:t>BDO LLP</w:t>
          </w:r>
          <w:r>
            <w:rPr>
              <w:b/>
            </w:rPr>
            <w:t xml:space="preserve"> &amp; BDO Suriname</w:t>
          </w:r>
        </w:p>
      </w:tc>
      <w:tc>
        <w:tcPr>
          <w:tcW w:w="198" w:type="pct"/>
        </w:tcPr>
        <w:p w14:paraId="2A9EBCDA" w14:textId="0C9556B8" w:rsidR="001B4837" w:rsidRPr="00BB3191" w:rsidRDefault="001B4837" w:rsidP="00B23C72">
          <w:pPr>
            <w:pStyle w:val="Footertext"/>
            <w:ind w:left="-114"/>
            <w:jc w:val="center"/>
            <w:cnfStyle w:val="100000000000" w:firstRow="1" w:lastRow="0" w:firstColumn="0" w:lastColumn="0" w:oddVBand="0" w:evenVBand="0" w:oddHBand="0" w:evenHBand="0" w:firstRowFirstColumn="0" w:firstRowLastColumn="0" w:lastRowFirstColumn="0" w:lastRowLastColumn="0"/>
            <w:rPr>
              <w:b/>
            </w:rPr>
          </w:pPr>
          <w:r w:rsidRPr="00BB3191">
            <w:fldChar w:fldCharType="begin"/>
          </w:r>
          <w:r w:rsidRPr="00BB3191">
            <w:rPr>
              <w:b/>
            </w:rPr>
            <w:instrText xml:space="preserve"> PAGE  \* Arabic  \* MERGEFORMAT </w:instrText>
          </w:r>
          <w:r w:rsidRPr="00BB3191">
            <w:fldChar w:fldCharType="separate"/>
          </w:r>
          <w:r w:rsidR="001E79AF">
            <w:rPr>
              <w:b/>
              <w:noProof/>
            </w:rPr>
            <w:t>85</w:t>
          </w:r>
          <w:r w:rsidRPr="00BB3191">
            <w:fldChar w:fldCharType="end"/>
          </w:r>
        </w:p>
      </w:tc>
      <w:tc>
        <w:tcPr>
          <w:tcW w:w="2420" w:type="pct"/>
        </w:tcPr>
        <w:p w14:paraId="26BFCDBD" w14:textId="70E0B295" w:rsidR="001B4837" w:rsidRPr="00BB3191" w:rsidRDefault="001B4837" w:rsidP="00B23C72">
          <w:pPr>
            <w:pStyle w:val="Footertext"/>
            <w:ind w:right="58"/>
            <w:jc w:val="right"/>
            <w:cnfStyle w:val="100000000000" w:firstRow="1" w:lastRow="0" w:firstColumn="0" w:lastColumn="0" w:oddVBand="0" w:evenVBand="0" w:oddHBand="0" w:evenHBand="0" w:firstRowFirstColumn="0" w:firstRowLastColumn="0" w:lastRowFirstColumn="0" w:lastRowLastColumn="0"/>
            <w:rPr>
              <w:b/>
            </w:rPr>
          </w:pPr>
          <w:r>
            <w:t>EITI SURINAME</w:t>
          </w:r>
        </w:p>
      </w:tc>
    </w:tr>
  </w:tbl>
  <w:p w14:paraId="0E601EC1" w14:textId="77777777" w:rsidR="001B4837" w:rsidRPr="00B23C72" w:rsidRDefault="001B4837" w:rsidP="00B23C72">
    <w:pPr>
      <w:pStyle w:val="Footer"/>
    </w:pPr>
  </w:p>
  <w:p w14:paraId="45C413AB" w14:textId="77777777" w:rsidR="001B4837" w:rsidRDefault="001B483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D0E508" w14:textId="77777777" w:rsidR="00511B60" w:rsidRDefault="00511B60" w:rsidP="00475DE5">
      <w:r>
        <w:separator/>
      </w:r>
    </w:p>
  </w:footnote>
  <w:footnote w:type="continuationSeparator" w:id="0">
    <w:p w14:paraId="0FBB250A" w14:textId="77777777" w:rsidR="00511B60" w:rsidRDefault="00511B60" w:rsidP="00475DE5">
      <w:r>
        <w:continuationSeparator/>
      </w:r>
    </w:p>
  </w:footnote>
  <w:footnote w:type="continuationNotice" w:id="1">
    <w:p w14:paraId="29BC1B77" w14:textId="77777777" w:rsidR="00511B60" w:rsidRDefault="00511B60">
      <w:pPr>
        <w:spacing w:after="0" w:line="240" w:lineRule="auto"/>
      </w:pPr>
    </w:p>
  </w:footnote>
  <w:footnote w:id="2">
    <w:p w14:paraId="55553117" w14:textId="1E0C5520" w:rsidR="001B4837" w:rsidRPr="009C62A0" w:rsidRDefault="001B4837" w:rsidP="00A83578">
      <w:pPr>
        <w:pStyle w:val="FootnoteText"/>
        <w:rPr>
          <w:rFonts w:asciiTheme="majorHAnsi" w:hAnsiTheme="majorHAnsi" w:cs="Arial"/>
          <w:sz w:val="16"/>
          <w:szCs w:val="16"/>
          <w:lang w:val="fr-FR"/>
        </w:rPr>
      </w:pPr>
      <w:r w:rsidRPr="009C62A0">
        <w:rPr>
          <w:rStyle w:val="FootnoteReference"/>
          <w:rFonts w:asciiTheme="majorHAnsi" w:hAnsiTheme="majorHAnsi" w:cs="Arial"/>
          <w:sz w:val="16"/>
          <w:szCs w:val="16"/>
        </w:rPr>
        <w:footnoteRef/>
      </w:r>
      <w:r w:rsidRPr="009C62A0">
        <w:rPr>
          <w:rFonts w:asciiTheme="majorHAnsi" w:hAnsiTheme="majorHAnsi" w:cs="Arial"/>
          <w:sz w:val="16"/>
          <w:szCs w:val="16"/>
          <w:lang w:val="fr-FR"/>
        </w:rPr>
        <w:t xml:space="preserve"> Source: https://eiti.org/eiti</w:t>
      </w:r>
    </w:p>
  </w:footnote>
  <w:footnote w:id="3">
    <w:p w14:paraId="1D777432" w14:textId="77777777" w:rsidR="001B4837" w:rsidRPr="009C62A0" w:rsidRDefault="001B4837" w:rsidP="00890E82">
      <w:pPr>
        <w:pStyle w:val="FootnoteText"/>
        <w:rPr>
          <w:rFonts w:asciiTheme="majorHAnsi" w:hAnsiTheme="majorHAnsi"/>
          <w:sz w:val="16"/>
          <w:szCs w:val="16"/>
          <w:lang w:val="fr-FR"/>
        </w:rPr>
      </w:pPr>
      <w:r w:rsidRPr="009C62A0">
        <w:rPr>
          <w:rStyle w:val="FootnoteReference"/>
          <w:rFonts w:asciiTheme="majorHAnsi" w:hAnsiTheme="majorHAnsi"/>
          <w:sz w:val="16"/>
          <w:szCs w:val="16"/>
        </w:rPr>
        <w:footnoteRef/>
      </w:r>
      <w:r w:rsidRPr="009C62A0">
        <w:rPr>
          <w:rFonts w:asciiTheme="majorHAnsi" w:hAnsiTheme="majorHAnsi"/>
          <w:sz w:val="16"/>
          <w:szCs w:val="16"/>
          <w:lang w:val="fr-FR"/>
        </w:rPr>
        <w:t xml:space="preserve"> h</w:t>
      </w:r>
      <w:r w:rsidRPr="009C62A0">
        <w:rPr>
          <w:rFonts w:asciiTheme="majorHAnsi" w:hAnsiTheme="majorHAnsi" w:cs="Arial"/>
          <w:sz w:val="16"/>
          <w:szCs w:val="16"/>
          <w:lang w:val="fr-FR"/>
        </w:rPr>
        <w:t xml:space="preserve">ttps://eiti.org/scorecard-pdf?filter%5Bcountry%5D=78&amp;filter%5Byear%5D=2020 </w:t>
      </w:r>
    </w:p>
  </w:footnote>
  <w:footnote w:id="4">
    <w:p w14:paraId="1A8B068A" w14:textId="772FFAE2" w:rsidR="001B4837" w:rsidRPr="00AD734E" w:rsidRDefault="001B4837">
      <w:pPr>
        <w:pStyle w:val="FootnoteText"/>
        <w:rPr>
          <w:rFonts w:asciiTheme="majorHAnsi" w:hAnsiTheme="majorHAnsi"/>
          <w:sz w:val="16"/>
          <w:szCs w:val="16"/>
        </w:rPr>
      </w:pPr>
      <w:r w:rsidRPr="00AD734E">
        <w:rPr>
          <w:rStyle w:val="FootnoteReference"/>
          <w:rFonts w:asciiTheme="majorHAnsi" w:hAnsiTheme="majorHAnsi"/>
          <w:sz w:val="16"/>
          <w:szCs w:val="16"/>
        </w:rPr>
        <w:footnoteRef/>
      </w:r>
      <w:r w:rsidRPr="00AD734E">
        <w:rPr>
          <w:rFonts w:asciiTheme="majorHAnsi" w:hAnsiTheme="majorHAnsi"/>
          <w:sz w:val="16"/>
          <w:szCs w:val="16"/>
        </w:rPr>
        <w:t xml:space="preserve"> E</w:t>
      </w:r>
      <w:r w:rsidRPr="00AD734E">
        <w:rPr>
          <w:rFonts w:asciiTheme="majorHAnsi" w:eastAsia="Times New Roman" w:hAnsiTheme="majorHAnsi"/>
          <w:color w:val="auto"/>
          <w:kern w:val="16"/>
          <w:sz w:val="16"/>
          <w:szCs w:val="16"/>
          <w:lang w:eastAsia="en-GB"/>
        </w:rPr>
        <w:t>ITI International website</w:t>
      </w:r>
      <w:r>
        <w:rPr>
          <w:rFonts w:asciiTheme="majorHAnsi" w:hAnsiTheme="majorHAnsi"/>
          <w:sz w:val="16"/>
          <w:szCs w:val="16"/>
        </w:rPr>
        <w:t xml:space="preserve">: </w:t>
      </w:r>
      <w:hyperlink r:id="rId1" w:history="1">
        <w:r w:rsidRPr="00AD734E">
          <w:rPr>
            <w:rFonts w:asciiTheme="majorHAnsi" w:hAnsiTheme="majorHAnsi" w:cs="Arial"/>
            <w:color w:val="C00000"/>
            <w:sz w:val="16"/>
            <w:szCs w:val="16"/>
          </w:rPr>
          <w:t>https://eiti.org/</w:t>
        </w:r>
      </w:hyperlink>
      <w:r w:rsidRPr="00AD734E">
        <w:rPr>
          <w:rFonts w:asciiTheme="majorHAnsi" w:hAnsiTheme="majorHAnsi"/>
          <w:sz w:val="16"/>
          <w:szCs w:val="16"/>
          <w:lang w:val="en-US"/>
        </w:rPr>
        <w:t xml:space="preserve"> </w:t>
      </w:r>
    </w:p>
  </w:footnote>
  <w:footnote w:id="5">
    <w:p w14:paraId="090B0B4F" w14:textId="77777777" w:rsidR="001B4837" w:rsidRPr="00AD734E" w:rsidRDefault="001B4837" w:rsidP="00143941">
      <w:pPr>
        <w:pStyle w:val="FootnoteText"/>
        <w:rPr>
          <w:rFonts w:asciiTheme="majorHAnsi" w:hAnsiTheme="majorHAnsi"/>
          <w:sz w:val="16"/>
          <w:szCs w:val="16"/>
          <w:lang w:val="en-US"/>
        </w:rPr>
      </w:pPr>
      <w:r w:rsidRPr="00AD734E">
        <w:rPr>
          <w:rStyle w:val="FootnoteReference"/>
          <w:rFonts w:asciiTheme="majorHAnsi" w:hAnsiTheme="majorHAnsi"/>
          <w:sz w:val="16"/>
          <w:szCs w:val="16"/>
        </w:rPr>
        <w:footnoteRef/>
      </w:r>
      <w:r w:rsidRPr="00AD734E">
        <w:rPr>
          <w:rFonts w:asciiTheme="majorHAnsi" w:hAnsiTheme="majorHAnsi"/>
          <w:sz w:val="16"/>
          <w:szCs w:val="16"/>
        </w:rPr>
        <w:t xml:space="preserve"> </w:t>
      </w:r>
      <w:r w:rsidRPr="00AD734E">
        <w:rPr>
          <w:rFonts w:asciiTheme="majorHAnsi" w:hAnsiTheme="majorHAnsi" w:cs="Arial"/>
          <w:sz w:val="16"/>
          <w:szCs w:val="16"/>
        </w:rPr>
        <w:t>Requirement 4 of the EITI standard (2019)</w:t>
      </w:r>
    </w:p>
  </w:footnote>
  <w:footnote w:id="6">
    <w:p w14:paraId="07BD8CC6" w14:textId="77777777" w:rsidR="001B4837" w:rsidRPr="00AD734E" w:rsidRDefault="001B4837" w:rsidP="00143941">
      <w:pPr>
        <w:pStyle w:val="FootnoteText"/>
        <w:rPr>
          <w:rFonts w:asciiTheme="majorHAnsi" w:hAnsiTheme="majorHAnsi"/>
          <w:sz w:val="16"/>
          <w:szCs w:val="16"/>
          <w:lang w:val="en-US"/>
        </w:rPr>
      </w:pPr>
      <w:r w:rsidRPr="00AD734E">
        <w:rPr>
          <w:rStyle w:val="FootnoteReference"/>
          <w:rFonts w:asciiTheme="majorHAnsi" w:hAnsiTheme="majorHAnsi"/>
          <w:sz w:val="16"/>
          <w:szCs w:val="16"/>
        </w:rPr>
        <w:footnoteRef/>
      </w:r>
      <w:r w:rsidRPr="00AD734E">
        <w:rPr>
          <w:rFonts w:asciiTheme="majorHAnsi" w:hAnsiTheme="majorHAnsi"/>
          <w:sz w:val="16"/>
          <w:szCs w:val="16"/>
        </w:rPr>
        <w:t xml:space="preserve"> </w:t>
      </w:r>
      <w:hyperlink r:id="rId2" w:history="1">
        <w:r w:rsidRPr="00AD734E">
          <w:rPr>
            <w:rFonts w:asciiTheme="majorHAnsi" w:hAnsiTheme="majorHAnsi" w:cs="Arial"/>
            <w:color w:val="C00000"/>
            <w:sz w:val="16"/>
            <w:szCs w:val="16"/>
          </w:rPr>
          <w:t>https://eiti.org/</w:t>
        </w:r>
      </w:hyperlink>
      <w:r w:rsidRPr="00AD734E">
        <w:rPr>
          <w:rFonts w:asciiTheme="majorHAnsi" w:hAnsiTheme="majorHAnsi"/>
          <w:sz w:val="16"/>
          <w:szCs w:val="16"/>
          <w:lang w:val="en-US"/>
        </w:rPr>
        <w:t xml:space="preserve"> </w:t>
      </w:r>
    </w:p>
  </w:footnote>
  <w:footnote w:id="7">
    <w:p w14:paraId="7E0225B4" w14:textId="77777777" w:rsidR="001B4837" w:rsidRPr="00414B93" w:rsidRDefault="001B4837" w:rsidP="00414B93">
      <w:pPr>
        <w:pStyle w:val="FootnoteText"/>
        <w:rPr>
          <w:rFonts w:asciiTheme="minorHAnsi" w:hAnsiTheme="minorHAnsi"/>
        </w:rPr>
      </w:pPr>
      <w:r>
        <w:rPr>
          <w:rStyle w:val="FootnoteReference"/>
        </w:rPr>
        <w:footnoteRef/>
      </w:r>
      <w:r>
        <w:t xml:space="preserve"> </w:t>
      </w:r>
      <w:r w:rsidRPr="00414B93">
        <w:rPr>
          <w:rFonts w:asciiTheme="majorHAnsi" w:hAnsiTheme="majorHAnsi"/>
          <w:sz w:val="16"/>
          <w:szCs w:val="16"/>
        </w:rPr>
        <w:t>Section 1.2 of this report</w:t>
      </w:r>
    </w:p>
  </w:footnote>
  <w:footnote w:id="8">
    <w:p w14:paraId="1F0F98F4" w14:textId="05A8DFBE" w:rsidR="006F2239" w:rsidRPr="006F2239" w:rsidRDefault="006F2239" w:rsidP="006F2239">
      <w:pPr>
        <w:pStyle w:val="FootnoteText"/>
      </w:pPr>
      <w:r>
        <w:rPr>
          <w:rStyle w:val="FootnoteReference"/>
        </w:rPr>
        <w:footnoteRef/>
      </w:r>
      <w:r>
        <w:t xml:space="preserve"> </w:t>
      </w:r>
      <w:r w:rsidR="00DE1D26" w:rsidRPr="00740665">
        <w:rPr>
          <w:rFonts w:asciiTheme="majorHAnsi" w:hAnsiTheme="majorHAnsi"/>
          <w:sz w:val="16"/>
          <w:szCs w:val="16"/>
        </w:rPr>
        <w:t xml:space="preserve">Source: </w:t>
      </w:r>
      <w:hyperlink r:id="rId3" w:history="1">
        <w:r w:rsidRPr="00852D91">
          <w:rPr>
            <w:rStyle w:val="Hyperlink"/>
            <w:rFonts w:asciiTheme="majorHAnsi" w:hAnsiTheme="majorHAnsi"/>
            <w:sz w:val="16"/>
            <w:szCs w:val="16"/>
          </w:rPr>
          <w:t xml:space="preserve">IGF </w:t>
        </w:r>
        <w:r w:rsidRPr="006F2239">
          <w:rPr>
            <w:rStyle w:val="Hyperlink"/>
            <w:rFonts w:asciiTheme="majorHAnsi" w:hAnsiTheme="majorHAnsi"/>
            <w:sz w:val="16"/>
            <w:szCs w:val="16"/>
          </w:rPr>
          <w:t>Mining Policy Framework Assessment Suriname</w:t>
        </w:r>
      </w:hyperlink>
      <w:r>
        <w:rPr>
          <w:rFonts w:asciiTheme="majorHAnsi" w:hAnsiTheme="majorHAnsi"/>
          <w:sz w:val="16"/>
          <w:szCs w:val="16"/>
        </w:rPr>
        <w:t>, May 2017</w:t>
      </w:r>
    </w:p>
  </w:footnote>
  <w:footnote w:id="9">
    <w:p w14:paraId="68D35022" w14:textId="63257718" w:rsidR="00FA01D4" w:rsidRPr="006F2239" w:rsidRDefault="00FA01D4" w:rsidP="00FA01D4">
      <w:pPr>
        <w:pStyle w:val="FootnoteText"/>
      </w:pPr>
      <w:r>
        <w:rPr>
          <w:rStyle w:val="FootnoteReference"/>
        </w:rPr>
        <w:footnoteRef/>
      </w:r>
      <w:r>
        <w:t xml:space="preserve"> </w:t>
      </w:r>
      <w:r w:rsidR="00DE1D26" w:rsidRPr="00860520">
        <w:rPr>
          <w:rFonts w:asciiTheme="majorHAnsi" w:hAnsiTheme="majorHAnsi"/>
          <w:sz w:val="16"/>
          <w:szCs w:val="16"/>
        </w:rPr>
        <w:t xml:space="preserve">Source: </w:t>
      </w:r>
      <w:hyperlink r:id="rId4" w:history="1">
        <w:r w:rsidRPr="00852D91">
          <w:rPr>
            <w:rStyle w:val="Hyperlink"/>
            <w:rFonts w:asciiTheme="majorHAnsi" w:hAnsiTheme="majorHAnsi"/>
            <w:sz w:val="16"/>
            <w:szCs w:val="16"/>
          </w:rPr>
          <w:t xml:space="preserve">IGF </w:t>
        </w:r>
        <w:r w:rsidRPr="006F2239">
          <w:rPr>
            <w:rStyle w:val="Hyperlink"/>
            <w:rFonts w:asciiTheme="majorHAnsi" w:hAnsiTheme="majorHAnsi"/>
            <w:sz w:val="16"/>
            <w:szCs w:val="16"/>
          </w:rPr>
          <w:t>Mining Policy Framework Assessment Suriname</w:t>
        </w:r>
      </w:hyperlink>
      <w:r>
        <w:rPr>
          <w:rFonts w:asciiTheme="majorHAnsi" w:hAnsiTheme="majorHAnsi"/>
          <w:sz w:val="16"/>
          <w:szCs w:val="16"/>
        </w:rPr>
        <w:t>, May 2017</w:t>
      </w:r>
    </w:p>
  </w:footnote>
  <w:footnote w:id="10">
    <w:p w14:paraId="0E1CCDD2" w14:textId="4A30C77A" w:rsidR="00C96550" w:rsidRPr="00C96550" w:rsidRDefault="00C96550">
      <w:pPr>
        <w:pStyle w:val="FootnoteText"/>
      </w:pPr>
      <w:r>
        <w:rPr>
          <w:rStyle w:val="FootnoteReference"/>
        </w:rPr>
        <w:footnoteRef/>
      </w:r>
      <w:r>
        <w:t xml:space="preserve"> </w:t>
      </w:r>
      <w:r w:rsidRPr="00740665">
        <w:rPr>
          <w:rFonts w:asciiTheme="majorHAnsi" w:hAnsiTheme="majorHAnsi"/>
          <w:sz w:val="16"/>
          <w:szCs w:val="16"/>
        </w:rPr>
        <w:t xml:space="preserve">Source: </w:t>
      </w:r>
      <w:hyperlink r:id="rId5" w:history="1">
        <w:r w:rsidRPr="00852D91">
          <w:rPr>
            <w:rStyle w:val="Hyperlink"/>
            <w:rFonts w:asciiTheme="majorHAnsi" w:hAnsiTheme="majorHAnsi"/>
            <w:sz w:val="16"/>
            <w:szCs w:val="16"/>
          </w:rPr>
          <w:t xml:space="preserve">IGF </w:t>
        </w:r>
        <w:r w:rsidRPr="006F2239">
          <w:rPr>
            <w:rStyle w:val="Hyperlink"/>
            <w:rFonts w:asciiTheme="majorHAnsi" w:hAnsiTheme="majorHAnsi"/>
            <w:sz w:val="16"/>
            <w:szCs w:val="16"/>
          </w:rPr>
          <w:t>Mining Policy Framework Assessment Suriname</w:t>
        </w:r>
      </w:hyperlink>
      <w:r>
        <w:rPr>
          <w:rFonts w:asciiTheme="majorHAnsi" w:hAnsiTheme="majorHAnsi"/>
          <w:sz w:val="16"/>
          <w:szCs w:val="16"/>
        </w:rPr>
        <w:t>, May 2017</w:t>
      </w:r>
    </w:p>
  </w:footnote>
  <w:footnote w:id="11">
    <w:p w14:paraId="2396980F" w14:textId="29850C18" w:rsidR="00C96550" w:rsidRPr="00C96550" w:rsidRDefault="00C96550">
      <w:pPr>
        <w:pStyle w:val="FootnoteText"/>
      </w:pPr>
      <w:r>
        <w:rPr>
          <w:rStyle w:val="FootnoteReference"/>
        </w:rPr>
        <w:footnoteRef/>
      </w:r>
      <w:r>
        <w:t xml:space="preserve"> </w:t>
      </w:r>
      <w:r w:rsidRPr="00740665">
        <w:rPr>
          <w:rFonts w:asciiTheme="majorHAnsi" w:hAnsiTheme="majorHAnsi"/>
          <w:sz w:val="16"/>
          <w:szCs w:val="16"/>
        </w:rPr>
        <w:t xml:space="preserve">Source: </w:t>
      </w:r>
      <w:hyperlink r:id="rId6" w:history="1">
        <w:r w:rsidRPr="00852D91">
          <w:rPr>
            <w:rStyle w:val="Hyperlink"/>
            <w:rFonts w:asciiTheme="majorHAnsi" w:hAnsiTheme="majorHAnsi"/>
            <w:sz w:val="16"/>
            <w:szCs w:val="16"/>
          </w:rPr>
          <w:t xml:space="preserve">IGF </w:t>
        </w:r>
        <w:r w:rsidRPr="006F2239">
          <w:rPr>
            <w:rStyle w:val="Hyperlink"/>
            <w:rFonts w:asciiTheme="majorHAnsi" w:hAnsiTheme="majorHAnsi"/>
            <w:sz w:val="16"/>
            <w:szCs w:val="16"/>
          </w:rPr>
          <w:t>Mining Policy Framework Assessment Suriname</w:t>
        </w:r>
      </w:hyperlink>
      <w:r>
        <w:rPr>
          <w:rFonts w:asciiTheme="majorHAnsi" w:hAnsiTheme="majorHAnsi"/>
          <w:sz w:val="16"/>
          <w:szCs w:val="16"/>
        </w:rPr>
        <w:t>, May 2017</w:t>
      </w:r>
    </w:p>
  </w:footnote>
  <w:footnote w:id="12">
    <w:p w14:paraId="789A28B2" w14:textId="28A8EF74" w:rsidR="00A221DC" w:rsidRPr="00A221DC" w:rsidRDefault="00A221DC" w:rsidP="0050738C">
      <w:pPr>
        <w:pStyle w:val="FootnoteText"/>
      </w:pPr>
      <w:r>
        <w:rPr>
          <w:rStyle w:val="FootnoteReference"/>
        </w:rPr>
        <w:footnoteRef/>
      </w:r>
      <w:r>
        <w:t xml:space="preserve"> </w:t>
      </w:r>
      <w:r w:rsidRPr="00740665">
        <w:rPr>
          <w:rFonts w:asciiTheme="majorHAnsi" w:hAnsiTheme="majorHAnsi"/>
          <w:sz w:val="16"/>
          <w:szCs w:val="16"/>
        </w:rPr>
        <w:t xml:space="preserve">Source: </w:t>
      </w:r>
      <w:hyperlink r:id="rId7" w:history="1">
        <w:r w:rsidRPr="00852D91">
          <w:rPr>
            <w:rStyle w:val="Hyperlink"/>
            <w:rFonts w:asciiTheme="majorHAnsi" w:hAnsiTheme="majorHAnsi"/>
            <w:sz w:val="16"/>
            <w:szCs w:val="16"/>
          </w:rPr>
          <w:t xml:space="preserve">IGF </w:t>
        </w:r>
        <w:r w:rsidRPr="006F2239">
          <w:rPr>
            <w:rStyle w:val="Hyperlink"/>
            <w:rFonts w:asciiTheme="majorHAnsi" w:hAnsiTheme="majorHAnsi"/>
            <w:sz w:val="16"/>
            <w:szCs w:val="16"/>
          </w:rPr>
          <w:t>Mining Policy Framework Assessment Suriname</w:t>
        </w:r>
      </w:hyperlink>
      <w:r>
        <w:rPr>
          <w:rFonts w:asciiTheme="majorHAnsi" w:hAnsiTheme="majorHAnsi"/>
          <w:sz w:val="16"/>
          <w:szCs w:val="16"/>
        </w:rPr>
        <w:t>, May 2017</w:t>
      </w:r>
    </w:p>
  </w:footnote>
  <w:footnote w:id="13">
    <w:p w14:paraId="75BC0663" w14:textId="382B59F4" w:rsidR="0050738C" w:rsidRPr="0050738C" w:rsidRDefault="0050738C" w:rsidP="0050738C">
      <w:pPr>
        <w:pStyle w:val="FootnoteText"/>
      </w:pPr>
      <w:r>
        <w:rPr>
          <w:rStyle w:val="FootnoteReference"/>
        </w:rPr>
        <w:footnoteRef/>
      </w:r>
      <w:r>
        <w:t xml:space="preserve"> </w:t>
      </w:r>
      <w:r w:rsidRPr="00740665">
        <w:rPr>
          <w:rFonts w:asciiTheme="majorHAnsi" w:hAnsiTheme="majorHAnsi"/>
          <w:sz w:val="16"/>
          <w:szCs w:val="16"/>
        </w:rPr>
        <w:t xml:space="preserve">Source: </w:t>
      </w:r>
      <w:hyperlink r:id="rId8" w:history="1">
        <w:r w:rsidRPr="00852D91">
          <w:rPr>
            <w:rStyle w:val="Hyperlink"/>
            <w:rFonts w:asciiTheme="majorHAnsi" w:hAnsiTheme="majorHAnsi"/>
            <w:sz w:val="16"/>
            <w:szCs w:val="16"/>
          </w:rPr>
          <w:t xml:space="preserve">IGF </w:t>
        </w:r>
        <w:r w:rsidRPr="006F2239">
          <w:rPr>
            <w:rStyle w:val="Hyperlink"/>
            <w:rFonts w:asciiTheme="majorHAnsi" w:hAnsiTheme="majorHAnsi"/>
            <w:sz w:val="16"/>
            <w:szCs w:val="16"/>
          </w:rPr>
          <w:t>Mining Policy Framework Assessment Suriname</w:t>
        </w:r>
      </w:hyperlink>
      <w:r>
        <w:rPr>
          <w:rFonts w:asciiTheme="majorHAnsi" w:hAnsiTheme="majorHAnsi"/>
          <w:sz w:val="16"/>
          <w:szCs w:val="16"/>
        </w:rPr>
        <w:t>, May 2017</w:t>
      </w:r>
    </w:p>
  </w:footnote>
  <w:footnote w:id="14">
    <w:p w14:paraId="4B886963" w14:textId="6BDDAE16" w:rsidR="001B4837" w:rsidRPr="00860520" w:rsidRDefault="001B4837">
      <w:pPr>
        <w:pStyle w:val="FootnoteText"/>
        <w:rPr>
          <w:rStyle w:val="Hyperlink"/>
          <w:rFonts w:asciiTheme="majorHAnsi" w:hAnsiTheme="majorHAnsi"/>
          <w:sz w:val="16"/>
          <w:szCs w:val="16"/>
        </w:rPr>
      </w:pPr>
      <w:r>
        <w:rPr>
          <w:rStyle w:val="FootnoteReference"/>
        </w:rPr>
        <w:footnoteRef/>
      </w:r>
      <w:r>
        <w:t xml:space="preserve"> </w:t>
      </w:r>
      <w:hyperlink r:id="rId9" w:history="1">
        <w:r w:rsidRPr="00860520">
          <w:rPr>
            <w:rStyle w:val="Hyperlink"/>
            <w:rFonts w:asciiTheme="majorHAnsi" w:hAnsiTheme="majorHAnsi"/>
            <w:sz w:val="16"/>
            <w:szCs w:val="16"/>
          </w:rPr>
          <w:t>https://www.mercuryconvention.org/en/parties/sur</w:t>
        </w:r>
      </w:hyperlink>
      <w:r w:rsidRPr="00860520">
        <w:rPr>
          <w:rStyle w:val="Hyperlink"/>
          <w:rFonts w:asciiTheme="majorHAnsi" w:hAnsiTheme="majorHAnsi"/>
          <w:sz w:val="16"/>
          <w:szCs w:val="16"/>
        </w:rPr>
        <w:t xml:space="preserve"> </w:t>
      </w:r>
    </w:p>
  </w:footnote>
  <w:footnote w:id="15">
    <w:p w14:paraId="5E3A980A" w14:textId="568756CD" w:rsidR="001B4837" w:rsidRPr="007426C6" w:rsidRDefault="001B4837">
      <w:pPr>
        <w:pStyle w:val="FootnoteText"/>
        <w:rPr>
          <w:rFonts w:asciiTheme="minorHAnsi" w:hAnsiTheme="minorHAnsi"/>
        </w:rPr>
      </w:pPr>
      <w:r>
        <w:rPr>
          <w:rStyle w:val="FootnoteReference"/>
        </w:rPr>
        <w:footnoteRef/>
      </w:r>
      <w:r>
        <w:t xml:space="preserve"> </w:t>
      </w:r>
      <w:hyperlink r:id="rId10" w:history="1">
        <w:r w:rsidRPr="00860520">
          <w:rPr>
            <w:rStyle w:val="Hyperlink"/>
            <w:rFonts w:asciiTheme="majorHAnsi" w:hAnsiTheme="majorHAnsi"/>
            <w:sz w:val="16"/>
            <w:szCs w:val="16"/>
          </w:rPr>
          <w:t>https://suriname.un.org/sites/default/files/2020-10/Report%20L2Mercury-FNweb.pdf</w:t>
        </w:r>
      </w:hyperlink>
      <w:r>
        <w:t xml:space="preserve"> </w:t>
      </w:r>
    </w:p>
  </w:footnote>
  <w:footnote w:id="16">
    <w:p w14:paraId="5583F73F" w14:textId="4982C40C" w:rsidR="0050738C" w:rsidRPr="0050738C" w:rsidRDefault="0050738C">
      <w:pPr>
        <w:pStyle w:val="FootnoteText"/>
      </w:pPr>
      <w:r>
        <w:rPr>
          <w:rStyle w:val="FootnoteReference"/>
        </w:rPr>
        <w:footnoteRef/>
      </w:r>
      <w:r>
        <w:t xml:space="preserve"> </w:t>
      </w:r>
      <w:r w:rsidRPr="00740665">
        <w:rPr>
          <w:rFonts w:asciiTheme="majorHAnsi" w:hAnsiTheme="majorHAnsi"/>
          <w:sz w:val="16"/>
          <w:szCs w:val="16"/>
        </w:rPr>
        <w:t xml:space="preserve">Source: </w:t>
      </w:r>
      <w:hyperlink r:id="rId11" w:history="1">
        <w:r w:rsidRPr="00852D91">
          <w:rPr>
            <w:rStyle w:val="Hyperlink"/>
            <w:rFonts w:asciiTheme="majorHAnsi" w:hAnsiTheme="majorHAnsi"/>
            <w:sz w:val="16"/>
            <w:szCs w:val="16"/>
          </w:rPr>
          <w:t xml:space="preserve">IGF </w:t>
        </w:r>
        <w:r w:rsidRPr="006F2239">
          <w:rPr>
            <w:rStyle w:val="Hyperlink"/>
            <w:rFonts w:asciiTheme="majorHAnsi" w:hAnsiTheme="majorHAnsi"/>
            <w:sz w:val="16"/>
            <w:szCs w:val="16"/>
          </w:rPr>
          <w:t>Mining Policy Framework Assessment Suriname</w:t>
        </w:r>
      </w:hyperlink>
      <w:r>
        <w:rPr>
          <w:rFonts w:asciiTheme="majorHAnsi" w:hAnsiTheme="majorHAnsi"/>
          <w:sz w:val="16"/>
          <w:szCs w:val="16"/>
        </w:rPr>
        <w:t>, May 2017</w:t>
      </w:r>
    </w:p>
  </w:footnote>
  <w:footnote w:id="17">
    <w:p w14:paraId="6D7AE7C1" w14:textId="0DB5092E" w:rsidR="001B4837" w:rsidRPr="007426C6" w:rsidRDefault="001B4837">
      <w:pPr>
        <w:pStyle w:val="FootnoteText"/>
        <w:rPr>
          <w:rFonts w:asciiTheme="minorHAnsi" w:hAnsiTheme="minorHAnsi"/>
        </w:rPr>
      </w:pPr>
      <w:r>
        <w:rPr>
          <w:rStyle w:val="FootnoteReference"/>
        </w:rPr>
        <w:footnoteRef/>
      </w:r>
      <w:r>
        <w:t xml:space="preserve"> </w:t>
      </w:r>
      <w:hyperlink r:id="rId12" w:history="1">
        <w:r w:rsidRPr="00860520">
          <w:rPr>
            <w:rStyle w:val="Hyperlink"/>
            <w:rFonts w:asciiTheme="majorHAnsi" w:hAnsiTheme="majorHAnsi"/>
            <w:sz w:val="16"/>
            <w:szCs w:val="16"/>
          </w:rPr>
          <w:t>https://www.forestpeoples.org/sites/default/files/publication/2010/08/fpicsurinamemar07dutch.pdf</w:t>
        </w:r>
      </w:hyperlink>
      <w:r>
        <w:rPr>
          <w:rFonts w:asciiTheme="minorHAnsi" w:hAnsiTheme="minorHAnsi"/>
          <w:color w:val="auto"/>
        </w:rPr>
        <w:t xml:space="preserve"> </w:t>
      </w:r>
    </w:p>
  </w:footnote>
  <w:footnote w:id="18">
    <w:p w14:paraId="2738E4CB" w14:textId="403E0C5C" w:rsidR="001F597A" w:rsidRPr="001F597A" w:rsidRDefault="001F597A">
      <w:pPr>
        <w:pStyle w:val="FootnoteText"/>
      </w:pPr>
      <w:r>
        <w:rPr>
          <w:rStyle w:val="FootnoteReference"/>
        </w:rPr>
        <w:footnoteRef/>
      </w:r>
      <w:r>
        <w:t xml:space="preserve"> </w:t>
      </w:r>
      <w:r w:rsidR="006D42B6" w:rsidRPr="00740665">
        <w:rPr>
          <w:rFonts w:asciiTheme="majorHAnsi" w:hAnsiTheme="majorHAnsi"/>
          <w:sz w:val="16"/>
          <w:szCs w:val="16"/>
        </w:rPr>
        <w:t xml:space="preserve">Source: </w:t>
      </w:r>
      <w:hyperlink r:id="rId13" w:history="1">
        <w:r w:rsidR="006D42B6" w:rsidRPr="00852D91">
          <w:rPr>
            <w:rStyle w:val="Hyperlink"/>
            <w:rFonts w:asciiTheme="majorHAnsi" w:hAnsiTheme="majorHAnsi"/>
            <w:sz w:val="16"/>
            <w:szCs w:val="16"/>
          </w:rPr>
          <w:t xml:space="preserve">IGF </w:t>
        </w:r>
        <w:r w:rsidR="006D42B6" w:rsidRPr="006F2239">
          <w:rPr>
            <w:rStyle w:val="Hyperlink"/>
            <w:rFonts w:asciiTheme="majorHAnsi" w:hAnsiTheme="majorHAnsi"/>
            <w:sz w:val="16"/>
            <w:szCs w:val="16"/>
          </w:rPr>
          <w:t>Mining Policy Framework Assessment Suriname</w:t>
        </w:r>
      </w:hyperlink>
      <w:r w:rsidR="006D42B6">
        <w:rPr>
          <w:rFonts w:asciiTheme="majorHAnsi" w:hAnsiTheme="majorHAnsi"/>
          <w:sz w:val="16"/>
          <w:szCs w:val="16"/>
        </w:rPr>
        <w:t>, May 2017</w:t>
      </w:r>
    </w:p>
  </w:footnote>
  <w:footnote w:id="19">
    <w:p w14:paraId="728F84C3" w14:textId="1980D998" w:rsidR="00C94E04" w:rsidRPr="00C94E04" w:rsidRDefault="00C94E04">
      <w:pPr>
        <w:pStyle w:val="FootnoteText"/>
      </w:pPr>
      <w:r>
        <w:rPr>
          <w:rStyle w:val="FootnoteReference"/>
        </w:rPr>
        <w:footnoteRef/>
      </w:r>
      <w:r>
        <w:t xml:space="preserve"> </w:t>
      </w:r>
      <w:r w:rsidRPr="00740665">
        <w:rPr>
          <w:rFonts w:asciiTheme="majorHAnsi" w:hAnsiTheme="majorHAnsi"/>
          <w:sz w:val="16"/>
          <w:szCs w:val="16"/>
        </w:rPr>
        <w:t xml:space="preserve">Source: </w:t>
      </w:r>
      <w:hyperlink r:id="rId14" w:history="1">
        <w:r w:rsidRPr="00852D91">
          <w:rPr>
            <w:rStyle w:val="Hyperlink"/>
            <w:rFonts w:asciiTheme="majorHAnsi" w:hAnsiTheme="majorHAnsi"/>
            <w:sz w:val="16"/>
            <w:szCs w:val="16"/>
          </w:rPr>
          <w:t xml:space="preserve">IGF </w:t>
        </w:r>
        <w:r w:rsidRPr="006F2239">
          <w:rPr>
            <w:rStyle w:val="Hyperlink"/>
            <w:rFonts w:asciiTheme="majorHAnsi" w:hAnsiTheme="majorHAnsi"/>
            <w:sz w:val="16"/>
            <w:szCs w:val="16"/>
          </w:rPr>
          <w:t>Mining Policy Framework Assessment Suriname</w:t>
        </w:r>
      </w:hyperlink>
      <w:r>
        <w:rPr>
          <w:rFonts w:asciiTheme="majorHAnsi" w:hAnsiTheme="majorHAnsi"/>
          <w:sz w:val="16"/>
          <w:szCs w:val="16"/>
        </w:rPr>
        <w:t>, May 2017</w:t>
      </w:r>
    </w:p>
  </w:footnote>
  <w:footnote w:id="20">
    <w:p w14:paraId="455754DE" w14:textId="147421C3" w:rsidR="00221D80" w:rsidRPr="00221D80" w:rsidRDefault="00221D80">
      <w:pPr>
        <w:pStyle w:val="FootnoteText"/>
      </w:pPr>
      <w:r>
        <w:rPr>
          <w:rStyle w:val="FootnoteReference"/>
        </w:rPr>
        <w:footnoteRef/>
      </w:r>
      <w:r>
        <w:t xml:space="preserve"> </w:t>
      </w:r>
      <w:r w:rsidRPr="00740665">
        <w:rPr>
          <w:rFonts w:asciiTheme="majorHAnsi" w:hAnsiTheme="majorHAnsi"/>
          <w:sz w:val="16"/>
          <w:szCs w:val="16"/>
        </w:rPr>
        <w:t xml:space="preserve">Source: </w:t>
      </w:r>
      <w:hyperlink r:id="rId15" w:history="1">
        <w:r w:rsidRPr="00852D91">
          <w:rPr>
            <w:rStyle w:val="Hyperlink"/>
            <w:rFonts w:asciiTheme="majorHAnsi" w:hAnsiTheme="majorHAnsi"/>
            <w:sz w:val="16"/>
            <w:szCs w:val="16"/>
          </w:rPr>
          <w:t xml:space="preserve">IGF </w:t>
        </w:r>
        <w:r w:rsidRPr="006F2239">
          <w:rPr>
            <w:rStyle w:val="Hyperlink"/>
            <w:rFonts w:asciiTheme="majorHAnsi" w:hAnsiTheme="majorHAnsi"/>
            <w:sz w:val="16"/>
            <w:szCs w:val="16"/>
          </w:rPr>
          <w:t>Mining Policy Framework Assessment Suriname</w:t>
        </w:r>
      </w:hyperlink>
      <w:r>
        <w:rPr>
          <w:rFonts w:asciiTheme="majorHAnsi" w:hAnsiTheme="majorHAnsi"/>
          <w:sz w:val="16"/>
          <w:szCs w:val="16"/>
        </w:rPr>
        <w:t>, May 2017</w:t>
      </w:r>
    </w:p>
  </w:footnote>
  <w:footnote w:id="21">
    <w:p w14:paraId="78F734BE" w14:textId="67E021BD" w:rsidR="00550AFE" w:rsidRPr="00550AFE" w:rsidRDefault="00550AFE">
      <w:pPr>
        <w:pStyle w:val="FootnoteText"/>
      </w:pPr>
      <w:r>
        <w:rPr>
          <w:rStyle w:val="FootnoteReference"/>
        </w:rPr>
        <w:footnoteRef/>
      </w:r>
      <w:r>
        <w:t xml:space="preserve"> </w:t>
      </w:r>
      <w:r w:rsidRPr="00740665">
        <w:rPr>
          <w:rFonts w:asciiTheme="majorHAnsi" w:hAnsiTheme="majorHAnsi"/>
          <w:sz w:val="16"/>
          <w:szCs w:val="16"/>
        </w:rPr>
        <w:t xml:space="preserve">Source: </w:t>
      </w:r>
      <w:hyperlink r:id="rId16" w:history="1">
        <w:r w:rsidRPr="00852D91">
          <w:rPr>
            <w:rStyle w:val="Hyperlink"/>
            <w:rFonts w:asciiTheme="majorHAnsi" w:hAnsiTheme="majorHAnsi"/>
            <w:sz w:val="16"/>
            <w:szCs w:val="16"/>
          </w:rPr>
          <w:t xml:space="preserve">IGF </w:t>
        </w:r>
        <w:r w:rsidRPr="006F2239">
          <w:rPr>
            <w:rStyle w:val="Hyperlink"/>
            <w:rFonts w:asciiTheme="majorHAnsi" w:hAnsiTheme="majorHAnsi"/>
            <w:sz w:val="16"/>
            <w:szCs w:val="16"/>
          </w:rPr>
          <w:t>Mining Policy Framework Assessment Suriname</w:t>
        </w:r>
      </w:hyperlink>
      <w:r>
        <w:rPr>
          <w:rFonts w:asciiTheme="majorHAnsi" w:hAnsiTheme="majorHAnsi"/>
          <w:sz w:val="16"/>
          <w:szCs w:val="16"/>
        </w:rPr>
        <w:t>, May 2017</w:t>
      </w:r>
    </w:p>
  </w:footnote>
  <w:footnote w:id="22">
    <w:p w14:paraId="4BE5EF40" w14:textId="4D6E177A" w:rsidR="001B4837" w:rsidRPr="00860520" w:rsidRDefault="001B4837">
      <w:pPr>
        <w:pStyle w:val="FootnoteText"/>
        <w:rPr>
          <w:rFonts w:ascii="Trebuchet MS" w:hAnsi="Trebuchet MS"/>
          <w:sz w:val="16"/>
          <w:szCs w:val="16"/>
        </w:rPr>
      </w:pPr>
      <w:r w:rsidRPr="00860520">
        <w:rPr>
          <w:rStyle w:val="FootnoteReference"/>
          <w:rFonts w:ascii="Trebuchet MS" w:hAnsi="Trebuchet MS"/>
          <w:sz w:val="16"/>
          <w:szCs w:val="16"/>
        </w:rPr>
        <w:footnoteRef/>
      </w:r>
      <w:r w:rsidRPr="00860520">
        <w:rPr>
          <w:rFonts w:ascii="Trebuchet MS" w:hAnsi="Trebuchet MS"/>
          <w:sz w:val="16"/>
          <w:szCs w:val="16"/>
        </w:rPr>
        <w:t xml:space="preserve"> </w:t>
      </w:r>
      <w:hyperlink r:id="rId17" w:history="1">
        <w:r w:rsidRPr="00860520">
          <w:rPr>
            <w:rStyle w:val="Hyperlink"/>
            <w:rFonts w:ascii="Trebuchet MS" w:hAnsi="Trebuchet MS"/>
            <w:sz w:val="16"/>
            <w:szCs w:val="16"/>
          </w:rPr>
          <w:t>https://gov.sr/thema/ordening-goudsector-ogs/</w:t>
        </w:r>
      </w:hyperlink>
      <w:r w:rsidRPr="00860520">
        <w:rPr>
          <w:rFonts w:ascii="Trebuchet MS" w:hAnsi="Trebuchet MS"/>
          <w:sz w:val="16"/>
          <w:szCs w:val="16"/>
        </w:rPr>
        <w:t xml:space="preserve"> </w:t>
      </w:r>
    </w:p>
  </w:footnote>
  <w:footnote w:id="23">
    <w:p w14:paraId="17ED9F06" w14:textId="2C0638B9" w:rsidR="008D0C20" w:rsidRPr="00860520" w:rsidRDefault="008D0C20">
      <w:pPr>
        <w:pStyle w:val="FootnoteText"/>
        <w:rPr>
          <w:rFonts w:asciiTheme="minorHAnsi" w:hAnsiTheme="minorHAnsi"/>
        </w:rPr>
      </w:pPr>
      <w:r>
        <w:rPr>
          <w:rStyle w:val="FootnoteReference"/>
        </w:rPr>
        <w:footnoteRef/>
      </w:r>
      <w:r>
        <w:t xml:space="preserve"> </w:t>
      </w:r>
      <w:r w:rsidRPr="00860520">
        <w:rPr>
          <w:rFonts w:asciiTheme="minorHAnsi" w:hAnsiTheme="minorHAnsi"/>
          <w:sz w:val="16"/>
          <w:szCs w:val="16"/>
        </w:rPr>
        <w:t xml:space="preserve">Source: </w:t>
      </w:r>
      <w:hyperlink r:id="rId18" w:history="1">
        <w:r w:rsidRPr="00860520">
          <w:rPr>
            <w:rStyle w:val="Hyperlink"/>
            <w:rFonts w:asciiTheme="minorHAnsi" w:hAnsiTheme="minorHAnsi"/>
            <w:sz w:val="16"/>
            <w:szCs w:val="16"/>
          </w:rPr>
          <w:t>OAS</w:t>
        </w:r>
      </w:hyperlink>
    </w:p>
  </w:footnote>
  <w:footnote w:id="24">
    <w:p w14:paraId="03838DFC" w14:textId="13D177A0" w:rsidR="00FA01D4" w:rsidRPr="006F2239" w:rsidRDefault="00FA01D4" w:rsidP="00FA01D4">
      <w:pPr>
        <w:pStyle w:val="FootnoteText"/>
      </w:pPr>
      <w:r>
        <w:rPr>
          <w:rStyle w:val="FootnoteReference"/>
        </w:rPr>
        <w:footnoteRef/>
      </w:r>
      <w:r>
        <w:t xml:space="preserve"> </w:t>
      </w:r>
      <w:r w:rsidR="00DE1D26" w:rsidRPr="00740665">
        <w:rPr>
          <w:rFonts w:asciiTheme="majorHAnsi" w:hAnsiTheme="majorHAnsi"/>
          <w:sz w:val="16"/>
          <w:szCs w:val="16"/>
        </w:rPr>
        <w:t xml:space="preserve">Source: </w:t>
      </w:r>
      <w:hyperlink r:id="rId19" w:history="1">
        <w:r w:rsidRPr="00852D91">
          <w:rPr>
            <w:rStyle w:val="Hyperlink"/>
            <w:rFonts w:asciiTheme="majorHAnsi" w:hAnsiTheme="majorHAnsi"/>
            <w:sz w:val="16"/>
            <w:szCs w:val="16"/>
          </w:rPr>
          <w:t xml:space="preserve">IGF </w:t>
        </w:r>
        <w:r w:rsidRPr="006F2239">
          <w:rPr>
            <w:rStyle w:val="Hyperlink"/>
            <w:rFonts w:asciiTheme="majorHAnsi" w:hAnsiTheme="majorHAnsi"/>
            <w:sz w:val="16"/>
            <w:szCs w:val="16"/>
          </w:rPr>
          <w:t>Mining Policy Framework Assessment Suriname</w:t>
        </w:r>
      </w:hyperlink>
      <w:r>
        <w:rPr>
          <w:rFonts w:asciiTheme="majorHAnsi" w:hAnsiTheme="majorHAnsi"/>
          <w:sz w:val="16"/>
          <w:szCs w:val="16"/>
        </w:rPr>
        <w:t>, May 2017</w:t>
      </w:r>
    </w:p>
  </w:footnote>
  <w:footnote w:id="25">
    <w:p w14:paraId="74CE2362" w14:textId="126A5607" w:rsidR="00D56779" w:rsidRPr="00D56779" w:rsidRDefault="00D56779">
      <w:pPr>
        <w:pStyle w:val="FootnoteText"/>
      </w:pPr>
      <w:r>
        <w:rPr>
          <w:rStyle w:val="FootnoteReference"/>
        </w:rPr>
        <w:footnoteRef/>
      </w:r>
      <w:r>
        <w:t xml:space="preserve"> </w:t>
      </w:r>
      <w:r w:rsidRPr="00860520">
        <w:rPr>
          <w:rFonts w:asciiTheme="majorHAnsi" w:hAnsiTheme="majorHAnsi"/>
          <w:sz w:val="16"/>
          <w:szCs w:val="16"/>
        </w:rPr>
        <w:t>Source: Domestic Law &amp; Policy, page 8</w:t>
      </w:r>
    </w:p>
  </w:footnote>
  <w:footnote w:id="26">
    <w:p w14:paraId="7B80A443" w14:textId="781D6481" w:rsidR="00DB2B10" w:rsidRPr="00860520" w:rsidRDefault="00DB2B10">
      <w:pPr>
        <w:pStyle w:val="FootnoteText"/>
        <w:rPr>
          <w:rFonts w:asciiTheme="majorHAnsi" w:hAnsiTheme="majorHAnsi"/>
          <w:sz w:val="16"/>
          <w:szCs w:val="16"/>
        </w:rPr>
      </w:pPr>
      <w:r>
        <w:rPr>
          <w:rStyle w:val="FootnoteReference"/>
        </w:rPr>
        <w:footnoteRef/>
      </w:r>
      <w:r>
        <w:t xml:space="preserve"> </w:t>
      </w:r>
      <w:r w:rsidRPr="00860520">
        <w:rPr>
          <w:rFonts w:asciiTheme="majorHAnsi" w:hAnsiTheme="majorHAnsi"/>
          <w:sz w:val="16"/>
          <w:szCs w:val="16"/>
        </w:rPr>
        <w:t>Source: Decree 58 of May 8, First paragraph</w:t>
      </w:r>
    </w:p>
  </w:footnote>
  <w:footnote w:id="27">
    <w:p w14:paraId="4B37886E" w14:textId="4DCC6B50" w:rsidR="00162C50" w:rsidRPr="00162C50" w:rsidRDefault="00162C50">
      <w:pPr>
        <w:pStyle w:val="FootnoteText"/>
      </w:pPr>
      <w:r>
        <w:rPr>
          <w:rStyle w:val="FootnoteReference"/>
        </w:rPr>
        <w:footnoteRef/>
      </w:r>
      <w:r>
        <w:t xml:space="preserve"> </w:t>
      </w:r>
      <w:r w:rsidR="00AB186D" w:rsidRPr="00740665">
        <w:rPr>
          <w:rFonts w:asciiTheme="majorHAnsi" w:hAnsiTheme="majorHAnsi"/>
          <w:sz w:val="16"/>
          <w:szCs w:val="16"/>
        </w:rPr>
        <w:t xml:space="preserve">Source: </w:t>
      </w:r>
      <w:hyperlink r:id="rId20" w:history="1">
        <w:r w:rsidR="00AB186D" w:rsidRPr="00852D91">
          <w:rPr>
            <w:rStyle w:val="Hyperlink"/>
            <w:rFonts w:asciiTheme="majorHAnsi" w:hAnsiTheme="majorHAnsi"/>
            <w:sz w:val="16"/>
            <w:szCs w:val="16"/>
          </w:rPr>
          <w:t xml:space="preserve">IGF </w:t>
        </w:r>
        <w:r w:rsidR="00AB186D" w:rsidRPr="006F2239">
          <w:rPr>
            <w:rStyle w:val="Hyperlink"/>
            <w:rFonts w:asciiTheme="majorHAnsi" w:hAnsiTheme="majorHAnsi"/>
            <w:sz w:val="16"/>
            <w:szCs w:val="16"/>
          </w:rPr>
          <w:t>Mining Policy Framework Assessment Suriname</w:t>
        </w:r>
      </w:hyperlink>
      <w:r w:rsidR="00AB186D">
        <w:rPr>
          <w:rFonts w:asciiTheme="majorHAnsi" w:hAnsiTheme="majorHAnsi"/>
          <w:sz w:val="16"/>
          <w:szCs w:val="16"/>
        </w:rPr>
        <w:t>, May 2017</w:t>
      </w:r>
    </w:p>
  </w:footnote>
  <w:footnote w:id="28">
    <w:p w14:paraId="01A091FA" w14:textId="2242E059" w:rsidR="00162C50" w:rsidRPr="00162C50" w:rsidRDefault="00162C50">
      <w:pPr>
        <w:pStyle w:val="FootnoteText"/>
      </w:pPr>
      <w:r>
        <w:rPr>
          <w:rStyle w:val="FootnoteReference"/>
        </w:rPr>
        <w:footnoteRef/>
      </w:r>
      <w:r>
        <w:t xml:space="preserve"> </w:t>
      </w:r>
      <w:r w:rsidR="00AB186D" w:rsidRPr="00740665">
        <w:rPr>
          <w:rFonts w:asciiTheme="majorHAnsi" w:hAnsiTheme="majorHAnsi"/>
          <w:sz w:val="16"/>
          <w:szCs w:val="16"/>
        </w:rPr>
        <w:t xml:space="preserve">Source: </w:t>
      </w:r>
      <w:hyperlink r:id="rId21" w:history="1">
        <w:r w:rsidR="00AB186D" w:rsidRPr="00852D91">
          <w:rPr>
            <w:rStyle w:val="Hyperlink"/>
            <w:rFonts w:asciiTheme="majorHAnsi" w:hAnsiTheme="majorHAnsi"/>
            <w:sz w:val="16"/>
            <w:szCs w:val="16"/>
          </w:rPr>
          <w:t xml:space="preserve">IGF </w:t>
        </w:r>
        <w:r w:rsidR="00AB186D" w:rsidRPr="006F2239">
          <w:rPr>
            <w:rStyle w:val="Hyperlink"/>
            <w:rFonts w:asciiTheme="majorHAnsi" w:hAnsiTheme="majorHAnsi"/>
            <w:sz w:val="16"/>
            <w:szCs w:val="16"/>
          </w:rPr>
          <w:t>Mining Policy Framework Assessment Suriname</w:t>
        </w:r>
      </w:hyperlink>
      <w:r w:rsidR="00AB186D">
        <w:rPr>
          <w:rFonts w:asciiTheme="majorHAnsi" w:hAnsiTheme="majorHAnsi"/>
          <w:sz w:val="16"/>
          <w:szCs w:val="16"/>
        </w:rPr>
        <w:t>, May 2017</w:t>
      </w:r>
    </w:p>
  </w:footnote>
  <w:footnote w:id="29">
    <w:p w14:paraId="4354A10B" w14:textId="3C42B4FA" w:rsidR="00D758A1" w:rsidRPr="00D758A1" w:rsidRDefault="00D758A1">
      <w:pPr>
        <w:pStyle w:val="FootnoteText"/>
      </w:pPr>
      <w:r>
        <w:rPr>
          <w:rStyle w:val="FootnoteReference"/>
        </w:rPr>
        <w:footnoteRef/>
      </w:r>
      <w:r>
        <w:t xml:space="preserve"> </w:t>
      </w:r>
      <w:r w:rsidR="00AB186D" w:rsidRPr="00740665">
        <w:rPr>
          <w:rFonts w:asciiTheme="majorHAnsi" w:hAnsiTheme="majorHAnsi"/>
          <w:sz w:val="16"/>
          <w:szCs w:val="16"/>
        </w:rPr>
        <w:t xml:space="preserve">Source: </w:t>
      </w:r>
      <w:hyperlink r:id="rId22" w:history="1">
        <w:r w:rsidR="00AB186D" w:rsidRPr="00852D91">
          <w:rPr>
            <w:rStyle w:val="Hyperlink"/>
            <w:rFonts w:asciiTheme="majorHAnsi" w:hAnsiTheme="majorHAnsi"/>
            <w:sz w:val="16"/>
            <w:szCs w:val="16"/>
          </w:rPr>
          <w:t xml:space="preserve">IGF </w:t>
        </w:r>
        <w:r w:rsidR="00AB186D" w:rsidRPr="006F2239">
          <w:rPr>
            <w:rStyle w:val="Hyperlink"/>
            <w:rFonts w:asciiTheme="majorHAnsi" w:hAnsiTheme="majorHAnsi"/>
            <w:sz w:val="16"/>
            <w:szCs w:val="16"/>
          </w:rPr>
          <w:t>Mining Policy Framework Assessment Suriname</w:t>
        </w:r>
      </w:hyperlink>
      <w:r w:rsidR="00AB186D">
        <w:rPr>
          <w:rFonts w:asciiTheme="majorHAnsi" w:hAnsiTheme="majorHAnsi"/>
          <w:sz w:val="16"/>
          <w:szCs w:val="16"/>
        </w:rPr>
        <w:t>, May 2017</w:t>
      </w:r>
    </w:p>
  </w:footnote>
  <w:footnote w:id="30">
    <w:p w14:paraId="5D4BE788" w14:textId="789E8010" w:rsidR="001D7BCF" w:rsidRPr="00860520" w:rsidRDefault="001D7BCF">
      <w:pPr>
        <w:pStyle w:val="FootnoteText"/>
        <w:rPr>
          <w:rFonts w:asciiTheme="minorHAnsi" w:hAnsiTheme="minorHAnsi"/>
        </w:rPr>
      </w:pPr>
      <w:r>
        <w:rPr>
          <w:rStyle w:val="FootnoteReference"/>
        </w:rPr>
        <w:footnoteRef/>
      </w:r>
      <w:r w:rsidRPr="00860520">
        <w:rPr>
          <w:rFonts w:asciiTheme="majorHAnsi" w:hAnsiTheme="majorHAnsi"/>
          <w:sz w:val="16"/>
          <w:szCs w:val="16"/>
        </w:rPr>
        <w:t xml:space="preserve"> https://www.staatsolie.com/en/staatsolie-hydrocarbon-institute/</w:t>
      </w:r>
    </w:p>
  </w:footnote>
  <w:footnote w:id="31">
    <w:p w14:paraId="62E941E8" w14:textId="2021F6F3" w:rsidR="00A95549" w:rsidRPr="00860520" w:rsidRDefault="00A95549">
      <w:pPr>
        <w:pStyle w:val="FootnoteText"/>
        <w:rPr>
          <w:rFonts w:asciiTheme="minorHAnsi" w:hAnsiTheme="minorHAnsi"/>
        </w:rPr>
      </w:pPr>
      <w:r>
        <w:rPr>
          <w:rStyle w:val="FootnoteReference"/>
        </w:rPr>
        <w:footnoteRef/>
      </w:r>
      <w:r>
        <w:t xml:space="preserve"> </w:t>
      </w:r>
      <w:r w:rsidRPr="00860520">
        <w:rPr>
          <w:rFonts w:asciiTheme="minorHAnsi" w:hAnsiTheme="minorHAnsi"/>
          <w:sz w:val="18"/>
          <w:szCs w:val="18"/>
        </w:rPr>
        <w:t xml:space="preserve">Article 11 of the </w:t>
      </w:r>
      <w:hyperlink r:id="rId23" w:history="1">
        <w:r w:rsidRPr="00860520">
          <w:rPr>
            <w:rStyle w:val="Hyperlink"/>
            <w:rFonts w:asciiTheme="minorHAnsi" w:hAnsiTheme="minorHAnsi"/>
            <w:sz w:val="18"/>
            <w:szCs w:val="18"/>
          </w:rPr>
          <w:t>Decree of 8 May 1986</w:t>
        </w:r>
      </w:hyperlink>
      <w:r w:rsidRPr="00860520">
        <w:rPr>
          <w:rFonts w:asciiTheme="minorHAnsi" w:hAnsiTheme="minorHAnsi"/>
          <w:sz w:val="18"/>
          <w:szCs w:val="18"/>
        </w:rPr>
        <w:t xml:space="preserve"> </w:t>
      </w:r>
    </w:p>
  </w:footnote>
  <w:footnote w:id="32">
    <w:p w14:paraId="12F893D1" w14:textId="7132DF91" w:rsidR="009342C0" w:rsidRPr="00860520" w:rsidRDefault="009342C0">
      <w:pPr>
        <w:pStyle w:val="FootnoteText"/>
        <w:rPr>
          <w:rFonts w:asciiTheme="minorHAnsi" w:hAnsiTheme="minorHAnsi"/>
        </w:rPr>
      </w:pPr>
      <w:r>
        <w:rPr>
          <w:rStyle w:val="FootnoteReference"/>
        </w:rPr>
        <w:footnoteRef/>
      </w:r>
      <w:r>
        <w:t xml:space="preserve"> </w:t>
      </w:r>
      <w:r w:rsidRPr="00860520">
        <w:rPr>
          <w:rFonts w:asciiTheme="minorHAnsi" w:hAnsiTheme="minorHAnsi"/>
          <w:sz w:val="18"/>
          <w:szCs w:val="18"/>
        </w:rPr>
        <w:t xml:space="preserve">Source: </w:t>
      </w:r>
      <w:hyperlink r:id="rId24" w:history="1">
        <w:r w:rsidRPr="00860520">
          <w:rPr>
            <w:rStyle w:val="Hyperlink"/>
            <w:rFonts w:asciiTheme="minorHAnsi" w:hAnsiTheme="minorHAnsi"/>
            <w:sz w:val="18"/>
            <w:szCs w:val="18"/>
          </w:rPr>
          <w:t>Instructions for Suriname Shallow Offshore Bid Round</w:t>
        </w:r>
      </w:hyperlink>
    </w:p>
  </w:footnote>
  <w:footnote w:id="33">
    <w:p w14:paraId="255272BD" w14:textId="77777777" w:rsidR="001B4837" w:rsidRPr="00463974" w:rsidRDefault="001B4837" w:rsidP="00CA282D">
      <w:pPr>
        <w:pStyle w:val="FootnoteText"/>
        <w:rPr>
          <w:rFonts w:asciiTheme="minorHAnsi" w:hAnsiTheme="minorHAnsi"/>
          <w:sz w:val="16"/>
          <w:szCs w:val="16"/>
        </w:rPr>
      </w:pPr>
      <w:r w:rsidRPr="005379EF">
        <w:rPr>
          <w:rStyle w:val="FootnoteReference"/>
          <w:rFonts w:asciiTheme="minorHAnsi" w:hAnsiTheme="minorHAnsi"/>
          <w:sz w:val="16"/>
          <w:szCs w:val="16"/>
        </w:rPr>
        <w:footnoteRef/>
      </w:r>
      <w:r w:rsidRPr="005379EF">
        <w:rPr>
          <w:rFonts w:asciiTheme="minorHAnsi" w:hAnsiTheme="minorHAnsi"/>
          <w:sz w:val="16"/>
          <w:szCs w:val="16"/>
        </w:rPr>
        <w:t xml:space="preserve"> Paradise Oil Company N.V.’s operations were put on hold and the company did not have any activity during 2018. (source:</w:t>
      </w:r>
      <w:r>
        <w:rPr>
          <w:rFonts w:asciiTheme="minorHAnsi" w:hAnsiTheme="minorHAnsi"/>
          <w:sz w:val="16"/>
          <w:szCs w:val="16"/>
        </w:rPr>
        <w:t xml:space="preserve"> </w:t>
      </w:r>
      <w:r w:rsidRPr="005379EF">
        <w:rPr>
          <w:rFonts w:asciiTheme="minorHAnsi" w:hAnsiTheme="minorHAnsi"/>
          <w:sz w:val="16"/>
          <w:szCs w:val="16"/>
        </w:rPr>
        <w:t>Staatsolie annual report 2018)</w:t>
      </w:r>
      <w:r>
        <w:rPr>
          <w:rFonts w:asciiTheme="minorHAnsi" w:hAnsiTheme="minorHAnsi"/>
          <w:sz w:val="16"/>
          <w:szCs w:val="16"/>
        </w:rPr>
        <w:t xml:space="preserve"> </w:t>
      </w:r>
    </w:p>
  </w:footnote>
  <w:footnote w:id="34">
    <w:p w14:paraId="436F1196" w14:textId="6A777E84" w:rsidR="001B4837" w:rsidRPr="00FA01D4" w:rsidRDefault="001B4837">
      <w:pPr>
        <w:pStyle w:val="FootnoteText"/>
        <w:rPr>
          <w:rFonts w:asciiTheme="minorHAnsi" w:hAnsiTheme="minorHAnsi"/>
        </w:rPr>
      </w:pPr>
      <w:r>
        <w:rPr>
          <w:rStyle w:val="FootnoteReference"/>
        </w:rPr>
        <w:footnoteRef/>
      </w:r>
      <w:r>
        <w:t xml:space="preserve"> </w:t>
      </w:r>
      <w:hyperlink r:id="rId25" w:history="1">
        <w:r w:rsidRPr="00860520">
          <w:rPr>
            <w:rStyle w:val="Hyperlink"/>
            <w:rFonts w:asciiTheme="minorHAnsi" w:hAnsiTheme="minorHAnsi"/>
            <w:sz w:val="16"/>
            <w:szCs w:val="16"/>
          </w:rPr>
          <w:t>https://www.dna.sr/media/291351/SB_2020___97.pdf</w:t>
        </w:r>
      </w:hyperlink>
      <w:r w:rsidRPr="00860520">
        <w:rPr>
          <w:rFonts w:asciiTheme="minorHAnsi" w:hAnsiTheme="minorHAnsi"/>
          <w:sz w:val="16"/>
          <w:szCs w:val="16"/>
        </w:rPr>
        <w:t xml:space="preserve"> </w:t>
      </w:r>
    </w:p>
  </w:footnote>
  <w:footnote w:id="35">
    <w:p w14:paraId="3371CB7A" w14:textId="77777777" w:rsidR="001B4837" w:rsidRPr="0052163F" w:rsidRDefault="001B4837" w:rsidP="00971021">
      <w:pPr>
        <w:pStyle w:val="FootnoteText"/>
        <w:rPr>
          <w:rStyle w:val="FootnoteReference"/>
          <w:rFonts w:asciiTheme="majorHAnsi" w:hAnsiTheme="majorHAnsi"/>
          <w:sz w:val="16"/>
          <w:szCs w:val="16"/>
        </w:rPr>
      </w:pPr>
      <w:r w:rsidRPr="0052163F">
        <w:rPr>
          <w:rStyle w:val="FootnoteReference"/>
          <w:rFonts w:asciiTheme="majorHAnsi" w:hAnsiTheme="majorHAnsi"/>
          <w:sz w:val="16"/>
          <w:szCs w:val="16"/>
        </w:rPr>
        <w:footnoteRef/>
      </w:r>
      <w:r w:rsidRPr="0052163F">
        <w:rPr>
          <w:rStyle w:val="FootnoteReference"/>
          <w:rFonts w:asciiTheme="majorHAnsi" w:hAnsiTheme="majorHAnsi"/>
          <w:sz w:val="16"/>
          <w:szCs w:val="16"/>
        </w:rPr>
        <w:t xml:space="preserve"> https://www.cbvs.sr/en/publications-research/cbvs-reports/annual-reports</w:t>
      </w:r>
    </w:p>
  </w:footnote>
  <w:footnote w:id="36">
    <w:p w14:paraId="0C67998D" w14:textId="08671576" w:rsidR="00005C15" w:rsidRPr="00860520" w:rsidRDefault="00005C15">
      <w:pPr>
        <w:pStyle w:val="FootnoteText"/>
        <w:rPr>
          <w:rFonts w:asciiTheme="minorHAnsi" w:hAnsiTheme="minorHAnsi"/>
          <w:lang w:val="fr-FR"/>
        </w:rPr>
      </w:pPr>
      <w:r>
        <w:rPr>
          <w:rStyle w:val="FootnoteReference"/>
        </w:rPr>
        <w:footnoteRef/>
      </w:r>
      <w:r>
        <w:t xml:space="preserve"> </w:t>
      </w:r>
      <w:r w:rsidRPr="00860520">
        <w:rPr>
          <w:rFonts w:asciiTheme="minorHAnsi" w:hAnsiTheme="minorHAnsi"/>
          <w:sz w:val="16"/>
          <w:szCs w:val="16"/>
          <w:lang w:val="fr-FR"/>
        </w:rPr>
        <w:t xml:space="preserve">Source : </w:t>
      </w:r>
      <w:hyperlink r:id="rId26" w:history="1">
        <w:r w:rsidRPr="00860520">
          <w:rPr>
            <w:rStyle w:val="Hyperlink"/>
            <w:rFonts w:asciiTheme="minorHAnsi" w:hAnsiTheme="minorHAnsi"/>
            <w:sz w:val="16"/>
            <w:szCs w:val="16"/>
            <w:lang w:val="fr-FR"/>
          </w:rPr>
          <w:t>Staatsolie’s annual report 2020</w:t>
        </w:r>
      </w:hyperlink>
      <w:r w:rsidRPr="00860520">
        <w:rPr>
          <w:rFonts w:asciiTheme="minorHAnsi" w:hAnsiTheme="minorHAnsi"/>
          <w:sz w:val="16"/>
          <w:szCs w:val="16"/>
          <w:lang w:val="fr-FR"/>
        </w:rPr>
        <w:t>, page 24</w:t>
      </w:r>
    </w:p>
  </w:footnote>
  <w:footnote w:id="37">
    <w:p w14:paraId="2F97CC1B" w14:textId="77777777" w:rsidR="001B4837" w:rsidRPr="0052163F" w:rsidRDefault="001B4837" w:rsidP="00971021">
      <w:pPr>
        <w:pStyle w:val="FootnoteText"/>
        <w:rPr>
          <w:rFonts w:asciiTheme="majorHAnsi" w:hAnsiTheme="majorHAnsi"/>
          <w:sz w:val="16"/>
          <w:szCs w:val="16"/>
        </w:rPr>
      </w:pPr>
      <w:r w:rsidRPr="0052163F">
        <w:rPr>
          <w:rStyle w:val="FootnoteReference"/>
          <w:rFonts w:asciiTheme="majorHAnsi" w:hAnsiTheme="majorHAnsi"/>
          <w:sz w:val="16"/>
          <w:szCs w:val="16"/>
        </w:rPr>
        <w:footnoteRef/>
      </w:r>
      <w:r w:rsidRPr="0052163F">
        <w:rPr>
          <w:rStyle w:val="FootnoteReference"/>
          <w:rFonts w:asciiTheme="majorHAnsi" w:hAnsiTheme="majorHAnsi"/>
          <w:sz w:val="16"/>
          <w:szCs w:val="16"/>
        </w:rPr>
        <w:t xml:space="preserve"> https://www.iamgold.com/English/investors/financials/default.aspx</w:t>
      </w:r>
    </w:p>
  </w:footnote>
  <w:footnote w:id="38">
    <w:p w14:paraId="000CBCE3" w14:textId="1881CE3D" w:rsidR="001B4837" w:rsidRPr="00771C41" w:rsidRDefault="001B4837" w:rsidP="008A0EF2">
      <w:pPr>
        <w:pStyle w:val="FootnoteText"/>
        <w:rPr>
          <w:rFonts w:asciiTheme="majorHAnsi" w:hAnsiTheme="majorHAnsi"/>
          <w:sz w:val="16"/>
          <w:szCs w:val="16"/>
        </w:rPr>
      </w:pPr>
      <w:r w:rsidRPr="00771C41">
        <w:rPr>
          <w:rStyle w:val="FootnoteReference"/>
          <w:rFonts w:asciiTheme="majorHAnsi" w:hAnsiTheme="majorHAnsi"/>
          <w:sz w:val="16"/>
          <w:szCs w:val="16"/>
        </w:rPr>
        <w:footnoteRef/>
      </w:r>
      <w:r w:rsidRPr="00771C41">
        <w:rPr>
          <w:rFonts w:asciiTheme="majorHAnsi" w:hAnsiTheme="majorHAnsi"/>
          <w:sz w:val="16"/>
          <w:szCs w:val="16"/>
        </w:rPr>
        <w:t xml:space="preserve"> https://gov.sr/wp-content/uploads/2022/03/def-jaarverslag-mvfp-2020-8-dec-2021.pdf</w:t>
      </w:r>
    </w:p>
  </w:footnote>
  <w:footnote w:id="39">
    <w:p w14:paraId="12AD203D" w14:textId="66E60D65" w:rsidR="001B4837" w:rsidRPr="007B59AF" w:rsidRDefault="001B4837">
      <w:pPr>
        <w:pStyle w:val="FootnoteText"/>
        <w:rPr>
          <w:rFonts w:asciiTheme="minorHAnsi" w:hAnsiTheme="minorHAnsi"/>
        </w:rPr>
      </w:pPr>
      <w:r>
        <w:rPr>
          <w:rStyle w:val="FootnoteReference"/>
        </w:rPr>
        <w:footnoteRef/>
      </w:r>
      <w:r>
        <w:t xml:space="preserve"> </w:t>
      </w:r>
      <w:r w:rsidRPr="007B59AF">
        <w:rPr>
          <w:rFonts w:asciiTheme="majorHAnsi" w:hAnsiTheme="majorHAnsi"/>
          <w:sz w:val="16"/>
          <w:szCs w:val="16"/>
        </w:rPr>
        <w:t>https://www.cbvs.sr/images/content/annual-reports/Jaarverslag_2019_secured.pdf</w:t>
      </w:r>
    </w:p>
  </w:footnote>
  <w:footnote w:id="40">
    <w:p w14:paraId="5033A44F" w14:textId="65F2E530" w:rsidR="001B4837" w:rsidRDefault="001B4837" w:rsidP="00BA29E5">
      <w:pPr>
        <w:spacing w:after="0" w:line="240" w:lineRule="auto"/>
      </w:pPr>
      <w:r>
        <w:rPr>
          <w:rStyle w:val="FootnoteReference"/>
          <w:rFonts w:eastAsiaTheme="majorEastAsia"/>
        </w:rPr>
        <w:footnoteRef/>
      </w:r>
      <w:r w:rsidRPr="003F4063">
        <w:rPr>
          <w:color w:val="auto"/>
          <w:sz w:val="16"/>
          <w:szCs w:val="22"/>
        </w:rPr>
        <w:t xml:space="preserve"> </w:t>
      </w:r>
      <w:hyperlink r:id="rId27" w:history="1">
        <w:r w:rsidRPr="003F4063">
          <w:rPr>
            <w:color w:val="auto"/>
            <w:szCs w:val="18"/>
          </w:rPr>
          <w:t>https://api.worldbank.org/v2/en/indicator/SL.EMP.TOTL.SP.ZS?downloadformat=excel</w:t>
        </w:r>
      </w:hyperlink>
    </w:p>
  </w:footnote>
  <w:footnote w:id="41">
    <w:p w14:paraId="6833443D" w14:textId="77777777" w:rsidR="001B4837" w:rsidRDefault="001B4837" w:rsidP="00DC6673">
      <w:pPr>
        <w:pStyle w:val="FootnoteText"/>
      </w:pPr>
      <w:r>
        <w:rPr>
          <w:rStyle w:val="FootnoteReference"/>
        </w:rPr>
        <w:footnoteRef/>
      </w:r>
      <w:r>
        <w:t xml:space="preserve"> </w:t>
      </w:r>
      <w:r w:rsidRPr="004D353B">
        <w:t>https://worldpopulationreview.com/countries/suriname-population</w:t>
      </w:r>
    </w:p>
  </w:footnote>
  <w:footnote w:id="42">
    <w:p w14:paraId="45C46173" w14:textId="77777777" w:rsidR="001B4837" w:rsidRPr="00D00050" w:rsidRDefault="001B4837" w:rsidP="008D2903">
      <w:pPr>
        <w:pStyle w:val="FootnoteText"/>
        <w:rPr>
          <w:rFonts w:asciiTheme="majorHAnsi" w:hAnsiTheme="majorHAnsi"/>
          <w:sz w:val="16"/>
          <w:szCs w:val="16"/>
        </w:rPr>
      </w:pPr>
      <w:r w:rsidRPr="00D00050">
        <w:rPr>
          <w:rStyle w:val="FootnoteReference"/>
          <w:rFonts w:asciiTheme="majorHAnsi" w:hAnsiTheme="majorHAnsi"/>
          <w:sz w:val="16"/>
          <w:szCs w:val="16"/>
        </w:rPr>
        <w:footnoteRef/>
      </w:r>
      <w:r w:rsidRPr="00D00050">
        <w:rPr>
          <w:rFonts w:asciiTheme="majorHAnsi" w:hAnsiTheme="majorHAnsi"/>
          <w:sz w:val="16"/>
          <w:szCs w:val="16"/>
        </w:rPr>
        <w:t xml:space="preserve"> </w:t>
      </w:r>
      <w:r w:rsidRPr="00047AB9">
        <w:rPr>
          <w:rFonts w:asciiTheme="majorHAnsi" w:hAnsiTheme="majorHAnsi"/>
          <w:sz w:val="16"/>
          <w:szCs w:val="16"/>
        </w:rPr>
        <w:t>https://gov.sr/wp-content/uploads/2022/03/def-jaarverslag-mvfp-2020-8-dec-2021.pdf</w:t>
      </w:r>
    </w:p>
  </w:footnote>
  <w:footnote w:id="43">
    <w:p w14:paraId="3F49B796" w14:textId="030A766F" w:rsidR="001B4837" w:rsidRPr="00B226CF" w:rsidRDefault="001B4837">
      <w:pPr>
        <w:pStyle w:val="FootnoteText"/>
        <w:rPr>
          <w:rFonts w:asciiTheme="minorHAnsi" w:hAnsiTheme="minorHAnsi"/>
        </w:rPr>
      </w:pPr>
      <w:r w:rsidRPr="00B226CF">
        <w:rPr>
          <w:rStyle w:val="FootnoteReference"/>
          <w:rFonts w:asciiTheme="minorHAnsi" w:hAnsiTheme="minorHAnsi"/>
          <w:sz w:val="18"/>
          <w:szCs w:val="18"/>
        </w:rPr>
        <w:footnoteRef/>
      </w:r>
      <w:r w:rsidRPr="00B226CF">
        <w:rPr>
          <w:rStyle w:val="FootnoteReference"/>
          <w:rFonts w:asciiTheme="minorHAnsi" w:hAnsiTheme="minorHAnsi"/>
          <w:sz w:val="18"/>
          <w:szCs w:val="18"/>
        </w:rPr>
        <w:t xml:space="preserve"> https://worldpopulationreview.com/countries/suriname-population</w:t>
      </w:r>
    </w:p>
  </w:footnote>
  <w:footnote w:id="44">
    <w:p w14:paraId="5E4506FD" w14:textId="77777777" w:rsidR="001B4837" w:rsidRPr="0036443C" w:rsidRDefault="001B4837" w:rsidP="003F14A6">
      <w:pPr>
        <w:pStyle w:val="FootnoteText"/>
        <w:rPr>
          <w:rStyle w:val="FootnoteReference"/>
          <w:rFonts w:asciiTheme="minorHAnsi" w:hAnsiTheme="minorHAnsi"/>
          <w:sz w:val="18"/>
          <w:szCs w:val="18"/>
        </w:rPr>
      </w:pPr>
      <w:r w:rsidRPr="0036443C">
        <w:rPr>
          <w:rStyle w:val="FootnoteReference"/>
          <w:rFonts w:asciiTheme="minorHAnsi" w:hAnsiTheme="minorHAnsi"/>
          <w:sz w:val="18"/>
          <w:szCs w:val="18"/>
        </w:rPr>
        <w:footnoteRef/>
      </w:r>
      <w:r w:rsidRPr="0036443C">
        <w:rPr>
          <w:rStyle w:val="FootnoteReference"/>
        </w:rPr>
        <w:t xml:space="preserve"> Bulletin of Acts and Decrees 1987 No. 166)</w:t>
      </w:r>
    </w:p>
  </w:footnote>
  <w:footnote w:id="45">
    <w:p w14:paraId="1929F965" w14:textId="77777777" w:rsidR="001B4837" w:rsidRPr="007C5F49" w:rsidRDefault="001B4837" w:rsidP="003F14A6">
      <w:pPr>
        <w:pStyle w:val="FootnoteText"/>
        <w:rPr>
          <w:rFonts w:asciiTheme="minorHAnsi" w:hAnsiTheme="minorHAnsi"/>
        </w:rPr>
      </w:pPr>
      <w:r w:rsidRPr="007C5F49">
        <w:rPr>
          <w:rStyle w:val="FootnoteReference"/>
          <w:rFonts w:asciiTheme="minorHAnsi" w:hAnsiTheme="minorHAnsi"/>
          <w:sz w:val="18"/>
          <w:szCs w:val="18"/>
        </w:rPr>
        <w:footnoteRef/>
      </w:r>
      <w:r w:rsidRPr="007C5F49">
        <w:rPr>
          <w:rStyle w:val="FootnoteReference"/>
          <w:rFonts w:asciiTheme="minorHAnsi" w:hAnsiTheme="minorHAnsi"/>
          <w:sz w:val="18"/>
          <w:szCs w:val="18"/>
        </w:rPr>
        <w:t xml:space="preserve"> The System of Labour Administration in Suriname</w:t>
      </w:r>
    </w:p>
  </w:footnote>
  <w:footnote w:id="46">
    <w:p w14:paraId="7A51573A" w14:textId="77777777" w:rsidR="001B4837" w:rsidRDefault="001B4837" w:rsidP="003F14A6">
      <w:pPr>
        <w:pStyle w:val="FootnoteText"/>
        <w:rPr>
          <w:rFonts w:asciiTheme="minorHAnsi" w:hAnsiTheme="minorHAnsi"/>
          <w:sz w:val="18"/>
          <w:szCs w:val="18"/>
        </w:rPr>
      </w:pPr>
      <w:r w:rsidRPr="0036443C">
        <w:rPr>
          <w:rStyle w:val="FootnoteReference"/>
          <w:rFonts w:asciiTheme="minorHAnsi" w:hAnsiTheme="minorHAnsi"/>
          <w:sz w:val="18"/>
          <w:szCs w:val="18"/>
        </w:rPr>
        <w:footnoteRef/>
      </w:r>
      <w:r w:rsidRPr="0036443C">
        <w:rPr>
          <w:rStyle w:val="FootnoteReference"/>
          <w:rFonts w:asciiTheme="minorHAnsi" w:hAnsiTheme="minorHAnsi"/>
          <w:sz w:val="18"/>
          <w:szCs w:val="18"/>
        </w:rPr>
        <w:t xml:space="preserve"> </w:t>
      </w:r>
      <w:hyperlink r:id="rId28" w:history="1">
        <w:r w:rsidRPr="0036443C">
          <w:rPr>
            <w:rStyle w:val="Hyperlink"/>
            <w:rFonts w:asciiTheme="minorHAnsi" w:hAnsiTheme="minorHAnsi"/>
            <w:sz w:val="18"/>
            <w:szCs w:val="18"/>
            <w:vertAlign w:val="superscript"/>
          </w:rPr>
          <w:t>https://documents-dds-ny.un.org/doc/UNDOC/GEN/G21/229/40/PDF/G2122940.pdf?OpenElement</w:t>
        </w:r>
      </w:hyperlink>
    </w:p>
    <w:p w14:paraId="1D8C4D79" w14:textId="77777777" w:rsidR="001B4837" w:rsidRPr="0036443C" w:rsidRDefault="001B4837" w:rsidP="003F14A6">
      <w:pPr>
        <w:pStyle w:val="FootnoteText"/>
        <w:rPr>
          <w:rFonts w:asciiTheme="minorHAnsi" w:hAnsiTheme="minorHAnsi"/>
          <w:sz w:val="18"/>
          <w:szCs w:val="18"/>
        </w:rPr>
      </w:pPr>
    </w:p>
  </w:footnote>
  <w:footnote w:id="47">
    <w:p w14:paraId="2A84E91C" w14:textId="77777777" w:rsidR="001B4837" w:rsidRPr="0036443C" w:rsidRDefault="001B4837" w:rsidP="003F14A6">
      <w:pPr>
        <w:pStyle w:val="FootnoteText"/>
        <w:rPr>
          <w:rFonts w:asciiTheme="minorHAnsi" w:hAnsiTheme="minorHAnsi"/>
          <w:sz w:val="18"/>
          <w:szCs w:val="18"/>
        </w:rPr>
      </w:pPr>
      <w:r w:rsidRPr="0036443C">
        <w:rPr>
          <w:rStyle w:val="FootnoteReference"/>
          <w:rFonts w:asciiTheme="minorHAnsi" w:hAnsiTheme="minorHAnsi"/>
          <w:sz w:val="18"/>
          <w:szCs w:val="18"/>
        </w:rPr>
        <w:footnoteRef/>
      </w:r>
      <w:r w:rsidRPr="0036443C">
        <w:rPr>
          <w:rFonts w:asciiTheme="minorHAnsi" w:hAnsiTheme="minorHAnsi"/>
          <w:sz w:val="18"/>
          <w:szCs w:val="18"/>
        </w:rPr>
        <w:t xml:space="preserve"> </w:t>
      </w:r>
      <w:hyperlink r:id="rId29" w:history="1">
        <w:r w:rsidRPr="0036443C">
          <w:rPr>
            <w:rStyle w:val="Hyperlink"/>
            <w:rFonts w:asciiTheme="minorHAnsi" w:hAnsiTheme="minorHAnsi"/>
            <w:sz w:val="18"/>
            <w:szCs w:val="18"/>
          </w:rPr>
          <w:t>https://www.dna.sr/media/263434/Wet_Gelijke_Behandeling_Arbeid__ID_50211_.pdf</w:t>
        </w:r>
      </w:hyperlink>
    </w:p>
    <w:p w14:paraId="47EF9BF5" w14:textId="77777777" w:rsidR="001B4837" w:rsidRPr="0036443C" w:rsidRDefault="001B4837" w:rsidP="003F14A6">
      <w:pPr>
        <w:pStyle w:val="FootnoteText"/>
        <w:rPr>
          <w:rFonts w:asciiTheme="minorHAnsi" w:hAnsiTheme="minorHAnsi"/>
          <w:sz w:val="18"/>
          <w:szCs w:val="18"/>
        </w:rPr>
      </w:pPr>
    </w:p>
  </w:footnote>
  <w:footnote w:id="48">
    <w:p w14:paraId="4E3ED61A" w14:textId="77777777" w:rsidR="001B4837" w:rsidRPr="0036443C" w:rsidRDefault="001B4837" w:rsidP="003F14A6">
      <w:pPr>
        <w:pStyle w:val="FootnoteText"/>
        <w:rPr>
          <w:rFonts w:asciiTheme="minorHAnsi" w:hAnsiTheme="minorHAnsi"/>
          <w:sz w:val="18"/>
          <w:szCs w:val="18"/>
        </w:rPr>
      </w:pPr>
      <w:r w:rsidRPr="0036443C">
        <w:rPr>
          <w:rStyle w:val="FootnoteReference"/>
          <w:rFonts w:asciiTheme="minorHAnsi" w:hAnsiTheme="minorHAnsi"/>
          <w:sz w:val="18"/>
          <w:szCs w:val="18"/>
        </w:rPr>
        <w:footnoteRef/>
      </w:r>
      <w:r w:rsidRPr="0036443C">
        <w:rPr>
          <w:rStyle w:val="FootnoteReference"/>
          <w:rFonts w:asciiTheme="minorHAnsi" w:hAnsiTheme="minorHAnsi"/>
          <w:sz w:val="18"/>
          <w:szCs w:val="18"/>
        </w:rPr>
        <w:t xml:space="preserve"> </w:t>
      </w:r>
      <w:hyperlink r:id="rId30" w:history="1">
        <w:r w:rsidRPr="0036443C">
          <w:rPr>
            <w:rStyle w:val="Hyperlink"/>
            <w:rFonts w:asciiTheme="minorHAnsi" w:hAnsiTheme="minorHAnsi"/>
            <w:sz w:val="18"/>
            <w:szCs w:val="18"/>
            <w:vertAlign w:val="superscript"/>
          </w:rPr>
          <w:t>https://www.dna.sr/media/263873/Wet_Geweld_en_Seksuele_Intimidatie_Arbeid.pdf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B383E2" w14:textId="77777777" w:rsidR="001B4837" w:rsidRPr="003A400B" w:rsidRDefault="001B4837" w:rsidP="003A400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FE6DC" w14:textId="77777777" w:rsidR="001B4837" w:rsidRPr="003A400B" w:rsidRDefault="001B4837" w:rsidP="003A400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2AD7D" w14:textId="57F7A2C5" w:rsidR="001B4837" w:rsidRPr="003A400B" w:rsidRDefault="001B4837" w:rsidP="003A400B">
    <w:pPr>
      <w:pStyle w:val="Header"/>
    </w:pPr>
    <w:r>
      <w:rPr>
        <w:noProof/>
        <w:lang w:val="en-US" w:eastAsia="en-US"/>
      </w:rPr>
      <mc:AlternateContent>
        <mc:Choice Requires="wps">
          <w:drawing>
            <wp:anchor distT="0" distB="0" distL="114300" distR="114300" simplePos="0" relativeHeight="251658240" behindDoc="0" locked="0" layoutInCell="1" allowOverlap="1" wp14:anchorId="6A1853C3" wp14:editId="07289030">
              <wp:simplePos x="0" y="0"/>
              <wp:positionH relativeFrom="page">
                <wp:posOffset>400050</wp:posOffset>
              </wp:positionH>
              <wp:positionV relativeFrom="margin">
                <wp:posOffset>-523876</wp:posOffset>
              </wp:positionV>
              <wp:extent cx="6767830" cy="9801225"/>
              <wp:effectExtent l="0" t="0" r="0" b="952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7830" cy="9801225"/>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C3A7E9" id="Rectangle 2" o:spid="_x0000_s1026" style="position:absolute;margin-left:31.5pt;margin-top:-41.25pt;width:532.9pt;height:771.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" fillcolor="#e5dbd4 [671]" stroked="f" strokeweight="2pt">
              <w10:wrap anchorx="page" anchory="margin"/>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FD1BEF" w14:textId="0C07E402" w:rsidR="001B4837" w:rsidRPr="00386E9E" w:rsidRDefault="001B4837" w:rsidP="00386E9E">
    <w:pPr>
      <w:pStyle w:val="Header"/>
    </w:pPr>
    <w:r>
      <w:rPr>
        <w:noProof/>
        <w:lang w:val="en-US" w:eastAsia="en-US"/>
      </w:rPr>
      <mc:AlternateContent>
        <mc:Choice Requires="wps">
          <w:drawing>
            <wp:anchor distT="0" distB="0" distL="114300" distR="114300" simplePos="0" relativeHeight="251658241" behindDoc="0" locked="0" layoutInCell="1" allowOverlap="1" wp14:anchorId="236503F2" wp14:editId="20B638FD">
              <wp:simplePos x="0" y="0"/>
              <wp:positionH relativeFrom="page">
                <wp:posOffset>388620</wp:posOffset>
              </wp:positionH>
              <wp:positionV relativeFrom="margin">
                <wp:posOffset>-510540</wp:posOffset>
              </wp:positionV>
              <wp:extent cx="9951720" cy="973455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51720" cy="9734550"/>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BA755B" w14:textId="77777777" w:rsidR="001B4837" w:rsidRPr="00441393" w:rsidRDefault="001B4837" w:rsidP="00441393">
                          <w:pPr>
                            <w:jc w:val="center"/>
                            <w:rPr>
                              <w:lang w:val="fr-FR"/>
                            </w:rPr>
                          </w:pPr>
                          <w:r>
                            <w:rPr>
                              <w:lang w:val="fr-FR"/>
                            </w:rPr>
                            <w:t>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6503F2" id="Rectangle 1" o:spid="_x0000_s1046" style="position:absolute;margin-left:30.6pt;margin-top:-40.2pt;width:783.6pt;height:766.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" fillcolor="#e5dbd4 [671]" stroked="f" strokeweight="2pt">
              <v:textbox>
                <w:txbxContent>
                  <w:p w14:paraId="16BA755B" w14:textId="77777777" w:rsidR="001B4837" w:rsidRPr="00441393" w:rsidRDefault="001B4837" w:rsidP="00441393">
                    <w:pPr>
                      <w:jc w:val="center"/>
                      <w:rPr>
                        <w:lang w:val="fr-FR"/>
                      </w:rPr>
                    </w:pPr>
                    <w:r>
                      <w:rPr>
                        <w:lang w:val="fr-FR"/>
                      </w:rPr>
                      <w:t>²</w:t>
                    </w:r>
                  </w:p>
                </w:txbxContent>
              </v:textbox>
              <w10:wrap anchorx="page" anchory="margin"/>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9598F8" w14:textId="74FD680C" w:rsidR="001B4837" w:rsidRDefault="001B4837" w:rsidP="00B55953">
    <w:pPr>
      <w:widowControl w:val="0"/>
      <w:spacing w:after="0" w:line="205" w:lineRule="exact"/>
      <w:ind w:left="4962"/>
    </w:pPr>
    <w:r>
      <w:rPr>
        <w:rFonts w:ascii="TrebuchetMS" w:hAnsi="TrebuchetMS" w:cs="TrebuchetMS"/>
        <w:color w:val="ED1A3B"/>
        <w:kern w:val="0"/>
        <w:szCs w:val="18"/>
        <w:lang w:val="en-US" w:eastAsia="en-US"/>
      </w:rPr>
      <w:t>EITI-SR Report</w:t>
    </w:r>
    <w:r w:rsidRPr="006C20EE">
      <w:rPr>
        <w:rFonts w:ascii="TrebuchetMS" w:hAnsi="TrebuchetMS" w:cs="TrebuchetMS"/>
        <w:color w:val="ED1A3B"/>
        <w:kern w:val="0"/>
        <w:szCs w:val="18"/>
        <w:lang w:val="en-US" w:eastAsia="en-US"/>
      </w:rPr>
      <w:t xml:space="preserve"> </w:t>
    </w:r>
    <w:r w:rsidR="00894701">
      <w:rPr>
        <w:rFonts w:ascii="TrebuchetMS" w:hAnsi="TrebuchetMS" w:cs="TrebuchetMS"/>
        <w:color w:val="ED1A3B"/>
        <w:kern w:val="0"/>
        <w:szCs w:val="18"/>
        <w:lang w:val="en-US" w:eastAsia="en-US"/>
      </w:rPr>
      <w:t xml:space="preserve">for the </w:t>
    </w:r>
    <w:r w:rsidR="00894701" w:rsidRPr="00894701">
      <w:rPr>
        <w:rFonts w:ascii="TrebuchetMS" w:hAnsi="TrebuchetMS" w:cs="TrebuchetMS"/>
        <w:color w:val="ED1A3B"/>
        <w:kern w:val="0"/>
        <w:szCs w:val="18"/>
        <w:lang w:val="en-US" w:eastAsia="en-US"/>
      </w:rPr>
      <w:t xml:space="preserve">fiscal years </w:t>
    </w:r>
    <w:r w:rsidRPr="006C20EE">
      <w:rPr>
        <w:rFonts w:ascii="TrebuchetMS" w:hAnsi="TrebuchetMS" w:cs="TrebuchetMS"/>
        <w:color w:val="ED1A3B"/>
        <w:kern w:val="0"/>
        <w:szCs w:val="18"/>
        <w:lang w:val="en-US" w:eastAsia="en-US"/>
      </w:rPr>
      <w:t>2018, 2019 and 2020</w:t>
    </w:r>
    <w:r>
      <w:rPr>
        <w:rFonts w:ascii="TrebuchetMS" w:hAnsi="TrebuchetMS" w:cs="TrebuchetMS"/>
        <w:color w:val="ED1A3B"/>
        <w:kern w:val="0"/>
        <w:szCs w:val="18"/>
        <w:lang w:val="en-US" w:eastAsia="en-U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23B89006"/>
    <w:lvl w:ilvl="0">
      <w:start w:val="1"/>
      <w:numFmt w:val="decimal"/>
      <w:pStyle w:val="ListNumber2"/>
      <w:lvlText w:val="%1."/>
      <w:lvlJc w:val="left"/>
      <w:pPr>
        <w:tabs>
          <w:tab w:val="num" w:pos="5234"/>
        </w:tabs>
        <w:ind w:left="5234" w:hanging="360"/>
      </w:pPr>
      <w:rPr>
        <w:rFonts w:cs="Times New Roman"/>
      </w:rPr>
    </w:lvl>
  </w:abstractNum>
  <w:abstractNum w:abstractNumId="1" w15:restartNumberingAfterBreak="0">
    <w:nsid w:val="FFFFFF89"/>
    <w:multiLevelType w:val="singleLevel"/>
    <w:tmpl w:val="F5CC1E3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195E68"/>
    <w:multiLevelType w:val="hybridMultilevel"/>
    <w:tmpl w:val="754C4EBC"/>
    <w:lvl w:ilvl="0" w:tplc="FE465A6E">
      <w:start w:val="1"/>
      <w:numFmt w:val="bullet"/>
      <w:pStyle w:val="BULLETList01"/>
      <w:lvlText w:val=""/>
      <w:lvlJc w:val="left"/>
      <w:pPr>
        <w:ind w:left="720" w:hanging="360"/>
      </w:pPr>
      <w:rPr>
        <w:rFonts w:ascii="Symbol" w:hAnsi="Symbol" w:hint="default"/>
        <w:color w:val="68504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04018F"/>
    <w:multiLevelType w:val="multilevel"/>
    <w:tmpl w:val="CA0A9A3E"/>
    <w:lvl w:ilvl="0">
      <w:start w:val="4"/>
      <w:numFmt w:val="decimal"/>
      <w:lvlText w:val="%1."/>
      <w:lvlJc w:val="left"/>
      <w:pPr>
        <w:ind w:left="810" w:hanging="810"/>
      </w:pPr>
      <w:rPr>
        <w:rFonts w:hint="default"/>
      </w:rPr>
    </w:lvl>
    <w:lvl w:ilvl="1">
      <w:start w:val="2"/>
      <w:numFmt w:val="decimal"/>
      <w:lvlText w:val="%1.%2."/>
      <w:lvlJc w:val="left"/>
      <w:pPr>
        <w:ind w:left="810" w:hanging="81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02936801"/>
    <w:multiLevelType w:val="hybridMultilevel"/>
    <w:tmpl w:val="65225ED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33A6EF0"/>
    <w:multiLevelType w:val="hybridMultilevel"/>
    <w:tmpl w:val="962C79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410B78"/>
    <w:multiLevelType w:val="multilevel"/>
    <w:tmpl w:val="4D0C1F6C"/>
    <w:lvl w:ilvl="0">
      <w:start w:val="3"/>
      <w:numFmt w:val="decimal"/>
      <w:lvlText w:val="%1"/>
      <w:lvlJc w:val="left"/>
      <w:pPr>
        <w:ind w:left="600" w:hanging="600"/>
      </w:pPr>
      <w:rPr>
        <w:rFonts w:hint="default"/>
        <w:sz w:val="24"/>
      </w:rPr>
    </w:lvl>
    <w:lvl w:ilvl="1">
      <w:start w:val="7"/>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440" w:hanging="1440"/>
      </w:pPr>
      <w:rPr>
        <w:rFonts w:hint="default"/>
        <w:sz w:val="24"/>
      </w:rPr>
    </w:lvl>
    <w:lvl w:ilvl="5">
      <w:start w:val="1"/>
      <w:numFmt w:val="decimal"/>
      <w:lvlText w:val="%1.%2.%3.%4.%5.%6"/>
      <w:lvlJc w:val="left"/>
      <w:pPr>
        <w:ind w:left="1800" w:hanging="180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2160" w:hanging="2160"/>
      </w:pPr>
      <w:rPr>
        <w:rFonts w:hint="default"/>
        <w:sz w:val="24"/>
      </w:rPr>
    </w:lvl>
    <w:lvl w:ilvl="8">
      <w:start w:val="1"/>
      <w:numFmt w:val="decimal"/>
      <w:lvlText w:val="%1.%2.%3.%4.%5.%6.%7.%8.%9"/>
      <w:lvlJc w:val="left"/>
      <w:pPr>
        <w:ind w:left="2520" w:hanging="2520"/>
      </w:pPr>
      <w:rPr>
        <w:rFonts w:hint="default"/>
        <w:sz w:val="24"/>
      </w:rPr>
    </w:lvl>
  </w:abstractNum>
  <w:abstractNum w:abstractNumId="7" w15:restartNumberingAfterBreak="0">
    <w:nsid w:val="03823D9C"/>
    <w:multiLevelType w:val="hybridMultilevel"/>
    <w:tmpl w:val="A1CC97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3821A9"/>
    <w:multiLevelType w:val="multilevel"/>
    <w:tmpl w:val="32B6E138"/>
    <w:lvl w:ilvl="0">
      <w:start w:val="5"/>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08125BF6"/>
    <w:multiLevelType w:val="multilevel"/>
    <w:tmpl w:val="422ADA02"/>
    <w:styleLink w:val="Listeencours1"/>
    <w:lvl w:ilvl="0">
      <w:start w:val="3"/>
      <w:numFmt w:val="decimal"/>
      <w:lvlText w:val="%1"/>
      <w:lvlJc w:val="left"/>
      <w:pPr>
        <w:tabs>
          <w:tab w:val="num" w:pos="360"/>
        </w:tabs>
        <w:ind w:left="360" w:hanging="360"/>
      </w:pPr>
      <w:rPr>
        <w:rFonts w:cs="Times New Roman" w:hint="default"/>
      </w:rPr>
    </w:lvl>
    <w:lvl w:ilvl="1">
      <w:start w:val="4"/>
      <w:numFmt w:val="decimal"/>
      <w:lvlText w:val="%2"/>
      <w:lvlJc w:val="left"/>
      <w:pPr>
        <w:tabs>
          <w:tab w:val="num" w:pos="840"/>
        </w:tabs>
        <w:ind w:left="840" w:hanging="360"/>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0" w15:restartNumberingAfterBreak="0">
    <w:nsid w:val="0B782E80"/>
    <w:multiLevelType w:val="hybridMultilevel"/>
    <w:tmpl w:val="5CC2DAC2"/>
    <w:lvl w:ilvl="0" w:tplc="040C0011">
      <w:start w:val="1"/>
      <w:numFmt w:val="decimal"/>
      <w:lvlText w:val="%1)"/>
      <w:lvlJc w:val="left"/>
      <w:pPr>
        <w:ind w:left="360"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0D4B3699"/>
    <w:multiLevelType w:val="hybridMultilevel"/>
    <w:tmpl w:val="9410B5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E0E6352"/>
    <w:multiLevelType w:val="hybridMultilevel"/>
    <w:tmpl w:val="0EB217D6"/>
    <w:lvl w:ilvl="0" w:tplc="040C0001">
      <w:start w:val="1"/>
      <w:numFmt w:val="bullet"/>
      <w:lvlText w:val=""/>
      <w:lvlJc w:val="left"/>
      <w:pPr>
        <w:ind w:left="720" w:hanging="360"/>
      </w:pPr>
      <w:rPr>
        <w:rFonts w:ascii="Symbol" w:hAnsi="Symbol" w:hint="default"/>
        <w:sz w:val="1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EB615C7"/>
    <w:multiLevelType w:val="hybridMultilevel"/>
    <w:tmpl w:val="5F06FCF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0FA61276"/>
    <w:multiLevelType w:val="multilevel"/>
    <w:tmpl w:val="8AA0A388"/>
    <w:lvl w:ilvl="0">
      <w:start w:val="3"/>
      <w:numFmt w:val="decimal"/>
      <w:lvlText w:val="%1"/>
      <w:lvlJc w:val="left"/>
      <w:pPr>
        <w:ind w:left="600" w:hanging="600"/>
      </w:pPr>
      <w:rPr>
        <w:rFonts w:hint="default"/>
        <w:i/>
      </w:rPr>
    </w:lvl>
    <w:lvl w:ilvl="1">
      <w:start w:val="6"/>
      <w:numFmt w:val="decimal"/>
      <w:lvlText w:val="%1.%2"/>
      <w:lvlJc w:val="left"/>
      <w:pPr>
        <w:ind w:left="720" w:hanging="720"/>
      </w:pPr>
      <w:rPr>
        <w:rFonts w:hint="default"/>
        <w:i/>
      </w:rPr>
    </w:lvl>
    <w:lvl w:ilvl="2">
      <w:start w:val="1"/>
      <w:numFmt w:val="decimal"/>
      <w:lvlText w:val="%1.%2.%3"/>
      <w:lvlJc w:val="left"/>
      <w:pPr>
        <w:ind w:left="720" w:hanging="720"/>
      </w:pPr>
      <w:rPr>
        <w:rFonts w:hint="default"/>
        <w:i w:val="0"/>
        <w:iCs/>
      </w:rPr>
    </w:lvl>
    <w:lvl w:ilvl="3">
      <w:start w:val="1"/>
      <w:numFmt w:val="decimal"/>
      <w:lvlText w:val="%1.%2.%3.%4"/>
      <w:lvlJc w:val="left"/>
      <w:pPr>
        <w:ind w:left="1080" w:hanging="108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800" w:hanging="180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2160" w:hanging="2160"/>
      </w:pPr>
      <w:rPr>
        <w:rFonts w:hint="default"/>
        <w:i/>
      </w:rPr>
    </w:lvl>
  </w:abstractNum>
  <w:abstractNum w:abstractNumId="15" w15:restartNumberingAfterBreak="0">
    <w:nsid w:val="0FC77A54"/>
    <w:multiLevelType w:val="multilevel"/>
    <w:tmpl w:val="143824C8"/>
    <w:name w:val="zzmpArticle||Article|3|3|0|2|2|32||2|2|32||1|2|32||1|0|33||1|0|32||1|0|32||1|0|32||1|0|32||1|0|32||"/>
    <w:lvl w:ilvl="0">
      <w:start w:val="1"/>
      <w:numFmt w:val="decimal"/>
      <w:pStyle w:val="ArticleL1"/>
      <w:suff w:val="space"/>
      <w:lvlText w:val="Art.%1.-"/>
      <w:lvlJc w:val="left"/>
      <w:pPr>
        <w:tabs>
          <w:tab w:val="num" w:pos="1843"/>
        </w:tabs>
        <w:ind w:left="993"/>
      </w:pPr>
      <w:rPr>
        <w:rFonts w:ascii="Tahoma" w:hAnsi="Tahoma" w:cs="Tahoma"/>
        <w:b/>
        <w:bCs/>
        <w:i w:val="0"/>
        <w:iCs w:val="0"/>
        <w:caps w:val="0"/>
        <w:smallCaps w:val="0"/>
        <w:strike w:val="0"/>
        <w:dstrike w:val="0"/>
        <w:color w:val="auto"/>
        <w:sz w:val="18"/>
        <w:szCs w:val="18"/>
        <w:u w:val="none"/>
        <w:effect w:val="none"/>
      </w:rPr>
    </w:lvl>
    <w:lvl w:ilvl="1">
      <w:start w:val="1"/>
      <w:numFmt w:val="decimal"/>
      <w:pStyle w:val="ArticleL2"/>
      <w:suff w:val="space"/>
      <w:lvlText w:val="Art.%1.%2.-"/>
      <w:lvlJc w:val="left"/>
      <w:pPr>
        <w:tabs>
          <w:tab w:val="num" w:pos="850"/>
        </w:tabs>
      </w:pPr>
      <w:rPr>
        <w:rFonts w:ascii="Tahoma" w:hAnsi="Tahoma" w:cs="Tahoma"/>
        <w:b/>
        <w:bCs/>
        <w:i w:val="0"/>
        <w:iCs w:val="0"/>
        <w:caps w:val="0"/>
        <w:strike w:val="0"/>
        <w:dstrike w:val="0"/>
        <w:color w:val="auto"/>
        <w:sz w:val="18"/>
        <w:szCs w:val="18"/>
        <w:u w:val="none"/>
        <w:effect w:val="none"/>
      </w:rPr>
    </w:lvl>
    <w:lvl w:ilvl="2">
      <w:start w:val="1"/>
      <w:numFmt w:val="bullet"/>
      <w:lvlRestart w:val="0"/>
      <w:pStyle w:val="ArticleL3"/>
      <w:lvlText w:val="·"/>
      <w:lvlJc w:val="left"/>
      <w:pPr>
        <w:tabs>
          <w:tab w:val="num" w:pos="283"/>
        </w:tabs>
      </w:pPr>
      <w:rPr>
        <w:rFonts w:ascii="Symbol" w:hAnsi="Symbol" w:cs="Symbol" w:hint="default"/>
        <w:b w:val="0"/>
        <w:bCs w:val="0"/>
        <w:i w:val="0"/>
        <w:iCs w:val="0"/>
        <w:caps w:val="0"/>
        <w:strike w:val="0"/>
        <w:dstrike w:val="0"/>
        <w:color w:val="auto"/>
        <w:sz w:val="20"/>
        <w:szCs w:val="20"/>
        <w:u w:val="none"/>
        <w:effect w:val="none"/>
      </w:rPr>
    </w:lvl>
    <w:lvl w:ilvl="3">
      <w:start w:val="1"/>
      <w:numFmt w:val="decimal"/>
      <w:pStyle w:val="ArticleL4"/>
      <w:lvlText w:val="%1.%2.%4"/>
      <w:lvlJc w:val="left"/>
      <w:pPr>
        <w:tabs>
          <w:tab w:val="num" w:pos="850"/>
        </w:tabs>
        <w:ind w:left="850" w:hanging="850"/>
      </w:pPr>
      <w:rPr>
        <w:rFonts w:ascii="Arial" w:hAnsi="Arial" w:cs="Arial"/>
        <w:b/>
        <w:bCs/>
        <w:i w:val="0"/>
        <w:iCs w:val="0"/>
        <w:caps/>
        <w:smallCaps w:val="0"/>
        <w:strike w:val="0"/>
        <w:dstrike w:val="0"/>
        <w:color w:val="auto"/>
        <w:sz w:val="24"/>
        <w:szCs w:val="24"/>
        <w:u w:val="none"/>
        <w:effect w:val="none"/>
      </w:rPr>
    </w:lvl>
    <w:lvl w:ilvl="4">
      <w:start w:val="1"/>
      <w:numFmt w:val="decimal"/>
      <w:pStyle w:val="ArticleL5"/>
      <w:lvlText w:val="%1.%2.%5"/>
      <w:lvlJc w:val="left"/>
      <w:pPr>
        <w:tabs>
          <w:tab w:val="num" w:pos="850"/>
        </w:tabs>
      </w:pPr>
      <w:rPr>
        <w:rFonts w:ascii="Arial" w:hAnsi="Arial" w:cs="Arial"/>
        <w:b/>
        <w:bCs/>
        <w:i w:val="0"/>
        <w:iCs w:val="0"/>
        <w:caps w:val="0"/>
        <w:strike w:val="0"/>
        <w:dstrike w:val="0"/>
        <w:color w:val="auto"/>
        <w:sz w:val="24"/>
        <w:szCs w:val="24"/>
        <w:u w:val="none"/>
        <w:effect w:val="none"/>
      </w:rPr>
    </w:lvl>
    <w:lvl w:ilvl="5">
      <w:start w:val="1"/>
      <w:numFmt w:val="lowerLetter"/>
      <w:pStyle w:val="ArticleL6"/>
      <w:lvlText w:val="(%6)"/>
      <w:lvlJc w:val="left"/>
      <w:pPr>
        <w:tabs>
          <w:tab w:val="num" w:pos="850"/>
        </w:tabs>
        <w:ind w:left="850" w:hanging="850"/>
      </w:pPr>
      <w:rPr>
        <w:rFonts w:ascii="Arial" w:hAnsi="Arial" w:cs="Arial"/>
        <w:b w:val="0"/>
        <w:bCs w:val="0"/>
        <w:i w:val="0"/>
        <w:iCs w:val="0"/>
        <w:caps w:val="0"/>
        <w:strike w:val="0"/>
        <w:dstrike w:val="0"/>
        <w:color w:val="auto"/>
        <w:sz w:val="22"/>
        <w:szCs w:val="22"/>
        <w:u w:val="none"/>
        <w:effect w:val="none"/>
      </w:rPr>
    </w:lvl>
    <w:lvl w:ilvl="6">
      <w:start w:val="1"/>
      <w:numFmt w:val="lowerRoman"/>
      <w:pStyle w:val="ArticleL7"/>
      <w:lvlText w:val="(%7)"/>
      <w:lvlJc w:val="left"/>
      <w:pPr>
        <w:tabs>
          <w:tab w:val="num" w:pos="1699"/>
        </w:tabs>
        <w:ind w:left="1699" w:hanging="849"/>
      </w:pPr>
      <w:rPr>
        <w:rFonts w:ascii="Arial" w:hAnsi="Arial" w:cs="Arial"/>
        <w:b w:val="0"/>
        <w:bCs w:val="0"/>
        <w:i w:val="0"/>
        <w:iCs w:val="0"/>
        <w:caps w:val="0"/>
        <w:strike w:val="0"/>
        <w:dstrike w:val="0"/>
        <w:color w:val="auto"/>
        <w:sz w:val="22"/>
        <w:szCs w:val="22"/>
        <w:u w:val="none"/>
        <w:effect w:val="none"/>
      </w:rPr>
    </w:lvl>
    <w:lvl w:ilvl="7">
      <w:start w:val="1"/>
      <w:numFmt w:val="decimal"/>
      <w:pStyle w:val="ArticleL8"/>
      <w:lvlText w:val="(%8)"/>
      <w:lvlJc w:val="left"/>
      <w:pPr>
        <w:tabs>
          <w:tab w:val="num" w:pos="2549"/>
        </w:tabs>
        <w:ind w:left="2549" w:hanging="850"/>
      </w:pPr>
      <w:rPr>
        <w:rFonts w:ascii="Arial" w:hAnsi="Arial" w:cs="Arial"/>
        <w:b w:val="0"/>
        <w:bCs w:val="0"/>
        <w:i w:val="0"/>
        <w:iCs w:val="0"/>
        <w:caps w:val="0"/>
        <w:strike w:val="0"/>
        <w:dstrike w:val="0"/>
        <w:color w:val="auto"/>
        <w:sz w:val="20"/>
        <w:szCs w:val="20"/>
        <w:u w:val="none"/>
        <w:effect w:val="none"/>
      </w:rPr>
    </w:lvl>
    <w:lvl w:ilvl="8">
      <w:start w:val="1"/>
      <w:numFmt w:val="bullet"/>
      <w:lvlRestart w:val="0"/>
      <w:pStyle w:val="ArticleL9"/>
      <w:lvlText w:val=""/>
      <w:lvlJc w:val="left"/>
      <w:pPr>
        <w:tabs>
          <w:tab w:val="num" w:pos="2909"/>
        </w:tabs>
        <w:ind w:left="2837" w:hanging="288"/>
      </w:pPr>
      <w:rPr>
        <w:rFonts w:ascii="Symbol" w:hAnsi="Symbol" w:cs="Symbol" w:hint="default"/>
        <w:b w:val="0"/>
        <w:bCs w:val="0"/>
        <w:i w:val="0"/>
        <w:iCs w:val="0"/>
        <w:caps w:val="0"/>
        <w:strike w:val="0"/>
        <w:dstrike w:val="0"/>
        <w:color w:val="auto"/>
        <w:sz w:val="22"/>
        <w:szCs w:val="22"/>
        <w:u w:val="none"/>
        <w:effect w:val="none"/>
      </w:rPr>
    </w:lvl>
  </w:abstractNum>
  <w:abstractNum w:abstractNumId="16" w15:restartNumberingAfterBreak="0">
    <w:nsid w:val="12B603F7"/>
    <w:multiLevelType w:val="multilevel"/>
    <w:tmpl w:val="8622679C"/>
    <w:lvl w:ilvl="0">
      <w:start w:val="2"/>
      <w:numFmt w:val="decimal"/>
      <w:lvlText w:val="%1."/>
      <w:lvlJc w:val="left"/>
      <w:pPr>
        <w:ind w:left="810" w:hanging="810"/>
      </w:pPr>
      <w:rPr>
        <w:rFonts w:hint="default"/>
      </w:rPr>
    </w:lvl>
    <w:lvl w:ilvl="1">
      <w:start w:val="5"/>
      <w:numFmt w:val="decimal"/>
      <w:lvlText w:val="%1.%2."/>
      <w:lvlJc w:val="left"/>
      <w:pPr>
        <w:ind w:left="810" w:hanging="81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16AC7FDB"/>
    <w:multiLevelType w:val="hybridMultilevel"/>
    <w:tmpl w:val="45044106"/>
    <w:lvl w:ilvl="0" w:tplc="CFCE9BC4">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8F36A0C"/>
    <w:multiLevelType w:val="multilevel"/>
    <w:tmpl w:val="49CA396C"/>
    <w:lvl w:ilvl="0">
      <w:start w:val="3"/>
      <w:numFmt w:val="decimal"/>
      <w:lvlText w:val="%1."/>
      <w:lvlJc w:val="left"/>
      <w:pPr>
        <w:ind w:left="978" w:hanging="978"/>
      </w:pPr>
      <w:rPr>
        <w:rFonts w:hint="default"/>
      </w:rPr>
    </w:lvl>
    <w:lvl w:ilvl="1">
      <w:start w:val="16"/>
      <w:numFmt w:val="decimal"/>
      <w:lvlText w:val="%1.%2."/>
      <w:lvlJc w:val="left"/>
      <w:pPr>
        <w:ind w:left="978" w:hanging="978"/>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1A124F85"/>
    <w:multiLevelType w:val="multilevel"/>
    <w:tmpl w:val="E8802878"/>
    <w:lvl w:ilvl="0">
      <w:start w:val="3"/>
      <w:numFmt w:val="decimal"/>
      <w:lvlText w:val="%1"/>
      <w:lvlJc w:val="left"/>
      <w:pPr>
        <w:ind w:left="840" w:hanging="840"/>
      </w:pPr>
      <w:rPr>
        <w:rFonts w:hint="default"/>
      </w:rPr>
    </w:lvl>
    <w:lvl w:ilvl="1">
      <w:start w:val="17"/>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1AB5436D"/>
    <w:multiLevelType w:val="hybridMultilevel"/>
    <w:tmpl w:val="CF0A6FFA"/>
    <w:lvl w:ilvl="0" w:tplc="8E82A3F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AC76A83"/>
    <w:multiLevelType w:val="multilevel"/>
    <w:tmpl w:val="FDA428DA"/>
    <w:lvl w:ilvl="0">
      <w:start w:val="7"/>
      <w:numFmt w:val="decimal"/>
      <w:lvlText w:val="%1."/>
      <w:lvlJc w:val="left"/>
      <w:pPr>
        <w:ind w:left="540" w:hanging="540"/>
      </w:pPr>
      <w:rPr>
        <w:rFonts w:hint="default"/>
      </w:rPr>
    </w:lvl>
    <w:lvl w:ilvl="1">
      <w:start w:val="1"/>
      <w:numFmt w:val="decimal"/>
      <w:lvlText w:val="6.%2."/>
      <w:lvlJc w:val="left"/>
      <w:pPr>
        <w:ind w:left="1004" w:hanging="720"/>
      </w:pPr>
      <w:rPr>
        <w:rFonts w:hint="default"/>
      </w:rPr>
    </w:lvl>
    <w:lvl w:ilvl="2">
      <w:start w:val="1"/>
      <w:numFmt w:val="decimal"/>
      <w:lvlText w:val="6.%2.%3."/>
      <w:lvlJc w:val="left"/>
      <w:pPr>
        <w:ind w:left="1080" w:hanging="1080"/>
      </w:pPr>
      <w:rPr>
        <w:rFonts w:hint="default"/>
        <w:color w:val="98002E"/>
        <w:sz w:val="28"/>
        <w:szCs w:val="28"/>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15:restartNumberingAfterBreak="0">
    <w:nsid w:val="20174C8C"/>
    <w:multiLevelType w:val="multilevel"/>
    <w:tmpl w:val="BB809E9E"/>
    <w:lvl w:ilvl="0">
      <w:start w:val="1"/>
      <w:numFmt w:val="bullet"/>
      <w:lvlText w:val=""/>
      <w:lvlJc w:val="left"/>
      <w:pPr>
        <w:tabs>
          <w:tab w:val="num" w:pos="567"/>
        </w:tabs>
        <w:ind w:left="567" w:hanging="567"/>
      </w:pPr>
      <w:rPr>
        <w:rFonts w:ascii="Symbol" w:hAnsi="Symbol" w:hint="default"/>
      </w:rPr>
    </w:lvl>
    <w:lvl w:ilvl="1">
      <w:start w:val="1"/>
      <w:numFmt w:val="bullet"/>
      <w:pStyle w:val="MSBulletLevel2"/>
      <w:lvlText w:val="♦"/>
      <w:lvlJc w:val="left"/>
      <w:pPr>
        <w:tabs>
          <w:tab w:val="num" w:pos="1134"/>
        </w:tabs>
        <w:ind w:left="1134" w:hanging="567"/>
      </w:pPr>
      <w:rPr>
        <w:rFonts w:ascii="Times New Roman" w:hint="default"/>
      </w:rPr>
    </w:lvl>
    <w:lvl w:ilvl="2">
      <w:start w:val="1"/>
      <w:numFmt w:val="bullet"/>
      <w:pStyle w:val="MSBulletLevel3"/>
      <w:lvlText w:val="-"/>
      <w:lvlJc w:val="left"/>
      <w:pPr>
        <w:tabs>
          <w:tab w:val="num" w:pos="1701"/>
        </w:tabs>
        <w:ind w:left="1701" w:hanging="567"/>
      </w:pPr>
      <w:rPr>
        <w:rFonts w:ascii="Times New Roman"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Wingdings" w:hAnsi="Wingdings" w:hint="default"/>
      </w:rPr>
    </w:lvl>
    <w:lvl w:ilvl="6">
      <w:start w:val="1"/>
      <w:numFmt w:val="bullet"/>
      <w:lvlText w:val=""/>
      <w:lvlJc w:val="left"/>
      <w:pPr>
        <w:tabs>
          <w:tab w:val="num" w:pos="3969"/>
        </w:tabs>
        <w:ind w:left="3969" w:hanging="567"/>
      </w:pPr>
      <w:rPr>
        <w:rFonts w:ascii="Wingdings" w:hAnsi="Wingdings"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23" w15:restartNumberingAfterBreak="0">
    <w:nsid w:val="2155037C"/>
    <w:multiLevelType w:val="hybridMultilevel"/>
    <w:tmpl w:val="18026F64"/>
    <w:lvl w:ilvl="0" w:tplc="D49CEA5A">
      <w:start w:val="100"/>
      <w:numFmt w:val="bullet"/>
      <w:lvlText w:val="-"/>
      <w:lvlJc w:val="left"/>
      <w:pPr>
        <w:ind w:left="720" w:hanging="360"/>
      </w:pPr>
      <w:rPr>
        <w:rFonts w:ascii="Trebuchet MS" w:eastAsia="Times New Roman" w:hAnsi="Trebuchet MS" w:cs="Arial"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16C5273"/>
    <w:multiLevelType w:val="multilevel"/>
    <w:tmpl w:val="865E2440"/>
    <w:lvl w:ilvl="0">
      <w:start w:val="3"/>
      <w:numFmt w:val="decimal"/>
      <w:lvlText w:val="%1."/>
      <w:lvlJc w:val="left"/>
      <w:pPr>
        <w:ind w:left="978" w:hanging="978"/>
      </w:pPr>
      <w:rPr>
        <w:rFonts w:hint="default"/>
      </w:rPr>
    </w:lvl>
    <w:lvl w:ilvl="1">
      <w:start w:val="20"/>
      <w:numFmt w:val="decimal"/>
      <w:lvlText w:val="%1.%2."/>
      <w:lvlJc w:val="left"/>
      <w:pPr>
        <w:ind w:left="978" w:hanging="978"/>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 w15:restartNumberingAfterBreak="0">
    <w:nsid w:val="217C5CAC"/>
    <w:multiLevelType w:val="hybridMultilevel"/>
    <w:tmpl w:val="09DE00D6"/>
    <w:lvl w:ilvl="0" w:tplc="5C908E42">
      <w:start w:val="3"/>
      <w:numFmt w:val="bullet"/>
      <w:lvlText w:val="-"/>
      <w:lvlJc w:val="left"/>
      <w:pPr>
        <w:ind w:left="1076" w:hanging="360"/>
      </w:pPr>
      <w:rPr>
        <w:rFonts w:ascii="Trebuchet MS" w:eastAsia="Times New Roman" w:hAnsi="Trebuchet MS" w:cs="Times New Roman" w:hint="default"/>
      </w:rPr>
    </w:lvl>
    <w:lvl w:ilvl="1" w:tplc="040C0003" w:tentative="1">
      <w:start w:val="1"/>
      <w:numFmt w:val="bullet"/>
      <w:lvlText w:val="o"/>
      <w:lvlJc w:val="left"/>
      <w:pPr>
        <w:ind w:left="1796" w:hanging="360"/>
      </w:pPr>
      <w:rPr>
        <w:rFonts w:ascii="Courier New" w:hAnsi="Courier New" w:cs="Courier New" w:hint="default"/>
      </w:rPr>
    </w:lvl>
    <w:lvl w:ilvl="2" w:tplc="040C0005" w:tentative="1">
      <w:start w:val="1"/>
      <w:numFmt w:val="bullet"/>
      <w:lvlText w:val=""/>
      <w:lvlJc w:val="left"/>
      <w:pPr>
        <w:ind w:left="2516" w:hanging="360"/>
      </w:pPr>
      <w:rPr>
        <w:rFonts w:ascii="Wingdings" w:hAnsi="Wingdings" w:hint="default"/>
      </w:rPr>
    </w:lvl>
    <w:lvl w:ilvl="3" w:tplc="040C0001" w:tentative="1">
      <w:start w:val="1"/>
      <w:numFmt w:val="bullet"/>
      <w:lvlText w:val=""/>
      <w:lvlJc w:val="left"/>
      <w:pPr>
        <w:ind w:left="3236" w:hanging="360"/>
      </w:pPr>
      <w:rPr>
        <w:rFonts w:ascii="Symbol" w:hAnsi="Symbol" w:hint="default"/>
      </w:rPr>
    </w:lvl>
    <w:lvl w:ilvl="4" w:tplc="040C0003" w:tentative="1">
      <w:start w:val="1"/>
      <w:numFmt w:val="bullet"/>
      <w:lvlText w:val="o"/>
      <w:lvlJc w:val="left"/>
      <w:pPr>
        <w:ind w:left="3956" w:hanging="360"/>
      </w:pPr>
      <w:rPr>
        <w:rFonts w:ascii="Courier New" w:hAnsi="Courier New" w:cs="Courier New" w:hint="default"/>
      </w:rPr>
    </w:lvl>
    <w:lvl w:ilvl="5" w:tplc="040C0005" w:tentative="1">
      <w:start w:val="1"/>
      <w:numFmt w:val="bullet"/>
      <w:lvlText w:val=""/>
      <w:lvlJc w:val="left"/>
      <w:pPr>
        <w:ind w:left="4676" w:hanging="360"/>
      </w:pPr>
      <w:rPr>
        <w:rFonts w:ascii="Wingdings" w:hAnsi="Wingdings" w:hint="default"/>
      </w:rPr>
    </w:lvl>
    <w:lvl w:ilvl="6" w:tplc="040C0001" w:tentative="1">
      <w:start w:val="1"/>
      <w:numFmt w:val="bullet"/>
      <w:lvlText w:val=""/>
      <w:lvlJc w:val="left"/>
      <w:pPr>
        <w:ind w:left="5396" w:hanging="360"/>
      </w:pPr>
      <w:rPr>
        <w:rFonts w:ascii="Symbol" w:hAnsi="Symbol" w:hint="default"/>
      </w:rPr>
    </w:lvl>
    <w:lvl w:ilvl="7" w:tplc="040C0003" w:tentative="1">
      <w:start w:val="1"/>
      <w:numFmt w:val="bullet"/>
      <w:lvlText w:val="o"/>
      <w:lvlJc w:val="left"/>
      <w:pPr>
        <w:ind w:left="6116" w:hanging="360"/>
      </w:pPr>
      <w:rPr>
        <w:rFonts w:ascii="Courier New" w:hAnsi="Courier New" w:cs="Courier New" w:hint="default"/>
      </w:rPr>
    </w:lvl>
    <w:lvl w:ilvl="8" w:tplc="040C0005" w:tentative="1">
      <w:start w:val="1"/>
      <w:numFmt w:val="bullet"/>
      <w:lvlText w:val=""/>
      <w:lvlJc w:val="left"/>
      <w:pPr>
        <w:ind w:left="6836" w:hanging="360"/>
      </w:pPr>
      <w:rPr>
        <w:rFonts w:ascii="Wingdings" w:hAnsi="Wingdings" w:hint="default"/>
      </w:rPr>
    </w:lvl>
  </w:abstractNum>
  <w:abstractNum w:abstractNumId="26" w15:restartNumberingAfterBreak="0">
    <w:nsid w:val="247F5309"/>
    <w:multiLevelType w:val="hybridMultilevel"/>
    <w:tmpl w:val="8AD8EE08"/>
    <w:lvl w:ilvl="0" w:tplc="D49CEA5A">
      <w:start w:val="100"/>
      <w:numFmt w:val="bullet"/>
      <w:lvlText w:val="-"/>
      <w:lvlJc w:val="left"/>
      <w:pPr>
        <w:ind w:left="720" w:hanging="360"/>
      </w:pPr>
      <w:rPr>
        <w:rFonts w:ascii="Trebuchet MS" w:eastAsia="Times New Roman" w:hAnsi="Trebuchet MS" w:cs="Arial"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666532F"/>
    <w:multiLevelType w:val="hybridMultilevel"/>
    <w:tmpl w:val="FFE0F554"/>
    <w:lvl w:ilvl="0" w:tplc="216471B2">
      <w:start w:val="1"/>
      <w:numFmt w:val="bullet"/>
      <w:pStyle w:val="bulletsmall"/>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8D81758"/>
    <w:multiLevelType w:val="hybridMultilevel"/>
    <w:tmpl w:val="CF0A6FF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8E231B1"/>
    <w:multiLevelType w:val="multilevel"/>
    <w:tmpl w:val="9E024C8C"/>
    <w:lvl w:ilvl="0">
      <w:start w:val="1"/>
      <w:numFmt w:val="decimal"/>
      <w:lvlText w:val="%1."/>
      <w:lvlJc w:val="left"/>
      <w:pPr>
        <w:ind w:left="720" w:hanging="360"/>
      </w:pPr>
    </w:lvl>
    <w:lvl w:ilvl="1">
      <w:start w:val="2"/>
      <w:numFmt w:val="decimal"/>
      <w:isLgl/>
      <w:lvlText w:val="%1.%2."/>
      <w:lvlJc w:val="left"/>
      <w:pPr>
        <w:ind w:left="1152" w:hanging="792"/>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0" w15:restartNumberingAfterBreak="0">
    <w:nsid w:val="2A0F316E"/>
    <w:multiLevelType w:val="multilevel"/>
    <w:tmpl w:val="EB6885B4"/>
    <w:lvl w:ilvl="0">
      <w:start w:val="4"/>
      <w:numFmt w:val="decimal"/>
      <w:lvlText w:val="%1."/>
      <w:lvlJc w:val="left"/>
      <w:pPr>
        <w:ind w:left="810" w:hanging="810"/>
      </w:pPr>
      <w:rPr>
        <w:rFonts w:hint="default"/>
      </w:rPr>
    </w:lvl>
    <w:lvl w:ilvl="1">
      <w:start w:val="3"/>
      <w:numFmt w:val="decimal"/>
      <w:lvlText w:val="%1.%2."/>
      <w:lvlJc w:val="left"/>
      <w:pPr>
        <w:ind w:left="810" w:hanging="81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1" w15:restartNumberingAfterBreak="0">
    <w:nsid w:val="2AD56573"/>
    <w:multiLevelType w:val="multilevel"/>
    <w:tmpl w:val="87122426"/>
    <w:lvl w:ilvl="0">
      <w:start w:val="3"/>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2BD96328"/>
    <w:multiLevelType w:val="multilevel"/>
    <w:tmpl w:val="049052F2"/>
    <w:lvl w:ilvl="0">
      <w:start w:val="1"/>
      <w:numFmt w:val="decimal"/>
      <w:pStyle w:val="NumHeading"/>
      <w:lvlText w:val="%1."/>
      <w:lvlJc w:val="left"/>
      <w:pPr>
        <w:ind w:left="624" w:hanging="624"/>
      </w:pPr>
      <w:rPr>
        <w:rFonts w:hint="default"/>
        <w:sz w:val="36"/>
        <w:szCs w:val="36"/>
      </w:rPr>
    </w:lvl>
    <w:lvl w:ilvl="1">
      <w:start w:val="1"/>
      <w:numFmt w:val="decimal"/>
      <w:pStyle w:val="NumBodyText"/>
      <w:lvlText w:val="%1.%2."/>
      <w:lvlJc w:val="left"/>
      <w:pPr>
        <w:ind w:left="3318" w:hanging="624"/>
      </w:pPr>
      <w:rPr>
        <w:rFonts w:hint="default"/>
      </w:rPr>
    </w:lvl>
    <w:lvl w:ilvl="2">
      <w:start w:val="1"/>
      <w:numFmt w:val="lowerRoman"/>
      <w:lvlText w:val="%3)"/>
      <w:lvlJc w:val="left"/>
      <w:pPr>
        <w:ind w:left="1080" w:hanging="360"/>
      </w:pPr>
      <w:rPr>
        <w:rFonts w:hint="default"/>
      </w:rPr>
    </w:lvl>
    <w:lvl w:ilvl="3">
      <w:start w:val="1"/>
      <w:numFmt w:val="decimal"/>
      <w:lvlText w:val="%4.2.1"/>
      <w:lvlJc w:val="left"/>
      <w:pPr>
        <w:ind w:left="6881" w:hanging="360"/>
      </w:pPr>
      <w:rPr>
        <w:rFonts w:hint="default"/>
      </w:rPr>
    </w:lvl>
    <w:lvl w:ilvl="4">
      <w:start w:val="1"/>
      <w:numFmt w:val="lowerLetter"/>
      <w:lvlText w:val="(%5)"/>
      <w:lvlJc w:val="left"/>
      <w:pPr>
        <w:ind w:left="360" w:hanging="360"/>
      </w:pPr>
      <w:rPr>
        <w:rFonts w:hint="default"/>
        <w:color w:val="FF2868" w:themeColor="accent3" w:themeTint="99"/>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2C7B3802"/>
    <w:multiLevelType w:val="hybridMultilevel"/>
    <w:tmpl w:val="B24ED6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35" w15:restartNumberingAfterBreak="0">
    <w:nsid w:val="2DBF36DF"/>
    <w:multiLevelType w:val="hybridMultilevel"/>
    <w:tmpl w:val="CF0A6FF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1E60482"/>
    <w:multiLevelType w:val="multilevel"/>
    <w:tmpl w:val="674E9008"/>
    <w:styleLink w:val="Style2"/>
    <w:lvl w:ilvl="0">
      <w:start w:val="3"/>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7" w15:restartNumberingAfterBreak="0">
    <w:nsid w:val="32B46874"/>
    <w:multiLevelType w:val="multilevel"/>
    <w:tmpl w:val="81A2B286"/>
    <w:lvl w:ilvl="0">
      <w:start w:val="1"/>
      <w:numFmt w:val="bullet"/>
      <w:pStyle w:val="MSBulletLevel1"/>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Times New Roman" w:hint="default"/>
      </w:rPr>
    </w:lvl>
    <w:lvl w:ilvl="2">
      <w:start w:val="1"/>
      <w:numFmt w:val="bullet"/>
      <w:lvlText w:val="-"/>
      <w:lvlJc w:val="left"/>
      <w:pPr>
        <w:tabs>
          <w:tab w:val="num" w:pos="1701"/>
        </w:tabs>
        <w:ind w:left="1701" w:hanging="567"/>
      </w:pPr>
      <w:rPr>
        <w:rFonts w:ascii="Times New Roman"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Wingdings" w:hAnsi="Wingdings" w:hint="default"/>
      </w:rPr>
    </w:lvl>
    <w:lvl w:ilvl="6">
      <w:start w:val="1"/>
      <w:numFmt w:val="bullet"/>
      <w:lvlText w:val=""/>
      <w:lvlJc w:val="left"/>
      <w:pPr>
        <w:tabs>
          <w:tab w:val="num" w:pos="3969"/>
        </w:tabs>
        <w:ind w:left="3969" w:hanging="567"/>
      </w:pPr>
      <w:rPr>
        <w:rFonts w:ascii="Wingdings" w:hAnsi="Wingdings"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38" w15:restartNumberingAfterBreak="0">
    <w:nsid w:val="33295BB8"/>
    <w:multiLevelType w:val="hybridMultilevel"/>
    <w:tmpl w:val="C792C390"/>
    <w:lvl w:ilvl="0" w:tplc="0809000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4816D9A"/>
    <w:multiLevelType w:val="hybridMultilevel"/>
    <w:tmpl w:val="DA0478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65C2788"/>
    <w:multiLevelType w:val="multilevel"/>
    <w:tmpl w:val="040C001F"/>
    <w:styleLink w:val="IFIAlgeriastyle"/>
    <w:lvl w:ilvl="0">
      <w:start w:val="1"/>
      <w:numFmt w:val="decimal"/>
      <w:lvlText w:val="%1."/>
      <w:lvlJc w:val="left"/>
      <w:pPr>
        <w:ind w:left="360" w:hanging="360"/>
      </w:pPr>
      <w:rPr>
        <w:rFonts w:ascii="Arial" w:hAnsi="Arial"/>
        <w:color w:val="auto"/>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366F04C7"/>
    <w:multiLevelType w:val="multilevel"/>
    <w:tmpl w:val="CFFC9550"/>
    <w:lvl w:ilvl="0">
      <w:start w:val="3"/>
      <w:numFmt w:val="decimal"/>
      <w:lvlText w:val="%1"/>
      <w:lvlJc w:val="left"/>
      <w:pPr>
        <w:ind w:left="740" w:hanging="740"/>
      </w:pPr>
      <w:rPr>
        <w:rFonts w:hint="default"/>
      </w:rPr>
    </w:lvl>
    <w:lvl w:ilvl="1">
      <w:start w:val="12"/>
      <w:numFmt w:val="decimal"/>
      <w:lvlText w:val="%1.%2"/>
      <w:lvlJc w:val="left"/>
      <w:pPr>
        <w:ind w:left="740" w:hanging="740"/>
      </w:pPr>
      <w:rPr>
        <w:rFonts w:hint="default"/>
      </w:rPr>
    </w:lvl>
    <w:lvl w:ilvl="2">
      <w:start w:val="1"/>
      <w:numFmt w:val="decimal"/>
      <w:lvlText w:val="%1.%2.%3"/>
      <w:lvlJc w:val="left"/>
      <w:pPr>
        <w:ind w:left="740" w:hanging="74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386376FB"/>
    <w:multiLevelType w:val="hybridMultilevel"/>
    <w:tmpl w:val="A9B6382E"/>
    <w:lvl w:ilvl="0" w:tplc="C7280332">
      <w:start w:val="3"/>
      <w:numFmt w:val="bullet"/>
      <w:lvlText w:val="•"/>
      <w:lvlJc w:val="left"/>
      <w:pPr>
        <w:ind w:left="720" w:hanging="360"/>
      </w:pPr>
      <w:rPr>
        <w:rFonts w:ascii="TrebuchetMS" w:eastAsiaTheme="minorHAnsi" w:hAnsi="Trebuchet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44" w15:restartNumberingAfterBreak="0">
    <w:nsid w:val="3C2921F7"/>
    <w:multiLevelType w:val="hybridMultilevel"/>
    <w:tmpl w:val="85D01BDC"/>
    <w:lvl w:ilvl="0" w:tplc="D49CEA5A">
      <w:start w:val="100"/>
      <w:numFmt w:val="bullet"/>
      <w:lvlText w:val="-"/>
      <w:lvlJc w:val="left"/>
      <w:pPr>
        <w:ind w:left="720" w:hanging="360"/>
      </w:pPr>
      <w:rPr>
        <w:rFonts w:ascii="Trebuchet MS" w:eastAsia="Times New Roman" w:hAnsi="Trebuchet MS" w:cs="Arial" w:hint="default"/>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3C8E577B"/>
    <w:multiLevelType w:val="hybridMultilevel"/>
    <w:tmpl w:val="987EC8F0"/>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3D6C1F54"/>
    <w:multiLevelType w:val="hybridMultilevel"/>
    <w:tmpl w:val="449C9440"/>
    <w:lvl w:ilvl="0" w:tplc="ACFE39E0">
      <w:start w:val="1"/>
      <w:numFmt w:val="bullet"/>
      <w:pStyle w:val="BodyTextNum"/>
      <w:lvlText w:val=""/>
      <w:lvlJc w:val="left"/>
      <w:pPr>
        <w:ind w:left="720" w:hanging="360"/>
      </w:pPr>
      <w:rPr>
        <w:rFonts w:ascii="Wingdings" w:hAnsi="Wingdings" w:hint="default"/>
      </w:rPr>
    </w:lvl>
    <w:lvl w:ilvl="1" w:tplc="D188C7A4" w:tentative="1">
      <w:start w:val="1"/>
      <w:numFmt w:val="bullet"/>
      <w:lvlText w:val="o"/>
      <w:lvlJc w:val="left"/>
      <w:pPr>
        <w:ind w:left="1440" w:hanging="360"/>
      </w:pPr>
      <w:rPr>
        <w:rFonts w:ascii="Courier New" w:hAnsi="Courier New" w:cs="Courier New" w:hint="default"/>
      </w:rPr>
    </w:lvl>
    <w:lvl w:ilvl="2" w:tplc="5354181E" w:tentative="1">
      <w:start w:val="1"/>
      <w:numFmt w:val="bullet"/>
      <w:lvlText w:val=""/>
      <w:lvlJc w:val="left"/>
      <w:pPr>
        <w:ind w:left="2160" w:hanging="360"/>
      </w:pPr>
      <w:rPr>
        <w:rFonts w:ascii="Wingdings" w:hAnsi="Wingdings" w:hint="default"/>
      </w:rPr>
    </w:lvl>
    <w:lvl w:ilvl="3" w:tplc="8C7A84F8" w:tentative="1">
      <w:start w:val="1"/>
      <w:numFmt w:val="bullet"/>
      <w:lvlText w:val=""/>
      <w:lvlJc w:val="left"/>
      <w:pPr>
        <w:ind w:left="2880" w:hanging="360"/>
      </w:pPr>
      <w:rPr>
        <w:rFonts w:ascii="Symbol" w:hAnsi="Symbol" w:hint="default"/>
      </w:rPr>
    </w:lvl>
    <w:lvl w:ilvl="4" w:tplc="8D64A93C" w:tentative="1">
      <w:start w:val="1"/>
      <w:numFmt w:val="bullet"/>
      <w:lvlText w:val="o"/>
      <w:lvlJc w:val="left"/>
      <w:pPr>
        <w:ind w:left="3600" w:hanging="360"/>
      </w:pPr>
      <w:rPr>
        <w:rFonts w:ascii="Courier New" w:hAnsi="Courier New" w:cs="Courier New" w:hint="default"/>
      </w:rPr>
    </w:lvl>
    <w:lvl w:ilvl="5" w:tplc="EC308E30" w:tentative="1">
      <w:start w:val="1"/>
      <w:numFmt w:val="bullet"/>
      <w:lvlText w:val=""/>
      <w:lvlJc w:val="left"/>
      <w:pPr>
        <w:ind w:left="4320" w:hanging="360"/>
      </w:pPr>
      <w:rPr>
        <w:rFonts w:ascii="Wingdings" w:hAnsi="Wingdings" w:hint="default"/>
      </w:rPr>
    </w:lvl>
    <w:lvl w:ilvl="6" w:tplc="4A74CC62" w:tentative="1">
      <w:start w:val="1"/>
      <w:numFmt w:val="bullet"/>
      <w:lvlText w:val=""/>
      <w:lvlJc w:val="left"/>
      <w:pPr>
        <w:ind w:left="5040" w:hanging="360"/>
      </w:pPr>
      <w:rPr>
        <w:rFonts w:ascii="Symbol" w:hAnsi="Symbol" w:hint="default"/>
      </w:rPr>
    </w:lvl>
    <w:lvl w:ilvl="7" w:tplc="7BC4746C" w:tentative="1">
      <w:start w:val="1"/>
      <w:numFmt w:val="bullet"/>
      <w:lvlText w:val="o"/>
      <w:lvlJc w:val="left"/>
      <w:pPr>
        <w:ind w:left="5760" w:hanging="360"/>
      </w:pPr>
      <w:rPr>
        <w:rFonts w:ascii="Courier New" w:hAnsi="Courier New" w:cs="Courier New" w:hint="default"/>
      </w:rPr>
    </w:lvl>
    <w:lvl w:ilvl="8" w:tplc="B5CCC912" w:tentative="1">
      <w:start w:val="1"/>
      <w:numFmt w:val="bullet"/>
      <w:lvlText w:val=""/>
      <w:lvlJc w:val="left"/>
      <w:pPr>
        <w:ind w:left="6480" w:hanging="360"/>
      </w:pPr>
      <w:rPr>
        <w:rFonts w:ascii="Wingdings" w:hAnsi="Wingdings" w:hint="default"/>
      </w:rPr>
    </w:lvl>
  </w:abstractNum>
  <w:abstractNum w:abstractNumId="47" w15:restartNumberingAfterBreak="0">
    <w:nsid w:val="3F4462AD"/>
    <w:multiLevelType w:val="hybridMultilevel"/>
    <w:tmpl w:val="8C3C43F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8" w15:restartNumberingAfterBreak="0">
    <w:nsid w:val="3F9737B5"/>
    <w:multiLevelType w:val="hybridMultilevel"/>
    <w:tmpl w:val="A4B65BB4"/>
    <w:lvl w:ilvl="0" w:tplc="D49CEA5A">
      <w:start w:val="100"/>
      <w:numFmt w:val="bullet"/>
      <w:lvlText w:val="-"/>
      <w:lvlJc w:val="left"/>
      <w:pPr>
        <w:ind w:left="720" w:hanging="360"/>
      </w:pPr>
      <w:rPr>
        <w:rFonts w:ascii="Trebuchet MS" w:eastAsia="Times New Roman" w:hAnsi="Trebuchet MS" w:cs="Arial"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4507586B"/>
    <w:multiLevelType w:val="hybridMultilevel"/>
    <w:tmpl w:val="A172FC8E"/>
    <w:lvl w:ilvl="0" w:tplc="C7280332">
      <w:start w:val="3"/>
      <w:numFmt w:val="bullet"/>
      <w:lvlText w:val="•"/>
      <w:lvlJc w:val="left"/>
      <w:pPr>
        <w:ind w:left="720" w:hanging="360"/>
      </w:pPr>
      <w:rPr>
        <w:rFonts w:ascii="TrebuchetMS" w:eastAsiaTheme="minorHAnsi" w:hAnsi="Trebuchet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458F4227"/>
    <w:multiLevelType w:val="hybridMultilevel"/>
    <w:tmpl w:val="91A26FEE"/>
    <w:lvl w:ilvl="0" w:tplc="040C0001">
      <w:start w:val="1"/>
      <w:numFmt w:val="bullet"/>
      <w:lvlText w:val=""/>
      <w:lvlJc w:val="left"/>
      <w:pPr>
        <w:ind w:left="799" w:hanging="360"/>
      </w:pPr>
      <w:rPr>
        <w:rFonts w:ascii="Symbol" w:hAnsi="Symbol" w:hint="default"/>
      </w:rPr>
    </w:lvl>
    <w:lvl w:ilvl="1" w:tplc="FFFFFFFF" w:tentative="1">
      <w:start w:val="1"/>
      <w:numFmt w:val="bullet"/>
      <w:lvlText w:val="o"/>
      <w:lvlJc w:val="left"/>
      <w:pPr>
        <w:ind w:left="1453" w:hanging="360"/>
      </w:pPr>
      <w:rPr>
        <w:rFonts w:ascii="Courier New" w:hAnsi="Courier New" w:cs="Courier New" w:hint="default"/>
      </w:rPr>
    </w:lvl>
    <w:lvl w:ilvl="2" w:tplc="FFFFFFFF" w:tentative="1">
      <w:start w:val="1"/>
      <w:numFmt w:val="bullet"/>
      <w:lvlText w:val=""/>
      <w:lvlJc w:val="left"/>
      <w:pPr>
        <w:ind w:left="2173" w:hanging="360"/>
      </w:pPr>
      <w:rPr>
        <w:rFonts w:ascii="Wingdings" w:hAnsi="Wingdings" w:hint="default"/>
      </w:rPr>
    </w:lvl>
    <w:lvl w:ilvl="3" w:tplc="FFFFFFFF" w:tentative="1">
      <w:start w:val="1"/>
      <w:numFmt w:val="bullet"/>
      <w:lvlText w:val=""/>
      <w:lvlJc w:val="left"/>
      <w:pPr>
        <w:ind w:left="2893" w:hanging="360"/>
      </w:pPr>
      <w:rPr>
        <w:rFonts w:ascii="Symbol" w:hAnsi="Symbol" w:hint="default"/>
      </w:rPr>
    </w:lvl>
    <w:lvl w:ilvl="4" w:tplc="FFFFFFFF" w:tentative="1">
      <w:start w:val="1"/>
      <w:numFmt w:val="bullet"/>
      <w:lvlText w:val="o"/>
      <w:lvlJc w:val="left"/>
      <w:pPr>
        <w:ind w:left="3613" w:hanging="360"/>
      </w:pPr>
      <w:rPr>
        <w:rFonts w:ascii="Courier New" w:hAnsi="Courier New" w:cs="Courier New" w:hint="default"/>
      </w:rPr>
    </w:lvl>
    <w:lvl w:ilvl="5" w:tplc="FFFFFFFF" w:tentative="1">
      <w:start w:val="1"/>
      <w:numFmt w:val="bullet"/>
      <w:lvlText w:val=""/>
      <w:lvlJc w:val="left"/>
      <w:pPr>
        <w:ind w:left="4333" w:hanging="360"/>
      </w:pPr>
      <w:rPr>
        <w:rFonts w:ascii="Wingdings" w:hAnsi="Wingdings" w:hint="default"/>
      </w:rPr>
    </w:lvl>
    <w:lvl w:ilvl="6" w:tplc="FFFFFFFF" w:tentative="1">
      <w:start w:val="1"/>
      <w:numFmt w:val="bullet"/>
      <w:lvlText w:val=""/>
      <w:lvlJc w:val="left"/>
      <w:pPr>
        <w:ind w:left="5053" w:hanging="360"/>
      </w:pPr>
      <w:rPr>
        <w:rFonts w:ascii="Symbol" w:hAnsi="Symbol" w:hint="default"/>
      </w:rPr>
    </w:lvl>
    <w:lvl w:ilvl="7" w:tplc="FFFFFFFF" w:tentative="1">
      <w:start w:val="1"/>
      <w:numFmt w:val="bullet"/>
      <w:lvlText w:val="o"/>
      <w:lvlJc w:val="left"/>
      <w:pPr>
        <w:ind w:left="5773" w:hanging="360"/>
      </w:pPr>
      <w:rPr>
        <w:rFonts w:ascii="Courier New" w:hAnsi="Courier New" w:cs="Courier New" w:hint="default"/>
      </w:rPr>
    </w:lvl>
    <w:lvl w:ilvl="8" w:tplc="FFFFFFFF" w:tentative="1">
      <w:start w:val="1"/>
      <w:numFmt w:val="bullet"/>
      <w:lvlText w:val=""/>
      <w:lvlJc w:val="left"/>
      <w:pPr>
        <w:ind w:left="6493" w:hanging="360"/>
      </w:pPr>
      <w:rPr>
        <w:rFonts w:ascii="Wingdings" w:hAnsi="Wingdings" w:hint="default"/>
      </w:rPr>
    </w:lvl>
  </w:abstractNum>
  <w:abstractNum w:abstractNumId="51" w15:restartNumberingAfterBreak="0">
    <w:nsid w:val="45B85587"/>
    <w:multiLevelType w:val="hybridMultilevel"/>
    <w:tmpl w:val="874E25E0"/>
    <w:lvl w:ilvl="0" w:tplc="52447A4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45BE4408"/>
    <w:multiLevelType w:val="multilevel"/>
    <w:tmpl w:val="5FE41D24"/>
    <w:lvl w:ilvl="0">
      <w:start w:val="2"/>
      <w:numFmt w:val="decimal"/>
      <w:lvlText w:val="%1."/>
      <w:lvlJc w:val="left"/>
      <w:pPr>
        <w:ind w:left="810" w:hanging="810"/>
      </w:pPr>
      <w:rPr>
        <w:rFonts w:hint="default"/>
      </w:rPr>
    </w:lvl>
    <w:lvl w:ilvl="1">
      <w:start w:val="4"/>
      <w:numFmt w:val="decimal"/>
      <w:lvlText w:val="%1.%2."/>
      <w:lvlJc w:val="left"/>
      <w:pPr>
        <w:ind w:left="810" w:hanging="81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3" w15:restartNumberingAfterBreak="0">
    <w:nsid w:val="471E1601"/>
    <w:multiLevelType w:val="hybridMultilevel"/>
    <w:tmpl w:val="10A8834C"/>
    <w:lvl w:ilvl="0" w:tplc="9AFEA658">
      <w:numFmt w:val="bullet"/>
      <w:lvlText w:val="-"/>
      <w:lvlJc w:val="left"/>
      <w:pPr>
        <w:ind w:left="720" w:hanging="360"/>
      </w:pPr>
      <w:rPr>
        <w:rFonts w:ascii="Trebuchet MS" w:eastAsiaTheme="minorHAnsi" w:hAnsi="Trebuchet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486B7776"/>
    <w:multiLevelType w:val="multilevel"/>
    <w:tmpl w:val="972E24F2"/>
    <w:lvl w:ilvl="0">
      <w:start w:val="3"/>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4955751A"/>
    <w:multiLevelType w:val="multilevel"/>
    <w:tmpl w:val="849AAC94"/>
    <w:lvl w:ilvl="0">
      <w:start w:val="4"/>
      <w:numFmt w:val="decimal"/>
      <w:lvlText w:val="%1."/>
      <w:lvlJc w:val="left"/>
      <w:pPr>
        <w:ind w:left="810" w:hanging="810"/>
      </w:pPr>
      <w:rPr>
        <w:rFonts w:hint="default"/>
      </w:rPr>
    </w:lvl>
    <w:lvl w:ilvl="1">
      <w:start w:val="1"/>
      <w:numFmt w:val="decimal"/>
      <w:lvlText w:val="%1.%2."/>
      <w:lvlJc w:val="left"/>
      <w:pPr>
        <w:ind w:left="810" w:hanging="81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6" w15:restartNumberingAfterBreak="0">
    <w:nsid w:val="4A0744BE"/>
    <w:multiLevelType w:val="multilevel"/>
    <w:tmpl w:val="04B6182C"/>
    <w:lvl w:ilvl="0">
      <w:start w:val="1"/>
      <w:numFmt w:val="bullet"/>
      <w:pStyle w:val="Bullet1"/>
      <w:lvlText w:val=""/>
      <w:lvlJc w:val="left"/>
      <w:pPr>
        <w:tabs>
          <w:tab w:val="num" w:pos="340"/>
        </w:tabs>
        <w:ind w:left="340" w:hanging="340"/>
      </w:pPr>
      <w:rPr>
        <w:rFonts w:ascii="Symbol" w:hAnsi="Symbol" w:hint="default"/>
      </w:rPr>
    </w:lvl>
    <w:lvl w:ilvl="1">
      <w:start w:val="1"/>
      <w:numFmt w:val="bullet"/>
      <w:pStyle w:val="Bullet2"/>
      <w:lvlText w:val="–"/>
      <w:lvlJc w:val="left"/>
      <w:pPr>
        <w:tabs>
          <w:tab w:val="num" w:pos="680"/>
        </w:tabs>
        <w:ind w:left="680" w:hanging="340"/>
      </w:pPr>
      <w:rPr>
        <w:rFonts w:ascii="(none)" w:hAnsi="(none)" w:hint="default"/>
      </w:rPr>
    </w:lvl>
    <w:lvl w:ilvl="2">
      <w:start w:val="1"/>
      <w:numFmt w:val="bullet"/>
      <w:pStyle w:val="Bullet3"/>
      <w:lvlText w:val="o"/>
      <w:lvlJc w:val="left"/>
      <w:pPr>
        <w:tabs>
          <w:tab w:val="num" w:pos="1021"/>
        </w:tabs>
        <w:ind w:left="1021" w:hanging="341"/>
      </w:pPr>
      <w:rPr>
        <w:rFonts w:ascii="Courier New" w:hAnsi="Courier New" w:cs="Courier New" w:hint="default"/>
      </w:rPr>
    </w:lvl>
    <w:lvl w:ilvl="3">
      <w:start w:val="1"/>
      <w:numFmt w:val="bullet"/>
      <w:lvlText w:val=""/>
      <w:lvlJc w:val="left"/>
      <w:pPr>
        <w:tabs>
          <w:tab w:val="num" w:pos="0"/>
        </w:tabs>
        <w:ind w:left="1588" w:hanging="397"/>
      </w:pPr>
      <w:rPr>
        <w:rFonts w:ascii="Symbol" w:hAnsi="Symbol" w:cs="Times New Roman" w:hint="default"/>
      </w:rPr>
    </w:lvl>
    <w:lvl w:ilvl="4">
      <w:start w:val="1"/>
      <w:numFmt w:val="bullet"/>
      <w:lvlText w:val="o"/>
      <w:lvlJc w:val="left"/>
      <w:pPr>
        <w:tabs>
          <w:tab w:val="num" w:pos="0"/>
        </w:tabs>
        <w:ind w:left="1985" w:hanging="397"/>
      </w:pPr>
      <w:rPr>
        <w:rFonts w:ascii="Courier New" w:hAnsi="Courier New" w:cs="Courier New" w:hint="default"/>
      </w:rPr>
    </w:lvl>
    <w:lvl w:ilvl="5">
      <w:start w:val="1"/>
      <w:numFmt w:val="bullet"/>
      <w:lvlText w:val=""/>
      <w:lvlJc w:val="left"/>
      <w:pPr>
        <w:tabs>
          <w:tab w:val="num" w:pos="0"/>
        </w:tabs>
        <w:ind w:left="2382" w:hanging="397"/>
      </w:pPr>
      <w:rPr>
        <w:rFonts w:ascii="Wingdings" w:hAnsi="Wingdings" w:hint="default"/>
      </w:rPr>
    </w:lvl>
    <w:lvl w:ilvl="6">
      <w:start w:val="1"/>
      <w:numFmt w:val="bullet"/>
      <w:lvlText w:val=""/>
      <w:lvlJc w:val="left"/>
      <w:pPr>
        <w:tabs>
          <w:tab w:val="num" w:pos="0"/>
        </w:tabs>
        <w:ind w:left="2779" w:hanging="397"/>
      </w:pPr>
      <w:rPr>
        <w:rFonts w:ascii="Symbol" w:hAnsi="Symbol" w:hint="default"/>
      </w:rPr>
    </w:lvl>
    <w:lvl w:ilvl="7">
      <w:start w:val="1"/>
      <w:numFmt w:val="bullet"/>
      <w:lvlText w:val="o"/>
      <w:lvlJc w:val="left"/>
      <w:pPr>
        <w:tabs>
          <w:tab w:val="num" w:pos="0"/>
        </w:tabs>
        <w:ind w:left="3176" w:hanging="397"/>
      </w:pPr>
      <w:rPr>
        <w:rFonts w:ascii="Courier New" w:hAnsi="Courier New" w:cs="Courier New" w:hint="default"/>
      </w:rPr>
    </w:lvl>
    <w:lvl w:ilvl="8">
      <w:start w:val="1"/>
      <w:numFmt w:val="bullet"/>
      <w:lvlText w:val=""/>
      <w:lvlJc w:val="left"/>
      <w:pPr>
        <w:tabs>
          <w:tab w:val="num" w:pos="0"/>
        </w:tabs>
        <w:ind w:left="3573" w:hanging="397"/>
      </w:pPr>
      <w:rPr>
        <w:rFonts w:ascii="Wingdings" w:hAnsi="Wingdings" w:hint="default"/>
      </w:rPr>
    </w:lvl>
  </w:abstractNum>
  <w:abstractNum w:abstractNumId="57" w15:restartNumberingAfterBreak="0">
    <w:nsid w:val="4A881AE7"/>
    <w:multiLevelType w:val="multilevel"/>
    <w:tmpl w:val="739808EA"/>
    <w:lvl w:ilvl="0">
      <w:start w:val="3"/>
      <w:numFmt w:val="decimal"/>
      <w:lvlText w:val="%1"/>
      <w:lvlJc w:val="left"/>
      <w:pPr>
        <w:ind w:left="840" w:hanging="840"/>
      </w:pPr>
      <w:rPr>
        <w:rFonts w:hint="default"/>
      </w:rPr>
    </w:lvl>
    <w:lvl w:ilvl="1">
      <w:start w:val="14"/>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8" w15:restartNumberingAfterBreak="0">
    <w:nsid w:val="4AEC12EF"/>
    <w:multiLevelType w:val="multilevel"/>
    <w:tmpl w:val="3AB6B4F2"/>
    <w:lvl w:ilvl="0">
      <w:start w:val="3"/>
      <w:numFmt w:val="decimal"/>
      <w:lvlText w:val="%1"/>
      <w:lvlJc w:val="left"/>
      <w:pPr>
        <w:ind w:left="840" w:hanging="840"/>
      </w:pPr>
      <w:rPr>
        <w:rFonts w:hint="default"/>
      </w:rPr>
    </w:lvl>
    <w:lvl w:ilvl="1">
      <w:start w:val="19"/>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9" w15:restartNumberingAfterBreak="0">
    <w:nsid w:val="4B38766B"/>
    <w:multiLevelType w:val="hybridMultilevel"/>
    <w:tmpl w:val="5380E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B7641D5"/>
    <w:multiLevelType w:val="multilevel"/>
    <w:tmpl w:val="A0046120"/>
    <w:lvl w:ilvl="0">
      <w:start w:val="3"/>
      <w:numFmt w:val="decimal"/>
      <w:lvlText w:val="%1."/>
      <w:lvlJc w:val="left"/>
      <w:pPr>
        <w:ind w:left="978" w:hanging="978"/>
      </w:pPr>
      <w:rPr>
        <w:rFonts w:hint="default"/>
      </w:rPr>
    </w:lvl>
    <w:lvl w:ilvl="1">
      <w:start w:val="19"/>
      <w:numFmt w:val="decimal"/>
      <w:lvlText w:val="%1.%2."/>
      <w:lvlJc w:val="left"/>
      <w:pPr>
        <w:ind w:left="978" w:hanging="978"/>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1" w15:restartNumberingAfterBreak="0">
    <w:nsid w:val="4C593E99"/>
    <w:multiLevelType w:val="multilevel"/>
    <w:tmpl w:val="686C5BEA"/>
    <w:lvl w:ilvl="0">
      <w:start w:val="3"/>
      <w:numFmt w:val="decimal"/>
      <w:lvlText w:val="%1"/>
      <w:lvlJc w:val="left"/>
      <w:pPr>
        <w:ind w:left="840" w:hanging="840"/>
      </w:pPr>
      <w:rPr>
        <w:rFonts w:hint="default"/>
      </w:rPr>
    </w:lvl>
    <w:lvl w:ilvl="1">
      <w:start w:val="22"/>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2" w15:restartNumberingAfterBreak="0">
    <w:nsid w:val="4C9C4993"/>
    <w:multiLevelType w:val="hybridMultilevel"/>
    <w:tmpl w:val="B55E79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D503E55"/>
    <w:multiLevelType w:val="hybridMultilevel"/>
    <w:tmpl w:val="E57C69D2"/>
    <w:lvl w:ilvl="0" w:tplc="D49CEA5A">
      <w:start w:val="100"/>
      <w:numFmt w:val="bullet"/>
      <w:lvlText w:val="-"/>
      <w:lvlJc w:val="left"/>
      <w:pPr>
        <w:ind w:left="720" w:hanging="360"/>
      </w:pPr>
      <w:rPr>
        <w:rFonts w:ascii="Trebuchet MS" w:eastAsia="Times New Roman" w:hAnsi="Trebuchet MS" w:cs="Arial"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4D697474"/>
    <w:multiLevelType w:val="multilevel"/>
    <w:tmpl w:val="0C346F70"/>
    <w:lvl w:ilvl="0">
      <w:start w:val="6"/>
      <w:numFmt w:val="decimal"/>
      <w:lvlText w:val="%1."/>
      <w:lvlJc w:val="left"/>
      <w:pPr>
        <w:ind w:left="810" w:hanging="810"/>
      </w:pPr>
      <w:rPr>
        <w:rFonts w:hint="default"/>
      </w:rPr>
    </w:lvl>
    <w:lvl w:ilvl="1">
      <w:start w:val="2"/>
      <w:numFmt w:val="decimal"/>
      <w:lvlText w:val="%1.%2."/>
      <w:lvlJc w:val="left"/>
      <w:pPr>
        <w:ind w:left="810" w:hanging="810"/>
      </w:pPr>
      <w:rPr>
        <w:rFonts w:hint="default"/>
      </w:rPr>
    </w:lvl>
    <w:lvl w:ilvl="2">
      <w:start w:val="2"/>
      <w:numFmt w:val="decimal"/>
      <w:lvlText w:val="5.%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5" w15:restartNumberingAfterBreak="0">
    <w:nsid w:val="4DF73018"/>
    <w:multiLevelType w:val="multilevel"/>
    <w:tmpl w:val="8BFCB084"/>
    <w:lvl w:ilvl="0">
      <w:start w:val="3"/>
      <w:numFmt w:val="decimal"/>
      <w:lvlText w:val="%1"/>
      <w:lvlJc w:val="left"/>
      <w:pPr>
        <w:ind w:left="864" w:hanging="864"/>
      </w:pPr>
      <w:rPr>
        <w:rFonts w:hint="default"/>
      </w:rPr>
    </w:lvl>
    <w:lvl w:ilvl="1">
      <w:start w:val="14"/>
      <w:numFmt w:val="decimal"/>
      <w:lvlText w:val="%1.%2"/>
      <w:lvlJc w:val="left"/>
      <w:pPr>
        <w:ind w:left="864" w:hanging="864"/>
      </w:pPr>
      <w:rPr>
        <w:rFonts w:hint="default"/>
      </w:rPr>
    </w:lvl>
    <w:lvl w:ilvl="2">
      <w:start w:val="2"/>
      <w:numFmt w:val="decimal"/>
      <w:lvlText w:val="%1.%2.%3"/>
      <w:lvlJc w:val="left"/>
      <w:pPr>
        <w:ind w:left="864" w:hanging="86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6" w15:restartNumberingAfterBreak="0">
    <w:nsid w:val="4F14792F"/>
    <w:multiLevelType w:val="hybridMultilevel"/>
    <w:tmpl w:val="ACDAC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F5D792E"/>
    <w:multiLevelType w:val="hybridMultilevel"/>
    <w:tmpl w:val="6D5261EE"/>
    <w:lvl w:ilvl="0" w:tplc="C7280332">
      <w:start w:val="3"/>
      <w:numFmt w:val="bullet"/>
      <w:lvlText w:val="•"/>
      <w:lvlJc w:val="left"/>
      <w:pPr>
        <w:ind w:left="720" w:hanging="360"/>
      </w:pPr>
      <w:rPr>
        <w:rFonts w:ascii="TrebuchetMS" w:eastAsiaTheme="minorHAnsi" w:hAnsi="Trebuchet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4F842F95"/>
    <w:multiLevelType w:val="multilevel"/>
    <w:tmpl w:val="4E4C16A0"/>
    <w:lvl w:ilvl="0">
      <w:start w:val="3"/>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9" w15:restartNumberingAfterBreak="0">
    <w:nsid w:val="4FB50763"/>
    <w:multiLevelType w:val="multilevel"/>
    <w:tmpl w:val="1458DE6E"/>
    <w:lvl w:ilvl="0">
      <w:start w:val="3"/>
      <w:numFmt w:val="decimal"/>
      <w:lvlText w:val="%1"/>
      <w:lvlJc w:val="left"/>
      <w:pPr>
        <w:ind w:left="840" w:hanging="840"/>
      </w:pPr>
      <w:rPr>
        <w:rFonts w:hint="default"/>
      </w:rPr>
    </w:lvl>
    <w:lvl w:ilvl="1">
      <w:start w:val="20"/>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0" w15:restartNumberingAfterBreak="0">
    <w:nsid w:val="50257078"/>
    <w:multiLevelType w:val="multilevel"/>
    <w:tmpl w:val="D458ADB6"/>
    <w:lvl w:ilvl="0">
      <w:start w:val="3"/>
      <w:numFmt w:val="decimal"/>
      <w:lvlText w:val="%1"/>
      <w:lvlJc w:val="left"/>
      <w:pPr>
        <w:ind w:left="620" w:hanging="620"/>
      </w:pPr>
      <w:rPr>
        <w:rFonts w:hint="default"/>
      </w:rPr>
    </w:lvl>
    <w:lvl w:ilvl="1">
      <w:start w:val="21"/>
      <w:numFmt w:val="decimal"/>
      <w:lvlText w:val="%1.%2"/>
      <w:lvlJc w:val="left"/>
      <w:pPr>
        <w:ind w:left="620" w:hanging="6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524574BC"/>
    <w:multiLevelType w:val="hybridMultilevel"/>
    <w:tmpl w:val="25DCD6D4"/>
    <w:lvl w:ilvl="0" w:tplc="51940910">
      <w:start w:val="3"/>
      <w:numFmt w:val="bullet"/>
      <w:lvlText w:val="-"/>
      <w:lvlJc w:val="left"/>
      <w:pPr>
        <w:ind w:left="720" w:hanging="360"/>
      </w:pPr>
      <w:rPr>
        <w:rFonts w:ascii="Times New Roman" w:eastAsia="Times New Roman" w:hAnsi="Times New Roman" w:cs="Times New Roman"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53F535EE"/>
    <w:multiLevelType w:val="hybridMultilevel"/>
    <w:tmpl w:val="67F204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3F65B9D"/>
    <w:multiLevelType w:val="multilevel"/>
    <w:tmpl w:val="1DEC71BA"/>
    <w:lvl w:ilvl="0">
      <w:start w:val="6"/>
      <w:numFmt w:val="decimal"/>
      <w:lvlText w:val="%1."/>
      <w:lvlJc w:val="left"/>
      <w:pPr>
        <w:ind w:left="810" w:hanging="810"/>
      </w:pPr>
      <w:rPr>
        <w:rFonts w:hint="default"/>
      </w:rPr>
    </w:lvl>
    <w:lvl w:ilvl="1">
      <w:start w:val="2"/>
      <w:numFmt w:val="decimal"/>
      <w:lvlText w:val="%1.%2."/>
      <w:lvlJc w:val="left"/>
      <w:pPr>
        <w:ind w:left="810" w:hanging="810"/>
      </w:pPr>
      <w:rPr>
        <w:rFonts w:hint="default"/>
      </w:rPr>
    </w:lvl>
    <w:lvl w:ilvl="2">
      <w:start w:val="1"/>
      <w:numFmt w:val="decimal"/>
      <w:lvlText w:val="5.%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4" w15:restartNumberingAfterBreak="0">
    <w:nsid w:val="55973810"/>
    <w:multiLevelType w:val="hybridMultilevel"/>
    <w:tmpl w:val="EAA6624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560E2864"/>
    <w:multiLevelType w:val="multilevel"/>
    <w:tmpl w:val="98E27B1C"/>
    <w:lvl w:ilvl="0">
      <w:start w:val="3"/>
      <w:numFmt w:val="decimal"/>
      <w:lvlText w:val="%1."/>
      <w:lvlJc w:val="left"/>
      <w:pPr>
        <w:ind w:left="978" w:hanging="978"/>
      </w:pPr>
      <w:rPr>
        <w:rFonts w:hint="default"/>
      </w:rPr>
    </w:lvl>
    <w:lvl w:ilvl="1">
      <w:start w:val="17"/>
      <w:numFmt w:val="decimal"/>
      <w:lvlText w:val="%1.%2."/>
      <w:lvlJc w:val="left"/>
      <w:pPr>
        <w:ind w:left="978" w:hanging="978"/>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6" w15:restartNumberingAfterBreak="0">
    <w:nsid w:val="580D4505"/>
    <w:multiLevelType w:val="multilevel"/>
    <w:tmpl w:val="194499BE"/>
    <w:lvl w:ilvl="0">
      <w:start w:val="1"/>
      <w:numFmt w:val="decimal"/>
      <w:lvlText w:val="%1."/>
      <w:lvlJc w:val="left"/>
      <w:pPr>
        <w:tabs>
          <w:tab w:val="num" w:pos="850"/>
        </w:tabs>
        <w:ind w:left="850" w:hanging="850"/>
      </w:pPr>
      <w:rPr>
        <w:rFonts w:cs="Times New Roman"/>
      </w:rPr>
    </w:lvl>
    <w:lvl w:ilvl="1">
      <w:start w:val="1"/>
      <w:numFmt w:val="decimal"/>
      <w:pStyle w:val="ReportHead2"/>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1"/>
      <w:numFmt w:val="lowerRoman"/>
      <w:lvlText w:val="%4."/>
      <w:lvlJc w:val="left"/>
      <w:pPr>
        <w:tabs>
          <w:tab w:val="num" w:pos="851"/>
        </w:tabs>
        <w:ind w:left="851" w:hanging="851"/>
      </w:pPr>
      <w:rPr>
        <w:rFonts w:cs="Times New Roman"/>
      </w:rPr>
    </w:lvl>
    <w:lvl w:ilvl="4">
      <w:start w:val="1"/>
      <w:numFmt w:val="bullet"/>
      <w:lvlText w:val=""/>
      <w:lvlJc w:val="left"/>
      <w:pPr>
        <w:tabs>
          <w:tab w:val="num" w:pos="850"/>
        </w:tabs>
        <w:ind w:left="850" w:hanging="850"/>
      </w:pPr>
      <w:rPr>
        <w:rFonts w:ascii="Symbol" w:hAnsi="Symbol" w:hint="default"/>
      </w:rPr>
    </w:lvl>
    <w:lvl w:ilvl="5">
      <w:start w:val="1"/>
      <w:numFmt w:val="bullet"/>
      <w:lvlText w:val=""/>
      <w:lvlJc w:val="left"/>
      <w:pPr>
        <w:tabs>
          <w:tab w:val="num" w:pos="1417"/>
        </w:tabs>
        <w:ind w:left="1417" w:hanging="567"/>
      </w:pPr>
      <w:rPr>
        <w:rFonts w:ascii="Symbol" w:hAnsi="Symbol" w:hint="default"/>
        <w:sz w:val="22"/>
      </w:rPr>
    </w:lvl>
    <w:lvl w:ilvl="6">
      <w:start w:val="1"/>
      <w:numFmt w:val="bullet"/>
      <w:lvlText w:val=""/>
      <w:lvlJc w:val="left"/>
      <w:pPr>
        <w:tabs>
          <w:tab w:val="num" w:pos="1984"/>
        </w:tabs>
        <w:ind w:left="1984" w:hanging="567"/>
      </w:pPr>
      <w:rPr>
        <w:rFonts w:ascii="Symbol" w:hAnsi="Symbol" w:hint="default"/>
        <w:sz w:val="12"/>
      </w:rPr>
    </w:lvl>
    <w:lvl w:ilvl="7">
      <w:start w:val="1"/>
      <w:numFmt w:val="none"/>
      <w:lvlText w:val=""/>
      <w:lvlJc w:val="left"/>
      <w:pPr>
        <w:tabs>
          <w:tab w:val="num" w:pos="1984"/>
        </w:tabs>
        <w:ind w:left="1984" w:hanging="567"/>
      </w:pPr>
      <w:rPr>
        <w:rFonts w:cs="Times New Roman"/>
      </w:rPr>
    </w:lvl>
    <w:lvl w:ilvl="8">
      <w:start w:val="1"/>
      <w:numFmt w:val="none"/>
      <w:lvlText w:val=""/>
      <w:lvlJc w:val="left"/>
      <w:pPr>
        <w:tabs>
          <w:tab w:val="num" w:pos="2551"/>
        </w:tabs>
        <w:ind w:left="2551" w:hanging="567"/>
      </w:pPr>
      <w:rPr>
        <w:rFonts w:cs="Times New Roman"/>
      </w:rPr>
    </w:lvl>
  </w:abstractNum>
  <w:abstractNum w:abstractNumId="77" w15:restartNumberingAfterBreak="0">
    <w:nsid w:val="582C5638"/>
    <w:multiLevelType w:val="hybridMultilevel"/>
    <w:tmpl w:val="7B2CCA56"/>
    <w:lvl w:ilvl="0" w:tplc="040C0005">
      <w:start w:val="1"/>
      <w:numFmt w:val="bullet"/>
      <w:pStyle w:val="ProposalBullet1"/>
      <w:lvlText w:val=""/>
      <w:lvlJc w:val="left"/>
      <w:pPr>
        <w:tabs>
          <w:tab w:val="num" w:pos="360"/>
        </w:tabs>
        <w:ind w:left="284" w:hanging="284"/>
      </w:pPr>
      <w:rPr>
        <w:rFonts w:ascii="Wingdings" w:hAnsi="Wingdings" w:hint="default"/>
        <w:sz w:val="1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98B74A0"/>
    <w:multiLevelType w:val="hybridMultilevel"/>
    <w:tmpl w:val="D6E47FF8"/>
    <w:lvl w:ilvl="0" w:tplc="D8408778">
      <w:start w:val="1"/>
      <w:numFmt w:val="decimal"/>
      <w:lvlText w:val="%1"/>
      <w:lvlJc w:val="left"/>
      <w:pPr>
        <w:ind w:left="720" w:hanging="360"/>
      </w:pPr>
      <w:rPr>
        <w:rFonts w:asciiTheme="minorHAnsi" w:eastAsia="Times New Roman" w:hAnsiTheme="minorHAnsi"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A3270A8"/>
    <w:multiLevelType w:val="hybridMultilevel"/>
    <w:tmpl w:val="48E4DB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5BCA22D8"/>
    <w:multiLevelType w:val="multilevel"/>
    <w:tmpl w:val="E8E8A6A0"/>
    <w:lvl w:ilvl="0">
      <w:start w:val="3"/>
      <w:numFmt w:val="decimal"/>
      <w:lvlText w:val="%1"/>
      <w:lvlJc w:val="left"/>
      <w:pPr>
        <w:ind w:left="840" w:hanging="840"/>
      </w:pPr>
      <w:rPr>
        <w:rFonts w:hint="default"/>
      </w:rPr>
    </w:lvl>
    <w:lvl w:ilvl="1">
      <w:start w:val="18"/>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1" w15:restartNumberingAfterBreak="0">
    <w:nsid w:val="5C532B20"/>
    <w:multiLevelType w:val="hybridMultilevel"/>
    <w:tmpl w:val="370639DA"/>
    <w:lvl w:ilvl="0" w:tplc="C7280332">
      <w:start w:val="3"/>
      <w:numFmt w:val="bullet"/>
      <w:lvlText w:val="•"/>
      <w:lvlJc w:val="left"/>
      <w:pPr>
        <w:ind w:left="720" w:hanging="360"/>
      </w:pPr>
      <w:rPr>
        <w:rFonts w:ascii="TrebuchetMS" w:eastAsiaTheme="minorHAnsi" w:hAnsi="Trebuchet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5D3F0D59"/>
    <w:multiLevelType w:val="multilevel"/>
    <w:tmpl w:val="7CEA8B98"/>
    <w:lvl w:ilvl="0">
      <w:start w:val="3"/>
      <w:numFmt w:val="decimal"/>
      <w:lvlText w:val="%1"/>
      <w:lvlJc w:val="left"/>
      <w:pPr>
        <w:ind w:left="840" w:hanging="840"/>
      </w:pPr>
      <w:rPr>
        <w:rFonts w:hint="default"/>
      </w:rPr>
    </w:lvl>
    <w:lvl w:ilvl="1">
      <w:start w:val="15"/>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3" w15:restartNumberingAfterBreak="0">
    <w:nsid w:val="5E440E37"/>
    <w:multiLevelType w:val="multilevel"/>
    <w:tmpl w:val="F9AA85E6"/>
    <w:lvl w:ilvl="0">
      <w:start w:val="3"/>
      <w:numFmt w:val="decimal"/>
      <w:lvlText w:val="%1"/>
      <w:lvlJc w:val="left"/>
      <w:pPr>
        <w:ind w:left="840" w:hanging="840"/>
      </w:pPr>
      <w:rPr>
        <w:rFonts w:hint="default"/>
      </w:rPr>
    </w:lvl>
    <w:lvl w:ilvl="1">
      <w:start w:val="16"/>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4" w15:restartNumberingAfterBreak="0">
    <w:nsid w:val="5F725455"/>
    <w:multiLevelType w:val="multilevel"/>
    <w:tmpl w:val="46D81966"/>
    <w:lvl w:ilvl="0">
      <w:start w:val="5"/>
      <w:numFmt w:val="decimal"/>
      <w:lvlText w:val="%1."/>
      <w:lvlJc w:val="left"/>
      <w:pPr>
        <w:ind w:left="810" w:hanging="810"/>
      </w:pPr>
      <w:rPr>
        <w:rFonts w:hint="default"/>
      </w:rPr>
    </w:lvl>
    <w:lvl w:ilvl="1">
      <w:start w:val="1"/>
      <w:numFmt w:val="decimal"/>
      <w:lvlText w:val="%1.%2."/>
      <w:lvlJc w:val="left"/>
      <w:pPr>
        <w:ind w:left="810" w:hanging="810"/>
      </w:pPr>
      <w:rPr>
        <w:rFonts w:hint="default"/>
      </w:rPr>
    </w:lvl>
    <w:lvl w:ilvl="2">
      <w:start w:val="1"/>
      <w:numFmt w:val="decimal"/>
      <w:lvlText w:val="%1.%2.%3."/>
      <w:lvlJc w:val="left"/>
      <w:pPr>
        <w:ind w:left="1080" w:hanging="1080"/>
      </w:pPr>
      <w:rPr>
        <w:rFonts w:hint="default"/>
        <w:sz w:val="28"/>
        <w:szCs w:val="28"/>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5" w15:restartNumberingAfterBreak="0">
    <w:nsid w:val="5FC3115D"/>
    <w:multiLevelType w:val="hybridMultilevel"/>
    <w:tmpl w:val="ABB61510"/>
    <w:lvl w:ilvl="0" w:tplc="040C000F">
      <w:start w:val="1"/>
      <w:numFmt w:val="decimal"/>
      <w:lvlText w:val="%1."/>
      <w:lvlJc w:val="left"/>
      <w:pPr>
        <w:ind w:left="2000" w:hanging="360"/>
      </w:pPr>
    </w:lvl>
    <w:lvl w:ilvl="1" w:tplc="040C0019" w:tentative="1">
      <w:start w:val="1"/>
      <w:numFmt w:val="lowerLetter"/>
      <w:lvlText w:val="%2."/>
      <w:lvlJc w:val="left"/>
      <w:pPr>
        <w:ind w:left="2720" w:hanging="360"/>
      </w:pPr>
    </w:lvl>
    <w:lvl w:ilvl="2" w:tplc="040C001B" w:tentative="1">
      <w:start w:val="1"/>
      <w:numFmt w:val="lowerRoman"/>
      <w:lvlText w:val="%3."/>
      <w:lvlJc w:val="right"/>
      <w:pPr>
        <w:ind w:left="3440" w:hanging="180"/>
      </w:pPr>
    </w:lvl>
    <w:lvl w:ilvl="3" w:tplc="040C000F" w:tentative="1">
      <w:start w:val="1"/>
      <w:numFmt w:val="decimal"/>
      <w:lvlText w:val="%4."/>
      <w:lvlJc w:val="left"/>
      <w:pPr>
        <w:ind w:left="4160" w:hanging="360"/>
      </w:pPr>
    </w:lvl>
    <w:lvl w:ilvl="4" w:tplc="040C0019" w:tentative="1">
      <w:start w:val="1"/>
      <w:numFmt w:val="lowerLetter"/>
      <w:lvlText w:val="%5."/>
      <w:lvlJc w:val="left"/>
      <w:pPr>
        <w:ind w:left="4880" w:hanging="360"/>
      </w:pPr>
    </w:lvl>
    <w:lvl w:ilvl="5" w:tplc="040C001B" w:tentative="1">
      <w:start w:val="1"/>
      <w:numFmt w:val="lowerRoman"/>
      <w:lvlText w:val="%6."/>
      <w:lvlJc w:val="right"/>
      <w:pPr>
        <w:ind w:left="5600" w:hanging="180"/>
      </w:pPr>
    </w:lvl>
    <w:lvl w:ilvl="6" w:tplc="040C000F" w:tentative="1">
      <w:start w:val="1"/>
      <w:numFmt w:val="decimal"/>
      <w:lvlText w:val="%7."/>
      <w:lvlJc w:val="left"/>
      <w:pPr>
        <w:ind w:left="6320" w:hanging="360"/>
      </w:pPr>
    </w:lvl>
    <w:lvl w:ilvl="7" w:tplc="040C0019" w:tentative="1">
      <w:start w:val="1"/>
      <w:numFmt w:val="lowerLetter"/>
      <w:lvlText w:val="%8."/>
      <w:lvlJc w:val="left"/>
      <w:pPr>
        <w:ind w:left="7040" w:hanging="360"/>
      </w:pPr>
    </w:lvl>
    <w:lvl w:ilvl="8" w:tplc="040C001B" w:tentative="1">
      <w:start w:val="1"/>
      <w:numFmt w:val="lowerRoman"/>
      <w:lvlText w:val="%9."/>
      <w:lvlJc w:val="right"/>
      <w:pPr>
        <w:ind w:left="7760" w:hanging="180"/>
      </w:pPr>
    </w:lvl>
  </w:abstractNum>
  <w:abstractNum w:abstractNumId="86" w15:restartNumberingAfterBreak="0">
    <w:nsid w:val="62011CF5"/>
    <w:multiLevelType w:val="hybridMultilevel"/>
    <w:tmpl w:val="4B3A7B24"/>
    <w:lvl w:ilvl="0" w:tplc="D49CEA5A">
      <w:start w:val="100"/>
      <w:numFmt w:val="bullet"/>
      <w:lvlText w:val="-"/>
      <w:lvlJc w:val="left"/>
      <w:pPr>
        <w:ind w:left="720" w:hanging="360"/>
      </w:pPr>
      <w:rPr>
        <w:rFonts w:ascii="Trebuchet MS" w:eastAsia="Times New Roman" w:hAnsi="Trebuchet MS" w:cs="Arial" w:hint="default"/>
        <w:sz w:val="1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63FE58FA"/>
    <w:multiLevelType w:val="hybridMultilevel"/>
    <w:tmpl w:val="4EDE279E"/>
    <w:lvl w:ilvl="0" w:tplc="18FAAC20">
      <w:numFmt w:val="bullet"/>
      <w:lvlText w:val="•"/>
      <w:lvlJc w:val="left"/>
      <w:pPr>
        <w:ind w:left="720" w:hanging="360"/>
      </w:pPr>
      <w:rPr>
        <w:rFonts w:ascii="Trebuchet MS" w:eastAsia="Times New Roman" w:hAnsi="Trebuchet M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6507162B"/>
    <w:multiLevelType w:val="hybridMultilevel"/>
    <w:tmpl w:val="A546DCE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9" w15:restartNumberingAfterBreak="0">
    <w:nsid w:val="65D26BB3"/>
    <w:multiLevelType w:val="multilevel"/>
    <w:tmpl w:val="351CF70E"/>
    <w:lvl w:ilvl="0">
      <w:start w:val="1"/>
      <w:numFmt w:val="decimal"/>
      <w:pStyle w:val="ReportHead1"/>
      <w:lvlText w:val="%1."/>
      <w:lvlJc w:val="left"/>
      <w:pPr>
        <w:tabs>
          <w:tab w:val="num" w:pos="850"/>
        </w:tabs>
        <w:ind w:left="850" w:hanging="850"/>
      </w:pPr>
      <w:rPr>
        <w:rFonts w:cs="Times New Roman"/>
      </w:rPr>
    </w:lvl>
    <w:lvl w:ilvl="1">
      <w:start w:val="1"/>
      <w:numFmt w:val="decimal"/>
      <w:pStyle w:val="ReportHead3"/>
      <w:lvlText w:val="%1.%2."/>
      <w:lvlJc w:val="left"/>
      <w:pPr>
        <w:tabs>
          <w:tab w:val="num" w:pos="850"/>
        </w:tabs>
        <w:ind w:left="850" w:hanging="850"/>
      </w:pPr>
      <w:rPr>
        <w:rFonts w:cs="Times New Roman"/>
      </w:rPr>
    </w:lvl>
    <w:lvl w:ilvl="2">
      <w:start w:val="1"/>
      <w:numFmt w:val="decimal"/>
      <w:pStyle w:val="ReportHead4"/>
      <w:lvlText w:val="%1.%2.%3."/>
      <w:lvlJc w:val="left"/>
      <w:pPr>
        <w:tabs>
          <w:tab w:val="num" w:pos="850"/>
        </w:tabs>
        <w:ind w:left="850" w:hanging="850"/>
      </w:pPr>
      <w:rPr>
        <w:rFonts w:cs="Times New Roman"/>
      </w:rPr>
    </w:lvl>
    <w:lvl w:ilvl="3">
      <w:start w:val="1"/>
      <w:numFmt w:val="lowerRoman"/>
      <w:lvlText w:val="%4."/>
      <w:lvlJc w:val="left"/>
      <w:pPr>
        <w:tabs>
          <w:tab w:val="num" w:pos="851"/>
        </w:tabs>
        <w:ind w:left="851" w:hanging="851"/>
      </w:pPr>
      <w:rPr>
        <w:rFonts w:cs="Times New Roman"/>
      </w:rPr>
    </w:lvl>
    <w:lvl w:ilvl="4">
      <w:start w:val="1"/>
      <w:numFmt w:val="bullet"/>
      <w:lvlText w:val=""/>
      <w:lvlJc w:val="left"/>
      <w:pPr>
        <w:tabs>
          <w:tab w:val="num" w:pos="850"/>
        </w:tabs>
        <w:ind w:left="850" w:hanging="850"/>
      </w:pPr>
      <w:rPr>
        <w:rFonts w:ascii="Symbol" w:hAnsi="Symbol" w:hint="default"/>
      </w:rPr>
    </w:lvl>
    <w:lvl w:ilvl="5">
      <w:start w:val="1"/>
      <w:numFmt w:val="bullet"/>
      <w:lvlText w:val=""/>
      <w:lvlJc w:val="left"/>
      <w:pPr>
        <w:tabs>
          <w:tab w:val="num" w:pos="1417"/>
        </w:tabs>
        <w:ind w:left="1417" w:hanging="567"/>
      </w:pPr>
      <w:rPr>
        <w:rFonts w:ascii="Symbol" w:hAnsi="Symbol" w:hint="default"/>
        <w:sz w:val="22"/>
      </w:rPr>
    </w:lvl>
    <w:lvl w:ilvl="6">
      <w:start w:val="1"/>
      <w:numFmt w:val="bullet"/>
      <w:lvlText w:val=""/>
      <w:lvlJc w:val="left"/>
      <w:pPr>
        <w:tabs>
          <w:tab w:val="num" w:pos="1984"/>
        </w:tabs>
        <w:ind w:left="1984" w:hanging="567"/>
      </w:pPr>
      <w:rPr>
        <w:rFonts w:ascii="Symbol" w:hAnsi="Symbol" w:hint="default"/>
        <w:sz w:val="12"/>
      </w:rPr>
    </w:lvl>
    <w:lvl w:ilvl="7">
      <w:start w:val="1"/>
      <w:numFmt w:val="none"/>
      <w:lvlText w:val=""/>
      <w:lvlJc w:val="left"/>
      <w:pPr>
        <w:tabs>
          <w:tab w:val="num" w:pos="1984"/>
        </w:tabs>
        <w:ind w:left="1984" w:hanging="567"/>
      </w:pPr>
      <w:rPr>
        <w:rFonts w:cs="Times New Roman"/>
      </w:rPr>
    </w:lvl>
    <w:lvl w:ilvl="8">
      <w:start w:val="1"/>
      <w:numFmt w:val="none"/>
      <w:lvlText w:val=""/>
      <w:lvlJc w:val="left"/>
      <w:pPr>
        <w:tabs>
          <w:tab w:val="num" w:pos="2551"/>
        </w:tabs>
        <w:ind w:left="2551" w:hanging="567"/>
      </w:pPr>
      <w:rPr>
        <w:rFonts w:cs="Times New Roman"/>
      </w:rPr>
    </w:lvl>
  </w:abstractNum>
  <w:abstractNum w:abstractNumId="90" w15:restartNumberingAfterBreak="0">
    <w:nsid w:val="65E838D3"/>
    <w:multiLevelType w:val="multilevel"/>
    <w:tmpl w:val="8702C3E4"/>
    <w:lvl w:ilvl="0">
      <w:start w:val="6"/>
      <w:numFmt w:val="decimal"/>
      <w:lvlText w:val="%1."/>
      <w:lvlJc w:val="left"/>
      <w:pPr>
        <w:ind w:left="810" w:hanging="810"/>
      </w:pPr>
      <w:rPr>
        <w:rFonts w:hint="default"/>
      </w:rPr>
    </w:lvl>
    <w:lvl w:ilvl="1">
      <w:start w:val="2"/>
      <w:numFmt w:val="decimal"/>
      <w:lvlText w:val="%1.%2."/>
      <w:lvlJc w:val="left"/>
      <w:pPr>
        <w:ind w:left="810" w:hanging="81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1" w15:restartNumberingAfterBreak="0">
    <w:nsid w:val="660C1E7C"/>
    <w:multiLevelType w:val="multilevel"/>
    <w:tmpl w:val="C0CAA6A2"/>
    <w:styleLink w:val="Style1"/>
    <w:lvl w:ilvl="0">
      <w:start w:val="2"/>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3."/>
      <w:lvlJc w:val="left"/>
      <w:pPr>
        <w:tabs>
          <w:tab w:val="num" w:pos="1080"/>
        </w:tabs>
        <w:ind w:left="1080" w:hanging="360"/>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92" w15:restartNumberingAfterBreak="0">
    <w:nsid w:val="67C00C85"/>
    <w:multiLevelType w:val="hybridMultilevel"/>
    <w:tmpl w:val="03DA07EE"/>
    <w:lvl w:ilvl="0" w:tplc="C7280332">
      <w:start w:val="3"/>
      <w:numFmt w:val="bullet"/>
      <w:lvlText w:val="•"/>
      <w:lvlJc w:val="left"/>
      <w:pPr>
        <w:ind w:left="720" w:hanging="360"/>
      </w:pPr>
      <w:rPr>
        <w:rFonts w:ascii="TrebuchetMS" w:eastAsiaTheme="minorHAnsi" w:hAnsi="Trebuchet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68357699"/>
    <w:multiLevelType w:val="hybridMultilevel"/>
    <w:tmpl w:val="CD3E5E48"/>
    <w:lvl w:ilvl="0" w:tplc="0809000F">
      <w:start w:val="1"/>
      <w:numFmt w:val="decimal"/>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start w:val="1"/>
      <w:numFmt w:val="decimal"/>
      <w:lvlText w:val="%4."/>
      <w:lvlJc w:val="left"/>
      <w:pPr>
        <w:ind w:left="108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4" w15:restartNumberingAfterBreak="0">
    <w:nsid w:val="690946D2"/>
    <w:multiLevelType w:val="multilevel"/>
    <w:tmpl w:val="3D38D8BA"/>
    <w:lvl w:ilvl="0">
      <w:start w:val="3"/>
      <w:numFmt w:val="decimal"/>
      <w:lvlText w:val="%1."/>
      <w:lvlJc w:val="left"/>
      <w:pPr>
        <w:ind w:left="978" w:hanging="978"/>
      </w:pPr>
      <w:rPr>
        <w:rFonts w:hint="default"/>
      </w:rPr>
    </w:lvl>
    <w:lvl w:ilvl="1">
      <w:start w:val="13"/>
      <w:numFmt w:val="decimal"/>
      <w:lvlText w:val="%1.%2."/>
      <w:lvlJc w:val="left"/>
      <w:pPr>
        <w:ind w:left="978" w:hanging="978"/>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5" w15:restartNumberingAfterBreak="0">
    <w:nsid w:val="695B1C12"/>
    <w:multiLevelType w:val="multilevel"/>
    <w:tmpl w:val="6F243736"/>
    <w:lvl w:ilvl="0">
      <w:start w:val="1"/>
      <w:numFmt w:val="decimal"/>
      <w:pStyle w:val="1Arial"/>
      <w:lvlText w:val="%1"/>
      <w:lvlJc w:val="left"/>
      <w:pPr>
        <w:tabs>
          <w:tab w:val="num" w:pos="360"/>
        </w:tabs>
        <w:ind w:left="360" w:hanging="360"/>
      </w:pPr>
      <w:rPr>
        <w:rFonts w:cs="Times New Roman" w:hint="default"/>
      </w:rPr>
    </w:lvl>
    <w:lvl w:ilvl="1">
      <w:start w:val="1"/>
      <w:numFmt w:val="decimal"/>
      <w:lvlText w:val="4.%2."/>
      <w:lvlJc w:val="left"/>
      <w:pPr>
        <w:tabs>
          <w:tab w:val="num" w:pos="1080"/>
        </w:tabs>
        <w:ind w:left="792" w:hanging="432"/>
      </w:pPr>
      <w:rPr>
        <w:rFonts w:cs="Times New Roman" w:hint="default"/>
      </w:rPr>
    </w:lvl>
    <w:lvl w:ilvl="2">
      <w:start w:val="1"/>
      <w:numFmt w:val="decimal"/>
      <w:lvlText w:val="4.%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96" w15:restartNumberingAfterBreak="0">
    <w:nsid w:val="6EE3444F"/>
    <w:multiLevelType w:val="multilevel"/>
    <w:tmpl w:val="B2F6356E"/>
    <w:lvl w:ilvl="0">
      <w:start w:val="1"/>
      <w:numFmt w:val="bullet"/>
      <w:pStyle w:val="TableBullet1"/>
      <w:lvlText w:val=""/>
      <w:lvlJc w:val="left"/>
      <w:pPr>
        <w:tabs>
          <w:tab w:val="num" w:pos="170"/>
        </w:tabs>
        <w:ind w:left="170" w:hanging="170"/>
      </w:pPr>
      <w:rPr>
        <w:rFonts w:ascii="Symbol" w:hAnsi="Symbol" w:hint="default"/>
      </w:rPr>
    </w:lvl>
    <w:lvl w:ilvl="1">
      <w:start w:val="1"/>
      <w:numFmt w:val="bullet"/>
      <w:pStyle w:val="TableBullet2"/>
      <w:lvlText w:val="–"/>
      <w:lvlJc w:val="left"/>
      <w:pPr>
        <w:tabs>
          <w:tab w:val="num" w:pos="340"/>
        </w:tabs>
        <w:ind w:left="340" w:hanging="170"/>
      </w:pPr>
      <w:rPr>
        <w:rFonts w:ascii="Arial" w:hAnsi="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02505DB"/>
    <w:multiLevelType w:val="hybridMultilevel"/>
    <w:tmpl w:val="54E41112"/>
    <w:lvl w:ilvl="0" w:tplc="040C000D">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98" w15:restartNumberingAfterBreak="0">
    <w:nsid w:val="72865626"/>
    <w:multiLevelType w:val="hybridMultilevel"/>
    <w:tmpl w:val="556A56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34570E9"/>
    <w:multiLevelType w:val="multilevel"/>
    <w:tmpl w:val="F6B4E0F6"/>
    <w:lvl w:ilvl="0">
      <w:start w:val="3"/>
      <w:numFmt w:val="decimal"/>
      <w:lvlText w:val="%1"/>
      <w:lvlJc w:val="left"/>
      <w:pPr>
        <w:ind w:left="840" w:hanging="840"/>
      </w:pPr>
      <w:rPr>
        <w:rFonts w:hint="default"/>
      </w:rPr>
    </w:lvl>
    <w:lvl w:ilvl="1">
      <w:start w:val="21"/>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0" w15:restartNumberingAfterBreak="0">
    <w:nsid w:val="773916D5"/>
    <w:multiLevelType w:val="multilevel"/>
    <w:tmpl w:val="4AB8FBBA"/>
    <w:lvl w:ilvl="0">
      <w:start w:val="3"/>
      <w:numFmt w:val="decimal"/>
      <w:lvlText w:val="%1"/>
      <w:lvlJc w:val="left"/>
      <w:pPr>
        <w:ind w:left="600" w:hanging="60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1" w15:restartNumberingAfterBreak="0">
    <w:nsid w:val="796A3518"/>
    <w:multiLevelType w:val="multilevel"/>
    <w:tmpl w:val="907C587E"/>
    <w:lvl w:ilvl="0">
      <w:start w:val="1"/>
      <w:numFmt w:val="decimal"/>
      <w:pStyle w:val="NumBullet1"/>
      <w:lvlText w:val="%1."/>
      <w:lvlJc w:val="left"/>
      <w:pPr>
        <w:tabs>
          <w:tab w:val="num" w:pos="340"/>
        </w:tabs>
        <w:ind w:left="340" w:hanging="340"/>
      </w:pPr>
      <w:rPr>
        <w:rFonts w:hint="default"/>
        <w:b/>
        <w:color w:val="685040"/>
      </w:rPr>
    </w:lvl>
    <w:lvl w:ilvl="1">
      <w:start w:val="1"/>
      <w:numFmt w:val="lowerLetter"/>
      <w:pStyle w:val="NumBullet2"/>
      <w:lvlText w:val="%2."/>
      <w:lvlJc w:val="left"/>
      <w:pPr>
        <w:tabs>
          <w:tab w:val="num" w:pos="680"/>
        </w:tabs>
        <w:ind w:left="680" w:hanging="340"/>
      </w:pPr>
      <w:rPr>
        <w:rFonts w:hint="default"/>
      </w:rPr>
    </w:lvl>
    <w:lvl w:ilvl="2">
      <w:start w:val="1"/>
      <w:numFmt w:val="lowerRoman"/>
      <w:pStyle w:val="NumBullet3"/>
      <w:lvlText w:val="%3."/>
      <w:lvlJc w:val="left"/>
      <w:pPr>
        <w:tabs>
          <w:tab w:val="num" w:pos="1021"/>
        </w:tabs>
        <w:ind w:left="1021" w:hanging="341"/>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02" w15:restartNumberingAfterBreak="0">
    <w:nsid w:val="796B4DD5"/>
    <w:multiLevelType w:val="hybridMultilevel"/>
    <w:tmpl w:val="B04CCF80"/>
    <w:lvl w:ilvl="0" w:tplc="040C0013">
      <w:start w:val="1"/>
      <w:numFmt w:val="upperRoman"/>
      <w:lvlText w:val="%1."/>
      <w:lvlJc w:val="right"/>
      <w:pPr>
        <w:ind w:left="720" w:hanging="360"/>
      </w:pPr>
    </w:lvl>
    <w:lvl w:ilvl="1" w:tplc="040C0019">
      <w:start w:val="1"/>
      <w:numFmt w:val="lowerLetter"/>
      <w:lvlText w:val="%2."/>
      <w:lvlJc w:val="left"/>
      <w:pPr>
        <w:ind w:left="1440" w:hanging="360"/>
      </w:pPr>
    </w:lvl>
    <w:lvl w:ilvl="2" w:tplc="FECC7F62">
      <w:start w:val="1"/>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15:restartNumberingAfterBreak="0">
    <w:nsid w:val="7C7563C9"/>
    <w:multiLevelType w:val="multilevel"/>
    <w:tmpl w:val="040C001F"/>
    <w:styleLink w:val="111111"/>
    <w:lvl w:ilvl="0">
      <w:start w:val="4"/>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4" w15:restartNumberingAfterBreak="0">
    <w:nsid w:val="7F750626"/>
    <w:multiLevelType w:val="hybridMultilevel"/>
    <w:tmpl w:val="F326AF22"/>
    <w:lvl w:ilvl="0" w:tplc="3234556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7"/>
  </w:num>
  <w:num w:numId="3">
    <w:abstractNumId w:val="46"/>
  </w:num>
  <w:num w:numId="4">
    <w:abstractNumId w:val="56"/>
  </w:num>
  <w:num w:numId="5">
    <w:abstractNumId w:val="101"/>
  </w:num>
  <w:num w:numId="6">
    <w:abstractNumId w:val="96"/>
  </w:num>
  <w:num w:numId="7">
    <w:abstractNumId w:val="32"/>
  </w:num>
  <w:num w:numId="8">
    <w:abstractNumId w:val="0"/>
  </w:num>
  <w:num w:numId="9">
    <w:abstractNumId w:val="89"/>
  </w:num>
  <w:num w:numId="10">
    <w:abstractNumId w:val="76"/>
  </w:num>
  <w:num w:numId="11">
    <w:abstractNumId w:val="43"/>
  </w:num>
  <w:num w:numId="12">
    <w:abstractNumId w:val="34"/>
  </w:num>
  <w:num w:numId="13">
    <w:abstractNumId w:val="37"/>
  </w:num>
  <w:num w:numId="14">
    <w:abstractNumId w:val="22"/>
  </w:num>
  <w:num w:numId="15">
    <w:abstractNumId w:val="103"/>
  </w:num>
  <w:num w:numId="16">
    <w:abstractNumId w:val="91"/>
  </w:num>
  <w:num w:numId="17">
    <w:abstractNumId w:val="36"/>
  </w:num>
  <w:num w:numId="18">
    <w:abstractNumId w:val="9"/>
  </w:num>
  <w:num w:numId="19">
    <w:abstractNumId w:val="95"/>
    <w:lvlOverride w:ilvl="0">
      <w:lvl w:ilvl="0">
        <w:start w:val="1"/>
        <w:numFmt w:val="decimal"/>
        <w:pStyle w:val="1Ari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1080"/>
          </w:tabs>
          <w:ind w:left="792" w:hanging="432"/>
        </w:pPr>
        <w:rPr>
          <w:rFonts w:cs="Times New Roman" w:hint="default"/>
        </w:rPr>
      </w:lvl>
    </w:lvlOverride>
    <w:lvlOverride w:ilvl="2">
      <w:lvl w:ilvl="2">
        <w:start w:val="1"/>
        <w:numFmt w:val="decimal"/>
        <w:lvlText w:val="4.%2.%3."/>
        <w:lvlJc w:val="left"/>
        <w:pPr>
          <w:tabs>
            <w:tab w:val="num" w:pos="1440"/>
          </w:tabs>
          <w:ind w:left="1224" w:hanging="504"/>
        </w:pPr>
        <w:rPr>
          <w:rFonts w:cs="Times New Roman" w:hint="default"/>
        </w:rPr>
      </w:lvl>
    </w:lvlOverride>
    <w:lvlOverride w:ilvl="3">
      <w:lvl w:ilvl="3">
        <w:start w:val="1"/>
        <w:numFmt w:val="decimal"/>
        <w:lvlText w:val="%1.%2.%3.%4."/>
        <w:lvlJc w:val="left"/>
        <w:pPr>
          <w:tabs>
            <w:tab w:val="num" w:pos="2160"/>
          </w:tabs>
          <w:ind w:left="1728" w:hanging="648"/>
        </w:pPr>
        <w:rPr>
          <w:rFonts w:cs="Times New Roman" w:hint="default"/>
        </w:rPr>
      </w:lvl>
    </w:lvlOverride>
    <w:lvlOverride w:ilvl="4">
      <w:lvl w:ilvl="4">
        <w:start w:val="1"/>
        <w:numFmt w:val="decimal"/>
        <w:lvlText w:val="%1.%2.%3.%4.%5."/>
        <w:lvlJc w:val="left"/>
        <w:pPr>
          <w:tabs>
            <w:tab w:val="num" w:pos="2880"/>
          </w:tabs>
          <w:ind w:left="2232" w:hanging="792"/>
        </w:pPr>
        <w:rPr>
          <w:rFonts w:cs="Times New Roman" w:hint="default"/>
        </w:rPr>
      </w:lvl>
    </w:lvlOverride>
    <w:lvlOverride w:ilvl="5">
      <w:lvl w:ilvl="5">
        <w:start w:val="1"/>
        <w:numFmt w:val="decimal"/>
        <w:lvlText w:val="%1.%2.%3.%4.%5.%6."/>
        <w:lvlJc w:val="left"/>
        <w:pPr>
          <w:tabs>
            <w:tab w:val="num" w:pos="3240"/>
          </w:tabs>
          <w:ind w:left="2736" w:hanging="936"/>
        </w:pPr>
        <w:rPr>
          <w:rFonts w:cs="Times New Roman" w:hint="default"/>
        </w:rPr>
      </w:lvl>
    </w:lvlOverride>
    <w:lvlOverride w:ilvl="6">
      <w:lvl w:ilvl="6">
        <w:start w:val="1"/>
        <w:numFmt w:val="decimal"/>
        <w:lvlText w:val="%1.%2.%3.%4.%5.%6.%7."/>
        <w:lvlJc w:val="left"/>
        <w:pPr>
          <w:tabs>
            <w:tab w:val="num" w:pos="3960"/>
          </w:tabs>
          <w:ind w:left="3240" w:hanging="1080"/>
        </w:pPr>
        <w:rPr>
          <w:rFonts w:cs="Times New Roman" w:hint="default"/>
        </w:rPr>
      </w:lvl>
    </w:lvlOverride>
    <w:lvlOverride w:ilvl="7">
      <w:lvl w:ilvl="7">
        <w:start w:val="1"/>
        <w:numFmt w:val="decimal"/>
        <w:lvlText w:val="%1.%2.%3.%4.%5.%6.%7.%8."/>
        <w:lvlJc w:val="left"/>
        <w:pPr>
          <w:tabs>
            <w:tab w:val="num" w:pos="4680"/>
          </w:tabs>
          <w:ind w:left="3744" w:hanging="1224"/>
        </w:pPr>
        <w:rPr>
          <w:rFonts w:cs="Times New Roman" w:hint="default"/>
        </w:rPr>
      </w:lvl>
    </w:lvlOverride>
    <w:lvlOverride w:ilvl="8">
      <w:lvl w:ilvl="8">
        <w:start w:val="1"/>
        <w:numFmt w:val="decimal"/>
        <w:lvlText w:val="%1.%2.%3.%4.%5.%6.%7.%8.%9."/>
        <w:lvlJc w:val="left"/>
        <w:pPr>
          <w:tabs>
            <w:tab w:val="num" w:pos="5040"/>
          </w:tabs>
          <w:ind w:left="4320" w:hanging="1440"/>
        </w:pPr>
        <w:rPr>
          <w:rFonts w:cs="Times New Roman" w:hint="default"/>
        </w:rPr>
      </w:lvl>
    </w:lvlOverride>
  </w:num>
  <w:num w:numId="20">
    <w:abstractNumId w:val="77"/>
  </w:num>
  <w:num w:numId="21">
    <w:abstractNumId w:val="1"/>
  </w:num>
  <w:num w:numId="22">
    <w:abstractNumId w:val="40"/>
  </w:num>
  <w:num w:numId="23">
    <w:abstractNumId w:val="1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4">
    <w:abstractNumId w:val="97"/>
  </w:num>
  <w:num w:numId="25">
    <w:abstractNumId w:val="13"/>
  </w:num>
  <w:num w:numId="26">
    <w:abstractNumId w:val="93"/>
  </w:num>
  <w:num w:numId="27">
    <w:abstractNumId w:val="87"/>
  </w:num>
  <w:num w:numId="28">
    <w:abstractNumId w:val="63"/>
  </w:num>
  <w:num w:numId="29">
    <w:abstractNumId w:val="48"/>
  </w:num>
  <w:num w:numId="30">
    <w:abstractNumId w:val="23"/>
  </w:num>
  <w:num w:numId="31">
    <w:abstractNumId w:val="33"/>
  </w:num>
  <w:num w:numId="32">
    <w:abstractNumId w:val="74"/>
  </w:num>
  <w:num w:numId="33">
    <w:abstractNumId w:val="92"/>
  </w:num>
  <w:num w:numId="34">
    <w:abstractNumId w:val="50"/>
  </w:num>
  <w:num w:numId="35">
    <w:abstractNumId w:val="25"/>
  </w:num>
  <w:num w:numId="36">
    <w:abstractNumId w:val="49"/>
  </w:num>
  <w:num w:numId="37">
    <w:abstractNumId w:val="45"/>
  </w:num>
  <w:num w:numId="38">
    <w:abstractNumId w:val="85"/>
  </w:num>
  <w:num w:numId="39">
    <w:abstractNumId w:val="11"/>
  </w:num>
  <w:num w:numId="40">
    <w:abstractNumId w:val="26"/>
  </w:num>
  <w:num w:numId="41">
    <w:abstractNumId w:val="102"/>
  </w:num>
  <w:num w:numId="42">
    <w:abstractNumId w:val="79"/>
  </w:num>
  <w:num w:numId="43">
    <w:abstractNumId w:val="81"/>
  </w:num>
  <w:num w:numId="44">
    <w:abstractNumId w:val="67"/>
  </w:num>
  <w:num w:numId="45">
    <w:abstractNumId w:val="42"/>
  </w:num>
  <w:num w:numId="46">
    <w:abstractNumId w:val="86"/>
  </w:num>
  <w:num w:numId="47">
    <w:abstractNumId w:val="12"/>
  </w:num>
  <w:num w:numId="48">
    <w:abstractNumId w:val="44"/>
  </w:num>
  <w:num w:numId="49">
    <w:abstractNumId w:val="20"/>
  </w:num>
  <w:num w:numId="50">
    <w:abstractNumId w:val="35"/>
  </w:num>
  <w:num w:numId="51">
    <w:abstractNumId w:val="5"/>
  </w:num>
  <w:num w:numId="52">
    <w:abstractNumId w:val="28"/>
  </w:num>
  <w:num w:numId="53">
    <w:abstractNumId w:val="39"/>
  </w:num>
  <w:num w:numId="54">
    <w:abstractNumId w:val="4"/>
  </w:num>
  <w:num w:numId="55">
    <w:abstractNumId w:val="59"/>
  </w:num>
  <w:num w:numId="56">
    <w:abstractNumId w:val="78"/>
  </w:num>
  <w:num w:numId="57">
    <w:abstractNumId w:val="55"/>
  </w:num>
  <w:num w:numId="58">
    <w:abstractNumId w:val="54"/>
  </w:num>
  <w:num w:numId="59">
    <w:abstractNumId w:val="31"/>
  </w:num>
  <w:num w:numId="60">
    <w:abstractNumId w:val="68"/>
  </w:num>
  <w:num w:numId="61">
    <w:abstractNumId w:val="100"/>
  </w:num>
  <w:num w:numId="62">
    <w:abstractNumId w:val="14"/>
  </w:num>
  <w:num w:numId="63">
    <w:abstractNumId w:val="6"/>
  </w:num>
  <w:num w:numId="64">
    <w:abstractNumId w:val="41"/>
  </w:num>
  <w:num w:numId="65">
    <w:abstractNumId w:val="82"/>
  </w:num>
  <w:num w:numId="66">
    <w:abstractNumId w:val="83"/>
  </w:num>
  <w:num w:numId="67">
    <w:abstractNumId w:val="64"/>
  </w:num>
  <w:num w:numId="68">
    <w:abstractNumId w:val="21"/>
  </w:num>
  <w:num w:numId="69">
    <w:abstractNumId w:val="10"/>
  </w:num>
  <w:num w:numId="70">
    <w:abstractNumId w:val="72"/>
  </w:num>
  <w:num w:numId="71">
    <w:abstractNumId w:val="29"/>
  </w:num>
  <w:num w:numId="72">
    <w:abstractNumId w:val="62"/>
  </w:num>
  <w:num w:numId="73">
    <w:abstractNumId w:val="98"/>
  </w:num>
  <w:num w:numId="74">
    <w:abstractNumId w:val="47"/>
  </w:num>
  <w:num w:numId="75">
    <w:abstractNumId w:val="94"/>
  </w:num>
  <w:num w:numId="76">
    <w:abstractNumId w:val="18"/>
  </w:num>
  <w:num w:numId="77">
    <w:abstractNumId w:val="75"/>
  </w:num>
  <w:num w:numId="78">
    <w:abstractNumId w:val="60"/>
  </w:num>
  <w:num w:numId="79">
    <w:abstractNumId w:val="24"/>
  </w:num>
  <w:num w:numId="80">
    <w:abstractNumId w:val="30"/>
  </w:num>
  <w:num w:numId="81">
    <w:abstractNumId w:val="52"/>
  </w:num>
  <w:num w:numId="82">
    <w:abstractNumId w:val="88"/>
  </w:num>
  <w:num w:numId="83">
    <w:abstractNumId w:val="38"/>
  </w:num>
  <w:num w:numId="84">
    <w:abstractNumId w:val="16"/>
  </w:num>
  <w:num w:numId="85">
    <w:abstractNumId w:val="57"/>
  </w:num>
  <w:num w:numId="86">
    <w:abstractNumId w:val="19"/>
  </w:num>
  <w:num w:numId="87">
    <w:abstractNumId w:val="80"/>
  </w:num>
  <w:num w:numId="88">
    <w:abstractNumId w:val="58"/>
  </w:num>
  <w:num w:numId="89">
    <w:abstractNumId w:val="70"/>
  </w:num>
  <w:num w:numId="90">
    <w:abstractNumId w:val="3"/>
  </w:num>
  <w:num w:numId="91">
    <w:abstractNumId w:val="84"/>
  </w:num>
  <w:num w:numId="92">
    <w:abstractNumId w:val="90"/>
  </w:num>
  <w:num w:numId="93">
    <w:abstractNumId w:val="69"/>
  </w:num>
  <w:num w:numId="94">
    <w:abstractNumId w:val="104"/>
  </w:num>
  <w:num w:numId="95">
    <w:abstractNumId w:val="7"/>
  </w:num>
  <w:num w:numId="96">
    <w:abstractNumId w:val="99"/>
  </w:num>
  <w:num w:numId="97">
    <w:abstractNumId w:val="61"/>
  </w:num>
  <w:num w:numId="98">
    <w:abstractNumId w:val="8"/>
  </w:num>
  <w:num w:numId="99">
    <w:abstractNumId w:val="71"/>
  </w:num>
  <w:num w:numId="100">
    <w:abstractNumId w:val="73"/>
  </w:num>
  <w:num w:numId="101">
    <w:abstractNumId w:val="66"/>
  </w:num>
  <w:num w:numId="102">
    <w:abstractNumId w:val="51"/>
  </w:num>
  <w:num w:numId="103">
    <w:abstractNumId w:val="17"/>
  </w:num>
  <w:num w:numId="104">
    <w:abstractNumId w:val="53"/>
  </w:num>
  <w:num w:numId="105">
    <w:abstractNumId w:val="65"/>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Dc1trAwNjEyN7IwNDFR0lEKTi0uzszPAykwNKsFANSJo8stAAAA"/>
  </w:docVars>
  <w:rsids>
    <w:rsidRoot w:val="00116ADA"/>
    <w:rsid w:val="00000105"/>
    <w:rsid w:val="000002D0"/>
    <w:rsid w:val="0000077A"/>
    <w:rsid w:val="00000F5E"/>
    <w:rsid w:val="000015EE"/>
    <w:rsid w:val="00001929"/>
    <w:rsid w:val="00001E8B"/>
    <w:rsid w:val="000025E6"/>
    <w:rsid w:val="000026FD"/>
    <w:rsid w:val="00002CD7"/>
    <w:rsid w:val="0000321C"/>
    <w:rsid w:val="00003446"/>
    <w:rsid w:val="00003FD1"/>
    <w:rsid w:val="0000409F"/>
    <w:rsid w:val="0000447B"/>
    <w:rsid w:val="0000472E"/>
    <w:rsid w:val="00004A39"/>
    <w:rsid w:val="00004ED7"/>
    <w:rsid w:val="00005203"/>
    <w:rsid w:val="000052D4"/>
    <w:rsid w:val="000058AD"/>
    <w:rsid w:val="00005C15"/>
    <w:rsid w:val="00005DA5"/>
    <w:rsid w:val="00006301"/>
    <w:rsid w:val="00006387"/>
    <w:rsid w:val="000065D5"/>
    <w:rsid w:val="00007468"/>
    <w:rsid w:val="000075B3"/>
    <w:rsid w:val="0000785E"/>
    <w:rsid w:val="00007A54"/>
    <w:rsid w:val="00007FF5"/>
    <w:rsid w:val="000100CD"/>
    <w:rsid w:val="0001010E"/>
    <w:rsid w:val="00010F3E"/>
    <w:rsid w:val="00011246"/>
    <w:rsid w:val="000113ED"/>
    <w:rsid w:val="00011AE3"/>
    <w:rsid w:val="00011FC4"/>
    <w:rsid w:val="0001209A"/>
    <w:rsid w:val="00012382"/>
    <w:rsid w:val="000123E7"/>
    <w:rsid w:val="00012F43"/>
    <w:rsid w:val="0001360E"/>
    <w:rsid w:val="000136E5"/>
    <w:rsid w:val="000136FA"/>
    <w:rsid w:val="00013737"/>
    <w:rsid w:val="00014201"/>
    <w:rsid w:val="00014781"/>
    <w:rsid w:val="0001484D"/>
    <w:rsid w:val="00014925"/>
    <w:rsid w:val="00014C1B"/>
    <w:rsid w:val="00014CF1"/>
    <w:rsid w:val="00015CFD"/>
    <w:rsid w:val="00015D8A"/>
    <w:rsid w:val="00017147"/>
    <w:rsid w:val="00017D1D"/>
    <w:rsid w:val="00020289"/>
    <w:rsid w:val="00020354"/>
    <w:rsid w:val="000213D7"/>
    <w:rsid w:val="0002153A"/>
    <w:rsid w:val="00021BCA"/>
    <w:rsid w:val="00021D02"/>
    <w:rsid w:val="00022B38"/>
    <w:rsid w:val="00022CE0"/>
    <w:rsid w:val="000238A6"/>
    <w:rsid w:val="00023DC7"/>
    <w:rsid w:val="000244D7"/>
    <w:rsid w:val="00025162"/>
    <w:rsid w:val="000252F5"/>
    <w:rsid w:val="000259FF"/>
    <w:rsid w:val="00025D1B"/>
    <w:rsid w:val="000261CD"/>
    <w:rsid w:val="000262DB"/>
    <w:rsid w:val="000269DE"/>
    <w:rsid w:val="0002752E"/>
    <w:rsid w:val="000276B9"/>
    <w:rsid w:val="0002787B"/>
    <w:rsid w:val="000279ED"/>
    <w:rsid w:val="00027D04"/>
    <w:rsid w:val="000308E0"/>
    <w:rsid w:val="0003095E"/>
    <w:rsid w:val="00030A96"/>
    <w:rsid w:val="00030A97"/>
    <w:rsid w:val="00030B52"/>
    <w:rsid w:val="00030FD4"/>
    <w:rsid w:val="00031599"/>
    <w:rsid w:val="000316ED"/>
    <w:rsid w:val="00031CC0"/>
    <w:rsid w:val="000320EE"/>
    <w:rsid w:val="00032331"/>
    <w:rsid w:val="000326DA"/>
    <w:rsid w:val="000330E0"/>
    <w:rsid w:val="00033220"/>
    <w:rsid w:val="0003340A"/>
    <w:rsid w:val="0003343A"/>
    <w:rsid w:val="000336AC"/>
    <w:rsid w:val="00035101"/>
    <w:rsid w:val="000351E8"/>
    <w:rsid w:val="0003558E"/>
    <w:rsid w:val="00035639"/>
    <w:rsid w:val="000358A7"/>
    <w:rsid w:val="00035D57"/>
    <w:rsid w:val="00036056"/>
    <w:rsid w:val="00036179"/>
    <w:rsid w:val="000362AB"/>
    <w:rsid w:val="000364E2"/>
    <w:rsid w:val="000364FE"/>
    <w:rsid w:val="00036D35"/>
    <w:rsid w:val="00036E49"/>
    <w:rsid w:val="00037B76"/>
    <w:rsid w:val="00037EF8"/>
    <w:rsid w:val="0004004F"/>
    <w:rsid w:val="00040C00"/>
    <w:rsid w:val="000413DF"/>
    <w:rsid w:val="000421AC"/>
    <w:rsid w:val="00042453"/>
    <w:rsid w:val="000425B9"/>
    <w:rsid w:val="00042E27"/>
    <w:rsid w:val="0004378D"/>
    <w:rsid w:val="00043CA9"/>
    <w:rsid w:val="00043EAE"/>
    <w:rsid w:val="00043F3F"/>
    <w:rsid w:val="00044915"/>
    <w:rsid w:val="00044CA1"/>
    <w:rsid w:val="000452CD"/>
    <w:rsid w:val="00045371"/>
    <w:rsid w:val="00045767"/>
    <w:rsid w:val="00045C49"/>
    <w:rsid w:val="00045D4F"/>
    <w:rsid w:val="00045FB1"/>
    <w:rsid w:val="000462DF"/>
    <w:rsid w:val="000464C1"/>
    <w:rsid w:val="00046AF1"/>
    <w:rsid w:val="00046D0B"/>
    <w:rsid w:val="000471CC"/>
    <w:rsid w:val="000472B7"/>
    <w:rsid w:val="000476DE"/>
    <w:rsid w:val="000478FC"/>
    <w:rsid w:val="00047AB9"/>
    <w:rsid w:val="000501C2"/>
    <w:rsid w:val="0005051E"/>
    <w:rsid w:val="00050627"/>
    <w:rsid w:val="00050B41"/>
    <w:rsid w:val="000515C8"/>
    <w:rsid w:val="000516DB"/>
    <w:rsid w:val="000519AF"/>
    <w:rsid w:val="00051B04"/>
    <w:rsid w:val="0005251B"/>
    <w:rsid w:val="000527C6"/>
    <w:rsid w:val="000527D5"/>
    <w:rsid w:val="00052C66"/>
    <w:rsid w:val="00052FD9"/>
    <w:rsid w:val="000534B5"/>
    <w:rsid w:val="00053881"/>
    <w:rsid w:val="00053B61"/>
    <w:rsid w:val="00053C34"/>
    <w:rsid w:val="00053D72"/>
    <w:rsid w:val="00054114"/>
    <w:rsid w:val="0005429D"/>
    <w:rsid w:val="000543F4"/>
    <w:rsid w:val="00054524"/>
    <w:rsid w:val="000547EC"/>
    <w:rsid w:val="00054B57"/>
    <w:rsid w:val="00054EF9"/>
    <w:rsid w:val="00054F6A"/>
    <w:rsid w:val="00055315"/>
    <w:rsid w:val="00055559"/>
    <w:rsid w:val="00055917"/>
    <w:rsid w:val="0005622A"/>
    <w:rsid w:val="00056C41"/>
    <w:rsid w:val="00056DA6"/>
    <w:rsid w:val="00057241"/>
    <w:rsid w:val="00057C21"/>
    <w:rsid w:val="00057C9F"/>
    <w:rsid w:val="00060083"/>
    <w:rsid w:val="000609ED"/>
    <w:rsid w:val="00060BB7"/>
    <w:rsid w:val="0006117F"/>
    <w:rsid w:val="0006148B"/>
    <w:rsid w:val="000626E3"/>
    <w:rsid w:val="00062D4D"/>
    <w:rsid w:val="00063CD8"/>
    <w:rsid w:val="00063FA3"/>
    <w:rsid w:val="00064A75"/>
    <w:rsid w:val="00064AC1"/>
    <w:rsid w:val="00064EC9"/>
    <w:rsid w:val="0006526A"/>
    <w:rsid w:val="00065425"/>
    <w:rsid w:val="000656EB"/>
    <w:rsid w:val="000659BF"/>
    <w:rsid w:val="00065B3B"/>
    <w:rsid w:val="00065D3C"/>
    <w:rsid w:val="0006601C"/>
    <w:rsid w:val="00066208"/>
    <w:rsid w:val="00066C1B"/>
    <w:rsid w:val="000675D4"/>
    <w:rsid w:val="000675FF"/>
    <w:rsid w:val="000676E3"/>
    <w:rsid w:val="000677C5"/>
    <w:rsid w:val="000679EB"/>
    <w:rsid w:val="00067F8C"/>
    <w:rsid w:val="0007013D"/>
    <w:rsid w:val="0007066E"/>
    <w:rsid w:val="00070AA9"/>
    <w:rsid w:val="00070D8D"/>
    <w:rsid w:val="0007101C"/>
    <w:rsid w:val="00071410"/>
    <w:rsid w:val="00071E12"/>
    <w:rsid w:val="000721DF"/>
    <w:rsid w:val="0007227A"/>
    <w:rsid w:val="00072830"/>
    <w:rsid w:val="00072997"/>
    <w:rsid w:val="00072E13"/>
    <w:rsid w:val="000732BC"/>
    <w:rsid w:val="00073B76"/>
    <w:rsid w:val="00073C1C"/>
    <w:rsid w:val="00073E17"/>
    <w:rsid w:val="00073ECB"/>
    <w:rsid w:val="0007426C"/>
    <w:rsid w:val="00074504"/>
    <w:rsid w:val="0007460C"/>
    <w:rsid w:val="00074835"/>
    <w:rsid w:val="00074980"/>
    <w:rsid w:val="00074D2F"/>
    <w:rsid w:val="00074F68"/>
    <w:rsid w:val="00075280"/>
    <w:rsid w:val="0007531A"/>
    <w:rsid w:val="00075421"/>
    <w:rsid w:val="00075A71"/>
    <w:rsid w:val="00075AE4"/>
    <w:rsid w:val="00075AFE"/>
    <w:rsid w:val="00076016"/>
    <w:rsid w:val="00076037"/>
    <w:rsid w:val="00076045"/>
    <w:rsid w:val="0007617B"/>
    <w:rsid w:val="00077340"/>
    <w:rsid w:val="000773C8"/>
    <w:rsid w:val="000773F2"/>
    <w:rsid w:val="00077D5A"/>
    <w:rsid w:val="00077E5B"/>
    <w:rsid w:val="000803D2"/>
    <w:rsid w:val="000808B9"/>
    <w:rsid w:val="00080AC0"/>
    <w:rsid w:val="00080AD4"/>
    <w:rsid w:val="00080F73"/>
    <w:rsid w:val="000813B9"/>
    <w:rsid w:val="000814FF"/>
    <w:rsid w:val="000818D8"/>
    <w:rsid w:val="00081962"/>
    <w:rsid w:val="00081A9D"/>
    <w:rsid w:val="00082017"/>
    <w:rsid w:val="000821A2"/>
    <w:rsid w:val="000823E4"/>
    <w:rsid w:val="00082846"/>
    <w:rsid w:val="00082FBC"/>
    <w:rsid w:val="0008308D"/>
    <w:rsid w:val="000831CE"/>
    <w:rsid w:val="00083869"/>
    <w:rsid w:val="00083C71"/>
    <w:rsid w:val="00084309"/>
    <w:rsid w:val="00084599"/>
    <w:rsid w:val="000847F1"/>
    <w:rsid w:val="00084A55"/>
    <w:rsid w:val="00084BAB"/>
    <w:rsid w:val="000862F5"/>
    <w:rsid w:val="0008657E"/>
    <w:rsid w:val="0008670D"/>
    <w:rsid w:val="00086C36"/>
    <w:rsid w:val="00086DD4"/>
    <w:rsid w:val="00087023"/>
    <w:rsid w:val="00087339"/>
    <w:rsid w:val="00087866"/>
    <w:rsid w:val="000878B4"/>
    <w:rsid w:val="00087C73"/>
    <w:rsid w:val="00090BCF"/>
    <w:rsid w:val="00090FFA"/>
    <w:rsid w:val="00091500"/>
    <w:rsid w:val="00091A93"/>
    <w:rsid w:val="00091CE9"/>
    <w:rsid w:val="0009328C"/>
    <w:rsid w:val="000934EA"/>
    <w:rsid w:val="00093779"/>
    <w:rsid w:val="0009399C"/>
    <w:rsid w:val="00093FDC"/>
    <w:rsid w:val="000940A3"/>
    <w:rsid w:val="00094105"/>
    <w:rsid w:val="00094494"/>
    <w:rsid w:val="000945AA"/>
    <w:rsid w:val="00094C24"/>
    <w:rsid w:val="0009505F"/>
    <w:rsid w:val="0009524B"/>
    <w:rsid w:val="00095880"/>
    <w:rsid w:val="000963A9"/>
    <w:rsid w:val="00096821"/>
    <w:rsid w:val="00096C8E"/>
    <w:rsid w:val="00096E51"/>
    <w:rsid w:val="00096F7E"/>
    <w:rsid w:val="000972FC"/>
    <w:rsid w:val="00097435"/>
    <w:rsid w:val="000975DC"/>
    <w:rsid w:val="00097E71"/>
    <w:rsid w:val="00097FB1"/>
    <w:rsid w:val="000A0E0C"/>
    <w:rsid w:val="000A0FB2"/>
    <w:rsid w:val="000A1045"/>
    <w:rsid w:val="000A12DD"/>
    <w:rsid w:val="000A161B"/>
    <w:rsid w:val="000A166E"/>
    <w:rsid w:val="000A16D1"/>
    <w:rsid w:val="000A1A47"/>
    <w:rsid w:val="000A1F06"/>
    <w:rsid w:val="000A20EB"/>
    <w:rsid w:val="000A23E1"/>
    <w:rsid w:val="000A250B"/>
    <w:rsid w:val="000A2571"/>
    <w:rsid w:val="000A318D"/>
    <w:rsid w:val="000A3389"/>
    <w:rsid w:val="000A389A"/>
    <w:rsid w:val="000A3904"/>
    <w:rsid w:val="000A3AE1"/>
    <w:rsid w:val="000A3D32"/>
    <w:rsid w:val="000A4E1A"/>
    <w:rsid w:val="000A557A"/>
    <w:rsid w:val="000A59A9"/>
    <w:rsid w:val="000A5B77"/>
    <w:rsid w:val="000A61E1"/>
    <w:rsid w:val="000A6503"/>
    <w:rsid w:val="000A6AE5"/>
    <w:rsid w:val="000A6EDC"/>
    <w:rsid w:val="000A6FE7"/>
    <w:rsid w:val="000A7E4F"/>
    <w:rsid w:val="000B025A"/>
    <w:rsid w:val="000B04F0"/>
    <w:rsid w:val="000B0EE7"/>
    <w:rsid w:val="000B10FE"/>
    <w:rsid w:val="000B116C"/>
    <w:rsid w:val="000B173C"/>
    <w:rsid w:val="000B1C06"/>
    <w:rsid w:val="000B2789"/>
    <w:rsid w:val="000B29EA"/>
    <w:rsid w:val="000B2A6F"/>
    <w:rsid w:val="000B2B65"/>
    <w:rsid w:val="000B355D"/>
    <w:rsid w:val="000B3EFB"/>
    <w:rsid w:val="000B4108"/>
    <w:rsid w:val="000B4C43"/>
    <w:rsid w:val="000B52FE"/>
    <w:rsid w:val="000B5496"/>
    <w:rsid w:val="000B5AB5"/>
    <w:rsid w:val="000B5D55"/>
    <w:rsid w:val="000B63D7"/>
    <w:rsid w:val="000B63FB"/>
    <w:rsid w:val="000B7189"/>
    <w:rsid w:val="000B7666"/>
    <w:rsid w:val="000B7738"/>
    <w:rsid w:val="000B7C86"/>
    <w:rsid w:val="000C01F7"/>
    <w:rsid w:val="000C0764"/>
    <w:rsid w:val="000C097A"/>
    <w:rsid w:val="000C0E97"/>
    <w:rsid w:val="000C122C"/>
    <w:rsid w:val="000C12B4"/>
    <w:rsid w:val="000C155F"/>
    <w:rsid w:val="000C1622"/>
    <w:rsid w:val="000C1ABF"/>
    <w:rsid w:val="000C1E5A"/>
    <w:rsid w:val="000C29C2"/>
    <w:rsid w:val="000C32B9"/>
    <w:rsid w:val="000C3444"/>
    <w:rsid w:val="000C36C2"/>
    <w:rsid w:val="000C40C9"/>
    <w:rsid w:val="000C4301"/>
    <w:rsid w:val="000C4615"/>
    <w:rsid w:val="000C4D4C"/>
    <w:rsid w:val="000C4E4F"/>
    <w:rsid w:val="000C6072"/>
    <w:rsid w:val="000C6427"/>
    <w:rsid w:val="000C655A"/>
    <w:rsid w:val="000C6744"/>
    <w:rsid w:val="000C6A0C"/>
    <w:rsid w:val="000C6BF0"/>
    <w:rsid w:val="000C72AE"/>
    <w:rsid w:val="000C7617"/>
    <w:rsid w:val="000D0153"/>
    <w:rsid w:val="000D0843"/>
    <w:rsid w:val="000D0ABD"/>
    <w:rsid w:val="000D0CE1"/>
    <w:rsid w:val="000D1152"/>
    <w:rsid w:val="000D18E5"/>
    <w:rsid w:val="000D199D"/>
    <w:rsid w:val="000D1A64"/>
    <w:rsid w:val="000D1FC9"/>
    <w:rsid w:val="000D2D29"/>
    <w:rsid w:val="000D31EC"/>
    <w:rsid w:val="000D36C2"/>
    <w:rsid w:val="000D3C47"/>
    <w:rsid w:val="000D3C4A"/>
    <w:rsid w:val="000D4103"/>
    <w:rsid w:val="000D489C"/>
    <w:rsid w:val="000D4B3A"/>
    <w:rsid w:val="000D4C8E"/>
    <w:rsid w:val="000D5244"/>
    <w:rsid w:val="000D54EA"/>
    <w:rsid w:val="000D553B"/>
    <w:rsid w:val="000D5AD2"/>
    <w:rsid w:val="000D5C3B"/>
    <w:rsid w:val="000D63AD"/>
    <w:rsid w:val="000D63C7"/>
    <w:rsid w:val="000D6448"/>
    <w:rsid w:val="000D7414"/>
    <w:rsid w:val="000D748D"/>
    <w:rsid w:val="000D777F"/>
    <w:rsid w:val="000D77A6"/>
    <w:rsid w:val="000D77B2"/>
    <w:rsid w:val="000D7C4E"/>
    <w:rsid w:val="000D7CAB"/>
    <w:rsid w:val="000D7CF6"/>
    <w:rsid w:val="000D7D47"/>
    <w:rsid w:val="000E02A9"/>
    <w:rsid w:val="000E06C3"/>
    <w:rsid w:val="000E0ECA"/>
    <w:rsid w:val="000E1456"/>
    <w:rsid w:val="000E1AAF"/>
    <w:rsid w:val="000E1BFD"/>
    <w:rsid w:val="000E2088"/>
    <w:rsid w:val="000E215C"/>
    <w:rsid w:val="000E2185"/>
    <w:rsid w:val="000E232E"/>
    <w:rsid w:val="000E2446"/>
    <w:rsid w:val="000E2783"/>
    <w:rsid w:val="000E2F88"/>
    <w:rsid w:val="000E314A"/>
    <w:rsid w:val="000E3540"/>
    <w:rsid w:val="000E3937"/>
    <w:rsid w:val="000E3BA2"/>
    <w:rsid w:val="000E3C57"/>
    <w:rsid w:val="000E50E3"/>
    <w:rsid w:val="000E5F24"/>
    <w:rsid w:val="000E5F4E"/>
    <w:rsid w:val="000E6610"/>
    <w:rsid w:val="000E7355"/>
    <w:rsid w:val="000E784C"/>
    <w:rsid w:val="000E78E7"/>
    <w:rsid w:val="000E7FB5"/>
    <w:rsid w:val="000F005B"/>
    <w:rsid w:val="000F0776"/>
    <w:rsid w:val="000F0B7D"/>
    <w:rsid w:val="000F1F9C"/>
    <w:rsid w:val="000F24A1"/>
    <w:rsid w:val="000F259C"/>
    <w:rsid w:val="000F3D5D"/>
    <w:rsid w:val="000F3D5F"/>
    <w:rsid w:val="000F426C"/>
    <w:rsid w:val="000F4313"/>
    <w:rsid w:val="000F45E6"/>
    <w:rsid w:val="000F470D"/>
    <w:rsid w:val="000F4783"/>
    <w:rsid w:val="000F4792"/>
    <w:rsid w:val="000F4A19"/>
    <w:rsid w:val="000F4A33"/>
    <w:rsid w:val="000F4CBD"/>
    <w:rsid w:val="000F4E96"/>
    <w:rsid w:val="000F5BE2"/>
    <w:rsid w:val="000F5D59"/>
    <w:rsid w:val="000F5E49"/>
    <w:rsid w:val="000F5F3B"/>
    <w:rsid w:val="000F60C8"/>
    <w:rsid w:val="000F618D"/>
    <w:rsid w:val="000F6A07"/>
    <w:rsid w:val="000F72ED"/>
    <w:rsid w:val="000F7A2C"/>
    <w:rsid w:val="000F7E8A"/>
    <w:rsid w:val="00100054"/>
    <w:rsid w:val="001000F5"/>
    <w:rsid w:val="00100903"/>
    <w:rsid w:val="00100A82"/>
    <w:rsid w:val="00100BC7"/>
    <w:rsid w:val="00100DC0"/>
    <w:rsid w:val="00100FB8"/>
    <w:rsid w:val="0010144E"/>
    <w:rsid w:val="0010169E"/>
    <w:rsid w:val="00101825"/>
    <w:rsid w:val="00101E84"/>
    <w:rsid w:val="001027C0"/>
    <w:rsid w:val="00102C9F"/>
    <w:rsid w:val="00102EF5"/>
    <w:rsid w:val="00102F1A"/>
    <w:rsid w:val="00103455"/>
    <w:rsid w:val="0010385E"/>
    <w:rsid w:val="00103D39"/>
    <w:rsid w:val="00103E50"/>
    <w:rsid w:val="001054F0"/>
    <w:rsid w:val="001058DE"/>
    <w:rsid w:val="00105EF1"/>
    <w:rsid w:val="00105F05"/>
    <w:rsid w:val="00106EA3"/>
    <w:rsid w:val="00107030"/>
    <w:rsid w:val="00107F79"/>
    <w:rsid w:val="00110632"/>
    <w:rsid w:val="00110772"/>
    <w:rsid w:val="001107D5"/>
    <w:rsid w:val="00110C03"/>
    <w:rsid w:val="00110C9E"/>
    <w:rsid w:val="00110FC4"/>
    <w:rsid w:val="00111D08"/>
    <w:rsid w:val="00111F88"/>
    <w:rsid w:val="00111FD9"/>
    <w:rsid w:val="0011244F"/>
    <w:rsid w:val="001127CF"/>
    <w:rsid w:val="00112A15"/>
    <w:rsid w:val="00112C2A"/>
    <w:rsid w:val="00112D93"/>
    <w:rsid w:val="00113769"/>
    <w:rsid w:val="00113C72"/>
    <w:rsid w:val="00113DA6"/>
    <w:rsid w:val="00114709"/>
    <w:rsid w:val="00116087"/>
    <w:rsid w:val="001169DC"/>
    <w:rsid w:val="00116ADA"/>
    <w:rsid w:val="00116BE0"/>
    <w:rsid w:val="00117257"/>
    <w:rsid w:val="00117511"/>
    <w:rsid w:val="00117E86"/>
    <w:rsid w:val="00120052"/>
    <w:rsid w:val="001205A0"/>
    <w:rsid w:val="00120C7F"/>
    <w:rsid w:val="00120CEE"/>
    <w:rsid w:val="00120EE8"/>
    <w:rsid w:val="00120FBF"/>
    <w:rsid w:val="001217F7"/>
    <w:rsid w:val="00121900"/>
    <w:rsid w:val="00121C97"/>
    <w:rsid w:val="00122001"/>
    <w:rsid w:val="00122271"/>
    <w:rsid w:val="0012228F"/>
    <w:rsid w:val="001225C3"/>
    <w:rsid w:val="0012287F"/>
    <w:rsid w:val="00122AA2"/>
    <w:rsid w:val="0012329E"/>
    <w:rsid w:val="001232D6"/>
    <w:rsid w:val="00123686"/>
    <w:rsid w:val="0012411F"/>
    <w:rsid w:val="00124124"/>
    <w:rsid w:val="00124836"/>
    <w:rsid w:val="00125044"/>
    <w:rsid w:val="0012586F"/>
    <w:rsid w:val="00125B9F"/>
    <w:rsid w:val="00125D46"/>
    <w:rsid w:val="00125FD6"/>
    <w:rsid w:val="001267D5"/>
    <w:rsid w:val="00126D98"/>
    <w:rsid w:val="00126FBF"/>
    <w:rsid w:val="00127A56"/>
    <w:rsid w:val="00127C5E"/>
    <w:rsid w:val="00127D62"/>
    <w:rsid w:val="00127FFC"/>
    <w:rsid w:val="00130155"/>
    <w:rsid w:val="001307EB"/>
    <w:rsid w:val="00130A21"/>
    <w:rsid w:val="001311CD"/>
    <w:rsid w:val="001320B7"/>
    <w:rsid w:val="0013242B"/>
    <w:rsid w:val="00132A0E"/>
    <w:rsid w:val="001330B8"/>
    <w:rsid w:val="0013370A"/>
    <w:rsid w:val="00133A67"/>
    <w:rsid w:val="001343C6"/>
    <w:rsid w:val="0013449B"/>
    <w:rsid w:val="00134808"/>
    <w:rsid w:val="00134F48"/>
    <w:rsid w:val="001351F1"/>
    <w:rsid w:val="00135361"/>
    <w:rsid w:val="00135484"/>
    <w:rsid w:val="00135793"/>
    <w:rsid w:val="0013588C"/>
    <w:rsid w:val="00135E76"/>
    <w:rsid w:val="00136B98"/>
    <w:rsid w:val="00136F96"/>
    <w:rsid w:val="00137152"/>
    <w:rsid w:val="00137DBF"/>
    <w:rsid w:val="00140046"/>
    <w:rsid w:val="001407AE"/>
    <w:rsid w:val="001407E7"/>
    <w:rsid w:val="0014087C"/>
    <w:rsid w:val="00140D67"/>
    <w:rsid w:val="001411A2"/>
    <w:rsid w:val="00141559"/>
    <w:rsid w:val="0014169E"/>
    <w:rsid w:val="0014183E"/>
    <w:rsid w:val="00141B44"/>
    <w:rsid w:val="00141CD8"/>
    <w:rsid w:val="00141D33"/>
    <w:rsid w:val="00142749"/>
    <w:rsid w:val="00142948"/>
    <w:rsid w:val="00142CDF"/>
    <w:rsid w:val="00142F49"/>
    <w:rsid w:val="0014313E"/>
    <w:rsid w:val="0014315F"/>
    <w:rsid w:val="0014318A"/>
    <w:rsid w:val="001437A8"/>
    <w:rsid w:val="00143941"/>
    <w:rsid w:val="00143CBE"/>
    <w:rsid w:val="00144149"/>
    <w:rsid w:val="00144151"/>
    <w:rsid w:val="001446A9"/>
    <w:rsid w:val="00144D1B"/>
    <w:rsid w:val="00144F3E"/>
    <w:rsid w:val="0014545D"/>
    <w:rsid w:val="0014579C"/>
    <w:rsid w:val="00145813"/>
    <w:rsid w:val="00145C95"/>
    <w:rsid w:val="00146297"/>
    <w:rsid w:val="0014633A"/>
    <w:rsid w:val="001464FE"/>
    <w:rsid w:val="00146B99"/>
    <w:rsid w:val="00146D38"/>
    <w:rsid w:val="00146E24"/>
    <w:rsid w:val="00147557"/>
    <w:rsid w:val="00147924"/>
    <w:rsid w:val="00147BA3"/>
    <w:rsid w:val="00147D47"/>
    <w:rsid w:val="00150454"/>
    <w:rsid w:val="001506CA"/>
    <w:rsid w:val="0015078E"/>
    <w:rsid w:val="001507F1"/>
    <w:rsid w:val="00150979"/>
    <w:rsid w:val="00151218"/>
    <w:rsid w:val="001520A7"/>
    <w:rsid w:val="001521F6"/>
    <w:rsid w:val="0015280D"/>
    <w:rsid w:val="00152E9A"/>
    <w:rsid w:val="00153301"/>
    <w:rsid w:val="0015356C"/>
    <w:rsid w:val="0015399E"/>
    <w:rsid w:val="00153EB8"/>
    <w:rsid w:val="001540C1"/>
    <w:rsid w:val="001547EB"/>
    <w:rsid w:val="00154BDC"/>
    <w:rsid w:val="00154C49"/>
    <w:rsid w:val="00154D5F"/>
    <w:rsid w:val="00154EE5"/>
    <w:rsid w:val="0015504F"/>
    <w:rsid w:val="00155490"/>
    <w:rsid w:val="0015551D"/>
    <w:rsid w:val="00155AC1"/>
    <w:rsid w:val="00155C80"/>
    <w:rsid w:val="0015600B"/>
    <w:rsid w:val="001561B4"/>
    <w:rsid w:val="00156583"/>
    <w:rsid w:val="00156918"/>
    <w:rsid w:val="0015710C"/>
    <w:rsid w:val="001576FE"/>
    <w:rsid w:val="00157BEE"/>
    <w:rsid w:val="00160187"/>
    <w:rsid w:val="0016053D"/>
    <w:rsid w:val="00160ADC"/>
    <w:rsid w:val="00160C52"/>
    <w:rsid w:val="00160EF3"/>
    <w:rsid w:val="0016110D"/>
    <w:rsid w:val="00161189"/>
    <w:rsid w:val="00161271"/>
    <w:rsid w:val="00161461"/>
    <w:rsid w:val="00161595"/>
    <w:rsid w:val="001615E7"/>
    <w:rsid w:val="00161A87"/>
    <w:rsid w:val="00161C9C"/>
    <w:rsid w:val="0016255B"/>
    <w:rsid w:val="00162650"/>
    <w:rsid w:val="00162C50"/>
    <w:rsid w:val="00162E8E"/>
    <w:rsid w:val="00162EC2"/>
    <w:rsid w:val="00162F6D"/>
    <w:rsid w:val="001631C8"/>
    <w:rsid w:val="00163827"/>
    <w:rsid w:val="00163982"/>
    <w:rsid w:val="00163D2B"/>
    <w:rsid w:val="00163FB4"/>
    <w:rsid w:val="00164ACD"/>
    <w:rsid w:val="0016500E"/>
    <w:rsid w:val="00165088"/>
    <w:rsid w:val="0016561C"/>
    <w:rsid w:val="00165E59"/>
    <w:rsid w:val="001660F0"/>
    <w:rsid w:val="00166560"/>
    <w:rsid w:val="00166E64"/>
    <w:rsid w:val="00167600"/>
    <w:rsid w:val="00167F84"/>
    <w:rsid w:val="00170393"/>
    <w:rsid w:val="001704B0"/>
    <w:rsid w:val="001707CE"/>
    <w:rsid w:val="001708A6"/>
    <w:rsid w:val="00170990"/>
    <w:rsid w:val="001711B0"/>
    <w:rsid w:val="00171302"/>
    <w:rsid w:val="00171B62"/>
    <w:rsid w:val="00171D4B"/>
    <w:rsid w:val="001721D0"/>
    <w:rsid w:val="00172FC8"/>
    <w:rsid w:val="0017382F"/>
    <w:rsid w:val="00173B26"/>
    <w:rsid w:val="0017473B"/>
    <w:rsid w:val="00174DA4"/>
    <w:rsid w:val="00174E17"/>
    <w:rsid w:val="001752E4"/>
    <w:rsid w:val="00175A32"/>
    <w:rsid w:val="00175CCF"/>
    <w:rsid w:val="00175E21"/>
    <w:rsid w:val="00175EDC"/>
    <w:rsid w:val="00176084"/>
    <w:rsid w:val="00176101"/>
    <w:rsid w:val="00176C73"/>
    <w:rsid w:val="00176FB6"/>
    <w:rsid w:val="00177267"/>
    <w:rsid w:val="00177413"/>
    <w:rsid w:val="00177650"/>
    <w:rsid w:val="00177660"/>
    <w:rsid w:val="00180276"/>
    <w:rsid w:val="00180C63"/>
    <w:rsid w:val="00180EBE"/>
    <w:rsid w:val="00181319"/>
    <w:rsid w:val="00181AE6"/>
    <w:rsid w:val="001829F6"/>
    <w:rsid w:val="00182A66"/>
    <w:rsid w:val="001839F2"/>
    <w:rsid w:val="00183DD1"/>
    <w:rsid w:val="001843DA"/>
    <w:rsid w:val="001849B6"/>
    <w:rsid w:val="00184CF1"/>
    <w:rsid w:val="00184CFD"/>
    <w:rsid w:val="00184DFF"/>
    <w:rsid w:val="00184F20"/>
    <w:rsid w:val="001851B2"/>
    <w:rsid w:val="00185502"/>
    <w:rsid w:val="00185531"/>
    <w:rsid w:val="00185609"/>
    <w:rsid w:val="00185622"/>
    <w:rsid w:val="0018578C"/>
    <w:rsid w:val="001858D2"/>
    <w:rsid w:val="00185A64"/>
    <w:rsid w:val="00185B5C"/>
    <w:rsid w:val="0018602D"/>
    <w:rsid w:val="0018631D"/>
    <w:rsid w:val="00186360"/>
    <w:rsid w:val="00186A48"/>
    <w:rsid w:val="00186A90"/>
    <w:rsid w:val="00187CDD"/>
    <w:rsid w:val="00187D22"/>
    <w:rsid w:val="00190077"/>
    <w:rsid w:val="001906B5"/>
    <w:rsid w:val="00190B2F"/>
    <w:rsid w:val="00191093"/>
    <w:rsid w:val="00191A64"/>
    <w:rsid w:val="00192137"/>
    <w:rsid w:val="0019254E"/>
    <w:rsid w:val="00192AD7"/>
    <w:rsid w:val="00192CBC"/>
    <w:rsid w:val="00192D86"/>
    <w:rsid w:val="00192FF0"/>
    <w:rsid w:val="0019345D"/>
    <w:rsid w:val="00193BF5"/>
    <w:rsid w:val="00194196"/>
    <w:rsid w:val="00194A15"/>
    <w:rsid w:val="00194C57"/>
    <w:rsid w:val="00194FB3"/>
    <w:rsid w:val="00195654"/>
    <w:rsid w:val="001962ED"/>
    <w:rsid w:val="00196F39"/>
    <w:rsid w:val="00196FEA"/>
    <w:rsid w:val="0019705E"/>
    <w:rsid w:val="001970AB"/>
    <w:rsid w:val="0019746F"/>
    <w:rsid w:val="00197729"/>
    <w:rsid w:val="00197D9B"/>
    <w:rsid w:val="001A0528"/>
    <w:rsid w:val="001A0A7A"/>
    <w:rsid w:val="001A0BB3"/>
    <w:rsid w:val="001A0D69"/>
    <w:rsid w:val="001A19B5"/>
    <w:rsid w:val="001A22FD"/>
    <w:rsid w:val="001A230F"/>
    <w:rsid w:val="001A2414"/>
    <w:rsid w:val="001A265E"/>
    <w:rsid w:val="001A2A6B"/>
    <w:rsid w:val="001A2C69"/>
    <w:rsid w:val="001A2F22"/>
    <w:rsid w:val="001A3292"/>
    <w:rsid w:val="001A3336"/>
    <w:rsid w:val="001A3767"/>
    <w:rsid w:val="001A3845"/>
    <w:rsid w:val="001A39C9"/>
    <w:rsid w:val="001A3F89"/>
    <w:rsid w:val="001A42D1"/>
    <w:rsid w:val="001A4301"/>
    <w:rsid w:val="001A524A"/>
    <w:rsid w:val="001A55B8"/>
    <w:rsid w:val="001A5A82"/>
    <w:rsid w:val="001A5C76"/>
    <w:rsid w:val="001A61D6"/>
    <w:rsid w:val="001A6360"/>
    <w:rsid w:val="001A657D"/>
    <w:rsid w:val="001A6D6E"/>
    <w:rsid w:val="001A6DCA"/>
    <w:rsid w:val="001A6DCD"/>
    <w:rsid w:val="001A6E46"/>
    <w:rsid w:val="001A6E8C"/>
    <w:rsid w:val="001A71E8"/>
    <w:rsid w:val="001A787F"/>
    <w:rsid w:val="001B0069"/>
    <w:rsid w:val="001B0123"/>
    <w:rsid w:val="001B015C"/>
    <w:rsid w:val="001B01B1"/>
    <w:rsid w:val="001B0BEA"/>
    <w:rsid w:val="001B0EF0"/>
    <w:rsid w:val="001B11E4"/>
    <w:rsid w:val="001B169B"/>
    <w:rsid w:val="001B18F7"/>
    <w:rsid w:val="001B1B06"/>
    <w:rsid w:val="001B1CC3"/>
    <w:rsid w:val="001B20B1"/>
    <w:rsid w:val="001B21EB"/>
    <w:rsid w:val="001B2245"/>
    <w:rsid w:val="001B43DE"/>
    <w:rsid w:val="001B47BD"/>
    <w:rsid w:val="001B4837"/>
    <w:rsid w:val="001B4F9D"/>
    <w:rsid w:val="001B5106"/>
    <w:rsid w:val="001B5289"/>
    <w:rsid w:val="001B5DE9"/>
    <w:rsid w:val="001B5EE6"/>
    <w:rsid w:val="001B5FEE"/>
    <w:rsid w:val="001B6051"/>
    <w:rsid w:val="001B613C"/>
    <w:rsid w:val="001B6487"/>
    <w:rsid w:val="001B69E9"/>
    <w:rsid w:val="001B6B95"/>
    <w:rsid w:val="001B6F3F"/>
    <w:rsid w:val="001B6F91"/>
    <w:rsid w:val="001B6FB7"/>
    <w:rsid w:val="001C0134"/>
    <w:rsid w:val="001C02EA"/>
    <w:rsid w:val="001C048D"/>
    <w:rsid w:val="001C0671"/>
    <w:rsid w:val="001C09BF"/>
    <w:rsid w:val="001C0A20"/>
    <w:rsid w:val="001C0F7D"/>
    <w:rsid w:val="001C15EA"/>
    <w:rsid w:val="001C18E9"/>
    <w:rsid w:val="001C1A4A"/>
    <w:rsid w:val="001C21A7"/>
    <w:rsid w:val="001C25E5"/>
    <w:rsid w:val="001C2E26"/>
    <w:rsid w:val="001C2E4A"/>
    <w:rsid w:val="001C3927"/>
    <w:rsid w:val="001C3C56"/>
    <w:rsid w:val="001C3ED8"/>
    <w:rsid w:val="001C40C4"/>
    <w:rsid w:val="001C4AD2"/>
    <w:rsid w:val="001C5669"/>
    <w:rsid w:val="001C5CCC"/>
    <w:rsid w:val="001C5E04"/>
    <w:rsid w:val="001C6545"/>
    <w:rsid w:val="001C6BDC"/>
    <w:rsid w:val="001C6F06"/>
    <w:rsid w:val="001C7051"/>
    <w:rsid w:val="001C70A5"/>
    <w:rsid w:val="001C71E4"/>
    <w:rsid w:val="001C751C"/>
    <w:rsid w:val="001C7CAA"/>
    <w:rsid w:val="001D015C"/>
    <w:rsid w:val="001D0D48"/>
    <w:rsid w:val="001D0FA8"/>
    <w:rsid w:val="001D16A9"/>
    <w:rsid w:val="001D204B"/>
    <w:rsid w:val="001D22AB"/>
    <w:rsid w:val="001D23D3"/>
    <w:rsid w:val="001D2DD6"/>
    <w:rsid w:val="001D37BA"/>
    <w:rsid w:val="001D3CC7"/>
    <w:rsid w:val="001D3D2D"/>
    <w:rsid w:val="001D405D"/>
    <w:rsid w:val="001D4112"/>
    <w:rsid w:val="001D4333"/>
    <w:rsid w:val="001D45F8"/>
    <w:rsid w:val="001D485E"/>
    <w:rsid w:val="001D540A"/>
    <w:rsid w:val="001D54D6"/>
    <w:rsid w:val="001D5859"/>
    <w:rsid w:val="001D5DB4"/>
    <w:rsid w:val="001D5F30"/>
    <w:rsid w:val="001D68CE"/>
    <w:rsid w:val="001D6959"/>
    <w:rsid w:val="001D6C3A"/>
    <w:rsid w:val="001D6FF1"/>
    <w:rsid w:val="001D704A"/>
    <w:rsid w:val="001D72C8"/>
    <w:rsid w:val="001D761B"/>
    <w:rsid w:val="001D765A"/>
    <w:rsid w:val="001D77BB"/>
    <w:rsid w:val="001D7BCF"/>
    <w:rsid w:val="001D7C8D"/>
    <w:rsid w:val="001D7DFC"/>
    <w:rsid w:val="001E023F"/>
    <w:rsid w:val="001E0490"/>
    <w:rsid w:val="001E071B"/>
    <w:rsid w:val="001E098B"/>
    <w:rsid w:val="001E0AAD"/>
    <w:rsid w:val="001E101E"/>
    <w:rsid w:val="001E1262"/>
    <w:rsid w:val="001E179F"/>
    <w:rsid w:val="001E1FEE"/>
    <w:rsid w:val="001E218F"/>
    <w:rsid w:val="001E21B9"/>
    <w:rsid w:val="001E3630"/>
    <w:rsid w:val="001E3690"/>
    <w:rsid w:val="001E3757"/>
    <w:rsid w:val="001E3EF3"/>
    <w:rsid w:val="001E48FB"/>
    <w:rsid w:val="001E4DE4"/>
    <w:rsid w:val="001E56AB"/>
    <w:rsid w:val="001E5A7D"/>
    <w:rsid w:val="001E5B98"/>
    <w:rsid w:val="001E6209"/>
    <w:rsid w:val="001E6479"/>
    <w:rsid w:val="001E66ED"/>
    <w:rsid w:val="001E6E0C"/>
    <w:rsid w:val="001E6F6D"/>
    <w:rsid w:val="001E7130"/>
    <w:rsid w:val="001E7419"/>
    <w:rsid w:val="001E79AF"/>
    <w:rsid w:val="001E79E7"/>
    <w:rsid w:val="001E7A4D"/>
    <w:rsid w:val="001E7D3B"/>
    <w:rsid w:val="001F182D"/>
    <w:rsid w:val="001F2749"/>
    <w:rsid w:val="001F3582"/>
    <w:rsid w:val="001F3B16"/>
    <w:rsid w:val="001F4479"/>
    <w:rsid w:val="001F45EF"/>
    <w:rsid w:val="001F4C14"/>
    <w:rsid w:val="001F4F95"/>
    <w:rsid w:val="001F534E"/>
    <w:rsid w:val="001F58B5"/>
    <w:rsid w:val="001F597A"/>
    <w:rsid w:val="001F5CAD"/>
    <w:rsid w:val="001F6551"/>
    <w:rsid w:val="001F758E"/>
    <w:rsid w:val="001F7B22"/>
    <w:rsid w:val="001F7F92"/>
    <w:rsid w:val="0020012E"/>
    <w:rsid w:val="0020016E"/>
    <w:rsid w:val="002003C4"/>
    <w:rsid w:val="00200B1B"/>
    <w:rsid w:val="002010B9"/>
    <w:rsid w:val="00201770"/>
    <w:rsid w:val="002018AA"/>
    <w:rsid w:val="002023B0"/>
    <w:rsid w:val="00202429"/>
    <w:rsid w:val="0020302C"/>
    <w:rsid w:val="0020305E"/>
    <w:rsid w:val="002032DC"/>
    <w:rsid w:val="00203E97"/>
    <w:rsid w:val="00204461"/>
    <w:rsid w:val="00204958"/>
    <w:rsid w:val="00204E84"/>
    <w:rsid w:val="002055A7"/>
    <w:rsid w:val="00205B89"/>
    <w:rsid w:val="00205C37"/>
    <w:rsid w:val="00205DDF"/>
    <w:rsid w:val="00206100"/>
    <w:rsid w:val="00206474"/>
    <w:rsid w:val="00206905"/>
    <w:rsid w:val="00206BA2"/>
    <w:rsid w:val="0020781F"/>
    <w:rsid w:val="00207CB2"/>
    <w:rsid w:val="00207D6F"/>
    <w:rsid w:val="00210156"/>
    <w:rsid w:val="002102A5"/>
    <w:rsid w:val="00210303"/>
    <w:rsid w:val="00210575"/>
    <w:rsid w:val="00210919"/>
    <w:rsid w:val="00211DB4"/>
    <w:rsid w:val="0021245F"/>
    <w:rsid w:val="00213627"/>
    <w:rsid w:val="00213730"/>
    <w:rsid w:val="00214179"/>
    <w:rsid w:val="002144B5"/>
    <w:rsid w:val="00214FA8"/>
    <w:rsid w:val="00215191"/>
    <w:rsid w:val="0021525D"/>
    <w:rsid w:val="0021550B"/>
    <w:rsid w:val="00215566"/>
    <w:rsid w:val="00215579"/>
    <w:rsid w:val="0021587C"/>
    <w:rsid w:val="002158F3"/>
    <w:rsid w:val="00215C4F"/>
    <w:rsid w:val="002161A8"/>
    <w:rsid w:val="00216B24"/>
    <w:rsid w:val="00216C33"/>
    <w:rsid w:val="00216D06"/>
    <w:rsid w:val="00216DD5"/>
    <w:rsid w:val="002174E9"/>
    <w:rsid w:val="00217E2F"/>
    <w:rsid w:val="00220085"/>
    <w:rsid w:val="002204B7"/>
    <w:rsid w:val="002204EC"/>
    <w:rsid w:val="00220857"/>
    <w:rsid w:val="002209C2"/>
    <w:rsid w:val="00220BFE"/>
    <w:rsid w:val="0022122F"/>
    <w:rsid w:val="00221512"/>
    <w:rsid w:val="00221539"/>
    <w:rsid w:val="00221B19"/>
    <w:rsid w:val="00221BE5"/>
    <w:rsid w:val="00221D80"/>
    <w:rsid w:val="00222E34"/>
    <w:rsid w:val="002234FE"/>
    <w:rsid w:val="00223D87"/>
    <w:rsid w:val="00223DC2"/>
    <w:rsid w:val="00223E1D"/>
    <w:rsid w:val="00224293"/>
    <w:rsid w:val="00224584"/>
    <w:rsid w:val="00224736"/>
    <w:rsid w:val="00224DC7"/>
    <w:rsid w:val="002254B6"/>
    <w:rsid w:val="00225538"/>
    <w:rsid w:val="00225B2B"/>
    <w:rsid w:val="00225C3A"/>
    <w:rsid w:val="00225CFA"/>
    <w:rsid w:val="00226179"/>
    <w:rsid w:val="002263A9"/>
    <w:rsid w:val="002266D2"/>
    <w:rsid w:val="00226953"/>
    <w:rsid w:val="00226DE3"/>
    <w:rsid w:val="00227158"/>
    <w:rsid w:val="0022718C"/>
    <w:rsid w:val="00227E40"/>
    <w:rsid w:val="00230289"/>
    <w:rsid w:val="00230481"/>
    <w:rsid w:val="002305AC"/>
    <w:rsid w:val="00230A62"/>
    <w:rsid w:val="00230C77"/>
    <w:rsid w:val="0023191B"/>
    <w:rsid w:val="00231A22"/>
    <w:rsid w:val="00231DD5"/>
    <w:rsid w:val="002322FD"/>
    <w:rsid w:val="00232C6E"/>
    <w:rsid w:val="00232F0B"/>
    <w:rsid w:val="00232F53"/>
    <w:rsid w:val="002332E8"/>
    <w:rsid w:val="0023359F"/>
    <w:rsid w:val="00233848"/>
    <w:rsid w:val="00233E78"/>
    <w:rsid w:val="002345FF"/>
    <w:rsid w:val="0023465C"/>
    <w:rsid w:val="00234D40"/>
    <w:rsid w:val="00235C0E"/>
    <w:rsid w:val="00235F0B"/>
    <w:rsid w:val="002364C3"/>
    <w:rsid w:val="00236DA0"/>
    <w:rsid w:val="00236FBE"/>
    <w:rsid w:val="002379AD"/>
    <w:rsid w:val="0024009B"/>
    <w:rsid w:val="002406C6"/>
    <w:rsid w:val="00240981"/>
    <w:rsid w:val="00240D9B"/>
    <w:rsid w:val="00240FE8"/>
    <w:rsid w:val="00241564"/>
    <w:rsid w:val="00241595"/>
    <w:rsid w:val="002417B3"/>
    <w:rsid w:val="00241815"/>
    <w:rsid w:val="00241AA2"/>
    <w:rsid w:val="00241C8E"/>
    <w:rsid w:val="00241D1D"/>
    <w:rsid w:val="00241F03"/>
    <w:rsid w:val="00242284"/>
    <w:rsid w:val="002427A2"/>
    <w:rsid w:val="00242915"/>
    <w:rsid w:val="002429FA"/>
    <w:rsid w:val="00242B4C"/>
    <w:rsid w:val="00242CFC"/>
    <w:rsid w:val="0024317D"/>
    <w:rsid w:val="00243AD3"/>
    <w:rsid w:val="00243C18"/>
    <w:rsid w:val="00243CD1"/>
    <w:rsid w:val="00243E1A"/>
    <w:rsid w:val="0024432F"/>
    <w:rsid w:val="0024532E"/>
    <w:rsid w:val="002462C4"/>
    <w:rsid w:val="0024650E"/>
    <w:rsid w:val="002469A7"/>
    <w:rsid w:val="00246F27"/>
    <w:rsid w:val="002470DF"/>
    <w:rsid w:val="00247164"/>
    <w:rsid w:val="00247274"/>
    <w:rsid w:val="002478BB"/>
    <w:rsid w:val="00247A4B"/>
    <w:rsid w:val="00247B62"/>
    <w:rsid w:val="00250618"/>
    <w:rsid w:val="00251352"/>
    <w:rsid w:val="002513AA"/>
    <w:rsid w:val="00251589"/>
    <w:rsid w:val="0025164E"/>
    <w:rsid w:val="00251B3B"/>
    <w:rsid w:val="00253227"/>
    <w:rsid w:val="002532F9"/>
    <w:rsid w:val="002533A3"/>
    <w:rsid w:val="00254BAC"/>
    <w:rsid w:val="00255135"/>
    <w:rsid w:val="00255A5F"/>
    <w:rsid w:val="00255E1D"/>
    <w:rsid w:val="00255F75"/>
    <w:rsid w:val="00256207"/>
    <w:rsid w:val="0025630A"/>
    <w:rsid w:val="00256D95"/>
    <w:rsid w:val="00256FAF"/>
    <w:rsid w:val="002571C9"/>
    <w:rsid w:val="00257273"/>
    <w:rsid w:val="00257584"/>
    <w:rsid w:val="002578C1"/>
    <w:rsid w:val="00257CE6"/>
    <w:rsid w:val="00260B47"/>
    <w:rsid w:val="00260D30"/>
    <w:rsid w:val="00260E07"/>
    <w:rsid w:val="00260F36"/>
    <w:rsid w:val="00261A41"/>
    <w:rsid w:val="00261B14"/>
    <w:rsid w:val="00261FB4"/>
    <w:rsid w:val="002625C9"/>
    <w:rsid w:val="002629D6"/>
    <w:rsid w:val="00262A03"/>
    <w:rsid w:val="00262F0D"/>
    <w:rsid w:val="00263160"/>
    <w:rsid w:val="002637E9"/>
    <w:rsid w:val="002641A3"/>
    <w:rsid w:val="00264511"/>
    <w:rsid w:val="00264FDF"/>
    <w:rsid w:val="0026594F"/>
    <w:rsid w:val="002660AB"/>
    <w:rsid w:val="00266665"/>
    <w:rsid w:val="00266A5E"/>
    <w:rsid w:val="00266A8D"/>
    <w:rsid w:val="00267097"/>
    <w:rsid w:val="002675E7"/>
    <w:rsid w:val="00267C15"/>
    <w:rsid w:val="002703E0"/>
    <w:rsid w:val="00270761"/>
    <w:rsid w:val="00270866"/>
    <w:rsid w:val="00270D5F"/>
    <w:rsid w:val="00271433"/>
    <w:rsid w:val="002714C9"/>
    <w:rsid w:val="00271D9F"/>
    <w:rsid w:val="00272130"/>
    <w:rsid w:val="00272354"/>
    <w:rsid w:val="00272587"/>
    <w:rsid w:val="00272599"/>
    <w:rsid w:val="00272E75"/>
    <w:rsid w:val="00272F27"/>
    <w:rsid w:val="002737EF"/>
    <w:rsid w:val="00273882"/>
    <w:rsid w:val="002739BD"/>
    <w:rsid w:val="00273D3C"/>
    <w:rsid w:val="00273F35"/>
    <w:rsid w:val="00274094"/>
    <w:rsid w:val="00274211"/>
    <w:rsid w:val="00274295"/>
    <w:rsid w:val="00274C21"/>
    <w:rsid w:val="00274C7B"/>
    <w:rsid w:val="00274E76"/>
    <w:rsid w:val="00274FDD"/>
    <w:rsid w:val="0027532F"/>
    <w:rsid w:val="00275D79"/>
    <w:rsid w:val="00275DE9"/>
    <w:rsid w:val="00275F3A"/>
    <w:rsid w:val="00276899"/>
    <w:rsid w:val="00276C80"/>
    <w:rsid w:val="00276FF1"/>
    <w:rsid w:val="00277020"/>
    <w:rsid w:val="002771D9"/>
    <w:rsid w:val="002772E7"/>
    <w:rsid w:val="00277512"/>
    <w:rsid w:val="00277B8E"/>
    <w:rsid w:val="00277DBF"/>
    <w:rsid w:val="00277E7F"/>
    <w:rsid w:val="0028049E"/>
    <w:rsid w:val="00280501"/>
    <w:rsid w:val="00280A63"/>
    <w:rsid w:val="00281F6E"/>
    <w:rsid w:val="0028210D"/>
    <w:rsid w:val="00282ED1"/>
    <w:rsid w:val="0028306B"/>
    <w:rsid w:val="0028418E"/>
    <w:rsid w:val="002843FF"/>
    <w:rsid w:val="00284F97"/>
    <w:rsid w:val="00285729"/>
    <w:rsid w:val="002857DE"/>
    <w:rsid w:val="00285875"/>
    <w:rsid w:val="00285A0E"/>
    <w:rsid w:val="00285D60"/>
    <w:rsid w:val="00286081"/>
    <w:rsid w:val="00286144"/>
    <w:rsid w:val="00286148"/>
    <w:rsid w:val="002867BC"/>
    <w:rsid w:val="00286B80"/>
    <w:rsid w:val="0028719F"/>
    <w:rsid w:val="00287B79"/>
    <w:rsid w:val="00287BD1"/>
    <w:rsid w:val="00287D6D"/>
    <w:rsid w:val="0029008D"/>
    <w:rsid w:val="00290DDC"/>
    <w:rsid w:val="00290E36"/>
    <w:rsid w:val="00291495"/>
    <w:rsid w:val="00291661"/>
    <w:rsid w:val="00291CA2"/>
    <w:rsid w:val="0029204F"/>
    <w:rsid w:val="00292165"/>
    <w:rsid w:val="00292667"/>
    <w:rsid w:val="002930DC"/>
    <w:rsid w:val="002931A8"/>
    <w:rsid w:val="002934BC"/>
    <w:rsid w:val="00293D81"/>
    <w:rsid w:val="002942D5"/>
    <w:rsid w:val="00294C14"/>
    <w:rsid w:val="002950E0"/>
    <w:rsid w:val="0029579D"/>
    <w:rsid w:val="00295D12"/>
    <w:rsid w:val="0029615D"/>
    <w:rsid w:val="00297069"/>
    <w:rsid w:val="002A02BE"/>
    <w:rsid w:val="002A06B7"/>
    <w:rsid w:val="002A11EC"/>
    <w:rsid w:val="002A1DD1"/>
    <w:rsid w:val="002A1FB4"/>
    <w:rsid w:val="002A28C6"/>
    <w:rsid w:val="002A2998"/>
    <w:rsid w:val="002A2A21"/>
    <w:rsid w:val="002A3531"/>
    <w:rsid w:val="002A399E"/>
    <w:rsid w:val="002A3ABE"/>
    <w:rsid w:val="002A3E21"/>
    <w:rsid w:val="002A3FBD"/>
    <w:rsid w:val="002A4303"/>
    <w:rsid w:val="002A455E"/>
    <w:rsid w:val="002A4A18"/>
    <w:rsid w:val="002A4A52"/>
    <w:rsid w:val="002A4A76"/>
    <w:rsid w:val="002A5180"/>
    <w:rsid w:val="002A63E5"/>
    <w:rsid w:val="002A67AC"/>
    <w:rsid w:val="002A697B"/>
    <w:rsid w:val="002A705A"/>
    <w:rsid w:val="002A72CE"/>
    <w:rsid w:val="002A72DD"/>
    <w:rsid w:val="002A74C3"/>
    <w:rsid w:val="002A7AEA"/>
    <w:rsid w:val="002A7CCC"/>
    <w:rsid w:val="002A7D26"/>
    <w:rsid w:val="002A7EA8"/>
    <w:rsid w:val="002A7F2E"/>
    <w:rsid w:val="002A7F9D"/>
    <w:rsid w:val="002B00AE"/>
    <w:rsid w:val="002B02BC"/>
    <w:rsid w:val="002B0632"/>
    <w:rsid w:val="002B0C06"/>
    <w:rsid w:val="002B1022"/>
    <w:rsid w:val="002B174F"/>
    <w:rsid w:val="002B1CA6"/>
    <w:rsid w:val="002B1E23"/>
    <w:rsid w:val="002B260A"/>
    <w:rsid w:val="002B2AA8"/>
    <w:rsid w:val="002B2DA2"/>
    <w:rsid w:val="002B300C"/>
    <w:rsid w:val="002B32EC"/>
    <w:rsid w:val="002B35BA"/>
    <w:rsid w:val="002B371C"/>
    <w:rsid w:val="002B3917"/>
    <w:rsid w:val="002B3BEB"/>
    <w:rsid w:val="002B494C"/>
    <w:rsid w:val="002B4A9C"/>
    <w:rsid w:val="002B4E66"/>
    <w:rsid w:val="002B4EB8"/>
    <w:rsid w:val="002B55D8"/>
    <w:rsid w:val="002B58B8"/>
    <w:rsid w:val="002B5977"/>
    <w:rsid w:val="002B5B3F"/>
    <w:rsid w:val="002B65D5"/>
    <w:rsid w:val="002B67FD"/>
    <w:rsid w:val="002B6A5A"/>
    <w:rsid w:val="002B71A1"/>
    <w:rsid w:val="002B7211"/>
    <w:rsid w:val="002B7384"/>
    <w:rsid w:val="002B73A6"/>
    <w:rsid w:val="002B74C6"/>
    <w:rsid w:val="002B75D2"/>
    <w:rsid w:val="002B7815"/>
    <w:rsid w:val="002B7B89"/>
    <w:rsid w:val="002B7DC2"/>
    <w:rsid w:val="002B7E0B"/>
    <w:rsid w:val="002B7E16"/>
    <w:rsid w:val="002B7F26"/>
    <w:rsid w:val="002C001E"/>
    <w:rsid w:val="002C0069"/>
    <w:rsid w:val="002C00B6"/>
    <w:rsid w:val="002C066F"/>
    <w:rsid w:val="002C07BA"/>
    <w:rsid w:val="002C0A66"/>
    <w:rsid w:val="002C17D6"/>
    <w:rsid w:val="002C181D"/>
    <w:rsid w:val="002C1DD7"/>
    <w:rsid w:val="002C22E7"/>
    <w:rsid w:val="002C26EE"/>
    <w:rsid w:val="002C29B5"/>
    <w:rsid w:val="002C3957"/>
    <w:rsid w:val="002C4F22"/>
    <w:rsid w:val="002C50B4"/>
    <w:rsid w:val="002C5614"/>
    <w:rsid w:val="002C5887"/>
    <w:rsid w:val="002C6217"/>
    <w:rsid w:val="002C6DFC"/>
    <w:rsid w:val="002C6F5F"/>
    <w:rsid w:val="002C7003"/>
    <w:rsid w:val="002C74AE"/>
    <w:rsid w:val="002C7969"/>
    <w:rsid w:val="002C7A8C"/>
    <w:rsid w:val="002C7AA4"/>
    <w:rsid w:val="002C7B13"/>
    <w:rsid w:val="002C7BDD"/>
    <w:rsid w:val="002C7FDE"/>
    <w:rsid w:val="002D0053"/>
    <w:rsid w:val="002D03BE"/>
    <w:rsid w:val="002D06A8"/>
    <w:rsid w:val="002D074B"/>
    <w:rsid w:val="002D0EAB"/>
    <w:rsid w:val="002D17F6"/>
    <w:rsid w:val="002D1936"/>
    <w:rsid w:val="002D21F5"/>
    <w:rsid w:val="002D252A"/>
    <w:rsid w:val="002D254F"/>
    <w:rsid w:val="002D271E"/>
    <w:rsid w:val="002D27B3"/>
    <w:rsid w:val="002D2AF9"/>
    <w:rsid w:val="002D2CCB"/>
    <w:rsid w:val="002D2D30"/>
    <w:rsid w:val="002D2DB4"/>
    <w:rsid w:val="002D35E8"/>
    <w:rsid w:val="002D35F1"/>
    <w:rsid w:val="002D36D7"/>
    <w:rsid w:val="002D42A0"/>
    <w:rsid w:val="002D4628"/>
    <w:rsid w:val="002D481E"/>
    <w:rsid w:val="002D4E2D"/>
    <w:rsid w:val="002D576F"/>
    <w:rsid w:val="002D584D"/>
    <w:rsid w:val="002D5B38"/>
    <w:rsid w:val="002D6007"/>
    <w:rsid w:val="002D61C4"/>
    <w:rsid w:val="002D6289"/>
    <w:rsid w:val="002D70FC"/>
    <w:rsid w:val="002D7270"/>
    <w:rsid w:val="002D73AF"/>
    <w:rsid w:val="002D7D66"/>
    <w:rsid w:val="002D7E4E"/>
    <w:rsid w:val="002D7F0B"/>
    <w:rsid w:val="002E00B5"/>
    <w:rsid w:val="002E02AB"/>
    <w:rsid w:val="002E04D6"/>
    <w:rsid w:val="002E0651"/>
    <w:rsid w:val="002E0A2A"/>
    <w:rsid w:val="002E11E1"/>
    <w:rsid w:val="002E124B"/>
    <w:rsid w:val="002E1F98"/>
    <w:rsid w:val="002E21BD"/>
    <w:rsid w:val="002E2F7B"/>
    <w:rsid w:val="002E3638"/>
    <w:rsid w:val="002E4213"/>
    <w:rsid w:val="002E42C8"/>
    <w:rsid w:val="002E4E6A"/>
    <w:rsid w:val="002E51A4"/>
    <w:rsid w:val="002E5978"/>
    <w:rsid w:val="002E5A08"/>
    <w:rsid w:val="002E5B8C"/>
    <w:rsid w:val="002E6963"/>
    <w:rsid w:val="002E715C"/>
    <w:rsid w:val="002E754E"/>
    <w:rsid w:val="002E7E79"/>
    <w:rsid w:val="002F0227"/>
    <w:rsid w:val="002F0A3A"/>
    <w:rsid w:val="002F0DCA"/>
    <w:rsid w:val="002F1480"/>
    <w:rsid w:val="002F18CD"/>
    <w:rsid w:val="002F1926"/>
    <w:rsid w:val="002F1B45"/>
    <w:rsid w:val="002F1BCD"/>
    <w:rsid w:val="002F1CFE"/>
    <w:rsid w:val="002F1EA8"/>
    <w:rsid w:val="002F1EAB"/>
    <w:rsid w:val="002F2391"/>
    <w:rsid w:val="002F24B8"/>
    <w:rsid w:val="002F29AC"/>
    <w:rsid w:val="002F2AC5"/>
    <w:rsid w:val="002F2D71"/>
    <w:rsid w:val="002F3083"/>
    <w:rsid w:val="002F30A3"/>
    <w:rsid w:val="002F315A"/>
    <w:rsid w:val="002F31BC"/>
    <w:rsid w:val="002F35D5"/>
    <w:rsid w:val="002F3AC0"/>
    <w:rsid w:val="002F4256"/>
    <w:rsid w:val="002F43C5"/>
    <w:rsid w:val="002F4BAB"/>
    <w:rsid w:val="002F4DB2"/>
    <w:rsid w:val="002F551E"/>
    <w:rsid w:val="002F57D4"/>
    <w:rsid w:val="002F5C8B"/>
    <w:rsid w:val="002F618F"/>
    <w:rsid w:val="002F6293"/>
    <w:rsid w:val="002F653C"/>
    <w:rsid w:val="002F6602"/>
    <w:rsid w:val="002F678B"/>
    <w:rsid w:val="002F6D2E"/>
    <w:rsid w:val="002F7267"/>
    <w:rsid w:val="002F73F8"/>
    <w:rsid w:val="002F76F6"/>
    <w:rsid w:val="00300184"/>
    <w:rsid w:val="0030135E"/>
    <w:rsid w:val="00301904"/>
    <w:rsid w:val="0030197A"/>
    <w:rsid w:val="00302006"/>
    <w:rsid w:val="00302299"/>
    <w:rsid w:val="00302801"/>
    <w:rsid w:val="00302CAA"/>
    <w:rsid w:val="00303C8B"/>
    <w:rsid w:val="00304121"/>
    <w:rsid w:val="00304ABF"/>
    <w:rsid w:val="00304DA3"/>
    <w:rsid w:val="00304DD9"/>
    <w:rsid w:val="003050B5"/>
    <w:rsid w:val="003054A9"/>
    <w:rsid w:val="0030556F"/>
    <w:rsid w:val="0030568D"/>
    <w:rsid w:val="003058BF"/>
    <w:rsid w:val="00305CD0"/>
    <w:rsid w:val="00305D19"/>
    <w:rsid w:val="00306425"/>
    <w:rsid w:val="00306668"/>
    <w:rsid w:val="00306EDA"/>
    <w:rsid w:val="00307245"/>
    <w:rsid w:val="00307C5F"/>
    <w:rsid w:val="00307C92"/>
    <w:rsid w:val="00310127"/>
    <w:rsid w:val="0031072D"/>
    <w:rsid w:val="003109F5"/>
    <w:rsid w:val="00310AF7"/>
    <w:rsid w:val="00310DED"/>
    <w:rsid w:val="00311688"/>
    <w:rsid w:val="00311977"/>
    <w:rsid w:val="0031251F"/>
    <w:rsid w:val="003126B8"/>
    <w:rsid w:val="00312877"/>
    <w:rsid w:val="00312A2C"/>
    <w:rsid w:val="00313AC8"/>
    <w:rsid w:val="00314180"/>
    <w:rsid w:val="003143E7"/>
    <w:rsid w:val="00314444"/>
    <w:rsid w:val="003144D2"/>
    <w:rsid w:val="00314757"/>
    <w:rsid w:val="003147F9"/>
    <w:rsid w:val="003149BE"/>
    <w:rsid w:val="00314B2A"/>
    <w:rsid w:val="00314BE4"/>
    <w:rsid w:val="00314E66"/>
    <w:rsid w:val="00315152"/>
    <w:rsid w:val="00315C7C"/>
    <w:rsid w:val="00315E92"/>
    <w:rsid w:val="00316620"/>
    <w:rsid w:val="00316712"/>
    <w:rsid w:val="00317451"/>
    <w:rsid w:val="003178E1"/>
    <w:rsid w:val="00317F63"/>
    <w:rsid w:val="003200E2"/>
    <w:rsid w:val="00320381"/>
    <w:rsid w:val="00320704"/>
    <w:rsid w:val="00321265"/>
    <w:rsid w:val="003213C1"/>
    <w:rsid w:val="00321595"/>
    <w:rsid w:val="00321762"/>
    <w:rsid w:val="00321764"/>
    <w:rsid w:val="00322511"/>
    <w:rsid w:val="003229E9"/>
    <w:rsid w:val="003229F2"/>
    <w:rsid w:val="00322D28"/>
    <w:rsid w:val="00323C3B"/>
    <w:rsid w:val="003240F3"/>
    <w:rsid w:val="00324588"/>
    <w:rsid w:val="00324611"/>
    <w:rsid w:val="00324A23"/>
    <w:rsid w:val="00324A3C"/>
    <w:rsid w:val="00324B1B"/>
    <w:rsid w:val="00324D37"/>
    <w:rsid w:val="00324E7C"/>
    <w:rsid w:val="003255C4"/>
    <w:rsid w:val="00325C96"/>
    <w:rsid w:val="0032656D"/>
    <w:rsid w:val="00326C76"/>
    <w:rsid w:val="00326D0E"/>
    <w:rsid w:val="0032726C"/>
    <w:rsid w:val="00327357"/>
    <w:rsid w:val="00327415"/>
    <w:rsid w:val="00327C09"/>
    <w:rsid w:val="00330330"/>
    <w:rsid w:val="0033043B"/>
    <w:rsid w:val="00330B4F"/>
    <w:rsid w:val="0033120C"/>
    <w:rsid w:val="0033182C"/>
    <w:rsid w:val="0033189C"/>
    <w:rsid w:val="00331A0A"/>
    <w:rsid w:val="003325D0"/>
    <w:rsid w:val="0033325B"/>
    <w:rsid w:val="003333D1"/>
    <w:rsid w:val="003335FD"/>
    <w:rsid w:val="00333B70"/>
    <w:rsid w:val="003341E3"/>
    <w:rsid w:val="00334847"/>
    <w:rsid w:val="00334ADF"/>
    <w:rsid w:val="00334C18"/>
    <w:rsid w:val="00334EA2"/>
    <w:rsid w:val="00335169"/>
    <w:rsid w:val="003352EF"/>
    <w:rsid w:val="00335C2A"/>
    <w:rsid w:val="003364A9"/>
    <w:rsid w:val="0033684D"/>
    <w:rsid w:val="00336A65"/>
    <w:rsid w:val="00336C88"/>
    <w:rsid w:val="00336DB7"/>
    <w:rsid w:val="00337321"/>
    <w:rsid w:val="0033732B"/>
    <w:rsid w:val="0033775F"/>
    <w:rsid w:val="00337D29"/>
    <w:rsid w:val="00337D37"/>
    <w:rsid w:val="003411A0"/>
    <w:rsid w:val="00341A3C"/>
    <w:rsid w:val="00341A7C"/>
    <w:rsid w:val="00341E83"/>
    <w:rsid w:val="00341F2D"/>
    <w:rsid w:val="003426F9"/>
    <w:rsid w:val="003429D6"/>
    <w:rsid w:val="00342C53"/>
    <w:rsid w:val="00343300"/>
    <w:rsid w:val="00343412"/>
    <w:rsid w:val="003435E8"/>
    <w:rsid w:val="0034376F"/>
    <w:rsid w:val="003438DB"/>
    <w:rsid w:val="0034427C"/>
    <w:rsid w:val="003442AA"/>
    <w:rsid w:val="00344424"/>
    <w:rsid w:val="003448DE"/>
    <w:rsid w:val="003451D6"/>
    <w:rsid w:val="0034589D"/>
    <w:rsid w:val="00345961"/>
    <w:rsid w:val="00345EE8"/>
    <w:rsid w:val="00346452"/>
    <w:rsid w:val="00346518"/>
    <w:rsid w:val="00346AF0"/>
    <w:rsid w:val="00347610"/>
    <w:rsid w:val="00347ADB"/>
    <w:rsid w:val="00347B9A"/>
    <w:rsid w:val="0035040E"/>
    <w:rsid w:val="0035065B"/>
    <w:rsid w:val="00350690"/>
    <w:rsid w:val="003509BC"/>
    <w:rsid w:val="00350EE9"/>
    <w:rsid w:val="0035193E"/>
    <w:rsid w:val="00351941"/>
    <w:rsid w:val="00351C2E"/>
    <w:rsid w:val="00351F09"/>
    <w:rsid w:val="00352626"/>
    <w:rsid w:val="00352D3F"/>
    <w:rsid w:val="0035303B"/>
    <w:rsid w:val="00353119"/>
    <w:rsid w:val="003536E7"/>
    <w:rsid w:val="003537AA"/>
    <w:rsid w:val="00353815"/>
    <w:rsid w:val="00353CBD"/>
    <w:rsid w:val="00354241"/>
    <w:rsid w:val="0035424D"/>
    <w:rsid w:val="00354808"/>
    <w:rsid w:val="00354F98"/>
    <w:rsid w:val="003554D5"/>
    <w:rsid w:val="0035602F"/>
    <w:rsid w:val="003560DE"/>
    <w:rsid w:val="0035611C"/>
    <w:rsid w:val="00356E3A"/>
    <w:rsid w:val="00356F6C"/>
    <w:rsid w:val="00357109"/>
    <w:rsid w:val="003576F4"/>
    <w:rsid w:val="00357DA8"/>
    <w:rsid w:val="00360627"/>
    <w:rsid w:val="003609B1"/>
    <w:rsid w:val="00360C62"/>
    <w:rsid w:val="0036145B"/>
    <w:rsid w:val="00361E8C"/>
    <w:rsid w:val="003626E6"/>
    <w:rsid w:val="00362A3F"/>
    <w:rsid w:val="00362A83"/>
    <w:rsid w:val="00362C19"/>
    <w:rsid w:val="00363236"/>
    <w:rsid w:val="0036347B"/>
    <w:rsid w:val="00363A8A"/>
    <w:rsid w:val="00363ACA"/>
    <w:rsid w:val="00363BBF"/>
    <w:rsid w:val="00363C58"/>
    <w:rsid w:val="00363F9E"/>
    <w:rsid w:val="00364401"/>
    <w:rsid w:val="0036443C"/>
    <w:rsid w:val="003650F9"/>
    <w:rsid w:val="00365446"/>
    <w:rsid w:val="00365A54"/>
    <w:rsid w:val="00365A61"/>
    <w:rsid w:val="00365F15"/>
    <w:rsid w:val="00366807"/>
    <w:rsid w:val="00366D00"/>
    <w:rsid w:val="003672CD"/>
    <w:rsid w:val="0036745A"/>
    <w:rsid w:val="00367543"/>
    <w:rsid w:val="00367645"/>
    <w:rsid w:val="003678C9"/>
    <w:rsid w:val="00367D73"/>
    <w:rsid w:val="0037023F"/>
    <w:rsid w:val="003704D4"/>
    <w:rsid w:val="00370E03"/>
    <w:rsid w:val="00370E97"/>
    <w:rsid w:val="003714A1"/>
    <w:rsid w:val="00371668"/>
    <w:rsid w:val="003717C4"/>
    <w:rsid w:val="003720D5"/>
    <w:rsid w:val="00372455"/>
    <w:rsid w:val="00372986"/>
    <w:rsid w:val="00372F0E"/>
    <w:rsid w:val="00373381"/>
    <w:rsid w:val="003737F5"/>
    <w:rsid w:val="00373984"/>
    <w:rsid w:val="00374B05"/>
    <w:rsid w:val="00375188"/>
    <w:rsid w:val="00376319"/>
    <w:rsid w:val="0037697F"/>
    <w:rsid w:val="00376B15"/>
    <w:rsid w:val="00376E35"/>
    <w:rsid w:val="00377BDA"/>
    <w:rsid w:val="0038010B"/>
    <w:rsid w:val="00380144"/>
    <w:rsid w:val="003802C5"/>
    <w:rsid w:val="0038041A"/>
    <w:rsid w:val="00380468"/>
    <w:rsid w:val="00380C63"/>
    <w:rsid w:val="00381639"/>
    <w:rsid w:val="003823B6"/>
    <w:rsid w:val="0038247A"/>
    <w:rsid w:val="003827A5"/>
    <w:rsid w:val="0038288E"/>
    <w:rsid w:val="003829B8"/>
    <w:rsid w:val="003829FC"/>
    <w:rsid w:val="00382C69"/>
    <w:rsid w:val="00382D20"/>
    <w:rsid w:val="00382ED3"/>
    <w:rsid w:val="00382F15"/>
    <w:rsid w:val="003833CA"/>
    <w:rsid w:val="0038357E"/>
    <w:rsid w:val="0038359B"/>
    <w:rsid w:val="003835AD"/>
    <w:rsid w:val="00383F3A"/>
    <w:rsid w:val="00384032"/>
    <w:rsid w:val="003840DE"/>
    <w:rsid w:val="0038415B"/>
    <w:rsid w:val="003846C6"/>
    <w:rsid w:val="00384B8C"/>
    <w:rsid w:val="003854EC"/>
    <w:rsid w:val="00385741"/>
    <w:rsid w:val="0038584E"/>
    <w:rsid w:val="00385920"/>
    <w:rsid w:val="003866D1"/>
    <w:rsid w:val="00386E9E"/>
    <w:rsid w:val="003873A0"/>
    <w:rsid w:val="00387DE6"/>
    <w:rsid w:val="00387FF1"/>
    <w:rsid w:val="00390006"/>
    <w:rsid w:val="00390B0E"/>
    <w:rsid w:val="003910C6"/>
    <w:rsid w:val="0039162A"/>
    <w:rsid w:val="00391B1B"/>
    <w:rsid w:val="00392183"/>
    <w:rsid w:val="00392A88"/>
    <w:rsid w:val="00392AE9"/>
    <w:rsid w:val="00392FB7"/>
    <w:rsid w:val="003938FC"/>
    <w:rsid w:val="0039398A"/>
    <w:rsid w:val="0039479F"/>
    <w:rsid w:val="00394A4A"/>
    <w:rsid w:val="00394E8B"/>
    <w:rsid w:val="00394F9E"/>
    <w:rsid w:val="003950C3"/>
    <w:rsid w:val="00395320"/>
    <w:rsid w:val="00395756"/>
    <w:rsid w:val="00395F8C"/>
    <w:rsid w:val="00396126"/>
    <w:rsid w:val="003964F6"/>
    <w:rsid w:val="0039660D"/>
    <w:rsid w:val="00396AF3"/>
    <w:rsid w:val="00396BE4"/>
    <w:rsid w:val="003979F3"/>
    <w:rsid w:val="00397E2E"/>
    <w:rsid w:val="00397E4D"/>
    <w:rsid w:val="00397F1E"/>
    <w:rsid w:val="003A0098"/>
    <w:rsid w:val="003A0288"/>
    <w:rsid w:val="003A05D8"/>
    <w:rsid w:val="003A07B1"/>
    <w:rsid w:val="003A0BDB"/>
    <w:rsid w:val="003A0C1B"/>
    <w:rsid w:val="003A10C8"/>
    <w:rsid w:val="003A1314"/>
    <w:rsid w:val="003A134D"/>
    <w:rsid w:val="003A1354"/>
    <w:rsid w:val="003A1CC5"/>
    <w:rsid w:val="003A22E7"/>
    <w:rsid w:val="003A2548"/>
    <w:rsid w:val="003A272E"/>
    <w:rsid w:val="003A28A4"/>
    <w:rsid w:val="003A34EF"/>
    <w:rsid w:val="003A3B69"/>
    <w:rsid w:val="003A400B"/>
    <w:rsid w:val="003A4094"/>
    <w:rsid w:val="003A4A35"/>
    <w:rsid w:val="003A4DEE"/>
    <w:rsid w:val="003A5447"/>
    <w:rsid w:val="003A5A42"/>
    <w:rsid w:val="003A619D"/>
    <w:rsid w:val="003A6D2D"/>
    <w:rsid w:val="003A6DC4"/>
    <w:rsid w:val="003A71DA"/>
    <w:rsid w:val="003A7461"/>
    <w:rsid w:val="003A7760"/>
    <w:rsid w:val="003A78EE"/>
    <w:rsid w:val="003B085D"/>
    <w:rsid w:val="003B0F6C"/>
    <w:rsid w:val="003B1060"/>
    <w:rsid w:val="003B1335"/>
    <w:rsid w:val="003B2083"/>
    <w:rsid w:val="003B2BD3"/>
    <w:rsid w:val="003B2E88"/>
    <w:rsid w:val="003B2F5A"/>
    <w:rsid w:val="003B2F68"/>
    <w:rsid w:val="003B3362"/>
    <w:rsid w:val="003B3B56"/>
    <w:rsid w:val="003B3E2A"/>
    <w:rsid w:val="003B425F"/>
    <w:rsid w:val="003B460D"/>
    <w:rsid w:val="003B4646"/>
    <w:rsid w:val="003B48F9"/>
    <w:rsid w:val="003B526C"/>
    <w:rsid w:val="003B570B"/>
    <w:rsid w:val="003B57AC"/>
    <w:rsid w:val="003B5876"/>
    <w:rsid w:val="003B5911"/>
    <w:rsid w:val="003B5E29"/>
    <w:rsid w:val="003B61B1"/>
    <w:rsid w:val="003B6B04"/>
    <w:rsid w:val="003B6E1D"/>
    <w:rsid w:val="003B6E21"/>
    <w:rsid w:val="003B6EE8"/>
    <w:rsid w:val="003B6F67"/>
    <w:rsid w:val="003B7136"/>
    <w:rsid w:val="003B76A0"/>
    <w:rsid w:val="003B7A0C"/>
    <w:rsid w:val="003B7AE3"/>
    <w:rsid w:val="003B7C9B"/>
    <w:rsid w:val="003B7D73"/>
    <w:rsid w:val="003C00CB"/>
    <w:rsid w:val="003C0131"/>
    <w:rsid w:val="003C02F5"/>
    <w:rsid w:val="003C0440"/>
    <w:rsid w:val="003C058D"/>
    <w:rsid w:val="003C064B"/>
    <w:rsid w:val="003C0AD9"/>
    <w:rsid w:val="003C0C9C"/>
    <w:rsid w:val="003C101A"/>
    <w:rsid w:val="003C1E50"/>
    <w:rsid w:val="003C2B3B"/>
    <w:rsid w:val="003C2CA1"/>
    <w:rsid w:val="003C2E7F"/>
    <w:rsid w:val="003C30E2"/>
    <w:rsid w:val="003C319A"/>
    <w:rsid w:val="003C40A2"/>
    <w:rsid w:val="003C4173"/>
    <w:rsid w:val="003C4287"/>
    <w:rsid w:val="003C4EBB"/>
    <w:rsid w:val="003C4FAD"/>
    <w:rsid w:val="003C5792"/>
    <w:rsid w:val="003C5CC0"/>
    <w:rsid w:val="003C6558"/>
    <w:rsid w:val="003C7A68"/>
    <w:rsid w:val="003C7F0F"/>
    <w:rsid w:val="003D0091"/>
    <w:rsid w:val="003D04D6"/>
    <w:rsid w:val="003D0B74"/>
    <w:rsid w:val="003D0BA5"/>
    <w:rsid w:val="003D115B"/>
    <w:rsid w:val="003D1455"/>
    <w:rsid w:val="003D1491"/>
    <w:rsid w:val="003D14BD"/>
    <w:rsid w:val="003D1970"/>
    <w:rsid w:val="003D2012"/>
    <w:rsid w:val="003D255F"/>
    <w:rsid w:val="003D27F9"/>
    <w:rsid w:val="003D3044"/>
    <w:rsid w:val="003D3673"/>
    <w:rsid w:val="003D3D55"/>
    <w:rsid w:val="003D4325"/>
    <w:rsid w:val="003D4504"/>
    <w:rsid w:val="003D4567"/>
    <w:rsid w:val="003D51D0"/>
    <w:rsid w:val="003D5867"/>
    <w:rsid w:val="003D5E16"/>
    <w:rsid w:val="003D624C"/>
    <w:rsid w:val="003D6542"/>
    <w:rsid w:val="003D7069"/>
    <w:rsid w:val="003D7805"/>
    <w:rsid w:val="003D7BA4"/>
    <w:rsid w:val="003D7DD5"/>
    <w:rsid w:val="003E0322"/>
    <w:rsid w:val="003E07D1"/>
    <w:rsid w:val="003E0806"/>
    <w:rsid w:val="003E0A7E"/>
    <w:rsid w:val="003E117A"/>
    <w:rsid w:val="003E1D66"/>
    <w:rsid w:val="003E2458"/>
    <w:rsid w:val="003E25A6"/>
    <w:rsid w:val="003E26AB"/>
    <w:rsid w:val="003E2A3B"/>
    <w:rsid w:val="003E349A"/>
    <w:rsid w:val="003E34B9"/>
    <w:rsid w:val="003E375E"/>
    <w:rsid w:val="003E399F"/>
    <w:rsid w:val="003E4248"/>
    <w:rsid w:val="003E4354"/>
    <w:rsid w:val="003E47F6"/>
    <w:rsid w:val="003E47FF"/>
    <w:rsid w:val="003E5287"/>
    <w:rsid w:val="003E5325"/>
    <w:rsid w:val="003E5AB0"/>
    <w:rsid w:val="003E602C"/>
    <w:rsid w:val="003E637B"/>
    <w:rsid w:val="003E6B5C"/>
    <w:rsid w:val="003E6DA8"/>
    <w:rsid w:val="003E6DE7"/>
    <w:rsid w:val="003E70D5"/>
    <w:rsid w:val="003E785B"/>
    <w:rsid w:val="003E7F92"/>
    <w:rsid w:val="003F144C"/>
    <w:rsid w:val="003F14A6"/>
    <w:rsid w:val="003F1F6E"/>
    <w:rsid w:val="003F205C"/>
    <w:rsid w:val="003F2369"/>
    <w:rsid w:val="003F2B21"/>
    <w:rsid w:val="003F323F"/>
    <w:rsid w:val="003F364F"/>
    <w:rsid w:val="003F3C89"/>
    <w:rsid w:val="003F3D9D"/>
    <w:rsid w:val="003F4063"/>
    <w:rsid w:val="003F4D26"/>
    <w:rsid w:val="003F4E06"/>
    <w:rsid w:val="003F51D7"/>
    <w:rsid w:val="003F5603"/>
    <w:rsid w:val="003F5695"/>
    <w:rsid w:val="003F57AF"/>
    <w:rsid w:val="003F586E"/>
    <w:rsid w:val="003F62DF"/>
    <w:rsid w:val="003F65DF"/>
    <w:rsid w:val="003F7125"/>
    <w:rsid w:val="003F7412"/>
    <w:rsid w:val="0040002E"/>
    <w:rsid w:val="0040009D"/>
    <w:rsid w:val="0040028B"/>
    <w:rsid w:val="00400865"/>
    <w:rsid w:val="00400CD5"/>
    <w:rsid w:val="00400D2F"/>
    <w:rsid w:val="00400F21"/>
    <w:rsid w:val="004012CA"/>
    <w:rsid w:val="004018D4"/>
    <w:rsid w:val="00401B2E"/>
    <w:rsid w:val="00401E9D"/>
    <w:rsid w:val="00401F01"/>
    <w:rsid w:val="004020D4"/>
    <w:rsid w:val="00402442"/>
    <w:rsid w:val="00402541"/>
    <w:rsid w:val="00402D2D"/>
    <w:rsid w:val="00402D67"/>
    <w:rsid w:val="00402DD4"/>
    <w:rsid w:val="00402E78"/>
    <w:rsid w:val="004030C0"/>
    <w:rsid w:val="0040344D"/>
    <w:rsid w:val="0040378C"/>
    <w:rsid w:val="00403901"/>
    <w:rsid w:val="0040396E"/>
    <w:rsid w:val="0040411B"/>
    <w:rsid w:val="00404395"/>
    <w:rsid w:val="004043C0"/>
    <w:rsid w:val="0040456E"/>
    <w:rsid w:val="0040484E"/>
    <w:rsid w:val="00405032"/>
    <w:rsid w:val="004052D9"/>
    <w:rsid w:val="00405A32"/>
    <w:rsid w:val="0040605D"/>
    <w:rsid w:val="004061A3"/>
    <w:rsid w:val="00406471"/>
    <w:rsid w:val="00406D5E"/>
    <w:rsid w:val="00406D7F"/>
    <w:rsid w:val="004071DF"/>
    <w:rsid w:val="00407658"/>
    <w:rsid w:val="00407C2E"/>
    <w:rsid w:val="00410084"/>
    <w:rsid w:val="0041017C"/>
    <w:rsid w:val="0041062E"/>
    <w:rsid w:val="00410674"/>
    <w:rsid w:val="00410E5B"/>
    <w:rsid w:val="004116EC"/>
    <w:rsid w:val="00411930"/>
    <w:rsid w:val="00411997"/>
    <w:rsid w:val="00412431"/>
    <w:rsid w:val="004126B0"/>
    <w:rsid w:val="00412A1F"/>
    <w:rsid w:val="00412FCC"/>
    <w:rsid w:val="00413358"/>
    <w:rsid w:val="00413553"/>
    <w:rsid w:val="004135BF"/>
    <w:rsid w:val="004136F0"/>
    <w:rsid w:val="004148C7"/>
    <w:rsid w:val="00414B93"/>
    <w:rsid w:val="004150E1"/>
    <w:rsid w:val="0041576B"/>
    <w:rsid w:val="0041584F"/>
    <w:rsid w:val="00416001"/>
    <w:rsid w:val="004161F4"/>
    <w:rsid w:val="00416282"/>
    <w:rsid w:val="00416590"/>
    <w:rsid w:val="00416DA0"/>
    <w:rsid w:val="00417AC2"/>
    <w:rsid w:val="0042025C"/>
    <w:rsid w:val="00420276"/>
    <w:rsid w:val="00420705"/>
    <w:rsid w:val="004208E0"/>
    <w:rsid w:val="00420CCE"/>
    <w:rsid w:val="00421341"/>
    <w:rsid w:val="0042189C"/>
    <w:rsid w:val="00421ABD"/>
    <w:rsid w:val="0042278A"/>
    <w:rsid w:val="004227C4"/>
    <w:rsid w:val="00422C7A"/>
    <w:rsid w:val="00422EC9"/>
    <w:rsid w:val="00422F8D"/>
    <w:rsid w:val="004231F6"/>
    <w:rsid w:val="0042320A"/>
    <w:rsid w:val="004232F5"/>
    <w:rsid w:val="00423AAF"/>
    <w:rsid w:val="00423C08"/>
    <w:rsid w:val="00423C6B"/>
    <w:rsid w:val="00424252"/>
    <w:rsid w:val="004242A7"/>
    <w:rsid w:val="0042443E"/>
    <w:rsid w:val="004244E1"/>
    <w:rsid w:val="004249A5"/>
    <w:rsid w:val="004249AB"/>
    <w:rsid w:val="0042611F"/>
    <w:rsid w:val="00426504"/>
    <w:rsid w:val="00426603"/>
    <w:rsid w:val="00426773"/>
    <w:rsid w:val="004267C3"/>
    <w:rsid w:val="00426B0E"/>
    <w:rsid w:val="00426C38"/>
    <w:rsid w:val="00426C46"/>
    <w:rsid w:val="0042703B"/>
    <w:rsid w:val="00427370"/>
    <w:rsid w:val="004276D8"/>
    <w:rsid w:val="004278D1"/>
    <w:rsid w:val="00430119"/>
    <w:rsid w:val="00430479"/>
    <w:rsid w:val="0043142E"/>
    <w:rsid w:val="004316EA"/>
    <w:rsid w:val="00431BA7"/>
    <w:rsid w:val="0043265A"/>
    <w:rsid w:val="00432EB9"/>
    <w:rsid w:val="00432F24"/>
    <w:rsid w:val="004333B0"/>
    <w:rsid w:val="004334A7"/>
    <w:rsid w:val="00433606"/>
    <w:rsid w:val="00433663"/>
    <w:rsid w:val="00433717"/>
    <w:rsid w:val="00433A09"/>
    <w:rsid w:val="00433CDA"/>
    <w:rsid w:val="00433EF3"/>
    <w:rsid w:val="004340DA"/>
    <w:rsid w:val="004342A7"/>
    <w:rsid w:val="004350FF"/>
    <w:rsid w:val="004356F7"/>
    <w:rsid w:val="00436062"/>
    <w:rsid w:val="004365C4"/>
    <w:rsid w:val="0043689C"/>
    <w:rsid w:val="00436AFA"/>
    <w:rsid w:val="00436C4D"/>
    <w:rsid w:val="00436CA3"/>
    <w:rsid w:val="004373CA"/>
    <w:rsid w:val="004374E9"/>
    <w:rsid w:val="0043762E"/>
    <w:rsid w:val="004378BA"/>
    <w:rsid w:val="0044001C"/>
    <w:rsid w:val="00440160"/>
    <w:rsid w:val="00440457"/>
    <w:rsid w:val="0044049C"/>
    <w:rsid w:val="00440BD2"/>
    <w:rsid w:val="00440BF5"/>
    <w:rsid w:val="00441101"/>
    <w:rsid w:val="00441297"/>
    <w:rsid w:val="00441393"/>
    <w:rsid w:val="004413F4"/>
    <w:rsid w:val="00441435"/>
    <w:rsid w:val="0044151F"/>
    <w:rsid w:val="00441EEB"/>
    <w:rsid w:val="0044220E"/>
    <w:rsid w:val="00442261"/>
    <w:rsid w:val="004422D4"/>
    <w:rsid w:val="004428DA"/>
    <w:rsid w:val="00442E18"/>
    <w:rsid w:val="00442E9A"/>
    <w:rsid w:val="004430BC"/>
    <w:rsid w:val="00444072"/>
    <w:rsid w:val="004443C7"/>
    <w:rsid w:val="004447BF"/>
    <w:rsid w:val="004447E2"/>
    <w:rsid w:val="00444DCA"/>
    <w:rsid w:val="00444E24"/>
    <w:rsid w:val="0044518C"/>
    <w:rsid w:val="004457A8"/>
    <w:rsid w:val="004458DA"/>
    <w:rsid w:val="00446515"/>
    <w:rsid w:val="00446B8D"/>
    <w:rsid w:val="00446BAC"/>
    <w:rsid w:val="00446BD0"/>
    <w:rsid w:val="00447B78"/>
    <w:rsid w:val="00447D60"/>
    <w:rsid w:val="00450994"/>
    <w:rsid w:val="00450B82"/>
    <w:rsid w:val="00450E1C"/>
    <w:rsid w:val="00450FB0"/>
    <w:rsid w:val="00451338"/>
    <w:rsid w:val="004513A9"/>
    <w:rsid w:val="004513E8"/>
    <w:rsid w:val="004517F0"/>
    <w:rsid w:val="004521B9"/>
    <w:rsid w:val="00452659"/>
    <w:rsid w:val="00452814"/>
    <w:rsid w:val="004529DD"/>
    <w:rsid w:val="00452C2D"/>
    <w:rsid w:val="00452D21"/>
    <w:rsid w:val="00453551"/>
    <w:rsid w:val="004538E3"/>
    <w:rsid w:val="004543A8"/>
    <w:rsid w:val="00454935"/>
    <w:rsid w:val="00454AAA"/>
    <w:rsid w:val="00454EC6"/>
    <w:rsid w:val="00455498"/>
    <w:rsid w:val="004555B3"/>
    <w:rsid w:val="0045587D"/>
    <w:rsid w:val="00455944"/>
    <w:rsid w:val="00455C65"/>
    <w:rsid w:val="00455CDD"/>
    <w:rsid w:val="00455EF4"/>
    <w:rsid w:val="00456006"/>
    <w:rsid w:val="00456230"/>
    <w:rsid w:val="00456245"/>
    <w:rsid w:val="004578DE"/>
    <w:rsid w:val="00457995"/>
    <w:rsid w:val="004601C2"/>
    <w:rsid w:val="00460C15"/>
    <w:rsid w:val="00460C7F"/>
    <w:rsid w:val="004614AC"/>
    <w:rsid w:val="004617C2"/>
    <w:rsid w:val="0046194D"/>
    <w:rsid w:val="00461953"/>
    <w:rsid w:val="00461B73"/>
    <w:rsid w:val="004623FB"/>
    <w:rsid w:val="00462402"/>
    <w:rsid w:val="00462B15"/>
    <w:rsid w:val="00462C57"/>
    <w:rsid w:val="00462CE4"/>
    <w:rsid w:val="00462DEC"/>
    <w:rsid w:val="00463154"/>
    <w:rsid w:val="00463974"/>
    <w:rsid w:val="00464D70"/>
    <w:rsid w:val="004651D9"/>
    <w:rsid w:val="004653C4"/>
    <w:rsid w:val="0046570C"/>
    <w:rsid w:val="0046577C"/>
    <w:rsid w:val="0046582D"/>
    <w:rsid w:val="00465834"/>
    <w:rsid w:val="00465851"/>
    <w:rsid w:val="00465A31"/>
    <w:rsid w:val="00466B7E"/>
    <w:rsid w:val="00466ED7"/>
    <w:rsid w:val="00466FA9"/>
    <w:rsid w:val="0046717F"/>
    <w:rsid w:val="004675B5"/>
    <w:rsid w:val="0046795A"/>
    <w:rsid w:val="00467DAD"/>
    <w:rsid w:val="00467E45"/>
    <w:rsid w:val="00470879"/>
    <w:rsid w:val="00470891"/>
    <w:rsid w:val="00470A80"/>
    <w:rsid w:val="00470A98"/>
    <w:rsid w:val="00470B68"/>
    <w:rsid w:val="00471468"/>
    <w:rsid w:val="004715EE"/>
    <w:rsid w:val="00471A88"/>
    <w:rsid w:val="00471CA4"/>
    <w:rsid w:val="004720BF"/>
    <w:rsid w:val="0047254E"/>
    <w:rsid w:val="004725A7"/>
    <w:rsid w:val="004726E1"/>
    <w:rsid w:val="00472ECF"/>
    <w:rsid w:val="004731AC"/>
    <w:rsid w:val="00473514"/>
    <w:rsid w:val="004735EC"/>
    <w:rsid w:val="00473907"/>
    <w:rsid w:val="00473C92"/>
    <w:rsid w:val="00473E54"/>
    <w:rsid w:val="00473E7D"/>
    <w:rsid w:val="00474010"/>
    <w:rsid w:val="004741D1"/>
    <w:rsid w:val="004743AB"/>
    <w:rsid w:val="0047558F"/>
    <w:rsid w:val="0047573C"/>
    <w:rsid w:val="0047575F"/>
    <w:rsid w:val="00475A80"/>
    <w:rsid w:val="00475DE5"/>
    <w:rsid w:val="00476132"/>
    <w:rsid w:val="0047637E"/>
    <w:rsid w:val="0047643B"/>
    <w:rsid w:val="0047719B"/>
    <w:rsid w:val="00477434"/>
    <w:rsid w:val="004775F8"/>
    <w:rsid w:val="004776EF"/>
    <w:rsid w:val="00477899"/>
    <w:rsid w:val="00477B54"/>
    <w:rsid w:val="00480196"/>
    <w:rsid w:val="004802FD"/>
    <w:rsid w:val="004805C9"/>
    <w:rsid w:val="00480755"/>
    <w:rsid w:val="00480FF0"/>
    <w:rsid w:val="0048103E"/>
    <w:rsid w:val="00481388"/>
    <w:rsid w:val="004817E0"/>
    <w:rsid w:val="00481E57"/>
    <w:rsid w:val="00481F64"/>
    <w:rsid w:val="004820B6"/>
    <w:rsid w:val="004829BA"/>
    <w:rsid w:val="004829FB"/>
    <w:rsid w:val="00482D65"/>
    <w:rsid w:val="0048342E"/>
    <w:rsid w:val="0048344D"/>
    <w:rsid w:val="004839F0"/>
    <w:rsid w:val="00483AFA"/>
    <w:rsid w:val="00484325"/>
    <w:rsid w:val="004843A8"/>
    <w:rsid w:val="00484404"/>
    <w:rsid w:val="00484856"/>
    <w:rsid w:val="00484A8E"/>
    <w:rsid w:val="00484DBC"/>
    <w:rsid w:val="0048559C"/>
    <w:rsid w:val="00485711"/>
    <w:rsid w:val="0048612F"/>
    <w:rsid w:val="004863BE"/>
    <w:rsid w:val="00486D9D"/>
    <w:rsid w:val="00486F85"/>
    <w:rsid w:val="00487348"/>
    <w:rsid w:val="004878E2"/>
    <w:rsid w:val="00487C27"/>
    <w:rsid w:val="00487DBC"/>
    <w:rsid w:val="004906A7"/>
    <w:rsid w:val="0049075F"/>
    <w:rsid w:val="004916CE"/>
    <w:rsid w:val="0049306C"/>
    <w:rsid w:val="00493C19"/>
    <w:rsid w:val="004943F1"/>
    <w:rsid w:val="00494563"/>
    <w:rsid w:val="00494B78"/>
    <w:rsid w:val="004953A7"/>
    <w:rsid w:val="004955B6"/>
    <w:rsid w:val="004957F2"/>
    <w:rsid w:val="004958BC"/>
    <w:rsid w:val="004959B1"/>
    <w:rsid w:val="004959E0"/>
    <w:rsid w:val="0049686C"/>
    <w:rsid w:val="00496E39"/>
    <w:rsid w:val="004977ED"/>
    <w:rsid w:val="00497C30"/>
    <w:rsid w:val="00497D82"/>
    <w:rsid w:val="00497E1E"/>
    <w:rsid w:val="004A0210"/>
    <w:rsid w:val="004A0221"/>
    <w:rsid w:val="004A052B"/>
    <w:rsid w:val="004A0568"/>
    <w:rsid w:val="004A07B8"/>
    <w:rsid w:val="004A0841"/>
    <w:rsid w:val="004A1153"/>
    <w:rsid w:val="004A14AA"/>
    <w:rsid w:val="004A15D3"/>
    <w:rsid w:val="004A1695"/>
    <w:rsid w:val="004A1753"/>
    <w:rsid w:val="004A1D21"/>
    <w:rsid w:val="004A21C4"/>
    <w:rsid w:val="004A2618"/>
    <w:rsid w:val="004A2F2B"/>
    <w:rsid w:val="004A2FA4"/>
    <w:rsid w:val="004A332A"/>
    <w:rsid w:val="004A3635"/>
    <w:rsid w:val="004A3E24"/>
    <w:rsid w:val="004A3E3F"/>
    <w:rsid w:val="004A3F0F"/>
    <w:rsid w:val="004A44A5"/>
    <w:rsid w:val="004A4502"/>
    <w:rsid w:val="004A518B"/>
    <w:rsid w:val="004A5617"/>
    <w:rsid w:val="004A5AD1"/>
    <w:rsid w:val="004A5BEC"/>
    <w:rsid w:val="004A6537"/>
    <w:rsid w:val="004A6C51"/>
    <w:rsid w:val="004A6D12"/>
    <w:rsid w:val="004A6DC6"/>
    <w:rsid w:val="004A6E04"/>
    <w:rsid w:val="004A7263"/>
    <w:rsid w:val="004A7A1F"/>
    <w:rsid w:val="004A7A28"/>
    <w:rsid w:val="004A7A76"/>
    <w:rsid w:val="004A7D07"/>
    <w:rsid w:val="004B00A8"/>
    <w:rsid w:val="004B0279"/>
    <w:rsid w:val="004B033C"/>
    <w:rsid w:val="004B09B6"/>
    <w:rsid w:val="004B0CA2"/>
    <w:rsid w:val="004B0EB7"/>
    <w:rsid w:val="004B0FE8"/>
    <w:rsid w:val="004B10D4"/>
    <w:rsid w:val="004B1499"/>
    <w:rsid w:val="004B1900"/>
    <w:rsid w:val="004B1F53"/>
    <w:rsid w:val="004B20B5"/>
    <w:rsid w:val="004B212D"/>
    <w:rsid w:val="004B23A6"/>
    <w:rsid w:val="004B2447"/>
    <w:rsid w:val="004B24F3"/>
    <w:rsid w:val="004B2568"/>
    <w:rsid w:val="004B25D8"/>
    <w:rsid w:val="004B293A"/>
    <w:rsid w:val="004B2F28"/>
    <w:rsid w:val="004B326D"/>
    <w:rsid w:val="004B3A31"/>
    <w:rsid w:val="004B4DE1"/>
    <w:rsid w:val="004B52E5"/>
    <w:rsid w:val="004B55E1"/>
    <w:rsid w:val="004B56A8"/>
    <w:rsid w:val="004B5A0F"/>
    <w:rsid w:val="004B631D"/>
    <w:rsid w:val="004B65DA"/>
    <w:rsid w:val="004B6816"/>
    <w:rsid w:val="004B6953"/>
    <w:rsid w:val="004B6A45"/>
    <w:rsid w:val="004B6B07"/>
    <w:rsid w:val="004B6ECA"/>
    <w:rsid w:val="004B70EE"/>
    <w:rsid w:val="004B7581"/>
    <w:rsid w:val="004B7C4F"/>
    <w:rsid w:val="004B7FB1"/>
    <w:rsid w:val="004C049C"/>
    <w:rsid w:val="004C050B"/>
    <w:rsid w:val="004C061C"/>
    <w:rsid w:val="004C08D1"/>
    <w:rsid w:val="004C0ADC"/>
    <w:rsid w:val="004C0C0A"/>
    <w:rsid w:val="004C0FE7"/>
    <w:rsid w:val="004C175B"/>
    <w:rsid w:val="004C1E9B"/>
    <w:rsid w:val="004C2319"/>
    <w:rsid w:val="004C23BB"/>
    <w:rsid w:val="004C2516"/>
    <w:rsid w:val="004C25A5"/>
    <w:rsid w:val="004C26F5"/>
    <w:rsid w:val="004C2BCF"/>
    <w:rsid w:val="004C3427"/>
    <w:rsid w:val="004C3815"/>
    <w:rsid w:val="004C3A57"/>
    <w:rsid w:val="004C4153"/>
    <w:rsid w:val="004C42D1"/>
    <w:rsid w:val="004C52C2"/>
    <w:rsid w:val="004C574E"/>
    <w:rsid w:val="004C5844"/>
    <w:rsid w:val="004C5A3C"/>
    <w:rsid w:val="004C5B10"/>
    <w:rsid w:val="004C5B3C"/>
    <w:rsid w:val="004C66F0"/>
    <w:rsid w:val="004C6A29"/>
    <w:rsid w:val="004C6F68"/>
    <w:rsid w:val="004C70CC"/>
    <w:rsid w:val="004C74B6"/>
    <w:rsid w:val="004C799B"/>
    <w:rsid w:val="004C7AE1"/>
    <w:rsid w:val="004D0209"/>
    <w:rsid w:val="004D0CDC"/>
    <w:rsid w:val="004D1151"/>
    <w:rsid w:val="004D155E"/>
    <w:rsid w:val="004D1E00"/>
    <w:rsid w:val="004D1E5F"/>
    <w:rsid w:val="004D1F71"/>
    <w:rsid w:val="004D2AFA"/>
    <w:rsid w:val="004D31A2"/>
    <w:rsid w:val="004D3534"/>
    <w:rsid w:val="004D378F"/>
    <w:rsid w:val="004D467E"/>
    <w:rsid w:val="004D5008"/>
    <w:rsid w:val="004D696F"/>
    <w:rsid w:val="004D7002"/>
    <w:rsid w:val="004E004B"/>
    <w:rsid w:val="004E0540"/>
    <w:rsid w:val="004E091D"/>
    <w:rsid w:val="004E1A45"/>
    <w:rsid w:val="004E1CE2"/>
    <w:rsid w:val="004E1FD0"/>
    <w:rsid w:val="004E228A"/>
    <w:rsid w:val="004E361A"/>
    <w:rsid w:val="004E3C88"/>
    <w:rsid w:val="004E415E"/>
    <w:rsid w:val="004E4397"/>
    <w:rsid w:val="004E4658"/>
    <w:rsid w:val="004E4789"/>
    <w:rsid w:val="004E480E"/>
    <w:rsid w:val="004E4C3C"/>
    <w:rsid w:val="004E506E"/>
    <w:rsid w:val="004E5681"/>
    <w:rsid w:val="004E5842"/>
    <w:rsid w:val="004E597E"/>
    <w:rsid w:val="004E5B3B"/>
    <w:rsid w:val="004E6368"/>
    <w:rsid w:val="004E69C8"/>
    <w:rsid w:val="004E7379"/>
    <w:rsid w:val="004E7DA1"/>
    <w:rsid w:val="004F01A3"/>
    <w:rsid w:val="004F03C1"/>
    <w:rsid w:val="004F0655"/>
    <w:rsid w:val="004F0AEB"/>
    <w:rsid w:val="004F0C39"/>
    <w:rsid w:val="004F0FFE"/>
    <w:rsid w:val="004F2580"/>
    <w:rsid w:val="004F2AB0"/>
    <w:rsid w:val="004F2C59"/>
    <w:rsid w:val="004F302F"/>
    <w:rsid w:val="004F3078"/>
    <w:rsid w:val="004F45DA"/>
    <w:rsid w:val="004F4DFE"/>
    <w:rsid w:val="004F51FF"/>
    <w:rsid w:val="004F534C"/>
    <w:rsid w:val="004F5F2D"/>
    <w:rsid w:val="004F615A"/>
    <w:rsid w:val="004F62D0"/>
    <w:rsid w:val="004F6AAF"/>
    <w:rsid w:val="004F6D22"/>
    <w:rsid w:val="004F79A9"/>
    <w:rsid w:val="004F7CD3"/>
    <w:rsid w:val="004F7F5E"/>
    <w:rsid w:val="00500086"/>
    <w:rsid w:val="005003B6"/>
    <w:rsid w:val="0050053A"/>
    <w:rsid w:val="005005AD"/>
    <w:rsid w:val="00500EF9"/>
    <w:rsid w:val="00501133"/>
    <w:rsid w:val="00501415"/>
    <w:rsid w:val="0050166B"/>
    <w:rsid w:val="005022F5"/>
    <w:rsid w:val="00502476"/>
    <w:rsid w:val="00502B48"/>
    <w:rsid w:val="0050345B"/>
    <w:rsid w:val="00503482"/>
    <w:rsid w:val="00503544"/>
    <w:rsid w:val="00503FF2"/>
    <w:rsid w:val="00504463"/>
    <w:rsid w:val="0050448B"/>
    <w:rsid w:val="005054A3"/>
    <w:rsid w:val="005054A7"/>
    <w:rsid w:val="005056C8"/>
    <w:rsid w:val="005058F7"/>
    <w:rsid w:val="005065AC"/>
    <w:rsid w:val="00506AD1"/>
    <w:rsid w:val="005072D4"/>
    <w:rsid w:val="0050738C"/>
    <w:rsid w:val="0050743F"/>
    <w:rsid w:val="0050759D"/>
    <w:rsid w:val="00510B89"/>
    <w:rsid w:val="005110C7"/>
    <w:rsid w:val="005110E3"/>
    <w:rsid w:val="00511397"/>
    <w:rsid w:val="00511521"/>
    <w:rsid w:val="0051175A"/>
    <w:rsid w:val="005118ED"/>
    <w:rsid w:val="00511A5A"/>
    <w:rsid w:val="00511AC8"/>
    <w:rsid w:val="00511B60"/>
    <w:rsid w:val="00511BCB"/>
    <w:rsid w:val="00512340"/>
    <w:rsid w:val="00512BCD"/>
    <w:rsid w:val="00512E53"/>
    <w:rsid w:val="005132D1"/>
    <w:rsid w:val="0051364C"/>
    <w:rsid w:val="00513C82"/>
    <w:rsid w:val="00513FB4"/>
    <w:rsid w:val="0051420A"/>
    <w:rsid w:val="00514779"/>
    <w:rsid w:val="0051490E"/>
    <w:rsid w:val="0051491E"/>
    <w:rsid w:val="00514C1B"/>
    <w:rsid w:val="0051505B"/>
    <w:rsid w:val="0051562B"/>
    <w:rsid w:val="00515FC3"/>
    <w:rsid w:val="005170A3"/>
    <w:rsid w:val="0051717F"/>
    <w:rsid w:val="005175FD"/>
    <w:rsid w:val="00520333"/>
    <w:rsid w:val="00520865"/>
    <w:rsid w:val="00520877"/>
    <w:rsid w:val="005208B9"/>
    <w:rsid w:val="00520C50"/>
    <w:rsid w:val="00520CAF"/>
    <w:rsid w:val="00520EF5"/>
    <w:rsid w:val="00520F6F"/>
    <w:rsid w:val="005214C9"/>
    <w:rsid w:val="0052163F"/>
    <w:rsid w:val="00521748"/>
    <w:rsid w:val="00521DC4"/>
    <w:rsid w:val="005225D9"/>
    <w:rsid w:val="00522A1B"/>
    <w:rsid w:val="00523078"/>
    <w:rsid w:val="00523296"/>
    <w:rsid w:val="00523833"/>
    <w:rsid w:val="00523A9A"/>
    <w:rsid w:val="00523BA3"/>
    <w:rsid w:val="00523E37"/>
    <w:rsid w:val="0052437D"/>
    <w:rsid w:val="005246C1"/>
    <w:rsid w:val="0052493B"/>
    <w:rsid w:val="005249A1"/>
    <w:rsid w:val="00525005"/>
    <w:rsid w:val="00525219"/>
    <w:rsid w:val="005253FC"/>
    <w:rsid w:val="00525A71"/>
    <w:rsid w:val="00526783"/>
    <w:rsid w:val="00527028"/>
    <w:rsid w:val="00527250"/>
    <w:rsid w:val="005273D8"/>
    <w:rsid w:val="00527984"/>
    <w:rsid w:val="00527F3C"/>
    <w:rsid w:val="005301FD"/>
    <w:rsid w:val="00530892"/>
    <w:rsid w:val="00530C8E"/>
    <w:rsid w:val="00530E8F"/>
    <w:rsid w:val="005314A8"/>
    <w:rsid w:val="005318F6"/>
    <w:rsid w:val="00531CA1"/>
    <w:rsid w:val="0053259A"/>
    <w:rsid w:val="0053275B"/>
    <w:rsid w:val="0053284A"/>
    <w:rsid w:val="00532891"/>
    <w:rsid w:val="005330FE"/>
    <w:rsid w:val="005338C3"/>
    <w:rsid w:val="00533B19"/>
    <w:rsid w:val="00533B1F"/>
    <w:rsid w:val="00533BA5"/>
    <w:rsid w:val="00533C72"/>
    <w:rsid w:val="00533FB5"/>
    <w:rsid w:val="00534247"/>
    <w:rsid w:val="00535106"/>
    <w:rsid w:val="00535EFB"/>
    <w:rsid w:val="005366CC"/>
    <w:rsid w:val="00536F7C"/>
    <w:rsid w:val="00536FA6"/>
    <w:rsid w:val="005372C8"/>
    <w:rsid w:val="0053736C"/>
    <w:rsid w:val="005376CE"/>
    <w:rsid w:val="005379D1"/>
    <w:rsid w:val="005379EF"/>
    <w:rsid w:val="00537A58"/>
    <w:rsid w:val="00537D36"/>
    <w:rsid w:val="005400A4"/>
    <w:rsid w:val="005403B5"/>
    <w:rsid w:val="00540A2F"/>
    <w:rsid w:val="00540ADF"/>
    <w:rsid w:val="00540B26"/>
    <w:rsid w:val="00540C87"/>
    <w:rsid w:val="00541187"/>
    <w:rsid w:val="005411EB"/>
    <w:rsid w:val="00541EBC"/>
    <w:rsid w:val="00542A45"/>
    <w:rsid w:val="00543B85"/>
    <w:rsid w:val="00544247"/>
    <w:rsid w:val="00544496"/>
    <w:rsid w:val="005445FE"/>
    <w:rsid w:val="0054496C"/>
    <w:rsid w:val="00544990"/>
    <w:rsid w:val="00544A0E"/>
    <w:rsid w:val="00545281"/>
    <w:rsid w:val="00545602"/>
    <w:rsid w:val="00545B0B"/>
    <w:rsid w:val="00545B6A"/>
    <w:rsid w:val="00545C07"/>
    <w:rsid w:val="0054638D"/>
    <w:rsid w:val="005467A8"/>
    <w:rsid w:val="00546983"/>
    <w:rsid w:val="00547760"/>
    <w:rsid w:val="00547A4C"/>
    <w:rsid w:val="00547C63"/>
    <w:rsid w:val="005501FB"/>
    <w:rsid w:val="0055020B"/>
    <w:rsid w:val="005502C7"/>
    <w:rsid w:val="00550AFE"/>
    <w:rsid w:val="00550B4C"/>
    <w:rsid w:val="00550B9C"/>
    <w:rsid w:val="00550C1F"/>
    <w:rsid w:val="00550CA3"/>
    <w:rsid w:val="00550E53"/>
    <w:rsid w:val="00550EE2"/>
    <w:rsid w:val="005525D8"/>
    <w:rsid w:val="0055279C"/>
    <w:rsid w:val="005529BD"/>
    <w:rsid w:val="00552AC0"/>
    <w:rsid w:val="00553808"/>
    <w:rsid w:val="00553972"/>
    <w:rsid w:val="00553C86"/>
    <w:rsid w:val="00553F09"/>
    <w:rsid w:val="00554958"/>
    <w:rsid w:val="00554BAF"/>
    <w:rsid w:val="00555010"/>
    <w:rsid w:val="00555886"/>
    <w:rsid w:val="00555914"/>
    <w:rsid w:val="005559C7"/>
    <w:rsid w:val="00555AF8"/>
    <w:rsid w:val="00555DCF"/>
    <w:rsid w:val="00556046"/>
    <w:rsid w:val="005561EE"/>
    <w:rsid w:val="0055642D"/>
    <w:rsid w:val="005569CA"/>
    <w:rsid w:val="00556C5D"/>
    <w:rsid w:val="0055774D"/>
    <w:rsid w:val="00557910"/>
    <w:rsid w:val="00557CA0"/>
    <w:rsid w:val="0056018C"/>
    <w:rsid w:val="005601EA"/>
    <w:rsid w:val="00560911"/>
    <w:rsid w:val="00560ADA"/>
    <w:rsid w:val="005612E6"/>
    <w:rsid w:val="00561371"/>
    <w:rsid w:val="005613E3"/>
    <w:rsid w:val="00561C51"/>
    <w:rsid w:val="0056223F"/>
    <w:rsid w:val="00562A5A"/>
    <w:rsid w:val="00562ED8"/>
    <w:rsid w:val="005632B6"/>
    <w:rsid w:val="005633B0"/>
    <w:rsid w:val="00563786"/>
    <w:rsid w:val="005638E4"/>
    <w:rsid w:val="00563F36"/>
    <w:rsid w:val="00564078"/>
    <w:rsid w:val="0056423C"/>
    <w:rsid w:val="0056452A"/>
    <w:rsid w:val="00564AB9"/>
    <w:rsid w:val="00564C23"/>
    <w:rsid w:val="0056568F"/>
    <w:rsid w:val="00565A75"/>
    <w:rsid w:val="005665A2"/>
    <w:rsid w:val="005668B3"/>
    <w:rsid w:val="00566A1B"/>
    <w:rsid w:val="00566C3D"/>
    <w:rsid w:val="005670F0"/>
    <w:rsid w:val="005674D6"/>
    <w:rsid w:val="00567893"/>
    <w:rsid w:val="005679DF"/>
    <w:rsid w:val="00567ABF"/>
    <w:rsid w:val="00567C1C"/>
    <w:rsid w:val="00567E2A"/>
    <w:rsid w:val="0057029D"/>
    <w:rsid w:val="00570806"/>
    <w:rsid w:val="00570938"/>
    <w:rsid w:val="00570986"/>
    <w:rsid w:val="00570ADB"/>
    <w:rsid w:val="005715FE"/>
    <w:rsid w:val="005716EA"/>
    <w:rsid w:val="005718E3"/>
    <w:rsid w:val="00571CE8"/>
    <w:rsid w:val="00571FFD"/>
    <w:rsid w:val="005728CD"/>
    <w:rsid w:val="0057318A"/>
    <w:rsid w:val="0057333D"/>
    <w:rsid w:val="00573469"/>
    <w:rsid w:val="005742CA"/>
    <w:rsid w:val="00574654"/>
    <w:rsid w:val="00575323"/>
    <w:rsid w:val="0057589F"/>
    <w:rsid w:val="00575AFC"/>
    <w:rsid w:val="00575FDD"/>
    <w:rsid w:val="005762FB"/>
    <w:rsid w:val="005763AD"/>
    <w:rsid w:val="0057662F"/>
    <w:rsid w:val="00576704"/>
    <w:rsid w:val="00576DA2"/>
    <w:rsid w:val="00576FE2"/>
    <w:rsid w:val="00577104"/>
    <w:rsid w:val="005773E2"/>
    <w:rsid w:val="0057798A"/>
    <w:rsid w:val="00577C88"/>
    <w:rsid w:val="00577D64"/>
    <w:rsid w:val="00577F8D"/>
    <w:rsid w:val="00580B61"/>
    <w:rsid w:val="00580D1E"/>
    <w:rsid w:val="00580E93"/>
    <w:rsid w:val="00581B55"/>
    <w:rsid w:val="00581C2A"/>
    <w:rsid w:val="00582376"/>
    <w:rsid w:val="005825E0"/>
    <w:rsid w:val="00582EC4"/>
    <w:rsid w:val="005835CF"/>
    <w:rsid w:val="0058376A"/>
    <w:rsid w:val="005838CB"/>
    <w:rsid w:val="00583A75"/>
    <w:rsid w:val="005843AC"/>
    <w:rsid w:val="00584620"/>
    <w:rsid w:val="005848C1"/>
    <w:rsid w:val="00584960"/>
    <w:rsid w:val="00584B20"/>
    <w:rsid w:val="00585538"/>
    <w:rsid w:val="005855D5"/>
    <w:rsid w:val="00585F3F"/>
    <w:rsid w:val="00586444"/>
    <w:rsid w:val="0058675F"/>
    <w:rsid w:val="005868BB"/>
    <w:rsid w:val="00586C10"/>
    <w:rsid w:val="00591805"/>
    <w:rsid w:val="0059182E"/>
    <w:rsid w:val="005918C2"/>
    <w:rsid w:val="00591A53"/>
    <w:rsid w:val="00591DFD"/>
    <w:rsid w:val="00592541"/>
    <w:rsid w:val="005926D3"/>
    <w:rsid w:val="00592D7C"/>
    <w:rsid w:val="00592F66"/>
    <w:rsid w:val="0059318E"/>
    <w:rsid w:val="00594019"/>
    <w:rsid w:val="00594262"/>
    <w:rsid w:val="00594346"/>
    <w:rsid w:val="00594465"/>
    <w:rsid w:val="005945F3"/>
    <w:rsid w:val="0059486A"/>
    <w:rsid w:val="00595143"/>
    <w:rsid w:val="00595364"/>
    <w:rsid w:val="00595AEC"/>
    <w:rsid w:val="0059648E"/>
    <w:rsid w:val="0059651D"/>
    <w:rsid w:val="00596530"/>
    <w:rsid w:val="00596A8E"/>
    <w:rsid w:val="00596C28"/>
    <w:rsid w:val="00596C9C"/>
    <w:rsid w:val="0059738D"/>
    <w:rsid w:val="005973BB"/>
    <w:rsid w:val="0059752A"/>
    <w:rsid w:val="00597650"/>
    <w:rsid w:val="00597667"/>
    <w:rsid w:val="00597943"/>
    <w:rsid w:val="005A042A"/>
    <w:rsid w:val="005A0E98"/>
    <w:rsid w:val="005A1207"/>
    <w:rsid w:val="005A13CB"/>
    <w:rsid w:val="005A176A"/>
    <w:rsid w:val="005A187F"/>
    <w:rsid w:val="005A1C7D"/>
    <w:rsid w:val="005A2C80"/>
    <w:rsid w:val="005A2FAE"/>
    <w:rsid w:val="005A3B85"/>
    <w:rsid w:val="005A3E30"/>
    <w:rsid w:val="005A4123"/>
    <w:rsid w:val="005A4535"/>
    <w:rsid w:val="005A4FAA"/>
    <w:rsid w:val="005A55E6"/>
    <w:rsid w:val="005A5EC2"/>
    <w:rsid w:val="005A648E"/>
    <w:rsid w:val="005A64B8"/>
    <w:rsid w:val="005A6C81"/>
    <w:rsid w:val="005A6FE1"/>
    <w:rsid w:val="005A7713"/>
    <w:rsid w:val="005A7896"/>
    <w:rsid w:val="005A7F70"/>
    <w:rsid w:val="005B0054"/>
    <w:rsid w:val="005B034A"/>
    <w:rsid w:val="005B121C"/>
    <w:rsid w:val="005B1239"/>
    <w:rsid w:val="005B1DAD"/>
    <w:rsid w:val="005B1DF8"/>
    <w:rsid w:val="005B202C"/>
    <w:rsid w:val="005B2B64"/>
    <w:rsid w:val="005B2F95"/>
    <w:rsid w:val="005B346E"/>
    <w:rsid w:val="005B34CC"/>
    <w:rsid w:val="005B36F7"/>
    <w:rsid w:val="005B386D"/>
    <w:rsid w:val="005B3D09"/>
    <w:rsid w:val="005B3D11"/>
    <w:rsid w:val="005B5041"/>
    <w:rsid w:val="005B5D28"/>
    <w:rsid w:val="005B5D8A"/>
    <w:rsid w:val="005B5DB5"/>
    <w:rsid w:val="005B6520"/>
    <w:rsid w:val="005B6DC9"/>
    <w:rsid w:val="005B7093"/>
    <w:rsid w:val="005B720C"/>
    <w:rsid w:val="005B7BA6"/>
    <w:rsid w:val="005C0155"/>
    <w:rsid w:val="005C062A"/>
    <w:rsid w:val="005C069E"/>
    <w:rsid w:val="005C087F"/>
    <w:rsid w:val="005C08B1"/>
    <w:rsid w:val="005C0DB5"/>
    <w:rsid w:val="005C1496"/>
    <w:rsid w:val="005C1CD9"/>
    <w:rsid w:val="005C204C"/>
    <w:rsid w:val="005C2691"/>
    <w:rsid w:val="005C2769"/>
    <w:rsid w:val="005C2F10"/>
    <w:rsid w:val="005C2F63"/>
    <w:rsid w:val="005C3279"/>
    <w:rsid w:val="005C3364"/>
    <w:rsid w:val="005C3612"/>
    <w:rsid w:val="005C3814"/>
    <w:rsid w:val="005C3A1F"/>
    <w:rsid w:val="005C3AB2"/>
    <w:rsid w:val="005C3B3E"/>
    <w:rsid w:val="005C3C05"/>
    <w:rsid w:val="005C3D33"/>
    <w:rsid w:val="005C4C1E"/>
    <w:rsid w:val="005C55C7"/>
    <w:rsid w:val="005C6131"/>
    <w:rsid w:val="005C61A4"/>
    <w:rsid w:val="005C6A3B"/>
    <w:rsid w:val="005C6A81"/>
    <w:rsid w:val="005C6C79"/>
    <w:rsid w:val="005C6CAB"/>
    <w:rsid w:val="005C6CD9"/>
    <w:rsid w:val="005C6D61"/>
    <w:rsid w:val="005C6D8F"/>
    <w:rsid w:val="005C6EBB"/>
    <w:rsid w:val="005C75DF"/>
    <w:rsid w:val="005C7E12"/>
    <w:rsid w:val="005C7F49"/>
    <w:rsid w:val="005C7FE6"/>
    <w:rsid w:val="005D025B"/>
    <w:rsid w:val="005D0554"/>
    <w:rsid w:val="005D08C7"/>
    <w:rsid w:val="005D09D5"/>
    <w:rsid w:val="005D0F08"/>
    <w:rsid w:val="005D10C6"/>
    <w:rsid w:val="005D15CA"/>
    <w:rsid w:val="005D16EF"/>
    <w:rsid w:val="005D2B44"/>
    <w:rsid w:val="005D2DDB"/>
    <w:rsid w:val="005D2DF5"/>
    <w:rsid w:val="005D37D2"/>
    <w:rsid w:val="005D3FBB"/>
    <w:rsid w:val="005D4966"/>
    <w:rsid w:val="005D4B21"/>
    <w:rsid w:val="005D56E8"/>
    <w:rsid w:val="005D6560"/>
    <w:rsid w:val="005D6855"/>
    <w:rsid w:val="005D6EF8"/>
    <w:rsid w:val="005D7358"/>
    <w:rsid w:val="005D74BC"/>
    <w:rsid w:val="005D76C4"/>
    <w:rsid w:val="005D7889"/>
    <w:rsid w:val="005D797B"/>
    <w:rsid w:val="005D7BE6"/>
    <w:rsid w:val="005E03AB"/>
    <w:rsid w:val="005E04D6"/>
    <w:rsid w:val="005E0B18"/>
    <w:rsid w:val="005E0B78"/>
    <w:rsid w:val="005E0CEA"/>
    <w:rsid w:val="005E11C3"/>
    <w:rsid w:val="005E1C33"/>
    <w:rsid w:val="005E20B0"/>
    <w:rsid w:val="005E293B"/>
    <w:rsid w:val="005E2A18"/>
    <w:rsid w:val="005E2A49"/>
    <w:rsid w:val="005E2A53"/>
    <w:rsid w:val="005E2C3D"/>
    <w:rsid w:val="005E318C"/>
    <w:rsid w:val="005E323A"/>
    <w:rsid w:val="005E33D7"/>
    <w:rsid w:val="005E38A8"/>
    <w:rsid w:val="005E3A24"/>
    <w:rsid w:val="005E3C6B"/>
    <w:rsid w:val="005E3C93"/>
    <w:rsid w:val="005E44A8"/>
    <w:rsid w:val="005E4BB6"/>
    <w:rsid w:val="005E4CA2"/>
    <w:rsid w:val="005E51DB"/>
    <w:rsid w:val="005E54EE"/>
    <w:rsid w:val="005E5A50"/>
    <w:rsid w:val="005E5D81"/>
    <w:rsid w:val="005E6015"/>
    <w:rsid w:val="005E608C"/>
    <w:rsid w:val="005E611B"/>
    <w:rsid w:val="005E6143"/>
    <w:rsid w:val="005E6341"/>
    <w:rsid w:val="005E6A61"/>
    <w:rsid w:val="005E6DA1"/>
    <w:rsid w:val="005E718E"/>
    <w:rsid w:val="005E7548"/>
    <w:rsid w:val="005E777C"/>
    <w:rsid w:val="005E78D6"/>
    <w:rsid w:val="005E7936"/>
    <w:rsid w:val="005E7971"/>
    <w:rsid w:val="005E7B76"/>
    <w:rsid w:val="005E7E1E"/>
    <w:rsid w:val="005F008F"/>
    <w:rsid w:val="005F009C"/>
    <w:rsid w:val="005F01DD"/>
    <w:rsid w:val="005F0635"/>
    <w:rsid w:val="005F0A59"/>
    <w:rsid w:val="005F0EAD"/>
    <w:rsid w:val="005F0ED9"/>
    <w:rsid w:val="005F1015"/>
    <w:rsid w:val="005F18FD"/>
    <w:rsid w:val="005F1919"/>
    <w:rsid w:val="005F1A52"/>
    <w:rsid w:val="005F1BE4"/>
    <w:rsid w:val="005F1DAE"/>
    <w:rsid w:val="005F21FF"/>
    <w:rsid w:val="005F288B"/>
    <w:rsid w:val="005F2A82"/>
    <w:rsid w:val="005F2BA9"/>
    <w:rsid w:val="005F347E"/>
    <w:rsid w:val="005F34D1"/>
    <w:rsid w:val="005F3AC6"/>
    <w:rsid w:val="005F3DFC"/>
    <w:rsid w:val="005F4335"/>
    <w:rsid w:val="005F4553"/>
    <w:rsid w:val="005F4A4E"/>
    <w:rsid w:val="005F5538"/>
    <w:rsid w:val="005F561B"/>
    <w:rsid w:val="005F5649"/>
    <w:rsid w:val="005F5E00"/>
    <w:rsid w:val="005F6606"/>
    <w:rsid w:val="005F6755"/>
    <w:rsid w:val="005F6E71"/>
    <w:rsid w:val="005F78CB"/>
    <w:rsid w:val="005F7A02"/>
    <w:rsid w:val="005F7D68"/>
    <w:rsid w:val="005F7F08"/>
    <w:rsid w:val="006003EA"/>
    <w:rsid w:val="006004CB"/>
    <w:rsid w:val="0060064A"/>
    <w:rsid w:val="0060141F"/>
    <w:rsid w:val="00601C06"/>
    <w:rsid w:val="00601C15"/>
    <w:rsid w:val="00601D25"/>
    <w:rsid w:val="00602B23"/>
    <w:rsid w:val="0060335E"/>
    <w:rsid w:val="0060367B"/>
    <w:rsid w:val="00603F8F"/>
    <w:rsid w:val="00604156"/>
    <w:rsid w:val="00604692"/>
    <w:rsid w:val="00604945"/>
    <w:rsid w:val="00604A7E"/>
    <w:rsid w:val="00604D5C"/>
    <w:rsid w:val="00604D64"/>
    <w:rsid w:val="006055D2"/>
    <w:rsid w:val="00605BC8"/>
    <w:rsid w:val="00605BD8"/>
    <w:rsid w:val="00605D62"/>
    <w:rsid w:val="00605DE1"/>
    <w:rsid w:val="006071C5"/>
    <w:rsid w:val="006073D9"/>
    <w:rsid w:val="00607498"/>
    <w:rsid w:val="00607600"/>
    <w:rsid w:val="00607638"/>
    <w:rsid w:val="00607C03"/>
    <w:rsid w:val="00607CD1"/>
    <w:rsid w:val="00607F82"/>
    <w:rsid w:val="00610281"/>
    <w:rsid w:val="0061034A"/>
    <w:rsid w:val="006106E5"/>
    <w:rsid w:val="00610A0E"/>
    <w:rsid w:val="00611048"/>
    <w:rsid w:val="0061127F"/>
    <w:rsid w:val="00611C05"/>
    <w:rsid w:val="0061204C"/>
    <w:rsid w:val="006121D8"/>
    <w:rsid w:val="00612C17"/>
    <w:rsid w:val="0061315B"/>
    <w:rsid w:val="00613677"/>
    <w:rsid w:val="00614232"/>
    <w:rsid w:val="0061460A"/>
    <w:rsid w:val="006146F2"/>
    <w:rsid w:val="006152C4"/>
    <w:rsid w:val="006161F3"/>
    <w:rsid w:val="006162BD"/>
    <w:rsid w:val="00616430"/>
    <w:rsid w:val="006164E3"/>
    <w:rsid w:val="0061776C"/>
    <w:rsid w:val="00617CB6"/>
    <w:rsid w:val="00620216"/>
    <w:rsid w:val="00620353"/>
    <w:rsid w:val="00620BCF"/>
    <w:rsid w:val="006212C7"/>
    <w:rsid w:val="00621324"/>
    <w:rsid w:val="00621733"/>
    <w:rsid w:val="006219CA"/>
    <w:rsid w:val="00621D00"/>
    <w:rsid w:val="006220DE"/>
    <w:rsid w:val="00622160"/>
    <w:rsid w:val="00622277"/>
    <w:rsid w:val="0062373C"/>
    <w:rsid w:val="006240C3"/>
    <w:rsid w:val="00624711"/>
    <w:rsid w:val="0062479B"/>
    <w:rsid w:val="00624895"/>
    <w:rsid w:val="00624AF6"/>
    <w:rsid w:val="00624B68"/>
    <w:rsid w:val="00624E48"/>
    <w:rsid w:val="0062501F"/>
    <w:rsid w:val="006252E1"/>
    <w:rsid w:val="006252FA"/>
    <w:rsid w:val="00625E52"/>
    <w:rsid w:val="00625E67"/>
    <w:rsid w:val="006264E3"/>
    <w:rsid w:val="00626804"/>
    <w:rsid w:val="00626837"/>
    <w:rsid w:val="00626A48"/>
    <w:rsid w:val="00626E31"/>
    <w:rsid w:val="006272D9"/>
    <w:rsid w:val="0062777F"/>
    <w:rsid w:val="00627886"/>
    <w:rsid w:val="00630631"/>
    <w:rsid w:val="00630724"/>
    <w:rsid w:val="006307CA"/>
    <w:rsid w:val="00630BE7"/>
    <w:rsid w:val="00631797"/>
    <w:rsid w:val="00631AB7"/>
    <w:rsid w:val="00631C64"/>
    <w:rsid w:val="00631EB3"/>
    <w:rsid w:val="00632259"/>
    <w:rsid w:val="0063280F"/>
    <w:rsid w:val="0063282C"/>
    <w:rsid w:val="00632F14"/>
    <w:rsid w:val="006330B5"/>
    <w:rsid w:val="006330E8"/>
    <w:rsid w:val="00633372"/>
    <w:rsid w:val="0063384E"/>
    <w:rsid w:val="00633ABF"/>
    <w:rsid w:val="00633B2E"/>
    <w:rsid w:val="00633F5C"/>
    <w:rsid w:val="00634046"/>
    <w:rsid w:val="00634225"/>
    <w:rsid w:val="00634484"/>
    <w:rsid w:val="006351A4"/>
    <w:rsid w:val="00635226"/>
    <w:rsid w:val="006352F5"/>
    <w:rsid w:val="0063557E"/>
    <w:rsid w:val="00635D24"/>
    <w:rsid w:val="006362C1"/>
    <w:rsid w:val="00636B08"/>
    <w:rsid w:val="006370D6"/>
    <w:rsid w:val="00637637"/>
    <w:rsid w:val="00637804"/>
    <w:rsid w:val="006378BA"/>
    <w:rsid w:val="00637D91"/>
    <w:rsid w:val="006405B8"/>
    <w:rsid w:val="00641949"/>
    <w:rsid w:val="00642905"/>
    <w:rsid w:val="00643416"/>
    <w:rsid w:val="00643A5C"/>
    <w:rsid w:val="00643EA2"/>
    <w:rsid w:val="00643FAD"/>
    <w:rsid w:val="00644025"/>
    <w:rsid w:val="00644100"/>
    <w:rsid w:val="00644276"/>
    <w:rsid w:val="00645120"/>
    <w:rsid w:val="0064526C"/>
    <w:rsid w:val="00645739"/>
    <w:rsid w:val="00645C04"/>
    <w:rsid w:val="00645DAD"/>
    <w:rsid w:val="00645E54"/>
    <w:rsid w:val="00645E5F"/>
    <w:rsid w:val="00646309"/>
    <w:rsid w:val="006463C5"/>
    <w:rsid w:val="0064676F"/>
    <w:rsid w:val="006467CF"/>
    <w:rsid w:val="00646F09"/>
    <w:rsid w:val="00647DE6"/>
    <w:rsid w:val="00650491"/>
    <w:rsid w:val="00650505"/>
    <w:rsid w:val="006505E9"/>
    <w:rsid w:val="00650773"/>
    <w:rsid w:val="00651372"/>
    <w:rsid w:val="006514BE"/>
    <w:rsid w:val="00651A62"/>
    <w:rsid w:val="00651D99"/>
    <w:rsid w:val="00652564"/>
    <w:rsid w:val="006531C2"/>
    <w:rsid w:val="00654441"/>
    <w:rsid w:val="00654903"/>
    <w:rsid w:val="006554CC"/>
    <w:rsid w:val="006562E5"/>
    <w:rsid w:val="006566F8"/>
    <w:rsid w:val="0065674C"/>
    <w:rsid w:val="00656A89"/>
    <w:rsid w:val="0065701B"/>
    <w:rsid w:val="0065788B"/>
    <w:rsid w:val="00657941"/>
    <w:rsid w:val="006608C9"/>
    <w:rsid w:val="00660C30"/>
    <w:rsid w:val="00660CFB"/>
    <w:rsid w:val="00660F1D"/>
    <w:rsid w:val="00660F5E"/>
    <w:rsid w:val="0066112B"/>
    <w:rsid w:val="00661BE7"/>
    <w:rsid w:val="00661CCE"/>
    <w:rsid w:val="00661D59"/>
    <w:rsid w:val="006622AB"/>
    <w:rsid w:val="006626CC"/>
    <w:rsid w:val="006629D4"/>
    <w:rsid w:val="00662C8F"/>
    <w:rsid w:val="00662F99"/>
    <w:rsid w:val="006630F2"/>
    <w:rsid w:val="0066314C"/>
    <w:rsid w:val="006638ED"/>
    <w:rsid w:val="00663F91"/>
    <w:rsid w:val="00664195"/>
    <w:rsid w:val="006648CB"/>
    <w:rsid w:val="00665140"/>
    <w:rsid w:val="0066533B"/>
    <w:rsid w:val="006656BB"/>
    <w:rsid w:val="00665CA5"/>
    <w:rsid w:val="00666312"/>
    <w:rsid w:val="0066644A"/>
    <w:rsid w:val="00666F5E"/>
    <w:rsid w:val="006678C1"/>
    <w:rsid w:val="00667A89"/>
    <w:rsid w:val="00667F03"/>
    <w:rsid w:val="00667FED"/>
    <w:rsid w:val="0067029E"/>
    <w:rsid w:val="006703EA"/>
    <w:rsid w:val="006704A1"/>
    <w:rsid w:val="0067099C"/>
    <w:rsid w:val="00670F09"/>
    <w:rsid w:val="00671969"/>
    <w:rsid w:val="00671C82"/>
    <w:rsid w:val="00671CB2"/>
    <w:rsid w:val="0067238D"/>
    <w:rsid w:val="006723DD"/>
    <w:rsid w:val="00672A62"/>
    <w:rsid w:val="006732E3"/>
    <w:rsid w:val="00673434"/>
    <w:rsid w:val="0067438B"/>
    <w:rsid w:val="006743F2"/>
    <w:rsid w:val="0067443F"/>
    <w:rsid w:val="00674761"/>
    <w:rsid w:val="00674D2D"/>
    <w:rsid w:val="00675AE4"/>
    <w:rsid w:val="00675F5D"/>
    <w:rsid w:val="0067601E"/>
    <w:rsid w:val="006761C6"/>
    <w:rsid w:val="006761D0"/>
    <w:rsid w:val="006763F4"/>
    <w:rsid w:val="00676826"/>
    <w:rsid w:val="0067695A"/>
    <w:rsid w:val="00676F08"/>
    <w:rsid w:val="00677185"/>
    <w:rsid w:val="00677369"/>
    <w:rsid w:val="00677486"/>
    <w:rsid w:val="0067772E"/>
    <w:rsid w:val="006777AE"/>
    <w:rsid w:val="006800A3"/>
    <w:rsid w:val="006802C2"/>
    <w:rsid w:val="00680429"/>
    <w:rsid w:val="00680454"/>
    <w:rsid w:val="00680580"/>
    <w:rsid w:val="00680886"/>
    <w:rsid w:val="00680A13"/>
    <w:rsid w:val="00680B99"/>
    <w:rsid w:val="00680FCE"/>
    <w:rsid w:val="0068142D"/>
    <w:rsid w:val="00681619"/>
    <w:rsid w:val="00682021"/>
    <w:rsid w:val="00682F7B"/>
    <w:rsid w:val="00683CC5"/>
    <w:rsid w:val="00683CDE"/>
    <w:rsid w:val="00684786"/>
    <w:rsid w:val="00684D8C"/>
    <w:rsid w:val="00684EBF"/>
    <w:rsid w:val="00684F8F"/>
    <w:rsid w:val="00685168"/>
    <w:rsid w:val="00685380"/>
    <w:rsid w:val="006854C1"/>
    <w:rsid w:val="006859EB"/>
    <w:rsid w:val="00685AA5"/>
    <w:rsid w:val="00685F6C"/>
    <w:rsid w:val="00685FE6"/>
    <w:rsid w:val="0068659A"/>
    <w:rsid w:val="00686775"/>
    <w:rsid w:val="0068693B"/>
    <w:rsid w:val="00686ADB"/>
    <w:rsid w:val="00687552"/>
    <w:rsid w:val="0068768C"/>
    <w:rsid w:val="006876D3"/>
    <w:rsid w:val="00690726"/>
    <w:rsid w:val="00690757"/>
    <w:rsid w:val="00690BCB"/>
    <w:rsid w:val="00690D54"/>
    <w:rsid w:val="00691AF3"/>
    <w:rsid w:val="00691E2F"/>
    <w:rsid w:val="006928DE"/>
    <w:rsid w:val="00692F02"/>
    <w:rsid w:val="006931DE"/>
    <w:rsid w:val="00693882"/>
    <w:rsid w:val="006939DF"/>
    <w:rsid w:val="006942FC"/>
    <w:rsid w:val="0069450F"/>
    <w:rsid w:val="00694827"/>
    <w:rsid w:val="0069482A"/>
    <w:rsid w:val="006949D5"/>
    <w:rsid w:val="0069510B"/>
    <w:rsid w:val="006953CD"/>
    <w:rsid w:val="00695AA8"/>
    <w:rsid w:val="00695F53"/>
    <w:rsid w:val="0069607C"/>
    <w:rsid w:val="00696511"/>
    <w:rsid w:val="006973BB"/>
    <w:rsid w:val="0069753A"/>
    <w:rsid w:val="00697966"/>
    <w:rsid w:val="00697CEF"/>
    <w:rsid w:val="006A083E"/>
    <w:rsid w:val="006A0A33"/>
    <w:rsid w:val="006A0AEA"/>
    <w:rsid w:val="006A0F0C"/>
    <w:rsid w:val="006A102A"/>
    <w:rsid w:val="006A11B1"/>
    <w:rsid w:val="006A18B7"/>
    <w:rsid w:val="006A18ED"/>
    <w:rsid w:val="006A2167"/>
    <w:rsid w:val="006A294E"/>
    <w:rsid w:val="006A2AB6"/>
    <w:rsid w:val="006A2ADE"/>
    <w:rsid w:val="006A350A"/>
    <w:rsid w:val="006A3E6A"/>
    <w:rsid w:val="006A406B"/>
    <w:rsid w:val="006A4109"/>
    <w:rsid w:val="006A4773"/>
    <w:rsid w:val="006A4860"/>
    <w:rsid w:val="006A502C"/>
    <w:rsid w:val="006A53AA"/>
    <w:rsid w:val="006A53B8"/>
    <w:rsid w:val="006A5B09"/>
    <w:rsid w:val="006A5BCB"/>
    <w:rsid w:val="006A61A8"/>
    <w:rsid w:val="006A61EF"/>
    <w:rsid w:val="006A6443"/>
    <w:rsid w:val="006A64D1"/>
    <w:rsid w:val="006A6800"/>
    <w:rsid w:val="006A6E79"/>
    <w:rsid w:val="006A7250"/>
    <w:rsid w:val="006A72E7"/>
    <w:rsid w:val="006A7F7B"/>
    <w:rsid w:val="006B05B0"/>
    <w:rsid w:val="006B1075"/>
    <w:rsid w:val="006B1863"/>
    <w:rsid w:val="006B1895"/>
    <w:rsid w:val="006B189E"/>
    <w:rsid w:val="006B26E8"/>
    <w:rsid w:val="006B29C3"/>
    <w:rsid w:val="006B2D50"/>
    <w:rsid w:val="006B2E37"/>
    <w:rsid w:val="006B3745"/>
    <w:rsid w:val="006B3977"/>
    <w:rsid w:val="006B4077"/>
    <w:rsid w:val="006B40AD"/>
    <w:rsid w:val="006B5928"/>
    <w:rsid w:val="006B5ED1"/>
    <w:rsid w:val="006B5FEE"/>
    <w:rsid w:val="006B6216"/>
    <w:rsid w:val="006B6472"/>
    <w:rsid w:val="006B66CF"/>
    <w:rsid w:val="006B7024"/>
    <w:rsid w:val="006B7473"/>
    <w:rsid w:val="006B7A88"/>
    <w:rsid w:val="006B7BBF"/>
    <w:rsid w:val="006B7F89"/>
    <w:rsid w:val="006C03B5"/>
    <w:rsid w:val="006C0969"/>
    <w:rsid w:val="006C1A0E"/>
    <w:rsid w:val="006C1A9D"/>
    <w:rsid w:val="006C1E2A"/>
    <w:rsid w:val="006C20EE"/>
    <w:rsid w:val="006C23A6"/>
    <w:rsid w:val="006C251C"/>
    <w:rsid w:val="006C262F"/>
    <w:rsid w:val="006C2C3B"/>
    <w:rsid w:val="006C2EA1"/>
    <w:rsid w:val="006C30DE"/>
    <w:rsid w:val="006C3124"/>
    <w:rsid w:val="006C3309"/>
    <w:rsid w:val="006C360B"/>
    <w:rsid w:val="006C3B26"/>
    <w:rsid w:val="006C3CCB"/>
    <w:rsid w:val="006C3DFA"/>
    <w:rsid w:val="006C417C"/>
    <w:rsid w:val="006C46A9"/>
    <w:rsid w:val="006C48DB"/>
    <w:rsid w:val="006C4A47"/>
    <w:rsid w:val="006C4F6D"/>
    <w:rsid w:val="006C5181"/>
    <w:rsid w:val="006C5256"/>
    <w:rsid w:val="006C545C"/>
    <w:rsid w:val="006C553B"/>
    <w:rsid w:val="006C5933"/>
    <w:rsid w:val="006C5F90"/>
    <w:rsid w:val="006C62A7"/>
    <w:rsid w:val="006C663B"/>
    <w:rsid w:val="006C6A95"/>
    <w:rsid w:val="006C6D21"/>
    <w:rsid w:val="006C6E6B"/>
    <w:rsid w:val="006C7706"/>
    <w:rsid w:val="006C789B"/>
    <w:rsid w:val="006D0133"/>
    <w:rsid w:val="006D03B1"/>
    <w:rsid w:val="006D06DB"/>
    <w:rsid w:val="006D0CD0"/>
    <w:rsid w:val="006D146E"/>
    <w:rsid w:val="006D1A93"/>
    <w:rsid w:val="006D1C0F"/>
    <w:rsid w:val="006D1C33"/>
    <w:rsid w:val="006D1DD3"/>
    <w:rsid w:val="006D229B"/>
    <w:rsid w:val="006D246F"/>
    <w:rsid w:val="006D2C77"/>
    <w:rsid w:val="006D359A"/>
    <w:rsid w:val="006D35DB"/>
    <w:rsid w:val="006D38BA"/>
    <w:rsid w:val="006D3D1B"/>
    <w:rsid w:val="006D3FD6"/>
    <w:rsid w:val="006D4096"/>
    <w:rsid w:val="006D42B6"/>
    <w:rsid w:val="006D5027"/>
    <w:rsid w:val="006D52F2"/>
    <w:rsid w:val="006D5529"/>
    <w:rsid w:val="006D5994"/>
    <w:rsid w:val="006D5B9C"/>
    <w:rsid w:val="006D5D33"/>
    <w:rsid w:val="006D64C5"/>
    <w:rsid w:val="006D67D8"/>
    <w:rsid w:val="006D69CD"/>
    <w:rsid w:val="006D6CB8"/>
    <w:rsid w:val="006D7284"/>
    <w:rsid w:val="006D7C59"/>
    <w:rsid w:val="006D7DAE"/>
    <w:rsid w:val="006D7F22"/>
    <w:rsid w:val="006E0C69"/>
    <w:rsid w:val="006E111A"/>
    <w:rsid w:val="006E12A6"/>
    <w:rsid w:val="006E13C0"/>
    <w:rsid w:val="006E1404"/>
    <w:rsid w:val="006E1A7C"/>
    <w:rsid w:val="006E202E"/>
    <w:rsid w:val="006E2238"/>
    <w:rsid w:val="006E22C5"/>
    <w:rsid w:val="006E233B"/>
    <w:rsid w:val="006E27E3"/>
    <w:rsid w:val="006E291C"/>
    <w:rsid w:val="006E2BB3"/>
    <w:rsid w:val="006E2E4F"/>
    <w:rsid w:val="006E2F8A"/>
    <w:rsid w:val="006E3239"/>
    <w:rsid w:val="006E3246"/>
    <w:rsid w:val="006E336B"/>
    <w:rsid w:val="006E3938"/>
    <w:rsid w:val="006E406C"/>
    <w:rsid w:val="006E460B"/>
    <w:rsid w:val="006E4D54"/>
    <w:rsid w:val="006E5035"/>
    <w:rsid w:val="006E5214"/>
    <w:rsid w:val="006E57F1"/>
    <w:rsid w:val="006E5D33"/>
    <w:rsid w:val="006E5E5F"/>
    <w:rsid w:val="006E62D7"/>
    <w:rsid w:val="006E6664"/>
    <w:rsid w:val="006E6B4E"/>
    <w:rsid w:val="006E6DEE"/>
    <w:rsid w:val="006E751A"/>
    <w:rsid w:val="006E7625"/>
    <w:rsid w:val="006E7B7B"/>
    <w:rsid w:val="006E7C4B"/>
    <w:rsid w:val="006E7F76"/>
    <w:rsid w:val="006F072E"/>
    <w:rsid w:val="006F0C34"/>
    <w:rsid w:val="006F1FAB"/>
    <w:rsid w:val="006F218D"/>
    <w:rsid w:val="006F2239"/>
    <w:rsid w:val="006F22CB"/>
    <w:rsid w:val="006F2C21"/>
    <w:rsid w:val="006F30EB"/>
    <w:rsid w:val="006F31D1"/>
    <w:rsid w:val="006F32B9"/>
    <w:rsid w:val="006F35F8"/>
    <w:rsid w:val="006F3C1D"/>
    <w:rsid w:val="006F47D6"/>
    <w:rsid w:val="006F4C20"/>
    <w:rsid w:val="006F4D41"/>
    <w:rsid w:val="006F4E7D"/>
    <w:rsid w:val="006F51EA"/>
    <w:rsid w:val="006F549B"/>
    <w:rsid w:val="006F5929"/>
    <w:rsid w:val="006F5D3B"/>
    <w:rsid w:val="006F5D40"/>
    <w:rsid w:val="006F61FA"/>
    <w:rsid w:val="006F64EB"/>
    <w:rsid w:val="006F6840"/>
    <w:rsid w:val="006F6B5B"/>
    <w:rsid w:val="006F6EA6"/>
    <w:rsid w:val="006F7267"/>
    <w:rsid w:val="006F74A6"/>
    <w:rsid w:val="006F787E"/>
    <w:rsid w:val="006F7DBD"/>
    <w:rsid w:val="007005E8"/>
    <w:rsid w:val="00700F78"/>
    <w:rsid w:val="00701003"/>
    <w:rsid w:val="0070140C"/>
    <w:rsid w:val="0070151B"/>
    <w:rsid w:val="00701971"/>
    <w:rsid w:val="00701C4F"/>
    <w:rsid w:val="007028CE"/>
    <w:rsid w:val="00702D95"/>
    <w:rsid w:val="00702EF6"/>
    <w:rsid w:val="00702F29"/>
    <w:rsid w:val="00703134"/>
    <w:rsid w:val="0070323E"/>
    <w:rsid w:val="00703E73"/>
    <w:rsid w:val="00703FCA"/>
    <w:rsid w:val="0070456F"/>
    <w:rsid w:val="00704A6C"/>
    <w:rsid w:val="00704C6F"/>
    <w:rsid w:val="0070531B"/>
    <w:rsid w:val="007060F0"/>
    <w:rsid w:val="007068E4"/>
    <w:rsid w:val="0070694C"/>
    <w:rsid w:val="007069F4"/>
    <w:rsid w:val="00706BB8"/>
    <w:rsid w:val="00706F0A"/>
    <w:rsid w:val="00707AB4"/>
    <w:rsid w:val="00707D57"/>
    <w:rsid w:val="00707F76"/>
    <w:rsid w:val="00710212"/>
    <w:rsid w:val="007107F8"/>
    <w:rsid w:val="007112CE"/>
    <w:rsid w:val="00711731"/>
    <w:rsid w:val="00711780"/>
    <w:rsid w:val="007119B2"/>
    <w:rsid w:val="00712378"/>
    <w:rsid w:val="00712497"/>
    <w:rsid w:val="0071262B"/>
    <w:rsid w:val="007126BF"/>
    <w:rsid w:val="00713269"/>
    <w:rsid w:val="00713AC8"/>
    <w:rsid w:val="00713C97"/>
    <w:rsid w:val="00714295"/>
    <w:rsid w:val="00714778"/>
    <w:rsid w:val="00714EE8"/>
    <w:rsid w:val="0071537D"/>
    <w:rsid w:val="00715475"/>
    <w:rsid w:val="00715559"/>
    <w:rsid w:val="00715D77"/>
    <w:rsid w:val="00715E97"/>
    <w:rsid w:val="00715F05"/>
    <w:rsid w:val="007165DA"/>
    <w:rsid w:val="00716FA3"/>
    <w:rsid w:val="007173B4"/>
    <w:rsid w:val="0071778B"/>
    <w:rsid w:val="007205D6"/>
    <w:rsid w:val="00720630"/>
    <w:rsid w:val="00720668"/>
    <w:rsid w:val="00720724"/>
    <w:rsid w:val="00720F65"/>
    <w:rsid w:val="0072168B"/>
    <w:rsid w:val="007216CC"/>
    <w:rsid w:val="00721929"/>
    <w:rsid w:val="00722402"/>
    <w:rsid w:val="0072241E"/>
    <w:rsid w:val="00722A55"/>
    <w:rsid w:val="0072329A"/>
    <w:rsid w:val="007232DE"/>
    <w:rsid w:val="00723C1D"/>
    <w:rsid w:val="007249B7"/>
    <w:rsid w:val="00725910"/>
    <w:rsid w:val="0072598D"/>
    <w:rsid w:val="00725C00"/>
    <w:rsid w:val="00725CFE"/>
    <w:rsid w:val="007262A4"/>
    <w:rsid w:val="007274B8"/>
    <w:rsid w:val="00727741"/>
    <w:rsid w:val="0073057D"/>
    <w:rsid w:val="00730B55"/>
    <w:rsid w:val="00730D54"/>
    <w:rsid w:val="00730D75"/>
    <w:rsid w:val="00730DC4"/>
    <w:rsid w:val="00730EA4"/>
    <w:rsid w:val="007316D7"/>
    <w:rsid w:val="0073232A"/>
    <w:rsid w:val="0073244E"/>
    <w:rsid w:val="007328B0"/>
    <w:rsid w:val="00732977"/>
    <w:rsid w:val="00732CF8"/>
    <w:rsid w:val="00732D4F"/>
    <w:rsid w:val="007330AB"/>
    <w:rsid w:val="007330FF"/>
    <w:rsid w:val="00733C95"/>
    <w:rsid w:val="00733D78"/>
    <w:rsid w:val="0073434A"/>
    <w:rsid w:val="00735558"/>
    <w:rsid w:val="00735645"/>
    <w:rsid w:val="007357C2"/>
    <w:rsid w:val="00735A80"/>
    <w:rsid w:val="00735E39"/>
    <w:rsid w:val="00735FDE"/>
    <w:rsid w:val="0073659F"/>
    <w:rsid w:val="0073661F"/>
    <w:rsid w:val="007367A1"/>
    <w:rsid w:val="00736888"/>
    <w:rsid w:val="007368A8"/>
    <w:rsid w:val="00736DB0"/>
    <w:rsid w:val="00737B30"/>
    <w:rsid w:val="00737E8D"/>
    <w:rsid w:val="00740534"/>
    <w:rsid w:val="007407B1"/>
    <w:rsid w:val="0074083C"/>
    <w:rsid w:val="00740960"/>
    <w:rsid w:val="00740AC1"/>
    <w:rsid w:val="0074137B"/>
    <w:rsid w:val="00742515"/>
    <w:rsid w:val="007426C6"/>
    <w:rsid w:val="00742F5E"/>
    <w:rsid w:val="00742FB4"/>
    <w:rsid w:val="007433CB"/>
    <w:rsid w:val="00743B4B"/>
    <w:rsid w:val="00743D30"/>
    <w:rsid w:val="00743F54"/>
    <w:rsid w:val="007454FA"/>
    <w:rsid w:val="0074553B"/>
    <w:rsid w:val="00745558"/>
    <w:rsid w:val="00746DEB"/>
    <w:rsid w:val="007470E5"/>
    <w:rsid w:val="0074751A"/>
    <w:rsid w:val="00747AF1"/>
    <w:rsid w:val="00747C2E"/>
    <w:rsid w:val="0075003B"/>
    <w:rsid w:val="00750310"/>
    <w:rsid w:val="00750AD3"/>
    <w:rsid w:val="0075117D"/>
    <w:rsid w:val="0075125D"/>
    <w:rsid w:val="007513D2"/>
    <w:rsid w:val="0075215D"/>
    <w:rsid w:val="0075226B"/>
    <w:rsid w:val="0075340C"/>
    <w:rsid w:val="007534EF"/>
    <w:rsid w:val="00753622"/>
    <w:rsid w:val="0075386F"/>
    <w:rsid w:val="00753A21"/>
    <w:rsid w:val="00753FD8"/>
    <w:rsid w:val="00754057"/>
    <w:rsid w:val="007540F1"/>
    <w:rsid w:val="007545B1"/>
    <w:rsid w:val="00754B5F"/>
    <w:rsid w:val="00754C2F"/>
    <w:rsid w:val="00754CD0"/>
    <w:rsid w:val="00755129"/>
    <w:rsid w:val="00755489"/>
    <w:rsid w:val="00756593"/>
    <w:rsid w:val="00756820"/>
    <w:rsid w:val="00756AC1"/>
    <w:rsid w:val="00757096"/>
    <w:rsid w:val="00757454"/>
    <w:rsid w:val="007575EC"/>
    <w:rsid w:val="00757630"/>
    <w:rsid w:val="00757F0F"/>
    <w:rsid w:val="00760887"/>
    <w:rsid w:val="00760D08"/>
    <w:rsid w:val="00760E7A"/>
    <w:rsid w:val="00760F39"/>
    <w:rsid w:val="007611A9"/>
    <w:rsid w:val="00761311"/>
    <w:rsid w:val="0076163A"/>
    <w:rsid w:val="00761B94"/>
    <w:rsid w:val="0076299F"/>
    <w:rsid w:val="007629D8"/>
    <w:rsid w:val="00762C1D"/>
    <w:rsid w:val="00763175"/>
    <w:rsid w:val="0076325B"/>
    <w:rsid w:val="007638A3"/>
    <w:rsid w:val="00764604"/>
    <w:rsid w:val="00764D3A"/>
    <w:rsid w:val="00764E24"/>
    <w:rsid w:val="00764F51"/>
    <w:rsid w:val="007651AB"/>
    <w:rsid w:val="0076543D"/>
    <w:rsid w:val="007655B6"/>
    <w:rsid w:val="00765C1E"/>
    <w:rsid w:val="00765F35"/>
    <w:rsid w:val="00766B1C"/>
    <w:rsid w:val="00766EC8"/>
    <w:rsid w:val="00767A5A"/>
    <w:rsid w:val="00770322"/>
    <w:rsid w:val="007704DD"/>
    <w:rsid w:val="007708E0"/>
    <w:rsid w:val="00770928"/>
    <w:rsid w:val="00771411"/>
    <w:rsid w:val="007718D7"/>
    <w:rsid w:val="00771AE3"/>
    <w:rsid w:val="00771C41"/>
    <w:rsid w:val="00771E32"/>
    <w:rsid w:val="0077212D"/>
    <w:rsid w:val="00772586"/>
    <w:rsid w:val="00773A85"/>
    <w:rsid w:val="00774076"/>
    <w:rsid w:val="00774211"/>
    <w:rsid w:val="007743F6"/>
    <w:rsid w:val="00775753"/>
    <w:rsid w:val="00775870"/>
    <w:rsid w:val="0077595E"/>
    <w:rsid w:val="00775EF6"/>
    <w:rsid w:val="00776079"/>
    <w:rsid w:val="007769A1"/>
    <w:rsid w:val="007805F6"/>
    <w:rsid w:val="00780D26"/>
    <w:rsid w:val="00781106"/>
    <w:rsid w:val="007814A1"/>
    <w:rsid w:val="00781746"/>
    <w:rsid w:val="007817A3"/>
    <w:rsid w:val="00781812"/>
    <w:rsid w:val="00781837"/>
    <w:rsid w:val="00781877"/>
    <w:rsid w:val="00781E3E"/>
    <w:rsid w:val="007820C4"/>
    <w:rsid w:val="00782113"/>
    <w:rsid w:val="0078236D"/>
    <w:rsid w:val="007825CB"/>
    <w:rsid w:val="00782C90"/>
    <w:rsid w:val="00783053"/>
    <w:rsid w:val="007832BC"/>
    <w:rsid w:val="0078392B"/>
    <w:rsid w:val="00783F2A"/>
    <w:rsid w:val="00783FA6"/>
    <w:rsid w:val="0078415B"/>
    <w:rsid w:val="0078447B"/>
    <w:rsid w:val="007845F1"/>
    <w:rsid w:val="00784B7F"/>
    <w:rsid w:val="0078513B"/>
    <w:rsid w:val="00785526"/>
    <w:rsid w:val="00785DAF"/>
    <w:rsid w:val="00786100"/>
    <w:rsid w:val="00786427"/>
    <w:rsid w:val="00786B2C"/>
    <w:rsid w:val="00786C98"/>
    <w:rsid w:val="0078738E"/>
    <w:rsid w:val="007873FF"/>
    <w:rsid w:val="00787613"/>
    <w:rsid w:val="00787CAA"/>
    <w:rsid w:val="00790219"/>
    <w:rsid w:val="007902E8"/>
    <w:rsid w:val="00790377"/>
    <w:rsid w:val="00790CCC"/>
    <w:rsid w:val="00790EBA"/>
    <w:rsid w:val="00791863"/>
    <w:rsid w:val="00791935"/>
    <w:rsid w:val="007919CC"/>
    <w:rsid w:val="00791C34"/>
    <w:rsid w:val="00791D8B"/>
    <w:rsid w:val="00791FBC"/>
    <w:rsid w:val="0079212C"/>
    <w:rsid w:val="0079219B"/>
    <w:rsid w:val="00792296"/>
    <w:rsid w:val="007927AD"/>
    <w:rsid w:val="00792DF5"/>
    <w:rsid w:val="0079317D"/>
    <w:rsid w:val="00793344"/>
    <w:rsid w:val="00793640"/>
    <w:rsid w:val="007948E8"/>
    <w:rsid w:val="007949E7"/>
    <w:rsid w:val="00795D26"/>
    <w:rsid w:val="0079678E"/>
    <w:rsid w:val="00796B83"/>
    <w:rsid w:val="007971DB"/>
    <w:rsid w:val="007978CF"/>
    <w:rsid w:val="007A03D3"/>
    <w:rsid w:val="007A066F"/>
    <w:rsid w:val="007A0696"/>
    <w:rsid w:val="007A0821"/>
    <w:rsid w:val="007A0AEA"/>
    <w:rsid w:val="007A0D24"/>
    <w:rsid w:val="007A11EA"/>
    <w:rsid w:val="007A14A6"/>
    <w:rsid w:val="007A1AA6"/>
    <w:rsid w:val="007A1AF7"/>
    <w:rsid w:val="007A25A9"/>
    <w:rsid w:val="007A2E0C"/>
    <w:rsid w:val="007A2F94"/>
    <w:rsid w:val="007A37C7"/>
    <w:rsid w:val="007A37EA"/>
    <w:rsid w:val="007A39B2"/>
    <w:rsid w:val="007A3AE8"/>
    <w:rsid w:val="007A3E33"/>
    <w:rsid w:val="007A4369"/>
    <w:rsid w:val="007A4732"/>
    <w:rsid w:val="007A4E5A"/>
    <w:rsid w:val="007A5414"/>
    <w:rsid w:val="007A58CE"/>
    <w:rsid w:val="007A58D3"/>
    <w:rsid w:val="007A5A92"/>
    <w:rsid w:val="007A6A9E"/>
    <w:rsid w:val="007A6F29"/>
    <w:rsid w:val="007A7210"/>
    <w:rsid w:val="007A74D6"/>
    <w:rsid w:val="007A78F1"/>
    <w:rsid w:val="007A7A4D"/>
    <w:rsid w:val="007A7D26"/>
    <w:rsid w:val="007B08DB"/>
    <w:rsid w:val="007B10B0"/>
    <w:rsid w:val="007B1B73"/>
    <w:rsid w:val="007B20FF"/>
    <w:rsid w:val="007B2B5F"/>
    <w:rsid w:val="007B2FBE"/>
    <w:rsid w:val="007B32D9"/>
    <w:rsid w:val="007B3614"/>
    <w:rsid w:val="007B3885"/>
    <w:rsid w:val="007B39DE"/>
    <w:rsid w:val="007B3C92"/>
    <w:rsid w:val="007B3D62"/>
    <w:rsid w:val="007B4335"/>
    <w:rsid w:val="007B437F"/>
    <w:rsid w:val="007B5506"/>
    <w:rsid w:val="007B59AF"/>
    <w:rsid w:val="007B6608"/>
    <w:rsid w:val="007B686C"/>
    <w:rsid w:val="007B6920"/>
    <w:rsid w:val="007B6B56"/>
    <w:rsid w:val="007B735C"/>
    <w:rsid w:val="007B7B4B"/>
    <w:rsid w:val="007B7CC7"/>
    <w:rsid w:val="007C02EE"/>
    <w:rsid w:val="007C0C38"/>
    <w:rsid w:val="007C17FD"/>
    <w:rsid w:val="007C2328"/>
    <w:rsid w:val="007C241E"/>
    <w:rsid w:val="007C285E"/>
    <w:rsid w:val="007C3518"/>
    <w:rsid w:val="007C3B65"/>
    <w:rsid w:val="007C3D84"/>
    <w:rsid w:val="007C459E"/>
    <w:rsid w:val="007C4AD4"/>
    <w:rsid w:val="007C4B9B"/>
    <w:rsid w:val="007C5099"/>
    <w:rsid w:val="007C54CE"/>
    <w:rsid w:val="007C60FB"/>
    <w:rsid w:val="007C6848"/>
    <w:rsid w:val="007C69B2"/>
    <w:rsid w:val="007C6B03"/>
    <w:rsid w:val="007C6DCB"/>
    <w:rsid w:val="007C707A"/>
    <w:rsid w:val="007C70EF"/>
    <w:rsid w:val="007C7167"/>
    <w:rsid w:val="007C7EE5"/>
    <w:rsid w:val="007D070F"/>
    <w:rsid w:val="007D0E2A"/>
    <w:rsid w:val="007D145E"/>
    <w:rsid w:val="007D148F"/>
    <w:rsid w:val="007D20B9"/>
    <w:rsid w:val="007D28AA"/>
    <w:rsid w:val="007D354F"/>
    <w:rsid w:val="007D3ACE"/>
    <w:rsid w:val="007D4129"/>
    <w:rsid w:val="007D4152"/>
    <w:rsid w:val="007D436D"/>
    <w:rsid w:val="007D4405"/>
    <w:rsid w:val="007D49C3"/>
    <w:rsid w:val="007D4A60"/>
    <w:rsid w:val="007D529C"/>
    <w:rsid w:val="007D52BA"/>
    <w:rsid w:val="007D5D07"/>
    <w:rsid w:val="007D6306"/>
    <w:rsid w:val="007D665C"/>
    <w:rsid w:val="007D66A0"/>
    <w:rsid w:val="007D69F9"/>
    <w:rsid w:val="007E00A7"/>
    <w:rsid w:val="007E0182"/>
    <w:rsid w:val="007E048B"/>
    <w:rsid w:val="007E0DF8"/>
    <w:rsid w:val="007E0E2E"/>
    <w:rsid w:val="007E113E"/>
    <w:rsid w:val="007E1211"/>
    <w:rsid w:val="007E1419"/>
    <w:rsid w:val="007E15E9"/>
    <w:rsid w:val="007E18F8"/>
    <w:rsid w:val="007E1EAD"/>
    <w:rsid w:val="007E2A36"/>
    <w:rsid w:val="007E2EA6"/>
    <w:rsid w:val="007E34ED"/>
    <w:rsid w:val="007E3B23"/>
    <w:rsid w:val="007E45A0"/>
    <w:rsid w:val="007E50A3"/>
    <w:rsid w:val="007E51DB"/>
    <w:rsid w:val="007E56F6"/>
    <w:rsid w:val="007E6673"/>
    <w:rsid w:val="007E70D5"/>
    <w:rsid w:val="007E7685"/>
    <w:rsid w:val="007E7DDB"/>
    <w:rsid w:val="007F003A"/>
    <w:rsid w:val="007F030A"/>
    <w:rsid w:val="007F0395"/>
    <w:rsid w:val="007F0994"/>
    <w:rsid w:val="007F0CD6"/>
    <w:rsid w:val="007F0FC2"/>
    <w:rsid w:val="007F1638"/>
    <w:rsid w:val="007F163A"/>
    <w:rsid w:val="007F1743"/>
    <w:rsid w:val="007F26E3"/>
    <w:rsid w:val="007F2A42"/>
    <w:rsid w:val="007F2ED5"/>
    <w:rsid w:val="007F2F63"/>
    <w:rsid w:val="007F32B2"/>
    <w:rsid w:val="007F3717"/>
    <w:rsid w:val="007F39FE"/>
    <w:rsid w:val="007F3D7F"/>
    <w:rsid w:val="007F4320"/>
    <w:rsid w:val="007F4A24"/>
    <w:rsid w:val="007F5E16"/>
    <w:rsid w:val="007F5F7C"/>
    <w:rsid w:val="007F69EA"/>
    <w:rsid w:val="007F6A27"/>
    <w:rsid w:val="007F6F83"/>
    <w:rsid w:val="007F74C4"/>
    <w:rsid w:val="007F76D6"/>
    <w:rsid w:val="007F7749"/>
    <w:rsid w:val="007F7841"/>
    <w:rsid w:val="007F7AA3"/>
    <w:rsid w:val="007F7B49"/>
    <w:rsid w:val="0080013D"/>
    <w:rsid w:val="0080032F"/>
    <w:rsid w:val="00800602"/>
    <w:rsid w:val="00800609"/>
    <w:rsid w:val="00800A0B"/>
    <w:rsid w:val="00800F5D"/>
    <w:rsid w:val="008017E6"/>
    <w:rsid w:val="00801CC5"/>
    <w:rsid w:val="00801E54"/>
    <w:rsid w:val="008022FB"/>
    <w:rsid w:val="008023F4"/>
    <w:rsid w:val="0080269C"/>
    <w:rsid w:val="00802A80"/>
    <w:rsid w:val="00802AE0"/>
    <w:rsid w:val="00802AF7"/>
    <w:rsid w:val="00802B7C"/>
    <w:rsid w:val="00802BF1"/>
    <w:rsid w:val="00802BF2"/>
    <w:rsid w:val="00802DCF"/>
    <w:rsid w:val="008037F3"/>
    <w:rsid w:val="00803CC1"/>
    <w:rsid w:val="00804082"/>
    <w:rsid w:val="008041DF"/>
    <w:rsid w:val="008046A6"/>
    <w:rsid w:val="00804932"/>
    <w:rsid w:val="00804936"/>
    <w:rsid w:val="00804989"/>
    <w:rsid w:val="00804D09"/>
    <w:rsid w:val="00805543"/>
    <w:rsid w:val="008057D2"/>
    <w:rsid w:val="00805D1D"/>
    <w:rsid w:val="008062C3"/>
    <w:rsid w:val="00806CEB"/>
    <w:rsid w:val="00807216"/>
    <w:rsid w:val="008074D8"/>
    <w:rsid w:val="0080792B"/>
    <w:rsid w:val="00807ADC"/>
    <w:rsid w:val="00807CAF"/>
    <w:rsid w:val="00807D24"/>
    <w:rsid w:val="008100DD"/>
    <w:rsid w:val="008103BE"/>
    <w:rsid w:val="00810D36"/>
    <w:rsid w:val="00810F06"/>
    <w:rsid w:val="00810F26"/>
    <w:rsid w:val="00810FC3"/>
    <w:rsid w:val="00810FE3"/>
    <w:rsid w:val="00811ABD"/>
    <w:rsid w:val="00811F23"/>
    <w:rsid w:val="00812016"/>
    <w:rsid w:val="00812954"/>
    <w:rsid w:val="00812D73"/>
    <w:rsid w:val="0081302D"/>
    <w:rsid w:val="008131BF"/>
    <w:rsid w:val="00813521"/>
    <w:rsid w:val="00813548"/>
    <w:rsid w:val="0081395B"/>
    <w:rsid w:val="00813A09"/>
    <w:rsid w:val="00813ACE"/>
    <w:rsid w:val="00813C83"/>
    <w:rsid w:val="00813EB7"/>
    <w:rsid w:val="0081432A"/>
    <w:rsid w:val="008148D7"/>
    <w:rsid w:val="00814B04"/>
    <w:rsid w:val="00814B07"/>
    <w:rsid w:val="0081511B"/>
    <w:rsid w:val="00815247"/>
    <w:rsid w:val="0081537D"/>
    <w:rsid w:val="00815427"/>
    <w:rsid w:val="008157E7"/>
    <w:rsid w:val="00815AC6"/>
    <w:rsid w:val="00815CCF"/>
    <w:rsid w:val="00815D34"/>
    <w:rsid w:val="00816A2E"/>
    <w:rsid w:val="00816F93"/>
    <w:rsid w:val="00817352"/>
    <w:rsid w:val="008176EE"/>
    <w:rsid w:val="00817736"/>
    <w:rsid w:val="008177A0"/>
    <w:rsid w:val="0081785F"/>
    <w:rsid w:val="008202CA"/>
    <w:rsid w:val="00820385"/>
    <w:rsid w:val="00820E08"/>
    <w:rsid w:val="0082113A"/>
    <w:rsid w:val="008212AC"/>
    <w:rsid w:val="0082142F"/>
    <w:rsid w:val="008215CF"/>
    <w:rsid w:val="0082163D"/>
    <w:rsid w:val="00821F2F"/>
    <w:rsid w:val="00821F3E"/>
    <w:rsid w:val="008223D7"/>
    <w:rsid w:val="008227D7"/>
    <w:rsid w:val="008230E3"/>
    <w:rsid w:val="00823790"/>
    <w:rsid w:val="008239C3"/>
    <w:rsid w:val="00823C86"/>
    <w:rsid w:val="00825103"/>
    <w:rsid w:val="00825DBF"/>
    <w:rsid w:val="00826028"/>
    <w:rsid w:val="00826193"/>
    <w:rsid w:val="00826589"/>
    <w:rsid w:val="008270BA"/>
    <w:rsid w:val="0083000F"/>
    <w:rsid w:val="008304AC"/>
    <w:rsid w:val="008308E0"/>
    <w:rsid w:val="00830D8C"/>
    <w:rsid w:val="00830DBE"/>
    <w:rsid w:val="00830FD5"/>
    <w:rsid w:val="008315F5"/>
    <w:rsid w:val="0083194F"/>
    <w:rsid w:val="00831D0C"/>
    <w:rsid w:val="00832074"/>
    <w:rsid w:val="008328EF"/>
    <w:rsid w:val="00832A46"/>
    <w:rsid w:val="00832AC9"/>
    <w:rsid w:val="00832C9A"/>
    <w:rsid w:val="00833547"/>
    <w:rsid w:val="0083379A"/>
    <w:rsid w:val="008337FC"/>
    <w:rsid w:val="00833AD1"/>
    <w:rsid w:val="00833C32"/>
    <w:rsid w:val="0083483F"/>
    <w:rsid w:val="00834B14"/>
    <w:rsid w:val="008351F3"/>
    <w:rsid w:val="0083558D"/>
    <w:rsid w:val="00835601"/>
    <w:rsid w:val="008356BB"/>
    <w:rsid w:val="008357EA"/>
    <w:rsid w:val="008359BE"/>
    <w:rsid w:val="0083667E"/>
    <w:rsid w:val="00836AED"/>
    <w:rsid w:val="0083726F"/>
    <w:rsid w:val="0083765A"/>
    <w:rsid w:val="00837F1C"/>
    <w:rsid w:val="00840201"/>
    <w:rsid w:val="00840754"/>
    <w:rsid w:val="00840AA6"/>
    <w:rsid w:val="00841B78"/>
    <w:rsid w:val="00841C46"/>
    <w:rsid w:val="00842255"/>
    <w:rsid w:val="00842B6F"/>
    <w:rsid w:val="00843001"/>
    <w:rsid w:val="008433CA"/>
    <w:rsid w:val="00843571"/>
    <w:rsid w:val="0084381E"/>
    <w:rsid w:val="00843891"/>
    <w:rsid w:val="00843A6F"/>
    <w:rsid w:val="00843B5A"/>
    <w:rsid w:val="00843FAB"/>
    <w:rsid w:val="00844347"/>
    <w:rsid w:val="00844782"/>
    <w:rsid w:val="008448B6"/>
    <w:rsid w:val="00844E8B"/>
    <w:rsid w:val="00845D78"/>
    <w:rsid w:val="00845F3D"/>
    <w:rsid w:val="0084647D"/>
    <w:rsid w:val="008466B9"/>
    <w:rsid w:val="008468EE"/>
    <w:rsid w:val="008472ED"/>
    <w:rsid w:val="0084754E"/>
    <w:rsid w:val="00847C05"/>
    <w:rsid w:val="00847F2A"/>
    <w:rsid w:val="008503D8"/>
    <w:rsid w:val="00850C2E"/>
    <w:rsid w:val="00850D4B"/>
    <w:rsid w:val="00852262"/>
    <w:rsid w:val="008522F5"/>
    <w:rsid w:val="00852484"/>
    <w:rsid w:val="0085259A"/>
    <w:rsid w:val="008526BC"/>
    <w:rsid w:val="00852887"/>
    <w:rsid w:val="00852A1E"/>
    <w:rsid w:val="00852D3A"/>
    <w:rsid w:val="0085302F"/>
    <w:rsid w:val="00853309"/>
    <w:rsid w:val="00853B05"/>
    <w:rsid w:val="00853B69"/>
    <w:rsid w:val="00854568"/>
    <w:rsid w:val="00854A5C"/>
    <w:rsid w:val="00854E86"/>
    <w:rsid w:val="00854FDA"/>
    <w:rsid w:val="0085543A"/>
    <w:rsid w:val="0085550C"/>
    <w:rsid w:val="00855B6C"/>
    <w:rsid w:val="0085607C"/>
    <w:rsid w:val="00856F56"/>
    <w:rsid w:val="00857132"/>
    <w:rsid w:val="008577C7"/>
    <w:rsid w:val="00857860"/>
    <w:rsid w:val="008578D2"/>
    <w:rsid w:val="00857D07"/>
    <w:rsid w:val="00860520"/>
    <w:rsid w:val="0086056C"/>
    <w:rsid w:val="00860930"/>
    <w:rsid w:val="00861548"/>
    <w:rsid w:val="008615C9"/>
    <w:rsid w:val="00861B0F"/>
    <w:rsid w:val="00861DEA"/>
    <w:rsid w:val="0086206D"/>
    <w:rsid w:val="00862635"/>
    <w:rsid w:val="0086286D"/>
    <w:rsid w:val="00862C9E"/>
    <w:rsid w:val="00862CF6"/>
    <w:rsid w:val="008632CD"/>
    <w:rsid w:val="0086334A"/>
    <w:rsid w:val="00863665"/>
    <w:rsid w:val="00863A55"/>
    <w:rsid w:val="00863C02"/>
    <w:rsid w:val="00863E1A"/>
    <w:rsid w:val="008643D4"/>
    <w:rsid w:val="008644D0"/>
    <w:rsid w:val="00865AE1"/>
    <w:rsid w:val="00865C57"/>
    <w:rsid w:val="00865DA3"/>
    <w:rsid w:val="00865DA9"/>
    <w:rsid w:val="00865EBF"/>
    <w:rsid w:val="008669C9"/>
    <w:rsid w:val="008672EF"/>
    <w:rsid w:val="008674FD"/>
    <w:rsid w:val="008676DC"/>
    <w:rsid w:val="008707B9"/>
    <w:rsid w:val="00870A9F"/>
    <w:rsid w:val="00870CD7"/>
    <w:rsid w:val="00871481"/>
    <w:rsid w:val="008716AD"/>
    <w:rsid w:val="008717F8"/>
    <w:rsid w:val="00871829"/>
    <w:rsid w:val="00871D30"/>
    <w:rsid w:val="00871DF7"/>
    <w:rsid w:val="00871F67"/>
    <w:rsid w:val="0087272A"/>
    <w:rsid w:val="00872952"/>
    <w:rsid w:val="00872E0A"/>
    <w:rsid w:val="008748D1"/>
    <w:rsid w:val="00874D31"/>
    <w:rsid w:val="00874E1C"/>
    <w:rsid w:val="00874E5B"/>
    <w:rsid w:val="00875721"/>
    <w:rsid w:val="00875A3F"/>
    <w:rsid w:val="00875AAA"/>
    <w:rsid w:val="00876468"/>
    <w:rsid w:val="00876471"/>
    <w:rsid w:val="00877093"/>
    <w:rsid w:val="00877252"/>
    <w:rsid w:val="00877938"/>
    <w:rsid w:val="00877FDF"/>
    <w:rsid w:val="008800CF"/>
    <w:rsid w:val="008800D6"/>
    <w:rsid w:val="00880377"/>
    <w:rsid w:val="0088092A"/>
    <w:rsid w:val="008809B0"/>
    <w:rsid w:val="00880C73"/>
    <w:rsid w:val="00880D1F"/>
    <w:rsid w:val="00880D37"/>
    <w:rsid w:val="00881930"/>
    <w:rsid w:val="00881BB8"/>
    <w:rsid w:val="008820E6"/>
    <w:rsid w:val="00882119"/>
    <w:rsid w:val="00882B11"/>
    <w:rsid w:val="008833B8"/>
    <w:rsid w:val="00883800"/>
    <w:rsid w:val="00883EC3"/>
    <w:rsid w:val="008842CF"/>
    <w:rsid w:val="00884C15"/>
    <w:rsid w:val="0088553F"/>
    <w:rsid w:val="00885B5C"/>
    <w:rsid w:val="00886610"/>
    <w:rsid w:val="00886ACB"/>
    <w:rsid w:val="00886D18"/>
    <w:rsid w:val="00887021"/>
    <w:rsid w:val="0088736F"/>
    <w:rsid w:val="008877A6"/>
    <w:rsid w:val="00887BAB"/>
    <w:rsid w:val="00887C0A"/>
    <w:rsid w:val="00887D4F"/>
    <w:rsid w:val="00887E3A"/>
    <w:rsid w:val="00890473"/>
    <w:rsid w:val="0089048D"/>
    <w:rsid w:val="00890549"/>
    <w:rsid w:val="0089056B"/>
    <w:rsid w:val="00890DEB"/>
    <w:rsid w:val="00890E82"/>
    <w:rsid w:val="008918AD"/>
    <w:rsid w:val="00891921"/>
    <w:rsid w:val="008928C9"/>
    <w:rsid w:val="008929A2"/>
    <w:rsid w:val="00892B75"/>
    <w:rsid w:val="008938A1"/>
    <w:rsid w:val="00893905"/>
    <w:rsid w:val="008939A6"/>
    <w:rsid w:val="00894175"/>
    <w:rsid w:val="00894701"/>
    <w:rsid w:val="00894757"/>
    <w:rsid w:val="00894937"/>
    <w:rsid w:val="008957CC"/>
    <w:rsid w:val="0089654F"/>
    <w:rsid w:val="008965B4"/>
    <w:rsid w:val="008966D5"/>
    <w:rsid w:val="00896C56"/>
    <w:rsid w:val="00896EA1"/>
    <w:rsid w:val="00897306"/>
    <w:rsid w:val="008974EB"/>
    <w:rsid w:val="008A001E"/>
    <w:rsid w:val="008A0759"/>
    <w:rsid w:val="008A0E3B"/>
    <w:rsid w:val="008A0EF2"/>
    <w:rsid w:val="008A16CF"/>
    <w:rsid w:val="008A1FE5"/>
    <w:rsid w:val="008A202A"/>
    <w:rsid w:val="008A21A7"/>
    <w:rsid w:val="008A27EF"/>
    <w:rsid w:val="008A32A8"/>
    <w:rsid w:val="008A341E"/>
    <w:rsid w:val="008A37E2"/>
    <w:rsid w:val="008A3D35"/>
    <w:rsid w:val="008A3ECA"/>
    <w:rsid w:val="008A4FB3"/>
    <w:rsid w:val="008A5536"/>
    <w:rsid w:val="008A5F57"/>
    <w:rsid w:val="008A6113"/>
    <w:rsid w:val="008A63F8"/>
    <w:rsid w:val="008A64CF"/>
    <w:rsid w:val="008A6D3B"/>
    <w:rsid w:val="008A73B4"/>
    <w:rsid w:val="008A77A4"/>
    <w:rsid w:val="008A7D7C"/>
    <w:rsid w:val="008A7F6A"/>
    <w:rsid w:val="008B11A5"/>
    <w:rsid w:val="008B1901"/>
    <w:rsid w:val="008B19C4"/>
    <w:rsid w:val="008B1A00"/>
    <w:rsid w:val="008B1A95"/>
    <w:rsid w:val="008B2294"/>
    <w:rsid w:val="008B23B8"/>
    <w:rsid w:val="008B2440"/>
    <w:rsid w:val="008B26F3"/>
    <w:rsid w:val="008B34CE"/>
    <w:rsid w:val="008B3519"/>
    <w:rsid w:val="008B3806"/>
    <w:rsid w:val="008B3936"/>
    <w:rsid w:val="008B4012"/>
    <w:rsid w:val="008B58C0"/>
    <w:rsid w:val="008B5F7D"/>
    <w:rsid w:val="008B6E66"/>
    <w:rsid w:val="008B70D9"/>
    <w:rsid w:val="008B770F"/>
    <w:rsid w:val="008B7AC5"/>
    <w:rsid w:val="008B7AD5"/>
    <w:rsid w:val="008C0181"/>
    <w:rsid w:val="008C07B4"/>
    <w:rsid w:val="008C1720"/>
    <w:rsid w:val="008C1A53"/>
    <w:rsid w:val="008C2041"/>
    <w:rsid w:val="008C2115"/>
    <w:rsid w:val="008C2442"/>
    <w:rsid w:val="008C288A"/>
    <w:rsid w:val="008C2A84"/>
    <w:rsid w:val="008C2BE1"/>
    <w:rsid w:val="008C3333"/>
    <w:rsid w:val="008C33E5"/>
    <w:rsid w:val="008C3B15"/>
    <w:rsid w:val="008C4629"/>
    <w:rsid w:val="008C4A18"/>
    <w:rsid w:val="008C4C8B"/>
    <w:rsid w:val="008C4E76"/>
    <w:rsid w:val="008C503C"/>
    <w:rsid w:val="008C52E6"/>
    <w:rsid w:val="008C52F9"/>
    <w:rsid w:val="008C7454"/>
    <w:rsid w:val="008C774E"/>
    <w:rsid w:val="008C77F1"/>
    <w:rsid w:val="008D0044"/>
    <w:rsid w:val="008D01E1"/>
    <w:rsid w:val="008D09DA"/>
    <w:rsid w:val="008D0C20"/>
    <w:rsid w:val="008D1642"/>
    <w:rsid w:val="008D1662"/>
    <w:rsid w:val="008D1761"/>
    <w:rsid w:val="008D1AB2"/>
    <w:rsid w:val="008D1D50"/>
    <w:rsid w:val="008D2198"/>
    <w:rsid w:val="008D2903"/>
    <w:rsid w:val="008D2C66"/>
    <w:rsid w:val="008D2FFA"/>
    <w:rsid w:val="008D337F"/>
    <w:rsid w:val="008D46BC"/>
    <w:rsid w:val="008D49E4"/>
    <w:rsid w:val="008D58C6"/>
    <w:rsid w:val="008D5942"/>
    <w:rsid w:val="008D59DA"/>
    <w:rsid w:val="008D5BB0"/>
    <w:rsid w:val="008D6205"/>
    <w:rsid w:val="008D6496"/>
    <w:rsid w:val="008D673F"/>
    <w:rsid w:val="008D6797"/>
    <w:rsid w:val="008D6AB7"/>
    <w:rsid w:val="008D6D36"/>
    <w:rsid w:val="008D6DC3"/>
    <w:rsid w:val="008D6EED"/>
    <w:rsid w:val="008D7744"/>
    <w:rsid w:val="008D7908"/>
    <w:rsid w:val="008D7FEF"/>
    <w:rsid w:val="008E052C"/>
    <w:rsid w:val="008E08FC"/>
    <w:rsid w:val="008E0C12"/>
    <w:rsid w:val="008E0C83"/>
    <w:rsid w:val="008E0F4A"/>
    <w:rsid w:val="008E12BA"/>
    <w:rsid w:val="008E14CF"/>
    <w:rsid w:val="008E150C"/>
    <w:rsid w:val="008E19BC"/>
    <w:rsid w:val="008E1BEE"/>
    <w:rsid w:val="008E1F75"/>
    <w:rsid w:val="008E241C"/>
    <w:rsid w:val="008E28F6"/>
    <w:rsid w:val="008E31B0"/>
    <w:rsid w:val="008E37B6"/>
    <w:rsid w:val="008E3854"/>
    <w:rsid w:val="008E3968"/>
    <w:rsid w:val="008E41D7"/>
    <w:rsid w:val="008E434F"/>
    <w:rsid w:val="008E4393"/>
    <w:rsid w:val="008E44BB"/>
    <w:rsid w:val="008E45A6"/>
    <w:rsid w:val="008E4BF4"/>
    <w:rsid w:val="008E4EE3"/>
    <w:rsid w:val="008E54BC"/>
    <w:rsid w:val="008E55CB"/>
    <w:rsid w:val="008E562B"/>
    <w:rsid w:val="008E5FBE"/>
    <w:rsid w:val="008E60FB"/>
    <w:rsid w:val="008E6B6E"/>
    <w:rsid w:val="008E7A89"/>
    <w:rsid w:val="008E7F63"/>
    <w:rsid w:val="008E7FC7"/>
    <w:rsid w:val="008F072D"/>
    <w:rsid w:val="008F07C9"/>
    <w:rsid w:val="008F0941"/>
    <w:rsid w:val="008F103B"/>
    <w:rsid w:val="008F12F2"/>
    <w:rsid w:val="008F1938"/>
    <w:rsid w:val="008F1F8F"/>
    <w:rsid w:val="008F2017"/>
    <w:rsid w:val="008F22AC"/>
    <w:rsid w:val="008F281E"/>
    <w:rsid w:val="008F310C"/>
    <w:rsid w:val="008F314A"/>
    <w:rsid w:val="008F34F0"/>
    <w:rsid w:val="008F35DD"/>
    <w:rsid w:val="008F37E9"/>
    <w:rsid w:val="008F3956"/>
    <w:rsid w:val="008F39A3"/>
    <w:rsid w:val="008F3B33"/>
    <w:rsid w:val="008F3D01"/>
    <w:rsid w:val="008F4204"/>
    <w:rsid w:val="008F44AC"/>
    <w:rsid w:val="008F4641"/>
    <w:rsid w:val="008F4671"/>
    <w:rsid w:val="008F46F7"/>
    <w:rsid w:val="008F56A1"/>
    <w:rsid w:val="008F59ED"/>
    <w:rsid w:val="008F5D47"/>
    <w:rsid w:val="008F6397"/>
    <w:rsid w:val="008F645A"/>
    <w:rsid w:val="008F6524"/>
    <w:rsid w:val="008F6D9A"/>
    <w:rsid w:val="008F70E7"/>
    <w:rsid w:val="008F74AF"/>
    <w:rsid w:val="008F770B"/>
    <w:rsid w:val="008F7889"/>
    <w:rsid w:val="008F78DE"/>
    <w:rsid w:val="008F78E0"/>
    <w:rsid w:val="008F7932"/>
    <w:rsid w:val="0090023D"/>
    <w:rsid w:val="00900B41"/>
    <w:rsid w:val="009012B3"/>
    <w:rsid w:val="009012E2"/>
    <w:rsid w:val="009014FD"/>
    <w:rsid w:val="00901769"/>
    <w:rsid w:val="00901C8A"/>
    <w:rsid w:val="00901F0E"/>
    <w:rsid w:val="00903E54"/>
    <w:rsid w:val="00903F37"/>
    <w:rsid w:val="0090426D"/>
    <w:rsid w:val="0090450A"/>
    <w:rsid w:val="00904D64"/>
    <w:rsid w:val="0090506F"/>
    <w:rsid w:val="009052AC"/>
    <w:rsid w:val="009053B8"/>
    <w:rsid w:val="0090550C"/>
    <w:rsid w:val="0090575B"/>
    <w:rsid w:val="00906117"/>
    <w:rsid w:val="00906372"/>
    <w:rsid w:val="00906565"/>
    <w:rsid w:val="00906636"/>
    <w:rsid w:val="00906AA6"/>
    <w:rsid w:val="00906B07"/>
    <w:rsid w:val="00907017"/>
    <w:rsid w:val="00907423"/>
    <w:rsid w:val="0090798B"/>
    <w:rsid w:val="00907B42"/>
    <w:rsid w:val="009102D7"/>
    <w:rsid w:val="0091055D"/>
    <w:rsid w:val="00910696"/>
    <w:rsid w:val="00911E2E"/>
    <w:rsid w:val="00911F29"/>
    <w:rsid w:val="00912167"/>
    <w:rsid w:val="0091251B"/>
    <w:rsid w:val="00913A7D"/>
    <w:rsid w:val="00913EE4"/>
    <w:rsid w:val="009142F9"/>
    <w:rsid w:val="00914417"/>
    <w:rsid w:val="0091522F"/>
    <w:rsid w:val="00915236"/>
    <w:rsid w:val="0091534A"/>
    <w:rsid w:val="00915AE2"/>
    <w:rsid w:val="00915F58"/>
    <w:rsid w:val="009160D8"/>
    <w:rsid w:val="009164D8"/>
    <w:rsid w:val="00917473"/>
    <w:rsid w:val="009177D8"/>
    <w:rsid w:val="009179B5"/>
    <w:rsid w:val="00920126"/>
    <w:rsid w:val="009201EB"/>
    <w:rsid w:val="00920A06"/>
    <w:rsid w:val="0092124D"/>
    <w:rsid w:val="00921251"/>
    <w:rsid w:val="0092150A"/>
    <w:rsid w:val="009215F5"/>
    <w:rsid w:val="009217AC"/>
    <w:rsid w:val="0092227D"/>
    <w:rsid w:val="0092259D"/>
    <w:rsid w:val="00922609"/>
    <w:rsid w:val="00922662"/>
    <w:rsid w:val="009233BE"/>
    <w:rsid w:val="0092369B"/>
    <w:rsid w:val="009238B6"/>
    <w:rsid w:val="00923902"/>
    <w:rsid w:val="00923E53"/>
    <w:rsid w:val="00923EEE"/>
    <w:rsid w:val="00924013"/>
    <w:rsid w:val="00924218"/>
    <w:rsid w:val="009244E0"/>
    <w:rsid w:val="00925908"/>
    <w:rsid w:val="009271B9"/>
    <w:rsid w:val="00927391"/>
    <w:rsid w:val="00927523"/>
    <w:rsid w:val="00927604"/>
    <w:rsid w:val="009279A8"/>
    <w:rsid w:val="00927A2E"/>
    <w:rsid w:val="00927D60"/>
    <w:rsid w:val="009300A2"/>
    <w:rsid w:val="00930154"/>
    <w:rsid w:val="009301E1"/>
    <w:rsid w:val="00930368"/>
    <w:rsid w:val="0093053F"/>
    <w:rsid w:val="00930A33"/>
    <w:rsid w:val="00930B22"/>
    <w:rsid w:val="009314AD"/>
    <w:rsid w:val="009319D0"/>
    <w:rsid w:val="00931ADB"/>
    <w:rsid w:val="00931D45"/>
    <w:rsid w:val="00932263"/>
    <w:rsid w:val="00932530"/>
    <w:rsid w:val="009326E4"/>
    <w:rsid w:val="00932EA5"/>
    <w:rsid w:val="0093406B"/>
    <w:rsid w:val="009342C0"/>
    <w:rsid w:val="00934535"/>
    <w:rsid w:val="00935263"/>
    <w:rsid w:val="00935A35"/>
    <w:rsid w:val="00935C34"/>
    <w:rsid w:val="009360BB"/>
    <w:rsid w:val="009360BD"/>
    <w:rsid w:val="0093674C"/>
    <w:rsid w:val="00936790"/>
    <w:rsid w:val="009369FC"/>
    <w:rsid w:val="00936E1B"/>
    <w:rsid w:val="009378B0"/>
    <w:rsid w:val="0094006A"/>
    <w:rsid w:val="0094040D"/>
    <w:rsid w:val="0094077F"/>
    <w:rsid w:val="00940C18"/>
    <w:rsid w:val="00940C6D"/>
    <w:rsid w:val="00940D6E"/>
    <w:rsid w:val="00940DDC"/>
    <w:rsid w:val="00941312"/>
    <w:rsid w:val="00941405"/>
    <w:rsid w:val="00941777"/>
    <w:rsid w:val="009417BB"/>
    <w:rsid w:val="00941D0C"/>
    <w:rsid w:val="00942C56"/>
    <w:rsid w:val="00942F89"/>
    <w:rsid w:val="00943390"/>
    <w:rsid w:val="0094352F"/>
    <w:rsid w:val="00943A82"/>
    <w:rsid w:val="00943C7D"/>
    <w:rsid w:val="00944D64"/>
    <w:rsid w:val="00945171"/>
    <w:rsid w:val="009456DE"/>
    <w:rsid w:val="00945782"/>
    <w:rsid w:val="00945A9D"/>
    <w:rsid w:val="00946A22"/>
    <w:rsid w:val="00946DB4"/>
    <w:rsid w:val="00946F29"/>
    <w:rsid w:val="00947410"/>
    <w:rsid w:val="00947487"/>
    <w:rsid w:val="00947921"/>
    <w:rsid w:val="009506A6"/>
    <w:rsid w:val="009507B1"/>
    <w:rsid w:val="00950B1B"/>
    <w:rsid w:val="00950C40"/>
    <w:rsid w:val="00950CAE"/>
    <w:rsid w:val="009510B9"/>
    <w:rsid w:val="00951592"/>
    <w:rsid w:val="00951BC9"/>
    <w:rsid w:val="00951BFF"/>
    <w:rsid w:val="00951DB3"/>
    <w:rsid w:val="00951E94"/>
    <w:rsid w:val="00952150"/>
    <w:rsid w:val="00952371"/>
    <w:rsid w:val="00952F33"/>
    <w:rsid w:val="00953458"/>
    <w:rsid w:val="00953512"/>
    <w:rsid w:val="009537EE"/>
    <w:rsid w:val="009538A3"/>
    <w:rsid w:val="00953C28"/>
    <w:rsid w:val="00953DB0"/>
    <w:rsid w:val="009544D4"/>
    <w:rsid w:val="00954518"/>
    <w:rsid w:val="00954F7D"/>
    <w:rsid w:val="00954F85"/>
    <w:rsid w:val="00955198"/>
    <w:rsid w:val="009556A2"/>
    <w:rsid w:val="00955A28"/>
    <w:rsid w:val="00956627"/>
    <w:rsid w:val="009566A0"/>
    <w:rsid w:val="009569AA"/>
    <w:rsid w:val="00956B9D"/>
    <w:rsid w:val="0095713A"/>
    <w:rsid w:val="009571C1"/>
    <w:rsid w:val="009571EB"/>
    <w:rsid w:val="00957369"/>
    <w:rsid w:val="009579F1"/>
    <w:rsid w:val="0096004B"/>
    <w:rsid w:val="009600F9"/>
    <w:rsid w:val="0096029A"/>
    <w:rsid w:val="009602BF"/>
    <w:rsid w:val="0096077E"/>
    <w:rsid w:val="00961502"/>
    <w:rsid w:val="009616AB"/>
    <w:rsid w:val="00961B23"/>
    <w:rsid w:val="00961BF2"/>
    <w:rsid w:val="00962AB7"/>
    <w:rsid w:val="00962D2A"/>
    <w:rsid w:val="00963188"/>
    <w:rsid w:val="0096335E"/>
    <w:rsid w:val="009635FA"/>
    <w:rsid w:val="00963AFF"/>
    <w:rsid w:val="00963F74"/>
    <w:rsid w:val="00964B8D"/>
    <w:rsid w:val="009655F8"/>
    <w:rsid w:val="00965D99"/>
    <w:rsid w:val="0096609F"/>
    <w:rsid w:val="00966E75"/>
    <w:rsid w:val="009670F2"/>
    <w:rsid w:val="00967225"/>
    <w:rsid w:val="00967B3C"/>
    <w:rsid w:val="00970192"/>
    <w:rsid w:val="00970A51"/>
    <w:rsid w:val="00971021"/>
    <w:rsid w:val="009713DE"/>
    <w:rsid w:val="009714EB"/>
    <w:rsid w:val="009725CE"/>
    <w:rsid w:val="00972FA7"/>
    <w:rsid w:val="00972FAA"/>
    <w:rsid w:val="00973333"/>
    <w:rsid w:val="009737F0"/>
    <w:rsid w:val="00973CA7"/>
    <w:rsid w:val="00973D32"/>
    <w:rsid w:val="00974174"/>
    <w:rsid w:val="00974C68"/>
    <w:rsid w:val="009750E3"/>
    <w:rsid w:val="00975646"/>
    <w:rsid w:val="00975749"/>
    <w:rsid w:val="00975A86"/>
    <w:rsid w:val="00975E05"/>
    <w:rsid w:val="00975FD5"/>
    <w:rsid w:val="0097674F"/>
    <w:rsid w:val="00976BFF"/>
    <w:rsid w:val="009771DD"/>
    <w:rsid w:val="009777A8"/>
    <w:rsid w:val="009779A7"/>
    <w:rsid w:val="00977B7B"/>
    <w:rsid w:val="0098002A"/>
    <w:rsid w:val="00980102"/>
    <w:rsid w:val="0098040E"/>
    <w:rsid w:val="009808BB"/>
    <w:rsid w:val="00980D00"/>
    <w:rsid w:val="00980D35"/>
    <w:rsid w:val="0098135C"/>
    <w:rsid w:val="009813A8"/>
    <w:rsid w:val="00981424"/>
    <w:rsid w:val="00981726"/>
    <w:rsid w:val="009819F1"/>
    <w:rsid w:val="009829F3"/>
    <w:rsid w:val="00982AFF"/>
    <w:rsid w:val="00982B94"/>
    <w:rsid w:val="00982D99"/>
    <w:rsid w:val="00983294"/>
    <w:rsid w:val="00983B49"/>
    <w:rsid w:val="00983E27"/>
    <w:rsid w:val="00983E77"/>
    <w:rsid w:val="0098417E"/>
    <w:rsid w:val="00984CCE"/>
    <w:rsid w:val="009856F8"/>
    <w:rsid w:val="0098595F"/>
    <w:rsid w:val="00986794"/>
    <w:rsid w:val="00986AAA"/>
    <w:rsid w:val="00986B0C"/>
    <w:rsid w:val="00986C60"/>
    <w:rsid w:val="00986E85"/>
    <w:rsid w:val="00986EAC"/>
    <w:rsid w:val="00986FDB"/>
    <w:rsid w:val="00987079"/>
    <w:rsid w:val="0098711E"/>
    <w:rsid w:val="00987551"/>
    <w:rsid w:val="00987A9B"/>
    <w:rsid w:val="0099019B"/>
    <w:rsid w:val="00990491"/>
    <w:rsid w:val="0099142B"/>
    <w:rsid w:val="00991721"/>
    <w:rsid w:val="009918B2"/>
    <w:rsid w:val="0099199A"/>
    <w:rsid w:val="009920B6"/>
    <w:rsid w:val="00992342"/>
    <w:rsid w:val="009925B2"/>
    <w:rsid w:val="009929A6"/>
    <w:rsid w:val="00992EAC"/>
    <w:rsid w:val="009930CC"/>
    <w:rsid w:val="00993670"/>
    <w:rsid w:val="00993BD6"/>
    <w:rsid w:val="00994146"/>
    <w:rsid w:val="009947BE"/>
    <w:rsid w:val="0099506A"/>
    <w:rsid w:val="009950B9"/>
    <w:rsid w:val="00995BF1"/>
    <w:rsid w:val="00995EC9"/>
    <w:rsid w:val="0099600A"/>
    <w:rsid w:val="00996176"/>
    <w:rsid w:val="009966C1"/>
    <w:rsid w:val="009968C3"/>
    <w:rsid w:val="009971BA"/>
    <w:rsid w:val="00997220"/>
    <w:rsid w:val="009973EE"/>
    <w:rsid w:val="0099779B"/>
    <w:rsid w:val="00997B12"/>
    <w:rsid w:val="00997C10"/>
    <w:rsid w:val="009A057C"/>
    <w:rsid w:val="009A0D67"/>
    <w:rsid w:val="009A1274"/>
    <w:rsid w:val="009A12F0"/>
    <w:rsid w:val="009A1AF8"/>
    <w:rsid w:val="009A1B55"/>
    <w:rsid w:val="009A1C0C"/>
    <w:rsid w:val="009A270E"/>
    <w:rsid w:val="009A2AFC"/>
    <w:rsid w:val="009A2B86"/>
    <w:rsid w:val="009A2E20"/>
    <w:rsid w:val="009A3130"/>
    <w:rsid w:val="009A315D"/>
    <w:rsid w:val="009A3290"/>
    <w:rsid w:val="009A35A8"/>
    <w:rsid w:val="009A3689"/>
    <w:rsid w:val="009A37C4"/>
    <w:rsid w:val="009A3B27"/>
    <w:rsid w:val="009A3EDC"/>
    <w:rsid w:val="009A477E"/>
    <w:rsid w:val="009A516A"/>
    <w:rsid w:val="009A547E"/>
    <w:rsid w:val="009A56CF"/>
    <w:rsid w:val="009A5C70"/>
    <w:rsid w:val="009A6103"/>
    <w:rsid w:val="009A688C"/>
    <w:rsid w:val="009A6BF1"/>
    <w:rsid w:val="009A7249"/>
    <w:rsid w:val="009A74CF"/>
    <w:rsid w:val="009A7527"/>
    <w:rsid w:val="009A7673"/>
    <w:rsid w:val="009A79E7"/>
    <w:rsid w:val="009B060C"/>
    <w:rsid w:val="009B07BB"/>
    <w:rsid w:val="009B0DA8"/>
    <w:rsid w:val="009B0FA9"/>
    <w:rsid w:val="009B12EE"/>
    <w:rsid w:val="009B136D"/>
    <w:rsid w:val="009B1A58"/>
    <w:rsid w:val="009B1D4D"/>
    <w:rsid w:val="009B1EB5"/>
    <w:rsid w:val="009B1EE7"/>
    <w:rsid w:val="009B20E1"/>
    <w:rsid w:val="009B2410"/>
    <w:rsid w:val="009B2CD4"/>
    <w:rsid w:val="009B2D9D"/>
    <w:rsid w:val="009B40E5"/>
    <w:rsid w:val="009B4A4D"/>
    <w:rsid w:val="009B4B8A"/>
    <w:rsid w:val="009B5082"/>
    <w:rsid w:val="009B5584"/>
    <w:rsid w:val="009B5893"/>
    <w:rsid w:val="009B5BF4"/>
    <w:rsid w:val="009B6482"/>
    <w:rsid w:val="009B665B"/>
    <w:rsid w:val="009C094E"/>
    <w:rsid w:val="009C10D4"/>
    <w:rsid w:val="009C185E"/>
    <w:rsid w:val="009C18D9"/>
    <w:rsid w:val="009C19E6"/>
    <w:rsid w:val="009C1A34"/>
    <w:rsid w:val="009C1AD0"/>
    <w:rsid w:val="009C1DF3"/>
    <w:rsid w:val="009C2233"/>
    <w:rsid w:val="009C23E8"/>
    <w:rsid w:val="009C2809"/>
    <w:rsid w:val="009C2C1E"/>
    <w:rsid w:val="009C2F59"/>
    <w:rsid w:val="009C349E"/>
    <w:rsid w:val="009C358E"/>
    <w:rsid w:val="009C433A"/>
    <w:rsid w:val="009C45FF"/>
    <w:rsid w:val="009C503A"/>
    <w:rsid w:val="009C532D"/>
    <w:rsid w:val="009C62A0"/>
    <w:rsid w:val="009C6A76"/>
    <w:rsid w:val="009C6EE6"/>
    <w:rsid w:val="009C7F70"/>
    <w:rsid w:val="009D045D"/>
    <w:rsid w:val="009D0709"/>
    <w:rsid w:val="009D09A8"/>
    <w:rsid w:val="009D0E04"/>
    <w:rsid w:val="009D0EB6"/>
    <w:rsid w:val="009D1B1E"/>
    <w:rsid w:val="009D1FAF"/>
    <w:rsid w:val="009D24B7"/>
    <w:rsid w:val="009D2783"/>
    <w:rsid w:val="009D27F0"/>
    <w:rsid w:val="009D2931"/>
    <w:rsid w:val="009D35CB"/>
    <w:rsid w:val="009D4765"/>
    <w:rsid w:val="009D48B0"/>
    <w:rsid w:val="009D4F36"/>
    <w:rsid w:val="009D56C9"/>
    <w:rsid w:val="009D5BAD"/>
    <w:rsid w:val="009D61D0"/>
    <w:rsid w:val="009D6229"/>
    <w:rsid w:val="009D6622"/>
    <w:rsid w:val="009D686D"/>
    <w:rsid w:val="009D6944"/>
    <w:rsid w:val="009D7CA5"/>
    <w:rsid w:val="009E054C"/>
    <w:rsid w:val="009E0CAE"/>
    <w:rsid w:val="009E1085"/>
    <w:rsid w:val="009E1480"/>
    <w:rsid w:val="009E1618"/>
    <w:rsid w:val="009E2629"/>
    <w:rsid w:val="009E294E"/>
    <w:rsid w:val="009E37F4"/>
    <w:rsid w:val="009E42DE"/>
    <w:rsid w:val="009E48BB"/>
    <w:rsid w:val="009E4AB2"/>
    <w:rsid w:val="009E4C0B"/>
    <w:rsid w:val="009E521B"/>
    <w:rsid w:val="009E5AFE"/>
    <w:rsid w:val="009E5B91"/>
    <w:rsid w:val="009E5D28"/>
    <w:rsid w:val="009E63E7"/>
    <w:rsid w:val="009E647A"/>
    <w:rsid w:val="009E67C7"/>
    <w:rsid w:val="009E69C6"/>
    <w:rsid w:val="009E7E94"/>
    <w:rsid w:val="009F0490"/>
    <w:rsid w:val="009F096A"/>
    <w:rsid w:val="009F0D6C"/>
    <w:rsid w:val="009F1222"/>
    <w:rsid w:val="009F1644"/>
    <w:rsid w:val="009F18B1"/>
    <w:rsid w:val="009F1966"/>
    <w:rsid w:val="009F1C33"/>
    <w:rsid w:val="009F257B"/>
    <w:rsid w:val="009F2D5E"/>
    <w:rsid w:val="009F372D"/>
    <w:rsid w:val="009F3835"/>
    <w:rsid w:val="009F3CBD"/>
    <w:rsid w:val="009F3E1E"/>
    <w:rsid w:val="009F4605"/>
    <w:rsid w:val="009F4945"/>
    <w:rsid w:val="009F5183"/>
    <w:rsid w:val="009F5A1D"/>
    <w:rsid w:val="009F5D42"/>
    <w:rsid w:val="009F5DBB"/>
    <w:rsid w:val="009F6773"/>
    <w:rsid w:val="009F6A68"/>
    <w:rsid w:val="009F6C7C"/>
    <w:rsid w:val="009F737F"/>
    <w:rsid w:val="009F7984"/>
    <w:rsid w:val="009F7EFA"/>
    <w:rsid w:val="009F7F05"/>
    <w:rsid w:val="00A0011B"/>
    <w:rsid w:val="00A00410"/>
    <w:rsid w:val="00A00434"/>
    <w:rsid w:val="00A005B4"/>
    <w:rsid w:val="00A00A05"/>
    <w:rsid w:val="00A00A74"/>
    <w:rsid w:val="00A00E95"/>
    <w:rsid w:val="00A00FC7"/>
    <w:rsid w:val="00A00FD3"/>
    <w:rsid w:val="00A011DF"/>
    <w:rsid w:val="00A0128E"/>
    <w:rsid w:val="00A014AF"/>
    <w:rsid w:val="00A01859"/>
    <w:rsid w:val="00A01DF3"/>
    <w:rsid w:val="00A01EA4"/>
    <w:rsid w:val="00A023E5"/>
    <w:rsid w:val="00A02451"/>
    <w:rsid w:val="00A0246E"/>
    <w:rsid w:val="00A02696"/>
    <w:rsid w:val="00A030EA"/>
    <w:rsid w:val="00A034AB"/>
    <w:rsid w:val="00A03EE5"/>
    <w:rsid w:val="00A04916"/>
    <w:rsid w:val="00A051D1"/>
    <w:rsid w:val="00A05520"/>
    <w:rsid w:val="00A05EEB"/>
    <w:rsid w:val="00A05F0D"/>
    <w:rsid w:val="00A062E2"/>
    <w:rsid w:val="00A0672A"/>
    <w:rsid w:val="00A06CAE"/>
    <w:rsid w:val="00A06DB0"/>
    <w:rsid w:val="00A070B6"/>
    <w:rsid w:val="00A075FE"/>
    <w:rsid w:val="00A10273"/>
    <w:rsid w:val="00A10557"/>
    <w:rsid w:val="00A10886"/>
    <w:rsid w:val="00A10B15"/>
    <w:rsid w:val="00A10F82"/>
    <w:rsid w:val="00A11091"/>
    <w:rsid w:val="00A110FD"/>
    <w:rsid w:val="00A112B4"/>
    <w:rsid w:val="00A1198C"/>
    <w:rsid w:val="00A11A25"/>
    <w:rsid w:val="00A11C73"/>
    <w:rsid w:val="00A11D5E"/>
    <w:rsid w:val="00A12364"/>
    <w:rsid w:val="00A128BC"/>
    <w:rsid w:val="00A1297C"/>
    <w:rsid w:val="00A13103"/>
    <w:rsid w:val="00A134AC"/>
    <w:rsid w:val="00A13855"/>
    <w:rsid w:val="00A13C20"/>
    <w:rsid w:val="00A142D5"/>
    <w:rsid w:val="00A1467C"/>
    <w:rsid w:val="00A1495F"/>
    <w:rsid w:val="00A14CDA"/>
    <w:rsid w:val="00A15CE9"/>
    <w:rsid w:val="00A1661D"/>
    <w:rsid w:val="00A16FEA"/>
    <w:rsid w:val="00A17676"/>
    <w:rsid w:val="00A1797D"/>
    <w:rsid w:val="00A202D6"/>
    <w:rsid w:val="00A210AA"/>
    <w:rsid w:val="00A21148"/>
    <w:rsid w:val="00A2167C"/>
    <w:rsid w:val="00A21CE8"/>
    <w:rsid w:val="00A21E35"/>
    <w:rsid w:val="00A221DC"/>
    <w:rsid w:val="00A228B2"/>
    <w:rsid w:val="00A22F14"/>
    <w:rsid w:val="00A230A5"/>
    <w:rsid w:val="00A233A9"/>
    <w:rsid w:val="00A2343F"/>
    <w:rsid w:val="00A23682"/>
    <w:rsid w:val="00A23D9E"/>
    <w:rsid w:val="00A2400F"/>
    <w:rsid w:val="00A24B36"/>
    <w:rsid w:val="00A24E6E"/>
    <w:rsid w:val="00A2566C"/>
    <w:rsid w:val="00A25CAB"/>
    <w:rsid w:val="00A25E60"/>
    <w:rsid w:val="00A2608E"/>
    <w:rsid w:val="00A26696"/>
    <w:rsid w:val="00A268B0"/>
    <w:rsid w:val="00A26B44"/>
    <w:rsid w:val="00A26C5B"/>
    <w:rsid w:val="00A27577"/>
    <w:rsid w:val="00A27B6B"/>
    <w:rsid w:val="00A30321"/>
    <w:rsid w:val="00A30A83"/>
    <w:rsid w:val="00A30BE9"/>
    <w:rsid w:val="00A30C87"/>
    <w:rsid w:val="00A30D8A"/>
    <w:rsid w:val="00A3141C"/>
    <w:rsid w:val="00A31A30"/>
    <w:rsid w:val="00A323CD"/>
    <w:rsid w:val="00A32456"/>
    <w:rsid w:val="00A32530"/>
    <w:rsid w:val="00A328D4"/>
    <w:rsid w:val="00A32DC9"/>
    <w:rsid w:val="00A33C19"/>
    <w:rsid w:val="00A34309"/>
    <w:rsid w:val="00A3449A"/>
    <w:rsid w:val="00A3487E"/>
    <w:rsid w:val="00A35047"/>
    <w:rsid w:val="00A3539B"/>
    <w:rsid w:val="00A35750"/>
    <w:rsid w:val="00A359E5"/>
    <w:rsid w:val="00A35EEB"/>
    <w:rsid w:val="00A35F02"/>
    <w:rsid w:val="00A3613F"/>
    <w:rsid w:val="00A36720"/>
    <w:rsid w:val="00A36908"/>
    <w:rsid w:val="00A36B0C"/>
    <w:rsid w:val="00A36B79"/>
    <w:rsid w:val="00A36CD3"/>
    <w:rsid w:val="00A36D92"/>
    <w:rsid w:val="00A370A2"/>
    <w:rsid w:val="00A37528"/>
    <w:rsid w:val="00A377F8"/>
    <w:rsid w:val="00A40208"/>
    <w:rsid w:val="00A404DA"/>
    <w:rsid w:val="00A406CF"/>
    <w:rsid w:val="00A409D0"/>
    <w:rsid w:val="00A40F72"/>
    <w:rsid w:val="00A40FA5"/>
    <w:rsid w:val="00A41939"/>
    <w:rsid w:val="00A41ADF"/>
    <w:rsid w:val="00A41D16"/>
    <w:rsid w:val="00A4212B"/>
    <w:rsid w:val="00A42809"/>
    <w:rsid w:val="00A4302A"/>
    <w:rsid w:val="00A432D4"/>
    <w:rsid w:val="00A43646"/>
    <w:rsid w:val="00A43C21"/>
    <w:rsid w:val="00A43F12"/>
    <w:rsid w:val="00A44A44"/>
    <w:rsid w:val="00A45109"/>
    <w:rsid w:val="00A45323"/>
    <w:rsid w:val="00A460F8"/>
    <w:rsid w:val="00A46111"/>
    <w:rsid w:val="00A4647A"/>
    <w:rsid w:val="00A464A4"/>
    <w:rsid w:val="00A46634"/>
    <w:rsid w:val="00A47B11"/>
    <w:rsid w:val="00A47E89"/>
    <w:rsid w:val="00A502DB"/>
    <w:rsid w:val="00A50F98"/>
    <w:rsid w:val="00A5118B"/>
    <w:rsid w:val="00A513C2"/>
    <w:rsid w:val="00A5193B"/>
    <w:rsid w:val="00A51F85"/>
    <w:rsid w:val="00A52637"/>
    <w:rsid w:val="00A52653"/>
    <w:rsid w:val="00A52848"/>
    <w:rsid w:val="00A53237"/>
    <w:rsid w:val="00A538A9"/>
    <w:rsid w:val="00A53A17"/>
    <w:rsid w:val="00A53AD1"/>
    <w:rsid w:val="00A53B04"/>
    <w:rsid w:val="00A53CDC"/>
    <w:rsid w:val="00A5422A"/>
    <w:rsid w:val="00A545FD"/>
    <w:rsid w:val="00A54A81"/>
    <w:rsid w:val="00A54AEE"/>
    <w:rsid w:val="00A54DA2"/>
    <w:rsid w:val="00A55056"/>
    <w:rsid w:val="00A55801"/>
    <w:rsid w:val="00A55933"/>
    <w:rsid w:val="00A5606F"/>
    <w:rsid w:val="00A56163"/>
    <w:rsid w:val="00A565CB"/>
    <w:rsid w:val="00A56719"/>
    <w:rsid w:val="00A56792"/>
    <w:rsid w:val="00A56F6F"/>
    <w:rsid w:val="00A57515"/>
    <w:rsid w:val="00A57D46"/>
    <w:rsid w:val="00A602DA"/>
    <w:rsid w:val="00A60941"/>
    <w:rsid w:val="00A60CEC"/>
    <w:rsid w:val="00A60FDB"/>
    <w:rsid w:val="00A616E9"/>
    <w:rsid w:val="00A61CA9"/>
    <w:rsid w:val="00A62561"/>
    <w:rsid w:val="00A62A07"/>
    <w:rsid w:val="00A630FD"/>
    <w:rsid w:val="00A638D2"/>
    <w:rsid w:val="00A64846"/>
    <w:rsid w:val="00A65476"/>
    <w:rsid w:val="00A655B1"/>
    <w:rsid w:val="00A6568F"/>
    <w:rsid w:val="00A65BBA"/>
    <w:rsid w:val="00A660C1"/>
    <w:rsid w:val="00A66231"/>
    <w:rsid w:val="00A667C6"/>
    <w:rsid w:val="00A66B28"/>
    <w:rsid w:val="00A66C25"/>
    <w:rsid w:val="00A66E19"/>
    <w:rsid w:val="00A66F11"/>
    <w:rsid w:val="00A67349"/>
    <w:rsid w:val="00A67540"/>
    <w:rsid w:val="00A677F0"/>
    <w:rsid w:val="00A67A13"/>
    <w:rsid w:val="00A67C41"/>
    <w:rsid w:val="00A70F55"/>
    <w:rsid w:val="00A72070"/>
    <w:rsid w:val="00A72338"/>
    <w:rsid w:val="00A723AD"/>
    <w:rsid w:val="00A72BE6"/>
    <w:rsid w:val="00A732B6"/>
    <w:rsid w:val="00A732BA"/>
    <w:rsid w:val="00A73C6A"/>
    <w:rsid w:val="00A73F7E"/>
    <w:rsid w:val="00A7598A"/>
    <w:rsid w:val="00A75A1F"/>
    <w:rsid w:val="00A76A23"/>
    <w:rsid w:val="00A76B07"/>
    <w:rsid w:val="00A76DFC"/>
    <w:rsid w:val="00A76F93"/>
    <w:rsid w:val="00A772AC"/>
    <w:rsid w:val="00A774E4"/>
    <w:rsid w:val="00A77571"/>
    <w:rsid w:val="00A77D24"/>
    <w:rsid w:val="00A77F61"/>
    <w:rsid w:val="00A8010E"/>
    <w:rsid w:val="00A8064F"/>
    <w:rsid w:val="00A811E2"/>
    <w:rsid w:val="00A81581"/>
    <w:rsid w:val="00A816CB"/>
    <w:rsid w:val="00A81A4D"/>
    <w:rsid w:val="00A81A54"/>
    <w:rsid w:val="00A821D3"/>
    <w:rsid w:val="00A822E7"/>
    <w:rsid w:val="00A82304"/>
    <w:rsid w:val="00A826BE"/>
    <w:rsid w:val="00A82EB5"/>
    <w:rsid w:val="00A8309E"/>
    <w:rsid w:val="00A834A8"/>
    <w:rsid w:val="00A83578"/>
    <w:rsid w:val="00A83F92"/>
    <w:rsid w:val="00A84239"/>
    <w:rsid w:val="00A842C1"/>
    <w:rsid w:val="00A84A5B"/>
    <w:rsid w:val="00A84B02"/>
    <w:rsid w:val="00A84BDC"/>
    <w:rsid w:val="00A84C61"/>
    <w:rsid w:val="00A84CE4"/>
    <w:rsid w:val="00A84D03"/>
    <w:rsid w:val="00A84FFF"/>
    <w:rsid w:val="00A8639B"/>
    <w:rsid w:val="00A8640E"/>
    <w:rsid w:val="00A86512"/>
    <w:rsid w:val="00A8672F"/>
    <w:rsid w:val="00A87692"/>
    <w:rsid w:val="00A87821"/>
    <w:rsid w:val="00A87877"/>
    <w:rsid w:val="00A879DC"/>
    <w:rsid w:val="00A87CD6"/>
    <w:rsid w:val="00A90068"/>
    <w:rsid w:val="00A90490"/>
    <w:rsid w:val="00A911F3"/>
    <w:rsid w:val="00A914EF"/>
    <w:rsid w:val="00A9179B"/>
    <w:rsid w:val="00A917C4"/>
    <w:rsid w:val="00A91C98"/>
    <w:rsid w:val="00A91F69"/>
    <w:rsid w:val="00A9278F"/>
    <w:rsid w:val="00A929B0"/>
    <w:rsid w:val="00A92C36"/>
    <w:rsid w:val="00A932FB"/>
    <w:rsid w:val="00A933D0"/>
    <w:rsid w:val="00A93567"/>
    <w:rsid w:val="00A93A07"/>
    <w:rsid w:val="00A93C1A"/>
    <w:rsid w:val="00A9406B"/>
    <w:rsid w:val="00A95549"/>
    <w:rsid w:val="00A956CF"/>
    <w:rsid w:val="00A95833"/>
    <w:rsid w:val="00A95AE1"/>
    <w:rsid w:val="00A95B1A"/>
    <w:rsid w:val="00A95DF0"/>
    <w:rsid w:val="00A96380"/>
    <w:rsid w:val="00A96AB3"/>
    <w:rsid w:val="00A96BC0"/>
    <w:rsid w:val="00A96E5B"/>
    <w:rsid w:val="00A96F7E"/>
    <w:rsid w:val="00A974F8"/>
    <w:rsid w:val="00A97532"/>
    <w:rsid w:val="00A97585"/>
    <w:rsid w:val="00A9766C"/>
    <w:rsid w:val="00A9798F"/>
    <w:rsid w:val="00AA011E"/>
    <w:rsid w:val="00AA067F"/>
    <w:rsid w:val="00AA0AEA"/>
    <w:rsid w:val="00AA16FD"/>
    <w:rsid w:val="00AA1A95"/>
    <w:rsid w:val="00AA24AD"/>
    <w:rsid w:val="00AA273F"/>
    <w:rsid w:val="00AA2FE8"/>
    <w:rsid w:val="00AA305F"/>
    <w:rsid w:val="00AA3074"/>
    <w:rsid w:val="00AA3272"/>
    <w:rsid w:val="00AA32ED"/>
    <w:rsid w:val="00AA36B0"/>
    <w:rsid w:val="00AA3922"/>
    <w:rsid w:val="00AA3EBB"/>
    <w:rsid w:val="00AA41C6"/>
    <w:rsid w:val="00AA4579"/>
    <w:rsid w:val="00AA49E3"/>
    <w:rsid w:val="00AA4BAD"/>
    <w:rsid w:val="00AA4CEA"/>
    <w:rsid w:val="00AA4DE8"/>
    <w:rsid w:val="00AA4E91"/>
    <w:rsid w:val="00AA5036"/>
    <w:rsid w:val="00AA535C"/>
    <w:rsid w:val="00AA676C"/>
    <w:rsid w:val="00AA690B"/>
    <w:rsid w:val="00AA767D"/>
    <w:rsid w:val="00AA799F"/>
    <w:rsid w:val="00AB032B"/>
    <w:rsid w:val="00AB0AD6"/>
    <w:rsid w:val="00AB0BC9"/>
    <w:rsid w:val="00AB186D"/>
    <w:rsid w:val="00AB18C1"/>
    <w:rsid w:val="00AB19F3"/>
    <w:rsid w:val="00AB1B5F"/>
    <w:rsid w:val="00AB2796"/>
    <w:rsid w:val="00AB280E"/>
    <w:rsid w:val="00AB2C61"/>
    <w:rsid w:val="00AB2CD9"/>
    <w:rsid w:val="00AB326D"/>
    <w:rsid w:val="00AB37CC"/>
    <w:rsid w:val="00AB3972"/>
    <w:rsid w:val="00AB4558"/>
    <w:rsid w:val="00AB4A24"/>
    <w:rsid w:val="00AB4A5B"/>
    <w:rsid w:val="00AB5040"/>
    <w:rsid w:val="00AB534F"/>
    <w:rsid w:val="00AB6A09"/>
    <w:rsid w:val="00AB6CB7"/>
    <w:rsid w:val="00AB6CFA"/>
    <w:rsid w:val="00AB72BE"/>
    <w:rsid w:val="00AB7349"/>
    <w:rsid w:val="00AB7887"/>
    <w:rsid w:val="00AB78CA"/>
    <w:rsid w:val="00AB7AC7"/>
    <w:rsid w:val="00AB7EBB"/>
    <w:rsid w:val="00AC0848"/>
    <w:rsid w:val="00AC1112"/>
    <w:rsid w:val="00AC135B"/>
    <w:rsid w:val="00AC13CB"/>
    <w:rsid w:val="00AC179F"/>
    <w:rsid w:val="00AC191E"/>
    <w:rsid w:val="00AC1ADB"/>
    <w:rsid w:val="00AC1E2A"/>
    <w:rsid w:val="00AC3136"/>
    <w:rsid w:val="00AC3CB8"/>
    <w:rsid w:val="00AC4148"/>
    <w:rsid w:val="00AC4C6F"/>
    <w:rsid w:val="00AC5483"/>
    <w:rsid w:val="00AC562B"/>
    <w:rsid w:val="00AC5772"/>
    <w:rsid w:val="00AC5DD9"/>
    <w:rsid w:val="00AC5FC5"/>
    <w:rsid w:val="00AC5FF1"/>
    <w:rsid w:val="00AC62AE"/>
    <w:rsid w:val="00AC6602"/>
    <w:rsid w:val="00AC69E8"/>
    <w:rsid w:val="00AC70A4"/>
    <w:rsid w:val="00AC7561"/>
    <w:rsid w:val="00AC75E3"/>
    <w:rsid w:val="00AC7654"/>
    <w:rsid w:val="00AC7A37"/>
    <w:rsid w:val="00AC7B4B"/>
    <w:rsid w:val="00AC7ED3"/>
    <w:rsid w:val="00AC7F7A"/>
    <w:rsid w:val="00AD0727"/>
    <w:rsid w:val="00AD0A84"/>
    <w:rsid w:val="00AD0B0D"/>
    <w:rsid w:val="00AD0F3B"/>
    <w:rsid w:val="00AD191E"/>
    <w:rsid w:val="00AD1D4D"/>
    <w:rsid w:val="00AD2116"/>
    <w:rsid w:val="00AD2583"/>
    <w:rsid w:val="00AD2906"/>
    <w:rsid w:val="00AD2A78"/>
    <w:rsid w:val="00AD3312"/>
    <w:rsid w:val="00AD3ADF"/>
    <w:rsid w:val="00AD4120"/>
    <w:rsid w:val="00AD47FC"/>
    <w:rsid w:val="00AD4990"/>
    <w:rsid w:val="00AD4C47"/>
    <w:rsid w:val="00AD4E19"/>
    <w:rsid w:val="00AD52C0"/>
    <w:rsid w:val="00AD5424"/>
    <w:rsid w:val="00AD58EE"/>
    <w:rsid w:val="00AD590A"/>
    <w:rsid w:val="00AD592C"/>
    <w:rsid w:val="00AD5EB8"/>
    <w:rsid w:val="00AD5F2B"/>
    <w:rsid w:val="00AD61EB"/>
    <w:rsid w:val="00AD734E"/>
    <w:rsid w:val="00AD77CB"/>
    <w:rsid w:val="00AD791A"/>
    <w:rsid w:val="00AD7D98"/>
    <w:rsid w:val="00AE05B2"/>
    <w:rsid w:val="00AE0D31"/>
    <w:rsid w:val="00AE1337"/>
    <w:rsid w:val="00AE1CA0"/>
    <w:rsid w:val="00AE1D7A"/>
    <w:rsid w:val="00AE1F3B"/>
    <w:rsid w:val="00AE1F59"/>
    <w:rsid w:val="00AE202D"/>
    <w:rsid w:val="00AE2454"/>
    <w:rsid w:val="00AE2629"/>
    <w:rsid w:val="00AE2F95"/>
    <w:rsid w:val="00AE3104"/>
    <w:rsid w:val="00AE3218"/>
    <w:rsid w:val="00AE3BF0"/>
    <w:rsid w:val="00AE3C6A"/>
    <w:rsid w:val="00AE4358"/>
    <w:rsid w:val="00AE43E6"/>
    <w:rsid w:val="00AE4422"/>
    <w:rsid w:val="00AE4693"/>
    <w:rsid w:val="00AE4A7B"/>
    <w:rsid w:val="00AE4B61"/>
    <w:rsid w:val="00AE4F2B"/>
    <w:rsid w:val="00AE50F2"/>
    <w:rsid w:val="00AE51EC"/>
    <w:rsid w:val="00AE53EF"/>
    <w:rsid w:val="00AE5591"/>
    <w:rsid w:val="00AE5D88"/>
    <w:rsid w:val="00AE6155"/>
    <w:rsid w:val="00AE64D3"/>
    <w:rsid w:val="00AE699C"/>
    <w:rsid w:val="00AE7170"/>
    <w:rsid w:val="00AE7701"/>
    <w:rsid w:val="00AE7764"/>
    <w:rsid w:val="00AE786D"/>
    <w:rsid w:val="00AF01EF"/>
    <w:rsid w:val="00AF04C0"/>
    <w:rsid w:val="00AF1456"/>
    <w:rsid w:val="00AF1714"/>
    <w:rsid w:val="00AF1D9D"/>
    <w:rsid w:val="00AF25D9"/>
    <w:rsid w:val="00AF260D"/>
    <w:rsid w:val="00AF26B7"/>
    <w:rsid w:val="00AF2B39"/>
    <w:rsid w:val="00AF2D4D"/>
    <w:rsid w:val="00AF3535"/>
    <w:rsid w:val="00AF3AAE"/>
    <w:rsid w:val="00AF3CB6"/>
    <w:rsid w:val="00AF3F1B"/>
    <w:rsid w:val="00AF4330"/>
    <w:rsid w:val="00AF5372"/>
    <w:rsid w:val="00AF5C84"/>
    <w:rsid w:val="00AF5D1D"/>
    <w:rsid w:val="00AF5D40"/>
    <w:rsid w:val="00AF62C6"/>
    <w:rsid w:val="00AF63D9"/>
    <w:rsid w:val="00AF65F0"/>
    <w:rsid w:val="00AF674D"/>
    <w:rsid w:val="00AF68EE"/>
    <w:rsid w:val="00AF6CB4"/>
    <w:rsid w:val="00AF6CCD"/>
    <w:rsid w:val="00AF6CED"/>
    <w:rsid w:val="00AF6D32"/>
    <w:rsid w:val="00AF7273"/>
    <w:rsid w:val="00AF73D6"/>
    <w:rsid w:val="00AF789E"/>
    <w:rsid w:val="00AF7EE7"/>
    <w:rsid w:val="00B00034"/>
    <w:rsid w:val="00B00351"/>
    <w:rsid w:val="00B00D26"/>
    <w:rsid w:val="00B00E7A"/>
    <w:rsid w:val="00B01075"/>
    <w:rsid w:val="00B010C9"/>
    <w:rsid w:val="00B01934"/>
    <w:rsid w:val="00B01B9B"/>
    <w:rsid w:val="00B01F15"/>
    <w:rsid w:val="00B026A9"/>
    <w:rsid w:val="00B02898"/>
    <w:rsid w:val="00B029BD"/>
    <w:rsid w:val="00B035C2"/>
    <w:rsid w:val="00B03634"/>
    <w:rsid w:val="00B03ADC"/>
    <w:rsid w:val="00B03CB2"/>
    <w:rsid w:val="00B04291"/>
    <w:rsid w:val="00B04800"/>
    <w:rsid w:val="00B0529A"/>
    <w:rsid w:val="00B062AA"/>
    <w:rsid w:val="00B0666B"/>
    <w:rsid w:val="00B0686B"/>
    <w:rsid w:val="00B068CD"/>
    <w:rsid w:val="00B06BB0"/>
    <w:rsid w:val="00B06CA4"/>
    <w:rsid w:val="00B06E51"/>
    <w:rsid w:val="00B06F56"/>
    <w:rsid w:val="00B071ED"/>
    <w:rsid w:val="00B1012F"/>
    <w:rsid w:val="00B101A3"/>
    <w:rsid w:val="00B101C1"/>
    <w:rsid w:val="00B101D5"/>
    <w:rsid w:val="00B10202"/>
    <w:rsid w:val="00B104BC"/>
    <w:rsid w:val="00B10689"/>
    <w:rsid w:val="00B1097B"/>
    <w:rsid w:val="00B1100B"/>
    <w:rsid w:val="00B1256A"/>
    <w:rsid w:val="00B12749"/>
    <w:rsid w:val="00B12940"/>
    <w:rsid w:val="00B12D6B"/>
    <w:rsid w:val="00B13218"/>
    <w:rsid w:val="00B13983"/>
    <w:rsid w:val="00B14014"/>
    <w:rsid w:val="00B14405"/>
    <w:rsid w:val="00B14AA4"/>
    <w:rsid w:val="00B1510A"/>
    <w:rsid w:val="00B152CB"/>
    <w:rsid w:val="00B15653"/>
    <w:rsid w:val="00B15821"/>
    <w:rsid w:val="00B15C2F"/>
    <w:rsid w:val="00B15F43"/>
    <w:rsid w:val="00B161EE"/>
    <w:rsid w:val="00B163B3"/>
    <w:rsid w:val="00B167F6"/>
    <w:rsid w:val="00B16B4D"/>
    <w:rsid w:val="00B171EF"/>
    <w:rsid w:val="00B1734A"/>
    <w:rsid w:val="00B17374"/>
    <w:rsid w:val="00B17458"/>
    <w:rsid w:val="00B17930"/>
    <w:rsid w:val="00B17D1E"/>
    <w:rsid w:val="00B209E9"/>
    <w:rsid w:val="00B20DFE"/>
    <w:rsid w:val="00B21024"/>
    <w:rsid w:val="00B2121E"/>
    <w:rsid w:val="00B215B3"/>
    <w:rsid w:val="00B2170B"/>
    <w:rsid w:val="00B219CF"/>
    <w:rsid w:val="00B21D51"/>
    <w:rsid w:val="00B21DBD"/>
    <w:rsid w:val="00B224D8"/>
    <w:rsid w:val="00B225B9"/>
    <w:rsid w:val="00B226CF"/>
    <w:rsid w:val="00B22917"/>
    <w:rsid w:val="00B233C2"/>
    <w:rsid w:val="00B23891"/>
    <w:rsid w:val="00B23C72"/>
    <w:rsid w:val="00B24567"/>
    <w:rsid w:val="00B245EC"/>
    <w:rsid w:val="00B24735"/>
    <w:rsid w:val="00B247CC"/>
    <w:rsid w:val="00B24829"/>
    <w:rsid w:val="00B252D2"/>
    <w:rsid w:val="00B25623"/>
    <w:rsid w:val="00B256E4"/>
    <w:rsid w:val="00B268B9"/>
    <w:rsid w:val="00B26D2F"/>
    <w:rsid w:val="00B26F35"/>
    <w:rsid w:val="00B2702C"/>
    <w:rsid w:val="00B27294"/>
    <w:rsid w:val="00B27AFF"/>
    <w:rsid w:val="00B27E5F"/>
    <w:rsid w:val="00B30659"/>
    <w:rsid w:val="00B30A7F"/>
    <w:rsid w:val="00B30F10"/>
    <w:rsid w:val="00B30F19"/>
    <w:rsid w:val="00B31197"/>
    <w:rsid w:val="00B31604"/>
    <w:rsid w:val="00B318BE"/>
    <w:rsid w:val="00B31E7D"/>
    <w:rsid w:val="00B322F5"/>
    <w:rsid w:val="00B33A54"/>
    <w:rsid w:val="00B33BA2"/>
    <w:rsid w:val="00B33CC1"/>
    <w:rsid w:val="00B33CE7"/>
    <w:rsid w:val="00B34070"/>
    <w:rsid w:val="00B35579"/>
    <w:rsid w:val="00B35C70"/>
    <w:rsid w:val="00B35D35"/>
    <w:rsid w:val="00B35E36"/>
    <w:rsid w:val="00B36067"/>
    <w:rsid w:val="00B3635A"/>
    <w:rsid w:val="00B366CE"/>
    <w:rsid w:val="00B3683E"/>
    <w:rsid w:val="00B37B2B"/>
    <w:rsid w:val="00B40FC9"/>
    <w:rsid w:val="00B414BA"/>
    <w:rsid w:val="00B419EF"/>
    <w:rsid w:val="00B41A5A"/>
    <w:rsid w:val="00B41DA0"/>
    <w:rsid w:val="00B423E2"/>
    <w:rsid w:val="00B428A3"/>
    <w:rsid w:val="00B42C5E"/>
    <w:rsid w:val="00B42DFF"/>
    <w:rsid w:val="00B431F6"/>
    <w:rsid w:val="00B438C2"/>
    <w:rsid w:val="00B44177"/>
    <w:rsid w:val="00B44B9F"/>
    <w:rsid w:val="00B44C3E"/>
    <w:rsid w:val="00B452E5"/>
    <w:rsid w:val="00B45981"/>
    <w:rsid w:val="00B45EA7"/>
    <w:rsid w:val="00B45EB7"/>
    <w:rsid w:val="00B4622B"/>
    <w:rsid w:val="00B472E3"/>
    <w:rsid w:val="00B4736C"/>
    <w:rsid w:val="00B47A48"/>
    <w:rsid w:val="00B47AA8"/>
    <w:rsid w:val="00B47D96"/>
    <w:rsid w:val="00B47E96"/>
    <w:rsid w:val="00B50289"/>
    <w:rsid w:val="00B502A9"/>
    <w:rsid w:val="00B504D2"/>
    <w:rsid w:val="00B50572"/>
    <w:rsid w:val="00B5081B"/>
    <w:rsid w:val="00B509E0"/>
    <w:rsid w:val="00B50A21"/>
    <w:rsid w:val="00B50C6F"/>
    <w:rsid w:val="00B50E24"/>
    <w:rsid w:val="00B521CF"/>
    <w:rsid w:val="00B52870"/>
    <w:rsid w:val="00B533DF"/>
    <w:rsid w:val="00B53E7C"/>
    <w:rsid w:val="00B5457F"/>
    <w:rsid w:val="00B5462A"/>
    <w:rsid w:val="00B551DD"/>
    <w:rsid w:val="00B558DA"/>
    <w:rsid w:val="00B55905"/>
    <w:rsid w:val="00B55953"/>
    <w:rsid w:val="00B55C43"/>
    <w:rsid w:val="00B55CFD"/>
    <w:rsid w:val="00B560F6"/>
    <w:rsid w:val="00B569AA"/>
    <w:rsid w:val="00B57302"/>
    <w:rsid w:val="00B57870"/>
    <w:rsid w:val="00B57FA6"/>
    <w:rsid w:val="00B6002E"/>
    <w:rsid w:val="00B601A0"/>
    <w:rsid w:val="00B6028F"/>
    <w:rsid w:val="00B6035D"/>
    <w:rsid w:val="00B6045D"/>
    <w:rsid w:val="00B6045F"/>
    <w:rsid w:val="00B60502"/>
    <w:rsid w:val="00B60810"/>
    <w:rsid w:val="00B60897"/>
    <w:rsid w:val="00B60B22"/>
    <w:rsid w:val="00B61152"/>
    <w:rsid w:val="00B61E22"/>
    <w:rsid w:val="00B624EF"/>
    <w:rsid w:val="00B62DFD"/>
    <w:rsid w:val="00B63196"/>
    <w:rsid w:val="00B632B5"/>
    <w:rsid w:val="00B6366B"/>
    <w:rsid w:val="00B639CA"/>
    <w:rsid w:val="00B63B32"/>
    <w:rsid w:val="00B64628"/>
    <w:rsid w:val="00B64AC2"/>
    <w:rsid w:val="00B64DFB"/>
    <w:rsid w:val="00B65171"/>
    <w:rsid w:val="00B65764"/>
    <w:rsid w:val="00B66095"/>
    <w:rsid w:val="00B66134"/>
    <w:rsid w:val="00B6659B"/>
    <w:rsid w:val="00B66B4F"/>
    <w:rsid w:val="00B66F9B"/>
    <w:rsid w:val="00B67B61"/>
    <w:rsid w:val="00B700C6"/>
    <w:rsid w:val="00B70C1C"/>
    <w:rsid w:val="00B70F15"/>
    <w:rsid w:val="00B71464"/>
    <w:rsid w:val="00B717BE"/>
    <w:rsid w:val="00B717CF"/>
    <w:rsid w:val="00B7184A"/>
    <w:rsid w:val="00B71AAB"/>
    <w:rsid w:val="00B722F4"/>
    <w:rsid w:val="00B72312"/>
    <w:rsid w:val="00B736C7"/>
    <w:rsid w:val="00B737D5"/>
    <w:rsid w:val="00B73B4B"/>
    <w:rsid w:val="00B73B7D"/>
    <w:rsid w:val="00B74250"/>
    <w:rsid w:val="00B74E9E"/>
    <w:rsid w:val="00B752EF"/>
    <w:rsid w:val="00B753B5"/>
    <w:rsid w:val="00B755D8"/>
    <w:rsid w:val="00B759CE"/>
    <w:rsid w:val="00B75BA8"/>
    <w:rsid w:val="00B75F94"/>
    <w:rsid w:val="00B76025"/>
    <w:rsid w:val="00B7630A"/>
    <w:rsid w:val="00B76BA2"/>
    <w:rsid w:val="00B76BE4"/>
    <w:rsid w:val="00B76DE4"/>
    <w:rsid w:val="00B77DE5"/>
    <w:rsid w:val="00B77F8F"/>
    <w:rsid w:val="00B8020B"/>
    <w:rsid w:val="00B80503"/>
    <w:rsid w:val="00B8055C"/>
    <w:rsid w:val="00B80642"/>
    <w:rsid w:val="00B811F5"/>
    <w:rsid w:val="00B8148B"/>
    <w:rsid w:val="00B814D5"/>
    <w:rsid w:val="00B81B52"/>
    <w:rsid w:val="00B81FBE"/>
    <w:rsid w:val="00B82361"/>
    <w:rsid w:val="00B8264F"/>
    <w:rsid w:val="00B82A74"/>
    <w:rsid w:val="00B83AB2"/>
    <w:rsid w:val="00B83BB4"/>
    <w:rsid w:val="00B83FFE"/>
    <w:rsid w:val="00B8434F"/>
    <w:rsid w:val="00B85097"/>
    <w:rsid w:val="00B8531A"/>
    <w:rsid w:val="00B854FC"/>
    <w:rsid w:val="00B859F2"/>
    <w:rsid w:val="00B85F22"/>
    <w:rsid w:val="00B862FB"/>
    <w:rsid w:val="00B8637A"/>
    <w:rsid w:val="00B86726"/>
    <w:rsid w:val="00B86CD5"/>
    <w:rsid w:val="00B871AD"/>
    <w:rsid w:val="00B87F79"/>
    <w:rsid w:val="00B9035D"/>
    <w:rsid w:val="00B903DD"/>
    <w:rsid w:val="00B90602"/>
    <w:rsid w:val="00B9083C"/>
    <w:rsid w:val="00B908D7"/>
    <w:rsid w:val="00B909B4"/>
    <w:rsid w:val="00B90D9B"/>
    <w:rsid w:val="00B913D1"/>
    <w:rsid w:val="00B915DC"/>
    <w:rsid w:val="00B916B1"/>
    <w:rsid w:val="00B91E0C"/>
    <w:rsid w:val="00B9237B"/>
    <w:rsid w:val="00B926C7"/>
    <w:rsid w:val="00B92CA6"/>
    <w:rsid w:val="00B92DA4"/>
    <w:rsid w:val="00B92E29"/>
    <w:rsid w:val="00B9304A"/>
    <w:rsid w:val="00B93397"/>
    <w:rsid w:val="00B937BB"/>
    <w:rsid w:val="00B93B33"/>
    <w:rsid w:val="00B9408B"/>
    <w:rsid w:val="00B940EA"/>
    <w:rsid w:val="00B949F4"/>
    <w:rsid w:val="00B94B1D"/>
    <w:rsid w:val="00B94D06"/>
    <w:rsid w:val="00B95772"/>
    <w:rsid w:val="00B95775"/>
    <w:rsid w:val="00B957AD"/>
    <w:rsid w:val="00B95B39"/>
    <w:rsid w:val="00B95D3F"/>
    <w:rsid w:val="00B95F2E"/>
    <w:rsid w:val="00B9608D"/>
    <w:rsid w:val="00B96128"/>
    <w:rsid w:val="00B962BB"/>
    <w:rsid w:val="00B964A5"/>
    <w:rsid w:val="00B973D8"/>
    <w:rsid w:val="00B974BB"/>
    <w:rsid w:val="00B97622"/>
    <w:rsid w:val="00B97F49"/>
    <w:rsid w:val="00BA0336"/>
    <w:rsid w:val="00BA0701"/>
    <w:rsid w:val="00BA093C"/>
    <w:rsid w:val="00BA0B5A"/>
    <w:rsid w:val="00BA0F82"/>
    <w:rsid w:val="00BA132D"/>
    <w:rsid w:val="00BA13CA"/>
    <w:rsid w:val="00BA1A07"/>
    <w:rsid w:val="00BA1FD1"/>
    <w:rsid w:val="00BA2095"/>
    <w:rsid w:val="00BA216C"/>
    <w:rsid w:val="00BA2329"/>
    <w:rsid w:val="00BA2620"/>
    <w:rsid w:val="00BA2846"/>
    <w:rsid w:val="00BA29E5"/>
    <w:rsid w:val="00BA2C96"/>
    <w:rsid w:val="00BA336E"/>
    <w:rsid w:val="00BA3600"/>
    <w:rsid w:val="00BA3B88"/>
    <w:rsid w:val="00BA3F59"/>
    <w:rsid w:val="00BA46E7"/>
    <w:rsid w:val="00BA4ADB"/>
    <w:rsid w:val="00BA4DDA"/>
    <w:rsid w:val="00BA585B"/>
    <w:rsid w:val="00BA62B3"/>
    <w:rsid w:val="00BA67BA"/>
    <w:rsid w:val="00BA6CA3"/>
    <w:rsid w:val="00BA6D46"/>
    <w:rsid w:val="00BA6FC3"/>
    <w:rsid w:val="00BA7639"/>
    <w:rsid w:val="00BA7FBE"/>
    <w:rsid w:val="00BB005E"/>
    <w:rsid w:val="00BB0D9C"/>
    <w:rsid w:val="00BB11BA"/>
    <w:rsid w:val="00BB1497"/>
    <w:rsid w:val="00BB15B3"/>
    <w:rsid w:val="00BB15FC"/>
    <w:rsid w:val="00BB19BD"/>
    <w:rsid w:val="00BB2206"/>
    <w:rsid w:val="00BB2515"/>
    <w:rsid w:val="00BB28C7"/>
    <w:rsid w:val="00BB2E36"/>
    <w:rsid w:val="00BB311D"/>
    <w:rsid w:val="00BB3191"/>
    <w:rsid w:val="00BB319D"/>
    <w:rsid w:val="00BB3B48"/>
    <w:rsid w:val="00BB3F05"/>
    <w:rsid w:val="00BB3F2D"/>
    <w:rsid w:val="00BB3FC7"/>
    <w:rsid w:val="00BB40FE"/>
    <w:rsid w:val="00BB41B0"/>
    <w:rsid w:val="00BB466D"/>
    <w:rsid w:val="00BB46FD"/>
    <w:rsid w:val="00BB47C7"/>
    <w:rsid w:val="00BB4898"/>
    <w:rsid w:val="00BB4F36"/>
    <w:rsid w:val="00BB5801"/>
    <w:rsid w:val="00BB5A0D"/>
    <w:rsid w:val="00BB5B54"/>
    <w:rsid w:val="00BB60D3"/>
    <w:rsid w:val="00BB63C8"/>
    <w:rsid w:val="00BB65C0"/>
    <w:rsid w:val="00BB6B9C"/>
    <w:rsid w:val="00BB6BDF"/>
    <w:rsid w:val="00BB6D05"/>
    <w:rsid w:val="00BB7680"/>
    <w:rsid w:val="00BB7B76"/>
    <w:rsid w:val="00BB7FF0"/>
    <w:rsid w:val="00BC0437"/>
    <w:rsid w:val="00BC0C7B"/>
    <w:rsid w:val="00BC16F3"/>
    <w:rsid w:val="00BC17CC"/>
    <w:rsid w:val="00BC17F6"/>
    <w:rsid w:val="00BC1DB8"/>
    <w:rsid w:val="00BC1FF2"/>
    <w:rsid w:val="00BC2464"/>
    <w:rsid w:val="00BC2680"/>
    <w:rsid w:val="00BC2705"/>
    <w:rsid w:val="00BC28C8"/>
    <w:rsid w:val="00BC2F94"/>
    <w:rsid w:val="00BC319D"/>
    <w:rsid w:val="00BC3F4D"/>
    <w:rsid w:val="00BC4530"/>
    <w:rsid w:val="00BC4B22"/>
    <w:rsid w:val="00BC4F03"/>
    <w:rsid w:val="00BC538E"/>
    <w:rsid w:val="00BC54B0"/>
    <w:rsid w:val="00BC55BC"/>
    <w:rsid w:val="00BC595A"/>
    <w:rsid w:val="00BC595B"/>
    <w:rsid w:val="00BC6576"/>
    <w:rsid w:val="00BC65B7"/>
    <w:rsid w:val="00BC67B2"/>
    <w:rsid w:val="00BC6C65"/>
    <w:rsid w:val="00BC6CC4"/>
    <w:rsid w:val="00BC734D"/>
    <w:rsid w:val="00BC73BB"/>
    <w:rsid w:val="00BD034D"/>
    <w:rsid w:val="00BD04BB"/>
    <w:rsid w:val="00BD0920"/>
    <w:rsid w:val="00BD0F60"/>
    <w:rsid w:val="00BD10A8"/>
    <w:rsid w:val="00BD11A0"/>
    <w:rsid w:val="00BD16F0"/>
    <w:rsid w:val="00BD1AF9"/>
    <w:rsid w:val="00BD1B4E"/>
    <w:rsid w:val="00BD26A6"/>
    <w:rsid w:val="00BD2759"/>
    <w:rsid w:val="00BD29A0"/>
    <w:rsid w:val="00BD2A74"/>
    <w:rsid w:val="00BD2DBD"/>
    <w:rsid w:val="00BD3192"/>
    <w:rsid w:val="00BD34A1"/>
    <w:rsid w:val="00BD3733"/>
    <w:rsid w:val="00BD3B11"/>
    <w:rsid w:val="00BD5257"/>
    <w:rsid w:val="00BD5734"/>
    <w:rsid w:val="00BD59C2"/>
    <w:rsid w:val="00BD5DF5"/>
    <w:rsid w:val="00BD5ECB"/>
    <w:rsid w:val="00BD5F30"/>
    <w:rsid w:val="00BD601A"/>
    <w:rsid w:val="00BD6616"/>
    <w:rsid w:val="00BD7060"/>
    <w:rsid w:val="00BD70C5"/>
    <w:rsid w:val="00BD7179"/>
    <w:rsid w:val="00BD7180"/>
    <w:rsid w:val="00BD78C8"/>
    <w:rsid w:val="00BD7AC2"/>
    <w:rsid w:val="00BD7CE6"/>
    <w:rsid w:val="00BE0509"/>
    <w:rsid w:val="00BE1236"/>
    <w:rsid w:val="00BE1B23"/>
    <w:rsid w:val="00BE1F90"/>
    <w:rsid w:val="00BE2054"/>
    <w:rsid w:val="00BE2206"/>
    <w:rsid w:val="00BE24A5"/>
    <w:rsid w:val="00BE25D7"/>
    <w:rsid w:val="00BE2649"/>
    <w:rsid w:val="00BE2C0E"/>
    <w:rsid w:val="00BE31E6"/>
    <w:rsid w:val="00BE34B9"/>
    <w:rsid w:val="00BE34FD"/>
    <w:rsid w:val="00BE40C8"/>
    <w:rsid w:val="00BE420E"/>
    <w:rsid w:val="00BE4AA8"/>
    <w:rsid w:val="00BE5905"/>
    <w:rsid w:val="00BE5A89"/>
    <w:rsid w:val="00BE5F2D"/>
    <w:rsid w:val="00BE6008"/>
    <w:rsid w:val="00BE673E"/>
    <w:rsid w:val="00BE6C56"/>
    <w:rsid w:val="00BE705D"/>
    <w:rsid w:val="00BE7491"/>
    <w:rsid w:val="00BE798A"/>
    <w:rsid w:val="00BE7A49"/>
    <w:rsid w:val="00BE7F09"/>
    <w:rsid w:val="00BF0212"/>
    <w:rsid w:val="00BF0237"/>
    <w:rsid w:val="00BF02B0"/>
    <w:rsid w:val="00BF040E"/>
    <w:rsid w:val="00BF04C3"/>
    <w:rsid w:val="00BF1063"/>
    <w:rsid w:val="00BF11AC"/>
    <w:rsid w:val="00BF2FFE"/>
    <w:rsid w:val="00BF350E"/>
    <w:rsid w:val="00BF3995"/>
    <w:rsid w:val="00BF3B4E"/>
    <w:rsid w:val="00BF3E15"/>
    <w:rsid w:val="00BF4289"/>
    <w:rsid w:val="00BF4E0B"/>
    <w:rsid w:val="00BF4F32"/>
    <w:rsid w:val="00BF52D2"/>
    <w:rsid w:val="00BF5AD0"/>
    <w:rsid w:val="00BF625C"/>
    <w:rsid w:val="00BF629F"/>
    <w:rsid w:val="00BF66AA"/>
    <w:rsid w:val="00BF6F3B"/>
    <w:rsid w:val="00BF7057"/>
    <w:rsid w:val="00BF70DC"/>
    <w:rsid w:val="00BF73BE"/>
    <w:rsid w:val="00BF7652"/>
    <w:rsid w:val="00BF7ADF"/>
    <w:rsid w:val="00C003A2"/>
    <w:rsid w:val="00C011BF"/>
    <w:rsid w:val="00C01224"/>
    <w:rsid w:val="00C014A1"/>
    <w:rsid w:val="00C01745"/>
    <w:rsid w:val="00C01A53"/>
    <w:rsid w:val="00C01E10"/>
    <w:rsid w:val="00C02704"/>
    <w:rsid w:val="00C02A99"/>
    <w:rsid w:val="00C02BD7"/>
    <w:rsid w:val="00C03351"/>
    <w:rsid w:val="00C03ADE"/>
    <w:rsid w:val="00C03E18"/>
    <w:rsid w:val="00C04711"/>
    <w:rsid w:val="00C047AA"/>
    <w:rsid w:val="00C05E35"/>
    <w:rsid w:val="00C06C51"/>
    <w:rsid w:val="00C0717F"/>
    <w:rsid w:val="00C07268"/>
    <w:rsid w:val="00C07626"/>
    <w:rsid w:val="00C078AB"/>
    <w:rsid w:val="00C07C8C"/>
    <w:rsid w:val="00C106CB"/>
    <w:rsid w:val="00C108BA"/>
    <w:rsid w:val="00C10F5A"/>
    <w:rsid w:val="00C11305"/>
    <w:rsid w:val="00C114DD"/>
    <w:rsid w:val="00C119D9"/>
    <w:rsid w:val="00C11C44"/>
    <w:rsid w:val="00C11F95"/>
    <w:rsid w:val="00C123A0"/>
    <w:rsid w:val="00C125E9"/>
    <w:rsid w:val="00C1263E"/>
    <w:rsid w:val="00C128E4"/>
    <w:rsid w:val="00C13219"/>
    <w:rsid w:val="00C134C0"/>
    <w:rsid w:val="00C1351E"/>
    <w:rsid w:val="00C136EB"/>
    <w:rsid w:val="00C13B25"/>
    <w:rsid w:val="00C13D0F"/>
    <w:rsid w:val="00C14253"/>
    <w:rsid w:val="00C143AE"/>
    <w:rsid w:val="00C146E2"/>
    <w:rsid w:val="00C149B1"/>
    <w:rsid w:val="00C14ACC"/>
    <w:rsid w:val="00C15346"/>
    <w:rsid w:val="00C1540F"/>
    <w:rsid w:val="00C15590"/>
    <w:rsid w:val="00C15816"/>
    <w:rsid w:val="00C15ADA"/>
    <w:rsid w:val="00C15CD8"/>
    <w:rsid w:val="00C16271"/>
    <w:rsid w:val="00C1646C"/>
    <w:rsid w:val="00C1653A"/>
    <w:rsid w:val="00C168C8"/>
    <w:rsid w:val="00C171C4"/>
    <w:rsid w:val="00C1748E"/>
    <w:rsid w:val="00C2012F"/>
    <w:rsid w:val="00C216A0"/>
    <w:rsid w:val="00C2176F"/>
    <w:rsid w:val="00C21B03"/>
    <w:rsid w:val="00C21B3A"/>
    <w:rsid w:val="00C21FE8"/>
    <w:rsid w:val="00C2200E"/>
    <w:rsid w:val="00C22956"/>
    <w:rsid w:val="00C22A3E"/>
    <w:rsid w:val="00C22B16"/>
    <w:rsid w:val="00C22BE2"/>
    <w:rsid w:val="00C22E98"/>
    <w:rsid w:val="00C22FC5"/>
    <w:rsid w:val="00C231B9"/>
    <w:rsid w:val="00C2375E"/>
    <w:rsid w:val="00C23C8B"/>
    <w:rsid w:val="00C23D3F"/>
    <w:rsid w:val="00C24493"/>
    <w:rsid w:val="00C246A5"/>
    <w:rsid w:val="00C24A6A"/>
    <w:rsid w:val="00C24DFB"/>
    <w:rsid w:val="00C25139"/>
    <w:rsid w:val="00C253EE"/>
    <w:rsid w:val="00C259C9"/>
    <w:rsid w:val="00C25B33"/>
    <w:rsid w:val="00C25BCE"/>
    <w:rsid w:val="00C261CC"/>
    <w:rsid w:val="00C26793"/>
    <w:rsid w:val="00C271FB"/>
    <w:rsid w:val="00C27258"/>
    <w:rsid w:val="00C27595"/>
    <w:rsid w:val="00C304A1"/>
    <w:rsid w:val="00C306D1"/>
    <w:rsid w:val="00C3099A"/>
    <w:rsid w:val="00C309C1"/>
    <w:rsid w:val="00C30FE9"/>
    <w:rsid w:val="00C31130"/>
    <w:rsid w:val="00C3116D"/>
    <w:rsid w:val="00C314D3"/>
    <w:rsid w:val="00C31CFD"/>
    <w:rsid w:val="00C3217F"/>
    <w:rsid w:val="00C321EA"/>
    <w:rsid w:val="00C32563"/>
    <w:rsid w:val="00C32616"/>
    <w:rsid w:val="00C337EF"/>
    <w:rsid w:val="00C341C5"/>
    <w:rsid w:val="00C34742"/>
    <w:rsid w:val="00C34B50"/>
    <w:rsid w:val="00C3565A"/>
    <w:rsid w:val="00C35701"/>
    <w:rsid w:val="00C35C30"/>
    <w:rsid w:val="00C35CE8"/>
    <w:rsid w:val="00C35DDE"/>
    <w:rsid w:val="00C36487"/>
    <w:rsid w:val="00C36A9C"/>
    <w:rsid w:val="00C36B0A"/>
    <w:rsid w:val="00C374CC"/>
    <w:rsid w:val="00C377E2"/>
    <w:rsid w:val="00C4026F"/>
    <w:rsid w:val="00C40DD1"/>
    <w:rsid w:val="00C40F0C"/>
    <w:rsid w:val="00C41064"/>
    <w:rsid w:val="00C418D8"/>
    <w:rsid w:val="00C41998"/>
    <w:rsid w:val="00C41E6C"/>
    <w:rsid w:val="00C4242E"/>
    <w:rsid w:val="00C42A16"/>
    <w:rsid w:val="00C42DAC"/>
    <w:rsid w:val="00C4334E"/>
    <w:rsid w:val="00C4363F"/>
    <w:rsid w:val="00C436E2"/>
    <w:rsid w:val="00C4379A"/>
    <w:rsid w:val="00C438BF"/>
    <w:rsid w:val="00C43A8B"/>
    <w:rsid w:val="00C43AC0"/>
    <w:rsid w:val="00C43D3A"/>
    <w:rsid w:val="00C43ECC"/>
    <w:rsid w:val="00C44157"/>
    <w:rsid w:val="00C44E27"/>
    <w:rsid w:val="00C451A4"/>
    <w:rsid w:val="00C4528E"/>
    <w:rsid w:val="00C455DF"/>
    <w:rsid w:val="00C45B03"/>
    <w:rsid w:val="00C45BA5"/>
    <w:rsid w:val="00C45D23"/>
    <w:rsid w:val="00C45E63"/>
    <w:rsid w:val="00C45E76"/>
    <w:rsid w:val="00C46313"/>
    <w:rsid w:val="00C4650C"/>
    <w:rsid w:val="00C465D4"/>
    <w:rsid w:val="00C4678B"/>
    <w:rsid w:val="00C46C12"/>
    <w:rsid w:val="00C46C29"/>
    <w:rsid w:val="00C46ED8"/>
    <w:rsid w:val="00C471DC"/>
    <w:rsid w:val="00C4735B"/>
    <w:rsid w:val="00C477C4"/>
    <w:rsid w:val="00C50160"/>
    <w:rsid w:val="00C50383"/>
    <w:rsid w:val="00C51153"/>
    <w:rsid w:val="00C513B8"/>
    <w:rsid w:val="00C5147F"/>
    <w:rsid w:val="00C516B1"/>
    <w:rsid w:val="00C519D2"/>
    <w:rsid w:val="00C5200D"/>
    <w:rsid w:val="00C5202C"/>
    <w:rsid w:val="00C52482"/>
    <w:rsid w:val="00C525D5"/>
    <w:rsid w:val="00C52AD9"/>
    <w:rsid w:val="00C535C3"/>
    <w:rsid w:val="00C53C78"/>
    <w:rsid w:val="00C54415"/>
    <w:rsid w:val="00C544EF"/>
    <w:rsid w:val="00C546F6"/>
    <w:rsid w:val="00C54824"/>
    <w:rsid w:val="00C54E8D"/>
    <w:rsid w:val="00C55007"/>
    <w:rsid w:val="00C55AAE"/>
    <w:rsid w:val="00C55E2C"/>
    <w:rsid w:val="00C55EE3"/>
    <w:rsid w:val="00C55F84"/>
    <w:rsid w:val="00C56064"/>
    <w:rsid w:val="00C56132"/>
    <w:rsid w:val="00C56425"/>
    <w:rsid w:val="00C5739F"/>
    <w:rsid w:val="00C573CA"/>
    <w:rsid w:val="00C57872"/>
    <w:rsid w:val="00C57C91"/>
    <w:rsid w:val="00C60679"/>
    <w:rsid w:val="00C60996"/>
    <w:rsid w:val="00C60ACE"/>
    <w:rsid w:val="00C60DA5"/>
    <w:rsid w:val="00C61227"/>
    <w:rsid w:val="00C6223C"/>
    <w:rsid w:val="00C625CB"/>
    <w:rsid w:val="00C62713"/>
    <w:rsid w:val="00C62B4C"/>
    <w:rsid w:val="00C62EF1"/>
    <w:rsid w:val="00C6319E"/>
    <w:rsid w:val="00C63340"/>
    <w:rsid w:val="00C6373B"/>
    <w:rsid w:val="00C6374A"/>
    <w:rsid w:val="00C63CA9"/>
    <w:rsid w:val="00C6406C"/>
    <w:rsid w:val="00C6477C"/>
    <w:rsid w:val="00C64DAB"/>
    <w:rsid w:val="00C64DD0"/>
    <w:rsid w:val="00C65700"/>
    <w:rsid w:val="00C6586E"/>
    <w:rsid w:val="00C658D1"/>
    <w:rsid w:val="00C65959"/>
    <w:rsid w:val="00C65B43"/>
    <w:rsid w:val="00C65BC9"/>
    <w:rsid w:val="00C65D5B"/>
    <w:rsid w:val="00C6657F"/>
    <w:rsid w:val="00C66759"/>
    <w:rsid w:val="00C668BD"/>
    <w:rsid w:val="00C66947"/>
    <w:rsid w:val="00C66C4B"/>
    <w:rsid w:val="00C66F7B"/>
    <w:rsid w:val="00C6717B"/>
    <w:rsid w:val="00C70191"/>
    <w:rsid w:val="00C7021B"/>
    <w:rsid w:val="00C70626"/>
    <w:rsid w:val="00C70C4E"/>
    <w:rsid w:val="00C70DCF"/>
    <w:rsid w:val="00C714CA"/>
    <w:rsid w:val="00C719FF"/>
    <w:rsid w:val="00C71C70"/>
    <w:rsid w:val="00C71D20"/>
    <w:rsid w:val="00C724B3"/>
    <w:rsid w:val="00C72630"/>
    <w:rsid w:val="00C72FFE"/>
    <w:rsid w:val="00C730D8"/>
    <w:rsid w:val="00C73428"/>
    <w:rsid w:val="00C73748"/>
    <w:rsid w:val="00C73F8F"/>
    <w:rsid w:val="00C74493"/>
    <w:rsid w:val="00C745E2"/>
    <w:rsid w:val="00C747D6"/>
    <w:rsid w:val="00C7486F"/>
    <w:rsid w:val="00C74992"/>
    <w:rsid w:val="00C760F5"/>
    <w:rsid w:val="00C76840"/>
    <w:rsid w:val="00C77577"/>
    <w:rsid w:val="00C77E37"/>
    <w:rsid w:val="00C8032A"/>
    <w:rsid w:val="00C806EF"/>
    <w:rsid w:val="00C80808"/>
    <w:rsid w:val="00C80F64"/>
    <w:rsid w:val="00C812D1"/>
    <w:rsid w:val="00C81DCB"/>
    <w:rsid w:val="00C81F6B"/>
    <w:rsid w:val="00C8291F"/>
    <w:rsid w:val="00C8304F"/>
    <w:rsid w:val="00C8414E"/>
    <w:rsid w:val="00C845B2"/>
    <w:rsid w:val="00C84A4E"/>
    <w:rsid w:val="00C84ABC"/>
    <w:rsid w:val="00C84EDC"/>
    <w:rsid w:val="00C853A5"/>
    <w:rsid w:val="00C86491"/>
    <w:rsid w:val="00C877AB"/>
    <w:rsid w:val="00C9048B"/>
    <w:rsid w:val="00C90D75"/>
    <w:rsid w:val="00C90E40"/>
    <w:rsid w:val="00C910F5"/>
    <w:rsid w:val="00C91441"/>
    <w:rsid w:val="00C91921"/>
    <w:rsid w:val="00C9196E"/>
    <w:rsid w:val="00C91B75"/>
    <w:rsid w:val="00C92886"/>
    <w:rsid w:val="00C92D8E"/>
    <w:rsid w:val="00C92E25"/>
    <w:rsid w:val="00C93334"/>
    <w:rsid w:val="00C935C5"/>
    <w:rsid w:val="00C937BD"/>
    <w:rsid w:val="00C93A09"/>
    <w:rsid w:val="00C9444F"/>
    <w:rsid w:val="00C947F5"/>
    <w:rsid w:val="00C94E04"/>
    <w:rsid w:val="00C952E1"/>
    <w:rsid w:val="00C955BD"/>
    <w:rsid w:val="00C955CB"/>
    <w:rsid w:val="00C9592C"/>
    <w:rsid w:val="00C959C5"/>
    <w:rsid w:val="00C95AD1"/>
    <w:rsid w:val="00C95BC3"/>
    <w:rsid w:val="00C95E79"/>
    <w:rsid w:val="00C96007"/>
    <w:rsid w:val="00C96550"/>
    <w:rsid w:val="00C96AB7"/>
    <w:rsid w:val="00C96F2E"/>
    <w:rsid w:val="00C97E34"/>
    <w:rsid w:val="00C97ED7"/>
    <w:rsid w:val="00C97EF5"/>
    <w:rsid w:val="00CA0027"/>
    <w:rsid w:val="00CA0E03"/>
    <w:rsid w:val="00CA1410"/>
    <w:rsid w:val="00CA16C4"/>
    <w:rsid w:val="00CA22D5"/>
    <w:rsid w:val="00CA25FB"/>
    <w:rsid w:val="00CA282D"/>
    <w:rsid w:val="00CA2D24"/>
    <w:rsid w:val="00CA2DDB"/>
    <w:rsid w:val="00CA2F3E"/>
    <w:rsid w:val="00CA3612"/>
    <w:rsid w:val="00CA3BB3"/>
    <w:rsid w:val="00CA3CF7"/>
    <w:rsid w:val="00CA3EE1"/>
    <w:rsid w:val="00CA4329"/>
    <w:rsid w:val="00CA54CB"/>
    <w:rsid w:val="00CA58C0"/>
    <w:rsid w:val="00CA59F5"/>
    <w:rsid w:val="00CA5C4C"/>
    <w:rsid w:val="00CA62D3"/>
    <w:rsid w:val="00CA6573"/>
    <w:rsid w:val="00CA6724"/>
    <w:rsid w:val="00CA781E"/>
    <w:rsid w:val="00CA78F1"/>
    <w:rsid w:val="00CA7DFD"/>
    <w:rsid w:val="00CB041F"/>
    <w:rsid w:val="00CB047A"/>
    <w:rsid w:val="00CB09E7"/>
    <w:rsid w:val="00CB0BE5"/>
    <w:rsid w:val="00CB0C2F"/>
    <w:rsid w:val="00CB0E7C"/>
    <w:rsid w:val="00CB162A"/>
    <w:rsid w:val="00CB2236"/>
    <w:rsid w:val="00CB2568"/>
    <w:rsid w:val="00CB27B1"/>
    <w:rsid w:val="00CB27F5"/>
    <w:rsid w:val="00CB298C"/>
    <w:rsid w:val="00CB2D4C"/>
    <w:rsid w:val="00CB3ADA"/>
    <w:rsid w:val="00CB3E8D"/>
    <w:rsid w:val="00CB408C"/>
    <w:rsid w:val="00CB4BBF"/>
    <w:rsid w:val="00CB4C1D"/>
    <w:rsid w:val="00CB50E1"/>
    <w:rsid w:val="00CB595C"/>
    <w:rsid w:val="00CB5CF4"/>
    <w:rsid w:val="00CB5DAB"/>
    <w:rsid w:val="00CB5F35"/>
    <w:rsid w:val="00CB63A5"/>
    <w:rsid w:val="00CB68DD"/>
    <w:rsid w:val="00CB691B"/>
    <w:rsid w:val="00CB745C"/>
    <w:rsid w:val="00CB7798"/>
    <w:rsid w:val="00CC017E"/>
    <w:rsid w:val="00CC0A97"/>
    <w:rsid w:val="00CC0BD2"/>
    <w:rsid w:val="00CC0E2A"/>
    <w:rsid w:val="00CC103A"/>
    <w:rsid w:val="00CC18B8"/>
    <w:rsid w:val="00CC295B"/>
    <w:rsid w:val="00CC299A"/>
    <w:rsid w:val="00CC2C5B"/>
    <w:rsid w:val="00CC3B2F"/>
    <w:rsid w:val="00CC3E68"/>
    <w:rsid w:val="00CC42DF"/>
    <w:rsid w:val="00CC4D36"/>
    <w:rsid w:val="00CC4D91"/>
    <w:rsid w:val="00CC5D65"/>
    <w:rsid w:val="00CC6728"/>
    <w:rsid w:val="00CC6C8E"/>
    <w:rsid w:val="00CC77FB"/>
    <w:rsid w:val="00CC7F44"/>
    <w:rsid w:val="00CD0301"/>
    <w:rsid w:val="00CD04D2"/>
    <w:rsid w:val="00CD04E1"/>
    <w:rsid w:val="00CD0CE8"/>
    <w:rsid w:val="00CD0D15"/>
    <w:rsid w:val="00CD13B3"/>
    <w:rsid w:val="00CD16F7"/>
    <w:rsid w:val="00CD19D6"/>
    <w:rsid w:val="00CD21C0"/>
    <w:rsid w:val="00CD2346"/>
    <w:rsid w:val="00CD24C1"/>
    <w:rsid w:val="00CD24E4"/>
    <w:rsid w:val="00CD2815"/>
    <w:rsid w:val="00CD29E5"/>
    <w:rsid w:val="00CD33C1"/>
    <w:rsid w:val="00CD33DC"/>
    <w:rsid w:val="00CD3668"/>
    <w:rsid w:val="00CD37C5"/>
    <w:rsid w:val="00CD38A9"/>
    <w:rsid w:val="00CD3AB8"/>
    <w:rsid w:val="00CD3E92"/>
    <w:rsid w:val="00CD508C"/>
    <w:rsid w:val="00CD5643"/>
    <w:rsid w:val="00CD5745"/>
    <w:rsid w:val="00CD621E"/>
    <w:rsid w:val="00CD6691"/>
    <w:rsid w:val="00CD683F"/>
    <w:rsid w:val="00CD68FC"/>
    <w:rsid w:val="00CD6F4B"/>
    <w:rsid w:val="00CD705B"/>
    <w:rsid w:val="00CD7292"/>
    <w:rsid w:val="00CD7321"/>
    <w:rsid w:val="00CD75CC"/>
    <w:rsid w:val="00CE04B6"/>
    <w:rsid w:val="00CE0C88"/>
    <w:rsid w:val="00CE0CF7"/>
    <w:rsid w:val="00CE0D32"/>
    <w:rsid w:val="00CE1004"/>
    <w:rsid w:val="00CE10E3"/>
    <w:rsid w:val="00CE10FD"/>
    <w:rsid w:val="00CE121E"/>
    <w:rsid w:val="00CE12CA"/>
    <w:rsid w:val="00CE164D"/>
    <w:rsid w:val="00CE1692"/>
    <w:rsid w:val="00CE18B7"/>
    <w:rsid w:val="00CE1D2E"/>
    <w:rsid w:val="00CE1E92"/>
    <w:rsid w:val="00CE1F24"/>
    <w:rsid w:val="00CE2366"/>
    <w:rsid w:val="00CE333C"/>
    <w:rsid w:val="00CE3611"/>
    <w:rsid w:val="00CE3A26"/>
    <w:rsid w:val="00CE40E6"/>
    <w:rsid w:val="00CE421B"/>
    <w:rsid w:val="00CE453D"/>
    <w:rsid w:val="00CE49BE"/>
    <w:rsid w:val="00CE4EB4"/>
    <w:rsid w:val="00CE5141"/>
    <w:rsid w:val="00CE5142"/>
    <w:rsid w:val="00CE5448"/>
    <w:rsid w:val="00CE5548"/>
    <w:rsid w:val="00CE55C8"/>
    <w:rsid w:val="00CE5650"/>
    <w:rsid w:val="00CE7381"/>
    <w:rsid w:val="00CE749F"/>
    <w:rsid w:val="00CE788B"/>
    <w:rsid w:val="00CE7B93"/>
    <w:rsid w:val="00CE7EF6"/>
    <w:rsid w:val="00CE7F44"/>
    <w:rsid w:val="00CF071C"/>
    <w:rsid w:val="00CF0863"/>
    <w:rsid w:val="00CF0B71"/>
    <w:rsid w:val="00CF0BF7"/>
    <w:rsid w:val="00CF0E0E"/>
    <w:rsid w:val="00CF0FFF"/>
    <w:rsid w:val="00CF184A"/>
    <w:rsid w:val="00CF1877"/>
    <w:rsid w:val="00CF1E43"/>
    <w:rsid w:val="00CF2C11"/>
    <w:rsid w:val="00CF2EA0"/>
    <w:rsid w:val="00CF31DB"/>
    <w:rsid w:val="00CF385F"/>
    <w:rsid w:val="00CF3FCC"/>
    <w:rsid w:val="00CF43A8"/>
    <w:rsid w:val="00CF4458"/>
    <w:rsid w:val="00CF4567"/>
    <w:rsid w:val="00CF51BE"/>
    <w:rsid w:val="00CF5859"/>
    <w:rsid w:val="00CF59BB"/>
    <w:rsid w:val="00CF5C90"/>
    <w:rsid w:val="00CF5D05"/>
    <w:rsid w:val="00CF5D9A"/>
    <w:rsid w:val="00CF5F42"/>
    <w:rsid w:val="00CF6112"/>
    <w:rsid w:val="00CF65D6"/>
    <w:rsid w:val="00CF67FA"/>
    <w:rsid w:val="00CF694D"/>
    <w:rsid w:val="00CF6F41"/>
    <w:rsid w:val="00CF72A4"/>
    <w:rsid w:val="00CF72E9"/>
    <w:rsid w:val="00CF759B"/>
    <w:rsid w:val="00CF76B2"/>
    <w:rsid w:val="00CF77C6"/>
    <w:rsid w:val="00CF79F2"/>
    <w:rsid w:val="00CF7D1B"/>
    <w:rsid w:val="00D00050"/>
    <w:rsid w:val="00D00600"/>
    <w:rsid w:val="00D0071B"/>
    <w:rsid w:val="00D00C2F"/>
    <w:rsid w:val="00D00E88"/>
    <w:rsid w:val="00D01132"/>
    <w:rsid w:val="00D01A33"/>
    <w:rsid w:val="00D01F43"/>
    <w:rsid w:val="00D020DF"/>
    <w:rsid w:val="00D02202"/>
    <w:rsid w:val="00D0251F"/>
    <w:rsid w:val="00D03213"/>
    <w:rsid w:val="00D0374E"/>
    <w:rsid w:val="00D0380B"/>
    <w:rsid w:val="00D03EDE"/>
    <w:rsid w:val="00D041C7"/>
    <w:rsid w:val="00D0487E"/>
    <w:rsid w:val="00D050B7"/>
    <w:rsid w:val="00D05147"/>
    <w:rsid w:val="00D056CB"/>
    <w:rsid w:val="00D057B8"/>
    <w:rsid w:val="00D06987"/>
    <w:rsid w:val="00D06AB8"/>
    <w:rsid w:val="00D072C7"/>
    <w:rsid w:val="00D07477"/>
    <w:rsid w:val="00D10666"/>
    <w:rsid w:val="00D10694"/>
    <w:rsid w:val="00D109A9"/>
    <w:rsid w:val="00D11034"/>
    <w:rsid w:val="00D119D3"/>
    <w:rsid w:val="00D11D94"/>
    <w:rsid w:val="00D1233A"/>
    <w:rsid w:val="00D1275B"/>
    <w:rsid w:val="00D12F07"/>
    <w:rsid w:val="00D13362"/>
    <w:rsid w:val="00D1360F"/>
    <w:rsid w:val="00D139AD"/>
    <w:rsid w:val="00D13F5B"/>
    <w:rsid w:val="00D141F6"/>
    <w:rsid w:val="00D1452B"/>
    <w:rsid w:val="00D149A8"/>
    <w:rsid w:val="00D1504D"/>
    <w:rsid w:val="00D15D5E"/>
    <w:rsid w:val="00D16E62"/>
    <w:rsid w:val="00D16FDC"/>
    <w:rsid w:val="00D17174"/>
    <w:rsid w:val="00D17533"/>
    <w:rsid w:val="00D178BC"/>
    <w:rsid w:val="00D17F89"/>
    <w:rsid w:val="00D20346"/>
    <w:rsid w:val="00D20B3D"/>
    <w:rsid w:val="00D212E7"/>
    <w:rsid w:val="00D214E9"/>
    <w:rsid w:val="00D21F32"/>
    <w:rsid w:val="00D2211E"/>
    <w:rsid w:val="00D2241A"/>
    <w:rsid w:val="00D2268E"/>
    <w:rsid w:val="00D22DC6"/>
    <w:rsid w:val="00D22E6A"/>
    <w:rsid w:val="00D2307D"/>
    <w:rsid w:val="00D2377E"/>
    <w:rsid w:val="00D23BAE"/>
    <w:rsid w:val="00D24552"/>
    <w:rsid w:val="00D2464E"/>
    <w:rsid w:val="00D24724"/>
    <w:rsid w:val="00D247BF"/>
    <w:rsid w:val="00D247CC"/>
    <w:rsid w:val="00D24830"/>
    <w:rsid w:val="00D248A7"/>
    <w:rsid w:val="00D25738"/>
    <w:rsid w:val="00D26069"/>
    <w:rsid w:val="00D26CF1"/>
    <w:rsid w:val="00D26DAF"/>
    <w:rsid w:val="00D26ED3"/>
    <w:rsid w:val="00D270F5"/>
    <w:rsid w:val="00D2746E"/>
    <w:rsid w:val="00D27476"/>
    <w:rsid w:val="00D274FC"/>
    <w:rsid w:val="00D27A4A"/>
    <w:rsid w:val="00D27E51"/>
    <w:rsid w:val="00D27F86"/>
    <w:rsid w:val="00D3019A"/>
    <w:rsid w:val="00D304E9"/>
    <w:rsid w:val="00D305BE"/>
    <w:rsid w:val="00D30FD7"/>
    <w:rsid w:val="00D31151"/>
    <w:rsid w:val="00D311F8"/>
    <w:rsid w:val="00D3170F"/>
    <w:rsid w:val="00D31780"/>
    <w:rsid w:val="00D31A8E"/>
    <w:rsid w:val="00D32133"/>
    <w:rsid w:val="00D32374"/>
    <w:rsid w:val="00D32DB4"/>
    <w:rsid w:val="00D33227"/>
    <w:rsid w:val="00D3358E"/>
    <w:rsid w:val="00D335AC"/>
    <w:rsid w:val="00D33A52"/>
    <w:rsid w:val="00D34594"/>
    <w:rsid w:val="00D3574A"/>
    <w:rsid w:val="00D366E1"/>
    <w:rsid w:val="00D36719"/>
    <w:rsid w:val="00D36893"/>
    <w:rsid w:val="00D36A89"/>
    <w:rsid w:val="00D36B60"/>
    <w:rsid w:val="00D36CC8"/>
    <w:rsid w:val="00D37895"/>
    <w:rsid w:val="00D3789B"/>
    <w:rsid w:val="00D37A58"/>
    <w:rsid w:val="00D37D97"/>
    <w:rsid w:val="00D4001A"/>
    <w:rsid w:val="00D4011C"/>
    <w:rsid w:val="00D403A4"/>
    <w:rsid w:val="00D403C4"/>
    <w:rsid w:val="00D40557"/>
    <w:rsid w:val="00D40C68"/>
    <w:rsid w:val="00D40D82"/>
    <w:rsid w:val="00D40E6D"/>
    <w:rsid w:val="00D4121E"/>
    <w:rsid w:val="00D41A3A"/>
    <w:rsid w:val="00D41B78"/>
    <w:rsid w:val="00D41D0F"/>
    <w:rsid w:val="00D420F5"/>
    <w:rsid w:val="00D42195"/>
    <w:rsid w:val="00D424A3"/>
    <w:rsid w:val="00D4277A"/>
    <w:rsid w:val="00D427B3"/>
    <w:rsid w:val="00D42864"/>
    <w:rsid w:val="00D428BD"/>
    <w:rsid w:val="00D43286"/>
    <w:rsid w:val="00D4358D"/>
    <w:rsid w:val="00D43E91"/>
    <w:rsid w:val="00D4407A"/>
    <w:rsid w:val="00D44569"/>
    <w:rsid w:val="00D447E7"/>
    <w:rsid w:val="00D44812"/>
    <w:rsid w:val="00D44957"/>
    <w:rsid w:val="00D46191"/>
    <w:rsid w:val="00D4633A"/>
    <w:rsid w:val="00D46517"/>
    <w:rsid w:val="00D46AA7"/>
    <w:rsid w:val="00D46ABF"/>
    <w:rsid w:val="00D46F7F"/>
    <w:rsid w:val="00D46FF9"/>
    <w:rsid w:val="00D50539"/>
    <w:rsid w:val="00D5054C"/>
    <w:rsid w:val="00D506F6"/>
    <w:rsid w:val="00D50724"/>
    <w:rsid w:val="00D50DB2"/>
    <w:rsid w:val="00D50DDD"/>
    <w:rsid w:val="00D51481"/>
    <w:rsid w:val="00D51791"/>
    <w:rsid w:val="00D51E9F"/>
    <w:rsid w:val="00D5286D"/>
    <w:rsid w:val="00D52D24"/>
    <w:rsid w:val="00D530A9"/>
    <w:rsid w:val="00D5312F"/>
    <w:rsid w:val="00D53695"/>
    <w:rsid w:val="00D5379F"/>
    <w:rsid w:val="00D53A10"/>
    <w:rsid w:val="00D53F31"/>
    <w:rsid w:val="00D543A1"/>
    <w:rsid w:val="00D54983"/>
    <w:rsid w:val="00D54DB2"/>
    <w:rsid w:val="00D55805"/>
    <w:rsid w:val="00D55A3B"/>
    <w:rsid w:val="00D55DA9"/>
    <w:rsid w:val="00D55E15"/>
    <w:rsid w:val="00D56231"/>
    <w:rsid w:val="00D56338"/>
    <w:rsid w:val="00D56779"/>
    <w:rsid w:val="00D56C2B"/>
    <w:rsid w:val="00D56FB4"/>
    <w:rsid w:val="00D572F7"/>
    <w:rsid w:val="00D575B5"/>
    <w:rsid w:val="00D57B1C"/>
    <w:rsid w:val="00D57D5E"/>
    <w:rsid w:val="00D57ED7"/>
    <w:rsid w:val="00D60185"/>
    <w:rsid w:val="00D60309"/>
    <w:rsid w:val="00D60B8E"/>
    <w:rsid w:val="00D60D98"/>
    <w:rsid w:val="00D60DD3"/>
    <w:rsid w:val="00D60F42"/>
    <w:rsid w:val="00D60F8B"/>
    <w:rsid w:val="00D610F1"/>
    <w:rsid w:val="00D6124B"/>
    <w:rsid w:val="00D619D6"/>
    <w:rsid w:val="00D61B63"/>
    <w:rsid w:val="00D62026"/>
    <w:rsid w:val="00D6202F"/>
    <w:rsid w:val="00D627EF"/>
    <w:rsid w:val="00D63CA0"/>
    <w:rsid w:val="00D63D09"/>
    <w:rsid w:val="00D64137"/>
    <w:rsid w:val="00D645FF"/>
    <w:rsid w:val="00D647FE"/>
    <w:rsid w:val="00D64D12"/>
    <w:rsid w:val="00D657AE"/>
    <w:rsid w:val="00D65F9E"/>
    <w:rsid w:val="00D66182"/>
    <w:rsid w:val="00D66BA9"/>
    <w:rsid w:val="00D67B2A"/>
    <w:rsid w:val="00D70AD7"/>
    <w:rsid w:val="00D70C32"/>
    <w:rsid w:val="00D70FD9"/>
    <w:rsid w:val="00D71CA8"/>
    <w:rsid w:val="00D72080"/>
    <w:rsid w:val="00D7224D"/>
    <w:rsid w:val="00D72300"/>
    <w:rsid w:val="00D72387"/>
    <w:rsid w:val="00D72695"/>
    <w:rsid w:val="00D72A22"/>
    <w:rsid w:val="00D730CF"/>
    <w:rsid w:val="00D73159"/>
    <w:rsid w:val="00D7328B"/>
    <w:rsid w:val="00D7346F"/>
    <w:rsid w:val="00D7359D"/>
    <w:rsid w:val="00D73B82"/>
    <w:rsid w:val="00D73F9B"/>
    <w:rsid w:val="00D74381"/>
    <w:rsid w:val="00D7470A"/>
    <w:rsid w:val="00D748AC"/>
    <w:rsid w:val="00D7579F"/>
    <w:rsid w:val="00D758A1"/>
    <w:rsid w:val="00D75D1D"/>
    <w:rsid w:val="00D75DD9"/>
    <w:rsid w:val="00D75DFD"/>
    <w:rsid w:val="00D76B0A"/>
    <w:rsid w:val="00D772DC"/>
    <w:rsid w:val="00D7736B"/>
    <w:rsid w:val="00D77EA8"/>
    <w:rsid w:val="00D80002"/>
    <w:rsid w:val="00D804D3"/>
    <w:rsid w:val="00D811CE"/>
    <w:rsid w:val="00D81809"/>
    <w:rsid w:val="00D8197F"/>
    <w:rsid w:val="00D81B32"/>
    <w:rsid w:val="00D81D3E"/>
    <w:rsid w:val="00D81FF1"/>
    <w:rsid w:val="00D82470"/>
    <w:rsid w:val="00D8285C"/>
    <w:rsid w:val="00D828CD"/>
    <w:rsid w:val="00D83B8C"/>
    <w:rsid w:val="00D83E91"/>
    <w:rsid w:val="00D844BC"/>
    <w:rsid w:val="00D84572"/>
    <w:rsid w:val="00D84892"/>
    <w:rsid w:val="00D84A6B"/>
    <w:rsid w:val="00D84E73"/>
    <w:rsid w:val="00D85135"/>
    <w:rsid w:val="00D85B14"/>
    <w:rsid w:val="00D861AE"/>
    <w:rsid w:val="00D86784"/>
    <w:rsid w:val="00D8716A"/>
    <w:rsid w:val="00D87269"/>
    <w:rsid w:val="00D8793E"/>
    <w:rsid w:val="00D90A3C"/>
    <w:rsid w:val="00D90FDD"/>
    <w:rsid w:val="00D9128A"/>
    <w:rsid w:val="00D91591"/>
    <w:rsid w:val="00D91A14"/>
    <w:rsid w:val="00D91B4C"/>
    <w:rsid w:val="00D91CC1"/>
    <w:rsid w:val="00D91CFC"/>
    <w:rsid w:val="00D92368"/>
    <w:rsid w:val="00D924CF"/>
    <w:rsid w:val="00D932C6"/>
    <w:rsid w:val="00D93550"/>
    <w:rsid w:val="00D938BB"/>
    <w:rsid w:val="00D93BE3"/>
    <w:rsid w:val="00D93C72"/>
    <w:rsid w:val="00D93D79"/>
    <w:rsid w:val="00D93F24"/>
    <w:rsid w:val="00D94831"/>
    <w:rsid w:val="00D94A71"/>
    <w:rsid w:val="00D95048"/>
    <w:rsid w:val="00D95646"/>
    <w:rsid w:val="00D95973"/>
    <w:rsid w:val="00D95B11"/>
    <w:rsid w:val="00D95E95"/>
    <w:rsid w:val="00D96211"/>
    <w:rsid w:val="00D963C1"/>
    <w:rsid w:val="00D97B21"/>
    <w:rsid w:val="00D97FA6"/>
    <w:rsid w:val="00DA0039"/>
    <w:rsid w:val="00DA01CF"/>
    <w:rsid w:val="00DA01FF"/>
    <w:rsid w:val="00DA055B"/>
    <w:rsid w:val="00DA0948"/>
    <w:rsid w:val="00DA0A27"/>
    <w:rsid w:val="00DA0FD9"/>
    <w:rsid w:val="00DA116A"/>
    <w:rsid w:val="00DA1419"/>
    <w:rsid w:val="00DA17C6"/>
    <w:rsid w:val="00DA1BD2"/>
    <w:rsid w:val="00DA1DED"/>
    <w:rsid w:val="00DA1EE1"/>
    <w:rsid w:val="00DA2590"/>
    <w:rsid w:val="00DA27AA"/>
    <w:rsid w:val="00DA285C"/>
    <w:rsid w:val="00DA3FD8"/>
    <w:rsid w:val="00DA41CF"/>
    <w:rsid w:val="00DA4251"/>
    <w:rsid w:val="00DA49E7"/>
    <w:rsid w:val="00DA52D2"/>
    <w:rsid w:val="00DA56D9"/>
    <w:rsid w:val="00DA577C"/>
    <w:rsid w:val="00DA60C6"/>
    <w:rsid w:val="00DA612B"/>
    <w:rsid w:val="00DA633D"/>
    <w:rsid w:val="00DA64F7"/>
    <w:rsid w:val="00DA6667"/>
    <w:rsid w:val="00DA67E7"/>
    <w:rsid w:val="00DA6B6D"/>
    <w:rsid w:val="00DA6EDB"/>
    <w:rsid w:val="00DA706C"/>
    <w:rsid w:val="00DA79E5"/>
    <w:rsid w:val="00DA7D4A"/>
    <w:rsid w:val="00DA7F4D"/>
    <w:rsid w:val="00DB041B"/>
    <w:rsid w:val="00DB05BD"/>
    <w:rsid w:val="00DB0EF2"/>
    <w:rsid w:val="00DB11BB"/>
    <w:rsid w:val="00DB20D2"/>
    <w:rsid w:val="00DB2552"/>
    <w:rsid w:val="00DB25D7"/>
    <w:rsid w:val="00DB27AF"/>
    <w:rsid w:val="00DB2B10"/>
    <w:rsid w:val="00DB2BBB"/>
    <w:rsid w:val="00DB32AA"/>
    <w:rsid w:val="00DB364E"/>
    <w:rsid w:val="00DB3BF3"/>
    <w:rsid w:val="00DB4166"/>
    <w:rsid w:val="00DB43B1"/>
    <w:rsid w:val="00DB4655"/>
    <w:rsid w:val="00DB49B1"/>
    <w:rsid w:val="00DB5279"/>
    <w:rsid w:val="00DB52F2"/>
    <w:rsid w:val="00DB5584"/>
    <w:rsid w:val="00DB5614"/>
    <w:rsid w:val="00DB5D41"/>
    <w:rsid w:val="00DB5ECD"/>
    <w:rsid w:val="00DB7275"/>
    <w:rsid w:val="00DB75BD"/>
    <w:rsid w:val="00DB7D3C"/>
    <w:rsid w:val="00DC0D76"/>
    <w:rsid w:val="00DC0E67"/>
    <w:rsid w:val="00DC0F89"/>
    <w:rsid w:val="00DC1000"/>
    <w:rsid w:val="00DC1725"/>
    <w:rsid w:val="00DC1A1F"/>
    <w:rsid w:val="00DC26B8"/>
    <w:rsid w:val="00DC281F"/>
    <w:rsid w:val="00DC2E0F"/>
    <w:rsid w:val="00DC35BE"/>
    <w:rsid w:val="00DC3841"/>
    <w:rsid w:val="00DC3A04"/>
    <w:rsid w:val="00DC430C"/>
    <w:rsid w:val="00DC44F5"/>
    <w:rsid w:val="00DC4CF0"/>
    <w:rsid w:val="00DC531B"/>
    <w:rsid w:val="00DC55CA"/>
    <w:rsid w:val="00DC5D80"/>
    <w:rsid w:val="00DC5F9D"/>
    <w:rsid w:val="00DC6025"/>
    <w:rsid w:val="00DC6673"/>
    <w:rsid w:val="00DC66CB"/>
    <w:rsid w:val="00DC6CFF"/>
    <w:rsid w:val="00DC74D5"/>
    <w:rsid w:val="00DD0562"/>
    <w:rsid w:val="00DD05E2"/>
    <w:rsid w:val="00DD080B"/>
    <w:rsid w:val="00DD0828"/>
    <w:rsid w:val="00DD0AA1"/>
    <w:rsid w:val="00DD0C73"/>
    <w:rsid w:val="00DD0E9E"/>
    <w:rsid w:val="00DD1187"/>
    <w:rsid w:val="00DD1CD8"/>
    <w:rsid w:val="00DD1DB7"/>
    <w:rsid w:val="00DD20C0"/>
    <w:rsid w:val="00DD2D6F"/>
    <w:rsid w:val="00DD3448"/>
    <w:rsid w:val="00DD3B7B"/>
    <w:rsid w:val="00DD3BB2"/>
    <w:rsid w:val="00DD4B2E"/>
    <w:rsid w:val="00DD522E"/>
    <w:rsid w:val="00DD53BC"/>
    <w:rsid w:val="00DD58DD"/>
    <w:rsid w:val="00DD643D"/>
    <w:rsid w:val="00DD6626"/>
    <w:rsid w:val="00DD682D"/>
    <w:rsid w:val="00DD6EE1"/>
    <w:rsid w:val="00DD7059"/>
    <w:rsid w:val="00DD73FB"/>
    <w:rsid w:val="00DD7514"/>
    <w:rsid w:val="00DD7FCE"/>
    <w:rsid w:val="00DE025A"/>
    <w:rsid w:val="00DE03AD"/>
    <w:rsid w:val="00DE09D0"/>
    <w:rsid w:val="00DE1267"/>
    <w:rsid w:val="00DE15DE"/>
    <w:rsid w:val="00DE1D26"/>
    <w:rsid w:val="00DE1FF7"/>
    <w:rsid w:val="00DE21B2"/>
    <w:rsid w:val="00DE2493"/>
    <w:rsid w:val="00DE2556"/>
    <w:rsid w:val="00DE2980"/>
    <w:rsid w:val="00DE2CF3"/>
    <w:rsid w:val="00DE33A4"/>
    <w:rsid w:val="00DE3684"/>
    <w:rsid w:val="00DE3A68"/>
    <w:rsid w:val="00DE3AD7"/>
    <w:rsid w:val="00DE3EF9"/>
    <w:rsid w:val="00DE45D7"/>
    <w:rsid w:val="00DE4A8C"/>
    <w:rsid w:val="00DE53E6"/>
    <w:rsid w:val="00DE68C3"/>
    <w:rsid w:val="00DE6C48"/>
    <w:rsid w:val="00DE6F9E"/>
    <w:rsid w:val="00DE71C9"/>
    <w:rsid w:val="00DE7274"/>
    <w:rsid w:val="00DE7649"/>
    <w:rsid w:val="00DE79E3"/>
    <w:rsid w:val="00DE7D3A"/>
    <w:rsid w:val="00DF0119"/>
    <w:rsid w:val="00DF03E3"/>
    <w:rsid w:val="00DF0BD8"/>
    <w:rsid w:val="00DF16F5"/>
    <w:rsid w:val="00DF1E1D"/>
    <w:rsid w:val="00DF2753"/>
    <w:rsid w:val="00DF2DD1"/>
    <w:rsid w:val="00DF3675"/>
    <w:rsid w:val="00DF36B5"/>
    <w:rsid w:val="00DF3E03"/>
    <w:rsid w:val="00DF3FC8"/>
    <w:rsid w:val="00DF5397"/>
    <w:rsid w:val="00DF56A1"/>
    <w:rsid w:val="00DF57D4"/>
    <w:rsid w:val="00DF5A0F"/>
    <w:rsid w:val="00DF5AD8"/>
    <w:rsid w:val="00DF61E6"/>
    <w:rsid w:val="00DF6290"/>
    <w:rsid w:val="00DF69FD"/>
    <w:rsid w:val="00DF6D86"/>
    <w:rsid w:val="00DF6F54"/>
    <w:rsid w:val="00DF746C"/>
    <w:rsid w:val="00DF7749"/>
    <w:rsid w:val="00DF7AA7"/>
    <w:rsid w:val="00DF7E0C"/>
    <w:rsid w:val="00E001A1"/>
    <w:rsid w:val="00E00394"/>
    <w:rsid w:val="00E00689"/>
    <w:rsid w:val="00E00AD1"/>
    <w:rsid w:val="00E00B6C"/>
    <w:rsid w:val="00E00D1A"/>
    <w:rsid w:val="00E016C9"/>
    <w:rsid w:val="00E01D27"/>
    <w:rsid w:val="00E01DC3"/>
    <w:rsid w:val="00E028E1"/>
    <w:rsid w:val="00E029A0"/>
    <w:rsid w:val="00E02A12"/>
    <w:rsid w:val="00E03701"/>
    <w:rsid w:val="00E038DA"/>
    <w:rsid w:val="00E03AA1"/>
    <w:rsid w:val="00E0488A"/>
    <w:rsid w:val="00E057A7"/>
    <w:rsid w:val="00E05DD3"/>
    <w:rsid w:val="00E05EFD"/>
    <w:rsid w:val="00E0601B"/>
    <w:rsid w:val="00E063B7"/>
    <w:rsid w:val="00E06902"/>
    <w:rsid w:val="00E06B7A"/>
    <w:rsid w:val="00E06D36"/>
    <w:rsid w:val="00E077F9"/>
    <w:rsid w:val="00E07B4B"/>
    <w:rsid w:val="00E10410"/>
    <w:rsid w:val="00E108AB"/>
    <w:rsid w:val="00E10AAF"/>
    <w:rsid w:val="00E10E6A"/>
    <w:rsid w:val="00E122F6"/>
    <w:rsid w:val="00E126AE"/>
    <w:rsid w:val="00E127A3"/>
    <w:rsid w:val="00E129BB"/>
    <w:rsid w:val="00E12ABA"/>
    <w:rsid w:val="00E12FAF"/>
    <w:rsid w:val="00E13045"/>
    <w:rsid w:val="00E13651"/>
    <w:rsid w:val="00E13822"/>
    <w:rsid w:val="00E13903"/>
    <w:rsid w:val="00E13F65"/>
    <w:rsid w:val="00E148BF"/>
    <w:rsid w:val="00E14B0D"/>
    <w:rsid w:val="00E14DFB"/>
    <w:rsid w:val="00E14EB4"/>
    <w:rsid w:val="00E15438"/>
    <w:rsid w:val="00E15505"/>
    <w:rsid w:val="00E156B7"/>
    <w:rsid w:val="00E162F0"/>
    <w:rsid w:val="00E16332"/>
    <w:rsid w:val="00E16419"/>
    <w:rsid w:val="00E1684E"/>
    <w:rsid w:val="00E16B7C"/>
    <w:rsid w:val="00E16C36"/>
    <w:rsid w:val="00E17381"/>
    <w:rsid w:val="00E177E5"/>
    <w:rsid w:val="00E17928"/>
    <w:rsid w:val="00E2009B"/>
    <w:rsid w:val="00E200A4"/>
    <w:rsid w:val="00E201F5"/>
    <w:rsid w:val="00E2035B"/>
    <w:rsid w:val="00E205FB"/>
    <w:rsid w:val="00E20AB1"/>
    <w:rsid w:val="00E20C96"/>
    <w:rsid w:val="00E21885"/>
    <w:rsid w:val="00E21BD5"/>
    <w:rsid w:val="00E223B6"/>
    <w:rsid w:val="00E2241C"/>
    <w:rsid w:val="00E226B9"/>
    <w:rsid w:val="00E228EB"/>
    <w:rsid w:val="00E22998"/>
    <w:rsid w:val="00E22A55"/>
    <w:rsid w:val="00E22B16"/>
    <w:rsid w:val="00E22E0A"/>
    <w:rsid w:val="00E22FC7"/>
    <w:rsid w:val="00E23594"/>
    <w:rsid w:val="00E23BFB"/>
    <w:rsid w:val="00E2435A"/>
    <w:rsid w:val="00E24A5C"/>
    <w:rsid w:val="00E252B3"/>
    <w:rsid w:val="00E25672"/>
    <w:rsid w:val="00E256CA"/>
    <w:rsid w:val="00E268EF"/>
    <w:rsid w:val="00E26B1B"/>
    <w:rsid w:val="00E27287"/>
    <w:rsid w:val="00E27694"/>
    <w:rsid w:val="00E27977"/>
    <w:rsid w:val="00E304CA"/>
    <w:rsid w:val="00E305F3"/>
    <w:rsid w:val="00E30894"/>
    <w:rsid w:val="00E30998"/>
    <w:rsid w:val="00E30C17"/>
    <w:rsid w:val="00E31361"/>
    <w:rsid w:val="00E313E4"/>
    <w:rsid w:val="00E31CC9"/>
    <w:rsid w:val="00E3278C"/>
    <w:rsid w:val="00E32A01"/>
    <w:rsid w:val="00E32A69"/>
    <w:rsid w:val="00E32ABC"/>
    <w:rsid w:val="00E32B31"/>
    <w:rsid w:val="00E33811"/>
    <w:rsid w:val="00E339F2"/>
    <w:rsid w:val="00E33C2E"/>
    <w:rsid w:val="00E33E52"/>
    <w:rsid w:val="00E34032"/>
    <w:rsid w:val="00E34218"/>
    <w:rsid w:val="00E3429E"/>
    <w:rsid w:val="00E34966"/>
    <w:rsid w:val="00E34AFC"/>
    <w:rsid w:val="00E34C91"/>
    <w:rsid w:val="00E34DB4"/>
    <w:rsid w:val="00E34E3D"/>
    <w:rsid w:val="00E3508F"/>
    <w:rsid w:val="00E352A2"/>
    <w:rsid w:val="00E35320"/>
    <w:rsid w:val="00E3564D"/>
    <w:rsid w:val="00E357D4"/>
    <w:rsid w:val="00E35E1D"/>
    <w:rsid w:val="00E362D3"/>
    <w:rsid w:val="00E368DB"/>
    <w:rsid w:val="00E369B0"/>
    <w:rsid w:val="00E36DEA"/>
    <w:rsid w:val="00E36F87"/>
    <w:rsid w:val="00E375BB"/>
    <w:rsid w:val="00E3762C"/>
    <w:rsid w:val="00E37C87"/>
    <w:rsid w:val="00E40509"/>
    <w:rsid w:val="00E4061B"/>
    <w:rsid w:val="00E409B6"/>
    <w:rsid w:val="00E40F4C"/>
    <w:rsid w:val="00E418C2"/>
    <w:rsid w:val="00E4205C"/>
    <w:rsid w:val="00E428C3"/>
    <w:rsid w:val="00E4295E"/>
    <w:rsid w:val="00E42D4A"/>
    <w:rsid w:val="00E436C7"/>
    <w:rsid w:val="00E43ACB"/>
    <w:rsid w:val="00E43B12"/>
    <w:rsid w:val="00E44566"/>
    <w:rsid w:val="00E4465A"/>
    <w:rsid w:val="00E449E4"/>
    <w:rsid w:val="00E44A35"/>
    <w:rsid w:val="00E44E8A"/>
    <w:rsid w:val="00E4500C"/>
    <w:rsid w:val="00E450C6"/>
    <w:rsid w:val="00E459E8"/>
    <w:rsid w:val="00E45D88"/>
    <w:rsid w:val="00E464BE"/>
    <w:rsid w:val="00E4655C"/>
    <w:rsid w:val="00E46FC9"/>
    <w:rsid w:val="00E47223"/>
    <w:rsid w:val="00E474B3"/>
    <w:rsid w:val="00E479F1"/>
    <w:rsid w:val="00E47AF9"/>
    <w:rsid w:val="00E50951"/>
    <w:rsid w:val="00E50A01"/>
    <w:rsid w:val="00E510BB"/>
    <w:rsid w:val="00E51189"/>
    <w:rsid w:val="00E515FF"/>
    <w:rsid w:val="00E520F9"/>
    <w:rsid w:val="00E52B53"/>
    <w:rsid w:val="00E53601"/>
    <w:rsid w:val="00E53F4B"/>
    <w:rsid w:val="00E54671"/>
    <w:rsid w:val="00E5471F"/>
    <w:rsid w:val="00E54DA0"/>
    <w:rsid w:val="00E55161"/>
    <w:rsid w:val="00E55312"/>
    <w:rsid w:val="00E5536B"/>
    <w:rsid w:val="00E564C7"/>
    <w:rsid w:val="00E57266"/>
    <w:rsid w:val="00E57526"/>
    <w:rsid w:val="00E576C3"/>
    <w:rsid w:val="00E57892"/>
    <w:rsid w:val="00E57E3A"/>
    <w:rsid w:val="00E601EC"/>
    <w:rsid w:val="00E60500"/>
    <w:rsid w:val="00E6083A"/>
    <w:rsid w:val="00E60B00"/>
    <w:rsid w:val="00E60BFD"/>
    <w:rsid w:val="00E60CD1"/>
    <w:rsid w:val="00E60ED2"/>
    <w:rsid w:val="00E61543"/>
    <w:rsid w:val="00E6172E"/>
    <w:rsid w:val="00E61D73"/>
    <w:rsid w:val="00E62094"/>
    <w:rsid w:val="00E62136"/>
    <w:rsid w:val="00E6254F"/>
    <w:rsid w:val="00E62E3B"/>
    <w:rsid w:val="00E62F66"/>
    <w:rsid w:val="00E63746"/>
    <w:rsid w:val="00E63E0F"/>
    <w:rsid w:val="00E64493"/>
    <w:rsid w:val="00E645A2"/>
    <w:rsid w:val="00E64B29"/>
    <w:rsid w:val="00E64E5D"/>
    <w:rsid w:val="00E650DD"/>
    <w:rsid w:val="00E651C0"/>
    <w:rsid w:val="00E652A0"/>
    <w:rsid w:val="00E6532D"/>
    <w:rsid w:val="00E654D5"/>
    <w:rsid w:val="00E65561"/>
    <w:rsid w:val="00E66030"/>
    <w:rsid w:val="00E6663F"/>
    <w:rsid w:val="00E66920"/>
    <w:rsid w:val="00E66A70"/>
    <w:rsid w:val="00E6707B"/>
    <w:rsid w:val="00E67C6E"/>
    <w:rsid w:val="00E67FF1"/>
    <w:rsid w:val="00E700B2"/>
    <w:rsid w:val="00E7076E"/>
    <w:rsid w:val="00E70906"/>
    <w:rsid w:val="00E70F62"/>
    <w:rsid w:val="00E70FFE"/>
    <w:rsid w:val="00E716EC"/>
    <w:rsid w:val="00E71D52"/>
    <w:rsid w:val="00E72736"/>
    <w:rsid w:val="00E72FEA"/>
    <w:rsid w:val="00E734CF"/>
    <w:rsid w:val="00E73BB4"/>
    <w:rsid w:val="00E73C5F"/>
    <w:rsid w:val="00E740F3"/>
    <w:rsid w:val="00E74173"/>
    <w:rsid w:val="00E742B9"/>
    <w:rsid w:val="00E74303"/>
    <w:rsid w:val="00E74392"/>
    <w:rsid w:val="00E743CA"/>
    <w:rsid w:val="00E74857"/>
    <w:rsid w:val="00E74E9B"/>
    <w:rsid w:val="00E74EAB"/>
    <w:rsid w:val="00E75018"/>
    <w:rsid w:val="00E750C0"/>
    <w:rsid w:val="00E7530F"/>
    <w:rsid w:val="00E75A34"/>
    <w:rsid w:val="00E7678A"/>
    <w:rsid w:val="00E76B12"/>
    <w:rsid w:val="00E76D96"/>
    <w:rsid w:val="00E76E08"/>
    <w:rsid w:val="00E76E8A"/>
    <w:rsid w:val="00E772B6"/>
    <w:rsid w:val="00E775CD"/>
    <w:rsid w:val="00E77603"/>
    <w:rsid w:val="00E7772E"/>
    <w:rsid w:val="00E7789A"/>
    <w:rsid w:val="00E779ED"/>
    <w:rsid w:val="00E77A2F"/>
    <w:rsid w:val="00E77AE9"/>
    <w:rsid w:val="00E77BDC"/>
    <w:rsid w:val="00E80C9A"/>
    <w:rsid w:val="00E8164A"/>
    <w:rsid w:val="00E8258B"/>
    <w:rsid w:val="00E82763"/>
    <w:rsid w:val="00E836F4"/>
    <w:rsid w:val="00E84591"/>
    <w:rsid w:val="00E848B4"/>
    <w:rsid w:val="00E849EB"/>
    <w:rsid w:val="00E84E9D"/>
    <w:rsid w:val="00E85002"/>
    <w:rsid w:val="00E86400"/>
    <w:rsid w:val="00E8657B"/>
    <w:rsid w:val="00E86B01"/>
    <w:rsid w:val="00E86E23"/>
    <w:rsid w:val="00E87618"/>
    <w:rsid w:val="00E87BD5"/>
    <w:rsid w:val="00E87C6A"/>
    <w:rsid w:val="00E90155"/>
    <w:rsid w:val="00E902D8"/>
    <w:rsid w:val="00E908FE"/>
    <w:rsid w:val="00E90BB7"/>
    <w:rsid w:val="00E91242"/>
    <w:rsid w:val="00E91569"/>
    <w:rsid w:val="00E91744"/>
    <w:rsid w:val="00E919AE"/>
    <w:rsid w:val="00E91BA4"/>
    <w:rsid w:val="00E91C7F"/>
    <w:rsid w:val="00E91DBD"/>
    <w:rsid w:val="00E92207"/>
    <w:rsid w:val="00E92317"/>
    <w:rsid w:val="00E9261A"/>
    <w:rsid w:val="00E92CD5"/>
    <w:rsid w:val="00E93624"/>
    <w:rsid w:val="00E9418A"/>
    <w:rsid w:val="00E9419C"/>
    <w:rsid w:val="00E94671"/>
    <w:rsid w:val="00E94AEE"/>
    <w:rsid w:val="00E94C78"/>
    <w:rsid w:val="00E94E5B"/>
    <w:rsid w:val="00E95069"/>
    <w:rsid w:val="00E960B7"/>
    <w:rsid w:val="00E965A0"/>
    <w:rsid w:val="00E965CE"/>
    <w:rsid w:val="00E96778"/>
    <w:rsid w:val="00E96940"/>
    <w:rsid w:val="00E969EC"/>
    <w:rsid w:val="00E9701B"/>
    <w:rsid w:val="00E973B8"/>
    <w:rsid w:val="00E97742"/>
    <w:rsid w:val="00E9793F"/>
    <w:rsid w:val="00E9797F"/>
    <w:rsid w:val="00E97AB8"/>
    <w:rsid w:val="00E97D67"/>
    <w:rsid w:val="00EA04C4"/>
    <w:rsid w:val="00EA0799"/>
    <w:rsid w:val="00EA165B"/>
    <w:rsid w:val="00EA1802"/>
    <w:rsid w:val="00EA1A01"/>
    <w:rsid w:val="00EA2967"/>
    <w:rsid w:val="00EA2B28"/>
    <w:rsid w:val="00EA2D5D"/>
    <w:rsid w:val="00EA31CB"/>
    <w:rsid w:val="00EA32C2"/>
    <w:rsid w:val="00EA41DC"/>
    <w:rsid w:val="00EA42A0"/>
    <w:rsid w:val="00EA445D"/>
    <w:rsid w:val="00EA4A72"/>
    <w:rsid w:val="00EA53DA"/>
    <w:rsid w:val="00EA5941"/>
    <w:rsid w:val="00EA597C"/>
    <w:rsid w:val="00EA5AF9"/>
    <w:rsid w:val="00EA5D30"/>
    <w:rsid w:val="00EA67DF"/>
    <w:rsid w:val="00EA6819"/>
    <w:rsid w:val="00EA68DD"/>
    <w:rsid w:val="00EA6A0A"/>
    <w:rsid w:val="00EA6EB1"/>
    <w:rsid w:val="00EA6F55"/>
    <w:rsid w:val="00EA70BF"/>
    <w:rsid w:val="00EA76A3"/>
    <w:rsid w:val="00EA76B9"/>
    <w:rsid w:val="00EB00A8"/>
    <w:rsid w:val="00EB00CF"/>
    <w:rsid w:val="00EB013B"/>
    <w:rsid w:val="00EB09DF"/>
    <w:rsid w:val="00EB0B83"/>
    <w:rsid w:val="00EB0E8F"/>
    <w:rsid w:val="00EB0EBB"/>
    <w:rsid w:val="00EB0ECC"/>
    <w:rsid w:val="00EB21E2"/>
    <w:rsid w:val="00EB223A"/>
    <w:rsid w:val="00EB23A1"/>
    <w:rsid w:val="00EB256F"/>
    <w:rsid w:val="00EB25AF"/>
    <w:rsid w:val="00EB27BE"/>
    <w:rsid w:val="00EB2D96"/>
    <w:rsid w:val="00EB34E0"/>
    <w:rsid w:val="00EB3FC5"/>
    <w:rsid w:val="00EB4189"/>
    <w:rsid w:val="00EB440B"/>
    <w:rsid w:val="00EB44B0"/>
    <w:rsid w:val="00EB4673"/>
    <w:rsid w:val="00EB46A5"/>
    <w:rsid w:val="00EB51BE"/>
    <w:rsid w:val="00EB5209"/>
    <w:rsid w:val="00EB5693"/>
    <w:rsid w:val="00EB5918"/>
    <w:rsid w:val="00EB5A85"/>
    <w:rsid w:val="00EB5B3D"/>
    <w:rsid w:val="00EB6419"/>
    <w:rsid w:val="00EB68AA"/>
    <w:rsid w:val="00EB714F"/>
    <w:rsid w:val="00EB74B7"/>
    <w:rsid w:val="00EB758A"/>
    <w:rsid w:val="00EC0131"/>
    <w:rsid w:val="00EC01FE"/>
    <w:rsid w:val="00EC0770"/>
    <w:rsid w:val="00EC0970"/>
    <w:rsid w:val="00EC0B68"/>
    <w:rsid w:val="00EC0C20"/>
    <w:rsid w:val="00EC0DE4"/>
    <w:rsid w:val="00EC0E5D"/>
    <w:rsid w:val="00EC0E78"/>
    <w:rsid w:val="00EC1014"/>
    <w:rsid w:val="00EC1170"/>
    <w:rsid w:val="00EC126C"/>
    <w:rsid w:val="00EC136D"/>
    <w:rsid w:val="00EC2193"/>
    <w:rsid w:val="00EC2CE5"/>
    <w:rsid w:val="00EC31FA"/>
    <w:rsid w:val="00EC36BB"/>
    <w:rsid w:val="00EC3AB5"/>
    <w:rsid w:val="00EC4577"/>
    <w:rsid w:val="00EC45BA"/>
    <w:rsid w:val="00EC4BD4"/>
    <w:rsid w:val="00EC5310"/>
    <w:rsid w:val="00EC5852"/>
    <w:rsid w:val="00EC5978"/>
    <w:rsid w:val="00EC6045"/>
    <w:rsid w:val="00EC6261"/>
    <w:rsid w:val="00EC62D5"/>
    <w:rsid w:val="00EC6476"/>
    <w:rsid w:val="00EC6842"/>
    <w:rsid w:val="00EC6ACB"/>
    <w:rsid w:val="00EC6E3A"/>
    <w:rsid w:val="00EC7174"/>
    <w:rsid w:val="00EC75AE"/>
    <w:rsid w:val="00EC7C76"/>
    <w:rsid w:val="00ED0230"/>
    <w:rsid w:val="00ED03EF"/>
    <w:rsid w:val="00ED1345"/>
    <w:rsid w:val="00ED186B"/>
    <w:rsid w:val="00ED202D"/>
    <w:rsid w:val="00ED2073"/>
    <w:rsid w:val="00ED20C1"/>
    <w:rsid w:val="00ED24B9"/>
    <w:rsid w:val="00ED24E8"/>
    <w:rsid w:val="00ED2D80"/>
    <w:rsid w:val="00ED30E3"/>
    <w:rsid w:val="00ED3C6A"/>
    <w:rsid w:val="00ED4074"/>
    <w:rsid w:val="00ED4432"/>
    <w:rsid w:val="00ED46B7"/>
    <w:rsid w:val="00ED4D6C"/>
    <w:rsid w:val="00ED5088"/>
    <w:rsid w:val="00ED5377"/>
    <w:rsid w:val="00ED5947"/>
    <w:rsid w:val="00ED5DB1"/>
    <w:rsid w:val="00ED640D"/>
    <w:rsid w:val="00ED690B"/>
    <w:rsid w:val="00ED6F32"/>
    <w:rsid w:val="00ED7194"/>
    <w:rsid w:val="00ED71C3"/>
    <w:rsid w:val="00ED7488"/>
    <w:rsid w:val="00ED77F7"/>
    <w:rsid w:val="00ED7F20"/>
    <w:rsid w:val="00EE0049"/>
    <w:rsid w:val="00EE0114"/>
    <w:rsid w:val="00EE0314"/>
    <w:rsid w:val="00EE0617"/>
    <w:rsid w:val="00EE0D4F"/>
    <w:rsid w:val="00EE1056"/>
    <w:rsid w:val="00EE1116"/>
    <w:rsid w:val="00EE19B8"/>
    <w:rsid w:val="00EE1D71"/>
    <w:rsid w:val="00EE1E86"/>
    <w:rsid w:val="00EE22EA"/>
    <w:rsid w:val="00EE265C"/>
    <w:rsid w:val="00EE2BBB"/>
    <w:rsid w:val="00EE30C4"/>
    <w:rsid w:val="00EE3509"/>
    <w:rsid w:val="00EE365D"/>
    <w:rsid w:val="00EE3980"/>
    <w:rsid w:val="00EE3C9D"/>
    <w:rsid w:val="00EE3D54"/>
    <w:rsid w:val="00EE477F"/>
    <w:rsid w:val="00EE4E1D"/>
    <w:rsid w:val="00EE4F6A"/>
    <w:rsid w:val="00EE5CF2"/>
    <w:rsid w:val="00EE658F"/>
    <w:rsid w:val="00EE6A77"/>
    <w:rsid w:val="00EE75BA"/>
    <w:rsid w:val="00EE783E"/>
    <w:rsid w:val="00EE7B56"/>
    <w:rsid w:val="00EF066B"/>
    <w:rsid w:val="00EF09C7"/>
    <w:rsid w:val="00EF0C3E"/>
    <w:rsid w:val="00EF126D"/>
    <w:rsid w:val="00EF1D75"/>
    <w:rsid w:val="00EF2180"/>
    <w:rsid w:val="00EF2B21"/>
    <w:rsid w:val="00EF2B4A"/>
    <w:rsid w:val="00EF2DC0"/>
    <w:rsid w:val="00EF38CA"/>
    <w:rsid w:val="00EF3AB4"/>
    <w:rsid w:val="00EF3BED"/>
    <w:rsid w:val="00EF43D5"/>
    <w:rsid w:val="00EF4420"/>
    <w:rsid w:val="00EF4573"/>
    <w:rsid w:val="00EF49D0"/>
    <w:rsid w:val="00EF4A23"/>
    <w:rsid w:val="00EF4D81"/>
    <w:rsid w:val="00EF50B9"/>
    <w:rsid w:val="00EF5CFE"/>
    <w:rsid w:val="00EF62D6"/>
    <w:rsid w:val="00EF69A0"/>
    <w:rsid w:val="00EF6F72"/>
    <w:rsid w:val="00EF6F9D"/>
    <w:rsid w:val="00EF7369"/>
    <w:rsid w:val="00EF73EA"/>
    <w:rsid w:val="00EF7548"/>
    <w:rsid w:val="00EF7F28"/>
    <w:rsid w:val="00F005DC"/>
    <w:rsid w:val="00F00735"/>
    <w:rsid w:val="00F00872"/>
    <w:rsid w:val="00F00B5C"/>
    <w:rsid w:val="00F016C7"/>
    <w:rsid w:val="00F01800"/>
    <w:rsid w:val="00F01917"/>
    <w:rsid w:val="00F01BB5"/>
    <w:rsid w:val="00F02073"/>
    <w:rsid w:val="00F02849"/>
    <w:rsid w:val="00F02C48"/>
    <w:rsid w:val="00F03075"/>
    <w:rsid w:val="00F030A1"/>
    <w:rsid w:val="00F030A9"/>
    <w:rsid w:val="00F034D0"/>
    <w:rsid w:val="00F035F0"/>
    <w:rsid w:val="00F03F7B"/>
    <w:rsid w:val="00F04726"/>
    <w:rsid w:val="00F049A1"/>
    <w:rsid w:val="00F05C76"/>
    <w:rsid w:val="00F06911"/>
    <w:rsid w:val="00F06AF7"/>
    <w:rsid w:val="00F06C6E"/>
    <w:rsid w:val="00F06DAD"/>
    <w:rsid w:val="00F07FA2"/>
    <w:rsid w:val="00F11418"/>
    <w:rsid w:val="00F114CD"/>
    <w:rsid w:val="00F117AB"/>
    <w:rsid w:val="00F11F69"/>
    <w:rsid w:val="00F12593"/>
    <w:rsid w:val="00F128B0"/>
    <w:rsid w:val="00F128B1"/>
    <w:rsid w:val="00F12BEE"/>
    <w:rsid w:val="00F12D8B"/>
    <w:rsid w:val="00F13778"/>
    <w:rsid w:val="00F13AA8"/>
    <w:rsid w:val="00F141B5"/>
    <w:rsid w:val="00F14B38"/>
    <w:rsid w:val="00F154BE"/>
    <w:rsid w:val="00F1589A"/>
    <w:rsid w:val="00F15D3B"/>
    <w:rsid w:val="00F15D70"/>
    <w:rsid w:val="00F15DD0"/>
    <w:rsid w:val="00F16173"/>
    <w:rsid w:val="00F163F0"/>
    <w:rsid w:val="00F1688A"/>
    <w:rsid w:val="00F16D84"/>
    <w:rsid w:val="00F17046"/>
    <w:rsid w:val="00F17994"/>
    <w:rsid w:val="00F17C8E"/>
    <w:rsid w:val="00F17E27"/>
    <w:rsid w:val="00F17EA7"/>
    <w:rsid w:val="00F17FF1"/>
    <w:rsid w:val="00F20424"/>
    <w:rsid w:val="00F20531"/>
    <w:rsid w:val="00F20688"/>
    <w:rsid w:val="00F212CD"/>
    <w:rsid w:val="00F214D8"/>
    <w:rsid w:val="00F2156B"/>
    <w:rsid w:val="00F2168D"/>
    <w:rsid w:val="00F216A6"/>
    <w:rsid w:val="00F2176F"/>
    <w:rsid w:val="00F21912"/>
    <w:rsid w:val="00F21EBE"/>
    <w:rsid w:val="00F22048"/>
    <w:rsid w:val="00F22967"/>
    <w:rsid w:val="00F22C28"/>
    <w:rsid w:val="00F23660"/>
    <w:rsid w:val="00F23BD3"/>
    <w:rsid w:val="00F23C61"/>
    <w:rsid w:val="00F240B2"/>
    <w:rsid w:val="00F24935"/>
    <w:rsid w:val="00F25521"/>
    <w:rsid w:val="00F25959"/>
    <w:rsid w:val="00F259B9"/>
    <w:rsid w:val="00F259F1"/>
    <w:rsid w:val="00F25F6E"/>
    <w:rsid w:val="00F266C1"/>
    <w:rsid w:val="00F26A51"/>
    <w:rsid w:val="00F26AE5"/>
    <w:rsid w:val="00F26C67"/>
    <w:rsid w:val="00F26C84"/>
    <w:rsid w:val="00F26ED8"/>
    <w:rsid w:val="00F27280"/>
    <w:rsid w:val="00F27AF0"/>
    <w:rsid w:val="00F30369"/>
    <w:rsid w:val="00F306DD"/>
    <w:rsid w:val="00F30745"/>
    <w:rsid w:val="00F307CD"/>
    <w:rsid w:val="00F308CC"/>
    <w:rsid w:val="00F30906"/>
    <w:rsid w:val="00F311DD"/>
    <w:rsid w:val="00F3124A"/>
    <w:rsid w:val="00F3165C"/>
    <w:rsid w:val="00F3202A"/>
    <w:rsid w:val="00F33451"/>
    <w:rsid w:val="00F33758"/>
    <w:rsid w:val="00F33FDC"/>
    <w:rsid w:val="00F3467C"/>
    <w:rsid w:val="00F348A0"/>
    <w:rsid w:val="00F34E34"/>
    <w:rsid w:val="00F358F6"/>
    <w:rsid w:val="00F3600A"/>
    <w:rsid w:val="00F3677A"/>
    <w:rsid w:val="00F36783"/>
    <w:rsid w:val="00F36A33"/>
    <w:rsid w:val="00F36D51"/>
    <w:rsid w:val="00F378CE"/>
    <w:rsid w:val="00F4015C"/>
    <w:rsid w:val="00F41062"/>
    <w:rsid w:val="00F413A5"/>
    <w:rsid w:val="00F413E9"/>
    <w:rsid w:val="00F41AE9"/>
    <w:rsid w:val="00F41CE3"/>
    <w:rsid w:val="00F42CE3"/>
    <w:rsid w:val="00F430A5"/>
    <w:rsid w:val="00F4339E"/>
    <w:rsid w:val="00F433BC"/>
    <w:rsid w:val="00F43515"/>
    <w:rsid w:val="00F435C7"/>
    <w:rsid w:val="00F43DA3"/>
    <w:rsid w:val="00F43F7E"/>
    <w:rsid w:val="00F44055"/>
    <w:rsid w:val="00F440B8"/>
    <w:rsid w:val="00F44627"/>
    <w:rsid w:val="00F4500D"/>
    <w:rsid w:val="00F458E1"/>
    <w:rsid w:val="00F45B62"/>
    <w:rsid w:val="00F4627A"/>
    <w:rsid w:val="00F46AC7"/>
    <w:rsid w:val="00F46E05"/>
    <w:rsid w:val="00F4703A"/>
    <w:rsid w:val="00F47170"/>
    <w:rsid w:val="00F47564"/>
    <w:rsid w:val="00F476C6"/>
    <w:rsid w:val="00F478FE"/>
    <w:rsid w:val="00F47C60"/>
    <w:rsid w:val="00F47C83"/>
    <w:rsid w:val="00F47EA7"/>
    <w:rsid w:val="00F50115"/>
    <w:rsid w:val="00F50363"/>
    <w:rsid w:val="00F50868"/>
    <w:rsid w:val="00F50C46"/>
    <w:rsid w:val="00F50E07"/>
    <w:rsid w:val="00F51736"/>
    <w:rsid w:val="00F51D2A"/>
    <w:rsid w:val="00F5218B"/>
    <w:rsid w:val="00F52534"/>
    <w:rsid w:val="00F52CFA"/>
    <w:rsid w:val="00F5417D"/>
    <w:rsid w:val="00F54453"/>
    <w:rsid w:val="00F54573"/>
    <w:rsid w:val="00F54668"/>
    <w:rsid w:val="00F54A49"/>
    <w:rsid w:val="00F54AFE"/>
    <w:rsid w:val="00F54B34"/>
    <w:rsid w:val="00F54C0B"/>
    <w:rsid w:val="00F5501D"/>
    <w:rsid w:val="00F5522F"/>
    <w:rsid w:val="00F55358"/>
    <w:rsid w:val="00F5582C"/>
    <w:rsid w:val="00F5592B"/>
    <w:rsid w:val="00F55AEC"/>
    <w:rsid w:val="00F55CB4"/>
    <w:rsid w:val="00F55F4A"/>
    <w:rsid w:val="00F563BA"/>
    <w:rsid w:val="00F5694C"/>
    <w:rsid w:val="00F573D5"/>
    <w:rsid w:val="00F57C2E"/>
    <w:rsid w:val="00F57DD2"/>
    <w:rsid w:val="00F60128"/>
    <w:rsid w:val="00F60473"/>
    <w:rsid w:val="00F608CC"/>
    <w:rsid w:val="00F60AAB"/>
    <w:rsid w:val="00F60E60"/>
    <w:rsid w:val="00F61049"/>
    <w:rsid w:val="00F610CA"/>
    <w:rsid w:val="00F611CB"/>
    <w:rsid w:val="00F6190F"/>
    <w:rsid w:val="00F61C8A"/>
    <w:rsid w:val="00F61E4C"/>
    <w:rsid w:val="00F6226D"/>
    <w:rsid w:val="00F62344"/>
    <w:rsid w:val="00F62C68"/>
    <w:rsid w:val="00F639D4"/>
    <w:rsid w:val="00F63E52"/>
    <w:rsid w:val="00F644F7"/>
    <w:rsid w:val="00F64620"/>
    <w:rsid w:val="00F6469A"/>
    <w:rsid w:val="00F646D2"/>
    <w:rsid w:val="00F64B49"/>
    <w:rsid w:val="00F64B8D"/>
    <w:rsid w:val="00F64D73"/>
    <w:rsid w:val="00F65116"/>
    <w:rsid w:val="00F654E9"/>
    <w:rsid w:val="00F673F3"/>
    <w:rsid w:val="00F67448"/>
    <w:rsid w:val="00F67907"/>
    <w:rsid w:val="00F709BD"/>
    <w:rsid w:val="00F70A03"/>
    <w:rsid w:val="00F70A93"/>
    <w:rsid w:val="00F70F1A"/>
    <w:rsid w:val="00F71170"/>
    <w:rsid w:val="00F7126F"/>
    <w:rsid w:val="00F71499"/>
    <w:rsid w:val="00F71774"/>
    <w:rsid w:val="00F71BE0"/>
    <w:rsid w:val="00F71F52"/>
    <w:rsid w:val="00F723F3"/>
    <w:rsid w:val="00F72523"/>
    <w:rsid w:val="00F72532"/>
    <w:rsid w:val="00F72786"/>
    <w:rsid w:val="00F7280A"/>
    <w:rsid w:val="00F72BDA"/>
    <w:rsid w:val="00F733B5"/>
    <w:rsid w:val="00F73E30"/>
    <w:rsid w:val="00F73FFE"/>
    <w:rsid w:val="00F74354"/>
    <w:rsid w:val="00F74BF3"/>
    <w:rsid w:val="00F752EB"/>
    <w:rsid w:val="00F7535C"/>
    <w:rsid w:val="00F758CC"/>
    <w:rsid w:val="00F758CF"/>
    <w:rsid w:val="00F75CD7"/>
    <w:rsid w:val="00F75F58"/>
    <w:rsid w:val="00F76386"/>
    <w:rsid w:val="00F764E4"/>
    <w:rsid w:val="00F76786"/>
    <w:rsid w:val="00F76F63"/>
    <w:rsid w:val="00F777F8"/>
    <w:rsid w:val="00F778DC"/>
    <w:rsid w:val="00F77A5B"/>
    <w:rsid w:val="00F80083"/>
    <w:rsid w:val="00F80B10"/>
    <w:rsid w:val="00F80B5D"/>
    <w:rsid w:val="00F80EC8"/>
    <w:rsid w:val="00F80F4B"/>
    <w:rsid w:val="00F8142E"/>
    <w:rsid w:val="00F81E73"/>
    <w:rsid w:val="00F82D2E"/>
    <w:rsid w:val="00F837DF"/>
    <w:rsid w:val="00F83C98"/>
    <w:rsid w:val="00F841E4"/>
    <w:rsid w:val="00F8477F"/>
    <w:rsid w:val="00F84B84"/>
    <w:rsid w:val="00F84BC9"/>
    <w:rsid w:val="00F84F23"/>
    <w:rsid w:val="00F85491"/>
    <w:rsid w:val="00F85530"/>
    <w:rsid w:val="00F858FA"/>
    <w:rsid w:val="00F85EB8"/>
    <w:rsid w:val="00F8622F"/>
    <w:rsid w:val="00F864F0"/>
    <w:rsid w:val="00F86B15"/>
    <w:rsid w:val="00F86F21"/>
    <w:rsid w:val="00F878A8"/>
    <w:rsid w:val="00F87959"/>
    <w:rsid w:val="00F87C9F"/>
    <w:rsid w:val="00F87F9B"/>
    <w:rsid w:val="00F904EA"/>
    <w:rsid w:val="00F9050C"/>
    <w:rsid w:val="00F91085"/>
    <w:rsid w:val="00F910F4"/>
    <w:rsid w:val="00F91196"/>
    <w:rsid w:val="00F911FA"/>
    <w:rsid w:val="00F913DD"/>
    <w:rsid w:val="00F91B2B"/>
    <w:rsid w:val="00F92402"/>
    <w:rsid w:val="00F93643"/>
    <w:rsid w:val="00F93767"/>
    <w:rsid w:val="00F93C0D"/>
    <w:rsid w:val="00F93D86"/>
    <w:rsid w:val="00F93EDC"/>
    <w:rsid w:val="00F93FDB"/>
    <w:rsid w:val="00F9412A"/>
    <w:rsid w:val="00F941D2"/>
    <w:rsid w:val="00F954ED"/>
    <w:rsid w:val="00F95854"/>
    <w:rsid w:val="00F958E2"/>
    <w:rsid w:val="00F959DB"/>
    <w:rsid w:val="00F95EC4"/>
    <w:rsid w:val="00F968F8"/>
    <w:rsid w:val="00F96E3E"/>
    <w:rsid w:val="00F97281"/>
    <w:rsid w:val="00F977B8"/>
    <w:rsid w:val="00F979DF"/>
    <w:rsid w:val="00FA01D4"/>
    <w:rsid w:val="00FA047E"/>
    <w:rsid w:val="00FA0C30"/>
    <w:rsid w:val="00FA150B"/>
    <w:rsid w:val="00FA193E"/>
    <w:rsid w:val="00FA2497"/>
    <w:rsid w:val="00FA2781"/>
    <w:rsid w:val="00FA2843"/>
    <w:rsid w:val="00FA2B9B"/>
    <w:rsid w:val="00FA2DD1"/>
    <w:rsid w:val="00FA3B75"/>
    <w:rsid w:val="00FA3E8F"/>
    <w:rsid w:val="00FA458F"/>
    <w:rsid w:val="00FA4952"/>
    <w:rsid w:val="00FA497E"/>
    <w:rsid w:val="00FA4AFC"/>
    <w:rsid w:val="00FA4F0C"/>
    <w:rsid w:val="00FA4F2E"/>
    <w:rsid w:val="00FA52C0"/>
    <w:rsid w:val="00FA58C4"/>
    <w:rsid w:val="00FA5914"/>
    <w:rsid w:val="00FA5C9C"/>
    <w:rsid w:val="00FA66D7"/>
    <w:rsid w:val="00FA6806"/>
    <w:rsid w:val="00FA7003"/>
    <w:rsid w:val="00FA7596"/>
    <w:rsid w:val="00FA7653"/>
    <w:rsid w:val="00FA7660"/>
    <w:rsid w:val="00FA795D"/>
    <w:rsid w:val="00FA7BBB"/>
    <w:rsid w:val="00FA7C02"/>
    <w:rsid w:val="00FB0304"/>
    <w:rsid w:val="00FB038C"/>
    <w:rsid w:val="00FB0825"/>
    <w:rsid w:val="00FB0A2A"/>
    <w:rsid w:val="00FB188A"/>
    <w:rsid w:val="00FB1D7D"/>
    <w:rsid w:val="00FB1EED"/>
    <w:rsid w:val="00FB273C"/>
    <w:rsid w:val="00FB375E"/>
    <w:rsid w:val="00FB3D56"/>
    <w:rsid w:val="00FB423E"/>
    <w:rsid w:val="00FB429C"/>
    <w:rsid w:val="00FB49DB"/>
    <w:rsid w:val="00FB5030"/>
    <w:rsid w:val="00FB5664"/>
    <w:rsid w:val="00FB584D"/>
    <w:rsid w:val="00FB5C8C"/>
    <w:rsid w:val="00FB5CDB"/>
    <w:rsid w:val="00FB5F9B"/>
    <w:rsid w:val="00FB62BF"/>
    <w:rsid w:val="00FB63E7"/>
    <w:rsid w:val="00FB6A0D"/>
    <w:rsid w:val="00FB6C6A"/>
    <w:rsid w:val="00FB6CC2"/>
    <w:rsid w:val="00FB7468"/>
    <w:rsid w:val="00FB7F58"/>
    <w:rsid w:val="00FC06EC"/>
    <w:rsid w:val="00FC073B"/>
    <w:rsid w:val="00FC09F7"/>
    <w:rsid w:val="00FC0AEB"/>
    <w:rsid w:val="00FC1B79"/>
    <w:rsid w:val="00FC1FFD"/>
    <w:rsid w:val="00FC2330"/>
    <w:rsid w:val="00FC233C"/>
    <w:rsid w:val="00FC28C3"/>
    <w:rsid w:val="00FC2E38"/>
    <w:rsid w:val="00FC2E95"/>
    <w:rsid w:val="00FC2F40"/>
    <w:rsid w:val="00FC38AC"/>
    <w:rsid w:val="00FC3965"/>
    <w:rsid w:val="00FC3C4F"/>
    <w:rsid w:val="00FC4C5C"/>
    <w:rsid w:val="00FC4CDC"/>
    <w:rsid w:val="00FC5475"/>
    <w:rsid w:val="00FC5606"/>
    <w:rsid w:val="00FC5DB7"/>
    <w:rsid w:val="00FC6837"/>
    <w:rsid w:val="00FC754C"/>
    <w:rsid w:val="00FC76FC"/>
    <w:rsid w:val="00FC7FB5"/>
    <w:rsid w:val="00FD0106"/>
    <w:rsid w:val="00FD037F"/>
    <w:rsid w:val="00FD041E"/>
    <w:rsid w:val="00FD0AD5"/>
    <w:rsid w:val="00FD1792"/>
    <w:rsid w:val="00FD1823"/>
    <w:rsid w:val="00FD1A45"/>
    <w:rsid w:val="00FD1FEC"/>
    <w:rsid w:val="00FD27C2"/>
    <w:rsid w:val="00FD29BB"/>
    <w:rsid w:val="00FD2A2E"/>
    <w:rsid w:val="00FD36F4"/>
    <w:rsid w:val="00FD3A3D"/>
    <w:rsid w:val="00FD3D28"/>
    <w:rsid w:val="00FD433A"/>
    <w:rsid w:val="00FD4558"/>
    <w:rsid w:val="00FD459E"/>
    <w:rsid w:val="00FD47B3"/>
    <w:rsid w:val="00FD4BDE"/>
    <w:rsid w:val="00FD4DC7"/>
    <w:rsid w:val="00FD4FAA"/>
    <w:rsid w:val="00FD51B8"/>
    <w:rsid w:val="00FD52E8"/>
    <w:rsid w:val="00FD548A"/>
    <w:rsid w:val="00FD573A"/>
    <w:rsid w:val="00FD591E"/>
    <w:rsid w:val="00FD5B99"/>
    <w:rsid w:val="00FD5EE9"/>
    <w:rsid w:val="00FD6BD1"/>
    <w:rsid w:val="00FD6CE1"/>
    <w:rsid w:val="00FD7425"/>
    <w:rsid w:val="00FD76B4"/>
    <w:rsid w:val="00FD7805"/>
    <w:rsid w:val="00FD7A43"/>
    <w:rsid w:val="00FE0015"/>
    <w:rsid w:val="00FE032A"/>
    <w:rsid w:val="00FE0AE0"/>
    <w:rsid w:val="00FE133F"/>
    <w:rsid w:val="00FE1488"/>
    <w:rsid w:val="00FE157D"/>
    <w:rsid w:val="00FE1587"/>
    <w:rsid w:val="00FE1E81"/>
    <w:rsid w:val="00FE2207"/>
    <w:rsid w:val="00FE2640"/>
    <w:rsid w:val="00FE2E45"/>
    <w:rsid w:val="00FE32D8"/>
    <w:rsid w:val="00FE3438"/>
    <w:rsid w:val="00FE349A"/>
    <w:rsid w:val="00FE3854"/>
    <w:rsid w:val="00FE3F45"/>
    <w:rsid w:val="00FE4848"/>
    <w:rsid w:val="00FE4B03"/>
    <w:rsid w:val="00FE4C3D"/>
    <w:rsid w:val="00FE4F40"/>
    <w:rsid w:val="00FE52A3"/>
    <w:rsid w:val="00FE5887"/>
    <w:rsid w:val="00FE5DE8"/>
    <w:rsid w:val="00FE5EA3"/>
    <w:rsid w:val="00FE5F22"/>
    <w:rsid w:val="00FE6147"/>
    <w:rsid w:val="00FE6DDF"/>
    <w:rsid w:val="00FE6F55"/>
    <w:rsid w:val="00FE77CC"/>
    <w:rsid w:val="00FE7A38"/>
    <w:rsid w:val="00FE7C86"/>
    <w:rsid w:val="00FF0549"/>
    <w:rsid w:val="00FF0F3D"/>
    <w:rsid w:val="00FF12CF"/>
    <w:rsid w:val="00FF1DEE"/>
    <w:rsid w:val="00FF2351"/>
    <w:rsid w:val="00FF2A5B"/>
    <w:rsid w:val="00FF2A7F"/>
    <w:rsid w:val="00FF2A8F"/>
    <w:rsid w:val="00FF2F9F"/>
    <w:rsid w:val="00FF3242"/>
    <w:rsid w:val="00FF4268"/>
    <w:rsid w:val="00FF436D"/>
    <w:rsid w:val="00FF4528"/>
    <w:rsid w:val="00FF46DA"/>
    <w:rsid w:val="00FF4D48"/>
    <w:rsid w:val="00FF4FF7"/>
    <w:rsid w:val="00FF5337"/>
    <w:rsid w:val="00FF5EF8"/>
    <w:rsid w:val="00FF5FD0"/>
    <w:rsid w:val="00FF6244"/>
    <w:rsid w:val="00FF642A"/>
    <w:rsid w:val="00FF675B"/>
    <w:rsid w:val="00FF6BFE"/>
    <w:rsid w:val="00FF6CCD"/>
    <w:rsid w:val="00FF6E17"/>
    <w:rsid w:val="00FF6EB3"/>
    <w:rsid w:val="00FF6FCC"/>
    <w:rsid w:val="00FF7131"/>
    <w:rsid w:val="00FF73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1FB406"/>
  <w15:docId w15:val="{0CF63768-B6BA-4757-AE5C-CB752480A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iPriority="0" w:unhideWhenUsed="1"/>
    <w:lsdException w:name="index 8" w:semiHidden="1"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semiHidden="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4AFC"/>
    <w:pPr>
      <w:spacing w:after="120" w:line="264" w:lineRule="auto"/>
    </w:pPr>
    <w:rPr>
      <w:rFonts w:ascii="Trebuchet MS" w:hAnsi="Trebuchet MS"/>
      <w:color w:val="685040"/>
      <w:kern w:val="16"/>
      <w:sz w:val="18"/>
      <w:szCs w:val="24"/>
    </w:rPr>
  </w:style>
  <w:style w:type="paragraph" w:styleId="Heading1">
    <w:name w:val="heading 1"/>
    <w:aliases w:val="~Heading,1,Heading 1 Char,Heading 1 Char1 Char,Heading 1 Char Char Char,Heading 1 Char1 Char Char Char,Heading 1 Char Char Char Char Char,Heading 1 Char1 Char Char Char Char Char,Heading 1 Char Char Char Char Char Char Char"/>
    <w:next w:val="Heading2"/>
    <w:link w:val="Heading1Char1"/>
    <w:qFormat/>
    <w:rsid w:val="008F4671"/>
    <w:pPr>
      <w:pageBreakBefore/>
      <w:spacing w:line="264" w:lineRule="auto"/>
      <w:outlineLvl w:val="0"/>
    </w:pPr>
    <w:rPr>
      <w:rFonts w:ascii="Trebuchet MS" w:eastAsiaTheme="majorEastAsia" w:hAnsi="Trebuchet MS" w:cstheme="majorBidi"/>
      <w:b/>
      <w:bCs/>
      <w:caps/>
      <w:color w:val="ED1A3B" w:themeColor="accent1"/>
      <w:kern w:val="16"/>
      <w:sz w:val="56"/>
      <w:szCs w:val="28"/>
    </w:rPr>
  </w:style>
  <w:style w:type="paragraph" w:styleId="Heading2">
    <w:name w:val="heading 2"/>
    <w:aliases w:val="~SubHeading"/>
    <w:next w:val="BodyText"/>
    <w:link w:val="Heading2Char"/>
    <w:uiPriority w:val="9"/>
    <w:qFormat/>
    <w:rsid w:val="005B346E"/>
    <w:pPr>
      <w:numPr>
        <w:ilvl w:val="1"/>
      </w:numPr>
      <w:spacing w:after="480" w:line="264" w:lineRule="auto"/>
      <w:outlineLvl w:val="1"/>
    </w:pPr>
    <w:rPr>
      <w:rFonts w:ascii="Trebuchet MS" w:eastAsiaTheme="majorEastAsia" w:hAnsi="Trebuchet MS" w:cstheme="majorBidi"/>
      <w:b/>
      <w:color w:val="685040"/>
      <w:kern w:val="16"/>
      <w:sz w:val="56"/>
      <w:szCs w:val="26"/>
    </w:rPr>
  </w:style>
  <w:style w:type="paragraph" w:styleId="Heading3">
    <w:name w:val="heading 3"/>
    <w:aliases w:val="~MinorHeading"/>
    <w:next w:val="BodyText"/>
    <w:link w:val="Heading3Char"/>
    <w:qFormat/>
    <w:rsid w:val="005B346E"/>
    <w:pPr>
      <w:numPr>
        <w:ilvl w:val="2"/>
      </w:numPr>
      <w:spacing w:before="600" w:after="120" w:line="264" w:lineRule="auto"/>
      <w:outlineLvl w:val="2"/>
    </w:pPr>
    <w:rPr>
      <w:rFonts w:ascii="Trebuchet MS" w:eastAsiaTheme="majorEastAsia" w:hAnsi="Trebuchet MS" w:cstheme="majorBidi"/>
      <w:b/>
      <w:bCs/>
      <w:caps/>
      <w:color w:val="98002E"/>
      <w:kern w:val="16"/>
      <w:sz w:val="28"/>
      <w:szCs w:val="26"/>
    </w:rPr>
  </w:style>
  <w:style w:type="paragraph" w:styleId="Heading4">
    <w:name w:val="heading 4"/>
    <w:aliases w:val="~MinorSubheading"/>
    <w:next w:val="BodyText"/>
    <w:link w:val="Heading4Char"/>
    <w:qFormat/>
    <w:rsid w:val="005B346E"/>
    <w:pPr>
      <w:numPr>
        <w:ilvl w:val="3"/>
      </w:numPr>
      <w:spacing w:before="360" w:line="264" w:lineRule="auto"/>
      <w:outlineLvl w:val="3"/>
    </w:pPr>
    <w:rPr>
      <w:rFonts w:ascii="Trebuchet MS" w:eastAsiaTheme="majorEastAsia" w:hAnsi="Trebuchet MS" w:cstheme="majorBidi"/>
      <w:b/>
      <w:iCs/>
      <w:caps/>
      <w:color w:val="ED1A3B" w:themeColor="accent1"/>
      <w:kern w:val="16"/>
      <w:szCs w:val="26"/>
    </w:rPr>
  </w:style>
  <w:style w:type="paragraph" w:styleId="Heading5">
    <w:name w:val="heading 5"/>
    <w:basedOn w:val="Heading4"/>
    <w:link w:val="Heading5Char"/>
    <w:qFormat/>
    <w:rsid w:val="00AD77CB"/>
    <w:pPr>
      <w:numPr>
        <w:ilvl w:val="4"/>
      </w:numPr>
      <w:outlineLvl w:val="4"/>
    </w:pPr>
  </w:style>
  <w:style w:type="paragraph" w:styleId="Heading6">
    <w:name w:val="heading 6"/>
    <w:basedOn w:val="Heading5"/>
    <w:next w:val="NormalIndent"/>
    <w:link w:val="Heading6Char"/>
    <w:unhideWhenUsed/>
    <w:qFormat/>
    <w:rsid w:val="00AD77CB"/>
    <w:pPr>
      <w:keepLines/>
      <w:numPr>
        <w:ilvl w:val="0"/>
      </w:numPr>
      <w:spacing w:after="240"/>
      <w:outlineLvl w:val="5"/>
    </w:pPr>
    <w:rPr>
      <w:iCs w:val="0"/>
    </w:rPr>
  </w:style>
  <w:style w:type="paragraph" w:styleId="Heading7">
    <w:name w:val="heading 7"/>
    <w:basedOn w:val="Normal"/>
    <w:next w:val="Normal"/>
    <w:link w:val="Heading7Char"/>
    <w:qFormat/>
    <w:rsid w:val="00693882"/>
    <w:pPr>
      <w:keepNext/>
      <w:keepLines/>
      <w:tabs>
        <w:tab w:val="num" w:pos="1296"/>
      </w:tabs>
      <w:spacing w:after="0" w:line="240" w:lineRule="atLeast"/>
      <w:ind w:left="1296" w:hanging="288"/>
      <w:jc w:val="both"/>
      <w:outlineLvl w:val="6"/>
    </w:pPr>
    <w:rPr>
      <w:rFonts w:ascii="Arial" w:hAnsi="Arial"/>
      <w:b/>
      <w:bCs/>
      <w:color w:val="auto"/>
      <w:kern w:val="0"/>
      <w:sz w:val="20"/>
      <w:szCs w:val="20"/>
      <w:lang w:eastAsia="en-US"/>
    </w:rPr>
  </w:style>
  <w:style w:type="paragraph" w:styleId="Heading8">
    <w:name w:val="heading 8"/>
    <w:basedOn w:val="Normal"/>
    <w:next w:val="Normal"/>
    <w:link w:val="Heading8Char"/>
    <w:qFormat/>
    <w:rsid w:val="00693882"/>
    <w:pPr>
      <w:keepNext/>
      <w:tabs>
        <w:tab w:val="left" w:pos="571"/>
        <w:tab w:val="left" w:pos="1164"/>
        <w:tab w:val="num" w:pos="1440"/>
        <w:tab w:val="left" w:pos="6480"/>
        <w:tab w:val="left" w:pos="8568"/>
      </w:tabs>
      <w:suppressAutoHyphens/>
      <w:spacing w:after="0" w:line="360" w:lineRule="auto"/>
      <w:ind w:left="1440" w:hanging="432"/>
      <w:jc w:val="both"/>
      <w:outlineLvl w:val="7"/>
    </w:pPr>
    <w:rPr>
      <w:rFonts w:ascii="Arial" w:hAnsi="Arial"/>
      <w:b/>
      <w:bCs/>
      <w:color w:val="auto"/>
      <w:spacing w:val="-2"/>
      <w:kern w:val="0"/>
      <w:sz w:val="24"/>
      <w:szCs w:val="20"/>
      <w:lang w:eastAsia="en-US"/>
    </w:rPr>
  </w:style>
  <w:style w:type="paragraph" w:styleId="Heading9">
    <w:name w:val="heading 9"/>
    <w:basedOn w:val="Normal"/>
    <w:next w:val="Normal"/>
    <w:link w:val="Heading9Char"/>
    <w:qFormat/>
    <w:rsid w:val="00693882"/>
    <w:pPr>
      <w:keepNext/>
      <w:keepLines/>
      <w:tabs>
        <w:tab w:val="num" w:pos="1584"/>
      </w:tabs>
      <w:spacing w:after="0" w:line="240" w:lineRule="atLeast"/>
      <w:ind w:left="1584" w:hanging="144"/>
      <w:jc w:val="right"/>
      <w:outlineLvl w:val="8"/>
    </w:pPr>
    <w:rPr>
      <w:rFonts w:ascii="Arial" w:hAnsi="Arial"/>
      <w:b/>
      <w:bCs/>
      <w:color w:val="auto"/>
      <w:kern w:val="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AD77CB"/>
    <w:pPr>
      <w:spacing w:after="240"/>
      <w:ind w:left="709"/>
    </w:pPr>
  </w:style>
  <w:style w:type="character" w:customStyle="1" w:styleId="Heading1Char1">
    <w:name w:val="Heading 1 Char1"/>
    <w:aliases w:val="~Heading Char,1 Char,Heading 1 Char Char,Heading 1 Char1 Char Char,Heading 1 Char Char Char Char,Heading 1 Char1 Char Char Char Char,Heading 1 Char Char Char Char Char Char,Heading 1 Char1 Char Char Char Char Char Char"/>
    <w:basedOn w:val="DefaultParagraphFont"/>
    <w:link w:val="Heading1"/>
    <w:rsid w:val="008F4671"/>
    <w:rPr>
      <w:rFonts w:ascii="Trebuchet MS" w:eastAsiaTheme="majorEastAsia" w:hAnsi="Trebuchet MS" w:cstheme="majorBidi"/>
      <w:b/>
      <w:bCs/>
      <w:caps/>
      <w:color w:val="ED1A3B" w:themeColor="accent1"/>
      <w:kern w:val="16"/>
      <w:sz w:val="56"/>
      <w:szCs w:val="28"/>
    </w:rPr>
  </w:style>
  <w:style w:type="character" w:customStyle="1" w:styleId="Heading2Char">
    <w:name w:val="Heading 2 Char"/>
    <w:aliases w:val="~SubHeading Char"/>
    <w:basedOn w:val="DefaultParagraphFont"/>
    <w:link w:val="Heading2"/>
    <w:uiPriority w:val="9"/>
    <w:rsid w:val="005B346E"/>
    <w:rPr>
      <w:rFonts w:ascii="Trebuchet MS" w:eastAsiaTheme="majorEastAsia" w:hAnsi="Trebuchet MS" w:cstheme="majorBidi"/>
      <w:b/>
      <w:color w:val="685040"/>
      <w:kern w:val="16"/>
      <w:sz w:val="56"/>
      <w:szCs w:val="26"/>
    </w:rPr>
  </w:style>
  <w:style w:type="character" w:customStyle="1" w:styleId="Heading3Char">
    <w:name w:val="Heading 3 Char"/>
    <w:aliases w:val="~MinorHeading Char"/>
    <w:basedOn w:val="DefaultParagraphFont"/>
    <w:link w:val="Heading3"/>
    <w:rsid w:val="005B346E"/>
    <w:rPr>
      <w:rFonts w:ascii="Trebuchet MS" w:eastAsiaTheme="majorEastAsia" w:hAnsi="Trebuchet MS" w:cstheme="majorBidi"/>
      <w:b/>
      <w:bCs/>
      <w:caps/>
      <w:color w:val="98002E"/>
      <w:kern w:val="16"/>
      <w:sz w:val="28"/>
      <w:szCs w:val="26"/>
    </w:rPr>
  </w:style>
  <w:style w:type="character" w:customStyle="1" w:styleId="Heading4Char">
    <w:name w:val="Heading 4 Char"/>
    <w:aliases w:val="~MinorSubheading Char"/>
    <w:basedOn w:val="DefaultParagraphFont"/>
    <w:link w:val="Heading4"/>
    <w:rsid w:val="005B346E"/>
    <w:rPr>
      <w:rFonts w:ascii="Trebuchet MS" w:eastAsiaTheme="majorEastAsia" w:hAnsi="Trebuchet MS" w:cstheme="majorBidi"/>
      <w:b/>
      <w:iCs/>
      <w:caps/>
      <w:color w:val="ED1A3B" w:themeColor="accent1"/>
      <w:kern w:val="16"/>
      <w:szCs w:val="26"/>
    </w:rPr>
  </w:style>
  <w:style w:type="character" w:customStyle="1" w:styleId="Heading5Char">
    <w:name w:val="Heading 5 Char"/>
    <w:basedOn w:val="DefaultParagraphFont"/>
    <w:link w:val="Heading5"/>
    <w:rsid w:val="00AD77CB"/>
    <w:rPr>
      <w:rFonts w:ascii="Trebuchet MS" w:eastAsiaTheme="majorEastAsia" w:hAnsi="Trebuchet MS" w:cstheme="majorBidi"/>
      <w:iCs/>
      <w:kern w:val="16"/>
      <w:szCs w:val="26"/>
    </w:rPr>
  </w:style>
  <w:style w:type="character" w:customStyle="1" w:styleId="Heading6Char">
    <w:name w:val="Heading 6 Char"/>
    <w:basedOn w:val="DefaultParagraphFont"/>
    <w:link w:val="Heading6"/>
    <w:rsid w:val="00AD77CB"/>
    <w:rPr>
      <w:rFonts w:ascii="Trebuchet MS" w:eastAsiaTheme="majorEastAsia" w:hAnsi="Trebuchet MS" w:cstheme="majorBidi"/>
      <w:kern w:val="16"/>
      <w:szCs w:val="26"/>
    </w:rPr>
  </w:style>
  <w:style w:type="paragraph" w:styleId="TOCHeading">
    <w:name w:val="TOC Heading"/>
    <w:basedOn w:val="Heading1"/>
    <w:next w:val="Normal"/>
    <w:uiPriority w:val="39"/>
    <w:unhideWhenUsed/>
    <w:qFormat/>
    <w:rsid w:val="00AD77CB"/>
    <w:pPr>
      <w:keepNext/>
      <w:keepLines/>
      <w:spacing w:before="480" w:line="276" w:lineRule="auto"/>
      <w:outlineLvl w:val="9"/>
    </w:pPr>
    <w:rPr>
      <w:rFonts w:asciiTheme="majorHAnsi" w:hAnsiTheme="majorHAnsi"/>
      <w:b w:val="0"/>
      <w:color w:val="B60E28" w:themeColor="accent1" w:themeShade="BF"/>
      <w:kern w:val="0"/>
      <w:sz w:val="28"/>
      <w:lang w:val="en-US" w:eastAsia="en-US"/>
    </w:rPr>
  </w:style>
  <w:style w:type="paragraph" w:customStyle="1" w:styleId="BDOMainHeading1">
    <w:name w:val="BDOMainHeading1"/>
    <w:basedOn w:val="Heading1"/>
    <w:next w:val="BodyText"/>
    <w:link w:val="BDOMainHeading1Char"/>
    <w:rsid w:val="004F03C1"/>
    <w:pPr>
      <w:spacing w:after="480"/>
    </w:pPr>
    <w:rPr>
      <w:b w:val="0"/>
      <w:caps w:val="0"/>
      <w:szCs w:val="56"/>
      <w:lang w:eastAsia="en-US"/>
    </w:rPr>
  </w:style>
  <w:style w:type="character" w:customStyle="1" w:styleId="BDOMainHeading1Char">
    <w:name w:val="BDOMainHeading1 Char"/>
    <w:basedOn w:val="DefaultParagraphFont"/>
    <w:link w:val="BDOMainHeading1"/>
    <w:rsid w:val="004F03C1"/>
    <w:rPr>
      <w:rFonts w:ascii="Trebuchet MS" w:eastAsiaTheme="majorEastAsia" w:hAnsi="Trebuchet MS" w:cstheme="majorBidi"/>
      <w:b/>
      <w:bCs/>
      <w:caps/>
      <w:color w:val="ED1A3B" w:themeColor="accent1"/>
      <w:kern w:val="16"/>
      <w:sz w:val="56"/>
      <w:szCs w:val="56"/>
      <w:lang w:eastAsia="en-US"/>
    </w:rPr>
  </w:style>
  <w:style w:type="paragraph" w:customStyle="1" w:styleId="BDOMainHeading2">
    <w:name w:val="BDOMainHeading2"/>
    <w:next w:val="Normal"/>
    <w:rsid w:val="009B1A58"/>
    <w:pPr>
      <w:spacing w:before="240" w:after="120"/>
    </w:pPr>
    <w:rPr>
      <w:rFonts w:asciiTheme="minorHAnsi" w:eastAsiaTheme="minorEastAsia" w:hAnsiTheme="minorHAnsi" w:cstheme="minorBidi"/>
      <w:b/>
      <w:color w:val="ED1A3B" w:themeColor="accent1"/>
      <w:kern w:val="16"/>
      <w:sz w:val="24"/>
      <w:lang w:val="en-US" w:eastAsia="en-US" w:bidi="en-US"/>
    </w:rPr>
  </w:style>
  <w:style w:type="paragraph" w:customStyle="1" w:styleId="BDOMainHeading3">
    <w:name w:val="BDOMainHeading3"/>
    <w:next w:val="Normal"/>
    <w:link w:val="BDOMainHeading3Char"/>
    <w:qFormat/>
    <w:rsid w:val="006E336B"/>
    <w:pPr>
      <w:spacing w:before="240" w:after="240"/>
    </w:pPr>
    <w:rPr>
      <w:rFonts w:ascii="Trebuchet MS" w:hAnsi="Trebuchet MS"/>
      <w:kern w:val="16"/>
      <w:szCs w:val="24"/>
      <w:lang w:eastAsia="en-US"/>
    </w:rPr>
  </w:style>
  <w:style w:type="character" w:customStyle="1" w:styleId="BDOMainHeading3Char">
    <w:name w:val="BDOMainHeading3 Char"/>
    <w:basedOn w:val="BDOMainHeading1Char"/>
    <w:link w:val="BDOMainHeading3"/>
    <w:rsid w:val="006E336B"/>
    <w:rPr>
      <w:rFonts w:ascii="Trebuchet MS" w:eastAsiaTheme="majorEastAsia" w:hAnsi="Trebuchet MS" w:cstheme="majorBidi"/>
      <w:b/>
      <w:bCs/>
      <w:caps/>
      <w:color w:val="ED1A3B" w:themeColor="accent1"/>
      <w:kern w:val="16"/>
      <w:sz w:val="56"/>
      <w:szCs w:val="56"/>
      <w:lang w:eastAsia="en-US"/>
    </w:rPr>
  </w:style>
  <w:style w:type="paragraph" w:styleId="BalloonText">
    <w:name w:val="Balloon Text"/>
    <w:basedOn w:val="Normal"/>
    <w:link w:val="BalloonTextChar"/>
    <w:uiPriority w:val="99"/>
    <w:semiHidden/>
    <w:unhideWhenUsed/>
    <w:rsid w:val="00116ADA"/>
    <w:rPr>
      <w:rFonts w:ascii="Tahoma" w:hAnsi="Tahoma" w:cs="Tahoma"/>
      <w:sz w:val="16"/>
      <w:szCs w:val="16"/>
    </w:rPr>
  </w:style>
  <w:style w:type="character" w:customStyle="1" w:styleId="BalloonTextChar">
    <w:name w:val="Balloon Text Char"/>
    <w:basedOn w:val="DefaultParagraphFont"/>
    <w:link w:val="BalloonText"/>
    <w:uiPriority w:val="99"/>
    <w:semiHidden/>
    <w:rsid w:val="00116ADA"/>
    <w:rPr>
      <w:rFonts w:ascii="Tahoma" w:hAnsi="Tahoma" w:cs="Tahoma"/>
      <w:kern w:val="16"/>
      <w:sz w:val="16"/>
      <w:szCs w:val="16"/>
    </w:rPr>
  </w:style>
  <w:style w:type="paragraph" w:styleId="Header">
    <w:name w:val="header"/>
    <w:basedOn w:val="Normal"/>
    <w:link w:val="HeaderChar"/>
    <w:uiPriority w:val="99"/>
    <w:unhideWhenUsed/>
    <w:rsid w:val="00116ADA"/>
    <w:pPr>
      <w:tabs>
        <w:tab w:val="center" w:pos="4513"/>
        <w:tab w:val="right" w:pos="9026"/>
      </w:tabs>
    </w:pPr>
  </w:style>
  <w:style w:type="character" w:customStyle="1" w:styleId="HeaderChar">
    <w:name w:val="Header Char"/>
    <w:basedOn w:val="DefaultParagraphFont"/>
    <w:link w:val="Header"/>
    <w:uiPriority w:val="99"/>
    <w:rsid w:val="00116ADA"/>
    <w:rPr>
      <w:rFonts w:ascii="Trebuchet MS" w:hAnsi="Trebuchet MS"/>
      <w:kern w:val="16"/>
      <w:szCs w:val="24"/>
    </w:rPr>
  </w:style>
  <w:style w:type="paragraph" w:styleId="Footer">
    <w:name w:val="footer"/>
    <w:aliases w:val="~Footer"/>
    <w:basedOn w:val="Normal"/>
    <w:link w:val="FooterChar"/>
    <w:uiPriority w:val="99"/>
    <w:unhideWhenUsed/>
    <w:rsid w:val="00116ADA"/>
    <w:pPr>
      <w:tabs>
        <w:tab w:val="center" w:pos="4513"/>
        <w:tab w:val="right" w:pos="9026"/>
      </w:tabs>
    </w:pPr>
  </w:style>
  <w:style w:type="character" w:customStyle="1" w:styleId="FooterChar">
    <w:name w:val="Footer Char"/>
    <w:aliases w:val="~Footer Char"/>
    <w:basedOn w:val="DefaultParagraphFont"/>
    <w:link w:val="Footer"/>
    <w:uiPriority w:val="99"/>
    <w:rsid w:val="00116ADA"/>
    <w:rPr>
      <w:rFonts w:ascii="Trebuchet MS" w:hAnsi="Trebuchet MS"/>
      <w:kern w:val="16"/>
      <w:szCs w:val="24"/>
    </w:rPr>
  </w:style>
  <w:style w:type="paragraph" w:styleId="ListParagraph">
    <w:name w:val="List Paragraph"/>
    <w:aliases w:val="Citation List,본문(내용),List Paragraph (numbered (a)),Colorful List - Accent 11,ANNEX,Bullets,Dot pt,Ha,Lapis Bulleted List,List Bullet-OpsManual,List Paragraph nowy,Liste 1,Normal 2,Numbered List Paragraph,Numbered Paragraph,En tête 1"/>
    <w:basedOn w:val="Normal"/>
    <w:link w:val="ListParagraphChar"/>
    <w:uiPriority w:val="34"/>
    <w:qFormat/>
    <w:locked/>
    <w:rsid w:val="00116ADA"/>
    <w:pPr>
      <w:ind w:left="720"/>
      <w:contextualSpacing/>
    </w:pPr>
  </w:style>
  <w:style w:type="paragraph" w:customStyle="1" w:styleId="BODY">
    <w:name w:val="BODY"/>
    <w:basedOn w:val="Normal"/>
    <w:rsid w:val="00116ADA"/>
  </w:style>
  <w:style w:type="character" w:customStyle="1" w:styleId="REDText">
    <w:name w:val="RED_Text"/>
    <w:basedOn w:val="DefaultParagraphFont"/>
    <w:uiPriority w:val="1"/>
    <w:rsid w:val="00116ADA"/>
    <w:rPr>
      <w:color w:val="ED1A3B" w:themeColor="accent1"/>
    </w:rPr>
  </w:style>
  <w:style w:type="paragraph" w:customStyle="1" w:styleId="BULLETList01">
    <w:name w:val="BULLET_List 01"/>
    <w:basedOn w:val="BODY"/>
    <w:rsid w:val="00204E84"/>
    <w:pPr>
      <w:numPr>
        <w:numId w:val="1"/>
      </w:numPr>
      <w:ind w:left="284" w:hanging="284"/>
    </w:pPr>
    <w:rPr>
      <w:rFonts w:eastAsia="+mn-ea"/>
    </w:rPr>
  </w:style>
  <w:style w:type="table" w:styleId="TableGrid">
    <w:name w:val="Table Grid"/>
    <w:aliases w:val="IPG Table 1"/>
    <w:basedOn w:val="TableNormal"/>
    <w:uiPriority w:val="59"/>
    <w:rsid w:val="002D0EAB"/>
    <w:pPr>
      <w:spacing w:before="40" w:after="20" w:line="264" w:lineRule="auto"/>
    </w:pPr>
    <w:rPr>
      <w:rFonts w:ascii="Trebuchet MS" w:hAnsi="Trebuchet MS"/>
      <w:color w:val="685040" w:themeColor="text2"/>
      <w:sz w:val="18"/>
    </w:rPr>
    <w:tblPr>
      <w:tblStyleRowBandSize w:val="1"/>
    </w:tblPr>
    <w:tcPr>
      <w:shd w:val="clear" w:color="auto" w:fill="auto"/>
    </w:tcPr>
    <w:tblStylePr w:type="firstRow">
      <w:pPr>
        <w:keepNext w:val="0"/>
        <w:keepLines w:val="0"/>
        <w:pageBreakBefore w:val="0"/>
        <w:widowControl/>
        <w:suppressLineNumbers w:val="0"/>
        <w:suppressAutoHyphens w:val="0"/>
        <w:wordWrap/>
        <w:spacing w:beforeLines="0" w:before="60" w:beforeAutospacing="0" w:afterLines="0" w:after="60" w:afterAutospacing="0" w:line="264" w:lineRule="auto"/>
        <w:ind w:leftChars="0" w:left="0" w:rightChars="0" w:right="0" w:firstLineChars="0" w:firstLine="0"/>
        <w:contextualSpacing w:val="0"/>
        <w:jc w:val="left"/>
      </w:pPr>
      <w:rPr>
        <w:rFonts w:ascii="Tahoma" w:hAnsi="Tahoma"/>
        <w:b w:val="0"/>
        <w:i w:val="0"/>
        <w:caps/>
        <w:smallCaps w:val="0"/>
        <w:strike w:val="0"/>
        <w:dstrike w:val="0"/>
        <w:vanish w:val="0"/>
        <w:color w:val="FFFFFF" w:themeColor="background1"/>
        <w:sz w:val="18"/>
        <w:u w:val="none"/>
        <w:vertAlign w:val="baseline"/>
      </w:rPr>
      <w:tblPr/>
      <w:tcPr>
        <w:tcBorders>
          <w:top w:val="nil"/>
          <w:left w:val="nil"/>
          <w:bottom w:val="nil"/>
          <w:right w:val="nil"/>
          <w:insideH w:val="nil"/>
          <w:insideV w:val="nil"/>
          <w:tl2br w:val="nil"/>
          <w:tr2bl w:val="nil"/>
        </w:tcBorders>
        <w:shd w:val="clear" w:color="auto" w:fill="auto"/>
      </w:tcPr>
    </w:tblStylePr>
    <w:tblStylePr w:type="lastRow">
      <w:rPr>
        <w:rFonts w:ascii="Tahoma" w:hAnsi="Tahoma"/>
      </w:rPr>
      <w:tblPr/>
      <w:tcPr>
        <w:tcBorders>
          <w:top w:val="nil"/>
          <w:left w:val="nil"/>
          <w:bottom w:val="nil"/>
          <w:right w:val="nil"/>
          <w:insideH w:val="nil"/>
          <w:insideV w:val="nil"/>
          <w:tl2br w:val="nil"/>
          <w:tr2bl w:val="nil"/>
        </w:tcBorders>
        <w:shd w:val="clear" w:color="auto" w:fill="auto"/>
      </w:tcPr>
    </w:tblStylePr>
    <w:tblStylePr w:type="firstCol">
      <w:rPr>
        <w:rFonts w:ascii="Tahoma" w:hAnsi="Tahoma"/>
        <w:b w:val="0"/>
        <w:sz w:val="18"/>
      </w:rPr>
    </w:tblStylePr>
    <w:tblStylePr w:type="lastCol">
      <w:rPr>
        <w:rFonts w:ascii="Tahoma" w:hAnsi="Tahoma"/>
        <w:sz w:val="18"/>
      </w:rPr>
      <w:tblPr/>
      <w:tcPr>
        <w:tcBorders>
          <w:top w:val="nil"/>
          <w:left w:val="nil"/>
          <w:bottom w:val="nil"/>
          <w:right w:val="nil"/>
          <w:insideH w:val="nil"/>
          <w:insideV w:val="nil"/>
          <w:tl2br w:val="nil"/>
          <w:tr2bl w:val="nil"/>
        </w:tcBorders>
        <w:shd w:val="clear" w:color="auto" w:fill="auto"/>
      </w:tcPr>
    </w:tblStylePr>
    <w:tblStylePr w:type="band1Horz">
      <w:rPr>
        <w:rFonts w:ascii="Tahoma" w:hAnsi="Tahoma"/>
        <w:color w:val="685040"/>
        <w:sz w:val="18"/>
      </w:rPr>
    </w:tblStylePr>
    <w:tblStylePr w:type="band2Horz">
      <w:rPr>
        <w:rFonts w:ascii="Tahoma" w:hAnsi="Tahoma"/>
        <w:sz w:val="18"/>
      </w:rPr>
      <w:tblPr/>
      <w:tcPr>
        <w:tcBorders>
          <w:top w:val="nil"/>
          <w:left w:val="nil"/>
          <w:bottom w:val="nil"/>
          <w:right w:val="nil"/>
          <w:insideH w:val="nil"/>
          <w:insideV w:val="nil"/>
          <w:tl2br w:val="nil"/>
          <w:tr2bl w:val="nil"/>
        </w:tcBorders>
        <w:shd w:val="clear" w:color="auto" w:fill="auto"/>
      </w:tcPr>
    </w:tblStylePr>
  </w:style>
  <w:style w:type="paragraph" w:styleId="NormalWeb">
    <w:name w:val="Normal (Web)"/>
    <w:basedOn w:val="Normal"/>
    <w:uiPriority w:val="99"/>
    <w:unhideWhenUsed/>
    <w:rsid w:val="00116ADA"/>
    <w:pPr>
      <w:spacing w:before="100" w:beforeAutospacing="1" w:after="100" w:afterAutospacing="1"/>
    </w:pPr>
    <w:rPr>
      <w:rFonts w:ascii="Times New Roman" w:hAnsi="Times New Roman"/>
      <w:kern w:val="0"/>
      <w:sz w:val="24"/>
    </w:rPr>
  </w:style>
  <w:style w:type="paragraph" w:customStyle="1" w:styleId="Graphictitle">
    <w:name w:val="~Graphic title"/>
    <w:next w:val="BodyText"/>
    <w:qFormat/>
    <w:rsid w:val="00533FB5"/>
    <w:pPr>
      <w:spacing w:before="120" w:after="120" w:line="264" w:lineRule="auto"/>
    </w:pPr>
    <w:rPr>
      <w:rFonts w:ascii="Trebuchet MS" w:hAnsi="Trebuchet MS"/>
      <w:b/>
      <w:caps/>
      <w:color w:val="ED1A3B" w:themeColor="accent1"/>
      <w:kern w:val="16"/>
      <w:sz w:val="18"/>
      <w:szCs w:val="24"/>
    </w:rPr>
  </w:style>
  <w:style w:type="paragraph" w:customStyle="1" w:styleId="Quotewhite">
    <w:name w:val="Quote white"/>
    <w:basedOn w:val="BODY"/>
    <w:qFormat/>
    <w:rsid w:val="00116ADA"/>
    <w:pPr>
      <w:ind w:left="284" w:hanging="284"/>
    </w:pPr>
    <w:rPr>
      <w:color w:val="FFFFFF" w:themeColor="background1"/>
      <w:sz w:val="36"/>
      <w:szCs w:val="36"/>
    </w:rPr>
  </w:style>
  <w:style w:type="paragraph" w:customStyle="1" w:styleId="Contents">
    <w:name w:val="Contents"/>
    <w:basedOn w:val="Graphictitle"/>
    <w:qFormat/>
    <w:rsid w:val="00116ADA"/>
    <w:rPr>
      <w:color w:val="FFFFFF" w:themeColor="background1"/>
      <w:sz w:val="24"/>
    </w:rPr>
  </w:style>
  <w:style w:type="paragraph" w:customStyle="1" w:styleId="Tabletitleleft">
    <w:name w:val="Table title left"/>
    <w:basedOn w:val="BODY"/>
    <w:rsid w:val="00116ADA"/>
    <w:pPr>
      <w:spacing w:before="60" w:after="0"/>
    </w:pPr>
    <w:rPr>
      <w:b/>
      <w:color w:val="FFFFFF" w:themeColor="background1"/>
      <w:szCs w:val="16"/>
    </w:rPr>
  </w:style>
  <w:style w:type="paragraph" w:customStyle="1" w:styleId="BDOmainheadingwithsub">
    <w:name w:val="BDO main heading with sub"/>
    <w:basedOn w:val="BDOMainHeading1"/>
    <w:next w:val="BDOsubheading"/>
    <w:rsid w:val="00116ADA"/>
    <w:pPr>
      <w:spacing w:after="0"/>
    </w:pPr>
    <w:rPr>
      <w:rFonts w:eastAsia="+mj-ea"/>
    </w:rPr>
  </w:style>
  <w:style w:type="paragraph" w:customStyle="1" w:styleId="BDOsubheading">
    <w:name w:val="BDO sub heading"/>
    <w:basedOn w:val="BDOmainheadingwithsub"/>
    <w:next w:val="BODY"/>
    <w:rsid w:val="00116ADA"/>
    <w:pPr>
      <w:spacing w:after="480"/>
    </w:pPr>
    <w:rPr>
      <w:rFonts w:eastAsia="+mn-ea"/>
      <w:bCs w:val="0"/>
      <w:caps/>
      <w:color w:val="685040" w:themeColor="text2"/>
      <w:sz w:val="48"/>
      <w:szCs w:val="48"/>
    </w:rPr>
  </w:style>
  <w:style w:type="paragraph" w:customStyle="1" w:styleId="bulletsmall">
    <w:name w:val="bullet small"/>
    <w:basedOn w:val="BODY"/>
    <w:rsid w:val="00412FCC"/>
    <w:pPr>
      <w:numPr>
        <w:numId w:val="2"/>
      </w:numPr>
      <w:ind w:left="142" w:hanging="142"/>
    </w:pPr>
    <w:rPr>
      <w:rFonts w:asciiTheme="minorHAnsi" w:eastAsia="+mn-ea" w:hAnsiTheme="minorHAnsi" w:cstheme="minorBidi"/>
      <w:bCs/>
      <w:sz w:val="16"/>
      <w:szCs w:val="20"/>
      <w:lang w:val="en-US" w:eastAsia="en-US" w:bidi="en-US"/>
    </w:rPr>
  </w:style>
  <w:style w:type="paragraph" w:customStyle="1" w:styleId="bullet3ptafter">
    <w:name w:val="bullet 3pt after"/>
    <w:basedOn w:val="BULLETList01"/>
    <w:rsid w:val="00412FCC"/>
    <w:pPr>
      <w:spacing w:after="60"/>
    </w:pPr>
  </w:style>
  <w:style w:type="paragraph" w:customStyle="1" w:styleId="BodyHeading">
    <w:name w:val="~BodyHeading"/>
    <w:basedOn w:val="Normal"/>
    <w:next w:val="BodyText"/>
    <w:qFormat/>
    <w:rsid w:val="006A5BCB"/>
    <w:pPr>
      <w:keepNext/>
      <w:spacing w:before="120"/>
    </w:pPr>
    <w:rPr>
      <w:rFonts w:eastAsiaTheme="minorHAnsi" w:cstheme="minorBidi"/>
      <w:b/>
      <w:kern w:val="0"/>
      <w:szCs w:val="22"/>
      <w:lang w:eastAsia="en-US"/>
    </w:rPr>
  </w:style>
  <w:style w:type="paragraph" w:customStyle="1" w:styleId="BodyTextNum">
    <w:name w:val="~BodyTextNum"/>
    <w:basedOn w:val="Normal"/>
    <w:semiHidden/>
    <w:unhideWhenUsed/>
    <w:rsid w:val="006A5BCB"/>
    <w:pPr>
      <w:numPr>
        <w:numId w:val="3"/>
      </w:numPr>
      <w:tabs>
        <w:tab w:val="left" w:pos="284"/>
      </w:tabs>
      <w:spacing w:before="120"/>
    </w:pPr>
    <w:rPr>
      <w:rFonts w:ascii="Arial" w:eastAsiaTheme="minorHAnsi" w:hAnsi="Arial" w:cstheme="minorBidi"/>
      <w:kern w:val="0"/>
      <w:szCs w:val="22"/>
      <w:lang w:eastAsia="en-US"/>
    </w:rPr>
  </w:style>
  <w:style w:type="paragraph" w:customStyle="1" w:styleId="Bullet1">
    <w:name w:val="~Bullet1"/>
    <w:basedOn w:val="Normal"/>
    <w:qFormat/>
    <w:rsid w:val="006A5BCB"/>
    <w:pPr>
      <w:numPr>
        <w:numId w:val="4"/>
      </w:numPr>
      <w:spacing w:before="60" w:after="60"/>
      <w:ind w:left="284" w:hanging="284"/>
    </w:pPr>
    <w:rPr>
      <w:rFonts w:eastAsia="Calibri" w:cs="Arial"/>
      <w:kern w:val="0"/>
      <w:szCs w:val="20"/>
      <w:lang w:eastAsia="en-US"/>
    </w:rPr>
  </w:style>
  <w:style w:type="paragraph" w:customStyle="1" w:styleId="Bullet2">
    <w:name w:val="~Bullet2"/>
    <w:basedOn w:val="Bullet1"/>
    <w:qFormat/>
    <w:rsid w:val="006A5BCB"/>
    <w:pPr>
      <w:numPr>
        <w:ilvl w:val="1"/>
      </w:numPr>
    </w:pPr>
  </w:style>
  <w:style w:type="paragraph" w:customStyle="1" w:styleId="Bullet3">
    <w:name w:val="~Bullet3"/>
    <w:basedOn w:val="Bullet2"/>
    <w:qFormat/>
    <w:rsid w:val="006A5BCB"/>
    <w:pPr>
      <w:numPr>
        <w:ilvl w:val="2"/>
      </w:numPr>
      <w:ind w:left="964" w:hanging="284"/>
    </w:pPr>
  </w:style>
  <w:style w:type="paragraph" w:customStyle="1" w:styleId="NumBullet1">
    <w:name w:val="~NumBullet1"/>
    <w:basedOn w:val="Bullet1"/>
    <w:qFormat/>
    <w:rsid w:val="006A5BCB"/>
    <w:pPr>
      <w:numPr>
        <w:numId w:val="5"/>
      </w:numPr>
      <w:spacing w:before="120" w:after="120"/>
      <w:ind w:left="284" w:hanging="284"/>
    </w:pPr>
  </w:style>
  <w:style w:type="paragraph" w:customStyle="1" w:styleId="NumBullet2">
    <w:name w:val="~NumBullet2"/>
    <w:basedOn w:val="NumBullet1"/>
    <w:qFormat/>
    <w:rsid w:val="006A5BCB"/>
    <w:pPr>
      <w:numPr>
        <w:ilvl w:val="1"/>
      </w:numPr>
    </w:pPr>
  </w:style>
  <w:style w:type="paragraph" w:customStyle="1" w:styleId="NumBullet3">
    <w:name w:val="~NumBullet3"/>
    <w:basedOn w:val="NumBullet2"/>
    <w:qFormat/>
    <w:rsid w:val="006A5BCB"/>
    <w:pPr>
      <w:numPr>
        <w:ilvl w:val="2"/>
      </w:numPr>
    </w:pPr>
  </w:style>
  <w:style w:type="paragraph" w:customStyle="1" w:styleId="TableText">
    <w:name w:val="~TableText"/>
    <w:basedOn w:val="BodyText"/>
    <w:qFormat/>
    <w:rsid w:val="005C3D33"/>
    <w:pPr>
      <w:widowControl w:val="0"/>
      <w:spacing w:before="40" w:after="20"/>
    </w:pPr>
    <w:rPr>
      <w:rFonts w:eastAsiaTheme="minorHAnsi" w:cstheme="minorBidi"/>
      <w:kern w:val="0"/>
      <w:szCs w:val="22"/>
      <w:lang w:eastAsia="en-US"/>
    </w:rPr>
  </w:style>
  <w:style w:type="paragraph" w:customStyle="1" w:styleId="TableBullet1">
    <w:name w:val="~TableBullet1"/>
    <w:basedOn w:val="TableText"/>
    <w:qFormat/>
    <w:rsid w:val="006A5BCB"/>
    <w:pPr>
      <w:numPr>
        <w:numId w:val="6"/>
      </w:numPr>
    </w:pPr>
    <w:rPr>
      <w:rFonts w:eastAsia="Calibri" w:cs="Arial"/>
      <w:szCs w:val="20"/>
    </w:rPr>
  </w:style>
  <w:style w:type="paragraph" w:customStyle="1" w:styleId="TableHeading">
    <w:name w:val="~TableHeading"/>
    <w:qFormat/>
    <w:rsid w:val="003D255F"/>
    <w:pPr>
      <w:keepNext/>
      <w:keepLines/>
      <w:spacing w:before="60" w:after="40" w:line="264" w:lineRule="auto"/>
    </w:pPr>
    <w:rPr>
      <w:rFonts w:ascii="Trebuchet MS" w:eastAsiaTheme="minorHAnsi" w:hAnsi="Trebuchet MS" w:cstheme="minorBidi"/>
      <w:b/>
      <w:caps/>
      <w:color w:val="FFFFFF" w:themeColor="background1"/>
      <w:sz w:val="18"/>
      <w:szCs w:val="26"/>
      <w:lang w:eastAsia="en-US"/>
    </w:rPr>
  </w:style>
  <w:style w:type="paragraph" w:customStyle="1" w:styleId="TableBullet2">
    <w:name w:val="~TableBullet2"/>
    <w:basedOn w:val="TableBullet1"/>
    <w:unhideWhenUsed/>
    <w:rsid w:val="006A5BCB"/>
    <w:pPr>
      <w:numPr>
        <w:ilvl w:val="1"/>
      </w:numPr>
    </w:pPr>
  </w:style>
  <w:style w:type="paragraph" w:customStyle="1" w:styleId="CVName">
    <w:name w:val="~CVName"/>
    <w:basedOn w:val="Normal"/>
    <w:next w:val="CVPosition"/>
    <w:qFormat/>
    <w:rsid w:val="007F2F63"/>
    <w:pPr>
      <w:spacing w:before="120"/>
    </w:pPr>
    <w:rPr>
      <w:rFonts w:eastAsiaTheme="minorHAnsi" w:cstheme="minorBidi"/>
      <w:caps/>
      <w:color w:val="ED1A3B"/>
      <w:kern w:val="0"/>
      <w:szCs w:val="22"/>
      <w:lang w:eastAsia="en-US"/>
    </w:rPr>
  </w:style>
  <w:style w:type="paragraph" w:customStyle="1" w:styleId="CVPosition">
    <w:name w:val="~CVPosition"/>
    <w:basedOn w:val="Normal"/>
    <w:next w:val="CVContact"/>
    <w:qFormat/>
    <w:rsid w:val="006A5BCB"/>
    <w:pPr>
      <w:spacing w:after="40"/>
    </w:pPr>
    <w:rPr>
      <w:rFonts w:eastAsiaTheme="minorHAnsi" w:cstheme="minorBidi"/>
      <w:b/>
      <w:kern w:val="0"/>
      <w:szCs w:val="22"/>
      <w:lang w:eastAsia="en-US"/>
    </w:rPr>
  </w:style>
  <w:style w:type="paragraph" w:customStyle="1" w:styleId="CVContact">
    <w:name w:val="~CVContact"/>
    <w:basedOn w:val="CVPosition"/>
    <w:qFormat/>
    <w:rsid w:val="006A5BCB"/>
    <w:pPr>
      <w:spacing w:before="120" w:after="0"/>
    </w:pPr>
    <w:rPr>
      <w:b w:val="0"/>
    </w:rPr>
  </w:style>
  <w:style w:type="paragraph" w:customStyle="1" w:styleId="TableSubHead">
    <w:name w:val="~TableSubHead"/>
    <w:basedOn w:val="TableText"/>
    <w:next w:val="TableText"/>
    <w:qFormat/>
    <w:rsid w:val="006A5BCB"/>
    <w:pPr>
      <w:keepLines/>
      <w:widowControl/>
    </w:pPr>
    <w:rPr>
      <w:b/>
    </w:rPr>
  </w:style>
  <w:style w:type="paragraph" w:customStyle="1" w:styleId="CVText">
    <w:name w:val="~CVText"/>
    <w:basedOn w:val="Normal"/>
    <w:qFormat/>
    <w:rsid w:val="006A5BCB"/>
    <w:rPr>
      <w:rFonts w:eastAsiaTheme="minorHAnsi" w:cstheme="minorBidi"/>
      <w:kern w:val="0"/>
      <w:szCs w:val="22"/>
      <w:lang w:eastAsia="en-US"/>
    </w:rPr>
  </w:style>
  <w:style w:type="paragraph" w:customStyle="1" w:styleId="CVIntroText">
    <w:name w:val="~CVIntroText"/>
    <w:basedOn w:val="CVText"/>
    <w:next w:val="CVText"/>
    <w:qFormat/>
    <w:rsid w:val="006A5BCB"/>
    <w:rPr>
      <w:color w:val="ED1A3B"/>
    </w:rPr>
  </w:style>
  <w:style w:type="paragraph" w:customStyle="1" w:styleId="AltMinorHeading">
    <w:name w:val="~AltMinorHeading"/>
    <w:basedOn w:val="Heading3"/>
    <w:next w:val="Normal"/>
    <w:link w:val="AltMinorHeadingChar"/>
    <w:qFormat/>
    <w:rsid w:val="009B1A58"/>
    <w:pPr>
      <w:keepNext/>
      <w:keepLines/>
      <w:numPr>
        <w:ilvl w:val="0"/>
      </w:numPr>
      <w:spacing w:before="240" w:after="240"/>
    </w:pPr>
    <w:rPr>
      <w:rFonts w:eastAsiaTheme="minorHAnsi" w:cs="Arial"/>
      <w:bCs w:val="0"/>
      <w:caps w:val="0"/>
      <w:kern w:val="0"/>
      <w:szCs w:val="22"/>
      <w:lang w:eastAsia="en-US"/>
    </w:rPr>
  </w:style>
  <w:style w:type="character" w:customStyle="1" w:styleId="AltMinorHeadingChar">
    <w:name w:val="~AltMinorHeading Char"/>
    <w:basedOn w:val="DefaultParagraphFont"/>
    <w:link w:val="AltMinorHeading"/>
    <w:rsid w:val="009B1A58"/>
    <w:rPr>
      <w:rFonts w:ascii="Trebuchet MS" w:eastAsiaTheme="minorHAnsi" w:hAnsi="Trebuchet MS" w:cs="Arial"/>
      <w:b/>
      <w:caps/>
      <w:color w:val="98002E"/>
      <w:sz w:val="28"/>
      <w:szCs w:val="22"/>
      <w:lang w:eastAsia="en-US"/>
    </w:rPr>
  </w:style>
  <w:style w:type="paragraph" w:customStyle="1" w:styleId="BackPageText">
    <w:name w:val="~BackPageText"/>
    <w:link w:val="BackPageTextChar"/>
    <w:qFormat/>
    <w:rsid w:val="000A61E1"/>
    <w:pPr>
      <w:spacing w:before="120"/>
    </w:pPr>
    <w:rPr>
      <w:rFonts w:ascii="Trebuchet MS" w:hAnsi="Trebuchet MS"/>
      <w:color w:val="FFFFFF" w:themeColor="background1"/>
      <w:kern w:val="16"/>
      <w:sz w:val="14"/>
      <w:szCs w:val="14"/>
    </w:rPr>
  </w:style>
  <w:style w:type="paragraph" w:customStyle="1" w:styleId="FrontCoverText">
    <w:name w:val="~FrontCoverText"/>
    <w:link w:val="FrontCoverTextChar"/>
    <w:qFormat/>
    <w:rsid w:val="000A61E1"/>
    <w:rPr>
      <w:rFonts w:ascii="Trebuchet MS" w:hAnsi="Trebuchet MS"/>
      <w:b/>
      <w:color w:val="FFFFFF" w:themeColor="background1"/>
      <w:kern w:val="16"/>
      <w:sz w:val="24"/>
      <w:szCs w:val="24"/>
    </w:rPr>
  </w:style>
  <w:style w:type="character" w:customStyle="1" w:styleId="BackPageTextChar">
    <w:name w:val="~BackPageText Char"/>
    <w:basedOn w:val="DefaultParagraphFont"/>
    <w:link w:val="BackPageText"/>
    <w:rsid w:val="000A61E1"/>
    <w:rPr>
      <w:rFonts w:ascii="Trebuchet MS" w:hAnsi="Trebuchet MS"/>
      <w:color w:val="FFFFFF" w:themeColor="background1"/>
      <w:kern w:val="16"/>
      <w:sz w:val="14"/>
      <w:szCs w:val="14"/>
    </w:rPr>
  </w:style>
  <w:style w:type="paragraph" w:customStyle="1" w:styleId="FrontCoverSubheading">
    <w:name w:val="~FrontCoverSubheading"/>
    <w:link w:val="FrontCoverSubheadingChar"/>
    <w:qFormat/>
    <w:rsid w:val="000A61E1"/>
    <w:rPr>
      <w:rFonts w:ascii="Trebuchet MS" w:hAnsi="Trebuchet MS"/>
      <w:b/>
      <w:color w:val="FFFFFF" w:themeColor="background1"/>
      <w:kern w:val="16"/>
      <w:sz w:val="32"/>
      <w:szCs w:val="32"/>
    </w:rPr>
  </w:style>
  <w:style w:type="character" w:customStyle="1" w:styleId="FrontCoverTextChar">
    <w:name w:val="~FrontCoverText Char"/>
    <w:basedOn w:val="DefaultParagraphFont"/>
    <w:link w:val="FrontCoverText"/>
    <w:rsid w:val="000A61E1"/>
    <w:rPr>
      <w:rFonts w:ascii="Trebuchet MS" w:hAnsi="Trebuchet MS"/>
      <w:b/>
      <w:color w:val="FFFFFF" w:themeColor="background1"/>
      <w:kern w:val="16"/>
      <w:sz w:val="24"/>
      <w:szCs w:val="24"/>
    </w:rPr>
  </w:style>
  <w:style w:type="paragraph" w:customStyle="1" w:styleId="DocTitle">
    <w:name w:val="~DocTitle"/>
    <w:link w:val="DocTitleChar"/>
    <w:qFormat/>
    <w:rsid w:val="00570806"/>
    <w:rPr>
      <w:rFonts w:ascii="Trebuchet MS" w:hAnsi="Trebuchet MS"/>
      <w:b/>
      <w:color w:val="FFFFFF" w:themeColor="background1"/>
      <w:kern w:val="16"/>
      <w:sz w:val="64"/>
      <w:szCs w:val="64"/>
    </w:rPr>
  </w:style>
  <w:style w:type="character" w:customStyle="1" w:styleId="FrontCoverSubheadingChar">
    <w:name w:val="~FrontCoverSubheading Char"/>
    <w:basedOn w:val="DefaultParagraphFont"/>
    <w:link w:val="FrontCoverSubheading"/>
    <w:rsid w:val="000A61E1"/>
    <w:rPr>
      <w:rFonts w:ascii="Trebuchet MS" w:hAnsi="Trebuchet MS"/>
      <w:b/>
      <w:color w:val="FFFFFF" w:themeColor="background1"/>
      <w:kern w:val="16"/>
      <w:sz w:val="32"/>
      <w:szCs w:val="32"/>
    </w:rPr>
  </w:style>
  <w:style w:type="paragraph" w:customStyle="1" w:styleId="BodyText">
    <w:name w:val="~BodyText"/>
    <w:basedOn w:val="Normal"/>
    <w:link w:val="BodyTextChar"/>
    <w:qFormat/>
    <w:rsid w:val="00C6319E"/>
  </w:style>
  <w:style w:type="character" w:customStyle="1" w:styleId="DocTitleChar">
    <w:name w:val="~DocTitle Char"/>
    <w:basedOn w:val="DefaultParagraphFont"/>
    <w:link w:val="DocTitle"/>
    <w:rsid w:val="00570806"/>
    <w:rPr>
      <w:rFonts w:ascii="Trebuchet MS" w:hAnsi="Trebuchet MS"/>
      <w:b/>
      <w:color w:val="FFFFFF" w:themeColor="background1"/>
      <w:kern w:val="16"/>
      <w:sz w:val="64"/>
      <w:szCs w:val="64"/>
    </w:rPr>
  </w:style>
  <w:style w:type="paragraph" w:customStyle="1" w:styleId="BodyTextRed">
    <w:name w:val="~BodyTextRed"/>
    <w:basedOn w:val="BodyText"/>
    <w:link w:val="BodyTextRedChar"/>
    <w:qFormat/>
    <w:rsid w:val="000E3937"/>
    <w:rPr>
      <w:color w:val="ED1A3B"/>
    </w:rPr>
  </w:style>
  <w:style w:type="character" w:customStyle="1" w:styleId="BodyTextChar">
    <w:name w:val="~BodyText Char"/>
    <w:basedOn w:val="DefaultParagraphFont"/>
    <w:link w:val="BodyText"/>
    <w:rsid w:val="00C6319E"/>
    <w:rPr>
      <w:rFonts w:ascii="Trebuchet MS" w:hAnsi="Trebuchet MS"/>
      <w:color w:val="685040"/>
      <w:kern w:val="16"/>
      <w:sz w:val="18"/>
      <w:szCs w:val="24"/>
    </w:rPr>
  </w:style>
  <w:style w:type="paragraph" w:customStyle="1" w:styleId="LetterAddress">
    <w:name w:val="~LetterAddress"/>
    <w:basedOn w:val="NoSpacing"/>
    <w:rsid w:val="005F7A02"/>
    <w:pPr>
      <w:spacing w:line="264" w:lineRule="auto"/>
    </w:pPr>
    <w:rPr>
      <w:rFonts w:asciiTheme="minorHAnsi" w:eastAsiaTheme="minorHAnsi" w:hAnsiTheme="minorHAnsi" w:cstheme="minorBidi"/>
      <w:color w:val="auto"/>
      <w:kern w:val="0"/>
      <w:szCs w:val="22"/>
      <w:lang w:eastAsia="en-US"/>
    </w:rPr>
  </w:style>
  <w:style w:type="character" w:customStyle="1" w:styleId="BodyTextRedChar">
    <w:name w:val="~BodyTextRed Char"/>
    <w:basedOn w:val="BodyTextChar"/>
    <w:link w:val="BodyTextRed"/>
    <w:rsid w:val="000E3937"/>
    <w:rPr>
      <w:rFonts w:ascii="Trebuchet MS" w:hAnsi="Trebuchet MS"/>
      <w:color w:val="ED1A3B"/>
      <w:kern w:val="16"/>
      <w:sz w:val="18"/>
      <w:szCs w:val="24"/>
    </w:rPr>
  </w:style>
  <w:style w:type="paragraph" w:styleId="NoSpacing">
    <w:name w:val="No Spacing"/>
    <w:link w:val="NoSpacingChar"/>
    <w:uiPriority w:val="1"/>
    <w:qFormat/>
    <w:locked/>
    <w:rsid w:val="005F7A02"/>
    <w:rPr>
      <w:rFonts w:ascii="Trebuchet MS" w:hAnsi="Trebuchet MS"/>
      <w:color w:val="685040" w:themeColor="text2"/>
      <w:kern w:val="16"/>
      <w:sz w:val="18"/>
      <w:szCs w:val="24"/>
    </w:rPr>
  </w:style>
  <w:style w:type="paragraph" w:customStyle="1" w:styleId="PageNumber">
    <w:name w:val="~PageNumber"/>
    <w:basedOn w:val="Footer"/>
    <w:semiHidden/>
    <w:unhideWhenUsed/>
    <w:qFormat/>
    <w:rsid w:val="00570806"/>
    <w:pPr>
      <w:framePr w:hSpace="181" w:wrap="around" w:vAnchor="page" w:hAnchor="page" w:x="965" w:y="15310"/>
      <w:spacing w:after="0" w:line="240" w:lineRule="auto"/>
      <w:ind w:right="113"/>
      <w:suppressOverlap/>
      <w:jc w:val="right"/>
    </w:pPr>
    <w:rPr>
      <w:rFonts w:ascii="Arial" w:eastAsiaTheme="minorHAnsi" w:hAnsi="Arial" w:cstheme="minorBidi"/>
      <w:color w:val="FFFFFF" w:themeColor="background1"/>
      <w:kern w:val="0"/>
      <w:szCs w:val="22"/>
      <w:lang w:eastAsia="en-US"/>
    </w:rPr>
  </w:style>
  <w:style w:type="paragraph" w:styleId="TOC1">
    <w:name w:val="toc 1"/>
    <w:aliases w:val="TM"/>
    <w:basedOn w:val="MSHouseLevel2"/>
    <w:next w:val="Normal"/>
    <w:autoRedefine/>
    <w:uiPriority w:val="39"/>
    <w:unhideWhenUsed/>
    <w:qFormat/>
    <w:rsid w:val="00DF69FD"/>
    <w:pPr>
      <w:tabs>
        <w:tab w:val="left" w:pos="540"/>
        <w:tab w:val="right" w:leader="dot" w:pos="9016"/>
      </w:tabs>
      <w:spacing w:before="120" w:line="264" w:lineRule="auto"/>
      <w:jc w:val="left"/>
      <w:outlineLvl w:val="9"/>
    </w:pPr>
    <w:rPr>
      <w:rFonts w:asciiTheme="minorHAnsi" w:hAnsiTheme="minorHAnsi"/>
      <w:b/>
      <w:caps/>
      <w:color w:val="ED1A3B" w:themeColor="accent1"/>
      <w:kern w:val="16"/>
      <w:szCs w:val="24"/>
      <w:lang w:eastAsia="en-GB"/>
    </w:rPr>
  </w:style>
  <w:style w:type="paragraph" w:styleId="TOC2">
    <w:name w:val="toc 2"/>
    <w:basedOn w:val="Normal"/>
    <w:next w:val="Normal"/>
    <w:autoRedefine/>
    <w:uiPriority w:val="39"/>
    <w:unhideWhenUsed/>
    <w:qFormat/>
    <w:rsid w:val="003D0091"/>
    <w:pPr>
      <w:tabs>
        <w:tab w:val="left" w:pos="720"/>
        <w:tab w:val="right" w:leader="dot" w:pos="9016"/>
      </w:tabs>
      <w:spacing w:after="0"/>
      <w:ind w:left="180"/>
    </w:pPr>
    <w:rPr>
      <w:rFonts w:asciiTheme="minorHAnsi" w:hAnsiTheme="minorHAnsi"/>
      <w:smallCaps/>
      <w:sz w:val="20"/>
    </w:rPr>
  </w:style>
  <w:style w:type="paragraph" w:styleId="TOC3">
    <w:name w:val="toc 3"/>
    <w:basedOn w:val="Normal"/>
    <w:next w:val="Normal"/>
    <w:autoRedefine/>
    <w:uiPriority w:val="39"/>
    <w:unhideWhenUsed/>
    <w:rsid w:val="00DF69FD"/>
    <w:pPr>
      <w:tabs>
        <w:tab w:val="left" w:pos="1080"/>
        <w:tab w:val="right" w:leader="dot" w:pos="9016"/>
      </w:tabs>
      <w:spacing w:after="0"/>
      <w:ind w:left="360"/>
    </w:pPr>
    <w:rPr>
      <w:rFonts w:asciiTheme="minorHAnsi" w:hAnsiTheme="minorHAnsi"/>
      <w:i/>
      <w:iCs/>
      <w:sz w:val="20"/>
    </w:rPr>
  </w:style>
  <w:style w:type="character" w:styleId="Hyperlink">
    <w:name w:val="Hyperlink"/>
    <w:basedOn w:val="DefaultParagraphFont"/>
    <w:uiPriority w:val="99"/>
    <w:unhideWhenUsed/>
    <w:rsid w:val="000E215C"/>
    <w:rPr>
      <w:color w:val="ED1A3B" w:themeColor="hyperlink"/>
      <w:u w:val="single"/>
    </w:rPr>
  </w:style>
  <w:style w:type="paragraph" w:customStyle="1" w:styleId="TableOfContentsHeader">
    <w:name w:val="~TableOfContentsHeader"/>
    <w:next w:val="BodyText"/>
    <w:link w:val="TableOfContentsHeaderChar"/>
    <w:qFormat/>
    <w:rsid w:val="000E215C"/>
    <w:pPr>
      <w:spacing w:after="600"/>
    </w:pPr>
    <w:rPr>
      <w:rFonts w:ascii="Trebuchet MS" w:hAnsi="Trebuchet MS"/>
      <w:b/>
      <w:caps/>
      <w:color w:val="ED1A3B" w:themeColor="accent1"/>
      <w:kern w:val="16"/>
      <w:sz w:val="56"/>
      <w:szCs w:val="56"/>
    </w:rPr>
  </w:style>
  <w:style w:type="character" w:customStyle="1" w:styleId="TableOfContentsHeaderChar">
    <w:name w:val="~TableOfContentsHeader Char"/>
    <w:basedOn w:val="DefaultParagraphFont"/>
    <w:link w:val="TableOfContentsHeader"/>
    <w:rsid w:val="000E215C"/>
    <w:rPr>
      <w:rFonts w:ascii="Trebuchet MS" w:hAnsi="Trebuchet MS"/>
      <w:b/>
      <w:caps/>
      <w:color w:val="ED1A3B" w:themeColor="accent1"/>
      <w:kern w:val="16"/>
      <w:sz w:val="56"/>
      <w:szCs w:val="56"/>
    </w:rPr>
  </w:style>
  <w:style w:type="paragraph" w:customStyle="1" w:styleId="BDODisclaimer">
    <w:name w:val="~BDODisclaimer"/>
    <w:link w:val="BDODisclaimerChar"/>
    <w:qFormat/>
    <w:rsid w:val="009670F2"/>
    <w:pPr>
      <w:spacing w:line="264" w:lineRule="auto"/>
      <w:ind w:left="142" w:right="170"/>
      <w:jc w:val="center"/>
    </w:pPr>
    <w:rPr>
      <w:rFonts w:ascii="Trebuchet MS" w:hAnsi="Trebuchet MS" w:cs="Arial"/>
      <w:b/>
      <w:iCs/>
      <w:color w:val="ED1A3B" w:themeColor="accent1"/>
      <w:kern w:val="16"/>
      <w:sz w:val="32"/>
      <w:szCs w:val="28"/>
    </w:rPr>
  </w:style>
  <w:style w:type="character" w:customStyle="1" w:styleId="BDODisclaimerChar">
    <w:name w:val="~BDODisclaimer Char"/>
    <w:basedOn w:val="DefaultParagraphFont"/>
    <w:link w:val="BDODisclaimer"/>
    <w:rsid w:val="009670F2"/>
    <w:rPr>
      <w:rFonts w:ascii="Trebuchet MS" w:hAnsi="Trebuchet MS" w:cs="Arial"/>
      <w:b/>
      <w:iCs/>
      <w:color w:val="ED1A3B" w:themeColor="accent1"/>
      <w:kern w:val="16"/>
      <w:sz w:val="32"/>
      <w:szCs w:val="28"/>
    </w:rPr>
  </w:style>
  <w:style w:type="paragraph" w:customStyle="1" w:styleId="PKFAddress">
    <w:name w:val="~PKFAddress"/>
    <w:basedOn w:val="NoSpacing"/>
    <w:unhideWhenUsed/>
    <w:rsid w:val="001A657D"/>
    <w:pPr>
      <w:framePr w:hSpace="181" w:wrap="around" w:vAnchor="page" w:hAnchor="text" w:yAlign="bottom"/>
      <w:suppressOverlap/>
    </w:pPr>
    <w:rPr>
      <w:rFonts w:asciiTheme="minorHAnsi" w:eastAsiaTheme="minorHAnsi" w:hAnsiTheme="minorHAnsi" w:cstheme="minorBidi"/>
      <w:color w:val="ED1A3B" w:themeColor="accent1"/>
      <w:kern w:val="0"/>
      <w:szCs w:val="22"/>
      <w:lang w:eastAsia="en-US"/>
    </w:rPr>
  </w:style>
  <w:style w:type="paragraph" w:customStyle="1" w:styleId="WebAddress">
    <w:name w:val="~WebAddress"/>
    <w:basedOn w:val="PKFAddress"/>
    <w:unhideWhenUsed/>
    <w:rsid w:val="001A657D"/>
    <w:pPr>
      <w:framePr w:wrap="around"/>
      <w:jc w:val="right"/>
    </w:pPr>
    <w:rPr>
      <w:caps/>
      <w:sz w:val="24"/>
    </w:rPr>
  </w:style>
  <w:style w:type="paragraph" w:customStyle="1" w:styleId="AltMinorSubHeading">
    <w:name w:val="~AltMinorSubHeading"/>
    <w:basedOn w:val="Heading4"/>
    <w:next w:val="BodyText"/>
    <w:link w:val="AltMinorSubHeadingChar"/>
    <w:qFormat/>
    <w:rsid w:val="00533FB5"/>
    <w:rPr>
      <w:caps w:val="0"/>
    </w:rPr>
  </w:style>
  <w:style w:type="character" w:customStyle="1" w:styleId="AltMinorSubHeadingChar">
    <w:name w:val="~AltMinorSubHeading Char"/>
    <w:basedOn w:val="Heading4Char"/>
    <w:link w:val="AltMinorSubHeading"/>
    <w:rsid w:val="00533FB5"/>
    <w:rPr>
      <w:rFonts w:ascii="Trebuchet MS" w:eastAsiaTheme="majorEastAsia" w:hAnsi="Trebuchet MS" w:cstheme="majorBidi"/>
      <w:b/>
      <w:iCs/>
      <w:caps w:val="0"/>
      <w:color w:val="ED1A3B" w:themeColor="accent1"/>
      <w:kern w:val="16"/>
      <w:szCs w:val="26"/>
    </w:rPr>
  </w:style>
  <w:style w:type="table" w:styleId="LightList-Accent3">
    <w:name w:val="Light List Accent 3"/>
    <w:basedOn w:val="TableNormal"/>
    <w:uiPriority w:val="61"/>
    <w:rsid w:val="003E375E"/>
    <w:tblPr>
      <w:tblStyleRowBandSize w:val="1"/>
      <w:tblStyleColBandSize w:val="1"/>
      <w:tblBorders>
        <w:top w:val="single" w:sz="8" w:space="0" w:color="98002E" w:themeColor="accent3"/>
        <w:left w:val="single" w:sz="8" w:space="0" w:color="98002E" w:themeColor="accent3"/>
        <w:bottom w:val="single" w:sz="8" w:space="0" w:color="98002E" w:themeColor="accent3"/>
        <w:right w:val="single" w:sz="8" w:space="0" w:color="98002E" w:themeColor="accent3"/>
      </w:tblBorders>
    </w:tblPr>
    <w:tblStylePr w:type="firstRow">
      <w:pPr>
        <w:spacing w:before="0" w:after="0" w:line="240" w:lineRule="auto"/>
      </w:pPr>
      <w:rPr>
        <w:b/>
        <w:bCs/>
        <w:color w:val="FFFFFF" w:themeColor="background1"/>
      </w:rPr>
      <w:tblPr/>
      <w:tcPr>
        <w:shd w:val="clear" w:color="auto" w:fill="98002E" w:themeFill="accent3"/>
      </w:tcPr>
    </w:tblStylePr>
    <w:tblStylePr w:type="lastRow">
      <w:pPr>
        <w:spacing w:before="0" w:after="0" w:line="240" w:lineRule="auto"/>
      </w:pPr>
      <w:rPr>
        <w:b/>
        <w:bCs/>
      </w:rPr>
      <w:tblPr/>
      <w:tcPr>
        <w:tcBorders>
          <w:top w:val="double" w:sz="6" w:space="0" w:color="98002E" w:themeColor="accent3"/>
          <w:left w:val="single" w:sz="8" w:space="0" w:color="98002E" w:themeColor="accent3"/>
          <w:bottom w:val="single" w:sz="8" w:space="0" w:color="98002E" w:themeColor="accent3"/>
          <w:right w:val="single" w:sz="8" w:space="0" w:color="98002E" w:themeColor="accent3"/>
        </w:tcBorders>
      </w:tcPr>
    </w:tblStylePr>
    <w:tblStylePr w:type="firstCol">
      <w:rPr>
        <w:b/>
        <w:bCs/>
      </w:rPr>
    </w:tblStylePr>
    <w:tblStylePr w:type="lastCol">
      <w:rPr>
        <w:b/>
        <w:bCs/>
      </w:rPr>
    </w:tblStylePr>
    <w:tblStylePr w:type="band1Vert">
      <w:tblPr/>
      <w:tcPr>
        <w:tcBorders>
          <w:top w:val="single" w:sz="8" w:space="0" w:color="98002E" w:themeColor="accent3"/>
          <w:left w:val="single" w:sz="8" w:space="0" w:color="98002E" w:themeColor="accent3"/>
          <w:bottom w:val="single" w:sz="8" w:space="0" w:color="98002E" w:themeColor="accent3"/>
          <w:right w:val="single" w:sz="8" w:space="0" w:color="98002E" w:themeColor="accent3"/>
        </w:tcBorders>
      </w:tcPr>
    </w:tblStylePr>
    <w:tblStylePr w:type="band1Horz">
      <w:tblPr/>
      <w:tcPr>
        <w:tcBorders>
          <w:top w:val="single" w:sz="8" w:space="0" w:color="98002E" w:themeColor="accent3"/>
          <w:left w:val="single" w:sz="8" w:space="0" w:color="98002E" w:themeColor="accent3"/>
          <w:bottom w:val="single" w:sz="8" w:space="0" w:color="98002E" w:themeColor="accent3"/>
          <w:right w:val="single" w:sz="8" w:space="0" w:color="98002E" w:themeColor="accent3"/>
        </w:tcBorders>
      </w:tcPr>
    </w:tblStylePr>
  </w:style>
  <w:style w:type="table" w:styleId="LightList-Accent1">
    <w:name w:val="Light List Accent 1"/>
    <w:basedOn w:val="TableNormal"/>
    <w:uiPriority w:val="61"/>
    <w:rsid w:val="003E375E"/>
    <w:tblPr>
      <w:tblStyleRowBandSize w:val="1"/>
      <w:tblStyleColBandSize w:val="1"/>
      <w:tblBorders>
        <w:top w:val="single" w:sz="8" w:space="0" w:color="ED1A3B" w:themeColor="accent1"/>
        <w:left w:val="single" w:sz="8" w:space="0" w:color="ED1A3B" w:themeColor="accent1"/>
        <w:bottom w:val="single" w:sz="8" w:space="0" w:color="ED1A3B" w:themeColor="accent1"/>
        <w:right w:val="single" w:sz="8" w:space="0" w:color="ED1A3B" w:themeColor="accent1"/>
      </w:tblBorders>
    </w:tblPr>
    <w:tblStylePr w:type="firstRow">
      <w:pPr>
        <w:spacing w:before="0" w:after="0" w:line="240" w:lineRule="auto"/>
      </w:pPr>
      <w:rPr>
        <w:b/>
        <w:bCs/>
        <w:color w:val="FFFFFF" w:themeColor="background1"/>
      </w:rPr>
      <w:tblPr/>
      <w:tcPr>
        <w:shd w:val="clear" w:color="auto" w:fill="ED1A3B" w:themeFill="accent1"/>
      </w:tcPr>
    </w:tblStylePr>
    <w:tblStylePr w:type="lastRow">
      <w:pPr>
        <w:spacing w:before="0" w:after="0" w:line="240" w:lineRule="auto"/>
      </w:pPr>
      <w:rPr>
        <w:b/>
        <w:bCs/>
      </w:rPr>
      <w:tblPr/>
      <w:tcPr>
        <w:tcBorders>
          <w:top w:val="double" w:sz="6" w:space="0" w:color="ED1A3B" w:themeColor="accent1"/>
          <w:left w:val="single" w:sz="8" w:space="0" w:color="ED1A3B" w:themeColor="accent1"/>
          <w:bottom w:val="single" w:sz="8" w:space="0" w:color="ED1A3B" w:themeColor="accent1"/>
          <w:right w:val="single" w:sz="8" w:space="0" w:color="ED1A3B" w:themeColor="accent1"/>
        </w:tcBorders>
      </w:tcPr>
    </w:tblStylePr>
    <w:tblStylePr w:type="firstCol">
      <w:rPr>
        <w:b/>
        <w:bCs/>
      </w:rPr>
    </w:tblStylePr>
    <w:tblStylePr w:type="lastCol">
      <w:rPr>
        <w:b/>
        <w:bCs/>
      </w:rPr>
    </w:tblStylePr>
    <w:tblStylePr w:type="band1Vert">
      <w:tblPr/>
      <w:tcPr>
        <w:tcBorders>
          <w:top w:val="single" w:sz="8" w:space="0" w:color="ED1A3B" w:themeColor="accent1"/>
          <w:left w:val="single" w:sz="8" w:space="0" w:color="ED1A3B" w:themeColor="accent1"/>
          <w:bottom w:val="single" w:sz="8" w:space="0" w:color="ED1A3B" w:themeColor="accent1"/>
          <w:right w:val="single" w:sz="8" w:space="0" w:color="ED1A3B" w:themeColor="accent1"/>
        </w:tcBorders>
      </w:tcPr>
    </w:tblStylePr>
    <w:tblStylePr w:type="band1Horz">
      <w:tblPr/>
      <w:tcPr>
        <w:tcBorders>
          <w:top w:val="single" w:sz="8" w:space="0" w:color="ED1A3B" w:themeColor="accent1"/>
          <w:left w:val="single" w:sz="8" w:space="0" w:color="ED1A3B" w:themeColor="accent1"/>
          <w:bottom w:val="single" w:sz="8" w:space="0" w:color="ED1A3B" w:themeColor="accent1"/>
          <w:right w:val="single" w:sz="8" w:space="0" w:color="ED1A3B" w:themeColor="accent1"/>
        </w:tcBorders>
      </w:tcPr>
    </w:tblStylePr>
  </w:style>
  <w:style w:type="table" w:styleId="LightList-Accent2">
    <w:name w:val="Light List Accent 2"/>
    <w:basedOn w:val="TableNormal"/>
    <w:uiPriority w:val="61"/>
    <w:rsid w:val="00FD433A"/>
    <w:rPr>
      <w:rFonts w:asciiTheme="minorHAnsi" w:hAnsiTheme="minorHAnsi"/>
      <w:sz w:val="18"/>
    </w:rPr>
    <w:tblPr>
      <w:tblStyleRowBandSize w:val="1"/>
      <w:tblStyleColBandSize w:val="1"/>
      <w:tblBorders>
        <w:top w:val="single" w:sz="8" w:space="0" w:color="2EAFA4" w:themeColor="accent2"/>
        <w:left w:val="single" w:sz="8" w:space="0" w:color="2EAFA4" w:themeColor="accent2"/>
        <w:bottom w:val="single" w:sz="8" w:space="0" w:color="2EAFA4" w:themeColor="accent2"/>
        <w:right w:val="single" w:sz="8" w:space="0" w:color="2EAFA4" w:themeColor="accent2"/>
        <w:insideH w:val="single" w:sz="8" w:space="0" w:color="2EAFA4" w:themeColor="accent2"/>
      </w:tblBorders>
    </w:tblPr>
    <w:tblStylePr w:type="firstRow">
      <w:pPr>
        <w:wordWrap/>
        <w:spacing w:beforeLines="0" w:before="60" w:beforeAutospacing="0" w:afterLines="0" w:after="40" w:afterAutospacing="0" w:line="264" w:lineRule="auto"/>
        <w:ind w:leftChars="0" w:left="0" w:rightChars="0" w:right="0" w:firstLineChars="0" w:firstLine="0"/>
        <w:contextualSpacing w:val="0"/>
        <w:mirrorIndents w:val="0"/>
      </w:pPr>
      <w:rPr>
        <w:rFonts w:asciiTheme="minorHAnsi" w:hAnsiTheme="minorHAnsi"/>
        <w:b w:val="0"/>
        <w:bCs/>
        <w:i w:val="0"/>
        <w:caps w:val="0"/>
        <w:smallCaps w:val="0"/>
        <w:strike w:val="0"/>
        <w:dstrike w:val="0"/>
        <w:vanish w:val="0"/>
        <w:color w:val="FFFFFF" w:themeColor="background1"/>
        <w:sz w:val="18"/>
        <w:vertAlign w:val="baseline"/>
      </w:rPr>
      <w:tblPr/>
      <w:tcPr>
        <w:shd w:val="clear" w:color="auto" w:fill="2EAFA4" w:themeFill="accent2"/>
      </w:tcPr>
    </w:tblStylePr>
    <w:tblStylePr w:type="lastRow">
      <w:pPr>
        <w:wordWrap/>
        <w:spacing w:beforeLines="0" w:before="40" w:beforeAutospacing="0" w:afterLines="0" w:after="20" w:afterAutospacing="0" w:line="264" w:lineRule="auto"/>
        <w:ind w:leftChars="0" w:left="0" w:rightChars="0" w:right="0" w:firstLineChars="0" w:firstLine="0"/>
        <w:contextualSpacing w:val="0"/>
        <w:mirrorIndents w:val="0"/>
      </w:pPr>
      <w:rPr>
        <w:rFonts w:asciiTheme="minorHAnsi" w:hAnsiTheme="minorHAnsi"/>
        <w:b w:val="0"/>
        <w:bCs/>
        <w:color w:val="685040" w:themeColor="text2"/>
        <w:sz w:val="18"/>
      </w:rPr>
      <w:tblPr/>
      <w:tcPr>
        <w:tcBorders>
          <w:top w:val="double" w:sz="6" w:space="0" w:color="2EAFA4" w:themeColor="accent2"/>
          <w:left w:val="single" w:sz="8" w:space="0" w:color="2EAFA4" w:themeColor="accent2"/>
          <w:bottom w:val="single" w:sz="8" w:space="0" w:color="2EAFA4" w:themeColor="accent2"/>
          <w:right w:val="single" w:sz="8" w:space="0" w:color="2EAFA4" w:themeColor="accent2"/>
        </w:tcBorders>
      </w:tcPr>
    </w:tblStylePr>
    <w:tblStylePr w:type="firstCol">
      <w:pPr>
        <w:wordWrap/>
        <w:spacing w:beforeLines="0" w:before="40" w:beforeAutospacing="0" w:afterLines="20" w:after="20" w:afterAutospacing="0" w:line="264" w:lineRule="auto"/>
        <w:ind w:leftChars="0" w:left="0" w:rightChars="0" w:right="0" w:firstLineChars="0" w:firstLine="0"/>
        <w:contextualSpacing w:val="0"/>
        <w:mirrorIndents w:val="0"/>
      </w:pPr>
      <w:rPr>
        <w:rFonts w:asciiTheme="minorHAnsi" w:hAnsiTheme="minorHAnsi"/>
        <w:b w:val="0"/>
        <w:bCs/>
        <w:caps w:val="0"/>
        <w:smallCaps w:val="0"/>
        <w:strike w:val="0"/>
        <w:dstrike w:val="0"/>
        <w:vanish w:val="0"/>
        <w:color w:val="685040" w:themeColor="text2"/>
        <w:sz w:val="18"/>
        <w:vertAlign w:val="baseline"/>
      </w:rPr>
    </w:tblStylePr>
    <w:tblStylePr w:type="lastCol">
      <w:pPr>
        <w:wordWrap/>
        <w:spacing w:beforeLines="0" w:before="40" w:beforeAutospacing="0" w:afterLines="20" w:after="20" w:afterAutospacing="0" w:line="264" w:lineRule="auto"/>
        <w:ind w:leftChars="0" w:left="0" w:rightChars="0" w:right="0" w:firstLineChars="0" w:firstLine="0"/>
        <w:contextualSpacing w:val="0"/>
        <w:mirrorIndents w:val="0"/>
      </w:pPr>
      <w:rPr>
        <w:rFonts w:asciiTheme="minorHAnsi" w:hAnsiTheme="minorHAnsi"/>
        <w:b w:val="0"/>
        <w:bCs/>
        <w:sz w:val="18"/>
      </w:rPr>
    </w:tblStylePr>
    <w:tblStylePr w:type="band1Vert">
      <w:tblPr/>
      <w:tcPr>
        <w:tcBorders>
          <w:top w:val="single" w:sz="8" w:space="0" w:color="2EAFA4" w:themeColor="accent2"/>
          <w:left w:val="single" w:sz="8" w:space="0" w:color="2EAFA4" w:themeColor="accent2"/>
          <w:bottom w:val="single" w:sz="8" w:space="0" w:color="2EAFA4" w:themeColor="accent2"/>
          <w:right w:val="single" w:sz="8" w:space="0" w:color="2EAFA4" w:themeColor="accent2"/>
        </w:tcBorders>
      </w:tcPr>
    </w:tblStylePr>
    <w:tblStylePr w:type="band1Horz">
      <w:tblPr/>
      <w:tcPr>
        <w:tcBorders>
          <w:top w:val="single" w:sz="8" w:space="0" w:color="2EAFA4" w:themeColor="accent2"/>
          <w:left w:val="single" w:sz="8" w:space="0" w:color="2EAFA4" w:themeColor="accent2"/>
          <w:bottom w:val="single" w:sz="8" w:space="0" w:color="2EAFA4" w:themeColor="accent2"/>
          <w:right w:val="single" w:sz="8" w:space="0" w:color="2EAFA4" w:themeColor="accent2"/>
        </w:tcBorders>
      </w:tcPr>
    </w:tblStylePr>
  </w:style>
  <w:style w:type="paragraph" w:customStyle="1" w:styleId="Footertext">
    <w:name w:val="Footer text"/>
    <w:link w:val="FootertextChar"/>
    <w:qFormat/>
    <w:rsid w:val="002470DF"/>
    <w:pPr>
      <w:spacing w:line="264" w:lineRule="auto"/>
    </w:pPr>
    <w:rPr>
      <w:rFonts w:ascii="Trebuchet MS" w:hAnsi="Trebuchet MS"/>
      <w:color w:val="ED1A3B"/>
      <w:kern w:val="16"/>
      <w:sz w:val="18"/>
      <w:szCs w:val="18"/>
    </w:rPr>
  </w:style>
  <w:style w:type="character" w:customStyle="1" w:styleId="FootertextChar">
    <w:name w:val="Footer text Char"/>
    <w:basedOn w:val="DefaultParagraphFont"/>
    <w:link w:val="Footertext"/>
    <w:rsid w:val="002470DF"/>
    <w:rPr>
      <w:rFonts w:ascii="Trebuchet MS" w:hAnsi="Trebuchet MS"/>
      <w:color w:val="ED1A3B"/>
      <w:kern w:val="16"/>
      <w:sz w:val="18"/>
      <w:szCs w:val="18"/>
    </w:rPr>
  </w:style>
  <w:style w:type="table" w:customStyle="1" w:styleId="CVtable">
    <w:name w:val="CV table"/>
    <w:basedOn w:val="TableNormal"/>
    <w:uiPriority w:val="99"/>
    <w:rsid w:val="0057798A"/>
    <w:rPr>
      <w:rFonts w:ascii="Trebuchet MS" w:hAnsi="Trebuchet MS"/>
      <w:color w:val="685040" w:themeColor="text2"/>
    </w:rPr>
    <w:tblPr>
      <w:tblBorders>
        <w:top w:val="single" w:sz="8" w:space="0" w:color="CAB7AA" w:themeColor="text2" w:themeTint="66"/>
        <w:bottom w:val="single" w:sz="8" w:space="0" w:color="CAB7AA" w:themeColor="text2" w:themeTint="66"/>
        <w:insideH w:val="single" w:sz="8" w:space="0" w:color="CAB7AA" w:themeColor="text2" w:themeTint="66"/>
      </w:tblBorders>
    </w:tblPr>
    <w:tcPr>
      <w:shd w:val="clear" w:color="auto" w:fill="EEE8E5" w:themeFill="background2"/>
    </w:tcPr>
  </w:style>
  <w:style w:type="table" w:styleId="LightList">
    <w:name w:val="Light List"/>
    <w:basedOn w:val="TableNormal"/>
    <w:uiPriority w:val="61"/>
    <w:rsid w:val="002D0EAB"/>
    <w:pPr>
      <w:spacing w:before="60" w:after="40" w:line="264" w:lineRule="auto"/>
    </w:pPr>
    <w:rPr>
      <w:rFonts w:ascii="Trebuchet MS" w:hAnsi="Trebuchet MS"/>
      <w:color w:val="685040" w:themeColor="text2"/>
      <w:sz w:val="18"/>
    </w:rPr>
    <w:tblPr>
      <w:tblStyleRowBandSize w:val="1"/>
      <w:tblStyleColBandSize w:val="1"/>
      <w:tblBorders>
        <w:top w:val="single" w:sz="8" w:space="0" w:color="685040" w:themeColor="text2"/>
        <w:left w:val="single" w:sz="8" w:space="0" w:color="685040" w:themeColor="text2"/>
        <w:bottom w:val="single" w:sz="8" w:space="0" w:color="685040" w:themeColor="text2"/>
        <w:right w:val="single" w:sz="8" w:space="0" w:color="685040" w:themeColor="text2"/>
        <w:insideH w:val="single" w:sz="8" w:space="0" w:color="685040" w:themeColor="text2"/>
      </w:tblBorders>
    </w:tblPr>
    <w:tcPr>
      <w:shd w:val="clear" w:color="auto" w:fill="auto"/>
    </w:tcPr>
    <w:tblStylePr w:type="firstRow">
      <w:pPr>
        <w:wordWrap/>
        <w:spacing w:beforeLines="0" w:before="60" w:beforeAutospacing="0" w:afterLines="0" w:after="60" w:afterAutospacing="0" w:line="264" w:lineRule="auto"/>
        <w:ind w:leftChars="0" w:left="0" w:rightChars="0" w:right="0" w:firstLineChars="0" w:firstLine="0"/>
        <w:contextualSpacing w:val="0"/>
      </w:pPr>
      <w:rPr>
        <w:rFonts w:ascii="Tahoma" w:hAnsi="Tahoma"/>
        <w:b w:val="0"/>
        <w:bCs/>
        <w:caps w:val="0"/>
        <w:smallCaps w:val="0"/>
        <w:strike w:val="0"/>
        <w:dstrike w:val="0"/>
        <w:vanish w:val="0"/>
        <w:color w:val="FFFFFF" w:themeColor="background1"/>
        <w:sz w:val="18"/>
        <w:vertAlign w:val="baseline"/>
      </w:rPr>
      <w:tblPr/>
      <w:tcPr>
        <w:tcBorders>
          <w:top w:val="single" w:sz="4" w:space="0" w:color="685040" w:themeColor="text2"/>
          <w:left w:val="single" w:sz="4" w:space="0" w:color="685040" w:themeColor="text2"/>
          <w:bottom w:val="single" w:sz="4" w:space="0" w:color="685040" w:themeColor="text2"/>
          <w:right w:val="single" w:sz="4" w:space="0" w:color="685040" w:themeColor="text2"/>
          <w:insideH w:val="nil"/>
          <w:insideV w:val="nil"/>
          <w:tl2br w:val="nil"/>
          <w:tr2bl w:val="nil"/>
        </w:tcBorders>
        <w:shd w:val="clear" w:color="auto" w:fill="685040" w:themeFill="text2"/>
      </w:tcPr>
    </w:tblStylePr>
    <w:tblStylePr w:type="lastRow">
      <w:pPr>
        <w:wordWrap/>
        <w:spacing w:beforeLines="0" w:before="60" w:beforeAutospacing="0" w:afterLines="0" w:after="40" w:afterAutospacing="0" w:line="264" w:lineRule="auto"/>
        <w:ind w:leftChars="0" w:left="0" w:rightChars="0" w:right="0" w:firstLineChars="0" w:firstLine="0"/>
        <w:contextualSpacing w:val="0"/>
        <w:mirrorIndents w:val="0"/>
      </w:pPr>
      <w:rPr>
        <w:rFonts w:ascii="Tahoma" w:hAnsi="Tahoma"/>
        <w:b w:val="0"/>
        <w:bCs/>
        <w:caps w:val="0"/>
        <w:smallCaps w:val="0"/>
        <w:strike w:val="0"/>
        <w:dstrike w:val="0"/>
        <w:vanish w:val="0"/>
        <w:color w:val="685040" w:themeColor="text2"/>
        <w:sz w:val="18"/>
        <w:vertAlign w:val="baseline"/>
      </w:rPr>
      <w:tblPr/>
      <w:tcPr>
        <w:tcBorders>
          <w:top w:val="single" w:sz="8" w:space="0" w:color="685040" w:themeColor="text2"/>
          <w:left w:val="single" w:sz="8" w:space="0" w:color="685040" w:themeColor="text2"/>
          <w:bottom w:val="single" w:sz="8" w:space="0" w:color="685040" w:themeColor="text2"/>
          <w:right w:val="single" w:sz="8" w:space="0" w:color="685040" w:themeColor="text2"/>
          <w:insideV w:val="nil"/>
        </w:tcBorders>
        <w:shd w:val="clear" w:color="auto" w:fill="auto"/>
      </w:tcPr>
    </w:tblStylePr>
    <w:tblStylePr w:type="firstCol">
      <w:pPr>
        <w:wordWrap/>
        <w:spacing w:beforeLines="0" w:before="60" w:beforeAutospacing="0" w:afterLines="0" w:after="40" w:afterAutospacing="0" w:line="264" w:lineRule="auto"/>
        <w:ind w:leftChars="0" w:left="0" w:rightChars="0" w:right="0" w:firstLineChars="0" w:firstLine="0"/>
        <w:contextualSpacing w:val="0"/>
        <w:mirrorIndents w:val="0"/>
      </w:pPr>
      <w:rPr>
        <w:rFonts w:ascii="Tahoma" w:hAnsi="Tahoma"/>
        <w:b w:val="0"/>
        <w:bCs/>
        <w:caps w:val="0"/>
        <w:smallCaps w:val="0"/>
        <w:strike w:val="0"/>
        <w:dstrike w:val="0"/>
        <w:vanish w:val="0"/>
        <w:color w:val="685040" w:themeColor="text2"/>
        <w:sz w:val="18"/>
        <w:vertAlign w:val="baseline"/>
      </w:rPr>
      <w:tblPr/>
      <w:tcPr>
        <w:tcBorders>
          <w:top w:val="single" w:sz="8" w:space="0" w:color="685040" w:themeColor="text2"/>
          <w:left w:val="single" w:sz="8" w:space="0" w:color="685040" w:themeColor="text2"/>
          <w:bottom w:val="single" w:sz="8" w:space="0" w:color="685040" w:themeColor="text2"/>
          <w:right w:val="nil"/>
          <w:insideH w:val="nil"/>
          <w:insideV w:val="nil"/>
          <w:tl2br w:val="nil"/>
          <w:tr2bl w:val="nil"/>
        </w:tcBorders>
        <w:shd w:val="clear" w:color="auto" w:fill="auto"/>
      </w:tcPr>
    </w:tblStylePr>
    <w:tblStylePr w:type="lastCol">
      <w:rPr>
        <w:rFonts w:ascii="Tahoma" w:hAnsi="Tahoma"/>
        <w:b w:val="0"/>
        <w:bCs/>
        <w:color w:val="685040" w:themeColor="text2"/>
        <w:sz w:val="18"/>
      </w:rPr>
      <w:tblPr/>
      <w:tcPr>
        <w:tcBorders>
          <w:top w:val="single" w:sz="8" w:space="0" w:color="685040" w:themeColor="text2"/>
          <w:left w:val="nil"/>
          <w:bottom w:val="single" w:sz="8" w:space="0" w:color="685040" w:themeColor="text2"/>
          <w:right w:val="single" w:sz="8" w:space="0" w:color="685040" w:themeColor="text2"/>
          <w:insideH w:val="nil"/>
          <w:insideV w:val="nil"/>
          <w:tl2br w:val="nil"/>
          <w:tr2bl w:val="nil"/>
        </w:tcBorders>
        <w:shd w:val="clear" w:color="auto" w:fill="auto"/>
      </w:tcPr>
    </w:tblStylePr>
    <w:tblStylePr w:type="band1Vert">
      <w:pPr>
        <w:wordWrap/>
        <w:spacing w:beforeLines="0" w:before="60" w:beforeAutospacing="0" w:afterLines="0" w:after="40" w:afterAutospacing="0" w:line="264" w:lineRule="auto"/>
        <w:ind w:leftChars="0" w:left="0" w:rightChars="0" w:right="0" w:firstLineChars="0" w:firstLine="0"/>
        <w:contextualSpacing w:val="0"/>
        <w:mirrorIndents w:val="0"/>
      </w:pPr>
      <w:rPr>
        <w:rFonts w:ascii="Tahoma" w:hAnsi="Tahoma"/>
        <w:b w:val="0"/>
        <w:i w:val="0"/>
        <w:caps w:val="0"/>
        <w:smallCaps w:val="0"/>
        <w:strike w:val="0"/>
        <w:dstrike w:val="0"/>
        <w:vanish w:val="0"/>
        <w:color w:val="685040" w:themeColor="text2"/>
        <w:sz w:val="18"/>
        <w:vertAlign w:val="baseline"/>
      </w:rPr>
      <w:tblPr/>
      <w:tcPr>
        <w:tcBorders>
          <w:top w:val="single" w:sz="8" w:space="0" w:color="685040" w:themeColor="text2"/>
          <w:left w:val="nil"/>
          <w:bottom w:val="single" w:sz="8" w:space="0" w:color="685040" w:themeColor="text2"/>
          <w:right w:val="nil"/>
          <w:insideH w:val="nil"/>
          <w:insideV w:val="nil"/>
          <w:tl2br w:val="nil"/>
          <w:tr2bl w:val="nil"/>
        </w:tcBorders>
        <w:shd w:val="clear" w:color="auto" w:fill="auto"/>
      </w:tcPr>
    </w:tblStylePr>
    <w:tblStylePr w:type="band2Vert">
      <w:pPr>
        <w:wordWrap/>
        <w:spacing w:beforeLines="0" w:before="60" w:beforeAutospacing="0" w:afterLines="0" w:after="40" w:afterAutospacing="0" w:line="264" w:lineRule="auto"/>
        <w:ind w:leftChars="0" w:left="0" w:rightChars="0" w:right="0" w:firstLineChars="0" w:firstLine="0"/>
        <w:contextualSpacing w:val="0"/>
        <w:mirrorIndents w:val="0"/>
      </w:pPr>
      <w:rPr>
        <w:rFonts w:ascii="Tahoma" w:hAnsi="Tahoma"/>
        <w:b w:val="0"/>
        <w:i w:val="0"/>
        <w:caps w:val="0"/>
        <w:smallCaps w:val="0"/>
        <w:strike w:val="0"/>
        <w:dstrike w:val="0"/>
        <w:vanish w:val="0"/>
        <w:color w:val="685040" w:themeColor="text2"/>
        <w:sz w:val="18"/>
        <w:vertAlign w:val="baseline"/>
      </w:rPr>
      <w:tblPr/>
      <w:tcPr>
        <w:tcBorders>
          <w:top w:val="single" w:sz="8" w:space="0" w:color="685040" w:themeColor="text2"/>
          <w:left w:val="nil"/>
          <w:bottom w:val="single" w:sz="8" w:space="0" w:color="685040" w:themeColor="text2"/>
          <w:right w:val="nil"/>
          <w:insideH w:val="nil"/>
          <w:insideV w:val="nil"/>
          <w:tl2br w:val="nil"/>
          <w:tr2bl w:val="nil"/>
        </w:tcBorders>
        <w:shd w:val="clear" w:color="auto" w:fill="auto"/>
      </w:tcPr>
    </w:tblStylePr>
    <w:tblStylePr w:type="band1Horz">
      <w:pPr>
        <w:wordWrap/>
        <w:spacing w:beforeLines="0" w:before="60" w:beforeAutospacing="0" w:afterLines="0" w:after="40" w:afterAutospacing="0" w:line="264" w:lineRule="auto"/>
        <w:ind w:leftChars="0" w:left="0" w:rightChars="0" w:right="0" w:firstLineChars="0" w:firstLine="0"/>
        <w:contextualSpacing w:val="0"/>
        <w:mirrorIndents w:val="0"/>
      </w:pPr>
      <w:rPr>
        <w:rFonts w:ascii="Tahoma" w:hAnsi="Tahoma"/>
        <w:b w:val="0"/>
        <w:i w:val="0"/>
        <w:caps w:val="0"/>
        <w:smallCaps w:val="0"/>
        <w:strike w:val="0"/>
        <w:dstrike w:val="0"/>
        <w:vanish w:val="0"/>
        <w:color w:val="685040" w:themeColor="text2"/>
        <w:sz w:val="18"/>
        <w:vertAlign w:val="baseline"/>
      </w:rPr>
      <w:tblPr/>
      <w:tcPr>
        <w:tcBorders>
          <w:top w:val="single" w:sz="8" w:space="0" w:color="685040" w:themeColor="text2"/>
          <w:left w:val="single" w:sz="8" w:space="0" w:color="685040" w:themeColor="text2"/>
          <w:bottom w:val="single" w:sz="8" w:space="0" w:color="685040" w:themeColor="text2"/>
          <w:right w:val="single" w:sz="8" w:space="0" w:color="685040" w:themeColor="text2"/>
          <w:insideV w:val="nil"/>
        </w:tcBorders>
        <w:shd w:val="clear" w:color="auto" w:fill="auto"/>
      </w:tcPr>
    </w:tblStylePr>
    <w:tblStylePr w:type="band2Horz">
      <w:pPr>
        <w:wordWrap/>
        <w:spacing w:beforeLines="0" w:before="60" w:beforeAutospacing="0" w:afterLines="0" w:after="40" w:afterAutospacing="0" w:line="264" w:lineRule="auto"/>
        <w:ind w:leftChars="0" w:left="0" w:rightChars="0" w:right="0" w:firstLineChars="0" w:firstLine="0"/>
        <w:contextualSpacing w:val="0"/>
        <w:mirrorIndents w:val="0"/>
      </w:pPr>
      <w:rPr>
        <w:rFonts w:ascii="Tahoma" w:hAnsi="Tahoma"/>
        <w:b w:val="0"/>
        <w:i w:val="0"/>
        <w:caps w:val="0"/>
        <w:smallCaps w:val="0"/>
        <w:strike w:val="0"/>
        <w:dstrike w:val="0"/>
        <w:vanish w:val="0"/>
        <w:color w:val="685040" w:themeColor="text2"/>
        <w:sz w:val="18"/>
        <w:vertAlign w:val="baseline"/>
      </w:rPr>
      <w:tblPr/>
      <w:tcPr>
        <w:tcBorders>
          <w:top w:val="single" w:sz="8" w:space="0" w:color="685040" w:themeColor="text2"/>
          <w:left w:val="single" w:sz="8" w:space="0" w:color="685040" w:themeColor="text2"/>
          <w:bottom w:val="single" w:sz="8" w:space="0" w:color="685040" w:themeColor="text2"/>
          <w:right w:val="single" w:sz="8" w:space="0" w:color="685040" w:themeColor="text2"/>
          <w:insideH w:val="nil"/>
          <w:insideV w:val="nil"/>
          <w:tl2br w:val="nil"/>
          <w:tr2bl w:val="nil"/>
        </w:tcBorders>
        <w:shd w:val="clear" w:color="auto" w:fill="auto"/>
      </w:tcPr>
    </w:tblStylePr>
  </w:style>
  <w:style w:type="table" w:styleId="LightList-Accent4">
    <w:name w:val="Light List Accent 4"/>
    <w:basedOn w:val="TableNormal"/>
    <w:uiPriority w:val="61"/>
    <w:rsid w:val="005C0155"/>
    <w:tblPr>
      <w:tblStyleRowBandSize w:val="1"/>
      <w:tblStyleColBandSize w:val="1"/>
      <w:tblBorders>
        <w:top w:val="single" w:sz="8" w:space="0" w:color="62CAE3" w:themeColor="accent4"/>
        <w:left w:val="single" w:sz="8" w:space="0" w:color="62CAE3" w:themeColor="accent4"/>
        <w:bottom w:val="single" w:sz="8" w:space="0" w:color="62CAE3" w:themeColor="accent4"/>
        <w:right w:val="single" w:sz="8" w:space="0" w:color="62CAE3" w:themeColor="accent4"/>
      </w:tblBorders>
    </w:tblPr>
    <w:tblStylePr w:type="firstRow">
      <w:pPr>
        <w:spacing w:before="0" w:after="0" w:line="240" w:lineRule="auto"/>
      </w:pPr>
      <w:rPr>
        <w:b/>
        <w:bCs/>
        <w:color w:val="FFFFFF" w:themeColor="background1"/>
      </w:rPr>
      <w:tblPr/>
      <w:tcPr>
        <w:shd w:val="clear" w:color="auto" w:fill="62CAE3" w:themeFill="accent4"/>
      </w:tcPr>
    </w:tblStylePr>
    <w:tblStylePr w:type="lastRow">
      <w:pPr>
        <w:spacing w:before="0" w:after="0" w:line="240" w:lineRule="auto"/>
      </w:pPr>
      <w:rPr>
        <w:b/>
        <w:bCs/>
      </w:rPr>
      <w:tblPr/>
      <w:tcPr>
        <w:tcBorders>
          <w:top w:val="double" w:sz="6" w:space="0" w:color="62CAE3" w:themeColor="accent4"/>
          <w:left w:val="single" w:sz="8" w:space="0" w:color="62CAE3" w:themeColor="accent4"/>
          <w:bottom w:val="single" w:sz="8" w:space="0" w:color="62CAE3" w:themeColor="accent4"/>
          <w:right w:val="single" w:sz="8" w:space="0" w:color="62CAE3" w:themeColor="accent4"/>
        </w:tcBorders>
      </w:tcPr>
    </w:tblStylePr>
    <w:tblStylePr w:type="firstCol">
      <w:rPr>
        <w:b/>
        <w:bCs/>
      </w:rPr>
    </w:tblStylePr>
    <w:tblStylePr w:type="lastCol">
      <w:rPr>
        <w:b/>
        <w:bCs/>
      </w:rPr>
    </w:tblStylePr>
    <w:tblStylePr w:type="band1Vert">
      <w:tblPr/>
      <w:tcPr>
        <w:tcBorders>
          <w:top w:val="single" w:sz="8" w:space="0" w:color="62CAE3" w:themeColor="accent4"/>
          <w:left w:val="single" w:sz="8" w:space="0" w:color="62CAE3" w:themeColor="accent4"/>
          <w:bottom w:val="single" w:sz="8" w:space="0" w:color="62CAE3" w:themeColor="accent4"/>
          <w:right w:val="single" w:sz="8" w:space="0" w:color="62CAE3" w:themeColor="accent4"/>
        </w:tcBorders>
      </w:tcPr>
    </w:tblStylePr>
    <w:tblStylePr w:type="band1Horz">
      <w:tblPr/>
      <w:tcPr>
        <w:tcBorders>
          <w:top w:val="single" w:sz="8" w:space="0" w:color="62CAE3" w:themeColor="accent4"/>
          <w:left w:val="single" w:sz="8" w:space="0" w:color="62CAE3" w:themeColor="accent4"/>
          <w:bottom w:val="single" w:sz="8" w:space="0" w:color="62CAE3" w:themeColor="accent4"/>
          <w:right w:val="single" w:sz="8" w:space="0" w:color="62CAE3" w:themeColor="accent4"/>
        </w:tcBorders>
      </w:tcPr>
    </w:tblStylePr>
  </w:style>
  <w:style w:type="paragraph" w:customStyle="1" w:styleId="NumHeading">
    <w:name w:val="~NumHeading"/>
    <w:basedOn w:val="Heading1"/>
    <w:next w:val="Heading2"/>
    <w:link w:val="NumHeadingChar"/>
    <w:qFormat/>
    <w:rsid w:val="006F32B9"/>
    <w:pPr>
      <w:numPr>
        <w:numId w:val="7"/>
      </w:numPr>
    </w:pPr>
  </w:style>
  <w:style w:type="paragraph" w:customStyle="1" w:styleId="NumBodyText">
    <w:name w:val="~NumBodyText"/>
    <w:basedOn w:val="BodyText"/>
    <w:link w:val="NumBodyTextChar"/>
    <w:qFormat/>
    <w:rsid w:val="006F32B9"/>
    <w:pPr>
      <w:numPr>
        <w:ilvl w:val="1"/>
        <w:numId w:val="7"/>
      </w:numPr>
      <w:ind w:left="624"/>
    </w:pPr>
  </w:style>
  <w:style w:type="character" w:customStyle="1" w:styleId="NumHeadingChar">
    <w:name w:val="~NumHeading Char"/>
    <w:basedOn w:val="Heading1Char1"/>
    <w:link w:val="NumHeading"/>
    <w:rsid w:val="006F32B9"/>
    <w:rPr>
      <w:rFonts w:ascii="Trebuchet MS" w:eastAsiaTheme="majorEastAsia" w:hAnsi="Trebuchet MS" w:cstheme="majorBidi"/>
      <w:b/>
      <w:bCs/>
      <w:caps/>
      <w:color w:val="ED1A3B" w:themeColor="accent1"/>
      <w:kern w:val="16"/>
      <w:sz w:val="56"/>
      <w:szCs w:val="28"/>
    </w:rPr>
  </w:style>
  <w:style w:type="character" w:customStyle="1" w:styleId="NumBodyTextChar">
    <w:name w:val="~NumBodyText Char"/>
    <w:basedOn w:val="BodyTextChar"/>
    <w:link w:val="NumBodyText"/>
    <w:rsid w:val="006F32B9"/>
    <w:rPr>
      <w:rFonts w:ascii="Trebuchet MS" w:hAnsi="Trebuchet MS"/>
      <w:color w:val="685040"/>
      <w:kern w:val="16"/>
      <w:sz w:val="18"/>
      <w:szCs w:val="24"/>
    </w:rPr>
  </w:style>
  <w:style w:type="paragraph" w:styleId="BodyTextIndent">
    <w:name w:val="Body Text Indent"/>
    <w:basedOn w:val="Normal"/>
    <w:link w:val="BodyTextIndentChar"/>
    <w:unhideWhenUsed/>
    <w:rsid w:val="001C2E26"/>
    <w:pPr>
      <w:spacing w:line="240" w:lineRule="auto"/>
      <w:ind w:left="283"/>
    </w:pPr>
    <w:rPr>
      <w:color w:val="auto"/>
      <w:sz w:val="20"/>
      <w:szCs w:val="20"/>
    </w:rPr>
  </w:style>
  <w:style w:type="character" w:customStyle="1" w:styleId="BodyTextIndentChar">
    <w:name w:val="Body Text Indent Char"/>
    <w:basedOn w:val="DefaultParagraphFont"/>
    <w:link w:val="BodyTextIndent"/>
    <w:rsid w:val="001C2E26"/>
    <w:rPr>
      <w:rFonts w:ascii="Trebuchet MS" w:hAnsi="Trebuchet MS"/>
      <w:kern w:val="16"/>
    </w:rPr>
  </w:style>
  <w:style w:type="character" w:customStyle="1" w:styleId="FootnoteTextChar">
    <w:name w:val="Footnote Text Char"/>
    <w:aliases w:val="FOOTNOTES Char,fn Char,single space Char,footnote text Char,Char Char Char Char,Char Char Char1,Footnote Char,Footnote Text Char2 Char Char,Footnote Text Char Char1 Char1 Char,Footnote Text Char1 Char Char Char1 Char"/>
    <w:basedOn w:val="DefaultParagraphFont"/>
    <w:link w:val="FootnoteText"/>
    <w:uiPriority w:val="99"/>
    <w:locked/>
    <w:rsid w:val="00156918"/>
    <w:rPr>
      <w:rFonts w:ascii="ヒラギノ角ゴ Pro W3" w:eastAsia="ヒラギノ角ゴ Pro W3" w:hAnsi="ヒラギノ角ゴ Pro W3"/>
      <w:color w:val="000000"/>
      <w:lang w:eastAsia="en-US"/>
    </w:rPr>
  </w:style>
  <w:style w:type="paragraph" w:styleId="FootnoteText">
    <w:name w:val="footnote text"/>
    <w:aliases w:val="FOOTNOTES,fn,single space,footnote text,Char Char Char,Char Char,Footnote,Footnote Text Char2 Char,Footnote Text Char Char1 Char1,Footnote Text Char1 Char Char Char1,Footnote Text Char Char Char Char Char"/>
    <w:basedOn w:val="Normal"/>
    <w:link w:val="FootnoteTextChar"/>
    <w:uiPriority w:val="99"/>
    <w:unhideWhenUsed/>
    <w:qFormat/>
    <w:rsid w:val="00156918"/>
    <w:pPr>
      <w:spacing w:after="0" w:line="240" w:lineRule="auto"/>
    </w:pPr>
    <w:rPr>
      <w:rFonts w:ascii="ヒラギノ角ゴ Pro W3" w:eastAsia="ヒラギノ角ゴ Pro W3" w:hAnsi="ヒラギノ角ゴ Pro W3"/>
      <w:color w:val="000000"/>
      <w:kern w:val="0"/>
      <w:sz w:val="20"/>
      <w:szCs w:val="20"/>
      <w:lang w:eastAsia="en-US"/>
    </w:rPr>
  </w:style>
  <w:style w:type="character" w:customStyle="1" w:styleId="NotedebasdepageCar1">
    <w:name w:val="Note de bas de page Car1"/>
    <w:aliases w:val="FOOTNOTES Car1,fn Car1,single space Car1,footnote text Car1,Char Char Char Car1,Char Char Car1"/>
    <w:basedOn w:val="DefaultParagraphFont"/>
    <w:semiHidden/>
    <w:rsid w:val="00156918"/>
    <w:rPr>
      <w:rFonts w:ascii="Trebuchet MS" w:hAnsi="Trebuchet MS"/>
      <w:color w:val="685040"/>
      <w:kern w:val="16"/>
    </w:rPr>
  </w:style>
  <w:style w:type="character" w:customStyle="1" w:styleId="ListParagraphChar">
    <w:name w:val="List Paragraph Char"/>
    <w:aliases w:val="Citation List Char,본문(내용) Char,List Paragraph (numbered (a)) Char,Colorful List - Accent 11 Char,ANNEX Char,Bullets Char,Dot pt Char,Ha Char,Lapis Bulleted List Char,List Bullet-OpsManual Char,List Paragraph nowy Char,Liste 1 Char"/>
    <w:basedOn w:val="DefaultParagraphFont"/>
    <w:link w:val="ListParagraph"/>
    <w:uiPriority w:val="34"/>
    <w:qFormat/>
    <w:locked/>
    <w:rsid w:val="00156918"/>
    <w:rPr>
      <w:rFonts w:ascii="Trebuchet MS" w:hAnsi="Trebuchet MS"/>
      <w:color w:val="685040"/>
      <w:kern w:val="16"/>
      <w:sz w:val="18"/>
      <w:szCs w:val="24"/>
    </w:rPr>
  </w:style>
  <w:style w:type="character" w:styleId="FootnoteReference">
    <w:name w:val="footnote reference"/>
    <w:aliases w:val="Error-Fußnotenzeichen5,Error-Fußnotenzeichen6,Error-Fußnotenzeichen3,16 Point,Footnote Reference Number,Footnote Reference Superscript,Footnote Reference_LVL6,Footnote Reference_LVL61,Footnote Reference_LVL62,Ref,ftref"/>
    <w:link w:val="BVIfnrCarCar"/>
    <w:uiPriority w:val="99"/>
    <w:unhideWhenUsed/>
    <w:qFormat/>
    <w:rsid w:val="00156918"/>
    <w:rPr>
      <w:vertAlign w:val="superscript"/>
    </w:rPr>
  </w:style>
  <w:style w:type="character" w:customStyle="1" w:styleId="highlight">
    <w:name w:val="highlight"/>
    <w:basedOn w:val="DefaultParagraphFont"/>
    <w:rsid w:val="00156918"/>
  </w:style>
  <w:style w:type="character" w:customStyle="1" w:styleId="Heading7Char">
    <w:name w:val="Heading 7 Char"/>
    <w:basedOn w:val="DefaultParagraphFont"/>
    <w:link w:val="Heading7"/>
    <w:rsid w:val="00693882"/>
    <w:rPr>
      <w:rFonts w:ascii="Arial" w:hAnsi="Arial"/>
      <w:b/>
      <w:bCs/>
      <w:lang w:eastAsia="en-US"/>
    </w:rPr>
  </w:style>
  <w:style w:type="character" w:customStyle="1" w:styleId="Heading8Char">
    <w:name w:val="Heading 8 Char"/>
    <w:basedOn w:val="DefaultParagraphFont"/>
    <w:link w:val="Heading8"/>
    <w:rsid w:val="00693882"/>
    <w:rPr>
      <w:rFonts w:ascii="Arial" w:hAnsi="Arial"/>
      <w:b/>
      <w:bCs/>
      <w:spacing w:val="-2"/>
      <w:sz w:val="24"/>
      <w:lang w:eastAsia="en-US"/>
    </w:rPr>
  </w:style>
  <w:style w:type="character" w:customStyle="1" w:styleId="Heading9Char">
    <w:name w:val="Heading 9 Char"/>
    <w:basedOn w:val="DefaultParagraphFont"/>
    <w:link w:val="Heading9"/>
    <w:rsid w:val="00693882"/>
    <w:rPr>
      <w:rFonts w:ascii="Arial" w:hAnsi="Arial"/>
      <w:b/>
      <w:bCs/>
      <w:lang w:eastAsia="en-US"/>
    </w:rPr>
  </w:style>
  <w:style w:type="paragraph" w:customStyle="1" w:styleId="BodySingle">
    <w:name w:val="Body Single"/>
    <w:basedOn w:val="Footer"/>
    <w:link w:val="BodySingleChar"/>
    <w:rsid w:val="00693882"/>
    <w:pPr>
      <w:tabs>
        <w:tab w:val="clear" w:pos="4513"/>
        <w:tab w:val="clear" w:pos="9026"/>
      </w:tabs>
      <w:spacing w:after="0" w:line="290" w:lineRule="atLeast"/>
      <w:jc w:val="both"/>
    </w:pPr>
    <w:rPr>
      <w:rFonts w:ascii="Times New Roman" w:hAnsi="Times New Roman"/>
      <w:bCs/>
      <w:color w:val="auto"/>
      <w:kern w:val="0"/>
      <w:sz w:val="24"/>
      <w:szCs w:val="20"/>
      <w:lang w:eastAsia="en-US"/>
    </w:rPr>
  </w:style>
  <w:style w:type="character" w:customStyle="1" w:styleId="BodySingleChar">
    <w:name w:val="Body Single Char"/>
    <w:link w:val="BodySingle"/>
    <w:locked/>
    <w:rsid w:val="00693882"/>
    <w:rPr>
      <w:bCs/>
      <w:sz w:val="24"/>
      <w:lang w:eastAsia="en-US"/>
    </w:rPr>
  </w:style>
  <w:style w:type="paragraph" w:styleId="BodyText0">
    <w:name w:val="Body Text"/>
    <w:basedOn w:val="Normal"/>
    <w:link w:val="BodyTextChar0"/>
    <w:unhideWhenUsed/>
    <w:rsid w:val="00693882"/>
    <w:pPr>
      <w:spacing w:line="240" w:lineRule="auto"/>
      <w:jc w:val="both"/>
    </w:pPr>
    <w:rPr>
      <w:rFonts w:ascii="Arial" w:hAnsi="Arial" w:cs="Arial"/>
      <w:bCs/>
      <w:color w:val="auto"/>
      <w:kern w:val="0"/>
      <w:sz w:val="20"/>
      <w:szCs w:val="22"/>
      <w:lang w:val="fr-FR" w:eastAsia="en-US"/>
    </w:rPr>
  </w:style>
  <w:style w:type="character" w:customStyle="1" w:styleId="BodyTextChar0">
    <w:name w:val="Body Text Char"/>
    <w:basedOn w:val="DefaultParagraphFont"/>
    <w:link w:val="BodyText0"/>
    <w:rsid w:val="00693882"/>
    <w:rPr>
      <w:rFonts w:ascii="Arial" w:hAnsi="Arial" w:cs="Arial"/>
      <w:bCs/>
      <w:szCs w:val="22"/>
      <w:lang w:val="fr-FR" w:eastAsia="en-US"/>
    </w:rPr>
  </w:style>
  <w:style w:type="character" w:styleId="PageNumber0">
    <w:name w:val="page number"/>
    <w:rsid w:val="00693882"/>
    <w:rPr>
      <w:rFonts w:cs="Times New Roman"/>
    </w:rPr>
  </w:style>
  <w:style w:type="paragraph" w:customStyle="1" w:styleId="TableText0">
    <w:name w:val="Table Text"/>
    <w:rsid w:val="00693882"/>
    <w:rPr>
      <w:color w:val="000000"/>
      <w:sz w:val="24"/>
      <w:lang w:eastAsia="en-US"/>
    </w:rPr>
  </w:style>
  <w:style w:type="paragraph" w:styleId="BlockText">
    <w:name w:val="Block Text"/>
    <w:basedOn w:val="Normal"/>
    <w:rsid w:val="00693882"/>
    <w:pPr>
      <w:spacing w:after="0" w:line="240" w:lineRule="auto"/>
      <w:ind w:left="426" w:right="-335"/>
      <w:jc w:val="both"/>
    </w:pPr>
    <w:rPr>
      <w:rFonts w:ascii="Times New Roman" w:hAnsi="Times New Roman"/>
      <w:bCs/>
      <w:color w:val="auto"/>
      <w:kern w:val="0"/>
      <w:sz w:val="24"/>
      <w:szCs w:val="20"/>
      <w:lang w:eastAsia="en-US"/>
    </w:rPr>
  </w:style>
  <w:style w:type="paragraph" w:styleId="BodyTextIndent2">
    <w:name w:val="Body Text Indent 2"/>
    <w:basedOn w:val="Normal"/>
    <w:link w:val="BodyTextIndent2Char"/>
    <w:rsid w:val="00693882"/>
    <w:pPr>
      <w:spacing w:after="0" w:line="240" w:lineRule="auto"/>
      <w:ind w:left="360"/>
      <w:jc w:val="both"/>
    </w:pPr>
    <w:rPr>
      <w:rFonts w:ascii="Times New Roman" w:hAnsi="Times New Roman"/>
      <w:bCs/>
      <w:color w:val="auto"/>
      <w:kern w:val="0"/>
      <w:sz w:val="20"/>
      <w:szCs w:val="20"/>
      <w:lang w:val="en-US" w:eastAsia="en-US"/>
    </w:rPr>
  </w:style>
  <w:style w:type="character" w:customStyle="1" w:styleId="BodyTextIndent2Char">
    <w:name w:val="Body Text Indent 2 Char"/>
    <w:basedOn w:val="DefaultParagraphFont"/>
    <w:link w:val="BodyTextIndent2"/>
    <w:uiPriority w:val="99"/>
    <w:rsid w:val="00693882"/>
    <w:rPr>
      <w:bCs/>
      <w:lang w:val="en-US" w:eastAsia="en-US"/>
    </w:rPr>
  </w:style>
  <w:style w:type="paragraph" w:styleId="DocumentMap">
    <w:name w:val="Document Map"/>
    <w:basedOn w:val="Normal"/>
    <w:link w:val="DocumentMapChar"/>
    <w:semiHidden/>
    <w:rsid w:val="00693882"/>
    <w:pPr>
      <w:shd w:val="clear" w:color="auto" w:fill="000080"/>
      <w:spacing w:after="0" w:line="240" w:lineRule="auto"/>
      <w:jc w:val="both"/>
    </w:pPr>
    <w:rPr>
      <w:rFonts w:ascii="Tahoma" w:hAnsi="Tahoma"/>
      <w:bCs/>
      <w:color w:val="auto"/>
      <w:kern w:val="0"/>
      <w:sz w:val="24"/>
      <w:szCs w:val="20"/>
      <w:lang w:eastAsia="en-US"/>
    </w:rPr>
  </w:style>
  <w:style w:type="character" w:customStyle="1" w:styleId="DocumentMapChar">
    <w:name w:val="Document Map Char"/>
    <w:basedOn w:val="DefaultParagraphFont"/>
    <w:link w:val="DocumentMap"/>
    <w:uiPriority w:val="99"/>
    <w:semiHidden/>
    <w:rsid w:val="00693882"/>
    <w:rPr>
      <w:rFonts w:ascii="Tahoma" w:hAnsi="Tahoma"/>
      <w:bCs/>
      <w:sz w:val="24"/>
      <w:shd w:val="clear" w:color="auto" w:fill="000080"/>
      <w:lang w:eastAsia="en-US"/>
    </w:rPr>
  </w:style>
  <w:style w:type="paragraph" w:styleId="EnvelopeReturn">
    <w:name w:val="envelope return"/>
    <w:basedOn w:val="Normal"/>
    <w:rsid w:val="00693882"/>
    <w:pPr>
      <w:spacing w:after="0" w:line="240" w:lineRule="auto"/>
      <w:jc w:val="both"/>
    </w:pPr>
    <w:rPr>
      <w:rFonts w:ascii="Arial" w:hAnsi="Arial"/>
      <w:bCs/>
      <w:color w:val="auto"/>
      <w:kern w:val="0"/>
      <w:sz w:val="20"/>
      <w:szCs w:val="20"/>
      <w:lang w:eastAsia="en-US"/>
    </w:rPr>
  </w:style>
  <w:style w:type="paragraph" w:styleId="BodyTextIndent3">
    <w:name w:val="Body Text Indent 3"/>
    <w:basedOn w:val="Normal"/>
    <w:link w:val="BodyTextIndent3Char"/>
    <w:rsid w:val="00693882"/>
    <w:pPr>
      <w:tabs>
        <w:tab w:val="left" w:pos="0"/>
        <w:tab w:val="left" w:pos="540"/>
        <w:tab w:val="left" w:pos="851"/>
        <w:tab w:val="left" w:pos="9072"/>
        <w:tab w:val="left" w:pos="9360"/>
      </w:tabs>
      <w:suppressAutoHyphens/>
      <w:spacing w:after="0" w:line="240" w:lineRule="auto"/>
      <w:ind w:left="993" w:hanging="284"/>
      <w:jc w:val="both"/>
    </w:pPr>
    <w:rPr>
      <w:rFonts w:ascii="Arial" w:hAnsi="Arial"/>
      <w:bCs/>
      <w:color w:val="auto"/>
      <w:spacing w:val="-3"/>
      <w:kern w:val="0"/>
      <w:sz w:val="20"/>
      <w:szCs w:val="20"/>
      <w:lang w:eastAsia="en-US"/>
    </w:rPr>
  </w:style>
  <w:style w:type="character" w:customStyle="1" w:styleId="BodyTextIndent3Char">
    <w:name w:val="Body Text Indent 3 Char"/>
    <w:basedOn w:val="DefaultParagraphFont"/>
    <w:link w:val="BodyTextIndent3"/>
    <w:rsid w:val="00693882"/>
    <w:rPr>
      <w:rFonts w:ascii="Arial" w:hAnsi="Arial"/>
      <w:bCs/>
      <w:spacing w:val="-3"/>
      <w:lang w:eastAsia="en-US"/>
    </w:rPr>
  </w:style>
  <w:style w:type="paragraph" w:styleId="BodyText2">
    <w:name w:val="Body Text 2"/>
    <w:basedOn w:val="Normal"/>
    <w:link w:val="BodyText2Char"/>
    <w:rsid w:val="00693882"/>
    <w:pPr>
      <w:tabs>
        <w:tab w:val="left" w:pos="0"/>
        <w:tab w:val="left" w:pos="2028"/>
        <w:tab w:val="left" w:pos="6084"/>
        <w:tab w:val="left" w:pos="9356"/>
      </w:tabs>
      <w:suppressAutoHyphens/>
      <w:spacing w:after="0" w:line="240" w:lineRule="auto"/>
      <w:ind w:right="-383"/>
      <w:jc w:val="both"/>
    </w:pPr>
    <w:rPr>
      <w:rFonts w:ascii="Arial" w:hAnsi="Arial"/>
      <w:bCs/>
      <w:color w:val="auto"/>
      <w:spacing w:val="-3"/>
      <w:kern w:val="0"/>
      <w:sz w:val="20"/>
      <w:szCs w:val="20"/>
      <w:lang w:eastAsia="en-US"/>
    </w:rPr>
  </w:style>
  <w:style w:type="character" w:customStyle="1" w:styleId="BodyText2Char">
    <w:name w:val="Body Text 2 Char"/>
    <w:basedOn w:val="DefaultParagraphFont"/>
    <w:link w:val="BodyText2"/>
    <w:uiPriority w:val="99"/>
    <w:rsid w:val="00693882"/>
    <w:rPr>
      <w:rFonts w:ascii="Arial" w:hAnsi="Arial"/>
      <w:bCs/>
      <w:spacing w:val="-3"/>
      <w:lang w:eastAsia="en-US"/>
    </w:rPr>
  </w:style>
  <w:style w:type="paragraph" w:styleId="BodyText3">
    <w:name w:val="Body Text 3"/>
    <w:basedOn w:val="Normal"/>
    <w:link w:val="BodyText3Char"/>
    <w:rsid w:val="00693882"/>
    <w:pPr>
      <w:spacing w:after="0" w:line="240" w:lineRule="auto"/>
      <w:jc w:val="both"/>
    </w:pPr>
    <w:rPr>
      <w:rFonts w:ascii="Arial" w:hAnsi="Arial"/>
      <w:bCs/>
      <w:color w:val="auto"/>
      <w:kern w:val="0"/>
      <w:sz w:val="20"/>
      <w:szCs w:val="20"/>
      <w:lang w:eastAsia="en-US"/>
    </w:rPr>
  </w:style>
  <w:style w:type="character" w:customStyle="1" w:styleId="BodyText3Char">
    <w:name w:val="Body Text 3 Char"/>
    <w:basedOn w:val="DefaultParagraphFont"/>
    <w:link w:val="BodyText3"/>
    <w:uiPriority w:val="99"/>
    <w:rsid w:val="00693882"/>
    <w:rPr>
      <w:rFonts w:ascii="Arial" w:hAnsi="Arial"/>
      <w:bCs/>
      <w:lang w:eastAsia="en-US"/>
    </w:rPr>
  </w:style>
  <w:style w:type="paragraph" w:customStyle="1" w:styleId="ReportBodyText">
    <w:name w:val="Report Body Text"/>
    <w:basedOn w:val="Normal"/>
    <w:rsid w:val="00693882"/>
    <w:pPr>
      <w:spacing w:line="240" w:lineRule="auto"/>
      <w:jc w:val="both"/>
    </w:pPr>
    <w:rPr>
      <w:rFonts w:ascii="Arial" w:hAnsi="Arial"/>
      <w:bCs/>
      <w:color w:val="auto"/>
      <w:kern w:val="0"/>
      <w:sz w:val="20"/>
      <w:szCs w:val="20"/>
      <w:lang w:eastAsia="en-US"/>
    </w:rPr>
  </w:style>
  <w:style w:type="paragraph" w:customStyle="1" w:styleId="ReportHead1">
    <w:name w:val="Report Head 1"/>
    <w:basedOn w:val="Normal"/>
    <w:next w:val="Normal"/>
    <w:rsid w:val="00693882"/>
    <w:pPr>
      <w:numPr>
        <w:numId w:val="9"/>
      </w:numPr>
      <w:spacing w:after="240" w:line="240" w:lineRule="auto"/>
      <w:jc w:val="both"/>
      <w:outlineLvl w:val="0"/>
    </w:pPr>
    <w:rPr>
      <w:rFonts w:ascii="Arial" w:hAnsi="Arial"/>
      <w:b/>
      <w:bCs/>
      <w:caps/>
      <w:color w:val="auto"/>
      <w:kern w:val="0"/>
      <w:sz w:val="24"/>
      <w:szCs w:val="20"/>
      <w:lang w:eastAsia="en-US"/>
    </w:rPr>
  </w:style>
  <w:style w:type="paragraph" w:styleId="ListNumber2">
    <w:name w:val="List Number 2"/>
    <w:basedOn w:val="Normal"/>
    <w:rsid w:val="00693882"/>
    <w:pPr>
      <w:numPr>
        <w:numId w:val="8"/>
      </w:numPr>
      <w:spacing w:after="0" w:line="240" w:lineRule="auto"/>
      <w:jc w:val="both"/>
    </w:pPr>
    <w:rPr>
      <w:rFonts w:ascii="Arial" w:hAnsi="Arial"/>
      <w:bCs/>
      <w:color w:val="auto"/>
      <w:kern w:val="0"/>
      <w:sz w:val="20"/>
      <w:szCs w:val="20"/>
      <w:lang w:eastAsia="en-US"/>
    </w:rPr>
  </w:style>
  <w:style w:type="paragraph" w:customStyle="1" w:styleId="ReportHead2">
    <w:name w:val="Report Head 2"/>
    <w:basedOn w:val="Normal"/>
    <w:next w:val="Normal"/>
    <w:rsid w:val="00693882"/>
    <w:pPr>
      <w:numPr>
        <w:ilvl w:val="1"/>
        <w:numId w:val="10"/>
      </w:numPr>
      <w:spacing w:after="240" w:line="240" w:lineRule="auto"/>
      <w:jc w:val="both"/>
      <w:outlineLvl w:val="1"/>
    </w:pPr>
    <w:rPr>
      <w:rFonts w:ascii="Arial" w:hAnsi="Arial"/>
      <w:b/>
      <w:bCs/>
      <w:color w:val="auto"/>
      <w:kern w:val="0"/>
      <w:sz w:val="24"/>
      <w:szCs w:val="20"/>
      <w:lang w:eastAsia="en-US"/>
    </w:rPr>
  </w:style>
  <w:style w:type="paragraph" w:customStyle="1" w:styleId="ReportHead3">
    <w:name w:val="Report Head 3"/>
    <w:basedOn w:val="Normal"/>
    <w:next w:val="Normal"/>
    <w:rsid w:val="00693882"/>
    <w:pPr>
      <w:numPr>
        <w:ilvl w:val="1"/>
        <w:numId w:val="9"/>
      </w:numPr>
      <w:spacing w:line="240" w:lineRule="auto"/>
      <w:jc w:val="both"/>
      <w:outlineLvl w:val="1"/>
    </w:pPr>
    <w:rPr>
      <w:rFonts w:ascii="Arial" w:hAnsi="Arial"/>
      <w:bCs/>
      <w:color w:val="auto"/>
      <w:kern w:val="0"/>
      <w:sz w:val="20"/>
      <w:szCs w:val="20"/>
      <w:lang w:eastAsia="en-US"/>
    </w:rPr>
  </w:style>
  <w:style w:type="paragraph" w:customStyle="1" w:styleId="ReportHead4">
    <w:name w:val="Report Head 4"/>
    <w:basedOn w:val="Normal"/>
    <w:rsid w:val="00693882"/>
    <w:pPr>
      <w:numPr>
        <w:ilvl w:val="2"/>
        <w:numId w:val="9"/>
      </w:numPr>
      <w:spacing w:line="240" w:lineRule="auto"/>
      <w:jc w:val="both"/>
      <w:outlineLvl w:val="2"/>
    </w:pPr>
    <w:rPr>
      <w:rFonts w:ascii="Arial" w:hAnsi="Arial"/>
      <w:bCs/>
      <w:color w:val="auto"/>
      <w:kern w:val="0"/>
      <w:sz w:val="20"/>
      <w:szCs w:val="20"/>
      <w:lang w:eastAsia="en-US"/>
    </w:rPr>
  </w:style>
  <w:style w:type="paragraph" w:customStyle="1" w:styleId="ReportHead5">
    <w:name w:val="Report Head 5"/>
    <w:basedOn w:val="Normal"/>
    <w:rsid w:val="00693882"/>
    <w:pPr>
      <w:tabs>
        <w:tab w:val="num" w:pos="851"/>
      </w:tabs>
      <w:spacing w:line="240" w:lineRule="auto"/>
      <w:ind w:left="851" w:hanging="851"/>
      <w:jc w:val="both"/>
      <w:outlineLvl w:val="3"/>
    </w:pPr>
    <w:rPr>
      <w:rFonts w:ascii="Arial" w:hAnsi="Arial"/>
      <w:bCs/>
      <w:color w:val="auto"/>
      <w:kern w:val="0"/>
      <w:sz w:val="20"/>
      <w:szCs w:val="20"/>
      <w:lang w:eastAsia="en-US"/>
    </w:rPr>
  </w:style>
  <w:style w:type="paragraph" w:customStyle="1" w:styleId="ReportHead6">
    <w:name w:val="Report Head 6"/>
    <w:basedOn w:val="Normal"/>
    <w:rsid w:val="00693882"/>
    <w:pPr>
      <w:tabs>
        <w:tab w:val="num" w:pos="850"/>
      </w:tabs>
      <w:spacing w:line="240" w:lineRule="auto"/>
      <w:ind w:left="850" w:hanging="850"/>
      <w:jc w:val="both"/>
      <w:outlineLvl w:val="4"/>
    </w:pPr>
    <w:rPr>
      <w:rFonts w:ascii="Arial" w:hAnsi="Arial"/>
      <w:bCs/>
      <w:color w:val="auto"/>
      <w:kern w:val="0"/>
      <w:sz w:val="20"/>
      <w:szCs w:val="20"/>
      <w:lang w:eastAsia="en-US"/>
    </w:rPr>
  </w:style>
  <w:style w:type="character" w:styleId="FollowedHyperlink">
    <w:name w:val="FollowedHyperlink"/>
    <w:uiPriority w:val="99"/>
    <w:rsid w:val="00693882"/>
    <w:rPr>
      <w:rFonts w:cs="Times New Roman"/>
      <w:color w:val="800080"/>
      <w:u w:val="single"/>
    </w:rPr>
  </w:style>
  <w:style w:type="paragraph" w:customStyle="1" w:styleId="lefttext">
    <w:name w:val="lefttext"/>
    <w:basedOn w:val="Normal"/>
    <w:rsid w:val="00693882"/>
    <w:pPr>
      <w:spacing w:before="100" w:beforeAutospacing="1" w:after="100" w:afterAutospacing="1" w:line="240" w:lineRule="auto"/>
      <w:jc w:val="both"/>
    </w:pPr>
    <w:rPr>
      <w:rFonts w:ascii="Times New Roman" w:hAnsi="Times New Roman"/>
      <w:bCs/>
      <w:color w:val="auto"/>
      <w:kern w:val="0"/>
      <w:sz w:val="24"/>
      <w:lang w:val="nl-BE" w:eastAsia="nl-BE"/>
    </w:rPr>
  </w:style>
  <w:style w:type="paragraph" w:customStyle="1" w:styleId="ListBullet1">
    <w:name w:val="List Bullet 1"/>
    <w:basedOn w:val="Normal"/>
    <w:rsid w:val="00693882"/>
    <w:pPr>
      <w:numPr>
        <w:numId w:val="11"/>
      </w:numPr>
      <w:spacing w:after="240" w:line="240" w:lineRule="auto"/>
      <w:jc w:val="both"/>
    </w:pPr>
    <w:rPr>
      <w:rFonts w:ascii="Times New Roman" w:hAnsi="Times New Roman"/>
      <w:bCs/>
      <w:color w:val="auto"/>
      <w:kern w:val="0"/>
      <w:sz w:val="24"/>
      <w:szCs w:val="20"/>
      <w:lang w:eastAsia="en-US"/>
    </w:rPr>
  </w:style>
  <w:style w:type="paragraph" w:customStyle="1" w:styleId="Text1">
    <w:name w:val="Text 1"/>
    <w:basedOn w:val="Normal"/>
    <w:rsid w:val="00693882"/>
    <w:pPr>
      <w:spacing w:after="240" w:line="240" w:lineRule="auto"/>
      <w:ind w:left="482"/>
      <w:jc w:val="both"/>
    </w:pPr>
    <w:rPr>
      <w:rFonts w:ascii="Times New Roman" w:hAnsi="Times New Roman"/>
      <w:bCs/>
      <w:color w:val="auto"/>
      <w:kern w:val="0"/>
      <w:sz w:val="24"/>
      <w:szCs w:val="20"/>
      <w:lang w:eastAsia="en-US"/>
    </w:rPr>
  </w:style>
  <w:style w:type="paragraph" w:customStyle="1" w:styleId="Text3">
    <w:name w:val="Text 3"/>
    <w:basedOn w:val="Normal"/>
    <w:rsid w:val="00693882"/>
    <w:pPr>
      <w:tabs>
        <w:tab w:val="left" w:pos="2302"/>
      </w:tabs>
      <w:spacing w:after="240" w:line="240" w:lineRule="auto"/>
      <w:ind w:left="1916"/>
      <w:jc w:val="both"/>
    </w:pPr>
    <w:rPr>
      <w:rFonts w:ascii="Times New Roman" w:hAnsi="Times New Roman"/>
      <w:bCs/>
      <w:color w:val="auto"/>
      <w:kern w:val="0"/>
      <w:sz w:val="24"/>
      <w:szCs w:val="20"/>
      <w:lang w:eastAsia="en-US"/>
    </w:rPr>
  </w:style>
  <w:style w:type="paragraph" w:styleId="ListBullet2">
    <w:name w:val="List Bullet 2"/>
    <w:basedOn w:val="Normal"/>
    <w:rsid w:val="00693882"/>
    <w:pPr>
      <w:numPr>
        <w:numId w:val="12"/>
      </w:numPr>
      <w:spacing w:after="240" w:line="240" w:lineRule="auto"/>
      <w:jc w:val="both"/>
    </w:pPr>
    <w:rPr>
      <w:rFonts w:ascii="Times New Roman" w:hAnsi="Times New Roman"/>
      <w:bCs/>
      <w:color w:val="auto"/>
      <w:kern w:val="0"/>
      <w:sz w:val="24"/>
      <w:szCs w:val="20"/>
      <w:lang w:eastAsia="en-US"/>
    </w:rPr>
  </w:style>
  <w:style w:type="paragraph" w:customStyle="1" w:styleId="questionsub">
    <w:name w:val="question sub"/>
    <w:basedOn w:val="Normal"/>
    <w:rsid w:val="00693882"/>
    <w:pPr>
      <w:spacing w:line="240" w:lineRule="auto"/>
      <w:ind w:left="576" w:hanging="288"/>
      <w:jc w:val="both"/>
    </w:pPr>
    <w:rPr>
      <w:rFonts w:ascii="Times New Roman" w:hAnsi="Times New Roman"/>
      <w:bCs/>
      <w:color w:val="auto"/>
      <w:kern w:val="0"/>
      <w:sz w:val="20"/>
      <w:szCs w:val="20"/>
      <w:lang w:val="en-US" w:eastAsia="en-US"/>
    </w:rPr>
  </w:style>
  <w:style w:type="paragraph" w:customStyle="1" w:styleId="TableNormal1">
    <w:name w:val="Table Normal1"/>
    <w:basedOn w:val="Header"/>
    <w:rsid w:val="00693882"/>
    <w:pPr>
      <w:tabs>
        <w:tab w:val="clear" w:pos="4513"/>
        <w:tab w:val="clear" w:pos="9026"/>
        <w:tab w:val="center" w:pos="4253"/>
        <w:tab w:val="right" w:pos="8505"/>
      </w:tabs>
      <w:spacing w:before="60" w:after="60" w:line="240" w:lineRule="auto"/>
      <w:jc w:val="both"/>
    </w:pPr>
    <w:rPr>
      <w:rFonts w:ascii="Times New Roman" w:hAnsi="Times New Roman"/>
      <w:bCs/>
      <w:color w:val="auto"/>
      <w:kern w:val="0"/>
      <w:sz w:val="16"/>
      <w:szCs w:val="20"/>
      <w:lang w:eastAsia="en-US"/>
    </w:rPr>
  </w:style>
  <w:style w:type="paragraph" w:customStyle="1" w:styleId="Ballontekst">
    <w:name w:val="Ballontekst"/>
    <w:basedOn w:val="Normal"/>
    <w:semiHidden/>
    <w:rsid w:val="00693882"/>
    <w:pPr>
      <w:spacing w:after="0" w:line="240" w:lineRule="auto"/>
      <w:jc w:val="both"/>
    </w:pPr>
    <w:rPr>
      <w:rFonts w:ascii="Tahoma" w:hAnsi="Tahoma" w:cs="Tahoma"/>
      <w:bCs/>
      <w:color w:val="auto"/>
      <w:kern w:val="0"/>
      <w:sz w:val="16"/>
      <w:szCs w:val="16"/>
      <w:lang w:eastAsia="en-US"/>
    </w:rPr>
  </w:style>
  <w:style w:type="paragraph" w:customStyle="1" w:styleId="MSStandardLevel2">
    <w:name w:val="MS Standard Level 2"/>
    <w:basedOn w:val="Normal"/>
    <w:rsid w:val="00693882"/>
    <w:pPr>
      <w:tabs>
        <w:tab w:val="num" w:pos="850"/>
      </w:tabs>
      <w:spacing w:line="240" w:lineRule="auto"/>
      <w:ind w:left="850" w:hanging="850"/>
      <w:jc w:val="both"/>
      <w:outlineLvl w:val="1"/>
    </w:pPr>
    <w:rPr>
      <w:rFonts w:ascii="Arial" w:hAnsi="Arial"/>
      <w:bCs/>
      <w:color w:val="auto"/>
      <w:kern w:val="0"/>
      <w:sz w:val="20"/>
      <w:szCs w:val="20"/>
      <w:lang w:eastAsia="en-US"/>
    </w:rPr>
  </w:style>
  <w:style w:type="paragraph" w:customStyle="1" w:styleId="MSStandardLevel3">
    <w:name w:val="MS Standard Level 3"/>
    <w:basedOn w:val="Normal"/>
    <w:rsid w:val="00693882"/>
    <w:pPr>
      <w:tabs>
        <w:tab w:val="num" w:pos="850"/>
      </w:tabs>
      <w:spacing w:line="240" w:lineRule="auto"/>
      <w:ind w:left="850" w:hanging="850"/>
      <w:jc w:val="both"/>
      <w:outlineLvl w:val="2"/>
    </w:pPr>
    <w:rPr>
      <w:rFonts w:ascii="Arial" w:hAnsi="Arial"/>
      <w:bCs/>
      <w:color w:val="auto"/>
      <w:kern w:val="0"/>
      <w:sz w:val="20"/>
      <w:szCs w:val="20"/>
      <w:lang w:eastAsia="en-US"/>
    </w:rPr>
  </w:style>
  <w:style w:type="paragraph" w:customStyle="1" w:styleId="MSStandardLevel4">
    <w:name w:val="MS Standard Level 4"/>
    <w:basedOn w:val="Normal"/>
    <w:rsid w:val="00693882"/>
    <w:pPr>
      <w:tabs>
        <w:tab w:val="num" w:pos="1134"/>
      </w:tabs>
      <w:spacing w:line="240" w:lineRule="auto"/>
      <w:ind w:left="1134" w:hanging="1134"/>
      <w:jc w:val="both"/>
      <w:outlineLvl w:val="3"/>
    </w:pPr>
    <w:rPr>
      <w:rFonts w:ascii="Arial" w:hAnsi="Arial"/>
      <w:bCs/>
      <w:color w:val="auto"/>
      <w:kern w:val="0"/>
      <w:sz w:val="20"/>
      <w:szCs w:val="20"/>
      <w:lang w:eastAsia="en-US"/>
    </w:rPr>
  </w:style>
  <w:style w:type="paragraph" w:customStyle="1" w:styleId="MSStandardLevel5">
    <w:name w:val="MS Standard Level 5"/>
    <w:basedOn w:val="Normal"/>
    <w:rsid w:val="00693882"/>
    <w:pPr>
      <w:tabs>
        <w:tab w:val="left" w:pos="1134"/>
        <w:tab w:val="num" w:pos="1440"/>
      </w:tabs>
      <w:spacing w:line="240" w:lineRule="auto"/>
      <w:ind w:left="1134" w:hanging="1134"/>
      <w:jc w:val="both"/>
      <w:outlineLvl w:val="4"/>
    </w:pPr>
    <w:rPr>
      <w:rFonts w:ascii="Arial" w:hAnsi="Arial"/>
      <w:bCs/>
      <w:color w:val="auto"/>
      <w:kern w:val="0"/>
      <w:sz w:val="20"/>
      <w:szCs w:val="20"/>
      <w:lang w:eastAsia="en-US"/>
    </w:rPr>
  </w:style>
  <w:style w:type="paragraph" w:customStyle="1" w:styleId="MSStandardLevel6">
    <w:name w:val="MS Standard Level 6"/>
    <w:basedOn w:val="Normal"/>
    <w:rsid w:val="00693882"/>
    <w:pPr>
      <w:tabs>
        <w:tab w:val="left" w:pos="1134"/>
        <w:tab w:val="num" w:pos="1440"/>
      </w:tabs>
      <w:spacing w:line="240" w:lineRule="auto"/>
      <w:ind w:left="1134" w:hanging="1134"/>
      <w:jc w:val="both"/>
      <w:outlineLvl w:val="5"/>
    </w:pPr>
    <w:rPr>
      <w:rFonts w:ascii="Arial" w:hAnsi="Arial"/>
      <w:bCs/>
      <w:color w:val="auto"/>
      <w:kern w:val="0"/>
      <w:sz w:val="20"/>
      <w:szCs w:val="20"/>
      <w:lang w:eastAsia="en-US"/>
    </w:rPr>
  </w:style>
  <w:style w:type="paragraph" w:customStyle="1" w:styleId="MSStandardLevel7">
    <w:name w:val="MS Standard Level 7"/>
    <w:basedOn w:val="Normal"/>
    <w:rsid w:val="00693882"/>
    <w:pPr>
      <w:tabs>
        <w:tab w:val="left" w:pos="1418"/>
        <w:tab w:val="num" w:pos="1797"/>
      </w:tabs>
      <w:spacing w:line="240" w:lineRule="auto"/>
      <w:ind w:left="1417" w:hanging="1417"/>
      <w:jc w:val="both"/>
      <w:outlineLvl w:val="6"/>
    </w:pPr>
    <w:rPr>
      <w:rFonts w:ascii="Arial" w:hAnsi="Arial"/>
      <w:bCs/>
      <w:color w:val="auto"/>
      <w:kern w:val="0"/>
      <w:sz w:val="20"/>
      <w:szCs w:val="20"/>
      <w:lang w:eastAsia="en-US"/>
    </w:rPr>
  </w:style>
  <w:style w:type="paragraph" w:customStyle="1" w:styleId="MSHouseLevel2">
    <w:name w:val="MS House Level 2"/>
    <w:basedOn w:val="Normal"/>
    <w:rsid w:val="00693882"/>
    <w:pPr>
      <w:spacing w:line="240" w:lineRule="auto"/>
      <w:jc w:val="both"/>
      <w:outlineLvl w:val="1"/>
    </w:pPr>
    <w:rPr>
      <w:rFonts w:ascii="Arial" w:hAnsi="Arial"/>
      <w:bCs/>
      <w:color w:val="auto"/>
      <w:kern w:val="0"/>
      <w:sz w:val="20"/>
      <w:szCs w:val="20"/>
      <w:lang w:eastAsia="en-US"/>
    </w:rPr>
  </w:style>
  <w:style w:type="paragraph" w:customStyle="1" w:styleId="MSHouseLevel3">
    <w:name w:val="MS House Level 3"/>
    <w:basedOn w:val="Normal"/>
    <w:rsid w:val="00693882"/>
    <w:pPr>
      <w:spacing w:line="240" w:lineRule="auto"/>
      <w:jc w:val="both"/>
      <w:outlineLvl w:val="2"/>
    </w:pPr>
    <w:rPr>
      <w:rFonts w:ascii="Arial" w:hAnsi="Arial"/>
      <w:bCs/>
      <w:color w:val="auto"/>
      <w:kern w:val="0"/>
      <w:sz w:val="20"/>
      <w:szCs w:val="20"/>
      <w:lang w:eastAsia="en-US"/>
    </w:rPr>
  </w:style>
  <w:style w:type="paragraph" w:customStyle="1" w:styleId="MSHouseLevel4">
    <w:name w:val="MS House Level 4"/>
    <w:basedOn w:val="Normal"/>
    <w:rsid w:val="00693882"/>
    <w:pPr>
      <w:tabs>
        <w:tab w:val="num" w:pos="851"/>
      </w:tabs>
      <w:spacing w:line="240" w:lineRule="auto"/>
      <w:ind w:left="851" w:hanging="851"/>
      <w:jc w:val="both"/>
      <w:outlineLvl w:val="3"/>
    </w:pPr>
    <w:rPr>
      <w:rFonts w:ascii="Arial" w:hAnsi="Arial"/>
      <w:bCs/>
      <w:color w:val="auto"/>
      <w:kern w:val="0"/>
      <w:sz w:val="20"/>
      <w:szCs w:val="20"/>
      <w:lang w:eastAsia="en-US"/>
    </w:rPr>
  </w:style>
  <w:style w:type="paragraph" w:customStyle="1" w:styleId="MSHouseLevel5">
    <w:name w:val="MS House Level 5"/>
    <w:basedOn w:val="Normal"/>
    <w:rsid w:val="00693882"/>
    <w:pPr>
      <w:tabs>
        <w:tab w:val="num" w:pos="851"/>
      </w:tabs>
      <w:spacing w:line="240" w:lineRule="auto"/>
      <w:ind w:left="851" w:hanging="851"/>
      <w:jc w:val="both"/>
      <w:outlineLvl w:val="4"/>
    </w:pPr>
    <w:rPr>
      <w:rFonts w:ascii="Arial" w:hAnsi="Arial"/>
      <w:bCs/>
      <w:color w:val="auto"/>
      <w:kern w:val="0"/>
      <w:sz w:val="20"/>
      <w:szCs w:val="20"/>
      <w:lang w:eastAsia="en-US"/>
    </w:rPr>
  </w:style>
  <w:style w:type="paragraph" w:customStyle="1" w:styleId="MSHouseLevel6">
    <w:name w:val="MS House Level 6"/>
    <w:basedOn w:val="Normal"/>
    <w:rsid w:val="00693882"/>
    <w:pPr>
      <w:tabs>
        <w:tab w:val="num" w:pos="1418"/>
      </w:tabs>
      <w:spacing w:line="240" w:lineRule="auto"/>
      <w:ind w:left="1418" w:hanging="567"/>
      <w:jc w:val="both"/>
      <w:outlineLvl w:val="5"/>
    </w:pPr>
    <w:rPr>
      <w:rFonts w:ascii="Arial" w:hAnsi="Arial"/>
      <w:bCs/>
      <w:color w:val="auto"/>
      <w:kern w:val="0"/>
      <w:sz w:val="20"/>
      <w:szCs w:val="20"/>
      <w:lang w:eastAsia="en-US"/>
    </w:rPr>
  </w:style>
  <w:style w:type="paragraph" w:customStyle="1" w:styleId="MSHouseLevel7">
    <w:name w:val="MS House Level 7"/>
    <w:basedOn w:val="Normal"/>
    <w:rsid w:val="00693882"/>
    <w:pPr>
      <w:tabs>
        <w:tab w:val="num" w:pos="1985"/>
      </w:tabs>
      <w:spacing w:line="240" w:lineRule="auto"/>
      <w:ind w:left="1985" w:hanging="567"/>
      <w:jc w:val="both"/>
      <w:outlineLvl w:val="6"/>
    </w:pPr>
    <w:rPr>
      <w:rFonts w:ascii="Arial" w:hAnsi="Arial"/>
      <w:bCs/>
      <w:color w:val="auto"/>
      <w:kern w:val="0"/>
      <w:sz w:val="20"/>
      <w:szCs w:val="20"/>
      <w:lang w:eastAsia="en-US"/>
    </w:rPr>
  </w:style>
  <w:style w:type="paragraph" w:customStyle="1" w:styleId="MSLetterLevel2">
    <w:name w:val="MS Letter Level 2"/>
    <w:basedOn w:val="MSLetterLevel1"/>
    <w:rsid w:val="00693882"/>
  </w:style>
  <w:style w:type="paragraph" w:customStyle="1" w:styleId="MSLetterLevel1">
    <w:name w:val="MS Letter Level 1"/>
    <w:basedOn w:val="Normal"/>
    <w:rsid w:val="00693882"/>
    <w:pPr>
      <w:tabs>
        <w:tab w:val="num" w:pos="360"/>
      </w:tabs>
      <w:spacing w:line="240" w:lineRule="auto"/>
      <w:ind w:left="360" w:hanging="360"/>
      <w:jc w:val="both"/>
    </w:pPr>
    <w:rPr>
      <w:rFonts w:ascii="Arial" w:hAnsi="Arial"/>
      <w:bCs/>
      <w:color w:val="auto"/>
      <w:kern w:val="0"/>
      <w:sz w:val="20"/>
      <w:szCs w:val="20"/>
      <w:lang w:eastAsia="en-US"/>
    </w:rPr>
  </w:style>
  <w:style w:type="paragraph" w:customStyle="1" w:styleId="MSLetterLevel3">
    <w:name w:val="MS Letter Level 3"/>
    <w:basedOn w:val="MSLetterLevel2"/>
    <w:rsid w:val="00693882"/>
    <w:pPr>
      <w:tabs>
        <w:tab w:val="left" w:pos="1134"/>
      </w:tabs>
    </w:pPr>
  </w:style>
  <w:style w:type="paragraph" w:customStyle="1" w:styleId="NoteHead">
    <w:name w:val="NoteHead"/>
    <w:basedOn w:val="Normal"/>
    <w:next w:val="Subject"/>
    <w:rsid w:val="00693882"/>
    <w:pPr>
      <w:spacing w:before="720" w:after="720" w:line="240" w:lineRule="auto"/>
      <w:jc w:val="center"/>
    </w:pPr>
    <w:rPr>
      <w:rFonts w:ascii="Times New Roman" w:hAnsi="Times New Roman"/>
      <w:b/>
      <w:bCs/>
      <w:smallCaps/>
      <w:color w:val="auto"/>
      <w:kern w:val="0"/>
      <w:sz w:val="24"/>
      <w:szCs w:val="20"/>
      <w:lang w:eastAsia="en-US"/>
    </w:rPr>
  </w:style>
  <w:style w:type="paragraph" w:customStyle="1" w:styleId="Subject">
    <w:name w:val="Subject"/>
    <w:basedOn w:val="Normal"/>
    <w:next w:val="Normal"/>
    <w:rsid w:val="00693882"/>
    <w:pPr>
      <w:spacing w:after="480" w:line="240" w:lineRule="auto"/>
      <w:ind w:left="1191" w:hanging="1191"/>
      <w:jc w:val="both"/>
    </w:pPr>
    <w:rPr>
      <w:rFonts w:ascii="Times New Roman" w:hAnsi="Times New Roman"/>
      <w:b/>
      <w:bCs/>
      <w:color w:val="auto"/>
      <w:kern w:val="0"/>
      <w:sz w:val="24"/>
      <w:szCs w:val="20"/>
      <w:lang w:eastAsia="en-US"/>
    </w:rPr>
  </w:style>
  <w:style w:type="paragraph" w:styleId="CommentText">
    <w:name w:val="annotation text"/>
    <w:basedOn w:val="Normal"/>
    <w:link w:val="CommentTextChar"/>
    <w:uiPriority w:val="99"/>
    <w:rsid w:val="00693882"/>
    <w:pPr>
      <w:spacing w:after="240" w:line="240" w:lineRule="auto"/>
      <w:jc w:val="both"/>
    </w:pPr>
    <w:rPr>
      <w:rFonts w:ascii="Times New Roman" w:hAnsi="Times New Roman"/>
      <w:bCs/>
      <w:color w:val="auto"/>
      <w:kern w:val="0"/>
      <w:sz w:val="20"/>
      <w:szCs w:val="20"/>
      <w:lang w:eastAsia="en-US"/>
    </w:rPr>
  </w:style>
  <w:style w:type="character" w:customStyle="1" w:styleId="CommentTextChar">
    <w:name w:val="Comment Text Char"/>
    <w:basedOn w:val="DefaultParagraphFont"/>
    <w:link w:val="CommentText"/>
    <w:uiPriority w:val="99"/>
    <w:rsid w:val="00693882"/>
    <w:rPr>
      <w:bCs/>
      <w:lang w:eastAsia="en-US"/>
    </w:rPr>
  </w:style>
  <w:style w:type="paragraph" w:customStyle="1" w:styleId="References">
    <w:name w:val="References"/>
    <w:basedOn w:val="Normal"/>
    <w:next w:val="AddressTR"/>
    <w:rsid w:val="00693882"/>
    <w:pPr>
      <w:spacing w:after="240" w:line="240" w:lineRule="auto"/>
      <w:ind w:left="5103"/>
      <w:jc w:val="both"/>
    </w:pPr>
    <w:rPr>
      <w:rFonts w:ascii="Times New Roman" w:hAnsi="Times New Roman"/>
      <w:bCs/>
      <w:color w:val="auto"/>
      <w:kern w:val="0"/>
      <w:sz w:val="20"/>
      <w:szCs w:val="20"/>
      <w:lang w:eastAsia="en-US"/>
    </w:rPr>
  </w:style>
  <w:style w:type="paragraph" w:customStyle="1" w:styleId="AddressTR">
    <w:name w:val="AddressTR"/>
    <w:basedOn w:val="Normal"/>
    <w:next w:val="Normal"/>
    <w:rsid w:val="00693882"/>
    <w:pPr>
      <w:spacing w:after="720" w:line="240" w:lineRule="auto"/>
      <w:ind w:left="5103"/>
      <w:jc w:val="both"/>
    </w:pPr>
    <w:rPr>
      <w:rFonts w:ascii="Times New Roman" w:hAnsi="Times New Roman"/>
      <w:bCs/>
      <w:color w:val="auto"/>
      <w:kern w:val="0"/>
      <w:sz w:val="24"/>
      <w:szCs w:val="20"/>
      <w:lang w:eastAsia="en-US"/>
    </w:rPr>
  </w:style>
  <w:style w:type="paragraph" w:styleId="PlainText">
    <w:name w:val="Plain Text"/>
    <w:basedOn w:val="Normal"/>
    <w:link w:val="PlainTextChar"/>
    <w:rsid w:val="00693882"/>
    <w:pPr>
      <w:spacing w:after="240" w:line="240" w:lineRule="auto"/>
      <w:jc w:val="both"/>
    </w:pPr>
    <w:rPr>
      <w:rFonts w:ascii="Courier New" w:hAnsi="Courier New"/>
      <w:bCs/>
      <w:color w:val="auto"/>
      <w:kern w:val="0"/>
      <w:sz w:val="20"/>
      <w:szCs w:val="20"/>
      <w:lang w:eastAsia="en-US"/>
    </w:rPr>
  </w:style>
  <w:style w:type="character" w:customStyle="1" w:styleId="PlainTextChar">
    <w:name w:val="Plain Text Char"/>
    <w:basedOn w:val="DefaultParagraphFont"/>
    <w:link w:val="PlainText"/>
    <w:uiPriority w:val="99"/>
    <w:rsid w:val="00693882"/>
    <w:rPr>
      <w:rFonts w:ascii="Courier New" w:hAnsi="Courier New"/>
      <w:bCs/>
      <w:lang w:eastAsia="en-US"/>
    </w:rPr>
  </w:style>
  <w:style w:type="paragraph" w:styleId="Title">
    <w:name w:val="Title"/>
    <w:basedOn w:val="Normal"/>
    <w:next w:val="SubTitle1"/>
    <w:link w:val="TitleChar"/>
    <w:qFormat/>
    <w:locked/>
    <w:rsid w:val="00693882"/>
    <w:pPr>
      <w:spacing w:after="240" w:line="240" w:lineRule="auto"/>
      <w:jc w:val="both"/>
    </w:pPr>
    <w:rPr>
      <w:rFonts w:ascii="Arial" w:hAnsi="Arial" w:cs="Arial"/>
      <w:b/>
      <w:bCs/>
      <w:color w:val="auto"/>
      <w:kern w:val="28"/>
      <w:sz w:val="24"/>
      <w:lang w:eastAsia="en-US"/>
    </w:rPr>
  </w:style>
  <w:style w:type="character" w:customStyle="1" w:styleId="TitleChar">
    <w:name w:val="Title Char"/>
    <w:basedOn w:val="DefaultParagraphFont"/>
    <w:link w:val="Title"/>
    <w:rsid w:val="00693882"/>
    <w:rPr>
      <w:rFonts w:ascii="Arial" w:hAnsi="Arial" w:cs="Arial"/>
      <w:b/>
      <w:bCs/>
      <w:kern w:val="28"/>
      <w:sz w:val="24"/>
      <w:szCs w:val="24"/>
      <w:lang w:eastAsia="en-US"/>
    </w:rPr>
  </w:style>
  <w:style w:type="paragraph" w:customStyle="1" w:styleId="SubTitle1">
    <w:name w:val="SubTitle 1"/>
    <w:basedOn w:val="Normal"/>
    <w:next w:val="SubTitle2"/>
    <w:rsid w:val="00693882"/>
    <w:pPr>
      <w:spacing w:after="240" w:line="240" w:lineRule="auto"/>
      <w:jc w:val="center"/>
    </w:pPr>
    <w:rPr>
      <w:rFonts w:ascii="Times New Roman" w:hAnsi="Times New Roman"/>
      <w:b/>
      <w:bCs/>
      <w:color w:val="auto"/>
      <w:kern w:val="0"/>
      <w:sz w:val="40"/>
      <w:szCs w:val="20"/>
      <w:lang w:eastAsia="en-US"/>
    </w:rPr>
  </w:style>
  <w:style w:type="paragraph" w:customStyle="1" w:styleId="SubTitle2">
    <w:name w:val="SubTitle 2"/>
    <w:basedOn w:val="Normal"/>
    <w:rsid w:val="00693882"/>
    <w:pPr>
      <w:spacing w:after="240" w:line="240" w:lineRule="auto"/>
      <w:jc w:val="center"/>
    </w:pPr>
    <w:rPr>
      <w:rFonts w:ascii="Times New Roman" w:hAnsi="Times New Roman"/>
      <w:b/>
      <w:bCs/>
      <w:color w:val="auto"/>
      <w:kern w:val="0"/>
      <w:sz w:val="32"/>
      <w:szCs w:val="20"/>
      <w:lang w:eastAsia="en-US"/>
    </w:rPr>
  </w:style>
  <w:style w:type="paragraph" w:customStyle="1" w:styleId="Text2">
    <w:name w:val="Text 2"/>
    <w:basedOn w:val="Normal"/>
    <w:rsid w:val="00693882"/>
    <w:pPr>
      <w:tabs>
        <w:tab w:val="left" w:pos="2161"/>
      </w:tabs>
      <w:spacing w:after="240" w:line="240" w:lineRule="auto"/>
      <w:ind w:left="1202"/>
      <w:jc w:val="both"/>
    </w:pPr>
    <w:rPr>
      <w:rFonts w:ascii="Times New Roman" w:hAnsi="Times New Roman"/>
      <w:bCs/>
      <w:color w:val="auto"/>
      <w:kern w:val="0"/>
      <w:sz w:val="24"/>
      <w:szCs w:val="20"/>
      <w:lang w:eastAsia="en-US"/>
    </w:rPr>
  </w:style>
  <w:style w:type="paragraph" w:customStyle="1" w:styleId="ChapterTitle">
    <w:name w:val="ChapterTitle"/>
    <w:basedOn w:val="Normal"/>
    <w:next w:val="SectionTitle"/>
    <w:rsid w:val="00693882"/>
    <w:pPr>
      <w:keepNext/>
      <w:spacing w:after="480" w:line="240" w:lineRule="auto"/>
      <w:jc w:val="center"/>
    </w:pPr>
    <w:rPr>
      <w:rFonts w:ascii="Times New Roman" w:hAnsi="Times New Roman"/>
      <w:b/>
      <w:bCs/>
      <w:color w:val="auto"/>
      <w:kern w:val="0"/>
      <w:sz w:val="32"/>
      <w:szCs w:val="20"/>
      <w:lang w:eastAsia="en-US"/>
    </w:rPr>
  </w:style>
  <w:style w:type="paragraph" w:customStyle="1" w:styleId="SectionTitle">
    <w:name w:val="SectionTitle"/>
    <w:basedOn w:val="Normal"/>
    <w:next w:val="Heading1"/>
    <w:rsid w:val="00693882"/>
    <w:pPr>
      <w:keepNext/>
      <w:spacing w:after="480" w:line="240" w:lineRule="auto"/>
      <w:jc w:val="center"/>
    </w:pPr>
    <w:rPr>
      <w:rFonts w:ascii="Times New Roman" w:hAnsi="Times New Roman"/>
      <w:b/>
      <w:bCs/>
      <w:smallCaps/>
      <w:color w:val="auto"/>
      <w:kern w:val="0"/>
      <w:sz w:val="28"/>
      <w:szCs w:val="20"/>
      <w:lang w:eastAsia="en-US"/>
    </w:rPr>
  </w:style>
  <w:style w:type="paragraph" w:styleId="Index7">
    <w:name w:val="index 7"/>
    <w:basedOn w:val="Normal"/>
    <w:next w:val="Normal"/>
    <w:autoRedefine/>
    <w:semiHidden/>
    <w:rsid w:val="00693882"/>
    <w:pPr>
      <w:spacing w:after="240" w:line="240" w:lineRule="auto"/>
      <w:ind w:left="1680" w:hanging="240"/>
      <w:jc w:val="both"/>
    </w:pPr>
    <w:rPr>
      <w:rFonts w:ascii="Times New Roman" w:hAnsi="Times New Roman"/>
      <w:bCs/>
      <w:color w:val="auto"/>
      <w:kern w:val="0"/>
      <w:sz w:val="24"/>
      <w:szCs w:val="20"/>
      <w:lang w:eastAsia="en-US"/>
    </w:rPr>
  </w:style>
  <w:style w:type="paragraph" w:styleId="Index9">
    <w:name w:val="index 9"/>
    <w:basedOn w:val="Normal"/>
    <w:next w:val="Normal"/>
    <w:autoRedefine/>
    <w:semiHidden/>
    <w:rsid w:val="00693882"/>
    <w:pPr>
      <w:spacing w:after="240" w:line="240" w:lineRule="auto"/>
      <w:ind w:left="2160" w:hanging="240"/>
      <w:jc w:val="both"/>
    </w:pPr>
    <w:rPr>
      <w:rFonts w:ascii="Times New Roman" w:hAnsi="Times New Roman"/>
      <w:bCs/>
      <w:color w:val="auto"/>
      <w:kern w:val="0"/>
      <w:sz w:val="24"/>
      <w:szCs w:val="20"/>
      <w:lang w:eastAsia="en-US"/>
    </w:rPr>
  </w:style>
  <w:style w:type="paragraph" w:customStyle="1" w:styleId="MSHouseLevel1">
    <w:name w:val="MS House Level 1"/>
    <w:basedOn w:val="Normal"/>
    <w:rsid w:val="00693882"/>
    <w:pPr>
      <w:spacing w:after="240" w:line="240" w:lineRule="auto"/>
      <w:jc w:val="both"/>
      <w:outlineLvl w:val="0"/>
    </w:pPr>
    <w:rPr>
      <w:rFonts w:ascii="Arial" w:hAnsi="Arial"/>
      <w:b/>
      <w:bCs/>
      <w:caps/>
      <w:color w:val="auto"/>
      <w:kern w:val="0"/>
      <w:sz w:val="20"/>
      <w:szCs w:val="20"/>
      <w:lang w:eastAsia="en-US"/>
    </w:rPr>
  </w:style>
  <w:style w:type="paragraph" w:styleId="TOC4">
    <w:name w:val="toc 4"/>
    <w:basedOn w:val="Normal"/>
    <w:next w:val="Normal"/>
    <w:autoRedefine/>
    <w:uiPriority w:val="39"/>
    <w:rsid w:val="0034589D"/>
    <w:pPr>
      <w:tabs>
        <w:tab w:val="right" w:leader="dot" w:pos="9016"/>
      </w:tabs>
      <w:spacing w:after="0"/>
      <w:ind w:left="540"/>
    </w:pPr>
    <w:rPr>
      <w:rFonts w:asciiTheme="minorHAnsi" w:hAnsiTheme="minorHAnsi"/>
      <w:szCs w:val="21"/>
    </w:rPr>
  </w:style>
  <w:style w:type="paragraph" w:styleId="TOC5">
    <w:name w:val="toc 5"/>
    <w:basedOn w:val="Normal"/>
    <w:next w:val="Normal"/>
    <w:autoRedefine/>
    <w:uiPriority w:val="39"/>
    <w:rsid w:val="00693882"/>
    <w:pPr>
      <w:spacing w:after="0"/>
      <w:ind w:left="720"/>
    </w:pPr>
    <w:rPr>
      <w:rFonts w:asciiTheme="minorHAnsi" w:hAnsiTheme="minorHAnsi"/>
      <w:szCs w:val="21"/>
    </w:rPr>
  </w:style>
  <w:style w:type="paragraph" w:styleId="TOC6">
    <w:name w:val="toc 6"/>
    <w:basedOn w:val="Normal"/>
    <w:next w:val="Normal"/>
    <w:autoRedefine/>
    <w:uiPriority w:val="39"/>
    <w:rsid w:val="00693882"/>
    <w:pPr>
      <w:spacing w:after="0"/>
      <w:ind w:left="900"/>
    </w:pPr>
    <w:rPr>
      <w:rFonts w:asciiTheme="minorHAnsi" w:hAnsiTheme="minorHAnsi"/>
      <w:szCs w:val="21"/>
    </w:rPr>
  </w:style>
  <w:style w:type="paragraph" w:styleId="TOC7">
    <w:name w:val="toc 7"/>
    <w:basedOn w:val="Normal"/>
    <w:next w:val="Normal"/>
    <w:autoRedefine/>
    <w:uiPriority w:val="39"/>
    <w:rsid w:val="00693882"/>
    <w:pPr>
      <w:spacing w:after="0"/>
      <w:ind w:left="1080"/>
    </w:pPr>
    <w:rPr>
      <w:rFonts w:asciiTheme="minorHAnsi" w:hAnsiTheme="minorHAnsi"/>
      <w:szCs w:val="21"/>
    </w:rPr>
  </w:style>
  <w:style w:type="paragraph" w:styleId="TOC8">
    <w:name w:val="toc 8"/>
    <w:basedOn w:val="Normal"/>
    <w:next w:val="Normal"/>
    <w:autoRedefine/>
    <w:uiPriority w:val="39"/>
    <w:rsid w:val="00693882"/>
    <w:pPr>
      <w:spacing w:after="0"/>
      <w:ind w:left="1260"/>
    </w:pPr>
    <w:rPr>
      <w:rFonts w:asciiTheme="minorHAnsi" w:hAnsiTheme="minorHAnsi"/>
      <w:szCs w:val="21"/>
    </w:rPr>
  </w:style>
  <w:style w:type="paragraph" w:styleId="TOC9">
    <w:name w:val="toc 9"/>
    <w:basedOn w:val="Normal"/>
    <w:next w:val="Normal"/>
    <w:autoRedefine/>
    <w:uiPriority w:val="39"/>
    <w:rsid w:val="00693882"/>
    <w:pPr>
      <w:spacing w:after="0"/>
      <w:ind w:left="1440"/>
    </w:pPr>
    <w:rPr>
      <w:rFonts w:asciiTheme="minorHAnsi" w:hAnsiTheme="minorHAnsi"/>
      <w:szCs w:val="21"/>
    </w:rPr>
  </w:style>
  <w:style w:type="paragraph" w:customStyle="1" w:styleId="MSBulletLevel1">
    <w:name w:val="MS Bullet Level 1"/>
    <w:basedOn w:val="Normal"/>
    <w:rsid w:val="00693882"/>
    <w:pPr>
      <w:numPr>
        <w:numId w:val="13"/>
      </w:numPr>
      <w:spacing w:line="240" w:lineRule="auto"/>
      <w:jc w:val="both"/>
    </w:pPr>
    <w:rPr>
      <w:rFonts w:ascii="Arial" w:hAnsi="Arial"/>
      <w:bCs/>
      <w:color w:val="auto"/>
      <w:kern w:val="0"/>
      <w:sz w:val="20"/>
      <w:szCs w:val="20"/>
      <w:lang w:eastAsia="en-US"/>
    </w:rPr>
  </w:style>
  <w:style w:type="paragraph" w:styleId="Caption">
    <w:name w:val="caption"/>
    <w:basedOn w:val="Normal"/>
    <w:next w:val="Normal"/>
    <w:uiPriority w:val="35"/>
    <w:qFormat/>
    <w:rsid w:val="00693882"/>
    <w:pPr>
      <w:spacing w:before="120" w:line="240" w:lineRule="auto"/>
      <w:jc w:val="both"/>
    </w:pPr>
    <w:rPr>
      <w:rFonts w:ascii="Times New Roman" w:hAnsi="Times New Roman"/>
      <w:b/>
      <w:bCs/>
      <w:color w:val="auto"/>
      <w:kern w:val="0"/>
      <w:sz w:val="24"/>
      <w:szCs w:val="20"/>
      <w:lang w:eastAsia="en-US"/>
    </w:rPr>
  </w:style>
  <w:style w:type="paragraph" w:styleId="List">
    <w:name w:val="List"/>
    <w:basedOn w:val="Normal"/>
    <w:rsid w:val="00693882"/>
    <w:pPr>
      <w:spacing w:after="240" w:line="240" w:lineRule="auto"/>
      <w:ind w:left="283" w:hanging="283"/>
      <w:jc w:val="both"/>
    </w:pPr>
    <w:rPr>
      <w:rFonts w:ascii="Times New Roman" w:hAnsi="Times New Roman"/>
      <w:bCs/>
      <w:color w:val="auto"/>
      <w:kern w:val="0"/>
      <w:sz w:val="24"/>
      <w:szCs w:val="20"/>
      <w:lang w:eastAsia="en-US"/>
    </w:rPr>
  </w:style>
  <w:style w:type="paragraph" w:styleId="NoteHeading">
    <w:name w:val="Note Heading"/>
    <w:basedOn w:val="Normal"/>
    <w:next w:val="Normal"/>
    <w:link w:val="NoteHeadingChar"/>
    <w:rsid w:val="00693882"/>
    <w:pPr>
      <w:spacing w:after="240" w:line="240" w:lineRule="auto"/>
      <w:jc w:val="both"/>
    </w:pPr>
    <w:rPr>
      <w:rFonts w:ascii="Times New Roman" w:hAnsi="Times New Roman"/>
      <w:bCs/>
      <w:color w:val="auto"/>
      <w:kern w:val="0"/>
      <w:sz w:val="24"/>
      <w:szCs w:val="20"/>
      <w:lang w:eastAsia="en-US"/>
    </w:rPr>
  </w:style>
  <w:style w:type="character" w:customStyle="1" w:styleId="NoteHeadingChar">
    <w:name w:val="Note Heading Char"/>
    <w:basedOn w:val="DefaultParagraphFont"/>
    <w:link w:val="NoteHeading"/>
    <w:uiPriority w:val="99"/>
    <w:rsid w:val="00693882"/>
    <w:rPr>
      <w:bCs/>
      <w:sz w:val="24"/>
      <w:lang w:eastAsia="en-US"/>
    </w:rPr>
  </w:style>
  <w:style w:type="paragraph" w:customStyle="1" w:styleId="MSBulletLevel2">
    <w:name w:val="MS Bullet Level 2"/>
    <w:basedOn w:val="Normal"/>
    <w:rsid w:val="00693882"/>
    <w:pPr>
      <w:numPr>
        <w:ilvl w:val="1"/>
        <w:numId w:val="14"/>
      </w:numPr>
      <w:spacing w:line="240" w:lineRule="auto"/>
      <w:jc w:val="both"/>
    </w:pPr>
    <w:rPr>
      <w:rFonts w:ascii="Arial" w:hAnsi="Arial"/>
      <w:bCs/>
      <w:color w:val="auto"/>
      <w:kern w:val="0"/>
      <w:sz w:val="20"/>
      <w:szCs w:val="20"/>
      <w:lang w:eastAsia="en-US"/>
    </w:rPr>
  </w:style>
  <w:style w:type="paragraph" w:customStyle="1" w:styleId="MSBulletLevel3">
    <w:name w:val="MS Bullet Level 3"/>
    <w:basedOn w:val="Normal"/>
    <w:rsid w:val="00693882"/>
    <w:pPr>
      <w:numPr>
        <w:ilvl w:val="2"/>
        <w:numId w:val="14"/>
      </w:numPr>
      <w:spacing w:line="240" w:lineRule="auto"/>
      <w:jc w:val="both"/>
    </w:pPr>
    <w:rPr>
      <w:rFonts w:ascii="Arial" w:hAnsi="Arial"/>
      <w:bCs/>
      <w:color w:val="auto"/>
      <w:kern w:val="0"/>
      <w:sz w:val="20"/>
      <w:szCs w:val="20"/>
      <w:lang w:eastAsia="en-US"/>
    </w:rPr>
  </w:style>
  <w:style w:type="paragraph" w:styleId="ListNumber3">
    <w:name w:val="List Number 3"/>
    <w:basedOn w:val="Text3"/>
    <w:rsid w:val="00693882"/>
    <w:pPr>
      <w:tabs>
        <w:tab w:val="clear" w:pos="2302"/>
      </w:tabs>
      <w:ind w:left="0"/>
    </w:pPr>
  </w:style>
  <w:style w:type="paragraph" w:customStyle="1" w:styleId="ListNumber3Level2">
    <w:name w:val="List Number 3 (Level 2)"/>
    <w:basedOn w:val="Text3"/>
    <w:rsid w:val="00693882"/>
    <w:pPr>
      <w:tabs>
        <w:tab w:val="clear" w:pos="2302"/>
      </w:tabs>
      <w:ind w:left="0"/>
    </w:pPr>
  </w:style>
  <w:style w:type="paragraph" w:customStyle="1" w:styleId="ListNumber3Level3">
    <w:name w:val="List Number 3 (Level 3)"/>
    <w:basedOn w:val="Text3"/>
    <w:rsid w:val="00693882"/>
    <w:pPr>
      <w:tabs>
        <w:tab w:val="clear" w:pos="2302"/>
      </w:tabs>
      <w:ind w:left="0"/>
    </w:pPr>
  </w:style>
  <w:style w:type="paragraph" w:customStyle="1" w:styleId="ListNumber3Level4">
    <w:name w:val="List Number 3 (Level 4)"/>
    <w:basedOn w:val="Text3"/>
    <w:rsid w:val="00693882"/>
    <w:pPr>
      <w:tabs>
        <w:tab w:val="clear" w:pos="2302"/>
      </w:tabs>
      <w:ind w:left="0"/>
    </w:pPr>
  </w:style>
  <w:style w:type="paragraph" w:customStyle="1" w:styleId="ListParagraph1">
    <w:name w:val="List Paragraph1"/>
    <w:basedOn w:val="Normal"/>
    <w:uiPriority w:val="34"/>
    <w:qFormat/>
    <w:rsid w:val="00693882"/>
    <w:pPr>
      <w:spacing w:after="240" w:line="240" w:lineRule="auto"/>
      <w:ind w:left="720"/>
      <w:contextualSpacing/>
      <w:jc w:val="both"/>
    </w:pPr>
    <w:rPr>
      <w:rFonts w:ascii="Arial" w:hAnsi="Arial"/>
      <w:bCs/>
      <w:color w:val="auto"/>
      <w:kern w:val="0"/>
      <w:sz w:val="20"/>
      <w:szCs w:val="22"/>
      <w:lang w:eastAsia="en-US"/>
    </w:rPr>
  </w:style>
  <w:style w:type="paragraph" w:customStyle="1" w:styleId="Heading">
    <w:name w:val="Heading"/>
    <w:next w:val="Normal"/>
    <w:rsid w:val="00693882"/>
    <w:pPr>
      <w:keepNext/>
    </w:pPr>
    <w:rPr>
      <w:rFonts w:ascii="Calibri Bold" w:eastAsia="ヒラギノ角ゴ Pro W3" w:hAnsi="Calibri Bold"/>
      <w:color w:val="000000"/>
      <w:sz w:val="28"/>
      <w:lang w:eastAsia="en-US"/>
    </w:rPr>
  </w:style>
  <w:style w:type="paragraph" w:customStyle="1" w:styleId="Body0">
    <w:name w:val="Body"/>
    <w:rsid w:val="00693882"/>
    <w:pPr>
      <w:jc w:val="both"/>
    </w:pPr>
    <w:rPr>
      <w:rFonts w:ascii="Calibri" w:eastAsia="ヒラギノ角ゴ Pro W3" w:hAnsi="Calibri"/>
      <w:color w:val="000000"/>
      <w:sz w:val="22"/>
      <w:lang w:eastAsia="en-US"/>
    </w:rPr>
  </w:style>
  <w:style w:type="character" w:styleId="CommentReference">
    <w:name w:val="annotation reference"/>
    <w:uiPriority w:val="99"/>
    <w:unhideWhenUsed/>
    <w:rsid w:val="00693882"/>
    <w:rPr>
      <w:rFonts w:cs="Times New Roman"/>
      <w:sz w:val="18"/>
      <w:szCs w:val="18"/>
    </w:rPr>
  </w:style>
  <w:style w:type="paragraph" w:styleId="MacroText">
    <w:name w:val="macro"/>
    <w:link w:val="MacroTextChar"/>
    <w:rsid w:val="00693882"/>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basedOn w:val="DefaultParagraphFont"/>
    <w:link w:val="MacroText"/>
    <w:rsid w:val="00693882"/>
    <w:rPr>
      <w:rFonts w:ascii="Courier New" w:hAnsi="Courier New"/>
      <w:lang w:eastAsia="en-US"/>
    </w:rPr>
  </w:style>
  <w:style w:type="paragraph" w:styleId="CommentSubject">
    <w:name w:val="annotation subject"/>
    <w:basedOn w:val="CommentText"/>
    <w:next w:val="CommentText"/>
    <w:link w:val="CommentSubjectChar"/>
    <w:rsid w:val="00693882"/>
    <w:pPr>
      <w:spacing w:after="0"/>
      <w:jc w:val="left"/>
    </w:pPr>
    <w:rPr>
      <w:b/>
      <w:bCs w:val="0"/>
    </w:rPr>
  </w:style>
  <w:style w:type="character" w:customStyle="1" w:styleId="CommentSubjectChar">
    <w:name w:val="Comment Subject Char"/>
    <w:basedOn w:val="CommentTextChar"/>
    <w:link w:val="CommentSubject"/>
    <w:rsid w:val="00693882"/>
    <w:rPr>
      <w:b/>
      <w:bCs w:val="0"/>
      <w:lang w:eastAsia="en-US"/>
    </w:rPr>
  </w:style>
  <w:style w:type="paragraph" w:customStyle="1" w:styleId="1Arial">
    <w:name w:val="1 + Arial"/>
    <w:aliases w:val="14 pt"/>
    <w:basedOn w:val="Heading1"/>
    <w:rsid w:val="00693882"/>
    <w:pPr>
      <w:pageBreakBefore w:val="0"/>
      <w:numPr>
        <w:numId w:val="19"/>
      </w:numPr>
      <w:shd w:val="clear" w:color="auto" w:fill="002060"/>
      <w:spacing w:after="240" w:line="240" w:lineRule="auto"/>
      <w:jc w:val="both"/>
    </w:pPr>
    <w:rPr>
      <w:rFonts w:ascii="Arial" w:eastAsia="Times New Roman" w:hAnsi="Arial" w:cs="Arial"/>
      <w:caps w:val="0"/>
      <w:color w:val="auto"/>
      <w:kern w:val="28"/>
      <w:sz w:val="28"/>
      <w:lang w:val="fr-FR" w:eastAsia="en-US"/>
    </w:rPr>
  </w:style>
  <w:style w:type="character" w:styleId="Strong">
    <w:name w:val="Strong"/>
    <w:uiPriority w:val="22"/>
    <w:qFormat/>
    <w:locked/>
    <w:rsid w:val="00693882"/>
    <w:rPr>
      <w:rFonts w:cs="Times New Roman"/>
      <w:b/>
      <w:bCs/>
    </w:rPr>
  </w:style>
  <w:style w:type="paragraph" w:customStyle="1" w:styleId="ProposalBullet1">
    <w:name w:val="Proposal Bullet 1"/>
    <w:basedOn w:val="Normal"/>
    <w:rsid w:val="00693882"/>
    <w:pPr>
      <w:numPr>
        <w:numId w:val="20"/>
      </w:numPr>
      <w:tabs>
        <w:tab w:val="left" w:pos="284"/>
        <w:tab w:val="left" w:pos="567"/>
        <w:tab w:val="left" w:pos="851"/>
        <w:tab w:val="left" w:pos="1134"/>
        <w:tab w:val="left" w:pos="1418"/>
      </w:tabs>
      <w:suppressAutoHyphens/>
      <w:spacing w:after="0" w:line="300" w:lineRule="exact"/>
    </w:pPr>
    <w:rPr>
      <w:rFonts w:ascii="Tahoma" w:hAnsi="Tahoma"/>
      <w:color w:val="auto"/>
      <w:kern w:val="0"/>
      <w:sz w:val="16"/>
      <w:szCs w:val="20"/>
      <w:lang w:eastAsia="en-US"/>
    </w:rPr>
  </w:style>
  <w:style w:type="paragraph" w:customStyle="1" w:styleId="Default">
    <w:name w:val="Default"/>
    <w:rsid w:val="00693882"/>
    <w:pPr>
      <w:autoSpaceDE w:val="0"/>
      <w:autoSpaceDN w:val="0"/>
      <w:adjustRightInd w:val="0"/>
    </w:pPr>
    <w:rPr>
      <w:rFonts w:ascii="Georgia" w:hAnsi="Georgia" w:cs="Georgia"/>
      <w:color w:val="000000"/>
      <w:sz w:val="24"/>
      <w:szCs w:val="24"/>
      <w:lang w:val="fr-FR" w:eastAsia="fr-FR"/>
    </w:rPr>
  </w:style>
  <w:style w:type="numbering" w:customStyle="1" w:styleId="Listeencours1">
    <w:name w:val="Liste en cours1"/>
    <w:rsid w:val="00693882"/>
    <w:pPr>
      <w:numPr>
        <w:numId w:val="18"/>
      </w:numPr>
    </w:pPr>
  </w:style>
  <w:style w:type="numbering" w:customStyle="1" w:styleId="Style2">
    <w:name w:val="Style2"/>
    <w:rsid w:val="00693882"/>
    <w:pPr>
      <w:numPr>
        <w:numId w:val="17"/>
      </w:numPr>
    </w:pPr>
  </w:style>
  <w:style w:type="numbering" w:customStyle="1" w:styleId="Style1">
    <w:name w:val="Style1"/>
    <w:rsid w:val="00693882"/>
    <w:pPr>
      <w:numPr>
        <w:numId w:val="16"/>
      </w:numPr>
    </w:pPr>
  </w:style>
  <w:style w:type="numbering" w:styleId="111111">
    <w:name w:val="Outline List 2"/>
    <w:aliases w:val="1.1.1"/>
    <w:basedOn w:val="NoList"/>
    <w:uiPriority w:val="99"/>
    <w:semiHidden/>
    <w:unhideWhenUsed/>
    <w:rsid w:val="00693882"/>
    <w:pPr>
      <w:numPr>
        <w:numId w:val="15"/>
      </w:numPr>
    </w:pPr>
  </w:style>
  <w:style w:type="character" w:customStyle="1" w:styleId="apple-style-span">
    <w:name w:val="apple-style-span"/>
    <w:basedOn w:val="DefaultParagraphFont"/>
    <w:rsid w:val="00693882"/>
  </w:style>
  <w:style w:type="table" w:customStyle="1" w:styleId="Grilleclaire-Accent11">
    <w:name w:val="Grille claire - Accent 11"/>
    <w:basedOn w:val="TableNormal"/>
    <w:uiPriority w:val="62"/>
    <w:rsid w:val="00693882"/>
    <w:rPr>
      <w:rFonts w:ascii="Calibri" w:hAnsi="Calibri"/>
      <w:lang w:val="fr-FR" w:eastAsia="fr-F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j-ea" w:eastAsia="Times New Roman" w:hAnsi="+mj-e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j-ea" w:eastAsia="Times New Roman" w:hAnsi="+mj-e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j-ea" w:eastAsia="Times New Roman" w:hAnsi="+mj-ea" w:cs="Times New Roman"/>
        <w:b/>
        <w:bCs/>
      </w:rPr>
    </w:tblStylePr>
    <w:tblStylePr w:type="lastCol">
      <w:rPr>
        <w:rFonts w:ascii="+mj-ea" w:eastAsia="Times New Roman" w:hAnsi="+mj-e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eclaire-Accent11">
    <w:name w:val="Liste claire - Accent 11"/>
    <w:basedOn w:val="TableNormal"/>
    <w:uiPriority w:val="61"/>
    <w:rsid w:val="00693882"/>
    <w:rPr>
      <w:rFonts w:ascii="Calibri" w:hAnsi="Calibri"/>
      <w:lang w:val="fr-FR" w:eastAsia="fr-F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5">
    <w:name w:val="Light Shading Accent 5"/>
    <w:basedOn w:val="TableNormal"/>
    <w:uiPriority w:val="60"/>
    <w:rsid w:val="00693882"/>
    <w:rPr>
      <w:rFonts w:ascii="Calibri" w:hAnsi="Calibri"/>
      <w:color w:val="31849B"/>
      <w:lang w:val="fr-FR" w:eastAsia="fr-F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List-Accent5">
    <w:name w:val="Light List Accent 5"/>
    <w:basedOn w:val="TableNormal"/>
    <w:uiPriority w:val="61"/>
    <w:rsid w:val="00693882"/>
    <w:rPr>
      <w:rFonts w:ascii="Calibri" w:hAnsi="Calibri"/>
      <w:lang w:val="fr-FR" w:eastAsia="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ramemoyenne1-Accent11">
    <w:name w:val="Trame moyenne 1 - Accent 11"/>
    <w:basedOn w:val="TableNormal"/>
    <w:uiPriority w:val="63"/>
    <w:rsid w:val="00693882"/>
    <w:rPr>
      <w:rFonts w:ascii="Calibri" w:hAnsi="Calibri"/>
      <w:lang w:val="fr-FR" w:eastAsia="fr-F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List1-Accent5">
    <w:name w:val="Medium List 1 Accent 5"/>
    <w:basedOn w:val="TableNormal"/>
    <w:uiPriority w:val="65"/>
    <w:rsid w:val="00693882"/>
    <w:rPr>
      <w:rFonts w:ascii="Calibri" w:hAnsi="Calibri"/>
      <w:color w:val="000000"/>
      <w:lang w:val="fr-FR" w:eastAsia="fr-FR"/>
    </w:rPr>
    <w:tblPr>
      <w:tblStyleRowBandSize w:val="1"/>
      <w:tblStyleColBandSize w:val="1"/>
      <w:tblBorders>
        <w:top w:val="single" w:sz="8" w:space="0" w:color="4BACC6"/>
        <w:bottom w:val="single" w:sz="8" w:space="0" w:color="4BACC6"/>
      </w:tblBorders>
    </w:tblPr>
    <w:tblStylePr w:type="firstRow">
      <w:rPr>
        <w:rFonts w:ascii="+mj-ea" w:eastAsia="Times New Roman" w:hAnsi="+mj-e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styleId="Revision">
    <w:name w:val="Revision"/>
    <w:hidden/>
    <w:uiPriority w:val="99"/>
    <w:semiHidden/>
    <w:rsid w:val="00693882"/>
    <w:rPr>
      <w:rFonts w:ascii="Arial" w:hAnsi="Arial" w:cs="Arial"/>
      <w:bCs/>
      <w:szCs w:val="22"/>
      <w:lang w:val="fr-FR" w:eastAsia="en-US"/>
    </w:rPr>
  </w:style>
  <w:style w:type="paragraph" w:customStyle="1" w:styleId="paragraphedeliste">
    <w:name w:val="paragraphedeliste"/>
    <w:basedOn w:val="Normal"/>
    <w:rsid w:val="00693882"/>
    <w:pPr>
      <w:spacing w:before="100" w:beforeAutospacing="1" w:after="100" w:afterAutospacing="1" w:line="240" w:lineRule="auto"/>
    </w:pPr>
    <w:rPr>
      <w:rFonts w:ascii="Times New Roman" w:hAnsi="Times New Roman"/>
      <w:color w:val="auto"/>
      <w:kern w:val="0"/>
      <w:sz w:val="24"/>
      <w:lang w:val="fr-FR" w:eastAsia="fr-FR"/>
    </w:rPr>
  </w:style>
  <w:style w:type="paragraph" w:styleId="EndnoteText">
    <w:name w:val="endnote text"/>
    <w:basedOn w:val="Normal"/>
    <w:link w:val="EndnoteTextChar"/>
    <w:unhideWhenUsed/>
    <w:rsid w:val="00693882"/>
    <w:pPr>
      <w:spacing w:after="0" w:line="240" w:lineRule="auto"/>
      <w:jc w:val="both"/>
    </w:pPr>
    <w:rPr>
      <w:rFonts w:ascii="Arial" w:hAnsi="Arial" w:cs="Arial"/>
      <w:bCs/>
      <w:color w:val="auto"/>
      <w:kern w:val="0"/>
      <w:sz w:val="20"/>
      <w:szCs w:val="20"/>
      <w:lang w:val="fr-FR" w:eastAsia="en-US"/>
    </w:rPr>
  </w:style>
  <w:style w:type="character" w:customStyle="1" w:styleId="EndnoteTextChar">
    <w:name w:val="Endnote Text Char"/>
    <w:basedOn w:val="DefaultParagraphFont"/>
    <w:link w:val="EndnoteText"/>
    <w:rsid w:val="00693882"/>
    <w:rPr>
      <w:rFonts w:ascii="Arial" w:hAnsi="Arial" w:cs="Arial"/>
      <w:bCs/>
      <w:lang w:val="fr-FR" w:eastAsia="en-US"/>
    </w:rPr>
  </w:style>
  <w:style w:type="character" w:styleId="EndnoteReference">
    <w:name w:val="endnote reference"/>
    <w:basedOn w:val="DefaultParagraphFont"/>
    <w:unhideWhenUsed/>
    <w:rsid w:val="00693882"/>
    <w:rPr>
      <w:vertAlign w:val="superscript"/>
    </w:rPr>
  </w:style>
  <w:style w:type="character" w:customStyle="1" w:styleId="apple-converted-space">
    <w:name w:val="apple-converted-space"/>
    <w:basedOn w:val="DefaultParagraphFont"/>
    <w:rsid w:val="00693882"/>
  </w:style>
  <w:style w:type="character" w:customStyle="1" w:styleId="st">
    <w:name w:val="st"/>
    <w:basedOn w:val="DefaultParagraphFont"/>
    <w:rsid w:val="00693882"/>
  </w:style>
  <w:style w:type="character" w:customStyle="1" w:styleId="FontStyle525">
    <w:name w:val="Font Style525"/>
    <w:basedOn w:val="DefaultParagraphFont"/>
    <w:uiPriority w:val="99"/>
    <w:rsid w:val="00693882"/>
    <w:rPr>
      <w:rFonts w:ascii="Times New Roman" w:hAnsi="Times New Roman" w:cs="Times New Roman"/>
      <w:color w:val="000000"/>
      <w:sz w:val="22"/>
      <w:szCs w:val="22"/>
    </w:rPr>
  </w:style>
  <w:style w:type="paragraph" w:customStyle="1" w:styleId="Style9">
    <w:name w:val="Style9"/>
    <w:basedOn w:val="Normal"/>
    <w:uiPriority w:val="99"/>
    <w:rsid w:val="00693882"/>
    <w:pPr>
      <w:widowControl w:val="0"/>
      <w:autoSpaceDE w:val="0"/>
      <w:autoSpaceDN w:val="0"/>
      <w:adjustRightInd w:val="0"/>
      <w:spacing w:after="0" w:line="240" w:lineRule="auto"/>
    </w:pPr>
    <w:rPr>
      <w:rFonts w:ascii="Times New Roman" w:eastAsiaTheme="minorEastAsia" w:hAnsi="Times New Roman"/>
      <w:color w:val="auto"/>
      <w:kern w:val="0"/>
      <w:sz w:val="24"/>
      <w:lang w:val="fr-FR" w:eastAsia="fr-FR"/>
    </w:rPr>
  </w:style>
  <w:style w:type="paragraph" w:customStyle="1" w:styleId="Style11">
    <w:name w:val="Style11"/>
    <w:basedOn w:val="Normal"/>
    <w:uiPriority w:val="99"/>
    <w:rsid w:val="00693882"/>
    <w:pPr>
      <w:widowControl w:val="0"/>
      <w:autoSpaceDE w:val="0"/>
      <w:autoSpaceDN w:val="0"/>
      <w:adjustRightInd w:val="0"/>
      <w:spacing w:after="0" w:line="312" w:lineRule="exact"/>
      <w:jc w:val="both"/>
    </w:pPr>
    <w:rPr>
      <w:rFonts w:ascii="Times New Roman" w:eastAsiaTheme="minorEastAsia" w:hAnsi="Times New Roman"/>
      <w:color w:val="auto"/>
      <w:kern w:val="0"/>
      <w:sz w:val="24"/>
      <w:lang w:val="fr-FR" w:eastAsia="fr-FR"/>
    </w:rPr>
  </w:style>
  <w:style w:type="character" w:customStyle="1" w:styleId="FontStyle580">
    <w:name w:val="Font Style580"/>
    <w:basedOn w:val="DefaultParagraphFont"/>
    <w:uiPriority w:val="99"/>
    <w:rsid w:val="00693882"/>
    <w:rPr>
      <w:rFonts w:ascii="Arial Narrow" w:hAnsi="Arial Narrow" w:cs="Arial Narrow"/>
      <w:color w:val="000000"/>
      <w:sz w:val="20"/>
      <w:szCs w:val="20"/>
    </w:rPr>
  </w:style>
  <w:style w:type="character" w:styleId="Emphasis">
    <w:name w:val="Emphasis"/>
    <w:basedOn w:val="DefaultParagraphFont"/>
    <w:uiPriority w:val="20"/>
    <w:qFormat/>
    <w:locked/>
    <w:rsid w:val="00693882"/>
    <w:rPr>
      <w:i/>
      <w:iCs/>
    </w:rPr>
  </w:style>
  <w:style w:type="paragraph" w:styleId="Subtitle">
    <w:name w:val="Subtitle"/>
    <w:basedOn w:val="Normal"/>
    <w:next w:val="Normal"/>
    <w:link w:val="SubtitleChar"/>
    <w:qFormat/>
    <w:locked/>
    <w:rsid w:val="00693882"/>
    <w:pPr>
      <w:spacing w:after="60" w:line="240" w:lineRule="auto"/>
      <w:jc w:val="center"/>
      <w:outlineLvl w:val="1"/>
    </w:pPr>
    <w:rPr>
      <w:rFonts w:ascii="Cambria" w:hAnsi="Cambria"/>
      <w:color w:val="auto"/>
      <w:kern w:val="0"/>
      <w:sz w:val="24"/>
      <w:lang w:val="fr-FR" w:eastAsia="fr-FR"/>
    </w:rPr>
  </w:style>
  <w:style w:type="character" w:customStyle="1" w:styleId="SubtitleChar">
    <w:name w:val="Subtitle Char"/>
    <w:basedOn w:val="DefaultParagraphFont"/>
    <w:link w:val="Subtitle"/>
    <w:rsid w:val="00693882"/>
    <w:rPr>
      <w:rFonts w:ascii="Cambria" w:hAnsi="Cambria"/>
      <w:sz w:val="24"/>
      <w:szCs w:val="24"/>
      <w:lang w:val="fr-FR" w:eastAsia="fr-FR"/>
    </w:rPr>
  </w:style>
  <w:style w:type="paragraph" w:customStyle="1" w:styleId="Paragraphedeliste1">
    <w:name w:val="Paragraphe de liste1"/>
    <w:basedOn w:val="Normal"/>
    <w:uiPriority w:val="34"/>
    <w:qFormat/>
    <w:rsid w:val="00693882"/>
    <w:pPr>
      <w:spacing w:after="0" w:line="240" w:lineRule="auto"/>
      <w:ind w:left="708"/>
    </w:pPr>
    <w:rPr>
      <w:rFonts w:ascii="Times New Roman" w:hAnsi="Times New Roman"/>
      <w:color w:val="auto"/>
      <w:kern w:val="0"/>
      <w:sz w:val="24"/>
      <w:lang w:val="fr-FR" w:eastAsia="fr-FR"/>
    </w:rPr>
  </w:style>
  <w:style w:type="paragraph" w:customStyle="1" w:styleId="Style168">
    <w:name w:val="Style168"/>
    <w:basedOn w:val="Normal"/>
    <w:uiPriority w:val="99"/>
    <w:rsid w:val="00693882"/>
    <w:pPr>
      <w:widowControl w:val="0"/>
      <w:autoSpaceDE w:val="0"/>
      <w:autoSpaceDN w:val="0"/>
      <w:adjustRightInd w:val="0"/>
      <w:spacing w:after="0" w:line="254" w:lineRule="exact"/>
      <w:jc w:val="both"/>
    </w:pPr>
    <w:rPr>
      <w:rFonts w:ascii="Times New Roman" w:eastAsiaTheme="minorEastAsia" w:hAnsi="Times New Roman"/>
      <w:color w:val="auto"/>
      <w:kern w:val="0"/>
      <w:sz w:val="24"/>
      <w:lang w:val="fr-FR" w:eastAsia="fr-FR"/>
    </w:rPr>
  </w:style>
  <w:style w:type="character" w:customStyle="1" w:styleId="FontStyle576">
    <w:name w:val="Font Style576"/>
    <w:basedOn w:val="DefaultParagraphFont"/>
    <w:uiPriority w:val="99"/>
    <w:rsid w:val="00693882"/>
    <w:rPr>
      <w:rFonts w:ascii="Arial" w:hAnsi="Arial" w:cs="Arial"/>
      <w:color w:val="000000"/>
      <w:sz w:val="16"/>
      <w:szCs w:val="16"/>
    </w:rPr>
  </w:style>
  <w:style w:type="paragraph" w:customStyle="1" w:styleId="xl65">
    <w:name w:val="xl65"/>
    <w:basedOn w:val="Normal"/>
    <w:rsid w:val="00693882"/>
    <w:pPr>
      <w:spacing w:before="100" w:beforeAutospacing="1" w:after="100" w:afterAutospacing="1" w:line="240" w:lineRule="auto"/>
      <w:jc w:val="center"/>
      <w:textAlignment w:val="center"/>
    </w:pPr>
    <w:rPr>
      <w:rFonts w:ascii="Arial" w:hAnsi="Arial" w:cs="Arial"/>
      <w:color w:val="auto"/>
      <w:kern w:val="0"/>
      <w:sz w:val="16"/>
      <w:szCs w:val="16"/>
      <w:lang w:val="fr-FR" w:eastAsia="fr-FR"/>
    </w:rPr>
  </w:style>
  <w:style w:type="paragraph" w:customStyle="1" w:styleId="xl66">
    <w:name w:val="xl66"/>
    <w:basedOn w:val="Normal"/>
    <w:rsid w:val="00693882"/>
    <w:pPr>
      <w:pBdr>
        <w:top w:val="single" w:sz="4" w:space="0" w:color="4F81BD"/>
        <w:left w:val="single" w:sz="4" w:space="0" w:color="4F81BD"/>
        <w:bottom w:val="single" w:sz="4" w:space="0" w:color="4F81BD"/>
        <w:right w:val="single" w:sz="4" w:space="0" w:color="4F81BD"/>
      </w:pBdr>
      <w:shd w:val="clear" w:color="000000" w:fill="17365D"/>
      <w:spacing w:before="100" w:beforeAutospacing="1" w:after="100" w:afterAutospacing="1" w:line="240" w:lineRule="auto"/>
      <w:jc w:val="center"/>
      <w:textAlignment w:val="center"/>
    </w:pPr>
    <w:rPr>
      <w:rFonts w:ascii="Arial" w:hAnsi="Arial" w:cs="Arial"/>
      <w:b/>
      <w:bCs/>
      <w:color w:val="FFFFFF"/>
      <w:kern w:val="0"/>
      <w:sz w:val="16"/>
      <w:szCs w:val="16"/>
      <w:lang w:val="fr-FR" w:eastAsia="fr-FR"/>
    </w:rPr>
  </w:style>
  <w:style w:type="paragraph" w:customStyle="1" w:styleId="xl67">
    <w:name w:val="xl67"/>
    <w:basedOn w:val="Normal"/>
    <w:rsid w:val="00693882"/>
    <w:pPr>
      <w:pBdr>
        <w:top w:val="single" w:sz="4" w:space="0" w:color="4F81BD"/>
        <w:left w:val="single" w:sz="4" w:space="0" w:color="4F81BD"/>
        <w:bottom w:val="single" w:sz="4" w:space="0" w:color="4F81BD"/>
        <w:right w:val="single" w:sz="4" w:space="0" w:color="4F81BD"/>
      </w:pBdr>
      <w:spacing w:before="100" w:beforeAutospacing="1" w:after="100" w:afterAutospacing="1" w:line="240" w:lineRule="auto"/>
      <w:jc w:val="center"/>
      <w:textAlignment w:val="center"/>
    </w:pPr>
    <w:rPr>
      <w:rFonts w:ascii="Arial" w:hAnsi="Arial" w:cs="Arial"/>
      <w:color w:val="auto"/>
      <w:kern w:val="0"/>
      <w:sz w:val="16"/>
      <w:szCs w:val="16"/>
      <w:lang w:val="fr-FR" w:eastAsia="fr-FR"/>
    </w:rPr>
  </w:style>
  <w:style w:type="paragraph" w:customStyle="1" w:styleId="xl68">
    <w:name w:val="xl68"/>
    <w:basedOn w:val="Normal"/>
    <w:rsid w:val="00693882"/>
    <w:pPr>
      <w:pBdr>
        <w:top w:val="single" w:sz="4" w:space="0" w:color="4F81BD"/>
        <w:left w:val="single" w:sz="4" w:space="0" w:color="4F81BD"/>
        <w:bottom w:val="single" w:sz="4" w:space="0" w:color="4F81BD"/>
        <w:right w:val="single" w:sz="4" w:space="0" w:color="4F81BD"/>
      </w:pBdr>
      <w:spacing w:before="100" w:beforeAutospacing="1" w:after="100" w:afterAutospacing="1" w:line="240" w:lineRule="auto"/>
      <w:jc w:val="center"/>
      <w:textAlignment w:val="center"/>
    </w:pPr>
    <w:rPr>
      <w:rFonts w:ascii="Arial" w:hAnsi="Arial" w:cs="Arial"/>
      <w:color w:val="auto"/>
      <w:kern w:val="0"/>
      <w:sz w:val="16"/>
      <w:szCs w:val="16"/>
      <w:lang w:val="fr-FR" w:eastAsia="fr-FR"/>
    </w:rPr>
  </w:style>
  <w:style w:type="paragraph" w:customStyle="1" w:styleId="xl69">
    <w:name w:val="xl69"/>
    <w:basedOn w:val="Normal"/>
    <w:rsid w:val="00693882"/>
    <w:pPr>
      <w:pBdr>
        <w:top w:val="single" w:sz="4" w:space="0" w:color="4F81BD"/>
        <w:left w:val="single" w:sz="4" w:space="0" w:color="4F81BD"/>
        <w:bottom w:val="single" w:sz="4" w:space="0" w:color="4F81BD"/>
        <w:right w:val="single" w:sz="4" w:space="0" w:color="4F81BD"/>
      </w:pBdr>
      <w:spacing w:before="100" w:beforeAutospacing="1" w:after="100" w:afterAutospacing="1" w:line="240" w:lineRule="auto"/>
      <w:jc w:val="center"/>
      <w:textAlignment w:val="center"/>
    </w:pPr>
    <w:rPr>
      <w:rFonts w:ascii="Arial" w:hAnsi="Arial" w:cs="Arial"/>
      <w:color w:val="000000"/>
      <w:kern w:val="0"/>
      <w:sz w:val="16"/>
      <w:szCs w:val="16"/>
      <w:lang w:val="fr-FR" w:eastAsia="fr-FR"/>
    </w:rPr>
  </w:style>
  <w:style w:type="paragraph" w:customStyle="1" w:styleId="xl70">
    <w:name w:val="xl70"/>
    <w:basedOn w:val="Normal"/>
    <w:rsid w:val="00693882"/>
    <w:pPr>
      <w:pBdr>
        <w:top w:val="single" w:sz="4" w:space="0" w:color="4F81BD"/>
        <w:left w:val="single" w:sz="4" w:space="0" w:color="4F81BD"/>
        <w:bottom w:val="single" w:sz="4" w:space="0" w:color="4F81BD"/>
        <w:right w:val="single" w:sz="4" w:space="0" w:color="4F81BD"/>
      </w:pBdr>
      <w:spacing w:before="100" w:beforeAutospacing="1" w:after="100" w:afterAutospacing="1" w:line="240" w:lineRule="auto"/>
      <w:jc w:val="center"/>
      <w:textAlignment w:val="center"/>
    </w:pPr>
    <w:rPr>
      <w:rFonts w:ascii="Arial" w:hAnsi="Arial" w:cs="Arial"/>
      <w:b/>
      <w:bCs/>
      <w:color w:val="auto"/>
      <w:kern w:val="0"/>
      <w:sz w:val="16"/>
      <w:szCs w:val="16"/>
      <w:lang w:val="fr-FR" w:eastAsia="fr-FR"/>
    </w:rPr>
  </w:style>
  <w:style w:type="character" w:customStyle="1" w:styleId="spipsurligne">
    <w:name w:val="spip_surligne"/>
    <w:basedOn w:val="DefaultParagraphFont"/>
    <w:rsid w:val="00693882"/>
  </w:style>
  <w:style w:type="character" w:customStyle="1" w:styleId="FontStyle23">
    <w:name w:val="Font Style23"/>
    <w:basedOn w:val="DefaultParagraphFont"/>
    <w:uiPriority w:val="99"/>
    <w:rsid w:val="00693882"/>
    <w:rPr>
      <w:rFonts w:ascii="Arial Unicode MS" w:eastAsia="Arial Unicode MS" w:hAnsi="Arial Unicode MS" w:cs="Arial Unicode MS" w:hint="eastAsia"/>
      <w:color w:val="000000"/>
      <w:sz w:val="20"/>
      <w:szCs w:val="20"/>
    </w:rPr>
  </w:style>
  <w:style w:type="paragraph" w:styleId="ListBullet">
    <w:name w:val="List Bullet"/>
    <w:basedOn w:val="Normal"/>
    <w:uiPriority w:val="99"/>
    <w:unhideWhenUsed/>
    <w:rsid w:val="00693882"/>
    <w:pPr>
      <w:numPr>
        <w:numId w:val="21"/>
      </w:numPr>
      <w:spacing w:after="240" w:line="240" w:lineRule="auto"/>
      <w:contextualSpacing/>
      <w:jc w:val="both"/>
    </w:pPr>
    <w:rPr>
      <w:rFonts w:ascii="Arial" w:hAnsi="Arial" w:cs="Arial"/>
      <w:bCs/>
      <w:color w:val="auto"/>
      <w:kern w:val="0"/>
      <w:sz w:val="20"/>
      <w:szCs w:val="22"/>
      <w:lang w:val="fr-FR" w:eastAsia="en-US"/>
    </w:rPr>
  </w:style>
  <w:style w:type="paragraph" w:customStyle="1" w:styleId="xl63">
    <w:name w:val="xl63"/>
    <w:basedOn w:val="Normal"/>
    <w:rsid w:val="00693882"/>
    <w:pPr>
      <w:spacing w:before="100" w:beforeAutospacing="1" w:after="100" w:afterAutospacing="1" w:line="240" w:lineRule="auto"/>
    </w:pPr>
    <w:rPr>
      <w:rFonts w:ascii="Arial" w:hAnsi="Arial" w:cs="Arial"/>
      <w:color w:val="auto"/>
      <w:kern w:val="0"/>
      <w:sz w:val="20"/>
      <w:szCs w:val="20"/>
      <w:lang w:val="fr-FR" w:eastAsia="fr-FR"/>
    </w:rPr>
  </w:style>
  <w:style w:type="paragraph" w:customStyle="1" w:styleId="xl64">
    <w:name w:val="xl64"/>
    <w:basedOn w:val="Normal"/>
    <w:rsid w:val="00693882"/>
    <w:pPr>
      <w:spacing w:before="100" w:beforeAutospacing="1" w:after="100" w:afterAutospacing="1" w:line="240" w:lineRule="auto"/>
    </w:pPr>
    <w:rPr>
      <w:rFonts w:ascii="Arial" w:hAnsi="Arial" w:cs="Arial"/>
      <w:color w:val="auto"/>
      <w:kern w:val="0"/>
      <w:sz w:val="20"/>
      <w:szCs w:val="20"/>
      <w:lang w:val="fr-FR" w:eastAsia="fr-FR"/>
    </w:rPr>
  </w:style>
  <w:style w:type="paragraph" w:customStyle="1" w:styleId="xl71">
    <w:name w:val="xl71"/>
    <w:basedOn w:val="Normal"/>
    <w:rsid w:val="00693882"/>
    <w:pPr>
      <w:pBdr>
        <w:right w:val="single" w:sz="12" w:space="0" w:color="7F7F7F"/>
      </w:pBdr>
      <w:shd w:val="clear" w:color="000000" w:fill="B8CCE4"/>
      <w:spacing w:before="100" w:beforeAutospacing="1" w:after="100" w:afterAutospacing="1" w:line="240" w:lineRule="auto"/>
      <w:textAlignment w:val="center"/>
    </w:pPr>
    <w:rPr>
      <w:rFonts w:ascii="Arial" w:hAnsi="Arial" w:cs="Arial"/>
      <w:color w:val="000000"/>
      <w:kern w:val="0"/>
      <w:sz w:val="16"/>
      <w:szCs w:val="16"/>
      <w:lang w:val="fr-FR" w:eastAsia="fr-FR"/>
    </w:rPr>
  </w:style>
  <w:style w:type="paragraph" w:customStyle="1" w:styleId="xl72">
    <w:name w:val="xl72"/>
    <w:basedOn w:val="Normal"/>
    <w:rsid w:val="00693882"/>
    <w:pPr>
      <w:pBdr>
        <w:left w:val="single" w:sz="12" w:space="0" w:color="7F7F7F"/>
        <w:right w:val="single" w:sz="12" w:space="0" w:color="7F7F7F"/>
      </w:pBdr>
      <w:spacing w:before="100" w:beforeAutospacing="1" w:after="100" w:afterAutospacing="1" w:line="240" w:lineRule="auto"/>
      <w:textAlignment w:val="center"/>
    </w:pPr>
    <w:rPr>
      <w:rFonts w:ascii="Arial" w:hAnsi="Arial" w:cs="Arial"/>
      <w:color w:val="000000"/>
      <w:kern w:val="0"/>
      <w:sz w:val="16"/>
      <w:szCs w:val="16"/>
      <w:lang w:val="fr-FR" w:eastAsia="fr-FR"/>
    </w:rPr>
  </w:style>
  <w:style w:type="paragraph" w:customStyle="1" w:styleId="xl73">
    <w:name w:val="xl73"/>
    <w:basedOn w:val="Normal"/>
    <w:rsid w:val="00693882"/>
    <w:pPr>
      <w:pBdr>
        <w:right w:val="single" w:sz="12" w:space="0" w:color="7F7F7F"/>
      </w:pBdr>
      <w:shd w:val="clear" w:color="000000" w:fill="B8CCE4"/>
      <w:spacing w:before="100" w:beforeAutospacing="1" w:after="100" w:afterAutospacing="1" w:line="240" w:lineRule="auto"/>
      <w:jc w:val="right"/>
      <w:textAlignment w:val="center"/>
    </w:pPr>
    <w:rPr>
      <w:rFonts w:ascii="Arial" w:hAnsi="Arial" w:cs="Arial"/>
      <w:color w:val="000000"/>
      <w:kern w:val="0"/>
      <w:sz w:val="16"/>
      <w:szCs w:val="16"/>
      <w:lang w:val="fr-FR" w:eastAsia="fr-FR"/>
    </w:rPr>
  </w:style>
  <w:style w:type="paragraph" w:customStyle="1" w:styleId="xl74">
    <w:name w:val="xl74"/>
    <w:basedOn w:val="Normal"/>
    <w:rsid w:val="00693882"/>
    <w:pPr>
      <w:pBdr>
        <w:left w:val="single" w:sz="12" w:space="0" w:color="7F7F7F"/>
        <w:right w:val="single" w:sz="12" w:space="0" w:color="7F7F7F"/>
      </w:pBdr>
      <w:spacing w:before="100" w:beforeAutospacing="1" w:after="100" w:afterAutospacing="1" w:line="240" w:lineRule="auto"/>
      <w:jc w:val="right"/>
      <w:textAlignment w:val="center"/>
    </w:pPr>
    <w:rPr>
      <w:rFonts w:ascii="Arial" w:hAnsi="Arial" w:cs="Arial"/>
      <w:color w:val="000000"/>
      <w:kern w:val="0"/>
      <w:sz w:val="16"/>
      <w:szCs w:val="16"/>
      <w:lang w:val="fr-FR" w:eastAsia="fr-FR"/>
    </w:rPr>
  </w:style>
  <w:style w:type="paragraph" w:customStyle="1" w:styleId="xl75">
    <w:name w:val="xl75"/>
    <w:basedOn w:val="Normal"/>
    <w:rsid w:val="00693882"/>
    <w:pPr>
      <w:pBdr>
        <w:bottom w:val="single" w:sz="8" w:space="0" w:color="4F81BD"/>
      </w:pBdr>
      <w:shd w:val="clear" w:color="000000" w:fill="B8CCE4"/>
      <w:spacing w:before="100" w:beforeAutospacing="1" w:after="100" w:afterAutospacing="1" w:line="240" w:lineRule="auto"/>
      <w:textAlignment w:val="center"/>
    </w:pPr>
    <w:rPr>
      <w:rFonts w:ascii="Calibri" w:hAnsi="Calibri"/>
      <w:color w:val="auto"/>
      <w:kern w:val="0"/>
      <w:sz w:val="24"/>
    </w:rPr>
  </w:style>
  <w:style w:type="paragraph" w:customStyle="1" w:styleId="spip">
    <w:name w:val="spip"/>
    <w:basedOn w:val="Normal"/>
    <w:rsid w:val="00693882"/>
    <w:pPr>
      <w:spacing w:before="100" w:beforeAutospacing="1" w:after="100" w:afterAutospacing="1" w:line="240" w:lineRule="auto"/>
    </w:pPr>
    <w:rPr>
      <w:rFonts w:ascii="Times New Roman" w:hAnsi="Times New Roman"/>
      <w:color w:val="auto"/>
      <w:kern w:val="0"/>
      <w:sz w:val="24"/>
      <w:lang w:val="fr-FR" w:eastAsia="fr-FR"/>
    </w:rPr>
  </w:style>
  <w:style w:type="character" w:customStyle="1" w:styleId="Titre1Car1">
    <w:name w:val="Titre 1 Car1"/>
    <w:aliases w:val="1 Car1,Heading 1 Char Car1,Heading 1 Char1 Char Car1,Heading 1 Char Char Char Car1,Heading 1 Char1 Char Char Char Car1,Heading 1 Char Char Char Char Char Car1,Heading 1 Char1 Char Char Char Char Char Car1,Heading 1 Char1 Char1 Car1"/>
    <w:basedOn w:val="DefaultParagraphFont"/>
    <w:rsid w:val="00693882"/>
    <w:rPr>
      <w:rFonts w:asciiTheme="majorHAnsi" w:eastAsiaTheme="majorEastAsia" w:hAnsiTheme="majorHAnsi" w:cstheme="majorBidi"/>
      <w:b/>
      <w:color w:val="B60E28" w:themeColor="accent1" w:themeShade="BF"/>
      <w:sz w:val="28"/>
      <w:szCs w:val="28"/>
    </w:rPr>
  </w:style>
  <w:style w:type="paragraph" w:customStyle="1" w:styleId="font5">
    <w:name w:val="font5"/>
    <w:basedOn w:val="Normal"/>
    <w:rsid w:val="00693882"/>
    <w:pPr>
      <w:spacing w:before="100" w:beforeAutospacing="1" w:after="100" w:afterAutospacing="1" w:line="240" w:lineRule="auto"/>
    </w:pPr>
    <w:rPr>
      <w:rFonts w:ascii="Arial" w:hAnsi="Arial" w:cs="Arial"/>
      <w:color w:val="auto"/>
      <w:kern w:val="0"/>
      <w:sz w:val="20"/>
      <w:szCs w:val="20"/>
      <w:lang w:val="fr-FR" w:eastAsia="fr-FR"/>
    </w:rPr>
  </w:style>
  <w:style w:type="paragraph" w:customStyle="1" w:styleId="xl76">
    <w:name w:val="xl76"/>
    <w:basedOn w:val="Normal"/>
    <w:rsid w:val="00693882"/>
    <w:pPr>
      <w:pBdr>
        <w:bottom w:val="single" w:sz="8" w:space="0" w:color="4F81BD"/>
      </w:pBdr>
      <w:shd w:val="clear" w:color="auto" w:fill="FFFFFF"/>
      <w:spacing w:before="100" w:beforeAutospacing="1" w:after="100" w:afterAutospacing="1" w:line="240" w:lineRule="auto"/>
    </w:pPr>
    <w:rPr>
      <w:rFonts w:ascii="Arial" w:hAnsi="Arial" w:cs="Arial"/>
      <w:color w:val="000000"/>
      <w:kern w:val="0"/>
      <w:szCs w:val="18"/>
      <w:lang w:val="fr-FR" w:eastAsia="fr-FR"/>
    </w:rPr>
  </w:style>
  <w:style w:type="paragraph" w:customStyle="1" w:styleId="xl77">
    <w:name w:val="xl77"/>
    <w:basedOn w:val="Normal"/>
    <w:rsid w:val="00693882"/>
    <w:pPr>
      <w:pBdr>
        <w:bottom w:val="single" w:sz="8" w:space="0" w:color="4F81BD"/>
      </w:pBdr>
      <w:shd w:val="clear" w:color="auto" w:fill="B8CCE4"/>
      <w:spacing w:before="100" w:beforeAutospacing="1" w:after="100" w:afterAutospacing="1" w:line="240" w:lineRule="auto"/>
    </w:pPr>
    <w:rPr>
      <w:rFonts w:ascii="Arial" w:hAnsi="Arial" w:cs="Arial"/>
      <w:color w:val="auto"/>
      <w:kern w:val="0"/>
      <w:szCs w:val="18"/>
      <w:lang w:val="fr-FR" w:eastAsia="fr-FR"/>
    </w:rPr>
  </w:style>
  <w:style w:type="paragraph" w:customStyle="1" w:styleId="font6">
    <w:name w:val="font6"/>
    <w:basedOn w:val="Normal"/>
    <w:rsid w:val="00693882"/>
    <w:pPr>
      <w:spacing w:before="100" w:beforeAutospacing="1" w:after="100" w:afterAutospacing="1" w:line="240" w:lineRule="auto"/>
    </w:pPr>
    <w:rPr>
      <w:rFonts w:ascii="Tahoma" w:hAnsi="Tahoma" w:cs="Tahoma"/>
      <w:color w:val="000000"/>
      <w:kern w:val="0"/>
      <w:szCs w:val="18"/>
      <w:lang w:val="fr-FR" w:eastAsia="fr-FR"/>
    </w:rPr>
  </w:style>
  <w:style w:type="paragraph" w:customStyle="1" w:styleId="xl78">
    <w:name w:val="xl78"/>
    <w:basedOn w:val="Normal"/>
    <w:rsid w:val="00693882"/>
    <w:pPr>
      <w:spacing w:before="100" w:beforeAutospacing="1" w:after="100" w:afterAutospacing="1" w:line="240" w:lineRule="auto"/>
      <w:textAlignment w:val="center"/>
    </w:pPr>
    <w:rPr>
      <w:rFonts w:ascii="Arial" w:hAnsi="Arial" w:cs="Arial"/>
      <w:color w:val="auto"/>
      <w:kern w:val="0"/>
      <w:sz w:val="16"/>
      <w:szCs w:val="16"/>
      <w:lang w:val="fr-FR" w:eastAsia="fr-FR"/>
    </w:rPr>
  </w:style>
  <w:style w:type="paragraph" w:customStyle="1" w:styleId="xl79">
    <w:name w:val="xl79"/>
    <w:basedOn w:val="Normal"/>
    <w:rsid w:val="00693882"/>
    <w:pPr>
      <w:shd w:val="clear" w:color="000000" w:fill="B4C6E7"/>
      <w:spacing w:before="100" w:beforeAutospacing="1" w:after="100" w:afterAutospacing="1" w:line="240" w:lineRule="auto"/>
      <w:jc w:val="right"/>
      <w:textAlignment w:val="center"/>
    </w:pPr>
    <w:rPr>
      <w:rFonts w:ascii="Arial" w:hAnsi="Arial" w:cs="Arial"/>
      <w:color w:val="auto"/>
      <w:kern w:val="0"/>
      <w:sz w:val="16"/>
      <w:szCs w:val="16"/>
      <w:lang w:val="fr-FR" w:eastAsia="fr-FR"/>
    </w:rPr>
  </w:style>
  <w:style w:type="paragraph" w:customStyle="1" w:styleId="xl80">
    <w:name w:val="xl80"/>
    <w:basedOn w:val="Normal"/>
    <w:rsid w:val="00693882"/>
    <w:pPr>
      <w:shd w:val="clear" w:color="000000" w:fill="244061"/>
      <w:spacing w:before="100" w:beforeAutospacing="1" w:after="100" w:afterAutospacing="1" w:line="240" w:lineRule="auto"/>
      <w:jc w:val="center"/>
      <w:textAlignment w:val="center"/>
    </w:pPr>
    <w:rPr>
      <w:rFonts w:ascii="Arial" w:hAnsi="Arial" w:cs="Arial"/>
      <w:b/>
      <w:bCs/>
      <w:color w:val="FFFFFF"/>
      <w:kern w:val="0"/>
      <w:sz w:val="16"/>
      <w:szCs w:val="16"/>
      <w:lang w:val="fr-FR" w:eastAsia="fr-FR"/>
    </w:rPr>
  </w:style>
  <w:style w:type="paragraph" w:customStyle="1" w:styleId="xl81">
    <w:name w:val="xl81"/>
    <w:basedOn w:val="Normal"/>
    <w:rsid w:val="00693882"/>
    <w:pPr>
      <w:spacing w:before="100" w:beforeAutospacing="1" w:after="100" w:afterAutospacing="1" w:line="240" w:lineRule="auto"/>
      <w:jc w:val="right"/>
      <w:textAlignment w:val="center"/>
    </w:pPr>
    <w:rPr>
      <w:rFonts w:ascii="Arial" w:hAnsi="Arial" w:cs="Arial"/>
      <w:color w:val="auto"/>
      <w:kern w:val="0"/>
      <w:sz w:val="16"/>
      <w:szCs w:val="16"/>
      <w:lang w:val="fr-FR" w:eastAsia="fr-FR"/>
    </w:rPr>
  </w:style>
  <w:style w:type="paragraph" w:customStyle="1" w:styleId="xl82">
    <w:name w:val="xl82"/>
    <w:basedOn w:val="Normal"/>
    <w:rsid w:val="00693882"/>
    <w:pPr>
      <w:pBdr>
        <w:top w:val="single" w:sz="12" w:space="0" w:color="5B9BD5"/>
      </w:pBdr>
      <w:shd w:val="clear" w:color="000000" w:fill="BFBFBF"/>
      <w:spacing w:before="100" w:beforeAutospacing="1" w:after="100" w:afterAutospacing="1" w:line="240" w:lineRule="auto"/>
      <w:textAlignment w:val="center"/>
    </w:pPr>
    <w:rPr>
      <w:rFonts w:ascii="Arial" w:hAnsi="Arial" w:cs="Arial"/>
      <w:b/>
      <w:bCs/>
      <w:color w:val="auto"/>
      <w:kern w:val="0"/>
      <w:sz w:val="16"/>
      <w:szCs w:val="16"/>
      <w:lang w:val="fr-FR" w:eastAsia="fr-FR"/>
    </w:rPr>
  </w:style>
  <w:style w:type="paragraph" w:customStyle="1" w:styleId="xl83">
    <w:name w:val="xl83"/>
    <w:basedOn w:val="Normal"/>
    <w:rsid w:val="00693882"/>
    <w:pPr>
      <w:pBdr>
        <w:top w:val="single" w:sz="12" w:space="0" w:color="5B9BD5"/>
      </w:pBdr>
      <w:shd w:val="clear" w:color="000000" w:fill="BFBFBF"/>
      <w:spacing w:before="100" w:beforeAutospacing="1" w:after="100" w:afterAutospacing="1" w:line="240" w:lineRule="auto"/>
      <w:textAlignment w:val="center"/>
    </w:pPr>
    <w:rPr>
      <w:rFonts w:ascii="Arial" w:hAnsi="Arial" w:cs="Arial"/>
      <w:b/>
      <w:bCs/>
      <w:color w:val="auto"/>
      <w:kern w:val="0"/>
      <w:sz w:val="16"/>
      <w:szCs w:val="16"/>
      <w:lang w:val="fr-FR" w:eastAsia="fr-FR"/>
    </w:rPr>
  </w:style>
  <w:style w:type="paragraph" w:customStyle="1" w:styleId="xl84">
    <w:name w:val="xl84"/>
    <w:basedOn w:val="Normal"/>
    <w:rsid w:val="00693882"/>
    <w:pPr>
      <w:shd w:val="clear" w:color="000000" w:fill="B8CCE4"/>
      <w:spacing w:before="100" w:beforeAutospacing="1" w:after="100" w:afterAutospacing="1" w:line="240" w:lineRule="auto"/>
      <w:textAlignment w:val="center"/>
    </w:pPr>
    <w:rPr>
      <w:rFonts w:ascii="Arial" w:hAnsi="Arial" w:cs="Arial"/>
      <w:color w:val="auto"/>
      <w:kern w:val="0"/>
      <w:sz w:val="16"/>
      <w:szCs w:val="16"/>
      <w:lang w:val="fr-FR" w:eastAsia="fr-FR"/>
    </w:rPr>
  </w:style>
  <w:style w:type="character" w:customStyle="1" w:styleId="h1">
    <w:name w:val="h1"/>
    <w:basedOn w:val="DefaultParagraphFont"/>
    <w:rsid w:val="00693882"/>
  </w:style>
  <w:style w:type="numbering" w:customStyle="1" w:styleId="IFIAlgeriastyle">
    <w:name w:val="IFI Algeria style"/>
    <w:rsid w:val="00693882"/>
    <w:pPr>
      <w:numPr>
        <w:numId w:val="22"/>
      </w:numPr>
    </w:pPr>
  </w:style>
  <w:style w:type="paragraph" w:customStyle="1" w:styleId="xl85">
    <w:name w:val="xl85"/>
    <w:basedOn w:val="Normal"/>
    <w:rsid w:val="00693882"/>
    <w:pPr>
      <w:spacing w:before="100" w:beforeAutospacing="1" w:after="100" w:afterAutospacing="1" w:line="240" w:lineRule="auto"/>
      <w:jc w:val="center"/>
    </w:pPr>
    <w:rPr>
      <w:rFonts w:ascii="Times New Roman" w:hAnsi="Times New Roman"/>
      <w:b/>
      <w:bCs/>
      <w:color w:val="auto"/>
      <w:kern w:val="0"/>
      <w:sz w:val="16"/>
      <w:szCs w:val="16"/>
      <w:lang w:val="fr-FR" w:eastAsia="fr-FR"/>
    </w:rPr>
  </w:style>
  <w:style w:type="paragraph" w:customStyle="1" w:styleId="xl86">
    <w:name w:val="xl86"/>
    <w:basedOn w:val="Normal"/>
    <w:rsid w:val="00693882"/>
    <w:pPr>
      <w:spacing w:before="100" w:beforeAutospacing="1" w:after="100" w:afterAutospacing="1" w:line="240" w:lineRule="auto"/>
    </w:pPr>
    <w:rPr>
      <w:rFonts w:ascii="Times New Roman" w:hAnsi="Times New Roman"/>
      <w:color w:val="auto"/>
      <w:kern w:val="0"/>
      <w:sz w:val="16"/>
      <w:szCs w:val="16"/>
      <w:lang w:val="fr-FR" w:eastAsia="fr-FR"/>
    </w:rPr>
  </w:style>
  <w:style w:type="paragraph" w:customStyle="1" w:styleId="xl87">
    <w:name w:val="xl87"/>
    <w:basedOn w:val="Normal"/>
    <w:rsid w:val="00693882"/>
    <w:pPr>
      <w:shd w:val="clear" w:color="000000" w:fill="BDD7EE"/>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88">
    <w:name w:val="xl88"/>
    <w:basedOn w:val="Normal"/>
    <w:rsid w:val="00693882"/>
    <w:pPr>
      <w:spacing w:before="100" w:beforeAutospacing="1" w:after="100" w:afterAutospacing="1" w:line="240" w:lineRule="auto"/>
    </w:pPr>
    <w:rPr>
      <w:rFonts w:ascii="Times New Roman" w:hAnsi="Times New Roman"/>
      <w:color w:val="auto"/>
      <w:kern w:val="0"/>
      <w:sz w:val="16"/>
      <w:szCs w:val="16"/>
      <w:lang w:val="fr-FR" w:eastAsia="fr-FR"/>
    </w:rPr>
  </w:style>
  <w:style w:type="paragraph" w:customStyle="1" w:styleId="xl89">
    <w:name w:val="xl89"/>
    <w:basedOn w:val="Normal"/>
    <w:rsid w:val="00693882"/>
    <w:pPr>
      <w:shd w:val="clear" w:color="000000" w:fill="BDD7EE"/>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90">
    <w:name w:val="xl90"/>
    <w:basedOn w:val="Normal"/>
    <w:rsid w:val="00693882"/>
    <w:pPr>
      <w:shd w:val="clear" w:color="000000" w:fill="BDD7EE"/>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91">
    <w:name w:val="xl91"/>
    <w:basedOn w:val="Normal"/>
    <w:rsid w:val="00693882"/>
    <w:pP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92">
    <w:name w:val="xl92"/>
    <w:basedOn w:val="Normal"/>
    <w:rsid w:val="00693882"/>
    <w:pPr>
      <w:shd w:val="clear" w:color="000000" w:fill="BDD7EE"/>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93">
    <w:name w:val="xl93"/>
    <w:basedOn w:val="Normal"/>
    <w:rsid w:val="00693882"/>
    <w:pPr>
      <w:shd w:val="clear" w:color="000000" w:fill="BDD7EE"/>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94">
    <w:name w:val="xl94"/>
    <w:basedOn w:val="Normal"/>
    <w:rsid w:val="00693882"/>
    <w:pPr>
      <w:shd w:val="clear" w:color="000000" w:fill="BDD7EE"/>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95">
    <w:name w:val="xl95"/>
    <w:basedOn w:val="Normal"/>
    <w:rsid w:val="00693882"/>
    <w:pPr>
      <w:shd w:val="clear" w:color="000000" w:fill="BDD7EE"/>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96">
    <w:name w:val="xl96"/>
    <w:basedOn w:val="Normal"/>
    <w:rsid w:val="00693882"/>
    <w:pPr>
      <w:shd w:val="clear" w:color="000000" w:fill="BDD7EE"/>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97">
    <w:name w:val="xl97"/>
    <w:basedOn w:val="Normal"/>
    <w:rsid w:val="00693882"/>
    <w:pPr>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98">
    <w:name w:val="xl98"/>
    <w:basedOn w:val="Normal"/>
    <w:rsid w:val="00693882"/>
    <w:pPr>
      <w:spacing w:before="100" w:beforeAutospacing="1" w:after="100" w:afterAutospacing="1" w:line="240" w:lineRule="auto"/>
      <w:jc w:val="center"/>
      <w:textAlignment w:val="center"/>
    </w:pPr>
    <w:rPr>
      <w:rFonts w:ascii="Times New Roman" w:hAnsi="Times New Roman"/>
      <w:b/>
      <w:bCs/>
      <w:color w:val="auto"/>
      <w:kern w:val="0"/>
      <w:sz w:val="16"/>
      <w:szCs w:val="16"/>
      <w:lang w:val="fr-FR" w:eastAsia="fr-FR"/>
    </w:rPr>
  </w:style>
  <w:style w:type="paragraph" w:customStyle="1" w:styleId="xl99">
    <w:name w:val="xl99"/>
    <w:basedOn w:val="Normal"/>
    <w:rsid w:val="00693882"/>
    <w:pP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100">
    <w:name w:val="xl100"/>
    <w:basedOn w:val="Normal"/>
    <w:rsid w:val="00693882"/>
    <w:pPr>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101">
    <w:name w:val="xl101"/>
    <w:basedOn w:val="Normal"/>
    <w:rsid w:val="00693882"/>
    <w:pPr>
      <w:shd w:val="clear" w:color="000000" w:fill="BDD7EE"/>
      <w:spacing w:before="100" w:beforeAutospacing="1" w:after="100" w:afterAutospacing="1" w:line="240" w:lineRule="auto"/>
      <w:jc w:val="center"/>
      <w:textAlignment w:val="center"/>
    </w:pPr>
    <w:rPr>
      <w:rFonts w:ascii="Times New Roman" w:hAnsi="Times New Roman"/>
      <w:b/>
      <w:bCs/>
      <w:color w:val="auto"/>
      <w:kern w:val="0"/>
      <w:sz w:val="16"/>
      <w:szCs w:val="16"/>
      <w:lang w:val="fr-FR" w:eastAsia="fr-FR"/>
    </w:rPr>
  </w:style>
  <w:style w:type="paragraph" w:customStyle="1" w:styleId="xl102">
    <w:name w:val="xl102"/>
    <w:basedOn w:val="Normal"/>
    <w:rsid w:val="00693882"/>
    <w:pPr>
      <w:shd w:val="clear" w:color="000000" w:fill="BDD7EE"/>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103">
    <w:name w:val="xl103"/>
    <w:basedOn w:val="Normal"/>
    <w:rsid w:val="00693882"/>
    <w:pPr>
      <w:shd w:val="clear" w:color="000000" w:fill="BDD7EE"/>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104">
    <w:name w:val="xl104"/>
    <w:basedOn w:val="Normal"/>
    <w:rsid w:val="00693882"/>
    <w:pPr>
      <w:shd w:val="clear" w:color="000000" w:fill="BDD7EE"/>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105">
    <w:name w:val="xl105"/>
    <w:basedOn w:val="Normal"/>
    <w:rsid w:val="00693882"/>
    <w:pPr>
      <w:shd w:val="clear" w:color="000000" w:fill="BDD7EE"/>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106">
    <w:name w:val="xl106"/>
    <w:basedOn w:val="Normal"/>
    <w:rsid w:val="00693882"/>
    <w:pPr>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107">
    <w:name w:val="xl107"/>
    <w:basedOn w:val="Normal"/>
    <w:rsid w:val="00693882"/>
    <w:pPr>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108">
    <w:name w:val="xl108"/>
    <w:basedOn w:val="Normal"/>
    <w:rsid w:val="00693882"/>
    <w:pPr>
      <w:spacing w:before="100" w:beforeAutospacing="1" w:after="100" w:afterAutospacing="1" w:line="240" w:lineRule="auto"/>
      <w:jc w:val="right"/>
      <w:textAlignment w:val="center"/>
    </w:pPr>
    <w:rPr>
      <w:rFonts w:ascii="Times New Roman" w:hAnsi="Times New Roman"/>
      <w:color w:val="auto"/>
      <w:kern w:val="0"/>
      <w:sz w:val="24"/>
      <w:lang w:val="fr-FR" w:eastAsia="fr-FR"/>
    </w:rPr>
  </w:style>
  <w:style w:type="paragraph" w:customStyle="1" w:styleId="xl109">
    <w:name w:val="xl109"/>
    <w:basedOn w:val="Normal"/>
    <w:rsid w:val="00693882"/>
    <w:pP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110">
    <w:name w:val="xl110"/>
    <w:basedOn w:val="Normal"/>
    <w:rsid w:val="00693882"/>
    <w:pPr>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111">
    <w:name w:val="xl111"/>
    <w:basedOn w:val="Normal"/>
    <w:rsid w:val="00693882"/>
    <w:pPr>
      <w:spacing w:before="100" w:beforeAutospacing="1" w:after="100" w:afterAutospacing="1" w:line="240" w:lineRule="auto"/>
      <w:textAlignment w:val="center"/>
    </w:pPr>
    <w:rPr>
      <w:rFonts w:ascii="Times New Roman" w:hAnsi="Times New Roman"/>
      <w:b/>
      <w:bCs/>
      <w:color w:val="auto"/>
      <w:kern w:val="0"/>
      <w:sz w:val="16"/>
      <w:szCs w:val="16"/>
      <w:lang w:val="fr-FR" w:eastAsia="fr-FR"/>
    </w:rPr>
  </w:style>
  <w:style w:type="paragraph" w:customStyle="1" w:styleId="Style17">
    <w:name w:val="Style17"/>
    <w:basedOn w:val="Normal"/>
    <w:uiPriority w:val="99"/>
    <w:rsid w:val="00693882"/>
    <w:pPr>
      <w:widowControl w:val="0"/>
      <w:autoSpaceDE w:val="0"/>
      <w:autoSpaceDN w:val="0"/>
      <w:adjustRightInd w:val="0"/>
      <w:spacing w:after="0" w:line="240" w:lineRule="auto"/>
    </w:pPr>
    <w:rPr>
      <w:rFonts w:ascii="Arial" w:eastAsiaTheme="minorEastAsia" w:hAnsi="Arial" w:cs="Arial"/>
      <w:color w:val="auto"/>
      <w:kern w:val="0"/>
      <w:sz w:val="24"/>
      <w:lang w:val="fr-FR" w:eastAsia="fr-FR"/>
    </w:rPr>
  </w:style>
  <w:style w:type="character" w:customStyle="1" w:styleId="FontStyle110">
    <w:name w:val="Font Style110"/>
    <w:basedOn w:val="DefaultParagraphFont"/>
    <w:uiPriority w:val="99"/>
    <w:rsid w:val="00693882"/>
    <w:rPr>
      <w:rFonts w:ascii="Book Antiqua" w:hAnsi="Book Antiqua" w:cs="Book Antiqua"/>
      <w:color w:val="000000"/>
      <w:sz w:val="22"/>
      <w:szCs w:val="22"/>
    </w:rPr>
  </w:style>
  <w:style w:type="character" w:customStyle="1" w:styleId="FontStyle94">
    <w:name w:val="Font Style94"/>
    <w:basedOn w:val="DefaultParagraphFont"/>
    <w:uiPriority w:val="99"/>
    <w:rsid w:val="00693882"/>
    <w:rPr>
      <w:rFonts w:ascii="Arial" w:hAnsi="Arial" w:cs="Arial"/>
      <w:b/>
      <w:bCs/>
      <w:i/>
      <w:iCs/>
      <w:color w:val="000000"/>
      <w:sz w:val="20"/>
      <w:szCs w:val="20"/>
    </w:rPr>
  </w:style>
  <w:style w:type="paragraph" w:customStyle="1" w:styleId="Style36">
    <w:name w:val="Style36"/>
    <w:basedOn w:val="Normal"/>
    <w:uiPriority w:val="99"/>
    <w:rsid w:val="00693882"/>
    <w:pPr>
      <w:widowControl w:val="0"/>
      <w:autoSpaceDE w:val="0"/>
      <w:autoSpaceDN w:val="0"/>
      <w:adjustRightInd w:val="0"/>
      <w:spacing w:after="0" w:line="240" w:lineRule="auto"/>
    </w:pPr>
    <w:rPr>
      <w:rFonts w:ascii="Arial" w:eastAsiaTheme="minorEastAsia" w:hAnsi="Arial" w:cs="Arial"/>
      <w:color w:val="auto"/>
      <w:kern w:val="0"/>
      <w:sz w:val="24"/>
      <w:lang w:val="fr-FR" w:eastAsia="fr-FR"/>
    </w:rPr>
  </w:style>
  <w:style w:type="paragraph" w:customStyle="1" w:styleId="onecomwebmail-msonormal">
    <w:name w:val="onecomwebmail-msonormal"/>
    <w:basedOn w:val="Normal"/>
    <w:rsid w:val="00693882"/>
    <w:pPr>
      <w:spacing w:before="100" w:beforeAutospacing="1" w:after="100" w:afterAutospacing="1" w:line="240" w:lineRule="auto"/>
    </w:pPr>
    <w:rPr>
      <w:rFonts w:ascii="Times New Roman" w:hAnsi="Times New Roman"/>
      <w:color w:val="auto"/>
      <w:kern w:val="0"/>
      <w:sz w:val="24"/>
      <w:lang w:val="fr-FR" w:eastAsia="fr-FR"/>
    </w:rPr>
  </w:style>
  <w:style w:type="paragraph" w:customStyle="1" w:styleId="xl1937">
    <w:name w:val="xl1937"/>
    <w:basedOn w:val="Normal"/>
    <w:rsid w:val="00693882"/>
    <w:pPr>
      <w:shd w:val="clear" w:color="000000" w:fill="B8CCE4"/>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938">
    <w:name w:val="xl1938"/>
    <w:basedOn w:val="Normal"/>
    <w:rsid w:val="00693882"/>
    <w:pPr>
      <w:shd w:val="clear" w:color="000000" w:fill="B8CCE4"/>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939">
    <w:name w:val="xl1939"/>
    <w:basedOn w:val="Normal"/>
    <w:rsid w:val="00693882"/>
    <w:pPr>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940">
    <w:name w:val="xl1940"/>
    <w:basedOn w:val="Normal"/>
    <w:rsid w:val="00693882"/>
    <w:pPr>
      <w:pBdr>
        <w:top w:val="single" w:sz="12" w:space="0" w:color="4F81BD"/>
      </w:pBdr>
      <w:shd w:val="clear" w:color="000000" w:fill="BFBFBF"/>
      <w:spacing w:before="100" w:beforeAutospacing="1" w:after="100" w:afterAutospacing="1" w:line="240" w:lineRule="auto"/>
      <w:textAlignment w:val="center"/>
    </w:pPr>
    <w:rPr>
      <w:rFonts w:ascii="Times New Roman" w:hAnsi="Times New Roman"/>
      <w:b/>
      <w:bCs/>
      <w:color w:val="auto"/>
      <w:kern w:val="0"/>
      <w:sz w:val="16"/>
      <w:szCs w:val="16"/>
    </w:rPr>
  </w:style>
  <w:style w:type="paragraph" w:customStyle="1" w:styleId="xl1941">
    <w:name w:val="xl1941"/>
    <w:basedOn w:val="Normal"/>
    <w:rsid w:val="00693882"/>
    <w:pPr>
      <w:pBdr>
        <w:top w:val="single" w:sz="12" w:space="0" w:color="4F81BD"/>
        <w:left w:val="single" w:sz="12" w:space="0" w:color="808080"/>
      </w:pBdr>
      <w:shd w:val="clear" w:color="000000" w:fill="B8CCE4"/>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942">
    <w:name w:val="xl1942"/>
    <w:basedOn w:val="Normal"/>
    <w:rsid w:val="00693882"/>
    <w:pPr>
      <w:pBdr>
        <w:left w:val="single" w:sz="12" w:space="0" w:color="808080"/>
      </w:pBdr>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943">
    <w:name w:val="xl1943"/>
    <w:basedOn w:val="Normal"/>
    <w:rsid w:val="00693882"/>
    <w:pPr>
      <w:pBdr>
        <w:left w:val="single" w:sz="12" w:space="0" w:color="808080"/>
      </w:pBdr>
      <w:shd w:val="clear" w:color="000000" w:fill="B8CCE4"/>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944">
    <w:name w:val="xl1944"/>
    <w:basedOn w:val="Normal"/>
    <w:rsid w:val="00693882"/>
    <w:pPr>
      <w:spacing w:before="100" w:beforeAutospacing="1" w:after="100" w:afterAutospacing="1" w:line="240" w:lineRule="auto"/>
    </w:pPr>
    <w:rPr>
      <w:rFonts w:ascii="Times New Roman" w:hAnsi="Times New Roman"/>
      <w:color w:val="auto"/>
      <w:kern w:val="0"/>
      <w:sz w:val="16"/>
      <w:szCs w:val="16"/>
    </w:rPr>
  </w:style>
  <w:style w:type="paragraph" w:customStyle="1" w:styleId="xl1945">
    <w:name w:val="xl1945"/>
    <w:basedOn w:val="Normal"/>
    <w:rsid w:val="00693882"/>
    <w:pPr>
      <w:pBdr>
        <w:top w:val="single" w:sz="12" w:space="0" w:color="808080"/>
        <w:bottom w:val="single" w:sz="12" w:space="0" w:color="4F81BD"/>
      </w:pBd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1946">
    <w:name w:val="xl1946"/>
    <w:basedOn w:val="Normal"/>
    <w:rsid w:val="00693882"/>
    <w:pPr>
      <w:pBdr>
        <w:top w:val="single" w:sz="12" w:space="0" w:color="808080"/>
        <w:bottom w:val="single" w:sz="12" w:space="0" w:color="4F81BD"/>
        <w:right w:val="single" w:sz="12" w:space="0" w:color="808080"/>
      </w:pBd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1947">
    <w:name w:val="xl1947"/>
    <w:basedOn w:val="Normal"/>
    <w:rsid w:val="00693882"/>
    <w:pPr>
      <w:pBdr>
        <w:top w:val="single" w:sz="12" w:space="0" w:color="4F81BD"/>
      </w:pBdr>
      <w:shd w:val="clear" w:color="000000" w:fill="B8CCE4"/>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948">
    <w:name w:val="xl1948"/>
    <w:basedOn w:val="Normal"/>
    <w:rsid w:val="00693882"/>
    <w:pPr>
      <w:pBdr>
        <w:right w:val="single" w:sz="12" w:space="0" w:color="808080"/>
      </w:pBdr>
      <w:shd w:val="clear" w:color="000000" w:fill="B8CCE4"/>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949">
    <w:name w:val="xl1949"/>
    <w:basedOn w:val="Normal"/>
    <w:rsid w:val="00693882"/>
    <w:pPr>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950">
    <w:name w:val="xl1950"/>
    <w:basedOn w:val="Normal"/>
    <w:rsid w:val="00693882"/>
    <w:pPr>
      <w:pBdr>
        <w:right w:val="single" w:sz="12" w:space="0" w:color="808080"/>
      </w:pBdr>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951">
    <w:name w:val="xl1951"/>
    <w:basedOn w:val="Normal"/>
    <w:rsid w:val="00693882"/>
    <w:pPr>
      <w:pBdr>
        <w:top w:val="single" w:sz="12" w:space="0" w:color="4F81BD"/>
      </w:pBdr>
      <w:shd w:val="clear" w:color="000000" w:fill="BFBFBF"/>
      <w:spacing w:before="100" w:beforeAutospacing="1" w:after="100" w:afterAutospacing="1" w:line="240" w:lineRule="auto"/>
      <w:textAlignment w:val="center"/>
    </w:pPr>
    <w:rPr>
      <w:rFonts w:ascii="Times New Roman" w:hAnsi="Times New Roman"/>
      <w:b/>
      <w:bCs/>
      <w:color w:val="auto"/>
      <w:kern w:val="0"/>
      <w:sz w:val="16"/>
      <w:szCs w:val="16"/>
    </w:rPr>
  </w:style>
  <w:style w:type="paragraph" w:customStyle="1" w:styleId="xl1952">
    <w:name w:val="xl1952"/>
    <w:basedOn w:val="Normal"/>
    <w:rsid w:val="00693882"/>
    <w:pPr>
      <w:pBdr>
        <w:top w:val="single" w:sz="12" w:space="0" w:color="808080"/>
        <w:left w:val="single" w:sz="12" w:space="0" w:color="808080"/>
        <w:bottom w:val="single" w:sz="12" w:space="0" w:color="4F81BD"/>
      </w:pBd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1953">
    <w:name w:val="xl1953"/>
    <w:basedOn w:val="Normal"/>
    <w:rsid w:val="00693882"/>
    <w:pPr>
      <w:shd w:val="clear" w:color="000000" w:fill="B8CCE4"/>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954">
    <w:name w:val="xl1954"/>
    <w:basedOn w:val="Normal"/>
    <w:rsid w:val="00693882"/>
    <w:pPr>
      <w:shd w:val="clear" w:color="000000" w:fill="244062"/>
      <w:spacing w:before="100" w:beforeAutospacing="1" w:after="100" w:afterAutospacing="1" w:line="240" w:lineRule="auto"/>
      <w:textAlignment w:val="center"/>
    </w:pPr>
    <w:rPr>
      <w:rFonts w:ascii="Times New Roman" w:hAnsi="Times New Roman"/>
      <w:b/>
      <w:bCs/>
      <w:color w:val="FFFFFF"/>
      <w:kern w:val="0"/>
      <w:sz w:val="16"/>
      <w:szCs w:val="16"/>
    </w:rPr>
  </w:style>
  <w:style w:type="paragraph" w:customStyle="1" w:styleId="xl1955">
    <w:name w:val="xl1955"/>
    <w:basedOn w:val="Normal"/>
    <w:rsid w:val="00693882"/>
    <w:pPr>
      <w:pBdr>
        <w:bottom w:val="single" w:sz="12" w:space="0" w:color="4F81BD"/>
      </w:pBdr>
      <w:shd w:val="clear" w:color="000000" w:fill="244062"/>
      <w:spacing w:before="100" w:beforeAutospacing="1" w:after="100" w:afterAutospacing="1" w:line="240" w:lineRule="auto"/>
      <w:textAlignment w:val="center"/>
    </w:pPr>
    <w:rPr>
      <w:rFonts w:ascii="Times New Roman" w:hAnsi="Times New Roman"/>
      <w:b/>
      <w:bCs/>
      <w:color w:val="FFFFFF"/>
      <w:kern w:val="0"/>
      <w:sz w:val="16"/>
      <w:szCs w:val="16"/>
    </w:rPr>
  </w:style>
  <w:style w:type="paragraph" w:customStyle="1" w:styleId="xl1956">
    <w:name w:val="xl1956"/>
    <w:basedOn w:val="Normal"/>
    <w:rsid w:val="00693882"/>
    <w:pPr>
      <w:pBdr>
        <w:left w:val="single" w:sz="12" w:space="0" w:color="808080"/>
        <w:bottom w:val="single" w:sz="12" w:space="0" w:color="808080"/>
      </w:pBd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1957">
    <w:name w:val="xl1957"/>
    <w:basedOn w:val="Normal"/>
    <w:rsid w:val="00693882"/>
    <w:pPr>
      <w:pBdr>
        <w:bottom w:val="single" w:sz="12" w:space="0" w:color="808080"/>
      </w:pBd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1958">
    <w:name w:val="xl1958"/>
    <w:basedOn w:val="Normal"/>
    <w:rsid w:val="00693882"/>
    <w:pPr>
      <w:pBdr>
        <w:bottom w:val="single" w:sz="12" w:space="0" w:color="808080"/>
        <w:right w:val="single" w:sz="12" w:space="0" w:color="808080"/>
      </w:pBd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character" w:customStyle="1" w:styleId="texto1">
    <w:name w:val="texto1"/>
    <w:basedOn w:val="DefaultParagraphFont"/>
    <w:rsid w:val="00693882"/>
  </w:style>
  <w:style w:type="paragraph" w:customStyle="1" w:styleId="Style29">
    <w:name w:val="Style29"/>
    <w:basedOn w:val="Normal"/>
    <w:uiPriority w:val="99"/>
    <w:rsid w:val="00693882"/>
    <w:pPr>
      <w:widowControl w:val="0"/>
      <w:autoSpaceDE w:val="0"/>
      <w:autoSpaceDN w:val="0"/>
      <w:adjustRightInd w:val="0"/>
      <w:spacing w:after="0" w:line="245" w:lineRule="exact"/>
      <w:jc w:val="both"/>
    </w:pPr>
    <w:rPr>
      <w:rFonts w:ascii="Times New Roman" w:eastAsiaTheme="minorEastAsia" w:hAnsi="Times New Roman"/>
      <w:color w:val="auto"/>
      <w:kern w:val="0"/>
      <w:sz w:val="24"/>
      <w:lang w:val="fr-FR" w:eastAsia="fr-FR"/>
    </w:rPr>
  </w:style>
  <w:style w:type="character" w:customStyle="1" w:styleId="FontStyle74">
    <w:name w:val="Font Style74"/>
    <w:basedOn w:val="DefaultParagraphFont"/>
    <w:uiPriority w:val="99"/>
    <w:rsid w:val="00693882"/>
    <w:rPr>
      <w:rFonts w:ascii="Times New Roman" w:hAnsi="Times New Roman" w:cs="Times New Roman"/>
      <w:color w:val="000000"/>
      <w:spacing w:val="10"/>
      <w:sz w:val="18"/>
      <w:szCs w:val="18"/>
    </w:rPr>
  </w:style>
  <w:style w:type="paragraph" w:customStyle="1" w:styleId="xl3458">
    <w:name w:val="xl3458"/>
    <w:basedOn w:val="Normal"/>
    <w:rsid w:val="00693882"/>
    <w:pPr>
      <w:spacing w:before="100" w:beforeAutospacing="1" w:after="100" w:afterAutospacing="1" w:line="240" w:lineRule="auto"/>
    </w:pPr>
    <w:rPr>
      <w:rFonts w:ascii="Times New Roman" w:hAnsi="Times New Roman"/>
      <w:color w:val="auto"/>
      <w:kern w:val="0"/>
      <w:sz w:val="16"/>
      <w:szCs w:val="16"/>
      <w:lang w:val="fr-FR" w:eastAsia="fr-FR"/>
    </w:rPr>
  </w:style>
  <w:style w:type="paragraph" w:customStyle="1" w:styleId="xl3459">
    <w:name w:val="xl3459"/>
    <w:basedOn w:val="Normal"/>
    <w:rsid w:val="00693882"/>
    <w:pPr>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3460">
    <w:name w:val="xl3460"/>
    <w:basedOn w:val="Normal"/>
    <w:rsid w:val="00693882"/>
    <w:pPr>
      <w:spacing w:before="100" w:beforeAutospacing="1" w:after="100" w:afterAutospacing="1" w:line="240" w:lineRule="auto"/>
    </w:pPr>
    <w:rPr>
      <w:rFonts w:ascii="Times New Roman" w:hAnsi="Times New Roman"/>
      <w:color w:val="auto"/>
      <w:kern w:val="0"/>
      <w:sz w:val="16"/>
      <w:szCs w:val="16"/>
      <w:lang w:val="fr-FR" w:eastAsia="fr-FR"/>
    </w:rPr>
  </w:style>
  <w:style w:type="paragraph" w:customStyle="1" w:styleId="xl3461">
    <w:name w:val="xl3461"/>
    <w:basedOn w:val="Normal"/>
    <w:rsid w:val="00693882"/>
    <w:pPr>
      <w:spacing w:before="100" w:beforeAutospacing="1" w:after="100" w:afterAutospacing="1" w:line="240" w:lineRule="auto"/>
      <w:jc w:val="center"/>
    </w:pPr>
    <w:rPr>
      <w:rFonts w:ascii="Times New Roman" w:hAnsi="Times New Roman"/>
      <w:color w:val="auto"/>
      <w:kern w:val="0"/>
      <w:sz w:val="16"/>
      <w:szCs w:val="16"/>
      <w:lang w:val="fr-FR" w:eastAsia="fr-FR"/>
    </w:rPr>
  </w:style>
  <w:style w:type="paragraph" w:customStyle="1" w:styleId="xl3462">
    <w:name w:val="xl3462"/>
    <w:basedOn w:val="Normal"/>
    <w:rsid w:val="00693882"/>
    <w:pP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3463">
    <w:name w:val="xl3463"/>
    <w:basedOn w:val="Normal"/>
    <w:rsid w:val="00693882"/>
    <w:pPr>
      <w:shd w:val="clear" w:color="000000" w:fill="95B3D7"/>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3464">
    <w:name w:val="xl3464"/>
    <w:basedOn w:val="Normal"/>
    <w:rsid w:val="00693882"/>
    <w:pPr>
      <w:shd w:val="clear" w:color="000000" w:fill="95B3D7"/>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3465">
    <w:name w:val="xl3465"/>
    <w:basedOn w:val="Normal"/>
    <w:rsid w:val="00693882"/>
    <w:pPr>
      <w:shd w:val="clear" w:color="000000" w:fill="244061"/>
      <w:spacing w:before="100" w:beforeAutospacing="1" w:after="100" w:afterAutospacing="1" w:line="240" w:lineRule="auto"/>
      <w:textAlignment w:val="center"/>
    </w:pPr>
    <w:rPr>
      <w:rFonts w:ascii="Times New Roman" w:hAnsi="Times New Roman"/>
      <w:b/>
      <w:bCs/>
      <w:color w:val="FFFFFF"/>
      <w:kern w:val="0"/>
      <w:sz w:val="16"/>
      <w:szCs w:val="16"/>
      <w:lang w:val="fr-FR" w:eastAsia="fr-FR"/>
    </w:rPr>
  </w:style>
  <w:style w:type="paragraph" w:customStyle="1" w:styleId="xl3466">
    <w:name w:val="xl3466"/>
    <w:basedOn w:val="Normal"/>
    <w:rsid w:val="00693882"/>
    <w:pPr>
      <w:spacing w:before="100" w:beforeAutospacing="1" w:after="100" w:afterAutospacing="1" w:line="240" w:lineRule="auto"/>
    </w:pPr>
    <w:rPr>
      <w:rFonts w:ascii="Times New Roman" w:hAnsi="Times New Roman"/>
      <w:color w:val="auto"/>
      <w:kern w:val="0"/>
      <w:sz w:val="16"/>
      <w:szCs w:val="16"/>
      <w:lang w:val="fr-FR" w:eastAsia="fr-FR"/>
    </w:rPr>
  </w:style>
  <w:style w:type="paragraph" w:customStyle="1" w:styleId="xl3467">
    <w:name w:val="xl3467"/>
    <w:basedOn w:val="Normal"/>
    <w:rsid w:val="00693882"/>
    <w:pPr>
      <w:spacing w:before="100" w:beforeAutospacing="1" w:after="100" w:afterAutospacing="1" w:line="240" w:lineRule="auto"/>
      <w:jc w:val="center"/>
    </w:pPr>
    <w:rPr>
      <w:rFonts w:ascii="Times New Roman" w:hAnsi="Times New Roman"/>
      <w:color w:val="auto"/>
      <w:kern w:val="0"/>
      <w:sz w:val="16"/>
      <w:szCs w:val="16"/>
      <w:lang w:val="fr-FR" w:eastAsia="fr-FR"/>
    </w:rPr>
  </w:style>
  <w:style w:type="paragraph" w:customStyle="1" w:styleId="xl3468">
    <w:name w:val="xl3468"/>
    <w:basedOn w:val="Normal"/>
    <w:rsid w:val="0069388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3469">
    <w:name w:val="xl3469"/>
    <w:basedOn w:val="Normal"/>
    <w:rsid w:val="006938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3470">
    <w:name w:val="xl3470"/>
    <w:basedOn w:val="Normal"/>
    <w:rsid w:val="0069388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kern w:val="0"/>
      <w:sz w:val="16"/>
      <w:szCs w:val="16"/>
      <w:lang w:val="fr-FR" w:eastAsia="fr-FR"/>
    </w:rPr>
  </w:style>
  <w:style w:type="paragraph" w:customStyle="1" w:styleId="xl3471">
    <w:name w:val="xl3471"/>
    <w:basedOn w:val="Normal"/>
    <w:rsid w:val="006938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3472">
    <w:name w:val="xl3472"/>
    <w:basedOn w:val="Normal"/>
    <w:rsid w:val="00693882"/>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3473">
    <w:name w:val="xl3473"/>
    <w:basedOn w:val="Normal"/>
    <w:rsid w:val="006938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3474">
    <w:name w:val="xl3474"/>
    <w:basedOn w:val="Normal"/>
    <w:rsid w:val="0069388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3475">
    <w:name w:val="xl3475"/>
    <w:basedOn w:val="Normal"/>
    <w:rsid w:val="0069388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3476">
    <w:name w:val="xl3476"/>
    <w:basedOn w:val="Normal"/>
    <w:rsid w:val="00693882"/>
    <w:pPr>
      <w:shd w:val="clear" w:color="000000" w:fill="244061"/>
      <w:spacing w:before="100" w:beforeAutospacing="1" w:after="100" w:afterAutospacing="1" w:line="240" w:lineRule="auto"/>
      <w:textAlignment w:val="center"/>
    </w:pPr>
    <w:rPr>
      <w:rFonts w:ascii="Times New Roman" w:hAnsi="Times New Roman"/>
      <w:b/>
      <w:bCs/>
      <w:color w:val="FFFFFF"/>
      <w:kern w:val="0"/>
      <w:sz w:val="16"/>
      <w:szCs w:val="16"/>
      <w:lang w:val="fr-FR" w:eastAsia="fr-FR"/>
    </w:rPr>
  </w:style>
  <w:style w:type="paragraph" w:customStyle="1" w:styleId="xl3477">
    <w:name w:val="xl3477"/>
    <w:basedOn w:val="Normal"/>
    <w:rsid w:val="006938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3478">
    <w:name w:val="xl3478"/>
    <w:basedOn w:val="Normal"/>
    <w:rsid w:val="0069388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3479">
    <w:name w:val="xl3479"/>
    <w:basedOn w:val="Normal"/>
    <w:rsid w:val="0069388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3480">
    <w:name w:val="xl3480"/>
    <w:basedOn w:val="Normal"/>
    <w:rsid w:val="0069388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3481">
    <w:name w:val="xl3481"/>
    <w:basedOn w:val="Normal"/>
    <w:rsid w:val="00693882"/>
    <w:pP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3482">
    <w:name w:val="xl3482"/>
    <w:basedOn w:val="Normal"/>
    <w:rsid w:val="00693882"/>
    <w:pPr>
      <w:shd w:val="clear" w:color="000000" w:fill="244061"/>
      <w:spacing w:before="100" w:beforeAutospacing="1" w:after="100" w:afterAutospacing="1" w:line="240" w:lineRule="auto"/>
      <w:textAlignment w:val="center"/>
    </w:pPr>
    <w:rPr>
      <w:rFonts w:ascii="Times New Roman" w:hAnsi="Times New Roman"/>
      <w:b/>
      <w:bCs/>
      <w:color w:val="FFFFFF"/>
      <w:kern w:val="0"/>
      <w:sz w:val="16"/>
      <w:szCs w:val="16"/>
      <w:lang w:val="fr-FR" w:eastAsia="fr-FR"/>
    </w:rPr>
  </w:style>
  <w:style w:type="paragraph" w:customStyle="1" w:styleId="xl3483">
    <w:name w:val="xl3483"/>
    <w:basedOn w:val="Normal"/>
    <w:rsid w:val="00693882"/>
    <w:pP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3484">
    <w:name w:val="xl3484"/>
    <w:basedOn w:val="Normal"/>
    <w:rsid w:val="00693882"/>
    <w:pPr>
      <w:spacing w:before="100" w:beforeAutospacing="1" w:after="100" w:afterAutospacing="1" w:line="240" w:lineRule="auto"/>
      <w:jc w:val="center"/>
    </w:pPr>
    <w:rPr>
      <w:rFonts w:ascii="Times New Roman" w:hAnsi="Times New Roman"/>
      <w:b/>
      <w:bCs/>
      <w:color w:val="auto"/>
      <w:kern w:val="0"/>
      <w:sz w:val="16"/>
      <w:szCs w:val="16"/>
      <w:lang w:val="fr-FR" w:eastAsia="fr-FR"/>
    </w:rPr>
  </w:style>
  <w:style w:type="paragraph" w:customStyle="1" w:styleId="xl3485">
    <w:name w:val="xl3485"/>
    <w:basedOn w:val="Normal"/>
    <w:rsid w:val="006938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kern w:val="0"/>
      <w:sz w:val="16"/>
      <w:szCs w:val="16"/>
      <w:lang w:val="fr-FR" w:eastAsia="fr-FR"/>
    </w:rPr>
  </w:style>
  <w:style w:type="paragraph" w:customStyle="1" w:styleId="xl3486">
    <w:name w:val="xl3486"/>
    <w:basedOn w:val="Normal"/>
    <w:rsid w:val="006938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3487">
    <w:name w:val="xl3487"/>
    <w:basedOn w:val="Normal"/>
    <w:rsid w:val="006938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3488">
    <w:name w:val="xl3488"/>
    <w:basedOn w:val="Normal"/>
    <w:rsid w:val="006938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kern w:val="0"/>
      <w:sz w:val="16"/>
      <w:szCs w:val="16"/>
      <w:lang w:val="fr-FR" w:eastAsia="fr-FR"/>
    </w:rPr>
  </w:style>
  <w:style w:type="paragraph" w:customStyle="1" w:styleId="xl3489">
    <w:name w:val="xl3489"/>
    <w:basedOn w:val="Normal"/>
    <w:rsid w:val="006938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kern w:val="0"/>
      <w:sz w:val="16"/>
      <w:szCs w:val="16"/>
      <w:lang w:val="fr-FR" w:eastAsia="fr-FR"/>
    </w:rPr>
  </w:style>
  <w:style w:type="paragraph" w:customStyle="1" w:styleId="xl3490">
    <w:name w:val="xl3490"/>
    <w:basedOn w:val="Normal"/>
    <w:rsid w:val="006938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3491">
    <w:name w:val="xl3491"/>
    <w:basedOn w:val="Normal"/>
    <w:rsid w:val="00693882"/>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3492">
    <w:name w:val="xl3492"/>
    <w:basedOn w:val="Normal"/>
    <w:rsid w:val="006938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3493">
    <w:name w:val="xl3493"/>
    <w:basedOn w:val="Normal"/>
    <w:rsid w:val="006938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color w:val="000000"/>
      <w:kern w:val="0"/>
      <w:sz w:val="16"/>
      <w:szCs w:val="16"/>
      <w:lang w:val="fr-FR" w:eastAsia="fr-FR"/>
    </w:rPr>
  </w:style>
  <w:style w:type="paragraph" w:customStyle="1" w:styleId="xl3494">
    <w:name w:val="xl3494"/>
    <w:basedOn w:val="Normal"/>
    <w:rsid w:val="006938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3495">
    <w:name w:val="xl3495"/>
    <w:basedOn w:val="Normal"/>
    <w:rsid w:val="006938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color w:val="000000"/>
      <w:kern w:val="0"/>
      <w:sz w:val="16"/>
      <w:szCs w:val="16"/>
      <w:lang w:val="fr-FR" w:eastAsia="fr-FR"/>
    </w:rPr>
  </w:style>
  <w:style w:type="paragraph" w:customStyle="1" w:styleId="xl3496">
    <w:name w:val="xl3496"/>
    <w:basedOn w:val="Normal"/>
    <w:rsid w:val="006938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color w:val="000000"/>
      <w:kern w:val="0"/>
      <w:sz w:val="16"/>
      <w:szCs w:val="16"/>
      <w:lang w:val="fr-FR" w:eastAsia="fr-FR"/>
    </w:rPr>
  </w:style>
  <w:style w:type="paragraph" w:customStyle="1" w:styleId="xl3497">
    <w:name w:val="xl3497"/>
    <w:basedOn w:val="Normal"/>
    <w:rsid w:val="0069388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kern w:val="0"/>
      <w:sz w:val="16"/>
      <w:szCs w:val="16"/>
      <w:lang w:val="fr-FR" w:eastAsia="fr-FR"/>
    </w:rPr>
  </w:style>
  <w:style w:type="paragraph" w:customStyle="1" w:styleId="xl3498">
    <w:name w:val="xl3498"/>
    <w:basedOn w:val="Normal"/>
    <w:rsid w:val="006938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kern w:val="0"/>
      <w:sz w:val="16"/>
      <w:szCs w:val="16"/>
      <w:lang w:val="fr-FR" w:eastAsia="fr-FR"/>
    </w:rPr>
  </w:style>
  <w:style w:type="paragraph" w:customStyle="1" w:styleId="xl3499">
    <w:name w:val="xl3499"/>
    <w:basedOn w:val="Normal"/>
    <w:rsid w:val="006938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color w:val="000000"/>
      <w:kern w:val="0"/>
      <w:sz w:val="16"/>
      <w:szCs w:val="16"/>
      <w:lang w:val="fr-FR" w:eastAsia="fr-FR"/>
    </w:rPr>
  </w:style>
  <w:style w:type="paragraph" w:customStyle="1" w:styleId="xl3500">
    <w:name w:val="xl3500"/>
    <w:basedOn w:val="Normal"/>
    <w:rsid w:val="006938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kern w:val="0"/>
      <w:sz w:val="16"/>
      <w:szCs w:val="16"/>
      <w:lang w:val="fr-FR" w:eastAsia="fr-FR"/>
    </w:rPr>
  </w:style>
  <w:style w:type="paragraph" w:customStyle="1" w:styleId="xl3501">
    <w:name w:val="xl3501"/>
    <w:basedOn w:val="Normal"/>
    <w:rsid w:val="00693882"/>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3502">
    <w:name w:val="xl3502"/>
    <w:basedOn w:val="Normal"/>
    <w:rsid w:val="0069388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3503">
    <w:name w:val="xl3503"/>
    <w:basedOn w:val="Normal"/>
    <w:rsid w:val="00693882"/>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3504">
    <w:name w:val="xl3504"/>
    <w:basedOn w:val="Normal"/>
    <w:rsid w:val="006938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color w:val="000000"/>
      <w:kern w:val="0"/>
      <w:sz w:val="16"/>
      <w:szCs w:val="16"/>
      <w:lang w:val="fr-FR" w:eastAsia="fr-FR"/>
    </w:rPr>
  </w:style>
  <w:style w:type="paragraph" w:customStyle="1" w:styleId="xl3505">
    <w:name w:val="xl3505"/>
    <w:basedOn w:val="Normal"/>
    <w:rsid w:val="0069388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kern w:val="0"/>
      <w:sz w:val="16"/>
      <w:szCs w:val="16"/>
      <w:lang w:val="fr-FR" w:eastAsia="fr-FR"/>
    </w:rPr>
  </w:style>
  <w:style w:type="paragraph" w:customStyle="1" w:styleId="xl3506">
    <w:name w:val="xl3506"/>
    <w:basedOn w:val="Normal"/>
    <w:rsid w:val="006938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3507">
    <w:name w:val="xl3507"/>
    <w:basedOn w:val="Normal"/>
    <w:rsid w:val="006938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3508">
    <w:name w:val="xl3508"/>
    <w:basedOn w:val="Normal"/>
    <w:rsid w:val="00693882"/>
    <w:pP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3509">
    <w:name w:val="xl3509"/>
    <w:basedOn w:val="Normal"/>
    <w:rsid w:val="0069388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hAnsi="Times New Roman"/>
      <w:color w:val="000000"/>
      <w:kern w:val="0"/>
      <w:sz w:val="16"/>
      <w:szCs w:val="16"/>
      <w:lang w:val="fr-FR" w:eastAsia="fr-FR"/>
    </w:rPr>
  </w:style>
  <w:style w:type="paragraph" w:customStyle="1" w:styleId="xl3510">
    <w:name w:val="xl3510"/>
    <w:basedOn w:val="Normal"/>
    <w:rsid w:val="0069388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Times New Roman" w:hAnsi="Times New Roman"/>
      <w:color w:val="000000"/>
      <w:kern w:val="0"/>
      <w:sz w:val="16"/>
      <w:szCs w:val="16"/>
      <w:lang w:val="fr-FR" w:eastAsia="fr-FR"/>
    </w:rPr>
  </w:style>
  <w:style w:type="paragraph" w:customStyle="1" w:styleId="xl3511">
    <w:name w:val="xl3511"/>
    <w:basedOn w:val="Normal"/>
    <w:rsid w:val="0069388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Times New Roman" w:hAnsi="Times New Roman"/>
      <w:color w:val="000000"/>
      <w:kern w:val="0"/>
      <w:sz w:val="16"/>
      <w:szCs w:val="16"/>
      <w:lang w:val="fr-FR" w:eastAsia="fr-FR"/>
    </w:rPr>
  </w:style>
  <w:style w:type="paragraph" w:customStyle="1" w:styleId="xl3512">
    <w:name w:val="xl3512"/>
    <w:basedOn w:val="Normal"/>
    <w:rsid w:val="0069388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3513">
    <w:name w:val="xl3513"/>
    <w:basedOn w:val="Normal"/>
    <w:rsid w:val="0069388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hAnsi="Times New Roman"/>
      <w:color w:val="000000"/>
      <w:kern w:val="0"/>
      <w:sz w:val="16"/>
      <w:szCs w:val="16"/>
      <w:lang w:val="fr-FR" w:eastAsia="fr-FR"/>
    </w:rPr>
  </w:style>
  <w:style w:type="paragraph" w:customStyle="1" w:styleId="xl3514">
    <w:name w:val="xl3514"/>
    <w:basedOn w:val="Normal"/>
    <w:rsid w:val="0069388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textAlignment w:val="center"/>
    </w:pPr>
    <w:rPr>
      <w:rFonts w:ascii="Times New Roman" w:hAnsi="Times New Roman"/>
      <w:color w:val="000000"/>
      <w:kern w:val="0"/>
      <w:sz w:val="16"/>
      <w:szCs w:val="16"/>
      <w:lang w:val="fr-FR" w:eastAsia="fr-FR"/>
    </w:rPr>
  </w:style>
  <w:style w:type="paragraph" w:customStyle="1" w:styleId="xl3515">
    <w:name w:val="xl3515"/>
    <w:basedOn w:val="Normal"/>
    <w:rsid w:val="0069388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3516">
    <w:name w:val="xl3516"/>
    <w:basedOn w:val="Normal"/>
    <w:rsid w:val="0069388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3517">
    <w:name w:val="xl3517"/>
    <w:basedOn w:val="Normal"/>
    <w:rsid w:val="0069388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3518">
    <w:name w:val="xl3518"/>
    <w:basedOn w:val="Normal"/>
    <w:rsid w:val="0069388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3519">
    <w:name w:val="xl3519"/>
    <w:basedOn w:val="Normal"/>
    <w:rsid w:val="0069388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3520">
    <w:name w:val="xl3520"/>
    <w:basedOn w:val="Normal"/>
    <w:rsid w:val="00693882"/>
    <w:pPr>
      <w:pBdr>
        <w:top w:val="single" w:sz="4" w:space="0" w:color="auto"/>
        <w:left w:val="single" w:sz="4" w:space="0" w:color="auto"/>
        <w:bottom w:val="single" w:sz="4" w:space="0" w:color="auto"/>
      </w:pBdr>
      <w:shd w:val="clear" w:color="000000" w:fill="B8CCE4"/>
      <w:spacing w:before="100" w:beforeAutospacing="1" w:after="100" w:afterAutospacing="1" w:line="240" w:lineRule="auto"/>
      <w:textAlignment w:val="center"/>
    </w:pPr>
    <w:rPr>
      <w:rFonts w:ascii="Times New Roman" w:hAnsi="Times New Roman"/>
      <w:color w:val="000000"/>
      <w:kern w:val="0"/>
      <w:sz w:val="16"/>
      <w:szCs w:val="16"/>
      <w:lang w:val="fr-FR" w:eastAsia="fr-FR"/>
    </w:rPr>
  </w:style>
  <w:style w:type="paragraph" w:customStyle="1" w:styleId="xl3521">
    <w:name w:val="xl3521"/>
    <w:basedOn w:val="Normal"/>
    <w:rsid w:val="0069388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Times New Roman" w:hAnsi="Times New Roman"/>
      <w:color w:val="000000"/>
      <w:kern w:val="0"/>
      <w:sz w:val="16"/>
      <w:szCs w:val="16"/>
      <w:lang w:val="fr-FR" w:eastAsia="fr-FR"/>
    </w:rPr>
  </w:style>
  <w:style w:type="paragraph" w:customStyle="1" w:styleId="xl3522">
    <w:name w:val="xl3522"/>
    <w:basedOn w:val="Normal"/>
    <w:rsid w:val="0069388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hAnsi="Times New Roman"/>
      <w:color w:val="000000"/>
      <w:kern w:val="0"/>
      <w:sz w:val="16"/>
      <w:szCs w:val="16"/>
      <w:lang w:val="fr-FR" w:eastAsia="fr-FR"/>
    </w:rPr>
  </w:style>
  <w:style w:type="paragraph" w:customStyle="1" w:styleId="xl3523">
    <w:name w:val="xl3523"/>
    <w:basedOn w:val="Normal"/>
    <w:rsid w:val="0069388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textAlignment w:val="center"/>
    </w:pPr>
    <w:rPr>
      <w:rFonts w:ascii="Times New Roman" w:hAnsi="Times New Roman"/>
      <w:color w:val="000000"/>
      <w:kern w:val="0"/>
      <w:sz w:val="16"/>
      <w:szCs w:val="16"/>
      <w:lang w:val="fr-FR" w:eastAsia="fr-FR"/>
    </w:rPr>
  </w:style>
  <w:style w:type="paragraph" w:customStyle="1" w:styleId="xl3524">
    <w:name w:val="xl3524"/>
    <w:basedOn w:val="Normal"/>
    <w:rsid w:val="0069388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hAnsi="Times New Roman"/>
      <w:color w:val="000000"/>
      <w:kern w:val="0"/>
      <w:sz w:val="16"/>
      <w:szCs w:val="16"/>
      <w:lang w:val="fr-FR" w:eastAsia="fr-FR"/>
    </w:rPr>
  </w:style>
  <w:style w:type="paragraph" w:customStyle="1" w:styleId="xl3525">
    <w:name w:val="xl3525"/>
    <w:basedOn w:val="Normal"/>
    <w:rsid w:val="00693882"/>
    <w:pPr>
      <w:pBdr>
        <w:top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Times New Roman" w:hAnsi="Times New Roman"/>
      <w:color w:val="000000"/>
      <w:kern w:val="0"/>
      <w:sz w:val="16"/>
      <w:szCs w:val="16"/>
      <w:lang w:val="fr-FR" w:eastAsia="fr-FR"/>
    </w:rPr>
  </w:style>
  <w:style w:type="paragraph" w:customStyle="1" w:styleId="xl3526">
    <w:name w:val="xl3526"/>
    <w:basedOn w:val="Normal"/>
    <w:rsid w:val="00693882"/>
    <w:pPr>
      <w:pBdr>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Times New Roman" w:hAnsi="Times New Roman"/>
      <w:color w:val="000000"/>
      <w:kern w:val="0"/>
      <w:sz w:val="16"/>
      <w:szCs w:val="16"/>
      <w:lang w:val="fr-FR" w:eastAsia="fr-FR"/>
    </w:rPr>
  </w:style>
  <w:style w:type="paragraph" w:customStyle="1" w:styleId="xl3527">
    <w:name w:val="xl3527"/>
    <w:basedOn w:val="Normal"/>
    <w:rsid w:val="00693882"/>
    <w:pPr>
      <w:pBdr>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hAnsi="Times New Roman"/>
      <w:color w:val="000000"/>
      <w:kern w:val="0"/>
      <w:sz w:val="16"/>
      <w:szCs w:val="16"/>
      <w:lang w:val="fr-FR" w:eastAsia="fr-FR"/>
    </w:rPr>
  </w:style>
  <w:style w:type="paragraph" w:customStyle="1" w:styleId="xl3528">
    <w:name w:val="xl3528"/>
    <w:basedOn w:val="Normal"/>
    <w:rsid w:val="00693882"/>
    <w:pPr>
      <w:pBdr>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textAlignment w:val="center"/>
    </w:pPr>
    <w:rPr>
      <w:rFonts w:ascii="Times New Roman" w:hAnsi="Times New Roman"/>
      <w:color w:val="000000"/>
      <w:kern w:val="0"/>
      <w:sz w:val="16"/>
      <w:szCs w:val="16"/>
      <w:lang w:val="fr-FR" w:eastAsia="fr-FR"/>
    </w:rPr>
  </w:style>
  <w:style w:type="paragraph" w:customStyle="1" w:styleId="xl3529">
    <w:name w:val="xl3529"/>
    <w:basedOn w:val="Normal"/>
    <w:rsid w:val="00693882"/>
    <w:pPr>
      <w:pBdr>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hAnsi="Times New Roman"/>
      <w:color w:val="000000"/>
      <w:kern w:val="0"/>
      <w:sz w:val="16"/>
      <w:szCs w:val="16"/>
      <w:lang w:val="fr-FR" w:eastAsia="fr-FR"/>
    </w:rPr>
  </w:style>
  <w:style w:type="paragraph" w:customStyle="1" w:styleId="xl3530">
    <w:name w:val="xl3530"/>
    <w:basedOn w:val="Normal"/>
    <w:rsid w:val="0069388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3531">
    <w:name w:val="xl3531"/>
    <w:basedOn w:val="Normal"/>
    <w:rsid w:val="0069388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3532">
    <w:name w:val="xl3532"/>
    <w:basedOn w:val="Normal"/>
    <w:rsid w:val="0069388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3533">
    <w:name w:val="xl3533"/>
    <w:basedOn w:val="Normal"/>
    <w:rsid w:val="0069388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3534">
    <w:name w:val="xl3534"/>
    <w:basedOn w:val="Normal"/>
    <w:rsid w:val="0069388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3535">
    <w:name w:val="xl3535"/>
    <w:basedOn w:val="Normal"/>
    <w:rsid w:val="00693882"/>
    <w:pPr>
      <w:pBdr>
        <w:top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Times New Roman" w:hAnsi="Times New Roman"/>
      <w:color w:val="000000"/>
      <w:kern w:val="0"/>
      <w:sz w:val="16"/>
      <w:szCs w:val="16"/>
      <w:lang w:val="fr-FR" w:eastAsia="fr-FR"/>
    </w:rPr>
  </w:style>
  <w:style w:type="paragraph" w:customStyle="1" w:styleId="xl3536">
    <w:name w:val="xl3536"/>
    <w:basedOn w:val="Normal"/>
    <w:rsid w:val="00693882"/>
    <w:pPr>
      <w:pBdr>
        <w:top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3537">
    <w:name w:val="xl3537"/>
    <w:basedOn w:val="Normal"/>
    <w:rsid w:val="0069388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3538">
    <w:name w:val="xl3538"/>
    <w:basedOn w:val="Normal"/>
    <w:rsid w:val="0069388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textAlignment w:val="center"/>
    </w:pPr>
    <w:rPr>
      <w:rFonts w:ascii="Times New Roman" w:hAnsi="Times New Roman"/>
      <w:color w:val="000000"/>
      <w:kern w:val="0"/>
      <w:sz w:val="16"/>
      <w:szCs w:val="16"/>
      <w:lang w:val="fr-FR" w:eastAsia="fr-FR"/>
    </w:rPr>
  </w:style>
  <w:style w:type="paragraph" w:customStyle="1" w:styleId="xl3539">
    <w:name w:val="xl3539"/>
    <w:basedOn w:val="Normal"/>
    <w:rsid w:val="00693882"/>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imes New Roman" w:hAnsi="Times New Roman"/>
      <w:color w:val="000000"/>
      <w:kern w:val="0"/>
      <w:sz w:val="16"/>
      <w:szCs w:val="16"/>
      <w:lang w:val="fr-FR" w:eastAsia="fr-FR"/>
    </w:rPr>
  </w:style>
  <w:style w:type="paragraph" w:customStyle="1" w:styleId="xl3540">
    <w:name w:val="xl3540"/>
    <w:basedOn w:val="Normal"/>
    <w:rsid w:val="0069388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3541">
    <w:name w:val="xl3541"/>
    <w:basedOn w:val="Normal"/>
    <w:rsid w:val="0069388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3443">
    <w:name w:val="xl3443"/>
    <w:basedOn w:val="Normal"/>
    <w:rsid w:val="00693882"/>
    <w:pPr>
      <w:spacing w:before="100" w:beforeAutospacing="1" w:after="100" w:afterAutospacing="1" w:line="240" w:lineRule="auto"/>
    </w:pPr>
    <w:rPr>
      <w:rFonts w:ascii="Times New Roman" w:hAnsi="Times New Roman"/>
      <w:color w:val="auto"/>
      <w:kern w:val="0"/>
      <w:sz w:val="16"/>
      <w:szCs w:val="16"/>
    </w:rPr>
  </w:style>
  <w:style w:type="paragraph" w:customStyle="1" w:styleId="xl3444">
    <w:name w:val="xl3444"/>
    <w:basedOn w:val="Normal"/>
    <w:rsid w:val="00693882"/>
    <w:pPr>
      <w:pBdr>
        <w:top w:val="single" w:sz="12" w:space="0" w:color="808080"/>
        <w:left w:val="single" w:sz="12" w:space="0" w:color="808080"/>
        <w:bottom w:val="single" w:sz="12" w:space="0" w:color="4F81BD"/>
      </w:pBd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3445">
    <w:name w:val="xl3445"/>
    <w:basedOn w:val="Normal"/>
    <w:rsid w:val="00693882"/>
    <w:pPr>
      <w:pBdr>
        <w:top w:val="single" w:sz="12" w:space="0" w:color="808080"/>
        <w:bottom w:val="single" w:sz="12" w:space="0" w:color="4F81BD"/>
      </w:pBd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3446">
    <w:name w:val="xl3446"/>
    <w:basedOn w:val="Normal"/>
    <w:rsid w:val="00693882"/>
    <w:pPr>
      <w:pBdr>
        <w:top w:val="single" w:sz="12" w:space="0" w:color="808080"/>
        <w:bottom w:val="single" w:sz="12" w:space="0" w:color="4F81BD"/>
        <w:right w:val="single" w:sz="12" w:space="0" w:color="808080"/>
      </w:pBd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3447">
    <w:name w:val="xl3447"/>
    <w:basedOn w:val="Normal"/>
    <w:rsid w:val="00693882"/>
    <w:pPr>
      <w:pBdr>
        <w:top w:val="single" w:sz="12" w:space="0" w:color="4F81BD"/>
      </w:pBdr>
      <w:shd w:val="clear" w:color="000000" w:fill="BFBFBF"/>
      <w:spacing w:before="100" w:beforeAutospacing="1" w:after="100" w:afterAutospacing="1" w:line="240" w:lineRule="auto"/>
      <w:textAlignment w:val="center"/>
    </w:pPr>
    <w:rPr>
      <w:rFonts w:ascii="Times New Roman" w:hAnsi="Times New Roman"/>
      <w:b/>
      <w:bCs/>
      <w:color w:val="auto"/>
      <w:kern w:val="0"/>
      <w:sz w:val="16"/>
      <w:szCs w:val="16"/>
    </w:rPr>
  </w:style>
  <w:style w:type="paragraph" w:customStyle="1" w:styleId="xl3448">
    <w:name w:val="xl3448"/>
    <w:basedOn w:val="Normal"/>
    <w:rsid w:val="00693882"/>
    <w:pPr>
      <w:pBdr>
        <w:top w:val="single" w:sz="12" w:space="0" w:color="4F81BD"/>
      </w:pBdr>
      <w:shd w:val="clear" w:color="000000" w:fill="BFBFBF"/>
      <w:spacing w:before="100" w:beforeAutospacing="1" w:after="100" w:afterAutospacing="1" w:line="240" w:lineRule="auto"/>
      <w:textAlignment w:val="center"/>
    </w:pPr>
    <w:rPr>
      <w:rFonts w:ascii="Times New Roman" w:hAnsi="Times New Roman"/>
      <w:b/>
      <w:bCs/>
      <w:color w:val="auto"/>
      <w:kern w:val="0"/>
      <w:sz w:val="16"/>
      <w:szCs w:val="16"/>
    </w:rPr>
  </w:style>
  <w:style w:type="paragraph" w:customStyle="1" w:styleId="xl3449">
    <w:name w:val="xl3449"/>
    <w:basedOn w:val="Normal"/>
    <w:rsid w:val="00693882"/>
    <w:pPr>
      <w:pBdr>
        <w:left w:val="single" w:sz="12" w:space="0" w:color="808080"/>
      </w:pBdr>
      <w:shd w:val="clear" w:color="000000" w:fill="B8CCE4"/>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3450">
    <w:name w:val="xl3450"/>
    <w:basedOn w:val="Normal"/>
    <w:rsid w:val="00693882"/>
    <w:pPr>
      <w:shd w:val="clear" w:color="000000" w:fill="B8CCE4"/>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3451">
    <w:name w:val="xl3451"/>
    <w:basedOn w:val="Normal"/>
    <w:rsid w:val="00693882"/>
    <w:pPr>
      <w:pBdr>
        <w:right w:val="single" w:sz="12" w:space="0" w:color="808080"/>
      </w:pBdr>
      <w:shd w:val="clear" w:color="000000" w:fill="B8CCE4"/>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3452">
    <w:name w:val="xl3452"/>
    <w:basedOn w:val="Normal"/>
    <w:rsid w:val="00693882"/>
    <w:pP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3453">
    <w:name w:val="xl3453"/>
    <w:basedOn w:val="Normal"/>
    <w:rsid w:val="00693882"/>
    <w:pPr>
      <w:pBdr>
        <w:left w:val="single" w:sz="12" w:space="0" w:color="808080"/>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3454">
    <w:name w:val="xl3454"/>
    <w:basedOn w:val="Normal"/>
    <w:rsid w:val="00693882"/>
    <w:pPr>
      <w:pBdr>
        <w:right w:val="single" w:sz="12" w:space="0" w:color="808080"/>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3455">
    <w:name w:val="xl3455"/>
    <w:basedOn w:val="Normal"/>
    <w:rsid w:val="00693882"/>
    <w:pPr>
      <w:shd w:val="clear" w:color="000000" w:fill="B8CCE4"/>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3456">
    <w:name w:val="xl3456"/>
    <w:basedOn w:val="Normal"/>
    <w:rsid w:val="00693882"/>
    <w:pP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3457">
    <w:name w:val="xl3457"/>
    <w:basedOn w:val="Normal"/>
    <w:rsid w:val="00693882"/>
    <w:pP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1959">
    <w:name w:val="xl1959"/>
    <w:basedOn w:val="Normal"/>
    <w:rsid w:val="00693882"/>
    <w:pPr>
      <w:pBdr>
        <w:top w:val="single" w:sz="12" w:space="0" w:color="4F81BD"/>
      </w:pBdr>
      <w:shd w:val="clear" w:color="000000" w:fill="B8CCE4"/>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960">
    <w:name w:val="xl1960"/>
    <w:basedOn w:val="Normal"/>
    <w:rsid w:val="00693882"/>
    <w:pPr>
      <w:pBdr>
        <w:left w:val="single" w:sz="12" w:space="0" w:color="808080"/>
      </w:pBdr>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961">
    <w:name w:val="xl1961"/>
    <w:basedOn w:val="Normal"/>
    <w:rsid w:val="00693882"/>
    <w:pPr>
      <w:pBdr>
        <w:left w:val="single" w:sz="12" w:space="0" w:color="808080"/>
      </w:pBdr>
      <w:shd w:val="clear" w:color="000000" w:fill="B8CCE4"/>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962">
    <w:name w:val="xl1962"/>
    <w:basedOn w:val="Normal"/>
    <w:rsid w:val="00693882"/>
    <w:pPr>
      <w:shd w:val="clear" w:color="000000" w:fill="B8CCE4"/>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963">
    <w:name w:val="xl1963"/>
    <w:basedOn w:val="Normal"/>
    <w:rsid w:val="00693882"/>
    <w:pPr>
      <w:spacing w:before="100" w:beforeAutospacing="1" w:after="100" w:afterAutospacing="1" w:line="240" w:lineRule="auto"/>
    </w:pPr>
    <w:rPr>
      <w:rFonts w:ascii="Times New Roman" w:hAnsi="Times New Roman"/>
      <w:color w:val="auto"/>
      <w:kern w:val="0"/>
      <w:sz w:val="16"/>
      <w:szCs w:val="16"/>
    </w:rPr>
  </w:style>
  <w:style w:type="paragraph" w:customStyle="1" w:styleId="xl1964">
    <w:name w:val="xl1964"/>
    <w:basedOn w:val="Normal"/>
    <w:rsid w:val="00693882"/>
    <w:pPr>
      <w:shd w:val="clear" w:color="000000" w:fill="244062"/>
      <w:spacing w:before="100" w:beforeAutospacing="1" w:after="100" w:afterAutospacing="1" w:line="240" w:lineRule="auto"/>
      <w:textAlignment w:val="center"/>
    </w:pPr>
    <w:rPr>
      <w:rFonts w:ascii="Times New Roman" w:hAnsi="Times New Roman"/>
      <w:b/>
      <w:bCs/>
      <w:color w:val="FFFFFF"/>
      <w:kern w:val="0"/>
      <w:sz w:val="16"/>
      <w:szCs w:val="16"/>
    </w:rPr>
  </w:style>
  <w:style w:type="paragraph" w:customStyle="1" w:styleId="xl1965">
    <w:name w:val="xl1965"/>
    <w:basedOn w:val="Normal"/>
    <w:rsid w:val="00693882"/>
    <w:pPr>
      <w:pBdr>
        <w:bottom w:val="single" w:sz="12" w:space="0" w:color="4F81BD"/>
      </w:pBdr>
      <w:shd w:val="clear" w:color="000000" w:fill="244062"/>
      <w:spacing w:before="100" w:beforeAutospacing="1" w:after="100" w:afterAutospacing="1" w:line="240" w:lineRule="auto"/>
      <w:textAlignment w:val="center"/>
    </w:pPr>
    <w:rPr>
      <w:rFonts w:ascii="Times New Roman" w:hAnsi="Times New Roman"/>
      <w:b/>
      <w:bCs/>
      <w:color w:val="FFFFFF"/>
      <w:kern w:val="0"/>
      <w:sz w:val="16"/>
      <w:szCs w:val="16"/>
    </w:rPr>
  </w:style>
  <w:style w:type="paragraph" w:customStyle="1" w:styleId="xl1966">
    <w:name w:val="xl1966"/>
    <w:basedOn w:val="Normal"/>
    <w:rsid w:val="00693882"/>
    <w:pPr>
      <w:pBdr>
        <w:left w:val="single" w:sz="12" w:space="0" w:color="808080"/>
        <w:bottom w:val="single" w:sz="12" w:space="0" w:color="808080"/>
      </w:pBd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1967">
    <w:name w:val="xl1967"/>
    <w:basedOn w:val="Normal"/>
    <w:rsid w:val="00693882"/>
    <w:pPr>
      <w:pBdr>
        <w:bottom w:val="single" w:sz="12" w:space="0" w:color="808080"/>
      </w:pBd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1968">
    <w:name w:val="xl1968"/>
    <w:basedOn w:val="Normal"/>
    <w:rsid w:val="00693882"/>
    <w:pPr>
      <w:pBdr>
        <w:bottom w:val="single" w:sz="12" w:space="0" w:color="808080"/>
        <w:right w:val="single" w:sz="12" w:space="0" w:color="808080"/>
      </w:pBd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112">
    <w:name w:val="xl112"/>
    <w:basedOn w:val="Normal"/>
    <w:rsid w:val="00693882"/>
    <w:pP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13">
    <w:name w:val="xl113"/>
    <w:basedOn w:val="Normal"/>
    <w:rsid w:val="00693882"/>
    <w:pP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14">
    <w:name w:val="xl114"/>
    <w:basedOn w:val="Normal"/>
    <w:rsid w:val="00693882"/>
    <w:pP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15">
    <w:name w:val="xl115"/>
    <w:basedOn w:val="Normal"/>
    <w:rsid w:val="00693882"/>
    <w:pP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16">
    <w:name w:val="xl116"/>
    <w:basedOn w:val="Normal"/>
    <w:rsid w:val="00693882"/>
    <w:pPr>
      <w:shd w:val="clear" w:color="000000" w:fill="BDD7EE"/>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117">
    <w:name w:val="xl117"/>
    <w:basedOn w:val="Normal"/>
    <w:rsid w:val="00693882"/>
    <w:pPr>
      <w:shd w:val="clear" w:color="000000" w:fill="BDD7EE"/>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118">
    <w:name w:val="xl118"/>
    <w:basedOn w:val="Normal"/>
    <w:rsid w:val="00693882"/>
    <w:pPr>
      <w:pBdr>
        <w:top w:val="single" w:sz="4" w:space="0" w:color="auto"/>
        <w:left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19">
    <w:name w:val="xl119"/>
    <w:basedOn w:val="Normal"/>
    <w:rsid w:val="00693882"/>
    <w:pPr>
      <w:pBdr>
        <w:top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20">
    <w:name w:val="xl120"/>
    <w:basedOn w:val="Normal"/>
    <w:rsid w:val="00693882"/>
    <w:pPr>
      <w:pBdr>
        <w:top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21">
    <w:name w:val="xl121"/>
    <w:basedOn w:val="Normal"/>
    <w:rsid w:val="00693882"/>
    <w:pPr>
      <w:pBdr>
        <w:top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22">
    <w:name w:val="xl122"/>
    <w:basedOn w:val="Normal"/>
    <w:rsid w:val="00693882"/>
    <w:pPr>
      <w:pBdr>
        <w:top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hAnsi="Times New Roman"/>
      <w:color w:val="auto"/>
      <w:kern w:val="0"/>
      <w:sz w:val="16"/>
      <w:szCs w:val="16"/>
    </w:rPr>
  </w:style>
  <w:style w:type="paragraph" w:customStyle="1" w:styleId="xl123">
    <w:name w:val="xl123"/>
    <w:basedOn w:val="Normal"/>
    <w:rsid w:val="00693882"/>
    <w:pPr>
      <w:pBdr>
        <w:left w:val="single" w:sz="4" w:space="0" w:color="auto"/>
        <w:bottom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24">
    <w:name w:val="xl124"/>
    <w:basedOn w:val="Normal"/>
    <w:rsid w:val="00693882"/>
    <w:pPr>
      <w:pBdr>
        <w:bottom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25">
    <w:name w:val="xl125"/>
    <w:basedOn w:val="Normal"/>
    <w:rsid w:val="00693882"/>
    <w:pPr>
      <w:pBdr>
        <w:bottom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26">
    <w:name w:val="xl126"/>
    <w:basedOn w:val="Normal"/>
    <w:rsid w:val="00693882"/>
    <w:pPr>
      <w:pBdr>
        <w:bottom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27">
    <w:name w:val="xl127"/>
    <w:basedOn w:val="Normal"/>
    <w:rsid w:val="00693882"/>
    <w:pPr>
      <w:pBdr>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hAnsi="Times New Roman"/>
      <w:color w:val="auto"/>
      <w:kern w:val="0"/>
      <w:sz w:val="16"/>
      <w:szCs w:val="16"/>
    </w:rPr>
  </w:style>
  <w:style w:type="paragraph" w:customStyle="1" w:styleId="xl128">
    <w:name w:val="xl128"/>
    <w:basedOn w:val="Normal"/>
    <w:rsid w:val="00693882"/>
    <w:pPr>
      <w:pBdr>
        <w:top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29">
    <w:name w:val="xl129"/>
    <w:basedOn w:val="Normal"/>
    <w:rsid w:val="00693882"/>
    <w:pPr>
      <w:pBdr>
        <w:left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30">
    <w:name w:val="xl130"/>
    <w:basedOn w:val="Normal"/>
    <w:rsid w:val="00693882"/>
    <w:pPr>
      <w:pBdr>
        <w:right w:val="single" w:sz="4" w:space="0" w:color="auto"/>
      </w:pBdr>
      <w:shd w:val="clear" w:color="000000" w:fill="BDD7EE"/>
      <w:spacing w:before="100" w:beforeAutospacing="1" w:after="100" w:afterAutospacing="1" w:line="240" w:lineRule="auto"/>
      <w:jc w:val="right"/>
      <w:textAlignment w:val="center"/>
    </w:pPr>
    <w:rPr>
      <w:rFonts w:ascii="Times New Roman" w:hAnsi="Times New Roman"/>
      <w:color w:val="auto"/>
      <w:kern w:val="0"/>
      <w:sz w:val="16"/>
      <w:szCs w:val="16"/>
    </w:rPr>
  </w:style>
  <w:style w:type="paragraph" w:customStyle="1" w:styleId="xl131">
    <w:name w:val="xl131"/>
    <w:basedOn w:val="Normal"/>
    <w:rsid w:val="00693882"/>
    <w:pPr>
      <w:pBdr>
        <w:left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32">
    <w:name w:val="xl132"/>
    <w:basedOn w:val="Normal"/>
    <w:rsid w:val="00693882"/>
    <w:pPr>
      <w:pBdr>
        <w:left w:val="single" w:sz="4" w:space="0" w:color="auto"/>
        <w:bottom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33">
    <w:name w:val="xl133"/>
    <w:basedOn w:val="Normal"/>
    <w:rsid w:val="00693882"/>
    <w:pPr>
      <w:pBdr>
        <w:bottom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34">
    <w:name w:val="xl134"/>
    <w:basedOn w:val="Normal"/>
    <w:rsid w:val="00693882"/>
    <w:pPr>
      <w:pBdr>
        <w:top w:val="single" w:sz="4" w:space="0" w:color="auto"/>
        <w:left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35">
    <w:name w:val="xl135"/>
    <w:basedOn w:val="Normal"/>
    <w:rsid w:val="00693882"/>
    <w:pPr>
      <w:pBdr>
        <w:top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36">
    <w:name w:val="xl136"/>
    <w:basedOn w:val="Normal"/>
    <w:rsid w:val="00693882"/>
    <w:pPr>
      <w:pBdr>
        <w:left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37">
    <w:name w:val="xl137"/>
    <w:basedOn w:val="Normal"/>
    <w:rsid w:val="00693882"/>
    <w:pPr>
      <w:pBdr>
        <w:left w:val="single" w:sz="4" w:space="0" w:color="auto"/>
        <w:bottom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38">
    <w:name w:val="xl138"/>
    <w:basedOn w:val="Normal"/>
    <w:rsid w:val="00693882"/>
    <w:pPr>
      <w:pBdr>
        <w:bottom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39">
    <w:name w:val="xl139"/>
    <w:basedOn w:val="Normal"/>
    <w:rsid w:val="00693882"/>
    <w:pPr>
      <w:pBdr>
        <w:top w:val="single" w:sz="4" w:space="0" w:color="auto"/>
      </w:pBdr>
      <w:shd w:val="clear" w:color="000000" w:fill="BDD7EE"/>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140">
    <w:name w:val="xl140"/>
    <w:basedOn w:val="Normal"/>
    <w:rsid w:val="00693882"/>
    <w:pPr>
      <w:pBdr>
        <w:top w:val="single" w:sz="4" w:space="0" w:color="auto"/>
      </w:pBdr>
      <w:shd w:val="clear" w:color="000000" w:fill="BDD7EE"/>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141">
    <w:name w:val="xl141"/>
    <w:basedOn w:val="Normal"/>
    <w:rsid w:val="00693882"/>
    <w:pPr>
      <w:pBdr>
        <w:bottom w:val="single" w:sz="4" w:space="0" w:color="auto"/>
      </w:pBdr>
      <w:shd w:val="clear" w:color="000000" w:fill="BDD7EE"/>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142">
    <w:name w:val="xl142"/>
    <w:basedOn w:val="Normal"/>
    <w:rsid w:val="00693882"/>
    <w:pPr>
      <w:pBdr>
        <w:bottom w:val="single" w:sz="4" w:space="0" w:color="auto"/>
      </w:pBdr>
      <w:shd w:val="clear" w:color="000000" w:fill="BDD7EE"/>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143">
    <w:name w:val="xl143"/>
    <w:basedOn w:val="Normal"/>
    <w:rsid w:val="00693882"/>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44">
    <w:name w:val="xl144"/>
    <w:basedOn w:val="Normal"/>
    <w:rsid w:val="00693882"/>
    <w:pPr>
      <w:pBdr>
        <w:top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45">
    <w:name w:val="xl145"/>
    <w:basedOn w:val="Normal"/>
    <w:rsid w:val="00693882"/>
    <w:pPr>
      <w:pBdr>
        <w:top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46">
    <w:name w:val="xl146"/>
    <w:basedOn w:val="Normal"/>
    <w:rsid w:val="00693882"/>
    <w:pPr>
      <w:pBdr>
        <w:lef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47">
    <w:name w:val="xl147"/>
    <w:basedOn w:val="Normal"/>
    <w:rsid w:val="00693882"/>
    <w:pP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48">
    <w:name w:val="xl148"/>
    <w:basedOn w:val="Normal"/>
    <w:rsid w:val="00693882"/>
    <w:pP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49">
    <w:name w:val="xl149"/>
    <w:basedOn w:val="Normal"/>
    <w:rsid w:val="00693882"/>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50">
    <w:name w:val="xl150"/>
    <w:basedOn w:val="Normal"/>
    <w:rsid w:val="00693882"/>
    <w:pPr>
      <w:pBdr>
        <w:bottom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51">
    <w:name w:val="xl151"/>
    <w:basedOn w:val="Normal"/>
    <w:rsid w:val="00693882"/>
    <w:pPr>
      <w:pBdr>
        <w:bottom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52">
    <w:name w:val="xl152"/>
    <w:basedOn w:val="Normal"/>
    <w:rsid w:val="00693882"/>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53">
    <w:name w:val="xl153"/>
    <w:basedOn w:val="Normal"/>
    <w:rsid w:val="00693882"/>
    <w:pPr>
      <w:pBdr>
        <w:top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54">
    <w:name w:val="xl154"/>
    <w:basedOn w:val="Normal"/>
    <w:rsid w:val="00693882"/>
    <w:pPr>
      <w:pBdr>
        <w:lef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55">
    <w:name w:val="xl155"/>
    <w:basedOn w:val="Normal"/>
    <w:rsid w:val="00693882"/>
    <w:pP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56">
    <w:name w:val="xl156"/>
    <w:basedOn w:val="Normal"/>
    <w:rsid w:val="00693882"/>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57">
    <w:name w:val="xl157"/>
    <w:basedOn w:val="Normal"/>
    <w:rsid w:val="00693882"/>
    <w:pPr>
      <w:pBdr>
        <w:bottom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58">
    <w:name w:val="xl158"/>
    <w:basedOn w:val="Normal"/>
    <w:rsid w:val="00693882"/>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59">
    <w:name w:val="xl159"/>
    <w:basedOn w:val="Normal"/>
    <w:rsid w:val="00693882"/>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60">
    <w:name w:val="xl160"/>
    <w:basedOn w:val="Normal"/>
    <w:rsid w:val="0069388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hAnsi="Times New Roman"/>
      <w:color w:val="auto"/>
      <w:kern w:val="0"/>
      <w:sz w:val="16"/>
      <w:szCs w:val="16"/>
    </w:rPr>
  </w:style>
  <w:style w:type="paragraph" w:customStyle="1" w:styleId="xl161">
    <w:name w:val="xl161"/>
    <w:basedOn w:val="Normal"/>
    <w:rsid w:val="00693882"/>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162">
    <w:name w:val="xl162"/>
    <w:basedOn w:val="Normal"/>
    <w:rsid w:val="00693882"/>
    <w:pPr>
      <w:pBdr>
        <w:top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163">
    <w:name w:val="xl163"/>
    <w:basedOn w:val="Normal"/>
    <w:rsid w:val="00693882"/>
    <w:pPr>
      <w:pBdr>
        <w:lef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164">
    <w:name w:val="xl164"/>
    <w:basedOn w:val="Normal"/>
    <w:rsid w:val="00693882"/>
    <w:pPr>
      <w:shd w:val="clear" w:color="000000" w:fill="FFFFFF"/>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165">
    <w:name w:val="xl165"/>
    <w:basedOn w:val="Normal"/>
    <w:rsid w:val="00693882"/>
    <w:pPr>
      <w:pBdr>
        <w:lef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166">
    <w:name w:val="xl166"/>
    <w:basedOn w:val="Normal"/>
    <w:rsid w:val="00693882"/>
    <w:pPr>
      <w:shd w:val="clear" w:color="000000" w:fill="FFFFFF"/>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167">
    <w:name w:val="xl167"/>
    <w:basedOn w:val="Normal"/>
    <w:rsid w:val="00693882"/>
    <w:pPr>
      <w:shd w:val="clear" w:color="000000" w:fill="FFFFFF"/>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168">
    <w:name w:val="xl168"/>
    <w:basedOn w:val="Normal"/>
    <w:rsid w:val="00693882"/>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169">
    <w:name w:val="xl169"/>
    <w:basedOn w:val="Normal"/>
    <w:rsid w:val="00693882"/>
    <w:pPr>
      <w:pBdr>
        <w:bottom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170">
    <w:name w:val="xl170"/>
    <w:basedOn w:val="Normal"/>
    <w:rsid w:val="00693882"/>
    <w:pPr>
      <w:pBdr>
        <w:bottom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171">
    <w:name w:val="xl171"/>
    <w:basedOn w:val="Normal"/>
    <w:rsid w:val="00693882"/>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72">
    <w:name w:val="xl172"/>
    <w:basedOn w:val="Normal"/>
    <w:rsid w:val="00693882"/>
    <w:pPr>
      <w:pBdr>
        <w:lef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73">
    <w:name w:val="xl173"/>
    <w:basedOn w:val="Normal"/>
    <w:rsid w:val="00693882"/>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74">
    <w:name w:val="xl174"/>
    <w:basedOn w:val="Normal"/>
    <w:rsid w:val="00693882"/>
    <w:pPr>
      <w:pBdr>
        <w:top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75">
    <w:name w:val="xl175"/>
    <w:basedOn w:val="Normal"/>
    <w:rsid w:val="00693882"/>
    <w:pPr>
      <w:pBdr>
        <w:top w:val="single" w:sz="4" w:space="0" w:color="auto"/>
        <w:left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76">
    <w:name w:val="xl176"/>
    <w:basedOn w:val="Normal"/>
    <w:rsid w:val="00693882"/>
    <w:pPr>
      <w:pBdr>
        <w:left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77">
    <w:name w:val="xl177"/>
    <w:basedOn w:val="Normal"/>
    <w:rsid w:val="00693882"/>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78">
    <w:name w:val="xl178"/>
    <w:basedOn w:val="Normal"/>
    <w:rsid w:val="00693882"/>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179">
    <w:name w:val="xl179"/>
    <w:basedOn w:val="Normal"/>
    <w:rsid w:val="00693882"/>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180">
    <w:name w:val="xl180"/>
    <w:basedOn w:val="Normal"/>
    <w:rsid w:val="00693882"/>
    <w:pPr>
      <w:pBdr>
        <w:left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81">
    <w:name w:val="xl181"/>
    <w:basedOn w:val="Normal"/>
    <w:rsid w:val="00693882"/>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82">
    <w:name w:val="xl182"/>
    <w:basedOn w:val="Normal"/>
    <w:rsid w:val="00693882"/>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83">
    <w:name w:val="xl183"/>
    <w:basedOn w:val="Normal"/>
    <w:rsid w:val="00693882"/>
    <w:pPr>
      <w:pBdr>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84">
    <w:name w:val="xl184"/>
    <w:basedOn w:val="Normal"/>
    <w:rsid w:val="00693882"/>
    <w:pPr>
      <w:pBdr>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85">
    <w:name w:val="xl185"/>
    <w:basedOn w:val="Normal"/>
    <w:rsid w:val="00693882"/>
    <w:pPr>
      <w:pBdr>
        <w:top w:val="single" w:sz="4" w:space="0" w:color="auto"/>
        <w:left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86">
    <w:name w:val="xl186"/>
    <w:basedOn w:val="Normal"/>
    <w:rsid w:val="00693882"/>
    <w:pPr>
      <w:pBdr>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87">
    <w:name w:val="xl187"/>
    <w:basedOn w:val="Normal"/>
    <w:rsid w:val="0069388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88">
    <w:name w:val="xl188"/>
    <w:basedOn w:val="Normal"/>
    <w:rsid w:val="00693882"/>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89">
    <w:name w:val="xl189"/>
    <w:basedOn w:val="Normal"/>
    <w:rsid w:val="0069388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90">
    <w:name w:val="xl190"/>
    <w:basedOn w:val="Normal"/>
    <w:rsid w:val="00693882"/>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91">
    <w:name w:val="xl191"/>
    <w:basedOn w:val="Normal"/>
    <w:rsid w:val="00693882"/>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92">
    <w:name w:val="xl192"/>
    <w:basedOn w:val="Normal"/>
    <w:rsid w:val="0069388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hAnsi="Times New Roman"/>
      <w:color w:val="auto"/>
      <w:kern w:val="0"/>
      <w:sz w:val="16"/>
      <w:szCs w:val="16"/>
    </w:rPr>
  </w:style>
  <w:style w:type="paragraph" w:customStyle="1" w:styleId="xl193">
    <w:name w:val="xl193"/>
    <w:basedOn w:val="Normal"/>
    <w:rsid w:val="00693882"/>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hAnsi="Times New Roman"/>
      <w:color w:val="auto"/>
      <w:kern w:val="0"/>
      <w:sz w:val="16"/>
      <w:szCs w:val="16"/>
    </w:rPr>
  </w:style>
  <w:style w:type="paragraph" w:customStyle="1" w:styleId="xl194">
    <w:name w:val="xl194"/>
    <w:basedOn w:val="Normal"/>
    <w:rsid w:val="0069388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hAnsi="Times New Roman"/>
      <w:color w:val="auto"/>
      <w:kern w:val="0"/>
      <w:sz w:val="16"/>
      <w:szCs w:val="16"/>
    </w:rPr>
  </w:style>
  <w:style w:type="paragraph" w:customStyle="1" w:styleId="xl195">
    <w:name w:val="xl195"/>
    <w:basedOn w:val="Normal"/>
    <w:rsid w:val="00693882"/>
    <w:pPr>
      <w:pBdr>
        <w:top w:val="single" w:sz="4" w:space="0" w:color="auto"/>
        <w:left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96">
    <w:name w:val="xl196"/>
    <w:basedOn w:val="Normal"/>
    <w:rsid w:val="00693882"/>
    <w:pPr>
      <w:pBdr>
        <w:left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97">
    <w:name w:val="xl197"/>
    <w:basedOn w:val="Normal"/>
    <w:rsid w:val="00693882"/>
    <w:pPr>
      <w:pBdr>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98">
    <w:name w:val="xl198"/>
    <w:basedOn w:val="Normal"/>
    <w:rsid w:val="0069388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199">
    <w:name w:val="xl199"/>
    <w:basedOn w:val="Normal"/>
    <w:rsid w:val="00693882"/>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200">
    <w:name w:val="xl200"/>
    <w:basedOn w:val="Normal"/>
    <w:rsid w:val="0069388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01">
    <w:name w:val="xl201"/>
    <w:basedOn w:val="Normal"/>
    <w:rsid w:val="00693882"/>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02">
    <w:name w:val="xl202"/>
    <w:basedOn w:val="Normal"/>
    <w:rsid w:val="00693882"/>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03">
    <w:name w:val="xl203"/>
    <w:basedOn w:val="Normal"/>
    <w:rsid w:val="0069388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hAnsi="Times New Roman"/>
      <w:color w:val="000000"/>
      <w:kern w:val="0"/>
      <w:sz w:val="16"/>
      <w:szCs w:val="16"/>
    </w:rPr>
  </w:style>
  <w:style w:type="paragraph" w:customStyle="1" w:styleId="xl204">
    <w:name w:val="xl204"/>
    <w:basedOn w:val="Normal"/>
    <w:rsid w:val="00693882"/>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hAnsi="Times New Roman"/>
      <w:color w:val="000000"/>
      <w:kern w:val="0"/>
      <w:sz w:val="16"/>
      <w:szCs w:val="16"/>
    </w:rPr>
  </w:style>
  <w:style w:type="paragraph" w:customStyle="1" w:styleId="xl205">
    <w:name w:val="xl205"/>
    <w:basedOn w:val="Normal"/>
    <w:rsid w:val="00693882"/>
    <w:pPr>
      <w:pBdr>
        <w:top w:val="single" w:sz="4" w:space="0" w:color="auto"/>
        <w:left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hAnsi="Times New Roman"/>
      <w:color w:val="auto"/>
      <w:kern w:val="0"/>
      <w:sz w:val="16"/>
      <w:szCs w:val="16"/>
    </w:rPr>
  </w:style>
  <w:style w:type="paragraph" w:customStyle="1" w:styleId="xl206">
    <w:name w:val="xl206"/>
    <w:basedOn w:val="Normal"/>
    <w:rsid w:val="00693882"/>
    <w:pPr>
      <w:pBdr>
        <w:left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hAnsi="Times New Roman"/>
      <w:color w:val="auto"/>
      <w:kern w:val="0"/>
      <w:sz w:val="16"/>
      <w:szCs w:val="16"/>
    </w:rPr>
  </w:style>
  <w:style w:type="paragraph" w:customStyle="1" w:styleId="xl207">
    <w:name w:val="xl207"/>
    <w:basedOn w:val="Normal"/>
    <w:rsid w:val="00693882"/>
    <w:pPr>
      <w:pBdr>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hAnsi="Times New Roman"/>
      <w:color w:val="auto"/>
      <w:kern w:val="0"/>
      <w:sz w:val="16"/>
      <w:szCs w:val="16"/>
    </w:rPr>
  </w:style>
  <w:style w:type="paragraph" w:customStyle="1" w:styleId="xl208">
    <w:name w:val="xl208"/>
    <w:basedOn w:val="Normal"/>
    <w:rsid w:val="00693882"/>
    <w:pPr>
      <w:pBdr>
        <w:top w:val="single" w:sz="4" w:space="0" w:color="auto"/>
        <w:left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09">
    <w:name w:val="xl209"/>
    <w:basedOn w:val="Normal"/>
    <w:rsid w:val="00693882"/>
    <w:pPr>
      <w:pBdr>
        <w:left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10">
    <w:name w:val="xl210"/>
    <w:basedOn w:val="Normal"/>
    <w:rsid w:val="00693882"/>
    <w:pPr>
      <w:pBdr>
        <w:left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11">
    <w:name w:val="xl211"/>
    <w:basedOn w:val="Normal"/>
    <w:rsid w:val="00693882"/>
    <w:pPr>
      <w:pBdr>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12">
    <w:name w:val="xl212"/>
    <w:basedOn w:val="Normal"/>
    <w:rsid w:val="00693882"/>
    <w:pPr>
      <w:pBdr>
        <w:top w:val="single" w:sz="4" w:space="0" w:color="auto"/>
        <w:left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13">
    <w:name w:val="xl213"/>
    <w:basedOn w:val="Normal"/>
    <w:rsid w:val="006938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14">
    <w:name w:val="xl214"/>
    <w:basedOn w:val="Normal"/>
    <w:rsid w:val="006938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15">
    <w:name w:val="xl215"/>
    <w:basedOn w:val="Normal"/>
    <w:rsid w:val="00693882"/>
    <w:pPr>
      <w:pBdr>
        <w:top w:val="single" w:sz="4" w:space="0" w:color="auto"/>
        <w:left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216">
    <w:name w:val="xl216"/>
    <w:basedOn w:val="Normal"/>
    <w:rsid w:val="00693882"/>
    <w:pPr>
      <w:pBdr>
        <w:left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217">
    <w:name w:val="xl217"/>
    <w:basedOn w:val="Normal"/>
    <w:rsid w:val="00693882"/>
    <w:pPr>
      <w:pBdr>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218">
    <w:name w:val="xl218"/>
    <w:basedOn w:val="Normal"/>
    <w:rsid w:val="00693882"/>
    <w:pPr>
      <w:pBdr>
        <w:top w:val="single" w:sz="4" w:space="0" w:color="auto"/>
        <w:left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19">
    <w:name w:val="xl219"/>
    <w:basedOn w:val="Normal"/>
    <w:rsid w:val="00693882"/>
    <w:pPr>
      <w:pBdr>
        <w:left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20">
    <w:name w:val="xl220"/>
    <w:basedOn w:val="Normal"/>
    <w:rsid w:val="0069388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21">
    <w:name w:val="xl221"/>
    <w:basedOn w:val="Normal"/>
    <w:rsid w:val="00693882"/>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22">
    <w:name w:val="xl222"/>
    <w:basedOn w:val="Normal"/>
    <w:rsid w:val="0069388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23">
    <w:name w:val="xl223"/>
    <w:basedOn w:val="Normal"/>
    <w:rsid w:val="00693882"/>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24">
    <w:name w:val="xl224"/>
    <w:basedOn w:val="Normal"/>
    <w:rsid w:val="0069388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25">
    <w:name w:val="xl225"/>
    <w:basedOn w:val="Normal"/>
    <w:rsid w:val="00693882"/>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26">
    <w:name w:val="xl226"/>
    <w:basedOn w:val="Normal"/>
    <w:rsid w:val="00693882"/>
    <w:pP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27">
    <w:name w:val="xl227"/>
    <w:basedOn w:val="Normal"/>
    <w:rsid w:val="00693882"/>
    <w:pPr>
      <w:pBdr>
        <w:left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28">
    <w:name w:val="xl228"/>
    <w:basedOn w:val="Normal"/>
    <w:rsid w:val="00693882"/>
    <w:pPr>
      <w:shd w:val="clear" w:color="000000" w:fill="BFBFBF"/>
      <w:spacing w:before="100" w:beforeAutospacing="1" w:after="100" w:afterAutospacing="1" w:line="240" w:lineRule="auto"/>
      <w:textAlignment w:val="center"/>
    </w:pPr>
    <w:rPr>
      <w:rFonts w:ascii="Times New Roman" w:hAnsi="Times New Roman"/>
      <w:b/>
      <w:bCs/>
      <w:color w:val="auto"/>
      <w:kern w:val="0"/>
      <w:sz w:val="16"/>
      <w:szCs w:val="16"/>
    </w:rPr>
  </w:style>
  <w:style w:type="paragraph" w:customStyle="1" w:styleId="xl229">
    <w:name w:val="xl229"/>
    <w:basedOn w:val="Normal"/>
    <w:rsid w:val="00693882"/>
    <w:pPr>
      <w:shd w:val="clear" w:color="000000" w:fill="BFBFBF"/>
      <w:spacing w:before="100" w:beforeAutospacing="1" w:after="100" w:afterAutospacing="1" w:line="240" w:lineRule="auto"/>
      <w:textAlignment w:val="center"/>
    </w:pPr>
    <w:rPr>
      <w:rFonts w:ascii="Times New Roman" w:hAnsi="Times New Roman"/>
      <w:b/>
      <w:bCs/>
      <w:color w:val="auto"/>
      <w:kern w:val="0"/>
      <w:sz w:val="16"/>
      <w:szCs w:val="16"/>
    </w:rPr>
  </w:style>
  <w:style w:type="paragraph" w:customStyle="1" w:styleId="xl230">
    <w:name w:val="xl230"/>
    <w:basedOn w:val="Normal"/>
    <w:rsid w:val="00693882"/>
    <w:pPr>
      <w:pBdr>
        <w:top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hAnsi="Times New Roman"/>
      <w:color w:val="auto"/>
      <w:kern w:val="0"/>
      <w:sz w:val="16"/>
      <w:szCs w:val="16"/>
    </w:rPr>
  </w:style>
  <w:style w:type="paragraph" w:customStyle="1" w:styleId="xl231">
    <w:name w:val="xl231"/>
    <w:basedOn w:val="Normal"/>
    <w:rsid w:val="00693882"/>
    <w:pPr>
      <w:pBdr>
        <w:right w:val="single" w:sz="4" w:space="0" w:color="auto"/>
      </w:pBdr>
      <w:shd w:val="clear" w:color="000000" w:fill="FFFFFF"/>
      <w:spacing w:before="100" w:beforeAutospacing="1" w:after="100" w:afterAutospacing="1" w:line="240" w:lineRule="auto"/>
      <w:jc w:val="right"/>
      <w:textAlignment w:val="center"/>
    </w:pPr>
    <w:rPr>
      <w:rFonts w:ascii="Times New Roman" w:hAnsi="Times New Roman"/>
      <w:color w:val="auto"/>
      <w:kern w:val="0"/>
      <w:sz w:val="16"/>
      <w:szCs w:val="16"/>
    </w:rPr>
  </w:style>
  <w:style w:type="paragraph" w:customStyle="1" w:styleId="xl232">
    <w:name w:val="xl232"/>
    <w:basedOn w:val="Normal"/>
    <w:rsid w:val="00693882"/>
    <w:pPr>
      <w:pBdr>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hAnsi="Times New Roman"/>
      <w:color w:val="auto"/>
      <w:kern w:val="0"/>
      <w:sz w:val="16"/>
      <w:szCs w:val="16"/>
    </w:rPr>
  </w:style>
  <w:style w:type="paragraph" w:customStyle="1" w:styleId="xl233">
    <w:name w:val="xl233"/>
    <w:basedOn w:val="Normal"/>
    <w:rsid w:val="00693882"/>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34">
    <w:name w:val="xl234"/>
    <w:basedOn w:val="Normal"/>
    <w:rsid w:val="00693882"/>
    <w:pPr>
      <w:pBdr>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35">
    <w:name w:val="xl235"/>
    <w:basedOn w:val="Normal"/>
    <w:rsid w:val="00693882"/>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36">
    <w:name w:val="xl236"/>
    <w:basedOn w:val="Normal"/>
    <w:rsid w:val="00693882"/>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37">
    <w:name w:val="xl237"/>
    <w:basedOn w:val="Normal"/>
    <w:rsid w:val="00693882"/>
    <w:pPr>
      <w:pBdr>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38">
    <w:name w:val="xl238"/>
    <w:basedOn w:val="Normal"/>
    <w:rsid w:val="00693882"/>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39">
    <w:name w:val="xl239"/>
    <w:basedOn w:val="Normal"/>
    <w:rsid w:val="00693882"/>
    <w:pPr>
      <w:pBdr>
        <w:top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olor w:val="auto"/>
      <w:kern w:val="0"/>
      <w:sz w:val="16"/>
      <w:szCs w:val="16"/>
    </w:rPr>
  </w:style>
  <w:style w:type="paragraph" w:customStyle="1" w:styleId="xl240">
    <w:name w:val="xl240"/>
    <w:basedOn w:val="Normal"/>
    <w:rsid w:val="00693882"/>
    <w:pPr>
      <w:pBdr>
        <w:right w:val="single" w:sz="4" w:space="0" w:color="auto"/>
      </w:pBdr>
      <w:shd w:val="clear" w:color="000000" w:fill="FFFFFF"/>
      <w:spacing w:before="100" w:beforeAutospacing="1" w:after="100" w:afterAutospacing="1" w:line="240" w:lineRule="auto"/>
    </w:pPr>
    <w:rPr>
      <w:rFonts w:ascii="Times New Roman" w:hAnsi="Times New Roman"/>
      <w:color w:val="auto"/>
      <w:kern w:val="0"/>
      <w:sz w:val="16"/>
      <w:szCs w:val="16"/>
    </w:rPr>
  </w:style>
  <w:style w:type="paragraph" w:customStyle="1" w:styleId="xl241">
    <w:name w:val="xl241"/>
    <w:basedOn w:val="Normal"/>
    <w:rsid w:val="00693882"/>
    <w:pPr>
      <w:pBdr>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olor w:val="auto"/>
      <w:kern w:val="0"/>
      <w:sz w:val="16"/>
      <w:szCs w:val="16"/>
    </w:rPr>
  </w:style>
  <w:style w:type="paragraph" w:customStyle="1" w:styleId="xl242">
    <w:name w:val="xl242"/>
    <w:basedOn w:val="Normal"/>
    <w:rsid w:val="00693882"/>
    <w:pPr>
      <w:pBdr>
        <w:top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olor w:val="auto"/>
      <w:kern w:val="0"/>
      <w:sz w:val="16"/>
      <w:szCs w:val="16"/>
    </w:rPr>
  </w:style>
  <w:style w:type="paragraph" w:customStyle="1" w:styleId="xl243">
    <w:name w:val="xl243"/>
    <w:basedOn w:val="Normal"/>
    <w:rsid w:val="00693882"/>
    <w:pPr>
      <w:pBdr>
        <w:right w:val="single" w:sz="4" w:space="0" w:color="auto"/>
      </w:pBdr>
      <w:shd w:val="clear" w:color="000000" w:fill="FFFFFF"/>
      <w:spacing w:before="100" w:beforeAutospacing="1" w:after="100" w:afterAutospacing="1" w:line="240" w:lineRule="auto"/>
    </w:pPr>
    <w:rPr>
      <w:rFonts w:ascii="Times New Roman" w:hAnsi="Times New Roman"/>
      <w:color w:val="auto"/>
      <w:kern w:val="0"/>
      <w:sz w:val="16"/>
      <w:szCs w:val="16"/>
    </w:rPr>
  </w:style>
  <w:style w:type="paragraph" w:customStyle="1" w:styleId="xl244">
    <w:name w:val="xl244"/>
    <w:basedOn w:val="Normal"/>
    <w:rsid w:val="00693882"/>
    <w:pPr>
      <w:pBdr>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olor w:val="auto"/>
      <w:kern w:val="0"/>
      <w:sz w:val="16"/>
      <w:szCs w:val="16"/>
    </w:rPr>
  </w:style>
  <w:style w:type="paragraph" w:customStyle="1" w:styleId="xl245">
    <w:name w:val="xl245"/>
    <w:basedOn w:val="Normal"/>
    <w:rsid w:val="00693882"/>
    <w:pPr>
      <w:pBdr>
        <w:top w:val="single" w:sz="4" w:space="0" w:color="auto"/>
        <w:right w:val="single" w:sz="4" w:space="0" w:color="auto"/>
      </w:pBdr>
      <w:shd w:val="clear" w:color="000000" w:fill="FFFFFF"/>
      <w:spacing w:before="100" w:beforeAutospacing="1" w:after="100" w:afterAutospacing="1" w:line="240" w:lineRule="auto"/>
    </w:pPr>
    <w:rPr>
      <w:rFonts w:ascii="Tahoma" w:hAnsi="Tahoma" w:cs="Tahoma"/>
      <w:color w:val="000000"/>
      <w:kern w:val="0"/>
      <w:sz w:val="16"/>
      <w:szCs w:val="16"/>
    </w:rPr>
  </w:style>
  <w:style w:type="paragraph" w:customStyle="1" w:styleId="xl246">
    <w:name w:val="xl246"/>
    <w:basedOn w:val="Normal"/>
    <w:rsid w:val="00693882"/>
    <w:pPr>
      <w:pBdr>
        <w:right w:val="single" w:sz="4" w:space="0" w:color="auto"/>
      </w:pBdr>
      <w:shd w:val="clear" w:color="000000" w:fill="FFFFFF"/>
      <w:spacing w:before="100" w:beforeAutospacing="1" w:after="100" w:afterAutospacing="1" w:line="240" w:lineRule="auto"/>
    </w:pPr>
    <w:rPr>
      <w:rFonts w:ascii="Tahoma" w:hAnsi="Tahoma" w:cs="Tahoma"/>
      <w:color w:val="000000"/>
      <w:kern w:val="0"/>
      <w:sz w:val="16"/>
      <w:szCs w:val="16"/>
    </w:rPr>
  </w:style>
  <w:style w:type="paragraph" w:customStyle="1" w:styleId="xl247">
    <w:name w:val="xl247"/>
    <w:basedOn w:val="Normal"/>
    <w:rsid w:val="00693882"/>
    <w:pPr>
      <w:pBdr>
        <w:top w:val="single" w:sz="4" w:space="0" w:color="auto"/>
        <w:left w:val="single" w:sz="4" w:space="0" w:color="auto"/>
      </w:pBdr>
      <w:shd w:val="clear" w:color="000000" w:fill="BDD7EE"/>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248">
    <w:name w:val="xl248"/>
    <w:basedOn w:val="Normal"/>
    <w:rsid w:val="00693882"/>
    <w:pPr>
      <w:pBdr>
        <w:left w:val="single" w:sz="4" w:space="0" w:color="auto"/>
        <w:bottom w:val="single" w:sz="4" w:space="0" w:color="auto"/>
      </w:pBdr>
      <w:shd w:val="clear" w:color="000000" w:fill="BDD7EE"/>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249">
    <w:name w:val="xl249"/>
    <w:basedOn w:val="Normal"/>
    <w:rsid w:val="0069388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250">
    <w:name w:val="xl250"/>
    <w:basedOn w:val="Normal"/>
    <w:rsid w:val="00693882"/>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251">
    <w:name w:val="xl251"/>
    <w:basedOn w:val="Normal"/>
    <w:rsid w:val="00693882"/>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252">
    <w:name w:val="xl252"/>
    <w:basedOn w:val="Normal"/>
    <w:rsid w:val="00693882"/>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253">
    <w:name w:val="xl253"/>
    <w:basedOn w:val="Normal"/>
    <w:rsid w:val="00693882"/>
    <w:pPr>
      <w:pBdr>
        <w:left w:val="single" w:sz="4" w:space="0" w:color="auto"/>
      </w:pBdr>
      <w:shd w:val="clear" w:color="000000" w:fill="BDD7EE"/>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254">
    <w:name w:val="xl254"/>
    <w:basedOn w:val="Normal"/>
    <w:rsid w:val="00693882"/>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255">
    <w:name w:val="xl255"/>
    <w:basedOn w:val="Normal"/>
    <w:rsid w:val="00693882"/>
    <w:pPr>
      <w:pBdr>
        <w:lef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256">
    <w:name w:val="xl256"/>
    <w:basedOn w:val="Normal"/>
    <w:rsid w:val="00693882"/>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257">
    <w:name w:val="xl257"/>
    <w:basedOn w:val="Normal"/>
    <w:rsid w:val="00693882"/>
    <w:pPr>
      <w:shd w:val="clear" w:color="000000" w:fill="BFBFBF"/>
      <w:spacing w:before="100" w:beforeAutospacing="1" w:after="100" w:afterAutospacing="1" w:line="240" w:lineRule="auto"/>
      <w:jc w:val="right"/>
      <w:textAlignment w:val="center"/>
    </w:pPr>
    <w:rPr>
      <w:rFonts w:ascii="Times New Roman" w:hAnsi="Times New Roman"/>
      <w:b/>
      <w:bCs/>
      <w:color w:val="auto"/>
      <w:kern w:val="0"/>
      <w:sz w:val="16"/>
      <w:szCs w:val="16"/>
    </w:rPr>
  </w:style>
  <w:style w:type="paragraph" w:customStyle="1" w:styleId="xl258">
    <w:name w:val="xl258"/>
    <w:basedOn w:val="Normal"/>
    <w:rsid w:val="00693882"/>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59">
    <w:name w:val="xl259"/>
    <w:basedOn w:val="Normal"/>
    <w:rsid w:val="00693882"/>
    <w:pPr>
      <w:pBdr>
        <w:left w:val="single" w:sz="4" w:space="0" w:color="auto"/>
      </w:pBdr>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60">
    <w:name w:val="xl260"/>
    <w:basedOn w:val="Normal"/>
    <w:rsid w:val="00693882"/>
    <w:pPr>
      <w:pBdr>
        <w:left w:val="single" w:sz="4" w:space="0" w:color="auto"/>
        <w:bottom w:val="single" w:sz="4" w:space="0" w:color="auto"/>
      </w:pBdr>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61">
    <w:name w:val="xl261"/>
    <w:basedOn w:val="Normal"/>
    <w:rsid w:val="00693882"/>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262">
    <w:name w:val="xl262"/>
    <w:basedOn w:val="Normal"/>
    <w:rsid w:val="00693882"/>
    <w:pPr>
      <w:pBdr>
        <w:left w:val="single" w:sz="4" w:space="0" w:color="auto"/>
      </w:pBdr>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263">
    <w:name w:val="xl263"/>
    <w:basedOn w:val="Normal"/>
    <w:rsid w:val="00693882"/>
    <w:pPr>
      <w:pBdr>
        <w:left w:val="single" w:sz="4" w:space="0" w:color="auto"/>
        <w:bottom w:val="single" w:sz="4" w:space="0" w:color="auto"/>
      </w:pBdr>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1983">
    <w:name w:val="xl1983"/>
    <w:basedOn w:val="Normal"/>
    <w:rsid w:val="00693882"/>
    <w:pPr>
      <w:spacing w:before="100" w:beforeAutospacing="1" w:after="100" w:afterAutospacing="1" w:line="240" w:lineRule="auto"/>
    </w:pPr>
    <w:rPr>
      <w:rFonts w:ascii="Times New Roman" w:hAnsi="Times New Roman"/>
      <w:color w:val="auto"/>
      <w:kern w:val="0"/>
      <w:sz w:val="16"/>
      <w:szCs w:val="16"/>
    </w:rPr>
  </w:style>
  <w:style w:type="paragraph" w:customStyle="1" w:styleId="xl1984">
    <w:name w:val="xl1984"/>
    <w:basedOn w:val="Normal"/>
    <w:rsid w:val="00693882"/>
    <w:pPr>
      <w:shd w:val="clear" w:color="000000" w:fill="B8CCE4"/>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985">
    <w:name w:val="xl1985"/>
    <w:basedOn w:val="Normal"/>
    <w:rsid w:val="00693882"/>
    <w:pPr>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1986">
    <w:name w:val="xl1986"/>
    <w:basedOn w:val="Normal"/>
    <w:rsid w:val="00693882"/>
    <w:pPr>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987">
    <w:name w:val="xl1987"/>
    <w:basedOn w:val="Normal"/>
    <w:rsid w:val="00693882"/>
    <w:pPr>
      <w:pBdr>
        <w:top w:val="single" w:sz="12" w:space="0" w:color="4F81BD"/>
      </w:pBdr>
      <w:shd w:val="clear" w:color="000000" w:fill="B8CCE4"/>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988">
    <w:name w:val="xl1988"/>
    <w:basedOn w:val="Normal"/>
    <w:rsid w:val="00693882"/>
    <w:pPr>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1989">
    <w:name w:val="xl1989"/>
    <w:basedOn w:val="Normal"/>
    <w:rsid w:val="00693882"/>
    <w:pPr>
      <w:spacing w:before="100" w:beforeAutospacing="1" w:after="100" w:afterAutospacing="1" w:line="240" w:lineRule="auto"/>
      <w:jc w:val="right"/>
      <w:textAlignment w:val="center"/>
    </w:pPr>
    <w:rPr>
      <w:rFonts w:ascii="Times New Roman" w:hAnsi="Times New Roman"/>
      <w:color w:val="auto"/>
      <w:kern w:val="0"/>
      <w:sz w:val="16"/>
      <w:szCs w:val="16"/>
    </w:rPr>
  </w:style>
  <w:style w:type="paragraph" w:customStyle="1" w:styleId="xl1990">
    <w:name w:val="xl1990"/>
    <w:basedOn w:val="Normal"/>
    <w:rsid w:val="00693882"/>
    <w:pPr>
      <w:shd w:val="clear" w:color="000000" w:fill="B8CCE4"/>
      <w:spacing w:before="100" w:beforeAutospacing="1" w:after="100" w:afterAutospacing="1" w:line="240" w:lineRule="auto"/>
      <w:jc w:val="right"/>
      <w:textAlignment w:val="center"/>
    </w:pPr>
    <w:rPr>
      <w:rFonts w:ascii="Times New Roman" w:hAnsi="Times New Roman"/>
      <w:color w:val="auto"/>
      <w:kern w:val="0"/>
      <w:sz w:val="16"/>
      <w:szCs w:val="16"/>
    </w:rPr>
  </w:style>
  <w:style w:type="paragraph" w:customStyle="1" w:styleId="xl1991">
    <w:name w:val="xl1991"/>
    <w:basedOn w:val="Normal"/>
    <w:rsid w:val="00693882"/>
    <w:pPr>
      <w:pBdr>
        <w:top w:val="single" w:sz="12" w:space="0" w:color="4F81BD"/>
      </w:pBdr>
      <w:shd w:val="clear" w:color="000000" w:fill="BFBFBF"/>
      <w:spacing w:before="100" w:beforeAutospacing="1" w:after="100" w:afterAutospacing="1" w:line="240" w:lineRule="auto"/>
      <w:jc w:val="right"/>
      <w:textAlignment w:val="center"/>
    </w:pPr>
    <w:rPr>
      <w:rFonts w:ascii="Times New Roman" w:hAnsi="Times New Roman"/>
      <w:b/>
      <w:bCs/>
      <w:color w:val="auto"/>
      <w:kern w:val="0"/>
      <w:sz w:val="16"/>
      <w:szCs w:val="16"/>
    </w:rPr>
  </w:style>
  <w:style w:type="paragraph" w:customStyle="1" w:styleId="xl1992">
    <w:name w:val="xl1992"/>
    <w:basedOn w:val="Normal"/>
    <w:rsid w:val="00693882"/>
    <w:pPr>
      <w:pBdr>
        <w:top w:val="single" w:sz="12" w:space="0" w:color="538DD5"/>
        <w:right w:val="single" w:sz="12" w:space="0" w:color="538DD5"/>
      </w:pBdr>
      <w:shd w:val="clear" w:color="000000" w:fill="244062"/>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1993">
    <w:name w:val="xl1993"/>
    <w:basedOn w:val="Normal"/>
    <w:rsid w:val="00693882"/>
    <w:pPr>
      <w:pBdr>
        <w:right w:val="single" w:sz="12" w:space="0" w:color="538DD5"/>
      </w:pBdr>
      <w:shd w:val="clear" w:color="000000" w:fill="244062"/>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1994">
    <w:name w:val="xl1994"/>
    <w:basedOn w:val="Normal"/>
    <w:rsid w:val="00693882"/>
    <w:pPr>
      <w:pBdr>
        <w:right w:val="single" w:sz="12" w:space="0" w:color="538DD5"/>
      </w:pBdr>
      <w:shd w:val="clear" w:color="000000" w:fill="244062"/>
      <w:spacing w:before="100" w:beforeAutospacing="1" w:after="100" w:afterAutospacing="1" w:line="240" w:lineRule="auto"/>
      <w:textAlignment w:val="center"/>
    </w:pPr>
    <w:rPr>
      <w:rFonts w:ascii="Times New Roman" w:hAnsi="Times New Roman"/>
      <w:color w:val="auto"/>
      <w:kern w:val="0"/>
      <w:sz w:val="24"/>
    </w:rPr>
  </w:style>
  <w:style w:type="paragraph" w:customStyle="1" w:styleId="xl1995">
    <w:name w:val="xl1995"/>
    <w:basedOn w:val="Normal"/>
    <w:rsid w:val="00693882"/>
    <w:pPr>
      <w:pBdr>
        <w:bottom w:val="single" w:sz="12" w:space="0" w:color="538DD5"/>
        <w:right w:val="single" w:sz="12" w:space="0" w:color="538DD5"/>
      </w:pBdr>
      <w:shd w:val="clear" w:color="000000" w:fill="244062"/>
      <w:spacing w:before="100" w:beforeAutospacing="1" w:after="100" w:afterAutospacing="1" w:line="240" w:lineRule="auto"/>
      <w:textAlignment w:val="center"/>
    </w:pPr>
    <w:rPr>
      <w:rFonts w:ascii="Times New Roman" w:hAnsi="Times New Roman"/>
      <w:color w:val="auto"/>
      <w:kern w:val="0"/>
      <w:sz w:val="24"/>
    </w:rPr>
  </w:style>
  <w:style w:type="paragraph" w:customStyle="1" w:styleId="xl1996">
    <w:name w:val="xl1996"/>
    <w:basedOn w:val="Normal"/>
    <w:rsid w:val="00693882"/>
    <w:pPr>
      <w:pBdr>
        <w:bottom w:val="single" w:sz="12" w:space="0" w:color="538DD5"/>
        <w:right w:val="single" w:sz="12" w:space="0" w:color="538DD5"/>
      </w:pBdr>
      <w:shd w:val="clear" w:color="000000" w:fill="244062"/>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1997">
    <w:name w:val="xl1997"/>
    <w:basedOn w:val="Normal"/>
    <w:rsid w:val="00693882"/>
    <w:pPr>
      <w:pBdr>
        <w:top w:val="single" w:sz="12" w:space="0" w:color="4F81BD"/>
      </w:pBdr>
      <w:shd w:val="clear" w:color="000000" w:fill="BFBFBF"/>
      <w:spacing w:before="100" w:beforeAutospacing="1" w:after="100" w:afterAutospacing="1" w:line="240" w:lineRule="auto"/>
      <w:jc w:val="right"/>
      <w:textAlignment w:val="center"/>
    </w:pPr>
    <w:rPr>
      <w:rFonts w:ascii="Times New Roman" w:hAnsi="Times New Roman"/>
      <w:b/>
      <w:bCs/>
      <w:color w:val="auto"/>
      <w:kern w:val="0"/>
      <w:sz w:val="16"/>
      <w:szCs w:val="16"/>
    </w:rPr>
  </w:style>
  <w:style w:type="paragraph" w:customStyle="1" w:styleId="xl1998">
    <w:name w:val="xl1998"/>
    <w:basedOn w:val="Normal"/>
    <w:rsid w:val="00693882"/>
    <w:pPr>
      <w:pBdr>
        <w:top w:val="single" w:sz="12" w:space="0" w:color="538DD5"/>
        <w:left w:val="single" w:sz="12" w:space="0" w:color="538DD5"/>
        <w:right w:val="single" w:sz="12" w:space="0" w:color="538DD5"/>
      </w:pBdr>
      <w:shd w:val="clear" w:color="000000" w:fill="244062"/>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1999">
    <w:name w:val="xl1999"/>
    <w:basedOn w:val="Normal"/>
    <w:rsid w:val="00693882"/>
    <w:pPr>
      <w:pBdr>
        <w:left w:val="single" w:sz="12" w:space="0" w:color="538DD5"/>
        <w:bottom w:val="single" w:sz="12" w:space="0" w:color="538DD5"/>
        <w:right w:val="single" w:sz="12" w:space="0" w:color="538DD5"/>
      </w:pBdr>
      <w:shd w:val="clear" w:color="000000" w:fill="244062"/>
      <w:spacing w:before="100" w:beforeAutospacing="1" w:after="100" w:afterAutospacing="1" w:line="240" w:lineRule="auto"/>
      <w:textAlignment w:val="center"/>
    </w:pPr>
    <w:rPr>
      <w:rFonts w:ascii="Times New Roman" w:hAnsi="Times New Roman"/>
      <w:b/>
      <w:bCs/>
      <w:color w:val="FFFFFF"/>
      <w:kern w:val="0"/>
      <w:sz w:val="16"/>
      <w:szCs w:val="16"/>
    </w:rPr>
  </w:style>
  <w:style w:type="paragraph" w:customStyle="1" w:styleId="xl2000">
    <w:name w:val="xl2000"/>
    <w:basedOn w:val="Normal"/>
    <w:rsid w:val="00693882"/>
    <w:pPr>
      <w:pBdr>
        <w:left w:val="single" w:sz="12" w:space="0" w:color="538DD5"/>
        <w:right w:val="single" w:sz="12" w:space="0" w:color="538DD5"/>
      </w:pBdr>
      <w:shd w:val="clear" w:color="000000" w:fill="244062"/>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2001">
    <w:name w:val="xl2001"/>
    <w:basedOn w:val="Normal"/>
    <w:rsid w:val="00693882"/>
    <w:pPr>
      <w:pBdr>
        <w:left w:val="single" w:sz="12" w:space="0" w:color="538DD5"/>
        <w:bottom w:val="single" w:sz="12" w:space="0" w:color="538DD5"/>
        <w:right w:val="single" w:sz="12" w:space="0" w:color="538DD5"/>
      </w:pBdr>
      <w:shd w:val="clear" w:color="000000" w:fill="244062"/>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2002">
    <w:name w:val="xl2002"/>
    <w:basedOn w:val="Normal"/>
    <w:rsid w:val="00693882"/>
    <w:pPr>
      <w:pBdr>
        <w:top w:val="single" w:sz="12" w:space="0" w:color="538DD5"/>
        <w:left w:val="single" w:sz="12" w:space="0" w:color="538DD5"/>
        <w:bottom w:val="single" w:sz="12" w:space="0" w:color="538DD5"/>
      </w:pBdr>
      <w:shd w:val="clear" w:color="000000" w:fill="244062"/>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2003">
    <w:name w:val="xl2003"/>
    <w:basedOn w:val="Normal"/>
    <w:rsid w:val="00693882"/>
    <w:pPr>
      <w:pBdr>
        <w:top w:val="single" w:sz="12" w:space="0" w:color="538DD5"/>
        <w:bottom w:val="single" w:sz="12" w:space="0" w:color="538DD5"/>
      </w:pBdr>
      <w:shd w:val="clear" w:color="000000" w:fill="244062"/>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2004">
    <w:name w:val="xl2004"/>
    <w:basedOn w:val="Normal"/>
    <w:rsid w:val="00693882"/>
    <w:pPr>
      <w:pBdr>
        <w:top w:val="single" w:sz="12" w:space="0" w:color="538DD5"/>
        <w:bottom w:val="single" w:sz="12" w:space="0" w:color="538DD5"/>
        <w:right w:val="single" w:sz="12" w:space="0" w:color="538DD5"/>
      </w:pBdr>
      <w:shd w:val="clear" w:color="000000" w:fill="244062"/>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2005">
    <w:name w:val="xl2005"/>
    <w:basedOn w:val="Normal"/>
    <w:rsid w:val="00693882"/>
    <w:pPr>
      <w:pBdr>
        <w:top w:val="single" w:sz="12" w:space="0" w:color="538DD5"/>
        <w:left w:val="single" w:sz="12" w:space="0" w:color="538DD5"/>
      </w:pBdr>
      <w:shd w:val="clear" w:color="000000" w:fill="244062"/>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2006">
    <w:name w:val="xl2006"/>
    <w:basedOn w:val="Normal"/>
    <w:rsid w:val="00693882"/>
    <w:pPr>
      <w:pBdr>
        <w:top w:val="single" w:sz="12" w:space="0" w:color="538DD5"/>
      </w:pBdr>
      <w:shd w:val="clear" w:color="000000" w:fill="244062"/>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2007">
    <w:name w:val="xl2007"/>
    <w:basedOn w:val="Normal"/>
    <w:rsid w:val="00693882"/>
    <w:pPr>
      <w:pBdr>
        <w:left w:val="single" w:sz="12" w:space="0" w:color="808080"/>
        <w:bottom w:val="single" w:sz="12" w:space="0" w:color="808080"/>
      </w:pBd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2008">
    <w:name w:val="xl2008"/>
    <w:basedOn w:val="Normal"/>
    <w:rsid w:val="00693882"/>
    <w:pPr>
      <w:pBdr>
        <w:bottom w:val="single" w:sz="12" w:space="0" w:color="808080"/>
      </w:pBd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2009">
    <w:name w:val="xl2009"/>
    <w:basedOn w:val="Normal"/>
    <w:rsid w:val="00693882"/>
    <w:pPr>
      <w:pBdr>
        <w:bottom w:val="single" w:sz="12" w:space="0" w:color="808080"/>
        <w:right w:val="single" w:sz="12" w:space="0" w:color="808080"/>
      </w:pBd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1982">
    <w:name w:val="xl1982"/>
    <w:basedOn w:val="Normal"/>
    <w:rsid w:val="00693882"/>
    <w:pPr>
      <w:spacing w:before="100" w:beforeAutospacing="1" w:after="100" w:afterAutospacing="1" w:line="240" w:lineRule="auto"/>
    </w:pPr>
    <w:rPr>
      <w:rFonts w:ascii="Times New Roman" w:hAnsi="Times New Roman"/>
      <w:color w:val="auto"/>
      <w:kern w:val="0"/>
      <w:sz w:val="16"/>
      <w:szCs w:val="16"/>
    </w:rPr>
  </w:style>
  <w:style w:type="paragraph" w:customStyle="1" w:styleId="xl2010">
    <w:name w:val="xl2010"/>
    <w:basedOn w:val="Normal"/>
    <w:rsid w:val="00693882"/>
    <w:pPr>
      <w:pBdr>
        <w:bottom w:val="single" w:sz="12" w:space="0" w:color="808080"/>
        <w:right w:val="single" w:sz="12" w:space="0" w:color="808080"/>
      </w:pBd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264">
    <w:name w:val="xl264"/>
    <w:basedOn w:val="Normal"/>
    <w:rsid w:val="00693882"/>
    <w:pPr>
      <w:pBdr>
        <w:top w:val="single" w:sz="4" w:space="0" w:color="4F81BD"/>
        <w:left w:val="single" w:sz="4" w:space="0" w:color="4F81BD"/>
        <w:bottom w:val="single" w:sz="4" w:space="0" w:color="4F81BD"/>
        <w:right w:val="single" w:sz="4" w:space="0" w:color="5B9BD5"/>
      </w:pBdr>
      <w:shd w:val="clear" w:color="000000" w:fill="FFFFFF"/>
      <w:spacing w:before="100" w:beforeAutospacing="1" w:after="100" w:afterAutospacing="1" w:line="240" w:lineRule="auto"/>
      <w:jc w:val="center"/>
      <w:textAlignment w:val="center"/>
    </w:pPr>
    <w:rPr>
      <w:rFonts w:ascii="Arial" w:hAnsi="Arial" w:cs="Arial"/>
      <w:color w:val="auto"/>
      <w:kern w:val="0"/>
      <w:sz w:val="16"/>
      <w:szCs w:val="16"/>
      <w:lang w:val="fr-FR" w:eastAsia="fr-FR"/>
    </w:rPr>
  </w:style>
  <w:style w:type="paragraph" w:customStyle="1" w:styleId="xl265">
    <w:name w:val="xl265"/>
    <w:basedOn w:val="Normal"/>
    <w:rsid w:val="00693882"/>
    <w:pPr>
      <w:pBdr>
        <w:top w:val="single" w:sz="4" w:space="0" w:color="4F81BD"/>
        <w:left w:val="single" w:sz="4" w:space="0" w:color="4F81BD"/>
        <w:bottom w:val="single" w:sz="4" w:space="0" w:color="4F81BD"/>
        <w:right w:val="single" w:sz="4" w:space="0" w:color="5B9BD5"/>
      </w:pBdr>
      <w:spacing w:before="100" w:beforeAutospacing="1" w:after="100" w:afterAutospacing="1" w:line="240" w:lineRule="auto"/>
      <w:jc w:val="center"/>
      <w:textAlignment w:val="center"/>
    </w:pPr>
    <w:rPr>
      <w:rFonts w:ascii="Arial" w:hAnsi="Arial" w:cs="Arial"/>
      <w:color w:val="auto"/>
      <w:kern w:val="0"/>
      <w:sz w:val="16"/>
      <w:szCs w:val="16"/>
      <w:lang w:val="fr-FR" w:eastAsia="fr-FR"/>
    </w:rPr>
  </w:style>
  <w:style w:type="paragraph" w:customStyle="1" w:styleId="xl266">
    <w:name w:val="xl266"/>
    <w:basedOn w:val="Normal"/>
    <w:rsid w:val="00693882"/>
    <w:pPr>
      <w:pBdr>
        <w:top w:val="single" w:sz="4" w:space="0" w:color="4F81BD"/>
        <w:left w:val="single" w:sz="4" w:space="0" w:color="4F81BD"/>
        <w:bottom w:val="single" w:sz="8" w:space="0" w:color="auto"/>
        <w:right w:val="single" w:sz="4" w:space="0" w:color="5B9BD5"/>
      </w:pBdr>
      <w:spacing w:before="100" w:beforeAutospacing="1" w:after="100" w:afterAutospacing="1" w:line="240" w:lineRule="auto"/>
      <w:jc w:val="center"/>
      <w:textAlignment w:val="center"/>
    </w:pPr>
    <w:rPr>
      <w:rFonts w:ascii="Arial" w:hAnsi="Arial" w:cs="Arial"/>
      <w:color w:val="auto"/>
      <w:kern w:val="0"/>
      <w:sz w:val="16"/>
      <w:szCs w:val="16"/>
      <w:lang w:val="fr-FR" w:eastAsia="fr-FR"/>
    </w:rPr>
  </w:style>
  <w:style w:type="paragraph" w:customStyle="1" w:styleId="xl267">
    <w:name w:val="xl267"/>
    <w:basedOn w:val="Normal"/>
    <w:rsid w:val="00693882"/>
    <w:pPr>
      <w:pBdr>
        <w:top w:val="single" w:sz="8" w:space="0" w:color="auto"/>
        <w:left w:val="single" w:sz="4" w:space="0" w:color="4F81BD"/>
        <w:bottom w:val="single" w:sz="4" w:space="0" w:color="4F81BD"/>
        <w:right w:val="single" w:sz="4" w:space="0" w:color="5B9BD5"/>
      </w:pBdr>
      <w:shd w:val="clear" w:color="000000" w:fill="BDD7EE"/>
      <w:spacing w:before="100" w:beforeAutospacing="1" w:after="100" w:afterAutospacing="1" w:line="240" w:lineRule="auto"/>
      <w:jc w:val="center"/>
      <w:textAlignment w:val="center"/>
    </w:pPr>
    <w:rPr>
      <w:rFonts w:ascii="Arial" w:hAnsi="Arial" w:cs="Arial"/>
      <w:color w:val="auto"/>
      <w:kern w:val="0"/>
      <w:sz w:val="16"/>
      <w:szCs w:val="16"/>
      <w:lang w:val="fr-FR" w:eastAsia="fr-FR"/>
    </w:rPr>
  </w:style>
  <w:style w:type="paragraph" w:customStyle="1" w:styleId="xl268">
    <w:name w:val="xl268"/>
    <w:basedOn w:val="Normal"/>
    <w:rsid w:val="00693882"/>
    <w:pPr>
      <w:pBdr>
        <w:top w:val="single" w:sz="4" w:space="0" w:color="4F81BD"/>
        <w:left w:val="single" w:sz="4" w:space="0" w:color="4F81BD"/>
        <w:bottom w:val="single" w:sz="4" w:space="0" w:color="4F81BD"/>
        <w:right w:val="single" w:sz="4" w:space="0" w:color="5B9BD5"/>
      </w:pBdr>
      <w:shd w:val="clear" w:color="000000" w:fill="BDD7EE"/>
      <w:spacing w:before="100" w:beforeAutospacing="1" w:after="100" w:afterAutospacing="1" w:line="240" w:lineRule="auto"/>
      <w:jc w:val="center"/>
      <w:textAlignment w:val="center"/>
    </w:pPr>
    <w:rPr>
      <w:rFonts w:ascii="Arial" w:hAnsi="Arial" w:cs="Arial"/>
      <w:color w:val="auto"/>
      <w:kern w:val="0"/>
      <w:sz w:val="16"/>
      <w:szCs w:val="16"/>
      <w:lang w:val="fr-FR" w:eastAsia="fr-FR"/>
    </w:rPr>
  </w:style>
  <w:style w:type="paragraph" w:customStyle="1" w:styleId="xl269">
    <w:name w:val="xl269"/>
    <w:basedOn w:val="Normal"/>
    <w:rsid w:val="00693882"/>
    <w:pPr>
      <w:pBdr>
        <w:top w:val="single" w:sz="8" w:space="0" w:color="auto"/>
        <w:left w:val="single" w:sz="4" w:space="0" w:color="4F81BD"/>
        <w:bottom w:val="single" w:sz="4" w:space="0" w:color="4F81BD"/>
        <w:right w:val="single" w:sz="4" w:space="0" w:color="5B9BD5"/>
      </w:pBdr>
      <w:spacing w:before="100" w:beforeAutospacing="1" w:after="100" w:afterAutospacing="1" w:line="240" w:lineRule="auto"/>
      <w:jc w:val="center"/>
      <w:textAlignment w:val="center"/>
    </w:pPr>
    <w:rPr>
      <w:rFonts w:ascii="Arial" w:hAnsi="Arial" w:cs="Arial"/>
      <w:color w:val="auto"/>
      <w:kern w:val="0"/>
      <w:sz w:val="16"/>
      <w:szCs w:val="16"/>
      <w:lang w:val="fr-FR" w:eastAsia="fr-FR"/>
    </w:rPr>
  </w:style>
  <w:style w:type="paragraph" w:customStyle="1" w:styleId="xl270">
    <w:name w:val="xl270"/>
    <w:basedOn w:val="Normal"/>
    <w:rsid w:val="00693882"/>
    <w:pPr>
      <w:pBdr>
        <w:top w:val="single" w:sz="8" w:space="0" w:color="auto"/>
        <w:left w:val="single" w:sz="4" w:space="0" w:color="4F81BD"/>
        <w:bottom w:val="single" w:sz="8" w:space="0" w:color="auto"/>
        <w:right w:val="single" w:sz="4" w:space="0" w:color="5B9BD5"/>
      </w:pBdr>
      <w:shd w:val="clear" w:color="000000" w:fill="BDD7EE"/>
      <w:spacing w:before="100" w:beforeAutospacing="1" w:after="100" w:afterAutospacing="1" w:line="240" w:lineRule="auto"/>
      <w:jc w:val="center"/>
      <w:textAlignment w:val="center"/>
    </w:pPr>
    <w:rPr>
      <w:rFonts w:ascii="Arial" w:hAnsi="Arial" w:cs="Arial"/>
      <w:color w:val="auto"/>
      <w:kern w:val="0"/>
      <w:sz w:val="16"/>
      <w:szCs w:val="16"/>
      <w:lang w:val="fr-FR" w:eastAsia="fr-FR"/>
    </w:rPr>
  </w:style>
  <w:style w:type="paragraph" w:customStyle="1" w:styleId="xl271">
    <w:name w:val="xl271"/>
    <w:basedOn w:val="Normal"/>
    <w:rsid w:val="00693882"/>
    <w:pPr>
      <w:pBdr>
        <w:top w:val="single" w:sz="4" w:space="0" w:color="4F81BD"/>
        <w:left w:val="single" w:sz="4" w:space="0" w:color="4F81BD"/>
        <w:bottom w:val="single" w:sz="8" w:space="0" w:color="auto"/>
        <w:right w:val="single" w:sz="4" w:space="0" w:color="5B9BD5"/>
      </w:pBdr>
      <w:shd w:val="clear" w:color="000000" w:fill="BDD7EE"/>
      <w:spacing w:before="100" w:beforeAutospacing="1" w:after="100" w:afterAutospacing="1" w:line="240" w:lineRule="auto"/>
      <w:jc w:val="center"/>
      <w:textAlignment w:val="center"/>
    </w:pPr>
    <w:rPr>
      <w:rFonts w:ascii="Arial" w:hAnsi="Arial" w:cs="Arial"/>
      <w:color w:val="auto"/>
      <w:kern w:val="0"/>
      <w:sz w:val="16"/>
      <w:szCs w:val="16"/>
      <w:lang w:val="fr-FR" w:eastAsia="fr-FR"/>
    </w:rPr>
  </w:style>
  <w:style w:type="paragraph" w:customStyle="1" w:styleId="xl272">
    <w:name w:val="xl272"/>
    <w:basedOn w:val="Normal"/>
    <w:rsid w:val="00693882"/>
    <w:pPr>
      <w:pBdr>
        <w:top w:val="single" w:sz="8" w:space="0" w:color="auto"/>
        <w:left w:val="single" w:sz="4" w:space="0" w:color="4F81BD"/>
        <w:bottom w:val="single" w:sz="8" w:space="0" w:color="auto"/>
        <w:right w:val="single" w:sz="4" w:space="0" w:color="5B9BD5"/>
      </w:pBdr>
      <w:spacing w:before="100" w:beforeAutospacing="1" w:after="100" w:afterAutospacing="1" w:line="240" w:lineRule="auto"/>
      <w:jc w:val="center"/>
      <w:textAlignment w:val="center"/>
    </w:pPr>
    <w:rPr>
      <w:rFonts w:ascii="Arial" w:hAnsi="Arial" w:cs="Arial"/>
      <w:color w:val="auto"/>
      <w:kern w:val="0"/>
      <w:sz w:val="16"/>
      <w:szCs w:val="16"/>
      <w:lang w:val="fr-FR" w:eastAsia="fr-FR"/>
    </w:rPr>
  </w:style>
  <w:style w:type="paragraph" w:customStyle="1" w:styleId="xl273">
    <w:name w:val="xl273"/>
    <w:basedOn w:val="Normal"/>
    <w:rsid w:val="00693882"/>
    <w:pPr>
      <w:pBdr>
        <w:top w:val="single" w:sz="8" w:space="0" w:color="auto"/>
        <w:left w:val="single" w:sz="4" w:space="0" w:color="4F81BD"/>
        <w:bottom w:val="single" w:sz="8" w:space="0" w:color="auto"/>
        <w:right w:val="single" w:sz="4" w:space="0" w:color="5B9BD5"/>
      </w:pBdr>
      <w:shd w:val="clear" w:color="000000" w:fill="FFFFFF"/>
      <w:spacing w:before="100" w:beforeAutospacing="1" w:after="100" w:afterAutospacing="1" w:line="240" w:lineRule="auto"/>
      <w:jc w:val="center"/>
      <w:textAlignment w:val="center"/>
    </w:pPr>
    <w:rPr>
      <w:rFonts w:ascii="Arial" w:hAnsi="Arial" w:cs="Arial"/>
      <w:color w:val="auto"/>
      <w:kern w:val="0"/>
      <w:sz w:val="16"/>
      <w:szCs w:val="16"/>
      <w:lang w:val="fr-FR" w:eastAsia="fr-FR"/>
    </w:rPr>
  </w:style>
  <w:style w:type="paragraph" w:customStyle="1" w:styleId="xl274">
    <w:name w:val="xl274"/>
    <w:basedOn w:val="Normal"/>
    <w:rsid w:val="00693882"/>
    <w:pPr>
      <w:pBdr>
        <w:left w:val="single" w:sz="4" w:space="0" w:color="4F81BD"/>
        <w:bottom w:val="single" w:sz="8" w:space="0" w:color="auto"/>
        <w:right w:val="single" w:sz="4" w:space="0" w:color="5B9BD5"/>
      </w:pBdr>
      <w:shd w:val="clear" w:color="000000" w:fill="FFFFFF"/>
      <w:spacing w:before="100" w:beforeAutospacing="1" w:after="100" w:afterAutospacing="1" w:line="240" w:lineRule="auto"/>
      <w:jc w:val="center"/>
      <w:textAlignment w:val="center"/>
    </w:pPr>
    <w:rPr>
      <w:rFonts w:ascii="Arial" w:hAnsi="Arial" w:cs="Arial"/>
      <w:color w:val="auto"/>
      <w:kern w:val="0"/>
      <w:sz w:val="16"/>
      <w:szCs w:val="16"/>
      <w:lang w:val="fr-FR" w:eastAsia="fr-FR"/>
    </w:rPr>
  </w:style>
  <w:style w:type="paragraph" w:customStyle="1" w:styleId="xl275">
    <w:name w:val="xl275"/>
    <w:basedOn w:val="Normal"/>
    <w:rsid w:val="00693882"/>
    <w:pPr>
      <w:pBdr>
        <w:top w:val="single" w:sz="4" w:space="0" w:color="4F81BD"/>
        <w:left w:val="single" w:sz="4" w:space="0" w:color="4F81BD"/>
        <w:right w:val="single" w:sz="4" w:space="0" w:color="5B9BD5"/>
      </w:pBdr>
      <w:shd w:val="clear" w:color="000000" w:fill="BDD7EE"/>
      <w:spacing w:before="100" w:beforeAutospacing="1" w:after="100" w:afterAutospacing="1" w:line="240" w:lineRule="auto"/>
      <w:jc w:val="center"/>
      <w:textAlignment w:val="center"/>
    </w:pPr>
    <w:rPr>
      <w:rFonts w:ascii="Arial" w:hAnsi="Arial" w:cs="Arial"/>
      <w:color w:val="auto"/>
      <w:kern w:val="0"/>
      <w:sz w:val="16"/>
      <w:szCs w:val="16"/>
      <w:lang w:val="fr-FR" w:eastAsia="fr-FR"/>
    </w:rPr>
  </w:style>
  <w:style w:type="paragraph" w:customStyle="1" w:styleId="xl276">
    <w:name w:val="xl276"/>
    <w:basedOn w:val="Normal"/>
    <w:rsid w:val="00693882"/>
    <w:pPr>
      <w:pBdr>
        <w:top w:val="single" w:sz="8" w:space="0" w:color="auto"/>
        <w:bottom w:val="single" w:sz="8" w:space="0" w:color="auto"/>
        <w:right w:val="single" w:sz="4" w:space="0" w:color="5B9BD5"/>
      </w:pBdr>
      <w:shd w:val="clear" w:color="000000" w:fill="FFFFFF"/>
      <w:spacing w:before="100" w:beforeAutospacing="1" w:after="100" w:afterAutospacing="1" w:line="240" w:lineRule="auto"/>
      <w:jc w:val="center"/>
      <w:textAlignment w:val="center"/>
    </w:pPr>
    <w:rPr>
      <w:rFonts w:ascii="Arial" w:hAnsi="Arial" w:cs="Arial"/>
      <w:color w:val="auto"/>
      <w:kern w:val="0"/>
      <w:sz w:val="16"/>
      <w:szCs w:val="16"/>
      <w:lang w:val="fr-FR" w:eastAsia="fr-FR"/>
    </w:rPr>
  </w:style>
  <w:style w:type="paragraph" w:customStyle="1" w:styleId="xl277">
    <w:name w:val="xl277"/>
    <w:basedOn w:val="Normal"/>
    <w:rsid w:val="00693882"/>
    <w:pPr>
      <w:pBdr>
        <w:top w:val="single" w:sz="8" w:space="0" w:color="auto"/>
        <w:bottom w:val="single" w:sz="8" w:space="0" w:color="auto"/>
        <w:right w:val="single" w:sz="4" w:space="0" w:color="5B9BD5"/>
      </w:pBdr>
      <w:shd w:val="clear" w:color="000000" w:fill="BDD7EE"/>
      <w:spacing w:before="100" w:beforeAutospacing="1" w:after="100" w:afterAutospacing="1" w:line="240" w:lineRule="auto"/>
      <w:jc w:val="center"/>
      <w:textAlignment w:val="center"/>
    </w:pPr>
    <w:rPr>
      <w:rFonts w:ascii="Arial" w:hAnsi="Arial" w:cs="Arial"/>
      <w:color w:val="auto"/>
      <w:kern w:val="0"/>
      <w:sz w:val="16"/>
      <w:szCs w:val="16"/>
      <w:lang w:val="fr-FR" w:eastAsia="fr-FR"/>
    </w:rPr>
  </w:style>
  <w:style w:type="paragraph" w:customStyle="1" w:styleId="xl278">
    <w:name w:val="xl278"/>
    <w:basedOn w:val="Normal"/>
    <w:rsid w:val="00693882"/>
    <w:pPr>
      <w:pBdr>
        <w:top w:val="single" w:sz="8" w:space="0" w:color="auto"/>
        <w:right w:val="single" w:sz="4" w:space="0" w:color="5B9BD5"/>
      </w:pBdr>
      <w:shd w:val="clear" w:color="000000" w:fill="FFFFFF"/>
      <w:spacing w:before="100" w:beforeAutospacing="1" w:after="100" w:afterAutospacing="1" w:line="240" w:lineRule="auto"/>
      <w:jc w:val="center"/>
      <w:textAlignment w:val="center"/>
    </w:pPr>
    <w:rPr>
      <w:rFonts w:ascii="Arial" w:hAnsi="Arial" w:cs="Arial"/>
      <w:color w:val="auto"/>
      <w:kern w:val="0"/>
      <w:sz w:val="16"/>
      <w:szCs w:val="16"/>
      <w:lang w:val="fr-FR" w:eastAsia="fr-FR"/>
    </w:rPr>
  </w:style>
  <w:style w:type="paragraph" w:customStyle="1" w:styleId="xl279">
    <w:name w:val="xl279"/>
    <w:basedOn w:val="Normal"/>
    <w:rsid w:val="00693882"/>
    <w:pPr>
      <w:pBdr>
        <w:bottom w:val="single" w:sz="8" w:space="0" w:color="auto"/>
        <w:right w:val="single" w:sz="4" w:space="0" w:color="5B9BD5"/>
      </w:pBdr>
      <w:shd w:val="clear" w:color="000000" w:fill="FFFFFF"/>
      <w:spacing w:before="100" w:beforeAutospacing="1" w:after="100" w:afterAutospacing="1" w:line="240" w:lineRule="auto"/>
      <w:jc w:val="center"/>
      <w:textAlignment w:val="center"/>
    </w:pPr>
    <w:rPr>
      <w:rFonts w:ascii="Arial" w:hAnsi="Arial" w:cs="Arial"/>
      <w:color w:val="auto"/>
      <w:kern w:val="0"/>
      <w:sz w:val="16"/>
      <w:szCs w:val="16"/>
      <w:lang w:val="fr-FR" w:eastAsia="fr-FR"/>
    </w:rPr>
  </w:style>
  <w:style w:type="paragraph" w:customStyle="1" w:styleId="xl280">
    <w:name w:val="xl280"/>
    <w:basedOn w:val="Normal"/>
    <w:rsid w:val="00693882"/>
    <w:pPr>
      <w:pBdr>
        <w:top w:val="single" w:sz="8" w:space="0" w:color="auto"/>
        <w:right w:val="single" w:sz="4" w:space="0" w:color="5B9BD5"/>
      </w:pBdr>
      <w:shd w:val="clear" w:color="000000" w:fill="BDD7EE"/>
      <w:spacing w:before="100" w:beforeAutospacing="1" w:after="100" w:afterAutospacing="1" w:line="240" w:lineRule="auto"/>
      <w:jc w:val="center"/>
      <w:textAlignment w:val="center"/>
    </w:pPr>
    <w:rPr>
      <w:rFonts w:ascii="Arial" w:hAnsi="Arial" w:cs="Arial"/>
      <w:color w:val="auto"/>
      <w:kern w:val="0"/>
      <w:sz w:val="16"/>
      <w:szCs w:val="16"/>
      <w:lang w:val="fr-FR" w:eastAsia="fr-FR"/>
    </w:rPr>
  </w:style>
  <w:style w:type="paragraph" w:customStyle="1" w:styleId="xl281">
    <w:name w:val="xl281"/>
    <w:basedOn w:val="Normal"/>
    <w:rsid w:val="00693882"/>
    <w:pPr>
      <w:pBdr>
        <w:right w:val="single" w:sz="4" w:space="0" w:color="5B9BD5"/>
      </w:pBdr>
      <w:shd w:val="clear" w:color="000000" w:fill="BDD7EE"/>
      <w:spacing w:before="100" w:beforeAutospacing="1" w:after="100" w:afterAutospacing="1" w:line="240" w:lineRule="auto"/>
      <w:jc w:val="center"/>
      <w:textAlignment w:val="center"/>
    </w:pPr>
    <w:rPr>
      <w:rFonts w:ascii="Arial" w:hAnsi="Arial" w:cs="Arial"/>
      <w:color w:val="auto"/>
      <w:kern w:val="0"/>
      <w:sz w:val="16"/>
      <w:szCs w:val="16"/>
      <w:lang w:val="fr-FR" w:eastAsia="fr-FR"/>
    </w:rPr>
  </w:style>
  <w:style w:type="paragraph" w:customStyle="1" w:styleId="xl282">
    <w:name w:val="xl282"/>
    <w:basedOn w:val="Normal"/>
    <w:rsid w:val="00693882"/>
    <w:pPr>
      <w:pBdr>
        <w:bottom w:val="single" w:sz="8" w:space="0" w:color="auto"/>
        <w:right w:val="single" w:sz="4" w:space="0" w:color="5B9BD5"/>
      </w:pBdr>
      <w:shd w:val="clear" w:color="000000" w:fill="BDD7EE"/>
      <w:spacing w:before="100" w:beforeAutospacing="1" w:after="100" w:afterAutospacing="1" w:line="240" w:lineRule="auto"/>
      <w:jc w:val="center"/>
      <w:textAlignment w:val="center"/>
    </w:pPr>
    <w:rPr>
      <w:rFonts w:ascii="Arial" w:hAnsi="Arial" w:cs="Arial"/>
      <w:color w:val="auto"/>
      <w:kern w:val="0"/>
      <w:sz w:val="16"/>
      <w:szCs w:val="16"/>
      <w:lang w:val="fr-FR" w:eastAsia="fr-FR"/>
    </w:rPr>
  </w:style>
  <w:style w:type="paragraph" w:customStyle="1" w:styleId="xl283">
    <w:name w:val="xl283"/>
    <w:basedOn w:val="Normal"/>
    <w:rsid w:val="00693882"/>
    <w:pPr>
      <w:pBdr>
        <w:top w:val="single" w:sz="8" w:space="0" w:color="auto"/>
        <w:left w:val="single" w:sz="4" w:space="0" w:color="5B9BD5"/>
        <w:bottom w:val="single" w:sz="4" w:space="0" w:color="4F81BD"/>
        <w:right w:val="single" w:sz="4" w:space="0" w:color="4F81BD"/>
      </w:pBdr>
      <w:shd w:val="clear" w:color="000000" w:fill="FFFFFF"/>
      <w:spacing w:before="100" w:beforeAutospacing="1" w:after="100" w:afterAutospacing="1" w:line="240" w:lineRule="auto"/>
      <w:textAlignment w:val="center"/>
    </w:pPr>
    <w:rPr>
      <w:rFonts w:ascii="Arial" w:hAnsi="Arial" w:cs="Arial"/>
      <w:color w:val="auto"/>
      <w:kern w:val="0"/>
      <w:sz w:val="16"/>
      <w:szCs w:val="16"/>
      <w:lang w:val="fr-FR" w:eastAsia="fr-FR"/>
    </w:rPr>
  </w:style>
  <w:style w:type="paragraph" w:customStyle="1" w:styleId="xl284">
    <w:name w:val="xl284"/>
    <w:basedOn w:val="Normal"/>
    <w:rsid w:val="00693882"/>
    <w:pPr>
      <w:pBdr>
        <w:top w:val="single" w:sz="4" w:space="0" w:color="4F81BD"/>
        <w:left w:val="single" w:sz="4" w:space="0" w:color="5B9BD5"/>
        <w:bottom w:val="single" w:sz="4" w:space="0" w:color="4F81BD"/>
        <w:right w:val="single" w:sz="4" w:space="0" w:color="4F81BD"/>
      </w:pBdr>
      <w:shd w:val="clear" w:color="000000" w:fill="FFFFFF"/>
      <w:spacing w:before="100" w:beforeAutospacing="1" w:after="100" w:afterAutospacing="1" w:line="240" w:lineRule="auto"/>
      <w:textAlignment w:val="center"/>
    </w:pPr>
    <w:rPr>
      <w:rFonts w:ascii="Arial" w:hAnsi="Arial" w:cs="Arial"/>
      <w:color w:val="auto"/>
      <w:kern w:val="0"/>
      <w:sz w:val="16"/>
      <w:szCs w:val="16"/>
      <w:lang w:val="fr-FR" w:eastAsia="fr-FR"/>
    </w:rPr>
  </w:style>
  <w:style w:type="paragraph" w:customStyle="1" w:styleId="xl285">
    <w:name w:val="xl285"/>
    <w:basedOn w:val="Normal"/>
    <w:rsid w:val="00693882"/>
    <w:pPr>
      <w:pBdr>
        <w:top w:val="single" w:sz="4" w:space="0" w:color="4F81BD"/>
        <w:left w:val="single" w:sz="4" w:space="0" w:color="5B9BD5"/>
        <w:bottom w:val="single" w:sz="4" w:space="0" w:color="4F81BD"/>
        <w:right w:val="single" w:sz="4" w:space="0" w:color="4F81BD"/>
      </w:pBdr>
      <w:spacing w:before="100" w:beforeAutospacing="1" w:after="100" w:afterAutospacing="1" w:line="240" w:lineRule="auto"/>
      <w:textAlignment w:val="center"/>
    </w:pPr>
    <w:rPr>
      <w:rFonts w:ascii="Arial" w:hAnsi="Arial" w:cs="Arial"/>
      <w:color w:val="auto"/>
      <w:kern w:val="0"/>
      <w:sz w:val="16"/>
      <w:szCs w:val="16"/>
      <w:lang w:val="fr-FR" w:eastAsia="fr-FR"/>
    </w:rPr>
  </w:style>
  <w:style w:type="paragraph" w:customStyle="1" w:styleId="xl286">
    <w:name w:val="xl286"/>
    <w:basedOn w:val="Normal"/>
    <w:rsid w:val="00693882"/>
    <w:pPr>
      <w:pBdr>
        <w:top w:val="single" w:sz="4" w:space="0" w:color="4F81BD"/>
        <w:left w:val="single" w:sz="4" w:space="0" w:color="5B9BD5"/>
        <w:bottom w:val="single" w:sz="8" w:space="0" w:color="auto"/>
        <w:right w:val="single" w:sz="4" w:space="0" w:color="4F81BD"/>
      </w:pBdr>
      <w:shd w:val="clear" w:color="000000" w:fill="FFFFFF"/>
      <w:spacing w:before="100" w:beforeAutospacing="1" w:after="100" w:afterAutospacing="1" w:line="240" w:lineRule="auto"/>
      <w:textAlignment w:val="center"/>
    </w:pPr>
    <w:rPr>
      <w:rFonts w:ascii="Arial" w:hAnsi="Arial" w:cs="Arial"/>
      <w:color w:val="auto"/>
      <w:kern w:val="0"/>
      <w:sz w:val="16"/>
      <w:szCs w:val="16"/>
      <w:lang w:val="fr-FR" w:eastAsia="fr-FR"/>
    </w:rPr>
  </w:style>
  <w:style w:type="paragraph" w:customStyle="1" w:styleId="xl287">
    <w:name w:val="xl287"/>
    <w:basedOn w:val="Normal"/>
    <w:rsid w:val="00693882"/>
    <w:pPr>
      <w:pBdr>
        <w:top w:val="single" w:sz="8" w:space="0" w:color="auto"/>
        <w:left w:val="single" w:sz="4" w:space="0" w:color="5B9BD5"/>
        <w:bottom w:val="single" w:sz="4" w:space="0" w:color="4F81BD"/>
        <w:right w:val="single" w:sz="4" w:space="0" w:color="4F81BD"/>
      </w:pBdr>
      <w:shd w:val="clear" w:color="000000" w:fill="BDD7EE"/>
      <w:spacing w:before="100" w:beforeAutospacing="1" w:after="100" w:afterAutospacing="1" w:line="240" w:lineRule="auto"/>
      <w:textAlignment w:val="center"/>
    </w:pPr>
    <w:rPr>
      <w:rFonts w:ascii="Arial" w:hAnsi="Arial" w:cs="Arial"/>
      <w:color w:val="auto"/>
      <w:kern w:val="0"/>
      <w:sz w:val="16"/>
      <w:szCs w:val="16"/>
      <w:lang w:val="fr-FR" w:eastAsia="fr-FR"/>
    </w:rPr>
  </w:style>
  <w:style w:type="paragraph" w:customStyle="1" w:styleId="xl288">
    <w:name w:val="xl288"/>
    <w:basedOn w:val="Normal"/>
    <w:rsid w:val="00693882"/>
    <w:pPr>
      <w:pBdr>
        <w:top w:val="single" w:sz="4" w:space="0" w:color="4F81BD"/>
        <w:left w:val="single" w:sz="4" w:space="0" w:color="5B9BD5"/>
        <w:bottom w:val="single" w:sz="4" w:space="0" w:color="4F81BD"/>
        <w:right w:val="single" w:sz="4" w:space="0" w:color="4F81BD"/>
      </w:pBdr>
      <w:shd w:val="clear" w:color="000000" w:fill="BDD7EE"/>
      <w:spacing w:before="100" w:beforeAutospacing="1" w:after="100" w:afterAutospacing="1" w:line="240" w:lineRule="auto"/>
      <w:textAlignment w:val="center"/>
    </w:pPr>
    <w:rPr>
      <w:rFonts w:ascii="Arial" w:hAnsi="Arial" w:cs="Arial"/>
      <w:color w:val="auto"/>
      <w:kern w:val="0"/>
      <w:sz w:val="16"/>
      <w:szCs w:val="16"/>
      <w:lang w:val="fr-FR" w:eastAsia="fr-FR"/>
    </w:rPr>
  </w:style>
  <w:style w:type="paragraph" w:customStyle="1" w:styleId="xl289">
    <w:name w:val="xl289"/>
    <w:basedOn w:val="Normal"/>
    <w:rsid w:val="00693882"/>
    <w:pPr>
      <w:pBdr>
        <w:top w:val="single" w:sz="4" w:space="0" w:color="4F81BD"/>
        <w:left w:val="single" w:sz="4" w:space="0" w:color="5B9BD5"/>
        <w:bottom w:val="single" w:sz="8" w:space="0" w:color="auto"/>
        <w:right w:val="single" w:sz="4" w:space="0" w:color="4F81BD"/>
      </w:pBdr>
      <w:shd w:val="clear" w:color="000000" w:fill="BDD7EE"/>
      <w:spacing w:before="100" w:beforeAutospacing="1" w:after="100" w:afterAutospacing="1" w:line="240" w:lineRule="auto"/>
      <w:textAlignment w:val="center"/>
    </w:pPr>
    <w:rPr>
      <w:rFonts w:ascii="Arial" w:hAnsi="Arial" w:cs="Arial"/>
      <w:color w:val="auto"/>
      <w:kern w:val="0"/>
      <w:sz w:val="16"/>
      <w:szCs w:val="16"/>
      <w:lang w:val="fr-FR" w:eastAsia="fr-FR"/>
    </w:rPr>
  </w:style>
  <w:style w:type="paragraph" w:customStyle="1" w:styleId="xl290">
    <w:name w:val="xl290"/>
    <w:basedOn w:val="Normal"/>
    <w:rsid w:val="00693882"/>
    <w:pPr>
      <w:pBdr>
        <w:top w:val="single" w:sz="8" w:space="0" w:color="auto"/>
        <w:left w:val="single" w:sz="4" w:space="0" w:color="5B9BD5"/>
        <w:bottom w:val="single" w:sz="4" w:space="0" w:color="4F81BD"/>
        <w:right w:val="single" w:sz="4" w:space="0" w:color="4F81BD"/>
      </w:pBdr>
      <w:spacing w:before="100" w:beforeAutospacing="1" w:after="100" w:afterAutospacing="1" w:line="240" w:lineRule="auto"/>
      <w:textAlignment w:val="center"/>
    </w:pPr>
    <w:rPr>
      <w:rFonts w:ascii="Arial" w:hAnsi="Arial" w:cs="Arial"/>
      <w:color w:val="auto"/>
      <w:kern w:val="0"/>
      <w:sz w:val="16"/>
      <w:szCs w:val="16"/>
      <w:lang w:val="fr-FR" w:eastAsia="fr-FR"/>
    </w:rPr>
  </w:style>
  <w:style w:type="paragraph" w:customStyle="1" w:styleId="xl291">
    <w:name w:val="xl291"/>
    <w:basedOn w:val="Normal"/>
    <w:rsid w:val="00693882"/>
    <w:pPr>
      <w:pBdr>
        <w:top w:val="single" w:sz="4" w:space="0" w:color="4F81BD"/>
        <w:left w:val="single" w:sz="4" w:space="0" w:color="5B9BD5"/>
        <w:bottom w:val="single" w:sz="8" w:space="0" w:color="auto"/>
        <w:right w:val="single" w:sz="4" w:space="0" w:color="4F81BD"/>
      </w:pBdr>
      <w:spacing w:before="100" w:beforeAutospacing="1" w:after="100" w:afterAutospacing="1" w:line="240" w:lineRule="auto"/>
      <w:textAlignment w:val="center"/>
    </w:pPr>
    <w:rPr>
      <w:rFonts w:ascii="Arial" w:hAnsi="Arial" w:cs="Arial"/>
      <w:color w:val="auto"/>
      <w:kern w:val="0"/>
      <w:sz w:val="16"/>
      <w:szCs w:val="16"/>
      <w:lang w:val="fr-FR" w:eastAsia="fr-FR"/>
    </w:rPr>
  </w:style>
  <w:style w:type="paragraph" w:customStyle="1" w:styleId="xl292">
    <w:name w:val="xl292"/>
    <w:basedOn w:val="Normal"/>
    <w:rsid w:val="00693882"/>
    <w:pPr>
      <w:pBdr>
        <w:top w:val="single" w:sz="8" w:space="0" w:color="auto"/>
        <w:left w:val="single" w:sz="4" w:space="0" w:color="5B9BD5"/>
        <w:bottom w:val="single" w:sz="8" w:space="0" w:color="auto"/>
        <w:right w:val="single" w:sz="4" w:space="0" w:color="4F81BD"/>
      </w:pBdr>
      <w:shd w:val="clear" w:color="000000" w:fill="BDD7EE"/>
      <w:spacing w:before="100" w:beforeAutospacing="1" w:after="100" w:afterAutospacing="1" w:line="240" w:lineRule="auto"/>
      <w:textAlignment w:val="center"/>
    </w:pPr>
    <w:rPr>
      <w:rFonts w:ascii="Arial" w:hAnsi="Arial" w:cs="Arial"/>
      <w:color w:val="auto"/>
      <w:kern w:val="0"/>
      <w:sz w:val="16"/>
      <w:szCs w:val="16"/>
      <w:lang w:val="fr-FR" w:eastAsia="fr-FR"/>
    </w:rPr>
  </w:style>
  <w:style w:type="paragraph" w:customStyle="1" w:styleId="xl293">
    <w:name w:val="xl293"/>
    <w:basedOn w:val="Normal"/>
    <w:rsid w:val="00693882"/>
    <w:pPr>
      <w:pBdr>
        <w:top w:val="single" w:sz="8" w:space="0" w:color="auto"/>
        <w:left w:val="single" w:sz="4" w:space="0" w:color="5B9BD5"/>
        <w:bottom w:val="single" w:sz="8" w:space="0" w:color="auto"/>
        <w:right w:val="single" w:sz="4" w:space="0" w:color="4F81BD"/>
      </w:pBdr>
      <w:spacing w:before="100" w:beforeAutospacing="1" w:after="100" w:afterAutospacing="1" w:line="240" w:lineRule="auto"/>
      <w:textAlignment w:val="center"/>
    </w:pPr>
    <w:rPr>
      <w:rFonts w:ascii="Arial" w:hAnsi="Arial" w:cs="Arial"/>
      <w:color w:val="auto"/>
      <w:kern w:val="0"/>
      <w:sz w:val="16"/>
      <w:szCs w:val="16"/>
      <w:lang w:val="fr-FR" w:eastAsia="fr-FR"/>
    </w:rPr>
  </w:style>
  <w:style w:type="paragraph" w:customStyle="1" w:styleId="xl294">
    <w:name w:val="xl294"/>
    <w:basedOn w:val="Normal"/>
    <w:rsid w:val="00693882"/>
    <w:pPr>
      <w:pBdr>
        <w:top w:val="single" w:sz="8" w:space="0" w:color="auto"/>
        <w:left w:val="single" w:sz="4" w:space="0" w:color="5B9BD5"/>
        <w:bottom w:val="single" w:sz="8" w:space="0" w:color="auto"/>
        <w:right w:val="single" w:sz="4" w:space="0" w:color="4F81BD"/>
      </w:pBdr>
      <w:shd w:val="clear" w:color="000000" w:fill="FFFFFF"/>
      <w:spacing w:before="100" w:beforeAutospacing="1" w:after="100" w:afterAutospacing="1" w:line="240" w:lineRule="auto"/>
      <w:textAlignment w:val="center"/>
    </w:pPr>
    <w:rPr>
      <w:rFonts w:ascii="Arial" w:hAnsi="Arial" w:cs="Arial"/>
      <w:color w:val="auto"/>
      <w:kern w:val="0"/>
      <w:sz w:val="16"/>
      <w:szCs w:val="16"/>
      <w:lang w:val="fr-FR" w:eastAsia="fr-FR"/>
    </w:rPr>
  </w:style>
  <w:style w:type="paragraph" w:customStyle="1" w:styleId="xl295">
    <w:name w:val="xl295"/>
    <w:basedOn w:val="Normal"/>
    <w:rsid w:val="00693882"/>
    <w:pPr>
      <w:pBdr>
        <w:left w:val="single" w:sz="4" w:space="0" w:color="5B9BD5"/>
        <w:bottom w:val="single" w:sz="8" w:space="0" w:color="auto"/>
        <w:right w:val="single" w:sz="4" w:space="0" w:color="4F81BD"/>
      </w:pBdr>
      <w:shd w:val="clear" w:color="000000" w:fill="FFFFFF"/>
      <w:spacing w:before="100" w:beforeAutospacing="1" w:after="100" w:afterAutospacing="1" w:line="240" w:lineRule="auto"/>
      <w:textAlignment w:val="center"/>
    </w:pPr>
    <w:rPr>
      <w:rFonts w:ascii="Arial" w:hAnsi="Arial" w:cs="Arial"/>
      <w:color w:val="auto"/>
      <w:kern w:val="0"/>
      <w:sz w:val="16"/>
      <w:szCs w:val="16"/>
      <w:lang w:val="fr-FR" w:eastAsia="fr-FR"/>
    </w:rPr>
  </w:style>
  <w:style w:type="paragraph" w:customStyle="1" w:styleId="xl296">
    <w:name w:val="xl296"/>
    <w:basedOn w:val="Normal"/>
    <w:rsid w:val="00693882"/>
    <w:pPr>
      <w:pBdr>
        <w:top w:val="single" w:sz="4" w:space="0" w:color="4F81BD"/>
        <w:left w:val="single" w:sz="4" w:space="0" w:color="5B9BD5"/>
        <w:right w:val="single" w:sz="4" w:space="0" w:color="4F81BD"/>
      </w:pBdr>
      <w:shd w:val="clear" w:color="000000" w:fill="BDD7EE"/>
      <w:spacing w:before="100" w:beforeAutospacing="1" w:after="100" w:afterAutospacing="1" w:line="240" w:lineRule="auto"/>
      <w:textAlignment w:val="center"/>
    </w:pPr>
    <w:rPr>
      <w:rFonts w:ascii="Arial" w:hAnsi="Arial" w:cs="Arial"/>
      <w:color w:val="auto"/>
      <w:kern w:val="0"/>
      <w:sz w:val="16"/>
      <w:szCs w:val="16"/>
      <w:lang w:val="fr-FR" w:eastAsia="fr-FR"/>
    </w:rPr>
  </w:style>
  <w:style w:type="paragraph" w:customStyle="1" w:styleId="xl297">
    <w:name w:val="xl297"/>
    <w:basedOn w:val="Normal"/>
    <w:rsid w:val="00693882"/>
    <w:pPr>
      <w:pBdr>
        <w:top w:val="single" w:sz="8" w:space="0" w:color="auto"/>
        <w:left w:val="single" w:sz="4" w:space="0" w:color="5B9BD5"/>
        <w:bottom w:val="single" w:sz="8" w:space="0" w:color="auto"/>
      </w:pBdr>
      <w:shd w:val="clear" w:color="000000" w:fill="FFFFFF"/>
      <w:spacing w:before="100" w:beforeAutospacing="1" w:after="100" w:afterAutospacing="1" w:line="240" w:lineRule="auto"/>
      <w:textAlignment w:val="center"/>
    </w:pPr>
    <w:rPr>
      <w:rFonts w:ascii="Arial" w:hAnsi="Arial" w:cs="Arial"/>
      <w:color w:val="auto"/>
      <w:kern w:val="0"/>
      <w:sz w:val="16"/>
      <w:szCs w:val="16"/>
      <w:lang w:val="fr-FR" w:eastAsia="fr-FR"/>
    </w:rPr>
  </w:style>
  <w:style w:type="paragraph" w:customStyle="1" w:styleId="xl298">
    <w:name w:val="xl298"/>
    <w:basedOn w:val="Normal"/>
    <w:rsid w:val="00693882"/>
    <w:pPr>
      <w:pBdr>
        <w:top w:val="single" w:sz="8" w:space="0" w:color="auto"/>
        <w:left w:val="single" w:sz="4" w:space="0" w:color="5B9BD5"/>
        <w:bottom w:val="single" w:sz="8" w:space="0" w:color="auto"/>
      </w:pBdr>
      <w:shd w:val="clear" w:color="000000" w:fill="BDD7EE"/>
      <w:spacing w:before="100" w:beforeAutospacing="1" w:after="100" w:afterAutospacing="1" w:line="240" w:lineRule="auto"/>
      <w:textAlignment w:val="center"/>
    </w:pPr>
    <w:rPr>
      <w:rFonts w:ascii="Arial" w:hAnsi="Arial" w:cs="Arial"/>
      <w:color w:val="auto"/>
      <w:kern w:val="0"/>
      <w:sz w:val="16"/>
      <w:szCs w:val="16"/>
      <w:lang w:val="fr-FR" w:eastAsia="fr-FR"/>
    </w:rPr>
  </w:style>
  <w:style w:type="paragraph" w:customStyle="1" w:styleId="xl299">
    <w:name w:val="xl299"/>
    <w:basedOn w:val="Normal"/>
    <w:rsid w:val="00693882"/>
    <w:pPr>
      <w:pBdr>
        <w:top w:val="single" w:sz="8" w:space="0" w:color="auto"/>
        <w:left w:val="single" w:sz="4" w:space="0" w:color="5B9BD5"/>
        <w:bottom w:val="single" w:sz="8" w:space="0" w:color="auto"/>
      </w:pBdr>
      <w:spacing w:before="100" w:beforeAutospacing="1" w:after="100" w:afterAutospacing="1" w:line="240" w:lineRule="auto"/>
      <w:textAlignment w:val="center"/>
    </w:pPr>
    <w:rPr>
      <w:rFonts w:ascii="Arial" w:hAnsi="Arial" w:cs="Arial"/>
      <w:color w:val="auto"/>
      <w:kern w:val="0"/>
      <w:sz w:val="16"/>
      <w:szCs w:val="16"/>
      <w:lang w:val="fr-FR" w:eastAsia="fr-FR"/>
    </w:rPr>
  </w:style>
  <w:style w:type="paragraph" w:customStyle="1" w:styleId="xl300">
    <w:name w:val="xl300"/>
    <w:basedOn w:val="Normal"/>
    <w:rsid w:val="00693882"/>
    <w:pPr>
      <w:pBdr>
        <w:top w:val="single" w:sz="8" w:space="0" w:color="auto"/>
        <w:left w:val="single" w:sz="4" w:space="0" w:color="5B9BD5"/>
      </w:pBdr>
      <w:shd w:val="clear" w:color="000000" w:fill="FFFFFF"/>
      <w:spacing w:before="100" w:beforeAutospacing="1" w:after="100" w:afterAutospacing="1" w:line="240" w:lineRule="auto"/>
      <w:textAlignment w:val="center"/>
    </w:pPr>
    <w:rPr>
      <w:rFonts w:ascii="Arial" w:hAnsi="Arial" w:cs="Arial"/>
      <w:color w:val="auto"/>
      <w:kern w:val="0"/>
      <w:sz w:val="16"/>
      <w:szCs w:val="16"/>
      <w:lang w:val="fr-FR" w:eastAsia="fr-FR"/>
    </w:rPr>
  </w:style>
  <w:style w:type="paragraph" w:customStyle="1" w:styleId="xl301">
    <w:name w:val="xl301"/>
    <w:basedOn w:val="Normal"/>
    <w:rsid w:val="00693882"/>
    <w:pPr>
      <w:pBdr>
        <w:left w:val="single" w:sz="4" w:space="0" w:color="5B9BD5"/>
        <w:bottom w:val="single" w:sz="8" w:space="0" w:color="auto"/>
      </w:pBdr>
      <w:shd w:val="clear" w:color="000000" w:fill="FFFFFF"/>
      <w:spacing w:before="100" w:beforeAutospacing="1" w:after="100" w:afterAutospacing="1" w:line="240" w:lineRule="auto"/>
      <w:textAlignment w:val="center"/>
    </w:pPr>
    <w:rPr>
      <w:rFonts w:ascii="Arial" w:hAnsi="Arial" w:cs="Arial"/>
      <w:color w:val="auto"/>
      <w:kern w:val="0"/>
      <w:sz w:val="16"/>
      <w:szCs w:val="16"/>
      <w:lang w:val="fr-FR" w:eastAsia="fr-FR"/>
    </w:rPr>
  </w:style>
  <w:style w:type="paragraph" w:customStyle="1" w:styleId="xl302">
    <w:name w:val="xl302"/>
    <w:basedOn w:val="Normal"/>
    <w:rsid w:val="00693882"/>
    <w:pPr>
      <w:pBdr>
        <w:top w:val="single" w:sz="8" w:space="0" w:color="auto"/>
        <w:left w:val="single" w:sz="4" w:space="0" w:color="5B9BD5"/>
      </w:pBdr>
      <w:shd w:val="clear" w:color="000000" w:fill="BDD7EE"/>
      <w:spacing w:before="100" w:beforeAutospacing="1" w:after="100" w:afterAutospacing="1" w:line="240" w:lineRule="auto"/>
      <w:textAlignment w:val="center"/>
    </w:pPr>
    <w:rPr>
      <w:rFonts w:ascii="Arial" w:hAnsi="Arial" w:cs="Arial"/>
      <w:color w:val="auto"/>
      <w:kern w:val="0"/>
      <w:sz w:val="16"/>
      <w:szCs w:val="16"/>
      <w:lang w:val="fr-FR" w:eastAsia="fr-FR"/>
    </w:rPr>
  </w:style>
  <w:style w:type="paragraph" w:customStyle="1" w:styleId="xl303">
    <w:name w:val="xl303"/>
    <w:basedOn w:val="Normal"/>
    <w:rsid w:val="00693882"/>
    <w:pPr>
      <w:pBdr>
        <w:left w:val="single" w:sz="4" w:space="0" w:color="5B9BD5"/>
      </w:pBdr>
      <w:shd w:val="clear" w:color="000000" w:fill="BDD7EE"/>
      <w:spacing w:before="100" w:beforeAutospacing="1" w:after="100" w:afterAutospacing="1" w:line="240" w:lineRule="auto"/>
      <w:textAlignment w:val="center"/>
    </w:pPr>
    <w:rPr>
      <w:rFonts w:ascii="Arial" w:hAnsi="Arial" w:cs="Arial"/>
      <w:color w:val="auto"/>
      <w:kern w:val="0"/>
      <w:sz w:val="16"/>
      <w:szCs w:val="16"/>
      <w:lang w:val="fr-FR" w:eastAsia="fr-FR"/>
    </w:rPr>
  </w:style>
  <w:style w:type="paragraph" w:customStyle="1" w:styleId="xl304">
    <w:name w:val="xl304"/>
    <w:basedOn w:val="Normal"/>
    <w:rsid w:val="00693882"/>
    <w:pPr>
      <w:pBdr>
        <w:left w:val="single" w:sz="4" w:space="0" w:color="5B9BD5"/>
        <w:bottom w:val="single" w:sz="8" w:space="0" w:color="auto"/>
      </w:pBdr>
      <w:shd w:val="clear" w:color="000000" w:fill="BDD7EE"/>
      <w:spacing w:before="100" w:beforeAutospacing="1" w:after="100" w:afterAutospacing="1" w:line="240" w:lineRule="auto"/>
      <w:textAlignment w:val="center"/>
    </w:pPr>
    <w:rPr>
      <w:rFonts w:ascii="Arial" w:hAnsi="Arial" w:cs="Arial"/>
      <w:color w:val="auto"/>
      <w:kern w:val="0"/>
      <w:sz w:val="16"/>
      <w:szCs w:val="16"/>
      <w:lang w:val="fr-FR" w:eastAsia="fr-FR"/>
    </w:rPr>
  </w:style>
  <w:style w:type="paragraph" w:customStyle="1" w:styleId="xl305">
    <w:name w:val="xl305"/>
    <w:basedOn w:val="Normal"/>
    <w:rsid w:val="00693882"/>
    <w:pPr>
      <w:pBdr>
        <w:top w:val="single" w:sz="8" w:space="0" w:color="auto"/>
        <w:bottom w:val="single" w:sz="8" w:space="0" w:color="auto"/>
      </w:pBdr>
      <w:shd w:val="clear" w:color="000000" w:fill="BDD7EE"/>
      <w:spacing w:before="100" w:beforeAutospacing="1" w:after="100" w:afterAutospacing="1" w:line="240" w:lineRule="auto"/>
      <w:jc w:val="center"/>
      <w:textAlignment w:val="center"/>
    </w:pPr>
    <w:rPr>
      <w:rFonts w:ascii="Arial" w:hAnsi="Arial" w:cs="Arial"/>
      <w:color w:val="auto"/>
      <w:kern w:val="0"/>
      <w:sz w:val="16"/>
      <w:szCs w:val="16"/>
      <w:lang w:val="fr-FR" w:eastAsia="fr-FR"/>
    </w:rPr>
  </w:style>
  <w:style w:type="paragraph" w:customStyle="1" w:styleId="xl306">
    <w:name w:val="xl306"/>
    <w:basedOn w:val="Normal"/>
    <w:rsid w:val="00693882"/>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hAnsi="Arial" w:cs="Arial"/>
      <w:color w:val="auto"/>
      <w:kern w:val="0"/>
      <w:sz w:val="16"/>
      <w:szCs w:val="16"/>
      <w:lang w:val="fr-FR" w:eastAsia="fr-FR"/>
    </w:rPr>
  </w:style>
  <w:style w:type="paragraph" w:customStyle="1" w:styleId="xl307">
    <w:name w:val="xl307"/>
    <w:basedOn w:val="Normal"/>
    <w:rsid w:val="00693882"/>
    <w:pPr>
      <w:pBdr>
        <w:top w:val="single" w:sz="8" w:space="0" w:color="auto"/>
        <w:left w:val="single" w:sz="4" w:space="0" w:color="5B9BD5"/>
        <w:right w:val="single" w:sz="4" w:space="0" w:color="5B9BD5"/>
      </w:pBdr>
      <w:shd w:val="clear" w:color="000000" w:fill="BDD7EE"/>
      <w:spacing w:before="100" w:beforeAutospacing="1" w:after="100" w:afterAutospacing="1" w:line="240" w:lineRule="auto"/>
    </w:pPr>
    <w:rPr>
      <w:rFonts w:ascii="Arial" w:hAnsi="Arial" w:cs="Arial"/>
      <w:color w:val="auto"/>
      <w:kern w:val="0"/>
      <w:sz w:val="16"/>
      <w:szCs w:val="16"/>
      <w:lang w:val="fr-FR" w:eastAsia="fr-FR"/>
    </w:rPr>
  </w:style>
  <w:style w:type="paragraph" w:customStyle="1" w:styleId="xl308">
    <w:name w:val="xl308"/>
    <w:basedOn w:val="Normal"/>
    <w:rsid w:val="00693882"/>
    <w:pPr>
      <w:pBdr>
        <w:left w:val="single" w:sz="4" w:space="0" w:color="5B9BD5"/>
        <w:right w:val="single" w:sz="4" w:space="0" w:color="5B9BD5"/>
      </w:pBdr>
      <w:shd w:val="clear" w:color="000000" w:fill="BDD7EE"/>
      <w:spacing w:before="100" w:beforeAutospacing="1" w:after="100" w:afterAutospacing="1" w:line="240" w:lineRule="auto"/>
    </w:pPr>
    <w:rPr>
      <w:rFonts w:ascii="Arial" w:hAnsi="Arial" w:cs="Arial"/>
      <w:color w:val="auto"/>
      <w:kern w:val="0"/>
      <w:sz w:val="16"/>
      <w:szCs w:val="16"/>
      <w:lang w:val="fr-FR" w:eastAsia="fr-FR"/>
    </w:rPr>
  </w:style>
  <w:style w:type="paragraph" w:customStyle="1" w:styleId="xl309">
    <w:name w:val="xl309"/>
    <w:basedOn w:val="Normal"/>
    <w:rsid w:val="00693882"/>
    <w:pPr>
      <w:pBdr>
        <w:left w:val="single" w:sz="4" w:space="0" w:color="5B9BD5"/>
        <w:bottom w:val="single" w:sz="8" w:space="0" w:color="auto"/>
        <w:right w:val="single" w:sz="4" w:space="0" w:color="5B9BD5"/>
      </w:pBdr>
      <w:shd w:val="clear" w:color="000000" w:fill="BDD7EE"/>
      <w:spacing w:before="100" w:beforeAutospacing="1" w:after="100" w:afterAutospacing="1" w:line="240" w:lineRule="auto"/>
    </w:pPr>
    <w:rPr>
      <w:rFonts w:ascii="Arial" w:hAnsi="Arial" w:cs="Arial"/>
      <w:color w:val="auto"/>
      <w:kern w:val="0"/>
      <w:sz w:val="16"/>
      <w:szCs w:val="16"/>
      <w:lang w:val="fr-FR" w:eastAsia="fr-FR"/>
    </w:rPr>
  </w:style>
  <w:style w:type="paragraph" w:customStyle="1" w:styleId="xl310">
    <w:name w:val="xl310"/>
    <w:basedOn w:val="Normal"/>
    <w:rsid w:val="00693882"/>
    <w:pPr>
      <w:pBdr>
        <w:top w:val="single" w:sz="8" w:space="0" w:color="auto"/>
        <w:left w:val="single" w:sz="4" w:space="0" w:color="5B9BD5"/>
        <w:bottom w:val="single" w:sz="8" w:space="0" w:color="auto"/>
      </w:pBdr>
      <w:shd w:val="clear" w:color="000000" w:fill="BDD7EE"/>
      <w:spacing w:before="100" w:beforeAutospacing="1" w:after="100" w:afterAutospacing="1" w:line="240" w:lineRule="auto"/>
      <w:textAlignment w:val="center"/>
    </w:pPr>
    <w:rPr>
      <w:rFonts w:ascii="Arial" w:hAnsi="Arial" w:cs="Arial"/>
      <w:color w:val="auto"/>
      <w:kern w:val="0"/>
      <w:sz w:val="16"/>
      <w:szCs w:val="16"/>
      <w:lang w:val="fr-FR" w:eastAsia="fr-FR"/>
    </w:rPr>
  </w:style>
  <w:style w:type="paragraph" w:customStyle="1" w:styleId="xl2011">
    <w:name w:val="xl2011"/>
    <w:basedOn w:val="Normal"/>
    <w:rsid w:val="00693882"/>
    <w:pPr>
      <w:pBdr>
        <w:top w:val="single" w:sz="12" w:space="0" w:color="538DD5"/>
        <w:bottom w:val="single" w:sz="12" w:space="0" w:color="538DD5"/>
      </w:pBdr>
      <w:shd w:val="clear" w:color="000000" w:fill="244062"/>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2012">
    <w:name w:val="xl2012"/>
    <w:basedOn w:val="Normal"/>
    <w:rsid w:val="00693882"/>
    <w:pPr>
      <w:pBdr>
        <w:top w:val="single" w:sz="12" w:space="0" w:color="538DD5"/>
        <w:bottom w:val="single" w:sz="12" w:space="0" w:color="538DD5"/>
        <w:right w:val="single" w:sz="12" w:space="0" w:color="538DD5"/>
      </w:pBdr>
      <w:shd w:val="clear" w:color="000000" w:fill="244062"/>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2013">
    <w:name w:val="xl2013"/>
    <w:basedOn w:val="Normal"/>
    <w:rsid w:val="00693882"/>
    <w:pPr>
      <w:pBdr>
        <w:left w:val="single" w:sz="12" w:space="0" w:color="538DD5"/>
        <w:bottom w:val="single" w:sz="12" w:space="0" w:color="4F81BD"/>
        <w:right w:val="single" w:sz="12" w:space="0" w:color="538DD5"/>
      </w:pBdr>
      <w:shd w:val="clear" w:color="000000" w:fill="244062"/>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2014">
    <w:name w:val="xl2014"/>
    <w:basedOn w:val="Normal"/>
    <w:rsid w:val="00693882"/>
    <w:pPr>
      <w:pBdr>
        <w:bottom w:val="single" w:sz="12" w:space="0" w:color="808080"/>
        <w:right w:val="single" w:sz="12" w:space="0" w:color="808080"/>
      </w:pBd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2015">
    <w:name w:val="xl2015"/>
    <w:basedOn w:val="Normal"/>
    <w:rsid w:val="00693882"/>
    <w:pPr>
      <w:pBdr>
        <w:left w:val="single" w:sz="12" w:space="0" w:color="808080"/>
        <w:bottom w:val="single" w:sz="12" w:space="0" w:color="808080"/>
      </w:pBd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lang w:val="en-US" w:eastAsia="en-US"/>
    </w:rPr>
  </w:style>
  <w:style w:type="paragraph" w:customStyle="1" w:styleId="xl2016">
    <w:name w:val="xl2016"/>
    <w:basedOn w:val="Normal"/>
    <w:rsid w:val="00693882"/>
    <w:pPr>
      <w:pBdr>
        <w:bottom w:val="single" w:sz="12" w:space="0" w:color="808080"/>
      </w:pBd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lang w:val="en-US" w:eastAsia="en-US"/>
    </w:rPr>
  </w:style>
  <w:style w:type="paragraph" w:customStyle="1" w:styleId="xl2017">
    <w:name w:val="xl2017"/>
    <w:basedOn w:val="Normal"/>
    <w:rsid w:val="00693882"/>
    <w:pPr>
      <w:pBdr>
        <w:bottom w:val="single" w:sz="12" w:space="0" w:color="808080"/>
        <w:right w:val="single" w:sz="12" w:space="0" w:color="808080"/>
      </w:pBd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lang w:val="en-US" w:eastAsia="en-US"/>
    </w:rPr>
  </w:style>
  <w:style w:type="paragraph" w:customStyle="1" w:styleId="xl1679">
    <w:name w:val="xl1679"/>
    <w:basedOn w:val="Normal"/>
    <w:rsid w:val="006938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1680">
    <w:name w:val="xl1680"/>
    <w:basedOn w:val="Normal"/>
    <w:rsid w:val="00693882"/>
    <w:pPr>
      <w:spacing w:before="100" w:beforeAutospacing="1" w:after="100" w:afterAutospacing="1" w:line="240" w:lineRule="auto"/>
      <w:jc w:val="center"/>
      <w:textAlignment w:val="center"/>
    </w:pPr>
    <w:rPr>
      <w:rFonts w:ascii="Times New Roman" w:hAnsi="Times New Roman"/>
      <w:b/>
      <w:bCs/>
      <w:color w:val="auto"/>
      <w:kern w:val="0"/>
      <w:sz w:val="16"/>
      <w:szCs w:val="16"/>
      <w:lang w:val="fr-FR" w:eastAsia="fr-FR"/>
    </w:rPr>
  </w:style>
  <w:style w:type="paragraph" w:customStyle="1" w:styleId="xl1681">
    <w:name w:val="xl1681"/>
    <w:basedOn w:val="Normal"/>
    <w:rsid w:val="006938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auto"/>
      <w:kern w:val="0"/>
      <w:sz w:val="16"/>
      <w:szCs w:val="16"/>
      <w:lang w:val="fr-FR" w:eastAsia="fr-FR"/>
    </w:rPr>
  </w:style>
  <w:style w:type="paragraph" w:customStyle="1" w:styleId="xl1682">
    <w:name w:val="xl1682"/>
    <w:basedOn w:val="Normal"/>
    <w:rsid w:val="006938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auto"/>
      <w:kern w:val="0"/>
      <w:sz w:val="16"/>
      <w:szCs w:val="16"/>
      <w:lang w:val="fr-FR" w:eastAsia="fr-FR"/>
    </w:rPr>
  </w:style>
  <w:style w:type="paragraph" w:customStyle="1" w:styleId="xl1683">
    <w:name w:val="xl1683"/>
    <w:basedOn w:val="Normal"/>
    <w:rsid w:val="006938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auto"/>
      <w:kern w:val="0"/>
      <w:sz w:val="16"/>
      <w:szCs w:val="16"/>
      <w:lang w:val="fr-FR" w:eastAsia="fr-FR"/>
    </w:rPr>
  </w:style>
  <w:style w:type="paragraph" w:customStyle="1" w:styleId="xl1684">
    <w:name w:val="xl1684"/>
    <w:basedOn w:val="Normal"/>
    <w:rsid w:val="00693882"/>
    <w:pPr>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1685">
    <w:name w:val="xl1685"/>
    <w:basedOn w:val="Normal"/>
    <w:rsid w:val="00693882"/>
    <w:pPr>
      <w:spacing w:before="100" w:beforeAutospacing="1" w:after="100" w:afterAutospacing="1" w:line="240" w:lineRule="auto"/>
    </w:pPr>
    <w:rPr>
      <w:rFonts w:ascii="Times New Roman" w:hAnsi="Times New Roman"/>
      <w:b/>
      <w:bCs/>
      <w:color w:val="auto"/>
      <w:kern w:val="0"/>
      <w:sz w:val="16"/>
      <w:szCs w:val="16"/>
      <w:lang w:val="fr-FR" w:eastAsia="fr-FR"/>
    </w:rPr>
  </w:style>
  <w:style w:type="paragraph" w:customStyle="1" w:styleId="xl1686">
    <w:name w:val="xl1686"/>
    <w:basedOn w:val="Normal"/>
    <w:rsid w:val="00693882"/>
    <w:pPr>
      <w:spacing w:before="100" w:beforeAutospacing="1" w:after="100" w:afterAutospacing="1" w:line="240" w:lineRule="auto"/>
    </w:pPr>
    <w:rPr>
      <w:rFonts w:ascii="Times New Roman" w:hAnsi="Times New Roman"/>
      <w:color w:val="auto"/>
      <w:kern w:val="0"/>
      <w:sz w:val="16"/>
      <w:szCs w:val="16"/>
      <w:lang w:val="fr-FR" w:eastAsia="fr-FR"/>
    </w:rPr>
  </w:style>
  <w:style w:type="paragraph" w:customStyle="1" w:styleId="xl1687">
    <w:name w:val="xl1687"/>
    <w:basedOn w:val="Normal"/>
    <w:rsid w:val="00693882"/>
    <w:pP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1688">
    <w:name w:val="xl1688"/>
    <w:basedOn w:val="Normal"/>
    <w:rsid w:val="00693882"/>
    <w:pP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1689">
    <w:name w:val="xl1689"/>
    <w:basedOn w:val="Normal"/>
    <w:rsid w:val="0069388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auto"/>
      <w:kern w:val="0"/>
      <w:sz w:val="16"/>
      <w:szCs w:val="16"/>
      <w:lang w:val="fr-FR" w:eastAsia="fr-FR"/>
    </w:rPr>
  </w:style>
  <w:style w:type="paragraph" w:customStyle="1" w:styleId="xl1690">
    <w:name w:val="xl1690"/>
    <w:basedOn w:val="Normal"/>
    <w:rsid w:val="00693882"/>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b/>
      <w:bCs/>
      <w:color w:val="auto"/>
      <w:kern w:val="0"/>
      <w:sz w:val="16"/>
      <w:szCs w:val="16"/>
      <w:lang w:val="fr-FR" w:eastAsia="fr-FR"/>
    </w:rPr>
  </w:style>
  <w:style w:type="paragraph" w:customStyle="1" w:styleId="xl1691">
    <w:name w:val="xl1691"/>
    <w:basedOn w:val="Normal"/>
    <w:rsid w:val="0069388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1692">
    <w:name w:val="xl1692"/>
    <w:basedOn w:val="Normal"/>
    <w:rsid w:val="006938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1693">
    <w:name w:val="xl1693"/>
    <w:basedOn w:val="Normal"/>
    <w:rsid w:val="00693882"/>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1694">
    <w:name w:val="xl1694"/>
    <w:basedOn w:val="Normal"/>
    <w:rsid w:val="00693882"/>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1695">
    <w:name w:val="xl1695"/>
    <w:basedOn w:val="Normal"/>
    <w:rsid w:val="00693882"/>
    <w:pPr>
      <w:pBdr>
        <w:top w:val="single" w:sz="4" w:space="0" w:color="auto"/>
        <w:bottom w:val="single" w:sz="4" w:space="0" w:color="auto"/>
      </w:pBdr>
      <w:spacing w:before="100" w:beforeAutospacing="1" w:after="100" w:afterAutospacing="1" w:line="240" w:lineRule="auto"/>
    </w:pPr>
    <w:rPr>
      <w:rFonts w:ascii="Times New Roman" w:hAnsi="Times New Roman"/>
      <w:color w:val="auto"/>
      <w:kern w:val="0"/>
      <w:sz w:val="16"/>
      <w:szCs w:val="16"/>
      <w:lang w:val="fr-FR" w:eastAsia="fr-FR"/>
    </w:rPr>
  </w:style>
  <w:style w:type="paragraph" w:customStyle="1" w:styleId="xl1696">
    <w:name w:val="xl1696"/>
    <w:basedOn w:val="Normal"/>
    <w:rsid w:val="0069388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1697">
    <w:name w:val="xl1697"/>
    <w:basedOn w:val="Normal"/>
    <w:rsid w:val="00693882"/>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auto"/>
      <w:kern w:val="0"/>
      <w:sz w:val="16"/>
      <w:szCs w:val="16"/>
      <w:lang w:val="fr-FR" w:eastAsia="fr-FR"/>
    </w:rPr>
  </w:style>
  <w:style w:type="paragraph" w:customStyle="1" w:styleId="xl1698">
    <w:name w:val="xl1698"/>
    <w:basedOn w:val="Normal"/>
    <w:rsid w:val="00693882"/>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color w:val="auto"/>
      <w:kern w:val="0"/>
      <w:sz w:val="16"/>
      <w:szCs w:val="16"/>
      <w:lang w:val="fr-FR" w:eastAsia="fr-FR"/>
    </w:rPr>
  </w:style>
  <w:style w:type="paragraph" w:customStyle="1" w:styleId="xl1699">
    <w:name w:val="xl1699"/>
    <w:basedOn w:val="Normal"/>
    <w:rsid w:val="00693882"/>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color w:val="auto"/>
      <w:kern w:val="0"/>
      <w:sz w:val="16"/>
      <w:szCs w:val="16"/>
      <w:lang w:val="fr-FR" w:eastAsia="fr-FR"/>
    </w:rPr>
  </w:style>
  <w:style w:type="paragraph" w:customStyle="1" w:styleId="xl1700">
    <w:name w:val="xl1700"/>
    <w:basedOn w:val="Normal"/>
    <w:rsid w:val="00693882"/>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color w:val="auto"/>
      <w:kern w:val="0"/>
      <w:sz w:val="16"/>
      <w:szCs w:val="16"/>
      <w:lang w:val="fr-FR" w:eastAsia="fr-FR"/>
    </w:rPr>
  </w:style>
  <w:style w:type="paragraph" w:customStyle="1" w:styleId="xl1701">
    <w:name w:val="xl1701"/>
    <w:basedOn w:val="Normal"/>
    <w:rsid w:val="00693882"/>
    <w:pP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1702">
    <w:name w:val="xl1702"/>
    <w:basedOn w:val="Normal"/>
    <w:rsid w:val="0069388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auto"/>
      <w:kern w:val="0"/>
      <w:sz w:val="16"/>
      <w:szCs w:val="16"/>
      <w:lang w:val="fr-FR" w:eastAsia="fr-FR"/>
    </w:rPr>
  </w:style>
  <w:style w:type="paragraph" w:customStyle="1" w:styleId="xl1703">
    <w:name w:val="xl1703"/>
    <w:basedOn w:val="Normal"/>
    <w:rsid w:val="0069388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auto"/>
      <w:kern w:val="0"/>
      <w:sz w:val="16"/>
      <w:szCs w:val="16"/>
      <w:lang w:val="fr-FR" w:eastAsia="fr-FR"/>
    </w:rPr>
  </w:style>
  <w:style w:type="paragraph" w:customStyle="1" w:styleId="xl1704">
    <w:name w:val="xl1704"/>
    <w:basedOn w:val="Normal"/>
    <w:rsid w:val="0069388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auto"/>
      <w:kern w:val="0"/>
      <w:sz w:val="16"/>
      <w:szCs w:val="16"/>
      <w:lang w:val="fr-FR" w:eastAsia="fr-FR"/>
    </w:rPr>
  </w:style>
  <w:style w:type="paragraph" w:customStyle="1" w:styleId="xl1705">
    <w:name w:val="xl1705"/>
    <w:basedOn w:val="Normal"/>
    <w:rsid w:val="0069388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auto"/>
      <w:kern w:val="0"/>
      <w:sz w:val="16"/>
      <w:szCs w:val="16"/>
      <w:lang w:val="fr-FR" w:eastAsia="fr-FR"/>
    </w:rPr>
  </w:style>
  <w:style w:type="paragraph" w:customStyle="1" w:styleId="xl1706">
    <w:name w:val="xl1706"/>
    <w:basedOn w:val="Normal"/>
    <w:rsid w:val="00693882"/>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auto"/>
      <w:kern w:val="0"/>
      <w:sz w:val="16"/>
      <w:szCs w:val="16"/>
      <w:lang w:val="fr-FR" w:eastAsia="fr-FR"/>
    </w:rPr>
  </w:style>
  <w:style w:type="paragraph" w:customStyle="1" w:styleId="xl1707">
    <w:name w:val="xl1707"/>
    <w:basedOn w:val="Normal"/>
    <w:rsid w:val="00693882"/>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color w:val="auto"/>
      <w:kern w:val="0"/>
      <w:sz w:val="16"/>
      <w:szCs w:val="16"/>
      <w:lang w:val="fr-FR" w:eastAsia="fr-FR"/>
    </w:rPr>
  </w:style>
  <w:style w:type="paragraph" w:customStyle="1" w:styleId="xl1708">
    <w:name w:val="xl1708"/>
    <w:basedOn w:val="Normal"/>
    <w:rsid w:val="00693882"/>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line="240" w:lineRule="auto"/>
      <w:textAlignment w:val="center"/>
    </w:pPr>
    <w:rPr>
      <w:rFonts w:ascii="Times New Roman" w:hAnsi="Times New Roman"/>
      <w:b/>
      <w:bCs/>
      <w:color w:val="auto"/>
      <w:kern w:val="0"/>
      <w:sz w:val="16"/>
      <w:szCs w:val="16"/>
      <w:lang w:val="fr-FR" w:eastAsia="fr-FR"/>
    </w:rPr>
  </w:style>
  <w:style w:type="paragraph" w:customStyle="1" w:styleId="xl1709">
    <w:name w:val="xl1709"/>
    <w:basedOn w:val="Normal"/>
    <w:rsid w:val="006938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auto"/>
      <w:kern w:val="0"/>
      <w:sz w:val="16"/>
      <w:szCs w:val="16"/>
      <w:lang w:val="fr-FR" w:eastAsia="fr-FR"/>
    </w:rPr>
  </w:style>
  <w:style w:type="paragraph" w:customStyle="1" w:styleId="xl1710">
    <w:name w:val="xl1710"/>
    <w:basedOn w:val="Normal"/>
    <w:rsid w:val="0069388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1711">
    <w:name w:val="xl1711"/>
    <w:basedOn w:val="Normal"/>
    <w:rsid w:val="006938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1712">
    <w:name w:val="xl1712"/>
    <w:basedOn w:val="Normal"/>
    <w:rsid w:val="0069388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1713">
    <w:name w:val="xl1713"/>
    <w:basedOn w:val="Normal"/>
    <w:rsid w:val="00693882"/>
    <w:pPr>
      <w:pBdr>
        <w:left w:val="single" w:sz="4" w:space="0" w:color="auto"/>
        <w:bottom w:val="single" w:sz="4" w:space="0" w:color="auto"/>
      </w:pBdr>
      <w:spacing w:before="100" w:beforeAutospacing="1" w:after="100" w:afterAutospacing="1" w:line="240" w:lineRule="auto"/>
    </w:pPr>
    <w:rPr>
      <w:rFonts w:ascii="Times New Roman" w:hAnsi="Times New Roman"/>
      <w:color w:val="auto"/>
      <w:kern w:val="0"/>
      <w:sz w:val="16"/>
      <w:szCs w:val="16"/>
      <w:lang w:val="fr-FR" w:eastAsia="fr-FR"/>
    </w:rPr>
  </w:style>
  <w:style w:type="paragraph" w:customStyle="1" w:styleId="xl1714">
    <w:name w:val="xl1714"/>
    <w:basedOn w:val="Normal"/>
    <w:rsid w:val="0069388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FF0000"/>
      <w:kern w:val="0"/>
      <w:sz w:val="16"/>
      <w:szCs w:val="16"/>
      <w:lang w:val="fr-FR" w:eastAsia="fr-FR"/>
    </w:rPr>
  </w:style>
  <w:style w:type="paragraph" w:customStyle="1" w:styleId="xl1715">
    <w:name w:val="xl1715"/>
    <w:basedOn w:val="Normal"/>
    <w:rsid w:val="0069388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1716">
    <w:name w:val="xl1716"/>
    <w:basedOn w:val="Normal"/>
    <w:rsid w:val="00693882"/>
    <w:pP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1717">
    <w:name w:val="xl1717"/>
    <w:basedOn w:val="Normal"/>
    <w:rsid w:val="0069388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1718">
    <w:name w:val="xl1718"/>
    <w:basedOn w:val="Normal"/>
    <w:rsid w:val="00693882"/>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1719">
    <w:name w:val="xl1719"/>
    <w:basedOn w:val="Normal"/>
    <w:rsid w:val="00693882"/>
    <w:pPr>
      <w:pBdr>
        <w:top w:val="single" w:sz="4" w:space="0" w:color="auto"/>
        <w:left w:val="single" w:sz="4" w:space="0" w:color="auto"/>
        <w:bottom w:val="double" w:sz="6" w:space="0" w:color="auto"/>
        <w:right w:val="single" w:sz="4" w:space="0" w:color="auto"/>
      </w:pBdr>
      <w:shd w:val="clear" w:color="000000" w:fill="A6A6A6"/>
      <w:spacing w:before="100" w:beforeAutospacing="1" w:after="100" w:afterAutospacing="1" w:line="240" w:lineRule="auto"/>
      <w:textAlignment w:val="center"/>
    </w:pPr>
    <w:rPr>
      <w:rFonts w:ascii="Times New Roman" w:hAnsi="Times New Roman"/>
      <w:b/>
      <w:bCs/>
      <w:color w:val="auto"/>
      <w:kern w:val="0"/>
      <w:sz w:val="16"/>
      <w:szCs w:val="16"/>
      <w:lang w:val="fr-FR" w:eastAsia="fr-FR"/>
    </w:rPr>
  </w:style>
  <w:style w:type="paragraph" w:customStyle="1" w:styleId="xl1720">
    <w:name w:val="xl1720"/>
    <w:basedOn w:val="Normal"/>
    <w:rsid w:val="0069388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ArticleL1">
    <w:name w:val="Article_L1"/>
    <w:basedOn w:val="Normal"/>
    <w:uiPriority w:val="99"/>
    <w:rsid w:val="00693882"/>
    <w:pPr>
      <w:numPr>
        <w:numId w:val="23"/>
      </w:numPr>
      <w:spacing w:after="0" w:line="240" w:lineRule="auto"/>
    </w:pPr>
    <w:rPr>
      <w:rFonts w:ascii="Times New Roman" w:hAnsi="Times New Roman"/>
      <w:color w:val="auto"/>
      <w:kern w:val="0"/>
      <w:sz w:val="24"/>
      <w:lang w:val="en-US" w:eastAsia="fr-FR"/>
    </w:rPr>
  </w:style>
  <w:style w:type="paragraph" w:customStyle="1" w:styleId="ArticleL2">
    <w:name w:val="Article_L2"/>
    <w:basedOn w:val="Normal"/>
    <w:uiPriority w:val="99"/>
    <w:rsid w:val="00693882"/>
    <w:pPr>
      <w:numPr>
        <w:ilvl w:val="1"/>
        <w:numId w:val="23"/>
      </w:numPr>
      <w:spacing w:after="0" w:line="240" w:lineRule="auto"/>
    </w:pPr>
    <w:rPr>
      <w:rFonts w:ascii="Times New Roman" w:hAnsi="Times New Roman"/>
      <w:color w:val="auto"/>
      <w:kern w:val="0"/>
      <w:sz w:val="24"/>
      <w:lang w:val="en-US" w:eastAsia="fr-FR"/>
    </w:rPr>
  </w:style>
  <w:style w:type="paragraph" w:customStyle="1" w:styleId="ArticleL3">
    <w:name w:val="Article_L3"/>
    <w:basedOn w:val="Normal"/>
    <w:uiPriority w:val="99"/>
    <w:rsid w:val="00693882"/>
    <w:pPr>
      <w:numPr>
        <w:ilvl w:val="2"/>
        <w:numId w:val="23"/>
      </w:numPr>
      <w:spacing w:after="0" w:line="240" w:lineRule="auto"/>
    </w:pPr>
    <w:rPr>
      <w:rFonts w:ascii="Times New Roman" w:hAnsi="Times New Roman"/>
      <w:color w:val="auto"/>
      <w:kern w:val="0"/>
      <w:sz w:val="24"/>
      <w:lang w:val="en-US" w:eastAsia="fr-FR"/>
    </w:rPr>
  </w:style>
  <w:style w:type="paragraph" w:customStyle="1" w:styleId="ArticleL4">
    <w:name w:val="Article_L4"/>
    <w:basedOn w:val="Normal"/>
    <w:uiPriority w:val="99"/>
    <w:rsid w:val="00693882"/>
    <w:pPr>
      <w:numPr>
        <w:ilvl w:val="3"/>
        <w:numId w:val="23"/>
      </w:numPr>
      <w:spacing w:after="0" w:line="240" w:lineRule="auto"/>
    </w:pPr>
    <w:rPr>
      <w:rFonts w:ascii="Times New Roman" w:hAnsi="Times New Roman"/>
      <w:color w:val="auto"/>
      <w:kern w:val="0"/>
      <w:sz w:val="24"/>
      <w:lang w:val="en-US" w:eastAsia="fr-FR"/>
    </w:rPr>
  </w:style>
  <w:style w:type="paragraph" w:customStyle="1" w:styleId="ArticleL5">
    <w:name w:val="Article_L5"/>
    <w:basedOn w:val="Normal"/>
    <w:uiPriority w:val="99"/>
    <w:rsid w:val="00693882"/>
    <w:pPr>
      <w:numPr>
        <w:ilvl w:val="4"/>
        <w:numId w:val="23"/>
      </w:numPr>
      <w:spacing w:after="0" w:line="240" w:lineRule="auto"/>
    </w:pPr>
    <w:rPr>
      <w:rFonts w:ascii="Times New Roman" w:hAnsi="Times New Roman"/>
      <w:color w:val="auto"/>
      <w:kern w:val="0"/>
      <w:sz w:val="24"/>
      <w:lang w:val="en-US" w:eastAsia="fr-FR"/>
    </w:rPr>
  </w:style>
  <w:style w:type="paragraph" w:customStyle="1" w:styleId="ArticleL6">
    <w:name w:val="Article_L6"/>
    <w:basedOn w:val="Normal"/>
    <w:uiPriority w:val="99"/>
    <w:rsid w:val="00693882"/>
    <w:pPr>
      <w:numPr>
        <w:ilvl w:val="5"/>
        <w:numId w:val="23"/>
      </w:numPr>
      <w:spacing w:after="0" w:line="240" w:lineRule="auto"/>
    </w:pPr>
    <w:rPr>
      <w:rFonts w:ascii="Times New Roman" w:hAnsi="Times New Roman"/>
      <w:color w:val="auto"/>
      <w:kern w:val="0"/>
      <w:sz w:val="24"/>
      <w:lang w:val="en-US" w:eastAsia="fr-FR"/>
    </w:rPr>
  </w:style>
  <w:style w:type="paragraph" w:customStyle="1" w:styleId="ArticleL7">
    <w:name w:val="Article_L7"/>
    <w:basedOn w:val="Normal"/>
    <w:uiPriority w:val="99"/>
    <w:rsid w:val="00693882"/>
    <w:pPr>
      <w:numPr>
        <w:ilvl w:val="6"/>
        <w:numId w:val="23"/>
      </w:numPr>
      <w:spacing w:after="0" w:line="240" w:lineRule="auto"/>
    </w:pPr>
    <w:rPr>
      <w:rFonts w:ascii="Times New Roman" w:hAnsi="Times New Roman"/>
      <w:color w:val="auto"/>
      <w:kern w:val="0"/>
      <w:sz w:val="24"/>
      <w:lang w:val="en-US" w:eastAsia="fr-FR"/>
    </w:rPr>
  </w:style>
  <w:style w:type="paragraph" w:customStyle="1" w:styleId="ArticleL8">
    <w:name w:val="Article_L8"/>
    <w:basedOn w:val="Normal"/>
    <w:uiPriority w:val="99"/>
    <w:rsid w:val="00693882"/>
    <w:pPr>
      <w:numPr>
        <w:ilvl w:val="7"/>
        <w:numId w:val="23"/>
      </w:numPr>
      <w:spacing w:after="0" w:line="240" w:lineRule="auto"/>
    </w:pPr>
    <w:rPr>
      <w:rFonts w:ascii="Times New Roman" w:hAnsi="Times New Roman"/>
      <w:color w:val="auto"/>
      <w:kern w:val="0"/>
      <w:sz w:val="24"/>
      <w:lang w:val="en-US" w:eastAsia="fr-FR"/>
    </w:rPr>
  </w:style>
  <w:style w:type="paragraph" w:customStyle="1" w:styleId="ArticleL9">
    <w:name w:val="Article_L9"/>
    <w:basedOn w:val="Normal"/>
    <w:uiPriority w:val="99"/>
    <w:rsid w:val="00693882"/>
    <w:pPr>
      <w:numPr>
        <w:ilvl w:val="8"/>
        <w:numId w:val="23"/>
      </w:numPr>
      <w:spacing w:after="0" w:line="240" w:lineRule="auto"/>
    </w:pPr>
    <w:rPr>
      <w:rFonts w:ascii="Times New Roman" w:hAnsi="Times New Roman"/>
      <w:color w:val="auto"/>
      <w:kern w:val="0"/>
      <w:sz w:val="24"/>
      <w:lang w:val="en-US" w:eastAsia="fr-FR"/>
    </w:rPr>
  </w:style>
  <w:style w:type="table" w:customStyle="1" w:styleId="Tramemoyenne1-Accent12">
    <w:name w:val="Trame moyenne 1 - Accent 12"/>
    <w:basedOn w:val="TableNormal"/>
    <w:uiPriority w:val="63"/>
    <w:rsid w:val="00693882"/>
    <w:rPr>
      <w:rFonts w:ascii="Calibri" w:hAnsi="Calibri"/>
      <w:lang w:val="fr-FR" w:eastAsia="fr-FR"/>
    </w:rPr>
    <w:tblPr>
      <w:tblStyleRowBandSize w:val="1"/>
      <w:tblStyleColBandSize w:val="1"/>
      <w:tblBorders>
        <w:top w:val="single" w:sz="8" w:space="0" w:color="F1536B" w:themeColor="accent1" w:themeTint="BF"/>
        <w:left w:val="single" w:sz="8" w:space="0" w:color="F1536B" w:themeColor="accent1" w:themeTint="BF"/>
        <w:bottom w:val="single" w:sz="8" w:space="0" w:color="F1536B" w:themeColor="accent1" w:themeTint="BF"/>
        <w:right w:val="single" w:sz="8" w:space="0" w:color="F1536B" w:themeColor="accent1" w:themeTint="BF"/>
        <w:insideH w:val="single" w:sz="8" w:space="0" w:color="F1536B" w:themeColor="accent1" w:themeTint="BF"/>
      </w:tblBorders>
    </w:tblPr>
    <w:tblStylePr w:type="firstRow">
      <w:pPr>
        <w:spacing w:before="0" w:after="0" w:line="240" w:lineRule="auto"/>
      </w:pPr>
      <w:rPr>
        <w:b/>
        <w:bCs/>
        <w:color w:val="FFFFFF" w:themeColor="background1"/>
      </w:rPr>
      <w:tblPr/>
      <w:tcPr>
        <w:tcBorders>
          <w:top w:val="single" w:sz="8" w:space="0" w:color="F1536B" w:themeColor="accent1" w:themeTint="BF"/>
          <w:left w:val="single" w:sz="8" w:space="0" w:color="F1536B" w:themeColor="accent1" w:themeTint="BF"/>
          <w:bottom w:val="single" w:sz="8" w:space="0" w:color="F1536B" w:themeColor="accent1" w:themeTint="BF"/>
          <w:right w:val="single" w:sz="8" w:space="0" w:color="F1536B" w:themeColor="accent1" w:themeTint="BF"/>
          <w:insideH w:val="nil"/>
          <w:insideV w:val="nil"/>
        </w:tcBorders>
        <w:shd w:val="clear" w:color="auto" w:fill="ED1A3B" w:themeFill="accent1"/>
      </w:tcPr>
    </w:tblStylePr>
    <w:tblStylePr w:type="lastRow">
      <w:pPr>
        <w:spacing w:before="0" w:after="0" w:line="240" w:lineRule="auto"/>
      </w:pPr>
      <w:rPr>
        <w:b/>
        <w:bCs/>
      </w:rPr>
      <w:tblPr/>
      <w:tcPr>
        <w:tcBorders>
          <w:top w:val="double" w:sz="6" w:space="0" w:color="F1536B" w:themeColor="accent1" w:themeTint="BF"/>
          <w:left w:val="single" w:sz="8" w:space="0" w:color="F1536B" w:themeColor="accent1" w:themeTint="BF"/>
          <w:bottom w:val="single" w:sz="8" w:space="0" w:color="F1536B" w:themeColor="accent1" w:themeTint="BF"/>
          <w:right w:val="single" w:sz="8" w:space="0" w:color="F1536B" w:themeColor="accent1" w:themeTint="BF"/>
          <w:insideH w:val="nil"/>
          <w:insideV w:val="nil"/>
        </w:tcBorders>
      </w:tcPr>
    </w:tblStylePr>
    <w:tblStylePr w:type="firstCol">
      <w:rPr>
        <w:b/>
        <w:bCs/>
      </w:rPr>
    </w:tblStylePr>
    <w:tblStylePr w:type="lastCol">
      <w:rPr>
        <w:b/>
        <w:bCs/>
      </w:rPr>
    </w:tblStylePr>
    <w:tblStylePr w:type="band1Vert">
      <w:tblPr/>
      <w:tcPr>
        <w:shd w:val="clear" w:color="auto" w:fill="FAC6CE" w:themeFill="accent1" w:themeFillTint="3F"/>
      </w:tcPr>
    </w:tblStylePr>
    <w:tblStylePr w:type="band1Horz">
      <w:tblPr/>
      <w:tcPr>
        <w:tcBorders>
          <w:insideH w:val="nil"/>
          <w:insideV w:val="nil"/>
        </w:tcBorders>
        <w:shd w:val="clear" w:color="auto" w:fill="FAC6CE" w:themeFill="accent1" w:themeFillTint="3F"/>
      </w:tcPr>
    </w:tblStylePr>
    <w:tblStylePr w:type="band2Horz">
      <w:tblPr/>
      <w:tcPr>
        <w:tcBorders>
          <w:insideH w:val="nil"/>
          <w:insideV w:val="nil"/>
        </w:tcBorders>
      </w:tcPr>
    </w:tblStylePr>
  </w:style>
  <w:style w:type="table" w:customStyle="1" w:styleId="Tramemoyenne1-Accent121">
    <w:name w:val="Trame moyenne 1 - Accent 121"/>
    <w:basedOn w:val="TableNormal"/>
    <w:uiPriority w:val="63"/>
    <w:rsid w:val="00693882"/>
    <w:rPr>
      <w:rFonts w:ascii="Calibri" w:hAnsi="Calibri"/>
      <w:lang w:val="fr-FR" w:eastAsia="fr-FR"/>
    </w:rPr>
    <w:tblPr>
      <w:tblStyleRowBandSize w:val="1"/>
      <w:tblStyleColBandSize w:val="1"/>
      <w:tblBorders>
        <w:top w:val="single" w:sz="8" w:space="0" w:color="F1536B" w:themeColor="accent1" w:themeTint="BF"/>
        <w:left w:val="single" w:sz="8" w:space="0" w:color="F1536B" w:themeColor="accent1" w:themeTint="BF"/>
        <w:bottom w:val="single" w:sz="8" w:space="0" w:color="F1536B" w:themeColor="accent1" w:themeTint="BF"/>
        <w:right w:val="single" w:sz="8" w:space="0" w:color="F1536B" w:themeColor="accent1" w:themeTint="BF"/>
        <w:insideH w:val="single" w:sz="8" w:space="0" w:color="F1536B" w:themeColor="accent1" w:themeTint="BF"/>
      </w:tblBorders>
    </w:tblPr>
    <w:tblStylePr w:type="firstRow">
      <w:pPr>
        <w:spacing w:before="0" w:after="0" w:line="240" w:lineRule="auto"/>
      </w:pPr>
      <w:rPr>
        <w:b/>
        <w:bCs/>
        <w:color w:val="FFFFFF" w:themeColor="background1"/>
      </w:rPr>
      <w:tblPr/>
      <w:tcPr>
        <w:tcBorders>
          <w:top w:val="single" w:sz="8" w:space="0" w:color="F1536B" w:themeColor="accent1" w:themeTint="BF"/>
          <w:left w:val="single" w:sz="8" w:space="0" w:color="F1536B" w:themeColor="accent1" w:themeTint="BF"/>
          <w:bottom w:val="single" w:sz="8" w:space="0" w:color="F1536B" w:themeColor="accent1" w:themeTint="BF"/>
          <w:right w:val="single" w:sz="8" w:space="0" w:color="F1536B" w:themeColor="accent1" w:themeTint="BF"/>
          <w:insideH w:val="nil"/>
          <w:insideV w:val="nil"/>
        </w:tcBorders>
        <w:shd w:val="clear" w:color="auto" w:fill="ED1A3B" w:themeFill="accent1"/>
      </w:tcPr>
    </w:tblStylePr>
    <w:tblStylePr w:type="lastRow">
      <w:pPr>
        <w:spacing w:before="0" w:after="0" w:line="240" w:lineRule="auto"/>
      </w:pPr>
      <w:rPr>
        <w:b/>
        <w:bCs/>
      </w:rPr>
      <w:tblPr/>
      <w:tcPr>
        <w:tcBorders>
          <w:top w:val="double" w:sz="6" w:space="0" w:color="F1536B" w:themeColor="accent1" w:themeTint="BF"/>
          <w:left w:val="single" w:sz="8" w:space="0" w:color="F1536B" w:themeColor="accent1" w:themeTint="BF"/>
          <w:bottom w:val="single" w:sz="8" w:space="0" w:color="F1536B" w:themeColor="accent1" w:themeTint="BF"/>
          <w:right w:val="single" w:sz="8" w:space="0" w:color="F1536B" w:themeColor="accent1" w:themeTint="BF"/>
          <w:insideH w:val="nil"/>
          <w:insideV w:val="nil"/>
        </w:tcBorders>
      </w:tcPr>
    </w:tblStylePr>
    <w:tblStylePr w:type="firstCol">
      <w:rPr>
        <w:b/>
        <w:bCs/>
      </w:rPr>
    </w:tblStylePr>
    <w:tblStylePr w:type="lastCol">
      <w:rPr>
        <w:b/>
        <w:bCs/>
      </w:rPr>
    </w:tblStylePr>
    <w:tblStylePr w:type="band1Vert">
      <w:tblPr/>
      <w:tcPr>
        <w:shd w:val="clear" w:color="auto" w:fill="FAC6CE" w:themeFill="accent1" w:themeFillTint="3F"/>
      </w:tcPr>
    </w:tblStylePr>
    <w:tblStylePr w:type="band1Horz">
      <w:tblPr/>
      <w:tcPr>
        <w:tcBorders>
          <w:insideH w:val="nil"/>
          <w:insideV w:val="nil"/>
        </w:tcBorders>
        <w:shd w:val="clear" w:color="auto" w:fill="FAC6CE" w:themeFill="accent1" w:themeFillTint="3F"/>
      </w:tcPr>
    </w:tblStylePr>
    <w:tblStylePr w:type="band2Horz">
      <w:tblPr/>
      <w:tcPr>
        <w:tcBorders>
          <w:insideH w:val="nil"/>
          <w:insideV w:val="nil"/>
        </w:tcBorders>
      </w:tcPr>
    </w:tblStylePr>
  </w:style>
  <w:style w:type="paragraph" w:customStyle="1" w:styleId="Corps">
    <w:name w:val="Corps"/>
    <w:rsid w:val="00693882"/>
    <w:pPr>
      <w:pBdr>
        <w:top w:val="nil"/>
        <w:left w:val="nil"/>
        <w:bottom w:val="nil"/>
        <w:right w:val="nil"/>
        <w:between w:val="nil"/>
        <w:bar w:val="nil"/>
      </w:pBdr>
      <w:spacing w:after="240"/>
      <w:jc w:val="both"/>
    </w:pPr>
    <w:rPr>
      <w:rFonts w:ascii="Arial" w:eastAsia="Arial Unicode MS" w:hAnsi="Arial" w:cs="Arial Unicode MS"/>
      <w:color w:val="000000"/>
      <w:u w:color="000000"/>
      <w:bdr w:val="nil"/>
      <w:lang w:val="fr-FR" w:eastAsia="fr-FR"/>
    </w:rPr>
  </w:style>
  <w:style w:type="character" w:customStyle="1" w:styleId="Lien">
    <w:name w:val="Lien"/>
    <w:rsid w:val="00693882"/>
    <w:rPr>
      <w:color w:val="0000FF"/>
      <w:u w:val="single" w:color="0000FF"/>
    </w:rPr>
  </w:style>
  <w:style w:type="paragraph" w:customStyle="1" w:styleId="Pardfaut">
    <w:name w:val="Par défaut"/>
    <w:rsid w:val="00693882"/>
    <w:pPr>
      <w:pBdr>
        <w:top w:val="nil"/>
        <w:left w:val="nil"/>
        <w:bottom w:val="nil"/>
        <w:right w:val="nil"/>
        <w:between w:val="nil"/>
        <w:bar w:val="nil"/>
      </w:pBdr>
    </w:pPr>
    <w:rPr>
      <w:rFonts w:ascii="Helvetica" w:eastAsia="Helvetica" w:hAnsi="Helvetica" w:cs="Helvetica"/>
      <w:color w:val="000000"/>
      <w:sz w:val="22"/>
      <w:szCs w:val="22"/>
      <w:bdr w:val="nil"/>
      <w:lang w:val="fr-FR" w:eastAsia="fr-FR"/>
    </w:rPr>
  </w:style>
  <w:style w:type="character" w:customStyle="1" w:styleId="font391">
    <w:name w:val="font391"/>
    <w:basedOn w:val="DefaultParagraphFont"/>
    <w:rsid w:val="00693882"/>
    <w:rPr>
      <w:rFonts w:ascii="Arial" w:hAnsi="Arial" w:cs="Arial" w:hint="default"/>
      <w:b w:val="0"/>
      <w:bCs w:val="0"/>
      <w:i w:val="0"/>
      <w:iCs w:val="0"/>
      <w:strike w:val="0"/>
      <w:dstrike w:val="0"/>
      <w:color w:val="000000"/>
      <w:sz w:val="16"/>
      <w:szCs w:val="16"/>
      <w:u w:val="none"/>
      <w:effect w:val="none"/>
    </w:rPr>
  </w:style>
  <w:style w:type="character" w:customStyle="1" w:styleId="font451">
    <w:name w:val="font451"/>
    <w:basedOn w:val="DefaultParagraphFont"/>
    <w:rsid w:val="00693882"/>
    <w:rPr>
      <w:rFonts w:ascii="Arial" w:hAnsi="Arial" w:cs="Arial" w:hint="default"/>
      <w:b w:val="0"/>
      <w:bCs w:val="0"/>
      <w:i w:val="0"/>
      <w:iCs w:val="0"/>
      <w:strike w:val="0"/>
      <w:dstrike w:val="0"/>
      <w:color w:val="000000"/>
      <w:sz w:val="18"/>
      <w:szCs w:val="18"/>
      <w:u w:val="none"/>
      <w:effect w:val="none"/>
    </w:rPr>
  </w:style>
  <w:style w:type="character" w:customStyle="1" w:styleId="Mention1">
    <w:name w:val="Mention1"/>
    <w:basedOn w:val="DefaultParagraphFont"/>
    <w:uiPriority w:val="99"/>
    <w:semiHidden/>
    <w:unhideWhenUsed/>
    <w:rsid w:val="00693882"/>
    <w:rPr>
      <w:color w:val="2B579A"/>
      <w:shd w:val="clear" w:color="auto" w:fill="E6E6E6"/>
    </w:rPr>
  </w:style>
  <w:style w:type="character" w:customStyle="1" w:styleId="Mention2">
    <w:name w:val="Mention2"/>
    <w:basedOn w:val="DefaultParagraphFont"/>
    <w:uiPriority w:val="99"/>
    <w:semiHidden/>
    <w:unhideWhenUsed/>
    <w:rsid w:val="00693882"/>
    <w:rPr>
      <w:color w:val="2B579A"/>
      <w:shd w:val="clear" w:color="auto" w:fill="E6E6E6"/>
    </w:rPr>
  </w:style>
  <w:style w:type="paragraph" w:customStyle="1" w:styleId="msonormal0">
    <w:name w:val="msonormal"/>
    <w:basedOn w:val="Normal"/>
    <w:rsid w:val="00693882"/>
    <w:pPr>
      <w:spacing w:before="100" w:beforeAutospacing="1" w:after="100" w:afterAutospacing="1" w:line="240" w:lineRule="auto"/>
    </w:pPr>
    <w:rPr>
      <w:rFonts w:ascii="Times New Roman" w:hAnsi="Times New Roman"/>
      <w:color w:val="auto"/>
      <w:kern w:val="0"/>
      <w:sz w:val="24"/>
      <w:lang w:val="en-US" w:eastAsia="en-US"/>
    </w:rPr>
  </w:style>
  <w:style w:type="paragraph" w:customStyle="1" w:styleId="font29">
    <w:name w:val="font29"/>
    <w:basedOn w:val="Normal"/>
    <w:rsid w:val="00693882"/>
    <w:pPr>
      <w:spacing w:before="100" w:beforeAutospacing="1" w:after="100" w:afterAutospacing="1" w:line="240" w:lineRule="auto"/>
    </w:pPr>
    <w:rPr>
      <w:rFonts w:ascii="Calibri" w:hAnsi="Calibri" w:cs="Calibri"/>
      <w:color w:val="000000"/>
      <w:kern w:val="0"/>
      <w:sz w:val="20"/>
      <w:szCs w:val="20"/>
      <w:lang w:val="en-US" w:eastAsia="en-US"/>
    </w:rPr>
  </w:style>
  <w:style w:type="paragraph" w:customStyle="1" w:styleId="font35">
    <w:name w:val="font35"/>
    <w:basedOn w:val="Normal"/>
    <w:rsid w:val="00693882"/>
    <w:pPr>
      <w:spacing w:before="100" w:beforeAutospacing="1" w:after="100" w:afterAutospacing="1" w:line="240" w:lineRule="auto"/>
    </w:pPr>
    <w:rPr>
      <w:rFonts w:ascii="Arial" w:hAnsi="Arial" w:cs="Arial"/>
      <w:color w:val="000000"/>
      <w:kern w:val="0"/>
      <w:sz w:val="20"/>
      <w:szCs w:val="20"/>
      <w:lang w:val="en-US" w:eastAsia="en-US"/>
    </w:rPr>
  </w:style>
  <w:style w:type="paragraph" w:customStyle="1" w:styleId="font42">
    <w:name w:val="font42"/>
    <w:basedOn w:val="Normal"/>
    <w:rsid w:val="00693882"/>
    <w:pPr>
      <w:spacing w:before="100" w:beforeAutospacing="1" w:after="100" w:afterAutospacing="1" w:line="240" w:lineRule="auto"/>
    </w:pPr>
    <w:rPr>
      <w:rFonts w:ascii="Calibri" w:hAnsi="Calibri" w:cs="Calibri"/>
      <w:color w:val="auto"/>
      <w:kern w:val="0"/>
      <w:sz w:val="20"/>
      <w:szCs w:val="20"/>
      <w:lang w:val="en-US" w:eastAsia="en-US"/>
    </w:rPr>
  </w:style>
  <w:style w:type="character" w:customStyle="1" w:styleId="font351">
    <w:name w:val="font351"/>
    <w:basedOn w:val="DefaultParagraphFont"/>
    <w:rsid w:val="00693882"/>
    <w:rPr>
      <w:rFonts w:ascii="Arial" w:hAnsi="Arial" w:cs="Arial" w:hint="default"/>
      <w:b w:val="0"/>
      <w:bCs w:val="0"/>
      <w:i w:val="0"/>
      <w:iCs w:val="0"/>
      <w:strike w:val="0"/>
      <w:dstrike w:val="0"/>
      <w:color w:val="000000"/>
      <w:sz w:val="20"/>
      <w:szCs w:val="20"/>
      <w:u w:val="none"/>
      <w:effect w:val="none"/>
    </w:rPr>
  </w:style>
  <w:style w:type="character" w:customStyle="1" w:styleId="font291">
    <w:name w:val="font291"/>
    <w:basedOn w:val="DefaultParagraphFont"/>
    <w:rsid w:val="00693882"/>
    <w:rPr>
      <w:rFonts w:ascii="Calibri" w:hAnsi="Calibri" w:cs="Calibri" w:hint="default"/>
      <w:b w:val="0"/>
      <w:bCs w:val="0"/>
      <w:i w:val="0"/>
      <w:iCs w:val="0"/>
      <w:strike w:val="0"/>
      <w:dstrike w:val="0"/>
      <w:color w:val="000000"/>
      <w:sz w:val="20"/>
      <w:szCs w:val="20"/>
      <w:u w:val="none"/>
      <w:effect w:val="none"/>
    </w:rPr>
  </w:style>
  <w:style w:type="character" w:customStyle="1" w:styleId="font421">
    <w:name w:val="font421"/>
    <w:basedOn w:val="DefaultParagraphFont"/>
    <w:rsid w:val="00693882"/>
    <w:rPr>
      <w:rFonts w:ascii="Calibri" w:hAnsi="Calibri" w:cs="Calibri" w:hint="default"/>
      <w:b w:val="0"/>
      <w:bCs w:val="0"/>
      <w:i w:val="0"/>
      <w:iCs w:val="0"/>
      <w:strike w:val="0"/>
      <w:dstrike w:val="0"/>
      <w:color w:val="auto"/>
      <w:sz w:val="20"/>
      <w:szCs w:val="20"/>
      <w:u w:val="none"/>
      <w:effect w:val="none"/>
    </w:rPr>
  </w:style>
  <w:style w:type="character" w:customStyle="1" w:styleId="font121">
    <w:name w:val="font121"/>
    <w:basedOn w:val="DefaultParagraphFont"/>
    <w:rsid w:val="00693882"/>
    <w:rPr>
      <w:rFonts w:ascii="Arial" w:hAnsi="Arial" w:cs="Arial" w:hint="default"/>
      <w:b w:val="0"/>
      <w:bCs w:val="0"/>
      <w:i w:val="0"/>
      <w:iCs w:val="0"/>
      <w:strike w:val="0"/>
      <w:dstrike w:val="0"/>
      <w:color w:val="000000"/>
      <w:sz w:val="20"/>
      <w:szCs w:val="20"/>
      <w:u w:val="none"/>
      <w:effect w:val="none"/>
    </w:rPr>
  </w:style>
  <w:style w:type="character" w:customStyle="1" w:styleId="font711">
    <w:name w:val="font711"/>
    <w:basedOn w:val="DefaultParagraphFont"/>
    <w:rsid w:val="00693882"/>
    <w:rPr>
      <w:rFonts w:ascii="Arial" w:hAnsi="Arial" w:cs="Arial" w:hint="default"/>
      <w:b/>
      <w:bCs/>
      <w:i w:val="0"/>
      <w:iCs w:val="0"/>
      <w:strike w:val="0"/>
      <w:dstrike w:val="0"/>
      <w:color w:val="000000"/>
      <w:sz w:val="16"/>
      <w:szCs w:val="16"/>
      <w:u w:val="none"/>
      <w:effect w:val="none"/>
    </w:rPr>
  </w:style>
  <w:style w:type="character" w:customStyle="1" w:styleId="font401">
    <w:name w:val="font401"/>
    <w:basedOn w:val="DefaultParagraphFont"/>
    <w:rsid w:val="00693882"/>
    <w:rPr>
      <w:rFonts w:ascii="Arial" w:hAnsi="Arial" w:cs="Arial" w:hint="default"/>
      <w:b w:val="0"/>
      <w:bCs w:val="0"/>
      <w:i w:val="0"/>
      <w:iCs w:val="0"/>
      <w:strike w:val="0"/>
      <w:dstrike w:val="0"/>
      <w:color w:val="000000"/>
      <w:sz w:val="16"/>
      <w:szCs w:val="16"/>
      <w:u w:val="none"/>
      <w:effect w:val="none"/>
    </w:rPr>
  </w:style>
  <w:style w:type="paragraph" w:customStyle="1" w:styleId="xl409">
    <w:name w:val="xl409"/>
    <w:basedOn w:val="Normal"/>
    <w:rsid w:val="00693882"/>
    <w:pPr>
      <w:pBdr>
        <w:top w:val="single" w:sz="4" w:space="0" w:color="auto"/>
        <w:left w:val="single" w:sz="8" w:space="0" w:color="auto"/>
        <w:bottom w:val="single" w:sz="4" w:space="0" w:color="auto"/>
        <w:right w:val="single" w:sz="4" w:space="0" w:color="auto"/>
      </w:pBdr>
      <w:shd w:val="clear" w:color="000000" w:fill="1F497D"/>
      <w:spacing w:before="100" w:beforeAutospacing="1" w:after="100" w:afterAutospacing="1" w:line="240" w:lineRule="auto"/>
      <w:textAlignment w:val="center"/>
    </w:pPr>
    <w:rPr>
      <w:rFonts w:ascii="Times New Roman" w:hAnsi="Times New Roman"/>
      <w:b/>
      <w:bCs/>
      <w:color w:val="FFFFFF"/>
      <w:kern w:val="0"/>
      <w:sz w:val="24"/>
      <w:lang w:val="en-US" w:eastAsia="en-US"/>
    </w:rPr>
  </w:style>
  <w:style w:type="paragraph" w:customStyle="1" w:styleId="xl410">
    <w:name w:val="xl410"/>
    <w:basedOn w:val="Normal"/>
    <w:rsid w:val="00693882"/>
    <w:pPr>
      <w:pBdr>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24"/>
      <w:lang w:val="en-US" w:eastAsia="en-US"/>
    </w:rPr>
  </w:style>
  <w:style w:type="paragraph" w:customStyle="1" w:styleId="xl411">
    <w:name w:val="xl411"/>
    <w:basedOn w:val="Normal"/>
    <w:rsid w:val="00693882"/>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24"/>
      <w:lang w:val="en-US" w:eastAsia="en-US"/>
    </w:rPr>
  </w:style>
  <w:style w:type="paragraph" w:customStyle="1" w:styleId="xl412">
    <w:name w:val="xl412"/>
    <w:basedOn w:val="Normal"/>
    <w:rsid w:val="00693882"/>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Wingdings" w:hAnsi="Wingdings"/>
      <w:color w:val="auto"/>
      <w:kern w:val="0"/>
      <w:sz w:val="24"/>
      <w:lang w:val="en-US" w:eastAsia="en-US"/>
    </w:rPr>
  </w:style>
  <w:style w:type="paragraph" w:customStyle="1" w:styleId="xl413">
    <w:name w:val="xl413"/>
    <w:basedOn w:val="Normal"/>
    <w:rsid w:val="006938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24"/>
      <w:lang w:val="en-US" w:eastAsia="en-US"/>
    </w:rPr>
  </w:style>
  <w:style w:type="paragraph" w:customStyle="1" w:styleId="xl414">
    <w:name w:val="xl414"/>
    <w:basedOn w:val="Normal"/>
    <w:rsid w:val="006938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24"/>
      <w:lang w:val="en-US" w:eastAsia="en-US"/>
    </w:rPr>
  </w:style>
  <w:style w:type="paragraph" w:customStyle="1" w:styleId="xl415">
    <w:name w:val="xl415"/>
    <w:basedOn w:val="Normal"/>
    <w:rsid w:val="00693882"/>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textAlignment w:val="center"/>
    </w:pPr>
    <w:rPr>
      <w:rFonts w:ascii="Times New Roman" w:hAnsi="Times New Roman"/>
      <w:b/>
      <w:bCs/>
      <w:color w:val="FFFFFF"/>
      <w:kern w:val="0"/>
      <w:sz w:val="24"/>
      <w:lang w:val="en-US" w:eastAsia="en-US"/>
    </w:rPr>
  </w:style>
  <w:style w:type="paragraph" w:customStyle="1" w:styleId="xl417">
    <w:name w:val="xl417"/>
    <w:basedOn w:val="Normal"/>
    <w:rsid w:val="0069388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24"/>
      <w:lang w:val="en-US" w:eastAsia="en-US"/>
    </w:rPr>
  </w:style>
  <w:style w:type="paragraph" w:customStyle="1" w:styleId="xl418">
    <w:name w:val="xl418"/>
    <w:basedOn w:val="Normal"/>
    <w:rsid w:val="00693882"/>
    <w:pPr>
      <w:pBdr>
        <w:top w:val="single" w:sz="4" w:space="0" w:color="auto"/>
        <w:left w:val="single" w:sz="8" w:space="0" w:color="auto"/>
        <w:bottom w:val="single" w:sz="4" w:space="0" w:color="auto"/>
      </w:pBdr>
      <w:shd w:val="clear" w:color="000000" w:fill="1F497D"/>
      <w:spacing w:before="100" w:beforeAutospacing="1" w:after="100" w:afterAutospacing="1" w:line="240" w:lineRule="auto"/>
      <w:textAlignment w:val="center"/>
    </w:pPr>
    <w:rPr>
      <w:rFonts w:ascii="Times New Roman" w:hAnsi="Times New Roman"/>
      <w:b/>
      <w:bCs/>
      <w:color w:val="FFFFFF"/>
      <w:kern w:val="0"/>
      <w:sz w:val="24"/>
      <w:lang w:val="en-US" w:eastAsia="en-US"/>
    </w:rPr>
  </w:style>
  <w:style w:type="paragraph" w:customStyle="1" w:styleId="xl419">
    <w:name w:val="xl419"/>
    <w:basedOn w:val="Normal"/>
    <w:rsid w:val="00693882"/>
    <w:pPr>
      <w:pBdr>
        <w:top w:val="single" w:sz="4" w:space="0" w:color="auto"/>
        <w:bottom w:val="single" w:sz="4" w:space="0" w:color="auto"/>
        <w:right w:val="single" w:sz="4" w:space="0" w:color="auto"/>
      </w:pBdr>
      <w:shd w:val="clear" w:color="000000" w:fill="1F497D"/>
      <w:spacing w:before="100" w:beforeAutospacing="1" w:after="100" w:afterAutospacing="1" w:line="240" w:lineRule="auto"/>
      <w:textAlignment w:val="center"/>
    </w:pPr>
    <w:rPr>
      <w:rFonts w:ascii="Times New Roman" w:hAnsi="Times New Roman"/>
      <w:b/>
      <w:bCs/>
      <w:color w:val="FFFFFF"/>
      <w:kern w:val="0"/>
      <w:sz w:val="24"/>
      <w:lang w:val="en-US" w:eastAsia="en-US"/>
    </w:rPr>
  </w:style>
  <w:style w:type="paragraph" w:customStyle="1" w:styleId="xl420">
    <w:name w:val="xl420"/>
    <w:basedOn w:val="Normal"/>
    <w:rsid w:val="00693882"/>
    <w:pPr>
      <w:shd w:val="clear" w:color="000000" w:fill="FFFFFF"/>
      <w:spacing w:before="100" w:beforeAutospacing="1" w:after="100" w:afterAutospacing="1" w:line="240" w:lineRule="auto"/>
      <w:textAlignment w:val="center"/>
    </w:pPr>
    <w:rPr>
      <w:rFonts w:ascii="Times New Roman" w:hAnsi="Times New Roman"/>
      <w:color w:val="auto"/>
      <w:kern w:val="0"/>
      <w:sz w:val="24"/>
      <w:lang w:val="en-US" w:eastAsia="en-US"/>
    </w:rPr>
  </w:style>
  <w:style w:type="paragraph" w:customStyle="1" w:styleId="xl421">
    <w:name w:val="xl421"/>
    <w:basedOn w:val="Normal"/>
    <w:rsid w:val="00693882"/>
    <w:pPr>
      <w:shd w:val="clear" w:color="000000" w:fill="FFFFFF"/>
      <w:spacing w:before="100" w:beforeAutospacing="1" w:after="100" w:afterAutospacing="1" w:line="240" w:lineRule="auto"/>
    </w:pPr>
    <w:rPr>
      <w:rFonts w:ascii="Times New Roman" w:hAnsi="Times New Roman"/>
      <w:color w:val="auto"/>
      <w:kern w:val="0"/>
      <w:sz w:val="24"/>
      <w:lang w:val="en-US" w:eastAsia="en-US"/>
    </w:rPr>
  </w:style>
  <w:style w:type="paragraph" w:customStyle="1" w:styleId="xl422">
    <w:name w:val="xl422"/>
    <w:basedOn w:val="Normal"/>
    <w:rsid w:val="0069388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24"/>
      <w:lang w:val="en-US" w:eastAsia="en-US"/>
    </w:rPr>
  </w:style>
  <w:style w:type="paragraph" w:customStyle="1" w:styleId="xl423">
    <w:name w:val="xl423"/>
    <w:basedOn w:val="Normal"/>
    <w:rsid w:val="006938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hAnsi="Calibri" w:cs="Calibri"/>
      <w:color w:val="auto"/>
      <w:kern w:val="0"/>
      <w:sz w:val="24"/>
      <w:lang w:val="en-US" w:eastAsia="en-US"/>
    </w:rPr>
  </w:style>
  <w:style w:type="paragraph" w:customStyle="1" w:styleId="xl424">
    <w:name w:val="xl424"/>
    <w:basedOn w:val="Normal"/>
    <w:rsid w:val="006938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auto"/>
      <w:kern w:val="0"/>
      <w:sz w:val="24"/>
      <w:lang w:val="en-US" w:eastAsia="en-US"/>
    </w:rPr>
  </w:style>
  <w:style w:type="paragraph" w:customStyle="1" w:styleId="xl425">
    <w:name w:val="xl425"/>
    <w:basedOn w:val="Normal"/>
    <w:rsid w:val="006938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hAnsi="Calibri" w:cs="Calibri"/>
      <w:color w:val="auto"/>
      <w:kern w:val="0"/>
      <w:sz w:val="24"/>
      <w:lang w:val="en-US" w:eastAsia="en-US"/>
    </w:rPr>
  </w:style>
  <w:style w:type="paragraph" w:customStyle="1" w:styleId="xl811">
    <w:name w:val="xl811"/>
    <w:basedOn w:val="Normal"/>
    <w:rsid w:val="00693882"/>
    <w:pPr>
      <w:pBdr>
        <w:top w:val="single" w:sz="8" w:space="0" w:color="auto"/>
        <w:left w:val="single" w:sz="8" w:space="0" w:color="auto"/>
      </w:pBdr>
      <w:shd w:val="clear" w:color="000000" w:fill="1F497D"/>
      <w:spacing w:before="100" w:beforeAutospacing="1" w:after="100" w:afterAutospacing="1" w:line="240" w:lineRule="auto"/>
      <w:textAlignment w:val="center"/>
    </w:pPr>
    <w:rPr>
      <w:rFonts w:ascii="Times New Roman" w:hAnsi="Times New Roman"/>
      <w:b/>
      <w:bCs/>
      <w:color w:val="FFFFFF"/>
      <w:kern w:val="0"/>
      <w:sz w:val="24"/>
      <w:lang w:val="en-US" w:eastAsia="en-US"/>
    </w:rPr>
  </w:style>
  <w:style w:type="paragraph" w:customStyle="1" w:styleId="xl812">
    <w:name w:val="xl812"/>
    <w:basedOn w:val="Normal"/>
    <w:rsid w:val="00693882"/>
    <w:pPr>
      <w:pBdr>
        <w:top w:val="single" w:sz="8" w:space="0" w:color="auto"/>
      </w:pBdr>
      <w:shd w:val="clear" w:color="000000" w:fill="1F497D"/>
      <w:spacing w:before="100" w:beforeAutospacing="1" w:after="100" w:afterAutospacing="1" w:line="240" w:lineRule="auto"/>
      <w:textAlignment w:val="center"/>
    </w:pPr>
    <w:rPr>
      <w:rFonts w:ascii="Times New Roman" w:hAnsi="Times New Roman"/>
      <w:b/>
      <w:bCs/>
      <w:color w:val="FFFFFF"/>
      <w:kern w:val="0"/>
      <w:sz w:val="24"/>
      <w:lang w:val="en-US" w:eastAsia="en-US"/>
    </w:rPr>
  </w:style>
  <w:style w:type="paragraph" w:customStyle="1" w:styleId="xl813">
    <w:name w:val="xl813"/>
    <w:basedOn w:val="Normal"/>
    <w:rsid w:val="00693882"/>
    <w:pPr>
      <w:pBdr>
        <w:top w:val="single" w:sz="4" w:space="0" w:color="auto"/>
        <w:left w:val="single" w:sz="8" w:space="0" w:color="auto"/>
        <w:bottom w:val="single" w:sz="4" w:space="0" w:color="auto"/>
      </w:pBdr>
      <w:shd w:val="clear" w:color="000000" w:fill="1F497D"/>
      <w:spacing w:before="100" w:beforeAutospacing="1" w:after="100" w:afterAutospacing="1" w:line="240" w:lineRule="auto"/>
      <w:textAlignment w:val="center"/>
    </w:pPr>
    <w:rPr>
      <w:rFonts w:ascii="Times New Roman" w:hAnsi="Times New Roman"/>
      <w:b/>
      <w:bCs/>
      <w:color w:val="FFFFFF"/>
      <w:kern w:val="0"/>
      <w:sz w:val="24"/>
      <w:lang w:val="en-US" w:eastAsia="en-US"/>
    </w:rPr>
  </w:style>
  <w:style w:type="paragraph" w:customStyle="1" w:styleId="xl814">
    <w:name w:val="xl814"/>
    <w:basedOn w:val="Normal"/>
    <w:rsid w:val="00693882"/>
    <w:pPr>
      <w:pBdr>
        <w:top w:val="single" w:sz="4" w:space="0" w:color="auto"/>
        <w:bottom w:val="single" w:sz="4" w:space="0" w:color="auto"/>
      </w:pBdr>
      <w:shd w:val="clear" w:color="000000" w:fill="1F497D"/>
      <w:spacing w:before="100" w:beforeAutospacing="1" w:after="100" w:afterAutospacing="1" w:line="240" w:lineRule="auto"/>
      <w:textAlignment w:val="center"/>
    </w:pPr>
    <w:rPr>
      <w:rFonts w:ascii="Times New Roman" w:hAnsi="Times New Roman"/>
      <w:b/>
      <w:bCs/>
      <w:color w:val="FFFFFF"/>
      <w:kern w:val="0"/>
      <w:sz w:val="24"/>
      <w:lang w:val="en-US" w:eastAsia="en-US"/>
    </w:rPr>
  </w:style>
  <w:style w:type="paragraph" w:customStyle="1" w:styleId="xl861">
    <w:name w:val="xl861"/>
    <w:basedOn w:val="Normal"/>
    <w:rsid w:val="00693882"/>
    <w:pPr>
      <w:pBdr>
        <w:left w:val="single" w:sz="8" w:space="0" w:color="auto"/>
      </w:pBdr>
      <w:shd w:val="clear" w:color="000000" w:fill="1F497D"/>
      <w:spacing w:before="100" w:beforeAutospacing="1" w:after="100" w:afterAutospacing="1" w:line="240" w:lineRule="auto"/>
      <w:textAlignment w:val="center"/>
    </w:pPr>
    <w:rPr>
      <w:rFonts w:ascii="Times New Roman" w:hAnsi="Times New Roman"/>
      <w:b/>
      <w:bCs/>
      <w:color w:val="FFFFFF"/>
      <w:kern w:val="0"/>
      <w:sz w:val="24"/>
      <w:lang w:val="en-US" w:eastAsia="en-US"/>
    </w:rPr>
  </w:style>
  <w:style w:type="paragraph" w:customStyle="1" w:styleId="xl862">
    <w:name w:val="xl862"/>
    <w:basedOn w:val="Normal"/>
    <w:rsid w:val="00693882"/>
    <w:pPr>
      <w:shd w:val="clear" w:color="000000" w:fill="1F497D"/>
      <w:spacing w:before="100" w:beforeAutospacing="1" w:after="100" w:afterAutospacing="1" w:line="240" w:lineRule="auto"/>
      <w:textAlignment w:val="center"/>
    </w:pPr>
    <w:rPr>
      <w:rFonts w:ascii="Times New Roman" w:hAnsi="Times New Roman"/>
      <w:b/>
      <w:bCs/>
      <w:color w:val="FFFFFF"/>
      <w:kern w:val="0"/>
      <w:sz w:val="24"/>
      <w:lang w:val="en-US" w:eastAsia="en-US"/>
    </w:rPr>
  </w:style>
  <w:style w:type="paragraph" w:customStyle="1" w:styleId="xl863">
    <w:name w:val="xl863"/>
    <w:basedOn w:val="Normal"/>
    <w:rsid w:val="00693882"/>
    <w:pPr>
      <w:pBdr>
        <w:left w:val="single" w:sz="8" w:space="0" w:color="auto"/>
        <w:bottom w:val="single" w:sz="4" w:space="0" w:color="auto"/>
        <w:right w:val="single" w:sz="4" w:space="0" w:color="auto"/>
      </w:pBdr>
      <w:shd w:val="clear" w:color="000000" w:fill="1F497D"/>
      <w:spacing w:before="100" w:beforeAutospacing="1" w:after="100" w:afterAutospacing="1" w:line="240" w:lineRule="auto"/>
      <w:textAlignment w:val="center"/>
    </w:pPr>
    <w:rPr>
      <w:rFonts w:ascii="Times New Roman" w:hAnsi="Times New Roman"/>
      <w:b/>
      <w:bCs/>
      <w:color w:val="FFFFFF"/>
      <w:kern w:val="0"/>
      <w:sz w:val="24"/>
      <w:lang w:val="en-US" w:eastAsia="en-US"/>
    </w:rPr>
  </w:style>
  <w:style w:type="paragraph" w:customStyle="1" w:styleId="xl864">
    <w:name w:val="xl864"/>
    <w:basedOn w:val="Normal"/>
    <w:rsid w:val="00693882"/>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pPr>
    <w:rPr>
      <w:rFonts w:ascii="Times New Roman" w:hAnsi="Times New Roman"/>
      <w:b/>
      <w:bCs/>
      <w:color w:val="000000"/>
      <w:kern w:val="0"/>
      <w:sz w:val="28"/>
      <w:szCs w:val="28"/>
      <w:lang w:val="en-US" w:eastAsia="en-US"/>
    </w:rPr>
  </w:style>
  <w:style w:type="paragraph" w:customStyle="1" w:styleId="xl865">
    <w:name w:val="xl865"/>
    <w:basedOn w:val="Normal"/>
    <w:rsid w:val="00693882"/>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pPr>
    <w:rPr>
      <w:rFonts w:ascii="Times New Roman" w:hAnsi="Times New Roman"/>
      <w:b/>
      <w:bCs/>
      <w:color w:val="000000"/>
      <w:kern w:val="0"/>
      <w:sz w:val="28"/>
      <w:szCs w:val="28"/>
      <w:lang w:val="en-US" w:eastAsia="en-US"/>
    </w:rPr>
  </w:style>
  <w:style w:type="paragraph" w:customStyle="1" w:styleId="font8">
    <w:name w:val="font8"/>
    <w:basedOn w:val="Normal"/>
    <w:rsid w:val="00693882"/>
    <w:pPr>
      <w:spacing w:before="100" w:beforeAutospacing="1" w:after="100" w:afterAutospacing="1" w:line="240" w:lineRule="auto"/>
    </w:pPr>
    <w:rPr>
      <w:rFonts w:ascii="Arial" w:hAnsi="Arial" w:cs="Arial"/>
      <w:color w:val="000000"/>
      <w:kern w:val="0"/>
      <w:sz w:val="20"/>
      <w:szCs w:val="20"/>
      <w:lang w:val="en-US" w:eastAsia="en-US"/>
    </w:rPr>
  </w:style>
  <w:style w:type="paragraph" w:customStyle="1" w:styleId="font9">
    <w:name w:val="font9"/>
    <w:basedOn w:val="Normal"/>
    <w:rsid w:val="00693882"/>
    <w:pPr>
      <w:spacing w:before="100" w:beforeAutospacing="1" w:after="100" w:afterAutospacing="1" w:line="240" w:lineRule="auto"/>
    </w:pPr>
    <w:rPr>
      <w:rFonts w:ascii="Calibri" w:hAnsi="Calibri" w:cs="Calibri"/>
      <w:color w:val="auto"/>
      <w:kern w:val="0"/>
      <w:sz w:val="20"/>
      <w:szCs w:val="20"/>
      <w:lang w:val="en-US" w:eastAsia="en-US"/>
    </w:rPr>
  </w:style>
  <w:style w:type="paragraph" w:customStyle="1" w:styleId="xl16">
    <w:name w:val="xl16"/>
    <w:basedOn w:val="Normal"/>
    <w:rsid w:val="00693882"/>
    <w:pPr>
      <w:pBdr>
        <w:top w:val="single" w:sz="4" w:space="0" w:color="000000"/>
        <w:left w:val="single" w:sz="4" w:space="0" w:color="000000"/>
        <w:bottom w:val="single" w:sz="4" w:space="0" w:color="000000"/>
        <w:right w:val="single" w:sz="4" w:space="0" w:color="000000"/>
      </w:pBdr>
      <w:shd w:val="clear" w:color="000000" w:fill="44546A"/>
      <w:spacing w:before="100" w:beforeAutospacing="1" w:after="100" w:afterAutospacing="1" w:line="240" w:lineRule="auto"/>
      <w:jc w:val="center"/>
      <w:textAlignment w:val="center"/>
    </w:pPr>
    <w:rPr>
      <w:rFonts w:ascii="Arial" w:hAnsi="Arial" w:cs="Arial"/>
      <w:b/>
      <w:bCs/>
      <w:color w:val="FFFFFF"/>
      <w:kern w:val="0"/>
      <w:sz w:val="20"/>
      <w:szCs w:val="20"/>
      <w:lang w:val="en-US" w:eastAsia="en-US"/>
    </w:rPr>
  </w:style>
  <w:style w:type="paragraph" w:customStyle="1" w:styleId="xl17">
    <w:name w:val="xl17"/>
    <w:basedOn w:val="Normal"/>
    <w:rsid w:val="0069388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Arial" w:hAnsi="Arial" w:cs="Arial"/>
      <w:color w:val="auto"/>
      <w:kern w:val="0"/>
      <w:sz w:val="20"/>
      <w:szCs w:val="20"/>
      <w:lang w:val="en-US" w:eastAsia="en-US"/>
    </w:rPr>
  </w:style>
  <w:style w:type="paragraph" w:customStyle="1" w:styleId="xl18">
    <w:name w:val="xl18"/>
    <w:basedOn w:val="Normal"/>
    <w:rsid w:val="0069388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hAnsi="Arial" w:cs="Arial"/>
      <w:color w:val="auto"/>
      <w:kern w:val="0"/>
      <w:sz w:val="20"/>
      <w:szCs w:val="20"/>
      <w:lang w:val="en-US" w:eastAsia="en-US"/>
    </w:rPr>
  </w:style>
  <w:style w:type="character" w:customStyle="1" w:styleId="font81">
    <w:name w:val="font81"/>
    <w:basedOn w:val="DefaultParagraphFont"/>
    <w:rsid w:val="00693882"/>
    <w:rPr>
      <w:rFonts w:ascii="Arial" w:hAnsi="Arial" w:cs="Arial" w:hint="default"/>
      <w:b w:val="0"/>
      <w:bCs w:val="0"/>
      <w:i w:val="0"/>
      <w:iCs w:val="0"/>
      <w:strike w:val="0"/>
      <w:dstrike w:val="0"/>
      <w:color w:val="000000"/>
      <w:sz w:val="20"/>
      <w:szCs w:val="20"/>
      <w:u w:val="none"/>
      <w:effect w:val="none"/>
    </w:rPr>
  </w:style>
  <w:style w:type="character" w:customStyle="1" w:styleId="font91">
    <w:name w:val="font91"/>
    <w:basedOn w:val="DefaultParagraphFont"/>
    <w:rsid w:val="00693882"/>
    <w:rPr>
      <w:rFonts w:ascii="Calibri" w:hAnsi="Calibri" w:cs="Calibri" w:hint="default"/>
      <w:b w:val="0"/>
      <w:bCs w:val="0"/>
      <w:i w:val="0"/>
      <w:iCs w:val="0"/>
      <w:strike w:val="0"/>
      <w:dstrike w:val="0"/>
      <w:color w:val="auto"/>
      <w:sz w:val="20"/>
      <w:szCs w:val="20"/>
      <w:u w:val="none"/>
      <w:effect w:val="none"/>
    </w:rPr>
  </w:style>
  <w:style w:type="character" w:customStyle="1" w:styleId="font61">
    <w:name w:val="font61"/>
    <w:basedOn w:val="DefaultParagraphFont"/>
    <w:rsid w:val="00693882"/>
    <w:rPr>
      <w:rFonts w:ascii="Calibri" w:hAnsi="Calibri" w:cs="Calibri" w:hint="default"/>
      <w:b w:val="0"/>
      <w:bCs w:val="0"/>
      <w:i w:val="0"/>
      <w:iCs w:val="0"/>
      <w:strike w:val="0"/>
      <w:dstrike w:val="0"/>
      <w:color w:val="000000"/>
      <w:sz w:val="20"/>
      <w:szCs w:val="20"/>
      <w:u w:val="none"/>
      <w:effect w:val="none"/>
    </w:rPr>
  </w:style>
  <w:style w:type="character" w:customStyle="1" w:styleId="font491">
    <w:name w:val="font491"/>
    <w:basedOn w:val="DefaultParagraphFont"/>
    <w:rsid w:val="00693882"/>
    <w:rPr>
      <w:rFonts w:ascii="Arial" w:hAnsi="Arial" w:cs="Arial" w:hint="default"/>
      <w:b/>
      <w:bCs/>
      <w:i w:val="0"/>
      <w:iCs w:val="0"/>
      <w:strike w:val="0"/>
      <w:dstrike w:val="0"/>
      <w:color w:val="000000"/>
      <w:sz w:val="16"/>
      <w:szCs w:val="16"/>
      <w:u w:val="none"/>
      <w:effect w:val="none"/>
    </w:rPr>
  </w:style>
  <w:style w:type="paragraph" w:styleId="HTMLPreformatted">
    <w:name w:val="HTML Preformatted"/>
    <w:basedOn w:val="Normal"/>
    <w:link w:val="HTMLPreformattedChar"/>
    <w:uiPriority w:val="99"/>
    <w:unhideWhenUsed/>
    <w:rsid w:val="00693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auto"/>
      <w:kern w:val="0"/>
      <w:sz w:val="20"/>
      <w:szCs w:val="20"/>
    </w:rPr>
  </w:style>
  <w:style w:type="character" w:customStyle="1" w:styleId="HTMLPreformattedChar">
    <w:name w:val="HTML Preformatted Char"/>
    <w:basedOn w:val="DefaultParagraphFont"/>
    <w:link w:val="HTMLPreformatted"/>
    <w:uiPriority w:val="99"/>
    <w:rsid w:val="00693882"/>
    <w:rPr>
      <w:rFonts w:ascii="Courier New" w:hAnsi="Courier New" w:cs="Courier New"/>
    </w:rPr>
  </w:style>
  <w:style w:type="paragraph" w:customStyle="1" w:styleId="xl5421">
    <w:name w:val="xl5421"/>
    <w:basedOn w:val="Normal"/>
    <w:rsid w:val="00693882"/>
    <w:pPr>
      <w:pBdr>
        <w:top w:val="single" w:sz="12" w:space="0" w:color="5B9BD5"/>
      </w:pBdr>
      <w:shd w:val="clear" w:color="000000" w:fill="AEAAAA"/>
      <w:spacing w:before="100" w:beforeAutospacing="1" w:after="100" w:afterAutospacing="1" w:line="240" w:lineRule="auto"/>
      <w:textAlignment w:val="center"/>
    </w:pPr>
    <w:rPr>
      <w:rFonts w:ascii="Times New Roman" w:hAnsi="Times New Roman"/>
      <w:b/>
      <w:bCs/>
      <w:color w:val="auto"/>
      <w:kern w:val="0"/>
      <w:sz w:val="16"/>
      <w:szCs w:val="16"/>
      <w:lang w:val="fr-FR" w:eastAsia="fr-FR"/>
    </w:rPr>
  </w:style>
  <w:style w:type="paragraph" w:customStyle="1" w:styleId="xl5422">
    <w:name w:val="xl5422"/>
    <w:basedOn w:val="Normal"/>
    <w:rsid w:val="00693882"/>
    <w:pPr>
      <w:shd w:val="clear" w:color="000000" w:fill="BDD7EE"/>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5423">
    <w:name w:val="xl5423"/>
    <w:basedOn w:val="Normal"/>
    <w:rsid w:val="00693882"/>
    <w:pP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5424">
    <w:name w:val="xl5424"/>
    <w:basedOn w:val="Normal"/>
    <w:rsid w:val="00693882"/>
    <w:pPr>
      <w:pBdr>
        <w:top w:val="single" w:sz="12" w:space="0" w:color="5B9BD5"/>
        <w:left w:val="single" w:sz="12" w:space="0" w:color="5B9BD5"/>
        <w:bottom w:val="single" w:sz="12" w:space="0" w:color="5B9BD5"/>
        <w:right w:val="single" w:sz="12" w:space="0" w:color="5B9BD5"/>
      </w:pBdr>
      <w:shd w:val="clear" w:color="000000" w:fill="1F4E78"/>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5425">
    <w:name w:val="xl5425"/>
    <w:basedOn w:val="Normal"/>
    <w:rsid w:val="00693882"/>
    <w:pPr>
      <w:shd w:val="clear" w:color="000000" w:fill="BDD7EE"/>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5426">
    <w:name w:val="xl5426"/>
    <w:basedOn w:val="Normal"/>
    <w:rsid w:val="00693882"/>
    <w:pP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5427">
    <w:name w:val="xl5427"/>
    <w:basedOn w:val="Normal"/>
    <w:rsid w:val="00693882"/>
    <w:pPr>
      <w:pBdr>
        <w:top w:val="single" w:sz="12" w:space="0" w:color="5B9BD5"/>
      </w:pBdr>
      <w:shd w:val="clear" w:color="000000" w:fill="AEAAAA"/>
      <w:spacing w:before="100" w:beforeAutospacing="1" w:after="100" w:afterAutospacing="1" w:line="240" w:lineRule="auto"/>
      <w:textAlignment w:val="center"/>
    </w:pPr>
    <w:rPr>
      <w:rFonts w:ascii="Times New Roman" w:hAnsi="Times New Roman"/>
      <w:b/>
      <w:bCs/>
      <w:color w:val="auto"/>
      <w:kern w:val="0"/>
      <w:sz w:val="16"/>
      <w:szCs w:val="16"/>
      <w:lang w:val="fr-FR" w:eastAsia="fr-FR"/>
    </w:rPr>
  </w:style>
  <w:style w:type="paragraph" w:customStyle="1" w:styleId="xl5428">
    <w:name w:val="xl5428"/>
    <w:basedOn w:val="Normal"/>
    <w:rsid w:val="00693882"/>
    <w:pPr>
      <w:pBdr>
        <w:top w:val="single" w:sz="12" w:space="0" w:color="5B9BD5"/>
        <w:right w:val="single" w:sz="12" w:space="0" w:color="5B9BD5"/>
      </w:pBdr>
      <w:shd w:val="clear" w:color="000000" w:fill="1F4E78"/>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5429">
    <w:name w:val="xl5429"/>
    <w:basedOn w:val="Normal"/>
    <w:rsid w:val="00693882"/>
    <w:pPr>
      <w:pBdr>
        <w:top w:val="single" w:sz="12" w:space="0" w:color="5B9BD5"/>
        <w:left w:val="single" w:sz="12" w:space="0" w:color="5B9BD5"/>
        <w:right w:val="single" w:sz="12" w:space="0" w:color="5B9BD5"/>
      </w:pBdr>
      <w:shd w:val="clear" w:color="000000" w:fill="1F4E78"/>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5430">
    <w:name w:val="xl5430"/>
    <w:basedOn w:val="Normal"/>
    <w:rsid w:val="00693882"/>
    <w:pPr>
      <w:pBdr>
        <w:left w:val="single" w:sz="12" w:space="0" w:color="5B9BD5"/>
        <w:bottom w:val="single" w:sz="12" w:space="0" w:color="5B9BD5"/>
        <w:right w:val="single" w:sz="12" w:space="0" w:color="5B9BD5"/>
      </w:pBdr>
      <w:shd w:val="clear" w:color="000000" w:fill="1F4E78"/>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5431">
    <w:name w:val="xl5431"/>
    <w:basedOn w:val="Normal"/>
    <w:rsid w:val="00693882"/>
    <w:pPr>
      <w:pBdr>
        <w:top w:val="single" w:sz="12" w:space="0" w:color="5B9BD5"/>
        <w:left w:val="single" w:sz="12" w:space="0" w:color="5B9BD5"/>
      </w:pBdr>
      <w:shd w:val="clear" w:color="000000" w:fill="1F4E78"/>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5432">
    <w:name w:val="xl5432"/>
    <w:basedOn w:val="Normal"/>
    <w:rsid w:val="00693882"/>
    <w:pPr>
      <w:shd w:val="clear" w:color="000000" w:fill="FFFFFF"/>
      <w:spacing w:before="100" w:beforeAutospacing="1" w:after="100" w:afterAutospacing="1" w:line="240" w:lineRule="auto"/>
      <w:textAlignment w:val="center"/>
    </w:pPr>
    <w:rPr>
      <w:rFonts w:ascii="Times New Roman" w:hAnsi="Times New Roman"/>
      <w:color w:val="000000"/>
      <w:kern w:val="0"/>
      <w:sz w:val="16"/>
      <w:szCs w:val="16"/>
      <w:lang w:val="fr-FR" w:eastAsia="fr-FR"/>
    </w:rPr>
  </w:style>
  <w:style w:type="paragraph" w:customStyle="1" w:styleId="xl5433">
    <w:name w:val="xl5433"/>
    <w:basedOn w:val="Normal"/>
    <w:rsid w:val="00693882"/>
    <w:pPr>
      <w:shd w:val="clear" w:color="000000" w:fill="BFBFBF"/>
      <w:spacing w:before="100" w:beforeAutospacing="1" w:after="100" w:afterAutospacing="1" w:line="240" w:lineRule="auto"/>
      <w:textAlignment w:val="center"/>
    </w:pPr>
    <w:rPr>
      <w:rFonts w:ascii="Times New Roman" w:hAnsi="Times New Roman"/>
      <w:b/>
      <w:bCs/>
      <w:color w:val="000000"/>
      <w:kern w:val="0"/>
      <w:sz w:val="16"/>
      <w:szCs w:val="16"/>
      <w:lang w:val="fr-FR" w:eastAsia="fr-FR"/>
    </w:rPr>
  </w:style>
  <w:style w:type="paragraph" w:customStyle="1" w:styleId="xl5434">
    <w:name w:val="xl5434"/>
    <w:basedOn w:val="Normal"/>
    <w:rsid w:val="00693882"/>
    <w:pPr>
      <w:shd w:val="clear" w:color="000000" w:fill="BFBFBF"/>
      <w:spacing w:before="100" w:beforeAutospacing="1" w:after="100" w:afterAutospacing="1" w:line="240" w:lineRule="auto"/>
      <w:jc w:val="center"/>
      <w:textAlignment w:val="center"/>
    </w:pPr>
    <w:rPr>
      <w:rFonts w:ascii="Times New Roman" w:hAnsi="Times New Roman"/>
      <w:b/>
      <w:bCs/>
      <w:color w:val="000000"/>
      <w:kern w:val="0"/>
      <w:sz w:val="16"/>
      <w:szCs w:val="16"/>
      <w:lang w:val="fr-FR" w:eastAsia="fr-FR"/>
    </w:rPr>
  </w:style>
  <w:style w:type="paragraph" w:customStyle="1" w:styleId="xl5435">
    <w:name w:val="xl5435"/>
    <w:basedOn w:val="Normal"/>
    <w:rsid w:val="00693882"/>
    <w:pPr>
      <w:shd w:val="clear" w:color="000000" w:fill="BFBFBF"/>
      <w:spacing w:before="100" w:beforeAutospacing="1" w:after="100" w:afterAutospacing="1" w:line="240" w:lineRule="auto"/>
      <w:textAlignment w:val="center"/>
    </w:pPr>
    <w:rPr>
      <w:rFonts w:ascii="Times New Roman" w:hAnsi="Times New Roman"/>
      <w:b/>
      <w:bCs/>
      <w:color w:val="000000"/>
      <w:kern w:val="0"/>
      <w:sz w:val="16"/>
      <w:szCs w:val="16"/>
      <w:lang w:val="fr-FR" w:eastAsia="fr-FR"/>
    </w:rPr>
  </w:style>
  <w:style w:type="paragraph" w:customStyle="1" w:styleId="xl5436">
    <w:name w:val="xl5436"/>
    <w:basedOn w:val="Normal"/>
    <w:rsid w:val="00693882"/>
    <w:pPr>
      <w:shd w:val="clear" w:color="000000" w:fill="FFFFFF"/>
      <w:spacing w:before="100" w:beforeAutospacing="1" w:after="100" w:afterAutospacing="1" w:line="240" w:lineRule="auto"/>
      <w:jc w:val="center"/>
      <w:textAlignment w:val="center"/>
    </w:pPr>
    <w:rPr>
      <w:rFonts w:ascii="Times New Roman" w:hAnsi="Times New Roman"/>
      <w:color w:val="000000"/>
      <w:kern w:val="0"/>
      <w:sz w:val="16"/>
      <w:szCs w:val="16"/>
      <w:lang w:val="fr-FR" w:eastAsia="fr-FR"/>
    </w:rPr>
  </w:style>
  <w:style w:type="paragraph" w:customStyle="1" w:styleId="font7">
    <w:name w:val="font7"/>
    <w:basedOn w:val="Normal"/>
    <w:rsid w:val="00693882"/>
    <w:pPr>
      <w:spacing w:before="100" w:beforeAutospacing="1" w:after="100" w:afterAutospacing="1" w:line="240" w:lineRule="auto"/>
    </w:pPr>
    <w:rPr>
      <w:rFonts w:ascii="Arial" w:hAnsi="Arial" w:cs="Arial"/>
      <w:color w:val="000000"/>
      <w:kern w:val="0"/>
      <w:sz w:val="20"/>
      <w:szCs w:val="20"/>
      <w:lang w:val="fr-FR" w:eastAsia="fr-FR"/>
    </w:rPr>
  </w:style>
  <w:style w:type="character" w:customStyle="1" w:styleId="Mentionnonrsolue1">
    <w:name w:val="Mention non résolue1"/>
    <w:basedOn w:val="DefaultParagraphFont"/>
    <w:uiPriority w:val="99"/>
    <w:semiHidden/>
    <w:unhideWhenUsed/>
    <w:rsid w:val="00693882"/>
    <w:rPr>
      <w:color w:val="808080"/>
      <w:shd w:val="clear" w:color="auto" w:fill="E6E6E6"/>
    </w:rPr>
  </w:style>
  <w:style w:type="paragraph" w:customStyle="1" w:styleId="xl5437">
    <w:name w:val="xl5437"/>
    <w:basedOn w:val="Normal"/>
    <w:rsid w:val="00693882"/>
    <w:pPr>
      <w:pBdr>
        <w:left w:val="single" w:sz="12" w:space="0" w:color="5B9BD5"/>
        <w:bottom w:val="single" w:sz="12" w:space="0" w:color="5B9BD5"/>
        <w:right w:val="single" w:sz="12" w:space="0" w:color="5B9BD5"/>
      </w:pBdr>
      <w:shd w:val="clear" w:color="000000" w:fill="1F4E78"/>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5438">
    <w:name w:val="xl5438"/>
    <w:basedOn w:val="Normal"/>
    <w:rsid w:val="00693882"/>
    <w:pPr>
      <w:pBdr>
        <w:top w:val="single" w:sz="12" w:space="0" w:color="5B9BD5"/>
        <w:left w:val="single" w:sz="12" w:space="0" w:color="5B9BD5"/>
      </w:pBdr>
      <w:shd w:val="clear" w:color="000000" w:fill="1F4E78"/>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character" w:customStyle="1" w:styleId="UnresolvedMention1">
    <w:name w:val="Unresolved Mention1"/>
    <w:basedOn w:val="DefaultParagraphFont"/>
    <w:uiPriority w:val="99"/>
    <w:semiHidden/>
    <w:unhideWhenUsed/>
    <w:rsid w:val="00693882"/>
    <w:rPr>
      <w:color w:val="808080"/>
      <w:shd w:val="clear" w:color="auto" w:fill="E6E6E6"/>
    </w:rPr>
  </w:style>
  <w:style w:type="character" w:customStyle="1" w:styleId="UnresolvedMention2">
    <w:name w:val="Unresolved Mention2"/>
    <w:basedOn w:val="DefaultParagraphFont"/>
    <w:uiPriority w:val="99"/>
    <w:semiHidden/>
    <w:unhideWhenUsed/>
    <w:rsid w:val="00693882"/>
    <w:rPr>
      <w:color w:val="605E5C"/>
      <w:shd w:val="clear" w:color="auto" w:fill="E1DFDD"/>
    </w:rPr>
  </w:style>
  <w:style w:type="character" w:customStyle="1" w:styleId="A6">
    <w:name w:val="A6"/>
    <w:uiPriority w:val="99"/>
    <w:rsid w:val="00693882"/>
    <w:rPr>
      <w:rFonts w:cs="Franklin Gothic Book"/>
      <w:color w:val="000000"/>
      <w:sz w:val="21"/>
      <w:szCs w:val="21"/>
    </w:rPr>
  </w:style>
  <w:style w:type="character" w:customStyle="1" w:styleId="A0">
    <w:name w:val="A0"/>
    <w:uiPriority w:val="99"/>
    <w:rsid w:val="00693882"/>
    <w:rPr>
      <w:rFonts w:cs="Helvetica Neue"/>
      <w:i/>
      <w:iCs/>
      <w:color w:val="000000"/>
      <w:sz w:val="20"/>
      <w:szCs w:val="20"/>
    </w:rPr>
  </w:style>
  <w:style w:type="paragraph" w:customStyle="1" w:styleId="Pa7">
    <w:name w:val="Pa7"/>
    <w:basedOn w:val="Default"/>
    <w:next w:val="Default"/>
    <w:uiPriority w:val="99"/>
    <w:rsid w:val="00693882"/>
    <w:pPr>
      <w:spacing w:line="241" w:lineRule="atLeast"/>
    </w:pPr>
    <w:rPr>
      <w:rFonts w:ascii="Franklin Gothic Book" w:hAnsi="Franklin Gothic Book" w:cs="Times New Roman"/>
      <w:color w:val="auto"/>
    </w:rPr>
  </w:style>
  <w:style w:type="paragraph" w:customStyle="1" w:styleId="Pa31">
    <w:name w:val="Pa3+1"/>
    <w:basedOn w:val="Default"/>
    <w:next w:val="Default"/>
    <w:uiPriority w:val="99"/>
    <w:rsid w:val="00693882"/>
    <w:pPr>
      <w:spacing w:line="241" w:lineRule="atLeast"/>
    </w:pPr>
    <w:rPr>
      <w:rFonts w:ascii="Myriad Pro" w:hAnsi="Myriad Pro" w:cs="Times New Roman"/>
      <w:color w:val="auto"/>
    </w:rPr>
  </w:style>
  <w:style w:type="character" w:customStyle="1" w:styleId="A21">
    <w:name w:val="A2+1"/>
    <w:uiPriority w:val="99"/>
    <w:rsid w:val="00693882"/>
    <w:rPr>
      <w:rFonts w:cs="Myriad Pro"/>
      <w:color w:val="000000"/>
      <w:sz w:val="21"/>
      <w:szCs w:val="21"/>
    </w:rPr>
  </w:style>
  <w:style w:type="character" w:customStyle="1" w:styleId="A13">
    <w:name w:val="A13"/>
    <w:uiPriority w:val="99"/>
    <w:rsid w:val="00693882"/>
    <w:rPr>
      <w:rFonts w:cs="Helvetica Neue"/>
      <w:i/>
      <w:iCs/>
      <w:color w:val="000000"/>
      <w:sz w:val="20"/>
      <w:szCs w:val="20"/>
      <w:u w:val="single"/>
    </w:rPr>
  </w:style>
  <w:style w:type="paragraph" w:customStyle="1" w:styleId="NoSpacing1">
    <w:name w:val="No Spacing1"/>
    <w:uiPriority w:val="1"/>
    <w:qFormat/>
    <w:rsid w:val="00693882"/>
    <w:pPr>
      <w:widowControl w:val="0"/>
      <w:suppressAutoHyphens/>
    </w:pPr>
    <w:rPr>
      <w:rFonts w:ascii="Calibri" w:eastAsia="Arial" w:hAnsi="Calibri" w:cs="Calibri"/>
      <w:sz w:val="22"/>
      <w:szCs w:val="22"/>
      <w:lang w:val="fr-FR" w:eastAsia="fr-FR" w:bidi="fr-FR"/>
    </w:rPr>
  </w:style>
  <w:style w:type="paragraph" w:customStyle="1" w:styleId="xmsonormal">
    <w:name w:val="x_msonormal"/>
    <w:basedOn w:val="Normal"/>
    <w:rsid w:val="00693882"/>
    <w:pPr>
      <w:spacing w:before="100" w:beforeAutospacing="1" w:after="100" w:afterAutospacing="1" w:line="240" w:lineRule="auto"/>
    </w:pPr>
    <w:rPr>
      <w:rFonts w:ascii="Times New Roman" w:hAnsi="Times New Roman"/>
      <w:color w:val="auto"/>
      <w:kern w:val="0"/>
      <w:sz w:val="24"/>
    </w:rPr>
  </w:style>
  <w:style w:type="paragraph" w:customStyle="1" w:styleId="xl7000">
    <w:name w:val="xl7000"/>
    <w:basedOn w:val="Normal"/>
    <w:rsid w:val="00693882"/>
    <w:pPr>
      <w:spacing w:before="100" w:beforeAutospacing="1" w:after="100" w:afterAutospacing="1" w:line="240" w:lineRule="auto"/>
    </w:pPr>
    <w:rPr>
      <w:rFonts w:ascii="Times New Roman" w:hAnsi="Times New Roman"/>
      <w:color w:val="auto"/>
      <w:kern w:val="0"/>
      <w:sz w:val="16"/>
      <w:szCs w:val="16"/>
      <w:lang w:val="fr-FR" w:eastAsia="fr-FR"/>
    </w:rPr>
  </w:style>
  <w:style w:type="paragraph" w:customStyle="1" w:styleId="xl7001">
    <w:name w:val="xl7001"/>
    <w:basedOn w:val="Normal"/>
    <w:rsid w:val="00693882"/>
    <w:pPr>
      <w:spacing w:before="100" w:beforeAutospacing="1" w:after="100" w:afterAutospacing="1" w:line="240" w:lineRule="auto"/>
      <w:jc w:val="center"/>
      <w:textAlignment w:val="center"/>
    </w:pPr>
    <w:rPr>
      <w:rFonts w:ascii="Times New Roman" w:hAnsi="Times New Roman"/>
      <w:b/>
      <w:bCs/>
      <w:color w:val="auto"/>
      <w:kern w:val="0"/>
      <w:sz w:val="16"/>
      <w:szCs w:val="16"/>
      <w:lang w:val="fr-FR" w:eastAsia="fr-FR"/>
    </w:rPr>
  </w:style>
  <w:style w:type="paragraph" w:customStyle="1" w:styleId="xl7002">
    <w:name w:val="xl7002"/>
    <w:basedOn w:val="Normal"/>
    <w:rsid w:val="00693882"/>
    <w:pPr>
      <w:pBdr>
        <w:top w:val="single" w:sz="12" w:space="0" w:color="5B9BD5"/>
      </w:pBdr>
      <w:shd w:val="clear" w:color="000000" w:fill="BFBFBF"/>
      <w:spacing w:before="100" w:beforeAutospacing="1" w:after="100" w:afterAutospacing="1" w:line="240" w:lineRule="auto"/>
      <w:textAlignment w:val="center"/>
    </w:pPr>
    <w:rPr>
      <w:rFonts w:ascii="Times New Roman" w:hAnsi="Times New Roman"/>
      <w:b/>
      <w:bCs/>
      <w:color w:val="auto"/>
      <w:kern w:val="0"/>
      <w:sz w:val="16"/>
      <w:szCs w:val="16"/>
      <w:lang w:val="fr-FR" w:eastAsia="fr-FR"/>
    </w:rPr>
  </w:style>
  <w:style w:type="paragraph" w:customStyle="1" w:styleId="xl7003">
    <w:name w:val="xl7003"/>
    <w:basedOn w:val="Normal"/>
    <w:rsid w:val="00693882"/>
    <w:pPr>
      <w:spacing w:before="100" w:beforeAutospacing="1" w:after="100" w:afterAutospacing="1" w:line="240" w:lineRule="auto"/>
      <w:jc w:val="center"/>
      <w:textAlignment w:val="center"/>
    </w:pPr>
    <w:rPr>
      <w:rFonts w:ascii="Times New Roman" w:hAnsi="Times New Roman"/>
      <w:b/>
      <w:bCs/>
      <w:color w:val="auto"/>
      <w:kern w:val="0"/>
      <w:sz w:val="16"/>
      <w:szCs w:val="16"/>
      <w:lang w:val="fr-FR" w:eastAsia="fr-FR"/>
    </w:rPr>
  </w:style>
  <w:style w:type="paragraph" w:customStyle="1" w:styleId="xl7004">
    <w:name w:val="xl7004"/>
    <w:basedOn w:val="Normal"/>
    <w:rsid w:val="00693882"/>
    <w:pPr>
      <w:pBdr>
        <w:top w:val="single" w:sz="12" w:space="0" w:color="5B9BD5"/>
      </w:pBdr>
      <w:shd w:val="clear" w:color="000000" w:fill="BFBFBF"/>
      <w:spacing w:before="100" w:beforeAutospacing="1" w:after="100" w:afterAutospacing="1" w:line="240" w:lineRule="auto"/>
      <w:textAlignment w:val="center"/>
    </w:pPr>
    <w:rPr>
      <w:rFonts w:ascii="Times New Roman" w:hAnsi="Times New Roman"/>
      <w:b/>
      <w:bCs/>
      <w:color w:val="auto"/>
      <w:kern w:val="0"/>
      <w:sz w:val="16"/>
      <w:szCs w:val="16"/>
      <w:lang w:val="fr-FR" w:eastAsia="fr-FR"/>
    </w:rPr>
  </w:style>
  <w:style w:type="paragraph" w:customStyle="1" w:styleId="xl7005">
    <w:name w:val="xl7005"/>
    <w:basedOn w:val="Normal"/>
    <w:rsid w:val="00693882"/>
    <w:pPr>
      <w:spacing w:before="100" w:beforeAutospacing="1" w:after="100" w:afterAutospacing="1" w:line="240" w:lineRule="auto"/>
    </w:pPr>
    <w:rPr>
      <w:rFonts w:ascii="Times New Roman" w:hAnsi="Times New Roman"/>
      <w:color w:val="auto"/>
      <w:kern w:val="0"/>
      <w:sz w:val="16"/>
      <w:szCs w:val="16"/>
      <w:lang w:val="fr-FR" w:eastAsia="fr-FR"/>
    </w:rPr>
  </w:style>
  <w:style w:type="paragraph" w:customStyle="1" w:styleId="xl7006">
    <w:name w:val="xl7006"/>
    <w:basedOn w:val="Normal"/>
    <w:rsid w:val="00693882"/>
    <w:pPr>
      <w:shd w:val="clear" w:color="000000" w:fill="B8CCE4"/>
      <w:spacing w:before="100" w:beforeAutospacing="1" w:after="100" w:afterAutospacing="1" w:line="240" w:lineRule="auto"/>
      <w:jc w:val="center"/>
      <w:textAlignment w:val="center"/>
    </w:pPr>
    <w:rPr>
      <w:rFonts w:ascii="Times New Roman" w:hAnsi="Times New Roman"/>
      <w:color w:val="000000"/>
      <w:kern w:val="0"/>
      <w:sz w:val="16"/>
      <w:szCs w:val="16"/>
      <w:lang w:val="fr-FR" w:eastAsia="fr-FR"/>
    </w:rPr>
  </w:style>
  <w:style w:type="paragraph" w:customStyle="1" w:styleId="xl7007">
    <w:name w:val="xl7007"/>
    <w:basedOn w:val="Normal"/>
    <w:rsid w:val="00693882"/>
    <w:pPr>
      <w:pBdr>
        <w:bottom w:val="single" w:sz="12" w:space="0" w:color="5B9BD5"/>
      </w:pBdr>
      <w:shd w:val="clear" w:color="000000" w:fill="1F4E78"/>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7008">
    <w:name w:val="xl7008"/>
    <w:basedOn w:val="Normal"/>
    <w:rsid w:val="00693882"/>
    <w:pPr>
      <w:spacing w:before="100" w:beforeAutospacing="1" w:after="100" w:afterAutospacing="1" w:line="240" w:lineRule="auto"/>
      <w:textAlignment w:val="center"/>
    </w:pPr>
    <w:rPr>
      <w:rFonts w:ascii="Times New Roman" w:hAnsi="Times New Roman"/>
      <w:color w:val="000000"/>
      <w:kern w:val="0"/>
      <w:sz w:val="16"/>
      <w:szCs w:val="16"/>
      <w:lang w:val="fr-FR" w:eastAsia="fr-FR"/>
    </w:rPr>
  </w:style>
  <w:style w:type="paragraph" w:customStyle="1" w:styleId="xl7009">
    <w:name w:val="xl7009"/>
    <w:basedOn w:val="Normal"/>
    <w:rsid w:val="00693882"/>
    <w:pPr>
      <w:pBdr>
        <w:top w:val="single" w:sz="8" w:space="0" w:color="4F81BD"/>
      </w:pBdr>
      <w:shd w:val="clear" w:color="000000" w:fill="BFBFBF"/>
      <w:spacing w:before="100" w:beforeAutospacing="1" w:after="100" w:afterAutospacing="1" w:line="240" w:lineRule="auto"/>
      <w:textAlignment w:val="center"/>
    </w:pPr>
    <w:rPr>
      <w:rFonts w:ascii="Times New Roman" w:hAnsi="Times New Roman"/>
      <w:b/>
      <w:bCs/>
      <w:color w:val="000000"/>
      <w:kern w:val="0"/>
      <w:sz w:val="16"/>
      <w:szCs w:val="16"/>
      <w:lang w:val="fr-FR" w:eastAsia="fr-FR"/>
    </w:rPr>
  </w:style>
  <w:style w:type="paragraph" w:customStyle="1" w:styleId="xl7010">
    <w:name w:val="xl7010"/>
    <w:basedOn w:val="Normal"/>
    <w:rsid w:val="00693882"/>
    <w:pPr>
      <w:shd w:val="clear" w:color="000000" w:fill="A6A6A6"/>
      <w:spacing w:before="100" w:beforeAutospacing="1" w:after="100" w:afterAutospacing="1" w:line="240" w:lineRule="auto"/>
      <w:textAlignment w:val="center"/>
    </w:pPr>
    <w:rPr>
      <w:rFonts w:ascii="Times New Roman" w:hAnsi="Times New Roman"/>
      <w:b/>
      <w:bCs/>
      <w:color w:val="auto"/>
      <w:kern w:val="0"/>
      <w:sz w:val="16"/>
      <w:szCs w:val="16"/>
      <w:lang w:val="fr-FR" w:eastAsia="fr-FR"/>
    </w:rPr>
  </w:style>
  <w:style w:type="paragraph" w:customStyle="1" w:styleId="xl7011">
    <w:name w:val="xl7011"/>
    <w:basedOn w:val="Normal"/>
    <w:rsid w:val="00693882"/>
    <w:pPr>
      <w:shd w:val="clear" w:color="000000" w:fill="A6A6A6"/>
      <w:spacing w:before="100" w:beforeAutospacing="1" w:after="100" w:afterAutospacing="1" w:line="240" w:lineRule="auto"/>
      <w:textAlignment w:val="center"/>
    </w:pPr>
    <w:rPr>
      <w:rFonts w:ascii="Times New Roman" w:hAnsi="Times New Roman"/>
      <w:b/>
      <w:bCs/>
      <w:color w:val="000000"/>
      <w:kern w:val="0"/>
      <w:sz w:val="16"/>
      <w:szCs w:val="16"/>
      <w:lang w:val="fr-FR" w:eastAsia="fr-FR"/>
    </w:rPr>
  </w:style>
  <w:style w:type="paragraph" w:customStyle="1" w:styleId="xl7012">
    <w:name w:val="xl7012"/>
    <w:basedOn w:val="Normal"/>
    <w:rsid w:val="00693882"/>
    <w:pPr>
      <w:pBdr>
        <w:top w:val="single" w:sz="8" w:space="0" w:color="4F81BD"/>
      </w:pBdr>
      <w:shd w:val="clear" w:color="000000" w:fill="BFBFBF"/>
      <w:spacing w:before="100" w:beforeAutospacing="1" w:after="100" w:afterAutospacing="1" w:line="240" w:lineRule="auto"/>
      <w:textAlignment w:val="center"/>
    </w:pPr>
    <w:rPr>
      <w:rFonts w:ascii="Times New Roman" w:hAnsi="Times New Roman"/>
      <w:b/>
      <w:bCs/>
      <w:color w:val="000000"/>
      <w:kern w:val="0"/>
      <w:sz w:val="16"/>
      <w:szCs w:val="16"/>
      <w:lang w:val="fr-FR" w:eastAsia="fr-FR"/>
    </w:rPr>
  </w:style>
  <w:style w:type="paragraph" w:customStyle="1" w:styleId="xl7013">
    <w:name w:val="xl7013"/>
    <w:basedOn w:val="Normal"/>
    <w:rsid w:val="00693882"/>
    <w:pPr>
      <w:shd w:val="clear" w:color="000000" w:fill="B8CCE4"/>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7014">
    <w:name w:val="xl7014"/>
    <w:basedOn w:val="Normal"/>
    <w:rsid w:val="00693882"/>
    <w:pP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7015">
    <w:name w:val="xl7015"/>
    <w:basedOn w:val="Normal"/>
    <w:rsid w:val="00693882"/>
    <w:pPr>
      <w:shd w:val="clear" w:color="000000" w:fill="A6A6A6"/>
      <w:spacing w:before="100" w:beforeAutospacing="1" w:after="100" w:afterAutospacing="1" w:line="240" w:lineRule="auto"/>
      <w:textAlignment w:val="center"/>
    </w:pPr>
    <w:rPr>
      <w:rFonts w:ascii="Times New Roman" w:hAnsi="Times New Roman"/>
      <w:b/>
      <w:bCs/>
      <w:color w:val="auto"/>
      <w:kern w:val="0"/>
      <w:sz w:val="16"/>
      <w:szCs w:val="16"/>
      <w:lang w:val="fr-FR" w:eastAsia="fr-FR"/>
    </w:rPr>
  </w:style>
  <w:style w:type="paragraph" w:customStyle="1" w:styleId="xl7016">
    <w:name w:val="xl7016"/>
    <w:basedOn w:val="Normal"/>
    <w:rsid w:val="00693882"/>
    <w:pPr>
      <w:pBdr>
        <w:bottom w:val="single" w:sz="8" w:space="0" w:color="1F497D"/>
      </w:pBd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7017">
    <w:name w:val="xl7017"/>
    <w:basedOn w:val="Normal"/>
    <w:rsid w:val="00693882"/>
    <w:pPr>
      <w:spacing w:before="100" w:beforeAutospacing="1" w:after="100" w:afterAutospacing="1" w:line="240" w:lineRule="auto"/>
      <w:jc w:val="center"/>
      <w:textAlignment w:val="center"/>
    </w:pPr>
    <w:rPr>
      <w:rFonts w:ascii="Times New Roman" w:hAnsi="Times New Roman"/>
      <w:color w:val="000000"/>
      <w:kern w:val="0"/>
      <w:sz w:val="16"/>
      <w:szCs w:val="16"/>
      <w:lang w:val="fr-FR" w:eastAsia="fr-FR"/>
    </w:rPr>
  </w:style>
  <w:style w:type="paragraph" w:customStyle="1" w:styleId="xl7018">
    <w:name w:val="xl7018"/>
    <w:basedOn w:val="Normal"/>
    <w:rsid w:val="00693882"/>
    <w:pPr>
      <w:shd w:val="clear" w:color="000000" w:fill="B8CCE4"/>
      <w:spacing w:before="100" w:beforeAutospacing="1" w:after="100" w:afterAutospacing="1" w:line="240" w:lineRule="auto"/>
      <w:textAlignment w:val="center"/>
    </w:pPr>
    <w:rPr>
      <w:rFonts w:ascii="Times New Roman" w:hAnsi="Times New Roman"/>
      <w:color w:val="000000"/>
      <w:kern w:val="0"/>
      <w:sz w:val="16"/>
      <w:szCs w:val="16"/>
      <w:lang w:val="fr-FR" w:eastAsia="fr-FR"/>
    </w:rPr>
  </w:style>
  <w:style w:type="paragraph" w:customStyle="1" w:styleId="xl7019">
    <w:name w:val="xl7019"/>
    <w:basedOn w:val="Normal"/>
    <w:rsid w:val="00693882"/>
    <w:pPr>
      <w:shd w:val="clear" w:color="000000" w:fill="1F4E78"/>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7020">
    <w:name w:val="xl7020"/>
    <w:basedOn w:val="Normal"/>
    <w:rsid w:val="00693882"/>
    <w:pPr>
      <w:shd w:val="clear" w:color="000000" w:fill="1F4E78"/>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7021">
    <w:name w:val="xl7021"/>
    <w:basedOn w:val="Normal"/>
    <w:rsid w:val="00693882"/>
    <w:pPr>
      <w:shd w:val="clear" w:color="000000" w:fill="1F4E78"/>
      <w:spacing w:before="100" w:beforeAutospacing="1" w:after="100" w:afterAutospacing="1" w:line="240" w:lineRule="auto"/>
      <w:textAlignment w:val="center"/>
    </w:pPr>
    <w:rPr>
      <w:rFonts w:ascii="Times New Roman" w:hAnsi="Times New Roman"/>
      <w:b/>
      <w:bCs/>
      <w:color w:val="FFFFFF"/>
      <w:kern w:val="0"/>
      <w:sz w:val="16"/>
      <w:szCs w:val="16"/>
      <w:lang w:val="fr-FR" w:eastAsia="fr-FR"/>
    </w:rPr>
  </w:style>
  <w:style w:type="paragraph" w:customStyle="1" w:styleId="xl4054">
    <w:name w:val="xl4054"/>
    <w:basedOn w:val="Normal"/>
    <w:rsid w:val="00693882"/>
    <w:pPr>
      <w:spacing w:before="100" w:beforeAutospacing="1" w:after="100" w:afterAutospacing="1" w:line="240" w:lineRule="auto"/>
    </w:pPr>
    <w:rPr>
      <w:rFonts w:ascii="Times New Roman" w:hAnsi="Times New Roman"/>
      <w:color w:val="auto"/>
      <w:kern w:val="0"/>
      <w:sz w:val="16"/>
      <w:szCs w:val="16"/>
      <w:lang w:val="fr-FR" w:eastAsia="fr-FR"/>
    </w:rPr>
  </w:style>
  <w:style w:type="paragraph" w:customStyle="1" w:styleId="xl4055">
    <w:name w:val="xl4055"/>
    <w:basedOn w:val="Normal"/>
    <w:rsid w:val="00693882"/>
    <w:pPr>
      <w:spacing w:before="100" w:beforeAutospacing="1" w:after="100" w:afterAutospacing="1" w:line="240" w:lineRule="auto"/>
      <w:jc w:val="center"/>
      <w:textAlignment w:val="center"/>
    </w:pPr>
    <w:rPr>
      <w:rFonts w:ascii="Times New Roman" w:hAnsi="Times New Roman"/>
      <w:b/>
      <w:bCs/>
      <w:color w:val="auto"/>
      <w:kern w:val="0"/>
      <w:sz w:val="16"/>
      <w:szCs w:val="16"/>
      <w:lang w:val="fr-FR" w:eastAsia="fr-FR"/>
    </w:rPr>
  </w:style>
  <w:style w:type="paragraph" w:customStyle="1" w:styleId="xl4056">
    <w:name w:val="xl4056"/>
    <w:basedOn w:val="Normal"/>
    <w:rsid w:val="00693882"/>
    <w:pPr>
      <w:pBdr>
        <w:top w:val="single" w:sz="4" w:space="0" w:color="FFFFFF"/>
        <w:bottom w:val="single" w:sz="12" w:space="0" w:color="5B9BD5"/>
      </w:pBdr>
      <w:shd w:val="clear" w:color="000000" w:fill="1F4E78"/>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4057">
    <w:name w:val="xl4057"/>
    <w:basedOn w:val="Normal"/>
    <w:rsid w:val="00693882"/>
    <w:pPr>
      <w:shd w:val="clear" w:color="000000" w:fill="1F4E78"/>
      <w:spacing w:before="100" w:beforeAutospacing="1" w:after="100" w:afterAutospacing="1" w:line="240" w:lineRule="auto"/>
      <w:textAlignment w:val="center"/>
    </w:pPr>
    <w:rPr>
      <w:rFonts w:ascii="Times New Roman" w:hAnsi="Times New Roman"/>
      <w:b/>
      <w:bCs/>
      <w:color w:val="FFFFFF"/>
      <w:kern w:val="0"/>
      <w:sz w:val="16"/>
      <w:szCs w:val="16"/>
      <w:lang w:val="fr-FR" w:eastAsia="fr-FR"/>
    </w:rPr>
  </w:style>
  <w:style w:type="paragraph" w:customStyle="1" w:styleId="xl4058">
    <w:name w:val="xl4058"/>
    <w:basedOn w:val="Normal"/>
    <w:rsid w:val="00693882"/>
    <w:pPr>
      <w:spacing w:before="100" w:beforeAutospacing="1" w:after="100" w:afterAutospacing="1" w:line="240" w:lineRule="auto"/>
    </w:pPr>
    <w:rPr>
      <w:rFonts w:ascii="Times New Roman" w:hAnsi="Times New Roman"/>
      <w:b/>
      <w:bCs/>
      <w:color w:val="auto"/>
      <w:kern w:val="0"/>
      <w:sz w:val="16"/>
      <w:szCs w:val="16"/>
      <w:lang w:val="fr-FR" w:eastAsia="fr-FR"/>
    </w:rPr>
  </w:style>
  <w:style w:type="paragraph" w:customStyle="1" w:styleId="xl4059">
    <w:name w:val="xl4059"/>
    <w:basedOn w:val="Normal"/>
    <w:rsid w:val="00693882"/>
    <w:pP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4060">
    <w:name w:val="xl4060"/>
    <w:basedOn w:val="Normal"/>
    <w:rsid w:val="00693882"/>
    <w:pPr>
      <w:spacing w:before="100" w:beforeAutospacing="1" w:after="100" w:afterAutospacing="1" w:line="240" w:lineRule="auto"/>
      <w:jc w:val="center"/>
      <w:textAlignment w:val="center"/>
    </w:pPr>
    <w:rPr>
      <w:rFonts w:ascii="Times New Roman" w:hAnsi="Times New Roman"/>
      <w:b/>
      <w:bCs/>
      <w:color w:val="auto"/>
      <w:kern w:val="0"/>
      <w:sz w:val="16"/>
      <w:szCs w:val="16"/>
      <w:lang w:val="fr-FR" w:eastAsia="fr-FR"/>
    </w:rPr>
  </w:style>
  <w:style w:type="paragraph" w:customStyle="1" w:styleId="xl4061">
    <w:name w:val="xl4061"/>
    <w:basedOn w:val="Normal"/>
    <w:rsid w:val="00693882"/>
    <w:pPr>
      <w:shd w:val="clear" w:color="000000" w:fill="1F4E78"/>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4062">
    <w:name w:val="xl4062"/>
    <w:basedOn w:val="Normal"/>
    <w:rsid w:val="00693882"/>
    <w:pPr>
      <w:shd w:val="clear" w:color="000000" w:fill="1F4E78"/>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4063">
    <w:name w:val="xl4063"/>
    <w:basedOn w:val="Normal"/>
    <w:rsid w:val="00693882"/>
    <w:pPr>
      <w:shd w:val="clear" w:color="000000" w:fill="FFFFFF"/>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4064">
    <w:name w:val="xl4064"/>
    <w:basedOn w:val="Normal"/>
    <w:rsid w:val="00693882"/>
    <w:pPr>
      <w:shd w:val="clear" w:color="000000" w:fill="FFFFFF"/>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4065">
    <w:name w:val="xl4065"/>
    <w:basedOn w:val="Normal"/>
    <w:rsid w:val="00693882"/>
    <w:pPr>
      <w:shd w:val="clear" w:color="000000" w:fill="A6A6A6"/>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4066">
    <w:name w:val="xl4066"/>
    <w:basedOn w:val="Normal"/>
    <w:rsid w:val="00693882"/>
    <w:pPr>
      <w:shd w:val="clear" w:color="000000" w:fill="A6A6A6"/>
      <w:spacing w:before="100" w:beforeAutospacing="1" w:after="100" w:afterAutospacing="1" w:line="240" w:lineRule="auto"/>
      <w:textAlignment w:val="center"/>
    </w:pPr>
    <w:rPr>
      <w:rFonts w:ascii="Times New Roman" w:hAnsi="Times New Roman"/>
      <w:b/>
      <w:bCs/>
      <w:color w:val="auto"/>
      <w:kern w:val="0"/>
      <w:sz w:val="16"/>
      <w:szCs w:val="16"/>
      <w:lang w:val="fr-FR" w:eastAsia="fr-FR"/>
    </w:rPr>
  </w:style>
  <w:style w:type="paragraph" w:customStyle="1" w:styleId="xl4067">
    <w:name w:val="xl4067"/>
    <w:basedOn w:val="Normal"/>
    <w:rsid w:val="00693882"/>
    <w:pPr>
      <w:shd w:val="clear" w:color="000000" w:fill="A6A6A6"/>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4068">
    <w:name w:val="xl4068"/>
    <w:basedOn w:val="Normal"/>
    <w:rsid w:val="00693882"/>
    <w:pPr>
      <w:shd w:val="clear" w:color="000000" w:fill="FFFFFF"/>
      <w:spacing w:before="100" w:beforeAutospacing="1" w:after="100" w:afterAutospacing="1" w:line="240" w:lineRule="auto"/>
      <w:jc w:val="center"/>
      <w:textAlignment w:val="center"/>
    </w:pPr>
    <w:rPr>
      <w:rFonts w:ascii="Times New Roman" w:hAnsi="Times New Roman"/>
      <w:b/>
      <w:bCs/>
      <w:color w:val="auto"/>
      <w:kern w:val="0"/>
      <w:sz w:val="16"/>
      <w:szCs w:val="16"/>
      <w:lang w:val="fr-FR" w:eastAsia="fr-FR"/>
    </w:rPr>
  </w:style>
  <w:style w:type="paragraph" w:customStyle="1" w:styleId="xl4069">
    <w:name w:val="xl4069"/>
    <w:basedOn w:val="Normal"/>
    <w:rsid w:val="00693882"/>
    <w:pPr>
      <w:shd w:val="clear" w:color="000000" w:fill="203764"/>
      <w:spacing w:before="100" w:beforeAutospacing="1" w:after="100" w:afterAutospacing="1" w:line="240" w:lineRule="auto"/>
    </w:pPr>
    <w:rPr>
      <w:rFonts w:ascii="Times New Roman" w:hAnsi="Times New Roman"/>
      <w:b/>
      <w:bCs/>
      <w:color w:val="FFFFFF"/>
      <w:kern w:val="0"/>
      <w:sz w:val="16"/>
      <w:szCs w:val="16"/>
      <w:lang w:val="fr-FR" w:eastAsia="fr-FR"/>
    </w:rPr>
  </w:style>
  <w:style w:type="paragraph" w:customStyle="1" w:styleId="xl4070">
    <w:name w:val="xl4070"/>
    <w:basedOn w:val="Normal"/>
    <w:rsid w:val="00693882"/>
    <w:pPr>
      <w:shd w:val="clear" w:color="000000" w:fill="BDD7EE"/>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4071">
    <w:name w:val="xl4071"/>
    <w:basedOn w:val="Normal"/>
    <w:rsid w:val="00693882"/>
    <w:pPr>
      <w:shd w:val="clear" w:color="000000" w:fill="BDD7EE"/>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4072">
    <w:name w:val="xl4072"/>
    <w:basedOn w:val="Normal"/>
    <w:rsid w:val="00693882"/>
    <w:pPr>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4073">
    <w:name w:val="xl4073"/>
    <w:basedOn w:val="Normal"/>
    <w:rsid w:val="00693882"/>
    <w:pPr>
      <w:shd w:val="clear" w:color="000000" w:fill="1F4E78"/>
      <w:spacing w:before="100" w:beforeAutospacing="1" w:after="100" w:afterAutospacing="1" w:line="240" w:lineRule="auto"/>
      <w:textAlignment w:val="center"/>
    </w:pPr>
    <w:rPr>
      <w:rFonts w:ascii="Times New Roman" w:hAnsi="Times New Roman"/>
      <w:b/>
      <w:bCs/>
      <w:color w:val="FFFFFF"/>
      <w:kern w:val="0"/>
      <w:sz w:val="16"/>
      <w:szCs w:val="16"/>
      <w:lang w:val="fr-FR" w:eastAsia="fr-FR"/>
    </w:rPr>
  </w:style>
  <w:style w:type="paragraph" w:customStyle="1" w:styleId="xl4074">
    <w:name w:val="xl4074"/>
    <w:basedOn w:val="Normal"/>
    <w:rsid w:val="00693882"/>
    <w:pPr>
      <w:shd w:val="clear" w:color="000000" w:fill="203764"/>
      <w:spacing w:before="100" w:beforeAutospacing="1" w:after="100" w:afterAutospacing="1" w:line="240" w:lineRule="auto"/>
    </w:pPr>
    <w:rPr>
      <w:rFonts w:ascii="Times New Roman" w:hAnsi="Times New Roman"/>
      <w:b/>
      <w:bCs/>
      <w:color w:val="FFFFFF"/>
      <w:kern w:val="0"/>
      <w:sz w:val="16"/>
      <w:szCs w:val="16"/>
      <w:lang w:val="fr-FR" w:eastAsia="fr-FR"/>
    </w:rPr>
  </w:style>
  <w:style w:type="table" w:customStyle="1" w:styleId="TableGrid1">
    <w:name w:val="Table Grid1"/>
    <w:basedOn w:val="TableNormal"/>
    <w:next w:val="TableGrid"/>
    <w:uiPriority w:val="59"/>
    <w:rsid w:val="00072997"/>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Normal1">
    <w:name w:val="Tableau Normal1"/>
    <w:basedOn w:val="Header"/>
    <w:rsid w:val="00473E7D"/>
    <w:pPr>
      <w:tabs>
        <w:tab w:val="clear" w:pos="4513"/>
        <w:tab w:val="clear" w:pos="9026"/>
        <w:tab w:val="center" w:pos="4253"/>
        <w:tab w:val="right" w:pos="8505"/>
      </w:tabs>
      <w:spacing w:before="60" w:after="60" w:line="240" w:lineRule="auto"/>
    </w:pPr>
    <w:rPr>
      <w:rFonts w:ascii="Times New Roman" w:hAnsi="Times New Roman"/>
      <w:color w:val="auto"/>
      <w:kern w:val="0"/>
      <w:sz w:val="16"/>
      <w:szCs w:val="20"/>
      <w:lang w:eastAsia="en-US"/>
    </w:rPr>
  </w:style>
  <w:style w:type="table" w:styleId="MediumList2-Accent1">
    <w:name w:val="Medium List 2 Accent 1"/>
    <w:basedOn w:val="TableNormal"/>
    <w:uiPriority w:val="66"/>
    <w:rsid w:val="00473E7D"/>
    <w:rPr>
      <w:rFonts w:ascii="Cambria" w:hAnsi="Cambria"/>
      <w:color w:val="000000"/>
      <w:sz w:val="22"/>
      <w:szCs w:val="22"/>
      <w:lang w:val="fr-FR"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Pa5">
    <w:name w:val="Pa5"/>
    <w:basedOn w:val="Normal"/>
    <w:next w:val="Normal"/>
    <w:uiPriority w:val="99"/>
    <w:rsid w:val="00473E7D"/>
    <w:pPr>
      <w:autoSpaceDE w:val="0"/>
      <w:autoSpaceDN w:val="0"/>
      <w:adjustRightInd w:val="0"/>
      <w:spacing w:after="0" w:line="201" w:lineRule="atLeast"/>
    </w:pPr>
    <w:rPr>
      <w:rFonts w:ascii="Myriad Pro SemiCond" w:hAnsi="Myriad Pro SemiCond"/>
      <w:color w:val="auto"/>
      <w:kern w:val="0"/>
      <w:sz w:val="24"/>
      <w:lang w:val="fr-FR" w:eastAsia="fr-FR"/>
    </w:rPr>
  </w:style>
  <w:style w:type="character" w:customStyle="1" w:styleId="A12">
    <w:name w:val="A12"/>
    <w:uiPriority w:val="99"/>
    <w:rsid w:val="00473E7D"/>
    <w:rPr>
      <w:rFonts w:cs="Myriad Pro SemiCond"/>
      <w:color w:val="211D1E"/>
      <w:sz w:val="19"/>
      <w:szCs w:val="19"/>
    </w:rPr>
  </w:style>
  <w:style w:type="character" w:customStyle="1" w:styleId="hps">
    <w:name w:val="hps"/>
    <w:basedOn w:val="DefaultParagraphFont"/>
    <w:rsid w:val="00473E7D"/>
  </w:style>
  <w:style w:type="paragraph" w:customStyle="1" w:styleId="Pa6">
    <w:name w:val="Pa6"/>
    <w:basedOn w:val="Default"/>
    <w:next w:val="Default"/>
    <w:uiPriority w:val="99"/>
    <w:rsid w:val="00473E7D"/>
    <w:pPr>
      <w:spacing w:line="201" w:lineRule="atLeast"/>
    </w:pPr>
    <w:rPr>
      <w:rFonts w:ascii="Times New Roman" w:hAnsi="Times New Roman" w:cs="Times New Roman"/>
      <w:color w:val="auto"/>
    </w:rPr>
  </w:style>
  <w:style w:type="paragraph" w:customStyle="1" w:styleId="style5">
    <w:name w:val="style5"/>
    <w:basedOn w:val="Normal"/>
    <w:rsid w:val="00473E7D"/>
    <w:pPr>
      <w:spacing w:before="100" w:beforeAutospacing="1" w:after="100" w:afterAutospacing="1" w:line="240" w:lineRule="auto"/>
    </w:pPr>
    <w:rPr>
      <w:rFonts w:ascii="Times New Roman" w:hAnsi="Times New Roman"/>
      <w:color w:val="auto"/>
      <w:kern w:val="0"/>
      <w:sz w:val="24"/>
      <w:lang w:val="en-US" w:eastAsia="en-US"/>
    </w:rPr>
  </w:style>
  <w:style w:type="paragraph" w:styleId="z-TopofForm">
    <w:name w:val="HTML Top of Form"/>
    <w:basedOn w:val="Normal"/>
    <w:next w:val="Normal"/>
    <w:link w:val="z-TopofFormChar"/>
    <w:hidden/>
    <w:uiPriority w:val="99"/>
    <w:semiHidden/>
    <w:unhideWhenUsed/>
    <w:rsid w:val="00473E7D"/>
    <w:pPr>
      <w:pBdr>
        <w:bottom w:val="single" w:sz="6" w:space="1" w:color="auto"/>
      </w:pBdr>
      <w:spacing w:after="0" w:line="240" w:lineRule="auto"/>
      <w:jc w:val="center"/>
    </w:pPr>
    <w:rPr>
      <w:rFonts w:ascii="Arial" w:hAnsi="Arial" w:cs="Arial"/>
      <w:vanish/>
      <w:color w:val="auto"/>
      <w:kern w:val="0"/>
      <w:sz w:val="16"/>
      <w:szCs w:val="16"/>
      <w:lang w:val="fr-FR" w:eastAsia="fr-FR"/>
    </w:rPr>
  </w:style>
  <w:style w:type="character" w:customStyle="1" w:styleId="z-TopofFormChar">
    <w:name w:val="z-Top of Form Char"/>
    <w:basedOn w:val="DefaultParagraphFont"/>
    <w:link w:val="z-TopofForm"/>
    <w:uiPriority w:val="99"/>
    <w:semiHidden/>
    <w:rsid w:val="00473E7D"/>
    <w:rPr>
      <w:rFonts w:ascii="Arial" w:hAnsi="Arial" w:cs="Arial"/>
      <w:vanish/>
      <w:sz w:val="16"/>
      <w:szCs w:val="16"/>
      <w:lang w:val="fr-FR" w:eastAsia="fr-FR"/>
    </w:rPr>
  </w:style>
  <w:style w:type="paragraph" w:styleId="z-BottomofForm">
    <w:name w:val="HTML Bottom of Form"/>
    <w:basedOn w:val="Normal"/>
    <w:next w:val="Normal"/>
    <w:link w:val="z-BottomofFormChar"/>
    <w:hidden/>
    <w:uiPriority w:val="99"/>
    <w:unhideWhenUsed/>
    <w:rsid w:val="00473E7D"/>
    <w:pPr>
      <w:pBdr>
        <w:top w:val="single" w:sz="6" w:space="1" w:color="auto"/>
      </w:pBdr>
      <w:spacing w:after="0" w:line="240" w:lineRule="auto"/>
      <w:jc w:val="center"/>
    </w:pPr>
    <w:rPr>
      <w:rFonts w:ascii="Arial" w:hAnsi="Arial" w:cs="Arial"/>
      <w:vanish/>
      <w:color w:val="auto"/>
      <w:kern w:val="0"/>
      <w:sz w:val="16"/>
      <w:szCs w:val="16"/>
      <w:lang w:val="fr-FR" w:eastAsia="fr-FR"/>
    </w:rPr>
  </w:style>
  <w:style w:type="character" w:customStyle="1" w:styleId="z-BottomofFormChar">
    <w:name w:val="z-Bottom of Form Char"/>
    <w:basedOn w:val="DefaultParagraphFont"/>
    <w:link w:val="z-BottomofForm"/>
    <w:uiPriority w:val="99"/>
    <w:rsid w:val="00473E7D"/>
    <w:rPr>
      <w:rFonts w:ascii="Arial" w:hAnsi="Arial" w:cs="Arial"/>
      <w:vanish/>
      <w:sz w:val="16"/>
      <w:szCs w:val="16"/>
      <w:lang w:val="fr-FR" w:eastAsia="fr-FR"/>
    </w:rPr>
  </w:style>
  <w:style w:type="character" w:customStyle="1" w:styleId="Bodytext7">
    <w:name w:val="Body text (7)"/>
    <w:basedOn w:val="DefaultParagraphFont"/>
    <w:rsid w:val="00473E7D"/>
    <w:rPr>
      <w:rFonts w:ascii="Calibri" w:eastAsia="Calibri" w:hAnsi="Calibri" w:cs="Calibri"/>
      <w:b w:val="0"/>
      <w:bCs w:val="0"/>
      <w:i w:val="0"/>
      <w:iCs w:val="0"/>
      <w:smallCaps w:val="0"/>
      <w:strike w:val="0"/>
      <w:color w:val="000000"/>
      <w:spacing w:val="0"/>
      <w:w w:val="100"/>
      <w:position w:val="0"/>
      <w:sz w:val="17"/>
      <w:szCs w:val="17"/>
      <w:u w:val="none"/>
      <w:lang w:val="en-US" w:eastAsia="en-US" w:bidi="en-US"/>
    </w:rPr>
  </w:style>
  <w:style w:type="character" w:customStyle="1" w:styleId="Bodytext211ptBold2">
    <w:name w:val="Body text (2) + 11 pt.Bold2"/>
    <w:basedOn w:val="DefaultParagraphFont"/>
    <w:rsid w:val="00473E7D"/>
    <w:rPr>
      <w:rFonts w:ascii="Calibri" w:eastAsia="Calibri" w:hAnsi="Calibri" w:cs="Calibri"/>
      <w:b/>
      <w:bCs/>
      <w:i w:val="0"/>
      <w:iCs w:val="0"/>
      <w:smallCaps w:val="0"/>
      <w:strike w:val="0"/>
      <w:color w:val="000000"/>
      <w:spacing w:val="0"/>
      <w:w w:val="100"/>
      <w:position w:val="0"/>
      <w:sz w:val="22"/>
      <w:szCs w:val="22"/>
      <w:u w:val="none"/>
      <w:lang w:val="en-US" w:eastAsia="en-US" w:bidi="en-US"/>
    </w:rPr>
  </w:style>
  <w:style w:type="character" w:customStyle="1" w:styleId="Bodytext20">
    <w:name w:val="Body text (2)"/>
    <w:basedOn w:val="DefaultParagraphFont"/>
    <w:rsid w:val="00473E7D"/>
    <w:rPr>
      <w:rFonts w:ascii="Calibri" w:eastAsia="Calibri" w:hAnsi="Calibri" w:cs="Calibri"/>
      <w:b w:val="0"/>
      <w:bCs w:val="0"/>
      <w:i w:val="0"/>
      <w:iCs w:val="0"/>
      <w:smallCaps w:val="0"/>
      <w:strike w:val="0"/>
      <w:color w:val="000000"/>
      <w:spacing w:val="0"/>
      <w:w w:val="100"/>
      <w:position w:val="0"/>
      <w:sz w:val="20"/>
      <w:szCs w:val="20"/>
      <w:u w:val="none"/>
      <w:lang w:val="en-US" w:eastAsia="en-US" w:bidi="en-US"/>
    </w:rPr>
  </w:style>
  <w:style w:type="character" w:customStyle="1" w:styleId="Bodytext21">
    <w:name w:val="Body text (2)_"/>
    <w:basedOn w:val="DefaultParagraphFont"/>
    <w:rsid w:val="00473E7D"/>
    <w:rPr>
      <w:rFonts w:ascii="Calibri" w:eastAsia="Calibri" w:hAnsi="Calibri" w:cs="Calibri"/>
      <w:b w:val="0"/>
      <w:bCs w:val="0"/>
      <w:i w:val="0"/>
      <w:iCs w:val="0"/>
      <w:smallCaps w:val="0"/>
      <w:strike w:val="0"/>
      <w:sz w:val="20"/>
      <w:szCs w:val="20"/>
      <w:u w:val="none"/>
    </w:rPr>
  </w:style>
  <w:style w:type="character" w:customStyle="1" w:styleId="NoSpacingChar">
    <w:name w:val="No Spacing Char"/>
    <w:link w:val="NoSpacing"/>
    <w:uiPriority w:val="1"/>
    <w:locked/>
    <w:rsid w:val="00473E7D"/>
    <w:rPr>
      <w:rFonts w:ascii="Trebuchet MS" w:hAnsi="Trebuchet MS"/>
      <w:color w:val="685040" w:themeColor="text2"/>
      <w:kern w:val="16"/>
      <w:sz w:val="18"/>
      <w:szCs w:val="24"/>
    </w:rPr>
  </w:style>
  <w:style w:type="paragraph" w:customStyle="1" w:styleId="Head22">
    <w:name w:val="Head 2.2"/>
    <w:basedOn w:val="Normal"/>
    <w:rsid w:val="00473E7D"/>
    <w:pPr>
      <w:tabs>
        <w:tab w:val="left" w:pos="360"/>
      </w:tabs>
      <w:suppressAutoHyphens/>
      <w:spacing w:after="0" w:line="240" w:lineRule="auto"/>
      <w:ind w:left="360" w:hanging="360"/>
    </w:pPr>
    <w:rPr>
      <w:rFonts w:ascii="Times New Roman" w:hAnsi="Times New Roman"/>
      <w:b/>
      <w:color w:val="auto"/>
      <w:kern w:val="0"/>
      <w:sz w:val="24"/>
      <w:szCs w:val="20"/>
      <w:lang w:val="en-US" w:eastAsia="en-US"/>
    </w:rPr>
  </w:style>
  <w:style w:type="paragraph" w:customStyle="1" w:styleId="Head21">
    <w:name w:val="Head 2.1"/>
    <w:basedOn w:val="Normal"/>
    <w:rsid w:val="00473E7D"/>
    <w:pPr>
      <w:suppressAutoHyphens/>
      <w:spacing w:after="0" w:line="240" w:lineRule="auto"/>
      <w:jc w:val="center"/>
    </w:pPr>
    <w:rPr>
      <w:rFonts w:ascii="Times New Roman" w:hAnsi="Times New Roman"/>
      <w:b/>
      <w:color w:val="auto"/>
      <w:kern w:val="0"/>
      <w:sz w:val="28"/>
      <w:szCs w:val="20"/>
      <w:lang w:val="en-US" w:eastAsia="en-US"/>
    </w:rPr>
  </w:style>
  <w:style w:type="character" w:customStyle="1" w:styleId="body1">
    <w:name w:val="body"/>
    <w:rsid w:val="00473E7D"/>
  </w:style>
  <w:style w:type="paragraph" w:customStyle="1" w:styleId="xl1981">
    <w:name w:val="xl1981"/>
    <w:basedOn w:val="Normal"/>
    <w:rsid w:val="00473E7D"/>
    <w:pPr>
      <w:spacing w:before="100" w:beforeAutospacing="1" w:after="100" w:afterAutospacing="1" w:line="240" w:lineRule="auto"/>
    </w:pPr>
    <w:rPr>
      <w:rFonts w:ascii="Times New Roman" w:hAnsi="Times New Roman"/>
      <w:color w:val="auto"/>
      <w:kern w:val="0"/>
      <w:sz w:val="16"/>
      <w:szCs w:val="16"/>
      <w:lang w:val="en-US" w:eastAsia="en-US"/>
    </w:rPr>
  </w:style>
  <w:style w:type="paragraph" w:customStyle="1" w:styleId="xl1907">
    <w:name w:val="xl1907"/>
    <w:basedOn w:val="Normal"/>
    <w:rsid w:val="00473E7D"/>
    <w:pPr>
      <w:shd w:val="clear" w:color="000000" w:fill="B8CCE4"/>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1908">
    <w:name w:val="xl1908"/>
    <w:basedOn w:val="Normal"/>
    <w:rsid w:val="00473E7D"/>
    <w:pPr>
      <w:shd w:val="clear" w:color="000000" w:fill="B8CCE4"/>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1909">
    <w:name w:val="xl1909"/>
    <w:basedOn w:val="Normal"/>
    <w:rsid w:val="00473E7D"/>
    <w:pPr>
      <w:spacing w:before="100" w:beforeAutospacing="1" w:after="100" w:afterAutospacing="1" w:line="240" w:lineRule="auto"/>
      <w:jc w:val="center"/>
      <w:textAlignment w:val="center"/>
    </w:pPr>
    <w:rPr>
      <w:rFonts w:ascii="Times New Roman" w:hAnsi="Times New Roman"/>
      <w:color w:val="000000"/>
      <w:kern w:val="0"/>
      <w:sz w:val="16"/>
      <w:szCs w:val="16"/>
      <w:lang w:val="fr-FR" w:eastAsia="fr-FR"/>
    </w:rPr>
  </w:style>
  <w:style w:type="paragraph" w:customStyle="1" w:styleId="xl1910">
    <w:name w:val="xl1910"/>
    <w:basedOn w:val="Normal"/>
    <w:rsid w:val="00473E7D"/>
    <w:pPr>
      <w:shd w:val="clear" w:color="000000" w:fill="B8CCE4"/>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1911">
    <w:name w:val="xl1911"/>
    <w:basedOn w:val="Normal"/>
    <w:rsid w:val="00473E7D"/>
    <w:pP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1912">
    <w:name w:val="xl1912"/>
    <w:basedOn w:val="Normal"/>
    <w:rsid w:val="00473E7D"/>
    <w:pPr>
      <w:pBdr>
        <w:top w:val="single" w:sz="12" w:space="0" w:color="4F81BD"/>
      </w:pBdr>
      <w:shd w:val="clear" w:color="000000" w:fill="BFBFBF"/>
      <w:spacing w:before="100" w:beforeAutospacing="1" w:after="100" w:afterAutospacing="1" w:line="240" w:lineRule="auto"/>
      <w:textAlignment w:val="center"/>
    </w:pPr>
    <w:rPr>
      <w:rFonts w:ascii="Times New Roman" w:hAnsi="Times New Roman"/>
      <w:b/>
      <w:bCs/>
      <w:color w:val="auto"/>
      <w:kern w:val="0"/>
      <w:sz w:val="16"/>
      <w:szCs w:val="16"/>
      <w:lang w:val="fr-FR" w:eastAsia="fr-FR"/>
    </w:rPr>
  </w:style>
  <w:style w:type="paragraph" w:customStyle="1" w:styleId="xl1913">
    <w:name w:val="xl1913"/>
    <w:basedOn w:val="Normal"/>
    <w:rsid w:val="00473E7D"/>
    <w:pPr>
      <w:pBdr>
        <w:top w:val="single" w:sz="12" w:space="0" w:color="4F81BD"/>
        <w:left w:val="single" w:sz="12" w:space="0" w:color="808080"/>
      </w:pBdr>
      <w:shd w:val="clear" w:color="000000" w:fill="B8CCE4"/>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1914">
    <w:name w:val="xl1914"/>
    <w:basedOn w:val="Normal"/>
    <w:rsid w:val="00473E7D"/>
    <w:pPr>
      <w:pBdr>
        <w:left w:val="single" w:sz="12" w:space="0" w:color="808080"/>
      </w:pBd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1915">
    <w:name w:val="xl1915"/>
    <w:basedOn w:val="Normal"/>
    <w:rsid w:val="00473E7D"/>
    <w:pPr>
      <w:pBdr>
        <w:left w:val="single" w:sz="12" w:space="0" w:color="808080"/>
      </w:pBdr>
      <w:shd w:val="clear" w:color="000000" w:fill="B8CCE4"/>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1916">
    <w:name w:val="xl1916"/>
    <w:basedOn w:val="Normal"/>
    <w:rsid w:val="00473E7D"/>
    <w:pPr>
      <w:spacing w:before="100" w:beforeAutospacing="1" w:after="100" w:afterAutospacing="1" w:line="240" w:lineRule="auto"/>
    </w:pPr>
    <w:rPr>
      <w:rFonts w:ascii="Times New Roman" w:hAnsi="Times New Roman"/>
      <w:color w:val="auto"/>
      <w:kern w:val="0"/>
      <w:sz w:val="16"/>
      <w:szCs w:val="16"/>
      <w:lang w:val="fr-FR" w:eastAsia="fr-FR"/>
    </w:rPr>
  </w:style>
  <w:style w:type="paragraph" w:customStyle="1" w:styleId="xl1917">
    <w:name w:val="xl1917"/>
    <w:basedOn w:val="Normal"/>
    <w:rsid w:val="00473E7D"/>
    <w:pPr>
      <w:pBdr>
        <w:top w:val="single" w:sz="12" w:space="0" w:color="4F81BD"/>
      </w:pBdr>
      <w:shd w:val="clear" w:color="000000" w:fill="B8CCE4"/>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1918">
    <w:name w:val="xl1918"/>
    <w:basedOn w:val="Normal"/>
    <w:rsid w:val="00473E7D"/>
    <w:pPr>
      <w:pBdr>
        <w:right w:val="single" w:sz="12" w:space="0" w:color="808080"/>
      </w:pBdr>
      <w:shd w:val="clear" w:color="000000" w:fill="B8CCE4"/>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1919">
    <w:name w:val="xl1919"/>
    <w:basedOn w:val="Normal"/>
    <w:rsid w:val="00473E7D"/>
    <w:pP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1920">
    <w:name w:val="xl1920"/>
    <w:basedOn w:val="Normal"/>
    <w:rsid w:val="00473E7D"/>
    <w:pPr>
      <w:pBdr>
        <w:right w:val="single" w:sz="12" w:space="0" w:color="808080"/>
      </w:pBd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1921">
    <w:name w:val="xl1921"/>
    <w:basedOn w:val="Normal"/>
    <w:rsid w:val="00473E7D"/>
    <w:pPr>
      <w:pBdr>
        <w:top w:val="single" w:sz="12" w:space="0" w:color="4F81BD"/>
      </w:pBdr>
      <w:shd w:val="clear" w:color="000000" w:fill="BFBFBF"/>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1922">
    <w:name w:val="xl1922"/>
    <w:basedOn w:val="Normal"/>
    <w:rsid w:val="00473E7D"/>
    <w:pPr>
      <w:pBdr>
        <w:top w:val="single" w:sz="12" w:space="0" w:color="4F81BD"/>
      </w:pBdr>
      <w:shd w:val="clear" w:color="000000" w:fill="BFBFBF"/>
      <w:spacing w:before="100" w:beforeAutospacing="1" w:after="100" w:afterAutospacing="1" w:line="240" w:lineRule="auto"/>
      <w:textAlignment w:val="center"/>
    </w:pPr>
    <w:rPr>
      <w:rFonts w:ascii="Times New Roman" w:hAnsi="Times New Roman"/>
      <w:b/>
      <w:bCs/>
      <w:color w:val="auto"/>
      <w:kern w:val="0"/>
      <w:sz w:val="16"/>
      <w:szCs w:val="16"/>
      <w:lang w:val="fr-FR" w:eastAsia="fr-FR"/>
    </w:rPr>
  </w:style>
  <w:style w:type="paragraph" w:customStyle="1" w:styleId="xl1923">
    <w:name w:val="xl1923"/>
    <w:basedOn w:val="Normal"/>
    <w:rsid w:val="00473E7D"/>
    <w:pPr>
      <w:spacing w:before="100" w:beforeAutospacing="1" w:after="100" w:afterAutospacing="1" w:line="240" w:lineRule="auto"/>
      <w:jc w:val="center"/>
    </w:pPr>
    <w:rPr>
      <w:rFonts w:ascii="Times New Roman" w:hAnsi="Times New Roman"/>
      <w:color w:val="auto"/>
      <w:kern w:val="0"/>
      <w:sz w:val="16"/>
      <w:szCs w:val="16"/>
      <w:lang w:val="fr-FR" w:eastAsia="fr-FR"/>
    </w:rPr>
  </w:style>
  <w:style w:type="paragraph" w:customStyle="1" w:styleId="xl1906">
    <w:name w:val="xl1906"/>
    <w:basedOn w:val="Normal"/>
    <w:rsid w:val="00473E7D"/>
    <w:pPr>
      <w:spacing w:before="100" w:beforeAutospacing="1" w:after="100" w:afterAutospacing="1" w:line="240" w:lineRule="auto"/>
    </w:pPr>
    <w:rPr>
      <w:rFonts w:ascii="Times New Roman" w:hAnsi="Times New Roman"/>
      <w:color w:val="auto"/>
      <w:kern w:val="0"/>
      <w:sz w:val="16"/>
      <w:szCs w:val="16"/>
      <w:lang w:val="fr-FR" w:eastAsia="fr-FR"/>
    </w:rPr>
  </w:style>
  <w:style w:type="paragraph" w:customStyle="1" w:styleId="TableauNormal2">
    <w:name w:val="Tableau Normal2"/>
    <w:basedOn w:val="Header"/>
    <w:rsid w:val="00473E7D"/>
    <w:pPr>
      <w:tabs>
        <w:tab w:val="clear" w:pos="4513"/>
        <w:tab w:val="clear" w:pos="9026"/>
        <w:tab w:val="center" w:pos="4253"/>
        <w:tab w:val="right" w:pos="8505"/>
      </w:tabs>
      <w:spacing w:before="60" w:after="60" w:line="240" w:lineRule="auto"/>
    </w:pPr>
    <w:rPr>
      <w:rFonts w:ascii="Times New Roman" w:hAnsi="Times New Roman"/>
      <w:color w:val="auto"/>
      <w:kern w:val="0"/>
      <w:sz w:val="16"/>
      <w:lang w:val="fr-FR" w:eastAsia="fr-FR"/>
    </w:rPr>
  </w:style>
  <w:style w:type="paragraph" w:customStyle="1" w:styleId="xl1924">
    <w:name w:val="xl1924"/>
    <w:basedOn w:val="Normal"/>
    <w:rsid w:val="00473E7D"/>
    <w:pPr>
      <w:pBdr>
        <w:top w:val="single" w:sz="12" w:space="0" w:color="808080"/>
        <w:left w:val="single" w:sz="12" w:space="0" w:color="808080"/>
        <w:bottom w:val="single" w:sz="12" w:space="0" w:color="4F81BD"/>
      </w:pBd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1925">
    <w:name w:val="xl1925"/>
    <w:basedOn w:val="Normal"/>
    <w:rsid w:val="00473E7D"/>
    <w:pPr>
      <w:pBdr>
        <w:top w:val="single" w:sz="12" w:space="0" w:color="808080"/>
        <w:bottom w:val="single" w:sz="12" w:space="0" w:color="4F81BD"/>
      </w:pBd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1926">
    <w:name w:val="xl1926"/>
    <w:basedOn w:val="Normal"/>
    <w:rsid w:val="00473E7D"/>
    <w:pPr>
      <w:pBdr>
        <w:top w:val="single" w:sz="12" w:space="0" w:color="808080"/>
        <w:bottom w:val="single" w:sz="12" w:space="0" w:color="4F81BD"/>
        <w:right w:val="single" w:sz="12" w:space="0" w:color="808080"/>
      </w:pBd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1927">
    <w:name w:val="xl1927"/>
    <w:basedOn w:val="Normal"/>
    <w:rsid w:val="00473E7D"/>
    <w:pPr>
      <w:pBdr>
        <w:top w:val="single" w:sz="12" w:space="0" w:color="4F81BD"/>
      </w:pBdr>
      <w:shd w:val="clear" w:color="000000" w:fill="B8CCE4"/>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1928">
    <w:name w:val="xl1928"/>
    <w:basedOn w:val="Normal"/>
    <w:rsid w:val="00473E7D"/>
    <w:pPr>
      <w:pBdr>
        <w:right w:val="single" w:sz="12" w:space="0" w:color="808080"/>
      </w:pBdr>
      <w:shd w:val="clear" w:color="000000" w:fill="B8CCE4"/>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1929">
    <w:name w:val="xl1929"/>
    <w:basedOn w:val="Normal"/>
    <w:rsid w:val="00473E7D"/>
    <w:pP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1930">
    <w:name w:val="xl1930"/>
    <w:basedOn w:val="Normal"/>
    <w:rsid w:val="00473E7D"/>
    <w:pPr>
      <w:pBdr>
        <w:right w:val="single" w:sz="12" w:space="0" w:color="808080"/>
      </w:pBd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1931">
    <w:name w:val="xl1931"/>
    <w:basedOn w:val="Normal"/>
    <w:rsid w:val="00473E7D"/>
    <w:pPr>
      <w:pBdr>
        <w:top w:val="single" w:sz="12" w:space="0" w:color="4F81BD"/>
      </w:pBdr>
      <w:shd w:val="clear" w:color="000000" w:fill="BFBFBF"/>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1932">
    <w:name w:val="xl1932"/>
    <w:basedOn w:val="Normal"/>
    <w:rsid w:val="00473E7D"/>
    <w:pPr>
      <w:pBdr>
        <w:top w:val="single" w:sz="12" w:space="0" w:color="4F81BD"/>
      </w:pBdr>
      <w:shd w:val="clear" w:color="000000" w:fill="BFBFBF"/>
      <w:spacing w:before="100" w:beforeAutospacing="1" w:after="100" w:afterAutospacing="1" w:line="240" w:lineRule="auto"/>
      <w:textAlignment w:val="center"/>
    </w:pPr>
    <w:rPr>
      <w:rFonts w:ascii="Times New Roman" w:hAnsi="Times New Roman"/>
      <w:b/>
      <w:bCs/>
      <w:color w:val="auto"/>
      <w:kern w:val="0"/>
      <w:sz w:val="16"/>
      <w:szCs w:val="16"/>
      <w:lang w:val="fr-FR" w:eastAsia="fr-FR"/>
    </w:rPr>
  </w:style>
  <w:style w:type="paragraph" w:customStyle="1" w:styleId="xl1933">
    <w:name w:val="xl1933"/>
    <w:basedOn w:val="Normal"/>
    <w:rsid w:val="00473E7D"/>
    <w:pPr>
      <w:spacing w:before="100" w:beforeAutospacing="1" w:after="100" w:afterAutospacing="1" w:line="240" w:lineRule="auto"/>
      <w:jc w:val="center"/>
    </w:pPr>
    <w:rPr>
      <w:rFonts w:ascii="Times New Roman" w:hAnsi="Times New Roman"/>
      <w:color w:val="auto"/>
      <w:kern w:val="0"/>
      <w:sz w:val="16"/>
      <w:szCs w:val="16"/>
      <w:lang w:val="fr-FR" w:eastAsia="fr-FR"/>
    </w:rPr>
  </w:style>
  <w:style w:type="paragraph" w:customStyle="1" w:styleId="xl1934">
    <w:name w:val="xl1934"/>
    <w:basedOn w:val="Normal"/>
    <w:rsid w:val="00473E7D"/>
    <w:pP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1935">
    <w:name w:val="xl1935"/>
    <w:basedOn w:val="Normal"/>
    <w:rsid w:val="00473E7D"/>
    <w:pPr>
      <w:pBdr>
        <w:right w:val="single" w:sz="12" w:space="0" w:color="808080"/>
      </w:pBdr>
      <w:shd w:val="clear" w:color="000000" w:fill="244061"/>
      <w:spacing w:before="100" w:beforeAutospacing="1" w:after="100" w:afterAutospacing="1" w:line="240" w:lineRule="auto"/>
      <w:textAlignment w:val="center"/>
    </w:pPr>
    <w:rPr>
      <w:rFonts w:ascii="Times New Roman" w:hAnsi="Times New Roman"/>
      <w:b/>
      <w:bCs/>
      <w:color w:val="FFFFFF"/>
      <w:kern w:val="0"/>
      <w:sz w:val="16"/>
      <w:szCs w:val="16"/>
      <w:lang w:val="fr-FR" w:eastAsia="fr-FR"/>
    </w:rPr>
  </w:style>
  <w:style w:type="paragraph" w:customStyle="1" w:styleId="xl1936">
    <w:name w:val="xl1936"/>
    <w:basedOn w:val="Normal"/>
    <w:rsid w:val="00473E7D"/>
    <w:pPr>
      <w:pBdr>
        <w:bottom w:val="single" w:sz="12" w:space="0" w:color="4F81BD"/>
        <w:right w:val="single" w:sz="12" w:space="0" w:color="808080"/>
      </w:pBdr>
      <w:shd w:val="clear" w:color="000000" w:fill="244061"/>
      <w:spacing w:before="100" w:beforeAutospacing="1" w:after="100" w:afterAutospacing="1" w:line="240" w:lineRule="auto"/>
      <w:textAlignment w:val="center"/>
    </w:pPr>
    <w:rPr>
      <w:rFonts w:ascii="Times New Roman" w:hAnsi="Times New Roman"/>
      <w:b/>
      <w:bCs/>
      <w:color w:val="FFFFFF"/>
      <w:kern w:val="0"/>
      <w:sz w:val="16"/>
      <w:szCs w:val="16"/>
      <w:lang w:val="fr-FR" w:eastAsia="fr-FR"/>
    </w:rPr>
  </w:style>
  <w:style w:type="paragraph" w:customStyle="1" w:styleId="textearticle">
    <w:name w:val="textearticle"/>
    <w:basedOn w:val="Normal"/>
    <w:rsid w:val="00473E7D"/>
    <w:pPr>
      <w:spacing w:before="100" w:beforeAutospacing="1" w:after="100" w:afterAutospacing="1" w:line="240" w:lineRule="auto"/>
    </w:pPr>
    <w:rPr>
      <w:rFonts w:ascii="Times New Roman" w:hAnsi="Times New Roman"/>
      <w:color w:val="auto"/>
      <w:kern w:val="0"/>
      <w:sz w:val="24"/>
    </w:rPr>
  </w:style>
  <w:style w:type="paragraph" w:customStyle="1" w:styleId="font10">
    <w:name w:val="font10"/>
    <w:basedOn w:val="Normal"/>
    <w:rsid w:val="00473E7D"/>
    <w:pPr>
      <w:spacing w:before="100" w:beforeAutospacing="1" w:after="100" w:afterAutospacing="1" w:line="240" w:lineRule="auto"/>
    </w:pPr>
    <w:rPr>
      <w:rFonts w:ascii="Arial" w:hAnsi="Arial" w:cs="Arial"/>
      <w:b/>
      <w:bCs/>
      <w:color w:val="auto"/>
      <w:kern w:val="0"/>
      <w:sz w:val="20"/>
      <w:szCs w:val="20"/>
      <w:lang w:eastAsia="fr-FR"/>
    </w:rPr>
  </w:style>
  <w:style w:type="paragraph" w:customStyle="1" w:styleId="xl3313">
    <w:name w:val="xl3313"/>
    <w:basedOn w:val="Normal"/>
    <w:rsid w:val="00473E7D"/>
    <w:pPr>
      <w:pBdr>
        <w:bottom w:val="single" w:sz="12" w:space="0" w:color="0070C0"/>
      </w:pBd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24"/>
      <w:lang w:eastAsia="fr-FR"/>
    </w:rPr>
  </w:style>
  <w:style w:type="paragraph" w:customStyle="1" w:styleId="xl3314">
    <w:name w:val="xl3314"/>
    <w:basedOn w:val="Normal"/>
    <w:rsid w:val="00473E7D"/>
    <w:pPr>
      <w:pBdr>
        <w:top w:val="single" w:sz="4" w:space="0" w:color="00B0F0"/>
        <w:left w:val="single" w:sz="4" w:space="0" w:color="00B0F0"/>
        <w:bottom w:val="single" w:sz="4" w:space="0" w:color="00B0F0"/>
        <w:right w:val="single" w:sz="4" w:space="0" w:color="00B0F0"/>
      </w:pBdr>
      <w:spacing w:before="100" w:beforeAutospacing="1" w:after="100" w:afterAutospacing="1" w:line="240" w:lineRule="auto"/>
      <w:jc w:val="center"/>
      <w:textAlignment w:val="center"/>
    </w:pPr>
    <w:rPr>
      <w:rFonts w:ascii="Times New Roman" w:hAnsi="Times New Roman"/>
      <w:b/>
      <w:bCs/>
      <w:color w:val="auto"/>
      <w:kern w:val="0"/>
      <w:sz w:val="24"/>
      <w:lang w:eastAsia="fr-FR"/>
    </w:rPr>
  </w:style>
  <w:style w:type="paragraph" w:customStyle="1" w:styleId="xl3315">
    <w:name w:val="xl3315"/>
    <w:basedOn w:val="Normal"/>
    <w:rsid w:val="00473E7D"/>
    <w:pPr>
      <w:pBdr>
        <w:top w:val="single" w:sz="12" w:space="0" w:color="0070C0"/>
        <w:left w:val="single" w:sz="4" w:space="0" w:color="00B0F0"/>
        <w:bottom w:val="single" w:sz="4" w:space="0" w:color="00B0F0"/>
        <w:right w:val="single" w:sz="4" w:space="0" w:color="00B0F0"/>
      </w:pBdr>
      <w:spacing w:before="100" w:beforeAutospacing="1" w:after="100" w:afterAutospacing="1" w:line="240" w:lineRule="auto"/>
      <w:jc w:val="center"/>
      <w:textAlignment w:val="center"/>
    </w:pPr>
    <w:rPr>
      <w:rFonts w:ascii="Times New Roman" w:hAnsi="Times New Roman"/>
      <w:b/>
      <w:bCs/>
      <w:color w:val="auto"/>
      <w:kern w:val="0"/>
      <w:sz w:val="24"/>
      <w:lang w:eastAsia="fr-FR"/>
    </w:rPr>
  </w:style>
  <w:style w:type="paragraph" w:customStyle="1" w:styleId="xl3316">
    <w:name w:val="xl3316"/>
    <w:basedOn w:val="Normal"/>
    <w:rsid w:val="00473E7D"/>
    <w:pPr>
      <w:pBdr>
        <w:top w:val="single" w:sz="12" w:space="0" w:color="0070C0"/>
        <w:left w:val="single" w:sz="4" w:space="0" w:color="00B0F0"/>
        <w:bottom w:val="single" w:sz="4" w:space="0" w:color="00B0F0"/>
        <w:right w:val="single" w:sz="4" w:space="0" w:color="00B0F0"/>
      </w:pBdr>
      <w:spacing w:before="100" w:beforeAutospacing="1" w:after="100" w:afterAutospacing="1" w:line="240" w:lineRule="auto"/>
      <w:jc w:val="center"/>
      <w:textAlignment w:val="center"/>
    </w:pPr>
    <w:rPr>
      <w:rFonts w:ascii="Times New Roman" w:hAnsi="Times New Roman"/>
      <w:color w:val="auto"/>
      <w:kern w:val="0"/>
      <w:sz w:val="24"/>
      <w:lang w:eastAsia="fr-FR"/>
    </w:rPr>
  </w:style>
  <w:style w:type="paragraph" w:customStyle="1" w:styleId="xl3317">
    <w:name w:val="xl3317"/>
    <w:basedOn w:val="Normal"/>
    <w:rsid w:val="00473E7D"/>
    <w:pPr>
      <w:pBdr>
        <w:top w:val="single" w:sz="12" w:space="0" w:color="0070C0"/>
        <w:left w:val="single" w:sz="4" w:space="0" w:color="00B0F0"/>
        <w:bottom w:val="single" w:sz="4" w:space="0" w:color="00B0F0"/>
        <w:right w:val="single" w:sz="4" w:space="0" w:color="00B0F0"/>
      </w:pBdr>
      <w:spacing w:before="100" w:beforeAutospacing="1" w:after="100" w:afterAutospacing="1" w:line="240" w:lineRule="auto"/>
      <w:jc w:val="both"/>
      <w:textAlignment w:val="center"/>
    </w:pPr>
    <w:rPr>
      <w:rFonts w:ascii="Times New Roman" w:hAnsi="Times New Roman"/>
      <w:color w:val="auto"/>
      <w:kern w:val="0"/>
      <w:sz w:val="24"/>
      <w:lang w:eastAsia="fr-FR"/>
    </w:rPr>
  </w:style>
  <w:style w:type="paragraph" w:customStyle="1" w:styleId="xl3318">
    <w:name w:val="xl3318"/>
    <w:basedOn w:val="Normal"/>
    <w:rsid w:val="00473E7D"/>
    <w:pPr>
      <w:pBdr>
        <w:top w:val="single" w:sz="4" w:space="0" w:color="00B0F0"/>
        <w:left w:val="single" w:sz="4" w:space="0" w:color="00B0F0"/>
        <w:bottom w:val="single" w:sz="4" w:space="0" w:color="00B0F0"/>
        <w:right w:val="single" w:sz="4" w:space="0" w:color="00B0F0"/>
      </w:pBdr>
      <w:spacing w:before="100" w:beforeAutospacing="1" w:after="100" w:afterAutospacing="1" w:line="240" w:lineRule="auto"/>
      <w:jc w:val="center"/>
      <w:textAlignment w:val="center"/>
    </w:pPr>
    <w:rPr>
      <w:rFonts w:ascii="Times New Roman" w:hAnsi="Times New Roman"/>
      <w:color w:val="auto"/>
      <w:kern w:val="0"/>
      <w:sz w:val="24"/>
      <w:lang w:eastAsia="fr-FR"/>
    </w:rPr>
  </w:style>
  <w:style w:type="paragraph" w:customStyle="1" w:styleId="xl3319">
    <w:name w:val="xl3319"/>
    <w:basedOn w:val="Normal"/>
    <w:rsid w:val="00473E7D"/>
    <w:pPr>
      <w:pBdr>
        <w:top w:val="single" w:sz="4" w:space="0" w:color="00B0F0"/>
        <w:left w:val="single" w:sz="4" w:space="0" w:color="00B0F0"/>
        <w:bottom w:val="single" w:sz="4" w:space="0" w:color="00B0F0"/>
        <w:right w:val="single" w:sz="4" w:space="0" w:color="00B0F0"/>
      </w:pBdr>
      <w:spacing w:before="100" w:beforeAutospacing="1" w:after="100" w:afterAutospacing="1" w:line="240" w:lineRule="auto"/>
      <w:jc w:val="both"/>
      <w:textAlignment w:val="center"/>
    </w:pPr>
    <w:rPr>
      <w:rFonts w:ascii="Times New Roman" w:hAnsi="Times New Roman"/>
      <w:color w:val="auto"/>
      <w:kern w:val="0"/>
      <w:sz w:val="24"/>
      <w:lang w:eastAsia="fr-FR"/>
    </w:rPr>
  </w:style>
  <w:style w:type="paragraph" w:customStyle="1" w:styleId="xl3320">
    <w:name w:val="xl3320"/>
    <w:basedOn w:val="Normal"/>
    <w:rsid w:val="00473E7D"/>
    <w:pPr>
      <w:pBdr>
        <w:top w:val="single" w:sz="4" w:space="0" w:color="00B0F0"/>
        <w:left w:val="single" w:sz="4" w:space="0" w:color="00B0F0"/>
        <w:bottom w:val="single" w:sz="4" w:space="0" w:color="00B0F0"/>
        <w:right w:val="single" w:sz="4" w:space="0" w:color="00B0F0"/>
      </w:pBdr>
      <w:spacing w:before="100" w:beforeAutospacing="1" w:after="100" w:afterAutospacing="1" w:line="240" w:lineRule="auto"/>
      <w:textAlignment w:val="center"/>
    </w:pPr>
    <w:rPr>
      <w:rFonts w:ascii="Times New Roman" w:hAnsi="Times New Roman"/>
      <w:color w:val="auto"/>
      <w:kern w:val="0"/>
      <w:sz w:val="24"/>
      <w:lang w:eastAsia="fr-FR"/>
    </w:rPr>
  </w:style>
  <w:style w:type="paragraph" w:customStyle="1" w:styleId="xl3321">
    <w:name w:val="xl3321"/>
    <w:basedOn w:val="Normal"/>
    <w:rsid w:val="00473E7D"/>
    <w:pPr>
      <w:pBdr>
        <w:top w:val="single" w:sz="4" w:space="0" w:color="00B0F0"/>
        <w:left w:val="single" w:sz="4" w:space="0" w:color="00B0F0"/>
        <w:bottom w:val="single" w:sz="4" w:space="0" w:color="00B0F0"/>
        <w:right w:val="single" w:sz="4" w:space="0" w:color="00B0F0"/>
      </w:pBdr>
      <w:spacing w:before="100" w:beforeAutospacing="1" w:after="100" w:afterAutospacing="1" w:line="240" w:lineRule="auto"/>
      <w:jc w:val="center"/>
      <w:textAlignment w:val="center"/>
    </w:pPr>
    <w:rPr>
      <w:rFonts w:ascii="Times New Roman" w:hAnsi="Times New Roman"/>
      <w:color w:val="auto"/>
      <w:kern w:val="0"/>
      <w:sz w:val="24"/>
      <w:lang w:eastAsia="fr-FR"/>
    </w:rPr>
  </w:style>
  <w:style w:type="paragraph" w:customStyle="1" w:styleId="xl3322">
    <w:name w:val="xl3322"/>
    <w:basedOn w:val="Normal"/>
    <w:rsid w:val="00473E7D"/>
    <w:pPr>
      <w:pBdr>
        <w:top w:val="single" w:sz="4" w:space="0" w:color="00B0F0"/>
        <w:left w:val="single" w:sz="4" w:space="0" w:color="00B0F0"/>
        <w:bottom w:val="single" w:sz="4" w:space="0" w:color="00B0F0"/>
        <w:right w:val="single" w:sz="4" w:space="0" w:color="00B0F0"/>
      </w:pBdr>
      <w:spacing w:before="100" w:beforeAutospacing="1" w:after="100" w:afterAutospacing="1" w:line="240" w:lineRule="auto"/>
      <w:jc w:val="center"/>
      <w:textAlignment w:val="center"/>
    </w:pPr>
    <w:rPr>
      <w:rFonts w:ascii="Times New Roman" w:hAnsi="Times New Roman"/>
      <w:color w:val="auto"/>
      <w:kern w:val="0"/>
      <w:sz w:val="24"/>
      <w:lang w:eastAsia="fr-FR"/>
    </w:rPr>
  </w:style>
  <w:style w:type="paragraph" w:customStyle="1" w:styleId="xl3323">
    <w:name w:val="xl3323"/>
    <w:basedOn w:val="Normal"/>
    <w:rsid w:val="00473E7D"/>
    <w:pPr>
      <w:pBdr>
        <w:top w:val="single" w:sz="4" w:space="0" w:color="00B0F0"/>
        <w:left w:val="single" w:sz="4" w:space="0" w:color="00B0F0"/>
        <w:bottom w:val="single" w:sz="4" w:space="0" w:color="00B0F0"/>
        <w:right w:val="single" w:sz="4" w:space="0" w:color="00B0F0"/>
      </w:pBdr>
      <w:spacing w:before="100" w:beforeAutospacing="1" w:after="100" w:afterAutospacing="1" w:line="240" w:lineRule="auto"/>
      <w:textAlignment w:val="center"/>
    </w:pPr>
    <w:rPr>
      <w:rFonts w:ascii="Times New Roman" w:hAnsi="Times New Roman"/>
      <w:color w:val="auto"/>
      <w:kern w:val="0"/>
      <w:sz w:val="24"/>
      <w:lang w:eastAsia="fr-FR"/>
    </w:rPr>
  </w:style>
  <w:style w:type="paragraph" w:customStyle="1" w:styleId="xl3324">
    <w:name w:val="xl3324"/>
    <w:basedOn w:val="Normal"/>
    <w:rsid w:val="00473E7D"/>
    <w:pPr>
      <w:pBdr>
        <w:top w:val="single" w:sz="4" w:space="0" w:color="00B0F0"/>
        <w:left w:val="single" w:sz="4" w:space="0" w:color="00B0F0"/>
        <w:bottom w:val="single" w:sz="4" w:space="0" w:color="00B0F0"/>
        <w:right w:val="single" w:sz="4" w:space="0" w:color="00B0F0"/>
      </w:pBdr>
      <w:spacing w:before="100" w:beforeAutospacing="1" w:after="100" w:afterAutospacing="1" w:line="240" w:lineRule="auto"/>
      <w:textAlignment w:val="center"/>
    </w:pPr>
    <w:rPr>
      <w:rFonts w:ascii="Times New Roman" w:hAnsi="Times New Roman"/>
      <w:color w:val="auto"/>
      <w:kern w:val="0"/>
      <w:sz w:val="24"/>
      <w:lang w:eastAsia="fr-FR"/>
    </w:rPr>
  </w:style>
  <w:style w:type="paragraph" w:customStyle="1" w:styleId="xl3325">
    <w:name w:val="xl3325"/>
    <w:basedOn w:val="Normal"/>
    <w:rsid w:val="00473E7D"/>
    <w:pPr>
      <w:pBdr>
        <w:top w:val="single" w:sz="4" w:space="0" w:color="00B0F0"/>
        <w:left w:val="single" w:sz="4" w:space="0" w:color="00B0F0"/>
        <w:bottom w:val="single" w:sz="4" w:space="0" w:color="00B0F0"/>
        <w:right w:val="single" w:sz="4" w:space="0" w:color="00B0F0"/>
      </w:pBdr>
      <w:spacing w:before="100" w:beforeAutospacing="1" w:after="100" w:afterAutospacing="1" w:line="240" w:lineRule="auto"/>
      <w:jc w:val="center"/>
      <w:textAlignment w:val="center"/>
    </w:pPr>
    <w:rPr>
      <w:rFonts w:ascii="Times New Roman" w:hAnsi="Times New Roman"/>
      <w:color w:val="auto"/>
      <w:kern w:val="0"/>
      <w:sz w:val="24"/>
      <w:lang w:eastAsia="fr-FR"/>
    </w:rPr>
  </w:style>
  <w:style w:type="paragraph" w:customStyle="1" w:styleId="xl3326">
    <w:name w:val="xl3326"/>
    <w:basedOn w:val="Normal"/>
    <w:rsid w:val="00473E7D"/>
    <w:pPr>
      <w:pBdr>
        <w:top w:val="single" w:sz="4" w:space="0" w:color="00B0F0"/>
        <w:left w:val="single" w:sz="4" w:space="0" w:color="00B0F0"/>
        <w:bottom w:val="single" w:sz="4" w:space="0" w:color="00B0F0"/>
        <w:right w:val="single" w:sz="4" w:space="0" w:color="00B0F0"/>
      </w:pBdr>
      <w:spacing w:before="100" w:beforeAutospacing="1" w:after="100" w:afterAutospacing="1" w:line="240" w:lineRule="auto"/>
      <w:jc w:val="both"/>
      <w:textAlignment w:val="center"/>
    </w:pPr>
    <w:rPr>
      <w:rFonts w:ascii="Times New Roman" w:hAnsi="Times New Roman"/>
      <w:b/>
      <w:bCs/>
      <w:color w:val="auto"/>
      <w:kern w:val="0"/>
      <w:sz w:val="24"/>
      <w:lang w:eastAsia="fr-FR"/>
    </w:rPr>
  </w:style>
  <w:style w:type="paragraph" w:customStyle="1" w:styleId="obgpara">
    <w:name w:val="obg_para"/>
    <w:basedOn w:val="Normal"/>
    <w:rsid w:val="00473E7D"/>
    <w:pPr>
      <w:spacing w:before="100" w:beforeAutospacing="1" w:after="100" w:afterAutospacing="1" w:line="240" w:lineRule="auto"/>
    </w:pPr>
    <w:rPr>
      <w:rFonts w:ascii="Times New Roman" w:hAnsi="Times New Roman"/>
      <w:color w:val="auto"/>
      <w:kern w:val="0"/>
      <w:sz w:val="24"/>
      <w:lang w:val="fr-FR" w:eastAsia="fr-FR"/>
    </w:rPr>
  </w:style>
  <w:style w:type="paragraph" w:customStyle="1" w:styleId="Pa12">
    <w:name w:val="Pa1+2"/>
    <w:basedOn w:val="Default"/>
    <w:next w:val="Default"/>
    <w:uiPriority w:val="99"/>
    <w:rsid w:val="00473E7D"/>
    <w:pPr>
      <w:spacing w:line="241" w:lineRule="atLeast"/>
    </w:pPr>
    <w:rPr>
      <w:rFonts w:ascii="ICSJNV+EurostileLT-Demi" w:eastAsia="Calibri" w:hAnsi="ICSJNV+EurostileLT-Demi" w:cs="Times New Roman"/>
      <w:color w:val="auto"/>
      <w:lang w:val="en-US" w:eastAsia="en-US"/>
    </w:rPr>
  </w:style>
  <w:style w:type="paragraph" w:customStyle="1" w:styleId="TableauNormal11">
    <w:name w:val="Tableau Normal11"/>
    <w:basedOn w:val="Header"/>
    <w:rsid w:val="00473E7D"/>
    <w:pPr>
      <w:tabs>
        <w:tab w:val="clear" w:pos="4513"/>
        <w:tab w:val="clear" w:pos="9026"/>
        <w:tab w:val="center" w:pos="4253"/>
        <w:tab w:val="right" w:pos="8505"/>
      </w:tabs>
      <w:spacing w:before="60" w:after="60" w:line="240" w:lineRule="auto"/>
    </w:pPr>
    <w:rPr>
      <w:rFonts w:ascii="Times New Roman" w:hAnsi="Times New Roman"/>
      <w:color w:val="auto"/>
      <w:kern w:val="0"/>
      <w:sz w:val="16"/>
      <w:szCs w:val="20"/>
      <w:lang w:eastAsia="en-US"/>
    </w:rPr>
  </w:style>
  <w:style w:type="character" w:styleId="SubtleEmphasis">
    <w:name w:val="Subtle Emphasis"/>
    <w:basedOn w:val="DefaultParagraphFont"/>
    <w:uiPriority w:val="19"/>
    <w:qFormat/>
    <w:locked/>
    <w:rsid w:val="00473E7D"/>
    <w:rPr>
      <w:i/>
      <w:iCs/>
      <w:color w:val="000000"/>
    </w:rPr>
  </w:style>
  <w:style w:type="paragraph" w:customStyle="1" w:styleId="xl1969">
    <w:name w:val="xl1969"/>
    <w:basedOn w:val="Normal"/>
    <w:rsid w:val="00473E7D"/>
    <w:pPr>
      <w:pBdr>
        <w:top w:val="single" w:sz="12" w:space="0" w:color="4F81BD"/>
        <w:left w:val="single" w:sz="12" w:space="0" w:color="808080"/>
      </w:pBdr>
      <w:shd w:val="clear" w:color="000000" w:fill="B8CCE4"/>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1970">
    <w:name w:val="xl1970"/>
    <w:basedOn w:val="Normal"/>
    <w:rsid w:val="00473E7D"/>
    <w:pPr>
      <w:pBdr>
        <w:top w:val="single" w:sz="12" w:space="0" w:color="4F81BD"/>
      </w:pBdr>
      <w:shd w:val="clear" w:color="000000" w:fill="B8CCE4"/>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1971">
    <w:name w:val="xl1971"/>
    <w:basedOn w:val="Normal"/>
    <w:rsid w:val="00473E7D"/>
    <w:pPr>
      <w:pBdr>
        <w:top w:val="single" w:sz="12" w:space="0" w:color="4F81BD"/>
      </w:pBdr>
      <w:shd w:val="clear" w:color="000000" w:fill="B8CCE4"/>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1972">
    <w:name w:val="xl1972"/>
    <w:basedOn w:val="Normal"/>
    <w:rsid w:val="00473E7D"/>
    <w:pPr>
      <w:pBdr>
        <w:left w:val="single" w:sz="12" w:space="0" w:color="808080"/>
      </w:pBdr>
      <w:shd w:val="clear" w:color="000000" w:fill="B8CCE4"/>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1973">
    <w:name w:val="xl1973"/>
    <w:basedOn w:val="Normal"/>
    <w:rsid w:val="00473E7D"/>
    <w:pPr>
      <w:pBdr>
        <w:right w:val="single" w:sz="12" w:space="0" w:color="808080"/>
      </w:pBdr>
      <w:shd w:val="clear" w:color="000000" w:fill="B8CCE4"/>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1974">
    <w:name w:val="xl1974"/>
    <w:basedOn w:val="Normal"/>
    <w:rsid w:val="00473E7D"/>
    <w:pPr>
      <w:pBdr>
        <w:left w:val="single" w:sz="12" w:space="0" w:color="808080"/>
      </w:pBdr>
      <w:shd w:val="clear" w:color="000000" w:fill="B8CCE4"/>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1975">
    <w:name w:val="xl1975"/>
    <w:basedOn w:val="Normal"/>
    <w:rsid w:val="00473E7D"/>
    <w:pPr>
      <w:pBdr>
        <w:left w:val="single" w:sz="12" w:space="0" w:color="808080"/>
      </w:pBdr>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1976">
    <w:name w:val="xl1976"/>
    <w:basedOn w:val="Normal"/>
    <w:rsid w:val="00473E7D"/>
    <w:pPr>
      <w:pBdr>
        <w:left w:val="single" w:sz="12" w:space="0" w:color="808080"/>
      </w:pBdr>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1977">
    <w:name w:val="xl1977"/>
    <w:basedOn w:val="Normal"/>
    <w:rsid w:val="00473E7D"/>
    <w:pPr>
      <w:pBdr>
        <w:right w:val="single" w:sz="12" w:space="0" w:color="808080"/>
      </w:pBdr>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1978">
    <w:name w:val="xl1978"/>
    <w:basedOn w:val="Normal"/>
    <w:rsid w:val="00473E7D"/>
    <w:pPr>
      <w:shd w:val="clear" w:color="000000" w:fill="B8CCE4"/>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1979">
    <w:name w:val="xl1979"/>
    <w:basedOn w:val="Normal"/>
    <w:rsid w:val="00473E7D"/>
    <w:pP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1980">
    <w:name w:val="xl1980"/>
    <w:basedOn w:val="Normal"/>
    <w:rsid w:val="00473E7D"/>
    <w:pPr>
      <w:pBdr>
        <w:right w:val="single" w:sz="12" w:space="0" w:color="808080"/>
      </w:pBdr>
      <w:shd w:val="clear" w:color="000000" w:fill="244061"/>
      <w:spacing w:before="100" w:beforeAutospacing="1" w:after="100" w:afterAutospacing="1" w:line="240" w:lineRule="auto"/>
      <w:textAlignment w:val="center"/>
    </w:pPr>
    <w:rPr>
      <w:rFonts w:ascii="Times New Roman" w:hAnsi="Times New Roman"/>
      <w:b/>
      <w:bCs/>
      <w:color w:val="FFFFFF"/>
      <w:kern w:val="0"/>
      <w:sz w:val="16"/>
      <w:szCs w:val="16"/>
      <w:lang w:val="fr-FR" w:eastAsia="fr-FR"/>
    </w:rPr>
  </w:style>
  <w:style w:type="table" w:styleId="GridTable2-Accent1">
    <w:name w:val="Grid Table 2 Accent 1"/>
    <w:basedOn w:val="TableNormal"/>
    <w:uiPriority w:val="47"/>
    <w:rsid w:val="00473E7D"/>
    <w:rPr>
      <w:lang w:val="fr-FR" w:eastAsia="fr-FR"/>
    </w:rPr>
    <w:tblPr>
      <w:tblStyleRowBandSize w:val="1"/>
      <w:tblStyleColBandSize w:val="1"/>
      <w:tblBorders>
        <w:top w:val="single" w:sz="2" w:space="0" w:color="F47588" w:themeColor="accent1" w:themeTint="99"/>
        <w:bottom w:val="single" w:sz="2" w:space="0" w:color="F47588" w:themeColor="accent1" w:themeTint="99"/>
        <w:insideH w:val="single" w:sz="2" w:space="0" w:color="F47588" w:themeColor="accent1" w:themeTint="99"/>
        <w:insideV w:val="single" w:sz="2" w:space="0" w:color="F47588" w:themeColor="accent1" w:themeTint="99"/>
      </w:tblBorders>
    </w:tblPr>
    <w:tblStylePr w:type="firstRow">
      <w:rPr>
        <w:b/>
        <w:bCs/>
      </w:rPr>
      <w:tblPr/>
      <w:tcPr>
        <w:tcBorders>
          <w:top w:val="nil"/>
          <w:bottom w:val="single" w:sz="12" w:space="0" w:color="F47588" w:themeColor="accent1" w:themeTint="99"/>
          <w:insideH w:val="nil"/>
          <w:insideV w:val="nil"/>
        </w:tcBorders>
        <w:shd w:val="clear" w:color="auto" w:fill="FFFFFF" w:themeFill="background1"/>
      </w:tcPr>
    </w:tblStylePr>
    <w:tblStylePr w:type="lastRow">
      <w:rPr>
        <w:b/>
        <w:bCs/>
      </w:rPr>
      <w:tblPr/>
      <w:tcPr>
        <w:tcBorders>
          <w:top w:val="double" w:sz="2" w:space="0" w:color="F4758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D0D7" w:themeFill="accent1" w:themeFillTint="33"/>
      </w:tcPr>
    </w:tblStylePr>
    <w:tblStylePr w:type="band1Horz">
      <w:tblPr/>
      <w:tcPr>
        <w:shd w:val="clear" w:color="auto" w:fill="FBD0D7" w:themeFill="accent1" w:themeFillTint="33"/>
      </w:tcPr>
    </w:tblStylePr>
  </w:style>
  <w:style w:type="character" w:customStyle="1" w:styleId="Bodytext211ptBold">
    <w:name w:val="Body text (2) + 11 pt.Bold"/>
    <w:basedOn w:val="DefaultParagraphFont"/>
    <w:rsid w:val="00473E7D"/>
    <w:rPr>
      <w:rFonts w:ascii="Calibri" w:eastAsia="Calibri" w:hAnsi="Calibri" w:cs="Calibri"/>
      <w:b/>
      <w:bCs/>
      <w:i w:val="0"/>
      <w:iCs w:val="0"/>
      <w:smallCaps w:val="0"/>
      <w:strike w:val="0"/>
      <w:color w:val="000000"/>
      <w:spacing w:val="0"/>
      <w:w w:val="100"/>
      <w:position w:val="0"/>
      <w:sz w:val="22"/>
      <w:szCs w:val="22"/>
      <w:u w:val="none"/>
      <w:lang w:val="en-US" w:eastAsia="en-US" w:bidi="en-US"/>
    </w:rPr>
  </w:style>
  <w:style w:type="table" w:customStyle="1" w:styleId="Grilleclaire-Accent111">
    <w:name w:val="Grille claire - Accent 111"/>
    <w:basedOn w:val="TableNormal"/>
    <w:uiPriority w:val="62"/>
    <w:rsid w:val="00473E7D"/>
    <w:rPr>
      <w:rFonts w:ascii="Calibri" w:hAnsi="Calibri"/>
      <w:lang w:val="fr-FR" w:eastAsia="fr-F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yriad Pro" w:eastAsia="Times New Roman" w:hAnsi="Myriad Pro"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yriad Pro" w:eastAsia="Times New Roman" w:hAnsi="Myriad Pro"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yriad Pro" w:eastAsia="Times New Roman" w:hAnsi="Myriad Pro" w:cs="Times New Roman"/>
        <w:b/>
        <w:bCs/>
      </w:rPr>
    </w:tblStylePr>
    <w:tblStylePr w:type="lastCol">
      <w:rPr>
        <w:rFonts w:ascii="Myriad Pro" w:eastAsia="Times New Roman" w:hAnsi="Myriad Pro"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emoyenne1-Accent51">
    <w:name w:val="Liste moyenne 1 - Accent 51"/>
    <w:basedOn w:val="TableNormal"/>
    <w:next w:val="MediumList1-Accent5"/>
    <w:uiPriority w:val="65"/>
    <w:rsid w:val="00473E7D"/>
    <w:rPr>
      <w:rFonts w:ascii="Calibri" w:hAnsi="Calibri"/>
      <w:color w:val="000000"/>
      <w:lang w:val="fr-FR" w:eastAsia="fr-FR"/>
    </w:rPr>
    <w:tblPr>
      <w:tblStyleRowBandSize w:val="1"/>
      <w:tblStyleColBandSize w:val="1"/>
      <w:tblBorders>
        <w:top w:val="single" w:sz="8" w:space="0" w:color="4BACC6"/>
        <w:bottom w:val="single" w:sz="8" w:space="0" w:color="4BACC6"/>
      </w:tblBorders>
    </w:tblPr>
    <w:tblStylePr w:type="firstRow">
      <w:rPr>
        <w:rFonts w:ascii="Myriad Pro" w:eastAsia="Times New Roman" w:hAnsi="Myriad Pro"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character" w:customStyle="1" w:styleId="rwrro">
    <w:name w:val="rwrro"/>
    <w:basedOn w:val="DefaultParagraphFont"/>
    <w:rsid w:val="00473E7D"/>
  </w:style>
  <w:style w:type="table" w:customStyle="1" w:styleId="GridTable2-Accent11">
    <w:name w:val="Grid Table 2 - Accent 11"/>
    <w:basedOn w:val="TableNormal"/>
    <w:uiPriority w:val="47"/>
    <w:rsid w:val="00473E7D"/>
    <w:rPr>
      <w:lang w:val="fr-FR" w:eastAsia="fr-FR"/>
    </w:rPr>
    <w:tblPr>
      <w:tblStyleRowBandSize w:val="1"/>
      <w:tblStyleColBandSize w:val="1"/>
      <w:tblBorders>
        <w:top w:val="single" w:sz="2" w:space="0" w:color="F47588" w:themeColor="accent1" w:themeTint="99"/>
        <w:bottom w:val="single" w:sz="2" w:space="0" w:color="F47588" w:themeColor="accent1" w:themeTint="99"/>
        <w:insideH w:val="single" w:sz="2" w:space="0" w:color="F47588" w:themeColor="accent1" w:themeTint="99"/>
        <w:insideV w:val="single" w:sz="2" w:space="0" w:color="F47588" w:themeColor="accent1" w:themeTint="99"/>
      </w:tblBorders>
    </w:tblPr>
    <w:tblStylePr w:type="firstRow">
      <w:rPr>
        <w:b/>
        <w:bCs/>
      </w:rPr>
      <w:tblPr/>
      <w:tcPr>
        <w:tcBorders>
          <w:top w:val="nil"/>
          <w:bottom w:val="single" w:sz="12" w:space="0" w:color="F47588" w:themeColor="accent1" w:themeTint="99"/>
          <w:insideH w:val="nil"/>
          <w:insideV w:val="nil"/>
        </w:tcBorders>
        <w:shd w:val="clear" w:color="auto" w:fill="FFFFFF" w:themeFill="background1"/>
      </w:tcPr>
    </w:tblStylePr>
    <w:tblStylePr w:type="lastRow">
      <w:rPr>
        <w:b/>
        <w:bCs/>
      </w:rPr>
      <w:tblPr/>
      <w:tcPr>
        <w:tcBorders>
          <w:top w:val="double" w:sz="2" w:space="0" w:color="F4758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D0D7" w:themeFill="accent1" w:themeFillTint="33"/>
      </w:tcPr>
    </w:tblStylePr>
    <w:tblStylePr w:type="band1Horz">
      <w:tblPr/>
      <w:tcPr>
        <w:shd w:val="clear" w:color="auto" w:fill="FBD0D7" w:themeFill="accent1" w:themeFillTint="33"/>
      </w:tcPr>
    </w:tblStylePr>
  </w:style>
  <w:style w:type="paragraph" w:customStyle="1" w:styleId="xl2018">
    <w:name w:val="xl2018"/>
    <w:basedOn w:val="Normal"/>
    <w:rsid w:val="00473E7D"/>
    <w:pPr>
      <w:spacing w:before="100" w:beforeAutospacing="1" w:after="100" w:afterAutospacing="1" w:line="240" w:lineRule="auto"/>
      <w:textAlignment w:val="center"/>
    </w:pPr>
    <w:rPr>
      <w:rFonts w:ascii="Times New Roman" w:hAnsi="Times New Roman"/>
      <w:color w:val="auto"/>
      <w:kern w:val="0"/>
      <w:szCs w:val="18"/>
      <w:lang w:val="fr-FR" w:eastAsia="fr-FR"/>
    </w:rPr>
  </w:style>
  <w:style w:type="paragraph" w:customStyle="1" w:styleId="xl2019">
    <w:name w:val="xl2019"/>
    <w:basedOn w:val="Normal"/>
    <w:rsid w:val="00473E7D"/>
    <w:pPr>
      <w:shd w:val="clear" w:color="000000" w:fill="B8CCE4"/>
      <w:spacing w:before="100" w:beforeAutospacing="1" w:after="100" w:afterAutospacing="1" w:line="240" w:lineRule="auto"/>
      <w:textAlignment w:val="center"/>
    </w:pPr>
    <w:rPr>
      <w:rFonts w:ascii="Times New Roman" w:hAnsi="Times New Roman"/>
      <w:color w:val="auto"/>
      <w:kern w:val="0"/>
      <w:szCs w:val="18"/>
      <w:lang w:val="fr-FR" w:eastAsia="fr-FR"/>
    </w:rPr>
  </w:style>
  <w:style w:type="character" w:customStyle="1" w:styleId="Bodytext211ptBold1">
    <w:name w:val="Body text (2) + 11 pt.Bold1"/>
    <w:basedOn w:val="DefaultParagraphFont"/>
    <w:rsid w:val="00473E7D"/>
    <w:rPr>
      <w:rFonts w:ascii="Calibri" w:eastAsia="Calibri" w:hAnsi="Calibri" w:cs="Calibri"/>
      <w:b/>
      <w:bCs/>
      <w:i w:val="0"/>
      <w:iCs w:val="0"/>
      <w:smallCaps w:val="0"/>
      <w:strike w:val="0"/>
      <w:color w:val="000000"/>
      <w:spacing w:val="0"/>
      <w:w w:val="100"/>
      <w:position w:val="0"/>
      <w:sz w:val="22"/>
      <w:szCs w:val="22"/>
      <w:u w:val="none"/>
      <w:lang w:val="en-US" w:eastAsia="en-US" w:bidi="en-US"/>
    </w:rPr>
  </w:style>
  <w:style w:type="character" w:customStyle="1" w:styleId="Mention11">
    <w:name w:val="Mention11"/>
    <w:basedOn w:val="DefaultParagraphFont"/>
    <w:uiPriority w:val="99"/>
    <w:semiHidden/>
    <w:unhideWhenUsed/>
    <w:rsid w:val="00473E7D"/>
    <w:rPr>
      <w:color w:val="2B579A"/>
      <w:shd w:val="clear" w:color="auto" w:fill="E6E6E6"/>
    </w:rPr>
  </w:style>
  <w:style w:type="table" w:customStyle="1" w:styleId="TableGrid0">
    <w:name w:val="TableGrid"/>
    <w:rsid w:val="00473E7D"/>
    <w:rPr>
      <w:rFonts w:asciiTheme="minorHAnsi" w:eastAsiaTheme="minorEastAsia" w:hAnsiTheme="minorHAnsi" w:cstheme="minorBidi"/>
      <w:sz w:val="22"/>
      <w:szCs w:val="22"/>
      <w:lang w:val="fr-FR" w:eastAsia="fr-FR"/>
    </w:rPr>
    <w:tblPr>
      <w:tblCellMar>
        <w:top w:w="0" w:type="dxa"/>
        <w:left w:w="0" w:type="dxa"/>
        <w:bottom w:w="0" w:type="dxa"/>
        <w:right w:w="0" w:type="dxa"/>
      </w:tblCellMar>
    </w:tblPr>
  </w:style>
  <w:style w:type="character" w:customStyle="1" w:styleId="UnresolvedMention11">
    <w:name w:val="Unresolved Mention11"/>
    <w:basedOn w:val="DefaultParagraphFont"/>
    <w:uiPriority w:val="99"/>
    <w:semiHidden/>
    <w:unhideWhenUsed/>
    <w:rsid w:val="00473E7D"/>
    <w:rPr>
      <w:color w:val="808080"/>
      <w:shd w:val="clear" w:color="auto" w:fill="E6E6E6"/>
    </w:rPr>
  </w:style>
  <w:style w:type="character" w:customStyle="1" w:styleId="UnresolvedMention22">
    <w:name w:val="Unresolved Mention22"/>
    <w:basedOn w:val="DefaultParagraphFont"/>
    <w:uiPriority w:val="99"/>
    <w:semiHidden/>
    <w:unhideWhenUsed/>
    <w:rsid w:val="00473E7D"/>
    <w:rPr>
      <w:color w:val="808080"/>
      <w:shd w:val="clear" w:color="auto" w:fill="E6E6E6"/>
    </w:rPr>
  </w:style>
  <w:style w:type="character" w:customStyle="1" w:styleId="UnresolvedMention21">
    <w:name w:val="Unresolved Mention21"/>
    <w:basedOn w:val="DefaultParagraphFont"/>
    <w:uiPriority w:val="99"/>
    <w:semiHidden/>
    <w:unhideWhenUsed/>
    <w:rsid w:val="00473E7D"/>
    <w:rPr>
      <w:color w:val="808080"/>
      <w:shd w:val="clear" w:color="auto" w:fill="E6E6E6"/>
    </w:rPr>
  </w:style>
  <w:style w:type="table" w:styleId="ListTable1Light-Accent5">
    <w:name w:val="List Table 1 Light Accent 5"/>
    <w:basedOn w:val="TableNormal"/>
    <w:uiPriority w:val="46"/>
    <w:rsid w:val="00473E7D"/>
    <w:rPr>
      <w:lang w:val="fr-FR" w:eastAsia="fr-FR"/>
    </w:rPr>
    <w:tblPr>
      <w:tblStyleRowBandSize w:val="1"/>
      <w:tblStyleColBandSize w:val="1"/>
    </w:tblPr>
    <w:tblStylePr w:type="firstRow">
      <w:rPr>
        <w:b/>
        <w:bCs/>
      </w:rPr>
      <w:tblPr/>
      <w:tcPr>
        <w:tcBorders>
          <w:bottom w:val="single" w:sz="4" w:space="0" w:color="F997AB" w:themeColor="accent5" w:themeTint="99"/>
        </w:tcBorders>
      </w:tcPr>
    </w:tblStylePr>
    <w:tblStylePr w:type="lastRow">
      <w:rPr>
        <w:b/>
        <w:bCs/>
      </w:rPr>
      <w:tblPr/>
      <w:tcPr>
        <w:tcBorders>
          <w:top w:val="single" w:sz="4" w:space="0" w:color="F997AB" w:themeColor="accent5" w:themeTint="99"/>
        </w:tcBorders>
      </w:tcPr>
    </w:tblStylePr>
    <w:tblStylePr w:type="firstCol">
      <w:rPr>
        <w:b/>
        <w:bCs/>
      </w:rPr>
    </w:tblStylePr>
    <w:tblStylePr w:type="lastCol">
      <w:rPr>
        <w:b/>
        <w:bCs/>
      </w:rPr>
    </w:tblStylePr>
    <w:tblStylePr w:type="band1Vert">
      <w:tblPr/>
      <w:tcPr>
        <w:shd w:val="clear" w:color="auto" w:fill="FDDCE3" w:themeFill="accent5" w:themeFillTint="33"/>
      </w:tcPr>
    </w:tblStylePr>
    <w:tblStylePr w:type="band1Horz">
      <w:tblPr/>
      <w:tcPr>
        <w:shd w:val="clear" w:color="auto" w:fill="FDDCE3" w:themeFill="accent5" w:themeFillTint="33"/>
      </w:tcPr>
    </w:tblStylePr>
  </w:style>
  <w:style w:type="table" w:customStyle="1" w:styleId="Style3">
    <w:name w:val="Style3"/>
    <w:basedOn w:val="TableList8"/>
    <w:uiPriority w:val="99"/>
    <w:rsid w:val="00473E7D"/>
    <w:rPr>
      <w:color w:val="F7A3B0" w:themeColor="accent1" w:themeTint="66"/>
      <w:lang w:val="en-US" w:eastAsia="en-US"/>
    </w:rPr>
    <w:tblPr>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Pr>
    <w:tcPr>
      <w:shd w:val="clear" w:color="auto" w:fill="7A091A"/>
    </w:tcPr>
    <w:tblStylePr w:type="firstRow">
      <w:rPr>
        <w:b/>
        <w:bCs/>
        <w:i/>
        <w:iCs/>
        <w:color w:val="auto"/>
      </w:rPr>
      <w:tblPr/>
      <w:tcPr>
        <w:tcBorders>
          <w:bottom w:val="single" w:sz="6" w:space="0" w:color="000000"/>
          <w:tl2br w:val="none" w:sz="0" w:space="0" w:color="auto"/>
          <w:tr2bl w:val="none" w:sz="0" w:space="0" w:color="auto"/>
        </w:tcBorders>
        <w:shd w:val="pct20" w:color="0000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List8">
    <w:name w:val="Table List 8"/>
    <w:basedOn w:val="TableNormal"/>
    <w:uiPriority w:val="99"/>
    <w:semiHidden/>
    <w:unhideWhenUsed/>
    <w:rsid w:val="00473E7D"/>
    <w:rPr>
      <w:lang w:val="fr-FR" w:eastAsia="fr-F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customStyle="1" w:styleId="tlid-translation">
    <w:name w:val="tlid-translation"/>
    <w:basedOn w:val="DefaultParagraphFont"/>
    <w:rsid w:val="00272599"/>
  </w:style>
  <w:style w:type="paragraph" w:customStyle="1" w:styleId="xl2283">
    <w:name w:val="xl2283"/>
    <w:basedOn w:val="Normal"/>
    <w:rsid w:val="0094006A"/>
    <w:pPr>
      <w:spacing w:before="100" w:beforeAutospacing="1" w:after="100" w:afterAutospacing="1" w:line="240" w:lineRule="auto"/>
    </w:pPr>
    <w:rPr>
      <w:rFonts w:ascii="Times New Roman" w:hAnsi="Times New Roman"/>
      <w:color w:val="auto"/>
      <w:kern w:val="0"/>
      <w:sz w:val="16"/>
      <w:szCs w:val="16"/>
      <w:lang w:val="fr-FR" w:eastAsia="fr-FR"/>
    </w:rPr>
  </w:style>
  <w:style w:type="paragraph" w:customStyle="1" w:styleId="xl2284">
    <w:name w:val="xl2284"/>
    <w:basedOn w:val="Normal"/>
    <w:rsid w:val="0094006A"/>
    <w:pP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2285">
    <w:name w:val="xl2285"/>
    <w:basedOn w:val="Normal"/>
    <w:rsid w:val="0094006A"/>
    <w:pPr>
      <w:shd w:val="clear" w:color="000000" w:fill="FFFFFF"/>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2286">
    <w:name w:val="xl2286"/>
    <w:basedOn w:val="Normal"/>
    <w:rsid w:val="0094006A"/>
    <w:pPr>
      <w:pBdr>
        <w:bottom w:val="single" w:sz="8" w:space="0" w:color="FF0000"/>
      </w:pBdr>
      <w:shd w:val="clear" w:color="000000" w:fill="800000"/>
      <w:spacing w:before="100" w:beforeAutospacing="1" w:after="100" w:afterAutospacing="1" w:line="240" w:lineRule="auto"/>
      <w:textAlignment w:val="center"/>
    </w:pPr>
    <w:rPr>
      <w:rFonts w:ascii="Times New Roman" w:hAnsi="Times New Roman"/>
      <w:b/>
      <w:bCs/>
      <w:color w:val="FFFFFF"/>
      <w:kern w:val="0"/>
      <w:sz w:val="16"/>
      <w:szCs w:val="16"/>
      <w:lang w:val="fr-FR" w:eastAsia="fr-FR"/>
    </w:rPr>
  </w:style>
  <w:style w:type="paragraph" w:customStyle="1" w:styleId="xl2287">
    <w:name w:val="xl2287"/>
    <w:basedOn w:val="Normal"/>
    <w:rsid w:val="0094006A"/>
    <w:pPr>
      <w:shd w:val="clear" w:color="000000" w:fill="FFA7A7"/>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2288">
    <w:name w:val="xl2288"/>
    <w:basedOn w:val="Normal"/>
    <w:rsid w:val="0094006A"/>
    <w:pPr>
      <w:pBdr>
        <w:bottom w:val="single" w:sz="8" w:space="0" w:color="FF0000"/>
      </w:pBdr>
      <w:shd w:val="clear" w:color="000000" w:fill="800000"/>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2289">
    <w:name w:val="xl2289"/>
    <w:basedOn w:val="Normal"/>
    <w:rsid w:val="0094006A"/>
    <w:pPr>
      <w:pBdr>
        <w:bottom w:val="single" w:sz="8" w:space="0" w:color="FF0000"/>
      </w:pBdr>
      <w:shd w:val="clear" w:color="000000" w:fill="800000"/>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2290">
    <w:name w:val="xl2290"/>
    <w:basedOn w:val="Normal"/>
    <w:rsid w:val="0094006A"/>
    <w:pPr>
      <w:pBdr>
        <w:bottom w:val="single" w:sz="8" w:space="0" w:color="FF0000"/>
      </w:pBdr>
      <w:shd w:val="clear" w:color="000000" w:fill="800000"/>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2291">
    <w:name w:val="xl2291"/>
    <w:basedOn w:val="Normal"/>
    <w:rsid w:val="0094006A"/>
    <w:pPr>
      <w:shd w:val="clear" w:color="000000" w:fill="FFFFFF"/>
      <w:spacing w:before="100" w:beforeAutospacing="1" w:after="100" w:afterAutospacing="1" w:line="240" w:lineRule="auto"/>
    </w:pPr>
    <w:rPr>
      <w:rFonts w:ascii="Times New Roman" w:hAnsi="Times New Roman"/>
      <w:color w:val="auto"/>
      <w:kern w:val="0"/>
      <w:sz w:val="16"/>
      <w:szCs w:val="16"/>
      <w:lang w:val="fr-FR" w:eastAsia="fr-FR"/>
    </w:rPr>
  </w:style>
  <w:style w:type="paragraph" w:customStyle="1" w:styleId="xl2292">
    <w:name w:val="xl2292"/>
    <w:basedOn w:val="Normal"/>
    <w:rsid w:val="0094006A"/>
    <w:pPr>
      <w:shd w:val="clear" w:color="000000" w:fill="FFFFFF"/>
      <w:spacing w:before="100" w:beforeAutospacing="1" w:after="100" w:afterAutospacing="1" w:line="240" w:lineRule="auto"/>
      <w:jc w:val="right"/>
    </w:pPr>
    <w:rPr>
      <w:rFonts w:ascii="Times New Roman" w:hAnsi="Times New Roman"/>
      <w:color w:val="auto"/>
      <w:kern w:val="0"/>
      <w:sz w:val="16"/>
      <w:szCs w:val="16"/>
      <w:lang w:val="fr-FR" w:eastAsia="fr-FR"/>
    </w:rPr>
  </w:style>
  <w:style w:type="paragraph" w:customStyle="1" w:styleId="xl2293">
    <w:name w:val="xl2293"/>
    <w:basedOn w:val="Normal"/>
    <w:rsid w:val="0094006A"/>
    <w:pPr>
      <w:shd w:val="clear" w:color="000000" w:fill="FFFFFF"/>
      <w:spacing w:before="100" w:beforeAutospacing="1" w:after="100" w:afterAutospacing="1" w:line="240" w:lineRule="auto"/>
      <w:jc w:val="center"/>
    </w:pPr>
    <w:rPr>
      <w:rFonts w:ascii="Times New Roman" w:hAnsi="Times New Roman"/>
      <w:color w:val="auto"/>
      <w:kern w:val="0"/>
      <w:sz w:val="16"/>
      <w:szCs w:val="16"/>
      <w:lang w:val="fr-FR" w:eastAsia="fr-FR"/>
    </w:rPr>
  </w:style>
  <w:style w:type="paragraph" w:customStyle="1" w:styleId="xl2294">
    <w:name w:val="xl2294"/>
    <w:basedOn w:val="Normal"/>
    <w:rsid w:val="0094006A"/>
    <w:pPr>
      <w:pBdr>
        <w:top w:val="single" w:sz="8" w:space="0" w:color="FF0000"/>
      </w:pBdr>
      <w:shd w:val="clear" w:color="000000" w:fill="FFA7A7"/>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2295">
    <w:name w:val="xl2295"/>
    <w:basedOn w:val="Normal"/>
    <w:rsid w:val="0094006A"/>
    <w:pPr>
      <w:pBdr>
        <w:bottom w:val="single" w:sz="8" w:space="0" w:color="FF0000"/>
      </w:pBdr>
      <w:shd w:val="clear" w:color="000000" w:fill="FFA7A7"/>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2296">
    <w:name w:val="xl2296"/>
    <w:basedOn w:val="Normal"/>
    <w:rsid w:val="0094006A"/>
    <w:pPr>
      <w:pBdr>
        <w:bottom w:val="single" w:sz="8" w:space="0" w:color="FF0000"/>
      </w:pBdr>
      <w:shd w:val="clear" w:color="000000" w:fill="FFA7A7"/>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2297">
    <w:name w:val="xl2297"/>
    <w:basedOn w:val="Normal"/>
    <w:rsid w:val="0094006A"/>
    <w:pPr>
      <w:pBdr>
        <w:bottom w:val="single" w:sz="8" w:space="0" w:color="FF0000"/>
      </w:pBdr>
      <w:shd w:val="clear" w:color="000000" w:fill="FFA7A7"/>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2298">
    <w:name w:val="xl2298"/>
    <w:basedOn w:val="Normal"/>
    <w:rsid w:val="0094006A"/>
    <w:pPr>
      <w:pBdr>
        <w:bottom w:val="single" w:sz="8" w:space="0" w:color="FF0000"/>
      </w:pBdr>
      <w:shd w:val="clear" w:color="000000" w:fill="FFA7A7"/>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2299">
    <w:name w:val="xl2299"/>
    <w:basedOn w:val="Normal"/>
    <w:rsid w:val="0094006A"/>
    <w:pPr>
      <w:pBdr>
        <w:bottom w:val="single" w:sz="8" w:space="0" w:color="FF0000"/>
      </w:pBdr>
      <w:shd w:val="clear" w:color="000000" w:fill="FFA7A7"/>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2300">
    <w:name w:val="xl2300"/>
    <w:basedOn w:val="Normal"/>
    <w:rsid w:val="0094006A"/>
    <w:pPr>
      <w:pBdr>
        <w:bottom w:val="single" w:sz="8" w:space="0" w:color="FF0000"/>
      </w:pBdr>
      <w:shd w:val="clear" w:color="000000" w:fill="FFA7A7"/>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2301">
    <w:name w:val="xl2301"/>
    <w:basedOn w:val="Normal"/>
    <w:rsid w:val="0094006A"/>
    <w:pPr>
      <w:pBdr>
        <w:bottom w:val="single" w:sz="8" w:space="0" w:color="FF0000"/>
      </w:pBdr>
      <w:shd w:val="clear" w:color="000000" w:fill="800000"/>
      <w:spacing w:before="100" w:beforeAutospacing="1" w:after="100" w:afterAutospacing="1" w:line="240" w:lineRule="auto"/>
    </w:pPr>
    <w:rPr>
      <w:rFonts w:ascii="Times New Roman" w:hAnsi="Times New Roman"/>
      <w:color w:val="FFFFFF"/>
      <w:kern w:val="0"/>
      <w:sz w:val="16"/>
      <w:szCs w:val="16"/>
      <w:lang w:val="fr-FR" w:eastAsia="fr-FR"/>
    </w:rPr>
  </w:style>
  <w:style w:type="paragraph" w:customStyle="1" w:styleId="xl2302">
    <w:name w:val="xl2302"/>
    <w:basedOn w:val="Normal"/>
    <w:rsid w:val="0094006A"/>
    <w:pPr>
      <w:pBdr>
        <w:bottom w:val="single" w:sz="8" w:space="0" w:color="FF0000"/>
      </w:pBdr>
      <w:shd w:val="clear" w:color="000000" w:fill="800000"/>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2303">
    <w:name w:val="xl2303"/>
    <w:basedOn w:val="Normal"/>
    <w:rsid w:val="0094006A"/>
    <w:pPr>
      <w:pBdr>
        <w:bottom w:val="single" w:sz="8" w:space="0" w:color="FF0000"/>
      </w:pBdr>
      <w:shd w:val="clear" w:color="000000" w:fill="800000"/>
      <w:spacing w:before="100" w:beforeAutospacing="1" w:after="100" w:afterAutospacing="1" w:line="240" w:lineRule="auto"/>
      <w:textAlignment w:val="center"/>
    </w:pPr>
    <w:rPr>
      <w:rFonts w:ascii="Times New Roman" w:hAnsi="Times New Roman"/>
      <w:b/>
      <w:bCs/>
      <w:color w:val="FFFFFF"/>
      <w:kern w:val="0"/>
      <w:sz w:val="16"/>
      <w:szCs w:val="16"/>
      <w:lang w:val="fr-FR" w:eastAsia="fr-FR"/>
    </w:rPr>
  </w:style>
  <w:style w:type="paragraph" w:customStyle="1" w:styleId="xl2304">
    <w:name w:val="xl2304"/>
    <w:basedOn w:val="Normal"/>
    <w:rsid w:val="0094006A"/>
    <w:pPr>
      <w:shd w:val="clear" w:color="000000" w:fill="FFA7A7"/>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2305">
    <w:name w:val="xl2305"/>
    <w:basedOn w:val="Normal"/>
    <w:rsid w:val="0094006A"/>
    <w:pPr>
      <w:shd w:val="clear" w:color="000000" w:fill="FFA7A7"/>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2306">
    <w:name w:val="xl2306"/>
    <w:basedOn w:val="Normal"/>
    <w:rsid w:val="0094006A"/>
    <w:pPr>
      <w:shd w:val="clear" w:color="000000" w:fill="FFFFFF"/>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2307">
    <w:name w:val="xl2307"/>
    <w:basedOn w:val="Normal"/>
    <w:rsid w:val="0094006A"/>
    <w:pPr>
      <w:shd w:val="clear" w:color="000000" w:fill="FFFFFF"/>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2308">
    <w:name w:val="xl2308"/>
    <w:basedOn w:val="Normal"/>
    <w:rsid w:val="0094006A"/>
    <w:pPr>
      <w:shd w:val="clear" w:color="000000" w:fill="FFFFFF"/>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2309">
    <w:name w:val="xl2309"/>
    <w:basedOn w:val="Normal"/>
    <w:rsid w:val="0094006A"/>
    <w:pPr>
      <w:shd w:val="clear" w:color="000000" w:fill="FFFFFF"/>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2310">
    <w:name w:val="xl2310"/>
    <w:basedOn w:val="Normal"/>
    <w:rsid w:val="0094006A"/>
    <w:pPr>
      <w:shd w:val="clear" w:color="000000" w:fill="FFFFFF"/>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2311">
    <w:name w:val="xl2311"/>
    <w:basedOn w:val="Normal"/>
    <w:rsid w:val="0094006A"/>
    <w:pPr>
      <w:shd w:val="clear" w:color="000000" w:fill="FFFFFF"/>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2312">
    <w:name w:val="xl2312"/>
    <w:basedOn w:val="Normal"/>
    <w:rsid w:val="0094006A"/>
    <w:pPr>
      <w:pBdr>
        <w:bottom w:val="single" w:sz="8" w:space="0" w:color="FF0000"/>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2313">
    <w:name w:val="xl2313"/>
    <w:basedOn w:val="Normal"/>
    <w:rsid w:val="0094006A"/>
    <w:pPr>
      <w:pBdr>
        <w:bottom w:val="single" w:sz="8" w:space="0" w:color="FF0000"/>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2314">
    <w:name w:val="xl2314"/>
    <w:basedOn w:val="Normal"/>
    <w:rsid w:val="0094006A"/>
    <w:pPr>
      <w:pBdr>
        <w:bottom w:val="single" w:sz="8" w:space="0" w:color="FF0000"/>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2315">
    <w:name w:val="xl2315"/>
    <w:basedOn w:val="Normal"/>
    <w:rsid w:val="0094006A"/>
    <w:pPr>
      <w:pBdr>
        <w:bottom w:val="single" w:sz="8" w:space="0" w:color="FF0000"/>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2316">
    <w:name w:val="xl2316"/>
    <w:basedOn w:val="Normal"/>
    <w:rsid w:val="0094006A"/>
    <w:pPr>
      <w:pBdr>
        <w:bottom w:val="single" w:sz="8" w:space="0" w:color="FF0000"/>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2317">
    <w:name w:val="xl2317"/>
    <w:basedOn w:val="Normal"/>
    <w:rsid w:val="0094006A"/>
    <w:pPr>
      <w:pBdr>
        <w:bottom w:val="single" w:sz="8" w:space="0" w:color="FF0000"/>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2318">
    <w:name w:val="xl2318"/>
    <w:basedOn w:val="Normal"/>
    <w:rsid w:val="0094006A"/>
    <w:pPr>
      <w:pBdr>
        <w:bottom w:val="single" w:sz="8" w:space="0" w:color="FF0000"/>
      </w:pBdr>
      <w:shd w:val="clear" w:color="000000" w:fill="FFFFFF"/>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2319">
    <w:name w:val="xl2319"/>
    <w:basedOn w:val="Normal"/>
    <w:rsid w:val="0094006A"/>
    <w:pPr>
      <w:pBdr>
        <w:bottom w:val="single" w:sz="8" w:space="0" w:color="FF0000"/>
      </w:pBdr>
      <w:shd w:val="clear" w:color="000000" w:fill="FFA7A7"/>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2320">
    <w:name w:val="xl2320"/>
    <w:basedOn w:val="Normal"/>
    <w:rsid w:val="0094006A"/>
    <w:pPr>
      <w:pBdr>
        <w:bottom w:val="single" w:sz="8" w:space="0" w:color="FF0000"/>
      </w:pBdr>
      <w:shd w:val="clear" w:color="000000" w:fill="FFA7A7"/>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2321">
    <w:name w:val="xl2321"/>
    <w:basedOn w:val="Normal"/>
    <w:rsid w:val="0094006A"/>
    <w:pPr>
      <w:shd w:val="clear" w:color="000000" w:fill="FFFFFF"/>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2322">
    <w:name w:val="xl2322"/>
    <w:basedOn w:val="Normal"/>
    <w:rsid w:val="0094006A"/>
    <w:pPr>
      <w:pBdr>
        <w:bottom w:val="single" w:sz="8" w:space="0" w:color="FF0000"/>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2323">
    <w:name w:val="xl2323"/>
    <w:basedOn w:val="Normal"/>
    <w:rsid w:val="0094006A"/>
    <w:pP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2324">
    <w:name w:val="xl2324"/>
    <w:basedOn w:val="Normal"/>
    <w:rsid w:val="0094006A"/>
    <w:pP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2325">
    <w:name w:val="xl2325"/>
    <w:basedOn w:val="Normal"/>
    <w:rsid w:val="0094006A"/>
    <w:pP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2326">
    <w:name w:val="xl2326"/>
    <w:basedOn w:val="Normal"/>
    <w:rsid w:val="0094006A"/>
    <w:pPr>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2327">
    <w:name w:val="xl2327"/>
    <w:basedOn w:val="Normal"/>
    <w:rsid w:val="0094006A"/>
    <w:pPr>
      <w:pBdr>
        <w:bottom w:val="single" w:sz="8" w:space="0" w:color="FF0000"/>
      </w:pBd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2328">
    <w:name w:val="xl2328"/>
    <w:basedOn w:val="Normal"/>
    <w:rsid w:val="0094006A"/>
    <w:pPr>
      <w:pBdr>
        <w:bottom w:val="single" w:sz="8" w:space="0" w:color="FF0000"/>
      </w:pBd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2329">
    <w:name w:val="xl2329"/>
    <w:basedOn w:val="Normal"/>
    <w:rsid w:val="0094006A"/>
    <w:pPr>
      <w:pBdr>
        <w:top w:val="single" w:sz="8" w:space="0" w:color="FF0000"/>
      </w:pBdr>
      <w:shd w:val="clear" w:color="000000" w:fill="FFA7A7"/>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2330">
    <w:name w:val="xl2330"/>
    <w:basedOn w:val="Normal"/>
    <w:rsid w:val="0094006A"/>
    <w:pPr>
      <w:pBdr>
        <w:top w:val="single" w:sz="8" w:space="0" w:color="FF0000"/>
      </w:pBdr>
      <w:shd w:val="clear" w:color="000000" w:fill="FFA7A7"/>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2331">
    <w:name w:val="xl2331"/>
    <w:basedOn w:val="Normal"/>
    <w:rsid w:val="0094006A"/>
    <w:pPr>
      <w:pBdr>
        <w:top w:val="single" w:sz="8" w:space="0" w:color="FF0000"/>
      </w:pBdr>
      <w:shd w:val="clear" w:color="000000" w:fill="FFA7A7"/>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2332">
    <w:name w:val="xl2332"/>
    <w:basedOn w:val="Normal"/>
    <w:rsid w:val="0094006A"/>
    <w:pPr>
      <w:pBdr>
        <w:top w:val="single" w:sz="8" w:space="0" w:color="FF0000"/>
      </w:pBdr>
      <w:shd w:val="clear" w:color="000000" w:fill="FFA7A7"/>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2333">
    <w:name w:val="xl2333"/>
    <w:basedOn w:val="Normal"/>
    <w:rsid w:val="0094006A"/>
    <w:pPr>
      <w:pBdr>
        <w:top w:val="single" w:sz="8" w:space="0" w:color="FF0000"/>
      </w:pBdr>
      <w:shd w:val="clear" w:color="000000" w:fill="FFA7A7"/>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2334">
    <w:name w:val="xl2334"/>
    <w:basedOn w:val="Normal"/>
    <w:rsid w:val="0094006A"/>
    <w:pPr>
      <w:shd w:val="clear" w:color="000000" w:fill="FFA7A7"/>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2335">
    <w:name w:val="xl2335"/>
    <w:basedOn w:val="Normal"/>
    <w:rsid w:val="0094006A"/>
    <w:pPr>
      <w:shd w:val="clear" w:color="000000" w:fill="FFA7A7"/>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2336">
    <w:name w:val="xl2336"/>
    <w:basedOn w:val="Normal"/>
    <w:rsid w:val="0094006A"/>
    <w:pPr>
      <w:pBdr>
        <w:bottom w:val="single" w:sz="8" w:space="0" w:color="FF0000"/>
      </w:pBdr>
      <w:shd w:val="clear" w:color="000000" w:fill="FFA7A7"/>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2337">
    <w:name w:val="xl2337"/>
    <w:basedOn w:val="Normal"/>
    <w:rsid w:val="0094006A"/>
    <w:pPr>
      <w:pBdr>
        <w:top w:val="single" w:sz="8" w:space="0" w:color="FF0000"/>
      </w:pBdr>
      <w:shd w:val="clear" w:color="000000" w:fill="FFA7A7"/>
      <w:spacing w:before="100" w:beforeAutospacing="1" w:after="100" w:afterAutospacing="1" w:line="240" w:lineRule="auto"/>
    </w:pPr>
    <w:rPr>
      <w:rFonts w:ascii="Times New Roman" w:hAnsi="Times New Roman"/>
      <w:color w:val="auto"/>
      <w:kern w:val="0"/>
      <w:sz w:val="16"/>
      <w:szCs w:val="16"/>
      <w:lang w:val="fr-FR" w:eastAsia="fr-FR"/>
    </w:rPr>
  </w:style>
  <w:style w:type="paragraph" w:customStyle="1" w:styleId="xl2338">
    <w:name w:val="xl2338"/>
    <w:basedOn w:val="Normal"/>
    <w:rsid w:val="0094006A"/>
    <w:pPr>
      <w:pBdr>
        <w:top w:val="single" w:sz="8" w:space="0" w:color="FF0000"/>
      </w:pBdr>
      <w:shd w:val="clear" w:color="000000" w:fill="FFA7A7"/>
      <w:spacing w:before="100" w:beforeAutospacing="1" w:after="100" w:afterAutospacing="1" w:line="240" w:lineRule="auto"/>
    </w:pPr>
    <w:rPr>
      <w:rFonts w:ascii="Times New Roman" w:hAnsi="Times New Roman"/>
      <w:color w:val="auto"/>
      <w:kern w:val="0"/>
      <w:sz w:val="16"/>
      <w:szCs w:val="16"/>
      <w:lang w:val="fr-FR" w:eastAsia="fr-FR"/>
    </w:rPr>
  </w:style>
  <w:style w:type="paragraph" w:customStyle="1" w:styleId="xl2339">
    <w:name w:val="xl2339"/>
    <w:basedOn w:val="Normal"/>
    <w:rsid w:val="0094006A"/>
    <w:pPr>
      <w:pBdr>
        <w:top w:val="single" w:sz="8" w:space="0" w:color="FF0000"/>
      </w:pBdr>
      <w:shd w:val="clear" w:color="000000" w:fill="FFA7A7"/>
      <w:spacing w:before="100" w:beforeAutospacing="1" w:after="100" w:afterAutospacing="1" w:line="240" w:lineRule="auto"/>
      <w:jc w:val="right"/>
    </w:pPr>
    <w:rPr>
      <w:rFonts w:ascii="Times New Roman" w:hAnsi="Times New Roman"/>
      <w:color w:val="auto"/>
      <w:kern w:val="0"/>
      <w:sz w:val="16"/>
      <w:szCs w:val="16"/>
      <w:lang w:val="fr-FR" w:eastAsia="fr-FR"/>
    </w:rPr>
  </w:style>
  <w:style w:type="paragraph" w:customStyle="1" w:styleId="xl2340">
    <w:name w:val="xl2340"/>
    <w:basedOn w:val="Normal"/>
    <w:rsid w:val="0094006A"/>
    <w:pPr>
      <w:pBdr>
        <w:top w:val="single" w:sz="8" w:space="0" w:color="FF0000"/>
      </w:pBdr>
      <w:shd w:val="clear" w:color="000000" w:fill="FFA7A7"/>
      <w:spacing w:before="100" w:beforeAutospacing="1" w:after="100" w:afterAutospacing="1" w:line="240" w:lineRule="auto"/>
    </w:pPr>
    <w:rPr>
      <w:rFonts w:ascii="Times New Roman" w:hAnsi="Times New Roman"/>
      <w:color w:val="auto"/>
      <w:kern w:val="0"/>
      <w:sz w:val="16"/>
      <w:szCs w:val="16"/>
      <w:lang w:val="fr-FR" w:eastAsia="fr-FR"/>
    </w:rPr>
  </w:style>
  <w:style w:type="paragraph" w:customStyle="1" w:styleId="xl2341">
    <w:name w:val="xl2341"/>
    <w:basedOn w:val="Normal"/>
    <w:rsid w:val="0094006A"/>
    <w:pPr>
      <w:shd w:val="clear" w:color="000000" w:fill="FFA7A7"/>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2342">
    <w:name w:val="xl2342"/>
    <w:basedOn w:val="Normal"/>
    <w:rsid w:val="0094006A"/>
    <w:pPr>
      <w:pBdr>
        <w:bottom w:val="single" w:sz="8" w:space="0" w:color="FF0000"/>
      </w:pBdr>
      <w:shd w:val="clear" w:color="000000" w:fill="FFA7A7"/>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2343">
    <w:name w:val="xl2343"/>
    <w:basedOn w:val="Normal"/>
    <w:rsid w:val="0094006A"/>
    <w:pPr>
      <w:pBdr>
        <w:bottom w:val="single" w:sz="8" w:space="0" w:color="FF0000"/>
      </w:pBd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2344">
    <w:name w:val="xl2344"/>
    <w:basedOn w:val="Normal"/>
    <w:rsid w:val="0094006A"/>
    <w:pPr>
      <w:shd w:val="clear" w:color="000000" w:fill="FFFFFF"/>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2345">
    <w:name w:val="xl2345"/>
    <w:basedOn w:val="Normal"/>
    <w:rsid w:val="0094006A"/>
    <w:pPr>
      <w:pBdr>
        <w:bottom w:val="single" w:sz="8" w:space="0" w:color="FF0000"/>
      </w:pBdr>
      <w:shd w:val="clear" w:color="000000" w:fill="FFFFFF"/>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2346">
    <w:name w:val="xl2346"/>
    <w:basedOn w:val="Normal"/>
    <w:rsid w:val="0094006A"/>
    <w:pPr>
      <w:shd w:val="clear" w:color="000000" w:fill="FFA7A7"/>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2347">
    <w:name w:val="xl2347"/>
    <w:basedOn w:val="Normal"/>
    <w:rsid w:val="0094006A"/>
    <w:pPr>
      <w:pBdr>
        <w:bottom w:val="single" w:sz="8" w:space="0" w:color="FF0000"/>
      </w:pBdr>
      <w:shd w:val="clear" w:color="000000" w:fill="FFA7A7"/>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table" w:customStyle="1" w:styleId="TableGrid2">
    <w:name w:val="Table Grid2"/>
    <w:basedOn w:val="TableNormal"/>
    <w:next w:val="TableGrid"/>
    <w:uiPriority w:val="59"/>
    <w:rsid w:val="00C1559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441393"/>
    <w:pPr>
      <w:spacing w:after="0"/>
    </w:pPr>
  </w:style>
  <w:style w:type="table" w:customStyle="1" w:styleId="ListTable1Light-Accent51">
    <w:name w:val="List Table 1 Light - Accent 51"/>
    <w:basedOn w:val="TableNormal"/>
    <w:uiPriority w:val="46"/>
    <w:rsid w:val="00EF3AB4"/>
    <w:rPr>
      <w:lang w:val="fr-FR" w:eastAsia="fr-FR"/>
    </w:rPr>
    <w:tblPr>
      <w:tblStyleRowBandSize w:val="1"/>
      <w:tblStyleColBandSize w:val="1"/>
    </w:tblPr>
    <w:tblStylePr w:type="firstRow">
      <w:rPr>
        <w:b/>
        <w:bCs/>
      </w:rPr>
      <w:tblPr/>
      <w:tcPr>
        <w:tcBorders>
          <w:bottom w:val="single" w:sz="4" w:space="0" w:color="F997AB" w:themeColor="accent5" w:themeTint="99"/>
        </w:tcBorders>
      </w:tcPr>
    </w:tblStylePr>
    <w:tblStylePr w:type="lastRow">
      <w:rPr>
        <w:b/>
        <w:bCs/>
      </w:rPr>
      <w:tblPr/>
      <w:tcPr>
        <w:tcBorders>
          <w:top w:val="single" w:sz="4" w:space="0" w:color="F997AB" w:themeColor="accent5" w:themeTint="99"/>
        </w:tcBorders>
      </w:tcPr>
    </w:tblStylePr>
    <w:tblStylePr w:type="firstCol">
      <w:rPr>
        <w:b/>
        <w:bCs/>
      </w:rPr>
    </w:tblStylePr>
    <w:tblStylePr w:type="lastCol">
      <w:rPr>
        <w:b/>
        <w:bCs/>
      </w:rPr>
    </w:tblStylePr>
    <w:tblStylePr w:type="band1Vert">
      <w:tblPr/>
      <w:tcPr>
        <w:shd w:val="clear" w:color="auto" w:fill="FDDCE3" w:themeFill="accent5" w:themeFillTint="33"/>
      </w:tcPr>
    </w:tblStylePr>
    <w:tblStylePr w:type="band1Horz">
      <w:tblPr/>
      <w:tcPr>
        <w:shd w:val="clear" w:color="auto" w:fill="FDDCE3" w:themeFill="accent5" w:themeFillTint="33"/>
      </w:tcPr>
    </w:tblStylePr>
  </w:style>
  <w:style w:type="character" w:customStyle="1" w:styleId="auto-style7">
    <w:name w:val="auto-style7"/>
    <w:basedOn w:val="DefaultParagraphFont"/>
    <w:rsid w:val="00EF3AB4"/>
  </w:style>
  <w:style w:type="character" w:customStyle="1" w:styleId="auto-style9">
    <w:name w:val="auto-style9"/>
    <w:basedOn w:val="DefaultParagraphFont"/>
    <w:rsid w:val="00EF3AB4"/>
  </w:style>
  <w:style w:type="character" w:customStyle="1" w:styleId="auto-style17">
    <w:name w:val="auto-style17"/>
    <w:basedOn w:val="DefaultParagraphFont"/>
    <w:rsid w:val="00EF3AB4"/>
  </w:style>
  <w:style w:type="character" w:customStyle="1" w:styleId="auto-style18">
    <w:name w:val="auto-style18"/>
    <w:basedOn w:val="DefaultParagraphFont"/>
    <w:rsid w:val="00EF3AB4"/>
  </w:style>
  <w:style w:type="paragraph" w:customStyle="1" w:styleId="font11">
    <w:name w:val="font11"/>
    <w:basedOn w:val="Normal"/>
    <w:rsid w:val="00EF3AB4"/>
    <w:pPr>
      <w:spacing w:before="100" w:beforeAutospacing="1" w:after="100" w:afterAutospacing="1" w:line="240" w:lineRule="auto"/>
    </w:pPr>
    <w:rPr>
      <w:rFonts w:ascii="Arial" w:hAnsi="Arial" w:cs="Arial"/>
      <w:color w:val="auto"/>
      <w:kern w:val="0"/>
      <w:sz w:val="20"/>
      <w:szCs w:val="20"/>
      <w:lang w:val="fr-FR" w:eastAsia="fr-FR"/>
    </w:rPr>
  </w:style>
  <w:style w:type="paragraph" w:customStyle="1" w:styleId="font12">
    <w:name w:val="font12"/>
    <w:basedOn w:val="Normal"/>
    <w:rsid w:val="00EF3AB4"/>
    <w:pPr>
      <w:spacing w:before="100" w:beforeAutospacing="1" w:after="100" w:afterAutospacing="1" w:line="240" w:lineRule="auto"/>
    </w:pPr>
    <w:rPr>
      <w:rFonts w:ascii="Arial" w:hAnsi="Arial" w:cs="Arial"/>
      <w:color w:val="auto"/>
      <w:kern w:val="0"/>
      <w:sz w:val="32"/>
      <w:szCs w:val="32"/>
      <w:lang w:val="fr-FR" w:eastAsia="fr-FR"/>
    </w:rPr>
  </w:style>
  <w:style w:type="paragraph" w:customStyle="1" w:styleId="font80">
    <w:name w:val="font_8"/>
    <w:basedOn w:val="Normal"/>
    <w:rsid w:val="00690726"/>
    <w:pPr>
      <w:spacing w:before="100" w:beforeAutospacing="1" w:after="100" w:afterAutospacing="1" w:line="240" w:lineRule="auto"/>
    </w:pPr>
    <w:rPr>
      <w:rFonts w:ascii="Times New Roman" w:hAnsi="Times New Roman"/>
      <w:color w:val="auto"/>
      <w:kern w:val="0"/>
      <w:sz w:val="24"/>
    </w:rPr>
  </w:style>
  <w:style w:type="character" w:customStyle="1" w:styleId="wixguard">
    <w:name w:val="wixguard"/>
    <w:basedOn w:val="DefaultParagraphFont"/>
    <w:rsid w:val="00690726"/>
  </w:style>
  <w:style w:type="paragraph" w:customStyle="1" w:styleId="BVIfnrCarCar">
    <w:name w:val="BVI fnr Car Car"/>
    <w:aliases w:val=" BVI fnr Car Car Car Car Char,BVI fnr Car"/>
    <w:basedOn w:val="Normal"/>
    <w:link w:val="FootnoteReference"/>
    <w:uiPriority w:val="99"/>
    <w:rsid w:val="00C471DC"/>
    <w:pPr>
      <w:spacing w:after="160" w:line="240" w:lineRule="exact"/>
    </w:pPr>
    <w:rPr>
      <w:rFonts w:ascii="Times New Roman" w:hAnsi="Times New Roman"/>
      <w:color w:val="auto"/>
      <w:kern w:val="0"/>
      <w:sz w:val="20"/>
      <w:szCs w:val="20"/>
      <w:vertAlign w:val="superscript"/>
    </w:rPr>
  </w:style>
  <w:style w:type="character" w:customStyle="1" w:styleId="Mentionnonrsolue2">
    <w:name w:val="Mention non résolue2"/>
    <w:basedOn w:val="DefaultParagraphFont"/>
    <w:uiPriority w:val="99"/>
    <w:semiHidden/>
    <w:unhideWhenUsed/>
    <w:rsid w:val="004B6953"/>
    <w:rPr>
      <w:color w:val="605E5C"/>
      <w:shd w:val="clear" w:color="auto" w:fill="E1DFDD"/>
    </w:rPr>
  </w:style>
  <w:style w:type="table" w:customStyle="1" w:styleId="TableGrid3">
    <w:name w:val="Table Grid3"/>
    <w:basedOn w:val="TableNormal"/>
    <w:next w:val="TableGrid"/>
    <w:uiPriority w:val="59"/>
    <w:rsid w:val="00175CCF"/>
    <w:pPr>
      <w:widowControl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
    <w:name w:val="Table Grid4"/>
    <w:basedOn w:val="TableNormal"/>
    <w:next w:val="TableGrid"/>
    <w:uiPriority w:val="59"/>
    <w:rsid w:val="002A1FB4"/>
    <w:pPr>
      <w:widowControl w:val="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5">
    <w:name w:val="Table Grid5"/>
    <w:basedOn w:val="TableNormal"/>
    <w:next w:val="TableGrid"/>
    <w:uiPriority w:val="59"/>
    <w:rsid w:val="00624B68"/>
    <w:pPr>
      <w:widowControl w:val="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6">
    <w:name w:val="Table Grid6"/>
    <w:basedOn w:val="TableNormal"/>
    <w:next w:val="TableGrid"/>
    <w:uiPriority w:val="59"/>
    <w:rsid w:val="00AA3074"/>
    <w:pPr>
      <w:widowControl w:val="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7">
    <w:name w:val="Table Grid7"/>
    <w:basedOn w:val="TableNormal"/>
    <w:next w:val="TableGrid"/>
    <w:uiPriority w:val="59"/>
    <w:rsid w:val="007A11EA"/>
    <w:pPr>
      <w:widowControl w:val="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ListTable2-Accent3">
    <w:name w:val="List Table 2 Accent 3"/>
    <w:basedOn w:val="TableNormal"/>
    <w:uiPriority w:val="47"/>
    <w:rsid w:val="00A35F02"/>
    <w:tblPr>
      <w:tblStyleRowBandSize w:val="1"/>
      <w:tblStyleColBandSize w:val="1"/>
      <w:tblBorders>
        <w:top w:val="single" w:sz="4" w:space="0" w:color="FF2868" w:themeColor="accent3" w:themeTint="99"/>
        <w:bottom w:val="single" w:sz="4" w:space="0" w:color="FF2868" w:themeColor="accent3" w:themeTint="99"/>
        <w:insideH w:val="single" w:sz="4" w:space="0" w:color="FF286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B7CC" w:themeFill="accent3" w:themeFillTint="33"/>
      </w:tcPr>
    </w:tblStylePr>
    <w:tblStylePr w:type="band1Horz">
      <w:tblPr/>
      <w:tcPr>
        <w:shd w:val="clear" w:color="auto" w:fill="FFB7CC" w:themeFill="accent3" w:themeFillTint="33"/>
      </w:tcPr>
    </w:tblStylePr>
  </w:style>
  <w:style w:type="table" w:styleId="GridTable4-Accent3">
    <w:name w:val="Grid Table 4 Accent 3"/>
    <w:basedOn w:val="TableNormal"/>
    <w:uiPriority w:val="49"/>
    <w:rsid w:val="00A35F02"/>
    <w:tblPr>
      <w:tblStyleRowBandSize w:val="1"/>
      <w:tblStyleColBandSize w:val="1"/>
      <w:tblBorders>
        <w:top w:val="single" w:sz="4" w:space="0" w:color="FF2868" w:themeColor="accent3" w:themeTint="99"/>
        <w:left w:val="single" w:sz="4" w:space="0" w:color="FF2868" w:themeColor="accent3" w:themeTint="99"/>
        <w:bottom w:val="single" w:sz="4" w:space="0" w:color="FF2868" w:themeColor="accent3" w:themeTint="99"/>
        <w:right w:val="single" w:sz="4" w:space="0" w:color="FF2868" w:themeColor="accent3" w:themeTint="99"/>
        <w:insideH w:val="single" w:sz="4" w:space="0" w:color="FF2868" w:themeColor="accent3" w:themeTint="99"/>
        <w:insideV w:val="single" w:sz="4" w:space="0" w:color="FF2868" w:themeColor="accent3" w:themeTint="99"/>
      </w:tblBorders>
    </w:tblPr>
    <w:tblStylePr w:type="firstRow">
      <w:rPr>
        <w:b/>
        <w:bCs/>
        <w:color w:val="FFFFFF" w:themeColor="background1"/>
      </w:rPr>
      <w:tblPr/>
      <w:tcPr>
        <w:tcBorders>
          <w:top w:val="single" w:sz="4" w:space="0" w:color="98002E" w:themeColor="accent3"/>
          <w:left w:val="single" w:sz="4" w:space="0" w:color="98002E" w:themeColor="accent3"/>
          <w:bottom w:val="single" w:sz="4" w:space="0" w:color="98002E" w:themeColor="accent3"/>
          <w:right w:val="single" w:sz="4" w:space="0" w:color="98002E" w:themeColor="accent3"/>
          <w:insideH w:val="nil"/>
          <w:insideV w:val="nil"/>
        </w:tcBorders>
        <w:shd w:val="clear" w:color="auto" w:fill="98002E" w:themeFill="accent3"/>
      </w:tcPr>
    </w:tblStylePr>
    <w:tblStylePr w:type="lastRow">
      <w:rPr>
        <w:b/>
        <w:bCs/>
      </w:rPr>
      <w:tblPr/>
      <w:tcPr>
        <w:tcBorders>
          <w:top w:val="double" w:sz="4" w:space="0" w:color="98002E" w:themeColor="accent3"/>
        </w:tcBorders>
      </w:tcPr>
    </w:tblStylePr>
    <w:tblStylePr w:type="firstCol">
      <w:rPr>
        <w:b/>
        <w:bCs/>
      </w:rPr>
    </w:tblStylePr>
    <w:tblStylePr w:type="lastCol">
      <w:rPr>
        <w:b/>
        <w:bCs/>
      </w:rPr>
    </w:tblStylePr>
    <w:tblStylePr w:type="band1Vert">
      <w:tblPr/>
      <w:tcPr>
        <w:shd w:val="clear" w:color="auto" w:fill="FFB7CC" w:themeFill="accent3" w:themeFillTint="33"/>
      </w:tcPr>
    </w:tblStylePr>
    <w:tblStylePr w:type="band1Horz">
      <w:tblPr/>
      <w:tcPr>
        <w:shd w:val="clear" w:color="auto" w:fill="FFB7CC" w:themeFill="accent3" w:themeFillTint="33"/>
      </w:tcPr>
    </w:tblStylePr>
  </w:style>
  <w:style w:type="table" w:styleId="ListTable7Colorful-Accent1">
    <w:name w:val="List Table 7 Colorful Accent 1"/>
    <w:basedOn w:val="TableNormal"/>
    <w:uiPriority w:val="52"/>
    <w:rsid w:val="00FB0304"/>
    <w:rPr>
      <w:color w:val="B60E2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1A3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1A3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1A3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1A3B" w:themeColor="accent1"/>
        </w:tcBorders>
        <w:shd w:val="clear" w:color="auto" w:fill="FFFFFF" w:themeFill="background1"/>
      </w:tcPr>
    </w:tblStylePr>
    <w:tblStylePr w:type="band1Vert">
      <w:tblPr/>
      <w:tcPr>
        <w:shd w:val="clear" w:color="auto" w:fill="FBD0D7" w:themeFill="accent1" w:themeFillTint="33"/>
      </w:tcPr>
    </w:tblStylePr>
    <w:tblStylePr w:type="band1Horz">
      <w:tblPr/>
      <w:tcPr>
        <w:shd w:val="clear" w:color="auto" w:fill="FBD0D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Accent3">
    <w:name w:val="Grid Table 3 Accent 3"/>
    <w:basedOn w:val="TableNormal"/>
    <w:uiPriority w:val="48"/>
    <w:rsid w:val="005214C9"/>
    <w:tblPr>
      <w:tblStyleRowBandSize w:val="1"/>
      <w:tblStyleColBandSize w:val="1"/>
      <w:tblBorders>
        <w:top w:val="single" w:sz="4" w:space="0" w:color="FF2868" w:themeColor="accent3" w:themeTint="99"/>
        <w:left w:val="single" w:sz="4" w:space="0" w:color="FF2868" w:themeColor="accent3" w:themeTint="99"/>
        <w:bottom w:val="single" w:sz="4" w:space="0" w:color="FF2868" w:themeColor="accent3" w:themeTint="99"/>
        <w:right w:val="single" w:sz="4" w:space="0" w:color="FF2868" w:themeColor="accent3" w:themeTint="99"/>
        <w:insideH w:val="single" w:sz="4" w:space="0" w:color="FF2868" w:themeColor="accent3" w:themeTint="99"/>
        <w:insideV w:val="single" w:sz="4" w:space="0" w:color="FF286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7CC" w:themeFill="accent3" w:themeFillTint="33"/>
      </w:tcPr>
    </w:tblStylePr>
    <w:tblStylePr w:type="band1Horz">
      <w:tblPr/>
      <w:tcPr>
        <w:shd w:val="clear" w:color="auto" w:fill="FFB7CC" w:themeFill="accent3" w:themeFillTint="33"/>
      </w:tcPr>
    </w:tblStylePr>
    <w:tblStylePr w:type="neCell">
      <w:tblPr/>
      <w:tcPr>
        <w:tcBorders>
          <w:bottom w:val="single" w:sz="4" w:space="0" w:color="FF2868" w:themeColor="accent3" w:themeTint="99"/>
        </w:tcBorders>
      </w:tcPr>
    </w:tblStylePr>
    <w:tblStylePr w:type="nwCell">
      <w:tblPr/>
      <w:tcPr>
        <w:tcBorders>
          <w:bottom w:val="single" w:sz="4" w:space="0" w:color="FF2868" w:themeColor="accent3" w:themeTint="99"/>
        </w:tcBorders>
      </w:tcPr>
    </w:tblStylePr>
    <w:tblStylePr w:type="seCell">
      <w:tblPr/>
      <w:tcPr>
        <w:tcBorders>
          <w:top w:val="single" w:sz="4" w:space="0" w:color="FF2868" w:themeColor="accent3" w:themeTint="99"/>
        </w:tcBorders>
      </w:tcPr>
    </w:tblStylePr>
    <w:tblStylePr w:type="swCell">
      <w:tblPr/>
      <w:tcPr>
        <w:tcBorders>
          <w:top w:val="single" w:sz="4" w:space="0" w:color="FF2868" w:themeColor="accent3" w:themeTint="99"/>
        </w:tcBorders>
      </w:tcPr>
    </w:tblStylePr>
  </w:style>
  <w:style w:type="paragraph" w:customStyle="1" w:styleId="Disclaimer">
    <w:name w:val="Disclaimer"/>
    <w:basedOn w:val="Normal"/>
    <w:uiPriority w:val="99"/>
    <w:rsid w:val="000C6A0C"/>
    <w:pPr>
      <w:framePr w:hSpace="180" w:wrap="around" w:vAnchor="page" w:hAnchor="margin" w:xAlign="center" w:y="3307"/>
      <w:spacing w:after="80" w:line="240" w:lineRule="auto"/>
      <w:ind w:right="323"/>
    </w:pPr>
    <w:rPr>
      <w:rFonts w:asciiTheme="minorHAnsi" w:eastAsiaTheme="minorHAnsi" w:hAnsiTheme="minorHAnsi" w:cstheme="minorBidi"/>
      <w:bCs/>
      <w:color w:val="FFFFFF" w:themeColor="background1"/>
      <w:sz w:val="14"/>
      <w:szCs w:val="14"/>
    </w:rPr>
  </w:style>
  <w:style w:type="character" w:customStyle="1" w:styleId="TextWhite">
    <w:name w:val="Text_White"/>
    <w:basedOn w:val="DefaultParagraphFont"/>
    <w:uiPriority w:val="3"/>
    <w:qFormat/>
    <w:rsid w:val="000C6A0C"/>
    <w:rPr>
      <w:color w:val="FFFFFF" w:themeColor="background1"/>
    </w:rPr>
  </w:style>
  <w:style w:type="table" w:styleId="GridTable5Dark-Accent2">
    <w:name w:val="Grid Table 5 Dark Accent 2"/>
    <w:basedOn w:val="TableNormal"/>
    <w:uiPriority w:val="50"/>
    <w:rsid w:val="001320B7"/>
    <w:rPr>
      <w:rFonts w:asciiTheme="minorHAnsi" w:eastAsiaTheme="minorHAnsi" w:hAnsiTheme="minorHAnsi" w:cstheme="minorBidi"/>
      <w:sz w:val="24"/>
      <w:szCs w:val="24"/>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F3F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EAFA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EAFA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EAFA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EAFA4" w:themeFill="accent2"/>
      </w:tcPr>
    </w:tblStylePr>
    <w:tblStylePr w:type="band1Vert">
      <w:tblPr/>
      <w:tcPr>
        <w:shd w:val="clear" w:color="auto" w:fill="A3E7E1" w:themeFill="accent2" w:themeFillTint="66"/>
      </w:tcPr>
    </w:tblStylePr>
    <w:tblStylePr w:type="band1Horz">
      <w:tblPr/>
      <w:tcPr>
        <w:shd w:val="clear" w:color="auto" w:fill="A3E7E1" w:themeFill="accent2" w:themeFillTint="66"/>
      </w:tcPr>
    </w:tblStylePr>
  </w:style>
  <w:style w:type="paragraph" w:customStyle="1" w:styleId="xl2571">
    <w:name w:val="xl2571"/>
    <w:basedOn w:val="Normal"/>
    <w:rsid w:val="00E17928"/>
    <w:pPr>
      <w:spacing w:before="100" w:beforeAutospacing="1" w:after="100" w:afterAutospacing="1" w:line="240" w:lineRule="auto"/>
      <w:textAlignment w:val="center"/>
    </w:pPr>
    <w:rPr>
      <w:rFonts w:ascii="Times New Roman" w:hAnsi="Times New Roman"/>
      <w:color w:val="auto"/>
      <w:kern w:val="0"/>
      <w:sz w:val="24"/>
    </w:rPr>
  </w:style>
  <w:style w:type="paragraph" w:customStyle="1" w:styleId="xl2572">
    <w:name w:val="xl2572"/>
    <w:basedOn w:val="Normal"/>
    <w:rsid w:val="00E17928"/>
    <w:pPr>
      <w:spacing w:before="100" w:beforeAutospacing="1" w:after="100" w:afterAutospacing="1" w:line="240" w:lineRule="auto"/>
      <w:jc w:val="center"/>
      <w:textAlignment w:val="center"/>
    </w:pPr>
    <w:rPr>
      <w:rFonts w:ascii="Times New Roman" w:hAnsi="Times New Roman"/>
      <w:color w:val="auto"/>
      <w:kern w:val="0"/>
      <w:sz w:val="24"/>
    </w:rPr>
  </w:style>
  <w:style w:type="paragraph" w:customStyle="1" w:styleId="xl2573">
    <w:name w:val="xl2573"/>
    <w:basedOn w:val="Normal"/>
    <w:rsid w:val="00E17928"/>
    <w:pPr>
      <w:spacing w:before="100" w:beforeAutospacing="1" w:after="100" w:afterAutospacing="1" w:line="240" w:lineRule="auto"/>
      <w:textAlignment w:val="center"/>
    </w:pPr>
    <w:rPr>
      <w:rFonts w:ascii="Times New Roman" w:hAnsi="Times New Roman"/>
      <w:color w:val="auto"/>
      <w:kern w:val="0"/>
      <w:sz w:val="24"/>
    </w:rPr>
  </w:style>
  <w:style w:type="paragraph" w:customStyle="1" w:styleId="xl2574">
    <w:name w:val="xl2574"/>
    <w:basedOn w:val="Normal"/>
    <w:rsid w:val="00E17928"/>
    <w:pPr>
      <w:shd w:val="clear" w:color="000000" w:fill="FFFFFF"/>
      <w:spacing w:before="100" w:beforeAutospacing="1" w:after="100" w:afterAutospacing="1" w:line="240" w:lineRule="auto"/>
      <w:textAlignment w:val="center"/>
    </w:pPr>
    <w:rPr>
      <w:rFonts w:ascii="Times New Roman" w:hAnsi="Times New Roman"/>
      <w:color w:val="auto"/>
      <w:kern w:val="0"/>
      <w:sz w:val="24"/>
    </w:rPr>
  </w:style>
  <w:style w:type="paragraph" w:customStyle="1" w:styleId="xl2575">
    <w:name w:val="xl2575"/>
    <w:basedOn w:val="Normal"/>
    <w:rsid w:val="00E17928"/>
    <w:pPr>
      <w:shd w:val="clear" w:color="000000" w:fill="FFFFFF"/>
      <w:spacing w:before="100" w:beforeAutospacing="1" w:after="100" w:afterAutospacing="1" w:line="240" w:lineRule="auto"/>
      <w:textAlignment w:val="center"/>
    </w:pPr>
    <w:rPr>
      <w:rFonts w:ascii="Times New Roman" w:hAnsi="Times New Roman"/>
      <w:color w:val="FFFFFF"/>
      <w:kern w:val="0"/>
      <w:sz w:val="24"/>
    </w:rPr>
  </w:style>
  <w:style w:type="paragraph" w:customStyle="1" w:styleId="xl2576">
    <w:name w:val="xl2576"/>
    <w:basedOn w:val="Normal"/>
    <w:rsid w:val="00E17928"/>
    <w:pPr>
      <w:spacing w:before="100" w:beforeAutospacing="1" w:after="100" w:afterAutospacing="1" w:line="240" w:lineRule="auto"/>
      <w:jc w:val="center"/>
      <w:textAlignment w:val="center"/>
    </w:pPr>
    <w:rPr>
      <w:color w:val="auto"/>
      <w:kern w:val="0"/>
      <w:sz w:val="16"/>
      <w:szCs w:val="16"/>
    </w:rPr>
  </w:style>
  <w:style w:type="paragraph" w:customStyle="1" w:styleId="xl2577">
    <w:name w:val="xl2577"/>
    <w:basedOn w:val="Normal"/>
    <w:rsid w:val="00E17928"/>
    <w:pPr>
      <w:spacing w:before="100" w:beforeAutospacing="1" w:after="100" w:afterAutospacing="1" w:line="240" w:lineRule="auto"/>
      <w:jc w:val="right"/>
      <w:textAlignment w:val="center"/>
    </w:pPr>
    <w:rPr>
      <w:b/>
      <w:bCs/>
      <w:color w:val="auto"/>
      <w:kern w:val="0"/>
      <w:sz w:val="16"/>
      <w:szCs w:val="16"/>
    </w:rPr>
  </w:style>
  <w:style w:type="paragraph" w:customStyle="1" w:styleId="xl2578">
    <w:name w:val="xl2578"/>
    <w:basedOn w:val="Normal"/>
    <w:rsid w:val="00E17928"/>
    <w:pPr>
      <w:shd w:val="clear" w:color="000000" w:fill="FFFFFF"/>
      <w:spacing w:before="100" w:beforeAutospacing="1" w:after="100" w:afterAutospacing="1" w:line="240" w:lineRule="auto"/>
      <w:textAlignment w:val="center"/>
    </w:pPr>
    <w:rPr>
      <w:color w:val="auto"/>
      <w:kern w:val="0"/>
      <w:sz w:val="16"/>
      <w:szCs w:val="16"/>
    </w:rPr>
  </w:style>
  <w:style w:type="paragraph" w:customStyle="1" w:styleId="xl2579">
    <w:name w:val="xl2579"/>
    <w:basedOn w:val="Normal"/>
    <w:rsid w:val="00E17928"/>
    <w:pPr>
      <w:spacing w:before="100" w:beforeAutospacing="1" w:after="100" w:afterAutospacing="1" w:line="240" w:lineRule="auto"/>
      <w:textAlignment w:val="center"/>
    </w:pPr>
    <w:rPr>
      <w:b/>
      <w:bCs/>
      <w:color w:val="auto"/>
      <w:kern w:val="0"/>
      <w:sz w:val="16"/>
      <w:szCs w:val="16"/>
    </w:rPr>
  </w:style>
  <w:style w:type="paragraph" w:customStyle="1" w:styleId="xl2580">
    <w:name w:val="xl2580"/>
    <w:basedOn w:val="Normal"/>
    <w:rsid w:val="00E17928"/>
    <w:pPr>
      <w:spacing w:before="100" w:beforeAutospacing="1" w:after="100" w:afterAutospacing="1" w:line="240" w:lineRule="auto"/>
      <w:textAlignment w:val="center"/>
    </w:pPr>
    <w:rPr>
      <w:color w:val="auto"/>
      <w:kern w:val="0"/>
      <w:sz w:val="16"/>
      <w:szCs w:val="16"/>
    </w:rPr>
  </w:style>
  <w:style w:type="paragraph" w:customStyle="1" w:styleId="xl2581">
    <w:name w:val="xl2581"/>
    <w:basedOn w:val="Normal"/>
    <w:rsid w:val="00E17928"/>
    <w:pPr>
      <w:spacing w:before="100" w:beforeAutospacing="1" w:after="100" w:afterAutospacing="1" w:line="240" w:lineRule="auto"/>
      <w:jc w:val="center"/>
      <w:textAlignment w:val="center"/>
    </w:pPr>
    <w:rPr>
      <w:b/>
      <w:bCs/>
      <w:color w:val="auto"/>
      <w:kern w:val="0"/>
      <w:sz w:val="16"/>
      <w:szCs w:val="16"/>
    </w:rPr>
  </w:style>
  <w:style w:type="paragraph" w:customStyle="1" w:styleId="xl2582">
    <w:name w:val="xl2582"/>
    <w:basedOn w:val="Normal"/>
    <w:rsid w:val="00E17928"/>
    <w:pPr>
      <w:shd w:val="clear" w:color="000000" w:fill="FFFFFF"/>
      <w:spacing w:before="100" w:beforeAutospacing="1" w:after="100" w:afterAutospacing="1" w:line="240" w:lineRule="auto"/>
      <w:textAlignment w:val="center"/>
    </w:pPr>
    <w:rPr>
      <w:color w:val="FFFFFF"/>
      <w:kern w:val="0"/>
      <w:sz w:val="16"/>
      <w:szCs w:val="16"/>
    </w:rPr>
  </w:style>
  <w:style w:type="paragraph" w:customStyle="1" w:styleId="xl2583">
    <w:name w:val="xl2583"/>
    <w:basedOn w:val="Normal"/>
    <w:rsid w:val="00E17928"/>
    <w:pPr>
      <w:spacing w:before="100" w:beforeAutospacing="1" w:after="100" w:afterAutospacing="1" w:line="240" w:lineRule="auto"/>
      <w:textAlignment w:val="center"/>
    </w:pPr>
    <w:rPr>
      <w:color w:val="auto"/>
      <w:kern w:val="0"/>
      <w:sz w:val="16"/>
      <w:szCs w:val="16"/>
    </w:rPr>
  </w:style>
  <w:style w:type="paragraph" w:customStyle="1" w:styleId="xl2584">
    <w:name w:val="xl2584"/>
    <w:basedOn w:val="Normal"/>
    <w:rsid w:val="00E17928"/>
    <w:pPr>
      <w:spacing w:before="100" w:beforeAutospacing="1" w:after="100" w:afterAutospacing="1" w:line="240" w:lineRule="auto"/>
      <w:textAlignment w:val="center"/>
    </w:pPr>
    <w:rPr>
      <w:b/>
      <w:bCs/>
      <w:color w:val="auto"/>
      <w:kern w:val="0"/>
      <w:sz w:val="16"/>
      <w:szCs w:val="16"/>
    </w:rPr>
  </w:style>
  <w:style w:type="paragraph" w:customStyle="1" w:styleId="xl2585">
    <w:name w:val="xl2585"/>
    <w:basedOn w:val="Normal"/>
    <w:rsid w:val="00E17928"/>
    <w:pPr>
      <w:shd w:val="clear" w:color="000000" w:fill="7A091A"/>
      <w:spacing w:before="100" w:beforeAutospacing="1" w:after="100" w:afterAutospacing="1" w:line="240" w:lineRule="auto"/>
      <w:jc w:val="center"/>
      <w:textAlignment w:val="center"/>
    </w:pPr>
    <w:rPr>
      <w:b/>
      <w:bCs/>
      <w:color w:val="FFFFFF"/>
      <w:kern w:val="0"/>
      <w:sz w:val="16"/>
      <w:szCs w:val="16"/>
    </w:rPr>
  </w:style>
  <w:style w:type="paragraph" w:customStyle="1" w:styleId="xl2586">
    <w:name w:val="xl2586"/>
    <w:basedOn w:val="Normal"/>
    <w:rsid w:val="00E17928"/>
    <w:pPr>
      <w:pBdr>
        <w:top w:val="single" w:sz="4" w:space="0" w:color="FFFFFF"/>
      </w:pBdr>
      <w:shd w:val="clear" w:color="000000" w:fill="800000"/>
      <w:spacing w:before="100" w:beforeAutospacing="1" w:after="100" w:afterAutospacing="1" w:line="240" w:lineRule="auto"/>
      <w:jc w:val="center"/>
      <w:textAlignment w:val="center"/>
    </w:pPr>
    <w:rPr>
      <w:b/>
      <w:bCs/>
      <w:color w:val="FFFFFF"/>
      <w:kern w:val="0"/>
      <w:sz w:val="16"/>
      <w:szCs w:val="16"/>
    </w:rPr>
  </w:style>
  <w:style w:type="paragraph" w:customStyle="1" w:styleId="xl2587">
    <w:name w:val="xl2587"/>
    <w:basedOn w:val="Normal"/>
    <w:rsid w:val="00E17928"/>
    <w:pPr>
      <w:pBdr>
        <w:top w:val="single" w:sz="4" w:space="0" w:color="FFFFFF"/>
      </w:pBdr>
      <w:shd w:val="clear" w:color="000000" w:fill="800000"/>
      <w:spacing w:before="100" w:beforeAutospacing="1" w:after="100" w:afterAutospacing="1" w:line="240" w:lineRule="auto"/>
      <w:textAlignment w:val="center"/>
    </w:pPr>
    <w:rPr>
      <w:b/>
      <w:bCs/>
      <w:color w:val="FFFFFF"/>
      <w:kern w:val="0"/>
      <w:sz w:val="16"/>
      <w:szCs w:val="16"/>
    </w:rPr>
  </w:style>
  <w:style w:type="paragraph" w:customStyle="1" w:styleId="xl2588">
    <w:name w:val="xl2588"/>
    <w:basedOn w:val="Normal"/>
    <w:rsid w:val="00E17928"/>
    <w:pPr>
      <w:pBdr>
        <w:bottom w:val="single" w:sz="8" w:space="0" w:color="FF0000"/>
      </w:pBdr>
      <w:shd w:val="clear" w:color="000000" w:fill="7A091A"/>
      <w:spacing w:before="100" w:beforeAutospacing="1" w:after="100" w:afterAutospacing="1" w:line="240" w:lineRule="auto"/>
      <w:jc w:val="center"/>
      <w:textAlignment w:val="center"/>
    </w:pPr>
    <w:rPr>
      <w:b/>
      <w:bCs/>
      <w:color w:val="FFFFFF"/>
      <w:kern w:val="0"/>
      <w:sz w:val="16"/>
      <w:szCs w:val="16"/>
    </w:rPr>
  </w:style>
  <w:style w:type="paragraph" w:customStyle="1" w:styleId="xl2589">
    <w:name w:val="xl2589"/>
    <w:basedOn w:val="Normal"/>
    <w:rsid w:val="00E17928"/>
    <w:pPr>
      <w:pBdr>
        <w:top w:val="single" w:sz="4" w:space="0" w:color="FFFFFF"/>
        <w:bottom w:val="single" w:sz="8" w:space="0" w:color="FF0000"/>
      </w:pBdr>
      <w:shd w:val="clear" w:color="000000" w:fill="800000"/>
      <w:spacing w:before="100" w:beforeAutospacing="1" w:after="100" w:afterAutospacing="1" w:line="240" w:lineRule="auto"/>
      <w:jc w:val="center"/>
      <w:textAlignment w:val="center"/>
    </w:pPr>
    <w:rPr>
      <w:b/>
      <w:bCs/>
      <w:color w:val="FFFFFF"/>
      <w:kern w:val="0"/>
      <w:sz w:val="16"/>
      <w:szCs w:val="16"/>
    </w:rPr>
  </w:style>
  <w:style w:type="paragraph" w:customStyle="1" w:styleId="xl2590">
    <w:name w:val="xl2590"/>
    <w:basedOn w:val="Normal"/>
    <w:rsid w:val="00E17928"/>
    <w:pPr>
      <w:pBdr>
        <w:bottom w:val="single" w:sz="8" w:space="0" w:color="FF0000"/>
      </w:pBdr>
      <w:shd w:val="clear" w:color="000000" w:fill="800000"/>
      <w:spacing w:before="100" w:beforeAutospacing="1" w:after="100" w:afterAutospacing="1" w:line="240" w:lineRule="auto"/>
      <w:jc w:val="center"/>
      <w:textAlignment w:val="center"/>
    </w:pPr>
    <w:rPr>
      <w:b/>
      <w:bCs/>
      <w:color w:val="FFFFFF"/>
      <w:kern w:val="0"/>
      <w:sz w:val="16"/>
      <w:szCs w:val="16"/>
    </w:rPr>
  </w:style>
  <w:style w:type="paragraph" w:customStyle="1" w:styleId="xl2591">
    <w:name w:val="xl2591"/>
    <w:basedOn w:val="Normal"/>
    <w:rsid w:val="00E17928"/>
    <w:pPr>
      <w:pBdr>
        <w:bottom w:val="single" w:sz="8" w:space="0" w:color="FF0000"/>
      </w:pBdr>
      <w:shd w:val="clear" w:color="000000" w:fill="800000"/>
      <w:spacing w:before="100" w:beforeAutospacing="1" w:after="100" w:afterAutospacing="1" w:line="240" w:lineRule="auto"/>
      <w:textAlignment w:val="center"/>
    </w:pPr>
    <w:rPr>
      <w:b/>
      <w:bCs/>
      <w:color w:val="FFFFFF"/>
      <w:kern w:val="0"/>
      <w:sz w:val="16"/>
      <w:szCs w:val="16"/>
    </w:rPr>
  </w:style>
  <w:style w:type="paragraph" w:customStyle="1" w:styleId="xl2592">
    <w:name w:val="xl2592"/>
    <w:basedOn w:val="Normal"/>
    <w:rsid w:val="00E17928"/>
    <w:pPr>
      <w:shd w:val="clear" w:color="000000" w:fill="800000"/>
      <w:spacing w:before="100" w:beforeAutospacing="1" w:after="100" w:afterAutospacing="1" w:line="240" w:lineRule="auto"/>
      <w:textAlignment w:val="center"/>
    </w:pPr>
    <w:rPr>
      <w:b/>
      <w:bCs/>
      <w:color w:val="FFFFFF"/>
      <w:kern w:val="0"/>
      <w:sz w:val="16"/>
      <w:szCs w:val="16"/>
    </w:rPr>
  </w:style>
  <w:style w:type="paragraph" w:customStyle="1" w:styleId="xl2593">
    <w:name w:val="xl2593"/>
    <w:basedOn w:val="Normal"/>
    <w:rsid w:val="00E17928"/>
    <w:pPr>
      <w:shd w:val="clear" w:color="000000" w:fill="800000"/>
      <w:spacing w:before="100" w:beforeAutospacing="1" w:after="100" w:afterAutospacing="1" w:line="240" w:lineRule="auto"/>
      <w:jc w:val="center"/>
      <w:textAlignment w:val="center"/>
    </w:pPr>
    <w:rPr>
      <w:b/>
      <w:bCs/>
      <w:color w:val="FFFFFF"/>
      <w:kern w:val="0"/>
      <w:sz w:val="16"/>
      <w:szCs w:val="16"/>
    </w:rPr>
  </w:style>
  <w:style w:type="paragraph" w:customStyle="1" w:styleId="xl2594">
    <w:name w:val="xl2594"/>
    <w:basedOn w:val="Normal"/>
    <w:rsid w:val="00E17928"/>
    <w:pPr>
      <w:shd w:val="clear" w:color="000000" w:fill="FFFFFF"/>
      <w:spacing w:before="100" w:beforeAutospacing="1" w:after="100" w:afterAutospacing="1" w:line="240" w:lineRule="auto"/>
      <w:textAlignment w:val="center"/>
    </w:pPr>
    <w:rPr>
      <w:color w:val="auto"/>
      <w:kern w:val="0"/>
      <w:sz w:val="16"/>
      <w:szCs w:val="16"/>
    </w:rPr>
  </w:style>
  <w:style w:type="paragraph" w:customStyle="1" w:styleId="xl2595">
    <w:name w:val="xl2595"/>
    <w:basedOn w:val="Normal"/>
    <w:rsid w:val="00E17928"/>
    <w:pPr>
      <w:shd w:val="clear" w:color="000000" w:fill="FFFFFF"/>
      <w:spacing w:before="100" w:beforeAutospacing="1" w:after="100" w:afterAutospacing="1" w:line="240" w:lineRule="auto"/>
      <w:textAlignment w:val="center"/>
    </w:pPr>
    <w:rPr>
      <w:color w:val="FFFFFF"/>
      <w:kern w:val="0"/>
      <w:sz w:val="16"/>
      <w:szCs w:val="16"/>
    </w:rPr>
  </w:style>
  <w:style w:type="paragraph" w:customStyle="1" w:styleId="xl2596">
    <w:name w:val="xl2596"/>
    <w:basedOn w:val="Normal"/>
    <w:rsid w:val="00E17928"/>
    <w:pPr>
      <w:shd w:val="clear" w:color="000000" w:fill="800000"/>
      <w:spacing w:before="100" w:beforeAutospacing="1" w:after="100" w:afterAutospacing="1" w:line="240" w:lineRule="auto"/>
      <w:textAlignment w:val="center"/>
    </w:pPr>
    <w:rPr>
      <w:b/>
      <w:bCs/>
      <w:color w:val="FFFFFF"/>
      <w:kern w:val="0"/>
      <w:sz w:val="16"/>
      <w:szCs w:val="16"/>
    </w:rPr>
  </w:style>
  <w:style w:type="paragraph" w:customStyle="1" w:styleId="xl2597">
    <w:name w:val="xl2597"/>
    <w:basedOn w:val="Normal"/>
    <w:rsid w:val="00E17928"/>
    <w:pPr>
      <w:shd w:val="clear" w:color="000000" w:fill="C0A99E"/>
      <w:spacing w:before="100" w:beforeAutospacing="1" w:after="100" w:afterAutospacing="1" w:line="240" w:lineRule="auto"/>
      <w:textAlignment w:val="center"/>
    </w:pPr>
    <w:rPr>
      <w:b/>
      <w:bCs/>
      <w:color w:val="auto"/>
      <w:kern w:val="0"/>
      <w:sz w:val="16"/>
      <w:szCs w:val="16"/>
    </w:rPr>
  </w:style>
  <w:style w:type="paragraph" w:customStyle="1" w:styleId="xl2598">
    <w:name w:val="xl2598"/>
    <w:basedOn w:val="Normal"/>
    <w:rsid w:val="00E17928"/>
    <w:pPr>
      <w:shd w:val="clear" w:color="000000" w:fill="C0A99E"/>
      <w:spacing w:before="100" w:beforeAutospacing="1" w:after="100" w:afterAutospacing="1" w:line="240" w:lineRule="auto"/>
      <w:textAlignment w:val="center"/>
    </w:pPr>
    <w:rPr>
      <w:b/>
      <w:bCs/>
      <w:color w:val="auto"/>
      <w:kern w:val="0"/>
      <w:sz w:val="16"/>
      <w:szCs w:val="16"/>
    </w:rPr>
  </w:style>
  <w:style w:type="paragraph" w:customStyle="1" w:styleId="xl2599">
    <w:name w:val="xl2599"/>
    <w:basedOn w:val="Normal"/>
    <w:rsid w:val="00E17928"/>
    <w:pPr>
      <w:shd w:val="clear" w:color="000000" w:fill="FFAFAF"/>
      <w:spacing w:before="100" w:beforeAutospacing="1" w:after="100" w:afterAutospacing="1" w:line="240" w:lineRule="auto"/>
      <w:textAlignment w:val="center"/>
    </w:pPr>
    <w:rPr>
      <w:color w:val="000000"/>
      <w:kern w:val="0"/>
      <w:sz w:val="16"/>
      <w:szCs w:val="16"/>
    </w:rPr>
  </w:style>
  <w:style w:type="paragraph" w:customStyle="1" w:styleId="xl2600">
    <w:name w:val="xl2600"/>
    <w:basedOn w:val="Normal"/>
    <w:rsid w:val="00E17928"/>
    <w:pPr>
      <w:shd w:val="clear" w:color="000000" w:fill="FFAFAF"/>
      <w:spacing w:before="100" w:beforeAutospacing="1" w:after="100" w:afterAutospacing="1" w:line="240" w:lineRule="auto"/>
      <w:textAlignment w:val="center"/>
    </w:pPr>
    <w:rPr>
      <w:color w:val="000000"/>
      <w:kern w:val="0"/>
      <w:sz w:val="16"/>
      <w:szCs w:val="16"/>
    </w:rPr>
  </w:style>
  <w:style w:type="paragraph" w:customStyle="1" w:styleId="xl2601">
    <w:name w:val="xl2601"/>
    <w:basedOn w:val="Normal"/>
    <w:rsid w:val="00E17928"/>
    <w:pPr>
      <w:shd w:val="clear" w:color="000000" w:fill="FFAFAF"/>
      <w:spacing w:before="100" w:beforeAutospacing="1" w:after="100" w:afterAutospacing="1" w:line="240" w:lineRule="auto"/>
      <w:textAlignment w:val="center"/>
    </w:pPr>
    <w:rPr>
      <w:color w:val="auto"/>
      <w:kern w:val="0"/>
      <w:sz w:val="16"/>
      <w:szCs w:val="16"/>
    </w:rPr>
  </w:style>
  <w:style w:type="paragraph" w:customStyle="1" w:styleId="xl2602">
    <w:name w:val="xl2602"/>
    <w:basedOn w:val="Normal"/>
    <w:rsid w:val="00E17928"/>
    <w:pPr>
      <w:shd w:val="clear" w:color="000000" w:fill="FFAFAF"/>
      <w:spacing w:before="100" w:beforeAutospacing="1" w:after="100" w:afterAutospacing="1" w:line="240" w:lineRule="auto"/>
      <w:textAlignment w:val="center"/>
    </w:pPr>
    <w:rPr>
      <w:color w:val="auto"/>
      <w:kern w:val="0"/>
      <w:sz w:val="16"/>
      <w:szCs w:val="16"/>
    </w:rPr>
  </w:style>
  <w:style w:type="paragraph" w:customStyle="1" w:styleId="xl2603">
    <w:name w:val="xl2603"/>
    <w:basedOn w:val="Normal"/>
    <w:rsid w:val="00E17928"/>
    <w:pPr>
      <w:spacing w:before="100" w:beforeAutospacing="1" w:after="100" w:afterAutospacing="1" w:line="240" w:lineRule="auto"/>
      <w:textAlignment w:val="center"/>
    </w:pPr>
    <w:rPr>
      <w:color w:val="000000"/>
      <w:kern w:val="0"/>
      <w:sz w:val="16"/>
      <w:szCs w:val="16"/>
    </w:rPr>
  </w:style>
  <w:style w:type="paragraph" w:customStyle="1" w:styleId="xl2604">
    <w:name w:val="xl2604"/>
    <w:basedOn w:val="Normal"/>
    <w:rsid w:val="00E17928"/>
    <w:pPr>
      <w:spacing w:before="100" w:beforeAutospacing="1" w:after="100" w:afterAutospacing="1" w:line="240" w:lineRule="auto"/>
      <w:textAlignment w:val="center"/>
    </w:pPr>
    <w:rPr>
      <w:color w:val="000000"/>
      <w:kern w:val="0"/>
      <w:sz w:val="16"/>
      <w:szCs w:val="16"/>
    </w:rPr>
  </w:style>
  <w:style w:type="paragraph" w:customStyle="1" w:styleId="xl2605">
    <w:name w:val="xl2605"/>
    <w:basedOn w:val="Normal"/>
    <w:rsid w:val="00E17928"/>
    <w:pPr>
      <w:spacing w:before="100" w:beforeAutospacing="1" w:after="100" w:afterAutospacing="1" w:line="240" w:lineRule="auto"/>
      <w:textAlignment w:val="center"/>
    </w:pPr>
    <w:rPr>
      <w:color w:val="auto"/>
      <w:kern w:val="0"/>
      <w:sz w:val="16"/>
      <w:szCs w:val="16"/>
    </w:rPr>
  </w:style>
  <w:style w:type="paragraph" w:customStyle="1" w:styleId="xl2606">
    <w:name w:val="xl2606"/>
    <w:basedOn w:val="Normal"/>
    <w:rsid w:val="00E17928"/>
    <w:pPr>
      <w:spacing w:before="100" w:beforeAutospacing="1" w:after="100" w:afterAutospacing="1" w:line="240" w:lineRule="auto"/>
      <w:textAlignment w:val="center"/>
    </w:pPr>
    <w:rPr>
      <w:color w:val="auto"/>
      <w:kern w:val="0"/>
      <w:sz w:val="16"/>
      <w:szCs w:val="16"/>
    </w:rPr>
  </w:style>
  <w:style w:type="paragraph" w:customStyle="1" w:styleId="xl2607">
    <w:name w:val="xl2607"/>
    <w:basedOn w:val="Normal"/>
    <w:rsid w:val="00E17928"/>
    <w:pPr>
      <w:spacing w:before="100" w:beforeAutospacing="1" w:after="100" w:afterAutospacing="1" w:line="240" w:lineRule="auto"/>
      <w:textAlignment w:val="center"/>
    </w:pPr>
    <w:rPr>
      <w:color w:val="FFFFFF"/>
      <w:kern w:val="0"/>
      <w:sz w:val="16"/>
      <w:szCs w:val="16"/>
    </w:rPr>
  </w:style>
  <w:style w:type="paragraph" w:customStyle="1" w:styleId="xl2608">
    <w:name w:val="xl2608"/>
    <w:basedOn w:val="Normal"/>
    <w:rsid w:val="00E17928"/>
    <w:pPr>
      <w:pBdr>
        <w:bottom w:val="single" w:sz="8" w:space="0" w:color="FF0000"/>
      </w:pBdr>
      <w:shd w:val="clear" w:color="000000" w:fill="FFAFAF"/>
      <w:spacing w:before="100" w:beforeAutospacing="1" w:after="100" w:afterAutospacing="1" w:line="240" w:lineRule="auto"/>
      <w:textAlignment w:val="center"/>
    </w:pPr>
    <w:rPr>
      <w:color w:val="000000"/>
      <w:kern w:val="0"/>
      <w:sz w:val="16"/>
      <w:szCs w:val="16"/>
    </w:rPr>
  </w:style>
  <w:style w:type="paragraph" w:customStyle="1" w:styleId="xl2609">
    <w:name w:val="xl2609"/>
    <w:basedOn w:val="Normal"/>
    <w:rsid w:val="00E17928"/>
    <w:pPr>
      <w:pBdr>
        <w:bottom w:val="single" w:sz="8" w:space="0" w:color="FF0000"/>
      </w:pBdr>
      <w:shd w:val="clear" w:color="000000" w:fill="FFAFAF"/>
      <w:spacing w:before="100" w:beforeAutospacing="1" w:after="100" w:afterAutospacing="1" w:line="240" w:lineRule="auto"/>
      <w:textAlignment w:val="center"/>
    </w:pPr>
    <w:rPr>
      <w:color w:val="000000"/>
      <w:kern w:val="0"/>
      <w:sz w:val="16"/>
      <w:szCs w:val="16"/>
    </w:rPr>
  </w:style>
  <w:style w:type="paragraph" w:customStyle="1" w:styleId="xl2610">
    <w:name w:val="xl2610"/>
    <w:basedOn w:val="Normal"/>
    <w:rsid w:val="00E17928"/>
    <w:pPr>
      <w:pBdr>
        <w:bottom w:val="single" w:sz="8" w:space="0" w:color="FF0000"/>
      </w:pBdr>
      <w:shd w:val="clear" w:color="000000" w:fill="FFAFAF"/>
      <w:spacing w:before="100" w:beforeAutospacing="1" w:after="100" w:afterAutospacing="1" w:line="240" w:lineRule="auto"/>
      <w:textAlignment w:val="center"/>
    </w:pPr>
    <w:rPr>
      <w:color w:val="auto"/>
      <w:kern w:val="0"/>
      <w:sz w:val="16"/>
      <w:szCs w:val="16"/>
    </w:rPr>
  </w:style>
  <w:style w:type="paragraph" w:customStyle="1" w:styleId="xl2611">
    <w:name w:val="xl2611"/>
    <w:basedOn w:val="Normal"/>
    <w:rsid w:val="00E17928"/>
    <w:pPr>
      <w:pBdr>
        <w:bottom w:val="single" w:sz="8" w:space="0" w:color="FF0000"/>
      </w:pBdr>
      <w:shd w:val="clear" w:color="000000" w:fill="FFAFAF"/>
      <w:spacing w:before="100" w:beforeAutospacing="1" w:after="100" w:afterAutospacing="1" w:line="240" w:lineRule="auto"/>
      <w:textAlignment w:val="center"/>
    </w:pPr>
    <w:rPr>
      <w:color w:val="auto"/>
      <w:kern w:val="0"/>
      <w:sz w:val="16"/>
      <w:szCs w:val="16"/>
    </w:rPr>
  </w:style>
  <w:style w:type="paragraph" w:customStyle="1" w:styleId="xl2612">
    <w:name w:val="xl2612"/>
    <w:basedOn w:val="Normal"/>
    <w:rsid w:val="00E17928"/>
    <w:pPr>
      <w:shd w:val="clear" w:color="000000" w:fill="BFBFBF"/>
      <w:spacing w:before="100" w:beforeAutospacing="1" w:after="100" w:afterAutospacing="1" w:line="240" w:lineRule="auto"/>
      <w:jc w:val="center"/>
      <w:textAlignment w:val="center"/>
    </w:pPr>
    <w:rPr>
      <w:b/>
      <w:bCs/>
      <w:color w:val="auto"/>
      <w:kern w:val="0"/>
      <w:sz w:val="16"/>
      <w:szCs w:val="16"/>
    </w:rPr>
  </w:style>
  <w:style w:type="paragraph" w:customStyle="1" w:styleId="xl2613">
    <w:name w:val="xl2613"/>
    <w:basedOn w:val="Normal"/>
    <w:rsid w:val="00E17928"/>
    <w:pPr>
      <w:shd w:val="clear" w:color="000000" w:fill="BFBFBF"/>
      <w:spacing w:before="100" w:beforeAutospacing="1" w:after="100" w:afterAutospacing="1" w:line="240" w:lineRule="auto"/>
      <w:textAlignment w:val="center"/>
    </w:pPr>
    <w:rPr>
      <w:b/>
      <w:bCs/>
      <w:color w:val="auto"/>
      <w:kern w:val="0"/>
      <w:sz w:val="16"/>
      <w:szCs w:val="16"/>
    </w:rPr>
  </w:style>
  <w:style w:type="paragraph" w:customStyle="1" w:styleId="xl2614">
    <w:name w:val="xl2614"/>
    <w:basedOn w:val="Normal"/>
    <w:rsid w:val="00E17928"/>
    <w:pPr>
      <w:shd w:val="clear" w:color="000000" w:fill="BFBFBF"/>
      <w:spacing w:before="100" w:beforeAutospacing="1" w:after="100" w:afterAutospacing="1" w:line="240" w:lineRule="auto"/>
      <w:textAlignment w:val="center"/>
    </w:pPr>
    <w:rPr>
      <w:b/>
      <w:bCs/>
      <w:color w:val="auto"/>
      <w:kern w:val="0"/>
      <w:sz w:val="16"/>
      <w:szCs w:val="16"/>
    </w:rPr>
  </w:style>
  <w:style w:type="paragraph" w:customStyle="1" w:styleId="xl2615">
    <w:name w:val="xl2615"/>
    <w:basedOn w:val="Normal"/>
    <w:rsid w:val="00E17928"/>
    <w:pPr>
      <w:shd w:val="clear" w:color="000000" w:fill="FFFFFF"/>
      <w:spacing w:before="100" w:beforeAutospacing="1" w:after="100" w:afterAutospacing="1" w:line="240" w:lineRule="auto"/>
      <w:textAlignment w:val="center"/>
    </w:pPr>
    <w:rPr>
      <w:color w:val="auto"/>
      <w:kern w:val="0"/>
      <w:sz w:val="16"/>
      <w:szCs w:val="16"/>
    </w:rPr>
  </w:style>
  <w:style w:type="paragraph" w:customStyle="1" w:styleId="xl2616">
    <w:name w:val="xl2616"/>
    <w:basedOn w:val="Normal"/>
    <w:rsid w:val="00E17928"/>
    <w:pPr>
      <w:shd w:val="clear" w:color="000000" w:fill="FFFFFF"/>
      <w:spacing w:before="100" w:beforeAutospacing="1" w:after="100" w:afterAutospacing="1" w:line="240" w:lineRule="auto"/>
      <w:textAlignment w:val="center"/>
    </w:pPr>
    <w:rPr>
      <w:color w:val="FFFFFF"/>
      <w:kern w:val="0"/>
      <w:sz w:val="16"/>
      <w:szCs w:val="16"/>
    </w:rPr>
  </w:style>
  <w:style w:type="paragraph" w:customStyle="1" w:styleId="xl2617">
    <w:name w:val="xl2617"/>
    <w:basedOn w:val="Normal"/>
    <w:rsid w:val="00E17928"/>
    <w:pPr>
      <w:shd w:val="clear" w:color="000000" w:fill="FFFFFF"/>
      <w:spacing w:before="100" w:beforeAutospacing="1" w:after="100" w:afterAutospacing="1" w:line="240" w:lineRule="auto"/>
      <w:textAlignment w:val="center"/>
    </w:pPr>
    <w:rPr>
      <w:b/>
      <w:bCs/>
      <w:color w:val="FFFFFF"/>
      <w:kern w:val="0"/>
      <w:sz w:val="16"/>
      <w:szCs w:val="16"/>
    </w:rPr>
  </w:style>
  <w:style w:type="paragraph" w:customStyle="1" w:styleId="xl2618">
    <w:name w:val="xl2618"/>
    <w:basedOn w:val="Normal"/>
    <w:rsid w:val="00E17928"/>
    <w:pPr>
      <w:shd w:val="clear" w:color="000000" w:fill="FFFFFF"/>
      <w:spacing w:before="100" w:beforeAutospacing="1" w:after="100" w:afterAutospacing="1" w:line="240" w:lineRule="auto"/>
      <w:jc w:val="center"/>
      <w:textAlignment w:val="center"/>
    </w:pPr>
    <w:rPr>
      <w:b/>
      <w:bCs/>
      <w:color w:val="FFFFFF"/>
      <w:kern w:val="0"/>
      <w:sz w:val="16"/>
      <w:szCs w:val="16"/>
    </w:rPr>
  </w:style>
  <w:style w:type="paragraph" w:customStyle="1" w:styleId="xl2619">
    <w:name w:val="xl2619"/>
    <w:basedOn w:val="Normal"/>
    <w:rsid w:val="00E17928"/>
    <w:pPr>
      <w:shd w:val="clear" w:color="000000" w:fill="FFFFFF"/>
      <w:spacing w:before="100" w:beforeAutospacing="1" w:after="100" w:afterAutospacing="1" w:line="240" w:lineRule="auto"/>
      <w:textAlignment w:val="center"/>
    </w:pPr>
    <w:rPr>
      <w:b/>
      <w:bCs/>
      <w:color w:val="auto"/>
      <w:kern w:val="0"/>
      <w:sz w:val="16"/>
      <w:szCs w:val="16"/>
    </w:rPr>
  </w:style>
  <w:style w:type="paragraph" w:customStyle="1" w:styleId="xl2620">
    <w:name w:val="xl2620"/>
    <w:basedOn w:val="Normal"/>
    <w:rsid w:val="00E17928"/>
    <w:pPr>
      <w:shd w:val="clear" w:color="000000" w:fill="FFFFFF"/>
      <w:spacing w:before="100" w:beforeAutospacing="1" w:after="100" w:afterAutospacing="1" w:line="240" w:lineRule="auto"/>
      <w:textAlignment w:val="center"/>
    </w:pPr>
    <w:rPr>
      <w:color w:val="auto"/>
      <w:kern w:val="0"/>
      <w:sz w:val="16"/>
      <w:szCs w:val="16"/>
    </w:rPr>
  </w:style>
  <w:style w:type="paragraph" w:customStyle="1" w:styleId="xl2621">
    <w:name w:val="xl2621"/>
    <w:basedOn w:val="Normal"/>
    <w:rsid w:val="00E17928"/>
    <w:pPr>
      <w:pBdr>
        <w:bottom w:val="single" w:sz="8" w:space="0" w:color="FF0000"/>
      </w:pBdr>
      <w:shd w:val="clear" w:color="000000" w:fill="FFAFAF"/>
      <w:spacing w:before="100" w:beforeAutospacing="1" w:after="100" w:afterAutospacing="1" w:line="240" w:lineRule="auto"/>
      <w:jc w:val="center"/>
      <w:textAlignment w:val="center"/>
    </w:pPr>
    <w:rPr>
      <w:color w:val="auto"/>
      <w:kern w:val="0"/>
      <w:sz w:val="16"/>
      <w:szCs w:val="16"/>
    </w:rPr>
  </w:style>
  <w:style w:type="paragraph" w:customStyle="1" w:styleId="xl2622">
    <w:name w:val="xl2622"/>
    <w:basedOn w:val="Normal"/>
    <w:rsid w:val="00E17928"/>
    <w:pPr>
      <w:pBdr>
        <w:bottom w:val="single" w:sz="8" w:space="0" w:color="FF0000"/>
      </w:pBdr>
      <w:shd w:val="clear" w:color="000000" w:fill="FFAFAF"/>
      <w:spacing w:before="100" w:beforeAutospacing="1" w:after="100" w:afterAutospacing="1" w:line="240" w:lineRule="auto"/>
      <w:textAlignment w:val="center"/>
    </w:pPr>
    <w:rPr>
      <w:color w:val="auto"/>
      <w:kern w:val="0"/>
      <w:sz w:val="16"/>
      <w:szCs w:val="16"/>
    </w:rPr>
  </w:style>
  <w:style w:type="paragraph" w:customStyle="1" w:styleId="xl2623">
    <w:name w:val="xl2623"/>
    <w:basedOn w:val="Normal"/>
    <w:rsid w:val="00E17928"/>
    <w:pPr>
      <w:pBdr>
        <w:bottom w:val="single" w:sz="4" w:space="0" w:color="FFFFFF"/>
      </w:pBdr>
      <w:shd w:val="clear" w:color="000000" w:fill="800000"/>
      <w:spacing w:before="100" w:beforeAutospacing="1" w:after="100" w:afterAutospacing="1" w:line="240" w:lineRule="auto"/>
      <w:jc w:val="center"/>
      <w:textAlignment w:val="center"/>
    </w:pPr>
    <w:rPr>
      <w:b/>
      <w:bCs/>
      <w:color w:val="FFFFFF"/>
      <w:kern w:val="0"/>
      <w:sz w:val="16"/>
      <w:szCs w:val="16"/>
    </w:rPr>
  </w:style>
  <w:style w:type="paragraph" w:customStyle="1" w:styleId="xl2624">
    <w:name w:val="xl2624"/>
    <w:basedOn w:val="Normal"/>
    <w:rsid w:val="00E17928"/>
    <w:pPr>
      <w:pBdr>
        <w:bottom w:val="single" w:sz="8" w:space="0" w:color="FF0000"/>
      </w:pBdr>
      <w:shd w:val="clear" w:color="000000" w:fill="FFAFAF"/>
      <w:spacing w:before="100" w:beforeAutospacing="1" w:after="100" w:afterAutospacing="1" w:line="240" w:lineRule="auto"/>
      <w:jc w:val="center"/>
      <w:textAlignment w:val="center"/>
    </w:pPr>
    <w:rPr>
      <w:color w:val="auto"/>
      <w:kern w:val="0"/>
      <w:sz w:val="16"/>
      <w:szCs w:val="16"/>
    </w:rPr>
  </w:style>
  <w:style w:type="paragraph" w:customStyle="1" w:styleId="xl2625">
    <w:name w:val="xl2625"/>
    <w:basedOn w:val="Normal"/>
    <w:rsid w:val="00E17928"/>
    <w:pPr>
      <w:pBdr>
        <w:bottom w:val="single" w:sz="8" w:space="0" w:color="FF0000"/>
      </w:pBdr>
      <w:shd w:val="clear" w:color="000000" w:fill="FFAFAF"/>
      <w:spacing w:before="100" w:beforeAutospacing="1" w:after="100" w:afterAutospacing="1" w:line="240" w:lineRule="auto"/>
      <w:textAlignment w:val="center"/>
    </w:pPr>
    <w:rPr>
      <w:color w:val="auto"/>
      <w:kern w:val="0"/>
      <w:sz w:val="16"/>
      <w:szCs w:val="16"/>
    </w:rPr>
  </w:style>
  <w:style w:type="paragraph" w:customStyle="1" w:styleId="xl2626">
    <w:name w:val="xl2626"/>
    <w:basedOn w:val="Normal"/>
    <w:rsid w:val="00E17928"/>
    <w:pPr>
      <w:pBdr>
        <w:bottom w:val="single" w:sz="4" w:space="0" w:color="FFFFFF"/>
      </w:pBdr>
      <w:shd w:val="clear" w:color="000000" w:fill="800000"/>
      <w:spacing w:before="100" w:beforeAutospacing="1" w:after="100" w:afterAutospacing="1" w:line="240" w:lineRule="auto"/>
      <w:jc w:val="center"/>
      <w:textAlignment w:val="center"/>
    </w:pPr>
    <w:rPr>
      <w:b/>
      <w:bCs/>
      <w:color w:val="FFFFFF"/>
      <w:kern w:val="0"/>
      <w:sz w:val="16"/>
      <w:szCs w:val="16"/>
    </w:rPr>
  </w:style>
  <w:style w:type="paragraph" w:customStyle="1" w:styleId="TableParagraph">
    <w:name w:val="Table Paragraph"/>
    <w:basedOn w:val="Normal"/>
    <w:uiPriority w:val="1"/>
    <w:qFormat/>
    <w:rsid w:val="0072168B"/>
    <w:pPr>
      <w:widowControl w:val="0"/>
      <w:autoSpaceDE w:val="0"/>
      <w:autoSpaceDN w:val="0"/>
      <w:spacing w:after="0" w:line="240" w:lineRule="auto"/>
    </w:pPr>
    <w:rPr>
      <w:rFonts w:eastAsia="Trebuchet MS" w:cs="Trebuchet MS"/>
      <w:color w:val="auto"/>
      <w:kern w:val="0"/>
      <w:sz w:val="22"/>
      <w:szCs w:val="22"/>
      <w:lang w:val="en-US" w:eastAsia="en-US"/>
    </w:rPr>
  </w:style>
  <w:style w:type="character" w:customStyle="1" w:styleId="Mentionnonrsolue3">
    <w:name w:val="Mention non résolue3"/>
    <w:basedOn w:val="DefaultParagraphFont"/>
    <w:uiPriority w:val="99"/>
    <w:semiHidden/>
    <w:unhideWhenUsed/>
    <w:rsid w:val="001E098B"/>
    <w:rPr>
      <w:color w:val="605E5C"/>
      <w:shd w:val="clear" w:color="auto" w:fill="E1DFDD"/>
    </w:rPr>
  </w:style>
  <w:style w:type="character" w:customStyle="1" w:styleId="UnresolvedMention">
    <w:name w:val="Unresolved Mention"/>
    <w:basedOn w:val="DefaultParagraphFont"/>
    <w:uiPriority w:val="99"/>
    <w:semiHidden/>
    <w:unhideWhenUsed/>
    <w:rsid w:val="00C259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6260">
      <w:bodyDiv w:val="1"/>
      <w:marLeft w:val="0"/>
      <w:marRight w:val="0"/>
      <w:marTop w:val="0"/>
      <w:marBottom w:val="0"/>
      <w:divBdr>
        <w:top w:val="none" w:sz="0" w:space="0" w:color="auto"/>
        <w:left w:val="none" w:sz="0" w:space="0" w:color="auto"/>
        <w:bottom w:val="none" w:sz="0" w:space="0" w:color="auto"/>
        <w:right w:val="none" w:sz="0" w:space="0" w:color="auto"/>
      </w:divBdr>
    </w:div>
    <w:div w:id="5789469">
      <w:bodyDiv w:val="1"/>
      <w:marLeft w:val="0"/>
      <w:marRight w:val="0"/>
      <w:marTop w:val="0"/>
      <w:marBottom w:val="0"/>
      <w:divBdr>
        <w:top w:val="none" w:sz="0" w:space="0" w:color="auto"/>
        <w:left w:val="none" w:sz="0" w:space="0" w:color="auto"/>
        <w:bottom w:val="none" w:sz="0" w:space="0" w:color="auto"/>
        <w:right w:val="none" w:sz="0" w:space="0" w:color="auto"/>
      </w:divBdr>
    </w:div>
    <w:div w:id="8803027">
      <w:bodyDiv w:val="1"/>
      <w:marLeft w:val="0"/>
      <w:marRight w:val="0"/>
      <w:marTop w:val="0"/>
      <w:marBottom w:val="0"/>
      <w:divBdr>
        <w:top w:val="none" w:sz="0" w:space="0" w:color="auto"/>
        <w:left w:val="none" w:sz="0" w:space="0" w:color="auto"/>
        <w:bottom w:val="none" w:sz="0" w:space="0" w:color="auto"/>
        <w:right w:val="none" w:sz="0" w:space="0" w:color="auto"/>
      </w:divBdr>
    </w:div>
    <w:div w:id="9991931">
      <w:bodyDiv w:val="1"/>
      <w:marLeft w:val="0"/>
      <w:marRight w:val="0"/>
      <w:marTop w:val="0"/>
      <w:marBottom w:val="0"/>
      <w:divBdr>
        <w:top w:val="none" w:sz="0" w:space="0" w:color="auto"/>
        <w:left w:val="none" w:sz="0" w:space="0" w:color="auto"/>
        <w:bottom w:val="none" w:sz="0" w:space="0" w:color="auto"/>
        <w:right w:val="none" w:sz="0" w:space="0" w:color="auto"/>
      </w:divBdr>
    </w:div>
    <w:div w:id="12150307">
      <w:bodyDiv w:val="1"/>
      <w:marLeft w:val="0"/>
      <w:marRight w:val="0"/>
      <w:marTop w:val="0"/>
      <w:marBottom w:val="0"/>
      <w:divBdr>
        <w:top w:val="none" w:sz="0" w:space="0" w:color="auto"/>
        <w:left w:val="none" w:sz="0" w:space="0" w:color="auto"/>
        <w:bottom w:val="none" w:sz="0" w:space="0" w:color="auto"/>
        <w:right w:val="none" w:sz="0" w:space="0" w:color="auto"/>
      </w:divBdr>
    </w:div>
    <w:div w:id="15927910">
      <w:bodyDiv w:val="1"/>
      <w:marLeft w:val="0"/>
      <w:marRight w:val="0"/>
      <w:marTop w:val="0"/>
      <w:marBottom w:val="0"/>
      <w:divBdr>
        <w:top w:val="none" w:sz="0" w:space="0" w:color="auto"/>
        <w:left w:val="none" w:sz="0" w:space="0" w:color="auto"/>
        <w:bottom w:val="none" w:sz="0" w:space="0" w:color="auto"/>
        <w:right w:val="none" w:sz="0" w:space="0" w:color="auto"/>
      </w:divBdr>
    </w:div>
    <w:div w:id="17898537">
      <w:bodyDiv w:val="1"/>
      <w:marLeft w:val="0"/>
      <w:marRight w:val="0"/>
      <w:marTop w:val="0"/>
      <w:marBottom w:val="0"/>
      <w:divBdr>
        <w:top w:val="none" w:sz="0" w:space="0" w:color="auto"/>
        <w:left w:val="none" w:sz="0" w:space="0" w:color="auto"/>
        <w:bottom w:val="none" w:sz="0" w:space="0" w:color="auto"/>
        <w:right w:val="none" w:sz="0" w:space="0" w:color="auto"/>
      </w:divBdr>
    </w:div>
    <w:div w:id="21979456">
      <w:bodyDiv w:val="1"/>
      <w:marLeft w:val="0"/>
      <w:marRight w:val="0"/>
      <w:marTop w:val="0"/>
      <w:marBottom w:val="0"/>
      <w:divBdr>
        <w:top w:val="none" w:sz="0" w:space="0" w:color="auto"/>
        <w:left w:val="none" w:sz="0" w:space="0" w:color="auto"/>
        <w:bottom w:val="none" w:sz="0" w:space="0" w:color="auto"/>
        <w:right w:val="none" w:sz="0" w:space="0" w:color="auto"/>
      </w:divBdr>
    </w:div>
    <w:div w:id="24255515">
      <w:bodyDiv w:val="1"/>
      <w:marLeft w:val="0"/>
      <w:marRight w:val="0"/>
      <w:marTop w:val="0"/>
      <w:marBottom w:val="0"/>
      <w:divBdr>
        <w:top w:val="none" w:sz="0" w:space="0" w:color="auto"/>
        <w:left w:val="none" w:sz="0" w:space="0" w:color="auto"/>
        <w:bottom w:val="none" w:sz="0" w:space="0" w:color="auto"/>
        <w:right w:val="none" w:sz="0" w:space="0" w:color="auto"/>
      </w:divBdr>
    </w:div>
    <w:div w:id="26226388">
      <w:bodyDiv w:val="1"/>
      <w:marLeft w:val="0"/>
      <w:marRight w:val="0"/>
      <w:marTop w:val="0"/>
      <w:marBottom w:val="0"/>
      <w:divBdr>
        <w:top w:val="none" w:sz="0" w:space="0" w:color="auto"/>
        <w:left w:val="none" w:sz="0" w:space="0" w:color="auto"/>
        <w:bottom w:val="none" w:sz="0" w:space="0" w:color="auto"/>
        <w:right w:val="none" w:sz="0" w:space="0" w:color="auto"/>
      </w:divBdr>
    </w:div>
    <w:div w:id="27030743">
      <w:bodyDiv w:val="1"/>
      <w:marLeft w:val="0"/>
      <w:marRight w:val="0"/>
      <w:marTop w:val="0"/>
      <w:marBottom w:val="0"/>
      <w:divBdr>
        <w:top w:val="none" w:sz="0" w:space="0" w:color="auto"/>
        <w:left w:val="none" w:sz="0" w:space="0" w:color="auto"/>
        <w:bottom w:val="none" w:sz="0" w:space="0" w:color="auto"/>
        <w:right w:val="none" w:sz="0" w:space="0" w:color="auto"/>
      </w:divBdr>
    </w:div>
    <w:div w:id="42364100">
      <w:bodyDiv w:val="1"/>
      <w:marLeft w:val="0"/>
      <w:marRight w:val="0"/>
      <w:marTop w:val="0"/>
      <w:marBottom w:val="0"/>
      <w:divBdr>
        <w:top w:val="none" w:sz="0" w:space="0" w:color="auto"/>
        <w:left w:val="none" w:sz="0" w:space="0" w:color="auto"/>
        <w:bottom w:val="none" w:sz="0" w:space="0" w:color="auto"/>
        <w:right w:val="none" w:sz="0" w:space="0" w:color="auto"/>
      </w:divBdr>
    </w:div>
    <w:div w:id="46338253">
      <w:bodyDiv w:val="1"/>
      <w:marLeft w:val="0"/>
      <w:marRight w:val="0"/>
      <w:marTop w:val="0"/>
      <w:marBottom w:val="0"/>
      <w:divBdr>
        <w:top w:val="none" w:sz="0" w:space="0" w:color="auto"/>
        <w:left w:val="none" w:sz="0" w:space="0" w:color="auto"/>
        <w:bottom w:val="none" w:sz="0" w:space="0" w:color="auto"/>
        <w:right w:val="none" w:sz="0" w:space="0" w:color="auto"/>
      </w:divBdr>
    </w:div>
    <w:div w:id="48654592">
      <w:bodyDiv w:val="1"/>
      <w:marLeft w:val="0"/>
      <w:marRight w:val="0"/>
      <w:marTop w:val="0"/>
      <w:marBottom w:val="0"/>
      <w:divBdr>
        <w:top w:val="none" w:sz="0" w:space="0" w:color="auto"/>
        <w:left w:val="none" w:sz="0" w:space="0" w:color="auto"/>
        <w:bottom w:val="none" w:sz="0" w:space="0" w:color="auto"/>
        <w:right w:val="none" w:sz="0" w:space="0" w:color="auto"/>
      </w:divBdr>
    </w:div>
    <w:div w:id="54281271">
      <w:bodyDiv w:val="1"/>
      <w:marLeft w:val="0"/>
      <w:marRight w:val="0"/>
      <w:marTop w:val="0"/>
      <w:marBottom w:val="0"/>
      <w:divBdr>
        <w:top w:val="none" w:sz="0" w:space="0" w:color="auto"/>
        <w:left w:val="none" w:sz="0" w:space="0" w:color="auto"/>
        <w:bottom w:val="none" w:sz="0" w:space="0" w:color="auto"/>
        <w:right w:val="none" w:sz="0" w:space="0" w:color="auto"/>
      </w:divBdr>
    </w:div>
    <w:div w:id="54861462">
      <w:bodyDiv w:val="1"/>
      <w:marLeft w:val="0"/>
      <w:marRight w:val="0"/>
      <w:marTop w:val="0"/>
      <w:marBottom w:val="0"/>
      <w:divBdr>
        <w:top w:val="none" w:sz="0" w:space="0" w:color="auto"/>
        <w:left w:val="none" w:sz="0" w:space="0" w:color="auto"/>
        <w:bottom w:val="none" w:sz="0" w:space="0" w:color="auto"/>
        <w:right w:val="none" w:sz="0" w:space="0" w:color="auto"/>
      </w:divBdr>
    </w:div>
    <w:div w:id="55015560">
      <w:bodyDiv w:val="1"/>
      <w:marLeft w:val="0"/>
      <w:marRight w:val="0"/>
      <w:marTop w:val="0"/>
      <w:marBottom w:val="0"/>
      <w:divBdr>
        <w:top w:val="none" w:sz="0" w:space="0" w:color="auto"/>
        <w:left w:val="none" w:sz="0" w:space="0" w:color="auto"/>
        <w:bottom w:val="none" w:sz="0" w:space="0" w:color="auto"/>
        <w:right w:val="none" w:sz="0" w:space="0" w:color="auto"/>
      </w:divBdr>
    </w:div>
    <w:div w:id="55513801">
      <w:bodyDiv w:val="1"/>
      <w:marLeft w:val="0"/>
      <w:marRight w:val="0"/>
      <w:marTop w:val="0"/>
      <w:marBottom w:val="0"/>
      <w:divBdr>
        <w:top w:val="none" w:sz="0" w:space="0" w:color="auto"/>
        <w:left w:val="none" w:sz="0" w:space="0" w:color="auto"/>
        <w:bottom w:val="none" w:sz="0" w:space="0" w:color="auto"/>
        <w:right w:val="none" w:sz="0" w:space="0" w:color="auto"/>
      </w:divBdr>
    </w:div>
    <w:div w:id="60257632">
      <w:bodyDiv w:val="1"/>
      <w:marLeft w:val="0"/>
      <w:marRight w:val="0"/>
      <w:marTop w:val="0"/>
      <w:marBottom w:val="0"/>
      <w:divBdr>
        <w:top w:val="none" w:sz="0" w:space="0" w:color="auto"/>
        <w:left w:val="none" w:sz="0" w:space="0" w:color="auto"/>
        <w:bottom w:val="none" w:sz="0" w:space="0" w:color="auto"/>
        <w:right w:val="none" w:sz="0" w:space="0" w:color="auto"/>
      </w:divBdr>
    </w:div>
    <w:div w:id="61604806">
      <w:bodyDiv w:val="1"/>
      <w:marLeft w:val="0"/>
      <w:marRight w:val="0"/>
      <w:marTop w:val="0"/>
      <w:marBottom w:val="0"/>
      <w:divBdr>
        <w:top w:val="none" w:sz="0" w:space="0" w:color="auto"/>
        <w:left w:val="none" w:sz="0" w:space="0" w:color="auto"/>
        <w:bottom w:val="none" w:sz="0" w:space="0" w:color="auto"/>
        <w:right w:val="none" w:sz="0" w:space="0" w:color="auto"/>
      </w:divBdr>
    </w:div>
    <w:div w:id="64113923">
      <w:bodyDiv w:val="1"/>
      <w:marLeft w:val="0"/>
      <w:marRight w:val="0"/>
      <w:marTop w:val="0"/>
      <w:marBottom w:val="0"/>
      <w:divBdr>
        <w:top w:val="none" w:sz="0" w:space="0" w:color="auto"/>
        <w:left w:val="none" w:sz="0" w:space="0" w:color="auto"/>
        <w:bottom w:val="none" w:sz="0" w:space="0" w:color="auto"/>
        <w:right w:val="none" w:sz="0" w:space="0" w:color="auto"/>
      </w:divBdr>
    </w:div>
    <w:div w:id="64692319">
      <w:bodyDiv w:val="1"/>
      <w:marLeft w:val="0"/>
      <w:marRight w:val="0"/>
      <w:marTop w:val="0"/>
      <w:marBottom w:val="0"/>
      <w:divBdr>
        <w:top w:val="none" w:sz="0" w:space="0" w:color="auto"/>
        <w:left w:val="none" w:sz="0" w:space="0" w:color="auto"/>
        <w:bottom w:val="none" w:sz="0" w:space="0" w:color="auto"/>
        <w:right w:val="none" w:sz="0" w:space="0" w:color="auto"/>
      </w:divBdr>
      <w:divsChild>
        <w:div w:id="356782588">
          <w:marLeft w:val="288"/>
          <w:marRight w:val="0"/>
          <w:marTop w:val="120"/>
          <w:marBottom w:val="0"/>
          <w:divBdr>
            <w:top w:val="none" w:sz="0" w:space="0" w:color="auto"/>
            <w:left w:val="none" w:sz="0" w:space="0" w:color="auto"/>
            <w:bottom w:val="none" w:sz="0" w:space="0" w:color="auto"/>
            <w:right w:val="none" w:sz="0" w:space="0" w:color="auto"/>
          </w:divBdr>
        </w:div>
        <w:div w:id="1261596693">
          <w:marLeft w:val="288"/>
          <w:marRight w:val="0"/>
          <w:marTop w:val="120"/>
          <w:marBottom w:val="0"/>
          <w:divBdr>
            <w:top w:val="none" w:sz="0" w:space="0" w:color="auto"/>
            <w:left w:val="none" w:sz="0" w:space="0" w:color="auto"/>
            <w:bottom w:val="none" w:sz="0" w:space="0" w:color="auto"/>
            <w:right w:val="none" w:sz="0" w:space="0" w:color="auto"/>
          </w:divBdr>
        </w:div>
        <w:div w:id="1415278664">
          <w:marLeft w:val="288"/>
          <w:marRight w:val="0"/>
          <w:marTop w:val="120"/>
          <w:marBottom w:val="0"/>
          <w:divBdr>
            <w:top w:val="none" w:sz="0" w:space="0" w:color="auto"/>
            <w:left w:val="none" w:sz="0" w:space="0" w:color="auto"/>
            <w:bottom w:val="none" w:sz="0" w:space="0" w:color="auto"/>
            <w:right w:val="none" w:sz="0" w:space="0" w:color="auto"/>
          </w:divBdr>
        </w:div>
        <w:div w:id="1615139366">
          <w:marLeft w:val="288"/>
          <w:marRight w:val="0"/>
          <w:marTop w:val="120"/>
          <w:marBottom w:val="0"/>
          <w:divBdr>
            <w:top w:val="none" w:sz="0" w:space="0" w:color="auto"/>
            <w:left w:val="none" w:sz="0" w:space="0" w:color="auto"/>
            <w:bottom w:val="none" w:sz="0" w:space="0" w:color="auto"/>
            <w:right w:val="none" w:sz="0" w:space="0" w:color="auto"/>
          </w:divBdr>
        </w:div>
        <w:div w:id="2057772353">
          <w:marLeft w:val="288"/>
          <w:marRight w:val="0"/>
          <w:marTop w:val="120"/>
          <w:marBottom w:val="0"/>
          <w:divBdr>
            <w:top w:val="none" w:sz="0" w:space="0" w:color="auto"/>
            <w:left w:val="none" w:sz="0" w:space="0" w:color="auto"/>
            <w:bottom w:val="none" w:sz="0" w:space="0" w:color="auto"/>
            <w:right w:val="none" w:sz="0" w:space="0" w:color="auto"/>
          </w:divBdr>
        </w:div>
      </w:divsChild>
    </w:div>
    <w:div w:id="66921461">
      <w:bodyDiv w:val="1"/>
      <w:marLeft w:val="0"/>
      <w:marRight w:val="0"/>
      <w:marTop w:val="0"/>
      <w:marBottom w:val="0"/>
      <w:divBdr>
        <w:top w:val="none" w:sz="0" w:space="0" w:color="auto"/>
        <w:left w:val="none" w:sz="0" w:space="0" w:color="auto"/>
        <w:bottom w:val="none" w:sz="0" w:space="0" w:color="auto"/>
        <w:right w:val="none" w:sz="0" w:space="0" w:color="auto"/>
      </w:divBdr>
    </w:div>
    <w:div w:id="67188713">
      <w:bodyDiv w:val="1"/>
      <w:marLeft w:val="0"/>
      <w:marRight w:val="0"/>
      <w:marTop w:val="0"/>
      <w:marBottom w:val="0"/>
      <w:divBdr>
        <w:top w:val="none" w:sz="0" w:space="0" w:color="auto"/>
        <w:left w:val="none" w:sz="0" w:space="0" w:color="auto"/>
        <w:bottom w:val="none" w:sz="0" w:space="0" w:color="auto"/>
        <w:right w:val="none" w:sz="0" w:space="0" w:color="auto"/>
      </w:divBdr>
    </w:div>
    <w:div w:id="69426919">
      <w:bodyDiv w:val="1"/>
      <w:marLeft w:val="0"/>
      <w:marRight w:val="0"/>
      <w:marTop w:val="0"/>
      <w:marBottom w:val="0"/>
      <w:divBdr>
        <w:top w:val="none" w:sz="0" w:space="0" w:color="auto"/>
        <w:left w:val="none" w:sz="0" w:space="0" w:color="auto"/>
        <w:bottom w:val="none" w:sz="0" w:space="0" w:color="auto"/>
        <w:right w:val="none" w:sz="0" w:space="0" w:color="auto"/>
      </w:divBdr>
    </w:div>
    <w:div w:id="88237726">
      <w:bodyDiv w:val="1"/>
      <w:marLeft w:val="0"/>
      <w:marRight w:val="0"/>
      <w:marTop w:val="0"/>
      <w:marBottom w:val="0"/>
      <w:divBdr>
        <w:top w:val="none" w:sz="0" w:space="0" w:color="auto"/>
        <w:left w:val="none" w:sz="0" w:space="0" w:color="auto"/>
        <w:bottom w:val="none" w:sz="0" w:space="0" w:color="auto"/>
        <w:right w:val="none" w:sz="0" w:space="0" w:color="auto"/>
      </w:divBdr>
    </w:div>
    <w:div w:id="90050806">
      <w:bodyDiv w:val="1"/>
      <w:marLeft w:val="0"/>
      <w:marRight w:val="0"/>
      <w:marTop w:val="0"/>
      <w:marBottom w:val="0"/>
      <w:divBdr>
        <w:top w:val="none" w:sz="0" w:space="0" w:color="auto"/>
        <w:left w:val="none" w:sz="0" w:space="0" w:color="auto"/>
        <w:bottom w:val="none" w:sz="0" w:space="0" w:color="auto"/>
        <w:right w:val="none" w:sz="0" w:space="0" w:color="auto"/>
      </w:divBdr>
    </w:div>
    <w:div w:id="90273667">
      <w:bodyDiv w:val="1"/>
      <w:marLeft w:val="0"/>
      <w:marRight w:val="0"/>
      <w:marTop w:val="0"/>
      <w:marBottom w:val="0"/>
      <w:divBdr>
        <w:top w:val="none" w:sz="0" w:space="0" w:color="auto"/>
        <w:left w:val="none" w:sz="0" w:space="0" w:color="auto"/>
        <w:bottom w:val="none" w:sz="0" w:space="0" w:color="auto"/>
        <w:right w:val="none" w:sz="0" w:space="0" w:color="auto"/>
      </w:divBdr>
    </w:div>
    <w:div w:id="100497648">
      <w:bodyDiv w:val="1"/>
      <w:marLeft w:val="0"/>
      <w:marRight w:val="0"/>
      <w:marTop w:val="0"/>
      <w:marBottom w:val="0"/>
      <w:divBdr>
        <w:top w:val="none" w:sz="0" w:space="0" w:color="auto"/>
        <w:left w:val="none" w:sz="0" w:space="0" w:color="auto"/>
        <w:bottom w:val="none" w:sz="0" w:space="0" w:color="auto"/>
        <w:right w:val="none" w:sz="0" w:space="0" w:color="auto"/>
      </w:divBdr>
    </w:div>
    <w:div w:id="100498314">
      <w:bodyDiv w:val="1"/>
      <w:marLeft w:val="0"/>
      <w:marRight w:val="0"/>
      <w:marTop w:val="0"/>
      <w:marBottom w:val="0"/>
      <w:divBdr>
        <w:top w:val="none" w:sz="0" w:space="0" w:color="auto"/>
        <w:left w:val="none" w:sz="0" w:space="0" w:color="auto"/>
        <w:bottom w:val="none" w:sz="0" w:space="0" w:color="auto"/>
        <w:right w:val="none" w:sz="0" w:space="0" w:color="auto"/>
      </w:divBdr>
    </w:div>
    <w:div w:id="101194521">
      <w:bodyDiv w:val="1"/>
      <w:marLeft w:val="0"/>
      <w:marRight w:val="0"/>
      <w:marTop w:val="0"/>
      <w:marBottom w:val="0"/>
      <w:divBdr>
        <w:top w:val="none" w:sz="0" w:space="0" w:color="auto"/>
        <w:left w:val="none" w:sz="0" w:space="0" w:color="auto"/>
        <w:bottom w:val="none" w:sz="0" w:space="0" w:color="auto"/>
        <w:right w:val="none" w:sz="0" w:space="0" w:color="auto"/>
      </w:divBdr>
    </w:div>
    <w:div w:id="101539621">
      <w:bodyDiv w:val="1"/>
      <w:marLeft w:val="0"/>
      <w:marRight w:val="0"/>
      <w:marTop w:val="0"/>
      <w:marBottom w:val="0"/>
      <w:divBdr>
        <w:top w:val="none" w:sz="0" w:space="0" w:color="auto"/>
        <w:left w:val="none" w:sz="0" w:space="0" w:color="auto"/>
        <w:bottom w:val="none" w:sz="0" w:space="0" w:color="auto"/>
        <w:right w:val="none" w:sz="0" w:space="0" w:color="auto"/>
      </w:divBdr>
    </w:div>
    <w:div w:id="102461489">
      <w:bodyDiv w:val="1"/>
      <w:marLeft w:val="0"/>
      <w:marRight w:val="0"/>
      <w:marTop w:val="0"/>
      <w:marBottom w:val="0"/>
      <w:divBdr>
        <w:top w:val="none" w:sz="0" w:space="0" w:color="auto"/>
        <w:left w:val="none" w:sz="0" w:space="0" w:color="auto"/>
        <w:bottom w:val="none" w:sz="0" w:space="0" w:color="auto"/>
        <w:right w:val="none" w:sz="0" w:space="0" w:color="auto"/>
      </w:divBdr>
    </w:div>
    <w:div w:id="104693340">
      <w:bodyDiv w:val="1"/>
      <w:marLeft w:val="0"/>
      <w:marRight w:val="0"/>
      <w:marTop w:val="0"/>
      <w:marBottom w:val="0"/>
      <w:divBdr>
        <w:top w:val="none" w:sz="0" w:space="0" w:color="auto"/>
        <w:left w:val="none" w:sz="0" w:space="0" w:color="auto"/>
        <w:bottom w:val="none" w:sz="0" w:space="0" w:color="auto"/>
        <w:right w:val="none" w:sz="0" w:space="0" w:color="auto"/>
      </w:divBdr>
    </w:div>
    <w:div w:id="107817386">
      <w:bodyDiv w:val="1"/>
      <w:marLeft w:val="0"/>
      <w:marRight w:val="0"/>
      <w:marTop w:val="0"/>
      <w:marBottom w:val="0"/>
      <w:divBdr>
        <w:top w:val="none" w:sz="0" w:space="0" w:color="auto"/>
        <w:left w:val="none" w:sz="0" w:space="0" w:color="auto"/>
        <w:bottom w:val="none" w:sz="0" w:space="0" w:color="auto"/>
        <w:right w:val="none" w:sz="0" w:space="0" w:color="auto"/>
      </w:divBdr>
    </w:div>
    <w:div w:id="112141688">
      <w:bodyDiv w:val="1"/>
      <w:marLeft w:val="0"/>
      <w:marRight w:val="0"/>
      <w:marTop w:val="0"/>
      <w:marBottom w:val="0"/>
      <w:divBdr>
        <w:top w:val="none" w:sz="0" w:space="0" w:color="auto"/>
        <w:left w:val="none" w:sz="0" w:space="0" w:color="auto"/>
        <w:bottom w:val="none" w:sz="0" w:space="0" w:color="auto"/>
        <w:right w:val="none" w:sz="0" w:space="0" w:color="auto"/>
      </w:divBdr>
    </w:div>
    <w:div w:id="113253681">
      <w:bodyDiv w:val="1"/>
      <w:marLeft w:val="0"/>
      <w:marRight w:val="0"/>
      <w:marTop w:val="0"/>
      <w:marBottom w:val="0"/>
      <w:divBdr>
        <w:top w:val="none" w:sz="0" w:space="0" w:color="auto"/>
        <w:left w:val="none" w:sz="0" w:space="0" w:color="auto"/>
        <w:bottom w:val="none" w:sz="0" w:space="0" w:color="auto"/>
        <w:right w:val="none" w:sz="0" w:space="0" w:color="auto"/>
      </w:divBdr>
    </w:div>
    <w:div w:id="113789352">
      <w:bodyDiv w:val="1"/>
      <w:marLeft w:val="0"/>
      <w:marRight w:val="0"/>
      <w:marTop w:val="0"/>
      <w:marBottom w:val="0"/>
      <w:divBdr>
        <w:top w:val="none" w:sz="0" w:space="0" w:color="auto"/>
        <w:left w:val="none" w:sz="0" w:space="0" w:color="auto"/>
        <w:bottom w:val="none" w:sz="0" w:space="0" w:color="auto"/>
        <w:right w:val="none" w:sz="0" w:space="0" w:color="auto"/>
      </w:divBdr>
    </w:div>
    <w:div w:id="114566401">
      <w:bodyDiv w:val="1"/>
      <w:marLeft w:val="0"/>
      <w:marRight w:val="0"/>
      <w:marTop w:val="0"/>
      <w:marBottom w:val="0"/>
      <w:divBdr>
        <w:top w:val="none" w:sz="0" w:space="0" w:color="auto"/>
        <w:left w:val="none" w:sz="0" w:space="0" w:color="auto"/>
        <w:bottom w:val="none" w:sz="0" w:space="0" w:color="auto"/>
        <w:right w:val="none" w:sz="0" w:space="0" w:color="auto"/>
      </w:divBdr>
    </w:div>
    <w:div w:id="116487063">
      <w:bodyDiv w:val="1"/>
      <w:marLeft w:val="0"/>
      <w:marRight w:val="0"/>
      <w:marTop w:val="0"/>
      <w:marBottom w:val="0"/>
      <w:divBdr>
        <w:top w:val="none" w:sz="0" w:space="0" w:color="auto"/>
        <w:left w:val="none" w:sz="0" w:space="0" w:color="auto"/>
        <w:bottom w:val="none" w:sz="0" w:space="0" w:color="auto"/>
        <w:right w:val="none" w:sz="0" w:space="0" w:color="auto"/>
      </w:divBdr>
    </w:div>
    <w:div w:id="121925703">
      <w:bodyDiv w:val="1"/>
      <w:marLeft w:val="0"/>
      <w:marRight w:val="0"/>
      <w:marTop w:val="0"/>
      <w:marBottom w:val="0"/>
      <w:divBdr>
        <w:top w:val="none" w:sz="0" w:space="0" w:color="auto"/>
        <w:left w:val="none" w:sz="0" w:space="0" w:color="auto"/>
        <w:bottom w:val="none" w:sz="0" w:space="0" w:color="auto"/>
        <w:right w:val="none" w:sz="0" w:space="0" w:color="auto"/>
      </w:divBdr>
    </w:div>
    <w:div w:id="122119664">
      <w:bodyDiv w:val="1"/>
      <w:marLeft w:val="0"/>
      <w:marRight w:val="0"/>
      <w:marTop w:val="0"/>
      <w:marBottom w:val="0"/>
      <w:divBdr>
        <w:top w:val="none" w:sz="0" w:space="0" w:color="auto"/>
        <w:left w:val="none" w:sz="0" w:space="0" w:color="auto"/>
        <w:bottom w:val="none" w:sz="0" w:space="0" w:color="auto"/>
        <w:right w:val="none" w:sz="0" w:space="0" w:color="auto"/>
      </w:divBdr>
    </w:div>
    <w:div w:id="124280654">
      <w:bodyDiv w:val="1"/>
      <w:marLeft w:val="0"/>
      <w:marRight w:val="0"/>
      <w:marTop w:val="0"/>
      <w:marBottom w:val="0"/>
      <w:divBdr>
        <w:top w:val="none" w:sz="0" w:space="0" w:color="auto"/>
        <w:left w:val="none" w:sz="0" w:space="0" w:color="auto"/>
        <w:bottom w:val="none" w:sz="0" w:space="0" w:color="auto"/>
        <w:right w:val="none" w:sz="0" w:space="0" w:color="auto"/>
      </w:divBdr>
    </w:div>
    <w:div w:id="124592331">
      <w:bodyDiv w:val="1"/>
      <w:marLeft w:val="0"/>
      <w:marRight w:val="0"/>
      <w:marTop w:val="0"/>
      <w:marBottom w:val="0"/>
      <w:divBdr>
        <w:top w:val="none" w:sz="0" w:space="0" w:color="auto"/>
        <w:left w:val="none" w:sz="0" w:space="0" w:color="auto"/>
        <w:bottom w:val="none" w:sz="0" w:space="0" w:color="auto"/>
        <w:right w:val="none" w:sz="0" w:space="0" w:color="auto"/>
      </w:divBdr>
    </w:div>
    <w:div w:id="128136605">
      <w:bodyDiv w:val="1"/>
      <w:marLeft w:val="0"/>
      <w:marRight w:val="0"/>
      <w:marTop w:val="0"/>
      <w:marBottom w:val="0"/>
      <w:divBdr>
        <w:top w:val="none" w:sz="0" w:space="0" w:color="auto"/>
        <w:left w:val="none" w:sz="0" w:space="0" w:color="auto"/>
        <w:bottom w:val="none" w:sz="0" w:space="0" w:color="auto"/>
        <w:right w:val="none" w:sz="0" w:space="0" w:color="auto"/>
      </w:divBdr>
    </w:div>
    <w:div w:id="129983043">
      <w:bodyDiv w:val="1"/>
      <w:marLeft w:val="0"/>
      <w:marRight w:val="0"/>
      <w:marTop w:val="0"/>
      <w:marBottom w:val="0"/>
      <w:divBdr>
        <w:top w:val="none" w:sz="0" w:space="0" w:color="auto"/>
        <w:left w:val="none" w:sz="0" w:space="0" w:color="auto"/>
        <w:bottom w:val="none" w:sz="0" w:space="0" w:color="auto"/>
        <w:right w:val="none" w:sz="0" w:space="0" w:color="auto"/>
      </w:divBdr>
    </w:div>
    <w:div w:id="130371062">
      <w:bodyDiv w:val="1"/>
      <w:marLeft w:val="0"/>
      <w:marRight w:val="0"/>
      <w:marTop w:val="0"/>
      <w:marBottom w:val="0"/>
      <w:divBdr>
        <w:top w:val="none" w:sz="0" w:space="0" w:color="auto"/>
        <w:left w:val="none" w:sz="0" w:space="0" w:color="auto"/>
        <w:bottom w:val="none" w:sz="0" w:space="0" w:color="auto"/>
        <w:right w:val="none" w:sz="0" w:space="0" w:color="auto"/>
      </w:divBdr>
    </w:div>
    <w:div w:id="130635747">
      <w:bodyDiv w:val="1"/>
      <w:marLeft w:val="0"/>
      <w:marRight w:val="0"/>
      <w:marTop w:val="0"/>
      <w:marBottom w:val="0"/>
      <w:divBdr>
        <w:top w:val="none" w:sz="0" w:space="0" w:color="auto"/>
        <w:left w:val="none" w:sz="0" w:space="0" w:color="auto"/>
        <w:bottom w:val="none" w:sz="0" w:space="0" w:color="auto"/>
        <w:right w:val="none" w:sz="0" w:space="0" w:color="auto"/>
      </w:divBdr>
    </w:div>
    <w:div w:id="144125667">
      <w:bodyDiv w:val="1"/>
      <w:marLeft w:val="0"/>
      <w:marRight w:val="0"/>
      <w:marTop w:val="0"/>
      <w:marBottom w:val="0"/>
      <w:divBdr>
        <w:top w:val="none" w:sz="0" w:space="0" w:color="auto"/>
        <w:left w:val="none" w:sz="0" w:space="0" w:color="auto"/>
        <w:bottom w:val="none" w:sz="0" w:space="0" w:color="auto"/>
        <w:right w:val="none" w:sz="0" w:space="0" w:color="auto"/>
      </w:divBdr>
    </w:div>
    <w:div w:id="146166467">
      <w:bodyDiv w:val="1"/>
      <w:marLeft w:val="0"/>
      <w:marRight w:val="0"/>
      <w:marTop w:val="0"/>
      <w:marBottom w:val="0"/>
      <w:divBdr>
        <w:top w:val="none" w:sz="0" w:space="0" w:color="auto"/>
        <w:left w:val="none" w:sz="0" w:space="0" w:color="auto"/>
        <w:bottom w:val="none" w:sz="0" w:space="0" w:color="auto"/>
        <w:right w:val="none" w:sz="0" w:space="0" w:color="auto"/>
      </w:divBdr>
    </w:div>
    <w:div w:id="154036250">
      <w:bodyDiv w:val="1"/>
      <w:marLeft w:val="0"/>
      <w:marRight w:val="0"/>
      <w:marTop w:val="0"/>
      <w:marBottom w:val="0"/>
      <w:divBdr>
        <w:top w:val="none" w:sz="0" w:space="0" w:color="auto"/>
        <w:left w:val="none" w:sz="0" w:space="0" w:color="auto"/>
        <w:bottom w:val="none" w:sz="0" w:space="0" w:color="auto"/>
        <w:right w:val="none" w:sz="0" w:space="0" w:color="auto"/>
      </w:divBdr>
    </w:div>
    <w:div w:id="159122811">
      <w:bodyDiv w:val="1"/>
      <w:marLeft w:val="0"/>
      <w:marRight w:val="0"/>
      <w:marTop w:val="0"/>
      <w:marBottom w:val="0"/>
      <w:divBdr>
        <w:top w:val="none" w:sz="0" w:space="0" w:color="auto"/>
        <w:left w:val="none" w:sz="0" w:space="0" w:color="auto"/>
        <w:bottom w:val="none" w:sz="0" w:space="0" w:color="auto"/>
        <w:right w:val="none" w:sz="0" w:space="0" w:color="auto"/>
      </w:divBdr>
    </w:div>
    <w:div w:id="160050592">
      <w:bodyDiv w:val="1"/>
      <w:marLeft w:val="0"/>
      <w:marRight w:val="0"/>
      <w:marTop w:val="0"/>
      <w:marBottom w:val="0"/>
      <w:divBdr>
        <w:top w:val="none" w:sz="0" w:space="0" w:color="auto"/>
        <w:left w:val="none" w:sz="0" w:space="0" w:color="auto"/>
        <w:bottom w:val="none" w:sz="0" w:space="0" w:color="auto"/>
        <w:right w:val="none" w:sz="0" w:space="0" w:color="auto"/>
      </w:divBdr>
    </w:div>
    <w:div w:id="160463552">
      <w:bodyDiv w:val="1"/>
      <w:marLeft w:val="0"/>
      <w:marRight w:val="0"/>
      <w:marTop w:val="0"/>
      <w:marBottom w:val="0"/>
      <w:divBdr>
        <w:top w:val="none" w:sz="0" w:space="0" w:color="auto"/>
        <w:left w:val="none" w:sz="0" w:space="0" w:color="auto"/>
        <w:bottom w:val="none" w:sz="0" w:space="0" w:color="auto"/>
        <w:right w:val="none" w:sz="0" w:space="0" w:color="auto"/>
      </w:divBdr>
    </w:div>
    <w:div w:id="163519774">
      <w:bodyDiv w:val="1"/>
      <w:marLeft w:val="0"/>
      <w:marRight w:val="0"/>
      <w:marTop w:val="0"/>
      <w:marBottom w:val="0"/>
      <w:divBdr>
        <w:top w:val="none" w:sz="0" w:space="0" w:color="auto"/>
        <w:left w:val="none" w:sz="0" w:space="0" w:color="auto"/>
        <w:bottom w:val="none" w:sz="0" w:space="0" w:color="auto"/>
        <w:right w:val="none" w:sz="0" w:space="0" w:color="auto"/>
      </w:divBdr>
    </w:div>
    <w:div w:id="164899372">
      <w:bodyDiv w:val="1"/>
      <w:marLeft w:val="0"/>
      <w:marRight w:val="0"/>
      <w:marTop w:val="0"/>
      <w:marBottom w:val="0"/>
      <w:divBdr>
        <w:top w:val="none" w:sz="0" w:space="0" w:color="auto"/>
        <w:left w:val="none" w:sz="0" w:space="0" w:color="auto"/>
        <w:bottom w:val="none" w:sz="0" w:space="0" w:color="auto"/>
        <w:right w:val="none" w:sz="0" w:space="0" w:color="auto"/>
      </w:divBdr>
    </w:div>
    <w:div w:id="167404008">
      <w:bodyDiv w:val="1"/>
      <w:marLeft w:val="0"/>
      <w:marRight w:val="0"/>
      <w:marTop w:val="0"/>
      <w:marBottom w:val="0"/>
      <w:divBdr>
        <w:top w:val="none" w:sz="0" w:space="0" w:color="auto"/>
        <w:left w:val="none" w:sz="0" w:space="0" w:color="auto"/>
        <w:bottom w:val="none" w:sz="0" w:space="0" w:color="auto"/>
        <w:right w:val="none" w:sz="0" w:space="0" w:color="auto"/>
      </w:divBdr>
    </w:div>
    <w:div w:id="167409437">
      <w:bodyDiv w:val="1"/>
      <w:marLeft w:val="0"/>
      <w:marRight w:val="0"/>
      <w:marTop w:val="0"/>
      <w:marBottom w:val="0"/>
      <w:divBdr>
        <w:top w:val="none" w:sz="0" w:space="0" w:color="auto"/>
        <w:left w:val="none" w:sz="0" w:space="0" w:color="auto"/>
        <w:bottom w:val="none" w:sz="0" w:space="0" w:color="auto"/>
        <w:right w:val="none" w:sz="0" w:space="0" w:color="auto"/>
      </w:divBdr>
    </w:div>
    <w:div w:id="172763186">
      <w:bodyDiv w:val="1"/>
      <w:marLeft w:val="0"/>
      <w:marRight w:val="0"/>
      <w:marTop w:val="0"/>
      <w:marBottom w:val="0"/>
      <w:divBdr>
        <w:top w:val="none" w:sz="0" w:space="0" w:color="auto"/>
        <w:left w:val="none" w:sz="0" w:space="0" w:color="auto"/>
        <w:bottom w:val="none" w:sz="0" w:space="0" w:color="auto"/>
        <w:right w:val="none" w:sz="0" w:space="0" w:color="auto"/>
      </w:divBdr>
    </w:div>
    <w:div w:id="175537968">
      <w:bodyDiv w:val="1"/>
      <w:marLeft w:val="0"/>
      <w:marRight w:val="0"/>
      <w:marTop w:val="0"/>
      <w:marBottom w:val="0"/>
      <w:divBdr>
        <w:top w:val="none" w:sz="0" w:space="0" w:color="auto"/>
        <w:left w:val="none" w:sz="0" w:space="0" w:color="auto"/>
        <w:bottom w:val="none" w:sz="0" w:space="0" w:color="auto"/>
        <w:right w:val="none" w:sz="0" w:space="0" w:color="auto"/>
      </w:divBdr>
    </w:div>
    <w:div w:id="176963595">
      <w:bodyDiv w:val="1"/>
      <w:marLeft w:val="0"/>
      <w:marRight w:val="0"/>
      <w:marTop w:val="0"/>
      <w:marBottom w:val="0"/>
      <w:divBdr>
        <w:top w:val="none" w:sz="0" w:space="0" w:color="auto"/>
        <w:left w:val="none" w:sz="0" w:space="0" w:color="auto"/>
        <w:bottom w:val="none" w:sz="0" w:space="0" w:color="auto"/>
        <w:right w:val="none" w:sz="0" w:space="0" w:color="auto"/>
      </w:divBdr>
    </w:div>
    <w:div w:id="178543768">
      <w:bodyDiv w:val="1"/>
      <w:marLeft w:val="0"/>
      <w:marRight w:val="0"/>
      <w:marTop w:val="0"/>
      <w:marBottom w:val="0"/>
      <w:divBdr>
        <w:top w:val="none" w:sz="0" w:space="0" w:color="auto"/>
        <w:left w:val="none" w:sz="0" w:space="0" w:color="auto"/>
        <w:bottom w:val="none" w:sz="0" w:space="0" w:color="auto"/>
        <w:right w:val="none" w:sz="0" w:space="0" w:color="auto"/>
      </w:divBdr>
    </w:div>
    <w:div w:id="179512328">
      <w:bodyDiv w:val="1"/>
      <w:marLeft w:val="0"/>
      <w:marRight w:val="0"/>
      <w:marTop w:val="0"/>
      <w:marBottom w:val="0"/>
      <w:divBdr>
        <w:top w:val="none" w:sz="0" w:space="0" w:color="auto"/>
        <w:left w:val="none" w:sz="0" w:space="0" w:color="auto"/>
        <w:bottom w:val="none" w:sz="0" w:space="0" w:color="auto"/>
        <w:right w:val="none" w:sz="0" w:space="0" w:color="auto"/>
      </w:divBdr>
    </w:div>
    <w:div w:id="183444458">
      <w:bodyDiv w:val="1"/>
      <w:marLeft w:val="0"/>
      <w:marRight w:val="0"/>
      <w:marTop w:val="0"/>
      <w:marBottom w:val="0"/>
      <w:divBdr>
        <w:top w:val="none" w:sz="0" w:space="0" w:color="auto"/>
        <w:left w:val="none" w:sz="0" w:space="0" w:color="auto"/>
        <w:bottom w:val="none" w:sz="0" w:space="0" w:color="auto"/>
        <w:right w:val="none" w:sz="0" w:space="0" w:color="auto"/>
      </w:divBdr>
    </w:div>
    <w:div w:id="186405573">
      <w:bodyDiv w:val="1"/>
      <w:marLeft w:val="0"/>
      <w:marRight w:val="0"/>
      <w:marTop w:val="0"/>
      <w:marBottom w:val="0"/>
      <w:divBdr>
        <w:top w:val="none" w:sz="0" w:space="0" w:color="auto"/>
        <w:left w:val="none" w:sz="0" w:space="0" w:color="auto"/>
        <w:bottom w:val="none" w:sz="0" w:space="0" w:color="auto"/>
        <w:right w:val="none" w:sz="0" w:space="0" w:color="auto"/>
      </w:divBdr>
    </w:div>
    <w:div w:id="186410884">
      <w:bodyDiv w:val="1"/>
      <w:marLeft w:val="0"/>
      <w:marRight w:val="0"/>
      <w:marTop w:val="0"/>
      <w:marBottom w:val="0"/>
      <w:divBdr>
        <w:top w:val="none" w:sz="0" w:space="0" w:color="auto"/>
        <w:left w:val="none" w:sz="0" w:space="0" w:color="auto"/>
        <w:bottom w:val="none" w:sz="0" w:space="0" w:color="auto"/>
        <w:right w:val="none" w:sz="0" w:space="0" w:color="auto"/>
      </w:divBdr>
      <w:divsChild>
        <w:div w:id="907809583">
          <w:marLeft w:val="288"/>
          <w:marRight w:val="0"/>
          <w:marTop w:val="120"/>
          <w:marBottom w:val="0"/>
          <w:divBdr>
            <w:top w:val="none" w:sz="0" w:space="0" w:color="auto"/>
            <w:left w:val="none" w:sz="0" w:space="0" w:color="auto"/>
            <w:bottom w:val="none" w:sz="0" w:space="0" w:color="auto"/>
            <w:right w:val="none" w:sz="0" w:space="0" w:color="auto"/>
          </w:divBdr>
        </w:div>
        <w:div w:id="1122656311">
          <w:marLeft w:val="288"/>
          <w:marRight w:val="0"/>
          <w:marTop w:val="120"/>
          <w:marBottom w:val="0"/>
          <w:divBdr>
            <w:top w:val="none" w:sz="0" w:space="0" w:color="auto"/>
            <w:left w:val="none" w:sz="0" w:space="0" w:color="auto"/>
            <w:bottom w:val="none" w:sz="0" w:space="0" w:color="auto"/>
            <w:right w:val="none" w:sz="0" w:space="0" w:color="auto"/>
          </w:divBdr>
        </w:div>
        <w:div w:id="1276788353">
          <w:marLeft w:val="288"/>
          <w:marRight w:val="0"/>
          <w:marTop w:val="120"/>
          <w:marBottom w:val="0"/>
          <w:divBdr>
            <w:top w:val="none" w:sz="0" w:space="0" w:color="auto"/>
            <w:left w:val="none" w:sz="0" w:space="0" w:color="auto"/>
            <w:bottom w:val="none" w:sz="0" w:space="0" w:color="auto"/>
            <w:right w:val="none" w:sz="0" w:space="0" w:color="auto"/>
          </w:divBdr>
        </w:div>
        <w:div w:id="2012903837">
          <w:marLeft w:val="288"/>
          <w:marRight w:val="0"/>
          <w:marTop w:val="120"/>
          <w:marBottom w:val="0"/>
          <w:divBdr>
            <w:top w:val="none" w:sz="0" w:space="0" w:color="auto"/>
            <w:left w:val="none" w:sz="0" w:space="0" w:color="auto"/>
            <w:bottom w:val="none" w:sz="0" w:space="0" w:color="auto"/>
            <w:right w:val="none" w:sz="0" w:space="0" w:color="auto"/>
          </w:divBdr>
        </w:div>
        <w:div w:id="2020427387">
          <w:marLeft w:val="288"/>
          <w:marRight w:val="0"/>
          <w:marTop w:val="120"/>
          <w:marBottom w:val="0"/>
          <w:divBdr>
            <w:top w:val="none" w:sz="0" w:space="0" w:color="auto"/>
            <w:left w:val="none" w:sz="0" w:space="0" w:color="auto"/>
            <w:bottom w:val="none" w:sz="0" w:space="0" w:color="auto"/>
            <w:right w:val="none" w:sz="0" w:space="0" w:color="auto"/>
          </w:divBdr>
        </w:div>
        <w:div w:id="2073887881">
          <w:marLeft w:val="288"/>
          <w:marRight w:val="0"/>
          <w:marTop w:val="120"/>
          <w:marBottom w:val="0"/>
          <w:divBdr>
            <w:top w:val="none" w:sz="0" w:space="0" w:color="auto"/>
            <w:left w:val="none" w:sz="0" w:space="0" w:color="auto"/>
            <w:bottom w:val="none" w:sz="0" w:space="0" w:color="auto"/>
            <w:right w:val="none" w:sz="0" w:space="0" w:color="auto"/>
          </w:divBdr>
        </w:div>
      </w:divsChild>
    </w:div>
    <w:div w:id="187767665">
      <w:bodyDiv w:val="1"/>
      <w:marLeft w:val="0"/>
      <w:marRight w:val="0"/>
      <w:marTop w:val="0"/>
      <w:marBottom w:val="0"/>
      <w:divBdr>
        <w:top w:val="none" w:sz="0" w:space="0" w:color="auto"/>
        <w:left w:val="none" w:sz="0" w:space="0" w:color="auto"/>
        <w:bottom w:val="none" w:sz="0" w:space="0" w:color="auto"/>
        <w:right w:val="none" w:sz="0" w:space="0" w:color="auto"/>
      </w:divBdr>
    </w:div>
    <w:div w:id="188029692">
      <w:bodyDiv w:val="1"/>
      <w:marLeft w:val="0"/>
      <w:marRight w:val="0"/>
      <w:marTop w:val="0"/>
      <w:marBottom w:val="0"/>
      <w:divBdr>
        <w:top w:val="none" w:sz="0" w:space="0" w:color="auto"/>
        <w:left w:val="none" w:sz="0" w:space="0" w:color="auto"/>
        <w:bottom w:val="none" w:sz="0" w:space="0" w:color="auto"/>
        <w:right w:val="none" w:sz="0" w:space="0" w:color="auto"/>
      </w:divBdr>
    </w:div>
    <w:div w:id="189030955">
      <w:bodyDiv w:val="1"/>
      <w:marLeft w:val="0"/>
      <w:marRight w:val="0"/>
      <w:marTop w:val="0"/>
      <w:marBottom w:val="0"/>
      <w:divBdr>
        <w:top w:val="none" w:sz="0" w:space="0" w:color="auto"/>
        <w:left w:val="none" w:sz="0" w:space="0" w:color="auto"/>
        <w:bottom w:val="none" w:sz="0" w:space="0" w:color="auto"/>
        <w:right w:val="none" w:sz="0" w:space="0" w:color="auto"/>
      </w:divBdr>
    </w:div>
    <w:div w:id="190608035">
      <w:bodyDiv w:val="1"/>
      <w:marLeft w:val="0"/>
      <w:marRight w:val="0"/>
      <w:marTop w:val="0"/>
      <w:marBottom w:val="0"/>
      <w:divBdr>
        <w:top w:val="none" w:sz="0" w:space="0" w:color="auto"/>
        <w:left w:val="none" w:sz="0" w:space="0" w:color="auto"/>
        <w:bottom w:val="none" w:sz="0" w:space="0" w:color="auto"/>
        <w:right w:val="none" w:sz="0" w:space="0" w:color="auto"/>
      </w:divBdr>
    </w:div>
    <w:div w:id="194343645">
      <w:bodyDiv w:val="1"/>
      <w:marLeft w:val="0"/>
      <w:marRight w:val="0"/>
      <w:marTop w:val="0"/>
      <w:marBottom w:val="0"/>
      <w:divBdr>
        <w:top w:val="none" w:sz="0" w:space="0" w:color="auto"/>
        <w:left w:val="none" w:sz="0" w:space="0" w:color="auto"/>
        <w:bottom w:val="none" w:sz="0" w:space="0" w:color="auto"/>
        <w:right w:val="none" w:sz="0" w:space="0" w:color="auto"/>
      </w:divBdr>
    </w:div>
    <w:div w:id="196284933">
      <w:bodyDiv w:val="1"/>
      <w:marLeft w:val="0"/>
      <w:marRight w:val="0"/>
      <w:marTop w:val="0"/>
      <w:marBottom w:val="0"/>
      <w:divBdr>
        <w:top w:val="none" w:sz="0" w:space="0" w:color="auto"/>
        <w:left w:val="none" w:sz="0" w:space="0" w:color="auto"/>
        <w:bottom w:val="none" w:sz="0" w:space="0" w:color="auto"/>
        <w:right w:val="none" w:sz="0" w:space="0" w:color="auto"/>
      </w:divBdr>
    </w:div>
    <w:div w:id="199364293">
      <w:bodyDiv w:val="1"/>
      <w:marLeft w:val="0"/>
      <w:marRight w:val="0"/>
      <w:marTop w:val="0"/>
      <w:marBottom w:val="0"/>
      <w:divBdr>
        <w:top w:val="none" w:sz="0" w:space="0" w:color="auto"/>
        <w:left w:val="none" w:sz="0" w:space="0" w:color="auto"/>
        <w:bottom w:val="none" w:sz="0" w:space="0" w:color="auto"/>
        <w:right w:val="none" w:sz="0" w:space="0" w:color="auto"/>
      </w:divBdr>
    </w:div>
    <w:div w:id="203059123">
      <w:bodyDiv w:val="1"/>
      <w:marLeft w:val="0"/>
      <w:marRight w:val="0"/>
      <w:marTop w:val="0"/>
      <w:marBottom w:val="0"/>
      <w:divBdr>
        <w:top w:val="none" w:sz="0" w:space="0" w:color="auto"/>
        <w:left w:val="none" w:sz="0" w:space="0" w:color="auto"/>
        <w:bottom w:val="none" w:sz="0" w:space="0" w:color="auto"/>
        <w:right w:val="none" w:sz="0" w:space="0" w:color="auto"/>
      </w:divBdr>
    </w:div>
    <w:div w:id="203446637">
      <w:bodyDiv w:val="1"/>
      <w:marLeft w:val="0"/>
      <w:marRight w:val="0"/>
      <w:marTop w:val="0"/>
      <w:marBottom w:val="0"/>
      <w:divBdr>
        <w:top w:val="none" w:sz="0" w:space="0" w:color="auto"/>
        <w:left w:val="none" w:sz="0" w:space="0" w:color="auto"/>
        <w:bottom w:val="none" w:sz="0" w:space="0" w:color="auto"/>
        <w:right w:val="none" w:sz="0" w:space="0" w:color="auto"/>
      </w:divBdr>
    </w:div>
    <w:div w:id="211617235">
      <w:bodyDiv w:val="1"/>
      <w:marLeft w:val="0"/>
      <w:marRight w:val="0"/>
      <w:marTop w:val="0"/>
      <w:marBottom w:val="0"/>
      <w:divBdr>
        <w:top w:val="none" w:sz="0" w:space="0" w:color="auto"/>
        <w:left w:val="none" w:sz="0" w:space="0" w:color="auto"/>
        <w:bottom w:val="none" w:sz="0" w:space="0" w:color="auto"/>
        <w:right w:val="none" w:sz="0" w:space="0" w:color="auto"/>
      </w:divBdr>
    </w:div>
    <w:div w:id="212549548">
      <w:bodyDiv w:val="1"/>
      <w:marLeft w:val="0"/>
      <w:marRight w:val="0"/>
      <w:marTop w:val="0"/>
      <w:marBottom w:val="0"/>
      <w:divBdr>
        <w:top w:val="none" w:sz="0" w:space="0" w:color="auto"/>
        <w:left w:val="none" w:sz="0" w:space="0" w:color="auto"/>
        <w:bottom w:val="none" w:sz="0" w:space="0" w:color="auto"/>
        <w:right w:val="none" w:sz="0" w:space="0" w:color="auto"/>
      </w:divBdr>
    </w:div>
    <w:div w:id="213084886">
      <w:bodyDiv w:val="1"/>
      <w:marLeft w:val="0"/>
      <w:marRight w:val="0"/>
      <w:marTop w:val="0"/>
      <w:marBottom w:val="0"/>
      <w:divBdr>
        <w:top w:val="none" w:sz="0" w:space="0" w:color="auto"/>
        <w:left w:val="none" w:sz="0" w:space="0" w:color="auto"/>
        <w:bottom w:val="none" w:sz="0" w:space="0" w:color="auto"/>
        <w:right w:val="none" w:sz="0" w:space="0" w:color="auto"/>
      </w:divBdr>
    </w:div>
    <w:div w:id="213546163">
      <w:bodyDiv w:val="1"/>
      <w:marLeft w:val="0"/>
      <w:marRight w:val="0"/>
      <w:marTop w:val="0"/>
      <w:marBottom w:val="0"/>
      <w:divBdr>
        <w:top w:val="none" w:sz="0" w:space="0" w:color="auto"/>
        <w:left w:val="none" w:sz="0" w:space="0" w:color="auto"/>
        <w:bottom w:val="none" w:sz="0" w:space="0" w:color="auto"/>
        <w:right w:val="none" w:sz="0" w:space="0" w:color="auto"/>
      </w:divBdr>
    </w:div>
    <w:div w:id="218830949">
      <w:bodyDiv w:val="1"/>
      <w:marLeft w:val="0"/>
      <w:marRight w:val="0"/>
      <w:marTop w:val="0"/>
      <w:marBottom w:val="0"/>
      <w:divBdr>
        <w:top w:val="none" w:sz="0" w:space="0" w:color="auto"/>
        <w:left w:val="none" w:sz="0" w:space="0" w:color="auto"/>
        <w:bottom w:val="none" w:sz="0" w:space="0" w:color="auto"/>
        <w:right w:val="none" w:sz="0" w:space="0" w:color="auto"/>
      </w:divBdr>
    </w:div>
    <w:div w:id="219097843">
      <w:bodyDiv w:val="1"/>
      <w:marLeft w:val="0"/>
      <w:marRight w:val="0"/>
      <w:marTop w:val="0"/>
      <w:marBottom w:val="0"/>
      <w:divBdr>
        <w:top w:val="none" w:sz="0" w:space="0" w:color="auto"/>
        <w:left w:val="none" w:sz="0" w:space="0" w:color="auto"/>
        <w:bottom w:val="none" w:sz="0" w:space="0" w:color="auto"/>
        <w:right w:val="none" w:sz="0" w:space="0" w:color="auto"/>
      </w:divBdr>
    </w:div>
    <w:div w:id="227618430">
      <w:bodyDiv w:val="1"/>
      <w:marLeft w:val="0"/>
      <w:marRight w:val="0"/>
      <w:marTop w:val="0"/>
      <w:marBottom w:val="0"/>
      <w:divBdr>
        <w:top w:val="none" w:sz="0" w:space="0" w:color="auto"/>
        <w:left w:val="none" w:sz="0" w:space="0" w:color="auto"/>
        <w:bottom w:val="none" w:sz="0" w:space="0" w:color="auto"/>
        <w:right w:val="none" w:sz="0" w:space="0" w:color="auto"/>
      </w:divBdr>
    </w:div>
    <w:div w:id="228922848">
      <w:bodyDiv w:val="1"/>
      <w:marLeft w:val="0"/>
      <w:marRight w:val="0"/>
      <w:marTop w:val="0"/>
      <w:marBottom w:val="0"/>
      <w:divBdr>
        <w:top w:val="none" w:sz="0" w:space="0" w:color="auto"/>
        <w:left w:val="none" w:sz="0" w:space="0" w:color="auto"/>
        <w:bottom w:val="none" w:sz="0" w:space="0" w:color="auto"/>
        <w:right w:val="none" w:sz="0" w:space="0" w:color="auto"/>
      </w:divBdr>
    </w:div>
    <w:div w:id="231739497">
      <w:bodyDiv w:val="1"/>
      <w:marLeft w:val="0"/>
      <w:marRight w:val="0"/>
      <w:marTop w:val="0"/>
      <w:marBottom w:val="0"/>
      <w:divBdr>
        <w:top w:val="none" w:sz="0" w:space="0" w:color="auto"/>
        <w:left w:val="none" w:sz="0" w:space="0" w:color="auto"/>
        <w:bottom w:val="none" w:sz="0" w:space="0" w:color="auto"/>
        <w:right w:val="none" w:sz="0" w:space="0" w:color="auto"/>
      </w:divBdr>
    </w:div>
    <w:div w:id="235408806">
      <w:bodyDiv w:val="1"/>
      <w:marLeft w:val="0"/>
      <w:marRight w:val="0"/>
      <w:marTop w:val="0"/>
      <w:marBottom w:val="0"/>
      <w:divBdr>
        <w:top w:val="none" w:sz="0" w:space="0" w:color="auto"/>
        <w:left w:val="none" w:sz="0" w:space="0" w:color="auto"/>
        <w:bottom w:val="none" w:sz="0" w:space="0" w:color="auto"/>
        <w:right w:val="none" w:sz="0" w:space="0" w:color="auto"/>
      </w:divBdr>
    </w:div>
    <w:div w:id="235747148">
      <w:bodyDiv w:val="1"/>
      <w:marLeft w:val="0"/>
      <w:marRight w:val="0"/>
      <w:marTop w:val="0"/>
      <w:marBottom w:val="0"/>
      <w:divBdr>
        <w:top w:val="none" w:sz="0" w:space="0" w:color="auto"/>
        <w:left w:val="none" w:sz="0" w:space="0" w:color="auto"/>
        <w:bottom w:val="none" w:sz="0" w:space="0" w:color="auto"/>
        <w:right w:val="none" w:sz="0" w:space="0" w:color="auto"/>
      </w:divBdr>
    </w:div>
    <w:div w:id="237790284">
      <w:bodyDiv w:val="1"/>
      <w:marLeft w:val="0"/>
      <w:marRight w:val="0"/>
      <w:marTop w:val="0"/>
      <w:marBottom w:val="0"/>
      <w:divBdr>
        <w:top w:val="none" w:sz="0" w:space="0" w:color="auto"/>
        <w:left w:val="none" w:sz="0" w:space="0" w:color="auto"/>
        <w:bottom w:val="none" w:sz="0" w:space="0" w:color="auto"/>
        <w:right w:val="none" w:sz="0" w:space="0" w:color="auto"/>
      </w:divBdr>
    </w:div>
    <w:div w:id="240678249">
      <w:bodyDiv w:val="1"/>
      <w:marLeft w:val="0"/>
      <w:marRight w:val="0"/>
      <w:marTop w:val="0"/>
      <w:marBottom w:val="0"/>
      <w:divBdr>
        <w:top w:val="none" w:sz="0" w:space="0" w:color="auto"/>
        <w:left w:val="none" w:sz="0" w:space="0" w:color="auto"/>
        <w:bottom w:val="none" w:sz="0" w:space="0" w:color="auto"/>
        <w:right w:val="none" w:sz="0" w:space="0" w:color="auto"/>
      </w:divBdr>
    </w:div>
    <w:div w:id="241916000">
      <w:bodyDiv w:val="1"/>
      <w:marLeft w:val="0"/>
      <w:marRight w:val="0"/>
      <w:marTop w:val="0"/>
      <w:marBottom w:val="0"/>
      <w:divBdr>
        <w:top w:val="none" w:sz="0" w:space="0" w:color="auto"/>
        <w:left w:val="none" w:sz="0" w:space="0" w:color="auto"/>
        <w:bottom w:val="none" w:sz="0" w:space="0" w:color="auto"/>
        <w:right w:val="none" w:sz="0" w:space="0" w:color="auto"/>
      </w:divBdr>
    </w:div>
    <w:div w:id="243804706">
      <w:bodyDiv w:val="1"/>
      <w:marLeft w:val="0"/>
      <w:marRight w:val="0"/>
      <w:marTop w:val="0"/>
      <w:marBottom w:val="0"/>
      <w:divBdr>
        <w:top w:val="none" w:sz="0" w:space="0" w:color="auto"/>
        <w:left w:val="none" w:sz="0" w:space="0" w:color="auto"/>
        <w:bottom w:val="none" w:sz="0" w:space="0" w:color="auto"/>
        <w:right w:val="none" w:sz="0" w:space="0" w:color="auto"/>
      </w:divBdr>
    </w:div>
    <w:div w:id="246428150">
      <w:bodyDiv w:val="1"/>
      <w:marLeft w:val="0"/>
      <w:marRight w:val="0"/>
      <w:marTop w:val="0"/>
      <w:marBottom w:val="0"/>
      <w:divBdr>
        <w:top w:val="none" w:sz="0" w:space="0" w:color="auto"/>
        <w:left w:val="none" w:sz="0" w:space="0" w:color="auto"/>
        <w:bottom w:val="none" w:sz="0" w:space="0" w:color="auto"/>
        <w:right w:val="none" w:sz="0" w:space="0" w:color="auto"/>
      </w:divBdr>
      <w:divsChild>
        <w:div w:id="847911437">
          <w:marLeft w:val="288"/>
          <w:marRight w:val="0"/>
          <w:marTop w:val="120"/>
          <w:marBottom w:val="0"/>
          <w:divBdr>
            <w:top w:val="none" w:sz="0" w:space="0" w:color="auto"/>
            <w:left w:val="none" w:sz="0" w:space="0" w:color="auto"/>
            <w:bottom w:val="none" w:sz="0" w:space="0" w:color="auto"/>
            <w:right w:val="none" w:sz="0" w:space="0" w:color="auto"/>
          </w:divBdr>
        </w:div>
        <w:div w:id="1375036697">
          <w:marLeft w:val="288"/>
          <w:marRight w:val="0"/>
          <w:marTop w:val="120"/>
          <w:marBottom w:val="0"/>
          <w:divBdr>
            <w:top w:val="none" w:sz="0" w:space="0" w:color="auto"/>
            <w:left w:val="none" w:sz="0" w:space="0" w:color="auto"/>
            <w:bottom w:val="none" w:sz="0" w:space="0" w:color="auto"/>
            <w:right w:val="none" w:sz="0" w:space="0" w:color="auto"/>
          </w:divBdr>
        </w:div>
        <w:div w:id="1550649290">
          <w:marLeft w:val="288"/>
          <w:marRight w:val="0"/>
          <w:marTop w:val="120"/>
          <w:marBottom w:val="0"/>
          <w:divBdr>
            <w:top w:val="none" w:sz="0" w:space="0" w:color="auto"/>
            <w:left w:val="none" w:sz="0" w:space="0" w:color="auto"/>
            <w:bottom w:val="none" w:sz="0" w:space="0" w:color="auto"/>
            <w:right w:val="none" w:sz="0" w:space="0" w:color="auto"/>
          </w:divBdr>
        </w:div>
        <w:div w:id="1590893767">
          <w:marLeft w:val="288"/>
          <w:marRight w:val="0"/>
          <w:marTop w:val="120"/>
          <w:marBottom w:val="0"/>
          <w:divBdr>
            <w:top w:val="none" w:sz="0" w:space="0" w:color="auto"/>
            <w:left w:val="none" w:sz="0" w:space="0" w:color="auto"/>
            <w:bottom w:val="none" w:sz="0" w:space="0" w:color="auto"/>
            <w:right w:val="none" w:sz="0" w:space="0" w:color="auto"/>
          </w:divBdr>
        </w:div>
        <w:div w:id="1694573650">
          <w:marLeft w:val="288"/>
          <w:marRight w:val="0"/>
          <w:marTop w:val="120"/>
          <w:marBottom w:val="0"/>
          <w:divBdr>
            <w:top w:val="none" w:sz="0" w:space="0" w:color="auto"/>
            <w:left w:val="none" w:sz="0" w:space="0" w:color="auto"/>
            <w:bottom w:val="none" w:sz="0" w:space="0" w:color="auto"/>
            <w:right w:val="none" w:sz="0" w:space="0" w:color="auto"/>
          </w:divBdr>
        </w:div>
        <w:div w:id="2033259320">
          <w:marLeft w:val="288"/>
          <w:marRight w:val="0"/>
          <w:marTop w:val="120"/>
          <w:marBottom w:val="0"/>
          <w:divBdr>
            <w:top w:val="none" w:sz="0" w:space="0" w:color="auto"/>
            <w:left w:val="none" w:sz="0" w:space="0" w:color="auto"/>
            <w:bottom w:val="none" w:sz="0" w:space="0" w:color="auto"/>
            <w:right w:val="none" w:sz="0" w:space="0" w:color="auto"/>
          </w:divBdr>
        </w:div>
        <w:div w:id="2086031742">
          <w:marLeft w:val="288"/>
          <w:marRight w:val="0"/>
          <w:marTop w:val="120"/>
          <w:marBottom w:val="0"/>
          <w:divBdr>
            <w:top w:val="none" w:sz="0" w:space="0" w:color="auto"/>
            <w:left w:val="none" w:sz="0" w:space="0" w:color="auto"/>
            <w:bottom w:val="none" w:sz="0" w:space="0" w:color="auto"/>
            <w:right w:val="none" w:sz="0" w:space="0" w:color="auto"/>
          </w:divBdr>
        </w:div>
      </w:divsChild>
    </w:div>
    <w:div w:id="249854589">
      <w:bodyDiv w:val="1"/>
      <w:marLeft w:val="0"/>
      <w:marRight w:val="0"/>
      <w:marTop w:val="0"/>
      <w:marBottom w:val="0"/>
      <w:divBdr>
        <w:top w:val="none" w:sz="0" w:space="0" w:color="auto"/>
        <w:left w:val="none" w:sz="0" w:space="0" w:color="auto"/>
        <w:bottom w:val="none" w:sz="0" w:space="0" w:color="auto"/>
        <w:right w:val="none" w:sz="0" w:space="0" w:color="auto"/>
      </w:divBdr>
    </w:div>
    <w:div w:id="251204098">
      <w:marLeft w:val="0"/>
      <w:marRight w:val="0"/>
      <w:marTop w:val="0"/>
      <w:marBottom w:val="0"/>
      <w:divBdr>
        <w:top w:val="none" w:sz="0" w:space="0" w:color="auto"/>
        <w:left w:val="none" w:sz="0" w:space="0" w:color="auto"/>
        <w:bottom w:val="none" w:sz="0" w:space="0" w:color="auto"/>
        <w:right w:val="none" w:sz="0" w:space="0" w:color="auto"/>
      </w:divBdr>
      <w:divsChild>
        <w:div w:id="168713209">
          <w:marLeft w:val="0"/>
          <w:marRight w:val="0"/>
          <w:marTop w:val="0"/>
          <w:marBottom w:val="0"/>
          <w:divBdr>
            <w:top w:val="none" w:sz="0" w:space="0" w:color="auto"/>
            <w:left w:val="none" w:sz="0" w:space="0" w:color="auto"/>
            <w:bottom w:val="none" w:sz="0" w:space="0" w:color="auto"/>
            <w:right w:val="none" w:sz="0" w:space="0" w:color="auto"/>
          </w:divBdr>
          <w:divsChild>
            <w:div w:id="194808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24550">
      <w:marLeft w:val="0"/>
      <w:marRight w:val="0"/>
      <w:marTop w:val="0"/>
      <w:marBottom w:val="0"/>
      <w:divBdr>
        <w:top w:val="none" w:sz="0" w:space="0" w:color="auto"/>
        <w:left w:val="none" w:sz="0" w:space="0" w:color="auto"/>
        <w:bottom w:val="none" w:sz="0" w:space="0" w:color="auto"/>
        <w:right w:val="none" w:sz="0" w:space="0" w:color="auto"/>
      </w:divBdr>
      <w:divsChild>
        <w:div w:id="1054885463">
          <w:marLeft w:val="0"/>
          <w:marRight w:val="0"/>
          <w:marTop w:val="0"/>
          <w:marBottom w:val="0"/>
          <w:divBdr>
            <w:top w:val="none" w:sz="0" w:space="0" w:color="auto"/>
            <w:left w:val="none" w:sz="0" w:space="0" w:color="auto"/>
            <w:bottom w:val="none" w:sz="0" w:space="0" w:color="auto"/>
            <w:right w:val="none" w:sz="0" w:space="0" w:color="auto"/>
          </w:divBdr>
          <w:divsChild>
            <w:div w:id="124861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603718">
      <w:bodyDiv w:val="1"/>
      <w:marLeft w:val="0"/>
      <w:marRight w:val="0"/>
      <w:marTop w:val="0"/>
      <w:marBottom w:val="0"/>
      <w:divBdr>
        <w:top w:val="none" w:sz="0" w:space="0" w:color="auto"/>
        <w:left w:val="none" w:sz="0" w:space="0" w:color="auto"/>
        <w:bottom w:val="none" w:sz="0" w:space="0" w:color="auto"/>
        <w:right w:val="none" w:sz="0" w:space="0" w:color="auto"/>
      </w:divBdr>
    </w:div>
    <w:div w:id="259070270">
      <w:bodyDiv w:val="1"/>
      <w:marLeft w:val="0"/>
      <w:marRight w:val="0"/>
      <w:marTop w:val="0"/>
      <w:marBottom w:val="0"/>
      <w:divBdr>
        <w:top w:val="none" w:sz="0" w:space="0" w:color="auto"/>
        <w:left w:val="none" w:sz="0" w:space="0" w:color="auto"/>
        <w:bottom w:val="none" w:sz="0" w:space="0" w:color="auto"/>
        <w:right w:val="none" w:sz="0" w:space="0" w:color="auto"/>
      </w:divBdr>
    </w:div>
    <w:div w:id="260728040">
      <w:bodyDiv w:val="1"/>
      <w:marLeft w:val="0"/>
      <w:marRight w:val="0"/>
      <w:marTop w:val="0"/>
      <w:marBottom w:val="0"/>
      <w:divBdr>
        <w:top w:val="none" w:sz="0" w:space="0" w:color="auto"/>
        <w:left w:val="none" w:sz="0" w:space="0" w:color="auto"/>
        <w:bottom w:val="none" w:sz="0" w:space="0" w:color="auto"/>
        <w:right w:val="none" w:sz="0" w:space="0" w:color="auto"/>
      </w:divBdr>
    </w:div>
    <w:div w:id="262998612">
      <w:bodyDiv w:val="1"/>
      <w:marLeft w:val="0"/>
      <w:marRight w:val="0"/>
      <w:marTop w:val="0"/>
      <w:marBottom w:val="0"/>
      <w:divBdr>
        <w:top w:val="none" w:sz="0" w:space="0" w:color="auto"/>
        <w:left w:val="none" w:sz="0" w:space="0" w:color="auto"/>
        <w:bottom w:val="none" w:sz="0" w:space="0" w:color="auto"/>
        <w:right w:val="none" w:sz="0" w:space="0" w:color="auto"/>
      </w:divBdr>
    </w:div>
    <w:div w:id="263148324">
      <w:bodyDiv w:val="1"/>
      <w:marLeft w:val="0"/>
      <w:marRight w:val="0"/>
      <w:marTop w:val="0"/>
      <w:marBottom w:val="0"/>
      <w:divBdr>
        <w:top w:val="none" w:sz="0" w:space="0" w:color="auto"/>
        <w:left w:val="none" w:sz="0" w:space="0" w:color="auto"/>
        <w:bottom w:val="none" w:sz="0" w:space="0" w:color="auto"/>
        <w:right w:val="none" w:sz="0" w:space="0" w:color="auto"/>
      </w:divBdr>
    </w:div>
    <w:div w:id="265309749">
      <w:bodyDiv w:val="1"/>
      <w:marLeft w:val="0"/>
      <w:marRight w:val="0"/>
      <w:marTop w:val="0"/>
      <w:marBottom w:val="0"/>
      <w:divBdr>
        <w:top w:val="none" w:sz="0" w:space="0" w:color="auto"/>
        <w:left w:val="none" w:sz="0" w:space="0" w:color="auto"/>
        <w:bottom w:val="none" w:sz="0" w:space="0" w:color="auto"/>
        <w:right w:val="none" w:sz="0" w:space="0" w:color="auto"/>
      </w:divBdr>
    </w:div>
    <w:div w:id="269313365">
      <w:bodyDiv w:val="1"/>
      <w:marLeft w:val="0"/>
      <w:marRight w:val="0"/>
      <w:marTop w:val="0"/>
      <w:marBottom w:val="0"/>
      <w:divBdr>
        <w:top w:val="none" w:sz="0" w:space="0" w:color="auto"/>
        <w:left w:val="none" w:sz="0" w:space="0" w:color="auto"/>
        <w:bottom w:val="none" w:sz="0" w:space="0" w:color="auto"/>
        <w:right w:val="none" w:sz="0" w:space="0" w:color="auto"/>
      </w:divBdr>
    </w:div>
    <w:div w:id="270934944">
      <w:bodyDiv w:val="1"/>
      <w:marLeft w:val="0"/>
      <w:marRight w:val="0"/>
      <w:marTop w:val="0"/>
      <w:marBottom w:val="0"/>
      <w:divBdr>
        <w:top w:val="none" w:sz="0" w:space="0" w:color="auto"/>
        <w:left w:val="none" w:sz="0" w:space="0" w:color="auto"/>
        <w:bottom w:val="none" w:sz="0" w:space="0" w:color="auto"/>
        <w:right w:val="none" w:sz="0" w:space="0" w:color="auto"/>
      </w:divBdr>
      <w:divsChild>
        <w:div w:id="235094012">
          <w:marLeft w:val="0"/>
          <w:marRight w:val="0"/>
          <w:marTop w:val="0"/>
          <w:marBottom w:val="0"/>
          <w:divBdr>
            <w:top w:val="none" w:sz="0" w:space="0" w:color="auto"/>
            <w:left w:val="none" w:sz="0" w:space="0" w:color="auto"/>
            <w:bottom w:val="none" w:sz="0" w:space="0" w:color="auto"/>
            <w:right w:val="none" w:sz="0" w:space="0" w:color="auto"/>
          </w:divBdr>
          <w:divsChild>
            <w:div w:id="154733572">
              <w:marLeft w:val="0"/>
              <w:marRight w:val="0"/>
              <w:marTop w:val="0"/>
              <w:marBottom w:val="0"/>
              <w:divBdr>
                <w:top w:val="none" w:sz="0" w:space="0" w:color="auto"/>
                <w:left w:val="none" w:sz="0" w:space="0" w:color="auto"/>
                <w:bottom w:val="none" w:sz="0" w:space="0" w:color="auto"/>
                <w:right w:val="none" w:sz="0" w:space="0" w:color="auto"/>
              </w:divBdr>
              <w:divsChild>
                <w:div w:id="108962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766142">
          <w:marLeft w:val="0"/>
          <w:marRight w:val="0"/>
          <w:marTop w:val="0"/>
          <w:marBottom w:val="0"/>
          <w:divBdr>
            <w:top w:val="none" w:sz="0" w:space="0" w:color="auto"/>
            <w:left w:val="none" w:sz="0" w:space="0" w:color="auto"/>
            <w:bottom w:val="none" w:sz="0" w:space="0" w:color="auto"/>
            <w:right w:val="none" w:sz="0" w:space="0" w:color="auto"/>
          </w:divBdr>
          <w:divsChild>
            <w:div w:id="2003239447">
              <w:marLeft w:val="0"/>
              <w:marRight w:val="0"/>
              <w:marTop w:val="0"/>
              <w:marBottom w:val="0"/>
              <w:divBdr>
                <w:top w:val="none" w:sz="0" w:space="0" w:color="auto"/>
                <w:left w:val="none" w:sz="0" w:space="0" w:color="auto"/>
                <w:bottom w:val="none" w:sz="0" w:space="0" w:color="auto"/>
                <w:right w:val="none" w:sz="0" w:space="0" w:color="auto"/>
              </w:divBdr>
              <w:divsChild>
                <w:div w:id="63205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797684">
          <w:marLeft w:val="0"/>
          <w:marRight w:val="0"/>
          <w:marTop w:val="0"/>
          <w:marBottom w:val="0"/>
          <w:divBdr>
            <w:top w:val="none" w:sz="0" w:space="0" w:color="auto"/>
            <w:left w:val="none" w:sz="0" w:space="0" w:color="auto"/>
            <w:bottom w:val="none" w:sz="0" w:space="0" w:color="auto"/>
            <w:right w:val="none" w:sz="0" w:space="0" w:color="auto"/>
          </w:divBdr>
          <w:divsChild>
            <w:div w:id="1997294068">
              <w:marLeft w:val="0"/>
              <w:marRight w:val="0"/>
              <w:marTop w:val="0"/>
              <w:marBottom w:val="0"/>
              <w:divBdr>
                <w:top w:val="none" w:sz="0" w:space="0" w:color="auto"/>
                <w:left w:val="none" w:sz="0" w:space="0" w:color="auto"/>
                <w:bottom w:val="none" w:sz="0" w:space="0" w:color="auto"/>
                <w:right w:val="none" w:sz="0" w:space="0" w:color="auto"/>
              </w:divBdr>
              <w:divsChild>
                <w:div w:id="186994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02188">
          <w:marLeft w:val="0"/>
          <w:marRight w:val="0"/>
          <w:marTop w:val="0"/>
          <w:marBottom w:val="0"/>
          <w:divBdr>
            <w:top w:val="none" w:sz="0" w:space="0" w:color="auto"/>
            <w:left w:val="none" w:sz="0" w:space="0" w:color="auto"/>
            <w:bottom w:val="none" w:sz="0" w:space="0" w:color="auto"/>
            <w:right w:val="none" w:sz="0" w:space="0" w:color="auto"/>
          </w:divBdr>
          <w:divsChild>
            <w:div w:id="1313683448">
              <w:marLeft w:val="0"/>
              <w:marRight w:val="0"/>
              <w:marTop w:val="0"/>
              <w:marBottom w:val="0"/>
              <w:divBdr>
                <w:top w:val="none" w:sz="0" w:space="0" w:color="auto"/>
                <w:left w:val="none" w:sz="0" w:space="0" w:color="auto"/>
                <w:bottom w:val="none" w:sz="0" w:space="0" w:color="auto"/>
                <w:right w:val="none" w:sz="0" w:space="0" w:color="auto"/>
              </w:divBdr>
              <w:divsChild>
                <w:div w:id="111883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477513">
          <w:marLeft w:val="0"/>
          <w:marRight w:val="0"/>
          <w:marTop w:val="0"/>
          <w:marBottom w:val="0"/>
          <w:divBdr>
            <w:top w:val="none" w:sz="0" w:space="0" w:color="auto"/>
            <w:left w:val="none" w:sz="0" w:space="0" w:color="auto"/>
            <w:bottom w:val="none" w:sz="0" w:space="0" w:color="auto"/>
            <w:right w:val="none" w:sz="0" w:space="0" w:color="auto"/>
          </w:divBdr>
          <w:divsChild>
            <w:div w:id="655063243">
              <w:marLeft w:val="0"/>
              <w:marRight w:val="0"/>
              <w:marTop w:val="0"/>
              <w:marBottom w:val="0"/>
              <w:divBdr>
                <w:top w:val="none" w:sz="0" w:space="0" w:color="auto"/>
                <w:left w:val="none" w:sz="0" w:space="0" w:color="auto"/>
                <w:bottom w:val="none" w:sz="0" w:space="0" w:color="auto"/>
                <w:right w:val="none" w:sz="0" w:space="0" w:color="auto"/>
              </w:divBdr>
              <w:divsChild>
                <w:div w:id="1647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555072">
          <w:marLeft w:val="0"/>
          <w:marRight w:val="0"/>
          <w:marTop w:val="0"/>
          <w:marBottom w:val="0"/>
          <w:divBdr>
            <w:top w:val="none" w:sz="0" w:space="0" w:color="auto"/>
            <w:left w:val="none" w:sz="0" w:space="0" w:color="auto"/>
            <w:bottom w:val="none" w:sz="0" w:space="0" w:color="auto"/>
            <w:right w:val="none" w:sz="0" w:space="0" w:color="auto"/>
          </w:divBdr>
          <w:divsChild>
            <w:div w:id="1726760159">
              <w:marLeft w:val="0"/>
              <w:marRight w:val="0"/>
              <w:marTop w:val="0"/>
              <w:marBottom w:val="0"/>
              <w:divBdr>
                <w:top w:val="none" w:sz="0" w:space="0" w:color="auto"/>
                <w:left w:val="none" w:sz="0" w:space="0" w:color="auto"/>
                <w:bottom w:val="none" w:sz="0" w:space="0" w:color="auto"/>
                <w:right w:val="none" w:sz="0" w:space="0" w:color="auto"/>
              </w:divBdr>
              <w:divsChild>
                <w:div w:id="44670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723512">
          <w:marLeft w:val="0"/>
          <w:marRight w:val="0"/>
          <w:marTop w:val="0"/>
          <w:marBottom w:val="0"/>
          <w:divBdr>
            <w:top w:val="none" w:sz="0" w:space="0" w:color="auto"/>
            <w:left w:val="none" w:sz="0" w:space="0" w:color="auto"/>
            <w:bottom w:val="none" w:sz="0" w:space="0" w:color="auto"/>
            <w:right w:val="none" w:sz="0" w:space="0" w:color="auto"/>
          </w:divBdr>
          <w:divsChild>
            <w:div w:id="1431389971">
              <w:marLeft w:val="0"/>
              <w:marRight w:val="0"/>
              <w:marTop w:val="0"/>
              <w:marBottom w:val="0"/>
              <w:divBdr>
                <w:top w:val="none" w:sz="0" w:space="0" w:color="auto"/>
                <w:left w:val="none" w:sz="0" w:space="0" w:color="auto"/>
                <w:bottom w:val="none" w:sz="0" w:space="0" w:color="auto"/>
                <w:right w:val="none" w:sz="0" w:space="0" w:color="auto"/>
              </w:divBdr>
              <w:divsChild>
                <w:div w:id="168535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768744">
          <w:marLeft w:val="0"/>
          <w:marRight w:val="0"/>
          <w:marTop w:val="0"/>
          <w:marBottom w:val="0"/>
          <w:divBdr>
            <w:top w:val="none" w:sz="0" w:space="0" w:color="auto"/>
            <w:left w:val="none" w:sz="0" w:space="0" w:color="auto"/>
            <w:bottom w:val="none" w:sz="0" w:space="0" w:color="auto"/>
            <w:right w:val="none" w:sz="0" w:space="0" w:color="auto"/>
          </w:divBdr>
          <w:divsChild>
            <w:div w:id="1120295688">
              <w:marLeft w:val="0"/>
              <w:marRight w:val="0"/>
              <w:marTop w:val="0"/>
              <w:marBottom w:val="0"/>
              <w:divBdr>
                <w:top w:val="none" w:sz="0" w:space="0" w:color="auto"/>
                <w:left w:val="none" w:sz="0" w:space="0" w:color="auto"/>
                <w:bottom w:val="none" w:sz="0" w:space="0" w:color="auto"/>
                <w:right w:val="none" w:sz="0" w:space="0" w:color="auto"/>
              </w:divBdr>
              <w:divsChild>
                <w:div w:id="205658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970297">
          <w:marLeft w:val="0"/>
          <w:marRight w:val="0"/>
          <w:marTop w:val="0"/>
          <w:marBottom w:val="0"/>
          <w:divBdr>
            <w:top w:val="none" w:sz="0" w:space="0" w:color="auto"/>
            <w:left w:val="none" w:sz="0" w:space="0" w:color="auto"/>
            <w:bottom w:val="none" w:sz="0" w:space="0" w:color="auto"/>
            <w:right w:val="none" w:sz="0" w:space="0" w:color="auto"/>
          </w:divBdr>
          <w:divsChild>
            <w:div w:id="1465268130">
              <w:marLeft w:val="0"/>
              <w:marRight w:val="0"/>
              <w:marTop w:val="0"/>
              <w:marBottom w:val="0"/>
              <w:divBdr>
                <w:top w:val="none" w:sz="0" w:space="0" w:color="auto"/>
                <w:left w:val="none" w:sz="0" w:space="0" w:color="auto"/>
                <w:bottom w:val="none" w:sz="0" w:space="0" w:color="auto"/>
                <w:right w:val="none" w:sz="0" w:space="0" w:color="auto"/>
              </w:divBdr>
              <w:divsChild>
                <w:div w:id="67595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17749">
          <w:marLeft w:val="0"/>
          <w:marRight w:val="0"/>
          <w:marTop w:val="0"/>
          <w:marBottom w:val="0"/>
          <w:divBdr>
            <w:top w:val="none" w:sz="0" w:space="0" w:color="auto"/>
            <w:left w:val="none" w:sz="0" w:space="0" w:color="auto"/>
            <w:bottom w:val="none" w:sz="0" w:space="0" w:color="auto"/>
            <w:right w:val="none" w:sz="0" w:space="0" w:color="auto"/>
          </w:divBdr>
          <w:divsChild>
            <w:div w:id="2128085358">
              <w:marLeft w:val="0"/>
              <w:marRight w:val="0"/>
              <w:marTop w:val="0"/>
              <w:marBottom w:val="0"/>
              <w:divBdr>
                <w:top w:val="none" w:sz="0" w:space="0" w:color="auto"/>
                <w:left w:val="none" w:sz="0" w:space="0" w:color="auto"/>
                <w:bottom w:val="none" w:sz="0" w:space="0" w:color="auto"/>
                <w:right w:val="none" w:sz="0" w:space="0" w:color="auto"/>
              </w:divBdr>
              <w:divsChild>
                <w:div w:id="83881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965595">
          <w:marLeft w:val="0"/>
          <w:marRight w:val="0"/>
          <w:marTop w:val="0"/>
          <w:marBottom w:val="0"/>
          <w:divBdr>
            <w:top w:val="none" w:sz="0" w:space="0" w:color="auto"/>
            <w:left w:val="none" w:sz="0" w:space="0" w:color="auto"/>
            <w:bottom w:val="none" w:sz="0" w:space="0" w:color="auto"/>
            <w:right w:val="none" w:sz="0" w:space="0" w:color="auto"/>
          </w:divBdr>
          <w:divsChild>
            <w:div w:id="1038550142">
              <w:marLeft w:val="0"/>
              <w:marRight w:val="0"/>
              <w:marTop w:val="0"/>
              <w:marBottom w:val="0"/>
              <w:divBdr>
                <w:top w:val="none" w:sz="0" w:space="0" w:color="auto"/>
                <w:left w:val="none" w:sz="0" w:space="0" w:color="auto"/>
                <w:bottom w:val="none" w:sz="0" w:space="0" w:color="auto"/>
                <w:right w:val="none" w:sz="0" w:space="0" w:color="auto"/>
              </w:divBdr>
              <w:divsChild>
                <w:div w:id="188259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0569">
          <w:marLeft w:val="0"/>
          <w:marRight w:val="0"/>
          <w:marTop w:val="0"/>
          <w:marBottom w:val="0"/>
          <w:divBdr>
            <w:top w:val="none" w:sz="0" w:space="0" w:color="auto"/>
            <w:left w:val="none" w:sz="0" w:space="0" w:color="auto"/>
            <w:bottom w:val="none" w:sz="0" w:space="0" w:color="auto"/>
            <w:right w:val="none" w:sz="0" w:space="0" w:color="auto"/>
          </w:divBdr>
          <w:divsChild>
            <w:div w:id="213661155">
              <w:marLeft w:val="0"/>
              <w:marRight w:val="0"/>
              <w:marTop w:val="0"/>
              <w:marBottom w:val="0"/>
              <w:divBdr>
                <w:top w:val="none" w:sz="0" w:space="0" w:color="auto"/>
                <w:left w:val="none" w:sz="0" w:space="0" w:color="auto"/>
                <w:bottom w:val="none" w:sz="0" w:space="0" w:color="auto"/>
                <w:right w:val="none" w:sz="0" w:space="0" w:color="auto"/>
              </w:divBdr>
              <w:divsChild>
                <w:div w:id="96870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150044">
          <w:marLeft w:val="0"/>
          <w:marRight w:val="0"/>
          <w:marTop w:val="0"/>
          <w:marBottom w:val="0"/>
          <w:divBdr>
            <w:top w:val="none" w:sz="0" w:space="0" w:color="auto"/>
            <w:left w:val="none" w:sz="0" w:space="0" w:color="auto"/>
            <w:bottom w:val="none" w:sz="0" w:space="0" w:color="auto"/>
            <w:right w:val="none" w:sz="0" w:space="0" w:color="auto"/>
          </w:divBdr>
          <w:divsChild>
            <w:div w:id="1210802062">
              <w:marLeft w:val="0"/>
              <w:marRight w:val="0"/>
              <w:marTop w:val="0"/>
              <w:marBottom w:val="0"/>
              <w:divBdr>
                <w:top w:val="none" w:sz="0" w:space="0" w:color="auto"/>
                <w:left w:val="none" w:sz="0" w:space="0" w:color="auto"/>
                <w:bottom w:val="none" w:sz="0" w:space="0" w:color="auto"/>
                <w:right w:val="none" w:sz="0" w:space="0" w:color="auto"/>
              </w:divBdr>
              <w:divsChild>
                <w:div w:id="36171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26728">
          <w:marLeft w:val="0"/>
          <w:marRight w:val="0"/>
          <w:marTop w:val="0"/>
          <w:marBottom w:val="0"/>
          <w:divBdr>
            <w:top w:val="none" w:sz="0" w:space="0" w:color="auto"/>
            <w:left w:val="none" w:sz="0" w:space="0" w:color="auto"/>
            <w:bottom w:val="none" w:sz="0" w:space="0" w:color="auto"/>
            <w:right w:val="none" w:sz="0" w:space="0" w:color="auto"/>
          </w:divBdr>
          <w:divsChild>
            <w:div w:id="569652991">
              <w:marLeft w:val="0"/>
              <w:marRight w:val="0"/>
              <w:marTop w:val="0"/>
              <w:marBottom w:val="0"/>
              <w:divBdr>
                <w:top w:val="none" w:sz="0" w:space="0" w:color="auto"/>
                <w:left w:val="none" w:sz="0" w:space="0" w:color="auto"/>
                <w:bottom w:val="none" w:sz="0" w:space="0" w:color="auto"/>
                <w:right w:val="none" w:sz="0" w:space="0" w:color="auto"/>
              </w:divBdr>
              <w:divsChild>
                <w:div w:id="108495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113362">
          <w:marLeft w:val="0"/>
          <w:marRight w:val="0"/>
          <w:marTop w:val="0"/>
          <w:marBottom w:val="0"/>
          <w:divBdr>
            <w:top w:val="none" w:sz="0" w:space="0" w:color="auto"/>
            <w:left w:val="none" w:sz="0" w:space="0" w:color="auto"/>
            <w:bottom w:val="none" w:sz="0" w:space="0" w:color="auto"/>
            <w:right w:val="none" w:sz="0" w:space="0" w:color="auto"/>
          </w:divBdr>
          <w:divsChild>
            <w:div w:id="1016997984">
              <w:marLeft w:val="0"/>
              <w:marRight w:val="0"/>
              <w:marTop w:val="0"/>
              <w:marBottom w:val="0"/>
              <w:divBdr>
                <w:top w:val="none" w:sz="0" w:space="0" w:color="auto"/>
                <w:left w:val="none" w:sz="0" w:space="0" w:color="auto"/>
                <w:bottom w:val="none" w:sz="0" w:space="0" w:color="auto"/>
                <w:right w:val="none" w:sz="0" w:space="0" w:color="auto"/>
              </w:divBdr>
              <w:divsChild>
                <w:div w:id="91720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058628">
      <w:bodyDiv w:val="1"/>
      <w:marLeft w:val="0"/>
      <w:marRight w:val="0"/>
      <w:marTop w:val="0"/>
      <w:marBottom w:val="0"/>
      <w:divBdr>
        <w:top w:val="none" w:sz="0" w:space="0" w:color="auto"/>
        <w:left w:val="none" w:sz="0" w:space="0" w:color="auto"/>
        <w:bottom w:val="none" w:sz="0" w:space="0" w:color="auto"/>
        <w:right w:val="none" w:sz="0" w:space="0" w:color="auto"/>
      </w:divBdr>
    </w:div>
    <w:div w:id="271979505">
      <w:bodyDiv w:val="1"/>
      <w:marLeft w:val="0"/>
      <w:marRight w:val="0"/>
      <w:marTop w:val="0"/>
      <w:marBottom w:val="0"/>
      <w:divBdr>
        <w:top w:val="none" w:sz="0" w:space="0" w:color="auto"/>
        <w:left w:val="none" w:sz="0" w:space="0" w:color="auto"/>
        <w:bottom w:val="none" w:sz="0" w:space="0" w:color="auto"/>
        <w:right w:val="none" w:sz="0" w:space="0" w:color="auto"/>
      </w:divBdr>
    </w:div>
    <w:div w:id="279263905">
      <w:bodyDiv w:val="1"/>
      <w:marLeft w:val="0"/>
      <w:marRight w:val="0"/>
      <w:marTop w:val="0"/>
      <w:marBottom w:val="0"/>
      <w:divBdr>
        <w:top w:val="none" w:sz="0" w:space="0" w:color="auto"/>
        <w:left w:val="none" w:sz="0" w:space="0" w:color="auto"/>
        <w:bottom w:val="none" w:sz="0" w:space="0" w:color="auto"/>
        <w:right w:val="none" w:sz="0" w:space="0" w:color="auto"/>
      </w:divBdr>
    </w:div>
    <w:div w:id="281155554">
      <w:bodyDiv w:val="1"/>
      <w:marLeft w:val="0"/>
      <w:marRight w:val="0"/>
      <w:marTop w:val="0"/>
      <w:marBottom w:val="0"/>
      <w:divBdr>
        <w:top w:val="none" w:sz="0" w:space="0" w:color="auto"/>
        <w:left w:val="none" w:sz="0" w:space="0" w:color="auto"/>
        <w:bottom w:val="none" w:sz="0" w:space="0" w:color="auto"/>
        <w:right w:val="none" w:sz="0" w:space="0" w:color="auto"/>
      </w:divBdr>
    </w:div>
    <w:div w:id="282076615">
      <w:bodyDiv w:val="1"/>
      <w:marLeft w:val="0"/>
      <w:marRight w:val="0"/>
      <w:marTop w:val="0"/>
      <w:marBottom w:val="0"/>
      <w:divBdr>
        <w:top w:val="none" w:sz="0" w:space="0" w:color="auto"/>
        <w:left w:val="none" w:sz="0" w:space="0" w:color="auto"/>
        <w:bottom w:val="none" w:sz="0" w:space="0" w:color="auto"/>
        <w:right w:val="none" w:sz="0" w:space="0" w:color="auto"/>
      </w:divBdr>
    </w:div>
    <w:div w:id="288709459">
      <w:bodyDiv w:val="1"/>
      <w:marLeft w:val="0"/>
      <w:marRight w:val="0"/>
      <w:marTop w:val="0"/>
      <w:marBottom w:val="0"/>
      <w:divBdr>
        <w:top w:val="none" w:sz="0" w:space="0" w:color="auto"/>
        <w:left w:val="none" w:sz="0" w:space="0" w:color="auto"/>
        <w:bottom w:val="none" w:sz="0" w:space="0" w:color="auto"/>
        <w:right w:val="none" w:sz="0" w:space="0" w:color="auto"/>
      </w:divBdr>
    </w:div>
    <w:div w:id="289016847">
      <w:bodyDiv w:val="1"/>
      <w:marLeft w:val="0"/>
      <w:marRight w:val="0"/>
      <w:marTop w:val="0"/>
      <w:marBottom w:val="0"/>
      <w:divBdr>
        <w:top w:val="none" w:sz="0" w:space="0" w:color="auto"/>
        <w:left w:val="none" w:sz="0" w:space="0" w:color="auto"/>
        <w:bottom w:val="none" w:sz="0" w:space="0" w:color="auto"/>
        <w:right w:val="none" w:sz="0" w:space="0" w:color="auto"/>
      </w:divBdr>
    </w:div>
    <w:div w:id="291860776">
      <w:bodyDiv w:val="1"/>
      <w:marLeft w:val="0"/>
      <w:marRight w:val="0"/>
      <w:marTop w:val="0"/>
      <w:marBottom w:val="0"/>
      <w:divBdr>
        <w:top w:val="none" w:sz="0" w:space="0" w:color="auto"/>
        <w:left w:val="none" w:sz="0" w:space="0" w:color="auto"/>
        <w:bottom w:val="none" w:sz="0" w:space="0" w:color="auto"/>
        <w:right w:val="none" w:sz="0" w:space="0" w:color="auto"/>
      </w:divBdr>
    </w:div>
    <w:div w:id="296034347">
      <w:bodyDiv w:val="1"/>
      <w:marLeft w:val="0"/>
      <w:marRight w:val="0"/>
      <w:marTop w:val="0"/>
      <w:marBottom w:val="0"/>
      <w:divBdr>
        <w:top w:val="none" w:sz="0" w:space="0" w:color="auto"/>
        <w:left w:val="none" w:sz="0" w:space="0" w:color="auto"/>
        <w:bottom w:val="none" w:sz="0" w:space="0" w:color="auto"/>
        <w:right w:val="none" w:sz="0" w:space="0" w:color="auto"/>
      </w:divBdr>
    </w:div>
    <w:div w:id="297762361">
      <w:marLeft w:val="0"/>
      <w:marRight w:val="0"/>
      <w:marTop w:val="0"/>
      <w:marBottom w:val="0"/>
      <w:divBdr>
        <w:top w:val="none" w:sz="0" w:space="0" w:color="auto"/>
        <w:left w:val="none" w:sz="0" w:space="0" w:color="auto"/>
        <w:bottom w:val="none" w:sz="0" w:space="0" w:color="auto"/>
        <w:right w:val="none" w:sz="0" w:space="0" w:color="auto"/>
      </w:divBdr>
      <w:divsChild>
        <w:div w:id="1254243383">
          <w:marLeft w:val="0"/>
          <w:marRight w:val="0"/>
          <w:marTop w:val="0"/>
          <w:marBottom w:val="0"/>
          <w:divBdr>
            <w:top w:val="none" w:sz="0" w:space="0" w:color="auto"/>
            <w:left w:val="none" w:sz="0" w:space="0" w:color="auto"/>
            <w:bottom w:val="none" w:sz="0" w:space="0" w:color="auto"/>
            <w:right w:val="none" w:sz="0" w:space="0" w:color="auto"/>
          </w:divBdr>
          <w:divsChild>
            <w:div w:id="134173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88956">
      <w:bodyDiv w:val="1"/>
      <w:marLeft w:val="0"/>
      <w:marRight w:val="0"/>
      <w:marTop w:val="0"/>
      <w:marBottom w:val="0"/>
      <w:divBdr>
        <w:top w:val="none" w:sz="0" w:space="0" w:color="auto"/>
        <w:left w:val="none" w:sz="0" w:space="0" w:color="auto"/>
        <w:bottom w:val="none" w:sz="0" w:space="0" w:color="auto"/>
        <w:right w:val="none" w:sz="0" w:space="0" w:color="auto"/>
      </w:divBdr>
    </w:div>
    <w:div w:id="302347815">
      <w:bodyDiv w:val="1"/>
      <w:marLeft w:val="0"/>
      <w:marRight w:val="0"/>
      <w:marTop w:val="0"/>
      <w:marBottom w:val="0"/>
      <w:divBdr>
        <w:top w:val="none" w:sz="0" w:space="0" w:color="auto"/>
        <w:left w:val="none" w:sz="0" w:space="0" w:color="auto"/>
        <w:bottom w:val="none" w:sz="0" w:space="0" w:color="auto"/>
        <w:right w:val="none" w:sz="0" w:space="0" w:color="auto"/>
      </w:divBdr>
      <w:divsChild>
        <w:div w:id="176585206">
          <w:marLeft w:val="288"/>
          <w:marRight w:val="0"/>
          <w:marTop w:val="120"/>
          <w:marBottom w:val="0"/>
          <w:divBdr>
            <w:top w:val="none" w:sz="0" w:space="0" w:color="auto"/>
            <w:left w:val="none" w:sz="0" w:space="0" w:color="auto"/>
            <w:bottom w:val="none" w:sz="0" w:space="0" w:color="auto"/>
            <w:right w:val="none" w:sz="0" w:space="0" w:color="auto"/>
          </w:divBdr>
        </w:div>
        <w:div w:id="224411249">
          <w:marLeft w:val="288"/>
          <w:marRight w:val="0"/>
          <w:marTop w:val="120"/>
          <w:marBottom w:val="0"/>
          <w:divBdr>
            <w:top w:val="none" w:sz="0" w:space="0" w:color="auto"/>
            <w:left w:val="none" w:sz="0" w:space="0" w:color="auto"/>
            <w:bottom w:val="none" w:sz="0" w:space="0" w:color="auto"/>
            <w:right w:val="none" w:sz="0" w:space="0" w:color="auto"/>
          </w:divBdr>
        </w:div>
        <w:div w:id="671106712">
          <w:marLeft w:val="288"/>
          <w:marRight w:val="0"/>
          <w:marTop w:val="120"/>
          <w:marBottom w:val="0"/>
          <w:divBdr>
            <w:top w:val="none" w:sz="0" w:space="0" w:color="auto"/>
            <w:left w:val="none" w:sz="0" w:space="0" w:color="auto"/>
            <w:bottom w:val="none" w:sz="0" w:space="0" w:color="auto"/>
            <w:right w:val="none" w:sz="0" w:space="0" w:color="auto"/>
          </w:divBdr>
        </w:div>
        <w:div w:id="735976155">
          <w:marLeft w:val="288"/>
          <w:marRight w:val="0"/>
          <w:marTop w:val="120"/>
          <w:marBottom w:val="0"/>
          <w:divBdr>
            <w:top w:val="none" w:sz="0" w:space="0" w:color="auto"/>
            <w:left w:val="none" w:sz="0" w:space="0" w:color="auto"/>
            <w:bottom w:val="none" w:sz="0" w:space="0" w:color="auto"/>
            <w:right w:val="none" w:sz="0" w:space="0" w:color="auto"/>
          </w:divBdr>
        </w:div>
        <w:div w:id="899756429">
          <w:marLeft w:val="288"/>
          <w:marRight w:val="0"/>
          <w:marTop w:val="120"/>
          <w:marBottom w:val="0"/>
          <w:divBdr>
            <w:top w:val="none" w:sz="0" w:space="0" w:color="auto"/>
            <w:left w:val="none" w:sz="0" w:space="0" w:color="auto"/>
            <w:bottom w:val="none" w:sz="0" w:space="0" w:color="auto"/>
            <w:right w:val="none" w:sz="0" w:space="0" w:color="auto"/>
          </w:divBdr>
        </w:div>
        <w:div w:id="1162890312">
          <w:marLeft w:val="288"/>
          <w:marRight w:val="0"/>
          <w:marTop w:val="120"/>
          <w:marBottom w:val="0"/>
          <w:divBdr>
            <w:top w:val="none" w:sz="0" w:space="0" w:color="auto"/>
            <w:left w:val="none" w:sz="0" w:space="0" w:color="auto"/>
            <w:bottom w:val="none" w:sz="0" w:space="0" w:color="auto"/>
            <w:right w:val="none" w:sz="0" w:space="0" w:color="auto"/>
          </w:divBdr>
        </w:div>
        <w:div w:id="1293053688">
          <w:marLeft w:val="288"/>
          <w:marRight w:val="0"/>
          <w:marTop w:val="120"/>
          <w:marBottom w:val="0"/>
          <w:divBdr>
            <w:top w:val="none" w:sz="0" w:space="0" w:color="auto"/>
            <w:left w:val="none" w:sz="0" w:space="0" w:color="auto"/>
            <w:bottom w:val="none" w:sz="0" w:space="0" w:color="auto"/>
            <w:right w:val="none" w:sz="0" w:space="0" w:color="auto"/>
          </w:divBdr>
        </w:div>
        <w:div w:id="1330255030">
          <w:marLeft w:val="288"/>
          <w:marRight w:val="0"/>
          <w:marTop w:val="120"/>
          <w:marBottom w:val="0"/>
          <w:divBdr>
            <w:top w:val="none" w:sz="0" w:space="0" w:color="auto"/>
            <w:left w:val="none" w:sz="0" w:space="0" w:color="auto"/>
            <w:bottom w:val="none" w:sz="0" w:space="0" w:color="auto"/>
            <w:right w:val="none" w:sz="0" w:space="0" w:color="auto"/>
          </w:divBdr>
        </w:div>
        <w:div w:id="2053653099">
          <w:marLeft w:val="288"/>
          <w:marRight w:val="0"/>
          <w:marTop w:val="120"/>
          <w:marBottom w:val="0"/>
          <w:divBdr>
            <w:top w:val="none" w:sz="0" w:space="0" w:color="auto"/>
            <w:left w:val="none" w:sz="0" w:space="0" w:color="auto"/>
            <w:bottom w:val="none" w:sz="0" w:space="0" w:color="auto"/>
            <w:right w:val="none" w:sz="0" w:space="0" w:color="auto"/>
          </w:divBdr>
        </w:div>
      </w:divsChild>
    </w:div>
    <w:div w:id="306974755">
      <w:bodyDiv w:val="1"/>
      <w:marLeft w:val="0"/>
      <w:marRight w:val="0"/>
      <w:marTop w:val="0"/>
      <w:marBottom w:val="0"/>
      <w:divBdr>
        <w:top w:val="none" w:sz="0" w:space="0" w:color="auto"/>
        <w:left w:val="none" w:sz="0" w:space="0" w:color="auto"/>
        <w:bottom w:val="none" w:sz="0" w:space="0" w:color="auto"/>
        <w:right w:val="none" w:sz="0" w:space="0" w:color="auto"/>
      </w:divBdr>
    </w:div>
    <w:div w:id="307251169">
      <w:bodyDiv w:val="1"/>
      <w:marLeft w:val="0"/>
      <w:marRight w:val="0"/>
      <w:marTop w:val="0"/>
      <w:marBottom w:val="0"/>
      <w:divBdr>
        <w:top w:val="none" w:sz="0" w:space="0" w:color="auto"/>
        <w:left w:val="none" w:sz="0" w:space="0" w:color="auto"/>
        <w:bottom w:val="none" w:sz="0" w:space="0" w:color="auto"/>
        <w:right w:val="none" w:sz="0" w:space="0" w:color="auto"/>
      </w:divBdr>
    </w:div>
    <w:div w:id="309140638">
      <w:bodyDiv w:val="1"/>
      <w:marLeft w:val="0"/>
      <w:marRight w:val="0"/>
      <w:marTop w:val="0"/>
      <w:marBottom w:val="0"/>
      <w:divBdr>
        <w:top w:val="none" w:sz="0" w:space="0" w:color="auto"/>
        <w:left w:val="none" w:sz="0" w:space="0" w:color="auto"/>
        <w:bottom w:val="none" w:sz="0" w:space="0" w:color="auto"/>
        <w:right w:val="none" w:sz="0" w:space="0" w:color="auto"/>
      </w:divBdr>
    </w:div>
    <w:div w:id="313024973">
      <w:bodyDiv w:val="1"/>
      <w:marLeft w:val="0"/>
      <w:marRight w:val="0"/>
      <w:marTop w:val="0"/>
      <w:marBottom w:val="0"/>
      <w:divBdr>
        <w:top w:val="none" w:sz="0" w:space="0" w:color="auto"/>
        <w:left w:val="none" w:sz="0" w:space="0" w:color="auto"/>
        <w:bottom w:val="none" w:sz="0" w:space="0" w:color="auto"/>
        <w:right w:val="none" w:sz="0" w:space="0" w:color="auto"/>
      </w:divBdr>
    </w:div>
    <w:div w:id="314651513">
      <w:bodyDiv w:val="1"/>
      <w:marLeft w:val="0"/>
      <w:marRight w:val="0"/>
      <w:marTop w:val="0"/>
      <w:marBottom w:val="0"/>
      <w:divBdr>
        <w:top w:val="none" w:sz="0" w:space="0" w:color="auto"/>
        <w:left w:val="none" w:sz="0" w:space="0" w:color="auto"/>
        <w:bottom w:val="none" w:sz="0" w:space="0" w:color="auto"/>
        <w:right w:val="none" w:sz="0" w:space="0" w:color="auto"/>
      </w:divBdr>
    </w:div>
    <w:div w:id="316300739">
      <w:marLeft w:val="0"/>
      <w:marRight w:val="0"/>
      <w:marTop w:val="0"/>
      <w:marBottom w:val="0"/>
      <w:divBdr>
        <w:top w:val="none" w:sz="0" w:space="0" w:color="auto"/>
        <w:left w:val="none" w:sz="0" w:space="0" w:color="auto"/>
        <w:bottom w:val="none" w:sz="0" w:space="0" w:color="auto"/>
        <w:right w:val="none" w:sz="0" w:space="0" w:color="auto"/>
      </w:divBdr>
      <w:divsChild>
        <w:div w:id="1667631742">
          <w:marLeft w:val="0"/>
          <w:marRight w:val="0"/>
          <w:marTop w:val="0"/>
          <w:marBottom w:val="0"/>
          <w:divBdr>
            <w:top w:val="none" w:sz="0" w:space="0" w:color="auto"/>
            <w:left w:val="none" w:sz="0" w:space="0" w:color="auto"/>
            <w:bottom w:val="none" w:sz="0" w:space="0" w:color="auto"/>
            <w:right w:val="none" w:sz="0" w:space="0" w:color="auto"/>
          </w:divBdr>
          <w:divsChild>
            <w:div w:id="46570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690647">
      <w:bodyDiv w:val="1"/>
      <w:marLeft w:val="0"/>
      <w:marRight w:val="0"/>
      <w:marTop w:val="0"/>
      <w:marBottom w:val="0"/>
      <w:divBdr>
        <w:top w:val="none" w:sz="0" w:space="0" w:color="auto"/>
        <w:left w:val="none" w:sz="0" w:space="0" w:color="auto"/>
        <w:bottom w:val="none" w:sz="0" w:space="0" w:color="auto"/>
        <w:right w:val="none" w:sz="0" w:space="0" w:color="auto"/>
      </w:divBdr>
    </w:div>
    <w:div w:id="318119839">
      <w:bodyDiv w:val="1"/>
      <w:marLeft w:val="0"/>
      <w:marRight w:val="0"/>
      <w:marTop w:val="0"/>
      <w:marBottom w:val="0"/>
      <w:divBdr>
        <w:top w:val="none" w:sz="0" w:space="0" w:color="auto"/>
        <w:left w:val="none" w:sz="0" w:space="0" w:color="auto"/>
        <w:bottom w:val="none" w:sz="0" w:space="0" w:color="auto"/>
        <w:right w:val="none" w:sz="0" w:space="0" w:color="auto"/>
      </w:divBdr>
    </w:div>
    <w:div w:id="320472954">
      <w:bodyDiv w:val="1"/>
      <w:marLeft w:val="0"/>
      <w:marRight w:val="0"/>
      <w:marTop w:val="0"/>
      <w:marBottom w:val="0"/>
      <w:divBdr>
        <w:top w:val="none" w:sz="0" w:space="0" w:color="auto"/>
        <w:left w:val="none" w:sz="0" w:space="0" w:color="auto"/>
        <w:bottom w:val="none" w:sz="0" w:space="0" w:color="auto"/>
        <w:right w:val="none" w:sz="0" w:space="0" w:color="auto"/>
      </w:divBdr>
    </w:div>
    <w:div w:id="325012331">
      <w:bodyDiv w:val="1"/>
      <w:marLeft w:val="0"/>
      <w:marRight w:val="0"/>
      <w:marTop w:val="0"/>
      <w:marBottom w:val="0"/>
      <w:divBdr>
        <w:top w:val="none" w:sz="0" w:space="0" w:color="auto"/>
        <w:left w:val="none" w:sz="0" w:space="0" w:color="auto"/>
        <w:bottom w:val="none" w:sz="0" w:space="0" w:color="auto"/>
        <w:right w:val="none" w:sz="0" w:space="0" w:color="auto"/>
      </w:divBdr>
    </w:div>
    <w:div w:id="325985786">
      <w:bodyDiv w:val="1"/>
      <w:marLeft w:val="0"/>
      <w:marRight w:val="0"/>
      <w:marTop w:val="0"/>
      <w:marBottom w:val="0"/>
      <w:divBdr>
        <w:top w:val="none" w:sz="0" w:space="0" w:color="auto"/>
        <w:left w:val="none" w:sz="0" w:space="0" w:color="auto"/>
        <w:bottom w:val="none" w:sz="0" w:space="0" w:color="auto"/>
        <w:right w:val="none" w:sz="0" w:space="0" w:color="auto"/>
      </w:divBdr>
    </w:div>
    <w:div w:id="326833086">
      <w:bodyDiv w:val="1"/>
      <w:marLeft w:val="0"/>
      <w:marRight w:val="0"/>
      <w:marTop w:val="0"/>
      <w:marBottom w:val="0"/>
      <w:divBdr>
        <w:top w:val="none" w:sz="0" w:space="0" w:color="auto"/>
        <w:left w:val="none" w:sz="0" w:space="0" w:color="auto"/>
        <w:bottom w:val="none" w:sz="0" w:space="0" w:color="auto"/>
        <w:right w:val="none" w:sz="0" w:space="0" w:color="auto"/>
      </w:divBdr>
    </w:div>
    <w:div w:id="330790556">
      <w:bodyDiv w:val="1"/>
      <w:marLeft w:val="0"/>
      <w:marRight w:val="0"/>
      <w:marTop w:val="0"/>
      <w:marBottom w:val="0"/>
      <w:divBdr>
        <w:top w:val="none" w:sz="0" w:space="0" w:color="auto"/>
        <w:left w:val="none" w:sz="0" w:space="0" w:color="auto"/>
        <w:bottom w:val="none" w:sz="0" w:space="0" w:color="auto"/>
        <w:right w:val="none" w:sz="0" w:space="0" w:color="auto"/>
      </w:divBdr>
    </w:div>
    <w:div w:id="333413329">
      <w:bodyDiv w:val="1"/>
      <w:marLeft w:val="0"/>
      <w:marRight w:val="0"/>
      <w:marTop w:val="0"/>
      <w:marBottom w:val="0"/>
      <w:divBdr>
        <w:top w:val="none" w:sz="0" w:space="0" w:color="auto"/>
        <w:left w:val="none" w:sz="0" w:space="0" w:color="auto"/>
        <w:bottom w:val="none" w:sz="0" w:space="0" w:color="auto"/>
        <w:right w:val="none" w:sz="0" w:space="0" w:color="auto"/>
      </w:divBdr>
    </w:div>
    <w:div w:id="336883860">
      <w:bodyDiv w:val="1"/>
      <w:marLeft w:val="0"/>
      <w:marRight w:val="0"/>
      <w:marTop w:val="0"/>
      <w:marBottom w:val="0"/>
      <w:divBdr>
        <w:top w:val="none" w:sz="0" w:space="0" w:color="auto"/>
        <w:left w:val="none" w:sz="0" w:space="0" w:color="auto"/>
        <w:bottom w:val="none" w:sz="0" w:space="0" w:color="auto"/>
        <w:right w:val="none" w:sz="0" w:space="0" w:color="auto"/>
      </w:divBdr>
    </w:div>
    <w:div w:id="341667129">
      <w:bodyDiv w:val="1"/>
      <w:marLeft w:val="0"/>
      <w:marRight w:val="0"/>
      <w:marTop w:val="0"/>
      <w:marBottom w:val="0"/>
      <w:divBdr>
        <w:top w:val="none" w:sz="0" w:space="0" w:color="auto"/>
        <w:left w:val="none" w:sz="0" w:space="0" w:color="auto"/>
        <w:bottom w:val="none" w:sz="0" w:space="0" w:color="auto"/>
        <w:right w:val="none" w:sz="0" w:space="0" w:color="auto"/>
      </w:divBdr>
    </w:div>
    <w:div w:id="341856258">
      <w:bodyDiv w:val="1"/>
      <w:marLeft w:val="0"/>
      <w:marRight w:val="0"/>
      <w:marTop w:val="0"/>
      <w:marBottom w:val="0"/>
      <w:divBdr>
        <w:top w:val="none" w:sz="0" w:space="0" w:color="auto"/>
        <w:left w:val="none" w:sz="0" w:space="0" w:color="auto"/>
        <w:bottom w:val="none" w:sz="0" w:space="0" w:color="auto"/>
        <w:right w:val="none" w:sz="0" w:space="0" w:color="auto"/>
      </w:divBdr>
    </w:div>
    <w:div w:id="345520630">
      <w:bodyDiv w:val="1"/>
      <w:marLeft w:val="0"/>
      <w:marRight w:val="0"/>
      <w:marTop w:val="0"/>
      <w:marBottom w:val="0"/>
      <w:divBdr>
        <w:top w:val="none" w:sz="0" w:space="0" w:color="auto"/>
        <w:left w:val="none" w:sz="0" w:space="0" w:color="auto"/>
        <w:bottom w:val="none" w:sz="0" w:space="0" w:color="auto"/>
        <w:right w:val="none" w:sz="0" w:space="0" w:color="auto"/>
      </w:divBdr>
    </w:div>
    <w:div w:id="346642759">
      <w:bodyDiv w:val="1"/>
      <w:marLeft w:val="0"/>
      <w:marRight w:val="0"/>
      <w:marTop w:val="0"/>
      <w:marBottom w:val="0"/>
      <w:divBdr>
        <w:top w:val="none" w:sz="0" w:space="0" w:color="auto"/>
        <w:left w:val="none" w:sz="0" w:space="0" w:color="auto"/>
        <w:bottom w:val="none" w:sz="0" w:space="0" w:color="auto"/>
        <w:right w:val="none" w:sz="0" w:space="0" w:color="auto"/>
      </w:divBdr>
    </w:div>
    <w:div w:id="347408353">
      <w:bodyDiv w:val="1"/>
      <w:marLeft w:val="0"/>
      <w:marRight w:val="0"/>
      <w:marTop w:val="0"/>
      <w:marBottom w:val="0"/>
      <w:divBdr>
        <w:top w:val="none" w:sz="0" w:space="0" w:color="auto"/>
        <w:left w:val="none" w:sz="0" w:space="0" w:color="auto"/>
        <w:bottom w:val="none" w:sz="0" w:space="0" w:color="auto"/>
        <w:right w:val="none" w:sz="0" w:space="0" w:color="auto"/>
      </w:divBdr>
    </w:div>
    <w:div w:id="349718443">
      <w:bodyDiv w:val="1"/>
      <w:marLeft w:val="0"/>
      <w:marRight w:val="0"/>
      <w:marTop w:val="0"/>
      <w:marBottom w:val="0"/>
      <w:divBdr>
        <w:top w:val="none" w:sz="0" w:space="0" w:color="auto"/>
        <w:left w:val="none" w:sz="0" w:space="0" w:color="auto"/>
        <w:bottom w:val="none" w:sz="0" w:space="0" w:color="auto"/>
        <w:right w:val="none" w:sz="0" w:space="0" w:color="auto"/>
      </w:divBdr>
    </w:div>
    <w:div w:id="350421170">
      <w:bodyDiv w:val="1"/>
      <w:marLeft w:val="0"/>
      <w:marRight w:val="0"/>
      <w:marTop w:val="0"/>
      <w:marBottom w:val="0"/>
      <w:divBdr>
        <w:top w:val="none" w:sz="0" w:space="0" w:color="auto"/>
        <w:left w:val="none" w:sz="0" w:space="0" w:color="auto"/>
        <w:bottom w:val="none" w:sz="0" w:space="0" w:color="auto"/>
        <w:right w:val="none" w:sz="0" w:space="0" w:color="auto"/>
      </w:divBdr>
    </w:div>
    <w:div w:id="353463973">
      <w:bodyDiv w:val="1"/>
      <w:marLeft w:val="0"/>
      <w:marRight w:val="0"/>
      <w:marTop w:val="0"/>
      <w:marBottom w:val="0"/>
      <w:divBdr>
        <w:top w:val="none" w:sz="0" w:space="0" w:color="auto"/>
        <w:left w:val="none" w:sz="0" w:space="0" w:color="auto"/>
        <w:bottom w:val="none" w:sz="0" w:space="0" w:color="auto"/>
        <w:right w:val="none" w:sz="0" w:space="0" w:color="auto"/>
      </w:divBdr>
    </w:div>
    <w:div w:id="355040127">
      <w:bodyDiv w:val="1"/>
      <w:marLeft w:val="0"/>
      <w:marRight w:val="0"/>
      <w:marTop w:val="0"/>
      <w:marBottom w:val="0"/>
      <w:divBdr>
        <w:top w:val="none" w:sz="0" w:space="0" w:color="auto"/>
        <w:left w:val="none" w:sz="0" w:space="0" w:color="auto"/>
        <w:bottom w:val="none" w:sz="0" w:space="0" w:color="auto"/>
        <w:right w:val="none" w:sz="0" w:space="0" w:color="auto"/>
      </w:divBdr>
    </w:div>
    <w:div w:id="355811512">
      <w:bodyDiv w:val="1"/>
      <w:marLeft w:val="0"/>
      <w:marRight w:val="0"/>
      <w:marTop w:val="0"/>
      <w:marBottom w:val="0"/>
      <w:divBdr>
        <w:top w:val="none" w:sz="0" w:space="0" w:color="auto"/>
        <w:left w:val="none" w:sz="0" w:space="0" w:color="auto"/>
        <w:bottom w:val="none" w:sz="0" w:space="0" w:color="auto"/>
        <w:right w:val="none" w:sz="0" w:space="0" w:color="auto"/>
      </w:divBdr>
    </w:div>
    <w:div w:id="357315889">
      <w:bodyDiv w:val="1"/>
      <w:marLeft w:val="0"/>
      <w:marRight w:val="0"/>
      <w:marTop w:val="0"/>
      <w:marBottom w:val="0"/>
      <w:divBdr>
        <w:top w:val="none" w:sz="0" w:space="0" w:color="auto"/>
        <w:left w:val="none" w:sz="0" w:space="0" w:color="auto"/>
        <w:bottom w:val="none" w:sz="0" w:space="0" w:color="auto"/>
        <w:right w:val="none" w:sz="0" w:space="0" w:color="auto"/>
      </w:divBdr>
    </w:div>
    <w:div w:id="358431167">
      <w:bodyDiv w:val="1"/>
      <w:marLeft w:val="0"/>
      <w:marRight w:val="0"/>
      <w:marTop w:val="0"/>
      <w:marBottom w:val="0"/>
      <w:divBdr>
        <w:top w:val="none" w:sz="0" w:space="0" w:color="auto"/>
        <w:left w:val="none" w:sz="0" w:space="0" w:color="auto"/>
        <w:bottom w:val="none" w:sz="0" w:space="0" w:color="auto"/>
        <w:right w:val="none" w:sz="0" w:space="0" w:color="auto"/>
      </w:divBdr>
    </w:div>
    <w:div w:id="372196147">
      <w:bodyDiv w:val="1"/>
      <w:marLeft w:val="0"/>
      <w:marRight w:val="0"/>
      <w:marTop w:val="0"/>
      <w:marBottom w:val="0"/>
      <w:divBdr>
        <w:top w:val="none" w:sz="0" w:space="0" w:color="auto"/>
        <w:left w:val="none" w:sz="0" w:space="0" w:color="auto"/>
        <w:bottom w:val="none" w:sz="0" w:space="0" w:color="auto"/>
        <w:right w:val="none" w:sz="0" w:space="0" w:color="auto"/>
      </w:divBdr>
      <w:divsChild>
        <w:div w:id="1205720">
          <w:marLeft w:val="274"/>
          <w:marRight w:val="0"/>
          <w:marTop w:val="40"/>
          <w:marBottom w:val="0"/>
          <w:divBdr>
            <w:top w:val="none" w:sz="0" w:space="0" w:color="auto"/>
            <w:left w:val="none" w:sz="0" w:space="0" w:color="auto"/>
            <w:bottom w:val="none" w:sz="0" w:space="0" w:color="auto"/>
            <w:right w:val="none" w:sz="0" w:space="0" w:color="auto"/>
          </w:divBdr>
        </w:div>
        <w:div w:id="422648384">
          <w:marLeft w:val="274"/>
          <w:marRight w:val="0"/>
          <w:marTop w:val="40"/>
          <w:marBottom w:val="0"/>
          <w:divBdr>
            <w:top w:val="none" w:sz="0" w:space="0" w:color="auto"/>
            <w:left w:val="none" w:sz="0" w:space="0" w:color="auto"/>
            <w:bottom w:val="none" w:sz="0" w:space="0" w:color="auto"/>
            <w:right w:val="none" w:sz="0" w:space="0" w:color="auto"/>
          </w:divBdr>
        </w:div>
        <w:div w:id="549879772">
          <w:marLeft w:val="274"/>
          <w:marRight w:val="0"/>
          <w:marTop w:val="40"/>
          <w:marBottom w:val="0"/>
          <w:divBdr>
            <w:top w:val="none" w:sz="0" w:space="0" w:color="auto"/>
            <w:left w:val="none" w:sz="0" w:space="0" w:color="auto"/>
            <w:bottom w:val="none" w:sz="0" w:space="0" w:color="auto"/>
            <w:right w:val="none" w:sz="0" w:space="0" w:color="auto"/>
          </w:divBdr>
        </w:div>
        <w:div w:id="568416753">
          <w:marLeft w:val="274"/>
          <w:marRight w:val="0"/>
          <w:marTop w:val="40"/>
          <w:marBottom w:val="0"/>
          <w:divBdr>
            <w:top w:val="none" w:sz="0" w:space="0" w:color="auto"/>
            <w:left w:val="none" w:sz="0" w:space="0" w:color="auto"/>
            <w:bottom w:val="none" w:sz="0" w:space="0" w:color="auto"/>
            <w:right w:val="none" w:sz="0" w:space="0" w:color="auto"/>
          </w:divBdr>
        </w:div>
        <w:div w:id="594561410">
          <w:marLeft w:val="274"/>
          <w:marRight w:val="0"/>
          <w:marTop w:val="40"/>
          <w:marBottom w:val="0"/>
          <w:divBdr>
            <w:top w:val="none" w:sz="0" w:space="0" w:color="auto"/>
            <w:left w:val="none" w:sz="0" w:space="0" w:color="auto"/>
            <w:bottom w:val="none" w:sz="0" w:space="0" w:color="auto"/>
            <w:right w:val="none" w:sz="0" w:space="0" w:color="auto"/>
          </w:divBdr>
        </w:div>
        <w:div w:id="622924338">
          <w:marLeft w:val="274"/>
          <w:marRight w:val="0"/>
          <w:marTop w:val="40"/>
          <w:marBottom w:val="0"/>
          <w:divBdr>
            <w:top w:val="none" w:sz="0" w:space="0" w:color="auto"/>
            <w:left w:val="none" w:sz="0" w:space="0" w:color="auto"/>
            <w:bottom w:val="none" w:sz="0" w:space="0" w:color="auto"/>
            <w:right w:val="none" w:sz="0" w:space="0" w:color="auto"/>
          </w:divBdr>
        </w:div>
        <w:div w:id="676270501">
          <w:marLeft w:val="274"/>
          <w:marRight w:val="0"/>
          <w:marTop w:val="40"/>
          <w:marBottom w:val="0"/>
          <w:divBdr>
            <w:top w:val="none" w:sz="0" w:space="0" w:color="auto"/>
            <w:left w:val="none" w:sz="0" w:space="0" w:color="auto"/>
            <w:bottom w:val="none" w:sz="0" w:space="0" w:color="auto"/>
            <w:right w:val="none" w:sz="0" w:space="0" w:color="auto"/>
          </w:divBdr>
        </w:div>
        <w:div w:id="797378565">
          <w:marLeft w:val="274"/>
          <w:marRight w:val="0"/>
          <w:marTop w:val="40"/>
          <w:marBottom w:val="0"/>
          <w:divBdr>
            <w:top w:val="none" w:sz="0" w:space="0" w:color="auto"/>
            <w:left w:val="none" w:sz="0" w:space="0" w:color="auto"/>
            <w:bottom w:val="none" w:sz="0" w:space="0" w:color="auto"/>
            <w:right w:val="none" w:sz="0" w:space="0" w:color="auto"/>
          </w:divBdr>
        </w:div>
        <w:div w:id="1015498310">
          <w:marLeft w:val="274"/>
          <w:marRight w:val="0"/>
          <w:marTop w:val="40"/>
          <w:marBottom w:val="0"/>
          <w:divBdr>
            <w:top w:val="none" w:sz="0" w:space="0" w:color="auto"/>
            <w:left w:val="none" w:sz="0" w:space="0" w:color="auto"/>
            <w:bottom w:val="none" w:sz="0" w:space="0" w:color="auto"/>
            <w:right w:val="none" w:sz="0" w:space="0" w:color="auto"/>
          </w:divBdr>
        </w:div>
        <w:div w:id="1399784191">
          <w:marLeft w:val="274"/>
          <w:marRight w:val="0"/>
          <w:marTop w:val="40"/>
          <w:marBottom w:val="0"/>
          <w:divBdr>
            <w:top w:val="none" w:sz="0" w:space="0" w:color="auto"/>
            <w:left w:val="none" w:sz="0" w:space="0" w:color="auto"/>
            <w:bottom w:val="none" w:sz="0" w:space="0" w:color="auto"/>
            <w:right w:val="none" w:sz="0" w:space="0" w:color="auto"/>
          </w:divBdr>
        </w:div>
        <w:div w:id="1535995626">
          <w:marLeft w:val="274"/>
          <w:marRight w:val="0"/>
          <w:marTop w:val="40"/>
          <w:marBottom w:val="0"/>
          <w:divBdr>
            <w:top w:val="none" w:sz="0" w:space="0" w:color="auto"/>
            <w:left w:val="none" w:sz="0" w:space="0" w:color="auto"/>
            <w:bottom w:val="none" w:sz="0" w:space="0" w:color="auto"/>
            <w:right w:val="none" w:sz="0" w:space="0" w:color="auto"/>
          </w:divBdr>
        </w:div>
        <w:div w:id="1756122752">
          <w:marLeft w:val="274"/>
          <w:marRight w:val="0"/>
          <w:marTop w:val="40"/>
          <w:marBottom w:val="0"/>
          <w:divBdr>
            <w:top w:val="none" w:sz="0" w:space="0" w:color="auto"/>
            <w:left w:val="none" w:sz="0" w:space="0" w:color="auto"/>
            <w:bottom w:val="none" w:sz="0" w:space="0" w:color="auto"/>
            <w:right w:val="none" w:sz="0" w:space="0" w:color="auto"/>
          </w:divBdr>
        </w:div>
        <w:div w:id="1879396136">
          <w:marLeft w:val="274"/>
          <w:marRight w:val="0"/>
          <w:marTop w:val="40"/>
          <w:marBottom w:val="0"/>
          <w:divBdr>
            <w:top w:val="none" w:sz="0" w:space="0" w:color="auto"/>
            <w:left w:val="none" w:sz="0" w:space="0" w:color="auto"/>
            <w:bottom w:val="none" w:sz="0" w:space="0" w:color="auto"/>
            <w:right w:val="none" w:sz="0" w:space="0" w:color="auto"/>
          </w:divBdr>
        </w:div>
        <w:div w:id="2031255027">
          <w:marLeft w:val="274"/>
          <w:marRight w:val="0"/>
          <w:marTop w:val="40"/>
          <w:marBottom w:val="0"/>
          <w:divBdr>
            <w:top w:val="none" w:sz="0" w:space="0" w:color="auto"/>
            <w:left w:val="none" w:sz="0" w:space="0" w:color="auto"/>
            <w:bottom w:val="none" w:sz="0" w:space="0" w:color="auto"/>
            <w:right w:val="none" w:sz="0" w:space="0" w:color="auto"/>
          </w:divBdr>
        </w:div>
        <w:div w:id="2114208929">
          <w:marLeft w:val="274"/>
          <w:marRight w:val="0"/>
          <w:marTop w:val="40"/>
          <w:marBottom w:val="0"/>
          <w:divBdr>
            <w:top w:val="none" w:sz="0" w:space="0" w:color="auto"/>
            <w:left w:val="none" w:sz="0" w:space="0" w:color="auto"/>
            <w:bottom w:val="none" w:sz="0" w:space="0" w:color="auto"/>
            <w:right w:val="none" w:sz="0" w:space="0" w:color="auto"/>
          </w:divBdr>
        </w:div>
      </w:divsChild>
    </w:div>
    <w:div w:id="376273303">
      <w:bodyDiv w:val="1"/>
      <w:marLeft w:val="0"/>
      <w:marRight w:val="0"/>
      <w:marTop w:val="0"/>
      <w:marBottom w:val="0"/>
      <w:divBdr>
        <w:top w:val="none" w:sz="0" w:space="0" w:color="auto"/>
        <w:left w:val="none" w:sz="0" w:space="0" w:color="auto"/>
        <w:bottom w:val="none" w:sz="0" w:space="0" w:color="auto"/>
        <w:right w:val="none" w:sz="0" w:space="0" w:color="auto"/>
      </w:divBdr>
    </w:div>
    <w:div w:id="377900064">
      <w:bodyDiv w:val="1"/>
      <w:marLeft w:val="0"/>
      <w:marRight w:val="0"/>
      <w:marTop w:val="0"/>
      <w:marBottom w:val="0"/>
      <w:divBdr>
        <w:top w:val="none" w:sz="0" w:space="0" w:color="auto"/>
        <w:left w:val="none" w:sz="0" w:space="0" w:color="auto"/>
        <w:bottom w:val="none" w:sz="0" w:space="0" w:color="auto"/>
        <w:right w:val="none" w:sz="0" w:space="0" w:color="auto"/>
      </w:divBdr>
    </w:div>
    <w:div w:id="381253357">
      <w:bodyDiv w:val="1"/>
      <w:marLeft w:val="0"/>
      <w:marRight w:val="0"/>
      <w:marTop w:val="0"/>
      <w:marBottom w:val="0"/>
      <w:divBdr>
        <w:top w:val="none" w:sz="0" w:space="0" w:color="auto"/>
        <w:left w:val="none" w:sz="0" w:space="0" w:color="auto"/>
        <w:bottom w:val="none" w:sz="0" w:space="0" w:color="auto"/>
        <w:right w:val="none" w:sz="0" w:space="0" w:color="auto"/>
      </w:divBdr>
    </w:div>
    <w:div w:id="382870227">
      <w:marLeft w:val="0"/>
      <w:marRight w:val="0"/>
      <w:marTop w:val="0"/>
      <w:marBottom w:val="0"/>
      <w:divBdr>
        <w:top w:val="none" w:sz="0" w:space="0" w:color="auto"/>
        <w:left w:val="none" w:sz="0" w:space="0" w:color="auto"/>
        <w:bottom w:val="none" w:sz="0" w:space="0" w:color="auto"/>
        <w:right w:val="none" w:sz="0" w:space="0" w:color="auto"/>
      </w:divBdr>
      <w:divsChild>
        <w:div w:id="1769151971">
          <w:marLeft w:val="0"/>
          <w:marRight w:val="0"/>
          <w:marTop w:val="0"/>
          <w:marBottom w:val="0"/>
          <w:divBdr>
            <w:top w:val="none" w:sz="0" w:space="0" w:color="auto"/>
            <w:left w:val="none" w:sz="0" w:space="0" w:color="auto"/>
            <w:bottom w:val="none" w:sz="0" w:space="0" w:color="auto"/>
            <w:right w:val="none" w:sz="0" w:space="0" w:color="auto"/>
          </w:divBdr>
          <w:divsChild>
            <w:div w:id="46874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064400">
      <w:bodyDiv w:val="1"/>
      <w:marLeft w:val="0"/>
      <w:marRight w:val="0"/>
      <w:marTop w:val="0"/>
      <w:marBottom w:val="0"/>
      <w:divBdr>
        <w:top w:val="none" w:sz="0" w:space="0" w:color="auto"/>
        <w:left w:val="none" w:sz="0" w:space="0" w:color="auto"/>
        <w:bottom w:val="none" w:sz="0" w:space="0" w:color="auto"/>
        <w:right w:val="none" w:sz="0" w:space="0" w:color="auto"/>
      </w:divBdr>
    </w:div>
    <w:div w:id="383531427">
      <w:bodyDiv w:val="1"/>
      <w:marLeft w:val="0"/>
      <w:marRight w:val="0"/>
      <w:marTop w:val="0"/>
      <w:marBottom w:val="0"/>
      <w:divBdr>
        <w:top w:val="none" w:sz="0" w:space="0" w:color="auto"/>
        <w:left w:val="none" w:sz="0" w:space="0" w:color="auto"/>
        <w:bottom w:val="none" w:sz="0" w:space="0" w:color="auto"/>
        <w:right w:val="none" w:sz="0" w:space="0" w:color="auto"/>
      </w:divBdr>
    </w:div>
    <w:div w:id="387343771">
      <w:bodyDiv w:val="1"/>
      <w:marLeft w:val="0"/>
      <w:marRight w:val="0"/>
      <w:marTop w:val="0"/>
      <w:marBottom w:val="0"/>
      <w:divBdr>
        <w:top w:val="none" w:sz="0" w:space="0" w:color="auto"/>
        <w:left w:val="none" w:sz="0" w:space="0" w:color="auto"/>
        <w:bottom w:val="none" w:sz="0" w:space="0" w:color="auto"/>
        <w:right w:val="none" w:sz="0" w:space="0" w:color="auto"/>
      </w:divBdr>
    </w:div>
    <w:div w:id="388070668">
      <w:bodyDiv w:val="1"/>
      <w:marLeft w:val="0"/>
      <w:marRight w:val="0"/>
      <w:marTop w:val="0"/>
      <w:marBottom w:val="0"/>
      <w:divBdr>
        <w:top w:val="none" w:sz="0" w:space="0" w:color="auto"/>
        <w:left w:val="none" w:sz="0" w:space="0" w:color="auto"/>
        <w:bottom w:val="none" w:sz="0" w:space="0" w:color="auto"/>
        <w:right w:val="none" w:sz="0" w:space="0" w:color="auto"/>
      </w:divBdr>
    </w:div>
    <w:div w:id="389958757">
      <w:bodyDiv w:val="1"/>
      <w:marLeft w:val="0"/>
      <w:marRight w:val="0"/>
      <w:marTop w:val="0"/>
      <w:marBottom w:val="0"/>
      <w:divBdr>
        <w:top w:val="none" w:sz="0" w:space="0" w:color="auto"/>
        <w:left w:val="none" w:sz="0" w:space="0" w:color="auto"/>
        <w:bottom w:val="none" w:sz="0" w:space="0" w:color="auto"/>
        <w:right w:val="none" w:sz="0" w:space="0" w:color="auto"/>
      </w:divBdr>
    </w:div>
    <w:div w:id="392898249">
      <w:bodyDiv w:val="1"/>
      <w:marLeft w:val="0"/>
      <w:marRight w:val="0"/>
      <w:marTop w:val="0"/>
      <w:marBottom w:val="0"/>
      <w:divBdr>
        <w:top w:val="none" w:sz="0" w:space="0" w:color="auto"/>
        <w:left w:val="none" w:sz="0" w:space="0" w:color="auto"/>
        <w:bottom w:val="none" w:sz="0" w:space="0" w:color="auto"/>
        <w:right w:val="none" w:sz="0" w:space="0" w:color="auto"/>
      </w:divBdr>
    </w:div>
    <w:div w:id="393744400">
      <w:bodyDiv w:val="1"/>
      <w:marLeft w:val="0"/>
      <w:marRight w:val="0"/>
      <w:marTop w:val="0"/>
      <w:marBottom w:val="0"/>
      <w:divBdr>
        <w:top w:val="none" w:sz="0" w:space="0" w:color="auto"/>
        <w:left w:val="none" w:sz="0" w:space="0" w:color="auto"/>
        <w:bottom w:val="none" w:sz="0" w:space="0" w:color="auto"/>
        <w:right w:val="none" w:sz="0" w:space="0" w:color="auto"/>
      </w:divBdr>
    </w:div>
    <w:div w:id="394357673">
      <w:bodyDiv w:val="1"/>
      <w:marLeft w:val="0"/>
      <w:marRight w:val="0"/>
      <w:marTop w:val="0"/>
      <w:marBottom w:val="0"/>
      <w:divBdr>
        <w:top w:val="none" w:sz="0" w:space="0" w:color="auto"/>
        <w:left w:val="none" w:sz="0" w:space="0" w:color="auto"/>
        <w:bottom w:val="none" w:sz="0" w:space="0" w:color="auto"/>
        <w:right w:val="none" w:sz="0" w:space="0" w:color="auto"/>
      </w:divBdr>
    </w:div>
    <w:div w:id="396904040">
      <w:bodyDiv w:val="1"/>
      <w:marLeft w:val="0"/>
      <w:marRight w:val="0"/>
      <w:marTop w:val="0"/>
      <w:marBottom w:val="0"/>
      <w:divBdr>
        <w:top w:val="none" w:sz="0" w:space="0" w:color="auto"/>
        <w:left w:val="none" w:sz="0" w:space="0" w:color="auto"/>
        <w:bottom w:val="none" w:sz="0" w:space="0" w:color="auto"/>
        <w:right w:val="none" w:sz="0" w:space="0" w:color="auto"/>
      </w:divBdr>
      <w:divsChild>
        <w:div w:id="339739742">
          <w:marLeft w:val="288"/>
          <w:marRight w:val="0"/>
          <w:marTop w:val="120"/>
          <w:marBottom w:val="0"/>
          <w:divBdr>
            <w:top w:val="none" w:sz="0" w:space="0" w:color="auto"/>
            <w:left w:val="none" w:sz="0" w:space="0" w:color="auto"/>
            <w:bottom w:val="none" w:sz="0" w:space="0" w:color="auto"/>
            <w:right w:val="none" w:sz="0" w:space="0" w:color="auto"/>
          </w:divBdr>
        </w:div>
        <w:div w:id="490100546">
          <w:marLeft w:val="288"/>
          <w:marRight w:val="0"/>
          <w:marTop w:val="120"/>
          <w:marBottom w:val="0"/>
          <w:divBdr>
            <w:top w:val="none" w:sz="0" w:space="0" w:color="auto"/>
            <w:left w:val="none" w:sz="0" w:space="0" w:color="auto"/>
            <w:bottom w:val="none" w:sz="0" w:space="0" w:color="auto"/>
            <w:right w:val="none" w:sz="0" w:space="0" w:color="auto"/>
          </w:divBdr>
        </w:div>
      </w:divsChild>
    </w:div>
    <w:div w:id="402720608">
      <w:bodyDiv w:val="1"/>
      <w:marLeft w:val="0"/>
      <w:marRight w:val="0"/>
      <w:marTop w:val="0"/>
      <w:marBottom w:val="0"/>
      <w:divBdr>
        <w:top w:val="none" w:sz="0" w:space="0" w:color="auto"/>
        <w:left w:val="none" w:sz="0" w:space="0" w:color="auto"/>
        <w:bottom w:val="none" w:sz="0" w:space="0" w:color="auto"/>
        <w:right w:val="none" w:sz="0" w:space="0" w:color="auto"/>
      </w:divBdr>
    </w:div>
    <w:div w:id="404767229">
      <w:bodyDiv w:val="1"/>
      <w:marLeft w:val="0"/>
      <w:marRight w:val="0"/>
      <w:marTop w:val="0"/>
      <w:marBottom w:val="0"/>
      <w:divBdr>
        <w:top w:val="none" w:sz="0" w:space="0" w:color="auto"/>
        <w:left w:val="none" w:sz="0" w:space="0" w:color="auto"/>
        <w:bottom w:val="none" w:sz="0" w:space="0" w:color="auto"/>
        <w:right w:val="none" w:sz="0" w:space="0" w:color="auto"/>
      </w:divBdr>
    </w:div>
    <w:div w:id="406876571">
      <w:bodyDiv w:val="1"/>
      <w:marLeft w:val="0"/>
      <w:marRight w:val="0"/>
      <w:marTop w:val="0"/>
      <w:marBottom w:val="0"/>
      <w:divBdr>
        <w:top w:val="none" w:sz="0" w:space="0" w:color="auto"/>
        <w:left w:val="none" w:sz="0" w:space="0" w:color="auto"/>
        <w:bottom w:val="none" w:sz="0" w:space="0" w:color="auto"/>
        <w:right w:val="none" w:sz="0" w:space="0" w:color="auto"/>
      </w:divBdr>
    </w:div>
    <w:div w:id="408042157">
      <w:bodyDiv w:val="1"/>
      <w:marLeft w:val="0"/>
      <w:marRight w:val="0"/>
      <w:marTop w:val="0"/>
      <w:marBottom w:val="0"/>
      <w:divBdr>
        <w:top w:val="none" w:sz="0" w:space="0" w:color="auto"/>
        <w:left w:val="none" w:sz="0" w:space="0" w:color="auto"/>
        <w:bottom w:val="none" w:sz="0" w:space="0" w:color="auto"/>
        <w:right w:val="none" w:sz="0" w:space="0" w:color="auto"/>
      </w:divBdr>
    </w:div>
    <w:div w:id="409158066">
      <w:bodyDiv w:val="1"/>
      <w:marLeft w:val="0"/>
      <w:marRight w:val="0"/>
      <w:marTop w:val="0"/>
      <w:marBottom w:val="0"/>
      <w:divBdr>
        <w:top w:val="none" w:sz="0" w:space="0" w:color="auto"/>
        <w:left w:val="none" w:sz="0" w:space="0" w:color="auto"/>
        <w:bottom w:val="none" w:sz="0" w:space="0" w:color="auto"/>
        <w:right w:val="none" w:sz="0" w:space="0" w:color="auto"/>
      </w:divBdr>
    </w:div>
    <w:div w:id="412361391">
      <w:bodyDiv w:val="1"/>
      <w:marLeft w:val="0"/>
      <w:marRight w:val="0"/>
      <w:marTop w:val="0"/>
      <w:marBottom w:val="0"/>
      <w:divBdr>
        <w:top w:val="none" w:sz="0" w:space="0" w:color="auto"/>
        <w:left w:val="none" w:sz="0" w:space="0" w:color="auto"/>
        <w:bottom w:val="none" w:sz="0" w:space="0" w:color="auto"/>
        <w:right w:val="none" w:sz="0" w:space="0" w:color="auto"/>
      </w:divBdr>
    </w:div>
    <w:div w:id="413748350">
      <w:bodyDiv w:val="1"/>
      <w:marLeft w:val="0"/>
      <w:marRight w:val="0"/>
      <w:marTop w:val="0"/>
      <w:marBottom w:val="0"/>
      <w:divBdr>
        <w:top w:val="none" w:sz="0" w:space="0" w:color="auto"/>
        <w:left w:val="none" w:sz="0" w:space="0" w:color="auto"/>
        <w:bottom w:val="none" w:sz="0" w:space="0" w:color="auto"/>
        <w:right w:val="none" w:sz="0" w:space="0" w:color="auto"/>
      </w:divBdr>
    </w:div>
    <w:div w:id="413863016">
      <w:bodyDiv w:val="1"/>
      <w:marLeft w:val="0"/>
      <w:marRight w:val="0"/>
      <w:marTop w:val="0"/>
      <w:marBottom w:val="0"/>
      <w:divBdr>
        <w:top w:val="none" w:sz="0" w:space="0" w:color="auto"/>
        <w:left w:val="none" w:sz="0" w:space="0" w:color="auto"/>
        <w:bottom w:val="none" w:sz="0" w:space="0" w:color="auto"/>
        <w:right w:val="none" w:sz="0" w:space="0" w:color="auto"/>
      </w:divBdr>
    </w:div>
    <w:div w:id="415827852">
      <w:bodyDiv w:val="1"/>
      <w:marLeft w:val="0"/>
      <w:marRight w:val="0"/>
      <w:marTop w:val="0"/>
      <w:marBottom w:val="0"/>
      <w:divBdr>
        <w:top w:val="none" w:sz="0" w:space="0" w:color="auto"/>
        <w:left w:val="none" w:sz="0" w:space="0" w:color="auto"/>
        <w:bottom w:val="none" w:sz="0" w:space="0" w:color="auto"/>
        <w:right w:val="none" w:sz="0" w:space="0" w:color="auto"/>
      </w:divBdr>
      <w:divsChild>
        <w:div w:id="336546409">
          <w:marLeft w:val="288"/>
          <w:marRight w:val="0"/>
          <w:marTop w:val="120"/>
          <w:marBottom w:val="0"/>
          <w:divBdr>
            <w:top w:val="none" w:sz="0" w:space="0" w:color="auto"/>
            <w:left w:val="none" w:sz="0" w:space="0" w:color="auto"/>
            <w:bottom w:val="none" w:sz="0" w:space="0" w:color="auto"/>
            <w:right w:val="none" w:sz="0" w:space="0" w:color="auto"/>
          </w:divBdr>
        </w:div>
        <w:div w:id="454831019">
          <w:marLeft w:val="288"/>
          <w:marRight w:val="0"/>
          <w:marTop w:val="120"/>
          <w:marBottom w:val="0"/>
          <w:divBdr>
            <w:top w:val="none" w:sz="0" w:space="0" w:color="auto"/>
            <w:left w:val="none" w:sz="0" w:space="0" w:color="auto"/>
            <w:bottom w:val="none" w:sz="0" w:space="0" w:color="auto"/>
            <w:right w:val="none" w:sz="0" w:space="0" w:color="auto"/>
          </w:divBdr>
        </w:div>
        <w:div w:id="702439938">
          <w:marLeft w:val="288"/>
          <w:marRight w:val="0"/>
          <w:marTop w:val="120"/>
          <w:marBottom w:val="0"/>
          <w:divBdr>
            <w:top w:val="none" w:sz="0" w:space="0" w:color="auto"/>
            <w:left w:val="none" w:sz="0" w:space="0" w:color="auto"/>
            <w:bottom w:val="none" w:sz="0" w:space="0" w:color="auto"/>
            <w:right w:val="none" w:sz="0" w:space="0" w:color="auto"/>
          </w:divBdr>
        </w:div>
        <w:div w:id="1131093618">
          <w:marLeft w:val="288"/>
          <w:marRight w:val="0"/>
          <w:marTop w:val="120"/>
          <w:marBottom w:val="0"/>
          <w:divBdr>
            <w:top w:val="none" w:sz="0" w:space="0" w:color="auto"/>
            <w:left w:val="none" w:sz="0" w:space="0" w:color="auto"/>
            <w:bottom w:val="none" w:sz="0" w:space="0" w:color="auto"/>
            <w:right w:val="none" w:sz="0" w:space="0" w:color="auto"/>
          </w:divBdr>
        </w:div>
      </w:divsChild>
    </w:div>
    <w:div w:id="417949925">
      <w:bodyDiv w:val="1"/>
      <w:marLeft w:val="0"/>
      <w:marRight w:val="0"/>
      <w:marTop w:val="0"/>
      <w:marBottom w:val="0"/>
      <w:divBdr>
        <w:top w:val="none" w:sz="0" w:space="0" w:color="auto"/>
        <w:left w:val="none" w:sz="0" w:space="0" w:color="auto"/>
        <w:bottom w:val="none" w:sz="0" w:space="0" w:color="auto"/>
        <w:right w:val="none" w:sz="0" w:space="0" w:color="auto"/>
      </w:divBdr>
    </w:div>
    <w:div w:id="423187407">
      <w:bodyDiv w:val="1"/>
      <w:marLeft w:val="0"/>
      <w:marRight w:val="0"/>
      <w:marTop w:val="0"/>
      <w:marBottom w:val="0"/>
      <w:divBdr>
        <w:top w:val="none" w:sz="0" w:space="0" w:color="auto"/>
        <w:left w:val="none" w:sz="0" w:space="0" w:color="auto"/>
        <w:bottom w:val="none" w:sz="0" w:space="0" w:color="auto"/>
        <w:right w:val="none" w:sz="0" w:space="0" w:color="auto"/>
      </w:divBdr>
    </w:div>
    <w:div w:id="424739070">
      <w:bodyDiv w:val="1"/>
      <w:marLeft w:val="0"/>
      <w:marRight w:val="0"/>
      <w:marTop w:val="0"/>
      <w:marBottom w:val="0"/>
      <w:divBdr>
        <w:top w:val="none" w:sz="0" w:space="0" w:color="auto"/>
        <w:left w:val="none" w:sz="0" w:space="0" w:color="auto"/>
        <w:bottom w:val="none" w:sz="0" w:space="0" w:color="auto"/>
        <w:right w:val="none" w:sz="0" w:space="0" w:color="auto"/>
      </w:divBdr>
    </w:div>
    <w:div w:id="426463098">
      <w:bodyDiv w:val="1"/>
      <w:marLeft w:val="0"/>
      <w:marRight w:val="0"/>
      <w:marTop w:val="0"/>
      <w:marBottom w:val="0"/>
      <w:divBdr>
        <w:top w:val="none" w:sz="0" w:space="0" w:color="auto"/>
        <w:left w:val="none" w:sz="0" w:space="0" w:color="auto"/>
        <w:bottom w:val="none" w:sz="0" w:space="0" w:color="auto"/>
        <w:right w:val="none" w:sz="0" w:space="0" w:color="auto"/>
      </w:divBdr>
    </w:div>
    <w:div w:id="437338924">
      <w:bodyDiv w:val="1"/>
      <w:marLeft w:val="0"/>
      <w:marRight w:val="0"/>
      <w:marTop w:val="0"/>
      <w:marBottom w:val="0"/>
      <w:divBdr>
        <w:top w:val="none" w:sz="0" w:space="0" w:color="auto"/>
        <w:left w:val="none" w:sz="0" w:space="0" w:color="auto"/>
        <w:bottom w:val="none" w:sz="0" w:space="0" w:color="auto"/>
        <w:right w:val="none" w:sz="0" w:space="0" w:color="auto"/>
      </w:divBdr>
    </w:div>
    <w:div w:id="438722928">
      <w:bodyDiv w:val="1"/>
      <w:marLeft w:val="0"/>
      <w:marRight w:val="0"/>
      <w:marTop w:val="0"/>
      <w:marBottom w:val="0"/>
      <w:divBdr>
        <w:top w:val="none" w:sz="0" w:space="0" w:color="auto"/>
        <w:left w:val="none" w:sz="0" w:space="0" w:color="auto"/>
        <w:bottom w:val="none" w:sz="0" w:space="0" w:color="auto"/>
        <w:right w:val="none" w:sz="0" w:space="0" w:color="auto"/>
      </w:divBdr>
    </w:div>
    <w:div w:id="442384302">
      <w:bodyDiv w:val="1"/>
      <w:marLeft w:val="0"/>
      <w:marRight w:val="0"/>
      <w:marTop w:val="0"/>
      <w:marBottom w:val="0"/>
      <w:divBdr>
        <w:top w:val="none" w:sz="0" w:space="0" w:color="auto"/>
        <w:left w:val="none" w:sz="0" w:space="0" w:color="auto"/>
        <w:bottom w:val="none" w:sz="0" w:space="0" w:color="auto"/>
        <w:right w:val="none" w:sz="0" w:space="0" w:color="auto"/>
      </w:divBdr>
    </w:div>
    <w:div w:id="445123002">
      <w:bodyDiv w:val="1"/>
      <w:marLeft w:val="0"/>
      <w:marRight w:val="0"/>
      <w:marTop w:val="0"/>
      <w:marBottom w:val="0"/>
      <w:divBdr>
        <w:top w:val="none" w:sz="0" w:space="0" w:color="auto"/>
        <w:left w:val="none" w:sz="0" w:space="0" w:color="auto"/>
        <w:bottom w:val="none" w:sz="0" w:space="0" w:color="auto"/>
        <w:right w:val="none" w:sz="0" w:space="0" w:color="auto"/>
      </w:divBdr>
    </w:div>
    <w:div w:id="449668518">
      <w:bodyDiv w:val="1"/>
      <w:marLeft w:val="0"/>
      <w:marRight w:val="0"/>
      <w:marTop w:val="0"/>
      <w:marBottom w:val="0"/>
      <w:divBdr>
        <w:top w:val="none" w:sz="0" w:space="0" w:color="auto"/>
        <w:left w:val="none" w:sz="0" w:space="0" w:color="auto"/>
        <w:bottom w:val="none" w:sz="0" w:space="0" w:color="auto"/>
        <w:right w:val="none" w:sz="0" w:space="0" w:color="auto"/>
      </w:divBdr>
    </w:div>
    <w:div w:id="452016050">
      <w:bodyDiv w:val="1"/>
      <w:marLeft w:val="0"/>
      <w:marRight w:val="0"/>
      <w:marTop w:val="0"/>
      <w:marBottom w:val="0"/>
      <w:divBdr>
        <w:top w:val="none" w:sz="0" w:space="0" w:color="auto"/>
        <w:left w:val="none" w:sz="0" w:space="0" w:color="auto"/>
        <w:bottom w:val="none" w:sz="0" w:space="0" w:color="auto"/>
        <w:right w:val="none" w:sz="0" w:space="0" w:color="auto"/>
      </w:divBdr>
    </w:div>
    <w:div w:id="455804284">
      <w:bodyDiv w:val="1"/>
      <w:marLeft w:val="0"/>
      <w:marRight w:val="0"/>
      <w:marTop w:val="0"/>
      <w:marBottom w:val="0"/>
      <w:divBdr>
        <w:top w:val="none" w:sz="0" w:space="0" w:color="auto"/>
        <w:left w:val="none" w:sz="0" w:space="0" w:color="auto"/>
        <w:bottom w:val="none" w:sz="0" w:space="0" w:color="auto"/>
        <w:right w:val="none" w:sz="0" w:space="0" w:color="auto"/>
      </w:divBdr>
    </w:div>
    <w:div w:id="456532041">
      <w:bodyDiv w:val="1"/>
      <w:marLeft w:val="0"/>
      <w:marRight w:val="0"/>
      <w:marTop w:val="0"/>
      <w:marBottom w:val="0"/>
      <w:divBdr>
        <w:top w:val="none" w:sz="0" w:space="0" w:color="auto"/>
        <w:left w:val="none" w:sz="0" w:space="0" w:color="auto"/>
        <w:bottom w:val="none" w:sz="0" w:space="0" w:color="auto"/>
        <w:right w:val="none" w:sz="0" w:space="0" w:color="auto"/>
      </w:divBdr>
    </w:div>
    <w:div w:id="457921914">
      <w:bodyDiv w:val="1"/>
      <w:marLeft w:val="0"/>
      <w:marRight w:val="0"/>
      <w:marTop w:val="0"/>
      <w:marBottom w:val="0"/>
      <w:divBdr>
        <w:top w:val="none" w:sz="0" w:space="0" w:color="auto"/>
        <w:left w:val="none" w:sz="0" w:space="0" w:color="auto"/>
        <w:bottom w:val="none" w:sz="0" w:space="0" w:color="auto"/>
        <w:right w:val="none" w:sz="0" w:space="0" w:color="auto"/>
      </w:divBdr>
    </w:div>
    <w:div w:id="462581852">
      <w:bodyDiv w:val="1"/>
      <w:marLeft w:val="0"/>
      <w:marRight w:val="0"/>
      <w:marTop w:val="0"/>
      <w:marBottom w:val="0"/>
      <w:divBdr>
        <w:top w:val="none" w:sz="0" w:space="0" w:color="auto"/>
        <w:left w:val="none" w:sz="0" w:space="0" w:color="auto"/>
        <w:bottom w:val="none" w:sz="0" w:space="0" w:color="auto"/>
        <w:right w:val="none" w:sz="0" w:space="0" w:color="auto"/>
      </w:divBdr>
    </w:div>
    <w:div w:id="462776887">
      <w:bodyDiv w:val="1"/>
      <w:marLeft w:val="0"/>
      <w:marRight w:val="0"/>
      <w:marTop w:val="0"/>
      <w:marBottom w:val="0"/>
      <w:divBdr>
        <w:top w:val="none" w:sz="0" w:space="0" w:color="auto"/>
        <w:left w:val="none" w:sz="0" w:space="0" w:color="auto"/>
        <w:bottom w:val="none" w:sz="0" w:space="0" w:color="auto"/>
        <w:right w:val="none" w:sz="0" w:space="0" w:color="auto"/>
      </w:divBdr>
    </w:div>
    <w:div w:id="463040138">
      <w:marLeft w:val="0"/>
      <w:marRight w:val="0"/>
      <w:marTop w:val="0"/>
      <w:marBottom w:val="0"/>
      <w:divBdr>
        <w:top w:val="none" w:sz="0" w:space="0" w:color="auto"/>
        <w:left w:val="none" w:sz="0" w:space="0" w:color="auto"/>
        <w:bottom w:val="none" w:sz="0" w:space="0" w:color="auto"/>
        <w:right w:val="none" w:sz="0" w:space="0" w:color="auto"/>
      </w:divBdr>
      <w:divsChild>
        <w:div w:id="2076321422">
          <w:marLeft w:val="0"/>
          <w:marRight w:val="0"/>
          <w:marTop w:val="0"/>
          <w:marBottom w:val="0"/>
          <w:divBdr>
            <w:top w:val="none" w:sz="0" w:space="0" w:color="auto"/>
            <w:left w:val="none" w:sz="0" w:space="0" w:color="auto"/>
            <w:bottom w:val="none" w:sz="0" w:space="0" w:color="auto"/>
            <w:right w:val="none" w:sz="0" w:space="0" w:color="auto"/>
          </w:divBdr>
          <w:divsChild>
            <w:div w:id="206578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84856">
      <w:bodyDiv w:val="1"/>
      <w:marLeft w:val="0"/>
      <w:marRight w:val="0"/>
      <w:marTop w:val="0"/>
      <w:marBottom w:val="0"/>
      <w:divBdr>
        <w:top w:val="none" w:sz="0" w:space="0" w:color="auto"/>
        <w:left w:val="none" w:sz="0" w:space="0" w:color="auto"/>
        <w:bottom w:val="none" w:sz="0" w:space="0" w:color="auto"/>
        <w:right w:val="none" w:sz="0" w:space="0" w:color="auto"/>
      </w:divBdr>
    </w:div>
    <w:div w:id="468742419">
      <w:bodyDiv w:val="1"/>
      <w:marLeft w:val="0"/>
      <w:marRight w:val="0"/>
      <w:marTop w:val="0"/>
      <w:marBottom w:val="0"/>
      <w:divBdr>
        <w:top w:val="none" w:sz="0" w:space="0" w:color="auto"/>
        <w:left w:val="none" w:sz="0" w:space="0" w:color="auto"/>
        <w:bottom w:val="none" w:sz="0" w:space="0" w:color="auto"/>
        <w:right w:val="none" w:sz="0" w:space="0" w:color="auto"/>
      </w:divBdr>
    </w:div>
    <w:div w:id="473452348">
      <w:bodyDiv w:val="1"/>
      <w:marLeft w:val="0"/>
      <w:marRight w:val="0"/>
      <w:marTop w:val="0"/>
      <w:marBottom w:val="0"/>
      <w:divBdr>
        <w:top w:val="none" w:sz="0" w:space="0" w:color="auto"/>
        <w:left w:val="none" w:sz="0" w:space="0" w:color="auto"/>
        <w:bottom w:val="none" w:sz="0" w:space="0" w:color="auto"/>
        <w:right w:val="none" w:sz="0" w:space="0" w:color="auto"/>
      </w:divBdr>
    </w:div>
    <w:div w:id="477501103">
      <w:bodyDiv w:val="1"/>
      <w:marLeft w:val="0"/>
      <w:marRight w:val="0"/>
      <w:marTop w:val="0"/>
      <w:marBottom w:val="0"/>
      <w:divBdr>
        <w:top w:val="none" w:sz="0" w:space="0" w:color="auto"/>
        <w:left w:val="none" w:sz="0" w:space="0" w:color="auto"/>
        <w:bottom w:val="none" w:sz="0" w:space="0" w:color="auto"/>
        <w:right w:val="none" w:sz="0" w:space="0" w:color="auto"/>
      </w:divBdr>
    </w:div>
    <w:div w:id="478113450">
      <w:bodyDiv w:val="1"/>
      <w:marLeft w:val="0"/>
      <w:marRight w:val="0"/>
      <w:marTop w:val="0"/>
      <w:marBottom w:val="0"/>
      <w:divBdr>
        <w:top w:val="none" w:sz="0" w:space="0" w:color="auto"/>
        <w:left w:val="none" w:sz="0" w:space="0" w:color="auto"/>
        <w:bottom w:val="none" w:sz="0" w:space="0" w:color="auto"/>
        <w:right w:val="none" w:sz="0" w:space="0" w:color="auto"/>
      </w:divBdr>
    </w:div>
    <w:div w:id="478226382">
      <w:bodyDiv w:val="1"/>
      <w:marLeft w:val="0"/>
      <w:marRight w:val="0"/>
      <w:marTop w:val="0"/>
      <w:marBottom w:val="0"/>
      <w:divBdr>
        <w:top w:val="none" w:sz="0" w:space="0" w:color="auto"/>
        <w:left w:val="none" w:sz="0" w:space="0" w:color="auto"/>
        <w:bottom w:val="none" w:sz="0" w:space="0" w:color="auto"/>
        <w:right w:val="none" w:sz="0" w:space="0" w:color="auto"/>
      </w:divBdr>
    </w:div>
    <w:div w:id="480078502">
      <w:bodyDiv w:val="1"/>
      <w:marLeft w:val="0"/>
      <w:marRight w:val="0"/>
      <w:marTop w:val="0"/>
      <w:marBottom w:val="0"/>
      <w:divBdr>
        <w:top w:val="none" w:sz="0" w:space="0" w:color="auto"/>
        <w:left w:val="none" w:sz="0" w:space="0" w:color="auto"/>
        <w:bottom w:val="none" w:sz="0" w:space="0" w:color="auto"/>
        <w:right w:val="none" w:sz="0" w:space="0" w:color="auto"/>
      </w:divBdr>
    </w:div>
    <w:div w:id="481047490">
      <w:bodyDiv w:val="1"/>
      <w:marLeft w:val="0"/>
      <w:marRight w:val="0"/>
      <w:marTop w:val="0"/>
      <w:marBottom w:val="0"/>
      <w:divBdr>
        <w:top w:val="none" w:sz="0" w:space="0" w:color="auto"/>
        <w:left w:val="none" w:sz="0" w:space="0" w:color="auto"/>
        <w:bottom w:val="none" w:sz="0" w:space="0" w:color="auto"/>
        <w:right w:val="none" w:sz="0" w:space="0" w:color="auto"/>
      </w:divBdr>
    </w:div>
    <w:div w:id="481121837">
      <w:bodyDiv w:val="1"/>
      <w:marLeft w:val="0"/>
      <w:marRight w:val="0"/>
      <w:marTop w:val="0"/>
      <w:marBottom w:val="0"/>
      <w:divBdr>
        <w:top w:val="none" w:sz="0" w:space="0" w:color="auto"/>
        <w:left w:val="none" w:sz="0" w:space="0" w:color="auto"/>
        <w:bottom w:val="none" w:sz="0" w:space="0" w:color="auto"/>
        <w:right w:val="none" w:sz="0" w:space="0" w:color="auto"/>
      </w:divBdr>
    </w:div>
    <w:div w:id="481581291">
      <w:bodyDiv w:val="1"/>
      <w:marLeft w:val="0"/>
      <w:marRight w:val="0"/>
      <w:marTop w:val="0"/>
      <w:marBottom w:val="0"/>
      <w:divBdr>
        <w:top w:val="none" w:sz="0" w:space="0" w:color="auto"/>
        <w:left w:val="none" w:sz="0" w:space="0" w:color="auto"/>
        <w:bottom w:val="none" w:sz="0" w:space="0" w:color="auto"/>
        <w:right w:val="none" w:sz="0" w:space="0" w:color="auto"/>
      </w:divBdr>
    </w:div>
    <w:div w:id="482814403">
      <w:bodyDiv w:val="1"/>
      <w:marLeft w:val="0"/>
      <w:marRight w:val="0"/>
      <w:marTop w:val="0"/>
      <w:marBottom w:val="0"/>
      <w:divBdr>
        <w:top w:val="none" w:sz="0" w:space="0" w:color="auto"/>
        <w:left w:val="none" w:sz="0" w:space="0" w:color="auto"/>
        <w:bottom w:val="none" w:sz="0" w:space="0" w:color="auto"/>
        <w:right w:val="none" w:sz="0" w:space="0" w:color="auto"/>
      </w:divBdr>
    </w:div>
    <w:div w:id="484245918">
      <w:bodyDiv w:val="1"/>
      <w:marLeft w:val="0"/>
      <w:marRight w:val="0"/>
      <w:marTop w:val="0"/>
      <w:marBottom w:val="0"/>
      <w:divBdr>
        <w:top w:val="none" w:sz="0" w:space="0" w:color="auto"/>
        <w:left w:val="none" w:sz="0" w:space="0" w:color="auto"/>
        <w:bottom w:val="none" w:sz="0" w:space="0" w:color="auto"/>
        <w:right w:val="none" w:sz="0" w:space="0" w:color="auto"/>
      </w:divBdr>
    </w:div>
    <w:div w:id="489178415">
      <w:bodyDiv w:val="1"/>
      <w:marLeft w:val="0"/>
      <w:marRight w:val="0"/>
      <w:marTop w:val="0"/>
      <w:marBottom w:val="0"/>
      <w:divBdr>
        <w:top w:val="none" w:sz="0" w:space="0" w:color="auto"/>
        <w:left w:val="none" w:sz="0" w:space="0" w:color="auto"/>
        <w:bottom w:val="none" w:sz="0" w:space="0" w:color="auto"/>
        <w:right w:val="none" w:sz="0" w:space="0" w:color="auto"/>
      </w:divBdr>
    </w:div>
    <w:div w:id="489906842">
      <w:bodyDiv w:val="1"/>
      <w:marLeft w:val="0"/>
      <w:marRight w:val="0"/>
      <w:marTop w:val="0"/>
      <w:marBottom w:val="0"/>
      <w:divBdr>
        <w:top w:val="none" w:sz="0" w:space="0" w:color="auto"/>
        <w:left w:val="none" w:sz="0" w:space="0" w:color="auto"/>
        <w:bottom w:val="none" w:sz="0" w:space="0" w:color="auto"/>
        <w:right w:val="none" w:sz="0" w:space="0" w:color="auto"/>
      </w:divBdr>
    </w:div>
    <w:div w:id="491485086">
      <w:bodyDiv w:val="1"/>
      <w:marLeft w:val="0"/>
      <w:marRight w:val="0"/>
      <w:marTop w:val="0"/>
      <w:marBottom w:val="0"/>
      <w:divBdr>
        <w:top w:val="none" w:sz="0" w:space="0" w:color="auto"/>
        <w:left w:val="none" w:sz="0" w:space="0" w:color="auto"/>
        <w:bottom w:val="none" w:sz="0" w:space="0" w:color="auto"/>
        <w:right w:val="none" w:sz="0" w:space="0" w:color="auto"/>
      </w:divBdr>
    </w:div>
    <w:div w:id="491990547">
      <w:bodyDiv w:val="1"/>
      <w:marLeft w:val="0"/>
      <w:marRight w:val="0"/>
      <w:marTop w:val="0"/>
      <w:marBottom w:val="0"/>
      <w:divBdr>
        <w:top w:val="none" w:sz="0" w:space="0" w:color="auto"/>
        <w:left w:val="none" w:sz="0" w:space="0" w:color="auto"/>
        <w:bottom w:val="none" w:sz="0" w:space="0" w:color="auto"/>
        <w:right w:val="none" w:sz="0" w:space="0" w:color="auto"/>
      </w:divBdr>
    </w:div>
    <w:div w:id="494423005">
      <w:bodyDiv w:val="1"/>
      <w:marLeft w:val="0"/>
      <w:marRight w:val="0"/>
      <w:marTop w:val="0"/>
      <w:marBottom w:val="0"/>
      <w:divBdr>
        <w:top w:val="none" w:sz="0" w:space="0" w:color="auto"/>
        <w:left w:val="none" w:sz="0" w:space="0" w:color="auto"/>
        <w:bottom w:val="none" w:sz="0" w:space="0" w:color="auto"/>
        <w:right w:val="none" w:sz="0" w:space="0" w:color="auto"/>
      </w:divBdr>
    </w:div>
    <w:div w:id="495267741">
      <w:bodyDiv w:val="1"/>
      <w:marLeft w:val="0"/>
      <w:marRight w:val="0"/>
      <w:marTop w:val="0"/>
      <w:marBottom w:val="0"/>
      <w:divBdr>
        <w:top w:val="none" w:sz="0" w:space="0" w:color="auto"/>
        <w:left w:val="none" w:sz="0" w:space="0" w:color="auto"/>
        <w:bottom w:val="none" w:sz="0" w:space="0" w:color="auto"/>
        <w:right w:val="none" w:sz="0" w:space="0" w:color="auto"/>
      </w:divBdr>
    </w:div>
    <w:div w:id="495415989">
      <w:bodyDiv w:val="1"/>
      <w:marLeft w:val="0"/>
      <w:marRight w:val="0"/>
      <w:marTop w:val="0"/>
      <w:marBottom w:val="0"/>
      <w:divBdr>
        <w:top w:val="none" w:sz="0" w:space="0" w:color="auto"/>
        <w:left w:val="none" w:sz="0" w:space="0" w:color="auto"/>
        <w:bottom w:val="none" w:sz="0" w:space="0" w:color="auto"/>
        <w:right w:val="none" w:sz="0" w:space="0" w:color="auto"/>
      </w:divBdr>
    </w:div>
    <w:div w:id="498421665">
      <w:bodyDiv w:val="1"/>
      <w:marLeft w:val="0"/>
      <w:marRight w:val="0"/>
      <w:marTop w:val="0"/>
      <w:marBottom w:val="0"/>
      <w:divBdr>
        <w:top w:val="none" w:sz="0" w:space="0" w:color="auto"/>
        <w:left w:val="none" w:sz="0" w:space="0" w:color="auto"/>
        <w:bottom w:val="none" w:sz="0" w:space="0" w:color="auto"/>
        <w:right w:val="none" w:sz="0" w:space="0" w:color="auto"/>
      </w:divBdr>
    </w:div>
    <w:div w:id="502941149">
      <w:bodyDiv w:val="1"/>
      <w:marLeft w:val="0"/>
      <w:marRight w:val="0"/>
      <w:marTop w:val="0"/>
      <w:marBottom w:val="0"/>
      <w:divBdr>
        <w:top w:val="none" w:sz="0" w:space="0" w:color="auto"/>
        <w:left w:val="none" w:sz="0" w:space="0" w:color="auto"/>
        <w:bottom w:val="none" w:sz="0" w:space="0" w:color="auto"/>
        <w:right w:val="none" w:sz="0" w:space="0" w:color="auto"/>
      </w:divBdr>
    </w:div>
    <w:div w:id="507451136">
      <w:bodyDiv w:val="1"/>
      <w:marLeft w:val="0"/>
      <w:marRight w:val="0"/>
      <w:marTop w:val="0"/>
      <w:marBottom w:val="0"/>
      <w:divBdr>
        <w:top w:val="none" w:sz="0" w:space="0" w:color="auto"/>
        <w:left w:val="none" w:sz="0" w:space="0" w:color="auto"/>
        <w:bottom w:val="none" w:sz="0" w:space="0" w:color="auto"/>
        <w:right w:val="none" w:sz="0" w:space="0" w:color="auto"/>
      </w:divBdr>
    </w:div>
    <w:div w:id="508250075">
      <w:bodyDiv w:val="1"/>
      <w:marLeft w:val="0"/>
      <w:marRight w:val="0"/>
      <w:marTop w:val="0"/>
      <w:marBottom w:val="0"/>
      <w:divBdr>
        <w:top w:val="none" w:sz="0" w:space="0" w:color="auto"/>
        <w:left w:val="none" w:sz="0" w:space="0" w:color="auto"/>
        <w:bottom w:val="none" w:sz="0" w:space="0" w:color="auto"/>
        <w:right w:val="none" w:sz="0" w:space="0" w:color="auto"/>
      </w:divBdr>
    </w:div>
    <w:div w:id="515776969">
      <w:bodyDiv w:val="1"/>
      <w:marLeft w:val="0"/>
      <w:marRight w:val="0"/>
      <w:marTop w:val="0"/>
      <w:marBottom w:val="0"/>
      <w:divBdr>
        <w:top w:val="none" w:sz="0" w:space="0" w:color="auto"/>
        <w:left w:val="none" w:sz="0" w:space="0" w:color="auto"/>
        <w:bottom w:val="none" w:sz="0" w:space="0" w:color="auto"/>
        <w:right w:val="none" w:sz="0" w:space="0" w:color="auto"/>
      </w:divBdr>
    </w:div>
    <w:div w:id="515922849">
      <w:bodyDiv w:val="1"/>
      <w:marLeft w:val="0"/>
      <w:marRight w:val="0"/>
      <w:marTop w:val="0"/>
      <w:marBottom w:val="0"/>
      <w:divBdr>
        <w:top w:val="none" w:sz="0" w:space="0" w:color="auto"/>
        <w:left w:val="none" w:sz="0" w:space="0" w:color="auto"/>
        <w:bottom w:val="none" w:sz="0" w:space="0" w:color="auto"/>
        <w:right w:val="none" w:sz="0" w:space="0" w:color="auto"/>
      </w:divBdr>
    </w:div>
    <w:div w:id="520584718">
      <w:bodyDiv w:val="1"/>
      <w:marLeft w:val="0"/>
      <w:marRight w:val="0"/>
      <w:marTop w:val="0"/>
      <w:marBottom w:val="0"/>
      <w:divBdr>
        <w:top w:val="none" w:sz="0" w:space="0" w:color="auto"/>
        <w:left w:val="none" w:sz="0" w:space="0" w:color="auto"/>
        <w:bottom w:val="none" w:sz="0" w:space="0" w:color="auto"/>
        <w:right w:val="none" w:sz="0" w:space="0" w:color="auto"/>
      </w:divBdr>
    </w:div>
    <w:div w:id="523135358">
      <w:bodyDiv w:val="1"/>
      <w:marLeft w:val="0"/>
      <w:marRight w:val="0"/>
      <w:marTop w:val="0"/>
      <w:marBottom w:val="0"/>
      <w:divBdr>
        <w:top w:val="none" w:sz="0" w:space="0" w:color="auto"/>
        <w:left w:val="none" w:sz="0" w:space="0" w:color="auto"/>
        <w:bottom w:val="none" w:sz="0" w:space="0" w:color="auto"/>
        <w:right w:val="none" w:sz="0" w:space="0" w:color="auto"/>
      </w:divBdr>
    </w:div>
    <w:div w:id="524907073">
      <w:bodyDiv w:val="1"/>
      <w:marLeft w:val="0"/>
      <w:marRight w:val="0"/>
      <w:marTop w:val="0"/>
      <w:marBottom w:val="0"/>
      <w:divBdr>
        <w:top w:val="none" w:sz="0" w:space="0" w:color="auto"/>
        <w:left w:val="none" w:sz="0" w:space="0" w:color="auto"/>
        <w:bottom w:val="none" w:sz="0" w:space="0" w:color="auto"/>
        <w:right w:val="none" w:sz="0" w:space="0" w:color="auto"/>
      </w:divBdr>
    </w:div>
    <w:div w:id="525096867">
      <w:bodyDiv w:val="1"/>
      <w:marLeft w:val="0"/>
      <w:marRight w:val="0"/>
      <w:marTop w:val="0"/>
      <w:marBottom w:val="0"/>
      <w:divBdr>
        <w:top w:val="none" w:sz="0" w:space="0" w:color="auto"/>
        <w:left w:val="none" w:sz="0" w:space="0" w:color="auto"/>
        <w:bottom w:val="none" w:sz="0" w:space="0" w:color="auto"/>
        <w:right w:val="none" w:sz="0" w:space="0" w:color="auto"/>
      </w:divBdr>
      <w:divsChild>
        <w:div w:id="12388380">
          <w:marLeft w:val="288"/>
          <w:marRight w:val="0"/>
          <w:marTop w:val="120"/>
          <w:marBottom w:val="0"/>
          <w:divBdr>
            <w:top w:val="none" w:sz="0" w:space="0" w:color="auto"/>
            <w:left w:val="none" w:sz="0" w:space="0" w:color="auto"/>
            <w:bottom w:val="none" w:sz="0" w:space="0" w:color="auto"/>
            <w:right w:val="none" w:sz="0" w:space="0" w:color="auto"/>
          </w:divBdr>
        </w:div>
        <w:div w:id="229075517">
          <w:marLeft w:val="288"/>
          <w:marRight w:val="0"/>
          <w:marTop w:val="120"/>
          <w:marBottom w:val="0"/>
          <w:divBdr>
            <w:top w:val="none" w:sz="0" w:space="0" w:color="auto"/>
            <w:left w:val="none" w:sz="0" w:space="0" w:color="auto"/>
            <w:bottom w:val="none" w:sz="0" w:space="0" w:color="auto"/>
            <w:right w:val="none" w:sz="0" w:space="0" w:color="auto"/>
          </w:divBdr>
        </w:div>
        <w:div w:id="1069768721">
          <w:marLeft w:val="288"/>
          <w:marRight w:val="0"/>
          <w:marTop w:val="120"/>
          <w:marBottom w:val="0"/>
          <w:divBdr>
            <w:top w:val="none" w:sz="0" w:space="0" w:color="auto"/>
            <w:left w:val="none" w:sz="0" w:space="0" w:color="auto"/>
            <w:bottom w:val="none" w:sz="0" w:space="0" w:color="auto"/>
            <w:right w:val="none" w:sz="0" w:space="0" w:color="auto"/>
          </w:divBdr>
        </w:div>
        <w:div w:id="1584754470">
          <w:marLeft w:val="288"/>
          <w:marRight w:val="0"/>
          <w:marTop w:val="120"/>
          <w:marBottom w:val="0"/>
          <w:divBdr>
            <w:top w:val="none" w:sz="0" w:space="0" w:color="auto"/>
            <w:left w:val="none" w:sz="0" w:space="0" w:color="auto"/>
            <w:bottom w:val="none" w:sz="0" w:space="0" w:color="auto"/>
            <w:right w:val="none" w:sz="0" w:space="0" w:color="auto"/>
          </w:divBdr>
        </w:div>
      </w:divsChild>
    </w:div>
    <w:div w:id="532037092">
      <w:bodyDiv w:val="1"/>
      <w:marLeft w:val="0"/>
      <w:marRight w:val="0"/>
      <w:marTop w:val="0"/>
      <w:marBottom w:val="0"/>
      <w:divBdr>
        <w:top w:val="none" w:sz="0" w:space="0" w:color="auto"/>
        <w:left w:val="none" w:sz="0" w:space="0" w:color="auto"/>
        <w:bottom w:val="none" w:sz="0" w:space="0" w:color="auto"/>
        <w:right w:val="none" w:sz="0" w:space="0" w:color="auto"/>
      </w:divBdr>
    </w:div>
    <w:div w:id="532619980">
      <w:bodyDiv w:val="1"/>
      <w:marLeft w:val="0"/>
      <w:marRight w:val="0"/>
      <w:marTop w:val="0"/>
      <w:marBottom w:val="0"/>
      <w:divBdr>
        <w:top w:val="none" w:sz="0" w:space="0" w:color="auto"/>
        <w:left w:val="none" w:sz="0" w:space="0" w:color="auto"/>
        <w:bottom w:val="none" w:sz="0" w:space="0" w:color="auto"/>
        <w:right w:val="none" w:sz="0" w:space="0" w:color="auto"/>
      </w:divBdr>
    </w:div>
    <w:div w:id="543641338">
      <w:bodyDiv w:val="1"/>
      <w:marLeft w:val="0"/>
      <w:marRight w:val="0"/>
      <w:marTop w:val="0"/>
      <w:marBottom w:val="0"/>
      <w:divBdr>
        <w:top w:val="none" w:sz="0" w:space="0" w:color="auto"/>
        <w:left w:val="none" w:sz="0" w:space="0" w:color="auto"/>
        <w:bottom w:val="none" w:sz="0" w:space="0" w:color="auto"/>
        <w:right w:val="none" w:sz="0" w:space="0" w:color="auto"/>
      </w:divBdr>
    </w:div>
    <w:div w:id="546529266">
      <w:bodyDiv w:val="1"/>
      <w:marLeft w:val="0"/>
      <w:marRight w:val="0"/>
      <w:marTop w:val="0"/>
      <w:marBottom w:val="0"/>
      <w:divBdr>
        <w:top w:val="none" w:sz="0" w:space="0" w:color="auto"/>
        <w:left w:val="none" w:sz="0" w:space="0" w:color="auto"/>
        <w:bottom w:val="none" w:sz="0" w:space="0" w:color="auto"/>
        <w:right w:val="none" w:sz="0" w:space="0" w:color="auto"/>
      </w:divBdr>
    </w:div>
    <w:div w:id="551307433">
      <w:bodyDiv w:val="1"/>
      <w:marLeft w:val="0"/>
      <w:marRight w:val="0"/>
      <w:marTop w:val="0"/>
      <w:marBottom w:val="0"/>
      <w:divBdr>
        <w:top w:val="none" w:sz="0" w:space="0" w:color="auto"/>
        <w:left w:val="none" w:sz="0" w:space="0" w:color="auto"/>
        <w:bottom w:val="none" w:sz="0" w:space="0" w:color="auto"/>
        <w:right w:val="none" w:sz="0" w:space="0" w:color="auto"/>
      </w:divBdr>
    </w:div>
    <w:div w:id="551774433">
      <w:bodyDiv w:val="1"/>
      <w:marLeft w:val="0"/>
      <w:marRight w:val="0"/>
      <w:marTop w:val="0"/>
      <w:marBottom w:val="0"/>
      <w:divBdr>
        <w:top w:val="none" w:sz="0" w:space="0" w:color="auto"/>
        <w:left w:val="none" w:sz="0" w:space="0" w:color="auto"/>
        <w:bottom w:val="none" w:sz="0" w:space="0" w:color="auto"/>
        <w:right w:val="none" w:sz="0" w:space="0" w:color="auto"/>
      </w:divBdr>
    </w:div>
    <w:div w:id="551890837">
      <w:bodyDiv w:val="1"/>
      <w:marLeft w:val="0"/>
      <w:marRight w:val="0"/>
      <w:marTop w:val="0"/>
      <w:marBottom w:val="0"/>
      <w:divBdr>
        <w:top w:val="none" w:sz="0" w:space="0" w:color="auto"/>
        <w:left w:val="none" w:sz="0" w:space="0" w:color="auto"/>
        <w:bottom w:val="none" w:sz="0" w:space="0" w:color="auto"/>
        <w:right w:val="none" w:sz="0" w:space="0" w:color="auto"/>
      </w:divBdr>
    </w:div>
    <w:div w:id="552275394">
      <w:marLeft w:val="0"/>
      <w:marRight w:val="0"/>
      <w:marTop w:val="0"/>
      <w:marBottom w:val="0"/>
      <w:divBdr>
        <w:top w:val="none" w:sz="0" w:space="0" w:color="auto"/>
        <w:left w:val="none" w:sz="0" w:space="0" w:color="auto"/>
        <w:bottom w:val="none" w:sz="0" w:space="0" w:color="auto"/>
        <w:right w:val="none" w:sz="0" w:space="0" w:color="auto"/>
      </w:divBdr>
      <w:divsChild>
        <w:div w:id="878782744">
          <w:marLeft w:val="0"/>
          <w:marRight w:val="0"/>
          <w:marTop w:val="0"/>
          <w:marBottom w:val="0"/>
          <w:divBdr>
            <w:top w:val="none" w:sz="0" w:space="0" w:color="auto"/>
            <w:left w:val="none" w:sz="0" w:space="0" w:color="auto"/>
            <w:bottom w:val="none" w:sz="0" w:space="0" w:color="auto"/>
            <w:right w:val="none" w:sz="0" w:space="0" w:color="auto"/>
          </w:divBdr>
          <w:divsChild>
            <w:div w:id="175531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933840">
      <w:bodyDiv w:val="1"/>
      <w:marLeft w:val="0"/>
      <w:marRight w:val="0"/>
      <w:marTop w:val="0"/>
      <w:marBottom w:val="0"/>
      <w:divBdr>
        <w:top w:val="none" w:sz="0" w:space="0" w:color="auto"/>
        <w:left w:val="none" w:sz="0" w:space="0" w:color="auto"/>
        <w:bottom w:val="none" w:sz="0" w:space="0" w:color="auto"/>
        <w:right w:val="none" w:sz="0" w:space="0" w:color="auto"/>
      </w:divBdr>
    </w:div>
    <w:div w:id="558250493">
      <w:bodyDiv w:val="1"/>
      <w:marLeft w:val="0"/>
      <w:marRight w:val="0"/>
      <w:marTop w:val="0"/>
      <w:marBottom w:val="0"/>
      <w:divBdr>
        <w:top w:val="none" w:sz="0" w:space="0" w:color="auto"/>
        <w:left w:val="none" w:sz="0" w:space="0" w:color="auto"/>
        <w:bottom w:val="none" w:sz="0" w:space="0" w:color="auto"/>
        <w:right w:val="none" w:sz="0" w:space="0" w:color="auto"/>
      </w:divBdr>
    </w:div>
    <w:div w:id="560751298">
      <w:marLeft w:val="0"/>
      <w:marRight w:val="0"/>
      <w:marTop w:val="0"/>
      <w:marBottom w:val="0"/>
      <w:divBdr>
        <w:top w:val="none" w:sz="0" w:space="0" w:color="auto"/>
        <w:left w:val="none" w:sz="0" w:space="0" w:color="auto"/>
        <w:bottom w:val="none" w:sz="0" w:space="0" w:color="auto"/>
        <w:right w:val="none" w:sz="0" w:space="0" w:color="auto"/>
      </w:divBdr>
      <w:divsChild>
        <w:div w:id="1179001776">
          <w:marLeft w:val="0"/>
          <w:marRight w:val="0"/>
          <w:marTop w:val="0"/>
          <w:marBottom w:val="0"/>
          <w:divBdr>
            <w:top w:val="none" w:sz="0" w:space="0" w:color="auto"/>
            <w:left w:val="none" w:sz="0" w:space="0" w:color="auto"/>
            <w:bottom w:val="none" w:sz="0" w:space="0" w:color="auto"/>
            <w:right w:val="none" w:sz="0" w:space="0" w:color="auto"/>
          </w:divBdr>
          <w:divsChild>
            <w:div w:id="187461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879284">
      <w:bodyDiv w:val="1"/>
      <w:marLeft w:val="0"/>
      <w:marRight w:val="0"/>
      <w:marTop w:val="0"/>
      <w:marBottom w:val="0"/>
      <w:divBdr>
        <w:top w:val="none" w:sz="0" w:space="0" w:color="auto"/>
        <w:left w:val="none" w:sz="0" w:space="0" w:color="auto"/>
        <w:bottom w:val="none" w:sz="0" w:space="0" w:color="auto"/>
        <w:right w:val="none" w:sz="0" w:space="0" w:color="auto"/>
      </w:divBdr>
    </w:div>
    <w:div w:id="566454605">
      <w:bodyDiv w:val="1"/>
      <w:marLeft w:val="0"/>
      <w:marRight w:val="0"/>
      <w:marTop w:val="0"/>
      <w:marBottom w:val="0"/>
      <w:divBdr>
        <w:top w:val="none" w:sz="0" w:space="0" w:color="auto"/>
        <w:left w:val="none" w:sz="0" w:space="0" w:color="auto"/>
        <w:bottom w:val="none" w:sz="0" w:space="0" w:color="auto"/>
        <w:right w:val="none" w:sz="0" w:space="0" w:color="auto"/>
      </w:divBdr>
    </w:div>
    <w:div w:id="567572459">
      <w:bodyDiv w:val="1"/>
      <w:marLeft w:val="0"/>
      <w:marRight w:val="0"/>
      <w:marTop w:val="0"/>
      <w:marBottom w:val="0"/>
      <w:divBdr>
        <w:top w:val="none" w:sz="0" w:space="0" w:color="auto"/>
        <w:left w:val="none" w:sz="0" w:space="0" w:color="auto"/>
        <w:bottom w:val="none" w:sz="0" w:space="0" w:color="auto"/>
        <w:right w:val="none" w:sz="0" w:space="0" w:color="auto"/>
      </w:divBdr>
    </w:div>
    <w:div w:id="568156184">
      <w:bodyDiv w:val="1"/>
      <w:marLeft w:val="0"/>
      <w:marRight w:val="0"/>
      <w:marTop w:val="0"/>
      <w:marBottom w:val="0"/>
      <w:divBdr>
        <w:top w:val="none" w:sz="0" w:space="0" w:color="auto"/>
        <w:left w:val="none" w:sz="0" w:space="0" w:color="auto"/>
        <w:bottom w:val="none" w:sz="0" w:space="0" w:color="auto"/>
        <w:right w:val="none" w:sz="0" w:space="0" w:color="auto"/>
      </w:divBdr>
    </w:div>
    <w:div w:id="574971128">
      <w:bodyDiv w:val="1"/>
      <w:marLeft w:val="0"/>
      <w:marRight w:val="0"/>
      <w:marTop w:val="0"/>
      <w:marBottom w:val="0"/>
      <w:divBdr>
        <w:top w:val="none" w:sz="0" w:space="0" w:color="auto"/>
        <w:left w:val="none" w:sz="0" w:space="0" w:color="auto"/>
        <w:bottom w:val="none" w:sz="0" w:space="0" w:color="auto"/>
        <w:right w:val="none" w:sz="0" w:space="0" w:color="auto"/>
      </w:divBdr>
    </w:div>
    <w:div w:id="580261056">
      <w:bodyDiv w:val="1"/>
      <w:marLeft w:val="0"/>
      <w:marRight w:val="0"/>
      <w:marTop w:val="0"/>
      <w:marBottom w:val="0"/>
      <w:divBdr>
        <w:top w:val="none" w:sz="0" w:space="0" w:color="auto"/>
        <w:left w:val="none" w:sz="0" w:space="0" w:color="auto"/>
        <w:bottom w:val="none" w:sz="0" w:space="0" w:color="auto"/>
        <w:right w:val="none" w:sz="0" w:space="0" w:color="auto"/>
      </w:divBdr>
    </w:div>
    <w:div w:id="580598962">
      <w:bodyDiv w:val="1"/>
      <w:marLeft w:val="0"/>
      <w:marRight w:val="0"/>
      <w:marTop w:val="0"/>
      <w:marBottom w:val="0"/>
      <w:divBdr>
        <w:top w:val="none" w:sz="0" w:space="0" w:color="auto"/>
        <w:left w:val="none" w:sz="0" w:space="0" w:color="auto"/>
        <w:bottom w:val="none" w:sz="0" w:space="0" w:color="auto"/>
        <w:right w:val="none" w:sz="0" w:space="0" w:color="auto"/>
      </w:divBdr>
    </w:div>
    <w:div w:id="592203233">
      <w:bodyDiv w:val="1"/>
      <w:marLeft w:val="0"/>
      <w:marRight w:val="0"/>
      <w:marTop w:val="0"/>
      <w:marBottom w:val="0"/>
      <w:divBdr>
        <w:top w:val="none" w:sz="0" w:space="0" w:color="auto"/>
        <w:left w:val="none" w:sz="0" w:space="0" w:color="auto"/>
        <w:bottom w:val="none" w:sz="0" w:space="0" w:color="auto"/>
        <w:right w:val="none" w:sz="0" w:space="0" w:color="auto"/>
      </w:divBdr>
    </w:div>
    <w:div w:id="594479611">
      <w:bodyDiv w:val="1"/>
      <w:marLeft w:val="0"/>
      <w:marRight w:val="0"/>
      <w:marTop w:val="0"/>
      <w:marBottom w:val="0"/>
      <w:divBdr>
        <w:top w:val="none" w:sz="0" w:space="0" w:color="auto"/>
        <w:left w:val="none" w:sz="0" w:space="0" w:color="auto"/>
        <w:bottom w:val="none" w:sz="0" w:space="0" w:color="auto"/>
        <w:right w:val="none" w:sz="0" w:space="0" w:color="auto"/>
      </w:divBdr>
    </w:div>
    <w:div w:id="594560522">
      <w:bodyDiv w:val="1"/>
      <w:marLeft w:val="0"/>
      <w:marRight w:val="0"/>
      <w:marTop w:val="0"/>
      <w:marBottom w:val="0"/>
      <w:divBdr>
        <w:top w:val="none" w:sz="0" w:space="0" w:color="auto"/>
        <w:left w:val="none" w:sz="0" w:space="0" w:color="auto"/>
        <w:bottom w:val="none" w:sz="0" w:space="0" w:color="auto"/>
        <w:right w:val="none" w:sz="0" w:space="0" w:color="auto"/>
      </w:divBdr>
    </w:div>
    <w:div w:id="594942725">
      <w:bodyDiv w:val="1"/>
      <w:marLeft w:val="0"/>
      <w:marRight w:val="0"/>
      <w:marTop w:val="0"/>
      <w:marBottom w:val="0"/>
      <w:divBdr>
        <w:top w:val="none" w:sz="0" w:space="0" w:color="auto"/>
        <w:left w:val="none" w:sz="0" w:space="0" w:color="auto"/>
        <w:bottom w:val="none" w:sz="0" w:space="0" w:color="auto"/>
        <w:right w:val="none" w:sz="0" w:space="0" w:color="auto"/>
      </w:divBdr>
    </w:div>
    <w:div w:id="595332902">
      <w:bodyDiv w:val="1"/>
      <w:marLeft w:val="0"/>
      <w:marRight w:val="0"/>
      <w:marTop w:val="0"/>
      <w:marBottom w:val="0"/>
      <w:divBdr>
        <w:top w:val="none" w:sz="0" w:space="0" w:color="auto"/>
        <w:left w:val="none" w:sz="0" w:space="0" w:color="auto"/>
        <w:bottom w:val="none" w:sz="0" w:space="0" w:color="auto"/>
        <w:right w:val="none" w:sz="0" w:space="0" w:color="auto"/>
      </w:divBdr>
    </w:div>
    <w:div w:id="595788634">
      <w:bodyDiv w:val="1"/>
      <w:marLeft w:val="0"/>
      <w:marRight w:val="0"/>
      <w:marTop w:val="0"/>
      <w:marBottom w:val="0"/>
      <w:divBdr>
        <w:top w:val="none" w:sz="0" w:space="0" w:color="auto"/>
        <w:left w:val="none" w:sz="0" w:space="0" w:color="auto"/>
        <w:bottom w:val="none" w:sz="0" w:space="0" w:color="auto"/>
        <w:right w:val="none" w:sz="0" w:space="0" w:color="auto"/>
      </w:divBdr>
    </w:div>
    <w:div w:id="596522766">
      <w:bodyDiv w:val="1"/>
      <w:marLeft w:val="0"/>
      <w:marRight w:val="0"/>
      <w:marTop w:val="0"/>
      <w:marBottom w:val="0"/>
      <w:divBdr>
        <w:top w:val="none" w:sz="0" w:space="0" w:color="auto"/>
        <w:left w:val="none" w:sz="0" w:space="0" w:color="auto"/>
        <w:bottom w:val="none" w:sz="0" w:space="0" w:color="auto"/>
        <w:right w:val="none" w:sz="0" w:space="0" w:color="auto"/>
      </w:divBdr>
    </w:div>
    <w:div w:id="601648603">
      <w:bodyDiv w:val="1"/>
      <w:marLeft w:val="0"/>
      <w:marRight w:val="0"/>
      <w:marTop w:val="0"/>
      <w:marBottom w:val="0"/>
      <w:divBdr>
        <w:top w:val="none" w:sz="0" w:space="0" w:color="auto"/>
        <w:left w:val="none" w:sz="0" w:space="0" w:color="auto"/>
        <w:bottom w:val="none" w:sz="0" w:space="0" w:color="auto"/>
        <w:right w:val="none" w:sz="0" w:space="0" w:color="auto"/>
      </w:divBdr>
    </w:div>
    <w:div w:id="602229680">
      <w:bodyDiv w:val="1"/>
      <w:marLeft w:val="0"/>
      <w:marRight w:val="0"/>
      <w:marTop w:val="0"/>
      <w:marBottom w:val="0"/>
      <w:divBdr>
        <w:top w:val="none" w:sz="0" w:space="0" w:color="auto"/>
        <w:left w:val="none" w:sz="0" w:space="0" w:color="auto"/>
        <w:bottom w:val="none" w:sz="0" w:space="0" w:color="auto"/>
        <w:right w:val="none" w:sz="0" w:space="0" w:color="auto"/>
      </w:divBdr>
    </w:div>
    <w:div w:id="602687671">
      <w:bodyDiv w:val="1"/>
      <w:marLeft w:val="0"/>
      <w:marRight w:val="0"/>
      <w:marTop w:val="0"/>
      <w:marBottom w:val="0"/>
      <w:divBdr>
        <w:top w:val="none" w:sz="0" w:space="0" w:color="auto"/>
        <w:left w:val="none" w:sz="0" w:space="0" w:color="auto"/>
        <w:bottom w:val="none" w:sz="0" w:space="0" w:color="auto"/>
        <w:right w:val="none" w:sz="0" w:space="0" w:color="auto"/>
      </w:divBdr>
    </w:div>
    <w:div w:id="602997431">
      <w:bodyDiv w:val="1"/>
      <w:marLeft w:val="0"/>
      <w:marRight w:val="0"/>
      <w:marTop w:val="0"/>
      <w:marBottom w:val="0"/>
      <w:divBdr>
        <w:top w:val="none" w:sz="0" w:space="0" w:color="auto"/>
        <w:left w:val="none" w:sz="0" w:space="0" w:color="auto"/>
        <w:bottom w:val="none" w:sz="0" w:space="0" w:color="auto"/>
        <w:right w:val="none" w:sz="0" w:space="0" w:color="auto"/>
      </w:divBdr>
    </w:div>
    <w:div w:id="606043704">
      <w:bodyDiv w:val="1"/>
      <w:marLeft w:val="0"/>
      <w:marRight w:val="0"/>
      <w:marTop w:val="0"/>
      <w:marBottom w:val="0"/>
      <w:divBdr>
        <w:top w:val="none" w:sz="0" w:space="0" w:color="auto"/>
        <w:left w:val="none" w:sz="0" w:space="0" w:color="auto"/>
        <w:bottom w:val="none" w:sz="0" w:space="0" w:color="auto"/>
        <w:right w:val="none" w:sz="0" w:space="0" w:color="auto"/>
      </w:divBdr>
      <w:divsChild>
        <w:div w:id="1300383973">
          <w:marLeft w:val="274"/>
          <w:marRight w:val="0"/>
          <w:marTop w:val="240"/>
          <w:marBottom w:val="40"/>
          <w:divBdr>
            <w:top w:val="none" w:sz="0" w:space="0" w:color="auto"/>
            <w:left w:val="none" w:sz="0" w:space="0" w:color="auto"/>
            <w:bottom w:val="none" w:sz="0" w:space="0" w:color="auto"/>
            <w:right w:val="none" w:sz="0" w:space="0" w:color="auto"/>
          </w:divBdr>
        </w:div>
      </w:divsChild>
    </w:div>
    <w:div w:id="609430395">
      <w:bodyDiv w:val="1"/>
      <w:marLeft w:val="0"/>
      <w:marRight w:val="0"/>
      <w:marTop w:val="0"/>
      <w:marBottom w:val="0"/>
      <w:divBdr>
        <w:top w:val="none" w:sz="0" w:space="0" w:color="auto"/>
        <w:left w:val="none" w:sz="0" w:space="0" w:color="auto"/>
        <w:bottom w:val="none" w:sz="0" w:space="0" w:color="auto"/>
        <w:right w:val="none" w:sz="0" w:space="0" w:color="auto"/>
      </w:divBdr>
    </w:div>
    <w:div w:id="615252637">
      <w:bodyDiv w:val="1"/>
      <w:marLeft w:val="0"/>
      <w:marRight w:val="0"/>
      <w:marTop w:val="0"/>
      <w:marBottom w:val="0"/>
      <w:divBdr>
        <w:top w:val="none" w:sz="0" w:space="0" w:color="auto"/>
        <w:left w:val="none" w:sz="0" w:space="0" w:color="auto"/>
        <w:bottom w:val="none" w:sz="0" w:space="0" w:color="auto"/>
        <w:right w:val="none" w:sz="0" w:space="0" w:color="auto"/>
      </w:divBdr>
    </w:div>
    <w:div w:id="618415239">
      <w:bodyDiv w:val="1"/>
      <w:marLeft w:val="0"/>
      <w:marRight w:val="0"/>
      <w:marTop w:val="0"/>
      <w:marBottom w:val="0"/>
      <w:divBdr>
        <w:top w:val="none" w:sz="0" w:space="0" w:color="auto"/>
        <w:left w:val="none" w:sz="0" w:space="0" w:color="auto"/>
        <w:bottom w:val="none" w:sz="0" w:space="0" w:color="auto"/>
        <w:right w:val="none" w:sz="0" w:space="0" w:color="auto"/>
      </w:divBdr>
    </w:div>
    <w:div w:id="619842399">
      <w:bodyDiv w:val="1"/>
      <w:marLeft w:val="0"/>
      <w:marRight w:val="0"/>
      <w:marTop w:val="0"/>
      <w:marBottom w:val="0"/>
      <w:divBdr>
        <w:top w:val="none" w:sz="0" w:space="0" w:color="auto"/>
        <w:left w:val="none" w:sz="0" w:space="0" w:color="auto"/>
        <w:bottom w:val="none" w:sz="0" w:space="0" w:color="auto"/>
        <w:right w:val="none" w:sz="0" w:space="0" w:color="auto"/>
      </w:divBdr>
      <w:divsChild>
        <w:div w:id="1862472739">
          <w:marLeft w:val="0"/>
          <w:marRight w:val="0"/>
          <w:marTop w:val="0"/>
          <w:marBottom w:val="720"/>
          <w:divBdr>
            <w:top w:val="none" w:sz="0" w:space="0" w:color="auto"/>
            <w:left w:val="none" w:sz="0" w:space="0" w:color="auto"/>
            <w:bottom w:val="none" w:sz="0" w:space="0" w:color="auto"/>
            <w:right w:val="none" w:sz="0" w:space="0" w:color="auto"/>
          </w:divBdr>
          <w:divsChild>
            <w:div w:id="44658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963452">
      <w:bodyDiv w:val="1"/>
      <w:marLeft w:val="0"/>
      <w:marRight w:val="0"/>
      <w:marTop w:val="0"/>
      <w:marBottom w:val="0"/>
      <w:divBdr>
        <w:top w:val="none" w:sz="0" w:space="0" w:color="auto"/>
        <w:left w:val="none" w:sz="0" w:space="0" w:color="auto"/>
        <w:bottom w:val="none" w:sz="0" w:space="0" w:color="auto"/>
        <w:right w:val="none" w:sz="0" w:space="0" w:color="auto"/>
      </w:divBdr>
    </w:div>
    <w:div w:id="635257339">
      <w:bodyDiv w:val="1"/>
      <w:marLeft w:val="0"/>
      <w:marRight w:val="0"/>
      <w:marTop w:val="0"/>
      <w:marBottom w:val="0"/>
      <w:divBdr>
        <w:top w:val="none" w:sz="0" w:space="0" w:color="auto"/>
        <w:left w:val="none" w:sz="0" w:space="0" w:color="auto"/>
        <w:bottom w:val="none" w:sz="0" w:space="0" w:color="auto"/>
        <w:right w:val="none" w:sz="0" w:space="0" w:color="auto"/>
      </w:divBdr>
    </w:div>
    <w:div w:id="642394520">
      <w:bodyDiv w:val="1"/>
      <w:marLeft w:val="0"/>
      <w:marRight w:val="0"/>
      <w:marTop w:val="0"/>
      <w:marBottom w:val="0"/>
      <w:divBdr>
        <w:top w:val="none" w:sz="0" w:space="0" w:color="auto"/>
        <w:left w:val="none" w:sz="0" w:space="0" w:color="auto"/>
        <w:bottom w:val="none" w:sz="0" w:space="0" w:color="auto"/>
        <w:right w:val="none" w:sz="0" w:space="0" w:color="auto"/>
      </w:divBdr>
    </w:div>
    <w:div w:id="647635983">
      <w:bodyDiv w:val="1"/>
      <w:marLeft w:val="0"/>
      <w:marRight w:val="0"/>
      <w:marTop w:val="0"/>
      <w:marBottom w:val="0"/>
      <w:divBdr>
        <w:top w:val="none" w:sz="0" w:space="0" w:color="auto"/>
        <w:left w:val="none" w:sz="0" w:space="0" w:color="auto"/>
        <w:bottom w:val="none" w:sz="0" w:space="0" w:color="auto"/>
        <w:right w:val="none" w:sz="0" w:space="0" w:color="auto"/>
      </w:divBdr>
    </w:div>
    <w:div w:id="657154300">
      <w:bodyDiv w:val="1"/>
      <w:marLeft w:val="0"/>
      <w:marRight w:val="0"/>
      <w:marTop w:val="0"/>
      <w:marBottom w:val="0"/>
      <w:divBdr>
        <w:top w:val="none" w:sz="0" w:space="0" w:color="auto"/>
        <w:left w:val="none" w:sz="0" w:space="0" w:color="auto"/>
        <w:bottom w:val="none" w:sz="0" w:space="0" w:color="auto"/>
        <w:right w:val="none" w:sz="0" w:space="0" w:color="auto"/>
      </w:divBdr>
    </w:div>
    <w:div w:id="657686356">
      <w:bodyDiv w:val="1"/>
      <w:marLeft w:val="0"/>
      <w:marRight w:val="0"/>
      <w:marTop w:val="0"/>
      <w:marBottom w:val="0"/>
      <w:divBdr>
        <w:top w:val="none" w:sz="0" w:space="0" w:color="auto"/>
        <w:left w:val="none" w:sz="0" w:space="0" w:color="auto"/>
        <w:bottom w:val="none" w:sz="0" w:space="0" w:color="auto"/>
        <w:right w:val="none" w:sz="0" w:space="0" w:color="auto"/>
      </w:divBdr>
    </w:div>
    <w:div w:id="658532715">
      <w:bodyDiv w:val="1"/>
      <w:marLeft w:val="0"/>
      <w:marRight w:val="0"/>
      <w:marTop w:val="0"/>
      <w:marBottom w:val="0"/>
      <w:divBdr>
        <w:top w:val="none" w:sz="0" w:space="0" w:color="auto"/>
        <w:left w:val="none" w:sz="0" w:space="0" w:color="auto"/>
        <w:bottom w:val="none" w:sz="0" w:space="0" w:color="auto"/>
        <w:right w:val="none" w:sz="0" w:space="0" w:color="auto"/>
      </w:divBdr>
      <w:divsChild>
        <w:div w:id="2044165877">
          <w:marLeft w:val="274"/>
          <w:marRight w:val="0"/>
          <w:marTop w:val="240"/>
          <w:marBottom w:val="40"/>
          <w:divBdr>
            <w:top w:val="none" w:sz="0" w:space="0" w:color="auto"/>
            <w:left w:val="none" w:sz="0" w:space="0" w:color="auto"/>
            <w:bottom w:val="none" w:sz="0" w:space="0" w:color="auto"/>
            <w:right w:val="none" w:sz="0" w:space="0" w:color="auto"/>
          </w:divBdr>
        </w:div>
      </w:divsChild>
    </w:div>
    <w:div w:id="659776514">
      <w:bodyDiv w:val="1"/>
      <w:marLeft w:val="0"/>
      <w:marRight w:val="0"/>
      <w:marTop w:val="0"/>
      <w:marBottom w:val="0"/>
      <w:divBdr>
        <w:top w:val="none" w:sz="0" w:space="0" w:color="auto"/>
        <w:left w:val="none" w:sz="0" w:space="0" w:color="auto"/>
        <w:bottom w:val="none" w:sz="0" w:space="0" w:color="auto"/>
        <w:right w:val="none" w:sz="0" w:space="0" w:color="auto"/>
      </w:divBdr>
    </w:div>
    <w:div w:id="661391433">
      <w:bodyDiv w:val="1"/>
      <w:marLeft w:val="0"/>
      <w:marRight w:val="0"/>
      <w:marTop w:val="0"/>
      <w:marBottom w:val="0"/>
      <w:divBdr>
        <w:top w:val="none" w:sz="0" w:space="0" w:color="auto"/>
        <w:left w:val="none" w:sz="0" w:space="0" w:color="auto"/>
        <w:bottom w:val="none" w:sz="0" w:space="0" w:color="auto"/>
        <w:right w:val="none" w:sz="0" w:space="0" w:color="auto"/>
      </w:divBdr>
    </w:div>
    <w:div w:id="663362734">
      <w:bodyDiv w:val="1"/>
      <w:marLeft w:val="0"/>
      <w:marRight w:val="0"/>
      <w:marTop w:val="0"/>
      <w:marBottom w:val="0"/>
      <w:divBdr>
        <w:top w:val="none" w:sz="0" w:space="0" w:color="auto"/>
        <w:left w:val="none" w:sz="0" w:space="0" w:color="auto"/>
        <w:bottom w:val="none" w:sz="0" w:space="0" w:color="auto"/>
        <w:right w:val="none" w:sz="0" w:space="0" w:color="auto"/>
      </w:divBdr>
    </w:div>
    <w:div w:id="666202664">
      <w:bodyDiv w:val="1"/>
      <w:marLeft w:val="0"/>
      <w:marRight w:val="0"/>
      <w:marTop w:val="0"/>
      <w:marBottom w:val="0"/>
      <w:divBdr>
        <w:top w:val="none" w:sz="0" w:space="0" w:color="auto"/>
        <w:left w:val="none" w:sz="0" w:space="0" w:color="auto"/>
        <w:bottom w:val="none" w:sz="0" w:space="0" w:color="auto"/>
        <w:right w:val="none" w:sz="0" w:space="0" w:color="auto"/>
      </w:divBdr>
    </w:div>
    <w:div w:id="666595596">
      <w:bodyDiv w:val="1"/>
      <w:marLeft w:val="0"/>
      <w:marRight w:val="0"/>
      <w:marTop w:val="0"/>
      <w:marBottom w:val="0"/>
      <w:divBdr>
        <w:top w:val="none" w:sz="0" w:space="0" w:color="auto"/>
        <w:left w:val="none" w:sz="0" w:space="0" w:color="auto"/>
        <w:bottom w:val="none" w:sz="0" w:space="0" w:color="auto"/>
        <w:right w:val="none" w:sz="0" w:space="0" w:color="auto"/>
      </w:divBdr>
    </w:div>
    <w:div w:id="667244510">
      <w:bodyDiv w:val="1"/>
      <w:marLeft w:val="0"/>
      <w:marRight w:val="0"/>
      <w:marTop w:val="0"/>
      <w:marBottom w:val="0"/>
      <w:divBdr>
        <w:top w:val="none" w:sz="0" w:space="0" w:color="auto"/>
        <w:left w:val="none" w:sz="0" w:space="0" w:color="auto"/>
        <w:bottom w:val="none" w:sz="0" w:space="0" w:color="auto"/>
        <w:right w:val="none" w:sz="0" w:space="0" w:color="auto"/>
      </w:divBdr>
    </w:div>
    <w:div w:id="669066307">
      <w:bodyDiv w:val="1"/>
      <w:marLeft w:val="0"/>
      <w:marRight w:val="0"/>
      <w:marTop w:val="0"/>
      <w:marBottom w:val="0"/>
      <w:divBdr>
        <w:top w:val="none" w:sz="0" w:space="0" w:color="auto"/>
        <w:left w:val="none" w:sz="0" w:space="0" w:color="auto"/>
        <w:bottom w:val="none" w:sz="0" w:space="0" w:color="auto"/>
        <w:right w:val="none" w:sz="0" w:space="0" w:color="auto"/>
      </w:divBdr>
    </w:div>
    <w:div w:id="669211579">
      <w:bodyDiv w:val="1"/>
      <w:marLeft w:val="0"/>
      <w:marRight w:val="0"/>
      <w:marTop w:val="0"/>
      <w:marBottom w:val="0"/>
      <w:divBdr>
        <w:top w:val="none" w:sz="0" w:space="0" w:color="auto"/>
        <w:left w:val="none" w:sz="0" w:space="0" w:color="auto"/>
        <w:bottom w:val="none" w:sz="0" w:space="0" w:color="auto"/>
        <w:right w:val="none" w:sz="0" w:space="0" w:color="auto"/>
      </w:divBdr>
    </w:div>
    <w:div w:id="669330577">
      <w:bodyDiv w:val="1"/>
      <w:marLeft w:val="0"/>
      <w:marRight w:val="0"/>
      <w:marTop w:val="0"/>
      <w:marBottom w:val="0"/>
      <w:divBdr>
        <w:top w:val="none" w:sz="0" w:space="0" w:color="auto"/>
        <w:left w:val="none" w:sz="0" w:space="0" w:color="auto"/>
        <w:bottom w:val="none" w:sz="0" w:space="0" w:color="auto"/>
        <w:right w:val="none" w:sz="0" w:space="0" w:color="auto"/>
      </w:divBdr>
    </w:div>
    <w:div w:id="672494947">
      <w:bodyDiv w:val="1"/>
      <w:marLeft w:val="0"/>
      <w:marRight w:val="0"/>
      <w:marTop w:val="0"/>
      <w:marBottom w:val="0"/>
      <w:divBdr>
        <w:top w:val="none" w:sz="0" w:space="0" w:color="auto"/>
        <w:left w:val="none" w:sz="0" w:space="0" w:color="auto"/>
        <w:bottom w:val="none" w:sz="0" w:space="0" w:color="auto"/>
        <w:right w:val="none" w:sz="0" w:space="0" w:color="auto"/>
      </w:divBdr>
    </w:div>
    <w:div w:id="674573071">
      <w:bodyDiv w:val="1"/>
      <w:marLeft w:val="0"/>
      <w:marRight w:val="0"/>
      <w:marTop w:val="0"/>
      <w:marBottom w:val="0"/>
      <w:divBdr>
        <w:top w:val="none" w:sz="0" w:space="0" w:color="auto"/>
        <w:left w:val="none" w:sz="0" w:space="0" w:color="auto"/>
        <w:bottom w:val="none" w:sz="0" w:space="0" w:color="auto"/>
        <w:right w:val="none" w:sz="0" w:space="0" w:color="auto"/>
      </w:divBdr>
    </w:div>
    <w:div w:id="677542132">
      <w:bodyDiv w:val="1"/>
      <w:marLeft w:val="0"/>
      <w:marRight w:val="0"/>
      <w:marTop w:val="0"/>
      <w:marBottom w:val="0"/>
      <w:divBdr>
        <w:top w:val="none" w:sz="0" w:space="0" w:color="auto"/>
        <w:left w:val="none" w:sz="0" w:space="0" w:color="auto"/>
        <w:bottom w:val="none" w:sz="0" w:space="0" w:color="auto"/>
        <w:right w:val="none" w:sz="0" w:space="0" w:color="auto"/>
      </w:divBdr>
    </w:div>
    <w:div w:id="680620819">
      <w:bodyDiv w:val="1"/>
      <w:marLeft w:val="0"/>
      <w:marRight w:val="0"/>
      <w:marTop w:val="0"/>
      <w:marBottom w:val="0"/>
      <w:divBdr>
        <w:top w:val="none" w:sz="0" w:space="0" w:color="auto"/>
        <w:left w:val="none" w:sz="0" w:space="0" w:color="auto"/>
        <w:bottom w:val="none" w:sz="0" w:space="0" w:color="auto"/>
        <w:right w:val="none" w:sz="0" w:space="0" w:color="auto"/>
      </w:divBdr>
    </w:div>
    <w:div w:id="686250941">
      <w:bodyDiv w:val="1"/>
      <w:marLeft w:val="0"/>
      <w:marRight w:val="0"/>
      <w:marTop w:val="0"/>
      <w:marBottom w:val="0"/>
      <w:divBdr>
        <w:top w:val="none" w:sz="0" w:space="0" w:color="auto"/>
        <w:left w:val="none" w:sz="0" w:space="0" w:color="auto"/>
        <w:bottom w:val="none" w:sz="0" w:space="0" w:color="auto"/>
        <w:right w:val="none" w:sz="0" w:space="0" w:color="auto"/>
      </w:divBdr>
    </w:div>
    <w:div w:id="689263937">
      <w:bodyDiv w:val="1"/>
      <w:marLeft w:val="0"/>
      <w:marRight w:val="0"/>
      <w:marTop w:val="0"/>
      <w:marBottom w:val="0"/>
      <w:divBdr>
        <w:top w:val="none" w:sz="0" w:space="0" w:color="auto"/>
        <w:left w:val="none" w:sz="0" w:space="0" w:color="auto"/>
        <w:bottom w:val="none" w:sz="0" w:space="0" w:color="auto"/>
        <w:right w:val="none" w:sz="0" w:space="0" w:color="auto"/>
      </w:divBdr>
    </w:div>
    <w:div w:id="692268818">
      <w:bodyDiv w:val="1"/>
      <w:marLeft w:val="0"/>
      <w:marRight w:val="0"/>
      <w:marTop w:val="0"/>
      <w:marBottom w:val="0"/>
      <w:divBdr>
        <w:top w:val="none" w:sz="0" w:space="0" w:color="auto"/>
        <w:left w:val="none" w:sz="0" w:space="0" w:color="auto"/>
        <w:bottom w:val="none" w:sz="0" w:space="0" w:color="auto"/>
        <w:right w:val="none" w:sz="0" w:space="0" w:color="auto"/>
      </w:divBdr>
    </w:div>
    <w:div w:id="699091817">
      <w:bodyDiv w:val="1"/>
      <w:marLeft w:val="0"/>
      <w:marRight w:val="0"/>
      <w:marTop w:val="0"/>
      <w:marBottom w:val="0"/>
      <w:divBdr>
        <w:top w:val="none" w:sz="0" w:space="0" w:color="auto"/>
        <w:left w:val="none" w:sz="0" w:space="0" w:color="auto"/>
        <w:bottom w:val="none" w:sz="0" w:space="0" w:color="auto"/>
        <w:right w:val="none" w:sz="0" w:space="0" w:color="auto"/>
      </w:divBdr>
    </w:div>
    <w:div w:id="704671986">
      <w:bodyDiv w:val="1"/>
      <w:marLeft w:val="0"/>
      <w:marRight w:val="0"/>
      <w:marTop w:val="0"/>
      <w:marBottom w:val="0"/>
      <w:divBdr>
        <w:top w:val="none" w:sz="0" w:space="0" w:color="auto"/>
        <w:left w:val="none" w:sz="0" w:space="0" w:color="auto"/>
        <w:bottom w:val="none" w:sz="0" w:space="0" w:color="auto"/>
        <w:right w:val="none" w:sz="0" w:space="0" w:color="auto"/>
      </w:divBdr>
    </w:div>
    <w:div w:id="704983494">
      <w:bodyDiv w:val="1"/>
      <w:marLeft w:val="0"/>
      <w:marRight w:val="0"/>
      <w:marTop w:val="0"/>
      <w:marBottom w:val="0"/>
      <w:divBdr>
        <w:top w:val="none" w:sz="0" w:space="0" w:color="auto"/>
        <w:left w:val="none" w:sz="0" w:space="0" w:color="auto"/>
        <w:bottom w:val="none" w:sz="0" w:space="0" w:color="auto"/>
        <w:right w:val="none" w:sz="0" w:space="0" w:color="auto"/>
      </w:divBdr>
      <w:divsChild>
        <w:div w:id="751122212">
          <w:marLeft w:val="288"/>
          <w:marRight w:val="0"/>
          <w:marTop w:val="120"/>
          <w:marBottom w:val="0"/>
          <w:divBdr>
            <w:top w:val="none" w:sz="0" w:space="0" w:color="auto"/>
            <w:left w:val="none" w:sz="0" w:space="0" w:color="auto"/>
            <w:bottom w:val="none" w:sz="0" w:space="0" w:color="auto"/>
            <w:right w:val="none" w:sz="0" w:space="0" w:color="auto"/>
          </w:divBdr>
        </w:div>
        <w:div w:id="981882553">
          <w:marLeft w:val="288"/>
          <w:marRight w:val="0"/>
          <w:marTop w:val="120"/>
          <w:marBottom w:val="0"/>
          <w:divBdr>
            <w:top w:val="none" w:sz="0" w:space="0" w:color="auto"/>
            <w:left w:val="none" w:sz="0" w:space="0" w:color="auto"/>
            <w:bottom w:val="none" w:sz="0" w:space="0" w:color="auto"/>
            <w:right w:val="none" w:sz="0" w:space="0" w:color="auto"/>
          </w:divBdr>
        </w:div>
        <w:div w:id="1797485861">
          <w:marLeft w:val="288"/>
          <w:marRight w:val="0"/>
          <w:marTop w:val="120"/>
          <w:marBottom w:val="0"/>
          <w:divBdr>
            <w:top w:val="none" w:sz="0" w:space="0" w:color="auto"/>
            <w:left w:val="none" w:sz="0" w:space="0" w:color="auto"/>
            <w:bottom w:val="none" w:sz="0" w:space="0" w:color="auto"/>
            <w:right w:val="none" w:sz="0" w:space="0" w:color="auto"/>
          </w:divBdr>
        </w:div>
      </w:divsChild>
    </w:div>
    <w:div w:id="705910364">
      <w:bodyDiv w:val="1"/>
      <w:marLeft w:val="0"/>
      <w:marRight w:val="0"/>
      <w:marTop w:val="0"/>
      <w:marBottom w:val="0"/>
      <w:divBdr>
        <w:top w:val="none" w:sz="0" w:space="0" w:color="auto"/>
        <w:left w:val="none" w:sz="0" w:space="0" w:color="auto"/>
        <w:bottom w:val="none" w:sz="0" w:space="0" w:color="auto"/>
        <w:right w:val="none" w:sz="0" w:space="0" w:color="auto"/>
      </w:divBdr>
    </w:div>
    <w:div w:id="713389153">
      <w:bodyDiv w:val="1"/>
      <w:marLeft w:val="0"/>
      <w:marRight w:val="0"/>
      <w:marTop w:val="0"/>
      <w:marBottom w:val="0"/>
      <w:divBdr>
        <w:top w:val="none" w:sz="0" w:space="0" w:color="auto"/>
        <w:left w:val="none" w:sz="0" w:space="0" w:color="auto"/>
        <w:bottom w:val="none" w:sz="0" w:space="0" w:color="auto"/>
        <w:right w:val="none" w:sz="0" w:space="0" w:color="auto"/>
      </w:divBdr>
    </w:div>
    <w:div w:id="723211896">
      <w:bodyDiv w:val="1"/>
      <w:marLeft w:val="0"/>
      <w:marRight w:val="0"/>
      <w:marTop w:val="0"/>
      <w:marBottom w:val="0"/>
      <w:divBdr>
        <w:top w:val="none" w:sz="0" w:space="0" w:color="auto"/>
        <w:left w:val="none" w:sz="0" w:space="0" w:color="auto"/>
        <w:bottom w:val="none" w:sz="0" w:space="0" w:color="auto"/>
        <w:right w:val="none" w:sz="0" w:space="0" w:color="auto"/>
      </w:divBdr>
    </w:div>
    <w:div w:id="727149136">
      <w:bodyDiv w:val="1"/>
      <w:marLeft w:val="0"/>
      <w:marRight w:val="0"/>
      <w:marTop w:val="0"/>
      <w:marBottom w:val="0"/>
      <w:divBdr>
        <w:top w:val="none" w:sz="0" w:space="0" w:color="auto"/>
        <w:left w:val="none" w:sz="0" w:space="0" w:color="auto"/>
        <w:bottom w:val="none" w:sz="0" w:space="0" w:color="auto"/>
        <w:right w:val="none" w:sz="0" w:space="0" w:color="auto"/>
      </w:divBdr>
    </w:div>
    <w:div w:id="728308853">
      <w:bodyDiv w:val="1"/>
      <w:marLeft w:val="0"/>
      <w:marRight w:val="0"/>
      <w:marTop w:val="0"/>
      <w:marBottom w:val="0"/>
      <w:divBdr>
        <w:top w:val="none" w:sz="0" w:space="0" w:color="auto"/>
        <w:left w:val="none" w:sz="0" w:space="0" w:color="auto"/>
        <w:bottom w:val="none" w:sz="0" w:space="0" w:color="auto"/>
        <w:right w:val="none" w:sz="0" w:space="0" w:color="auto"/>
      </w:divBdr>
    </w:div>
    <w:div w:id="731077782">
      <w:bodyDiv w:val="1"/>
      <w:marLeft w:val="0"/>
      <w:marRight w:val="0"/>
      <w:marTop w:val="0"/>
      <w:marBottom w:val="0"/>
      <w:divBdr>
        <w:top w:val="none" w:sz="0" w:space="0" w:color="auto"/>
        <w:left w:val="none" w:sz="0" w:space="0" w:color="auto"/>
        <w:bottom w:val="none" w:sz="0" w:space="0" w:color="auto"/>
        <w:right w:val="none" w:sz="0" w:space="0" w:color="auto"/>
      </w:divBdr>
    </w:div>
    <w:div w:id="734207560">
      <w:bodyDiv w:val="1"/>
      <w:marLeft w:val="0"/>
      <w:marRight w:val="0"/>
      <w:marTop w:val="0"/>
      <w:marBottom w:val="0"/>
      <w:divBdr>
        <w:top w:val="none" w:sz="0" w:space="0" w:color="auto"/>
        <w:left w:val="none" w:sz="0" w:space="0" w:color="auto"/>
        <w:bottom w:val="none" w:sz="0" w:space="0" w:color="auto"/>
        <w:right w:val="none" w:sz="0" w:space="0" w:color="auto"/>
      </w:divBdr>
    </w:div>
    <w:div w:id="736786692">
      <w:bodyDiv w:val="1"/>
      <w:marLeft w:val="0"/>
      <w:marRight w:val="0"/>
      <w:marTop w:val="0"/>
      <w:marBottom w:val="0"/>
      <w:divBdr>
        <w:top w:val="none" w:sz="0" w:space="0" w:color="auto"/>
        <w:left w:val="none" w:sz="0" w:space="0" w:color="auto"/>
        <w:bottom w:val="none" w:sz="0" w:space="0" w:color="auto"/>
        <w:right w:val="none" w:sz="0" w:space="0" w:color="auto"/>
      </w:divBdr>
    </w:div>
    <w:div w:id="741948265">
      <w:bodyDiv w:val="1"/>
      <w:marLeft w:val="0"/>
      <w:marRight w:val="0"/>
      <w:marTop w:val="0"/>
      <w:marBottom w:val="0"/>
      <w:divBdr>
        <w:top w:val="none" w:sz="0" w:space="0" w:color="auto"/>
        <w:left w:val="none" w:sz="0" w:space="0" w:color="auto"/>
        <w:bottom w:val="none" w:sz="0" w:space="0" w:color="auto"/>
        <w:right w:val="none" w:sz="0" w:space="0" w:color="auto"/>
      </w:divBdr>
    </w:div>
    <w:div w:id="744189157">
      <w:bodyDiv w:val="1"/>
      <w:marLeft w:val="0"/>
      <w:marRight w:val="0"/>
      <w:marTop w:val="0"/>
      <w:marBottom w:val="0"/>
      <w:divBdr>
        <w:top w:val="none" w:sz="0" w:space="0" w:color="auto"/>
        <w:left w:val="none" w:sz="0" w:space="0" w:color="auto"/>
        <w:bottom w:val="none" w:sz="0" w:space="0" w:color="auto"/>
        <w:right w:val="none" w:sz="0" w:space="0" w:color="auto"/>
      </w:divBdr>
    </w:div>
    <w:div w:id="744835532">
      <w:bodyDiv w:val="1"/>
      <w:marLeft w:val="0"/>
      <w:marRight w:val="0"/>
      <w:marTop w:val="0"/>
      <w:marBottom w:val="0"/>
      <w:divBdr>
        <w:top w:val="none" w:sz="0" w:space="0" w:color="auto"/>
        <w:left w:val="none" w:sz="0" w:space="0" w:color="auto"/>
        <w:bottom w:val="none" w:sz="0" w:space="0" w:color="auto"/>
        <w:right w:val="none" w:sz="0" w:space="0" w:color="auto"/>
      </w:divBdr>
    </w:div>
    <w:div w:id="744953135">
      <w:bodyDiv w:val="1"/>
      <w:marLeft w:val="0"/>
      <w:marRight w:val="0"/>
      <w:marTop w:val="0"/>
      <w:marBottom w:val="0"/>
      <w:divBdr>
        <w:top w:val="none" w:sz="0" w:space="0" w:color="auto"/>
        <w:left w:val="none" w:sz="0" w:space="0" w:color="auto"/>
        <w:bottom w:val="none" w:sz="0" w:space="0" w:color="auto"/>
        <w:right w:val="none" w:sz="0" w:space="0" w:color="auto"/>
      </w:divBdr>
    </w:div>
    <w:div w:id="745422676">
      <w:bodyDiv w:val="1"/>
      <w:marLeft w:val="0"/>
      <w:marRight w:val="0"/>
      <w:marTop w:val="0"/>
      <w:marBottom w:val="0"/>
      <w:divBdr>
        <w:top w:val="none" w:sz="0" w:space="0" w:color="auto"/>
        <w:left w:val="none" w:sz="0" w:space="0" w:color="auto"/>
        <w:bottom w:val="none" w:sz="0" w:space="0" w:color="auto"/>
        <w:right w:val="none" w:sz="0" w:space="0" w:color="auto"/>
      </w:divBdr>
    </w:div>
    <w:div w:id="746341581">
      <w:bodyDiv w:val="1"/>
      <w:marLeft w:val="0"/>
      <w:marRight w:val="0"/>
      <w:marTop w:val="0"/>
      <w:marBottom w:val="0"/>
      <w:divBdr>
        <w:top w:val="none" w:sz="0" w:space="0" w:color="auto"/>
        <w:left w:val="none" w:sz="0" w:space="0" w:color="auto"/>
        <w:bottom w:val="none" w:sz="0" w:space="0" w:color="auto"/>
        <w:right w:val="none" w:sz="0" w:space="0" w:color="auto"/>
      </w:divBdr>
    </w:div>
    <w:div w:id="746344991">
      <w:bodyDiv w:val="1"/>
      <w:marLeft w:val="0"/>
      <w:marRight w:val="0"/>
      <w:marTop w:val="0"/>
      <w:marBottom w:val="0"/>
      <w:divBdr>
        <w:top w:val="none" w:sz="0" w:space="0" w:color="auto"/>
        <w:left w:val="none" w:sz="0" w:space="0" w:color="auto"/>
        <w:bottom w:val="none" w:sz="0" w:space="0" w:color="auto"/>
        <w:right w:val="none" w:sz="0" w:space="0" w:color="auto"/>
      </w:divBdr>
    </w:div>
    <w:div w:id="747073480">
      <w:bodyDiv w:val="1"/>
      <w:marLeft w:val="0"/>
      <w:marRight w:val="0"/>
      <w:marTop w:val="0"/>
      <w:marBottom w:val="0"/>
      <w:divBdr>
        <w:top w:val="none" w:sz="0" w:space="0" w:color="auto"/>
        <w:left w:val="none" w:sz="0" w:space="0" w:color="auto"/>
        <w:bottom w:val="none" w:sz="0" w:space="0" w:color="auto"/>
        <w:right w:val="none" w:sz="0" w:space="0" w:color="auto"/>
      </w:divBdr>
    </w:div>
    <w:div w:id="752239915">
      <w:marLeft w:val="0"/>
      <w:marRight w:val="0"/>
      <w:marTop w:val="0"/>
      <w:marBottom w:val="0"/>
      <w:divBdr>
        <w:top w:val="none" w:sz="0" w:space="0" w:color="auto"/>
        <w:left w:val="none" w:sz="0" w:space="0" w:color="auto"/>
        <w:bottom w:val="none" w:sz="0" w:space="0" w:color="auto"/>
        <w:right w:val="none" w:sz="0" w:space="0" w:color="auto"/>
      </w:divBdr>
      <w:divsChild>
        <w:div w:id="299262814">
          <w:marLeft w:val="0"/>
          <w:marRight w:val="0"/>
          <w:marTop w:val="0"/>
          <w:marBottom w:val="0"/>
          <w:divBdr>
            <w:top w:val="none" w:sz="0" w:space="0" w:color="auto"/>
            <w:left w:val="none" w:sz="0" w:space="0" w:color="auto"/>
            <w:bottom w:val="none" w:sz="0" w:space="0" w:color="auto"/>
            <w:right w:val="none" w:sz="0" w:space="0" w:color="auto"/>
          </w:divBdr>
          <w:divsChild>
            <w:div w:id="126676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71938">
      <w:bodyDiv w:val="1"/>
      <w:marLeft w:val="0"/>
      <w:marRight w:val="0"/>
      <w:marTop w:val="0"/>
      <w:marBottom w:val="0"/>
      <w:divBdr>
        <w:top w:val="none" w:sz="0" w:space="0" w:color="auto"/>
        <w:left w:val="none" w:sz="0" w:space="0" w:color="auto"/>
        <w:bottom w:val="none" w:sz="0" w:space="0" w:color="auto"/>
        <w:right w:val="none" w:sz="0" w:space="0" w:color="auto"/>
      </w:divBdr>
    </w:div>
    <w:div w:id="761995503">
      <w:bodyDiv w:val="1"/>
      <w:marLeft w:val="0"/>
      <w:marRight w:val="0"/>
      <w:marTop w:val="0"/>
      <w:marBottom w:val="0"/>
      <w:divBdr>
        <w:top w:val="none" w:sz="0" w:space="0" w:color="auto"/>
        <w:left w:val="none" w:sz="0" w:space="0" w:color="auto"/>
        <w:bottom w:val="none" w:sz="0" w:space="0" w:color="auto"/>
        <w:right w:val="none" w:sz="0" w:space="0" w:color="auto"/>
      </w:divBdr>
    </w:div>
    <w:div w:id="763183453">
      <w:bodyDiv w:val="1"/>
      <w:marLeft w:val="0"/>
      <w:marRight w:val="0"/>
      <w:marTop w:val="0"/>
      <w:marBottom w:val="0"/>
      <w:divBdr>
        <w:top w:val="none" w:sz="0" w:space="0" w:color="auto"/>
        <w:left w:val="none" w:sz="0" w:space="0" w:color="auto"/>
        <w:bottom w:val="none" w:sz="0" w:space="0" w:color="auto"/>
        <w:right w:val="none" w:sz="0" w:space="0" w:color="auto"/>
      </w:divBdr>
    </w:div>
    <w:div w:id="766998399">
      <w:bodyDiv w:val="1"/>
      <w:marLeft w:val="0"/>
      <w:marRight w:val="0"/>
      <w:marTop w:val="0"/>
      <w:marBottom w:val="0"/>
      <w:divBdr>
        <w:top w:val="none" w:sz="0" w:space="0" w:color="auto"/>
        <w:left w:val="none" w:sz="0" w:space="0" w:color="auto"/>
        <w:bottom w:val="none" w:sz="0" w:space="0" w:color="auto"/>
        <w:right w:val="none" w:sz="0" w:space="0" w:color="auto"/>
      </w:divBdr>
    </w:div>
    <w:div w:id="770277275">
      <w:bodyDiv w:val="1"/>
      <w:marLeft w:val="0"/>
      <w:marRight w:val="0"/>
      <w:marTop w:val="0"/>
      <w:marBottom w:val="0"/>
      <w:divBdr>
        <w:top w:val="none" w:sz="0" w:space="0" w:color="auto"/>
        <w:left w:val="none" w:sz="0" w:space="0" w:color="auto"/>
        <w:bottom w:val="none" w:sz="0" w:space="0" w:color="auto"/>
        <w:right w:val="none" w:sz="0" w:space="0" w:color="auto"/>
      </w:divBdr>
      <w:divsChild>
        <w:div w:id="1780442783">
          <w:marLeft w:val="288"/>
          <w:marRight w:val="0"/>
          <w:marTop w:val="120"/>
          <w:marBottom w:val="0"/>
          <w:divBdr>
            <w:top w:val="none" w:sz="0" w:space="0" w:color="auto"/>
            <w:left w:val="none" w:sz="0" w:space="0" w:color="auto"/>
            <w:bottom w:val="none" w:sz="0" w:space="0" w:color="auto"/>
            <w:right w:val="none" w:sz="0" w:space="0" w:color="auto"/>
          </w:divBdr>
        </w:div>
        <w:div w:id="2022512904">
          <w:marLeft w:val="288"/>
          <w:marRight w:val="0"/>
          <w:marTop w:val="120"/>
          <w:marBottom w:val="0"/>
          <w:divBdr>
            <w:top w:val="none" w:sz="0" w:space="0" w:color="auto"/>
            <w:left w:val="none" w:sz="0" w:space="0" w:color="auto"/>
            <w:bottom w:val="none" w:sz="0" w:space="0" w:color="auto"/>
            <w:right w:val="none" w:sz="0" w:space="0" w:color="auto"/>
          </w:divBdr>
        </w:div>
        <w:div w:id="2046171316">
          <w:marLeft w:val="288"/>
          <w:marRight w:val="0"/>
          <w:marTop w:val="120"/>
          <w:marBottom w:val="0"/>
          <w:divBdr>
            <w:top w:val="none" w:sz="0" w:space="0" w:color="auto"/>
            <w:left w:val="none" w:sz="0" w:space="0" w:color="auto"/>
            <w:bottom w:val="none" w:sz="0" w:space="0" w:color="auto"/>
            <w:right w:val="none" w:sz="0" w:space="0" w:color="auto"/>
          </w:divBdr>
        </w:div>
        <w:div w:id="2096438174">
          <w:marLeft w:val="288"/>
          <w:marRight w:val="0"/>
          <w:marTop w:val="120"/>
          <w:marBottom w:val="0"/>
          <w:divBdr>
            <w:top w:val="none" w:sz="0" w:space="0" w:color="auto"/>
            <w:left w:val="none" w:sz="0" w:space="0" w:color="auto"/>
            <w:bottom w:val="none" w:sz="0" w:space="0" w:color="auto"/>
            <w:right w:val="none" w:sz="0" w:space="0" w:color="auto"/>
          </w:divBdr>
        </w:div>
      </w:divsChild>
    </w:div>
    <w:div w:id="771321079">
      <w:bodyDiv w:val="1"/>
      <w:marLeft w:val="0"/>
      <w:marRight w:val="0"/>
      <w:marTop w:val="0"/>
      <w:marBottom w:val="0"/>
      <w:divBdr>
        <w:top w:val="none" w:sz="0" w:space="0" w:color="auto"/>
        <w:left w:val="none" w:sz="0" w:space="0" w:color="auto"/>
        <w:bottom w:val="none" w:sz="0" w:space="0" w:color="auto"/>
        <w:right w:val="none" w:sz="0" w:space="0" w:color="auto"/>
      </w:divBdr>
    </w:div>
    <w:div w:id="792947247">
      <w:bodyDiv w:val="1"/>
      <w:marLeft w:val="0"/>
      <w:marRight w:val="0"/>
      <w:marTop w:val="0"/>
      <w:marBottom w:val="0"/>
      <w:divBdr>
        <w:top w:val="none" w:sz="0" w:space="0" w:color="auto"/>
        <w:left w:val="none" w:sz="0" w:space="0" w:color="auto"/>
        <w:bottom w:val="none" w:sz="0" w:space="0" w:color="auto"/>
        <w:right w:val="none" w:sz="0" w:space="0" w:color="auto"/>
      </w:divBdr>
    </w:div>
    <w:div w:id="795411466">
      <w:bodyDiv w:val="1"/>
      <w:marLeft w:val="0"/>
      <w:marRight w:val="0"/>
      <w:marTop w:val="0"/>
      <w:marBottom w:val="0"/>
      <w:divBdr>
        <w:top w:val="none" w:sz="0" w:space="0" w:color="auto"/>
        <w:left w:val="none" w:sz="0" w:space="0" w:color="auto"/>
        <w:bottom w:val="none" w:sz="0" w:space="0" w:color="auto"/>
        <w:right w:val="none" w:sz="0" w:space="0" w:color="auto"/>
      </w:divBdr>
    </w:div>
    <w:div w:id="801116572">
      <w:bodyDiv w:val="1"/>
      <w:marLeft w:val="0"/>
      <w:marRight w:val="0"/>
      <w:marTop w:val="0"/>
      <w:marBottom w:val="0"/>
      <w:divBdr>
        <w:top w:val="none" w:sz="0" w:space="0" w:color="auto"/>
        <w:left w:val="none" w:sz="0" w:space="0" w:color="auto"/>
        <w:bottom w:val="none" w:sz="0" w:space="0" w:color="auto"/>
        <w:right w:val="none" w:sz="0" w:space="0" w:color="auto"/>
      </w:divBdr>
    </w:div>
    <w:div w:id="804127764">
      <w:bodyDiv w:val="1"/>
      <w:marLeft w:val="0"/>
      <w:marRight w:val="0"/>
      <w:marTop w:val="0"/>
      <w:marBottom w:val="0"/>
      <w:divBdr>
        <w:top w:val="none" w:sz="0" w:space="0" w:color="auto"/>
        <w:left w:val="none" w:sz="0" w:space="0" w:color="auto"/>
        <w:bottom w:val="none" w:sz="0" w:space="0" w:color="auto"/>
        <w:right w:val="none" w:sz="0" w:space="0" w:color="auto"/>
      </w:divBdr>
    </w:div>
    <w:div w:id="804389209">
      <w:bodyDiv w:val="1"/>
      <w:marLeft w:val="0"/>
      <w:marRight w:val="0"/>
      <w:marTop w:val="0"/>
      <w:marBottom w:val="0"/>
      <w:divBdr>
        <w:top w:val="none" w:sz="0" w:space="0" w:color="auto"/>
        <w:left w:val="none" w:sz="0" w:space="0" w:color="auto"/>
        <w:bottom w:val="none" w:sz="0" w:space="0" w:color="auto"/>
        <w:right w:val="none" w:sz="0" w:space="0" w:color="auto"/>
      </w:divBdr>
      <w:divsChild>
        <w:div w:id="1058548617">
          <w:marLeft w:val="288"/>
          <w:marRight w:val="0"/>
          <w:marTop w:val="120"/>
          <w:marBottom w:val="0"/>
          <w:divBdr>
            <w:top w:val="none" w:sz="0" w:space="0" w:color="auto"/>
            <w:left w:val="none" w:sz="0" w:space="0" w:color="auto"/>
            <w:bottom w:val="none" w:sz="0" w:space="0" w:color="auto"/>
            <w:right w:val="none" w:sz="0" w:space="0" w:color="auto"/>
          </w:divBdr>
        </w:div>
        <w:div w:id="1487356924">
          <w:marLeft w:val="288"/>
          <w:marRight w:val="0"/>
          <w:marTop w:val="120"/>
          <w:marBottom w:val="0"/>
          <w:divBdr>
            <w:top w:val="none" w:sz="0" w:space="0" w:color="auto"/>
            <w:left w:val="none" w:sz="0" w:space="0" w:color="auto"/>
            <w:bottom w:val="none" w:sz="0" w:space="0" w:color="auto"/>
            <w:right w:val="none" w:sz="0" w:space="0" w:color="auto"/>
          </w:divBdr>
        </w:div>
        <w:div w:id="2118215970">
          <w:marLeft w:val="288"/>
          <w:marRight w:val="0"/>
          <w:marTop w:val="120"/>
          <w:marBottom w:val="0"/>
          <w:divBdr>
            <w:top w:val="none" w:sz="0" w:space="0" w:color="auto"/>
            <w:left w:val="none" w:sz="0" w:space="0" w:color="auto"/>
            <w:bottom w:val="none" w:sz="0" w:space="0" w:color="auto"/>
            <w:right w:val="none" w:sz="0" w:space="0" w:color="auto"/>
          </w:divBdr>
        </w:div>
      </w:divsChild>
    </w:div>
    <w:div w:id="805783050">
      <w:bodyDiv w:val="1"/>
      <w:marLeft w:val="0"/>
      <w:marRight w:val="0"/>
      <w:marTop w:val="0"/>
      <w:marBottom w:val="0"/>
      <w:divBdr>
        <w:top w:val="none" w:sz="0" w:space="0" w:color="auto"/>
        <w:left w:val="none" w:sz="0" w:space="0" w:color="auto"/>
        <w:bottom w:val="none" w:sz="0" w:space="0" w:color="auto"/>
        <w:right w:val="none" w:sz="0" w:space="0" w:color="auto"/>
      </w:divBdr>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4109452">
      <w:bodyDiv w:val="1"/>
      <w:marLeft w:val="0"/>
      <w:marRight w:val="0"/>
      <w:marTop w:val="0"/>
      <w:marBottom w:val="0"/>
      <w:divBdr>
        <w:top w:val="none" w:sz="0" w:space="0" w:color="auto"/>
        <w:left w:val="none" w:sz="0" w:space="0" w:color="auto"/>
        <w:bottom w:val="none" w:sz="0" w:space="0" w:color="auto"/>
        <w:right w:val="none" w:sz="0" w:space="0" w:color="auto"/>
      </w:divBdr>
    </w:div>
    <w:div w:id="814956599">
      <w:bodyDiv w:val="1"/>
      <w:marLeft w:val="0"/>
      <w:marRight w:val="0"/>
      <w:marTop w:val="0"/>
      <w:marBottom w:val="0"/>
      <w:divBdr>
        <w:top w:val="none" w:sz="0" w:space="0" w:color="auto"/>
        <w:left w:val="none" w:sz="0" w:space="0" w:color="auto"/>
        <w:bottom w:val="none" w:sz="0" w:space="0" w:color="auto"/>
        <w:right w:val="none" w:sz="0" w:space="0" w:color="auto"/>
      </w:divBdr>
    </w:div>
    <w:div w:id="816534928">
      <w:bodyDiv w:val="1"/>
      <w:marLeft w:val="0"/>
      <w:marRight w:val="0"/>
      <w:marTop w:val="0"/>
      <w:marBottom w:val="0"/>
      <w:divBdr>
        <w:top w:val="none" w:sz="0" w:space="0" w:color="auto"/>
        <w:left w:val="none" w:sz="0" w:space="0" w:color="auto"/>
        <w:bottom w:val="none" w:sz="0" w:space="0" w:color="auto"/>
        <w:right w:val="none" w:sz="0" w:space="0" w:color="auto"/>
      </w:divBdr>
    </w:div>
    <w:div w:id="821701806">
      <w:bodyDiv w:val="1"/>
      <w:marLeft w:val="0"/>
      <w:marRight w:val="0"/>
      <w:marTop w:val="0"/>
      <w:marBottom w:val="0"/>
      <w:divBdr>
        <w:top w:val="none" w:sz="0" w:space="0" w:color="auto"/>
        <w:left w:val="none" w:sz="0" w:space="0" w:color="auto"/>
        <w:bottom w:val="none" w:sz="0" w:space="0" w:color="auto"/>
        <w:right w:val="none" w:sz="0" w:space="0" w:color="auto"/>
      </w:divBdr>
    </w:div>
    <w:div w:id="824397754">
      <w:bodyDiv w:val="1"/>
      <w:marLeft w:val="0"/>
      <w:marRight w:val="0"/>
      <w:marTop w:val="0"/>
      <w:marBottom w:val="0"/>
      <w:divBdr>
        <w:top w:val="none" w:sz="0" w:space="0" w:color="auto"/>
        <w:left w:val="none" w:sz="0" w:space="0" w:color="auto"/>
        <w:bottom w:val="none" w:sz="0" w:space="0" w:color="auto"/>
        <w:right w:val="none" w:sz="0" w:space="0" w:color="auto"/>
      </w:divBdr>
    </w:div>
    <w:div w:id="828983978">
      <w:bodyDiv w:val="1"/>
      <w:marLeft w:val="0"/>
      <w:marRight w:val="0"/>
      <w:marTop w:val="0"/>
      <w:marBottom w:val="0"/>
      <w:divBdr>
        <w:top w:val="none" w:sz="0" w:space="0" w:color="auto"/>
        <w:left w:val="none" w:sz="0" w:space="0" w:color="auto"/>
        <w:bottom w:val="none" w:sz="0" w:space="0" w:color="auto"/>
        <w:right w:val="none" w:sz="0" w:space="0" w:color="auto"/>
      </w:divBdr>
    </w:div>
    <w:div w:id="831415267">
      <w:bodyDiv w:val="1"/>
      <w:marLeft w:val="0"/>
      <w:marRight w:val="0"/>
      <w:marTop w:val="0"/>
      <w:marBottom w:val="0"/>
      <w:divBdr>
        <w:top w:val="none" w:sz="0" w:space="0" w:color="auto"/>
        <w:left w:val="none" w:sz="0" w:space="0" w:color="auto"/>
        <w:bottom w:val="none" w:sz="0" w:space="0" w:color="auto"/>
        <w:right w:val="none" w:sz="0" w:space="0" w:color="auto"/>
      </w:divBdr>
    </w:div>
    <w:div w:id="834147486">
      <w:bodyDiv w:val="1"/>
      <w:marLeft w:val="0"/>
      <w:marRight w:val="0"/>
      <w:marTop w:val="0"/>
      <w:marBottom w:val="0"/>
      <w:divBdr>
        <w:top w:val="none" w:sz="0" w:space="0" w:color="auto"/>
        <w:left w:val="none" w:sz="0" w:space="0" w:color="auto"/>
        <w:bottom w:val="none" w:sz="0" w:space="0" w:color="auto"/>
        <w:right w:val="none" w:sz="0" w:space="0" w:color="auto"/>
      </w:divBdr>
    </w:div>
    <w:div w:id="835000867">
      <w:bodyDiv w:val="1"/>
      <w:marLeft w:val="0"/>
      <w:marRight w:val="0"/>
      <w:marTop w:val="0"/>
      <w:marBottom w:val="0"/>
      <w:divBdr>
        <w:top w:val="none" w:sz="0" w:space="0" w:color="auto"/>
        <w:left w:val="none" w:sz="0" w:space="0" w:color="auto"/>
        <w:bottom w:val="none" w:sz="0" w:space="0" w:color="auto"/>
        <w:right w:val="none" w:sz="0" w:space="0" w:color="auto"/>
      </w:divBdr>
    </w:div>
    <w:div w:id="841236606">
      <w:bodyDiv w:val="1"/>
      <w:marLeft w:val="0"/>
      <w:marRight w:val="0"/>
      <w:marTop w:val="0"/>
      <w:marBottom w:val="0"/>
      <w:divBdr>
        <w:top w:val="none" w:sz="0" w:space="0" w:color="auto"/>
        <w:left w:val="none" w:sz="0" w:space="0" w:color="auto"/>
        <w:bottom w:val="none" w:sz="0" w:space="0" w:color="auto"/>
        <w:right w:val="none" w:sz="0" w:space="0" w:color="auto"/>
      </w:divBdr>
    </w:div>
    <w:div w:id="843665657">
      <w:bodyDiv w:val="1"/>
      <w:marLeft w:val="0"/>
      <w:marRight w:val="0"/>
      <w:marTop w:val="0"/>
      <w:marBottom w:val="0"/>
      <w:divBdr>
        <w:top w:val="none" w:sz="0" w:space="0" w:color="auto"/>
        <w:left w:val="none" w:sz="0" w:space="0" w:color="auto"/>
        <w:bottom w:val="none" w:sz="0" w:space="0" w:color="auto"/>
        <w:right w:val="none" w:sz="0" w:space="0" w:color="auto"/>
      </w:divBdr>
    </w:div>
    <w:div w:id="845098396">
      <w:bodyDiv w:val="1"/>
      <w:marLeft w:val="0"/>
      <w:marRight w:val="0"/>
      <w:marTop w:val="0"/>
      <w:marBottom w:val="0"/>
      <w:divBdr>
        <w:top w:val="none" w:sz="0" w:space="0" w:color="auto"/>
        <w:left w:val="none" w:sz="0" w:space="0" w:color="auto"/>
        <w:bottom w:val="none" w:sz="0" w:space="0" w:color="auto"/>
        <w:right w:val="none" w:sz="0" w:space="0" w:color="auto"/>
      </w:divBdr>
    </w:div>
    <w:div w:id="850804745">
      <w:bodyDiv w:val="1"/>
      <w:marLeft w:val="0"/>
      <w:marRight w:val="0"/>
      <w:marTop w:val="0"/>
      <w:marBottom w:val="0"/>
      <w:divBdr>
        <w:top w:val="none" w:sz="0" w:space="0" w:color="auto"/>
        <w:left w:val="none" w:sz="0" w:space="0" w:color="auto"/>
        <w:bottom w:val="none" w:sz="0" w:space="0" w:color="auto"/>
        <w:right w:val="none" w:sz="0" w:space="0" w:color="auto"/>
      </w:divBdr>
    </w:div>
    <w:div w:id="851186767">
      <w:bodyDiv w:val="1"/>
      <w:marLeft w:val="0"/>
      <w:marRight w:val="0"/>
      <w:marTop w:val="0"/>
      <w:marBottom w:val="0"/>
      <w:divBdr>
        <w:top w:val="none" w:sz="0" w:space="0" w:color="auto"/>
        <w:left w:val="none" w:sz="0" w:space="0" w:color="auto"/>
        <w:bottom w:val="none" w:sz="0" w:space="0" w:color="auto"/>
        <w:right w:val="none" w:sz="0" w:space="0" w:color="auto"/>
      </w:divBdr>
    </w:div>
    <w:div w:id="857695539">
      <w:bodyDiv w:val="1"/>
      <w:marLeft w:val="0"/>
      <w:marRight w:val="0"/>
      <w:marTop w:val="0"/>
      <w:marBottom w:val="0"/>
      <w:divBdr>
        <w:top w:val="none" w:sz="0" w:space="0" w:color="auto"/>
        <w:left w:val="none" w:sz="0" w:space="0" w:color="auto"/>
        <w:bottom w:val="none" w:sz="0" w:space="0" w:color="auto"/>
        <w:right w:val="none" w:sz="0" w:space="0" w:color="auto"/>
      </w:divBdr>
    </w:div>
    <w:div w:id="858547457">
      <w:bodyDiv w:val="1"/>
      <w:marLeft w:val="0"/>
      <w:marRight w:val="0"/>
      <w:marTop w:val="0"/>
      <w:marBottom w:val="0"/>
      <w:divBdr>
        <w:top w:val="none" w:sz="0" w:space="0" w:color="auto"/>
        <w:left w:val="none" w:sz="0" w:space="0" w:color="auto"/>
        <w:bottom w:val="none" w:sz="0" w:space="0" w:color="auto"/>
        <w:right w:val="none" w:sz="0" w:space="0" w:color="auto"/>
      </w:divBdr>
    </w:div>
    <w:div w:id="865338502">
      <w:bodyDiv w:val="1"/>
      <w:marLeft w:val="0"/>
      <w:marRight w:val="0"/>
      <w:marTop w:val="0"/>
      <w:marBottom w:val="0"/>
      <w:divBdr>
        <w:top w:val="none" w:sz="0" w:space="0" w:color="auto"/>
        <w:left w:val="none" w:sz="0" w:space="0" w:color="auto"/>
        <w:bottom w:val="none" w:sz="0" w:space="0" w:color="auto"/>
        <w:right w:val="none" w:sz="0" w:space="0" w:color="auto"/>
      </w:divBdr>
    </w:div>
    <w:div w:id="867762452">
      <w:bodyDiv w:val="1"/>
      <w:marLeft w:val="0"/>
      <w:marRight w:val="0"/>
      <w:marTop w:val="0"/>
      <w:marBottom w:val="0"/>
      <w:divBdr>
        <w:top w:val="none" w:sz="0" w:space="0" w:color="auto"/>
        <w:left w:val="none" w:sz="0" w:space="0" w:color="auto"/>
        <w:bottom w:val="none" w:sz="0" w:space="0" w:color="auto"/>
        <w:right w:val="none" w:sz="0" w:space="0" w:color="auto"/>
      </w:divBdr>
    </w:div>
    <w:div w:id="868225929">
      <w:bodyDiv w:val="1"/>
      <w:marLeft w:val="0"/>
      <w:marRight w:val="0"/>
      <w:marTop w:val="0"/>
      <w:marBottom w:val="0"/>
      <w:divBdr>
        <w:top w:val="none" w:sz="0" w:space="0" w:color="auto"/>
        <w:left w:val="none" w:sz="0" w:space="0" w:color="auto"/>
        <w:bottom w:val="none" w:sz="0" w:space="0" w:color="auto"/>
        <w:right w:val="none" w:sz="0" w:space="0" w:color="auto"/>
      </w:divBdr>
    </w:div>
    <w:div w:id="870411167">
      <w:bodyDiv w:val="1"/>
      <w:marLeft w:val="0"/>
      <w:marRight w:val="0"/>
      <w:marTop w:val="0"/>
      <w:marBottom w:val="0"/>
      <w:divBdr>
        <w:top w:val="none" w:sz="0" w:space="0" w:color="auto"/>
        <w:left w:val="none" w:sz="0" w:space="0" w:color="auto"/>
        <w:bottom w:val="none" w:sz="0" w:space="0" w:color="auto"/>
        <w:right w:val="none" w:sz="0" w:space="0" w:color="auto"/>
      </w:divBdr>
    </w:div>
    <w:div w:id="871577001">
      <w:bodyDiv w:val="1"/>
      <w:marLeft w:val="0"/>
      <w:marRight w:val="0"/>
      <w:marTop w:val="0"/>
      <w:marBottom w:val="0"/>
      <w:divBdr>
        <w:top w:val="none" w:sz="0" w:space="0" w:color="auto"/>
        <w:left w:val="none" w:sz="0" w:space="0" w:color="auto"/>
        <w:bottom w:val="none" w:sz="0" w:space="0" w:color="auto"/>
        <w:right w:val="none" w:sz="0" w:space="0" w:color="auto"/>
      </w:divBdr>
    </w:div>
    <w:div w:id="877275395">
      <w:bodyDiv w:val="1"/>
      <w:marLeft w:val="0"/>
      <w:marRight w:val="0"/>
      <w:marTop w:val="0"/>
      <w:marBottom w:val="0"/>
      <w:divBdr>
        <w:top w:val="none" w:sz="0" w:space="0" w:color="auto"/>
        <w:left w:val="none" w:sz="0" w:space="0" w:color="auto"/>
        <w:bottom w:val="none" w:sz="0" w:space="0" w:color="auto"/>
        <w:right w:val="none" w:sz="0" w:space="0" w:color="auto"/>
      </w:divBdr>
    </w:div>
    <w:div w:id="877358098">
      <w:bodyDiv w:val="1"/>
      <w:marLeft w:val="0"/>
      <w:marRight w:val="0"/>
      <w:marTop w:val="0"/>
      <w:marBottom w:val="0"/>
      <w:divBdr>
        <w:top w:val="none" w:sz="0" w:space="0" w:color="auto"/>
        <w:left w:val="none" w:sz="0" w:space="0" w:color="auto"/>
        <w:bottom w:val="none" w:sz="0" w:space="0" w:color="auto"/>
        <w:right w:val="none" w:sz="0" w:space="0" w:color="auto"/>
      </w:divBdr>
    </w:div>
    <w:div w:id="879166631">
      <w:bodyDiv w:val="1"/>
      <w:marLeft w:val="0"/>
      <w:marRight w:val="0"/>
      <w:marTop w:val="0"/>
      <w:marBottom w:val="0"/>
      <w:divBdr>
        <w:top w:val="none" w:sz="0" w:space="0" w:color="auto"/>
        <w:left w:val="none" w:sz="0" w:space="0" w:color="auto"/>
        <w:bottom w:val="none" w:sz="0" w:space="0" w:color="auto"/>
        <w:right w:val="none" w:sz="0" w:space="0" w:color="auto"/>
      </w:divBdr>
    </w:div>
    <w:div w:id="880438348">
      <w:bodyDiv w:val="1"/>
      <w:marLeft w:val="0"/>
      <w:marRight w:val="0"/>
      <w:marTop w:val="0"/>
      <w:marBottom w:val="0"/>
      <w:divBdr>
        <w:top w:val="none" w:sz="0" w:space="0" w:color="auto"/>
        <w:left w:val="none" w:sz="0" w:space="0" w:color="auto"/>
        <w:bottom w:val="none" w:sz="0" w:space="0" w:color="auto"/>
        <w:right w:val="none" w:sz="0" w:space="0" w:color="auto"/>
      </w:divBdr>
    </w:div>
    <w:div w:id="881015355">
      <w:bodyDiv w:val="1"/>
      <w:marLeft w:val="0"/>
      <w:marRight w:val="0"/>
      <w:marTop w:val="0"/>
      <w:marBottom w:val="0"/>
      <w:divBdr>
        <w:top w:val="none" w:sz="0" w:space="0" w:color="auto"/>
        <w:left w:val="none" w:sz="0" w:space="0" w:color="auto"/>
        <w:bottom w:val="none" w:sz="0" w:space="0" w:color="auto"/>
        <w:right w:val="none" w:sz="0" w:space="0" w:color="auto"/>
      </w:divBdr>
    </w:div>
    <w:div w:id="882250734">
      <w:bodyDiv w:val="1"/>
      <w:marLeft w:val="0"/>
      <w:marRight w:val="0"/>
      <w:marTop w:val="0"/>
      <w:marBottom w:val="0"/>
      <w:divBdr>
        <w:top w:val="none" w:sz="0" w:space="0" w:color="auto"/>
        <w:left w:val="none" w:sz="0" w:space="0" w:color="auto"/>
        <w:bottom w:val="none" w:sz="0" w:space="0" w:color="auto"/>
        <w:right w:val="none" w:sz="0" w:space="0" w:color="auto"/>
      </w:divBdr>
    </w:div>
    <w:div w:id="882332954">
      <w:bodyDiv w:val="1"/>
      <w:marLeft w:val="0"/>
      <w:marRight w:val="0"/>
      <w:marTop w:val="0"/>
      <w:marBottom w:val="0"/>
      <w:divBdr>
        <w:top w:val="none" w:sz="0" w:space="0" w:color="auto"/>
        <w:left w:val="none" w:sz="0" w:space="0" w:color="auto"/>
        <w:bottom w:val="none" w:sz="0" w:space="0" w:color="auto"/>
        <w:right w:val="none" w:sz="0" w:space="0" w:color="auto"/>
      </w:divBdr>
    </w:div>
    <w:div w:id="883179516">
      <w:bodyDiv w:val="1"/>
      <w:marLeft w:val="0"/>
      <w:marRight w:val="0"/>
      <w:marTop w:val="0"/>
      <w:marBottom w:val="0"/>
      <w:divBdr>
        <w:top w:val="none" w:sz="0" w:space="0" w:color="auto"/>
        <w:left w:val="none" w:sz="0" w:space="0" w:color="auto"/>
        <w:bottom w:val="none" w:sz="0" w:space="0" w:color="auto"/>
        <w:right w:val="none" w:sz="0" w:space="0" w:color="auto"/>
      </w:divBdr>
    </w:div>
    <w:div w:id="888998955">
      <w:bodyDiv w:val="1"/>
      <w:marLeft w:val="0"/>
      <w:marRight w:val="0"/>
      <w:marTop w:val="0"/>
      <w:marBottom w:val="0"/>
      <w:divBdr>
        <w:top w:val="none" w:sz="0" w:space="0" w:color="auto"/>
        <w:left w:val="none" w:sz="0" w:space="0" w:color="auto"/>
        <w:bottom w:val="none" w:sz="0" w:space="0" w:color="auto"/>
        <w:right w:val="none" w:sz="0" w:space="0" w:color="auto"/>
      </w:divBdr>
    </w:div>
    <w:div w:id="900671337">
      <w:bodyDiv w:val="1"/>
      <w:marLeft w:val="0"/>
      <w:marRight w:val="0"/>
      <w:marTop w:val="0"/>
      <w:marBottom w:val="0"/>
      <w:divBdr>
        <w:top w:val="none" w:sz="0" w:space="0" w:color="auto"/>
        <w:left w:val="none" w:sz="0" w:space="0" w:color="auto"/>
        <w:bottom w:val="none" w:sz="0" w:space="0" w:color="auto"/>
        <w:right w:val="none" w:sz="0" w:space="0" w:color="auto"/>
      </w:divBdr>
    </w:div>
    <w:div w:id="900940661">
      <w:bodyDiv w:val="1"/>
      <w:marLeft w:val="0"/>
      <w:marRight w:val="0"/>
      <w:marTop w:val="0"/>
      <w:marBottom w:val="0"/>
      <w:divBdr>
        <w:top w:val="none" w:sz="0" w:space="0" w:color="auto"/>
        <w:left w:val="none" w:sz="0" w:space="0" w:color="auto"/>
        <w:bottom w:val="none" w:sz="0" w:space="0" w:color="auto"/>
        <w:right w:val="none" w:sz="0" w:space="0" w:color="auto"/>
      </w:divBdr>
    </w:div>
    <w:div w:id="903027506">
      <w:bodyDiv w:val="1"/>
      <w:marLeft w:val="0"/>
      <w:marRight w:val="0"/>
      <w:marTop w:val="0"/>
      <w:marBottom w:val="0"/>
      <w:divBdr>
        <w:top w:val="none" w:sz="0" w:space="0" w:color="auto"/>
        <w:left w:val="none" w:sz="0" w:space="0" w:color="auto"/>
        <w:bottom w:val="none" w:sz="0" w:space="0" w:color="auto"/>
        <w:right w:val="none" w:sz="0" w:space="0" w:color="auto"/>
      </w:divBdr>
    </w:div>
    <w:div w:id="903611394">
      <w:bodyDiv w:val="1"/>
      <w:marLeft w:val="0"/>
      <w:marRight w:val="0"/>
      <w:marTop w:val="0"/>
      <w:marBottom w:val="0"/>
      <w:divBdr>
        <w:top w:val="none" w:sz="0" w:space="0" w:color="auto"/>
        <w:left w:val="none" w:sz="0" w:space="0" w:color="auto"/>
        <w:bottom w:val="none" w:sz="0" w:space="0" w:color="auto"/>
        <w:right w:val="none" w:sz="0" w:space="0" w:color="auto"/>
      </w:divBdr>
    </w:div>
    <w:div w:id="908618036">
      <w:bodyDiv w:val="1"/>
      <w:marLeft w:val="0"/>
      <w:marRight w:val="0"/>
      <w:marTop w:val="0"/>
      <w:marBottom w:val="0"/>
      <w:divBdr>
        <w:top w:val="none" w:sz="0" w:space="0" w:color="auto"/>
        <w:left w:val="none" w:sz="0" w:space="0" w:color="auto"/>
        <w:bottom w:val="none" w:sz="0" w:space="0" w:color="auto"/>
        <w:right w:val="none" w:sz="0" w:space="0" w:color="auto"/>
      </w:divBdr>
    </w:div>
    <w:div w:id="908885531">
      <w:bodyDiv w:val="1"/>
      <w:marLeft w:val="0"/>
      <w:marRight w:val="0"/>
      <w:marTop w:val="0"/>
      <w:marBottom w:val="0"/>
      <w:divBdr>
        <w:top w:val="none" w:sz="0" w:space="0" w:color="auto"/>
        <w:left w:val="none" w:sz="0" w:space="0" w:color="auto"/>
        <w:bottom w:val="none" w:sz="0" w:space="0" w:color="auto"/>
        <w:right w:val="none" w:sz="0" w:space="0" w:color="auto"/>
      </w:divBdr>
    </w:div>
    <w:div w:id="911432841">
      <w:bodyDiv w:val="1"/>
      <w:marLeft w:val="0"/>
      <w:marRight w:val="0"/>
      <w:marTop w:val="0"/>
      <w:marBottom w:val="0"/>
      <w:divBdr>
        <w:top w:val="none" w:sz="0" w:space="0" w:color="auto"/>
        <w:left w:val="none" w:sz="0" w:space="0" w:color="auto"/>
        <w:bottom w:val="none" w:sz="0" w:space="0" w:color="auto"/>
        <w:right w:val="none" w:sz="0" w:space="0" w:color="auto"/>
      </w:divBdr>
    </w:div>
    <w:div w:id="912742428">
      <w:bodyDiv w:val="1"/>
      <w:marLeft w:val="0"/>
      <w:marRight w:val="0"/>
      <w:marTop w:val="0"/>
      <w:marBottom w:val="0"/>
      <w:divBdr>
        <w:top w:val="none" w:sz="0" w:space="0" w:color="auto"/>
        <w:left w:val="none" w:sz="0" w:space="0" w:color="auto"/>
        <w:bottom w:val="none" w:sz="0" w:space="0" w:color="auto"/>
        <w:right w:val="none" w:sz="0" w:space="0" w:color="auto"/>
      </w:divBdr>
    </w:div>
    <w:div w:id="919797914">
      <w:bodyDiv w:val="1"/>
      <w:marLeft w:val="0"/>
      <w:marRight w:val="0"/>
      <w:marTop w:val="0"/>
      <w:marBottom w:val="0"/>
      <w:divBdr>
        <w:top w:val="none" w:sz="0" w:space="0" w:color="auto"/>
        <w:left w:val="none" w:sz="0" w:space="0" w:color="auto"/>
        <w:bottom w:val="none" w:sz="0" w:space="0" w:color="auto"/>
        <w:right w:val="none" w:sz="0" w:space="0" w:color="auto"/>
      </w:divBdr>
    </w:div>
    <w:div w:id="920136830">
      <w:bodyDiv w:val="1"/>
      <w:marLeft w:val="0"/>
      <w:marRight w:val="0"/>
      <w:marTop w:val="0"/>
      <w:marBottom w:val="0"/>
      <w:divBdr>
        <w:top w:val="none" w:sz="0" w:space="0" w:color="auto"/>
        <w:left w:val="none" w:sz="0" w:space="0" w:color="auto"/>
        <w:bottom w:val="none" w:sz="0" w:space="0" w:color="auto"/>
        <w:right w:val="none" w:sz="0" w:space="0" w:color="auto"/>
      </w:divBdr>
    </w:div>
    <w:div w:id="920483464">
      <w:bodyDiv w:val="1"/>
      <w:marLeft w:val="0"/>
      <w:marRight w:val="0"/>
      <w:marTop w:val="0"/>
      <w:marBottom w:val="0"/>
      <w:divBdr>
        <w:top w:val="none" w:sz="0" w:space="0" w:color="auto"/>
        <w:left w:val="none" w:sz="0" w:space="0" w:color="auto"/>
        <w:bottom w:val="none" w:sz="0" w:space="0" w:color="auto"/>
        <w:right w:val="none" w:sz="0" w:space="0" w:color="auto"/>
      </w:divBdr>
    </w:div>
    <w:div w:id="921336447">
      <w:bodyDiv w:val="1"/>
      <w:marLeft w:val="0"/>
      <w:marRight w:val="0"/>
      <w:marTop w:val="0"/>
      <w:marBottom w:val="0"/>
      <w:divBdr>
        <w:top w:val="none" w:sz="0" w:space="0" w:color="auto"/>
        <w:left w:val="none" w:sz="0" w:space="0" w:color="auto"/>
        <w:bottom w:val="none" w:sz="0" w:space="0" w:color="auto"/>
        <w:right w:val="none" w:sz="0" w:space="0" w:color="auto"/>
      </w:divBdr>
    </w:div>
    <w:div w:id="924731446">
      <w:bodyDiv w:val="1"/>
      <w:marLeft w:val="0"/>
      <w:marRight w:val="0"/>
      <w:marTop w:val="0"/>
      <w:marBottom w:val="0"/>
      <w:divBdr>
        <w:top w:val="none" w:sz="0" w:space="0" w:color="auto"/>
        <w:left w:val="none" w:sz="0" w:space="0" w:color="auto"/>
        <w:bottom w:val="none" w:sz="0" w:space="0" w:color="auto"/>
        <w:right w:val="none" w:sz="0" w:space="0" w:color="auto"/>
      </w:divBdr>
    </w:div>
    <w:div w:id="928924219">
      <w:bodyDiv w:val="1"/>
      <w:marLeft w:val="0"/>
      <w:marRight w:val="0"/>
      <w:marTop w:val="0"/>
      <w:marBottom w:val="0"/>
      <w:divBdr>
        <w:top w:val="none" w:sz="0" w:space="0" w:color="auto"/>
        <w:left w:val="none" w:sz="0" w:space="0" w:color="auto"/>
        <w:bottom w:val="none" w:sz="0" w:space="0" w:color="auto"/>
        <w:right w:val="none" w:sz="0" w:space="0" w:color="auto"/>
      </w:divBdr>
    </w:div>
    <w:div w:id="929001211">
      <w:bodyDiv w:val="1"/>
      <w:marLeft w:val="0"/>
      <w:marRight w:val="0"/>
      <w:marTop w:val="0"/>
      <w:marBottom w:val="0"/>
      <w:divBdr>
        <w:top w:val="none" w:sz="0" w:space="0" w:color="auto"/>
        <w:left w:val="none" w:sz="0" w:space="0" w:color="auto"/>
        <w:bottom w:val="none" w:sz="0" w:space="0" w:color="auto"/>
        <w:right w:val="none" w:sz="0" w:space="0" w:color="auto"/>
      </w:divBdr>
    </w:div>
    <w:div w:id="943147654">
      <w:bodyDiv w:val="1"/>
      <w:marLeft w:val="0"/>
      <w:marRight w:val="0"/>
      <w:marTop w:val="0"/>
      <w:marBottom w:val="0"/>
      <w:divBdr>
        <w:top w:val="none" w:sz="0" w:space="0" w:color="auto"/>
        <w:left w:val="none" w:sz="0" w:space="0" w:color="auto"/>
        <w:bottom w:val="none" w:sz="0" w:space="0" w:color="auto"/>
        <w:right w:val="none" w:sz="0" w:space="0" w:color="auto"/>
      </w:divBdr>
    </w:div>
    <w:div w:id="943658069">
      <w:bodyDiv w:val="1"/>
      <w:marLeft w:val="0"/>
      <w:marRight w:val="0"/>
      <w:marTop w:val="0"/>
      <w:marBottom w:val="0"/>
      <w:divBdr>
        <w:top w:val="none" w:sz="0" w:space="0" w:color="auto"/>
        <w:left w:val="none" w:sz="0" w:space="0" w:color="auto"/>
        <w:bottom w:val="none" w:sz="0" w:space="0" w:color="auto"/>
        <w:right w:val="none" w:sz="0" w:space="0" w:color="auto"/>
      </w:divBdr>
    </w:div>
    <w:div w:id="945504851">
      <w:bodyDiv w:val="1"/>
      <w:marLeft w:val="0"/>
      <w:marRight w:val="0"/>
      <w:marTop w:val="0"/>
      <w:marBottom w:val="0"/>
      <w:divBdr>
        <w:top w:val="none" w:sz="0" w:space="0" w:color="auto"/>
        <w:left w:val="none" w:sz="0" w:space="0" w:color="auto"/>
        <w:bottom w:val="none" w:sz="0" w:space="0" w:color="auto"/>
        <w:right w:val="none" w:sz="0" w:space="0" w:color="auto"/>
      </w:divBdr>
    </w:div>
    <w:div w:id="946354235">
      <w:bodyDiv w:val="1"/>
      <w:marLeft w:val="0"/>
      <w:marRight w:val="0"/>
      <w:marTop w:val="0"/>
      <w:marBottom w:val="0"/>
      <w:divBdr>
        <w:top w:val="none" w:sz="0" w:space="0" w:color="auto"/>
        <w:left w:val="none" w:sz="0" w:space="0" w:color="auto"/>
        <w:bottom w:val="none" w:sz="0" w:space="0" w:color="auto"/>
        <w:right w:val="none" w:sz="0" w:space="0" w:color="auto"/>
      </w:divBdr>
    </w:div>
    <w:div w:id="949823342">
      <w:bodyDiv w:val="1"/>
      <w:marLeft w:val="0"/>
      <w:marRight w:val="0"/>
      <w:marTop w:val="0"/>
      <w:marBottom w:val="0"/>
      <w:divBdr>
        <w:top w:val="none" w:sz="0" w:space="0" w:color="auto"/>
        <w:left w:val="none" w:sz="0" w:space="0" w:color="auto"/>
        <w:bottom w:val="none" w:sz="0" w:space="0" w:color="auto"/>
        <w:right w:val="none" w:sz="0" w:space="0" w:color="auto"/>
      </w:divBdr>
    </w:div>
    <w:div w:id="963660112">
      <w:bodyDiv w:val="1"/>
      <w:marLeft w:val="0"/>
      <w:marRight w:val="0"/>
      <w:marTop w:val="0"/>
      <w:marBottom w:val="0"/>
      <w:divBdr>
        <w:top w:val="none" w:sz="0" w:space="0" w:color="auto"/>
        <w:left w:val="none" w:sz="0" w:space="0" w:color="auto"/>
        <w:bottom w:val="none" w:sz="0" w:space="0" w:color="auto"/>
        <w:right w:val="none" w:sz="0" w:space="0" w:color="auto"/>
      </w:divBdr>
    </w:div>
    <w:div w:id="966157071">
      <w:bodyDiv w:val="1"/>
      <w:marLeft w:val="0"/>
      <w:marRight w:val="0"/>
      <w:marTop w:val="0"/>
      <w:marBottom w:val="0"/>
      <w:divBdr>
        <w:top w:val="none" w:sz="0" w:space="0" w:color="auto"/>
        <w:left w:val="none" w:sz="0" w:space="0" w:color="auto"/>
        <w:bottom w:val="none" w:sz="0" w:space="0" w:color="auto"/>
        <w:right w:val="none" w:sz="0" w:space="0" w:color="auto"/>
      </w:divBdr>
    </w:div>
    <w:div w:id="970476008">
      <w:bodyDiv w:val="1"/>
      <w:marLeft w:val="0"/>
      <w:marRight w:val="0"/>
      <w:marTop w:val="0"/>
      <w:marBottom w:val="0"/>
      <w:divBdr>
        <w:top w:val="none" w:sz="0" w:space="0" w:color="auto"/>
        <w:left w:val="none" w:sz="0" w:space="0" w:color="auto"/>
        <w:bottom w:val="none" w:sz="0" w:space="0" w:color="auto"/>
        <w:right w:val="none" w:sz="0" w:space="0" w:color="auto"/>
      </w:divBdr>
      <w:divsChild>
        <w:div w:id="78526012">
          <w:marLeft w:val="288"/>
          <w:marRight w:val="0"/>
          <w:marTop w:val="120"/>
          <w:marBottom w:val="0"/>
          <w:divBdr>
            <w:top w:val="none" w:sz="0" w:space="0" w:color="auto"/>
            <w:left w:val="none" w:sz="0" w:space="0" w:color="auto"/>
            <w:bottom w:val="none" w:sz="0" w:space="0" w:color="auto"/>
            <w:right w:val="none" w:sz="0" w:space="0" w:color="auto"/>
          </w:divBdr>
        </w:div>
        <w:div w:id="80420462">
          <w:marLeft w:val="288"/>
          <w:marRight w:val="0"/>
          <w:marTop w:val="120"/>
          <w:marBottom w:val="0"/>
          <w:divBdr>
            <w:top w:val="none" w:sz="0" w:space="0" w:color="auto"/>
            <w:left w:val="none" w:sz="0" w:space="0" w:color="auto"/>
            <w:bottom w:val="none" w:sz="0" w:space="0" w:color="auto"/>
            <w:right w:val="none" w:sz="0" w:space="0" w:color="auto"/>
          </w:divBdr>
        </w:div>
        <w:div w:id="1574588602">
          <w:marLeft w:val="288"/>
          <w:marRight w:val="0"/>
          <w:marTop w:val="120"/>
          <w:marBottom w:val="0"/>
          <w:divBdr>
            <w:top w:val="none" w:sz="0" w:space="0" w:color="auto"/>
            <w:left w:val="none" w:sz="0" w:space="0" w:color="auto"/>
            <w:bottom w:val="none" w:sz="0" w:space="0" w:color="auto"/>
            <w:right w:val="none" w:sz="0" w:space="0" w:color="auto"/>
          </w:divBdr>
        </w:div>
        <w:div w:id="2067756526">
          <w:marLeft w:val="288"/>
          <w:marRight w:val="0"/>
          <w:marTop w:val="120"/>
          <w:marBottom w:val="0"/>
          <w:divBdr>
            <w:top w:val="none" w:sz="0" w:space="0" w:color="auto"/>
            <w:left w:val="none" w:sz="0" w:space="0" w:color="auto"/>
            <w:bottom w:val="none" w:sz="0" w:space="0" w:color="auto"/>
            <w:right w:val="none" w:sz="0" w:space="0" w:color="auto"/>
          </w:divBdr>
        </w:div>
      </w:divsChild>
    </w:div>
    <w:div w:id="972103644">
      <w:bodyDiv w:val="1"/>
      <w:marLeft w:val="0"/>
      <w:marRight w:val="0"/>
      <w:marTop w:val="0"/>
      <w:marBottom w:val="0"/>
      <w:divBdr>
        <w:top w:val="none" w:sz="0" w:space="0" w:color="auto"/>
        <w:left w:val="none" w:sz="0" w:space="0" w:color="auto"/>
        <w:bottom w:val="none" w:sz="0" w:space="0" w:color="auto"/>
        <w:right w:val="none" w:sz="0" w:space="0" w:color="auto"/>
      </w:divBdr>
    </w:div>
    <w:div w:id="976761632">
      <w:bodyDiv w:val="1"/>
      <w:marLeft w:val="0"/>
      <w:marRight w:val="0"/>
      <w:marTop w:val="0"/>
      <w:marBottom w:val="0"/>
      <w:divBdr>
        <w:top w:val="none" w:sz="0" w:space="0" w:color="auto"/>
        <w:left w:val="none" w:sz="0" w:space="0" w:color="auto"/>
        <w:bottom w:val="none" w:sz="0" w:space="0" w:color="auto"/>
        <w:right w:val="none" w:sz="0" w:space="0" w:color="auto"/>
      </w:divBdr>
    </w:div>
    <w:div w:id="980963022">
      <w:bodyDiv w:val="1"/>
      <w:marLeft w:val="0"/>
      <w:marRight w:val="0"/>
      <w:marTop w:val="0"/>
      <w:marBottom w:val="0"/>
      <w:divBdr>
        <w:top w:val="none" w:sz="0" w:space="0" w:color="auto"/>
        <w:left w:val="none" w:sz="0" w:space="0" w:color="auto"/>
        <w:bottom w:val="none" w:sz="0" w:space="0" w:color="auto"/>
        <w:right w:val="none" w:sz="0" w:space="0" w:color="auto"/>
      </w:divBdr>
    </w:div>
    <w:div w:id="981614203">
      <w:bodyDiv w:val="1"/>
      <w:marLeft w:val="0"/>
      <w:marRight w:val="0"/>
      <w:marTop w:val="0"/>
      <w:marBottom w:val="0"/>
      <w:divBdr>
        <w:top w:val="none" w:sz="0" w:space="0" w:color="auto"/>
        <w:left w:val="none" w:sz="0" w:space="0" w:color="auto"/>
        <w:bottom w:val="none" w:sz="0" w:space="0" w:color="auto"/>
        <w:right w:val="none" w:sz="0" w:space="0" w:color="auto"/>
      </w:divBdr>
    </w:div>
    <w:div w:id="984897982">
      <w:bodyDiv w:val="1"/>
      <w:marLeft w:val="0"/>
      <w:marRight w:val="0"/>
      <w:marTop w:val="0"/>
      <w:marBottom w:val="0"/>
      <w:divBdr>
        <w:top w:val="none" w:sz="0" w:space="0" w:color="auto"/>
        <w:left w:val="none" w:sz="0" w:space="0" w:color="auto"/>
        <w:bottom w:val="none" w:sz="0" w:space="0" w:color="auto"/>
        <w:right w:val="none" w:sz="0" w:space="0" w:color="auto"/>
      </w:divBdr>
    </w:div>
    <w:div w:id="988443609">
      <w:marLeft w:val="0"/>
      <w:marRight w:val="0"/>
      <w:marTop w:val="0"/>
      <w:marBottom w:val="0"/>
      <w:divBdr>
        <w:top w:val="none" w:sz="0" w:space="0" w:color="auto"/>
        <w:left w:val="none" w:sz="0" w:space="0" w:color="auto"/>
        <w:bottom w:val="none" w:sz="0" w:space="0" w:color="auto"/>
        <w:right w:val="none" w:sz="0" w:space="0" w:color="auto"/>
      </w:divBdr>
      <w:divsChild>
        <w:div w:id="1884362975">
          <w:marLeft w:val="0"/>
          <w:marRight w:val="0"/>
          <w:marTop w:val="0"/>
          <w:marBottom w:val="0"/>
          <w:divBdr>
            <w:top w:val="none" w:sz="0" w:space="0" w:color="auto"/>
            <w:left w:val="none" w:sz="0" w:space="0" w:color="auto"/>
            <w:bottom w:val="none" w:sz="0" w:space="0" w:color="auto"/>
            <w:right w:val="none" w:sz="0" w:space="0" w:color="auto"/>
          </w:divBdr>
          <w:divsChild>
            <w:div w:id="8172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718504">
      <w:bodyDiv w:val="1"/>
      <w:marLeft w:val="0"/>
      <w:marRight w:val="0"/>
      <w:marTop w:val="0"/>
      <w:marBottom w:val="0"/>
      <w:divBdr>
        <w:top w:val="none" w:sz="0" w:space="0" w:color="auto"/>
        <w:left w:val="none" w:sz="0" w:space="0" w:color="auto"/>
        <w:bottom w:val="none" w:sz="0" w:space="0" w:color="auto"/>
        <w:right w:val="none" w:sz="0" w:space="0" w:color="auto"/>
      </w:divBdr>
    </w:div>
    <w:div w:id="992294212">
      <w:bodyDiv w:val="1"/>
      <w:marLeft w:val="0"/>
      <w:marRight w:val="0"/>
      <w:marTop w:val="0"/>
      <w:marBottom w:val="0"/>
      <w:divBdr>
        <w:top w:val="none" w:sz="0" w:space="0" w:color="auto"/>
        <w:left w:val="none" w:sz="0" w:space="0" w:color="auto"/>
        <w:bottom w:val="none" w:sz="0" w:space="0" w:color="auto"/>
        <w:right w:val="none" w:sz="0" w:space="0" w:color="auto"/>
      </w:divBdr>
    </w:div>
    <w:div w:id="994803325">
      <w:bodyDiv w:val="1"/>
      <w:marLeft w:val="0"/>
      <w:marRight w:val="0"/>
      <w:marTop w:val="0"/>
      <w:marBottom w:val="0"/>
      <w:divBdr>
        <w:top w:val="none" w:sz="0" w:space="0" w:color="auto"/>
        <w:left w:val="none" w:sz="0" w:space="0" w:color="auto"/>
        <w:bottom w:val="none" w:sz="0" w:space="0" w:color="auto"/>
        <w:right w:val="none" w:sz="0" w:space="0" w:color="auto"/>
      </w:divBdr>
    </w:div>
    <w:div w:id="994838340">
      <w:bodyDiv w:val="1"/>
      <w:marLeft w:val="0"/>
      <w:marRight w:val="0"/>
      <w:marTop w:val="0"/>
      <w:marBottom w:val="0"/>
      <w:divBdr>
        <w:top w:val="none" w:sz="0" w:space="0" w:color="auto"/>
        <w:left w:val="none" w:sz="0" w:space="0" w:color="auto"/>
        <w:bottom w:val="none" w:sz="0" w:space="0" w:color="auto"/>
        <w:right w:val="none" w:sz="0" w:space="0" w:color="auto"/>
      </w:divBdr>
    </w:div>
    <w:div w:id="995258184">
      <w:bodyDiv w:val="1"/>
      <w:marLeft w:val="0"/>
      <w:marRight w:val="0"/>
      <w:marTop w:val="0"/>
      <w:marBottom w:val="0"/>
      <w:divBdr>
        <w:top w:val="none" w:sz="0" w:space="0" w:color="auto"/>
        <w:left w:val="none" w:sz="0" w:space="0" w:color="auto"/>
        <w:bottom w:val="none" w:sz="0" w:space="0" w:color="auto"/>
        <w:right w:val="none" w:sz="0" w:space="0" w:color="auto"/>
      </w:divBdr>
    </w:div>
    <w:div w:id="997031910">
      <w:bodyDiv w:val="1"/>
      <w:marLeft w:val="0"/>
      <w:marRight w:val="0"/>
      <w:marTop w:val="0"/>
      <w:marBottom w:val="0"/>
      <w:divBdr>
        <w:top w:val="none" w:sz="0" w:space="0" w:color="auto"/>
        <w:left w:val="none" w:sz="0" w:space="0" w:color="auto"/>
        <w:bottom w:val="none" w:sz="0" w:space="0" w:color="auto"/>
        <w:right w:val="none" w:sz="0" w:space="0" w:color="auto"/>
      </w:divBdr>
    </w:div>
    <w:div w:id="999701628">
      <w:bodyDiv w:val="1"/>
      <w:marLeft w:val="0"/>
      <w:marRight w:val="0"/>
      <w:marTop w:val="0"/>
      <w:marBottom w:val="0"/>
      <w:divBdr>
        <w:top w:val="none" w:sz="0" w:space="0" w:color="auto"/>
        <w:left w:val="none" w:sz="0" w:space="0" w:color="auto"/>
        <w:bottom w:val="none" w:sz="0" w:space="0" w:color="auto"/>
        <w:right w:val="none" w:sz="0" w:space="0" w:color="auto"/>
      </w:divBdr>
    </w:div>
    <w:div w:id="1006251048">
      <w:bodyDiv w:val="1"/>
      <w:marLeft w:val="0"/>
      <w:marRight w:val="0"/>
      <w:marTop w:val="0"/>
      <w:marBottom w:val="0"/>
      <w:divBdr>
        <w:top w:val="none" w:sz="0" w:space="0" w:color="auto"/>
        <w:left w:val="none" w:sz="0" w:space="0" w:color="auto"/>
        <w:bottom w:val="none" w:sz="0" w:space="0" w:color="auto"/>
        <w:right w:val="none" w:sz="0" w:space="0" w:color="auto"/>
      </w:divBdr>
    </w:div>
    <w:div w:id="1006442008">
      <w:bodyDiv w:val="1"/>
      <w:marLeft w:val="0"/>
      <w:marRight w:val="0"/>
      <w:marTop w:val="0"/>
      <w:marBottom w:val="0"/>
      <w:divBdr>
        <w:top w:val="none" w:sz="0" w:space="0" w:color="auto"/>
        <w:left w:val="none" w:sz="0" w:space="0" w:color="auto"/>
        <w:bottom w:val="none" w:sz="0" w:space="0" w:color="auto"/>
        <w:right w:val="none" w:sz="0" w:space="0" w:color="auto"/>
      </w:divBdr>
    </w:div>
    <w:div w:id="1007446674">
      <w:bodyDiv w:val="1"/>
      <w:marLeft w:val="0"/>
      <w:marRight w:val="0"/>
      <w:marTop w:val="0"/>
      <w:marBottom w:val="0"/>
      <w:divBdr>
        <w:top w:val="none" w:sz="0" w:space="0" w:color="auto"/>
        <w:left w:val="none" w:sz="0" w:space="0" w:color="auto"/>
        <w:bottom w:val="none" w:sz="0" w:space="0" w:color="auto"/>
        <w:right w:val="none" w:sz="0" w:space="0" w:color="auto"/>
      </w:divBdr>
    </w:div>
    <w:div w:id="1010330699">
      <w:bodyDiv w:val="1"/>
      <w:marLeft w:val="0"/>
      <w:marRight w:val="0"/>
      <w:marTop w:val="0"/>
      <w:marBottom w:val="0"/>
      <w:divBdr>
        <w:top w:val="none" w:sz="0" w:space="0" w:color="auto"/>
        <w:left w:val="none" w:sz="0" w:space="0" w:color="auto"/>
        <w:bottom w:val="none" w:sz="0" w:space="0" w:color="auto"/>
        <w:right w:val="none" w:sz="0" w:space="0" w:color="auto"/>
      </w:divBdr>
      <w:divsChild>
        <w:div w:id="275675007">
          <w:marLeft w:val="288"/>
          <w:marRight w:val="0"/>
          <w:marTop w:val="120"/>
          <w:marBottom w:val="0"/>
          <w:divBdr>
            <w:top w:val="none" w:sz="0" w:space="0" w:color="auto"/>
            <w:left w:val="none" w:sz="0" w:space="0" w:color="auto"/>
            <w:bottom w:val="none" w:sz="0" w:space="0" w:color="auto"/>
            <w:right w:val="none" w:sz="0" w:space="0" w:color="auto"/>
          </w:divBdr>
        </w:div>
        <w:div w:id="575474884">
          <w:marLeft w:val="288"/>
          <w:marRight w:val="0"/>
          <w:marTop w:val="120"/>
          <w:marBottom w:val="0"/>
          <w:divBdr>
            <w:top w:val="none" w:sz="0" w:space="0" w:color="auto"/>
            <w:left w:val="none" w:sz="0" w:space="0" w:color="auto"/>
            <w:bottom w:val="none" w:sz="0" w:space="0" w:color="auto"/>
            <w:right w:val="none" w:sz="0" w:space="0" w:color="auto"/>
          </w:divBdr>
        </w:div>
        <w:div w:id="758525275">
          <w:marLeft w:val="288"/>
          <w:marRight w:val="0"/>
          <w:marTop w:val="120"/>
          <w:marBottom w:val="0"/>
          <w:divBdr>
            <w:top w:val="none" w:sz="0" w:space="0" w:color="auto"/>
            <w:left w:val="none" w:sz="0" w:space="0" w:color="auto"/>
            <w:bottom w:val="none" w:sz="0" w:space="0" w:color="auto"/>
            <w:right w:val="none" w:sz="0" w:space="0" w:color="auto"/>
          </w:divBdr>
        </w:div>
        <w:div w:id="1868564024">
          <w:marLeft w:val="288"/>
          <w:marRight w:val="0"/>
          <w:marTop w:val="120"/>
          <w:marBottom w:val="0"/>
          <w:divBdr>
            <w:top w:val="none" w:sz="0" w:space="0" w:color="auto"/>
            <w:left w:val="none" w:sz="0" w:space="0" w:color="auto"/>
            <w:bottom w:val="none" w:sz="0" w:space="0" w:color="auto"/>
            <w:right w:val="none" w:sz="0" w:space="0" w:color="auto"/>
          </w:divBdr>
        </w:div>
      </w:divsChild>
    </w:div>
    <w:div w:id="1011568948">
      <w:bodyDiv w:val="1"/>
      <w:marLeft w:val="0"/>
      <w:marRight w:val="0"/>
      <w:marTop w:val="0"/>
      <w:marBottom w:val="0"/>
      <w:divBdr>
        <w:top w:val="none" w:sz="0" w:space="0" w:color="auto"/>
        <w:left w:val="none" w:sz="0" w:space="0" w:color="auto"/>
        <w:bottom w:val="none" w:sz="0" w:space="0" w:color="auto"/>
        <w:right w:val="none" w:sz="0" w:space="0" w:color="auto"/>
      </w:divBdr>
    </w:div>
    <w:div w:id="1011683636">
      <w:bodyDiv w:val="1"/>
      <w:marLeft w:val="0"/>
      <w:marRight w:val="0"/>
      <w:marTop w:val="0"/>
      <w:marBottom w:val="0"/>
      <w:divBdr>
        <w:top w:val="none" w:sz="0" w:space="0" w:color="auto"/>
        <w:left w:val="none" w:sz="0" w:space="0" w:color="auto"/>
        <w:bottom w:val="none" w:sz="0" w:space="0" w:color="auto"/>
        <w:right w:val="none" w:sz="0" w:space="0" w:color="auto"/>
      </w:divBdr>
    </w:div>
    <w:div w:id="1012491592">
      <w:bodyDiv w:val="1"/>
      <w:marLeft w:val="0"/>
      <w:marRight w:val="0"/>
      <w:marTop w:val="0"/>
      <w:marBottom w:val="0"/>
      <w:divBdr>
        <w:top w:val="none" w:sz="0" w:space="0" w:color="auto"/>
        <w:left w:val="none" w:sz="0" w:space="0" w:color="auto"/>
        <w:bottom w:val="none" w:sz="0" w:space="0" w:color="auto"/>
        <w:right w:val="none" w:sz="0" w:space="0" w:color="auto"/>
      </w:divBdr>
    </w:div>
    <w:div w:id="1015112264">
      <w:bodyDiv w:val="1"/>
      <w:marLeft w:val="0"/>
      <w:marRight w:val="0"/>
      <w:marTop w:val="0"/>
      <w:marBottom w:val="0"/>
      <w:divBdr>
        <w:top w:val="none" w:sz="0" w:space="0" w:color="auto"/>
        <w:left w:val="none" w:sz="0" w:space="0" w:color="auto"/>
        <w:bottom w:val="none" w:sz="0" w:space="0" w:color="auto"/>
        <w:right w:val="none" w:sz="0" w:space="0" w:color="auto"/>
      </w:divBdr>
    </w:div>
    <w:div w:id="1019352269">
      <w:bodyDiv w:val="1"/>
      <w:marLeft w:val="0"/>
      <w:marRight w:val="0"/>
      <w:marTop w:val="0"/>
      <w:marBottom w:val="0"/>
      <w:divBdr>
        <w:top w:val="none" w:sz="0" w:space="0" w:color="auto"/>
        <w:left w:val="none" w:sz="0" w:space="0" w:color="auto"/>
        <w:bottom w:val="none" w:sz="0" w:space="0" w:color="auto"/>
        <w:right w:val="none" w:sz="0" w:space="0" w:color="auto"/>
      </w:divBdr>
    </w:div>
    <w:div w:id="1023172791">
      <w:bodyDiv w:val="1"/>
      <w:marLeft w:val="0"/>
      <w:marRight w:val="0"/>
      <w:marTop w:val="0"/>
      <w:marBottom w:val="0"/>
      <w:divBdr>
        <w:top w:val="none" w:sz="0" w:space="0" w:color="auto"/>
        <w:left w:val="none" w:sz="0" w:space="0" w:color="auto"/>
        <w:bottom w:val="none" w:sz="0" w:space="0" w:color="auto"/>
        <w:right w:val="none" w:sz="0" w:space="0" w:color="auto"/>
      </w:divBdr>
    </w:div>
    <w:div w:id="1025058498">
      <w:bodyDiv w:val="1"/>
      <w:marLeft w:val="0"/>
      <w:marRight w:val="0"/>
      <w:marTop w:val="0"/>
      <w:marBottom w:val="0"/>
      <w:divBdr>
        <w:top w:val="none" w:sz="0" w:space="0" w:color="auto"/>
        <w:left w:val="none" w:sz="0" w:space="0" w:color="auto"/>
        <w:bottom w:val="none" w:sz="0" w:space="0" w:color="auto"/>
        <w:right w:val="none" w:sz="0" w:space="0" w:color="auto"/>
      </w:divBdr>
    </w:div>
    <w:div w:id="1028871433">
      <w:bodyDiv w:val="1"/>
      <w:marLeft w:val="0"/>
      <w:marRight w:val="0"/>
      <w:marTop w:val="0"/>
      <w:marBottom w:val="0"/>
      <w:divBdr>
        <w:top w:val="none" w:sz="0" w:space="0" w:color="auto"/>
        <w:left w:val="none" w:sz="0" w:space="0" w:color="auto"/>
        <w:bottom w:val="none" w:sz="0" w:space="0" w:color="auto"/>
        <w:right w:val="none" w:sz="0" w:space="0" w:color="auto"/>
      </w:divBdr>
    </w:div>
    <w:div w:id="1030910789">
      <w:bodyDiv w:val="1"/>
      <w:marLeft w:val="0"/>
      <w:marRight w:val="0"/>
      <w:marTop w:val="0"/>
      <w:marBottom w:val="0"/>
      <w:divBdr>
        <w:top w:val="none" w:sz="0" w:space="0" w:color="auto"/>
        <w:left w:val="none" w:sz="0" w:space="0" w:color="auto"/>
        <w:bottom w:val="none" w:sz="0" w:space="0" w:color="auto"/>
        <w:right w:val="none" w:sz="0" w:space="0" w:color="auto"/>
      </w:divBdr>
    </w:div>
    <w:div w:id="1031228859">
      <w:bodyDiv w:val="1"/>
      <w:marLeft w:val="0"/>
      <w:marRight w:val="0"/>
      <w:marTop w:val="0"/>
      <w:marBottom w:val="0"/>
      <w:divBdr>
        <w:top w:val="none" w:sz="0" w:space="0" w:color="auto"/>
        <w:left w:val="none" w:sz="0" w:space="0" w:color="auto"/>
        <w:bottom w:val="none" w:sz="0" w:space="0" w:color="auto"/>
        <w:right w:val="none" w:sz="0" w:space="0" w:color="auto"/>
      </w:divBdr>
    </w:div>
    <w:div w:id="1032270558">
      <w:bodyDiv w:val="1"/>
      <w:marLeft w:val="0"/>
      <w:marRight w:val="0"/>
      <w:marTop w:val="0"/>
      <w:marBottom w:val="0"/>
      <w:divBdr>
        <w:top w:val="none" w:sz="0" w:space="0" w:color="auto"/>
        <w:left w:val="none" w:sz="0" w:space="0" w:color="auto"/>
        <w:bottom w:val="none" w:sz="0" w:space="0" w:color="auto"/>
        <w:right w:val="none" w:sz="0" w:space="0" w:color="auto"/>
      </w:divBdr>
    </w:div>
    <w:div w:id="1036851717">
      <w:bodyDiv w:val="1"/>
      <w:marLeft w:val="0"/>
      <w:marRight w:val="0"/>
      <w:marTop w:val="0"/>
      <w:marBottom w:val="0"/>
      <w:divBdr>
        <w:top w:val="none" w:sz="0" w:space="0" w:color="auto"/>
        <w:left w:val="none" w:sz="0" w:space="0" w:color="auto"/>
        <w:bottom w:val="none" w:sz="0" w:space="0" w:color="auto"/>
        <w:right w:val="none" w:sz="0" w:space="0" w:color="auto"/>
      </w:divBdr>
    </w:div>
    <w:div w:id="1040013374">
      <w:bodyDiv w:val="1"/>
      <w:marLeft w:val="0"/>
      <w:marRight w:val="0"/>
      <w:marTop w:val="0"/>
      <w:marBottom w:val="0"/>
      <w:divBdr>
        <w:top w:val="none" w:sz="0" w:space="0" w:color="auto"/>
        <w:left w:val="none" w:sz="0" w:space="0" w:color="auto"/>
        <w:bottom w:val="none" w:sz="0" w:space="0" w:color="auto"/>
        <w:right w:val="none" w:sz="0" w:space="0" w:color="auto"/>
      </w:divBdr>
    </w:div>
    <w:div w:id="1041055789">
      <w:bodyDiv w:val="1"/>
      <w:marLeft w:val="0"/>
      <w:marRight w:val="0"/>
      <w:marTop w:val="0"/>
      <w:marBottom w:val="0"/>
      <w:divBdr>
        <w:top w:val="none" w:sz="0" w:space="0" w:color="auto"/>
        <w:left w:val="none" w:sz="0" w:space="0" w:color="auto"/>
        <w:bottom w:val="none" w:sz="0" w:space="0" w:color="auto"/>
        <w:right w:val="none" w:sz="0" w:space="0" w:color="auto"/>
      </w:divBdr>
    </w:div>
    <w:div w:id="1042437031">
      <w:bodyDiv w:val="1"/>
      <w:marLeft w:val="0"/>
      <w:marRight w:val="0"/>
      <w:marTop w:val="0"/>
      <w:marBottom w:val="0"/>
      <w:divBdr>
        <w:top w:val="none" w:sz="0" w:space="0" w:color="auto"/>
        <w:left w:val="none" w:sz="0" w:space="0" w:color="auto"/>
        <w:bottom w:val="none" w:sz="0" w:space="0" w:color="auto"/>
        <w:right w:val="none" w:sz="0" w:space="0" w:color="auto"/>
      </w:divBdr>
    </w:div>
    <w:div w:id="1044325657">
      <w:bodyDiv w:val="1"/>
      <w:marLeft w:val="0"/>
      <w:marRight w:val="0"/>
      <w:marTop w:val="0"/>
      <w:marBottom w:val="0"/>
      <w:divBdr>
        <w:top w:val="none" w:sz="0" w:space="0" w:color="auto"/>
        <w:left w:val="none" w:sz="0" w:space="0" w:color="auto"/>
        <w:bottom w:val="none" w:sz="0" w:space="0" w:color="auto"/>
        <w:right w:val="none" w:sz="0" w:space="0" w:color="auto"/>
      </w:divBdr>
    </w:div>
    <w:div w:id="1047148305">
      <w:bodyDiv w:val="1"/>
      <w:marLeft w:val="0"/>
      <w:marRight w:val="0"/>
      <w:marTop w:val="0"/>
      <w:marBottom w:val="0"/>
      <w:divBdr>
        <w:top w:val="none" w:sz="0" w:space="0" w:color="auto"/>
        <w:left w:val="none" w:sz="0" w:space="0" w:color="auto"/>
        <w:bottom w:val="none" w:sz="0" w:space="0" w:color="auto"/>
        <w:right w:val="none" w:sz="0" w:space="0" w:color="auto"/>
      </w:divBdr>
    </w:div>
    <w:div w:id="1047266532">
      <w:bodyDiv w:val="1"/>
      <w:marLeft w:val="0"/>
      <w:marRight w:val="0"/>
      <w:marTop w:val="0"/>
      <w:marBottom w:val="0"/>
      <w:divBdr>
        <w:top w:val="none" w:sz="0" w:space="0" w:color="auto"/>
        <w:left w:val="none" w:sz="0" w:space="0" w:color="auto"/>
        <w:bottom w:val="none" w:sz="0" w:space="0" w:color="auto"/>
        <w:right w:val="none" w:sz="0" w:space="0" w:color="auto"/>
      </w:divBdr>
    </w:div>
    <w:div w:id="1047417910">
      <w:bodyDiv w:val="1"/>
      <w:marLeft w:val="0"/>
      <w:marRight w:val="0"/>
      <w:marTop w:val="0"/>
      <w:marBottom w:val="0"/>
      <w:divBdr>
        <w:top w:val="none" w:sz="0" w:space="0" w:color="auto"/>
        <w:left w:val="none" w:sz="0" w:space="0" w:color="auto"/>
        <w:bottom w:val="none" w:sz="0" w:space="0" w:color="auto"/>
        <w:right w:val="none" w:sz="0" w:space="0" w:color="auto"/>
      </w:divBdr>
    </w:div>
    <w:div w:id="1054696834">
      <w:bodyDiv w:val="1"/>
      <w:marLeft w:val="0"/>
      <w:marRight w:val="0"/>
      <w:marTop w:val="0"/>
      <w:marBottom w:val="0"/>
      <w:divBdr>
        <w:top w:val="none" w:sz="0" w:space="0" w:color="auto"/>
        <w:left w:val="none" w:sz="0" w:space="0" w:color="auto"/>
        <w:bottom w:val="none" w:sz="0" w:space="0" w:color="auto"/>
        <w:right w:val="none" w:sz="0" w:space="0" w:color="auto"/>
      </w:divBdr>
    </w:div>
    <w:div w:id="1057508884">
      <w:bodyDiv w:val="1"/>
      <w:marLeft w:val="0"/>
      <w:marRight w:val="0"/>
      <w:marTop w:val="0"/>
      <w:marBottom w:val="0"/>
      <w:divBdr>
        <w:top w:val="none" w:sz="0" w:space="0" w:color="auto"/>
        <w:left w:val="none" w:sz="0" w:space="0" w:color="auto"/>
        <w:bottom w:val="none" w:sz="0" w:space="0" w:color="auto"/>
        <w:right w:val="none" w:sz="0" w:space="0" w:color="auto"/>
      </w:divBdr>
    </w:div>
    <w:div w:id="1057825343">
      <w:bodyDiv w:val="1"/>
      <w:marLeft w:val="0"/>
      <w:marRight w:val="0"/>
      <w:marTop w:val="0"/>
      <w:marBottom w:val="0"/>
      <w:divBdr>
        <w:top w:val="none" w:sz="0" w:space="0" w:color="auto"/>
        <w:left w:val="none" w:sz="0" w:space="0" w:color="auto"/>
        <w:bottom w:val="none" w:sz="0" w:space="0" w:color="auto"/>
        <w:right w:val="none" w:sz="0" w:space="0" w:color="auto"/>
      </w:divBdr>
    </w:div>
    <w:div w:id="1068268799">
      <w:bodyDiv w:val="1"/>
      <w:marLeft w:val="0"/>
      <w:marRight w:val="0"/>
      <w:marTop w:val="0"/>
      <w:marBottom w:val="0"/>
      <w:divBdr>
        <w:top w:val="none" w:sz="0" w:space="0" w:color="auto"/>
        <w:left w:val="none" w:sz="0" w:space="0" w:color="auto"/>
        <w:bottom w:val="none" w:sz="0" w:space="0" w:color="auto"/>
        <w:right w:val="none" w:sz="0" w:space="0" w:color="auto"/>
      </w:divBdr>
      <w:divsChild>
        <w:div w:id="455753774">
          <w:marLeft w:val="0"/>
          <w:marRight w:val="0"/>
          <w:marTop w:val="0"/>
          <w:marBottom w:val="0"/>
          <w:divBdr>
            <w:top w:val="none" w:sz="0" w:space="0" w:color="auto"/>
            <w:left w:val="none" w:sz="0" w:space="0" w:color="auto"/>
            <w:bottom w:val="none" w:sz="0" w:space="0" w:color="auto"/>
            <w:right w:val="none" w:sz="0" w:space="0" w:color="auto"/>
          </w:divBdr>
          <w:divsChild>
            <w:div w:id="96655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5130">
      <w:bodyDiv w:val="1"/>
      <w:marLeft w:val="0"/>
      <w:marRight w:val="0"/>
      <w:marTop w:val="0"/>
      <w:marBottom w:val="0"/>
      <w:divBdr>
        <w:top w:val="none" w:sz="0" w:space="0" w:color="auto"/>
        <w:left w:val="none" w:sz="0" w:space="0" w:color="auto"/>
        <w:bottom w:val="none" w:sz="0" w:space="0" w:color="auto"/>
        <w:right w:val="none" w:sz="0" w:space="0" w:color="auto"/>
      </w:divBdr>
    </w:div>
    <w:div w:id="1072237756">
      <w:bodyDiv w:val="1"/>
      <w:marLeft w:val="0"/>
      <w:marRight w:val="0"/>
      <w:marTop w:val="0"/>
      <w:marBottom w:val="0"/>
      <w:divBdr>
        <w:top w:val="none" w:sz="0" w:space="0" w:color="auto"/>
        <w:left w:val="none" w:sz="0" w:space="0" w:color="auto"/>
        <w:bottom w:val="none" w:sz="0" w:space="0" w:color="auto"/>
        <w:right w:val="none" w:sz="0" w:space="0" w:color="auto"/>
      </w:divBdr>
    </w:div>
    <w:div w:id="1072431712">
      <w:bodyDiv w:val="1"/>
      <w:marLeft w:val="0"/>
      <w:marRight w:val="0"/>
      <w:marTop w:val="0"/>
      <w:marBottom w:val="0"/>
      <w:divBdr>
        <w:top w:val="none" w:sz="0" w:space="0" w:color="auto"/>
        <w:left w:val="none" w:sz="0" w:space="0" w:color="auto"/>
        <w:bottom w:val="none" w:sz="0" w:space="0" w:color="auto"/>
        <w:right w:val="none" w:sz="0" w:space="0" w:color="auto"/>
      </w:divBdr>
    </w:div>
    <w:div w:id="1074817329">
      <w:bodyDiv w:val="1"/>
      <w:marLeft w:val="0"/>
      <w:marRight w:val="0"/>
      <w:marTop w:val="0"/>
      <w:marBottom w:val="0"/>
      <w:divBdr>
        <w:top w:val="none" w:sz="0" w:space="0" w:color="auto"/>
        <w:left w:val="none" w:sz="0" w:space="0" w:color="auto"/>
        <w:bottom w:val="none" w:sz="0" w:space="0" w:color="auto"/>
        <w:right w:val="none" w:sz="0" w:space="0" w:color="auto"/>
      </w:divBdr>
    </w:div>
    <w:div w:id="1075661203">
      <w:bodyDiv w:val="1"/>
      <w:marLeft w:val="0"/>
      <w:marRight w:val="0"/>
      <w:marTop w:val="0"/>
      <w:marBottom w:val="0"/>
      <w:divBdr>
        <w:top w:val="none" w:sz="0" w:space="0" w:color="auto"/>
        <w:left w:val="none" w:sz="0" w:space="0" w:color="auto"/>
        <w:bottom w:val="none" w:sz="0" w:space="0" w:color="auto"/>
        <w:right w:val="none" w:sz="0" w:space="0" w:color="auto"/>
      </w:divBdr>
    </w:div>
    <w:div w:id="1076854239">
      <w:bodyDiv w:val="1"/>
      <w:marLeft w:val="0"/>
      <w:marRight w:val="0"/>
      <w:marTop w:val="0"/>
      <w:marBottom w:val="0"/>
      <w:divBdr>
        <w:top w:val="none" w:sz="0" w:space="0" w:color="auto"/>
        <w:left w:val="none" w:sz="0" w:space="0" w:color="auto"/>
        <w:bottom w:val="none" w:sz="0" w:space="0" w:color="auto"/>
        <w:right w:val="none" w:sz="0" w:space="0" w:color="auto"/>
      </w:divBdr>
    </w:div>
    <w:div w:id="1077947254">
      <w:bodyDiv w:val="1"/>
      <w:marLeft w:val="0"/>
      <w:marRight w:val="0"/>
      <w:marTop w:val="0"/>
      <w:marBottom w:val="0"/>
      <w:divBdr>
        <w:top w:val="none" w:sz="0" w:space="0" w:color="auto"/>
        <w:left w:val="none" w:sz="0" w:space="0" w:color="auto"/>
        <w:bottom w:val="none" w:sz="0" w:space="0" w:color="auto"/>
        <w:right w:val="none" w:sz="0" w:space="0" w:color="auto"/>
      </w:divBdr>
    </w:div>
    <w:div w:id="1078137009">
      <w:bodyDiv w:val="1"/>
      <w:marLeft w:val="0"/>
      <w:marRight w:val="0"/>
      <w:marTop w:val="0"/>
      <w:marBottom w:val="0"/>
      <w:divBdr>
        <w:top w:val="none" w:sz="0" w:space="0" w:color="auto"/>
        <w:left w:val="none" w:sz="0" w:space="0" w:color="auto"/>
        <w:bottom w:val="none" w:sz="0" w:space="0" w:color="auto"/>
        <w:right w:val="none" w:sz="0" w:space="0" w:color="auto"/>
      </w:divBdr>
    </w:div>
    <w:div w:id="1078596562">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124695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055112">
      <w:bodyDiv w:val="1"/>
      <w:marLeft w:val="0"/>
      <w:marRight w:val="0"/>
      <w:marTop w:val="0"/>
      <w:marBottom w:val="0"/>
      <w:divBdr>
        <w:top w:val="none" w:sz="0" w:space="0" w:color="auto"/>
        <w:left w:val="none" w:sz="0" w:space="0" w:color="auto"/>
        <w:bottom w:val="none" w:sz="0" w:space="0" w:color="auto"/>
        <w:right w:val="none" w:sz="0" w:space="0" w:color="auto"/>
      </w:divBdr>
    </w:div>
    <w:div w:id="1080951871">
      <w:bodyDiv w:val="1"/>
      <w:marLeft w:val="0"/>
      <w:marRight w:val="0"/>
      <w:marTop w:val="0"/>
      <w:marBottom w:val="0"/>
      <w:divBdr>
        <w:top w:val="none" w:sz="0" w:space="0" w:color="auto"/>
        <w:left w:val="none" w:sz="0" w:space="0" w:color="auto"/>
        <w:bottom w:val="none" w:sz="0" w:space="0" w:color="auto"/>
        <w:right w:val="none" w:sz="0" w:space="0" w:color="auto"/>
      </w:divBdr>
    </w:div>
    <w:div w:id="1084449605">
      <w:bodyDiv w:val="1"/>
      <w:marLeft w:val="0"/>
      <w:marRight w:val="0"/>
      <w:marTop w:val="0"/>
      <w:marBottom w:val="0"/>
      <w:divBdr>
        <w:top w:val="none" w:sz="0" w:space="0" w:color="auto"/>
        <w:left w:val="none" w:sz="0" w:space="0" w:color="auto"/>
        <w:bottom w:val="none" w:sz="0" w:space="0" w:color="auto"/>
        <w:right w:val="none" w:sz="0" w:space="0" w:color="auto"/>
      </w:divBdr>
    </w:div>
    <w:div w:id="1087077068">
      <w:bodyDiv w:val="1"/>
      <w:marLeft w:val="0"/>
      <w:marRight w:val="0"/>
      <w:marTop w:val="0"/>
      <w:marBottom w:val="0"/>
      <w:divBdr>
        <w:top w:val="none" w:sz="0" w:space="0" w:color="auto"/>
        <w:left w:val="none" w:sz="0" w:space="0" w:color="auto"/>
        <w:bottom w:val="none" w:sz="0" w:space="0" w:color="auto"/>
        <w:right w:val="none" w:sz="0" w:space="0" w:color="auto"/>
      </w:divBdr>
    </w:div>
    <w:div w:id="1088621037">
      <w:bodyDiv w:val="1"/>
      <w:marLeft w:val="0"/>
      <w:marRight w:val="0"/>
      <w:marTop w:val="0"/>
      <w:marBottom w:val="0"/>
      <w:divBdr>
        <w:top w:val="none" w:sz="0" w:space="0" w:color="auto"/>
        <w:left w:val="none" w:sz="0" w:space="0" w:color="auto"/>
        <w:bottom w:val="none" w:sz="0" w:space="0" w:color="auto"/>
        <w:right w:val="none" w:sz="0" w:space="0" w:color="auto"/>
      </w:divBdr>
    </w:div>
    <w:div w:id="1088767677">
      <w:bodyDiv w:val="1"/>
      <w:marLeft w:val="0"/>
      <w:marRight w:val="0"/>
      <w:marTop w:val="0"/>
      <w:marBottom w:val="0"/>
      <w:divBdr>
        <w:top w:val="none" w:sz="0" w:space="0" w:color="auto"/>
        <w:left w:val="none" w:sz="0" w:space="0" w:color="auto"/>
        <w:bottom w:val="none" w:sz="0" w:space="0" w:color="auto"/>
        <w:right w:val="none" w:sz="0" w:space="0" w:color="auto"/>
      </w:divBdr>
    </w:div>
    <w:div w:id="1088890885">
      <w:bodyDiv w:val="1"/>
      <w:marLeft w:val="0"/>
      <w:marRight w:val="0"/>
      <w:marTop w:val="0"/>
      <w:marBottom w:val="0"/>
      <w:divBdr>
        <w:top w:val="none" w:sz="0" w:space="0" w:color="auto"/>
        <w:left w:val="none" w:sz="0" w:space="0" w:color="auto"/>
        <w:bottom w:val="none" w:sz="0" w:space="0" w:color="auto"/>
        <w:right w:val="none" w:sz="0" w:space="0" w:color="auto"/>
      </w:divBdr>
    </w:div>
    <w:div w:id="1090271328">
      <w:bodyDiv w:val="1"/>
      <w:marLeft w:val="0"/>
      <w:marRight w:val="0"/>
      <w:marTop w:val="0"/>
      <w:marBottom w:val="0"/>
      <w:divBdr>
        <w:top w:val="none" w:sz="0" w:space="0" w:color="auto"/>
        <w:left w:val="none" w:sz="0" w:space="0" w:color="auto"/>
        <w:bottom w:val="none" w:sz="0" w:space="0" w:color="auto"/>
        <w:right w:val="none" w:sz="0" w:space="0" w:color="auto"/>
      </w:divBdr>
    </w:div>
    <w:div w:id="1093041865">
      <w:bodyDiv w:val="1"/>
      <w:marLeft w:val="0"/>
      <w:marRight w:val="0"/>
      <w:marTop w:val="0"/>
      <w:marBottom w:val="0"/>
      <w:divBdr>
        <w:top w:val="none" w:sz="0" w:space="0" w:color="auto"/>
        <w:left w:val="none" w:sz="0" w:space="0" w:color="auto"/>
        <w:bottom w:val="none" w:sz="0" w:space="0" w:color="auto"/>
        <w:right w:val="none" w:sz="0" w:space="0" w:color="auto"/>
      </w:divBdr>
    </w:div>
    <w:div w:id="1094401753">
      <w:bodyDiv w:val="1"/>
      <w:marLeft w:val="0"/>
      <w:marRight w:val="0"/>
      <w:marTop w:val="0"/>
      <w:marBottom w:val="0"/>
      <w:divBdr>
        <w:top w:val="none" w:sz="0" w:space="0" w:color="auto"/>
        <w:left w:val="none" w:sz="0" w:space="0" w:color="auto"/>
        <w:bottom w:val="none" w:sz="0" w:space="0" w:color="auto"/>
        <w:right w:val="none" w:sz="0" w:space="0" w:color="auto"/>
      </w:divBdr>
    </w:div>
    <w:div w:id="1095172921">
      <w:bodyDiv w:val="1"/>
      <w:marLeft w:val="0"/>
      <w:marRight w:val="0"/>
      <w:marTop w:val="0"/>
      <w:marBottom w:val="0"/>
      <w:divBdr>
        <w:top w:val="none" w:sz="0" w:space="0" w:color="auto"/>
        <w:left w:val="none" w:sz="0" w:space="0" w:color="auto"/>
        <w:bottom w:val="none" w:sz="0" w:space="0" w:color="auto"/>
        <w:right w:val="none" w:sz="0" w:space="0" w:color="auto"/>
      </w:divBdr>
    </w:div>
    <w:div w:id="1096368092">
      <w:bodyDiv w:val="1"/>
      <w:marLeft w:val="0"/>
      <w:marRight w:val="0"/>
      <w:marTop w:val="0"/>
      <w:marBottom w:val="0"/>
      <w:divBdr>
        <w:top w:val="none" w:sz="0" w:space="0" w:color="auto"/>
        <w:left w:val="none" w:sz="0" w:space="0" w:color="auto"/>
        <w:bottom w:val="none" w:sz="0" w:space="0" w:color="auto"/>
        <w:right w:val="none" w:sz="0" w:space="0" w:color="auto"/>
      </w:divBdr>
      <w:divsChild>
        <w:div w:id="47455858">
          <w:marLeft w:val="288"/>
          <w:marRight w:val="0"/>
          <w:marTop w:val="120"/>
          <w:marBottom w:val="0"/>
          <w:divBdr>
            <w:top w:val="none" w:sz="0" w:space="0" w:color="auto"/>
            <w:left w:val="none" w:sz="0" w:space="0" w:color="auto"/>
            <w:bottom w:val="none" w:sz="0" w:space="0" w:color="auto"/>
            <w:right w:val="none" w:sz="0" w:space="0" w:color="auto"/>
          </w:divBdr>
        </w:div>
        <w:div w:id="50811405">
          <w:marLeft w:val="288"/>
          <w:marRight w:val="0"/>
          <w:marTop w:val="120"/>
          <w:marBottom w:val="0"/>
          <w:divBdr>
            <w:top w:val="none" w:sz="0" w:space="0" w:color="auto"/>
            <w:left w:val="none" w:sz="0" w:space="0" w:color="auto"/>
            <w:bottom w:val="none" w:sz="0" w:space="0" w:color="auto"/>
            <w:right w:val="none" w:sz="0" w:space="0" w:color="auto"/>
          </w:divBdr>
        </w:div>
        <w:div w:id="80300265">
          <w:marLeft w:val="288"/>
          <w:marRight w:val="0"/>
          <w:marTop w:val="120"/>
          <w:marBottom w:val="0"/>
          <w:divBdr>
            <w:top w:val="none" w:sz="0" w:space="0" w:color="auto"/>
            <w:left w:val="none" w:sz="0" w:space="0" w:color="auto"/>
            <w:bottom w:val="none" w:sz="0" w:space="0" w:color="auto"/>
            <w:right w:val="none" w:sz="0" w:space="0" w:color="auto"/>
          </w:divBdr>
        </w:div>
        <w:div w:id="132479800">
          <w:marLeft w:val="288"/>
          <w:marRight w:val="0"/>
          <w:marTop w:val="120"/>
          <w:marBottom w:val="0"/>
          <w:divBdr>
            <w:top w:val="none" w:sz="0" w:space="0" w:color="auto"/>
            <w:left w:val="none" w:sz="0" w:space="0" w:color="auto"/>
            <w:bottom w:val="none" w:sz="0" w:space="0" w:color="auto"/>
            <w:right w:val="none" w:sz="0" w:space="0" w:color="auto"/>
          </w:divBdr>
        </w:div>
        <w:div w:id="430122767">
          <w:marLeft w:val="288"/>
          <w:marRight w:val="0"/>
          <w:marTop w:val="120"/>
          <w:marBottom w:val="0"/>
          <w:divBdr>
            <w:top w:val="none" w:sz="0" w:space="0" w:color="auto"/>
            <w:left w:val="none" w:sz="0" w:space="0" w:color="auto"/>
            <w:bottom w:val="none" w:sz="0" w:space="0" w:color="auto"/>
            <w:right w:val="none" w:sz="0" w:space="0" w:color="auto"/>
          </w:divBdr>
        </w:div>
        <w:div w:id="1067798750">
          <w:marLeft w:val="288"/>
          <w:marRight w:val="0"/>
          <w:marTop w:val="120"/>
          <w:marBottom w:val="0"/>
          <w:divBdr>
            <w:top w:val="none" w:sz="0" w:space="0" w:color="auto"/>
            <w:left w:val="none" w:sz="0" w:space="0" w:color="auto"/>
            <w:bottom w:val="none" w:sz="0" w:space="0" w:color="auto"/>
            <w:right w:val="none" w:sz="0" w:space="0" w:color="auto"/>
          </w:divBdr>
        </w:div>
        <w:div w:id="1506479916">
          <w:marLeft w:val="288"/>
          <w:marRight w:val="0"/>
          <w:marTop w:val="120"/>
          <w:marBottom w:val="0"/>
          <w:divBdr>
            <w:top w:val="none" w:sz="0" w:space="0" w:color="auto"/>
            <w:left w:val="none" w:sz="0" w:space="0" w:color="auto"/>
            <w:bottom w:val="none" w:sz="0" w:space="0" w:color="auto"/>
            <w:right w:val="none" w:sz="0" w:space="0" w:color="auto"/>
          </w:divBdr>
        </w:div>
        <w:div w:id="2100784756">
          <w:marLeft w:val="288"/>
          <w:marRight w:val="0"/>
          <w:marTop w:val="120"/>
          <w:marBottom w:val="0"/>
          <w:divBdr>
            <w:top w:val="none" w:sz="0" w:space="0" w:color="auto"/>
            <w:left w:val="none" w:sz="0" w:space="0" w:color="auto"/>
            <w:bottom w:val="none" w:sz="0" w:space="0" w:color="auto"/>
            <w:right w:val="none" w:sz="0" w:space="0" w:color="auto"/>
          </w:divBdr>
        </w:div>
      </w:divsChild>
    </w:div>
    <w:div w:id="1101412642">
      <w:bodyDiv w:val="1"/>
      <w:marLeft w:val="0"/>
      <w:marRight w:val="0"/>
      <w:marTop w:val="0"/>
      <w:marBottom w:val="0"/>
      <w:divBdr>
        <w:top w:val="none" w:sz="0" w:space="0" w:color="auto"/>
        <w:left w:val="none" w:sz="0" w:space="0" w:color="auto"/>
        <w:bottom w:val="none" w:sz="0" w:space="0" w:color="auto"/>
        <w:right w:val="none" w:sz="0" w:space="0" w:color="auto"/>
      </w:divBdr>
      <w:divsChild>
        <w:div w:id="391932386">
          <w:marLeft w:val="288"/>
          <w:marRight w:val="0"/>
          <w:marTop w:val="120"/>
          <w:marBottom w:val="0"/>
          <w:divBdr>
            <w:top w:val="none" w:sz="0" w:space="0" w:color="auto"/>
            <w:left w:val="none" w:sz="0" w:space="0" w:color="auto"/>
            <w:bottom w:val="none" w:sz="0" w:space="0" w:color="auto"/>
            <w:right w:val="none" w:sz="0" w:space="0" w:color="auto"/>
          </w:divBdr>
        </w:div>
        <w:div w:id="406148980">
          <w:marLeft w:val="288"/>
          <w:marRight w:val="0"/>
          <w:marTop w:val="120"/>
          <w:marBottom w:val="0"/>
          <w:divBdr>
            <w:top w:val="none" w:sz="0" w:space="0" w:color="auto"/>
            <w:left w:val="none" w:sz="0" w:space="0" w:color="auto"/>
            <w:bottom w:val="none" w:sz="0" w:space="0" w:color="auto"/>
            <w:right w:val="none" w:sz="0" w:space="0" w:color="auto"/>
          </w:divBdr>
        </w:div>
        <w:div w:id="464549171">
          <w:marLeft w:val="288"/>
          <w:marRight w:val="0"/>
          <w:marTop w:val="120"/>
          <w:marBottom w:val="0"/>
          <w:divBdr>
            <w:top w:val="none" w:sz="0" w:space="0" w:color="auto"/>
            <w:left w:val="none" w:sz="0" w:space="0" w:color="auto"/>
            <w:bottom w:val="none" w:sz="0" w:space="0" w:color="auto"/>
            <w:right w:val="none" w:sz="0" w:space="0" w:color="auto"/>
          </w:divBdr>
        </w:div>
      </w:divsChild>
    </w:div>
    <w:div w:id="1101678589">
      <w:bodyDiv w:val="1"/>
      <w:marLeft w:val="0"/>
      <w:marRight w:val="0"/>
      <w:marTop w:val="0"/>
      <w:marBottom w:val="0"/>
      <w:divBdr>
        <w:top w:val="none" w:sz="0" w:space="0" w:color="auto"/>
        <w:left w:val="none" w:sz="0" w:space="0" w:color="auto"/>
        <w:bottom w:val="none" w:sz="0" w:space="0" w:color="auto"/>
        <w:right w:val="none" w:sz="0" w:space="0" w:color="auto"/>
      </w:divBdr>
    </w:div>
    <w:div w:id="1101991519">
      <w:bodyDiv w:val="1"/>
      <w:marLeft w:val="0"/>
      <w:marRight w:val="0"/>
      <w:marTop w:val="0"/>
      <w:marBottom w:val="0"/>
      <w:divBdr>
        <w:top w:val="none" w:sz="0" w:space="0" w:color="auto"/>
        <w:left w:val="none" w:sz="0" w:space="0" w:color="auto"/>
        <w:bottom w:val="none" w:sz="0" w:space="0" w:color="auto"/>
        <w:right w:val="none" w:sz="0" w:space="0" w:color="auto"/>
      </w:divBdr>
    </w:div>
    <w:div w:id="1116370455">
      <w:bodyDiv w:val="1"/>
      <w:marLeft w:val="0"/>
      <w:marRight w:val="0"/>
      <w:marTop w:val="0"/>
      <w:marBottom w:val="0"/>
      <w:divBdr>
        <w:top w:val="none" w:sz="0" w:space="0" w:color="auto"/>
        <w:left w:val="none" w:sz="0" w:space="0" w:color="auto"/>
        <w:bottom w:val="none" w:sz="0" w:space="0" w:color="auto"/>
        <w:right w:val="none" w:sz="0" w:space="0" w:color="auto"/>
      </w:divBdr>
    </w:div>
    <w:div w:id="1116757721">
      <w:bodyDiv w:val="1"/>
      <w:marLeft w:val="0"/>
      <w:marRight w:val="0"/>
      <w:marTop w:val="0"/>
      <w:marBottom w:val="0"/>
      <w:divBdr>
        <w:top w:val="none" w:sz="0" w:space="0" w:color="auto"/>
        <w:left w:val="none" w:sz="0" w:space="0" w:color="auto"/>
        <w:bottom w:val="none" w:sz="0" w:space="0" w:color="auto"/>
        <w:right w:val="none" w:sz="0" w:space="0" w:color="auto"/>
      </w:divBdr>
      <w:divsChild>
        <w:div w:id="326397284">
          <w:marLeft w:val="274"/>
          <w:marRight w:val="0"/>
          <w:marTop w:val="240"/>
          <w:marBottom w:val="40"/>
          <w:divBdr>
            <w:top w:val="none" w:sz="0" w:space="0" w:color="auto"/>
            <w:left w:val="none" w:sz="0" w:space="0" w:color="auto"/>
            <w:bottom w:val="none" w:sz="0" w:space="0" w:color="auto"/>
            <w:right w:val="none" w:sz="0" w:space="0" w:color="auto"/>
          </w:divBdr>
        </w:div>
        <w:div w:id="1701395015">
          <w:marLeft w:val="274"/>
          <w:marRight w:val="0"/>
          <w:marTop w:val="240"/>
          <w:marBottom w:val="40"/>
          <w:divBdr>
            <w:top w:val="none" w:sz="0" w:space="0" w:color="auto"/>
            <w:left w:val="none" w:sz="0" w:space="0" w:color="auto"/>
            <w:bottom w:val="none" w:sz="0" w:space="0" w:color="auto"/>
            <w:right w:val="none" w:sz="0" w:space="0" w:color="auto"/>
          </w:divBdr>
        </w:div>
      </w:divsChild>
    </w:div>
    <w:div w:id="1117871061">
      <w:bodyDiv w:val="1"/>
      <w:marLeft w:val="0"/>
      <w:marRight w:val="0"/>
      <w:marTop w:val="0"/>
      <w:marBottom w:val="0"/>
      <w:divBdr>
        <w:top w:val="none" w:sz="0" w:space="0" w:color="auto"/>
        <w:left w:val="none" w:sz="0" w:space="0" w:color="auto"/>
        <w:bottom w:val="none" w:sz="0" w:space="0" w:color="auto"/>
        <w:right w:val="none" w:sz="0" w:space="0" w:color="auto"/>
      </w:divBdr>
      <w:divsChild>
        <w:div w:id="45110961">
          <w:marLeft w:val="274"/>
          <w:marRight w:val="0"/>
          <w:marTop w:val="40"/>
          <w:marBottom w:val="0"/>
          <w:divBdr>
            <w:top w:val="none" w:sz="0" w:space="0" w:color="auto"/>
            <w:left w:val="none" w:sz="0" w:space="0" w:color="auto"/>
            <w:bottom w:val="none" w:sz="0" w:space="0" w:color="auto"/>
            <w:right w:val="none" w:sz="0" w:space="0" w:color="auto"/>
          </w:divBdr>
        </w:div>
        <w:div w:id="68236165">
          <w:marLeft w:val="274"/>
          <w:marRight w:val="0"/>
          <w:marTop w:val="40"/>
          <w:marBottom w:val="0"/>
          <w:divBdr>
            <w:top w:val="none" w:sz="0" w:space="0" w:color="auto"/>
            <w:left w:val="none" w:sz="0" w:space="0" w:color="auto"/>
            <w:bottom w:val="none" w:sz="0" w:space="0" w:color="auto"/>
            <w:right w:val="none" w:sz="0" w:space="0" w:color="auto"/>
          </w:divBdr>
        </w:div>
        <w:div w:id="80496358">
          <w:marLeft w:val="274"/>
          <w:marRight w:val="0"/>
          <w:marTop w:val="40"/>
          <w:marBottom w:val="0"/>
          <w:divBdr>
            <w:top w:val="none" w:sz="0" w:space="0" w:color="auto"/>
            <w:left w:val="none" w:sz="0" w:space="0" w:color="auto"/>
            <w:bottom w:val="none" w:sz="0" w:space="0" w:color="auto"/>
            <w:right w:val="none" w:sz="0" w:space="0" w:color="auto"/>
          </w:divBdr>
        </w:div>
        <w:div w:id="203180397">
          <w:marLeft w:val="274"/>
          <w:marRight w:val="0"/>
          <w:marTop w:val="40"/>
          <w:marBottom w:val="0"/>
          <w:divBdr>
            <w:top w:val="none" w:sz="0" w:space="0" w:color="auto"/>
            <w:left w:val="none" w:sz="0" w:space="0" w:color="auto"/>
            <w:bottom w:val="none" w:sz="0" w:space="0" w:color="auto"/>
            <w:right w:val="none" w:sz="0" w:space="0" w:color="auto"/>
          </w:divBdr>
        </w:div>
        <w:div w:id="309217475">
          <w:marLeft w:val="274"/>
          <w:marRight w:val="0"/>
          <w:marTop w:val="40"/>
          <w:marBottom w:val="0"/>
          <w:divBdr>
            <w:top w:val="none" w:sz="0" w:space="0" w:color="auto"/>
            <w:left w:val="none" w:sz="0" w:space="0" w:color="auto"/>
            <w:bottom w:val="none" w:sz="0" w:space="0" w:color="auto"/>
            <w:right w:val="none" w:sz="0" w:space="0" w:color="auto"/>
          </w:divBdr>
        </w:div>
        <w:div w:id="530727533">
          <w:marLeft w:val="274"/>
          <w:marRight w:val="0"/>
          <w:marTop w:val="40"/>
          <w:marBottom w:val="0"/>
          <w:divBdr>
            <w:top w:val="none" w:sz="0" w:space="0" w:color="auto"/>
            <w:left w:val="none" w:sz="0" w:space="0" w:color="auto"/>
            <w:bottom w:val="none" w:sz="0" w:space="0" w:color="auto"/>
            <w:right w:val="none" w:sz="0" w:space="0" w:color="auto"/>
          </w:divBdr>
        </w:div>
        <w:div w:id="552809714">
          <w:marLeft w:val="274"/>
          <w:marRight w:val="0"/>
          <w:marTop w:val="40"/>
          <w:marBottom w:val="0"/>
          <w:divBdr>
            <w:top w:val="none" w:sz="0" w:space="0" w:color="auto"/>
            <w:left w:val="none" w:sz="0" w:space="0" w:color="auto"/>
            <w:bottom w:val="none" w:sz="0" w:space="0" w:color="auto"/>
            <w:right w:val="none" w:sz="0" w:space="0" w:color="auto"/>
          </w:divBdr>
        </w:div>
        <w:div w:id="703017641">
          <w:marLeft w:val="274"/>
          <w:marRight w:val="0"/>
          <w:marTop w:val="40"/>
          <w:marBottom w:val="0"/>
          <w:divBdr>
            <w:top w:val="none" w:sz="0" w:space="0" w:color="auto"/>
            <w:left w:val="none" w:sz="0" w:space="0" w:color="auto"/>
            <w:bottom w:val="none" w:sz="0" w:space="0" w:color="auto"/>
            <w:right w:val="none" w:sz="0" w:space="0" w:color="auto"/>
          </w:divBdr>
        </w:div>
        <w:div w:id="742793802">
          <w:marLeft w:val="274"/>
          <w:marRight w:val="0"/>
          <w:marTop w:val="40"/>
          <w:marBottom w:val="0"/>
          <w:divBdr>
            <w:top w:val="none" w:sz="0" w:space="0" w:color="auto"/>
            <w:left w:val="none" w:sz="0" w:space="0" w:color="auto"/>
            <w:bottom w:val="none" w:sz="0" w:space="0" w:color="auto"/>
            <w:right w:val="none" w:sz="0" w:space="0" w:color="auto"/>
          </w:divBdr>
        </w:div>
        <w:div w:id="777918906">
          <w:marLeft w:val="274"/>
          <w:marRight w:val="0"/>
          <w:marTop w:val="40"/>
          <w:marBottom w:val="0"/>
          <w:divBdr>
            <w:top w:val="none" w:sz="0" w:space="0" w:color="auto"/>
            <w:left w:val="none" w:sz="0" w:space="0" w:color="auto"/>
            <w:bottom w:val="none" w:sz="0" w:space="0" w:color="auto"/>
            <w:right w:val="none" w:sz="0" w:space="0" w:color="auto"/>
          </w:divBdr>
        </w:div>
        <w:div w:id="784471211">
          <w:marLeft w:val="274"/>
          <w:marRight w:val="0"/>
          <w:marTop w:val="40"/>
          <w:marBottom w:val="0"/>
          <w:divBdr>
            <w:top w:val="none" w:sz="0" w:space="0" w:color="auto"/>
            <w:left w:val="none" w:sz="0" w:space="0" w:color="auto"/>
            <w:bottom w:val="none" w:sz="0" w:space="0" w:color="auto"/>
            <w:right w:val="none" w:sz="0" w:space="0" w:color="auto"/>
          </w:divBdr>
        </w:div>
        <w:div w:id="846600074">
          <w:marLeft w:val="274"/>
          <w:marRight w:val="0"/>
          <w:marTop w:val="40"/>
          <w:marBottom w:val="0"/>
          <w:divBdr>
            <w:top w:val="none" w:sz="0" w:space="0" w:color="auto"/>
            <w:left w:val="none" w:sz="0" w:space="0" w:color="auto"/>
            <w:bottom w:val="none" w:sz="0" w:space="0" w:color="auto"/>
            <w:right w:val="none" w:sz="0" w:space="0" w:color="auto"/>
          </w:divBdr>
        </w:div>
        <w:div w:id="851605008">
          <w:marLeft w:val="274"/>
          <w:marRight w:val="0"/>
          <w:marTop w:val="40"/>
          <w:marBottom w:val="0"/>
          <w:divBdr>
            <w:top w:val="none" w:sz="0" w:space="0" w:color="auto"/>
            <w:left w:val="none" w:sz="0" w:space="0" w:color="auto"/>
            <w:bottom w:val="none" w:sz="0" w:space="0" w:color="auto"/>
            <w:right w:val="none" w:sz="0" w:space="0" w:color="auto"/>
          </w:divBdr>
        </w:div>
        <w:div w:id="856308976">
          <w:marLeft w:val="274"/>
          <w:marRight w:val="0"/>
          <w:marTop w:val="40"/>
          <w:marBottom w:val="0"/>
          <w:divBdr>
            <w:top w:val="none" w:sz="0" w:space="0" w:color="auto"/>
            <w:left w:val="none" w:sz="0" w:space="0" w:color="auto"/>
            <w:bottom w:val="none" w:sz="0" w:space="0" w:color="auto"/>
            <w:right w:val="none" w:sz="0" w:space="0" w:color="auto"/>
          </w:divBdr>
        </w:div>
        <w:div w:id="881864618">
          <w:marLeft w:val="274"/>
          <w:marRight w:val="0"/>
          <w:marTop w:val="40"/>
          <w:marBottom w:val="0"/>
          <w:divBdr>
            <w:top w:val="none" w:sz="0" w:space="0" w:color="auto"/>
            <w:left w:val="none" w:sz="0" w:space="0" w:color="auto"/>
            <w:bottom w:val="none" w:sz="0" w:space="0" w:color="auto"/>
            <w:right w:val="none" w:sz="0" w:space="0" w:color="auto"/>
          </w:divBdr>
        </w:div>
        <w:div w:id="904291269">
          <w:marLeft w:val="274"/>
          <w:marRight w:val="0"/>
          <w:marTop w:val="40"/>
          <w:marBottom w:val="0"/>
          <w:divBdr>
            <w:top w:val="none" w:sz="0" w:space="0" w:color="auto"/>
            <w:left w:val="none" w:sz="0" w:space="0" w:color="auto"/>
            <w:bottom w:val="none" w:sz="0" w:space="0" w:color="auto"/>
            <w:right w:val="none" w:sz="0" w:space="0" w:color="auto"/>
          </w:divBdr>
        </w:div>
        <w:div w:id="956445960">
          <w:marLeft w:val="274"/>
          <w:marRight w:val="0"/>
          <w:marTop w:val="40"/>
          <w:marBottom w:val="0"/>
          <w:divBdr>
            <w:top w:val="none" w:sz="0" w:space="0" w:color="auto"/>
            <w:left w:val="none" w:sz="0" w:space="0" w:color="auto"/>
            <w:bottom w:val="none" w:sz="0" w:space="0" w:color="auto"/>
            <w:right w:val="none" w:sz="0" w:space="0" w:color="auto"/>
          </w:divBdr>
        </w:div>
        <w:div w:id="1347438482">
          <w:marLeft w:val="274"/>
          <w:marRight w:val="0"/>
          <w:marTop w:val="40"/>
          <w:marBottom w:val="0"/>
          <w:divBdr>
            <w:top w:val="none" w:sz="0" w:space="0" w:color="auto"/>
            <w:left w:val="none" w:sz="0" w:space="0" w:color="auto"/>
            <w:bottom w:val="none" w:sz="0" w:space="0" w:color="auto"/>
            <w:right w:val="none" w:sz="0" w:space="0" w:color="auto"/>
          </w:divBdr>
        </w:div>
        <w:div w:id="1495022910">
          <w:marLeft w:val="274"/>
          <w:marRight w:val="0"/>
          <w:marTop w:val="40"/>
          <w:marBottom w:val="0"/>
          <w:divBdr>
            <w:top w:val="none" w:sz="0" w:space="0" w:color="auto"/>
            <w:left w:val="none" w:sz="0" w:space="0" w:color="auto"/>
            <w:bottom w:val="none" w:sz="0" w:space="0" w:color="auto"/>
            <w:right w:val="none" w:sz="0" w:space="0" w:color="auto"/>
          </w:divBdr>
        </w:div>
        <w:div w:id="1596790760">
          <w:marLeft w:val="274"/>
          <w:marRight w:val="0"/>
          <w:marTop w:val="40"/>
          <w:marBottom w:val="0"/>
          <w:divBdr>
            <w:top w:val="none" w:sz="0" w:space="0" w:color="auto"/>
            <w:left w:val="none" w:sz="0" w:space="0" w:color="auto"/>
            <w:bottom w:val="none" w:sz="0" w:space="0" w:color="auto"/>
            <w:right w:val="none" w:sz="0" w:space="0" w:color="auto"/>
          </w:divBdr>
        </w:div>
        <w:div w:id="1673877935">
          <w:marLeft w:val="274"/>
          <w:marRight w:val="0"/>
          <w:marTop w:val="40"/>
          <w:marBottom w:val="0"/>
          <w:divBdr>
            <w:top w:val="none" w:sz="0" w:space="0" w:color="auto"/>
            <w:left w:val="none" w:sz="0" w:space="0" w:color="auto"/>
            <w:bottom w:val="none" w:sz="0" w:space="0" w:color="auto"/>
            <w:right w:val="none" w:sz="0" w:space="0" w:color="auto"/>
          </w:divBdr>
        </w:div>
        <w:div w:id="1704013772">
          <w:marLeft w:val="274"/>
          <w:marRight w:val="0"/>
          <w:marTop w:val="40"/>
          <w:marBottom w:val="0"/>
          <w:divBdr>
            <w:top w:val="none" w:sz="0" w:space="0" w:color="auto"/>
            <w:left w:val="none" w:sz="0" w:space="0" w:color="auto"/>
            <w:bottom w:val="none" w:sz="0" w:space="0" w:color="auto"/>
            <w:right w:val="none" w:sz="0" w:space="0" w:color="auto"/>
          </w:divBdr>
        </w:div>
        <w:div w:id="1706327680">
          <w:marLeft w:val="274"/>
          <w:marRight w:val="0"/>
          <w:marTop w:val="40"/>
          <w:marBottom w:val="0"/>
          <w:divBdr>
            <w:top w:val="none" w:sz="0" w:space="0" w:color="auto"/>
            <w:left w:val="none" w:sz="0" w:space="0" w:color="auto"/>
            <w:bottom w:val="none" w:sz="0" w:space="0" w:color="auto"/>
            <w:right w:val="none" w:sz="0" w:space="0" w:color="auto"/>
          </w:divBdr>
        </w:div>
        <w:div w:id="2010016583">
          <w:marLeft w:val="274"/>
          <w:marRight w:val="0"/>
          <w:marTop w:val="40"/>
          <w:marBottom w:val="0"/>
          <w:divBdr>
            <w:top w:val="none" w:sz="0" w:space="0" w:color="auto"/>
            <w:left w:val="none" w:sz="0" w:space="0" w:color="auto"/>
            <w:bottom w:val="none" w:sz="0" w:space="0" w:color="auto"/>
            <w:right w:val="none" w:sz="0" w:space="0" w:color="auto"/>
          </w:divBdr>
        </w:div>
        <w:div w:id="2014719719">
          <w:marLeft w:val="274"/>
          <w:marRight w:val="0"/>
          <w:marTop w:val="40"/>
          <w:marBottom w:val="0"/>
          <w:divBdr>
            <w:top w:val="none" w:sz="0" w:space="0" w:color="auto"/>
            <w:left w:val="none" w:sz="0" w:space="0" w:color="auto"/>
            <w:bottom w:val="none" w:sz="0" w:space="0" w:color="auto"/>
            <w:right w:val="none" w:sz="0" w:space="0" w:color="auto"/>
          </w:divBdr>
        </w:div>
        <w:div w:id="2036689289">
          <w:marLeft w:val="274"/>
          <w:marRight w:val="0"/>
          <w:marTop w:val="40"/>
          <w:marBottom w:val="0"/>
          <w:divBdr>
            <w:top w:val="none" w:sz="0" w:space="0" w:color="auto"/>
            <w:left w:val="none" w:sz="0" w:space="0" w:color="auto"/>
            <w:bottom w:val="none" w:sz="0" w:space="0" w:color="auto"/>
            <w:right w:val="none" w:sz="0" w:space="0" w:color="auto"/>
          </w:divBdr>
        </w:div>
        <w:div w:id="2044749986">
          <w:marLeft w:val="274"/>
          <w:marRight w:val="0"/>
          <w:marTop w:val="40"/>
          <w:marBottom w:val="0"/>
          <w:divBdr>
            <w:top w:val="none" w:sz="0" w:space="0" w:color="auto"/>
            <w:left w:val="none" w:sz="0" w:space="0" w:color="auto"/>
            <w:bottom w:val="none" w:sz="0" w:space="0" w:color="auto"/>
            <w:right w:val="none" w:sz="0" w:space="0" w:color="auto"/>
          </w:divBdr>
        </w:div>
        <w:div w:id="2053529124">
          <w:marLeft w:val="274"/>
          <w:marRight w:val="0"/>
          <w:marTop w:val="40"/>
          <w:marBottom w:val="0"/>
          <w:divBdr>
            <w:top w:val="none" w:sz="0" w:space="0" w:color="auto"/>
            <w:left w:val="none" w:sz="0" w:space="0" w:color="auto"/>
            <w:bottom w:val="none" w:sz="0" w:space="0" w:color="auto"/>
            <w:right w:val="none" w:sz="0" w:space="0" w:color="auto"/>
          </w:divBdr>
        </w:div>
        <w:div w:id="2132506453">
          <w:marLeft w:val="274"/>
          <w:marRight w:val="0"/>
          <w:marTop w:val="40"/>
          <w:marBottom w:val="0"/>
          <w:divBdr>
            <w:top w:val="none" w:sz="0" w:space="0" w:color="auto"/>
            <w:left w:val="none" w:sz="0" w:space="0" w:color="auto"/>
            <w:bottom w:val="none" w:sz="0" w:space="0" w:color="auto"/>
            <w:right w:val="none" w:sz="0" w:space="0" w:color="auto"/>
          </w:divBdr>
        </w:div>
        <w:div w:id="2144928701">
          <w:marLeft w:val="274"/>
          <w:marRight w:val="0"/>
          <w:marTop w:val="40"/>
          <w:marBottom w:val="0"/>
          <w:divBdr>
            <w:top w:val="none" w:sz="0" w:space="0" w:color="auto"/>
            <w:left w:val="none" w:sz="0" w:space="0" w:color="auto"/>
            <w:bottom w:val="none" w:sz="0" w:space="0" w:color="auto"/>
            <w:right w:val="none" w:sz="0" w:space="0" w:color="auto"/>
          </w:divBdr>
        </w:div>
      </w:divsChild>
    </w:div>
    <w:div w:id="1120732544">
      <w:bodyDiv w:val="1"/>
      <w:marLeft w:val="0"/>
      <w:marRight w:val="0"/>
      <w:marTop w:val="0"/>
      <w:marBottom w:val="0"/>
      <w:divBdr>
        <w:top w:val="none" w:sz="0" w:space="0" w:color="auto"/>
        <w:left w:val="none" w:sz="0" w:space="0" w:color="auto"/>
        <w:bottom w:val="none" w:sz="0" w:space="0" w:color="auto"/>
        <w:right w:val="none" w:sz="0" w:space="0" w:color="auto"/>
      </w:divBdr>
    </w:div>
    <w:div w:id="1124933081">
      <w:bodyDiv w:val="1"/>
      <w:marLeft w:val="0"/>
      <w:marRight w:val="0"/>
      <w:marTop w:val="0"/>
      <w:marBottom w:val="0"/>
      <w:divBdr>
        <w:top w:val="none" w:sz="0" w:space="0" w:color="auto"/>
        <w:left w:val="none" w:sz="0" w:space="0" w:color="auto"/>
        <w:bottom w:val="none" w:sz="0" w:space="0" w:color="auto"/>
        <w:right w:val="none" w:sz="0" w:space="0" w:color="auto"/>
      </w:divBdr>
    </w:div>
    <w:div w:id="1127356998">
      <w:bodyDiv w:val="1"/>
      <w:marLeft w:val="0"/>
      <w:marRight w:val="0"/>
      <w:marTop w:val="0"/>
      <w:marBottom w:val="0"/>
      <w:divBdr>
        <w:top w:val="none" w:sz="0" w:space="0" w:color="auto"/>
        <w:left w:val="none" w:sz="0" w:space="0" w:color="auto"/>
        <w:bottom w:val="none" w:sz="0" w:space="0" w:color="auto"/>
        <w:right w:val="none" w:sz="0" w:space="0" w:color="auto"/>
      </w:divBdr>
    </w:div>
    <w:div w:id="1130324250">
      <w:bodyDiv w:val="1"/>
      <w:marLeft w:val="0"/>
      <w:marRight w:val="0"/>
      <w:marTop w:val="0"/>
      <w:marBottom w:val="0"/>
      <w:divBdr>
        <w:top w:val="none" w:sz="0" w:space="0" w:color="auto"/>
        <w:left w:val="none" w:sz="0" w:space="0" w:color="auto"/>
        <w:bottom w:val="none" w:sz="0" w:space="0" w:color="auto"/>
        <w:right w:val="none" w:sz="0" w:space="0" w:color="auto"/>
      </w:divBdr>
    </w:div>
    <w:div w:id="1136993275">
      <w:bodyDiv w:val="1"/>
      <w:marLeft w:val="0"/>
      <w:marRight w:val="0"/>
      <w:marTop w:val="0"/>
      <w:marBottom w:val="0"/>
      <w:divBdr>
        <w:top w:val="none" w:sz="0" w:space="0" w:color="auto"/>
        <w:left w:val="none" w:sz="0" w:space="0" w:color="auto"/>
        <w:bottom w:val="none" w:sz="0" w:space="0" w:color="auto"/>
        <w:right w:val="none" w:sz="0" w:space="0" w:color="auto"/>
      </w:divBdr>
    </w:div>
    <w:div w:id="1148136409">
      <w:bodyDiv w:val="1"/>
      <w:marLeft w:val="0"/>
      <w:marRight w:val="0"/>
      <w:marTop w:val="0"/>
      <w:marBottom w:val="0"/>
      <w:divBdr>
        <w:top w:val="none" w:sz="0" w:space="0" w:color="auto"/>
        <w:left w:val="none" w:sz="0" w:space="0" w:color="auto"/>
        <w:bottom w:val="none" w:sz="0" w:space="0" w:color="auto"/>
        <w:right w:val="none" w:sz="0" w:space="0" w:color="auto"/>
      </w:divBdr>
    </w:div>
    <w:div w:id="1152984096">
      <w:bodyDiv w:val="1"/>
      <w:marLeft w:val="0"/>
      <w:marRight w:val="0"/>
      <w:marTop w:val="0"/>
      <w:marBottom w:val="0"/>
      <w:divBdr>
        <w:top w:val="none" w:sz="0" w:space="0" w:color="auto"/>
        <w:left w:val="none" w:sz="0" w:space="0" w:color="auto"/>
        <w:bottom w:val="none" w:sz="0" w:space="0" w:color="auto"/>
        <w:right w:val="none" w:sz="0" w:space="0" w:color="auto"/>
      </w:divBdr>
    </w:div>
    <w:div w:id="1153181251">
      <w:bodyDiv w:val="1"/>
      <w:marLeft w:val="0"/>
      <w:marRight w:val="0"/>
      <w:marTop w:val="0"/>
      <w:marBottom w:val="0"/>
      <w:divBdr>
        <w:top w:val="none" w:sz="0" w:space="0" w:color="auto"/>
        <w:left w:val="none" w:sz="0" w:space="0" w:color="auto"/>
        <w:bottom w:val="none" w:sz="0" w:space="0" w:color="auto"/>
        <w:right w:val="none" w:sz="0" w:space="0" w:color="auto"/>
      </w:divBdr>
    </w:div>
    <w:div w:id="1153718006">
      <w:bodyDiv w:val="1"/>
      <w:marLeft w:val="0"/>
      <w:marRight w:val="0"/>
      <w:marTop w:val="0"/>
      <w:marBottom w:val="0"/>
      <w:divBdr>
        <w:top w:val="none" w:sz="0" w:space="0" w:color="auto"/>
        <w:left w:val="none" w:sz="0" w:space="0" w:color="auto"/>
        <w:bottom w:val="none" w:sz="0" w:space="0" w:color="auto"/>
        <w:right w:val="none" w:sz="0" w:space="0" w:color="auto"/>
      </w:divBdr>
    </w:div>
    <w:div w:id="1158157391">
      <w:bodyDiv w:val="1"/>
      <w:marLeft w:val="0"/>
      <w:marRight w:val="0"/>
      <w:marTop w:val="0"/>
      <w:marBottom w:val="0"/>
      <w:divBdr>
        <w:top w:val="none" w:sz="0" w:space="0" w:color="auto"/>
        <w:left w:val="none" w:sz="0" w:space="0" w:color="auto"/>
        <w:bottom w:val="none" w:sz="0" w:space="0" w:color="auto"/>
        <w:right w:val="none" w:sz="0" w:space="0" w:color="auto"/>
      </w:divBdr>
    </w:div>
    <w:div w:id="1159344349">
      <w:bodyDiv w:val="1"/>
      <w:marLeft w:val="0"/>
      <w:marRight w:val="0"/>
      <w:marTop w:val="0"/>
      <w:marBottom w:val="0"/>
      <w:divBdr>
        <w:top w:val="none" w:sz="0" w:space="0" w:color="auto"/>
        <w:left w:val="none" w:sz="0" w:space="0" w:color="auto"/>
        <w:bottom w:val="none" w:sz="0" w:space="0" w:color="auto"/>
        <w:right w:val="none" w:sz="0" w:space="0" w:color="auto"/>
      </w:divBdr>
    </w:div>
    <w:div w:id="1160656441">
      <w:bodyDiv w:val="1"/>
      <w:marLeft w:val="0"/>
      <w:marRight w:val="0"/>
      <w:marTop w:val="0"/>
      <w:marBottom w:val="0"/>
      <w:divBdr>
        <w:top w:val="none" w:sz="0" w:space="0" w:color="auto"/>
        <w:left w:val="none" w:sz="0" w:space="0" w:color="auto"/>
        <w:bottom w:val="none" w:sz="0" w:space="0" w:color="auto"/>
        <w:right w:val="none" w:sz="0" w:space="0" w:color="auto"/>
      </w:divBdr>
    </w:div>
    <w:div w:id="1161309156">
      <w:bodyDiv w:val="1"/>
      <w:marLeft w:val="0"/>
      <w:marRight w:val="0"/>
      <w:marTop w:val="0"/>
      <w:marBottom w:val="0"/>
      <w:divBdr>
        <w:top w:val="none" w:sz="0" w:space="0" w:color="auto"/>
        <w:left w:val="none" w:sz="0" w:space="0" w:color="auto"/>
        <w:bottom w:val="none" w:sz="0" w:space="0" w:color="auto"/>
        <w:right w:val="none" w:sz="0" w:space="0" w:color="auto"/>
      </w:divBdr>
    </w:div>
    <w:div w:id="1162165010">
      <w:bodyDiv w:val="1"/>
      <w:marLeft w:val="0"/>
      <w:marRight w:val="0"/>
      <w:marTop w:val="0"/>
      <w:marBottom w:val="0"/>
      <w:divBdr>
        <w:top w:val="none" w:sz="0" w:space="0" w:color="auto"/>
        <w:left w:val="none" w:sz="0" w:space="0" w:color="auto"/>
        <w:bottom w:val="none" w:sz="0" w:space="0" w:color="auto"/>
        <w:right w:val="none" w:sz="0" w:space="0" w:color="auto"/>
      </w:divBdr>
    </w:div>
    <w:div w:id="1163739378">
      <w:bodyDiv w:val="1"/>
      <w:marLeft w:val="0"/>
      <w:marRight w:val="0"/>
      <w:marTop w:val="0"/>
      <w:marBottom w:val="0"/>
      <w:divBdr>
        <w:top w:val="none" w:sz="0" w:space="0" w:color="auto"/>
        <w:left w:val="none" w:sz="0" w:space="0" w:color="auto"/>
        <w:bottom w:val="none" w:sz="0" w:space="0" w:color="auto"/>
        <w:right w:val="none" w:sz="0" w:space="0" w:color="auto"/>
      </w:divBdr>
    </w:div>
    <w:div w:id="1166939614">
      <w:bodyDiv w:val="1"/>
      <w:marLeft w:val="0"/>
      <w:marRight w:val="0"/>
      <w:marTop w:val="0"/>
      <w:marBottom w:val="0"/>
      <w:divBdr>
        <w:top w:val="none" w:sz="0" w:space="0" w:color="auto"/>
        <w:left w:val="none" w:sz="0" w:space="0" w:color="auto"/>
        <w:bottom w:val="none" w:sz="0" w:space="0" w:color="auto"/>
        <w:right w:val="none" w:sz="0" w:space="0" w:color="auto"/>
      </w:divBdr>
    </w:div>
    <w:div w:id="1178083028">
      <w:bodyDiv w:val="1"/>
      <w:marLeft w:val="0"/>
      <w:marRight w:val="0"/>
      <w:marTop w:val="0"/>
      <w:marBottom w:val="0"/>
      <w:divBdr>
        <w:top w:val="none" w:sz="0" w:space="0" w:color="auto"/>
        <w:left w:val="none" w:sz="0" w:space="0" w:color="auto"/>
        <w:bottom w:val="none" w:sz="0" w:space="0" w:color="auto"/>
        <w:right w:val="none" w:sz="0" w:space="0" w:color="auto"/>
      </w:divBdr>
    </w:div>
    <w:div w:id="1178352538">
      <w:bodyDiv w:val="1"/>
      <w:marLeft w:val="0"/>
      <w:marRight w:val="0"/>
      <w:marTop w:val="0"/>
      <w:marBottom w:val="0"/>
      <w:divBdr>
        <w:top w:val="none" w:sz="0" w:space="0" w:color="auto"/>
        <w:left w:val="none" w:sz="0" w:space="0" w:color="auto"/>
        <w:bottom w:val="none" w:sz="0" w:space="0" w:color="auto"/>
        <w:right w:val="none" w:sz="0" w:space="0" w:color="auto"/>
      </w:divBdr>
    </w:div>
    <w:div w:id="1191993604">
      <w:bodyDiv w:val="1"/>
      <w:marLeft w:val="0"/>
      <w:marRight w:val="0"/>
      <w:marTop w:val="0"/>
      <w:marBottom w:val="0"/>
      <w:divBdr>
        <w:top w:val="none" w:sz="0" w:space="0" w:color="auto"/>
        <w:left w:val="none" w:sz="0" w:space="0" w:color="auto"/>
        <w:bottom w:val="none" w:sz="0" w:space="0" w:color="auto"/>
        <w:right w:val="none" w:sz="0" w:space="0" w:color="auto"/>
      </w:divBdr>
    </w:div>
    <w:div w:id="1192105577">
      <w:bodyDiv w:val="1"/>
      <w:marLeft w:val="0"/>
      <w:marRight w:val="0"/>
      <w:marTop w:val="0"/>
      <w:marBottom w:val="0"/>
      <w:divBdr>
        <w:top w:val="none" w:sz="0" w:space="0" w:color="auto"/>
        <w:left w:val="none" w:sz="0" w:space="0" w:color="auto"/>
        <w:bottom w:val="none" w:sz="0" w:space="0" w:color="auto"/>
        <w:right w:val="none" w:sz="0" w:space="0" w:color="auto"/>
      </w:divBdr>
    </w:div>
    <w:div w:id="1193419827">
      <w:bodyDiv w:val="1"/>
      <w:marLeft w:val="0"/>
      <w:marRight w:val="0"/>
      <w:marTop w:val="0"/>
      <w:marBottom w:val="0"/>
      <w:divBdr>
        <w:top w:val="none" w:sz="0" w:space="0" w:color="auto"/>
        <w:left w:val="none" w:sz="0" w:space="0" w:color="auto"/>
        <w:bottom w:val="none" w:sz="0" w:space="0" w:color="auto"/>
        <w:right w:val="none" w:sz="0" w:space="0" w:color="auto"/>
      </w:divBdr>
    </w:div>
    <w:div w:id="1199779641">
      <w:bodyDiv w:val="1"/>
      <w:marLeft w:val="0"/>
      <w:marRight w:val="0"/>
      <w:marTop w:val="0"/>
      <w:marBottom w:val="0"/>
      <w:divBdr>
        <w:top w:val="none" w:sz="0" w:space="0" w:color="auto"/>
        <w:left w:val="none" w:sz="0" w:space="0" w:color="auto"/>
        <w:bottom w:val="none" w:sz="0" w:space="0" w:color="auto"/>
        <w:right w:val="none" w:sz="0" w:space="0" w:color="auto"/>
      </w:divBdr>
    </w:div>
    <w:div w:id="1203640751">
      <w:bodyDiv w:val="1"/>
      <w:marLeft w:val="0"/>
      <w:marRight w:val="0"/>
      <w:marTop w:val="0"/>
      <w:marBottom w:val="0"/>
      <w:divBdr>
        <w:top w:val="none" w:sz="0" w:space="0" w:color="auto"/>
        <w:left w:val="none" w:sz="0" w:space="0" w:color="auto"/>
        <w:bottom w:val="none" w:sz="0" w:space="0" w:color="auto"/>
        <w:right w:val="none" w:sz="0" w:space="0" w:color="auto"/>
      </w:divBdr>
    </w:div>
    <w:div w:id="1203707037">
      <w:bodyDiv w:val="1"/>
      <w:marLeft w:val="0"/>
      <w:marRight w:val="0"/>
      <w:marTop w:val="0"/>
      <w:marBottom w:val="0"/>
      <w:divBdr>
        <w:top w:val="none" w:sz="0" w:space="0" w:color="auto"/>
        <w:left w:val="none" w:sz="0" w:space="0" w:color="auto"/>
        <w:bottom w:val="none" w:sz="0" w:space="0" w:color="auto"/>
        <w:right w:val="none" w:sz="0" w:space="0" w:color="auto"/>
      </w:divBdr>
    </w:div>
    <w:div w:id="1205094072">
      <w:bodyDiv w:val="1"/>
      <w:marLeft w:val="0"/>
      <w:marRight w:val="0"/>
      <w:marTop w:val="0"/>
      <w:marBottom w:val="0"/>
      <w:divBdr>
        <w:top w:val="none" w:sz="0" w:space="0" w:color="auto"/>
        <w:left w:val="none" w:sz="0" w:space="0" w:color="auto"/>
        <w:bottom w:val="none" w:sz="0" w:space="0" w:color="auto"/>
        <w:right w:val="none" w:sz="0" w:space="0" w:color="auto"/>
      </w:divBdr>
    </w:div>
    <w:div w:id="1206260628">
      <w:bodyDiv w:val="1"/>
      <w:marLeft w:val="0"/>
      <w:marRight w:val="0"/>
      <w:marTop w:val="0"/>
      <w:marBottom w:val="0"/>
      <w:divBdr>
        <w:top w:val="none" w:sz="0" w:space="0" w:color="auto"/>
        <w:left w:val="none" w:sz="0" w:space="0" w:color="auto"/>
        <w:bottom w:val="none" w:sz="0" w:space="0" w:color="auto"/>
        <w:right w:val="none" w:sz="0" w:space="0" w:color="auto"/>
      </w:divBdr>
    </w:div>
    <w:div w:id="1223520536">
      <w:bodyDiv w:val="1"/>
      <w:marLeft w:val="0"/>
      <w:marRight w:val="0"/>
      <w:marTop w:val="0"/>
      <w:marBottom w:val="0"/>
      <w:divBdr>
        <w:top w:val="none" w:sz="0" w:space="0" w:color="auto"/>
        <w:left w:val="none" w:sz="0" w:space="0" w:color="auto"/>
        <w:bottom w:val="none" w:sz="0" w:space="0" w:color="auto"/>
        <w:right w:val="none" w:sz="0" w:space="0" w:color="auto"/>
      </w:divBdr>
    </w:div>
    <w:div w:id="1225991570">
      <w:bodyDiv w:val="1"/>
      <w:marLeft w:val="0"/>
      <w:marRight w:val="0"/>
      <w:marTop w:val="0"/>
      <w:marBottom w:val="0"/>
      <w:divBdr>
        <w:top w:val="none" w:sz="0" w:space="0" w:color="auto"/>
        <w:left w:val="none" w:sz="0" w:space="0" w:color="auto"/>
        <w:bottom w:val="none" w:sz="0" w:space="0" w:color="auto"/>
        <w:right w:val="none" w:sz="0" w:space="0" w:color="auto"/>
      </w:divBdr>
    </w:div>
    <w:div w:id="1227955685">
      <w:bodyDiv w:val="1"/>
      <w:marLeft w:val="0"/>
      <w:marRight w:val="0"/>
      <w:marTop w:val="0"/>
      <w:marBottom w:val="0"/>
      <w:divBdr>
        <w:top w:val="none" w:sz="0" w:space="0" w:color="auto"/>
        <w:left w:val="none" w:sz="0" w:space="0" w:color="auto"/>
        <w:bottom w:val="none" w:sz="0" w:space="0" w:color="auto"/>
        <w:right w:val="none" w:sz="0" w:space="0" w:color="auto"/>
      </w:divBdr>
    </w:div>
    <w:div w:id="1237086400">
      <w:bodyDiv w:val="1"/>
      <w:marLeft w:val="0"/>
      <w:marRight w:val="0"/>
      <w:marTop w:val="0"/>
      <w:marBottom w:val="0"/>
      <w:divBdr>
        <w:top w:val="none" w:sz="0" w:space="0" w:color="auto"/>
        <w:left w:val="none" w:sz="0" w:space="0" w:color="auto"/>
        <w:bottom w:val="none" w:sz="0" w:space="0" w:color="auto"/>
        <w:right w:val="none" w:sz="0" w:space="0" w:color="auto"/>
      </w:divBdr>
    </w:div>
    <w:div w:id="1239511445">
      <w:bodyDiv w:val="1"/>
      <w:marLeft w:val="0"/>
      <w:marRight w:val="0"/>
      <w:marTop w:val="0"/>
      <w:marBottom w:val="0"/>
      <w:divBdr>
        <w:top w:val="none" w:sz="0" w:space="0" w:color="auto"/>
        <w:left w:val="none" w:sz="0" w:space="0" w:color="auto"/>
        <w:bottom w:val="none" w:sz="0" w:space="0" w:color="auto"/>
        <w:right w:val="none" w:sz="0" w:space="0" w:color="auto"/>
      </w:divBdr>
    </w:div>
    <w:div w:id="1241254821">
      <w:bodyDiv w:val="1"/>
      <w:marLeft w:val="0"/>
      <w:marRight w:val="0"/>
      <w:marTop w:val="0"/>
      <w:marBottom w:val="0"/>
      <w:divBdr>
        <w:top w:val="none" w:sz="0" w:space="0" w:color="auto"/>
        <w:left w:val="none" w:sz="0" w:space="0" w:color="auto"/>
        <w:bottom w:val="none" w:sz="0" w:space="0" w:color="auto"/>
        <w:right w:val="none" w:sz="0" w:space="0" w:color="auto"/>
      </w:divBdr>
    </w:div>
    <w:div w:id="1246836495">
      <w:marLeft w:val="0"/>
      <w:marRight w:val="0"/>
      <w:marTop w:val="0"/>
      <w:marBottom w:val="0"/>
      <w:divBdr>
        <w:top w:val="none" w:sz="0" w:space="0" w:color="auto"/>
        <w:left w:val="none" w:sz="0" w:space="0" w:color="auto"/>
        <w:bottom w:val="none" w:sz="0" w:space="0" w:color="auto"/>
        <w:right w:val="none" w:sz="0" w:space="0" w:color="auto"/>
      </w:divBdr>
      <w:divsChild>
        <w:div w:id="240218469">
          <w:marLeft w:val="0"/>
          <w:marRight w:val="0"/>
          <w:marTop w:val="0"/>
          <w:marBottom w:val="0"/>
          <w:divBdr>
            <w:top w:val="none" w:sz="0" w:space="0" w:color="auto"/>
            <w:left w:val="none" w:sz="0" w:space="0" w:color="auto"/>
            <w:bottom w:val="none" w:sz="0" w:space="0" w:color="auto"/>
            <w:right w:val="none" w:sz="0" w:space="0" w:color="auto"/>
          </w:divBdr>
          <w:divsChild>
            <w:div w:id="52035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21676">
      <w:bodyDiv w:val="1"/>
      <w:marLeft w:val="0"/>
      <w:marRight w:val="0"/>
      <w:marTop w:val="0"/>
      <w:marBottom w:val="0"/>
      <w:divBdr>
        <w:top w:val="none" w:sz="0" w:space="0" w:color="auto"/>
        <w:left w:val="none" w:sz="0" w:space="0" w:color="auto"/>
        <w:bottom w:val="none" w:sz="0" w:space="0" w:color="auto"/>
        <w:right w:val="none" w:sz="0" w:space="0" w:color="auto"/>
      </w:divBdr>
    </w:div>
    <w:div w:id="1261253297">
      <w:bodyDiv w:val="1"/>
      <w:marLeft w:val="0"/>
      <w:marRight w:val="0"/>
      <w:marTop w:val="0"/>
      <w:marBottom w:val="0"/>
      <w:divBdr>
        <w:top w:val="none" w:sz="0" w:space="0" w:color="auto"/>
        <w:left w:val="none" w:sz="0" w:space="0" w:color="auto"/>
        <w:bottom w:val="none" w:sz="0" w:space="0" w:color="auto"/>
        <w:right w:val="none" w:sz="0" w:space="0" w:color="auto"/>
      </w:divBdr>
    </w:div>
    <w:div w:id="1261529528">
      <w:bodyDiv w:val="1"/>
      <w:marLeft w:val="0"/>
      <w:marRight w:val="0"/>
      <w:marTop w:val="0"/>
      <w:marBottom w:val="0"/>
      <w:divBdr>
        <w:top w:val="none" w:sz="0" w:space="0" w:color="auto"/>
        <w:left w:val="none" w:sz="0" w:space="0" w:color="auto"/>
        <w:bottom w:val="none" w:sz="0" w:space="0" w:color="auto"/>
        <w:right w:val="none" w:sz="0" w:space="0" w:color="auto"/>
      </w:divBdr>
    </w:div>
    <w:div w:id="1262909353">
      <w:bodyDiv w:val="1"/>
      <w:marLeft w:val="0"/>
      <w:marRight w:val="0"/>
      <w:marTop w:val="0"/>
      <w:marBottom w:val="0"/>
      <w:divBdr>
        <w:top w:val="none" w:sz="0" w:space="0" w:color="auto"/>
        <w:left w:val="none" w:sz="0" w:space="0" w:color="auto"/>
        <w:bottom w:val="none" w:sz="0" w:space="0" w:color="auto"/>
        <w:right w:val="none" w:sz="0" w:space="0" w:color="auto"/>
      </w:divBdr>
    </w:div>
    <w:div w:id="1262957551">
      <w:bodyDiv w:val="1"/>
      <w:marLeft w:val="0"/>
      <w:marRight w:val="0"/>
      <w:marTop w:val="0"/>
      <w:marBottom w:val="0"/>
      <w:divBdr>
        <w:top w:val="none" w:sz="0" w:space="0" w:color="auto"/>
        <w:left w:val="none" w:sz="0" w:space="0" w:color="auto"/>
        <w:bottom w:val="none" w:sz="0" w:space="0" w:color="auto"/>
        <w:right w:val="none" w:sz="0" w:space="0" w:color="auto"/>
      </w:divBdr>
    </w:div>
    <w:div w:id="1263420287">
      <w:bodyDiv w:val="1"/>
      <w:marLeft w:val="0"/>
      <w:marRight w:val="0"/>
      <w:marTop w:val="0"/>
      <w:marBottom w:val="0"/>
      <w:divBdr>
        <w:top w:val="none" w:sz="0" w:space="0" w:color="auto"/>
        <w:left w:val="none" w:sz="0" w:space="0" w:color="auto"/>
        <w:bottom w:val="none" w:sz="0" w:space="0" w:color="auto"/>
        <w:right w:val="none" w:sz="0" w:space="0" w:color="auto"/>
      </w:divBdr>
    </w:div>
    <w:div w:id="1267493907">
      <w:bodyDiv w:val="1"/>
      <w:marLeft w:val="0"/>
      <w:marRight w:val="0"/>
      <w:marTop w:val="0"/>
      <w:marBottom w:val="0"/>
      <w:divBdr>
        <w:top w:val="none" w:sz="0" w:space="0" w:color="auto"/>
        <w:left w:val="none" w:sz="0" w:space="0" w:color="auto"/>
        <w:bottom w:val="none" w:sz="0" w:space="0" w:color="auto"/>
        <w:right w:val="none" w:sz="0" w:space="0" w:color="auto"/>
      </w:divBdr>
    </w:div>
    <w:div w:id="1268197054">
      <w:bodyDiv w:val="1"/>
      <w:marLeft w:val="0"/>
      <w:marRight w:val="0"/>
      <w:marTop w:val="0"/>
      <w:marBottom w:val="0"/>
      <w:divBdr>
        <w:top w:val="none" w:sz="0" w:space="0" w:color="auto"/>
        <w:left w:val="none" w:sz="0" w:space="0" w:color="auto"/>
        <w:bottom w:val="none" w:sz="0" w:space="0" w:color="auto"/>
        <w:right w:val="none" w:sz="0" w:space="0" w:color="auto"/>
      </w:divBdr>
    </w:div>
    <w:div w:id="1269654777">
      <w:bodyDiv w:val="1"/>
      <w:marLeft w:val="0"/>
      <w:marRight w:val="0"/>
      <w:marTop w:val="0"/>
      <w:marBottom w:val="0"/>
      <w:divBdr>
        <w:top w:val="none" w:sz="0" w:space="0" w:color="auto"/>
        <w:left w:val="none" w:sz="0" w:space="0" w:color="auto"/>
        <w:bottom w:val="none" w:sz="0" w:space="0" w:color="auto"/>
        <w:right w:val="none" w:sz="0" w:space="0" w:color="auto"/>
      </w:divBdr>
      <w:divsChild>
        <w:div w:id="65147325">
          <w:marLeft w:val="274"/>
          <w:marRight w:val="0"/>
          <w:marTop w:val="40"/>
          <w:marBottom w:val="0"/>
          <w:divBdr>
            <w:top w:val="none" w:sz="0" w:space="0" w:color="auto"/>
            <w:left w:val="none" w:sz="0" w:space="0" w:color="auto"/>
            <w:bottom w:val="none" w:sz="0" w:space="0" w:color="auto"/>
            <w:right w:val="none" w:sz="0" w:space="0" w:color="auto"/>
          </w:divBdr>
        </w:div>
        <w:div w:id="109205539">
          <w:marLeft w:val="274"/>
          <w:marRight w:val="0"/>
          <w:marTop w:val="40"/>
          <w:marBottom w:val="0"/>
          <w:divBdr>
            <w:top w:val="none" w:sz="0" w:space="0" w:color="auto"/>
            <w:left w:val="none" w:sz="0" w:space="0" w:color="auto"/>
            <w:bottom w:val="none" w:sz="0" w:space="0" w:color="auto"/>
            <w:right w:val="none" w:sz="0" w:space="0" w:color="auto"/>
          </w:divBdr>
        </w:div>
        <w:div w:id="130444569">
          <w:marLeft w:val="274"/>
          <w:marRight w:val="0"/>
          <w:marTop w:val="40"/>
          <w:marBottom w:val="0"/>
          <w:divBdr>
            <w:top w:val="none" w:sz="0" w:space="0" w:color="auto"/>
            <w:left w:val="none" w:sz="0" w:space="0" w:color="auto"/>
            <w:bottom w:val="none" w:sz="0" w:space="0" w:color="auto"/>
            <w:right w:val="none" w:sz="0" w:space="0" w:color="auto"/>
          </w:divBdr>
        </w:div>
        <w:div w:id="139002977">
          <w:marLeft w:val="274"/>
          <w:marRight w:val="0"/>
          <w:marTop w:val="40"/>
          <w:marBottom w:val="0"/>
          <w:divBdr>
            <w:top w:val="none" w:sz="0" w:space="0" w:color="auto"/>
            <w:left w:val="none" w:sz="0" w:space="0" w:color="auto"/>
            <w:bottom w:val="none" w:sz="0" w:space="0" w:color="auto"/>
            <w:right w:val="none" w:sz="0" w:space="0" w:color="auto"/>
          </w:divBdr>
        </w:div>
        <w:div w:id="152649548">
          <w:marLeft w:val="274"/>
          <w:marRight w:val="0"/>
          <w:marTop w:val="40"/>
          <w:marBottom w:val="0"/>
          <w:divBdr>
            <w:top w:val="none" w:sz="0" w:space="0" w:color="auto"/>
            <w:left w:val="none" w:sz="0" w:space="0" w:color="auto"/>
            <w:bottom w:val="none" w:sz="0" w:space="0" w:color="auto"/>
            <w:right w:val="none" w:sz="0" w:space="0" w:color="auto"/>
          </w:divBdr>
        </w:div>
        <w:div w:id="165050254">
          <w:marLeft w:val="274"/>
          <w:marRight w:val="0"/>
          <w:marTop w:val="40"/>
          <w:marBottom w:val="0"/>
          <w:divBdr>
            <w:top w:val="none" w:sz="0" w:space="0" w:color="auto"/>
            <w:left w:val="none" w:sz="0" w:space="0" w:color="auto"/>
            <w:bottom w:val="none" w:sz="0" w:space="0" w:color="auto"/>
            <w:right w:val="none" w:sz="0" w:space="0" w:color="auto"/>
          </w:divBdr>
        </w:div>
        <w:div w:id="234827375">
          <w:marLeft w:val="274"/>
          <w:marRight w:val="0"/>
          <w:marTop w:val="40"/>
          <w:marBottom w:val="0"/>
          <w:divBdr>
            <w:top w:val="none" w:sz="0" w:space="0" w:color="auto"/>
            <w:left w:val="none" w:sz="0" w:space="0" w:color="auto"/>
            <w:bottom w:val="none" w:sz="0" w:space="0" w:color="auto"/>
            <w:right w:val="none" w:sz="0" w:space="0" w:color="auto"/>
          </w:divBdr>
        </w:div>
        <w:div w:id="425688887">
          <w:marLeft w:val="274"/>
          <w:marRight w:val="0"/>
          <w:marTop w:val="40"/>
          <w:marBottom w:val="0"/>
          <w:divBdr>
            <w:top w:val="none" w:sz="0" w:space="0" w:color="auto"/>
            <w:left w:val="none" w:sz="0" w:space="0" w:color="auto"/>
            <w:bottom w:val="none" w:sz="0" w:space="0" w:color="auto"/>
            <w:right w:val="none" w:sz="0" w:space="0" w:color="auto"/>
          </w:divBdr>
        </w:div>
        <w:div w:id="445392969">
          <w:marLeft w:val="274"/>
          <w:marRight w:val="0"/>
          <w:marTop w:val="40"/>
          <w:marBottom w:val="0"/>
          <w:divBdr>
            <w:top w:val="none" w:sz="0" w:space="0" w:color="auto"/>
            <w:left w:val="none" w:sz="0" w:space="0" w:color="auto"/>
            <w:bottom w:val="none" w:sz="0" w:space="0" w:color="auto"/>
            <w:right w:val="none" w:sz="0" w:space="0" w:color="auto"/>
          </w:divBdr>
        </w:div>
        <w:div w:id="496580925">
          <w:marLeft w:val="274"/>
          <w:marRight w:val="0"/>
          <w:marTop w:val="40"/>
          <w:marBottom w:val="0"/>
          <w:divBdr>
            <w:top w:val="none" w:sz="0" w:space="0" w:color="auto"/>
            <w:left w:val="none" w:sz="0" w:space="0" w:color="auto"/>
            <w:bottom w:val="none" w:sz="0" w:space="0" w:color="auto"/>
            <w:right w:val="none" w:sz="0" w:space="0" w:color="auto"/>
          </w:divBdr>
        </w:div>
        <w:div w:id="509949247">
          <w:marLeft w:val="274"/>
          <w:marRight w:val="0"/>
          <w:marTop w:val="40"/>
          <w:marBottom w:val="0"/>
          <w:divBdr>
            <w:top w:val="none" w:sz="0" w:space="0" w:color="auto"/>
            <w:left w:val="none" w:sz="0" w:space="0" w:color="auto"/>
            <w:bottom w:val="none" w:sz="0" w:space="0" w:color="auto"/>
            <w:right w:val="none" w:sz="0" w:space="0" w:color="auto"/>
          </w:divBdr>
        </w:div>
        <w:div w:id="535389487">
          <w:marLeft w:val="274"/>
          <w:marRight w:val="0"/>
          <w:marTop w:val="40"/>
          <w:marBottom w:val="0"/>
          <w:divBdr>
            <w:top w:val="none" w:sz="0" w:space="0" w:color="auto"/>
            <w:left w:val="none" w:sz="0" w:space="0" w:color="auto"/>
            <w:bottom w:val="none" w:sz="0" w:space="0" w:color="auto"/>
            <w:right w:val="none" w:sz="0" w:space="0" w:color="auto"/>
          </w:divBdr>
        </w:div>
        <w:div w:id="547689803">
          <w:marLeft w:val="274"/>
          <w:marRight w:val="0"/>
          <w:marTop w:val="40"/>
          <w:marBottom w:val="0"/>
          <w:divBdr>
            <w:top w:val="none" w:sz="0" w:space="0" w:color="auto"/>
            <w:left w:val="none" w:sz="0" w:space="0" w:color="auto"/>
            <w:bottom w:val="none" w:sz="0" w:space="0" w:color="auto"/>
            <w:right w:val="none" w:sz="0" w:space="0" w:color="auto"/>
          </w:divBdr>
        </w:div>
        <w:div w:id="725497286">
          <w:marLeft w:val="274"/>
          <w:marRight w:val="0"/>
          <w:marTop w:val="40"/>
          <w:marBottom w:val="0"/>
          <w:divBdr>
            <w:top w:val="none" w:sz="0" w:space="0" w:color="auto"/>
            <w:left w:val="none" w:sz="0" w:space="0" w:color="auto"/>
            <w:bottom w:val="none" w:sz="0" w:space="0" w:color="auto"/>
            <w:right w:val="none" w:sz="0" w:space="0" w:color="auto"/>
          </w:divBdr>
        </w:div>
        <w:div w:id="810249187">
          <w:marLeft w:val="274"/>
          <w:marRight w:val="0"/>
          <w:marTop w:val="40"/>
          <w:marBottom w:val="0"/>
          <w:divBdr>
            <w:top w:val="none" w:sz="0" w:space="0" w:color="auto"/>
            <w:left w:val="none" w:sz="0" w:space="0" w:color="auto"/>
            <w:bottom w:val="none" w:sz="0" w:space="0" w:color="auto"/>
            <w:right w:val="none" w:sz="0" w:space="0" w:color="auto"/>
          </w:divBdr>
        </w:div>
        <w:div w:id="1028221333">
          <w:marLeft w:val="274"/>
          <w:marRight w:val="0"/>
          <w:marTop w:val="40"/>
          <w:marBottom w:val="0"/>
          <w:divBdr>
            <w:top w:val="none" w:sz="0" w:space="0" w:color="auto"/>
            <w:left w:val="none" w:sz="0" w:space="0" w:color="auto"/>
            <w:bottom w:val="none" w:sz="0" w:space="0" w:color="auto"/>
            <w:right w:val="none" w:sz="0" w:space="0" w:color="auto"/>
          </w:divBdr>
        </w:div>
        <w:div w:id="1035077188">
          <w:marLeft w:val="274"/>
          <w:marRight w:val="0"/>
          <w:marTop w:val="40"/>
          <w:marBottom w:val="0"/>
          <w:divBdr>
            <w:top w:val="none" w:sz="0" w:space="0" w:color="auto"/>
            <w:left w:val="none" w:sz="0" w:space="0" w:color="auto"/>
            <w:bottom w:val="none" w:sz="0" w:space="0" w:color="auto"/>
            <w:right w:val="none" w:sz="0" w:space="0" w:color="auto"/>
          </w:divBdr>
        </w:div>
        <w:div w:id="1172257848">
          <w:marLeft w:val="274"/>
          <w:marRight w:val="0"/>
          <w:marTop w:val="40"/>
          <w:marBottom w:val="0"/>
          <w:divBdr>
            <w:top w:val="none" w:sz="0" w:space="0" w:color="auto"/>
            <w:left w:val="none" w:sz="0" w:space="0" w:color="auto"/>
            <w:bottom w:val="none" w:sz="0" w:space="0" w:color="auto"/>
            <w:right w:val="none" w:sz="0" w:space="0" w:color="auto"/>
          </w:divBdr>
        </w:div>
        <w:div w:id="1334530713">
          <w:marLeft w:val="274"/>
          <w:marRight w:val="0"/>
          <w:marTop w:val="40"/>
          <w:marBottom w:val="0"/>
          <w:divBdr>
            <w:top w:val="none" w:sz="0" w:space="0" w:color="auto"/>
            <w:left w:val="none" w:sz="0" w:space="0" w:color="auto"/>
            <w:bottom w:val="none" w:sz="0" w:space="0" w:color="auto"/>
            <w:right w:val="none" w:sz="0" w:space="0" w:color="auto"/>
          </w:divBdr>
        </w:div>
        <w:div w:id="1396466010">
          <w:marLeft w:val="274"/>
          <w:marRight w:val="0"/>
          <w:marTop w:val="40"/>
          <w:marBottom w:val="0"/>
          <w:divBdr>
            <w:top w:val="none" w:sz="0" w:space="0" w:color="auto"/>
            <w:left w:val="none" w:sz="0" w:space="0" w:color="auto"/>
            <w:bottom w:val="none" w:sz="0" w:space="0" w:color="auto"/>
            <w:right w:val="none" w:sz="0" w:space="0" w:color="auto"/>
          </w:divBdr>
        </w:div>
        <w:div w:id="1436712623">
          <w:marLeft w:val="274"/>
          <w:marRight w:val="0"/>
          <w:marTop w:val="40"/>
          <w:marBottom w:val="0"/>
          <w:divBdr>
            <w:top w:val="none" w:sz="0" w:space="0" w:color="auto"/>
            <w:left w:val="none" w:sz="0" w:space="0" w:color="auto"/>
            <w:bottom w:val="none" w:sz="0" w:space="0" w:color="auto"/>
            <w:right w:val="none" w:sz="0" w:space="0" w:color="auto"/>
          </w:divBdr>
        </w:div>
        <w:div w:id="1613974904">
          <w:marLeft w:val="274"/>
          <w:marRight w:val="0"/>
          <w:marTop w:val="40"/>
          <w:marBottom w:val="0"/>
          <w:divBdr>
            <w:top w:val="none" w:sz="0" w:space="0" w:color="auto"/>
            <w:left w:val="none" w:sz="0" w:space="0" w:color="auto"/>
            <w:bottom w:val="none" w:sz="0" w:space="0" w:color="auto"/>
            <w:right w:val="none" w:sz="0" w:space="0" w:color="auto"/>
          </w:divBdr>
        </w:div>
        <w:div w:id="1829898844">
          <w:marLeft w:val="274"/>
          <w:marRight w:val="0"/>
          <w:marTop w:val="40"/>
          <w:marBottom w:val="0"/>
          <w:divBdr>
            <w:top w:val="none" w:sz="0" w:space="0" w:color="auto"/>
            <w:left w:val="none" w:sz="0" w:space="0" w:color="auto"/>
            <w:bottom w:val="none" w:sz="0" w:space="0" w:color="auto"/>
            <w:right w:val="none" w:sz="0" w:space="0" w:color="auto"/>
          </w:divBdr>
        </w:div>
        <w:div w:id="1883898814">
          <w:marLeft w:val="274"/>
          <w:marRight w:val="0"/>
          <w:marTop w:val="40"/>
          <w:marBottom w:val="0"/>
          <w:divBdr>
            <w:top w:val="none" w:sz="0" w:space="0" w:color="auto"/>
            <w:left w:val="none" w:sz="0" w:space="0" w:color="auto"/>
            <w:bottom w:val="none" w:sz="0" w:space="0" w:color="auto"/>
            <w:right w:val="none" w:sz="0" w:space="0" w:color="auto"/>
          </w:divBdr>
        </w:div>
        <w:div w:id="1901475106">
          <w:marLeft w:val="274"/>
          <w:marRight w:val="0"/>
          <w:marTop w:val="40"/>
          <w:marBottom w:val="0"/>
          <w:divBdr>
            <w:top w:val="none" w:sz="0" w:space="0" w:color="auto"/>
            <w:left w:val="none" w:sz="0" w:space="0" w:color="auto"/>
            <w:bottom w:val="none" w:sz="0" w:space="0" w:color="auto"/>
            <w:right w:val="none" w:sz="0" w:space="0" w:color="auto"/>
          </w:divBdr>
        </w:div>
        <w:div w:id="1902518512">
          <w:marLeft w:val="274"/>
          <w:marRight w:val="0"/>
          <w:marTop w:val="40"/>
          <w:marBottom w:val="0"/>
          <w:divBdr>
            <w:top w:val="none" w:sz="0" w:space="0" w:color="auto"/>
            <w:left w:val="none" w:sz="0" w:space="0" w:color="auto"/>
            <w:bottom w:val="none" w:sz="0" w:space="0" w:color="auto"/>
            <w:right w:val="none" w:sz="0" w:space="0" w:color="auto"/>
          </w:divBdr>
        </w:div>
        <w:div w:id="2060862647">
          <w:marLeft w:val="274"/>
          <w:marRight w:val="0"/>
          <w:marTop w:val="40"/>
          <w:marBottom w:val="0"/>
          <w:divBdr>
            <w:top w:val="none" w:sz="0" w:space="0" w:color="auto"/>
            <w:left w:val="none" w:sz="0" w:space="0" w:color="auto"/>
            <w:bottom w:val="none" w:sz="0" w:space="0" w:color="auto"/>
            <w:right w:val="none" w:sz="0" w:space="0" w:color="auto"/>
          </w:divBdr>
        </w:div>
        <w:div w:id="2095393640">
          <w:marLeft w:val="274"/>
          <w:marRight w:val="0"/>
          <w:marTop w:val="40"/>
          <w:marBottom w:val="0"/>
          <w:divBdr>
            <w:top w:val="none" w:sz="0" w:space="0" w:color="auto"/>
            <w:left w:val="none" w:sz="0" w:space="0" w:color="auto"/>
            <w:bottom w:val="none" w:sz="0" w:space="0" w:color="auto"/>
            <w:right w:val="none" w:sz="0" w:space="0" w:color="auto"/>
          </w:divBdr>
        </w:div>
        <w:div w:id="2095659369">
          <w:marLeft w:val="274"/>
          <w:marRight w:val="0"/>
          <w:marTop w:val="40"/>
          <w:marBottom w:val="0"/>
          <w:divBdr>
            <w:top w:val="none" w:sz="0" w:space="0" w:color="auto"/>
            <w:left w:val="none" w:sz="0" w:space="0" w:color="auto"/>
            <w:bottom w:val="none" w:sz="0" w:space="0" w:color="auto"/>
            <w:right w:val="none" w:sz="0" w:space="0" w:color="auto"/>
          </w:divBdr>
        </w:div>
        <w:div w:id="2137554570">
          <w:marLeft w:val="274"/>
          <w:marRight w:val="0"/>
          <w:marTop w:val="40"/>
          <w:marBottom w:val="0"/>
          <w:divBdr>
            <w:top w:val="none" w:sz="0" w:space="0" w:color="auto"/>
            <w:left w:val="none" w:sz="0" w:space="0" w:color="auto"/>
            <w:bottom w:val="none" w:sz="0" w:space="0" w:color="auto"/>
            <w:right w:val="none" w:sz="0" w:space="0" w:color="auto"/>
          </w:divBdr>
        </w:div>
      </w:divsChild>
    </w:div>
    <w:div w:id="1273712028">
      <w:bodyDiv w:val="1"/>
      <w:marLeft w:val="0"/>
      <w:marRight w:val="0"/>
      <w:marTop w:val="0"/>
      <w:marBottom w:val="0"/>
      <w:divBdr>
        <w:top w:val="none" w:sz="0" w:space="0" w:color="auto"/>
        <w:left w:val="none" w:sz="0" w:space="0" w:color="auto"/>
        <w:bottom w:val="none" w:sz="0" w:space="0" w:color="auto"/>
        <w:right w:val="none" w:sz="0" w:space="0" w:color="auto"/>
      </w:divBdr>
    </w:div>
    <w:div w:id="1278440981">
      <w:bodyDiv w:val="1"/>
      <w:marLeft w:val="0"/>
      <w:marRight w:val="0"/>
      <w:marTop w:val="0"/>
      <w:marBottom w:val="0"/>
      <w:divBdr>
        <w:top w:val="none" w:sz="0" w:space="0" w:color="auto"/>
        <w:left w:val="none" w:sz="0" w:space="0" w:color="auto"/>
        <w:bottom w:val="none" w:sz="0" w:space="0" w:color="auto"/>
        <w:right w:val="none" w:sz="0" w:space="0" w:color="auto"/>
      </w:divBdr>
    </w:div>
    <w:div w:id="1280721677">
      <w:bodyDiv w:val="1"/>
      <w:marLeft w:val="0"/>
      <w:marRight w:val="0"/>
      <w:marTop w:val="0"/>
      <w:marBottom w:val="0"/>
      <w:divBdr>
        <w:top w:val="none" w:sz="0" w:space="0" w:color="auto"/>
        <w:left w:val="none" w:sz="0" w:space="0" w:color="auto"/>
        <w:bottom w:val="none" w:sz="0" w:space="0" w:color="auto"/>
        <w:right w:val="none" w:sz="0" w:space="0" w:color="auto"/>
      </w:divBdr>
    </w:div>
    <w:div w:id="1283616209">
      <w:bodyDiv w:val="1"/>
      <w:marLeft w:val="0"/>
      <w:marRight w:val="0"/>
      <w:marTop w:val="0"/>
      <w:marBottom w:val="0"/>
      <w:divBdr>
        <w:top w:val="none" w:sz="0" w:space="0" w:color="auto"/>
        <w:left w:val="none" w:sz="0" w:space="0" w:color="auto"/>
        <w:bottom w:val="none" w:sz="0" w:space="0" w:color="auto"/>
        <w:right w:val="none" w:sz="0" w:space="0" w:color="auto"/>
      </w:divBdr>
    </w:div>
    <w:div w:id="1283994805">
      <w:bodyDiv w:val="1"/>
      <w:marLeft w:val="0"/>
      <w:marRight w:val="0"/>
      <w:marTop w:val="0"/>
      <w:marBottom w:val="0"/>
      <w:divBdr>
        <w:top w:val="none" w:sz="0" w:space="0" w:color="auto"/>
        <w:left w:val="none" w:sz="0" w:space="0" w:color="auto"/>
        <w:bottom w:val="none" w:sz="0" w:space="0" w:color="auto"/>
        <w:right w:val="none" w:sz="0" w:space="0" w:color="auto"/>
      </w:divBdr>
    </w:div>
    <w:div w:id="1290624635">
      <w:bodyDiv w:val="1"/>
      <w:marLeft w:val="0"/>
      <w:marRight w:val="0"/>
      <w:marTop w:val="0"/>
      <w:marBottom w:val="0"/>
      <w:divBdr>
        <w:top w:val="none" w:sz="0" w:space="0" w:color="auto"/>
        <w:left w:val="none" w:sz="0" w:space="0" w:color="auto"/>
        <w:bottom w:val="none" w:sz="0" w:space="0" w:color="auto"/>
        <w:right w:val="none" w:sz="0" w:space="0" w:color="auto"/>
      </w:divBdr>
    </w:div>
    <w:div w:id="1295329446">
      <w:bodyDiv w:val="1"/>
      <w:marLeft w:val="0"/>
      <w:marRight w:val="0"/>
      <w:marTop w:val="0"/>
      <w:marBottom w:val="0"/>
      <w:divBdr>
        <w:top w:val="none" w:sz="0" w:space="0" w:color="auto"/>
        <w:left w:val="none" w:sz="0" w:space="0" w:color="auto"/>
        <w:bottom w:val="none" w:sz="0" w:space="0" w:color="auto"/>
        <w:right w:val="none" w:sz="0" w:space="0" w:color="auto"/>
      </w:divBdr>
    </w:div>
    <w:div w:id="1298336191">
      <w:bodyDiv w:val="1"/>
      <w:marLeft w:val="0"/>
      <w:marRight w:val="0"/>
      <w:marTop w:val="0"/>
      <w:marBottom w:val="0"/>
      <w:divBdr>
        <w:top w:val="none" w:sz="0" w:space="0" w:color="auto"/>
        <w:left w:val="none" w:sz="0" w:space="0" w:color="auto"/>
        <w:bottom w:val="none" w:sz="0" w:space="0" w:color="auto"/>
        <w:right w:val="none" w:sz="0" w:space="0" w:color="auto"/>
      </w:divBdr>
    </w:div>
    <w:div w:id="1298490966">
      <w:bodyDiv w:val="1"/>
      <w:marLeft w:val="0"/>
      <w:marRight w:val="0"/>
      <w:marTop w:val="0"/>
      <w:marBottom w:val="0"/>
      <w:divBdr>
        <w:top w:val="none" w:sz="0" w:space="0" w:color="auto"/>
        <w:left w:val="none" w:sz="0" w:space="0" w:color="auto"/>
        <w:bottom w:val="none" w:sz="0" w:space="0" w:color="auto"/>
        <w:right w:val="none" w:sz="0" w:space="0" w:color="auto"/>
      </w:divBdr>
    </w:div>
    <w:div w:id="1304233308">
      <w:bodyDiv w:val="1"/>
      <w:marLeft w:val="0"/>
      <w:marRight w:val="0"/>
      <w:marTop w:val="0"/>
      <w:marBottom w:val="0"/>
      <w:divBdr>
        <w:top w:val="none" w:sz="0" w:space="0" w:color="auto"/>
        <w:left w:val="none" w:sz="0" w:space="0" w:color="auto"/>
        <w:bottom w:val="none" w:sz="0" w:space="0" w:color="auto"/>
        <w:right w:val="none" w:sz="0" w:space="0" w:color="auto"/>
      </w:divBdr>
    </w:div>
    <w:div w:id="1307204459">
      <w:bodyDiv w:val="1"/>
      <w:marLeft w:val="0"/>
      <w:marRight w:val="0"/>
      <w:marTop w:val="0"/>
      <w:marBottom w:val="0"/>
      <w:divBdr>
        <w:top w:val="none" w:sz="0" w:space="0" w:color="auto"/>
        <w:left w:val="none" w:sz="0" w:space="0" w:color="auto"/>
        <w:bottom w:val="none" w:sz="0" w:space="0" w:color="auto"/>
        <w:right w:val="none" w:sz="0" w:space="0" w:color="auto"/>
      </w:divBdr>
    </w:div>
    <w:div w:id="1309285744">
      <w:bodyDiv w:val="1"/>
      <w:marLeft w:val="0"/>
      <w:marRight w:val="0"/>
      <w:marTop w:val="0"/>
      <w:marBottom w:val="0"/>
      <w:divBdr>
        <w:top w:val="none" w:sz="0" w:space="0" w:color="auto"/>
        <w:left w:val="none" w:sz="0" w:space="0" w:color="auto"/>
        <w:bottom w:val="none" w:sz="0" w:space="0" w:color="auto"/>
        <w:right w:val="none" w:sz="0" w:space="0" w:color="auto"/>
      </w:divBdr>
    </w:div>
    <w:div w:id="1311597217">
      <w:bodyDiv w:val="1"/>
      <w:marLeft w:val="0"/>
      <w:marRight w:val="0"/>
      <w:marTop w:val="0"/>
      <w:marBottom w:val="0"/>
      <w:divBdr>
        <w:top w:val="none" w:sz="0" w:space="0" w:color="auto"/>
        <w:left w:val="none" w:sz="0" w:space="0" w:color="auto"/>
        <w:bottom w:val="none" w:sz="0" w:space="0" w:color="auto"/>
        <w:right w:val="none" w:sz="0" w:space="0" w:color="auto"/>
      </w:divBdr>
    </w:div>
    <w:div w:id="1312368406">
      <w:bodyDiv w:val="1"/>
      <w:marLeft w:val="0"/>
      <w:marRight w:val="0"/>
      <w:marTop w:val="0"/>
      <w:marBottom w:val="0"/>
      <w:divBdr>
        <w:top w:val="none" w:sz="0" w:space="0" w:color="auto"/>
        <w:left w:val="none" w:sz="0" w:space="0" w:color="auto"/>
        <w:bottom w:val="none" w:sz="0" w:space="0" w:color="auto"/>
        <w:right w:val="none" w:sz="0" w:space="0" w:color="auto"/>
      </w:divBdr>
    </w:div>
    <w:div w:id="1312632215">
      <w:bodyDiv w:val="1"/>
      <w:marLeft w:val="0"/>
      <w:marRight w:val="0"/>
      <w:marTop w:val="0"/>
      <w:marBottom w:val="0"/>
      <w:divBdr>
        <w:top w:val="none" w:sz="0" w:space="0" w:color="auto"/>
        <w:left w:val="none" w:sz="0" w:space="0" w:color="auto"/>
        <w:bottom w:val="none" w:sz="0" w:space="0" w:color="auto"/>
        <w:right w:val="none" w:sz="0" w:space="0" w:color="auto"/>
      </w:divBdr>
    </w:div>
    <w:div w:id="1313678214">
      <w:bodyDiv w:val="1"/>
      <w:marLeft w:val="0"/>
      <w:marRight w:val="0"/>
      <w:marTop w:val="0"/>
      <w:marBottom w:val="0"/>
      <w:divBdr>
        <w:top w:val="none" w:sz="0" w:space="0" w:color="auto"/>
        <w:left w:val="none" w:sz="0" w:space="0" w:color="auto"/>
        <w:bottom w:val="none" w:sz="0" w:space="0" w:color="auto"/>
        <w:right w:val="none" w:sz="0" w:space="0" w:color="auto"/>
      </w:divBdr>
    </w:div>
    <w:div w:id="1315915678">
      <w:bodyDiv w:val="1"/>
      <w:marLeft w:val="0"/>
      <w:marRight w:val="0"/>
      <w:marTop w:val="0"/>
      <w:marBottom w:val="0"/>
      <w:divBdr>
        <w:top w:val="none" w:sz="0" w:space="0" w:color="auto"/>
        <w:left w:val="none" w:sz="0" w:space="0" w:color="auto"/>
        <w:bottom w:val="none" w:sz="0" w:space="0" w:color="auto"/>
        <w:right w:val="none" w:sz="0" w:space="0" w:color="auto"/>
      </w:divBdr>
    </w:div>
    <w:div w:id="1323049559">
      <w:bodyDiv w:val="1"/>
      <w:marLeft w:val="0"/>
      <w:marRight w:val="0"/>
      <w:marTop w:val="0"/>
      <w:marBottom w:val="0"/>
      <w:divBdr>
        <w:top w:val="none" w:sz="0" w:space="0" w:color="auto"/>
        <w:left w:val="none" w:sz="0" w:space="0" w:color="auto"/>
        <w:bottom w:val="none" w:sz="0" w:space="0" w:color="auto"/>
        <w:right w:val="none" w:sz="0" w:space="0" w:color="auto"/>
      </w:divBdr>
    </w:div>
    <w:div w:id="1325012928">
      <w:bodyDiv w:val="1"/>
      <w:marLeft w:val="0"/>
      <w:marRight w:val="0"/>
      <w:marTop w:val="0"/>
      <w:marBottom w:val="0"/>
      <w:divBdr>
        <w:top w:val="none" w:sz="0" w:space="0" w:color="auto"/>
        <w:left w:val="none" w:sz="0" w:space="0" w:color="auto"/>
        <w:bottom w:val="none" w:sz="0" w:space="0" w:color="auto"/>
        <w:right w:val="none" w:sz="0" w:space="0" w:color="auto"/>
      </w:divBdr>
    </w:div>
    <w:div w:id="1326787790">
      <w:bodyDiv w:val="1"/>
      <w:marLeft w:val="0"/>
      <w:marRight w:val="0"/>
      <w:marTop w:val="0"/>
      <w:marBottom w:val="0"/>
      <w:divBdr>
        <w:top w:val="none" w:sz="0" w:space="0" w:color="auto"/>
        <w:left w:val="none" w:sz="0" w:space="0" w:color="auto"/>
        <w:bottom w:val="none" w:sz="0" w:space="0" w:color="auto"/>
        <w:right w:val="none" w:sz="0" w:space="0" w:color="auto"/>
      </w:divBdr>
    </w:div>
    <w:div w:id="1327435088">
      <w:bodyDiv w:val="1"/>
      <w:marLeft w:val="0"/>
      <w:marRight w:val="0"/>
      <w:marTop w:val="0"/>
      <w:marBottom w:val="0"/>
      <w:divBdr>
        <w:top w:val="none" w:sz="0" w:space="0" w:color="auto"/>
        <w:left w:val="none" w:sz="0" w:space="0" w:color="auto"/>
        <w:bottom w:val="none" w:sz="0" w:space="0" w:color="auto"/>
        <w:right w:val="none" w:sz="0" w:space="0" w:color="auto"/>
      </w:divBdr>
    </w:div>
    <w:div w:id="1329599064">
      <w:bodyDiv w:val="1"/>
      <w:marLeft w:val="0"/>
      <w:marRight w:val="0"/>
      <w:marTop w:val="0"/>
      <w:marBottom w:val="0"/>
      <w:divBdr>
        <w:top w:val="none" w:sz="0" w:space="0" w:color="auto"/>
        <w:left w:val="none" w:sz="0" w:space="0" w:color="auto"/>
        <w:bottom w:val="none" w:sz="0" w:space="0" w:color="auto"/>
        <w:right w:val="none" w:sz="0" w:space="0" w:color="auto"/>
      </w:divBdr>
    </w:div>
    <w:div w:id="1331522942">
      <w:bodyDiv w:val="1"/>
      <w:marLeft w:val="0"/>
      <w:marRight w:val="0"/>
      <w:marTop w:val="0"/>
      <w:marBottom w:val="0"/>
      <w:divBdr>
        <w:top w:val="none" w:sz="0" w:space="0" w:color="auto"/>
        <w:left w:val="none" w:sz="0" w:space="0" w:color="auto"/>
        <w:bottom w:val="none" w:sz="0" w:space="0" w:color="auto"/>
        <w:right w:val="none" w:sz="0" w:space="0" w:color="auto"/>
      </w:divBdr>
    </w:div>
    <w:div w:id="1331910124">
      <w:bodyDiv w:val="1"/>
      <w:marLeft w:val="0"/>
      <w:marRight w:val="0"/>
      <w:marTop w:val="0"/>
      <w:marBottom w:val="0"/>
      <w:divBdr>
        <w:top w:val="none" w:sz="0" w:space="0" w:color="auto"/>
        <w:left w:val="none" w:sz="0" w:space="0" w:color="auto"/>
        <w:bottom w:val="none" w:sz="0" w:space="0" w:color="auto"/>
        <w:right w:val="none" w:sz="0" w:space="0" w:color="auto"/>
      </w:divBdr>
    </w:div>
    <w:div w:id="1338195573">
      <w:bodyDiv w:val="1"/>
      <w:marLeft w:val="0"/>
      <w:marRight w:val="0"/>
      <w:marTop w:val="0"/>
      <w:marBottom w:val="0"/>
      <w:divBdr>
        <w:top w:val="none" w:sz="0" w:space="0" w:color="auto"/>
        <w:left w:val="none" w:sz="0" w:space="0" w:color="auto"/>
        <w:bottom w:val="none" w:sz="0" w:space="0" w:color="auto"/>
        <w:right w:val="none" w:sz="0" w:space="0" w:color="auto"/>
      </w:divBdr>
    </w:div>
    <w:div w:id="1340889355">
      <w:bodyDiv w:val="1"/>
      <w:marLeft w:val="0"/>
      <w:marRight w:val="0"/>
      <w:marTop w:val="0"/>
      <w:marBottom w:val="0"/>
      <w:divBdr>
        <w:top w:val="none" w:sz="0" w:space="0" w:color="auto"/>
        <w:left w:val="none" w:sz="0" w:space="0" w:color="auto"/>
        <w:bottom w:val="none" w:sz="0" w:space="0" w:color="auto"/>
        <w:right w:val="none" w:sz="0" w:space="0" w:color="auto"/>
      </w:divBdr>
    </w:div>
    <w:div w:id="1347249558">
      <w:bodyDiv w:val="1"/>
      <w:marLeft w:val="0"/>
      <w:marRight w:val="0"/>
      <w:marTop w:val="0"/>
      <w:marBottom w:val="0"/>
      <w:divBdr>
        <w:top w:val="none" w:sz="0" w:space="0" w:color="auto"/>
        <w:left w:val="none" w:sz="0" w:space="0" w:color="auto"/>
        <w:bottom w:val="none" w:sz="0" w:space="0" w:color="auto"/>
        <w:right w:val="none" w:sz="0" w:space="0" w:color="auto"/>
      </w:divBdr>
    </w:div>
    <w:div w:id="1354500128">
      <w:bodyDiv w:val="1"/>
      <w:marLeft w:val="0"/>
      <w:marRight w:val="0"/>
      <w:marTop w:val="0"/>
      <w:marBottom w:val="0"/>
      <w:divBdr>
        <w:top w:val="none" w:sz="0" w:space="0" w:color="auto"/>
        <w:left w:val="none" w:sz="0" w:space="0" w:color="auto"/>
        <w:bottom w:val="none" w:sz="0" w:space="0" w:color="auto"/>
        <w:right w:val="none" w:sz="0" w:space="0" w:color="auto"/>
      </w:divBdr>
    </w:div>
    <w:div w:id="1355500972">
      <w:bodyDiv w:val="1"/>
      <w:marLeft w:val="0"/>
      <w:marRight w:val="0"/>
      <w:marTop w:val="0"/>
      <w:marBottom w:val="0"/>
      <w:divBdr>
        <w:top w:val="none" w:sz="0" w:space="0" w:color="auto"/>
        <w:left w:val="none" w:sz="0" w:space="0" w:color="auto"/>
        <w:bottom w:val="none" w:sz="0" w:space="0" w:color="auto"/>
        <w:right w:val="none" w:sz="0" w:space="0" w:color="auto"/>
      </w:divBdr>
    </w:div>
    <w:div w:id="1357459920">
      <w:bodyDiv w:val="1"/>
      <w:marLeft w:val="0"/>
      <w:marRight w:val="0"/>
      <w:marTop w:val="0"/>
      <w:marBottom w:val="0"/>
      <w:divBdr>
        <w:top w:val="none" w:sz="0" w:space="0" w:color="auto"/>
        <w:left w:val="none" w:sz="0" w:space="0" w:color="auto"/>
        <w:bottom w:val="none" w:sz="0" w:space="0" w:color="auto"/>
        <w:right w:val="none" w:sz="0" w:space="0" w:color="auto"/>
      </w:divBdr>
    </w:div>
    <w:div w:id="1358386091">
      <w:bodyDiv w:val="1"/>
      <w:marLeft w:val="0"/>
      <w:marRight w:val="0"/>
      <w:marTop w:val="0"/>
      <w:marBottom w:val="0"/>
      <w:divBdr>
        <w:top w:val="none" w:sz="0" w:space="0" w:color="auto"/>
        <w:left w:val="none" w:sz="0" w:space="0" w:color="auto"/>
        <w:bottom w:val="none" w:sz="0" w:space="0" w:color="auto"/>
        <w:right w:val="none" w:sz="0" w:space="0" w:color="auto"/>
      </w:divBdr>
    </w:div>
    <w:div w:id="1360156441">
      <w:bodyDiv w:val="1"/>
      <w:marLeft w:val="0"/>
      <w:marRight w:val="0"/>
      <w:marTop w:val="0"/>
      <w:marBottom w:val="0"/>
      <w:divBdr>
        <w:top w:val="none" w:sz="0" w:space="0" w:color="auto"/>
        <w:left w:val="none" w:sz="0" w:space="0" w:color="auto"/>
        <w:bottom w:val="none" w:sz="0" w:space="0" w:color="auto"/>
        <w:right w:val="none" w:sz="0" w:space="0" w:color="auto"/>
      </w:divBdr>
    </w:div>
    <w:div w:id="1362240191">
      <w:bodyDiv w:val="1"/>
      <w:marLeft w:val="0"/>
      <w:marRight w:val="0"/>
      <w:marTop w:val="0"/>
      <w:marBottom w:val="0"/>
      <w:divBdr>
        <w:top w:val="none" w:sz="0" w:space="0" w:color="auto"/>
        <w:left w:val="none" w:sz="0" w:space="0" w:color="auto"/>
        <w:bottom w:val="none" w:sz="0" w:space="0" w:color="auto"/>
        <w:right w:val="none" w:sz="0" w:space="0" w:color="auto"/>
      </w:divBdr>
    </w:div>
    <w:div w:id="1363703896">
      <w:bodyDiv w:val="1"/>
      <w:marLeft w:val="0"/>
      <w:marRight w:val="0"/>
      <w:marTop w:val="0"/>
      <w:marBottom w:val="0"/>
      <w:divBdr>
        <w:top w:val="none" w:sz="0" w:space="0" w:color="auto"/>
        <w:left w:val="none" w:sz="0" w:space="0" w:color="auto"/>
        <w:bottom w:val="none" w:sz="0" w:space="0" w:color="auto"/>
        <w:right w:val="none" w:sz="0" w:space="0" w:color="auto"/>
      </w:divBdr>
    </w:div>
    <w:div w:id="1364751303">
      <w:bodyDiv w:val="1"/>
      <w:marLeft w:val="0"/>
      <w:marRight w:val="0"/>
      <w:marTop w:val="0"/>
      <w:marBottom w:val="0"/>
      <w:divBdr>
        <w:top w:val="none" w:sz="0" w:space="0" w:color="auto"/>
        <w:left w:val="none" w:sz="0" w:space="0" w:color="auto"/>
        <w:bottom w:val="none" w:sz="0" w:space="0" w:color="auto"/>
        <w:right w:val="none" w:sz="0" w:space="0" w:color="auto"/>
      </w:divBdr>
    </w:div>
    <w:div w:id="1365248202">
      <w:bodyDiv w:val="1"/>
      <w:marLeft w:val="0"/>
      <w:marRight w:val="0"/>
      <w:marTop w:val="0"/>
      <w:marBottom w:val="0"/>
      <w:divBdr>
        <w:top w:val="none" w:sz="0" w:space="0" w:color="auto"/>
        <w:left w:val="none" w:sz="0" w:space="0" w:color="auto"/>
        <w:bottom w:val="none" w:sz="0" w:space="0" w:color="auto"/>
        <w:right w:val="none" w:sz="0" w:space="0" w:color="auto"/>
      </w:divBdr>
    </w:div>
    <w:div w:id="1366558671">
      <w:bodyDiv w:val="1"/>
      <w:marLeft w:val="0"/>
      <w:marRight w:val="0"/>
      <w:marTop w:val="0"/>
      <w:marBottom w:val="0"/>
      <w:divBdr>
        <w:top w:val="none" w:sz="0" w:space="0" w:color="auto"/>
        <w:left w:val="none" w:sz="0" w:space="0" w:color="auto"/>
        <w:bottom w:val="none" w:sz="0" w:space="0" w:color="auto"/>
        <w:right w:val="none" w:sz="0" w:space="0" w:color="auto"/>
      </w:divBdr>
    </w:div>
    <w:div w:id="1367364267">
      <w:bodyDiv w:val="1"/>
      <w:marLeft w:val="0"/>
      <w:marRight w:val="0"/>
      <w:marTop w:val="0"/>
      <w:marBottom w:val="0"/>
      <w:divBdr>
        <w:top w:val="none" w:sz="0" w:space="0" w:color="auto"/>
        <w:left w:val="none" w:sz="0" w:space="0" w:color="auto"/>
        <w:bottom w:val="none" w:sz="0" w:space="0" w:color="auto"/>
        <w:right w:val="none" w:sz="0" w:space="0" w:color="auto"/>
      </w:divBdr>
    </w:div>
    <w:div w:id="1367683508">
      <w:bodyDiv w:val="1"/>
      <w:marLeft w:val="0"/>
      <w:marRight w:val="0"/>
      <w:marTop w:val="0"/>
      <w:marBottom w:val="0"/>
      <w:divBdr>
        <w:top w:val="none" w:sz="0" w:space="0" w:color="auto"/>
        <w:left w:val="none" w:sz="0" w:space="0" w:color="auto"/>
        <w:bottom w:val="none" w:sz="0" w:space="0" w:color="auto"/>
        <w:right w:val="none" w:sz="0" w:space="0" w:color="auto"/>
      </w:divBdr>
    </w:div>
    <w:div w:id="1369069635">
      <w:bodyDiv w:val="1"/>
      <w:marLeft w:val="0"/>
      <w:marRight w:val="0"/>
      <w:marTop w:val="0"/>
      <w:marBottom w:val="0"/>
      <w:divBdr>
        <w:top w:val="none" w:sz="0" w:space="0" w:color="auto"/>
        <w:left w:val="none" w:sz="0" w:space="0" w:color="auto"/>
        <w:bottom w:val="none" w:sz="0" w:space="0" w:color="auto"/>
        <w:right w:val="none" w:sz="0" w:space="0" w:color="auto"/>
      </w:divBdr>
    </w:div>
    <w:div w:id="1379234924">
      <w:bodyDiv w:val="1"/>
      <w:marLeft w:val="0"/>
      <w:marRight w:val="0"/>
      <w:marTop w:val="0"/>
      <w:marBottom w:val="0"/>
      <w:divBdr>
        <w:top w:val="none" w:sz="0" w:space="0" w:color="auto"/>
        <w:left w:val="none" w:sz="0" w:space="0" w:color="auto"/>
        <w:bottom w:val="none" w:sz="0" w:space="0" w:color="auto"/>
        <w:right w:val="none" w:sz="0" w:space="0" w:color="auto"/>
      </w:divBdr>
    </w:div>
    <w:div w:id="1381324708">
      <w:bodyDiv w:val="1"/>
      <w:marLeft w:val="0"/>
      <w:marRight w:val="0"/>
      <w:marTop w:val="0"/>
      <w:marBottom w:val="0"/>
      <w:divBdr>
        <w:top w:val="none" w:sz="0" w:space="0" w:color="auto"/>
        <w:left w:val="none" w:sz="0" w:space="0" w:color="auto"/>
        <w:bottom w:val="none" w:sz="0" w:space="0" w:color="auto"/>
        <w:right w:val="none" w:sz="0" w:space="0" w:color="auto"/>
      </w:divBdr>
    </w:div>
    <w:div w:id="1383678434">
      <w:bodyDiv w:val="1"/>
      <w:marLeft w:val="0"/>
      <w:marRight w:val="0"/>
      <w:marTop w:val="0"/>
      <w:marBottom w:val="0"/>
      <w:divBdr>
        <w:top w:val="none" w:sz="0" w:space="0" w:color="auto"/>
        <w:left w:val="none" w:sz="0" w:space="0" w:color="auto"/>
        <w:bottom w:val="none" w:sz="0" w:space="0" w:color="auto"/>
        <w:right w:val="none" w:sz="0" w:space="0" w:color="auto"/>
      </w:divBdr>
    </w:div>
    <w:div w:id="1387534215">
      <w:bodyDiv w:val="1"/>
      <w:marLeft w:val="0"/>
      <w:marRight w:val="0"/>
      <w:marTop w:val="0"/>
      <w:marBottom w:val="0"/>
      <w:divBdr>
        <w:top w:val="none" w:sz="0" w:space="0" w:color="auto"/>
        <w:left w:val="none" w:sz="0" w:space="0" w:color="auto"/>
        <w:bottom w:val="none" w:sz="0" w:space="0" w:color="auto"/>
        <w:right w:val="none" w:sz="0" w:space="0" w:color="auto"/>
      </w:divBdr>
    </w:div>
    <w:div w:id="1388526681">
      <w:bodyDiv w:val="1"/>
      <w:marLeft w:val="0"/>
      <w:marRight w:val="0"/>
      <w:marTop w:val="0"/>
      <w:marBottom w:val="0"/>
      <w:divBdr>
        <w:top w:val="none" w:sz="0" w:space="0" w:color="auto"/>
        <w:left w:val="none" w:sz="0" w:space="0" w:color="auto"/>
        <w:bottom w:val="none" w:sz="0" w:space="0" w:color="auto"/>
        <w:right w:val="none" w:sz="0" w:space="0" w:color="auto"/>
      </w:divBdr>
    </w:div>
    <w:div w:id="1394230289">
      <w:bodyDiv w:val="1"/>
      <w:marLeft w:val="0"/>
      <w:marRight w:val="0"/>
      <w:marTop w:val="0"/>
      <w:marBottom w:val="0"/>
      <w:divBdr>
        <w:top w:val="none" w:sz="0" w:space="0" w:color="auto"/>
        <w:left w:val="none" w:sz="0" w:space="0" w:color="auto"/>
        <w:bottom w:val="none" w:sz="0" w:space="0" w:color="auto"/>
        <w:right w:val="none" w:sz="0" w:space="0" w:color="auto"/>
      </w:divBdr>
    </w:div>
    <w:div w:id="1395275069">
      <w:bodyDiv w:val="1"/>
      <w:marLeft w:val="0"/>
      <w:marRight w:val="0"/>
      <w:marTop w:val="0"/>
      <w:marBottom w:val="0"/>
      <w:divBdr>
        <w:top w:val="none" w:sz="0" w:space="0" w:color="auto"/>
        <w:left w:val="none" w:sz="0" w:space="0" w:color="auto"/>
        <w:bottom w:val="none" w:sz="0" w:space="0" w:color="auto"/>
        <w:right w:val="none" w:sz="0" w:space="0" w:color="auto"/>
      </w:divBdr>
    </w:div>
    <w:div w:id="1395810491">
      <w:marLeft w:val="0"/>
      <w:marRight w:val="0"/>
      <w:marTop w:val="0"/>
      <w:marBottom w:val="0"/>
      <w:divBdr>
        <w:top w:val="none" w:sz="0" w:space="0" w:color="auto"/>
        <w:left w:val="none" w:sz="0" w:space="0" w:color="auto"/>
        <w:bottom w:val="none" w:sz="0" w:space="0" w:color="auto"/>
        <w:right w:val="none" w:sz="0" w:space="0" w:color="auto"/>
      </w:divBdr>
      <w:divsChild>
        <w:div w:id="1116873215">
          <w:marLeft w:val="0"/>
          <w:marRight w:val="0"/>
          <w:marTop w:val="0"/>
          <w:marBottom w:val="0"/>
          <w:divBdr>
            <w:top w:val="none" w:sz="0" w:space="0" w:color="auto"/>
            <w:left w:val="none" w:sz="0" w:space="0" w:color="auto"/>
            <w:bottom w:val="none" w:sz="0" w:space="0" w:color="auto"/>
            <w:right w:val="none" w:sz="0" w:space="0" w:color="auto"/>
          </w:divBdr>
          <w:divsChild>
            <w:div w:id="137049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743077">
      <w:bodyDiv w:val="1"/>
      <w:marLeft w:val="0"/>
      <w:marRight w:val="0"/>
      <w:marTop w:val="0"/>
      <w:marBottom w:val="0"/>
      <w:divBdr>
        <w:top w:val="none" w:sz="0" w:space="0" w:color="auto"/>
        <w:left w:val="none" w:sz="0" w:space="0" w:color="auto"/>
        <w:bottom w:val="none" w:sz="0" w:space="0" w:color="auto"/>
        <w:right w:val="none" w:sz="0" w:space="0" w:color="auto"/>
      </w:divBdr>
      <w:divsChild>
        <w:div w:id="1335381907">
          <w:marLeft w:val="288"/>
          <w:marRight w:val="0"/>
          <w:marTop w:val="120"/>
          <w:marBottom w:val="0"/>
          <w:divBdr>
            <w:top w:val="none" w:sz="0" w:space="0" w:color="auto"/>
            <w:left w:val="none" w:sz="0" w:space="0" w:color="auto"/>
            <w:bottom w:val="none" w:sz="0" w:space="0" w:color="auto"/>
            <w:right w:val="none" w:sz="0" w:space="0" w:color="auto"/>
          </w:divBdr>
        </w:div>
        <w:div w:id="1576624010">
          <w:marLeft w:val="288"/>
          <w:marRight w:val="0"/>
          <w:marTop w:val="120"/>
          <w:marBottom w:val="0"/>
          <w:divBdr>
            <w:top w:val="none" w:sz="0" w:space="0" w:color="auto"/>
            <w:left w:val="none" w:sz="0" w:space="0" w:color="auto"/>
            <w:bottom w:val="none" w:sz="0" w:space="0" w:color="auto"/>
            <w:right w:val="none" w:sz="0" w:space="0" w:color="auto"/>
          </w:divBdr>
        </w:div>
        <w:div w:id="2116364537">
          <w:marLeft w:val="288"/>
          <w:marRight w:val="0"/>
          <w:marTop w:val="120"/>
          <w:marBottom w:val="0"/>
          <w:divBdr>
            <w:top w:val="none" w:sz="0" w:space="0" w:color="auto"/>
            <w:left w:val="none" w:sz="0" w:space="0" w:color="auto"/>
            <w:bottom w:val="none" w:sz="0" w:space="0" w:color="auto"/>
            <w:right w:val="none" w:sz="0" w:space="0" w:color="auto"/>
          </w:divBdr>
        </w:div>
      </w:divsChild>
    </w:div>
    <w:div w:id="1400254149">
      <w:bodyDiv w:val="1"/>
      <w:marLeft w:val="0"/>
      <w:marRight w:val="0"/>
      <w:marTop w:val="0"/>
      <w:marBottom w:val="0"/>
      <w:divBdr>
        <w:top w:val="none" w:sz="0" w:space="0" w:color="auto"/>
        <w:left w:val="none" w:sz="0" w:space="0" w:color="auto"/>
        <w:bottom w:val="none" w:sz="0" w:space="0" w:color="auto"/>
        <w:right w:val="none" w:sz="0" w:space="0" w:color="auto"/>
      </w:divBdr>
    </w:div>
    <w:div w:id="1400907611">
      <w:bodyDiv w:val="1"/>
      <w:marLeft w:val="0"/>
      <w:marRight w:val="0"/>
      <w:marTop w:val="0"/>
      <w:marBottom w:val="0"/>
      <w:divBdr>
        <w:top w:val="none" w:sz="0" w:space="0" w:color="auto"/>
        <w:left w:val="none" w:sz="0" w:space="0" w:color="auto"/>
        <w:bottom w:val="none" w:sz="0" w:space="0" w:color="auto"/>
        <w:right w:val="none" w:sz="0" w:space="0" w:color="auto"/>
      </w:divBdr>
    </w:div>
    <w:div w:id="1401950969">
      <w:bodyDiv w:val="1"/>
      <w:marLeft w:val="0"/>
      <w:marRight w:val="0"/>
      <w:marTop w:val="0"/>
      <w:marBottom w:val="0"/>
      <w:divBdr>
        <w:top w:val="none" w:sz="0" w:space="0" w:color="auto"/>
        <w:left w:val="none" w:sz="0" w:space="0" w:color="auto"/>
        <w:bottom w:val="none" w:sz="0" w:space="0" w:color="auto"/>
        <w:right w:val="none" w:sz="0" w:space="0" w:color="auto"/>
      </w:divBdr>
    </w:div>
    <w:div w:id="1402018575">
      <w:bodyDiv w:val="1"/>
      <w:marLeft w:val="0"/>
      <w:marRight w:val="0"/>
      <w:marTop w:val="0"/>
      <w:marBottom w:val="0"/>
      <w:divBdr>
        <w:top w:val="none" w:sz="0" w:space="0" w:color="auto"/>
        <w:left w:val="none" w:sz="0" w:space="0" w:color="auto"/>
        <w:bottom w:val="none" w:sz="0" w:space="0" w:color="auto"/>
        <w:right w:val="none" w:sz="0" w:space="0" w:color="auto"/>
      </w:divBdr>
    </w:div>
    <w:div w:id="1407874759">
      <w:bodyDiv w:val="1"/>
      <w:marLeft w:val="0"/>
      <w:marRight w:val="0"/>
      <w:marTop w:val="0"/>
      <w:marBottom w:val="0"/>
      <w:divBdr>
        <w:top w:val="none" w:sz="0" w:space="0" w:color="auto"/>
        <w:left w:val="none" w:sz="0" w:space="0" w:color="auto"/>
        <w:bottom w:val="none" w:sz="0" w:space="0" w:color="auto"/>
        <w:right w:val="none" w:sz="0" w:space="0" w:color="auto"/>
      </w:divBdr>
    </w:div>
    <w:div w:id="1411852994">
      <w:bodyDiv w:val="1"/>
      <w:marLeft w:val="0"/>
      <w:marRight w:val="0"/>
      <w:marTop w:val="0"/>
      <w:marBottom w:val="0"/>
      <w:divBdr>
        <w:top w:val="none" w:sz="0" w:space="0" w:color="auto"/>
        <w:left w:val="none" w:sz="0" w:space="0" w:color="auto"/>
        <w:bottom w:val="none" w:sz="0" w:space="0" w:color="auto"/>
        <w:right w:val="none" w:sz="0" w:space="0" w:color="auto"/>
      </w:divBdr>
    </w:div>
    <w:div w:id="1414743143">
      <w:bodyDiv w:val="1"/>
      <w:marLeft w:val="0"/>
      <w:marRight w:val="0"/>
      <w:marTop w:val="0"/>
      <w:marBottom w:val="0"/>
      <w:divBdr>
        <w:top w:val="none" w:sz="0" w:space="0" w:color="auto"/>
        <w:left w:val="none" w:sz="0" w:space="0" w:color="auto"/>
        <w:bottom w:val="none" w:sz="0" w:space="0" w:color="auto"/>
        <w:right w:val="none" w:sz="0" w:space="0" w:color="auto"/>
      </w:divBdr>
    </w:div>
    <w:div w:id="1417747925">
      <w:bodyDiv w:val="1"/>
      <w:marLeft w:val="0"/>
      <w:marRight w:val="0"/>
      <w:marTop w:val="0"/>
      <w:marBottom w:val="0"/>
      <w:divBdr>
        <w:top w:val="none" w:sz="0" w:space="0" w:color="auto"/>
        <w:left w:val="none" w:sz="0" w:space="0" w:color="auto"/>
        <w:bottom w:val="none" w:sz="0" w:space="0" w:color="auto"/>
        <w:right w:val="none" w:sz="0" w:space="0" w:color="auto"/>
      </w:divBdr>
    </w:div>
    <w:div w:id="1419212269">
      <w:bodyDiv w:val="1"/>
      <w:marLeft w:val="0"/>
      <w:marRight w:val="0"/>
      <w:marTop w:val="0"/>
      <w:marBottom w:val="0"/>
      <w:divBdr>
        <w:top w:val="none" w:sz="0" w:space="0" w:color="auto"/>
        <w:left w:val="none" w:sz="0" w:space="0" w:color="auto"/>
        <w:bottom w:val="none" w:sz="0" w:space="0" w:color="auto"/>
        <w:right w:val="none" w:sz="0" w:space="0" w:color="auto"/>
      </w:divBdr>
    </w:div>
    <w:div w:id="1422533512">
      <w:bodyDiv w:val="1"/>
      <w:marLeft w:val="0"/>
      <w:marRight w:val="0"/>
      <w:marTop w:val="0"/>
      <w:marBottom w:val="0"/>
      <w:divBdr>
        <w:top w:val="none" w:sz="0" w:space="0" w:color="auto"/>
        <w:left w:val="none" w:sz="0" w:space="0" w:color="auto"/>
        <w:bottom w:val="none" w:sz="0" w:space="0" w:color="auto"/>
        <w:right w:val="none" w:sz="0" w:space="0" w:color="auto"/>
      </w:divBdr>
    </w:div>
    <w:div w:id="1422722634">
      <w:bodyDiv w:val="1"/>
      <w:marLeft w:val="0"/>
      <w:marRight w:val="0"/>
      <w:marTop w:val="0"/>
      <w:marBottom w:val="0"/>
      <w:divBdr>
        <w:top w:val="none" w:sz="0" w:space="0" w:color="auto"/>
        <w:left w:val="none" w:sz="0" w:space="0" w:color="auto"/>
        <w:bottom w:val="none" w:sz="0" w:space="0" w:color="auto"/>
        <w:right w:val="none" w:sz="0" w:space="0" w:color="auto"/>
      </w:divBdr>
    </w:div>
    <w:div w:id="1432970414">
      <w:bodyDiv w:val="1"/>
      <w:marLeft w:val="0"/>
      <w:marRight w:val="0"/>
      <w:marTop w:val="0"/>
      <w:marBottom w:val="0"/>
      <w:divBdr>
        <w:top w:val="none" w:sz="0" w:space="0" w:color="auto"/>
        <w:left w:val="none" w:sz="0" w:space="0" w:color="auto"/>
        <w:bottom w:val="none" w:sz="0" w:space="0" w:color="auto"/>
        <w:right w:val="none" w:sz="0" w:space="0" w:color="auto"/>
      </w:divBdr>
    </w:div>
    <w:div w:id="1434210027">
      <w:bodyDiv w:val="1"/>
      <w:marLeft w:val="0"/>
      <w:marRight w:val="0"/>
      <w:marTop w:val="0"/>
      <w:marBottom w:val="0"/>
      <w:divBdr>
        <w:top w:val="none" w:sz="0" w:space="0" w:color="auto"/>
        <w:left w:val="none" w:sz="0" w:space="0" w:color="auto"/>
        <w:bottom w:val="none" w:sz="0" w:space="0" w:color="auto"/>
        <w:right w:val="none" w:sz="0" w:space="0" w:color="auto"/>
      </w:divBdr>
    </w:div>
    <w:div w:id="1435439148">
      <w:bodyDiv w:val="1"/>
      <w:marLeft w:val="0"/>
      <w:marRight w:val="0"/>
      <w:marTop w:val="0"/>
      <w:marBottom w:val="0"/>
      <w:divBdr>
        <w:top w:val="none" w:sz="0" w:space="0" w:color="auto"/>
        <w:left w:val="none" w:sz="0" w:space="0" w:color="auto"/>
        <w:bottom w:val="none" w:sz="0" w:space="0" w:color="auto"/>
        <w:right w:val="none" w:sz="0" w:space="0" w:color="auto"/>
      </w:divBdr>
    </w:div>
    <w:div w:id="1436362847">
      <w:bodyDiv w:val="1"/>
      <w:marLeft w:val="0"/>
      <w:marRight w:val="0"/>
      <w:marTop w:val="0"/>
      <w:marBottom w:val="0"/>
      <w:divBdr>
        <w:top w:val="none" w:sz="0" w:space="0" w:color="auto"/>
        <w:left w:val="none" w:sz="0" w:space="0" w:color="auto"/>
        <w:bottom w:val="none" w:sz="0" w:space="0" w:color="auto"/>
        <w:right w:val="none" w:sz="0" w:space="0" w:color="auto"/>
      </w:divBdr>
    </w:div>
    <w:div w:id="1436831626">
      <w:bodyDiv w:val="1"/>
      <w:marLeft w:val="0"/>
      <w:marRight w:val="0"/>
      <w:marTop w:val="0"/>
      <w:marBottom w:val="0"/>
      <w:divBdr>
        <w:top w:val="none" w:sz="0" w:space="0" w:color="auto"/>
        <w:left w:val="none" w:sz="0" w:space="0" w:color="auto"/>
        <w:bottom w:val="none" w:sz="0" w:space="0" w:color="auto"/>
        <w:right w:val="none" w:sz="0" w:space="0" w:color="auto"/>
      </w:divBdr>
    </w:div>
    <w:div w:id="1437095519">
      <w:bodyDiv w:val="1"/>
      <w:marLeft w:val="0"/>
      <w:marRight w:val="0"/>
      <w:marTop w:val="0"/>
      <w:marBottom w:val="0"/>
      <w:divBdr>
        <w:top w:val="none" w:sz="0" w:space="0" w:color="auto"/>
        <w:left w:val="none" w:sz="0" w:space="0" w:color="auto"/>
        <w:bottom w:val="none" w:sz="0" w:space="0" w:color="auto"/>
        <w:right w:val="none" w:sz="0" w:space="0" w:color="auto"/>
      </w:divBdr>
    </w:div>
    <w:div w:id="1442721606">
      <w:bodyDiv w:val="1"/>
      <w:marLeft w:val="0"/>
      <w:marRight w:val="0"/>
      <w:marTop w:val="0"/>
      <w:marBottom w:val="0"/>
      <w:divBdr>
        <w:top w:val="none" w:sz="0" w:space="0" w:color="auto"/>
        <w:left w:val="none" w:sz="0" w:space="0" w:color="auto"/>
        <w:bottom w:val="none" w:sz="0" w:space="0" w:color="auto"/>
        <w:right w:val="none" w:sz="0" w:space="0" w:color="auto"/>
      </w:divBdr>
    </w:div>
    <w:div w:id="1442723290">
      <w:bodyDiv w:val="1"/>
      <w:marLeft w:val="0"/>
      <w:marRight w:val="0"/>
      <w:marTop w:val="0"/>
      <w:marBottom w:val="0"/>
      <w:divBdr>
        <w:top w:val="none" w:sz="0" w:space="0" w:color="auto"/>
        <w:left w:val="none" w:sz="0" w:space="0" w:color="auto"/>
        <w:bottom w:val="none" w:sz="0" w:space="0" w:color="auto"/>
        <w:right w:val="none" w:sz="0" w:space="0" w:color="auto"/>
      </w:divBdr>
    </w:div>
    <w:div w:id="1443962787">
      <w:bodyDiv w:val="1"/>
      <w:marLeft w:val="0"/>
      <w:marRight w:val="0"/>
      <w:marTop w:val="0"/>
      <w:marBottom w:val="0"/>
      <w:divBdr>
        <w:top w:val="none" w:sz="0" w:space="0" w:color="auto"/>
        <w:left w:val="none" w:sz="0" w:space="0" w:color="auto"/>
        <w:bottom w:val="none" w:sz="0" w:space="0" w:color="auto"/>
        <w:right w:val="none" w:sz="0" w:space="0" w:color="auto"/>
      </w:divBdr>
    </w:div>
    <w:div w:id="1444109833">
      <w:bodyDiv w:val="1"/>
      <w:marLeft w:val="0"/>
      <w:marRight w:val="0"/>
      <w:marTop w:val="0"/>
      <w:marBottom w:val="0"/>
      <w:divBdr>
        <w:top w:val="none" w:sz="0" w:space="0" w:color="auto"/>
        <w:left w:val="none" w:sz="0" w:space="0" w:color="auto"/>
        <w:bottom w:val="none" w:sz="0" w:space="0" w:color="auto"/>
        <w:right w:val="none" w:sz="0" w:space="0" w:color="auto"/>
      </w:divBdr>
    </w:div>
    <w:div w:id="1444571725">
      <w:bodyDiv w:val="1"/>
      <w:marLeft w:val="0"/>
      <w:marRight w:val="0"/>
      <w:marTop w:val="0"/>
      <w:marBottom w:val="0"/>
      <w:divBdr>
        <w:top w:val="none" w:sz="0" w:space="0" w:color="auto"/>
        <w:left w:val="none" w:sz="0" w:space="0" w:color="auto"/>
        <w:bottom w:val="none" w:sz="0" w:space="0" w:color="auto"/>
        <w:right w:val="none" w:sz="0" w:space="0" w:color="auto"/>
      </w:divBdr>
    </w:div>
    <w:div w:id="1446927355">
      <w:bodyDiv w:val="1"/>
      <w:marLeft w:val="0"/>
      <w:marRight w:val="0"/>
      <w:marTop w:val="0"/>
      <w:marBottom w:val="0"/>
      <w:divBdr>
        <w:top w:val="none" w:sz="0" w:space="0" w:color="auto"/>
        <w:left w:val="none" w:sz="0" w:space="0" w:color="auto"/>
        <w:bottom w:val="none" w:sz="0" w:space="0" w:color="auto"/>
        <w:right w:val="none" w:sz="0" w:space="0" w:color="auto"/>
      </w:divBdr>
    </w:div>
    <w:div w:id="1447698987">
      <w:bodyDiv w:val="1"/>
      <w:marLeft w:val="0"/>
      <w:marRight w:val="0"/>
      <w:marTop w:val="0"/>
      <w:marBottom w:val="0"/>
      <w:divBdr>
        <w:top w:val="none" w:sz="0" w:space="0" w:color="auto"/>
        <w:left w:val="none" w:sz="0" w:space="0" w:color="auto"/>
        <w:bottom w:val="none" w:sz="0" w:space="0" w:color="auto"/>
        <w:right w:val="none" w:sz="0" w:space="0" w:color="auto"/>
      </w:divBdr>
    </w:div>
    <w:div w:id="1452282628">
      <w:bodyDiv w:val="1"/>
      <w:marLeft w:val="0"/>
      <w:marRight w:val="0"/>
      <w:marTop w:val="0"/>
      <w:marBottom w:val="0"/>
      <w:divBdr>
        <w:top w:val="none" w:sz="0" w:space="0" w:color="auto"/>
        <w:left w:val="none" w:sz="0" w:space="0" w:color="auto"/>
        <w:bottom w:val="none" w:sz="0" w:space="0" w:color="auto"/>
        <w:right w:val="none" w:sz="0" w:space="0" w:color="auto"/>
      </w:divBdr>
    </w:div>
    <w:div w:id="1453787004">
      <w:bodyDiv w:val="1"/>
      <w:marLeft w:val="0"/>
      <w:marRight w:val="0"/>
      <w:marTop w:val="0"/>
      <w:marBottom w:val="0"/>
      <w:divBdr>
        <w:top w:val="none" w:sz="0" w:space="0" w:color="auto"/>
        <w:left w:val="none" w:sz="0" w:space="0" w:color="auto"/>
        <w:bottom w:val="none" w:sz="0" w:space="0" w:color="auto"/>
        <w:right w:val="none" w:sz="0" w:space="0" w:color="auto"/>
      </w:divBdr>
    </w:div>
    <w:div w:id="1454717061">
      <w:bodyDiv w:val="1"/>
      <w:marLeft w:val="0"/>
      <w:marRight w:val="0"/>
      <w:marTop w:val="0"/>
      <w:marBottom w:val="0"/>
      <w:divBdr>
        <w:top w:val="none" w:sz="0" w:space="0" w:color="auto"/>
        <w:left w:val="none" w:sz="0" w:space="0" w:color="auto"/>
        <w:bottom w:val="none" w:sz="0" w:space="0" w:color="auto"/>
        <w:right w:val="none" w:sz="0" w:space="0" w:color="auto"/>
      </w:divBdr>
    </w:div>
    <w:div w:id="1455169388">
      <w:bodyDiv w:val="1"/>
      <w:marLeft w:val="0"/>
      <w:marRight w:val="0"/>
      <w:marTop w:val="0"/>
      <w:marBottom w:val="0"/>
      <w:divBdr>
        <w:top w:val="none" w:sz="0" w:space="0" w:color="auto"/>
        <w:left w:val="none" w:sz="0" w:space="0" w:color="auto"/>
        <w:bottom w:val="none" w:sz="0" w:space="0" w:color="auto"/>
        <w:right w:val="none" w:sz="0" w:space="0" w:color="auto"/>
      </w:divBdr>
    </w:div>
    <w:div w:id="1455293540">
      <w:marLeft w:val="0"/>
      <w:marRight w:val="0"/>
      <w:marTop w:val="0"/>
      <w:marBottom w:val="0"/>
      <w:divBdr>
        <w:top w:val="none" w:sz="0" w:space="0" w:color="auto"/>
        <w:left w:val="none" w:sz="0" w:space="0" w:color="auto"/>
        <w:bottom w:val="none" w:sz="0" w:space="0" w:color="auto"/>
        <w:right w:val="none" w:sz="0" w:space="0" w:color="auto"/>
      </w:divBdr>
      <w:divsChild>
        <w:div w:id="142091812">
          <w:marLeft w:val="0"/>
          <w:marRight w:val="0"/>
          <w:marTop w:val="0"/>
          <w:marBottom w:val="0"/>
          <w:divBdr>
            <w:top w:val="none" w:sz="0" w:space="0" w:color="auto"/>
            <w:left w:val="none" w:sz="0" w:space="0" w:color="auto"/>
            <w:bottom w:val="none" w:sz="0" w:space="0" w:color="auto"/>
            <w:right w:val="none" w:sz="0" w:space="0" w:color="auto"/>
          </w:divBdr>
          <w:divsChild>
            <w:div w:id="189643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64402">
      <w:bodyDiv w:val="1"/>
      <w:marLeft w:val="0"/>
      <w:marRight w:val="0"/>
      <w:marTop w:val="0"/>
      <w:marBottom w:val="0"/>
      <w:divBdr>
        <w:top w:val="none" w:sz="0" w:space="0" w:color="auto"/>
        <w:left w:val="none" w:sz="0" w:space="0" w:color="auto"/>
        <w:bottom w:val="none" w:sz="0" w:space="0" w:color="auto"/>
        <w:right w:val="none" w:sz="0" w:space="0" w:color="auto"/>
      </w:divBdr>
    </w:div>
    <w:div w:id="1457141478">
      <w:bodyDiv w:val="1"/>
      <w:marLeft w:val="0"/>
      <w:marRight w:val="0"/>
      <w:marTop w:val="0"/>
      <w:marBottom w:val="0"/>
      <w:divBdr>
        <w:top w:val="none" w:sz="0" w:space="0" w:color="auto"/>
        <w:left w:val="none" w:sz="0" w:space="0" w:color="auto"/>
        <w:bottom w:val="none" w:sz="0" w:space="0" w:color="auto"/>
        <w:right w:val="none" w:sz="0" w:space="0" w:color="auto"/>
      </w:divBdr>
    </w:div>
    <w:div w:id="1457792108">
      <w:bodyDiv w:val="1"/>
      <w:marLeft w:val="0"/>
      <w:marRight w:val="0"/>
      <w:marTop w:val="0"/>
      <w:marBottom w:val="0"/>
      <w:divBdr>
        <w:top w:val="none" w:sz="0" w:space="0" w:color="auto"/>
        <w:left w:val="none" w:sz="0" w:space="0" w:color="auto"/>
        <w:bottom w:val="none" w:sz="0" w:space="0" w:color="auto"/>
        <w:right w:val="none" w:sz="0" w:space="0" w:color="auto"/>
      </w:divBdr>
    </w:div>
    <w:div w:id="1462460277">
      <w:bodyDiv w:val="1"/>
      <w:marLeft w:val="0"/>
      <w:marRight w:val="0"/>
      <w:marTop w:val="0"/>
      <w:marBottom w:val="0"/>
      <w:divBdr>
        <w:top w:val="none" w:sz="0" w:space="0" w:color="auto"/>
        <w:left w:val="none" w:sz="0" w:space="0" w:color="auto"/>
        <w:bottom w:val="none" w:sz="0" w:space="0" w:color="auto"/>
        <w:right w:val="none" w:sz="0" w:space="0" w:color="auto"/>
      </w:divBdr>
    </w:div>
    <w:div w:id="1470854627">
      <w:bodyDiv w:val="1"/>
      <w:marLeft w:val="0"/>
      <w:marRight w:val="0"/>
      <w:marTop w:val="0"/>
      <w:marBottom w:val="0"/>
      <w:divBdr>
        <w:top w:val="none" w:sz="0" w:space="0" w:color="auto"/>
        <w:left w:val="none" w:sz="0" w:space="0" w:color="auto"/>
        <w:bottom w:val="none" w:sz="0" w:space="0" w:color="auto"/>
        <w:right w:val="none" w:sz="0" w:space="0" w:color="auto"/>
      </w:divBdr>
    </w:div>
    <w:div w:id="1471511376">
      <w:bodyDiv w:val="1"/>
      <w:marLeft w:val="0"/>
      <w:marRight w:val="0"/>
      <w:marTop w:val="0"/>
      <w:marBottom w:val="0"/>
      <w:divBdr>
        <w:top w:val="none" w:sz="0" w:space="0" w:color="auto"/>
        <w:left w:val="none" w:sz="0" w:space="0" w:color="auto"/>
        <w:bottom w:val="none" w:sz="0" w:space="0" w:color="auto"/>
        <w:right w:val="none" w:sz="0" w:space="0" w:color="auto"/>
      </w:divBdr>
    </w:div>
    <w:div w:id="1476802612">
      <w:bodyDiv w:val="1"/>
      <w:marLeft w:val="0"/>
      <w:marRight w:val="0"/>
      <w:marTop w:val="0"/>
      <w:marBottom w:val="0"/>
      <w:divBdr>
        <w:top w:val="none" w:sz="0" w:space="0" w:color="auto"/>
        <w:left w:val="none" w:sz="0" w:space="0" w:color="auto"/>
        <w:bottom w:val="none" w:sz="0" w:space="0" w:color="auto"/>
        <w:right w:val="none" w:sz="0" w:space="0" w:color="auto"/>
      </w:divBdr>
    </w:div>
    <w:div w:id="1477606454">
      <w:bodyDiv w:val="1"/>
      <w:marLeft w:val="0"/>
      <w:marRight w:val="0"/>
      <w:marTop w:val="0"/>
      <w:marBottom w:val="0"/>
      <w:divBdr>
        <w:top w:val="none" w:sz="0" w:space="0" w:color="auto"/>
        <w:left w:val="none" w:sz="0" w:space="0" w:color="auto"/>
        <w:bottom w:val="none" w:sz="0" w:space="0" w:color="auto"/>
        <w:right w:val="none" w:sz="0" w:space="0" w:color="auto"/>
      </w:divBdr>
    </w:div>
    <w:div w:id="1483737511">
      <w:bodyDiv w:val="1"/>
      <w:marLeft w:val="0"/>
      <w:marRight w:val="0"/>
      <w:marTop w:val="0"/>
      <w:marBottom w:val="0"/>
      <w:divBdr>
        <w:top w:val="none" w:sz="0" w:space="0" w:color="auto"/>
        <w:left w:val="none" w:sz="0" w:space="0" w:color="auto"/>
        <w:bottom w:val="none" w:sz="0" w:space="0" w:color="auto"/>
        <w:right w:val="none" w:sz="0" w:space="0" w:color="auto"/>
      </w:divBdr>
    </w:div>
    <w:div w:id="1484004768">
      <w:bodyDiv w:val="1"/>
      <w:marLeft w:val="0"/>
      <w:marRight w:val="0"/>
      <w:marTop w:val="0"/>
      <w:marBottom w:val="0"/>
      <w:divBdr>
        <w:top w:val="none" w:sz="0" w:space="0" w:color="auto"/>
        <w:left w:val="none" w:sz="0" w:space="0" w:color="auto"/>
        <w:bottom w:val="none" w:sz="0" w:space="0" w:color="auto"/>
        <w:right w:val="none" w:sz="0" w:space="0" w:color="auto"/>
      </w:divBdr>
    </w:div>
    <w:div w:id="1484346726">
      <w:bodyDiv w:val="1"/>
      <w:marLeft w:val="0"/>
      <w:marRight w:val="0"/>
      <w:marTop w:val="0"/>
      <w:marBottom w:val="0"/>
      <w:divBdr>
        <w:top w:val="none" w:sz="0" w:space="0" w:color="auto"/>
        <w:left w:val="none" w:sz="0" w:space="0" w:color="auto"/>
        <w:bottom w:val="none" w:sz="0" w:space="0" w:color="auto"/>
        <w:right w:val="none" w:sz="0" w:space="0" w:color="auto"/>
      </w:divBdr>
    </w:div>
    <w:div w:id="1487628669">
      <w:bodyDiv w:val="1"/>
      <w:marLeft w:val="0"/>
      <w:marRight w:val="0"/>
      <w:marTop w:val="0"/>
      <w:marBottom w:val="0"/>
      <w:divBdr>
        <w:top w:val="none" w:sz="0" w:space="0" w:color="auto"/>
        <w:left w:val="none" w:sz="0" w:space="0" w:color="auto"/>
        <w:bottom w:val="none" w:sz="0" w:space="0" w:color="auto"/>
        <w:right w:val="none" w:sz="0" w:space="0" w:color="auto"/>
      </w:divBdr>
    </w:div>
    <w:div w:id="1487629228">
      <w:bodyDiv w:val="1"/>
      <w:marLeft w:val="0"/>
      <w:marRight w:val="0"/>
      <w:marTop w:val="0"/>
      <w:marBottom w:val="0"/>
      <w:divBdr>
        <w:top w:val="none" w:sz="0" w:space="0" w:color="auto"/>
        <w:left w:val="none" w:sz="0" w:space="0" w:color="auto"/>
        <w:bottom w:val="none" w:sz="0" w:space="0" w:color="auto"/>
        <w:right w:val="none" w:sz="0" w:space="0" w:color="auto"/>
      </w:divBdr>
      <w:divsChild>
        <w:div w:id="69156612">
          <w:marLeft w:val="288"/>
          <w:marRight w:val="0"/>
          <w:marTop w:val="40"/>
          <w:marBottom w:val="0"/>
          <w:divBdr>
            <w:top w:val="none" w:sz="0" w:space="0" w:color="auto"/>
            <w:left w:val="none" w:sz="0" w:space="0" w:color="auto"/>
            <w:bottom w:val="none" w:sz="0" w:space="0" w:color="auto"/>
            <w:right w:val="none" w:sz="0" w:space="0" w:color="auto"/>
          </w:divBdr>
        </w:div>
        <w:div w:id="290597044">
          <w:marLeft w:val="288"/>
          <w:marRight w:val="0"/>
          <w:marTop w:val="40"/>
          <w:marBottom w:val="0"/>
          <w:divBdr>
            <w:top w:val="none" w:sz="0" w:space="0" w:color="auto"/>
            <w:left w:val="none" w:sz="0" w:space="0" w:color="auto"/>
            <w:bottom w:val="none" w:sz="0" w:space="0" w:color="auto"/>
            <w:right w:val="none" w:sz="0" w:space="0" w:color="auto"/>
          </w:divBdr>
        </w:div>
        <w:div w:id="406076606">
          <w:marLeft w:val="288"/>
          <w:marRight w:val="0"/>
          <w:marTop w:val="40"/>
          <w:marBottom w:val="0"/>
          <w:divBdr>
            <w:top w:val="none" w:sz="0" w:space="0" w:color="auto"/>
            <w:left w:val="none" w:sz="0" w:space="0" w:color="auto"/>
            <w:bottom w:val="none" w:sz="0" w:space="0" w:color="auto"/>
            <w:right w:val="none" w:sz="0" w:space="0" w:color="auto"/>
          </w:divBdr>
        </w:div>
        <w:div w:id="505368587">
          <w:marLeft w:val="288"/>
          <w:marRight w:val="0"/>
          <w:marTop w:val="40"/>
          <w:marBottom w:val="0"/>
          <w:divBdr>
            <w:top w:val="none" w:sz="0" w:space="0" w:color="auto"/>
            <w:left w:val="none" w:sz="0" w:space="0" w:color="auto"/>
            <w:bottom w:val="none" w:sz="0" w:space="0" w:color="auto"/>
            <w:right w:val="none" w:sz="0" w:space="0" w:color="auto"/>
          </w:divBdr>
        </w:div>
        <w:div w:id="575018509">
          <w:marLeft w:val="288"/>
          <w:marRight w:val="0"/>
          <w:marTop w:val="40"/>
          <w:marBottom w:val="0"/>
          <w:divBdr>
            <w:top w:val="none" w:sz="0" w:space="0" w:color="auto"/>
            <w:left w:val="none" w:sz="0" w:space="0" w:color="auto"/>
            <w:bottom w:val="none" w:sz="0" w:space="0" w:color="auto"/>
            <w:right w:val="none" w:sz="0" w:space="0" w:color="auto"/>
          </w:divBdr>
        </w:div>
        <w:div w:id="675498224">
          <w:marLeft w:val="288"/>
          <w:marRight w:val="0"/>
          <w:marTop w:val="40"/>
          <w:marBottom w:val="0"/>
          <w:divBdr>
            <w:top w:val="none" w:sz="0" w:space="0" w:color="auto"/>
            <w:left w:val="none" w:sz="0" w:space="0" w:color="auto"/>
            <w:bottom w:val="none" w:sz="0" w:space="0" w:color="auto"/>
            <w:right w:val="none" w:sz="0" w:space="0" w:color="auto"/>
          </w:divBdr>
        </w:div>
        <w:div w:id="879823875">
          <w:marLeft w:val="288"/>
          <w:marRight w:val="0"/>
          <w:marTop w:val="40"/>
          <w:marBottom w:val="0"/>
          <w:divBdr>
            <w:top w:val="none" w:sz="0" w:space="0" w:color="auto"/>
            <w:left w:val="none" w:sz="0" w:space="0" w:color="auto"/>
            <w:bottom w:val="none" w:sz="0" w:space="0" w:color="auto"/>
            <w:right w:val="none" w:sz="0" w:space="0" w:color="auto"/>
          </w:divBdr>
        </w:div>
        <w:div w:id="948466936">
          <w:marLeft w:val="288"/>
          <w:marRight w:val="0"/>
          <w:marTop w:val="40"/>
          <w:marBottom w:val="0"/>
          <w:divBdr>
            <w:top w:val="none" w:sz="0" w:space="0" w:color="auto"/>
            <w:left w:val="none" w:sz="0" w:space="0" w:color="auto"/>
            <w:bottom w:val="none" w:sz="0" w:space="0" w:color="auto"/>
            <w:right w:val="none" w:sz="0" w:space="0" w:color="auto"/>
          </w:divBdr>
        </w:div>
        <w:div w:id="1390881964">
          <w:marLeft w:val="288"/>
          <w:marRight w:val="0"/>
          <w:marTop w:val="40"/>
          <w:marBottom w:val="0"/>
          <w:divBdr>
            <w:top w:val="none" w:sz="0" w:space="0" w:color="auto"/>
            <w:left w:val="none" w:sz="0" w:space="0" w:color="auto"/>
            <w:bottom w:val="none" w:sz="0" w:space="0" w:color="auto"/>
            <w:right w:val="none" w:sz="0" w:space="0" w:color="auto"/>
          </w:divBdr>
        </w:div>
        <w:div w:id="1617517133">
          <w:marLeft w:val="288"/>
          <w:marRight w:val="0"/>
          <w:marTop w:val="40"/>
          <w:marBottom w:val="0"/>
          <w:divBdr>
            <w:top w:val="none" w:sz="0" w:space="0" w:color="auto"/>
            <w:left w:val="none" w:sz="0" w:space="0" w:color="auto"/>
            <w:bottom w:val="none" w:sz="0" w:space="0" w:color="auto"/>
            <w:right w:val="none" w:sz="0" w:space="0" w:color="auto"/>
          </w:divBdr>
        </w:div>
        <w:div w:id="1631403944">
          <w:marLeft w:val="288"/>
          <w:marRight w:val="0"/>
          <w:marTop w:val="40"/>
          <w:marBottom w:val="0"/>
          <w:divBdr>
            <w:top w:val="none" w:sz="0" w:space="0" w:color="auto"/>
            <w:left w:val="none" w:sz="0" w:space="0" w:color="auto"/>
            <w:bottom w:val="none" w:sz="0" w:space="0" w:color="auto"/>
            <w:right w:val="none" w:sz="0" w:space="0" w:color="auto"/>
          </w:divBdr>
        </w:div>
        <w:div w:id="1686128883">
          <w:marLeft w:val="288"/>
          <w:marRight w:val="0"/>
          <w:marTop w:val="40"/>
          <w:marBottom w:val="0"/>
          <w:divBdr>
            <w:top w:val="none" w:sz="0" w:space="0" w:color="auto"/>
            <w:left w:val="none" w:sz="0" w:space="0" w:color="auto"/>
            <w:bottom w:val="none" w:sz="0" w:space="0" w:color="auto"/>
            <w:right w:val="none" w:sz="0" w:space="0" w:color="auto"/>
          </w:divBdr>
        </w:div>
        <w:div w:id="1686789700">
          <w:marLeft w:val="288"/>
          <w:marRight w:val="0"/>
          <w:marTop w:val="40"/>
          <w:marBottom w:val="0"/>
          <w:divBdr>
            <w:top w:val="none" w:sz="0" w:space="0" w:color="auto"/>
            <w:left w:val="none" w:sz="0" w:space="0" w:color="auto"/>
            <w:bottom w:val="none" w:sz="0" w:space="0" w:color="auto"/>
            <w:right w:val="none" w:sz="0" w:space="0" w:color="auto"/>
          </w:divBdr>
        </w:div>
        <w:div w:id="1697080197">
          <w:marLeft w:val="288"/>
          <w:marRight w:val="0"/>
          <w:marTop w:val="40"/>
          <w:marBottom w:val="0"/>
          <w:divBdr>
            <w:top w:val="none" w:sz="0" w:space="0" w:color="auto"/>
            <w:left w:val="none" w:sz="0" w:space="0" w:color="auto"/>
            <w:bottom w:val="none" w:sz="0" w:space="0" w:color="auto"/>
            <w:right w:val="none" w:sz="0" w:space="0" w:color="auto"/>
          </w:divBdr>
        </w:div>
        <w:div w:id="1814171729">
          <w:marLeft w:val="288"/>
          <w:marRight w:val="0"/>
          <w:marTop w:val="40"/>
          <w:marBottom w:val="0"/>
          <w:divBdr>
            <w:top w:val="none" w:sz="0" w:space="0" w:color="auto"/>
            <w:left w:val="none" w:sz="0" w:space="0" w:color="auto"/>
            <w:bottom w:val="none" w:sz="0" w:space="0" w:color="auto"/>
            <w:right w:val="none" w:sz="0" w:space="0" w:color="auto"/>
          </w:divBdr>
        </w:div>
        <w:div w:id="1860774050">
          <w:marLeft w:val="288"/>
          <w:marRight w:val="0"/>
          <w:marTop w:val="40"/>
          <w:marBottom w:val="0"/>
          <w:divBdr>
            <w:top w:val="none" w:sz="0" w:space="0" w:color="auto"/>
            <w:left w:val="none" w:sz="0" w:space="0" w:color="auto"/>
            <w:bottom w:val="none" w:sz="0" w:space="0" w:color="auto"/>
            <w:right w:val="none" w:sz="0" w:space="0" w:color="auto"/>
          </w:divBdr>
        </w:div>
        <w:div w:id="1913346639">
          <w:marLeft w:val="288"/>
          <w:marRight w:val="0"/>
          <w:marTop w:val="40"/>
          <w:marBottom w:val="0"/>
          <w:divBdr>
            <w:top w:val="none" w:sz="0" w:space="0" w:color="auto"/>
            <w:left w:val="none" w:sz="0" w:space="0" w:color="auto"/>
            <w:bottom w:val="none" w:sz="0" w:space="0" w:color="auto"/>
            <w:right w:val="none" w:sz="0" w:space="0" w:color="auto"/>
          </w:divBdr>
        </w:div>
        <w:div w:id="2014185378">
          <w:marLeft w:val="288"/>
          <w:marRight w:val="0"/>
          <w:marTop w:val="40"/>
          <w:marBottom w:val="0"/>
          <w:divBdr>
            <w:top w:val="none" w:sz="0" w:space="0" w:color="auto"/>
            <w:left w:val="none" w:sz="0" w:space="0" w:color="auto"/>
            <w:bottom w:val="none" w:sz="0" w:space="0" w:color="auto"/>
            <w:right w:val="none" w:sz="0" w:space="0" w:color="auto"/>
          </w:divBdr>
        </w:div>
        <w:div w:id="2053338254">
          <w:marLeft w:val="288"/>
          <w:marRight w:val="0"/>
          <w:marTop w:val="40"/>
          <w:marBottom w:val="0"/>
          <w:divBdr>
            <w:top w:val="none" w:sz="0" w:space="0" w:color="auto"/>
            <w:left w:val="none" w:sz="0" w:space="0" w:color="auto"/>
            <w:bottom w:val="none" w:sz="0" w:space="0" w:color="auto"/>
            <w:right w:val="none" w:sz="0" w:space="0" w:color="auto"/>
          </w:divBdr>
        </w:div>
        <w:div w:id="2116753659">
          <w:marLeft w:val="288"/>
          <w:marRight w:val="0"/>
          <w:marTop w:val="40"/>
          <w:marBottom w:val="0"/>
          <w:divBdr>
            <w:top w:val="none" w:sz="0" w:space="0" w:color="auto"/>
            <w:left w:val="none" w:sz="0" w:space="0" w:color="auto"/>
            <w:bottom w:val="none" w:sz="0" w:space="0" w:color="auto"/>
            <w:right w:val="none" w:sz="0" w:space="0" w:color="auto"/>
          </w:divBdr>
        </w:div>
      </w:divsChild>
    </w:div>
    <w:div w:id="1489056699">
      <w:bodyDiv w:val="1"/>
      <w:marLeft w:val="0"/>
      <w:marRight w:val="0"/>
      <w:marTop w:val="0"/>
      <w:marBottom w:val="0"/>
      <w:divBdr>
        <w:top w:val="none" w:sz="0" w:space="0" w:color="auto"/>
        <w:left w:val="none" w:sz="0" w:space="0" w:color="auto"/>
        <w:bottom w:val="none" w:sz="0" w:space="0" w:color="auto"/>
        <w:right w:val="none" w:sz="0" w:space="0" w:color="auto"/>
      </w:divBdr>
    </w:div>
    <w:div w:id="1492478695">
      <w:bodyDiv w:val="1"/>
      <w:marLeft w:val="0"/>
      <w:marRight w:val="0"/>
      <w:marTop w:val="0"/>
      <w:marBottom w:val="0"/>
      <w:divBdr>
        <w:top w:val="none" w:sz="0" w:space="0" w:color="auto"/>
        <w:left w:val="none" w:sz="0" w:space="0" w:color="auto"/>
        <w:bottom w:val="none" w:sz="0" w:space="0" w:color="auto"/>
        <w:right w:val="none" w:sz="0" w:space="0" w:color="auto"/>
      </w:divBdr>
    </w:div>
    <w:div w:id="1492484026">
      <w:bodyDiv w:val="1"/>
      <w:marLeft w:val="0"/>
      <w:marRight w:val="0"/>
      <w:marTop w:val="0"/>
      <w:marBottom w:val="0"/>
      <w:divBdr>
        <w:top w:val="none" w:sz="0" w:space="0" w:color="auto"/>
        <w:left w:val="none" w:sz="0" w:space="0" w:color="auto"/>
        <w:bottom w:val="none" w:sz="0" w:space="0" w:color="auto"/>
        <w:right w:val="none" w:sz="0" w:space="0" w:color="auto"/>
      </w:divBdr>
    </w:div>
    <w:div w:id="1493594723">
      <w:bodyDiv w:val="1"/>
      <w:marLeft w:val="0"/>
      <w:marRight w:val="0"/>
      <w:marTop w:val="0"/>
      <w:marBottom w:val="0"/>
      <w:divBdr>
        <w:top w:val="none" w:sz="0" w:space="0" w:color="auto"/>
        <w:left w:val="none" w:sz="0" w:space="0" w:color="auto"/>
        <w:bottom w:val="none" w:sz="0" w:space="0" w:color="auto"/>
        <w:right w:val="none" w:sz="0" w:space="0" w:color="auto"/>
      </w:divBdr>
    </w:div>
    <w:div w:id="1502815997">
      <w:bodyDiv w:val="1"/>
      <w:marLeft w:val="0"/>
      <w:marRight w:val="0"/>
      <w:marTop w:val="0"/>
      <w:marBottom w:val="0"/>
      <w:divBdr>
        <w:top w:val="none" w:sz="0" w:space="0" w:color="auto"/>
        <w:left w:val="none" w:sz="0" w:space="0" w:color="auto"/>
        <w:bottom w:val="none" w:sz="0" w:space="0" w:color="auto"/>
        <w:right w:val="none" w:sz="0" w:space="0" w:color="auto"/>
      </w:divBdr>
    </w:div>
    <w:div w:id="1507407019">
      <w:bodyDiv w:val="1"/>
      <w:marLeft w:val="0"/>
      <w:marRight w:val="0"/>
      <w:marTop w:val="0"/>
      <w:marBottom w:val="0"/>
      <w:divBdr>
        <w:top w:val="none" w:sz="0" w:space="0" w:color="auto"/>
        <w:left w:val="none" w:sz="0" w:space="0" w:color="auto"/>
        <w:bottom w:val="none" w:sz="0" w:space="0" w:color="auto"/>
        <w:right w:val="none" w:sz="0" w:space="0" w:color="auto"/>
      </w:divBdr>
      <w:divsChild>
        <w:div w:id="200559209">
          <w:marLeft w:val="288"/>
          <w:marRight w:val="0"/>
          <w:marTop w:val="120"/>
          <w:marBottom w:val="0"/>
          <w:divBdr>
            <w:top w:val="none" w:sz="0" w:space="0" w:color="auto"/>
            <w:left w:val="none" w:sz="0" w:space="0" w:color="auto"/>
            <w:bottom w:val="none" w:sz="0" w:space="0" w:color="auto"/>
            <w:right w:val="none" w:sz="0" w:space="0" w:color="auto"/>
          </w:divBdr>
        </w:div>
        <w:div w:id="626815089">
          <w:marLeft w:val="288"/>
          <w:marRight w:val="0"/>
          <w:marTop w:val="120"/>
          <w:marBottom w:val="0"/>
          <w:divBdr>
            <w:top w:val="none" w:sz="0" w:space="0" w:color="auto"/>
            <w:left w:val="none" w:sz="0" w:space="0" w:color="auto"/>
            <w:bottom w:val="none" w:sz="0" w:space="0" w:color="auto"/>
            <w:right w:val="none" w:sz="0" w:space="0" w:color="auto"/>
          </w:divBdr>
        </w:div>
        <w:div w:id="891501294">
          <w:marLeft w:val="288"/>
          <w:marRight w:val="0"/>
          <w:marTop w:val="120"/>
          <w:marBottom w:val="0"/>
          <w:divBdr>
            <w:top w:val="none" w:sz="0" w:space="0" w:color="auto"/>
            <w:left w:val="none" w:sz="0" w:space="0" w:color="auto"/>
            <w:bottom w:val="none" w:sz="0" w:space="0" w:color="auto"/>
            <w:right w:val="none" w:sz="0" w:space="0" w:color="auto"/>
          </w:divBdr>
        </w:div>
        <w:div w:id="1243637440">
          <w:marLeft w:val="288"/>
          <w:marRight w:val="0"/>
          <w:marTop w:val="120"/>
          <w:marBottom w:val="0"/>
          <w:divBdr>
            <w:top w:val="none" w:sz="0" w:space="0" w:color="auto"/>
            <w:left w:val="none" w:sz="0" w:space="0" w:color="auto"/>
            <w:bottom w:val="none" w:sz="0" w:space="0" w:color="auto"/>
            <w:right w:val="none" w:sz="0" w:space="0" w:color="auto"/>
          </w:divBdr>
        </w:div>
        <w:div w:id="1291131114">
          <w:marLeft w:val="288"/>
          <w:marRight w:val="0"/>
          <w:marTop w:val="120"/>
          <w:marBottom w:val="0"/>
          <w:divBdr>
            <w:top w:val="none" w:sz="0" w:space="0" w:color="auto"/>
            <w:left w:val="none" w:sz="0" w:space="0" w:color="auto"/>
            <w:bottom w:val="none" w:sz="0" w:space="0" w:color="auto"/>
            <w:right w:val="none" w:sz="0" w:space="0" w:color="auto"/>
          </w:divBdr>
        </w:div>
        <w:div w:id="1789817555">
          <w:marLeft w:val="288"/>
          <w:marRight w:val="0"/>
          <w:marTop w:val="120"/>
          <w:marBottom w:val="0"/>
          <w:divBdr>
            <w:top w:val="none" w:sz="0" w:space="0" w:color="auto"/>
            <w:left w:val="none" w:sz="0" w:space="0" w:color="auto"/>
            <w:bottom w:val="none" w:sz="0" w:space="0" w:color="auto"/>
            <w:right w:val="none" w:sz="0" w:space="0" w:color="auto"/>
          </w:divBdr>
        </w:div>
      </w:divsChild>
    </w:div>
    <w:div w:id="1514876621">
      <w:bodyDiv w:val="1"/>
      <w:marLeft w:val="0"/>
      <w:marRight w:val="0"/>
      <w:marTop w:val="0"/>
      <w:marBottom w:val="0"/>
      <w:divBdr>
        <w:top w:val="none" w:sz="0" w:space="0" w:color="auto"/>
        <w:left w:val="none" w:sz="0" w:space="0" w:color="auto"/>
        <w:bottom w:val="none" w:sz="0" w:space="0" w:color="auto"/>
        <w:right w:val="none" w:sz="0" w:space="0" w:color="auto"/>
      </w:divBdr>
    </w:div>
    <w:div w:id="1520121049">
      <w:bodyDiv w:val="1"/>
      <w:marLeft w:val="0"/>
      <w:marRight w:val="0"/>
      <w:marTop w:val="0"/>
      <w:marBottom w:val="0"/>
      <w:divBdr>
        <w:top w:val="none" w:sz="0" w:space="0" w:color="auto"/>
        <w:left w:val="none" w:sz="0" w:space="0" w:color="auto"/>
        <w:bottom w:val="none" w:sz="0" w:space="0" w:color="auto"/>
        <w:right w:val="none" w:sz="0" w:space="0" w:color="auto"/>
      </w:divBdr>
    </w:div>
    <w:div w:id="1523669850">
      <w:bodyDiv w:val="1"/>
      <w:marLeft w:val="0"/>
      <w:marRight w:val="0"/>
      <w:marTop w:val="0"/>
      <w:marBottom w:val="0"/>
      <w:divBdr>
        <w:top w:val="none" w:sz="0" w:space="0" w:color="auto"/>
        <w:left w:val="none" w:sz="0" w:space="0" w:color="auto"/>
        <w:bottom w:val="none" w:sz="0" w:space="0" w:color="auto"/>
        <w:right w:val="none" w:sz="0" w:space="0" w:color="auto"/>
      </w:divBdr>
    </w:div>
    <w:div w:id="1524326312">
      <w:bodyDiv w:val="1"/>
      <w:marLeft w:val="0"/>
      <w:marRight w:val="0"/>
      <w:marTop w:val="0"/>
      <w:marBottom w:val="0"/>
      <w:divBdr>
        <w:top w:val="none" w:sz="0" w:space="0" w:color="auto"/>
        <w:left w:val="none" w:sz="0" w:space="0" w:color="auto"/>
        <w:bottom w:val="none" w:sz="0" w:space="0" w:color="auto"/>
        <w:right w:val="none" w:sz="0" w:space="0" w:color="auto"/>
      </w:divBdr>
    </w:div>
    <w:div w:id="1525172768">
      <w:bodyDiv w:val="1"/>
      <w:marLeft w:val="0"/>
      <w:marRight w:val="0"/>
      <w:marTop w:val="0"/>
      <w:marBottom w:val="0"/>
      <w:divBdr>
        <w:top w:val="none" w:sz="0" w:space="0" w:color="auto"/>
        <w:left w:val="none" w:sz="0" w:space="0" w:color="auto"/>
        <w:bottom w:val="none" w:sz="0" w:space="0" w:color="auto"/>
        <w:right w:val="none" w:sz="0" w:space="0" w:color="auto"/>
      </w:divBdr>
    </w:div>
    <w:div w:id="1525944050">
      <w:bodyDiv w:val="1"/>
      <w:marLeft w:val="0"/>
      <w:marRight w:val="0"/>
      <w:marTop w:val="0"/>
      <w:marBottom w:val="0"/>
      <w:divBdr>
        <w:top w:val="none" w:sz="0" w:space="0" w:color="auto"/>
        <w:left w:val="none" w:sz="0" w:space="0" w:color="auto"/>
        <w:bottom w:val="none" w:sz="0" w:space="0" w:color="auto"/>
        <w:right w:val="none" w:sz="0" w:space="0" w:color="auto"/>
      </w:divBdr>
    </w:div>
    <w:div w:id="1526164847">
      <w:bodyDiv w:val="1"/>
      <w:marLeft w:val="0"/>
      <w:marRight w:val="0"/>
      <w:marTop w:val="0"/>
      <w:marBottom w:val="0"/>
      <w:divBdr>
        <w:top w:val="none" w:sz="0" w:space="0" w:color="auto"/>
        <w:left w:val="none" w:sz="0" w:space="0" w:color="auto"/>
        <w:bottom w:val="none" w:sz="0" w:space="0" w:color="auto"/>
        <w:right w:val="none" w:sz="0" w:space="0" w:color="auto"/>
      </w:divBdr>
    </w:div>
    <w:div w:id="1528639068">
      <w:bodyDiv w:val="1"/>
      <w:marLeft w:val="0"/>
      <w:marRight w:val="0"/>
      <w:marTop w:val="0"/>
      <w:marBottom w:val="0"/>
      <w:divBdr>
        <w:top w:val="none" w:sz="0" w:space="0" w:color="auto"/>
        <w:left w:val="none" w:sz="0" w:space="0" w:color="auto"/>
        <w:bottom w:val="none" w:sz="0" w:space="0" w:color="auto"/>
        <w:right w:val="none" w:sz="0" w:space="0" w:color="auto"/>
      </w:divBdr>
    </w:div>
    <w:div w:id="1530214686">
      <w:bodyDiv w:val="1"/>
      <w:marLeft w:val="0"/>
      <w:marRight w:val="0"/>
      <w:marTop w:val="0"/>
      <w:marBottom w:val="0"/>
      <w:divBdr>
        <w:top w:val="none" w:sz="0" w:space="0" w:color="auto"/>
        <w:left w:val="none" w:sz="0" w:space="0" w:color="auto"/>
        <w:bottom w:val="none" w:sz="0" w:space="0" w:color="auto"/>
        <w:right w:val="none" w:sz="0" w:space="0" w:color="auto"/>
      </w:divBdr>
    </w:div>
    <w:div w:id="1532568829">
      <w:bodyDiv w:val="1"/>
      <w:marLeft w:val="0"/>
      <w:marRight w:val="0"/>
      <w:marTop w:val="0"/>
      <w:marBottom w:val="0"/>
      <w:divBdr>
        <w:top w:val="none" w:sz="0" w:space="0" w:color="auto"/>
        <w:left w:val="none" w:sz="0" w:space="0" w:color="auto"/>
        <w:bottom w:val="none" w:sz="0" w:space="0" w:color="auto"/>
        <w:right w:val="none" w:sz="0" w:space="0" w:color="auto"/>
      </w:divBdr>
      <w:divsChild>
        <w:div w:id="100416077">
          <w:marLeft w:val="288"/>
          <w:marRight w:val="0"/>
          <w:marTop w:val="40"/>
          <w:marBottom w:val="0"/>
          <w:divBdr>
            <w:top w:val="none" w:sz="0" w:space="0" w:color="auto"/>
            <w:left w:val="none" w:sz="0" w:space="0" w:color="auto"/>
            <w:bottom w:val="none" w:sz="0" w:space="0" w:color="auto"/>
            <w:right w:val="none" w:sz="0" w:space="0" w:color="auto"/>
          </w:divBdr>
        </w:div>
        <w:div w:id="140512498">
          <w:marLeft w:val="288"/>
          <w:marRight w:val="0"/>
          <w:marTop w:val="40"/>
          <w:marBottom w:val="0"/>
          <w:divBdr>
            <w:top w:val="none" w:sz="0" w:space="0" w:color="auto"/>
            <w:left w:val="none" w:sz="0" w:space="0" w:color="auto"/>
            <w:bottom w:val="none" w:sz="0" w:space="0" w:color="auto"/>
            <w:right w:val="none" w:sz="0" w:space="0" w:color="auto"/>
          </w:divBdr>
        </w:div>
        <w:div w:id="671185231">
          <w:marLeft w:val="288"/>
          <w:marRight w:val="0"/>
          <w:marTop w:val="40"/>
          <w:marBottom w:val="0"/>
          <w:divBdr>
            <w:top w:val="none" w:sz="0" w:space="0" w:color="auto"/>
            <w:left w:val="none" w:sz="0" w:space="0" w:color="auto"/>
            <w:bottom w:val="none" w:sz="0" w:space="0" w:color="auto"/>
            <w:right w:val="none" w:sz="0" w:space="0" w:color="auto"/>
          </w:divBdr>
        </w:div>
        <w:div w:id="856576506">
          <w:marLeft w:val="288"/>
          <w:marRight w:val="0"/>
          <w:marTop w:val="40"/>
          <w:marBottom w:val="0"/>
          <w:divBdr>
            <w:top w:val="none" w:sz="0" w:space="0" w:color="auto"/>
            <w:left w:val="none" w:sz="0" w:space="0" w:color="auto"/>
            <w:bottom w:val="none" w:sz="0" w:space="0" w:color="auto"/>
            <w:right w:val="none" w:sz="0" w:space="0" w:color="auto"/>
          </w:divBdr>
        </w:div>
        <w:div w:id="1031801258">
          <w:marLeft w:val="288"/>
          <w:marRight w:val="0"/>
          <w:marTop w:val="40"/>
          <w:marBottom w:val="0"/>
          <w:divBdr>
            <w:top w:val="none" w:sz="0" w:space="0" w:color="auto"/>
            <w:left w:val="none" w:sz="0" w:space="0" w:color="auto"/>
            <w:bottom w:val="none" w:sz="0" w:space="0" w:color="auto"/>
            <w:right w:val="none" w:sz="0" w:space="0" w:color="auto"/>
          </w:divBdr>
        </w:div>
        <w:div w:id="1050765713">
          <w:marLeft w:val="288"/>
          <w:marRight w:val="0"/>
          <w:marTop w:val="40"/>
          <w:marBottom w:val="0"/>
          <w:divBdr>
            <w:top w:val="none" w:sz="0" w:space="0" w:color="auto"/>
            <w:left w:val="none" w:sz="0" w:space="0" w:color="auto"/>
            <w:bottom w:val="none" w:sz="0" w:space="0" w:color="auto"/>
            <w:right w:val="none" w:sz="0" w:space="0" w:color="auto"/>
          </w:divBdr>
        </w:div>
        <w:div w:id="1154877267">
          <w:marLeft w:val="288"/>
          <w:marRight w:val="0"/>
          <w:marTop w:val="40"/>
          <w:marBottom w:val="0"/>
          <w:divBdr>
            <w:top w:val="none" w:sz="0" w:space="0" w:color="auto"/>
            <w:left w:val="none" w:sz="0" w:space="0" w:color="auto"/>
            <w:bottom w:val="none" w:sz="0" w:space="0" w:color="auto"/>
            <w:right w:val="none" w:sz="0" w:space="0" w:color="auto"/>
          </w:divBdr>
        </w:div>
        <w:div w:id="2010132585">
          <w:marLeft w:val="288"/>
          <w:marRight w:val="0"/>
          <w:marTop w:val="40"/>
          <w:marBottom w:val="0"/>
          <w:divBdr>
            <w:top w:val="none" w:sz="0" w:space="0" w:color="auto"/>
            <w:left w:val="none" w:sz="0" w:space="0" w:color="auto"/>
            <w:bottom w:val="none" w:sz="0" w:space="0" w:color="auto"/>
            <w:right w:val="none" w:sz="0" w:space="0" w:color="auto"/>
          </w:divBdr>
        </w:div>
        <w:div w:id="2010792162">
          <w:marLeft w:val="288"/>
          <w:marRight w:val="0"/>
          <w:marTop w:val="40"/>
          <w:marBottom w:val="0"/>
          <w:divBdr>
            <w:top w:val="none" w:sz="0" w:space="0" w:color="auto"/>
            <w:left w:val="none" w:sz="0" w:space="0" w:color="auto"/>
            <w:bottom w:val="none" w:sz="0" w:space="0" w:color="auto"/>
            <w:right w:val="none" w:sz="0" w:space="0" w:color="auto"/>
          </w:divBdr>
        </w:div>
      </w:divsChild>
    </w:div>
    <w:div w:id="1539734966">
      <w:bodyDiv w:val="1"/>
      <w:marLeft w:val="0"/>
      <w:marRight w:val="0"/>
      <w:marTop w:val="0"/>
      <w:marBottom w:val="0"/>
      <w:divBdr>
        <w:top w:val="none" w:sz="0" w:space="0" w:color="auto"/>
        <w:left w:val="none" w:sz="0" w:space="0" w:color="auto"/>
        <w:bottom w:val="none" w:sz="0" w:space="0" w:color="auto"/>
        <w:right w:val="none" w:sz="0" w:space="0" w:color="auto"/>
      </w:divBdr>
    </w:div>
    <w:div w:id="1540972329">
      <w:bodyDiv w:val="1"/>
      <w:marLeft w:val="0"/>
      <w:marRight w:val="0"/>
      <w:marTop w:val="0"/>
      <w:marBottom w:val="0"/>
      <w:divBdr>
        <w:top w:val="none" w:sz="0" w:space="0" w:color="auto"/>
        <w:left w:val="none" w:sz="0" w:space="0" w:color="auto"/>
        <w:bottom w:val="none" w:sz="0" w:space="0" w:color="auto"/>
        <w:right w:val="none" w:sz="0" w:space="0" w:color="auto"/>
      </w:divBdr>
    </w:div>
    <w:div w:id="1543982446">
      <w:bodyDiv w:val="1"/>
      <w:marLeft w:val="0"/>
      <w:marRight w:val="0"/>
      <w:marTop w:val="0"/>
      <w:marBottom w:val="0"/>
      <w:divBdr>
        <w:top w:val="none" w:sz="0" w:space="0" w:color="auto"/>
        <w:left w:val="none" w:sz="0" w:space="0" w:color="auto"/>
        <w:bottom w:val="none" w:sz="0" w:space="0" w:color="auto"/>
        <w:right w:val="none" w:sz="0" w:space="0" w:color="auto"/>
      </w:divBdr>
    </w:div>
    <w:div w:id="1544290469">
      <w:bodyDiv w:val="1"/>
      <w:marLeft w:val="0"/>
      <w:marRight w:val="0"/>
      <w:marTop w:val="0"/>
      <w:marBottom w:val="0"/>
      <w:divBdr>
        <w:top w:val="none" w:sz="0" w:space="0" w:color="auto"/>
        <w:left w:val="none" w:sz="0" w:space="0" w:color="auto"/>
        <w:bottom w:val="none" w:sz="0" w:space="0" w:color="auto"/>
        <w:right w:val="none" w:sz="0" w:space="0" w:color="auto"/>
      </w:divBdr>
    </w:div>
    <w:div w:id="1551916210">
      <w:bodyDiv w:val="1"/>
      <w:marLeft w:val="0"/>
      <w:marRight w:val="0"/>
      <w:marTop w:val="0"/>
      <w:marBottom w:val="0"/>
      <w:divBdr>
        <w:top w:val="none" w:sz="0" w:space="0" w:color="auto"/>
        <w:left w:val="none" w:sz="0" w:space="0" w:color="auto"/>
        <w:bottom w:val="none" w:sz="0" w:space="0" w:color="auto"/>
        <w:right w:val="none" w:sz="0" w:space="0" w:color="auto"/>
      </w:divBdr>
    </w:div>
    <w:div w:id="1552378352">
      <w:bodyDiv w:val="1"/>
      <w:marLeft w:val="0"/>
      <w:marRight w:val="0"/>
      <w:marTop w:val="0"/>
      <w:marBottom w:val="0"/>
      <w:divBdr>
        <w:top w:val="none" w:sz="0" w:space="0" w:color="auto"/>
        <w:left w:val="none" w:sz="0" w:space="0" w:color="auto"/>
        <w:bottom w:val="none" w:sz="0" w:space="0" w:color="auto"/>
        <w:right w:val="none" w:sz="0" w:space="0" w:color="auto"/>
      </w:divBdr>
    </w:div>
    <w:div w:id="1554149050">
      <w:bodyDiv w:val="1"/>
      <w:marLeft w:val="0"/>
      <w:marRight w:val="0"/>
      <w:marTop w:val="0"/>
      <w:marBottom w:val="0"/>
      <w:divBdr>
        <w:top w:val="none" w:sz="0" w:space="0" w:color="auto"/>
        <w:left w:val="none" w:sz="0" w:space="0" w:color="auto"/>
        <w:bottom w:val="none" w:sz="0" w:space="0" w:color="auto"/>
        <w:right w:val="none" w:sz="0" w:space="0" w:color="auto"/>
      </w:divBdr>
    </w:div>
    <w:div w:id="1555583837">
      <w:bodyDiv w:val="1"/>
      <w:marLeft w:val="0"/>
      <w:marRight w:val="0"/>
      <w:marTop w:val="0"/>
      <w:marBottom w:val="0"/>
      <w:divBdr>
        <w:top w:val="none" w:sz="0" w:space="0" w:color="auto"/>
        <w:left w:val="none" w:sz="0" w:space="0" w:color="auto"/>
        <w:bottom w:val="none" w:sz="0" w:space="0" w:color="auto"/>
        <w:right w:val="none" w:sz="0" w:space="0" w:color="auto"/>
      </w:divBdr>
    </w:div>
    <w:div w:id="1557277199">
      <w:bodyDiv w:val="1"/>
      <w:marLeft w:val="0"/>
      <w:marRight w:val="0"/>
      <w:marTop w:val="0"/>
      <w:marBottom w:val="0"/>
      <w:divBdr>
        <w:top w:val="none" w:sz="0" w:space="0" w:color="auto"/>
        <w:left w:val="none" w:sz="0" w:space="0" w:color="auto"/>
        <w:bottom w:val="none" w:sz="0" w:space="0" w:color="auto"/>
        <w:right w:val="none" w:sz="0" w:space="0" w:color="auto"/>
      </w:divBdr>
    </w:div>
    <w:div w:id="1561674635">
      <w:bodyDiv w:val="1"/>
      <w:marLeft w:val="0"/>
      <w:marRight w:val="0"/>
      <w:marTop w:val="0"/>
      <w:marBottom w:val="0"/>
      <w:divBdr>
        <w:top w:val="none" w:sz="0" w:space="0" w:color="auto"/>
        <w:left w:val="none" w:sz="0" w:space="0" w:color="auto"/>
        <w:bottom w:val="none" w:sz="0" w:space="0" w:color="auto"/>
        <w:right w:val="none" w:sz="0" w:space="0" w:color="auto"/>
      </w:divBdr>
    </w:div>
    <w:div w:id="1565144634">
      <w:bodyDiv w:val="1"/>
      <w:marLeft w:val="0"/>
      <w:marRight w:val="0"/>
      <w:marTop w:val="0"/>
      <w:marBottom w:val="0"/>
      <w:divBdr>
        <w:top w:val="none" w:sz="0" w:space="0" w:color="auto"/>
        <w:left w:val="none" w:sz="0" w:space="0" w:color="auto"/>
        <w:bottom w:val="none" w:sz="0" w:space="0" w:color="auto"/>
        <w:right w:val="none" w:sz="0" w:space="0" w:color="auto"/>
      </w:divBdr>
    </w:div>
    <w:div w:id="1567259560">
      <w:bodyDiv w:val="1"/>
      <w:marLeft w:val="0"/>
      <w:marRight w:val="0"/>
      <w:marTop w:val="0"/>
      <w:marBottom w:val="0"/>
      <w:divBdr>
        <w:top w:val="none" w:sz="0" w:space="0" w:color="auto"/>
        <w:left w:val="none" w:sz="0" w:space="0" w:color="auto"/>
        <w:bottom w:val="none" w:sz="0" w:space="0" w:color="auto"/>
        <w:right w:val="none" w:sz="0" w:space="0" w:color="auto"/>
      </w:divBdr>
    </w:div>
    <w:div w:id="1567371364">
      <w:bodyDiv w:val="1"/>
      <w:marLeft w:val="0"/>
      <w:marRight w:val="0"/>
      <w:marTop w:val="0"/>
      <w:marBottom w:val="0"/>
      <w:divBdr>
        <w:top w:val="none" w:sz="0" w:space="0" w:color="auto"/>
        <w:left w:val="none" w:sz="0" w:space="0" w:color="auto"/>
        <w:bottom w:val="none" w:sz="0" w:space="0" w:color="auto"/>
        <w:right w:val="none" w:sz="0" w:space="0" w:color="auto"/>
      </w:divBdr>
    </w:div>
    <w:div w:id="1572689765">
      <w:bodyDiv w:val="1"/>
      <w:marLeft w:val="0"/>
      <w:marRight w:val="0"/>
      <w:marTop w:val="0"/>
      <w:marBottom w:val="0"/>
      <w:divBdr>
        <w:top w:val="none" w:sz="0" w:space="0" w:color="auto"/>
        <w:left w:val="none" w:sz="0" w:space="0" w:color="auto"/>
        <w:bottom w:val="none" w:sz="0" w:space="0" w:color="auto"/>
        <w:right w:val="none" w:sz="0" w:space="0" w:color="auto"/>
      </w:divBdr>
    </w:div>
    <w:div w:id="1578435321">
      <w:bodyDiv w:val="1"/>
      <w:marLeft w:val="0"/>
      <w:marRight w:val="0"/>
      <w:marTop w:val="0"/>
      <w:marBottom w:val="0"/>
      <w:divBdr>
        <w:top w:val="none" w:sz="0" w:space="0" w:color="auto"/>
        <w:left w:val="none" w:sz="0" w:space="0" w:color="auto"/>
        <w:bottom w:val="none" w:sz="0" w:space="0" w:color="auto"/>
        <w:right w:val="none" w:sz="0" w:space="0" w:color="auto"/>
      </w:divBdr>
    </w:div>
    <w:div w:id="1582055983">
      <w:bodyDiv w:val="1"/>
      <w:marLeft w:val="0"/>
      <w:marRight w:val="0"/>
      <w:marTop w:val="0"/>
      <w:marBottom w:val="0"/>
      <w:divBdr>
        <w:top w:val="none" w:sz="0" w:space="0" w:color="auto"/>
        <w:left w:val="none" w:sz="0" w:space="0" w:color="auto"/>
        <w:bottom w:val="none" w:sz="0" w:space="0" w:color="auto"/>
        <w:right w:val="none" w:sz="0" w:space="0" w:color="auto"/>
      </w:divBdr>
    </w:div>
    <w:div w:id="1584560155">
      <w:bodyDiv w:val="1"/>
      <w:marLeft w:val="0"/>
      <w:marRight w:val="0"/>
      <w:marTop w:val="0"/>
      <w:marBottom w:val="0"/>
      <w:divBdr>
        <w:top w:val="none" w:sz="0" w:space="0" w:color="auto"/>
        <w:left w:val="none" w:sz="0" w:space="0" w:color="auto"/>
        <w:bottom w:val="none" w:sz="0" w:space="0" w:color="auto"/>
        <w:right w:val="none" w:sz="0" w:space="0" w:color="auto"/>
      </w:divBdr>
    </w:div>
    <w:div w:id="1587105083">
      <w:bodyDiv w:val="1"/>
      <w:marLeft w:val="0"/>
      <w:marRight w:val="0"/>
      <w:marTop w:val="0"/>
      <w:marBottom w:val="0"/>
      <w:divBdr>
        <w:top w:val="none" w:sz="0" w:space="0" w:color="auto"/>
        <w:left w:val="none" w:sz="0" w:space="0" w:color="auto"/>
        <w:bottom w:val="none" w:sz="0" w:space="0" w:color="auto"/>
        <w:right w:val="none" w:sz="0" w:space="0" w:color="auto"/>
      </w:divBdr>
    </w:div>
    <w:div w:id="1588423379">
      <w:bodyDiv w:val="1"/>
      <w:marLeft w:val="0"/>
      <w:marRight w:val="0"/>
      <w:marTop w:val="0"/>
      <w:marBottom w:val="0"/>
      <w:divBdr>
        <w:top w:val="none" w:sz="0" w:space="0" w:color="auto"/>
        <w:left w:val="none" w:sz="0" w:space="0" w:color="auto"/>
        <w:bottom w:val="none" w:sz="0" w:space="0" w:color="auto"/>
        <w:right w:val="none" w:sz="0" w:space="0" w:color="auto"/>
      </w:divBdr>
    </w:div>
    <w:div w:id="1593005425">
      <w:bodyDiv w:val="1"/>
      <w:marLeft w:val="0"/>
      <w:marRight w:val="0"/>
      <w:marTop w:val="0"/>
      <w:marBottom w:val="0"/>
      <w:divBdr>
        <w:top w:val="none" w:sz="0" w:space="0" w:color="auto"/>
        <w:left w:val="none" w:sz="0" w:space="0" w:color="auto"/>
        <w:bottom w:val="none" w:sz="0" w:space="0" w:color="auto"/>
        <w:right w:val="none" w:sz="0" w:space="0" w:color="auto"/>
      </w:divBdr>
    </w:div>
    <w:div w:id="1594974334">
      <w:bodyDiv w:val="1"/>
      <w:marLeft w:val="0"/>
      <w:marRight w:val="0"/>
      <w:marTop w:val="0"/>
      <w:marBottom w:val="0"/>
      <w:divBdr>
        <w:top w:val="none" w:sz="0" w:space="0" w:color="auto"/>
        <w:left w:val="none" w:sz="0" w:space="0" w:color="auto"/>
        <w:bottom w:val="none" w:sz="0" w:space="0" w:color="auto"/>
        <w:right w:val="none" w:sz="0" w:space="0" w:color="auto"/>
      </w:divBdr>
    </w:div>
    <w:div w:id="1597206777">
      <w:bodyDiv w:val="1"/>
      <w:marLeft w:val="0"/>
      <w:marRight w:val="0"/>
      <w:marTop w:val="0"/>
      <w:marBottom w:val="0"/>
      <w:divBdr>
        <w:top w:val="none" w:sz="0" w:space="0" w:color="auto"/>
        <w:left w:val="none" w:sz="0" w:space="0" w:color="auto"/>
        <w:bottom w:val="none" w:sz="0" w:space="0" w:color="auto"/>
        <w:right w:val="none" w:sz="0" w:space="0" w:color="auto"/>
      </w:divBdr>
      <w:divsChild>
        <w:div w:id="469637792">
          <w:marLeft w:val="288"/>
          <w:marRight w:val="0"/>
          <w:marTop w:val="120"/>
          <w:marBottom w:val="0"/>
          <w:divBdr>
            <w:top w:val="none" w:sz="0" w:space="0" w:color="auto"/>
            <w:left w:val="none" w:sz="0" w:space="0" w:color="auto"/>
            <w:bottom w:val="none" w:sz="0" w:space="0" w:color="auto"/>
            <w:right w:val="none" w:sz="0" w:space="0" w:color="auto"/>
          </w:divBdr>
        </w:div>
        <w:div w:id="471098949">
          <w:marLeft w:val="288"/>
          <w:marRight w:val="0"/>
          <w:marTop w:val="120"/>
          <w:marBottom w:val="0"/>
          <w:divBdr>
            <w:top w:val="none" w:sz="0" w:space="0" w:color="auto"/>
            <w:left w:val="none" w:sz="0" w:space="0" w:color="auto"/>
            <w:bottom w:val="none" w:sz="0" w:space="0" w:color="auto"/>
            <w:right w:val="none" w:sz="0" w:space="0" w:color="auto"/>
          </w:divBdr>
        </w:div>
        <w:div w:id="541869115">
          <w:marLeft w:val="288"/>
          <w:marRight w:val="0"/>
          <w:marTop w:val="120"/>
          <w:marBottom w:val="0"/>
          <w:divBdr>
            <w:top w:val="none" w:sz="0" w:space="0" w:color="auto"/>
            <w:left w:val="none" w:sz="0" w:space="0" w:color="auto"/>
            <w:bottom w:val="none" w:sz="0" w:space="0" w:color="auto"/>
            <w:right w:val="none" w:sz="0" w:space="0" w:color="auto"/>
          </w:divBdr>
        </w:div>
        <w:div w:id="749733963">
          <w:marLeft w:val="288"/>
          <w:marRight w:val="0"/>
          <w:marTop w:val="120"/>
          <w:marBottom w:val="0"/>
          <w:divBdr>
            <w:top w:val="none" w:sz="0" w:space="0" w:color="auto"/>
            <w:left w:val="none" w:sz="0" w:space="0" w:color="auto"/>
            <w:bottom w:val="none" w:sz="0" w:space="0" w:color="auto"/>
            <w:right w:val="none" w:sz="0" w:space="0" w:color="auto"/>
          </w:divBdr>
        </w:div>
        <w:div w:id="1105426002">
          <w:marLeft w:val="288"/>
          <w:marRight w:val="0"/>
          <w:marTop w:val="120"/>
          <w:marBottom w:val="0"/>
          <w:divBdr>
            <w:top w:val="none" w:sz="0" w:space="0" w:color="auto"/>
            <w:left w:val="none" w:sz="0" w:space="0" w:color="auto"/>
            <w:bottom w:val="none" w:sz="0" w:space="0" w:color="auto"/>
            <w:right w:val="none" w:sz="0" w:space="0" w:color="auto"/>
          </w:divBdr>
        </w:div>
        <w:div w:id="1532919396">
          <w:marLeft w:val="288"/>
          <w:marRight w:val="0"/>
          <w:marTop w:val="120"/>
          <w:marBottom w:val="0"/>
          <w:divBdr>
            <w:top w:val="none" w:sz="0" w:space="0" w:color="auto"/>
            <w:left w:val="none" w:sz="0" w:space="0" w:color="auto"/>
            <w:bottom w:val="none" w:sz="0" w:space="0" w:color="auto"/>
            <w:right w:val="none" w:sz="0" w:space="0" w:color="auto"/>
          </w:divBdr>
        </w:div>
        <w:div w:id="1624649156">
          <w:marLeft w:val="288"/>
          <w:marRight w:val="0"/>
          <w:marTop w:val="120"/>
          <w:marBottom w:val="0"/>
          <w:divBdr>
            <w:top w:val="none" w:sz="0" w:space="0" w:color="auto"/>
            <w:left w:val="none" w:sz="0" w:space="0" w:color="auto"/>
            <w:bottom w:val="none" w:sz="0" w:space="0" w:color="auto"/>
            <w:right w:val="none" w:sz="0" w:space="0" w:color="auto"/>
          </w:divBdr>
        </w:div>
        <w:div w:id="1940064904">
          <w:marLeft w:val="288"/>
          <w:marRight w:val="0"/>
          <w:marTop w:val="120"/>
          <w:marBottom w:val="0"/>
          <w:divBdr>
            <w:top w:val="none" w:sz="0" w:space="0" w:color="auto"/>
            <w:left w:val="none" w:sz="0" w:space="0" w:color="auto"/>
            <w:bottom w:val="none" w:sz="0" w:space="0" w:color="auto"/>
            <w:right w:val="none" w:sz="0" w:space="0" w:color="auto"/>
          </w:divBdr>
        </w:div>
        <w:div w:id="2079284622">
          <w:marLeft w:val="288"/>
          <w:marRight w:val="0"/>
          <w:marTop w:val="120"/>
          <w:marBottom w:val="0"/>
          <w:divBdr>
            <w:top w:val="none" w:sz="0" w:space="0" w:color="auto"/>
            <w:left w:val="none" w:sz="0" w:space="0" w:color="auto"/>
            <w:bottom w:val="none" w:sz="0" w:space="0" w:color="auto"/>
            <w:right w:val="none" w:sz="0" w:space="0" w:color="auto"/>
          </w:divBdr>
        </w:div>
      </w:divsChild>
    </w:div>
    <w:div w:id="1601377095">
      <w:bodyDiv w:val="1"/>
      <w:marLeft w:val="0"/>
      <w:marRight w:val="0"/>
      <w:marTop w:val="0"/>
      <w:marBottom w:val="0"/>
      <w:divBdr>
        <w:top w:val="none" w:sz="0" w:space="0" w:color="auto"/>
        <w:left w:val="none" w:sz="0" w:space="0" w:color="auto"/>
        <w:bottom w:val="none" w:sz="0" w:space="0" w:color="auto"/>
        <w:right w:val="none" w:sz="0" w:space="0" w:color="auto"/>
      </w:divBdr>
    </w:div>
    <w:div w:id="1603369333">
      <w:bodyDiv w:val="1"/>
      <w:marLeft w:val="0"/>
      <w:marRight w:val="0"/>
      <w:marTop w:val="0"/>
      <w:marBottom w:val="0"/>
      <w:divBdr>
        <w:top w:val="none" w:sz="0" w:space="0" w:color="auto"/>
        <w:left w:val="none" w:sz="0" w:space="0" w:color="auto"/>
        <w:bottom w:val="none" w:sz="0" w:space="0" w:color="auto"/>
        <w:right w:val="none" w:sz="0" w:space="0" w:color="auto"/>
      </w:divBdr>
      <w:divsChild>
        <w:div w:id="96799762">
          <w:marLeft w:val="259"/>
          <w:marRight w:val="0"/>
          <w:marTop w:val="40"/>
          <w:marBottom w:val="0"/>
          <w:divBdr>
            <w:top w:val="none" w:sz="0" w:space="0" w:color="auto"/>
            <w:left w:val="none" w:sz="0" w:space="0" w:color="auto"/>
            <w:bottom w:val="none" w:sz="0" w:space="0" w:color="auto"/>
            <w:right w:val="none" w:sz="0" w:space="0" w:color="auto"/>
          </w:divBdr>
        </w:div>
        <w:div w:id="166137887">
          <w:marLeft w:val="259"/>
          <w:marRight w:val="0"/>
          <w:marTop w:val="40"/>
          <w:marBottom w:val="0"/>
          <w:divBdr>
            <w:top w:val="none" w:sz="0" w:space="0" w:color="auto"/>
            <w:left w:val="none" w:sz="0" w:space="0" w:color="auto"/>
            <w:bottom w:val="none" w:sz="0" w:space="0" w:color="auto"/>
            <w:right w:val="none" w:sz="0" w:space="0" w:color="auto"/>
          </w:divBdr>
        </w:div>
        <w:div w:id="203754099">
          <w:marLeft w:val="259"/>
          <w:marRight w:val="0"/>
          <w:marTop w:val="40"/>
          <w:marBottom w:val="0"/>
          <w:divBdr>
            <w:top w:val="none" w:sz="0" w:space="0" w:color="auto"/>
            <w:left w:val="none" w:sz="0" w:space="0" w:color="auto"/>
            <w:bottom w:val="none" w:sz="0" w:space="0" w:color="auto"/>
            <w:right w:val="none" w:sz="0" w:space="0" w:color="auto"/>
          </w:divBdr>
        </w:div>
        <w:div w:id="253127414">
          <w:marLeft w:val="259"/>
          <w:marRight w:val="0"/>
          <w:marTop w:val="40"/>
          <w:marBottom w:val="0"/>
          <w:divBdr>
            <w:top w:val="none" w:sz="0" w:space="0" w:color="auto"/>
            <w:left w:val="none" w:sz="0" w:space="0" w:color="auto"/>
            <w:bottom w:val="none" w:sz="0" w:space="0" w:color="auto"/>
            <w:right w:val="none" w:sz="0" w:space="0" w:color="auto"/>
          </w:divBdr>
        </w:div>
        <w:div w:id="280305095">
          <w:marLeft w:val="259"/>
          <w:marRight w:val="0"/>
          <w:marTop w:val="40"/>
          <w:marBottom w:val="0"/>
          <w:divBdr>
            <w:top w:val="none" w:sz="0" w:space="0" w:color="auto"/>
            <w:left w:val="none" w:sz="0" w:space="0" w:color="auto"/>
            <w:bottom w:val="none" w:sz="0" w:space="0" w:color="auto"/>
            <w:right w:val="none" w:sz="0" w:space="0" w:color="auto"/>
          </w:divBdr>
        </w:div>
        <w:div w:id="318847076">
          <w:marLeft w:val="259"/>
          <w:marRight w:val="0"/>
          <w:marTop w:val="40"/>
          <w:marBottom w:val="0"/>
          <w:divBdr>
            <w:top w:val="none" w:sz="0" w:space="0" w:color="auto"/>
            <w:left w:val="none" w:sz="0" w:space="0" w:color="auto"/>
            <w:bottom w:val="none" w:sz="0" w:space="0" w:color="auto"/>
            <w:right w:val="none" w:sz="0" w:space="0" w:color="auto"/>
          </w:divBdr>
        </w:div>
        <w:div w:id="526606283">
          <w:marLeft w:val="259"/>
          <w:marRight w:val="0"/>
          <w:marTop w:val="40"/>
          <w:marBottom w:val="0"/>
          <w:divBdr>
            <w:top w:val="none" w:sz="0" w:space="0" w:color="auto"/>
            <w:left w:val="none" w:sz="0" w:space="0" w:color="auto"/>
            <w:bottom w:val="none" w:sz="0" w:space="0" w:color="auto"/>
            <w:right w:val="none" w:sz="0" w:space="0" w:color="auto"/>
          </w:divBdr>
        </w:div>
        <w:div w:id="735517488">
          <w:marLeft w:val="259"/>
          <w:marRight w:val="0"/>
          <w:marTop w:val="40"/>
          <w:marBottom w:val="0"/>
          <w:divBdr>
            <w:top w:val="none" w:sz="0" w:space="0" w:color="auto"/>
            <w:left w:val="none" w:sz="0" w:space="0" w:color="auto"/>
            <w:bottom w:val="none" w:sz="0" w:space="0" w:color="auto"/>
            <w:right w:val="none" w:sz="0" w:space="0" w:color="auto"/>
          </w:divBdr>
        </w:div>
        <w:div w:id="1164708047">
          <w:marLeft w:val="259"/>
          <w:marRight w:val="0"/>
          <w:marTop w:val="40"/>
          <w:marBottom w:val="0"/>
          <w:divBdr>
            <w:top w:val="none" w:sz="0" w:space="0" w:color="auto"/>
            <w:left w:val="none" w:sz="0" w:space="0" w:color="auto"/>
            <w:bottom w:val="none" w:sz="0" w:space="0" w:color="auto"/>
            <w:right w:val="none" w:sz="0" w:space="0" w:color="auto"/>
          </w:divBdr>
        </w:div>
        <w:div w:id="1227641662">
          <w:marLeft w:val="259"/>
          <w:marRight w:val="0"/>
          <w:marTop w:val="40"/>
          <w:marBottom w:val="0"/>
          <w:divBdr>
            <w:top w:val="none" w:sz="0" w:space="0" w:color="auto"/>
            <w:left w:val="none" w:sz="0" w:space="0" w:color="auto"/>
            <w:bottom w:val="none" w:sz="0" w:space="0" w:color="auto"/>
            <w:right w:val="none" w:sz="0" w:space="0" w:color="auto"/>
          </w:divBdr>
        </w:div>
        <w:div w:id="1640723165">
          <w:marLeft w:val="259"/>
          <w:marRight w:val="0"/>
          <w:marTop w:val="40"/>
          <w:marBottom w:val="0"/>
          <w:divBdr>
            <w:top w:val="none" w:sz="0" w:space="0" w:color="auto"/>
            <w:left w:val="none" w:sz="0" w:space="0" w:color="auto"/>
            <w:bottom w:val="none" w:sz="0" w:space="0" w:color="auto"/>
            <w:right w:val="none" w:sz="0" w:space="0" w:color="auto"/>
          </w:divBdr>
        </w:div>
        <w:div w:id="1822426420">
          <w:marLeft w:val="259"/>
          <w:marRight w:val="0"/>
          <w:marTop w:val="40"/>
          <w:marBottom w:val="0"/>
          <w:divBdr>
            <w:top w:val="none" w:sz="0" w:space="0" w:color="auto"/>
            <w:left w:val="none" w:sz="0" w:space="0" w:color="auto"/>
            <w:bottom w:val="none" w:sz="0" w:space="0" w:color="auto"/>
            <w:right w:val="none" w:sz="0" w:space="0" w:color="auto"/>
          </w:divBdr>
        </w:div>
        <w:div w:id="1876119906">
          <w:marLeft w:val="259"/>
          <w:marRight w:val="0"/>
          <w:marTop w:val="40"/>
          <w:marBottom w:val="0"/>
          <w:divBdr>
            <w:top w:val="none" w:sz="0" w:space="0" w:color="auto"/>
            <w:left w:val="none" w:sz="0" w:space="0" w:color="auto"/>
            <w:bottom w:val="none" w:sz="0" w:space="0" w:color="auto"/>
            <w:right w:val="none" w:sz="0" w:space="0" w:color="auto"/>
          </w:divBdr>
        </w:div>
        <w:div w:id="2141805790">
          <w:marLeft w:val="259"/>
          <w:marRight w:val="0"/>
          <w:marTop w:val="40"/>
          <w:marBottom w:val="0"/>
          <w:divBdr>
            <w:top w:val="none" w:sz="0" w:space="0" w:color="auto"/>
            <w:left w:val="none" w:sz="0" w:space="0" w:color="auto"/>
            <w:bottom w:val="none" w:sz="0" w:space="0" w:color="auto"/>
            <w:right w:val="none" w:sz="0" w:space="0" w:color="auto"/>
          </w:divBdr>
        </w:div>
        <w:div w:id="2147358708">
          <w:marLeft w:val="259"/>
          <w:marRight w:val="0"/>
          <w:marTop w:val="40"/>
          <w:marBottom w:val="0"/>
          <w:divBdr>
            <w:top w:val="none" w:sz="0" w:space="0" w:color="auto"/>
            <w:left w:val="none" w:sz="0" w:space="0" w:color="auto"/>
            <w:bottom w:val="none" w:sz="0" w:space="0" w:color="auto"/>
            <w:right w:val="none" w:sz="0" w:space="0" w:color="auto"/>
          </w:divBdr>
        </w:div>
      </w:divsChild>
    </w:div>
    <w:div w:id="1605531842">
      <w:bodyDiv w:val="1"/>
      <w:marLeft w:val="0"/>
      <w:marRight w:val="0"/>
      <w:marTop w:val="0"/>
      <w:marBottom w:val="0"/>
      <w:divBdr>
        <w:top w:val="none" w:sz="0" w:space="0" w:color="auto"/>
        <w:left w:val="none" w:sz="0" w:space="0" w:color="auto"/>
        <w:bottom w:val="none" w:sz="0" w:space="0" w:color="auto"/>
        <w:right w:val="none" w:sz="0" w:space="0" w:color="auto"/>
      </w:divBdr>
    </w:div>
    <w:div w:id="1607884621">
      <w:bodyDiv w:val="1"/>
      <w:marLeft w:val="0"/>
      <w:marRight w:val="0"/>
      <w:marTop w:val="0"/>
      <w:marBottom w:val="0"/>
      <w:divBdr>
        <w:top w:val="none" w:sz="0" w:space="0" w:color="auto"/>
        <w:left w:val="none" w:sz="0" w:space="0" w:color="auto"/>
        <w:bottom w:val="none" w:sz="0" w:space="0" w:color="auto"/>
        <w:right w:val="none" w:sz="0" w:space="0" w:color="auto"/>
      </w:divBdr>
    </w:div>
    <w:div w:id="1608584529">
      <w:bodyDiv w:val="1"/>
      <w:marLeft w:val="0"/>
      <w:marRight w:val="0"/>
      <w:marTop w:val="0"/>
      <w:marBottom w:val="0"/>
      <w:divBdr>
        <w:top w:val="none" w:sz="0" w:space="0" w:color="auto"/>
        <w:left w:val="none" w:sz="0" w:space="0" w:color="auto"/>
        <w:bottom w:val="none" w:sz="0" w:space="0" w:color="auto"/>
        <w:right w:val="none" w:sz="0" w:space="0" w:color="auto"/>
      </w:divBdr>
      <w:divsChild>
        <w:div w:id="1146124418">
          <w:marLeft w:val="288"/>
          <w:marRight w:val="0"/>
          <w:marTop w:val="120"/>
          <w:marBottom w:val="0"/>
          <w:divBdr>
            <w:top w:val="none" w:sz="0" w:space="0" w:color="auto"/>
            <w:left w:val="none" w:sz="0" w:space="0" w:color="auto"/>
            <w:bottom w:val="none" w:sz="0" w:space="0" w:color="auto"/>
            <w:right w:val="none" w:sz="0" w:space="0" w:color="auto"/>
          </w:divBdr>
        </w:div>
        <w:div w:id="1231841874">
          <w:marLeft w:val="288"/>
          <w:marRight w:val="0"/>
          <w:marTop w:val="120"/>
          <w:marBottom w:val="0"/>
          <w:divBdr>
            <w:top w:val="none" w:sz="0" w:space="0" w:color="auto"/>
            <w:left w:val="none" w:sz="0" w:space="0" w:color="auto"/>
            <w:bottom w:val="none" w:sz="0" w:space="0" w:color="auto"/>
            <w:right w:val="none" w:sz="0" w:space="0" w:color="auto"/>
          </w:divBdr>
        </w:div>
        <w:div w:id="1681664365">
          <w:marLeft w:val="288"/>
          <w:marRight w:val="0"/>
          <w:marTop w:val="120"/>
          <w:marBottom w:val="0"/>
          <w:divBdr>
            <w:top w:val="none" w:sz="0" w:space="0" w:color="auto"/>
            <w:left w:val="none" w:sz="0" w:space="0" w:color="auto"/>
            <w:bottom w:val="none" w:sz="0" w:space="0" w:color="auto"/>
            <w:right w:val="none" w:sz="0" w:space="0" w:color="auto"/>
          </w:divBdr>
        </w:div>
        <w:div w:id="1937711369">
          <w:marLeft w:val="288"/>
          <w:marRight w:val="0"/>
          <w:marTop w:val="120"/>
          <w:marBottom w:val="0"/>
          <w:divBdr>
            <w:top w:val="none" w:sz="0" w:space="0" w:color="auto"/>
            <w:left w:val="none" w:sz="0" w:space="0" w:color="auto"/>
            <w:bottom w:val="none" w:sz="0" w:space="0" w:color="auto"/>
            <w:right w:val="none" w:sz="0" w:space="0" w:color="auto"/>
          </w:divBdr>
        </w:div>
      </w:divsChild>
    </w:div>
    <w:div w:id="1611207453">
      <w:bodyDiv w:val="1"/>
      <w:marLeft w:val="0"/>
      <w:marRight w:val="0"/>
      <w:marTop w:val="0"/>
      <w:marBottom w:val="0"/>
      <w:divBdr>
        <w:top w:val="none" w:sz="0" w:space="0" w:color="auto"/>
        <w:left w:val="none" w:sz="0" w:space="0" w:color="auto"/>
        <w:bottom w:val="none" w:sz="0" w:space="0" w:color="auto"/>
        <w:right w:val="none" w:sz="0" w:space="0" w:color="auto"/>
      </w:divBdr>
    </w:div>
    <w:div w:id="1614898441">
      <w:bodyDiv w:val="1"/>
      <w:marLeft w:val="0"/>
      <w:marRight w:val="0"/>
      <w:marTop w:val="0"/>
      <w:marBottom w:val="0"/>
      <w:divBdr>
        <w:top w:val="none" w:sz="0" w:space="0" w:color="auto"/>
        <w:left w:val="none" w:sz="0" w:space="0" w:color="auto"/>
        <w:bottom w:val="none" w:sz="0" w:space="0" w:color="auto"/>
        <w:right w:val="none" w:sz="0" w:space="0" w:color="auto"/>
      </w:divBdr>
    </w:div>
    <w:div w:id="1623993726">
      <w:bodyDiv w:val="1"/>
      <w:marLeft w:val="0"/>
      <w:marRight w:val="0"/>
      <w:marTop w:val="0"/>
      <w:marBottom w:val="0"/>
      <w:divBdr>
        <w:top w:val="none" w:sz="0" w:space="0" w:color="auto"/>
        <w:left w:val="none" w:sz="0" w:space="0" w:color="auto"/>
        <w:bottom w:val="none" w:sz="0" w:space="0" w:color="auto"/>
        <w:right w:val="none" w:sz="0" w:space="0" w:color="auto"/>
      </w:divBdr>
    </w:div>
    <w:div w:id="1627542045">
      <w:bodyDiv w:val="1"/>
      <w:marLeft w:val="0"/>
      <w:marRight w:val="0"/>
      <w:marTop w:val="0"/>
      <w:marBottom w:val="0"/>
      <w:divBdr>
        <w:top w:val="none" w:sz="0" w:space="0" w:color="auto"/>
        <w:left w:val="none" w:sz="0" w:space="0" w:color="auto"/>
        <w:bottom w:val="none" w:sz="0" w:space="0" w:color="auto"/>
        <w:right w:val="none" w:sz="0" w:space="0" w:color="auto"/>
      </w:divBdr>
    </w:div>
    <w:div w:id="1630166295">
      <w:bodyDiv w:val="1"/>
      <w:marLeft w:val="0"/>
      <w:marRight w:val="0"/>
      <w:marTop w:val="0"/>
      <w:marBottom w:val="0"/>
      <w:divBdr>
        <w:top w:val="none" w:sz="0" w:space="0" w:color="auto"/>
        <w:left w:val="none" w:sz="0" w:space="0" w:color="auto"/>
        <w:bottom w:val="none" w:sz="0" w:space="0" w:color="auto"/>
        <w:right w:val="none" w:sz="0" w:space="0" w:color="auto"/>
      </w:divBdr>
    </w:div>
    <w:div w:id="1631938032">
      <w:bodyDiv w:val="1"/>
      <w:marLeft w:val="0"/>
      <w:marRight w:val="0"/>
      <w:marTop w:val="0"/>
      <w:marBottom w:val="0"/>
      <w:divBdr>
        <w:top w:val="none" w:sz="0" w:space="0" w:color="auto"/>
        <w:left w:val="none" w:sz="0" w:space="0" w:color="auto"/>
        <w:bottom w:val="none" w:sz="0" w:space="0" w:color="auto"/>
        <w:right w:val="none" w:sz="0" w:space="0" w:color="auto"/>
      </w:divBdr>
    </w:div>
    <w:div w:id="1634360603">
      <w:bodyDiv w:val="1"/>
      <w:marLeft w:val="0"/>
      <w:marRight w:val="0"/>
      <w:marTop w:val="0"/>
      <w:marBottom w:val="0"/>
      <w:divBdr>
        <w:top w:val="none" w:sz="0" w:space="0" w:color="auto"/>
        <w:left w:val="none" w:sz="0" w:space="0" w:color="auto"/>
        <w:bottom w:val="none" w:sz="0" w:space="0" w:color="auto"/>
        <w:right w:val="none" w:sz="0" w:space="0" w:color="auto"/>
      </w:divBdr>
    </w:div>
    <w:div w:id="1634943782">
      <w:bodyDiv w:val="1"/>
      <w:marLeft w:val="0"/>
      <w:marRight w:val="0"/>
      <w:marTop w:val="0"/>
      <w:marBottom w:val="0"/>
      <w:divBdr>
        <w:top w:val="none" w:sz="0" w:space="0" w:color="auto"/>
        <w:left w:val="none" w:sz="0" w:space="0" w:color="auto"/>
        <w:bottom w:val="none" w:sz="0" w:space="0" w:color="auto"/>
        <w:right w:val="none" w:sz="0" w:space="0" w:color="auto"/>
      </w:divBdr>
    </w:div>
    <w:div w:id="1635057938">
      <w:bodyDiv w:val="1"/>
      <w:marLeft w:val="0"/>
      <w:marRight w:val="0"/>
      <w:marTop w:val="0"/>
      <w:marBottom w:val="0"/>
      <w:divBdr>
        <w:top w:val="none" w:sz="0" w:space="0" w:color="auto"/>
        <w:left w:val="none" w:sz="0" w:space="0" w:color="auto"/>
        <w:bottom w:val="none" w:sz="0" w:space="0" w:color="auto"/>
        <w:right w:val="none" w:sz="0" w:space="0" w:color="auto"/>
      </w:divBdr>
    </w:div>
    <w:div w:id="1635141944">
      <w:bodyDiv w:val="1"/>
      <w:marLeft w:val="0"/>
      <w:marRight w:val="0"/>
      <w:marTop w:val="0"/>
      <w:marBottom w:val="0"/>
      <w:divBdr>
        <w:top w:val="none" w:sz="0" w:space="0" w:color="auto"/>
        <w:left w:val="none" w:sz="0" w:space="0" w:color="auto"/>
        <w:bottom w:val="none" w:sz="0" w:space="0" w:color="auto"/>
        <w:right w:val="none" w:sz="0" w:space="0" w:color="auto"/>
      </w:divBdr>
    </w:div>
    <w:div w:id="1635330788">
      <w:bodyDiv w:val="1"/>
      <w:marLeft w:val="0"/>
      <w:marRight w:val="0"/>
      <w:marTop w:val="0"/>
      <w:marBottom w:val="0"/>
      <w:divBdr>
        <w:top w:val="none" w:sz="0" w:space="0" w:color="auto"/>
        <w:left w:val="none" w:sz="0" w:space="0" w:color="auto"/>
        <w:bottom w:val="none" w:sz="0" w:space="0" w:color="auto"/>
        <w:right w:val="none" w:sz="0" w:space="0" w:color="auto"/>
      </w:divBdr>
    </w:div>
    <w:div w:id="1635598981">
      <w:bodyDiv w:val="1"/>
      <w:marLeft w:val="0"/>
      <w:marRight w:val="0"/>
      <w:marTop w:val="0"/>
      <w:marBottom w:val="0"/>
      <w:divBdr>
        <w:top w:val="none" w:sz="0" w:space="0" w:color="auto"/>
        <w:left w:val="none" w:sz="0" w:space="0" w:color="auto"/>
        <w:bottom w:val="none" w:sz="0" w:space="0" w:color="auto"/>
        <w:right w:val="none" w:sz="0" w:space="0" w:color="auto"/>
      </w:divBdr>
    </w:div>
    <w:div w:id="1637756928">
      <w:bodyDiv w:val="1"/>
      <w:marLeft w:val="0"/>
      <w:marRight w:val="0"/>
      <w:marTop w:val="0"/>
      <w:marBottom w:val="0"/>
      <w:divBdr>
        <w:top w:val="none" w:sz="0" w:space="0" w:color="auto"/>
        <w:left w:val="none" w:sz="0" w:space="0" w:color="auto"/>
        <w:bottom w:val="none" w:sz="0" w:space="0" w:color="auto"/>
        <w:right w:val="none" w:sz="0" w:space="0" w:color="auto"/>
      </w:divBdr>
      <w:divsChild>
        <w:div w:id="724836989">
          <w:marLeft w:val="780"/>
          <w:marRight w:val="0"/>
          <w:marTop w:val="0"/>
          <w:marBottom w:val="0"/>
          <w:divBdr>
            <w:top w:val="none" w:sz="0" w:space="0" w:color="auto"/>
            <w:left w:val="none" w:sz="0" w:space="0" w:color="auto"/>
            <w:bottom w:val="none" w:sz="0" w:space="0" w:color="auto"/>
            <w:right w:val="none" w:sz="0" w:space="0" w:color="auto"/>
          </w:divBdr>
          <w:divsChild>
            <w:div w:id="1197305688">
              <w:marLeft w:val="0"/>
              <w:marRight w:val="0"/>
              <w:marTop w:val="0"/>
              <w:marBottom w:val="0"/>
              <w:divBdr>
                <w:top w:val="none" w:sz="0" w:space="0" w:color="auto"/>
                <w:left w:val="none" w:sz="0" w:space="0" w:color="auto"/>
                <w:bottom w:val="none" w:sz="0" w:space="0" w:color="auto"/>
                <w:right w:val="none" w:sz="0" w:space="0" w:color="auto"/>
              </w:divBdr>
              <w:divsChild>
                <w:div w:id="1607809627">
                  <w:marLeft w:val="0"/>
                  <w:marRight w:val="0"/>
                  <w:marTop w:val="0"/>
                  <w:marBottom w:val="0"/>
                  <w:divBdr>
                    <w:top w:val="none" w:sz="0" w:space="0" w:color="auto"/>
                    <w:left w:val="none" w:sz="0" w:space="0" w:color="auto"/>
                    <w:bottom w:val="none" w:sz="0" w:space="0" w:color="auto"/>
                    <w:right w:val="none" w:sz="0" w:space="0" w:color="auto"/>
                  </w:divBdr>
                  <w:divsChild>
                    <w:div w:id="320500860">
                      <w:marLeft w:val="0"/>
                      <w:marRight w:val="0"/>
                      <w:marTop w:val="0"/>
                      <w:marBottom w:val="0"/>
                      <w:divBdr>
                        <w:top w:val="none" w:sz="0" w:space="0" w:color="auto"/>
                        <w:left w:val="none" w:sz="0" w:space="0" w:color="auto"/>
                        <w:bottom w:val="none" w:sz="0" w:space="0" w:color="auto"/>
                        <w:right w:val="none" w:sz="0" w:space="0" w:color="auto"/>
                      </w:divBdr>
                      <w:divsChild>
                        <w:div w:id="1832329899">
                          <w:marLeft w:val="0"/>
                          <w:marRight w:val="0"/>
                          <w:marTop w:val="0"/>
                          <w:marBottom w:val="0"/>
                          <w:divBdr>
                            <w:top w:val="none" w:sz="0" w:space="0" w:color="auto"/>
                            <w:left w:val="none" w:sz="0" w:space="0" w:color="auto"/>
                            <w:bottom w:val="none" w:sz="0" w:space="0" w:color="auto"/>
                            <w:right w:val="none" w:sz="0" w:space="0" w:color="auto"/>
                          </w:divBdr>
                          <w:divsChild>
                            <w:div w:id="1052538441">
                              <w:marLeft w:val="0"/>
                              <w:marRight w:val="0"/>
                              <w:marTop w:val="0"/>
                              <w:marBottom w:val="0"/>
                              <w:divBdr>
                                <w:top w:val="none" w:sz="0" w:space="0" w:color="auto"/>
                                <w:left w:val="none" w:sz="0" w:space="0" w:color="auto"/>
                                <w:bottom w:val="none" w:sz="0" w:space="0" w:color="auto"/>
                                <w:right w:val="none" w:sz="0" w:space="0" w:color="auto"/>
                              </w:divBdr>
                              <w:divsChild>
                                <w:div w:id="1050492086">
                                  <w:marLeft w:val="0"/>
                                  <w:marRight w:val="0"/>
                                  <w:marTop w:val="0"/>
                                  <w:marBottom w:val="0"/>
                                  <w:divBdr>
                                    <w:top w:val="none" w:sz="0" w:space="0" w:color="auto"/>
                                    <w:left w:val="none" w:sz="0" w:space="0" w:color="auto"/>
                                    <w:bottom w:val="none" w:sz="0" w:space="0" w:color="auto"/>
                                    <w:right w:val="none" w:sz="0" w:space="0" w:color="auto"/>
                                  </w:divBdr>
                                  <w:divsChild>
                                    <w:div w:id="711882976">
                                      <w:marLeft w:val="0"/>
                                      <w:marRight w:val="0"/>
                                      <w:marTop w:val="0"/>
                                      <w:marBottom w:val="0"/>
                                      <w:divBdr>
                                        <w:top w:val="none" w:sz="0" w:space="0" w:color="auto"/>
                                        <w:left w:val="none" w:sz="0" w:space="0" w:color="auto"/>
                                        <w:bottom w:val="none" w:sz="0" w:space="0" w:color="auto"/>
                                        <w:right w:val="none" w:sz="0" w:space="0" w:color="auto"/>
                                      </w:divBdr>
                                      <w:divsChild>
                                        <w:div w:id="1946886544">
                                          <w:marLeft w:val="0"/>
                                          <w:marRight w:val="0"/>
                                          <w:marTop w:val="0"/>
                                          <w:marBottom w:val="0"/>
                                          <w:divBdr>
                                            <w:top w:val="none" w:sz="0" w:space="0" w:color="auto"/>
                                            <w:left w:val="none" w:sz="0" w:space="0" w:color="auto"/>
                                            <w:bottom w:val="none" w:sz="0" w:space="0" w:color="auto"/>
                                            <w:right w:val="none" w:sz="0" w:space="0" w:color="auto"/>
                                          </w:divBdr>
                                          <w:divsChild>
                                            <w:div w:id="111949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28808">
                                      <w:marLeft w:val="0"/>
                                      <w:marRight w:val="0"/>
                                      <w:marTop w:val="0"/>
                                      <w:marBottom w:val="0"/>
                                      <w:divBdr>
                                        <w:top w:val="none" w:sz="0" w:space="0" w:color="auto"/>
                                        <w:left w:val="none" w:sz="0" w:space="0" w:color="auto"/>
                                        <w:bottom w:val="none" w:sz="0" w:space="0" w:color="auto"/>
                                        <w:right w:val="none" w:sz="0" w:space="0" w:color="auto"/>
                                      </w:divBdr>
                                      <w:divsChild>
                                        <w:div w:id="528875561">
                                          <w:marLeft w:val="0"/>
                                          <w:marRight w:val="0"/>
                                          <w:marTop w:val="0"/>
                                          <w:marBottom w:val="0"/>
                                          <w:divBdr>
                                            <w:top w:val="none" w:sz="0" w:space="0" w:color="auto"/>
                                            <w:left w:val="none" w:sz="0" w:space="0" w:color="auto"/>
                                            <w:bottom w:val="none" w:sz="0" w:space="0" w:color="auto"/>
                                            <w:right w:val="none" w:sz="0" w:space="0" w:color="auto"/>
                                          </w:divBdr>
                                          <w:divsChild>
                                            <w:div w:id="148800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31028">
                                      <w:marLeft w:val="0"/>
                                      <w:marRight w:val="0"/>
                                      <w:marTop w:val="0"/>
                                      <w:marBottom w:val="0"/>
                                      <w:divBdr>
                                        <w:top w:val="none" w:sz="0" w:space="0" w:color="auto"/>
                                        <w:left w:val="none" w:sz="0" w:space="0" w:color="auto"/>
                                        <w:bottom w:val="none" w:sz="0" w:space="0" w:color="auto"/>
                                        <w:right w:val="none" w:sz="0" w:space="0" w:color="auto"/>
                                      </w:divBdr>
                                      <w:divsChild>
                                        <w:div w:id="1344670308">
                                          <w:marLeft w:val="0"/>
                                          <w:marRight w:val="0"/>
                                          <w:marTop w:val="0"/>
                                          <w:marBottom w:val="0"/>
                                          <w:divBdr>
                                            <w:top w:val="none" w:sz="0" w:space="0" w:color="auto"/>
                                            <w:left w:val="none" w:sz="0" w:space="0" w:color="auto"/>
                                            <w:bottom w:val="none" w:sz="0" w:space="0" w:color="auto"/>
                                            <w:right w:val="none" w:sz="0" w:space="0" w:color="auto"/>
                                          </w:divBdr>
                                          <w:divsChild>
                                            <w:div w:id="133202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93675">
                                      <w:marLeft w:val="0"/>
                                      <w:marRight w:val="0"/>
                                      <w:marTop w:val="0"/>
                                      <w:marBottom w:val="0"/>
                                      <w:divBdr>
                                        <w:top w:val="none" w:sz="0" w:space="0" w:color="auto"/>
                                        <w:left w:val="none" w:sz="0" w:space="0" w:color="auto"/>
                                        <w:bottom w:val="none" w:sz="0" w:space="0" w:color="auto"/>
                                        <w:right w:val="none" w:sz="0" w:space="0" w:color="auto"/>
                                      </w:divBdr>
                                      <w:divsChild>
                                        <w:div w:id="480119510">
                                          <w:marLeft w:val="0"/>
                                          <w:marRight w:val="0"/>
                                          <w:marTop w:val="0"/>
                                          <w:marBottom w:val="0"/>
                                          <w:divBdr>
                                            <w:top w:val="none" w:sz="0" w:space="0" w:color="auto"/>
                                            <w:left w:val="none" w:sz="0" w:space="0" w:color="auto"/>
                                            <w:bottom w:val="none" w:sz="0" w:space="0" w:color="auto"/>
                                            <w:right w:val="none" w:sz="0" w:space="0" w:color="auto"/>
                                          </w:divBdr>
                                          <w:divsChild>
                                            <w:div w:id="133904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136177">
                                      <w:marLeft w:val="0"/>
                                      <w:marRight w:val="0"/>
                                      <w:marTop w:val="0"/>
                                      <w:marBottom w:val="0"/>
                                      <w:divBdr>
                                        <w:top w:val="none" w:sz="0" w:space="0" w:color="auto"/>
                                        <w:left w:val="none" w:sz="0" w:space="0" w:color="auto"/>
                                        <w:bottom w:val="none" w:sz="0" w:space="0" w:color="auto"/>
                                        <w:right w:val="none" w:sz="0" w:space="0" w:color="auto"/>
                                      </w:divBdr>
                                      <w:divsChild>
                                        <w:div w:id="1481270898">
                                          <w:marLeft w:val="0"/>
                                          <w:marRight w:val="0"/>
                                          <w:marTop w:val="0"/>
                                          <w:marBottom w:val="0"/>
                                          <w:divBdr>
                                            <w:top w:val="none" w:sz="0" w:space="0" w:color="auto"/>
                                            <w:left w:val="none" w:sz="0" w:space="0" w:color="auto"/>
                                            <w:bottom w:val="none" w:sz="0" w:space="0" w:color="auto"/>
                                            <w:right w:val="none" w:sz="0" w:space="0" w:color="auto"/>
                                          </w:divBdr>
                                          <w:divsChild>
                                            <w:div w:id="678045307">
                                              <w:marLeft w:val="0"/>
                                              <w:marRight w:val="0"/>
                                              <w:marTop w:val="0"/>
                                              <w:marBottom w:val="0"/>
                                              <w:divBdr>
                                                <w:top w:val="none" w:sz="0" w:space="0" w:color="auto"/>
                                                <w:left w:val="none" w:sz="0" w:space="0" w:color="auto"/>
                                                <w:bottom w:val="none" w:sz="0" w:space="0" w:color="auto"/>
                                                <w:right w:val="none" w:sz="0" w:space="0" w:color="auto"/>
                                              </w:divBdr>
                                              <w:divsChild>
                                                <w:div w:id="15341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226139">
                                      <w:marLeft w:val="0"/>
                                      <w:marRight w:val="0"/>
                                      <w:marTop w:val="0"/>
                                      <w:marBottom w:val="0"/>
                                      <w:divBdr>
                                        <w:top w:val="none" w:sz="0" w:space="0" w:color="auto"/>
                                        <w:left w:val="none" w:sz="0" w:space="0" w:color="auto"/>
                                        <w:bottom w:val="none" w:sz="0" w:space="0" w:color="auto"/>
                                        <w:right w:val="none" w:sz="0" w:space="0" w:color="auto"/>
                                      </w:divBdr>
                                      <w:divsChild>
                                        <w:div w:id="186983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5093615">
              <w:marLeft w:val="0"/>
              <w:marRight w:val="0"/>
              <w:marTop w:val="0"/>
              <w:marBottom w:val="0"/>
              <w:divBdr>
                <w:top w:val="none" w:sz="0" w:space="0" w:color="auto"/>
                <w:left w:val="none" w:sz="0" w:space="0" w:color="auto"/>
                <w:bottom w:val="none" w:sz="0" w:space="0" w:color="auto"/>
                <w:right w:val="none" w:sz="0" w:space="0" w:color="auto"/>
              </w:divBdr>
              <w:divsChild>
                <w:div w:id="21018271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441991517">
          <w:marLeft w:val="720"/>
          <w:marRight w:val="240"/>
          <w:marTop w:val="0"/>
          <w:marBottom w:val="0"/>
          <w:divBdr>
            <w:top w:val="none" w:sz="0" w:space="0" w:color="auto"/>
            <w:left w:val="none" w:sz="0" w:space="0" w:color="auto"/>
            <w:bottom w:val="none" w:sz="0" w:space="0" w:color="auto"/>
            <w:right w:val="none" w:sz="0" w:space="0" w:color="auto"/>
          </w:divBdr>
          <w:divsChild>
            <w:div w:id="883563421">
              <w:marLeft w:val="0"/>
              <w:marRight w:val="0"/>
              <w:marTop w:val="150"/>
              <w:marBottom w:val="0"/>
              <w:divBdr>
                <w:top w:val="none" w:sz="0" w:space="0" w:color="auto"/>
                <w:left w:val="none" w:sz="0" w:space="0" w:color="auto"/>
                <w:bottom w:val="none" w:sz="0" w:space="0" w:color="auto"/>
                <w:right w:val="none" w:sz="0" w:space="0" w:color="auto"/>
              </w:divBdr>
              <w:divsChild>
                <w:div w:id="267205124">
                  <w:marLeft w:val="0"/>
                  <w:marRight w:val="0"/>
                  <w:marTop w:val="0"/>
                  <w:marBottom w:val="0"/>
                  <w:divBdr>
                    <w:top w:val="none" w:sz="0" w:space="0" w:color="auto"/>
                    <w:left w:val="none" w:sz="0" w:space="0" w:color="auto"/>
                    <w:bottom w:val="none" w:sz="0" w:space="0" w:color="auto"/>
                    <w:right w:val="none" w:sz="0" w:space="0" w:color="auto"/>
                  </w:divBdr>
                  <w:divsChild>
                    <w:div w:id="63258232">
                      <w:marLeft w:val="15"/>
                      <w:marRight w:val="150"/>
                      <w:marTop w:val="15"/>
                      <w:marBottom w:val="150"/>
                      <w:divBdr>
                        <w:top w:val="none" w:sz="0" w:space="0" w:color="auto"/>
                        <w:left w:val="none" w:sz="0" w:space="0" w:color="auto"/>
                        <w:bottom w:val="none" w:sz="0" w:space="0" w:color="auto"/>
                        <w:right w:val="none" w:sz="0" w:space="0" w:color="auto"/>
                      </w:divBdr>
                      <w:divsChild>
                        <w:div w:id="1401904495">
                          <w:marLeft w:val="0"/>
                          <w:marRight w:val="0"/>
                          <w:marTop w:val="0"/>
                          <w:marBottom w:val="0"/>
                          <w:divBdr>
                            <w:top w:val="single" w:sz="6" w:space="0" w:color="auto"/>
                            <w:left w:val="single" w:sz="6" w:space="0" w:color="auto"/>
                            <w:bottom w:val="single" w:sz="6" w:space="0" w:color="auto"/>
                            <w:right w:val="single" w:sz="6" w:space="0" w:color="auto"/>
                          </w:divBdr>
                          <w:divsChild>
                            <w:div w:id="1080324416">
                              <w:marLeft w:val="0"/>
                              <w:marRight w:val="0"/>
                              <w:marTop w:val="0"/>
                              <w:marBottom w:val="0"/>
                              <w:divBdr>
                                <w:top w:val="none" w:sz="0" w:space="0" w:color="auto"/>
                                <w:left w:val="none" w:sz="0" w:space="0" w:color="auto"/>
                                <w:bottom w:val="none" w:sz="0" w:space="0" w:color="auto"/>
                                <w:right w:val="none" w:sz="0" w:space="0" w:color="auto"/>
                              </w:divBdr>
                              <w:divsChild>
                                <w:div w:id="948898585">
                                  <w:marLeft w:val="0"/>
                                  <w:marRight w:val="0"/>
                                  <w:marTop w:val="0"/>
                                  <w:marBottom w:val="0"/>
                                  <w:divBdr>
                                    <w:top w:val="none" w:sz="0" w:space="0" w:color="auto"/>
                                    <w:left w:val="none" w:sz="0" w:space="0" w:color="auto"/>
                                    <w:bottom w:val="none" w:sz="0" w:space="0" w:color="auto"/>
                                    <w:right w:val="none" w:sz="0" w:space="0" w:color="auto"/>
                                  </w:divBdr>
                                  <w:divsChild>
                                    <w:div w:id="722020817">
                                      <w:marLeft w:val="0"/>
                                      <w:marRight w:val="0"/>
                                      <w:marTop w:val="0"/>
                                      <w:marBottom w:val="0"/>
                                      <w:divBdr>
                                        <w:top w:val="none" w:sz="0" w:space="0" w:color="auto"/>
                                        <w:left w:val="none" w:sz="0" w:space="0" w:color="auto"/>
                                        <w:bottom w:val="none" w:sz="0" w:space="0" w:color="auto"/>
                                        <w:right w:val="none" w:sz="0" w:space="0" w:color="auto"/>
                                      </w:divBdr>
                                      <w:divsChild>
                                        <w:div w:id="500051238">
                                          <w:marLeft w:val="0"/>
                                          <w:marRight w:val="0"/>
                                          <w:marTop w:val="0"/>
                                          <w:marBottom w:val="0"/>
                                          <w:divBdr>
                                            <w:top w:val="none" w:sz="0" w:space="0" w:color="auto"/>
                                            <w:left w:val="none" w:sz="0" w:space="0" w:color="auto"/>
                                            <w:bottom w:val="none" w:sz="0" w:space="0" w:color="auto"/>
                                            <w:right w:val="none" w:sz="0" w:space="0" w:color="auto"/>
                                          </w:divBdr>
                                          <w:divsChild>
                                            <w:div w:id="59910331">
                                              <w:marLeft w:val="0"/>
                                              <w:marRight w:val="0"/>
                                              <w:marTop w:val="0"/>
                                              <w:marBottom w:val="0"/>
                                              <w:divBdr>
                                                <w:top w:val="none" w:sz="0" w:space="0" w:color="auto"/>
                                                <w:left w:val="none" w:sz="0" w:space="0" w:color="auto"/>
                                                <w:bottom w:val="none" w:sz="0" w:space="0" w:color="auto"/>
                                                <w:right w:val="none" w:sz="0" w:space="0" w:color="auto"/>
                                              </w:divBdr>
                                            </w:div>
                                            <w:div w:id="75944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15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84804">
                      <w:marLeft w:val="15"/>
                      <w:marRight w:val="150"/>
                      <w:marTop w:val="15"/>
                      <w:marBottom w:val="150"/>
                      <w:divBdr>
                        <w:top w:val="none" w:sz="0" w:space="0" w:color="auto"/>
                        <w:left w:val="none" w:sz="0" w:space="0" w:color="auto"/>
                        <w:bottom w:val="none" w:sz="0" w:space="0" w:color="auto"/>
                        <w:right w:val="none" w:sz="0" w:space="0" w:color="auto"/>
                      </w:divBdr>
                      <w:divsChild>
                        <w:div w:id="865101217">
                          <w:marLeft w:val="0"/>
                          <w:marRight w:val="0"/>
                          <w:marTop w:val="0"/>
                          <w:marBottom w:val="0"/>
                          <w:divBdr>
                            <w:top w:val="single" w:sz="6" w:space="0" w:color="auto"/>
                            <w:left w:val="single" w:sz="6" w:space="0" w:color="auto"/>
                            <w:bottom w:val="single" w:sz="6" w:space="0" w:color="auto"/>
                            <w:right w:val="single" w:sz="6" w:space="0" w:color="auto"/>
                          </w:divBdr>
                          <w:divsChild>
                            <w:div w:id="1927883940">
                              <w:marLeft w:val="0"/>
                              <w:marRight w:val="0"/>
                              <w:marTop w:val="0"/>
                              <w:marBottom w:val="0"/>
                              <w:divBdr>
                                <w:top w:val="none" w:sz="0" w:space="0" w:color="auto"/>
                                <w:left w:val="none" w:sz="0" w:space="0" w:color="auto"/>
                                <w:bottom w:val="none" w:sz="0" w:space="0" w:color="auto"/>
                                <w:right w:val="none" w:sz="0" w:space="0" w:color="auto"/>
                              </w:divBdr>
                              <w:divsChild>
                                <w:div w:id="400912128">
                                  <w:marLeft w:val="0"/>
                                  <w:marRight w:val="0"/>
                                  <w:marTop w:val="0"/>
                                  <w:marBottom w:val="0"/>
                                  <w:divBdr>
                                    <w:top w:val="none" w:sz="0" w:space="0" w:color="auto"/>
                                    <w:left w:val="none" w:sz="0" w:space="0" w:color="auto"/>
                                    <w:bottom w:val="none" w:sz="0" w:space="0" w:color="auto"/>
                                    <w:right w:val="none" w:sz="0" w:space="0" w:color="auto"/>
                                  </w:divBdr>
                                  <w:divsChild>
                                    <w:div w:id="290792941">
                                      <w:marLeft w:val="0"/>
                                      <w:marRight w:val="0"/>
                                      <w:marTop w:val="0"/>
                                      <w:marBottom w:val="0"/>
                                      <w:divBdr>
                                        <w:top w:val="none" w:sz="0" w:space="0" w:color="auto"/>
                                        <w:left w:val="none" w:sz="0" w:space="0" w:color="auto"/>
                                        <w:bottom w:val="none" w:sz="0" w:space="0" w:color="auto"/>
                                        <w:right w:val="none" w:sz="0" w:space="0" w:color="auto"/>
                                      </w:divBdr>
                                      <w:divsChild>
                                        <w:div w:id="1670015771">
                                          <w:marLeft w:val="0"/>
                                          <w:marRight w:val="0"/>
                                          <w:marTop w:val="0"/>
                                          <w:marBottom w:val="0"/>
                                          <w:divBdr>
                                            <w:top w:val="none" w:sz="0" w:space="0" w:color="auto"/>
                                            <w:left w:val="none" w:sz="0" w:space="0" w:color="auto"/>
                                            <w:bottom w:val="none" w:sz="0" w:space="0" w:color="auto"/>
                                            <w:right w:val="none" w:sz="0" w:space="0" w:color="auto"/>
                                          </w:divBdr>
                                          <w:divsChild>
                                            <w:div w:id="256400723">
                                              <w:marLeft w:val="0"/>
                                              <w:marRight w:val="0"/>
                                              <w:marTop w:val="0"/>
                                              <w:marBottom w:val="0"/>
                                              <w:divBdr>
                                                <w:top w:val="none" w:sz="0" w:space="0" w:color="auto"/>
                                                <w:left w:val="none" w:sz="0" w:space="0" w:color="auto"/>
                                                <w:bottom w:val="none" w:sz="0" w:space="0" w:color="auto"/>
                                                <w:right w:val="none" w:sz="0" w:space="0" w:color="auto"/>
                                              </w:divBdr>
                                            </w:div>
                                            <w:div w:id="95151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2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45910">
                      <w:marLeft w:val="15"/>
                      <w:marRight w:val="150"/>
                      <w:marTop w:val="15"/>
                      <w:marBottom w:val="150"/>
                      <w:divBdr>
                        <w:top w:val="none" w:sz="0" w:space="0" w:color="auto"/>
                        <w:left w:val="none" w:sz="0" w:space="0" w:color="auto"/>
                        <w:bottom w:val="none" w:sz="0" w:space="0" w:color="auto"/>
                        <w:right w:val="none" w:sz="0" w:space="0" w:color="auto"/>
                      </w:divBdr>
                      <w:divsChild>
                        <w:div w:id="1849170612">
                          <w:marLeft w:val="0"/>
                          <w:marRight w:val="0"/>
                          <w:marTop w:val="0"/>
                          <w:marBottom w:val="0"/>
                          <w:divBdr>
                            <w:top w:val="single" w:sz="6" w:space="0" w:color="auto"/>
                            <w:left w:val="single" w:sz="6" w:space="0" w:color="auto"/>
                            <w:bottom w:val="single" w:sz="6" w:space="0" w:color="auto"/>
                            <w:right w:val="single" w:sz="6" w:space="0" w:color="auto"/>
                          </w:divBdr>
                          <w:divsChild>
                            <w:div w:id="1515456642">
                              <w:marLeft w:val="0"/>
                              <w:marRight w:val="0"/>
                              <w:marTop w:val="0"/>
                              <w:marBottom w:val="0"/>
                              <w:divBdr>
                                <w:top w:val="none" w:sz="0" w:space="0" w:color="auto"/>
                                <w:left w:val="none" w:sz="0" w:space="0" w:color="auto"/>
                                <w:bottom w:val="none" w:sz="0" w:space="0" w:color="auto"/>
                                <w:right w:val="none" w:sz="0" w:space="0" w:color="auto"/>
                              </w:divBdr>
                              <w:divsChild>
                                <w:div w:id="2021659108">
                                  <w:marLeft w:val="0"/>
                                  <w:marRight w:val="0"/>
                                  <w:marTop w:val="0"/>
                                  <w:marBottom w:val="0"/>
                                  <w:divBdr>
                                    <w:top w:val="none" w:sz="0" w:space="0" w:color="auto"/>
                                    <w:left w:val="none" w:sz="0" w:space="0" w:color="auto"/>
                                    <w:bottom w:val="none" w:sz="0" w:space="0" w:color="auto"/>
                                    <w:right w:val="none" w:sz="0" w:space="0" w:color="auto"/>
                                  </w:divBdr>
                                  <w:divsChild>
                                    <w:div w:id="24522353">
                                      <w:marLeft w:val="0"/>
                                      <w:marRight w:val="0"/>
                                      <w:marTop w:val="0"/>
                                      <w:marBottom w:val="0"/>
                                      <w:divBdr>
                                        <w:top w:val="none" w:sz="0" w:space="0" w:color="auto"/>
                                        <w:left w:val="none" w:sz="0" w:space="0" w:color="auto"/>
                                        <w:bottom w:val="none" w:sz="0" w:space="0" w:color="auto"/>
                                        <w:right w:val="none" w:sz="0" w:space="0" w:color="auto"/>
                                      </w:divBdr>
                                      <w:divsChild>
                                        <w:div w:id="604267967">
                                          <w:marLeft w:val="0"/>
                                          <w:marRight w:val="0"/>
                                          <w:marTop w:val="0"/>
                                          <w:marBottom w:val="0"/>
                                          <w:divBdr>
                                            <w:top w:val="none" w:sz="0" w:space="0" w:color="auto"/>
                                            <w:left w:val="none" w:sz="0" w:space="0" w:color="auto"/>
                                            <w:bottom w:val="none" w:sz="0" w:space="0" w:color="auto"/>
                                            <w:right w:val="none" w:sz="0" w:space="0" w:color="auto"/>
                                          </w:divBdr>
                                          <w:divsChild>
                                            <w:div w:id="185095842">
                                              <w:marLeft w:val="0"/>
                                              <w:marRight w:val="0"/>
                                              <w:marTop w:val="0"/>
                                              <w:marBottom w:val="0"/>
                                              <w:divBdr>
                                                <w:top w:val="none" w:sz="0" w:space="0" w:color="auto"/>
                                                <w:left w:val="none" w:sz="0" w:space="0" w:color="auto"/>
                                                <w:bottom w:val="none" w:sz="0" w:space="0" w:color="auto"/>
                                                <w:right w:val="none" w:sz="0" w:space="0" w:color="auto"/>
                                              </w:divBdr>
                                            </w:div>
                                            <w:div w:id="213813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1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42376">
                      <w:marLeft w:val="15"/>
                      <w:marRight w:val="150"/>
                      <w:marTop w:val="15"/>
                      <w:marBottom w:val="150"/>
                      <w:divBdr>
                        <w:top w:val="none" w:sz="0" w:space="0" w:color="auto"/>
                        <w:left w:val="none" w:sz="0" w:space="0" w:color="auto"/>
                        <w:bottom w:val="none" w:sz="0" w:space="0" w:color="auto"/>
                        <w:right w:val="none" w:sz="0" w:space="0" w:color="auto"/>
                      </w:divBdr>
                      <w:divsChild>
                        <w:div w:id="2063746697">
                          <w:marLeft w:val="0"/>
                          <w:marRight w:val="0"/>
                          <w:marTop w:val="0"/>
                          <w:marBottom w:val="0"/>
                          <w:divBdr>
                            <w:top w:val="single" w:sz="6" w:space="0" w:color="auto"/>
                            <w:left w:val="single" w:sz="6" w:space="0" w:color="auto"/>
                            <w:bottom w:val="single" w:sz="6" w:space="0" w:color="auto"/>
                            <w:right w:val="single" w:sz="6" w:space="0" w:color="auto"/>
                          </w:divBdr>
                          <w:divsChild>
                            <w:div w:id="1829638632">
                              <w:marLeft w:val="0"/>
                              <w:marRight w:val="0"/>
                              <w:marTop w:val="0"/>
                              <w:marBottom w:val="0"/>
                              <w:divBdr>
                                <w:top w:val="none" w:sz="0" w:space="0" w:color="auto"/>
                                <w:left w:val="none" w:sz="0" w:space="0" w:color="auto"/>
                                <w:bottom w:val="none" w:sz="0" w:space="0" w:color="auto"/>
                                <w:right w:val="none" w:sz="0" w:space="0" w:color="auto"/>
                              </w:divBdr>
                              <w:divsChild>
                                <w:div w:id="1222135236">
                                  <w:marLeft w:val="0"/>
                                  <w:marRight w:val="0"/>
                                  <w:marTop w:val="0"/>
                                  <w:marBottom w:val="0"/>
                                  <w:divBdr>
                                    <w:top w:val="none" w:sz="0" w:space="0" w:color="auto"/>
                                    <w:left w:val="none" w:sz="0" w:space="0" w:color="auto"/>
                                    <w:bottom w:val="none" w:sz="0" w:space="0" w:color="auto"/>
                                    <w:right w:val="none" w:sz="0" w:space="0" w:color="auto"/>
                                  </w:divBdr>
                                  <w:divsChild>
                                    <w:div w:id="564098651">
                                      <w:marLeft w:val="0"/>
                                      <w:marRight w:val="0"/>
                                      <w:marTop w:val="0"/>
                                      <w:marBottom w:val="0"/>
                                      <w:divBdr>
                                        <w:top w:val="none" w:sz="0" w:space="0" w:color="auto"/>
                                        <w:left w:val="none" w:sz="0" w:space="0" w:color="auto"/>
                                        <w:bottom w:val="none" w:sz="0" w:space="0" w:color="auto"/>
                                        <w:right w:val="none" w:sz="0" w:space="0" w:color="auto"/>
                                      </w:divBdr>
                                      <w:divsChild>
                                        <w:div w:id="1367291725">
                                          <w:marLeft w:val="0"/>
                                          <w:marRight w:val="0"/>
                                          <w:marTop w:val="0"/>
                                          <w:marBottom w:val="0"/>
                                          <w:divBdr>
                                            <w:top w:val="none" w:sz="0" w:space="0" w:color="auto"/>
                                            <w:left w:val="none" w:sz="0" w:space="0" w:color="auto"/>
                                            <w:bottom w:val="none" w:sz="0" w:space="0" w:color="auto"/>
                                            <w:right w:val="none" w:sz="0" w:space="0" w:color="auto"/>
                                          </w:divBdr>
                                          <w:divsChild>
                                            <w:div w:id="821846322">
                                              <w:marLeft w:val="0"/>
                                              <w:marRight w:val="0"/>
                                              <w:marTop w:val="0"/>
                                              <w:marBottom w:val="0"/>
                                              <w:divBdr>
                                                <w:top w:val="none" w:sz="0" w:space="0" w:color="auto"/>
                                                <w:left w:val="none" w:sz="0" w:space="0" w:color="auto"/>
                                                <w:bottom w:val="none" w:sz="0" w:space="0" w:color="auto"/>
                                                <w:right w:val="none" w:sz="0" w:space="0" w:color="auto"/>
                                              </w:divBdr>
                                            </w:div>
                                            <w:div w:id="190175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7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8962">
                      <w:marLeft w:val="15"/>
                      <w:marRight w:val="150"/>
                      <w:marTop w:val="15"/>
                      <w:marBottom w:val="150"/>
                      <w:divBdr>
                        <w:top w:val="none" w:sz="0" w:space="0" w:color="auto"/>
                        <w:left w:val="none" w:sz="0" w:space="0" w:color="auto"/>
                        <w:bottom w:val="none" w:sz="0" w:space="0" w:color="auto"/>
                        <w:right w:val="none" w:sz="0" w:space="0" w:color="auto"/>
                      </w:divBdr>
                      <w:divsChild>
                        <w:div w:id="854464460">
                          <w:marLeft w:val="0"/>
                          <w:marRight w:val="0"/>
                          <w:marTop w:val="0"/>
                          <w:marBottom w:val="0"/>
                          <w:divBdr>
                            <w:top w:val="single" w:sz="6" w:space="0" w:color="auto"/>
                            <w:left w:val="single" w:sz="6" w:space="0" w:color="auto"/>
                            <w:bottom w:val="single" w:sz="6" w:space="0" w:color="auto"/>
                            <w:right w:val="single" w:sz="6" w:space="0" w:color="auto"/>
                          </w:divBdr>
                          <w:divsChild>
                            <w:div w:id="256981004">
                              <w:marLeft w:val="0"/>
                              <w:marRight w:val="0"/>
                              <w:marTop w:val="0"/>
                              <w:marBottom w:val="0"/>
                              <w:divBdr>
                                <w:top w:val="none" w:sz="0" w:space="0" w:color="auto"/>
                                <w:left w:val="none" w:sz="0" w:space="0" w:color="auto"/>
                                <w:bottom w:val="none" w:sz="0" w:space="0" w:color="auto"/>
                                <w:right w:val="none" w:sz="0" w:space="0" w:color="auto"/>
                              </w:divBdr>
                              <w:divsChild>
                                <w:div w:id="587733468">
                                  <w:marLeft w:val="0"/>
                                  <w:marRight w:val="0"/>
                                  <w:marTop w:val="0"/>
                                  <w:marBottom w:val="0"/>
                                  <w:divBdr>
                                    <w:top w:val="none" w:sz="0" w:space="0" w:color="auto"/>
                                    <w:left w:val="none" w:sz="0" w:space="0" w:color="auto"/>
                                    <w:bottom w:val="none" w:sz="0" w:space="0" w:color="auto"/>
                                    <w:right w:val="none" w:sz="0" w:space="0" w:color="auto"/>
                                  </w:divBdr>
                                  <w:divsChild>
                                    <w:div w:id="1554392610">
                                      <w:marLeft w:val="0"/>
                                      <w:marRight w:val="0"/>
                                      <w:marTop w:val="0"/>
                                      <w:marBottom w:val="0"/>
                                      <w:divBdr>
                                        <w:top w:val="none" w:sz="0" w:space="0" w:color="auto"/>
                                        <w:left w:val="none" w:sz="0" w:space="0" w:color="auto"/>
                                        <w:bottom w:val="none" w:sz="0" w:space="0" w:color="auto"/>
                                        <w:right w:val="none" w:sz="0" w:space="0" w:color="auto"/>
                                      </w:divBdr>
                                      <w:divsChild>
                                        <w:div w:id="698093531">
                                          <w:marLeft w:val="0"/>
                                          <w:marRight w:val="0"/>
                                          <w:marTop w:val="0"/>
                                          <w:marBottom w:val="0"/>
                                          <w:divBdr>
                                            <w:top w:val="none" w:sz="0" w:space="0" w:color="auto"/>
                                            <w:left w:val="none" w:sz="0" w:space="0" w:color="auto"/>
                                            <w:bottom w:val="none" w:sz="0" w:space="0" w:color="auto"/>
                                            <w:right w:val="none" w:sz="0" w:space="0" w:color="auto"/>
                                          </w:divBdr>
                                          <w:divsChild>
                                            <w:div w:id="1376857362">
                                              <w:marLeft w:val="0"/>
                                              <w:marRight w:val="0"/>
                                              <w:marTop w:val="0"/>
                                              <w:marBottom w:val="0"/>
                                              <w:divBdr>
                                                <w:top w:val="none" w:sz="0" w:space="0" w:color="auto"/>
                                                <w:left w:val="none" w:sz="0" w:space="0" w:color="auto"/>
                                                <w:bottom w:val="none" w:sz="0" w:space="0" w:color="auto"/>
                                                <w:right w:val="none" w:sz="0" w:space="0" w:color="auto"/>
                                              </w:divBdr>
                                            </w:div>
                                            <w:div w:id="176791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55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188015">
                      <w:marLeft w:val="15"/>
                      <w:marRight w:val="150"/>
                      <w:marTop w:val="15"/>
                      <w:marBottom w:val="150"/>
                      <w:divBdr>
                        <w:top w:val="none" w:sz="0" w:space="0" w:color="auto"/>
                        <w:left w:val="none" w:sz="0" w:space="0" w:color="auto"/>
                        <w:bottom w:val="none" w:sz="0" w:space="0" w:color="auto"/>
                        <w:right w:val="none" w:sz="0" w:space="0" w:color="auto"/>
                      </w:divBdr>
                      <w:divsChild>
                        <w:div w:id="1671759886">
                          <w:marLeft w:val="0"/>
                          <w:marRight w:val="0"/>
                          <w:marTop w:val="0"/>
                          <w:marBottom w:val="0"/>
                          <w:divBdr>
                            <w:top w:val="single" w:sz="6" w:space="0" w:color="auto"/>
                            <w:left w:val="single" w:sz="6" w:space="0" w:color="auto"/>
                            <w:bottom w:val="single" w:sz="6" w:space="0" w:color="auto"/>
                            <w:right w:val="single" w:sz="6" w:space="0" w:color="auto"/>
                          </w:divBdr>
                          <w:divsChild>
                            <w:div w:id="377555090">
                              <w:marLeft w:val="0"/>
                              <w:marRight w:val="0"/>
                              <w:marTop w:val="0"/>
                              <w:marBottom w:val="0"/>
                              <w:divBdr>
                                <w:top w:val="none" w:sz="0" w:space="0" w:color="auto"/>
                                <w:left w:val="none" w:sz="0" w:space="0" w:color="auto"/>
                                <w:bottom w:val="none" w:sz="0" w:space="0" w:color="auto"/>
                                <w:right w:val="none" w:sz="0" w:space="0" w:color="auto"/>
                              </w:divBdr>
                              <w:divsChild>
                                <w:div w:id="2101675175">
                                  <w:marLeft w:val="0"/>
                                  <w:marRight w:val="0"/>
                                  <w:marTop w:val="0"/>
                                  <w:marBottom w:val="0"/>
                                  <w:divBdr>
                                    <w:top w:val="none" w:sz="0" w:space="0" w:color="auto"/>
                                    <w:left w:val="none" w:sz="0" w:space="0" w:color="auto"/>
                                    <w:bottom w:val="none" w:sz="0" w:space="0" w:color="auto"/>
                                    <w:right w:val="none" w:sz="0" w:space="0" w:color="auto"/>
                                  </w:divBdr>
                                  <w:divsChild>
                                    <w:div w:id="1285770312">
                                      <w:marLeft w:val="0"/>
                                      <w:marRight w:val="0"/>
                                      <w:marTop w:val="0"/>
                                      <w:marBottom w:val="0"/>
                                      <w:divBdr>
                                        <w:top w:val="none" w:sz="0" w:space="0" w:color="auto"/>
                                        <w:left w:val="none" w:sz="0" w:space="0" w:color="auto"/>
                                        <w:bottom w:val="none" w:sz="0" w:space="0" w:color="auto"/>
                                        <w:right w:val="none" w:sz="0" w:space="0" w:color="auto"/>
                                      </w:divBdr>
                                      <w:divsChild>
                                        <w:div w:id="1689477449">
                                          <w:marLeft w:val="0"/>
                                          <w:marRight w:val="0"/>
                                          <w:marTop w:val="0"/>
                                          <w:marBottom w:val="0"/>
                                          <w:divBdr>
                                            <w:top w:val="none" w:sz="0" w:space="0" w:color="auto"/>
                                            <w:left w:val="none" w:sz="0" w:space="0" w:color="auto"/>
                                            <w:bottom w:val="none" w:sz="0" w:space="0" w:color="auto"/>
                                            <w:right w:val="none" w:sz="0" w:space="0" w:color="auto"/>
                                          </w:divBdr>
                                          <w:divsChild>
                                            <w:div w:id="1023214251">
                                              <w:marLeft w:val="0"/>
                                              <w:marRight w:val="0"/>
                                              <w:marTop w:val="0"/>
                                              <w:marBottom w:val="0"/>
                                              <w:divBdr>
                                                <w:top w:val="none" w:sz="0" w:space="0" w:color="auto"/>
                                                <w:left w:val="none" w:sz="0" w:space="0" w:color="auto"/>
                                                <w:bottom w:val="none" w:sz="0" w:space="0" w:color="auto"/>
                                                <w:right w:val="none" w:sz="0" w:space="0" w:color="auto"/>
                                              </w:divBdr>
                                            </w:div>
                                            <w:div w:id="11991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88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359319">
                      <w:marLeft w:val="15"/>
                      <w:marRight w:val="150"/>
                      <w:marTop w:val="15"/>
                      <w:marBottom w:val="150"/>
                      <w:divBdr>
                        <w:top w:val="none" w:sz="0" w:space="0" w:color="auto"/>
                        <w:left w:val="none" w:sz="0" w:space="0" w:color="auto"/>
                        <w:bottom w:val="none" w:sz="0" w:space="0" w:color="auto"/>
                        <w:right w:val="none" w:sz="0" w:space="0" w:color="auto"/>
                      </w:divBdr>
                      <w:divsChild>
                        <w:div w:id="1301610740">
                          <w:marLeft w:val="0"/>
                          <w:marRight w:val="0"/>
                          <w:marTop w:val="0"/>
                          <w:marBottom w:val="0"/>
                          <w:divBdr>
                            <w:top w:val="single" w:sz="6" w:space="0" w:color="auto"/>
                            <w:left w:val="single" w:sz="6" w:space="0" w:color="auto"/>
                            <w:bottom w:val="single" w:sz="6" w:space="0" w:color="auto"/>
                            <w:right w:val="single" w:sz="6" w:space="0" w:color="auto"/>
                          </w:divBdr>
                          <w:divsChild>
                            <w:div w:id="591860809">
                              <w:marLeft w:val="0"/>
                              <w:marRight w:val="0"/>
                              <w:marTop w:val="0"/>
                              <w:marBottom w:val="0"/>
                              <w:divBdr>
                                <w:top w:val="none" w:sz="0" w:space="0" w:color="auto"/>
                                <w:left w:val="none" w:sz="0" w:space="0" w:color="auto"/>
                                <w:bottom w:val="none" w:sz="0" w:space="0" w:color="auto"/>
                                <w:right w:val="none" w:sz="0" w:space="0" w:color="auto"/>
                              </w:divBdr>
                              <w:divsChild>
                                <w:div w:id="438063064">
                                  <w:marLeft w:val="0"/>
                                  <w:marRight w:val="0"/>
                                  <w:marTop w:val="0"/>
                                  <w:marBottom w:val="0"/>
                                  <w:divBdr>
                                    <w:top w:val="none" w:sz="0" w:space="0" w:color="auto"/>
                                    <w:left w:val="none" w:sz="0" w:space="0" w:color="auto"/>
                                    <w:bottom w:val="none" w:sz="0" w:space="0" w:color="auto"/>
                                    <w:right w:val="none" w:sz="0" w:space="0" w:color="auto"/>
                                  </w:divBdr>
                                  <w:divsChild>
                                    <w:div w:id="1130319228">
                                      <w:marLeft w:val="0"/>
                                      <w:marRight w:val="0"/>
                                      <w:marTop w:val="0"/>
                                      <w:marBottom w:val="0"/>
                                      <w:divBdr>
                                        <w:top w:val="none" w:sz="0" w:space="0" w:color="auto"/>
                                        <w:left w:val="none" w:sz="0" w:space="0" w:color="auto"/>
                                        <w:bottom w:val="none" w:sz="0" w:space="0" w:color="auto"/>
                                        <w:right w:val="none" w:sz="0" w:space="0" w:color="auto"/>
                                      </w:divBdr>
                                    </w:div>
                                    <w:div w:id="2122913392">
                                      <w:marLeft w:val="0"/>
                                      <w:marRight w:val="0"/>
                                      <w:marTop w:val="0"/>
                                      <w:marBottom w:val="0"/>
                                      <w:divBdr>
                                        <w:top w:val="none" w:sz="0" w:space="0" w:color="auto"/>
                                        <w:left w:val="none" w:sz="0" w:space="0" w:color="auto"/>
                                        <w:bottom w:val="none" w:sz="0" w:space="0" w:color="auto"/>
                                        <w:right w:val="none" w:sz="0" w:space="0" w:color="auto"/>
                                      </w:divBdr>
                                      <w:divsChild>
                                        <w:div w:id="1428842433">
                                          <w:marLeft w:val="0"/>
                                          <w:marRight w:val="0"/>
                                          <w:marTop w:val="0"/>
                                          <w:marBottom w:val="0"/>
                                          <w:divBdr>
                                            <w:top w:val="none" w:sz="0" w:space="0" w:color="auto"/>
                                            <w:left w:val="none" w:sz="0" w:space="0" w:color="auto"/>
                                            <w:bottom w:val="none" w:sz="0" w:space="0" w:color="auto"/>
                                            <w:right w:val="none" w:sz="0" w:space="0" w:color="auto"/>
                                          </w:divBdr>
                                          <w:divsChild>
                                            <w:div w:id="444278426">
                                              <w:marLeft w:val="0"/>
                                              <w:marRight w:val="0"/>
                                              <w:marTop w:val="0"/>
                                              <w:marBottom w:val="0"/>
                                              <w:divBdr>
                                                <w:top w:val="none" w:sz="0" w:space="0" w:color="auto"/>
                                                <w:left w:val="none" w:sz="0" w:space="0" w:color="auto"/>
                                                <w:bottom w:val="none" w:sz="0" w:space="0" w:color="auto"/>
                                                <w:right w:val="none" w:sz="0" w:space="0" w:color="auto"/>
                                              </w:divBdr>
                                            </w:div>
                                            <w:div w:id="166455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435506">
                      <w:marLeft w:val="15"/>
                      <w:marRight w:val="150"/>
                      <w:marTop w:val="15"/>
                      <w:marBottom w:val="150"/>
                      <w:divBdr>
                        <w:top w:val="none" w:sz="0" w:space="0" w:color="auto"/>
                        <w:left w:val="none" w:sz="0" w:space="0" w:color="auto"/>
                        <w:bottom w:val="none" w:sz="0" w:space="0" w:color="auto"/>
                        <w:right w:val="none" w:sz="0" w:space="0" w:color="auto"/>
                      </w:divBdr>
                      <w:divsChild>
                        <w:div w:id="1491211580">
                          <w:marLeft w:val="0"/>
                          <w:marRight w:val="0"/>
                          <w:marTop w:val="0"/>
                          <w:marBottom w:val="0"/>
                          <w:divBdr>
                            <w:top w:val="single" w:sz="6" w:space="0" w:color="auto"/>
                            <w:left w:val="single" w:sz="6" w:space="0" w:color="auto"/>
                            <w:bottom w:val="single" w:sz="6" w:space="0" w:color="auto"/>
                            <w:right w:val="single" w:sz="6" w:space="0" w:color="auto"/>
                          </w:divBdr>
                          <w:divsChild>
                            <w:div w:id="1351182592">
                              <w:marLeft w:val="0"/>
                              <w:marRight w:val="0"/>
                              <w:marTop w:val="0"/>
                              <w:marBottom w:val="0"/>
                              <w:divBdr>
                                <w:top w:val="none" w:sz="0" w:space="0" w:color="auto"/>
                                <w:left w:val="none" w:sz="0" w:space="0" w:color="auto"/>
                                <w:bottom w:val="none" w:sz="0" w:space="0" w:color="auto"/>
                                <w:right w:val="none" w:sz="0" w:space="0" w:color="auto"/>
                              </w:divBdr>
                              <w:divsChild>
                                <w:div w:id="1174301779">
                                  <w:marLeft w:val="0"/>
                                  <w:marRight w:val="0"/>
                                  <w:marTop w:val="0"/>
                                  <w:marBottom w:val="0"/>
                                  <w:divBdr>
                                    <w:top w:val="none" w:sz="0" w:space="0" w:color="auto"/>
                                    <w:left w:val="none" w:sz="0" w:space="0" w:color="auto"/>
                                    <w:bottom w:val="none" w:sz="0" w:space="0" w:color="auto"/>
                                    <w:right w:val="none" w:sz="0" w:space="0" w:color="auto"/>
                                  </w:divBdr>
                                  <w:divsChild>
                                    <w:div w:id="198009044">
                                      <w:marLeft w:val="0"/>
                                      <w:marRight w:val="0"/>
                                      <w:marTop w:val="0"/>
                                      <w:marBottom w:val="0"/>
                                      <w:divBdr>
                                        <w:top w:val="none" w:sz="0" w:space="0" w:color="auto"/>
                                        <w:left w:val="none" w:sz="0" w:space="0" w:color="auto"/>
                                        <w:bottom w:val="none" w:sz="0" w:space="0" w:color="auto"/>
                                        <w:right w:val="none" w:sz="0" w:space="0" w:color="auto"/>
                                      </w:divBdr>
                                    </w:div>
                                    <w:div w:id="384379687">
                                      <w:marLeft w:val="0"/>
                                      <w:marRight w:val="0"/>
                                      <w:marTop w:val="0"/>
                                      <w:marBottom w:val="0"/>
                                      <w:divBdr>
                                        <w:top w:val="none" w:sz="0" w:space="0" w:color="auto"/>
                                        <w:left w:val="none" w:sz="0" w:space="0" w:color="auto"/>
                                        <w:bottom w:val="none" w:sz="0" w:space="0" w:color="auto"/>
                                        <w:right w:val="none" w:sz="0" w:space="0" w:color="auto"/>
                                      </w:divBdr>
                                      <w:divsChild>
                                        <w:div w:id="1767649397">
                                          <w:marLeft w:val="0"/>
                                          <w:marRight w:val="0"/>
                                          <w:marTop w:val="0"/>
                                          <w:marBottom w:val="0"/>
                                          <w:divBdr>
                                            <w:top w:val="none" w:sz="0" w:space="0" w:color="auto"/>
                                            <w:left w:val="none" w:sz="0" w:space="0" w:color="auto"/>
                                            <w:bottom w:val="none" w:sz="0" w:space="0" w:color="auto"/>
                                            <w:right w:val="none" w:sz="0" w:space="0" w:color="auto"/>
                                          </w:divBdr>
                                          <w:divsChild>
                                            <w:div w:id="6639331">
                                              <w:marLeft w:val="0"/>
                                              <w:marRight w:val="0"/>
                                              <w:marTop w:val="0"/>
                                              <w:marBottom w:val="0"/>
                                              <w:divBdr>
                                                <w:top w:val="none" w:sz="0" w:space="0" w:color="auto"/>
                                                <w:left w:val="none" w:sz="0" w:space="0" w:color="auto"/>
                                                <w:bottom w:val="none" w:sz="0" w:space="0" w:color="auto"/>
                                                <w:right w:val="none" w:sz="0" w:space="0" w:color="auto"/>
                                              </w:divBdr>
                                            </w:div>
                                            <w:div w:id="81390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602035">
                      <w:marLeft w:val="15"/>
                      <w:marRight w:val="150"/>
                      <w:marTop w:val="15"/>
                      <w:marBottom w:val="150"/>
                      <w:divBdr>
                        <w:top w:val="none" w:sz="0" w:space="0" w:color="auto"/>
                        <w:left w:val="none" w:sz="0" w:space="0" w:color="auto"/>
                        <w:bottom w:val="none" w:sz="0" w:space="0" w:color="auto"/>
                        <w:right w:val="none" w:sz="0" w:space="0" w:color="auto"/>
                      </w:divBdr>
                      <w:divsChild>
                        <w:div w:id="704253427">
                          <w:marLeft w:val="0"/>
                          <w:marRight w:val="0"/>
                          <w:marTop w:val="0"/>
                          <w:marBottom w:val="0"/>
                          <w:divBdr>
                            <w:top w:val="single" w:sz="6" w:space="0" w:color="auto"/>
                            <w:left w:val="single" w:sz="6" w:space="0" w:color="auto"/>
                            <w:bottom w:val="single" w:sz="6" w:space="0" w:color="auto"/>
                            <w:right w:val="single" w:sz="6" w:space="0" w:color="auto"/>
                          </w:divBdr>
                          <w:divsChild>
                            <w:div w:id="323628723">
                              <w:marLeft w:val="0"/>
                              <w:marRight w:val="0"/>
                              <w:marTop w:val="0"/>
                              <w:marBottom w:val="0"/>
                              <w:divBdr>
                                <w:top w:val="none" w:sz="0" w:space="0" w:color="auto"/>
                                <w:left w:val="none" w:sz="0" w:space="0" w:color="auto"/>
                                <w:bottom w:val="none" w:sz="0" w:space="0" w:color="auto"/>
                                <w:right w:val="none" w:sz="0" w:space="0" w:color="auto"/>
                              </w:divBdr>
                              <w:divsChild>
                                <w:div w:id="1722513073">
                                  <w:marLeft w:val="0"/>
                                  <w:marRight w:val="0"/>
                                  <w:marTop w:val="0"/>
                                  <w:marBottom w:val="0"/>
                                  <w:divBdr>
                                    <w:top w:val="none" w:sz="0" w:space="0" w:color="auto"/>
                                    <w:left w:val="none" w:sz="0" w:space="0" w:color="auto"/>
                                    <w:bottom w:val="none" w:sz="0" w:space="0" w:color="auto"/>
                                    <w:right w:val="none" w:sz="0" w:space="0" w:color="auto"/>
                                  </w:divBdr>
                                  <w:divsChild>
                                    <w:div w:id="1265846657">
                                      <w:marLeft w:val="0"/>
                                      <w:marRight w:val="0"/>
                                      <w:marTop w:val="0"/>
                                      <w:marBottom w:val="0"/>
                                      <w:divBdr>
                                        <w:top w:val="none" w:sz="0" w:space="0" w:color="auto"/>
                                        <w:left w:val="none" w:sz="0" w:space="0" w:color="auto"/>
                                        <w:bottom w:val="none" w:sz="0" w:space="0" w:color="auto"/>
                                        <w:right w:val="none" w:sz="0" w:space="0" w:color="auto"/>
                                      </w:divBdr>
                                    </w:div>
                                    <w:div w:id="1813598979">
                                      <w:marLeft w:val="0"/>
                                      <w:marRight w:val="0"/>
                                      <w:marTop w:val="0"/>
                                      <w:marBottom w:val="0"/>
                                      <w:divBdr>
                                        <w:top w:val="none" w:sz="0" w:space="0" w:color="auto"/>
                                        <w:left w:val="none" w:sz="0" w:space="0" w:color="auto"/>
                                        <w:bottom w:val="none" w:sz="0" w:space="0" w:color="auto"/>
                                        <w:right w:val="none" w:sz="0" w:space="0" w:color="auto"/>
                                      </w:divBdr>
                                      <w:divsChild>
                                        <w:div w:id="1146749825">
                                          <w:marLeft w:val="0"/>
                                          <w:marRight w:val="0"/>
                                          <w:marTop w:val="0"/>
                                          <w:marBottom w:val="0"/>
                                          <w:divBdr>
                                            <w:top w:val="none" w:sz="0" w:space="0" w:color="auto"/>
                                            <w:left w:val="none" w:sz="0" w:space="0" w:color="auto"/>
                                            <w:bottom w:val="none" w:sz="0" w:space="0" w:color="auto"/>
                                            <w:right w:val="none" w:sz="0" w:space="0" w:color="auto"/>
                                          </w:divBdr>
                                          <w:divsChild>
                                            <w:div w:id="6448802">
                                              <w:marLeft w:val="0"/>
                                              <w:marRight w:val="0"/>
                                              <w:marTop w:val="0"/>
                                              <w:marBottom w:val="0"/>
                                              <w:divBdr>
                                                <w:top w:val="none" w:sz="0" w:space="0" w:color="auto"/>
                                                <w:left w:val="none" w:sz="0" w:space="0" w:color="auto"/>
                                                <w:bottom w:val="none" w:sz="0" w:space="0" w:color="auto"/>
                                                <w:right w:val="none" w:sz="0" w:space="0" w:color="auto"/>
                                              </w:divBdr>
                                            </w:div>
                                            <w:div w:id="209682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800767">
                      <w:marLeft w:val="15"/>
                      <w:marRight w:val="150"/>
                      <w:marTop w:val="15"/>
                      <w:marBottom w:val="150"/>
                      <w:divBdr>
                        <w:top w:val="none" w:sz="0" w:space="0" w:color="auto"/>
                        <w:left w:val="none" w:sz="0" w:space="0" w:color="auto"/>
                        <w:bottom w:val="none" w:sz="0" w:space="0" w:color="auto"/>
                        <w:right w:val="none" w:sz="0" w:space="0" w:color="auto"/>
                      </w:divBdr>
                      <w:divsChild>
                        <w:div w:id="264002614">
                          <w:marLeft w:val="0"/>
                          <w:marRight w:val="0"/>
                          <w:marTop w:val="0"/>
                          <w:marBottom w:val="0"/>
                          <w:divBdr>
                            <w:top w:val="single" w:sz="6" w:space="0" w:color="auto"/>
                            <w:left w:val="single" w:sz="6" w:space="0" w:color="auto"/>
                            <w:bottom w:val="single" w:sz="6" w:space="0" w:color="auto"/>
                            <w:right w:val="single" w:sz="6" w:space="0" w:color="auto"/>
                          </w:divBdr>
                          <w:divsChild>
                            <w:div w:id="765270465">
                              <w:marLeft w:val="0"/>
                              <w:marRight w:val="0"/>
                              <w:marTop w:val="0"/>
                              <w:marBottom w:val="0"/>
                              <w:divBdr>
                                <w:top w:val="none" w:sz="0" w:space="0" w:color="auto"/>
                                <w:left w:val="none" w:sz="0" w:space="0" w:color="auto"/>
                                <w:bottom w:val="none" w:sz="0" w:space="0" w:color="auto"/>
                                <w:right w:val="none" w:sz="0" w:space="0" w:color="auto"/>
                              </w:divBdr>
                              <w:divsChild>
                                <w:div w:id="1290018392">
                                  <w:marLeft w:val="0"/>
                                  <w:marRight w:val="0"/>
                                  <w:marTop w:val="0"/>
                                  <w:marBottom w:val="0"/>
                                  <w:divBdr>
                                    <w:top w:val="none" w:sz="0" w:space="0" w:color="auto"/>
                                    <w:left w:val="none" w:sz="0" w:space="0" w:color="auto"/>
                                    <w:bottom w:val="none" w:sz="0" w:space="0" w:color="auto"/>
                                    <w:right w:val="none" w:sz="0" w:space="0" w:color="auto"/>
                                  </w:divBdr>
                                  <w:divsChild>
                                    <w:div w:id="1154293781">
                                      <w:marLeft w:val="0"/>
                                      <w:marRight w:val="0"/>
                                      <w:marTop w:val="0"/>
                                      <w:marBottom w:val="0"/>
                                      <w:divBdr>
                                        <w:top w:val="none" w:sz="0" w:space="0" w:color="auto"/>
                                        <w:left w:val="none" w:sz="0" w:space="0" w:color="auto"/>
                                        <w:bottom w:val="none" w:sz="0" w:space="0" w:color="auto"/>
                                        <w:right w:val="none" w:sz="0" w:space="0" w:color="auto"/>
                                      </w:divBdr>
                                      <w:divsChild>
                                        <w:div w:id="1925337599">
                                          <w:marLeft w:val="0"/>
                                          <w:marRight w:val="0"/>
                                          <w:marTop w:val="0"/>
                                          <w:marBottom w:val="0"/>
                                          <w:divBdr>
                                            <w:top w:val="none" w:sz="0" w:space="0" w:color="auto"/>
                                            <w:left w:val="none" w:sz="0" w:space="0" w:color="auto"/>
                                            <w:bottom w:val="none" w:sz="0" w:space="0" w:color="auto"/>
                                            <w:right w:val="none" w:sz="0" w:space="0" w:color="auto"/>
                                          </w:divBdr>
                                          <w:divsChild>
                                            <w:div w:id="325983954">
                                              <w:marLeft w:val="0"/>
                                              <w:marRight w:val="0"/>
                                              <w:marTop w:val="0"/>
                                              <w:marBottom w:val="0"/>
                                              <w:divBdr>
                                                <w:top w:val="none" w:sz="0" w:space="0" w:color="auto"/>
                                                <w:left w:val="none" w:sz="0" w:space="0" w:color="auto"/>
                                                <w:bottom w:val="none" w:sz="0" w:space="0" w:color="auto"/>
                                                <w:right w:val="none" w:sz="0" w:space="0" w:color="auto"/>
                                              </w:divBdr>
                                            </w:div>
                                            <w:div w:id="15494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5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599734">
                      <w:marLeft w:val="15"/>
                      <w:marRight w:val="150"/>
                      <w:marTop w:val="15"/>
                      <w:marBottom w:val="150"/>
                      <w:divBdr>
                        <w:top w:val="none" w:sz="0" w:space="0" w:color="auto"/>
                        <w:left w:val="none" w:sz="0" w:space="0" w:color="auto"/>
                        <w:bottom w:val="none" w:sz="0" w:space="0" w:color="auto"/>
                        <w:right w:val="none" w:sz="0" w:space="0" w:color="auto"/>
                      </w:divBdr>
                      <w:divsChild>
                        <w:div w:id="493843418">
                          <w:marLeft w:val="0"/>
                          <w:marRight w:val="0"/>
                          <w:marTop w:val="0"/>
                          <w:marBottom w:val="0"/>
                          <w:divBdr>
                            <w:top w:val="single" w:sz="6" w:space="0" w:color="auto"/>
                            <w:left w:val="single" w:sz="6" w:space="0" w:color="auto"/>
                            <w:bottom w:val="single" w:sz="6" w:space="0" w:color="auto"/>
                            <w:right w:val="single" w:sz="6" w:space="0" w:color="auto"/>
                          </w:divBdr>
                          <w:divsChild>
                            <w:div w:id="419716033">
                              <w:marLeft w:val="0"/>
                              <w:marRight w:val="0"/>
                              <w:marTop w:val="0"/>
                              <w:marBottom w:val="0"/>
                              <w:divBdr>
                                <w:top w:val="none" w:sz="0" w:space="0" w:color="auto"/>
                                <w:left w:val="none" w:sz="0" w:space="0" w:color="auto"/>
                                <w:bottom w:val="none" w:sz="0" w:space="0" w:color="auto"/>
                                <w:right w:val="none" w:sz="0" w:space="0" w:color="auto"/>
                              </w:divBdr>
                              <w:divsChild>
                                <w:div w:id="347370051">
                                  <w:marLeft w:val="0"/>
                                  <w:marRight w:val="0"/>
                                  <w:marTop w:val="0"/>
                                  <w:marBottom w:val="0"/>
                                  <w:divBdr>
                                    <w:top w:val="none" w:sz="0" w:space="0" w:color="auto"/>
                                    <w:left w:val="none" w:sz="0" w:space="0" w:color="auto"/>
                                    <w:bottom w:val="none" w:sz="0" w:space="0" w:color="auto"/>
                                    <w:right w:val="none" w:sz="0" w:space="0" w:color="auto"/>
                                  </w:divBdr>
                                  <w:divsChild>
                                    <w:div w:id="565922488">
                                      <w:marLeft w:val="0"/>
                                      <w:marRight w:val="0"/>
                                      <w:marTop w:val="0"/>
                                      <w:marBottom w:val="0"/>
                                      <w:divBdr>
                                        <w:top w:val="none" w:sz="0" w:space="0" w:color="auto"/>
                                        <w:left w:val="none" w:sz="0" w:space="0" w:color="auto"/>
                                        <w:bottom w:val="none" w:sz="0" w:space="0" w:color="auto"/>
                                        <w:right w:val="none" w:sz="0" w:space="0" w:color="auto"/>
                                      </w:divBdr>
                                    </w:div>
                                    <w:div w:id="1506167097">
                                      <w:marLeft w:val="0"/>
                                      <w:marRight w:val="0"/>
                                      <w:marTop w:val="0"/>
                                      <w:marBottom w:val="0"/>
                                      <w:divBdr>
                                        <w:top w:val="none" w:sz="0" w:space="0" w:color="auto"/>
                                        <w:left w:val="none" w:sz="0" w:space="0" w:color="auto"/>
                                        <w:bottom w:val="none" w:sz="0" w:space="0" w:color="auto"/>
                                        <w:right w:val="none" w:sz="0" w:space="0" w:color="auto"/>
                                      </w:divBdr>
                                      <w:divsChild>
                                        <w:div w:id="2074815096">
                                          <w:marLeft w:val="0"/>
                                          <w:marRight w:val="0"/>
                                          <w:marTop w:val="0"/>
                                          <w:marBottom w:val="0"/>
                                          <w:divBdr>
                                            <w:top w:val="none" w:sz="0" w:space="0" w:color="auto"/>
                                            <w:left w:val="none" w:sz="0" w:space="0" w:color="auto"/>
                                            <w:bottom w:val="none" w:sz="0" w:space="0" w:color="auto"/>
                                            <w:right w:val="none" w:sz="0" w:space="0" w:color="auto"/>
                                          </w:divBdr>
                                          <w:divsChild>
                                            <w:div w:id="32312988">
                                              <w:marLeft w:val="0"/>
                                              <w:marRight w:val="0"/>
                                              <w:marTop w:val="0"/>
                                              <w:marBottom w:val="0"/>
                                              <w:divBdr>
                                                <w:top w:val="none" w:sz="0" w:space="0" w:color="auto"/>
                                                <w:left w:val="none" w:sz="0" w:space="0" w:color="auto"/>
                                                <w:bottom w:val="none" w:sz="0" w:space="0" w:color="auto"/>
                                                <w:right w:val="none" w:sz="0" w:space="0" w:color="auto"/>
                                              </w:divBdr>
                                            </w:div>
                                            <w:div w:id="30481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234103">
                      <w:marLeft w:val="15"/>
                      <w:marRight w:val="150"/>
                      <w:marTop w:val="15"/>
                      <w:marBottom w:val="150"/>
                      <w:divBdr>
                        <w:top w:val="none" w:sz="0" w:space="0" w:color="auto"/>
                        <w:left w:val="none" w:sz="0" w:space="0" w:color="auto"/>
                        <w:bottom w:val="none" w:sz="0" w:space="0" w:color="auto"/>
                        <w:right w:val="none" w:sz="0" w:space="0" w:color="auto"/>
                      </w:divBdr>
                      <w:divsChild>
                        <w:div w:id="937833246">
                          <w:marLeft w:val="0"/>
                          <w:marRight w:val="0"/>
                          <w:marTop w:val="0"/>
                          <w:marBottom w:val="0"/>
                          <w:divBdr>
                            <w:top w:val="single" w:sz="6" w:space="0" w:color="auto"/>
                            <w:left w:val="single" w:sz="6" w:space="0" w:color="auto"/>
                            <w:bottom w:val="single" w:sz="6" w:space="0" w:color="auto"/>
                            <w:right w:val="single" w:sz="6" w:space="0" w:color="auto"/>
                          </w:divBdr>
                          <w:divsChild>
                            <w:div w:id="424036438">
                              <w:marLeft w:val="0"/>
                              <w:marRight w:val="0"/>
                              <w:marTop w:val="0"/>
                              <w:marBottom w:val="0"/>
                              <w:divBdr>
                                <w:top w:val="none" w:sz="0" w:space="0" w:color="auto"/>
                                <w:left w:val="none" w:sz="0" w:space="0" w:color="auto"/>
                                <w:bottom w:val="none" w:sz="0" w:space="0" w:color="auto"/>
                                <w:right w:val="none" w:sz="0" w:space="0" w:color="auto"/>
                              </w:divBdr>
                              <w:divsChild>
                                <w:div w:id="2100056270">
                                  <w:marLeft w:val="0"/>
                                  <w:marRight w:val="0"/>
                                  <w:marTop w:val="0"/>
                                  <w:marBottom w:val="0"/>
                                  <w:divBdr>
                                    <w:top w:val="none" w:sz="0" w:space="0" w:color="auto"/>
                                    <w:left w:val="none" w:sz="0" w:space="0" w:color="auto"/>
                                    <w:bottom w:val="none" w:sz="0" w:space="0" w:color="auto"/>
                                    <w:right w:val="none" w:sz="0" w:space="0" w:color="auto"/>
                                  </w:divBdr>
                                  <w:divsChild>
                                    <w:div w:id="187068960">
                                      <w:marLeft w:val="0"/>
                                      <w:marRight w:val="0"/>
                                      <w:marTop w:val="0"/>
                                      <w:marBottom w:val="0"/>
                                      <w:divBdr>
                                        <w:top w:val="none" w:sz="0" w:space="0" w:color="auto"/>
                                        <w:left w:val="none" w:sz="0" w:space="0" w:color="auto"/>
                                        <w:bottom w:val="none" w:sz="0" w:space="0" w:color="auto"/>
                                        <w:right w:val="none" w:sz="0" w:space="0" w:color="auto"/>
                                      </w:divBdr>
                                      <w:divsChild>
                                        <w:div w:id="1484003140">
                                          <w:marLeft w:val="0"/>
                                          <w:marRight w:val="0"/>
                                          <w:marTop w:val="0"/>
                                          <w:marBottom w:val="0"/>
                                          <w:divBdr>
                                            <w:top w:val="none" w:sz="0" w:space="0" w:color="auto"/>
                                            <w:left w:val="none" w:sz="0" w:space="0" w:color="auto"/>
                                            <w:bottom w:val="none" w:sz="0" w:space="0" w:color="auto"/>
                                            <w:right w:val="none" w:sz="0" w:space="0" w:color="auto"/>
                                          </w:divBdr>
                                          <w:divsChild>
                                            <w:div w:id="567349908">
                                              <w:marLeft w:val="0"/>
                                              <w:marRight w:val="0"/>
                                              <w:marTop w:val="0"/>
                                              <w:marBottom w:val="0"/>
                                              <w:divBdr>
                                                <w:top w:val="none" w:sz="0" w:space="0" w:color="auto"/>
                                                <w:left w:val="none" w:sz="0" w:space="0" w:color="auto"/>
                                                <w:bottom w:val="none" w:sz="0" w:space="0" w:color="auto"/>
                                                <w:right w:val="none" w:sz="0" w:space="0" w:color="auto"/>
                                              </w:divBdr>
                                            </w:div>
                                            <w:div w:id="138290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6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751936">
                      <w:marLeft w:val="15"/>
                      <w:marRight w:val="150"/>
                      <w:marTop w:val="15"/>
                      <w:marBottom w:val="150"/>
                      <w:divBdr>
                        <w:top w:val="none" w:sz="0" w:space="0" w:color="auto"/>
                        <w:left w:val="none" w:sz="0" w:space="0" w:color="auto"/>
                        <w:bottom w:val="none" w:sz="0" w:space="0" w:color="auto"/>
                        <w:right w:val="none" w:sz="0" w:space="0" w:color="auto"/>
                      </w:divBdr>
                      <w:divsChild>
                        <w:div w:id="179583762">
                          <w:marLeft w:val="0"/>
                          <w:marRight w:val="0"/>
                          <w:marTop w:val="0"/>
                          <w:marBottom w:val="0"/>
                          <w:divBdr>
                            <w:top w:val="single" w:sz="6" w:space="0" w:color="auto"/>
                            <w:left w:val="single" w:sz="6" w:space="0" w:color="auto"/>
                            <w:bottom w:val="single" w:sz="6" w:space="0" w:color="auto"/>
                            <w:right w:val="single" w:sz="6" w:space="0" w:color="auto"/>
                          </w:divBdr>
                          <w:divsChild>
                            <w:div w:id="453257873">
                              <w:marLeft w:val="0"/>
                              <w:marRight w:val="0"/>
                              <w:marTop w:val="0"/>
                              <w:marBottom w:val="0"/>
                              <w:divBdr>
                                <w:top w:val="none" w:sz="0" w:space="0" w:color="auto"/>
                                <w:left w:val="none" w:sz="0" w:space="0" w:color="auto"/>
                                <w:bottom w:val="none" w:sz="0" w:space="0" w:color="auto"/>
                                <w:right w:val="none" w:sz="0" w:space="0" w:color="auto"/>
                              </w:divBdr>
                              <w:divsChild>
                                <w:div w:id="1840272154">
                                  <w:marLeft w:val="0"/>
                                  <w:marRight w:val="0"/>
                                  <w:marTop w:val="0"/>
                                  <w:marBottom w:val="0"/>
                                  <w:divBdr>
                                    <w:top w:val="none" w:sz="0" w:space="0" w:color="auto"/>
                                    <w:left w:val="none" w:sz="0" w:space="0" w:color="auto"/>
                                    <w:bottom w:val="none" w:sz="0" w:space="0" w:color="auto"/>
                                    <w:right w:val="none" w:sz="0" w:space="0" w:color="auto"/>
                                  </w:divBdr>
                                  <w:divsChild>
                                    <w:div w:id="1760252082">
                                      <w:marLeft w:val="0"/>
                                      <w:marRight w:val="0"/>
                                      <w:marTop w:val="0"/>
                                      <w:marBottom w:val="0"/>
                                      <w:divBdr>
                                        <w:top w:val="none" w:sz="0" w:space="0" w:color="auto"/>
                                        <w:left w:val="none" w:sz="0" w:space="0" w:color="auto"/>
                                        <w:bottom w:val="none" w:sz="0" w:space="0" w:color="auto"/>
                                        <w:right w:val="none" w:sz="0" w:space="0" w:color="auto"/>
                                      </w:divBdr>
                                    </w:div>
                                    <w:div w:id="1912305992">
                                      <w:marLeft w:val="0"/>
                                      <w:marRight w:val="0"/>
                                      <w:marTop w:val="0"/>
                                      <w:marBottom w:val="0"/>
                                      <w:divBdr>
                                        <w:top w:val="none" w:sz="0" w:space="0" w:color="auto"/>
                                        <w:left w:val="none" w:sz="0" w:space="0" w:color="auto"/>
                                        <w:bottom w:val="none" w:sz="0" w:space="0" w:color="auto"/>
                                        <w:right w:val="none" w:sz="0" w:space="0" w:color="auto"/>
                                      </w:divBdr>
                                      <w:divsChild>
                                        <w:div w:id="1508595197">
                                          <w:marLeft w:val="0"/>
                                          <w:marRight w:val="0"/>
                                          <w:marTop w:val="0"/>
                                          <w:marBottom w:val="0"/>
                                          <w:divBdr>
                                            <w:top w:val="none" w:sz="0" w:space="0" w:color="auto"/>
                                            <w:left w:val="none" w:sz="0" w:space="0" w:color="auto"/>
                                            <w:bottom w:val="none" w:sz="0" w:space="0" w:color="auto"/>
                                            <w:right w:val="none" w:sz="0" w:space="0" w:color="auto"/>
                                          </w:divBdr>
                                          <w:divsChild>
                                            <w:div w:id="1335034873">
                                              <w:marLeft w:val="0"/>
                                              <w:marRight w:val="0"/>
                                              <w:marTop w:val="0"/>
                                              <w:marBottom w:val="0"/>
                                              <w:divBdr>
                                                <w:top w:val="none" w:sz="0" w:space="0" w:color="auto"/>
                                                <w:left w:val="none" w:sz="0" w:space="0" w:color="auto"/>
                                                <w:bottom w:val="none" w:sz="0" w:space="0" w:color="auto"/>
                                                <w:right w:val="none" w:sz="0" w:space="0" w:color="auto"/>
                                              </w:divBdr>
                                            </w:div>
                                            <w:div w:id="205484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575879">
                      <w:marLeft w:val="15"/>
                      <w:marRight w:val="150"/>
                      <w:marTop w:val="15"/>
                      <w:marBottom w:val="150"/>
                      <w:divBdr>
                        <w:top w:val="none" w:sz="0" w:space="0" w:color="auto"/>
                        <w:left w:val="none" w:sz="0" w:space="0" w:color="auto"/>
                        <w:bottom w:val="none" w:sz="0" w:space="0" w:color="auto"/>
                        <w:right w:val="none" w:sz="0" w:space="0" w:color="auto"/>
                      </w:divBdr>
                      <w:divsChild>
                        <w:div w:id="1990087891">
                          <w:marLeft w:val="0"/>
                          <w:marRight w:val="0"/>
                          <w:marTop w:val="0"/>
                          <w:marBottom w:val="0"/>
                          <w:divBdr>
                            <w:top w:val="single" w:sz="6" w:space="0" w:color="auto"/>
                            <w:left w:val="single" w:sz="6" w:space="0" w:color="auto"/>
                            <w:bottom w:val="single" w:sz="6" w:space="0" w:color="auto"/>
                            <w:right w:val="single" w:sz="6" w:space="0" w:color="auto"/>
                          </w:divBdr>
                          <w:divsChild>
                            <w:div w:id="160119952">
                              <w:marLeft w:val="0"/>
                              <w:marRight w:val="0"/>
                              <w:marTop w:val="0"/>
                              <w:marBottom w:val="0"/>
                              <w:divBdr>
                                <w:top w:val="none" w:sz="0" w:space="0" w:color="auto"/>
                                <w:left w:val="none" w:sz="0" w:space="0" w:color="auto"/>
                                <w:bottom w:val="none" w:sz="0" w:space="0" w:color="auto"/>
                                <w:right w:val="none" w:sz="0" w:space="0" w:color="auto"/>
                              </w:divBdr>
                              <w:divsChild>
                                <w:div w:id="2102605548">
                                  <w:marLeft w:val="0"/>
                                  <w:marRight w:val="0"/>
                                  <w:marTop w:val="0"/>
                                  <w:marBottom w:val="0"/>
                                  <w:divBdr>
                                    <w:top w:val="none" w:sz="0" w:space="0" w:color="auto"/>
                                    <w:left w:val="none" w:sz="0" w:space="0" w:color="auto"/>
                                    <w:bottom w:val="none" w:sz="0" w:space="0" w:color="auto"/>
                                    <w:right w:val="none" w:sz="0" w:space="0" w:color="auto"/>
                                  </w:divBdr>
                                  <w:divsChild>
                                    <w:div w:id="597256006">
                                      <w:marLeft w:val="0"/>
                                      <w:marRight w:val="0"/>
                                      <w:marTop w:val="0"/>
                                      <w:marBottom w:val="0"/>
                                      <w:divBdr>
                                        <w:top w:val="none" w:sz="0" w:space="0" w:color="auto"/>
                                        <w:left w:val="none" w:sz="0" w:space="0" w:color="auto"/>
                                        <w:bottom w:val="none" w:sz="0" w:space="0" w:color="auto"/>
                                        <w:right w:val="none" w:sz="0" w:space="0" w:color="auto"/>
                                      </w:divBdr>
                                    </w:div>
                                    <w:div w:id="661159399">
                                      <w:marLeft w:val="0"/>
                                      <w:marRight w:val="0"/>
                                      <w:marTop w:val="0"/>
                                      <w:marBottom w:val="0"/>
                                      <w:divBdr>
                                        <w:top w:val="none" w:sz="0" w:space="0" w:color="auto"/>
                                        <w:left w:val="none" w:sz="0" w:space="0" w:color="auto"/>
                                        <w:bottom w:val="none" w:sz="0" w:space="0" w:color="auto"/>
                                        <w:right w:val="none" w:sz="0" w:space="0" w:color="auto"/>
                                      </w:divBdr>
                                      <w:divsChild>
                                        <w:div w:id="939332984">
                                          <w:marLeft w:val="0"/>
                                          <w:marRight w:val="0"/>
                                          <w:marTop w:val="0"/>
                                          <w:marBottom w:val="0"/>
                                          <w:divBdr>
                                            <w:top w:val="none" w:sz="0" w:space="0" w:color="auto"/>
                                            <w:left w:val="none" w:sz="0" w:space="0" w:color="auto"/>
                                            <w:bottom w:val="none" w:sz="0" w:space="0" w:color="auto"/>
                                            <w:right w:val="none" w:sz="0" w:space="0" w:color="auto"/>
                                          </w:divBdr>
                                          <w:divsChild>
                                            <w:div w:id="900748392">
                                              <w:marLeft w:val="0"/>
                                              <w:marRight w:val="0"/>
                                              <w:marTop w:val="0"/>
                                              <w:marBottom w:val="0"/>
                                              <w:divBdr>
                                                <w:top w:val="none" w:sz="0" w:space="0" w:color="auto"/>
                                                <w:left w:val="none" w:sz="0" w:space="0" w:color="auto"/>
                                                <w:bottom w:val="none" w:sz="0" w:space="0" w:color="auto"/>
                                                <w:right w:val="none" w:sz="0" w:space="0" w:color="auto"/>
                                              </w:divBdr>
                                            </w:div>
                                            <w:div w:id="125686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137012">
                      <w:marLeft w:val="15"/>
                      <w:marRight w:val="150"/>
                      <w:marTop w:val="15"/>
                      <w:marBottom w:val="150"/>
                      <w:divBdr>
                        <w:top w:val="none" w:sz="0" w:space="0" w:color="auto"/>
                        <w:left w:val="none" w:sz="0" w:space="0" w:color="auto"/>
                        <w:bottom w:val="none" w:sz="0" w:space="0" w:color="auto"/>
                        <w:right w:val="none" w:sz="0" w:space="0" w:color="auto"/>
                      </w:divBdr>
                      <w:divsChild>
                        <w:div w:id="2055234992">
                          <w:marLeft w:val="0"/>
                          <w:marRight w:val="0"/>
                          <w:marTop w:val="0"/>
                          <w:marBottom w:val="0"/>
                          <w:divBdr>
                            <w:top w:val="single" w:sz="6" w:space="0" w:color="auto"/>
                            <w:left w:val="single" w:sz="6" w:space="0" w:color="auto"/>
                            <w:bottom w:val="single" w:sz="6" w:space="0" w:color="auto"/>
                            <w:right w:val="single" w:sz="6" w:space="0" w:color="auto"/>
                          </w:divBdr>
                          <w:divsChild>
                            <w:div w:id="421418270">
                              <w:marLeft w:val="0"/>
                              <w:marRight w:val="0"/>
                              <w:marTop w:val="0"/>
                              <w:marBottom w:val="0"/>
                              <w:divBdr>
                                <w:top w:val="none" w:sz="0" w:space="0" w:color="auto"/>
                                <w:left w:val="none" w:sz="0" w:space="0" w:color="auto"/>
                                <w:bottom w:val="none" w:sz="0" w:space="0" w:color="auto"/>
                                <w:right w:val="none" w:sz="0" w:space="0" w:color="auto"/>
                              </w:divBdr>
                              <w:divsChild>
                                <w:div w:id="1018507695">
                                  <w:marLeft w:val="0"/>
                                  <w:marRight w:val="0"/>
                                  <w:marTop w:val="0"/>
                                  <w:marBottom w:val="0"/>
                                  <w:divBdr>
                                    <w:top w:val="none" w:sz="0" w:space="0" w:color="auto"/>
                                    <w:left w:val="none" w:sz="0" w:space="0" w:color="auto"/>
                                    <w:bottom w:val="none" w:sz="0" w:space="0" w:color="auto"/>
                                    <w:right w:val="none" w:sz="0" w:space="0" w:color="auto"/>
                                  </w:divBdr>
                                  <w:divsChild>
                                    <w:div w:id="1169062162">
                                      <w:marLeft w:val="0"/>
                                      <w:marRight w:val="0"/>
                                      <w:marTop w:val="0"/>
                                      <w:marBottom w:val="0"/>
                                      <w:divBdr>
                                        <w:top w:val="none" w:sz="0" w:space="0" w:color="auto"/>
                                        <w:left w:val="none" w:sz="0" w:space="0" w:color="auto"/>
                                        <w:bottom w:val="none" w:sz="0" w:space="0" w:color="auto"/>
                                        <w:right w:val="none" w:sz="0" w:space="0" w:color="auto"/>
                                      </w:divBdr>
                                      <w:divsChild>
                                        <w:div w:id="1700814072">
                                          <w:marLeft w:val="0"/>
                                          <w:marRight w:val="0"/>
                                          <w:marTop w:val="0"/>
                                          <w:marBottom w:val="0"/>
                                          <w:divBdr>
                                            <w:top w:val="none" w:sz="0" w:space="0" w:color="auto"/>
                                            <w:left w:val="none" w:sz="0" w:space="0" w:color="auto"/>
                                            <w:bottom w:val="none" w:sz="0" w:space="0" w:color="auto"/>
                                            <w:right w:val="none" w:sz="0" w:space="0" w:color="auto"/>
                                          </w:divBdr>
                                          <w:divsChild>
                                            <w:div w:id="245388585">
                                              <w:marLeft w:val="0"/>
                                              <w:marRight w:val="0"/>
                                              <w:marTop w:val="0"/>
                                              <w:marBottom w:val="0"/>
                                              <w:divBdr>
                                                <w:top w:val="none" w:sz="0" w:space="0" w:color="auto"/>
                                                <w:left w:val="none" w:sz="0" w:space="0" w:color="auto"/>
                                                <w:bottom w:val="none" w:sz="0" w:space="0" w:color="auto"/>
                                                <w:right w:val="none" w:sz="0" w:space="0" w:color="auto"/>
                                              </w:divBdr>
                                            </w:div>
                                            <w:div w:id="62674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7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589555">
                      <w:marLeft w:val="15"/>
                      <w:marRight w:val="150"/>
                      <w:marTop w:val="15"/>
                      <w:marBottom w:val="150"/>
                      <w:divBdr>
                        <w:top w:val="none" w:sz="0" w:space="0" w:color="auto"/>
                        <w:left w:val="none" w:sz="0" w:space="0" w:color="auto"/>
                        <w:bottom w:val="none" w:sz="0" w:space="0" w:color="auto"/>
                        <w:right w:val="none" w:sz="0" w:space="0" w:color="auto"/>
                      </w:divBdr>
                      <w:divsChild>
                        <w:div w:id="604849882">
                          <w:marLeft w:val="0"/>
                          <w:marRight w:val="0"/>
                          <w:marTop w:val="0"/>
                          <w:marBottom w:val="0"/>
                          <w:divBdr>
                            <w:top w:val="single" w:sz="6" w:space="0" w:color="auto"/>
                            <w:left w:val="single" w:sz="6" w:space="0" w:color="auto"/>
                            <w:bottom w:val="single" w:sz="6" w:space="0" w:color="auto"/>
                            <w:right w:val="single" w:sz="6" w:space="0" w:color="auto"/>
                          </w:divBdr>
                          <w:divsChild>
                            <w:div w:id="1263949494">
                              <w:marLeft w:val="0"/>
                              <w:marRight w:val="0"/>
                              <w:marTop w:val="0"/>
                              <w:marBottom w:val="0"/>
                              <w:divBdr>
                                <w:top w:val="none" w:sz="0" w:space="0" w:color="auto"/>
                                <w:left w:val="none" w:sz="0" w:space="0" w:color="auto"/>
                                <w:bottom w:val="none" w:sz="0" w:space="0" w:color="auto"/>
                                <w:right w:val="none" w:sz="0" w:space="0" w:color="auto"/>
                              </w:divBdr>
                              <w:divsChild>
                                <w:div w:id="1986203210">
                                  <w:marLeft w:val="0"/>
                                  <w:marRight w:val="0"/>
                                  <w:marTop w:val="0"/>
                                  <w:marBottom w:val="0"/>
                                  <w:divBdr>
                                    <w:top w:val="none" w:sz="0" w:space="0" w:color="auto"/>
                                    <w:left w:val="none" w:sz="0" w:space="0" w:color="auto"/>
                                    <w:bottom w:val="none" w:sz="0" w:space="0" w:color="auto"/>
                                    <w:right w:val="none" w:sz="0" w:space="0" w:color="auto"/>
                                  </w:divBdr>
                                  <w:divsChild>
                                    <w:div w:id="1199047560">
                                      <w:marLeft w:val="0"/>
                                      <w:marRight w:val="0"/>
                                      <w:marTop w:val="0"/>
                                      <w:marBottom w:val="0"/>
                                      <w:divBdr>
                                        <w:top w:val="none" w:sz="0" w:space="0" w:color="auto"/>
                                        <w:left w:val="none" w:sz="0" w:space="0" w:color="auto"/>
                                        <w:bottom w:val="none" w:sz="0" w:space="0" w:color="auto"/>
                                        <w:right w:val="none" w:sz="0" w:space="0" w:color="auto"/>
                                      </w:divBdr>
                                      <w:divsChild>
                                        <w:div w:id="489248442">
                                          <w:marLeft w:val="0"/>
                                          <w:marRight w:val="0"/>
                                          <w:marTop w:val="0"/>
                                          <w:marBottom w:val="0"/>
                                          <w:divBdr>
                                            <w:top w:val="none" w:sz="0" w:space="0" w:color="auto"/>
                                            <w:left w:val="none" w:sz="0" w:space="0" w:color="auto"/>
                                            <w:bottom w:val="none" w:sz="0" w:space="0" w:color="auto"/>
                                            <w:right w:val="none" w:sz="0" w:space="0" w:color="auto"/>
                                          </w:divBdr>
                                          <w:divsChild>
                                            <w:div w:id="616838330">
                                              <w:marLeft w:val="0"/>
                                              <w:marRight w:val="0"/>
                                              <w:marTop w:val="0"/>
                                              <w:marBottom w:val="0"/>
                                              <w:divBdr>
                                                <w:top w:val="none" w:sz="0" w:space="0" w:color="auto"/>
                                                <w:left w:val="none" w:sz="0" w:space="0" w:color="auto"/>
                                                <w:bottom w:val="none" w:sz="0" w:space="0" w:color="auto"/>
                                                <w:right w:val="none" w:sz="0" w:space="0" w:color="auto"/>
                                              </w:divBdr>
                                            </w:div>
                                            <w:div w:id="125508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18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209142">
                      <w:marLeft w:val="15"/>
                      <w:marRight w:val="150"/>
                      <w:marTop w:val="15"/>
                      <w:marBottom w:val="150"/>
                      <w:divBdr>
                        <w:top w:val="none" w:sz="0" w:space="0" w:color="auto"/>
                        <w:left w:val="none" w:sz="0" w:space="0" w:color="auto"/>
                        <w:bottom w:val="none" w:sz="0" w:space="0" w:color="auto"/>
                        <w:right w:val="none" w:sz="0" w:space="0" w:color="auto"/>
                      </w:divBdr>
                      <w:divsChild>
                        <w:div w:id="796878727">
                          <w:marLeft w:val="0"/>
                          <w:marRight w:val="0"/>
                          <w:marTop w:val="0"/>
                          <w:marBottom w:val="0"/>
                          <w:divBdr>
                            <w:top w:val="single" w:sz="6" w:space="0" w:color="auto"/>
                            <w:left w:val="single" w:sz="6" w:space="0" w:color="auto"/>
                            <w:bottom w:val="single" w:sz="6" w:space="0" w:color="auto"/>
                            <w:right w:val="single" w:sz="6" w:space="0" w:color="auto"/>
                          </w:divBdr>
                          <w:divsChild>
                            <w:div w:id="544683773">
                              <w:marLeft w:val="0"/>
                              <w:marRight w:val="0"/>
                              <w:marTop w:val="0"/>
                              <w:marBottom w:val="0"/>
                              <w:divBdr>
                                <w:top w:val="none" w:sz="0" w:space="0" w:color="auto"/>
                                <w:left w:val="none" w:sz="0" w:space="0" w:color="auto"/>
                                <w:bottom w:val="none" w:sz="0" w:space="0" w:color="auto"/>
                                <w:right w:val="none" w:sz="0" w:space="0" w:color="auto"/>
                              </w:divBdr>
                              <w:divsChild>
                                <w:div w:id="1668628185">
                                  <w:marLeft w:val="0"/>
                                  <w:marRight w:val="0"/>
                                  <w:marTop w:val="0"/>
                                  <w:marBottom w:val="0"/>
                                  <w:divBdr>
                                    <w:top w:val="none" w:sz="0" w:space="0" w:color="auto"/>
                                    <w:left w:val="none" w:sz="0" w:space="0" w:color="auto"/>
                                    <w:bottom w:val="none" w:sz="0" w:space="0" w:color="auto"/>
                                    <w:right w:val="none" w:sz="0" w:space="0" w:color="auto"/>
                                  </w:divBdr>
                                  <w:divsChild>
                                    <w:div w:id="759181348">
                                      <w:marLeft w:val="0"/>
                                      <w:marRight w:val="0"/>
                                      <w:marTop w:val="0"/>
                                      <w:marBottom w:val="0"/>
                                      <w:divBdr>
                                        <w:top w:val="none" w:sz="0" w:space="0" w:color="auto"/>
                                        <w:left w:val="none" w:sz="0" w:space="0" w:color="auto"/>
                                        <w:bottom w:val="none" w:sz="0" w:space="0" w:color="auto"/>
                                        <w:right w:val="none" w:sz="0" w:space="0" w:color="auto"/>
                                      </w:divBdr>
                                    </w:div>
                                    <w:div w:id="2099792806">
                                      <w:marLeft w:val="0"/>
                                      <w:marRight w:val="0"/>
                                      <w:marTop w:val="0"/>
                                      <w:marBottom w:val="0"/>
                                      <w:divBdr>
                                        <w:top w:val="none" w:sz="0" w:space="0" w:color="auto"/>
                                        <w:left w:val="none" w:sz="0" w:space="0" w:color="auto"/>
                                        <w:bottom w:val="none" w:sz="0" w:space="0" w:color="auto"/>
                                        <w:right w:val="none" w:sz="0" w:space="0" w:color="auto"/>
                                      </w:divBdr>
                                      <w:divsChild>
                                        <w:div w:id="1961522331">
                                          <w:marLeft w:val="0"/>
                                          <w:marRight w:val="0"/>
                                          <w:marTop w:val="0"/>
                                          <w:marBottom w:val="0"/>
                                          <w:divBdr>
                                            <w:top w:val="none" w:sz="0" w:space="0" w:color="auto"/>
                                            <w:left w:val="none" w:sz="0" w:space="0" w:color="auto"/>
                                            <w:bottom w:val="none" w:sz="0" w:space="0" w:color="auto"/>
                                            <w:right w:val="none" w:sz="0" w:space="0" w:color="auto"/>
                                          </w:divBdr>
                                          <w:divsChild>
                                            <w:div w:id="1112287334">
                                              <w:marLeft w:val="0"/>
                                              <w:marRight w:val="0"/>
                                              <w:marTop w:val="0"/>
                                              <w:marBottom w:val="0"/>
                                              <w:divBdr>
                                                <w:top w:val="none" w:sz="0" w:space="0" w:color="auto"/>
                                                <w:left w:val="none" w:sz="0" w:space="0" w:color="auto"/>
                                                <w:bottom w:val="none" w:sz="0" w:space="0" w:color="auto"/>
                                                <w:right w:val="none" w:sz="0" w:space="0" w:color="auto"/>
                                              </w:divBdr>
                                            </w:div>
                                            <w:div w:id="214257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167151">
                      <w:marLeft w:val="15"/>
                      <w:marRight w:val="150"/>
                      <w:marTop w:val="15"/>
                      <w:marBottom w:val="150"/>
                      <w:divBdr>
                        <w:top w:val="none" w:sz="0" w:space="0" w:color="auto"/>
                        <w:left w:val="none" w:sz="0" w:space="0" w:color="auto"/>
                        <w:bottom w:val="none" w:sz="0" w:space="0" w:color="auto"/>
                        <w:right w:val="none" w:sz="0" w:space="0" w:color="auto"/>
                      </w:divBdr>
                      <w:divsChild>
                        <w:div w:id="220872099">
                          <w:marLeft w:val="0"/>
                          <w:marRight w:val="0"/>
                          <w:marTop w:val="0"/>
                          <w:marBottom w:val="0"/>
                          <w:divBdr>
                            <w:top w:val="single" w:sz="6" w:space="0" w:color="auto"/>
                            <w:left w:val="single" w:sz="6" w:space="0" w:color="auto"/>
                            <w:bottom w:val="single" w:sz="6" w:space="0" w:color="auto"/>
                            <w:right w:val="single" w:sz="6" w:space="0" w:color="auto"/>
                          </w:divBdr>
                          <w:divsChild>
                            <w:div w:id="148793835">
                              <w:marLeft w:val="0"/>
                              <w:marRight w:val="0"/>
                              <w:marTop w:val="0"/>
                              <w:marBottom w:val="0"/>
                              <w:divBdr>
                                <w:top w:val="none" w:sz="0" w:space="0" w:color="auto"/>
                                <w:left w:val="none" w:sz="0" w:space="0" w:color="auto"/>
                                <w:bottom w:val="none" w:sz="0" w:space="0" w:color="auto"/>
                                <w:right w:val="none" w:sz="0" w:space="0" w:color="auto"/>
                              </w:divBdr>
                              <w:divsChild>
                                <w:div w:id="294725471">
                                  <w:marLeft w:val="0"/>
                                  <w:marRight w:val="0"/>
                                  <w:marTop w:val="0"/>
                                  <w:marBottom w:val="0"/>
                                  <w:divBdr>
                                    <w:top w:val="none" w:sz="0" w:space="0" w:color="auto"/>
                                    <w:left w:val="none" w:sz="0" w:space="0" w:color="auto"/>
                                    <w:bottom w:val="none" w:sz="0" w:space="0" w:color="auto"/>
                                    <w:right w:val="none" w:sz="0" w:space="0" w:color="auto"/>
                                  </w:divBdr>
                                  <w:divsChild>
                                    <w:div w:id="1192956111">
                                      <w:marLeft w:val="0"/>
                                      <w:marRight w:val="0"/>
                                      <w:marTop w:val="0"/>
                                      <w:marBottom w:val="0"/>
                                      <w:divBdr>
                                        <w:top w:val="none" w:sz="0" w:space="0" w:color="auto"/>
                                        <w:left w:val="none" w:sz="0" w:space="0" w:color="auto"/>
                                        <w:bottom w:val="none" w:sz="0" w:space="0" w:color="auto"/>
                                        <w:right w:val="none" w:sz="0" w:space="0" w:color="auto"/>
                                      </w:divBdr>
                                      <w:divsChild>
                                        <w:div w:id="271210641">
                                          <w:marLeft w:val="0"/>
                                          <w:marRight w:val="0"/>
                                          <w:marTop w:val="0"/>
                                          <w:marBottom w:val="0"/>
                                          <w:divBdr>
                                            <w:top w:val="none" w:sz="0" w:space="0" w:color="auto"/>
                                            <w:left w:val="none" w:sz="0" w:space="0" w:color="auto"/>
                                            <w:bottom w:val="none" w:sz="0" w:space="0" w:color="auto"/>
                                            <w:right w:val="none" w:sz="0" w:space="0" w:color="auto"/>
                                          </w:divBdr>
                                          <w:divsChild>
                                            <w:div w:id="67966610">
                                              <w:marLeft w:val="0"/>
                                              <w:marRight w:val="0"/>
                                              <w:marTop w:val="0"/>
                                              <w:marBottom w:val="0"/>
                                              <w:divBdr>
                                                <w:top w:val="none" w:sz="0" w:space="0" w:color="auto"/>
                                                <w:left w:val="none" w:sz="0" w:space="0" w:color="auto"/>
                                                <w:bottom w:val="none" w:sz="0" w:space="0" w:color="auto"/>
                                                <w:right w:val="none" w:sz="0" w:space="0" w:color="auto"/>
                                              </w:divBdr>
                                            </w:div>
                                            <w:div w:id="168717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1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978983">
                      <w:marLeft w:val="15"/>
                      <w:marRight w:val="150"/>
                      <w:marTop w:val="15"/>
                      <w:marBottom w:val="150"/>
                      <w:divBdr>
                        <w:top w:val="none" w:sz="0" w:space="0" w:color="auto"/>
                        <w:left w:val="none" w:sz="0" w:space="0" w:color="auto"/>
                        <w:bottom w:val="none" w:sz="0" w:space="0" w:color="auto"/>
                        <w:right w:val="none" w:sz="0" w:space="0" w:color="auto"/>
                      </w:divBdr>
                      <w:divsChild>
                        <w:div w:id="1514762293">
                          <w:marLeft w:val="0"/>
                          <w:marRight w:val="0"/>
                          <w:marTop w:val="0"/>
                          <w:marBottom w:val="0"/>
                          <w:divBdr>
                            <w:top w:val="single" w:sz="6" w:space="0" w:color="auto"/>
                            <w:left w:val="single" w:sz="6" w:space="0" w:color="auto"/>
                            <w:bottom w:val="single" w:sz="6" w:space="0" w:color="auto"/>
                            <w:right w:val="single" w:sz="6" w:space="0" w:color="auto"/>
                          </w:divBdr>
                          <w:divsChild>
                            <w:div w:id="1816599526">
                              <w:marLeft w:val="0"/>
                              <w:marRight w:val="0"/>
                              <w:marTop w:val="0"/>
                              <w:marBottom w:val="0"/>
                              <w:divBdr>
                                <w:top w:val="none" w:sz="0" w:space="0" w:color="auto"/>
                                <w:left w:val="none" w:sz="0" w:space="0" w:color="auto"/>
                                <w:bottom w:val="none" w:sz="0" w:space="0" w:color="auto"/>
                                <w:right w:val="none" w:sz="0" w:space="0" w:color="auto"/>
                              </w:divBdr>
                              <w:divsChild>
                                <w:div w:id="1703482672">
                                  <w:marLeft w:val="0"/>
                                  <w:marRight w:val="0"/>
                                  <w:marTop w:val="0"/>
                                  <w:marBottom w:val="0"/>
                                  <w:divBdr>
                                    <w:top w:val="none" w:sz="0" w:space="0" w:color="auto"/>
                                    <w:left w:val="none" w:sz="0" w:space="0" w:color="auto"/>
                                    <w:bottom w:val="none" w:sz="0" w:space="0" w:color="auto"/>
                                    <w:right w:val="none" w:sz="0" w:space="0" w:color="auto"/>
                                  </w:divBdr>
                                  <w:divsChild>
                                    <w:div w:id="118652066">
                                      <w:marLeft w:val="0"/>
                                      <w:marRight w:val="0"/>
                                      <w:marTop w:val="0"/>
                                      <w:marBottom w:val="0"/>
                                      <w:divBdr>
                                        <w:top w:val="none" w:sz="0" w:space="0" w:color="auto"/>
                                        <w:left w:val="none" w:sz="0" w:space="0" w:color="auto"/>
                                        <w:bottom w:val="none" w:sz="0" w:space="0" w:color="auto"/>
                                        <w:right w:val="none" w:sz="0" w:space="0" w:color="auto"/>
                                      </w:divBdr>
                                      <w:divsChild>
                                        <w:div w:id="577130545">
                                          <w:marLeft w:val="0"/>
                                          <w:marRight w:val="0"/>
                                          <w:marTop w:val="0"/>
                                          <w:marBottom w:val="0"/>
                                          <w:divBdr>
                                            <w:top w:val="none" w:sz="0" w:space="0" w:color="auto"/>
                                            <w:left w:val="none" w:sz="0" w:space="0" w:color="auto"/>
                                            <w:bottom w:val="none" w:sz="0" w:space="0" w:color="auto"/>
                                            <w:right w:val="none" w:sz="0" w:space="0" w:color="auto"/>
                                          </w:divBdr>
                                          <w:divsChild>
                                            <w:div w:id="938097963">
                                              <w:marLeft w:val="0"/>
                                              <w:marRight w:val="0"/>
                                              <w:marTop w:val="0"/>
                                              <w:marBottom w:val="0"/>
                                              <w:divBdr>
                                                <w:top w:val="none" w:sz="0" w:space="0" w:color="auto"/>
                                                <w:left w:val="none" w:sz="0" w:space="0" w:color="auto"/>
                                                <w:bottom w:val="none" w:sz="0" w:space="0" w:color="auto"/>
                                                <w:right w:val="none" w:sz="0" w:space="0" w:color="auto"/>
                                              </w:divBdr>
                                            </w:div>
                                            <w:div w:id="17289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595826">
                      <w:marLeft w:val="15"/>
                      <w:marRight w:val="150"/>
                      <w:marTop w:val="15"/>
                      <w:marBottom w:val="150"/>
                      <w:divBdr>
                        <w:top w:val="none" w:sz="0" w:space="0" w:color="auto"/>
                        <w:left w:val="none" w:sz="0" w:space="0" w:color="auto"/>
                        <w:bottom w:val="none" w:sz="0" w:space="0" w:color="auto"/>
                        <w:right w:val="none" w:sz="0" w:space="0" w:color="auto"/>
                      </w:divBdr>
                      <w:divsChild>
                        <w:div w:id="1447845970">
                          <w:marLeft w:val="0"/>
                          <w:marRight w:val="0"/>
                          <w:marTop w:val="0"/>
                          <w:marBottom w:val="0"/>
                          <w:divBdr>
                            <w:top w:val="single" w:sz="6" w:space="0" w:color="auto"/>
                            <w:left w:val="single" w:sz="6" w:space="0" w:color="auto"/>
                            <w:bottom w:val="single" w:sz="6" w:space="0" w:color="auto"/>
                            <w:right w:val="single" w:sz="6" w:space="0" w:color="auto"/>
                          </w:divBdr>
                          <w:divsChild>
                            <w:div w:id="1372223555">
                              <w:marLeft w:val="0"/>
                              <w:marRight w:val="0"/>
                              <w:marTop w:val="0"/>
                              <w:marBottom w:val="0"/>
                              <w:divBdr>
                                <w:top w:val="none" w:sz="0" w:space="0" w:color="auto"/>
                                <w:left w:val="none" w:sz="0" w:space="0" w:color="auto"/>
                                <w:bottom w:val="none" w:sz="0" w:space="0" w:color="auto"/>
                                <w:right w:val="none" w:sz="0" w:space="0" w:color="auto"/>
                              </w:divBdr>
                              <w:divsChild>
                                <w:div w:id="1031226515">
                                  <w:marLeft w:val="0"/>
                                  <w:marRight w:val="0"/>
                                  <w:marTop w:val="0"/>
                                  <w:marBottom w:val="0"/>
                                  <w:divBdr>
                                    <w:top w:val="none" w:sz="0" w:space="0" w:color="auto"/>
                                    <w:left w:val="none" w:sz="0" w:space="0" w:color="auto"/>
                                    <w:bottom w:val="none" w:sz="0" w:space="0" w:color="auto"/>
                                    <w:right w:val="none" w:sz="0" w:space="0" w:color="auto"/>
                                  </w:divBdr>
                                  <w:divsChild>
                                    <w:div w:id="834108376">
                                      <w:marLeft w:val="0"/>
                                      <w:marRight w:val="0"/>
                                      <w:marTop w:val="0"/>
                                      <w:marBottom w:val="0"/>
                                      <w:divBdr>
                                        <w:top w:val="none" w:sz="0" w:space="0" w:color="auto"/>
                                        <w:left w:val="none" w:sz="0" w:space="0" w:color="auto"/>
                                        <w:bottom w:val="none" w:sz="0" w:space="0" w:color="auto"/>
                                        <w:right w:val="none" w:sz="0" w:space="0" w:color="auto"/>
                                      </w:divBdr>
                                    </w:div>
                                    <w:div w:id="1357077281">
                                      <w:marLeft w:val="0"/>
                                      <w:marRight w:val="0"/>
                                      <w:marTop w:val="0"/>
                                      <w:marBottom w:val="0"/>
                                      <w:divBdr>
                                        <w:top w:val="none" w:sz="0" w:space="0" w:color="auto"/>
                                        <w:left w:val="none" w:sz="0" w:space="0" w:color="auto"/>
                                        <w:bottom w:val="none" w:sz="0" w:space="0" w:color="auto"/>
                                        <w:right w:val="none" w:sz="0" w:space="0" w:color="auto"/>
                                      </w:divBdr>
                                      <w:divsChild>
                                        <w:div w:id="1851866682">
                                          <w:marLeft w:val="0"/>
                                          <w:marRight w:val="0"/>
                                          <w:marTop w:val="0"/>
                                          <w:marBottom w:val="0"/>
                                          <w:divBdr>
                                            <w:top w:val="none" w:sz="0" w:space="0" w:color="auto"/>
                                            <w:left w:val="none" w:sz="0" w:space="0" w:color="auto"/>
                                            <w:bottom w:val="none" w:sz="0" w:space="0" w:color="auto"/>
                                            <w:right w:val="none" w:sz="0" w:space="0" w:color="auto"/>
                                          </w:divBdr>
                                          <w:divsChild>
                                            <w:div w:id="2001421760">
                                              <w:marLeft w:val="0"/>
                                              <w:marRight w:val="0"/>
                                              <w:marTop w:val="0"/>
                                              <w:marBottom w:val="0"/>
                                              <w:divBdr>
                                                <w:top w:val="none" w:sz="0" w:space="0" w:color="auto"/>
                                                <w:left w:val="none" w:sz="0" w:space="0" w:color="auto"/>
                                                <w:bottom w:val="none" w:sz="0" w:space="0" w:color="auto"/>
                                                <w:right w:val="none" w:sz="0" w:space="0" w:color="auto"/>
                                              </w:divBdr>
                                            </w:div>
                                            <w:div w:id="211270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588504">
                      <w:marLeft w:val="15"/>
                      <w:marRight w:val="150"/>
                      <w:marTop w:val="15"/>
                      <w:marBottom w:val="150"/>
                      <w:divBdr>
                        <w:top w:val="none" w:sz="0" w:space="0" w:color="auto"/>
                        <w:left w:val="none" w:sz="0" w:space="0" w:color="auto"/>
                        <w:bottom w:val="none" w:sz="0" w:space="0" w:color="auto"/>
                        <w:right w:val="none" w:sz="0" w:space="0" w:color="auto"/>
                      </w:divBdr>
                      <w:divsChild>
                        <w:div w:id="1080907747">
                          <w:marLeft w:val="0"/>
                          <w:marRight w:val="0"/>
                          <w:marTop w:val="0"/>
                          <w:marBottom w:val="0"/>
                          <w:divBdr>
                            <w:top w:val="single" w:sz="6" w:space="0" w:color="auto"/>
                            <w:left w:val="single" w:sz="6" w:space="0" w:color="auto"/>
                            <w:bottom w:val="single" w:sz="6" w:space="0" w:color="auto"/>
                            <w:right w:val="single" w:sz="6" w:space="0" w:color="auto"/>
                          </w:divBdr>
                          <w:divsChild>
                            <w:div w:id="758871750">
                              <w:marLeft w:val="0"/>
                              <w:marRight w:val="0"/>
                              <w:marTop w:val="0"/>
                              <w:marBottom w:val="0"/>
                              <w:divBdr>
                                <w:top w:val="none" w:sz="0" w:space="0" w:color="auto"/>
                                <w:left w:val="none" w:sz="0" w:space="0" w:color="auto"/>
                                <w:bottom w:val="none" w:sz="0" w:space="0" w:color="auto"/>
                                <w:right w:val="none" w:sz="0" w:space="0" w:color="auto"/>
                              </w:divBdr>
                              <w:divsChild>
                                <w:div w:id="1993295701">
                                  <w:marLeft w:val="0"/>
                                  <w:marRight w:val="0"/>
                                  <w:marTop w:val="0"/>
                                  <w:marBottom w:val="0"/>
                                  <w:divBdr>
                                    <w:top w:val="none" w:sz="0" w:space="0" w:color="auto"/>
                                    <w:left w:val="none" w:sz="0" w:space="0" w:color="auto"/>
                                    <w:bottom w:val="none" w:sz="0" w:space="0" w:color="auto"/>
                                    <w:right w:val="none" w:sz="0" w:space="0" w:color="auto"/>
                                  </w:divBdr>
                                  <w:divsChild>
                                    <w:div w:id="662666005">
                                      <w:marLeft w:val="0"/>
                                      <w:marRight w:val="0"/>
                                      <w:marTop w:val="0"/>
                                      <w:marBottom w:val="0"/>
                                      <w:divBdr>
                                        <w:top w:val="none" w:sz="0" w:space="0" w:color="auto"/>
                                        <w:left w:val="none" w:sz="0" w:space="0" w:color="auto"/>
                                        <w:bottom w:val="none" w:sz="0" w:space="0" w:color="auto"/>
                                        <w:right w:val="none" w:sz="0" w:space="0" w:color="auto"/>
                                      </w:divBdr>
                                      <w:divsChild>
                                        <w:div w:id="1539048689">
                                          <w:marLeft w:val="0"/>
                                          <w:marRight w:val="0"/>
                                          <w:marTop w:val="0"/>
                                          <w:marBottom w:val="0"/>
                                          <w:divBdr>
                                            <w:top w:val="none" w:sz="0" w:space="0" w:color="auto"/>
                                            <w:left w:val="none" w:sz="0" w:space="0" w:color="auto"/>
                                            <w:bottom w:val="none" w:sz="0" w:space="0" w:color="auto"/>
                                            <w:right w:val="none" w:sz="0" w:space="0" w:color="auto"/>
                                          </w:divBdr>
                                          <w:divsChild>
                                            <w:div w:id="1913618340">
                                              <w:marLeft w:val="0"/>
                                              <w:marRight w:val="0"/>
                                              <w:marTop w:val="0"/>
                                              <w:marBottom w:val="0"/>
                                              <w:divBdr>
                                                <w:top w:val="none" w:sz="0" w:space="0" w:color="auto"/>
                                                <w:left w:val="none" w:sz="0" w:space="0" w:color="auto"/>
                                                <w:bottom w:val="none" w:sz="0" w:space="0" w:color="auto"/>
                                                <w:right w:val="none" w:sz="0" w:space="0" w:color="auto"/>
                                              </w:divBdr>
                                            </w:div>
                                            <w:div w:id="206270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04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043347">
                      <w:marLeft w:val="15"/>
                      <w:marRight w:val="150"/>
                      <w:marTop w:val="15"/>
                      <w:marBottom w:val="150"/>
                      <w:divBdr>
                        <w:top w:val="none" w:sz="0" w:space="0" w:color="auto"/>
                        <w:left w:val="none" w:sz="0" w:space="0" w:color="auto"/>
                        <w:bottom w:val="none" w:sz="0" w:space="0" w:color="auto"/>
                        <w:right w:val="none" w:sz="0" w:space="0" w:color="auto"/>
                      </w:divBdr>
                      <w:divsChild>
                        <w:div w:id="433675896">
                          <w:marLeft w:val="0"/>
                          <w:marRight w:val="0"/>
                          <w:marTop w:val="0"/>
                          <w:marBottom w:val="0"/>
                          <w:divBdr>
                            <w:top w:val="single" w:sz="6" w:space="0" w:color="auto"/>
                            <w:left w:val="single" w:sz="6" w:space="0" w:color="auto"/>
                            <w:bottom w:val="single" w:sz="6" w:space="0" w:color="auto"/>
                            <w:right w:val="single" w:sz="6" w:space="0" w:color="auto"/>
                          </w:divBdr>
                          <w:divsChild>
                            <w:div w:id="916402497">
                              <w:marLeft w:val="0"/>
                              <w:marRight w:val="0"/>
                              <w:marTop w:val="0"/>
                              <w:marBottom w:val="0"/>
                              <w:divBdr>
                                <w:top w:val="none" w:sz="0" w:space="0" w:color="auto"/>
                                <w:left w:val="none" w:sz="0" w:space="0" w:color="auto"/>
                                <w:bottom w:val="none" w:sz="0" w:space="0" w:color="auto"/>
                                <w:right w:val="none" w:sz="0" w:space="0" w:color="auto"/>
                              </w:divBdr>
                              <w:divsChild>
                                <w:div w:id="1187326336">
                                  <w:marLeft w:val="0"/>
                                  <w:marRight w:val="0"/>
                                  <w:marTop w:val="0"/>
                                  <w:marBottom w:val="0"/>
                                  <w:divBdr>
                                    <w:top w:val="none" w:sz="0" w:space="0" w:color="auto"/>
                                    <w:left w:val="none" w:sz="0" w:space="0" w:color="auto"/>
                                    <w:bottom w:val="none" w:sz="0" w:space="0" w:color="auto"/>
                                    <w:right w:val="none" w:sz="0" w:space="0" w:color="auto"/>
                                  </w:divBdr>
                                  <w:divsChild>
                                    <w:div w:id="1200255">
                                      <w:marLeft w:val="0"/>
                                      <w:marRight w:val="0"/>
                                      <w:marTop w:val="0"/>
                                      <w:marBottom w:val="0"/>
                                      <w:divBdr>
                                        <w:top w:val="none" w:sz="0" w:space="0" w:color="auto"/>
                                        <w:left w:val="none" w:sz="0" w:space="0" w:color="auto"/>
                                        <w:bottom w:val="none" w:sz="0" w:space="0" w:color="auto"/>
                                        <w:right w:val="none" w:sz="0" w:space="0" w:color="auto"/>
                                      </w:divBdr>
                                      <w:divsChild>
                                        <w:div w:id="1721709428">
                                          <w:marLeft w:val="0"/>
                                          <w:marRight w:val="0"/>
                                          <w:marTop w:val="0"/>
                                          <w:marBottom w:val="0"/>
                                          <w:divBdr>
                                            <w:top w:val="none" w:sz="0" w:space="0" w:color="auto"/>
                                            <w:left w:val="none" w:sz="0" w:space="0" w:color="auto"/>
                                            <w:bottom w:val="none" w:sz="0" w:space="0" w:color="auto"/>
                                            <w:right w:val="none" w:sz="0" w:space="0" w:color="auto"/>
                                          </w:divBdr>
                                          <w:divsChild>
                                            <w:div w:id="226961358">
                                              <w:marLeft w:val="0"/>
                                              <w:marRight w:val="0"/>
                                              <w:marTop w:val="0"/>
                                              <w:marBottom w:val="0"/>
                                              <w:divBdr>
                                                <w:top w:val="none" w:sz="0" w:space="0" w:color="auto"/>
                                                <w:left w:val="none" w:sz="0" w:space="0" w:color="auto"/>
                                                <w:bottom w:val="none" w:sz="0" w:space="0" w:color="auto"/>
                                                <w:right w:val="none" w:sz="0" w:space="0" w:color="auto"/>
                                              </w:divBdr>
                                            </w:div>
                                            <w:div w:id="77309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3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952295">
                      <w:marLeft w:val="15"/>
                      <w:marRight w:val="150"/>
                      <w:marTop w:val="15"/>
                      <w:marBottom w:val="150"/>
                      <w:divBdr>
                        <w:top w:val="none" w:sz="0" w:space="0" w:color="auto"/>
                        <w:left w:val="none" w:sz="0" w:space="0" w:color="auto"/>
                        <w:bottom w:val="none" w:sz="0" w:space="0" w:color="auto"/>
                        <w:right w:val="none" w:sz="0" w:space="0" w:color="auto"/>
                      </w:divBdr>
                      <w:divsChild>
                        <w:div w:id="614941960">
                          <w:marLeft w:val="0"/>
                          <w:marRight w:val="0"/>
                          <w:marTop w:val="0"/>
                          <w:marBottom w:val="0"/>
                          <w:divBdr>
                            <w:top w:val="single" w:sz="6" w:space="0" w:color="auto"/>
                            <w:left w:val="single" w:sz="6" w:space="0" w:color="auto"/>
                            <w:bottom w:val="single" w:sz="6" w:space="0" w:color="auto"/>
                            <w:right w:val="single" w:sz="6" w:space="0" w:color="auto"/>
                          </w:divBdr>
                          <w:divsChild>
                            <w:div w:id="1665081794">
                              <w:marLeft w:val="0"/>
                              <w:marRight w:val="0"/>
                              <w:marTop w:val="0"/>
                              <w:marBottom w:val="0"/>
                              <w:divBdr>
                                <w:top w:val="none" w:sz="0" w:space="0" w:color="auto"/>
                                <w:left w:val="none" w:sz="0" w:space="0" w:color="auto"/>
                                <w:bottom w:val="none" w:sz="0" w:space="0" w:color="auto"/>
                                <w:right w:val="none" w:sz="0" w:space="0" w:color="auto"/>
                              </w:divBdr>
                              <w:divsChild>
                                <w:div w:id="2054039364">
                                  <w:marLeft w:val="0"/>
                                  <w:marRight w:val="0"/>
                                  <w:marTop w:val="0"/>
                                  <w:marBottom w:val="0"/>
                                  <w:divBdr>
                                    <w:top w:val="none" w:sz="0" w:space="0" w:color="auto"/>
                                    <w:left w:val="none" w:sz="0" w:space="0" w:color="auto"/>
                                    <w:bottom w:val="none" w:sz="0" w:space="0" w:color="auto"/>
                                    <w:right w:val="none" w:sz="0" w:space="0" w:color="auto"/>
                                  </w:divBdr>
                                  <w:divsChild>
                                    <w:div w:id="1189484255">
                                      <w:marLeft w:val="0"/>
                                      <w:marRight w:val="0"/>
                                      <w:marTop w:val="0"/>
                                      <w:marBottom w:val="0"/>
                                      <w:divBdr>
                                        <w:top w:val="none" w:sz="0" w:space="0" w:color="auto"/>
                                        <w:left w:val="none" w:sz="0" w:space="0" w:color="auto"/>
                                        <w:bottom w:val="none" w:sz="0" w:space="0" w:color="auto"/>
                                        <w:right w:val="none" w:sz="0" w:space="0" w:color="auto"/>
                                      </w:divBdr>
                                    </w:div>
                                    <w:div w:id="1666741888">
                                      <w:marLeft w:val="0"/>
                                      <w:marRight w:val="0"/>
                                      <w:marTop w:val="0"/>
                                      <w:marBottom w:val="0"/>
                                      <w:divBdr>
                                        <w:top w:val="none" w:sz="0" w:space="0" w:color="auto"/>
                                        <w:left w:val="none" w:sz="0" w:space="0" w:color="auto"/>
                                        <w:bottom w:val="none" w:sz="0" w:space="0" w:color="auto"/>
                                        <w:right w:val="none" w:sz="0" w:space="0" w:color="auto"/>
                                      </w:divBdr>
                                      <w:divsChild>
                                        <w:div w:id="1640652799">
                                          <w:marLeft w:val="0"/>
                                          <w:marRight w:val="0"/>
                                          <w:marTop w:val="0"/>
                                          <w:marBottom w:val="0"/>
                                          <w:divBdr>
                                            <w:top w:val="none" w:sz="0" w:space="0" w:color="auto"/>
                                            <w:left w:val="none" w:sz="0" w:space="0" w:color="auto"/>
                                            <w:bottom w:val="none" w:sz="0" w:space="0" w:color="auto"/>
                                            <w:right w:val="none" w:sz="0" w:space="0" w:color="auto"/>
                                          </w:divBdr>
                                          <w:divsChild>
                                            <w:div w:id="950935620">
                                              <w:marLeft w:val="0"/>
                                              <w:marRight w:val="0"/>
                                              <w:marTop w:val="0"/>
                                              <w:marBottom w:val="0"/>
                                              <w:divBdr>
                                                <w:top w:val="none" w:sz="0" w:space="0" w:color="auto"/>
                                                <w:left w:val="none" w:sz="0" w:space="0" w:color="auto"/>
                                                <w:bottom w:val="none" w:sz="0" w:space="0" w:color="auto"/>
                                                <w:right w:val="none" w:sz="0" w:space="0" w:color="auto"/>
                                              </w:divBdr>
                                            </w:div>
                                            <w:div w:id="20850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923843">
                      <w:marLeft w:val="15"/>
                      <w:marRight w:val="150"/>
                      <w:marTop w:val="15"/>
                      <w:marBottom w:val="150"/>
                      <w:divBdr>
                        <w:top w:val="none" w:sz="0" w:space="0" w:color="auto"/>
                        <w:left w:val="none" w:sz="0" w:space="0" w:color="auto"/>
                        <w:bottom w:val="none" w:sz="0" w:space="0" w:color="auto"/>
                        <w:right w:val="none" w:sz="0" w:space="0" w:color="auto"/>
                      </w:divBdr>
                      <w:divsChild>
                        <w:div w:id="1958101436">
                          <w:marLeft w:val="0"/>
                          <w:marRight w:val="0"/>
                          <w:marTop w:val="0"/>
                          <w:marBottom w:val="0"/>
                          <w:divBdr>
                            <w:top w:val="single" w:sz="6" w:space="0" w:color="auto"/>
                            <w:left w:val="single" w:sz="6" w:space="0" w:color="auto"/>
                            <w:bottom w:val="single" w:sz="6" w:space="0" w:color="auto"/>
                            <w:right w:val="single" w:sz="6" w:space="0" w:color="auto"/>
                          </w:divBdr>
                          <w:divsChild>
                            <w:div w:id="416562834">
                              <w:marLeft w:val="0"/>
                              <w:marRight w:val="0"/>
                              <w:marTop w:val="0"/>
                              <w:marBottom w:val="0"/>
                              <w:divBdr>
                                <w:top w:val="none" w:sz="0" w:space="0" w:color="auto"/>
                                <w:left w:val="none" w:sz="0" w:space="0" w:color="auto"/>
                                <w:bottom w:val="none" w:sz="0" w:space="0" w:color="auto"/>
                                <w:right w:val="none" w:sz="0" w:space="0" w:color="auto"/>
                              </w:divBdr>
                              <w:divsChild>
                                <w:div w:id="2047901585">
                                  <w:marLeft w:val="0"/>
                                  <w:marRight w:val="0"/>
                                  <w:marTop w:val="0"/>
                                  <w:marBottom w:val="0"/>
                                  <w:divBdr>
                                    <w:top w:val="none" w:sz="0" w:space="0" w:color="auto"/>
                                    <w:left w:val="none" w:sz="0" w:space="0" w:color="auto"/>
                                    <w:bottom w:val="none" w:sz="0" w:space="0" w:color="auto"/>
                                    <w:right w:val="none" w:sz="0" w:space="0" w:color="auto"/>
                                  </w:divBdr>
                                  <w:divsChild>
                                    <w:div w:id="1629581886">
                                      <w:marLeft w:val="0"/>
                                      <w:marRight w:val="0"/>
                                      <w:marTop w:val="0"/>
                                      <w:marBottom w:val="0"/>
                                      <w:divBdr>
                                        <w:top w:val="none" w:sz="0" w:space="0" w:color="auto"/>
                                        <w:left w:val="none" w:sz="0" w:space="0" w:color="auto"/>
                                        <w:bottom w:val="none" w:sz="0" w:space="0" w:color="auto"/>
                                        <w:right w:val="none" w:sz="0" w:space="0" w:color="auto"/>
                                      </w:divBdr>
                                      <w:divsChild>
                                        <w:div w:id="892886549">
                                          <w:marLeft w:val="0"/>
                                          <w:marRight w:val="0"/>
                                          <w:marTop w:val="0"/>
                                          <w:marBottom w:val="0"/>
                                          <w:divBdr>
                                            <w:top w:val="none" w:sz="0" w:space="0" w:color="auto"/>
                                            <w:left w:val="none" w:sz="0" w:space="0" w:color="auto"/>
                                            <w:bottom w:val="none" w:sz="0" w:space="0" w:color="auto"/>
                                            <w:right w:val="none" w:sz="0" w:space="0" w:color="auto"/>
                                          </w:divBdr>
                                          <w:divsChild>
                                            <w:div w:id="491334436">
                                              <w:marLeft w:val="0"/>
                                              <w:marRight w:val="0"/>
                                              <w:marTop w:val="0"/>
                                              <w:marBottom w:val="0"/>
                                              <w:divBdr>
                                                <w:top w:val="none" w:sz="0" w:space="0" w:color="auto"/>
                                                <w:left w:val="none" w:sz="0" w:space="0" w:color="auto"/>
                                                <w:bottom w:val="none" w:sz="0" w:space="0" w:color="auto"/>
                                                <w:right w:val="none" w:sz="0" w:space="0" w:color="auto"/>
                                              </w:divBdr>
                                            </w:div>
                                            <w:div w:id="7066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2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699139">
                      <w:marLeft w:val="15"/>
                      <w:marRight w:val="150"/>
                      <w:marTop w:val="15"/>
                      <w:marBottom w:val="150"/>
                      <w:divBdr>
                        <w:top w:val="none" w:sz="0" w:space="0" w:color="auto"/>
                        <w:left w:val="none" w:sz="0" w:space="0" w:color="auto"/>
                        <w:bottom w:val="none" w:sz="0" w:space="0" w:color="auto"/>
                        <w:right w:val="none" w:sz="0" w:space="0" w:color="auto"/>
                      </w:divBdr>
                      <w:divsChild>
                        <w:div w:id="1212617992">
                          <w:marLeft w:val="0"/>
                          <w:marRight w:val="0"/>
                          <w:marTop w:val="0"/>
                          <w:marBottom w:val="0"/>
                          <w:divBdr>
                            <w:top w:val="single" w:sz="6" w:space="0" w:color="auto"/>
                            <w:left w:val="single" w:sz="6" w:space="0" w:color="auto"/>
                            <w:bottom w:val="single" w:sz="6" w:space="0" w:color="auto"/>
                            <w:right w:val="single" w:sz="6" w:space="0" w:color="auto"/>
                          </w:divBdr>
                          <w:divsChild>
                            <w:div w:id="1563254592">
                              <w:marLeft w:val="0"/>
                              <w:marRight w:val="0"/>
                              <w:marTop w:val="0"/>
                              <w:marBottom w:val="0"/>
                              <w:divBdr>
                                <w:top w:val="none" w:sz="0" w:space="0" w:color="auto"/>
                                <w:left w:val="none" w:sz="0" w:space="0" w:color="auto"/>
                                <w:bottom w:val="none" w:sz="0" w:space="0" w:color="auto"/>
                                <w:right w:val="none" w:sz="0" w:space="0" w:color="auto"/>
                              </w:divBdr>
                              <w:divsChild>
                                <w:div w:id="1317568153">
                                  <w:marLeft w:val="0"/>
                                  <w:marRight w:val="0"/>
                                  <w:marTop w:val="0"/>
                                  <w:marBottom w:val="0"/>
                                  <w:divBdr>
                                    <w:top w:val="none" w:sz="0" w:space="0" w:color="auto"/>
                                    <w:left w:val="none" w:sz="0" w:space="0" w:color="auto"/>
                                    <w:bottom w:val="none" w:sz="0" w:space="0" w:color="auto"/>
                                    <w:right w:val="none" w:sz="0" w:space="0" w:color="auto"/>
                                  </w:divBdr>
                                  <w:divsChild>
                                    <w:div w:id="854077035">
                                      <w:marLeft w:val="0"/>
                                      <w:marRight w:val="0"/>
                                      <w:marTop w:val="0"/>
                                      <w:marBottom w:val="0"/>
                                      <w:divBdr>
                                        <w:top w:val="none" w:sz="0" w:space="0" w:color="auto"/>
                                        <w:left w:val="none" w:sz="0" w:space="0" w:color="auto"/>
                                        <w:bottom w:val="none" w:sz="0" w:space="0" w:color="auto"/>
                                        <w:right w:val="none" w:sz="0" w:space="0" w:color="auto"/>
                                      </w:divBdr>
                                    </w:div>
                                    <w:div w:id="1364742251">
                                      <w:marLeft w:val="0"/>
                                      <w:marRight w:val="0"/>
                                      <w:marTop w:val="0"/>
                                      <w:marBottom w:val="0"/>
                                      <w:divBdr>
                                        <w:top w:val="none" w:sz="0" w:space="0" w:color="auto"/>
                                        <w:left w:val="none" w:sz="0" w:space="0" w:color="auto"/>
                                        <w:bottom w:val="none" w:sz="0" w:space="0" w:color="auto"/>
                                        <w:right w:val="none" w:sz="0" w:space="0" w:color="auto"/>
                                      </w:divBdr>
                                      <w:divsChild>
                                        <w:div w:id="1867324737">
                                          <w:marLeft w:val="0"/>
                                          <w:marRight w:val="0"/>
                                          <w:marTop w:val="0"/>
                                          <w:marBottom w:val="0"/>
                                          <w:divBdr>
                                            <w:top w:val="none" w:sz="0" w:space="0" w:color="auto"/>
                                            <w:left w:val="none" w:sz="0" w:space="0" w:color="auto"/>
                                            <w:bottom w:val="none" w:sz="0" w:space="0" w:color="auto"/>
                                            <w:right w:val="none" w:sz="0" w:space="0" w:color="auto"/>
                                          </w:divBdr>
                                          <w:divsChild>
                                            <w:div w:id="1661421515">
                                              <w:marLeft w:val="0"/>
                                              <w:marRight w:val="0"/>
                                              <w:marTop w:val="0"/>
                                              <w:marBottom w:val="0"/>
                                              <w:divBdr>
                                                <w:top w:val="none" w:sz="0" w:space="0" w:color="auto"/>
                                                <w:left w:val="none" w:sz="0" w:space="0" w:color="auto"/>
                                                <w:bottom w:val="none" w:sz="0" w:space="0" w:color="auto"/>
                                                <w:right w:val="none" w:sz="0" w:space="0" w:color="auto"/>
                                              </w:divBdr>
                                            </w:div>
                                            <w:div w:id="170304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6706368">
                      <w:marLeft w:val="15"/>
                      <w:marRight w:val="150"/>
                      <w:marTop w:val="15"/>
                      <w:marBottom w:val="150"/>
                      <w:divBdr>
                        <w:top w:val="none" w:sz="0" w:space="0" w:color="auto"/>
                        <w:left w:val="none" w:sz="0" w:space="0" w:color="auto"/>
                        <w:bottom w:val="none" w:sz="0" w:space="0" w:color="auto"/>
                        <w:right w:val="none" w:sz="0" w:space="0" w:color="auto"/>
                      </w:divBdr>
                      <w:divsChild>
                        <w:div w:id="731273184">
                          <w:marLeft w:val="0"/>
                          <w:marRight w:val="0"/>
                          <w:marTop w:val="0"/>
                          <w:marBottom w:val="0"/>
                          <w:divBdr>
                            <w:top w:val="single" w:sz="6" w:space="0" w:color="auto"/>
                            <w:left w:val="single" w:sz="6" w:space="0" w:color="auto"/>
                            <w:bottom w:val="single" w:sz="6" w:space="0" w:color="auto"/>
                            <w:right w:val="single" w:sz="6" w:space="0" w:color="auto"/>
                          </w:divBdr>
                          <w:divsChild>
                            <w:div w:id="1762025903">
                              <w:marLeft w:val="0"/>
                              <w:marRight w:val="0"/>
                              <w:marTop w:val="0"/>
                              <w:marBottom w:val="0"/>
                              <w:divBdr>
                                <w:top w:val="none" w:sz="0" w:space="0" w:color="auto"/>
                                <w:left w:val="none" w:sz="0" w:space="0" w:color="auto"/>
                                <w:bottom w:val="none" w:sz="0" w:space="0" w:color="auto"/>
                                <w:right w:val="none" w:sz="0" w:space="0" w:color="auto"/>
                              </w:divBdr>
                              <w:divsChild>
                                <w:div w:id="567763364">
                                  <w:marLeft w:val="0"/>
                                  <w:marRight w:val="0"/>
                                  <w:marTop w:val="0"/>
                                  <w:marBottom w:val="0"/>
                                  <w:divBdr>
                                    <w:top w:val="none" w:sz="0" w:space="0" w:color="auto"/>
                                    <w:left w:val="none" w:sz="0" w:space="0" w:color="auto"/>
                                    <w:bottom w:val="none" w:sz="0" w:space="0" w:color="auto"/>
                                    <w:right w:val="none" w:sz="0" w:space="0" w:color="auto"/>
                                  </w:divBdr>
                                  <w:divsChild>
                                    <w:div w:id="1371807794">
                                      <w:marLeft w:val="0"/>
                                      <w:marRight w:val="0"/>
                                      <w:marTop w:val="0"/>
                                      <w:marBottom w:val="0"/>
                                      <w:divBdr>
                                        <w:top w:val="none" w:sz="0" w:space="0" w:color="auto"/>
                                        <w:left w:val="none" w:sz="0" w:space="0" w:color="auto"/>
                                        <w:bottom w:val="none" w:sz="0" w:space="0" w:color="auto"/>
                                        <w:right w:val="none" w:sz="0" w:space="0" w:color="auto"/>
                                      </w:divBdr>
                                    </w:div>
                                    <w:div w:id="1901742594">
                                      <w:marLeft w:val="0"/>
                                      <w:marRight w:val="0"/>
                                      <w:marTop w:val="0"/>
                                      <w:marBottom w:val="0"/>
                                      <w:divBdr>
                                        <w:top w:val="none" w:sz="0" w:space="0" w:color="auto"/>
                                        <w:left w:val="none" w:sz="0" w:space="0" w:color="auto"/>
                                        <w:bottom w:val="none" w:sz="0" w:space="0" w:color="auto"/>
                                        <w:right w:val="none" w:sz="0" w:space="0" w:color="auto"/>
                                      </w:divBdr>
                                      <w:divsChild>
                                        <w:div w:id="1972858087">
                                          <w:marLeft w:val="0"/>
                                          <w:marRight w:val="0"/>
                                          <w:marTop w:val="0"/>
                                          <w:marBottom w:val="0"/>
                                          <w:divBdr>
                                            <w:top w:val="none" w:sz="0" w:space="0" w:color="auto"/>
                                            <w:left w:val="none" w:sz="0" w:space="0" w:color="auto"/>
                                            <w:bottom w:val="none" w:sz="0" w:space="0" w:color="auto"/>
                                            <w:right w:val="none" w:sz="0" w:space="0" w:color="auto"/>
                                          </w:divBdr>
                                          <w:divsChild>
                                            <w:div w:id="774397877">
                                              <w:marLeft w:val="0"/>
                                              <w:marRight w:val="0"/>
                                              <w:marTop w:val="0"/>
                                              <w:marBottom w:val="0"/>
                                              <w:divBdr>
                                                <w:top w:val="none" w:sz="0" w:space="0" w:color="auto"/>
                                                <w:left w:val="none" w:sz="0" w:space="0" w:color="auto"/>
                                                <w:bottom w:val="none" w:sz="0" w:space="0" w:color="auto"/>
                                                <w:right w:val="none" w:sz="0" w:space="0" w:color="auto"/>
                                              </w:divBdr>
                                            </w:div>
                                            <w:div w:id="90507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948117">
                      <w:marLeft w:val="15"/>
                      <w:marRight w:val="150"/>
                      <w:marTop w:val="15"/>
                      <w:marBottom w:val="150"/>
                      <w:divBdr>
                        <w:top w:val="none" w:sz="0" w:space="0" w:color="auto"/>
                        <w:left w:val="none" w:sz="0" w:space="0" w:color="auto"/>
                        <w:bottom w:val="none" w:sz="0" w:space="0" w:color="auto"/>
                        <w:right w:val="none" w:sz="0" w:space="0" w:color="auto"/>
                      </w:divBdr>
                      <w:divsChild>
                        <w:div w:id="1920289276">
                          <w:marLeft w:val="0"/>
                          <w:marRight w:val="0"/>
                          <w:marTop w:val="0"/>
                          <w:marBottom w:val="0"/>
                          <w:divBdr>
                            <w:top w:val="single" w:sz="6" w:space="0" w:color="auto"/>
                            <w:left w:val="single" w:sz="6" w:space="0" w:color="auto"/>
                            <w:bottom w:val="single" w:sz="6" w:space="0" w:color="auto"/>
                            <w:right w:val="single" w:sz="6" w:space="0" w:color="auto"/>
                          </w:divBdr>
                          <w:divsChild>
                            <w:div w:id="389423606">
                              <w:marLeft w:val="0"/>
                              <w:marRight w:val="0"/>
                              <w:marTop w:val="0"/>
                              <w:marBottom w:val="0"/>
                              <w:divBdr>
                                <w:top w:val="none" w:sz="0" w:space="0" w:color="auto"/>
                                <w:left w:val="none" w:sz="0" w:space="0" w:color="auto"/>
                                <w:bottom w:val="none" w:sz="0" w:space="0" w:color="auto"/>
                                <w:right w:val="none" w:sz="0" w:space="0" w:color="auto"/>
                              </w:divBdr>
                              <w:divsChild>
                                <w:div w:id="776484495">
                                  <w:marLeft w:val="0"/>
                                  <w:marRight w:val="0"/>
                                  <w:marTop w:val="0"/>
                                  <w:marBottom w:val="0"/>
                                  <w:divBdr>
                                    <w:top w:val="none" w:sz="0" w:space="0" w:color="auto"/>
                                    <w:left w:val="none" w:sz="0" w:space="0" w:color="auto"/>
                                    <w:bottom w:val="none" w:sz="0" w:space="0" w:color="auto"/>
                                    <w:right w:val="none" w:sz="0" w:space="0" w:color="auto"/>
                                  </w:divBdr>
                                  <w:divsChild>
                                    <w:div w:id="49816942">
                                      <w:marLeft w:val="0"/>
                                      <w:marRight w:val="0"/>
                                      <w:marTop w:val="0"/>
                                      <w:marBottom w:val="0"/>
                                      <w:divBdr>
                                        <w:top w:val="none" w:sz="0" w:space="0" w:color="auto"/>
                                        <w:left w:val="none" w:sz="0" w:space="0" w:color="auto"/>
                                        <w:bottom w:val="none" w:sz="0" w:space="0" w:color="auto"/>
                                        <w:right w:val="none" w:sz="0" w:space="0" w:color="auto"/>
                                      </w:divBdr>
                                      <w:divsChild>
                                        <w:div w:id="1383020718">
                                          <w:marLeft w:val="0"/>
                                          <w:marRight w:val="0"/>
                                          <w:marTop w:val="0"/>
                                          <w:marBottom w:val="0"/>
                                          <w:divBdr>
                                            <w:top w:val="none" w:sz="0" w:space="0" w:color="auto"/>
                                            <w:left w:val="none" w:sz="0" w:space="0" w:color="auto"/>
                                            <w:bottom w:val="none" w:sz="0" w:space="0" w:color="auto"/>
                                            <w:right w:val="none" w:sz="0" w:space="0" w:color="auto"/>
                                          </w:divBdr>
                                          <w:divsChild>
                                            <w:div w:id="318659588">
                                              <w:marLeft w:val="0"/>
                                              <w:marRight w:val="0"/>
                                              <w:marTop w:val="0"/>
                                              <w:marBottom w:val="0"/>
                                              <w:divBdr>
                                                <w:top w:val="none" w:sz="0" w:space="0" w:color="auto"/>
                                                <w:left w:val="none" w:sz="0" w:space="0" w:color="auto"/>
                                                <w:bottom w:val="none" w:sz="0" w:space="0" w:color="auto"/>
                                                <w:right w:val="none" w:sz="0" w:space="0" w:color="auto"/>
                                              </w:divBdr>
                                            </w:div>
                                            <w:div w:id="95787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5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582267">
                      <w:marLeft w:val="15"/>
                      <w:marRight w:val="150"/>
                      <w:marTop w:val="15"/>
                      <w:marBottom w:val="150"/>
                      <w:divBdr>
                        <w:top w:val="none" w:sz="0" w:space="0" w:color="auto"/>
                        <w:left w:val="none" w:sz="0" w:space="0" w:color="auto"/>
                        <w:bottom w:val="none" w:sz="0" w:space="0" w:color="auto"/>
                        <w:right w:val="none" w:sz="0" w:space="0" w:color="auto"/>
                      </w:divBdr>
                      <w:divsChild>
                        <w:div w:id="156042456">
                          <w:marLeft w:val="0"/>
                          <w:marRight w:val="0"/>
                          <w:marTop w:val="0"/>
                          <w:marBottom w:val="0"/>
                          <w:divBdr>
                            <w:top w:val="single" w:sz="6" w:space="0" w:color="auto"/>
                            <w:left w:val="single" w:sz="6" w:space="0" w:color="auto"/>
                            <w:bottom w:val="single" w:sz="6" w:space="0" w:color="auto"/>
                            <w:right w:val="single" w:sz="6" w:space="0" w:color="auto"/>
                          </w:divBdr>
                          <w:divsChild>
                            <w:div w:id="708921242">
                              <w:marLeft w:val="0"/>
                              <w:marRight w:val="0"/>
                              <w:marTop w:val="0"/>
                              <w:marBottom w:val="0"/>
                              <w:divBdr>
                                <w:top w:val="none" w:sz="0" w:space="0" w:color="auto"/>
                                <w:left w:val="none" w:sz="0" w:space="0" w:color="auto"/>
                                <w:bottom w:val="none" w:sz="0" w:space="0" w:color="auto"/>
                                <w:right w:val="none" w:sz="0" w:space="0" w:color="auto"/>
                              </w:divBdr>
                              <w:divsChild>
                                <w:div w:id="1171332516">
                                  <w:marLeft w:val="0"/>
                                  <w:marRight w:val="0"/>
                                  <w:marTop w:val="0"/>
                                  <w:marBottom w:val="0"/>
                                  <w:divBdr>
                                    <w:top w:val="none" w:sz="0" w:space="0" w:color="auto"/>
                                    <w:left w:val="none" w:sz="0" w:space="0" w:color="auto"/>
                                    <w:bottom w:val="none" w:sz="0" w:space="0" w:color="auto"/>
                                    <w:right w:val="none" w:sz="0" w:space="0" w:color="auto"/>
                                  </w:divBdr>
                                  <w:divsChild>
                                    <w:div w:id="1658000824">
                                      <w:marLeft w:val="0"/>
                                      <w:marRight w:val="0"/>
                                      <w:marTop w:val="0"/>
                                      <w:marBottom w:val="0"/>
                                      <w:divBdr>
                                        <w:top w:val="none" w:sz="0" w:space="0" w:color="auto"/>
                                        <w:left w:val="none" w:sz="0" w:space="0" w:color="auto"/>
                                        <w:bottom w:val="none" w:sz="0" w:space="0" w:color="auto"/>
                                        <w:right w:val="none" w:sz="0" w:space="0" w:color="auto"/>
                                      </w:divBdr>
                                    </w:div>
                                    <w:div w:id="2136410489">
                                      <w:marLeft w:val="0"/>
                                      <w:marRight w:val="0"/>
                                      <w:marTop w:val="0"/>
                                      <w:marBottom w:val="0"/>
                                      <w:divBdr>
                                        <w:top w:val="none" w:sz="0" w:space="0" w:color="auto"/>
                                        <w:left w:val="none" w:sz="0" w:space="0" w:color="auto"/>
                                        <w:bottom w:val="none" w:sz="0" w:space="0" w:color="auto"/>
                                        <w:right w:val="none" w:sz="0" w:space="0" w:color="auto"/>
                                      </w:divBdr>
                                      <w:divsChild>
                                        <w:div w:id="1585412575">
                                          <w:marLeft w:val="0"/>
                                          <w:marRight w:val="0"/>
                                          <w:marTop w:val="0"/>
                                          <w:marBottom w:val="0"/>
                                          <w:divBdr>
                                            <w:top w:val="none" w:sz="0" w:space="0" w:color="auto"/>
                                            <w:left w:val="none" w:sz="0" w:space="0" w:color="auto"/>
                                            <w:bottom w:val="none" w:sz="0" w:space="0" w:color="auto"/>
                                            <w:right w:val="none" w:sz="0" w:space="0" w:color="auto"/>
                                          </w:divBdr>
                                          <w:divsChild>
                                            <w:div w:id="91511013">
                                              <w:marLeft w:val="0"/>
                                              <w:marRight w:val="0"/>
                                              <w:marTop w:val="0"/>
                                              <w:marBottom w:val="0"/>
                                              <w:divBdr>
                                                <w:top w:val="none" w:sz="0" w:space="0" w:color="auto"/>
                                                <w:left w:val="none" w:sz="0" w:space="0" w:color="auto"/>
                                                <w:bottom w:val="none" w:sz="0" w:space="0" w:color="auto"/>
                                                <w:right w:val="none" w:sz="0" w:space="0" w:color="auto"/>
                                              </w:divBdr>
                                            </w:div>
                                            <w:div w:id="191470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041177">
                      <w:marLeft w:val="15"/>
                      <w:marRight w:val="150"/>
                      <w:marTop w:val="15"/>
                      <w:marBottom w:val="150"/>
                      <w:divBdr>
                        <w:top w:val="none" w:sz="0" w:space="0" w:color="auto"/>
                        <w:left w:val="none" w:sz="0" w:space="0" w:color="auto"/>
                        <w:bottom w:val="none" w:sz="0" w:space="0" w:color="auto"/>
                        <w:right w:val="none" w:sz="0" w:space="0" w:color="auto"/>
                      </w:divBdr>
                      <w:divsChild>
                        <w:div w:id="1474716675">
                          <w:marLeft w:val="0"/>
                          <w:marRight w:val="0"/>
                          <w:marTop w:val="0"/>
                          <w:marBottom w:val="0"/>
                          <w:divBdr>
                            <w:top w:val="single" w:sz="6" w:space="0" w:color="auto"/>
                            <w:left w:val="single" w:sz="6" w:space="0" w:color="auto"/>
                            <w:bottom w:val="single" w:sz="6" w:space="0" w:color="auto"/>
                            <w:right w:val="single" w:sz="6" w:space="0" w:color="auto"/>
                          </w:divBdr>
                          <w:divsChild>
                            <w:div w:id="153032918">
                              <w:marLeft w:val="0"/>
                              <w:marRight w:val="0"/>
                              <w:marTop w:val="0"/>
                              <w:marBottom w:val="0"/>
                              <w:divBdr>
                                <w:top w:val="none" w:sz="0" w:space="0" w:color="auto"/>
                                <w:left w:val="none" w:sz="0" w:space="0" w:color="auto"/>
                                <w:bottom w:val="none" w:sz="0" w:space="0" w:color="auto"/>
                                <w:right w:val="none" w:sz="0" w:space="0" w:color="auto"/>
                              </w:divBdr>
                              <w:divsChild>
                                <w:div w:id="1134446270">
                                  <w:marLeft w:val="0"/>
                                  <w:marRight w:val="0"/>
                                  <w:marTop w:val="0"/>
                                  <w:marBottom w:val="0"/>
                                  <w:divBdr>
                                    <w:top w:val="none" w:sz="0" w:space="0" w:color="auto"/>
                                    <w:left w:val="none" w:sz="0" w:space="0" w:color="auto"/>
                                    <w:bottom w:val="none" w:sz="0" w:space="0" w:color="auto"/>
                                    <w:right w:val="none" w:sz="0" w:space="0" w:color="auto"/>
                                  </w:divBdr>
                                  <w:divsChild>
                                    <w:div w:id="130706955">
                                      <w:marLeft w:val="0"/>
                                      <w:marRight w:val="0"/>
                                      <w:marTop w:val="0"/>
                                      <w:marBottom w:val="0"/>
                                      <w:divBdr>
                                        <w:top w:val="none" w:sz="0" w:space="0" w:color="auto"/>
                                        <w:left w:val="none" w:sz="0" w:space="0" w:color="auto"/>
                                        <w:bottom w:val="none" w:sz="0" w:space="0" w:color="auto"/>
                                        <w:right w:val="none" w:sz="0" w:space="0" w:color="auto"/>
                                      </w:divBdr>
                                      <w:divsChild>
                                        <w:div w:id="1539589168">
                                          <w:marLeft w:val="0"/>
                                          <w:marRight w:val="0"/>
                                          <w:marTop w:val="0"/>
                                          <w:marBottom w:val="0"/>
                                          <w:divBdr>
                                            <w:top w:val="none" w:sz="0" w:space="0" w:color="auto"/>
                                            <w:left w:val="none" w:sz="0" w:space="0" w:color="auto"/>
                                            <w:bottom w:val="none" w:sz="0" w:space="0" w:color="auto"/>
                                            <w:right w:val="none" w:sz="0" w:space="0" w:color="auto"/>
                                          </w:divBdr>
                                          <w:divsChild>
                                            <w:div w:id="711001688">
                                              <w:marLeft w:val="0"/>
                                              <w:marRight w:val="0"/>
                                              <w:marTop w:val="0"/>
                                              <w:marBottom w:val="0"/>
                                              <w:divBdr>
                                                <w:top w:val="none" w:sz="0" w:space="0" w:color="auto"/>
                                                <w:left w:val="none" w:sz="0" w:space="0" w:color="auto"/>
                                                <w:bottom w:val="none" w:sz="0" w:space="0" w:color="auto"/>
                                                <w:right w:val="none" w:sz="0" w:space="0" w:color="auto"/>
                                              </w:divBdr>
                                            </w:div>
                                            <w:div w:id="190699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18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527348">
                      <w:marLeft w:val="15"/>
                      <w:marRight w:val="150"/>
                      <w:marTop w:val="15"/>
                      <w:marBottom w:val="150"/>
                      <w:divBdr>
                        <w:top w:val="none" w:sz="0" w:space="0" w:color="auto"/>
                        <w:left w:val="none" w:sz="0" w:space="0" w:color="auto"/>
                        <w:bottom w:val="none" w:sz="0" w:space="0" w:color="auto"/>
                        <w:right w:val="none" w:sz="0" w:space="0" w:color="auto"/>
                      </w:divBdr>
                      <w:divsChild>
                        <w:div w:id="1755930283">
                          <w:marLeft w:val="0"/>
                          <w:marRight w:val="0"/>
                          <w:marTop w:val="0"/>
                          <w:marBottom w:val="0"/>
                          <w:divBdr>
                            <w:top w:val="single" w:sz="6" w:space="0" w:color="auto"/>
                            <w:left w:val="single" w:sz="6" w:space="0" w:color="auto"/>
                            <w:bottom w:val="single" w:sz="6" w:space="0" w:color="auto"/>
                            <w:right w:val="single" w:sz="6" w:space="0" w:color="auto"/>
                          </w:divBdr>
                          <w:divsChild>
                            <w:div w:id="1248884650">
                              <w:marLeft w:val="0"/>
                              <w:marRight w:val="0"/>
                              <w:marTop w:val="0"/>
                              <w:marBottom w:val="0"/>
                              <w:divBdr>
                                <w:top w:val="none" w:sz="0" w:space="0" w:color="auto"/>
                                <w:left w:val="none" w:sz="0" w:space="0" w:color="auto"/>
                                <w:bottom w:val="none" w:sz="0" w:space="0" w:color="auto"/>
                                <w:right w:val="none" w:sz="0" w:space="0" w:color="auto"/>
                              </w:divBdr>
                              <w:divsChild>
                                <w:div w:id="1627614985">
                                  <w:marLeft w:val="0"/>
                                  <w:marRight w:val="0"/>
                                  <w:marTop w:val="0"/>
                                  <w:marBottom w:val="0"/>
                                  <w:divBdr>
                                    <w:top w:val="none" w:sz="0" w:space="0" w:color="auto"/>
                                    <w:left w:val="none" w:sz="0" w:space="0" w:color="auto"/>
                                    <w:bottom w:val="none" w:sz="0" w:space="0" w:color="auto"/>
                                    <w:right w:val="none" w:sz="0" w:space="0" w:color="auto"/>
                                  </w:divBdr>
                                  <w:divsChild>
                                    <w:div w:id="1005012489">
                                      <w:marLeft w:val="0"/>
                                      <w:marRight w:val="0"/>
                                      <w:marTop w:val="0"/>
                                      <w:marBottom w:val="0"/>
                                      <w:divBdr>
                                        <w:top w:val="none" w:sz="0" w:space="0" w:color="auto"/>
                                        <w:left w:val="none" w:sz="0" w:space="0" w:color="auto"/>
                                        <w:bottom w:val="none" w:sz="0" w:space="0" w:color="auto"/>
                                        <w:right w:val="none" w:sz="0" w:space="0" w:color="auto"/>
                                      </w:divBdr>
                                    </w:div>
                                    <w:div w:id="1611205594">
                                      <w:marLeft w:val="0"/>
                                      <w:marRight w:val="0"/>
                                      <w:marTop w:val="0"/>
                                      <w:marBottom w:val="0"/>
                                      <w:divBdr>
                                        <w:top w:val="none" w:sz="0" w:space="0" w:color="auto"/>
                                        <w:left w:val="none" w:sz="0" w:space="0" w:color="auto"/>
                                        <w:bottom w:val="none" w:sz="0" w:space="0" w:color="auto"/>
                                        <w:right w:val="none" w:sz="0" w:space="0" w:color="auto"/>
                                      </w:divBdr>
                                      <w:divsChild>
                                        <w:div w:id="1454664921">
                                          <w:marLeft w:val="0"/>
                                          <w:marRight w:val="0"/>
                                          <w:marTop w:val="0"/>
                                          <w:marBottom w:val="0"/>
                                          <w:divBdr>
                                            <w:top w:val="none" w:sz="0" w:space="0" w:color="auto"/>
                                            <w:left w:val="none" w:sz="0" w:space="0" w:color="auto"/>
                                            <w:bottom w:val="none" w:sz="0" w:space="0" w:color="auto"/>
                                            <w:right w:val="none" w:sz="0" w:space="0" w:color="auto"/>
                                          </w:divBdr>
                                          <w:divsChild>
                                            <w:div w:id="909999595">
                                              <w:marLeft w:val="0"/>
                                              <w:marRight w:val="0"/>
                                              <w:marTop w:val="0"/>
                                              <w:marBottom w:val="0"/>
                                              <w:divBdr>
                                                <w:top w:val="none" w:sz="0" w:space="0" w:color="auto"/>
                                                <w:left w:val="none" w:sz="0" w:space="0" w:color="auto"/>
                                                <w:bottom w:val="none" w:sz="0" w:space="0" w:color="auto"/>
                                                <w:right w:val="none" w:sz="0" w:space="0" w:color="auto"/>
                                              </w:divBdr>
                                            </w:div>
                                            <w:div w:id="157817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223860">
                      <w:marLeft w:val="15"/>
                      <w:marRight w:val="150"/>
                      <w:marTop w:val="15"/>
                      <w:marBottom w:val="150"/>
                      <w:divBdr>
                        <w:top w:val="none" w:sz="0" w:space="0" w:color="auto"/>
                        <w:left w:val="none" w:sz="0" w:space="0" w:color="auto"/>
                        <w:bottom w:val="none" w:sz="0" w:space="0" w:color="auto"/>
                        <w:right w:val="none" w:sz="0" w:space="0" w:color="auto"/>
                      </w:divBdr>
                      <w:divsChild>
                        <w:div w:id="1024868613">
                          <w:marLeft w:val="0"/>
                          <w:marRight w:val="0"/>
                          <w:marTop w:val="0"/>
                          <w:marBottom w:val="0"/>
                          <w:divBdr>
                            <w:top w:val="single" w:sz="6" w:space="0" w:color="auto"/>
                            <w:left w:val="single" w:sz="6" w:space="0" w:color="auto"/>
                            <w:bottom w:val="single" w:sz="6" w:space="0" w:color="auto"/>
                            <w:right w:val="single" w:sz="6" w:space="0" w:color="auto"/>
                          </w:divBdr>
                          <w:divsChild>
                            <w:div w:id="1856339278">
                              <w:marLeft w:val="0"/>
                              <w:marRight w:val="0"/>
                              <w:marTop w:val="0"/>
                              <w:marBottom w:val="0"/>
                              <w:divBdr>
                                <w:top w:val="none" w:sz="0" w:space="0" w:color="auto"/>
                                <w:left w:val="none" w:sz="0" w:space="0" w:color="auto"/>
                                <w:bottom w:val="none" w:sz="0" w:space="0" w:color="auto"/>
                                <w:right w:val="none" w:sz="0" w:space="0" w:color="auto"/>
                              </w:divBdr>
                              <w:divsChild>
                                <w:div w:id="2138912698">
                                  <w:marLeft w:val="0"/>
                                  <w:marRight w:val="0"/>
                                  <w:marTop w:val="0"/>
                                  <w:marBottom w:val="0"/>
                                  <w:divBdr>
                                    <w:top w:val="none" w:sz="0" w:space="0" w:color="auto"/>
                                    <w:left w:val="none" w:sz="0" w:space="0" w:color="auto"/>
                                    <w:bottom w:val="none" w:sz="0" w:space="0" w:color="auto"/>
                                    <w:right w:val="none" w:sz="0" w:space="0" w:color="auto"/>
                                  </w:divBdr>
                                  <w:divsChild>
                                    <w:div w:id="982808110">
                                      <w:marLeft w:val="0"/>
                                      <w:marRight w:val="0"/>
                                      <w:marTop w:val="0"/>
                                      <w:marBottom w:val="0"/>
                                      <w:divBdr>
                                        <w:top w:val="none" w:sz="0" w:space="0" w:color="auto"/>
                                        <w:left w:val="none" w:sz="0" w:space="0" w:color="auto"/>
                                        <w:bottom w:val="none" w:sz="0" w:space="0" w:color="auto"/>
                                        <w:right w:val="none" w:sz="0" w:space="0" w:color="auto"/>
                                      </w:divBdr>
                                    </w:div>
                                    <w:div w:id="1953316680">
                                      <w:marLeft w:val="0"/>
                                      <w:marRight w:val="0"/>
                                      <w:marTop w:val="0"/>
                                      <w:marBottom w:val="0"/>
                                      <w:divBdr>
                                        <w:top w:val="none" w:sz="0" w:space="0" w:color="auto"/>
                                        <w:left w:val="none" w:sz="0" w:space="0" w:color="auto"/>
                                        <w:bottom w:val="none" w:sz="0" w:space="0" w:color="auto"/>
                                        <w:right w:val="none" w:sz="0" w:space="0" w:color="auto"/>
                                      </w:divBdr>
                                      <w:divsChild>
                                        <w:div w:id="1764914034">
                                          <w:marLeft w:val="0"/>
                                          <w:marRight w:val="0"/>
                                          <w:marTop w:val="0"/>
                                          <w:marBottom w:val="0"/>
                                          <w:divBdr>
                                            <w:top w:val="none" w:sz="0" w:space="0" w:color="auto"/>
                                            <w:left w:val="none" w:sz="0" w:space="0" w:color="auto"/>
                                            <w:bottom w:val="none" w:sz="0" w:space="0" w:color="auto"/>
                                            <w:right w:val="none" w:sz="0" w:space="0" w:color="auto"/>
                                          </w:divBdr>
                                          <w:divsChild>
                                            <w:div w:id="696851721">
                                              <w:marLeft w:val="0"/>
                                              <w:marRight w:val="0"/>
                                              <w:marTop w:val="0"/>
                                              <w:marBottom w:val="0"/>
                                              <w:divBdr>
                                                <w:top w:val="none" w:sz="0" w:space="0" w:color="auto"/>
                                                <w:left w:val="none" w:sz="0" w:space="0" w:color="auto"/>
                                                <w:bottom w:val="none" w:sz="0" w:space="0" w:color="auto"/>
                                                <w:right w:val="none" w:sz="0" w:space="0" w:color="auto"/>
                                              </w:divBdr>
                                            </w:div>
                                            <w:div w:id="147090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4302707">
                      <w:marLeft w:val="15"/>
                      <w:marRight w:val="150"/>
                      <w:marTop w:val="15"/>
                      <w:marBottom w:val="150"/>
                      <w:divBdr>
                        <w:top w:val="none" w:sz="0" w:space="0" w:color="auto"/>
                        <w:left w:val="none" w:sz="0" w:space="0" w:color="auto"/>
                        <w:bottom w:val="none" w:sz="0" w:space="0" w:color="auto"/>
                        <w:right w:val="none" w:sz="0" w:space="0" w:color="auto"/>
                      </w:divBdr>
                      <w:divsChild>
                        <w:div w:id="1023632080">
                          <w:marLeft w:val="0"/>
                          <w:marRight w:val="0"/>
                          <w:marTop w:val="0"/>
                          <w:marBottom w:val="0"/>
                          <w:divBdr>
                            <w:top w:val="single" w:sz="6" w:space="0" w:color="auto"/>
                            <w:left w:val="single" w:sz="6" w:space="0" w:color="auto"/>
                            <w:bottom w:val="single" w:sz="6" w:space="0" w:color="auto"/>
                            <w:right w:val="single" w:sz="6" w:space="0" w:color="auto"/>
                          </w:divBdr>
                          <w:divsChild>
                            <w:div w:id="1914004562">
                              <w:marLeft w:val="0"/>
                              <w:marRight w:val="0"/>
                              <w:marTop w:val="0"/>
                              <w:marBottom w:val="0"/>
                              <w:divBdr>
                                <w:top w:val="none" w:sz="0" w:space="0" w:color="auto"/>
                                <w:left w:val="none" w:sz="0" w:space="0" w:color="auto"/>
                                <w:bottom w:val="none" w:sz="0" w:space="0" w:color="auto"/>
                                <w:right w:val="none" w:sz="0" w:space="0" w:color="auto"/>
                              </w:divBdr>
                              <w:divsChild>
                                <w:div w:id="455955672">
                                  <w:marLeft w:val="0"/>
                                  <w:marRight w:val="0"/>
                                  <w:marTop w:val="0"/>
                                  <w:marBottom w:val="0"/>
                                  <w:divBdr>
                                    <w:top w:val="none" w:sz="0" w:space="0" w:color="auto"/>
                                    <w:left w:val="none" w:sz="0" w:space="0" w:color="auto"/>
                                    <w:bottom w:val="none" w:sz="0" w:space="0" w:color="auto"/>
                                    <w:right w:val="none" w:sz="0" w:space="0" w:color="auto"/>
                                  </w:divBdr>
                                  <w:divsChild>
                                    <w:div w:id="320278498">
                                      <w:marLeft w:val="0"/>
                                      <w:marRight w:val="0"/>
                                      <w:marTop w:val="0"/>
                                      <w:marBottom w:val="0"/>
                                      <w:divBdr>
                                        <w:top w:val="none" w:sz="0" w:space="0" w:color="auto"/>
                                        <w:left w:val="none" w:sz="0" w:space="0" w:color="auto"/>
                                        <w:bottom w:val="none" w:sz="0" w:space="0" w:color="auto"/>
                                        <w:right w:val="none" w:sz="0" w:space="0" w:color="auto"/>
                                      </w:divBdr>
                                      <w:divsChild>
                                        <w:div w:id="373430848">
                                          <w:marLeft w:val="0"/>
                                          <w:marRight w:val="0"/>
                                          <w:marTop w:val="0"/>
                                          <w:marBottom w:val="0"/>
                                          <w:divBdr>
                                            <w:top w:val="none" w:sz="0" w:space="0" w:color="auto"/>
                                            <w:left w:val="none" w:sz="0" w:space="0" w:color="auto"/>
                                            <w:bottom w:val="none" w:sz="0" w:space="0" w:color="auto"/>
                                            <w:right w:val="none" w:sz="0" w:space="0" w:color="auto"/>
                                          </w:divBdr>
                                          <w:divsChild>
                                            <w:div w:id="1429350889">
                                              <w:marLeft w:val="0"/>
                                              <w:marRight w:val="0"/>
                                              <w:marTop w:val="0"/>
                                              <w:marBottom w:val="0"/>
                                              <w:divBdr>
                                                <w:top w:val="none" w:sz="0" w:space="0" w:color="auto"/>
                                                <w:left w:val="none" w:sz="0" w:space="0" w:color="auto"/>
                                                <w:bottom w:val="none" w:sz="0" w:space="0" w:color="auto"/>
                                                <w:right w:val="none" w:sz="0" w:space="0" w:color="auto"/>
                                              </w:divBdr>
                                            </w:div>
                                            <w:div w:id="148322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43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692376">
                      <w:marLeft w:val="15"/>
                      <w:marRight w:val="150"/>
                      <w:marTop w:val="15"/>
                      <w:marBottom w:val="150"/>
                      <w:divBdr>
                        <w:top w:val="none" w:sz="0" w:space="0" w:color="auto"/>
                        <w:left w:val="none" w:sz="0" w:space="0" w:color="auto"/>
                        <w:bottom w:val="none" w:sz="0" w:space="0" w:color="auto"/>
                        <w:right w:val="none" w:sz="0" w:space="0" w:color="auto"/>
                      </w:divBdr>
                      <w:divsChild>
                        <w:div w:id="952711558">
                          <w:marLeft w:val="0"/>
                          <w:marRight w:val="0"/>
                          <w:marTop w:val="0"/>
                          <w:marBottom w:val="0"/>
                          <w:divBdr>
                            <w:top w:val="single" w:sz="6" w:space="0" w:color="auto"/>
                            <w:left w:val="single" w:sz="6" w:space="0" w:color="auto"/>
                            <w:bottom w:val="single" w:sz="6" w:space="0" w:color="auto"/>
                            <w:right w:val="single" w:sz="6" w:space="0" w:color="auto"/>
                          </w:divBdr>
                          <w:divsChild>
                            <w:div w:id="520709625">
                              <w:marLeft w:val="0"/>
                              <w:marRight w:val="0"/>
                              <w:marTop w:val="0"/>
                              <w:marBottom w:val="0"/>
                              <w:divBdr>
                                <w:top w:val="none" w:sz="0" w:space="0" w:color="auto"/>
                                <w:left w:val="none" w:sz="0" w:space="0" w:color="auto"/>
                                <w:bottom w:val="none" w:sz="0" w:space="0" w:color="auto"/>
                                <w:right w:val="none" w:sz="0" w:space="0" w:color="auto"/>
                              </w:divBdr>
                              <w:divsChild>
                                <w:div w:id="1239441876">
                                  <w:marLeft w:val="0"/>
                                  <w:marRight w:val="0"/>
                                  <w:marTop w:val="0"/>
                                  <w:marBottom w:val="0"/>
                                  <w:divBdr>
                                    <w:top w:val="none" w:sz="0" w:space="0" w:color="auto"/>
                                    <w:left w:val="none" w:sz="0" w:space="0" w:color="auto"/>
                                    <w:bottom w:val="none" w:sz="0" w:space="0" w:color="auto"/>
                                    <w:right w:val="none" w:sz="0" w:space="0" w:color="auto"/>
                                  </w:divBdr>
                                  <w:divsChild>
                                    <w:div w:id="1548910329">
                                      <w:marLeft w:val="0"/>
                                      <w:marRight w:val="0"/>
                                      <w:marTop w:val="0"/>
                                      <w:marBottom w:val="0"/>
                                      <w:divBdr>
                                        <w:top w:val="none" w:sz="0" w:space="0" w:color="auto"/>
                                        <w:left w:val="none" w:sz="0" w:space="0" w:color="auto"/>
                                        <w:bottom w:val="none" w:sz="0" w:space="0" w:color="auto"/>
                                        <w:right w:val="none" w:sz="0" w:space="0" w:color="auto"/>
                                      </w:divBdr>
                                    </w:div>
                                    <w:div w:id="1629051349">
                                      <w:marLeft w:val="0"/>
                                      <w:marRight w:val="0"/>
                                      <w:marTop w:val="0"/>
                                      <w:marBottom w:val="0"/>
                                      <w:divBdr>
                                        <w:top w:val="none" w:sz="0" w:space="0" w:color="auto"/>
                                        <w:left w:val="none" w:sz="0" w:space="0" w:color="auto"/>
                                        <w:bottom w:val="none" w:sz="0" w:space="0" w:color="auto"/>
                                        <w:right w:val="none" w:sz="0" w:space="0" w:color="auto"/>
                                      </w:divBdr>
                                      <w:divsChild>
                                        <w:div w:id="433093363">
                                          <w:marLeft w:val="0"/>
                                          <w:marRight w:val="0"/>
                                          <w:marTop w:val="0"/>
                                          <w:marBottom w:val="0"/>
                                          <w:divBdr>
                                            <w:top w:val="none" w:sz="0" w:space="0" w:color="auto"/>
                                            <w:left w:val="none" w:sz="0" w:space="0" w:color="auto"/>
                                            <w:bottom w:val="none" w:sz="0" w:space="0" w:color="auto"/>
                                            <w:right w:val="none" w:sz="0" w:space="0" w:color="auto"/>
                                          </w:divBdr>
                                          <w:divsChild>
                                            <w:div w:id="647514142">
                                              <w:marLeft w:val="0"/>
                                              <w:marRight w:val="0"/>
                                              <w:marTop w:val="0"/>
                                              <w:marBottom w:val="0"/>
                                              <w:divBdr>
                                                <w:top w:val="none" w:sz="0" w:space="0" w:color="auto"/>
                                                <w:left w:val="none" w:sz="0" w:space="0" w:color="auto"/>
                                                <w:bottom w:val="none" w:sz="0" w:space="0" w:color="auto"/>
                                                <w:right w:val="none" w:sz="0" w:space="0" w:color="auto"/>
                                              </w:divBdr>
                                            </w:div>
                                            <w:div w:id="117430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24282">
                      <w:marLeft w:val="15"/>
                      <w:marRight w:val="150"/>
                      <w:marTop w:val="15"/>
                      <w:marBottom w:val="150"/>
                      <w:divBdr>
                        <w:top w:val="none" w:sz="0" w:space="0" w:color="auto"/>
                        <w:left w:val="none" w:sz="0" w:space="0" w:color="auto"/>
                        <w:bottom w:val="none" w:sz="0" w:space="0" w:color="auto"/>
                        <w:right w:val="none" w:sz="0" w:space="0" w:color="auto"/>
                      </w:divBdr>
                      <w:divsChild>
                        <w:div w:id="1117522991">
                          <w:marLeft w:val="0"/>
                          <w:marRight w:val="0"/>
                          <w:marTop w:val="0"/>
                          <w:marBottom w:val="0"/>
                          <w:divBdr>
                            <w:top w:val="single" w:sz="6" w:space="0" w:color="auto"/>
                            <w:left w:val="single" w:sz="6" w:space="0" w:color="auto"/>
                            <w:bottom w:val="single" w:sz="6" w:space="0" w:color="auto"/>
                            <w:right w:val="single" w:sz="6" w:space="0" w:color="auto"/>
                          </w:divBdr>
                          <w:divsChild>
                            <w:div w:id="112018051">
                              <w:marLeft w:val="0"/>
                              <w:marRight w:val="0"/>
                              <w:marTop w:val="0"/>
                              <w:marBottom w:val="0"/>
                              <w:divBdr>
                                <w:top w:val="none" w:sz="0" w:space="0" w:color="auto"/>
                                <w:left w:val="none" w:sz="0" w:space="0" w:color="auto"/>
                                <w:bottom w:val="none" w:sz="0" w:space="0" w:color="auto"/>
                                <w:right w:val="none" w:sz="0" w:space="0" w:color="auto"/>
                              </w:divBdr>
                              <w:divsChild>
                                <w:div w:id="127742382">
                                  <w:marLeft w:val="0"/>
                                  <w:marRight w:val="0"/>
                                  <w:marTop w:val="0"/>
                                  <w:marBottom w:val="0"/>
                                  <w:divBdr>
                                    <w:top w:val="none" w:sz="0" w:space="0" w:color="auto"/>
                                    <w:left w:val="none" w:sz="0" w:space="0" w:color="auto"/>
                                    <w:bottom w:val="none" w:sz="0" w:space="0" w:color="auto"/>
                                    <w:right w:val="none" w:sz="0" w:space="0" w:color="auto"/>
                                  </w:divBdr>
                                  <w:divsChild>
                                    <w:div w:id="580484583">
                                      <w:marLeft w:val="0"/>
                                      <w:marRight w:val="0"/>
                                      <w:marTop w:val="0"/>
                                      <w:marBottom w:val="0"/>
                                      <w:divBdr>
                                        <w:top w:val="none" w:sz="0" w:space="0" w:color="auto"/>
                                        <w:left w:val="none" w:sz="0" w:space="0" w:color="auto"/>
                                        <w:bottom w:val="none" w:sz="0" w:space="0" w:color="auto"/>
                                        <w:right w:val="none" w:sz="0" w:space="0" w:color="auto"/>
                                      </w:divBdr>
                                      <w:divsChild>
                                        <w:div w:id="2020547223">
                                          <w:marLeft w:val="0"/>
                                          <w:marRight w:val="0"/>
                                          <w:marTop w:val="0"/>
                                          <w:marBottom w:val="0"/>
                                          <w:divBdr>
                                            <w:top w:val="none" w:sz="0" w:space="0" w:color="auto"/>
                                            <w:left w:val="none" w:sz="0" w:space="0" w:color="auto"/>
                                            <w:bottom w:val="none" w:sz="0" w:space="0" w:color="auto"/>
                                            <w:right w:val="none" w:sz="0" w:space="0" w:color="auto"/>
                                          </w:divBdr>
                                          <w:divsChild>
                                            <w:div w:id="783887846">
                                              <w:marLeft w:val="0"/>
                                              <w:marRight w:val="0"/>
                                              <w:marTop w:val="0"/>
                                              <w:marBottom w:val="0"/>
                                              <w:divBdr>
                                                <w:top w:val="none" w:sz="0" w:space="0" w:color="auto"/>
                                                <w:left w:val="none" w:sz="0" w:space="0" w:color="auto"/>
                                                <w:bottom w:val="none" w:sz="0" w:space="0" w:color="auto"/>
                                                <w:right w:val="none" w:sz="0" w:space="0" w:color="auto"/>
                                              </w:divBdr>
                                            </w:div>
                                            <w:div w:id="170833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4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884288">
                      <w:marLeft w:val="15"/>
                      <w:marRight w:val="150"/>
                      <w:marTop w:val="15"/>
                      <w:marBottom w:val="150"/>
                      <w:divBdr>
                        <w:top w:val="none" w:sz="0" w:space="0" w:color="auto"/>
                        <w:left w:val="none" w:sz="0" w:space="0" w:color="auto"/>
                        <w:bottom w:val="none" w:sz="0" w:space="0" w:color="auto"/>
                        <w:right w:val="none" w:sz="0" w:space="0" w:color="auto"/>
                      </w:divBdr>
                      <w:divsChild>
                        <w:div w:id="1959098926">
                          <w:marLeft w:val="0"/>
                          <w:marRight w:val="0"/>
                          <w:marTop w:val="0"/>
                          <w:marBottom w:val="0"/>
                          <w:divBdr>
                            <w:top w:val="single" w:sz="6" w:space="0" w:color="auto"/>
                            <w:left w:val="single" w:sz="6" w:space="0" w:color="auto"/>
                            <w:bottom w:val="single" w:sz="6" w:space="0" w:color="auto"/>
                            <w:right w:val="single" w:sz="6" w:space="0" w:color="auto"/>
                          </w:divBdr>
                          <w:divsChild>
                            <w:div w:id="1214462252">
                              <w:marLeft w:val="0"/>
                              <w:marRight w:val="0"/>
                              <w:marTop w:val="0"/>
                              <w:marBottom w:val="0"/>
                              <w:divBdr>
                                <w:top w:val="none" w:sz="0" w:space="0" w:color="auto"/>
                                <w:left w:val="none" w:sz="0" w:space="0" w:color="auto"/>
                                <w:bottom w:val="none" w:sz="0" w:space="0" w:color="auto"/>
                                <w:right w:val="none" w:sz="0" w:space="0" w:color="auto"/>
                              </w:divBdr>
                              <w:divsChild>
                                <w:div w:id="1116292603">
                                  <w:marLeft w:val="0"/>
                                  <w:marRight w:val="0"/>
                                  <w:marTop w:val="0"/>
                                  <w:marBottom w:val="0"/>
                                  <w:divBdr>
                                    <w:top w:val="none" w:sz="0" w:space="0" w:color="auto"/>
                                    <w:left w:val="none" w:sz="0" w:space="0" w:color="auto"/>
                                    <w:bottom w:val="none" w:sz="0" w:space="0" w:color="auto"/>
                                    <w:right w:val="none" w:sz="0" w:space="0" w:color="auto"/>
                                  </w:divBdr>
                                  <w:divsChild>
                                    <w:div w:id="792753949">
                                      <w:marLeft w:val="0"/>
                                      <w:marRight w:val="0"/>
                                      <w:marTop w:val="0"/>
                                      <w:marBottom w:val="0"/>
                                      <w:divBdr>
                                        <w:top w:val="none" w:sz="0" w:space="0" w:color="auto"/>
                                        <w:left w:val="none" w:sz="0" w:space="0" w:color="auto"/>
                                        <w:bottom w:val="none" w:sz="0" w:space="0" w:color="auto"/>
                                        <w:right w:val="none" w:sz="0" w:space="0" w:color="auto"/>
                                      </w:divBdr>
                                    </w:div>
                                    <w:div w:id="1668051704">
                                      <w:marLeft w:val="0"/>
                                      <w:marRight w:val="0"/>
                                      <w:marTop w:val="0"/>
                                      <w:marBottom w:val="0"/>
                                      <w:divBdr>
                                        <w:top w:val="none" w:sz="0" w:space="0" w:color="auto"/>
                                        <w:left w:val="none" w:sz="0" w:space="0" w:color="auto"/>
                                        <w:bottom w:val="none" w:sz="0" w:space="0" w:color="auto"/>
                                        <w:right w:val="none" w:sz="0" w:space="0" w:color="auto"/>
                                      </w:divBdr>
                                      <w:divsChild>
                                        <w:div w:id="2018729459">
                                          <w:marLeft w:val="0"/>
                                          <w:marRight w:val="0"/>
                                          <w:marTop w:val="0"/>
                                          <w:marBottom w:val="0"/>
                                          <w:divBdr>
                                            <w:top w:val="none" w:sz="0" w:space="0" w:color="auto"/>
                                            <w:left w:val="none" w:sz="0" w:space="0" w:color="auto"/>
                                            <w:bottom w:val="none" w:sz="0" w:space="0" w:color="auto"/>
                                            <w:right w:val="none" w:sz="0" w:space="0" w:color="auto"/>
                                          </w:divBdr>
                                          <w:divsChild>
                                            <w:div w:id="300233598">
                                              <w:marLeft w:val="0"/>
                                              <w:marRight w:val="0"/>
                                              <w:marTop w:val="0"/>
                                              <w:marBottom w:val="0"/>
                                              <w:divBdr>
                                                <w:top w:val="none" w:sz="0" w:space="0" w:color="auto"/>
                                                <w:left w:val="none" w:sz="0" w:space="0" w:color="auto"/>
                                                <w:bottom w:val="none" w:sz="0" w:space="0" w:color="auto"/>
                                                <w:right w:val="none" w:sz="0" w:space="0" w:color="auto"/>
                                              </w:divBdr>
                                            </w:div>
                                            <w:div w:id="155366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5558852">
                      <w:marLeft w:val="15"/>
                      <w:marRight w:val="150"/>
                      <w:marTop w:val="15"/>
                      <w:marBottom w:val="150"/>
                      <w:divBdr>
                        <w:top w:val="none" w:sz="0" w:space="0" w:color="auto"/>
                        <w:left w:val="none" w:sz="0" w:space="0" w:color="auto"/>
                        <w:bottom w:val="none" w:sz="0" w:space="0" w:color="auto"/>
                        <w:right w:val="none" w:sz="0" w:space="0" w:color="auto"/>
                      </w:divBdr>
                      <w:divsChild>
                        <w:div w:id="1597441127">
                          <w:marLeft w:val="0"/>
                          <w:marRight w:val="0"/>
                          <w:marTop w:val="0"/>
                          <w:marBottom w:val="0"/>
                          <w:divBdr>
                            <w:top w:val="single" w:sz="6" w:space="0" w:color="auto"/>
                            <w:left w:val="single" w:sz="6" w:space="0" w:color="auto"/>
                            <w:bottom w:val="single" w:sz="6" w:space="0" w:color="auto"/>
                            <w:right w:val="single" w:sz="6" w:space="0" w:color="auto"/>
                          </w:divBdr>
                          <w:divsChild>
                            <w:div w:id="181943773">
                              <w:marLeft w:val="0"/>
                              <w:marRight w:val="0"/>
                              <w:marTop w:val="0"/>
                              <w:marBottom w:val="0"/>
                              <w:divBdr>
                                <w:top w:val="none" w:sz="0" w:space="0" w:color="auto"/>
                                <w:left w:val="none" w:sz="0" w:space="0" w:color="auto"/>
                                <w:bottom w:val="none" w:sz="0" w:space="0" w:color="auto"/>
                                <w:right w:val="none" w:sz="0" w:space="0" w:color="auto"/>
                              </w:divBdr>
                              <w:divsChild>
                                <w:div w:id="1746489827">
                                  <w:marLeft w:val="0"/>
                                  <w:marRight w:val="0"/>
                                  <w:marTop w:val="0"/>
                                  <w:marBottom w:val="0"/>
                                  <w:divBdr>
                                    <w:top w:val="none" w:sz="0" w:space="0" w:color="auto"/>
                                    <w:left w:val="none" w:sz="0" w:space="0" w:color="auto"/>
                                    <w:bottom w:val="none" w:sz="0" w:space="0" w:color="auto"/>
                                    <w:right w:val="none" w:sz="0" w:space="0" w:color="auto"/>
                                  </w:divBdr>
                                  <w:divsChild>
                                    <w:div w:id="1414160810">
                                      <w:marLeft w:val="0"/>
                                      <w:marRight w:val="0"/>
                                      <w:marTop w:val="0"/>
                                      <w:marBottom w:val="0"/>
                                      <w:divBdr>
                                        <w:top w:val="none" w:sz="0" w:space="0" w:color="auto"/>
                                        <w:left w:val="none" w:sz="0" w:space="0" w:color="auto"/>
                                        <w:bottom w:val="none" w:sz="0" w:space="0" w:color="auto"/>
                                        <w:right w:val="none" w:sz="0" w:space="0" w:color="auto"/>
                                      </w:divBdr>
                                      <w:divsChild>
                                        <w:div w:id="172107534">
                                          <w:marLeft w:val="0"/>
                                          <w:marRight w:val="0"/>
                                          <w:marTop w:val="0"/>
                                          <w:marBottom w:val="0"/>
                                          <w:divBdr>
                                            <w:top w:val="none" w:sz="0" w:space="0" w:color="auto"/>
                                            <w:left w:val="none" w:sz="0" w:space="0" w:color="auto"/>
                                            <w:bottom w:val="none" w:sz="0" w:space="0" w:color="auto"/>
                                            <w:right w:val="none" w:sz="0" w:space="0" w:color="auto"/>
                                          </w:divBdr>
                                          <w:divsChild>
                                            <w:div w:id="1231233652">
                                              <w:marLeft w:val="0"/>
                                              <w:marRight w:val="0"/>
                                              <w:marTop w:val="0"/>
                                              <w:marBottom w:val="0"/>
                                              <w:divBdr>
                                                <w:top w:val="none" w:sz="0" w:space="0" w:color="auto"/>
                                                <w:left w:val="none" w:sz="0" w:space="0" w:color="auto"/>
                                                <w:bottom w:val="none" w:sz="0" w:space="0" w:color="auto"/>
                                                <w:right w:val="none" w:sz="0" w:space="0" w:color="auto"/>
                                              </w:divBdr>
                                            </w:div>
                                            <w:div w:id="125462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762963">
          <w:marLeft w:val="0"/>
          <w:marRight w:val="0"/>
          <w:marTop w:val="0"/>
          <w:marBottom w:val="0"/>
          <w:divBdr>
            <w:top w:val="none" w:sz="0" w:space="0" w:color="auto"/>
            <w:left w:val="none" w:sz="0" w:space="0" w:color="auto"/>
            <w:bottom w:val="none" w:sz="0" w:space="0" w:color="auto"/>
            <w:right w:val="none" w:sz="0" w:space="0" w:color="auto"/>
          </w:divBdr>
          <w:divsChild>
            <w:div w:id="510533697">
              <w:marLeft w:val="0"/>
              <w:marRight w:val="0"/>
              <w:marTop w:val="0"/>
              <w:marBottom w:val="0"/>
              <w:divBdr>
                <w:top w:val="none" w:sz="0" w:space="0" w:color="auto"/>
                <w:left w:val="none" w:sz="0" w:space="0" w:color="auto"/>
                <w:bottom w:val="none" w:sz="0" w:space="0" w:color="auto"/>
                <w:right w:val="none" w:sz="0" w:space="0" w:color="auto"/>
              </w:divBdr>
              <w:divsChild>
                <w:div w:id="702901690">
                  <w:marLeft w:val="0"/>
                  <w:marRight w:val="0"/>
                  <w:marTop w:val="0"/>
                  <w:marBottom w:val="0"/>
                  <w:divBdr>
                    <w:top w:val="none" w:sz="0" w:space="0" w:color="auto"/>
                    <w:left w:val="none" w:sz="0" w:space="0" w:color="auto"/>
                    <w:bottom w:val="none" w:sz="0" w:space="0" w:color="auto"/>
                    <w:right w:val="none" w:sz="0" w:space="0" w:color="auto"/>
                  </w:divBdr>
                  <w:divsChild>
                    <w:div w:id="1446928325">
                      <w:marLeft w:val="0"/>
                      <w:marRight w:val="0"/>
                      <w:marTop w:val="0"/>
                      <w:marBottom w:val="0"/>
                      <w:divBdr>
                        <w:top w:val="none" w:sz="0" w:space="0" w:color="auto"/>
                        <w:left w:val="none" w:sz="0" w:space="0" w:color="auto"/>
                        <w:bottom w:val="none" w:sz="0" w:space="0" w:color="auto"/>
                        <w:right w:val="none" w:sz="0" w:space="0" w:color="auto"/>
                      </w:divBdr>
                      <w:divsChild>
                        <w:div w:id="685403296">
                          <w:marLeft w:val="0"/>
                          <w:marRight w:val="0"/>
                          <w:marTop w:val="60"/>
                          <w:marBottom w:val="0"/>
                          <w:divBdr>
                            <w:top w:val="none" w:sz="0" w:space="0" w:color="auto"/>
                            <w:left w:val="none" w:sz="0" w:space="0" w:color="auto"/>
                            <w:bottom w:val="none" w:sz="0" w:space="0" w:color="auto"/>
                            <w:right w:val="none" w:sz="0" w:space="0" w:color="auto"/>
                          </w:divBdr>
                          <w:divsChild>
                            <w:div w:id="20010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688710">
      <w:bodyDiv w:val="1"/>
      <w:marLeft w:val="0"/>
      <w:marRight w:val="0"/>
      <w:marTop w:val="0"/>
      <w:marBottom w:val="0"/>
      <w:divBdr>
        <w:top w:val="none" w:sz="0" w:space="0" w:color="auto"/>
        <w:left w:val="none" w:sz="0" w:space="0" w:color="auto"/>
        <w:bottom w:val="none" w:sz="0" w:space="0" w:color="auto"/>
        <w:right w:val="none" w:sz="0" w:space="0" w:color="auto"/>
      </w:divBdr>
    </w:div>
    <w:div w:id="1641836400">
      <w:bodyDiv w:val="1"/>
      <w:marLeft w:val="0"/>
      <w:marRight w:val="0"/>
      <w:marTop w:val="0"/>
      <w:marBottom w:val="0"/>
      <w:divBdr>
        <w:top w:val="none" w:sz="0" w:space="0" w:color="auto"/>
        <w:left w:val="none" w:sz="0" w:space="0" w:color="auto"/>
        <w:bottom w:val="none" w:sz="0" w:space="0" w:color="auto"/>
        <w:right w:val="none" w:sz="0" w:space="0" w:color="auto"/>
      </w:divBdr>
    </w:div>
    <w:div w:id="1644309324">
      <w:bodyDiv w:val="1"/>
      <w:marLeft w:val="0"/>
      <w:marRight w:val="0"/>
      <w:marTop w:val="0"/>
      <w:marBottom w:val="0"/>
      <w:divBdr>
        <w:top w:val="none" w:sz="0" w:space="0" w:color="auto"/>
        <w:left w:val="none" w:sz="0" w:space="0" w:color="auto"/>
        <w:bottom w:val="none" w:sz="0" w:space="0" w:color="auto"/>
        <w:right w:val="none" w:sz="0" w:space="0" w:color="auto"/>
      </w:divBdr>
    </w:div>
    <w:div w:id="1648625156">
      <w:bodyDiv w:val="1"/>
      <w:marLeft w:val="0"/>
      <w:marRight w:val="0"/>
      <w:marTop w:val="0"/>
      <w:marBottom w:val="0"/>
      <w:divBdr>
        <w:top w:val="none" w:sz="0" w:space="0" w:color="auto"/>
        <w:left w:val="none" w:sz="0" w:space="0" w:color="auto"/>
        <w:bottom w:val="none" w:sz="0" w:space="0" w:color="auto"/>
        <w:right w:val="none" w:sz="0" w:space="0" w:color="auto"/>
      </w:divBdr>
    </w:div>
    <w:div w:id="1649430517">
      <w:bodyDiv w:val="1"/>
      <w:marLeft w:val="0"/>
      <w:marRight w:val="0"/>
      <w:marTop w:val="0"/>
      <w:marBottom w:val="0"/>
      <w:divBdr>
        <w:top w:val="none" w:sz="0" w:space="0" w:color="auto"/>
        <w:left w:val="none" w:sz="0" w:space="0" w:color="auto"/>
        <w:bottom w:val="none" w:sz="0" w:space="0" w:color="auto"/>
        <w:right w:val="none" w:sz="0" w:space="0" w:color="auto"/>
      </w:divBdr>
    </w:div>
    <w:div w:id="1650279830">
      <w:bodyDiv w:val="1"/>
      <w:marLeft w:val="0"/>
      <w:marRight w:val="0"/>
      <w:marTop w:val="0"/>
      <w:marBottom w:val="0"/>
      <w:divBdr>
        <w:top w:val="none" w:sz="0" w:space="0" w:color="auto"/>
        <w:left w:val="none" w:sz="0" w:space="0" w:color="auto"/>
        <w:bottom w:val="none" w:sz="0" w:space="0" w:color="auto"/>
        <w:right w:val="none" w:sz="0" w:space="0" w:color="auto"/>
      </w:divBdr>
    </w:div>
    <w:div w:id="1651325141">
      <w:bodyDiv w:val="1"/>
      <w:marLeft w:val="0"/>
      <w:marRight w:val="0"/>
      <w:marTop w:val="0"/>
      <w:marBottom w:val="0"/>
      <w:divBdr>
        <w:top w:val="none" w:sz="0" w:space="0" w:color="auto"/>
        <w:left w:val="none" w:sz="0" w:space="0" w:color="auto"/>
        <w:bottom w:val="none" w:sz="0" w:space="0" w:color="auto"/>
        <w:right w:val="none" w:sz="0" w:space="0" w:color="auto"/>
      </w:divBdr>
    </w:div>
    <w:div w:id="1652561918">
      <w:bodyDiv w:val="1"/>
      <w:marLeft w:val="0"/>
      <w:marRight w:val="0"/>
      <w:marTop w:val="0"/>
      <w:marBottom w:val="0"/>
      <w:divBdr>
        <w:top w:val="none" w:sz="0" w:space="0" w:color="auto"/>
        <w:left w:val="none" w:sz="0" w:space="0" w:color="auto"/>
        <w:bottom w:val="none" w:sz="0" w:space="0" w:color="auto"/>
        <w:right w:val="none" w:sz="0" w:space="0" w:color="auto"/>
      </w:divBdr>
    </w:div>
    <w:div w:id="1656452400">
      <w:bodyDiv w:val="1"/>
      <w:marLeft w:val="0"/>
      <w:marRight w:val="0"/>
      <w:marTop w:val="0"/>
      <w:marBottom w:val="0"/>
      <w:divBdr>
        <w:top w:val="none" w:sz="0" w:space="0" w:color="auto"/>
        <w:left w:val="none" w:sz="0" w:space="0" w:color="auto"/>
        <w:bottom w:val="none" w:sz="0" w:space="0" w:color="auto"/>
        <w:right w:val="none" w:sz="0" w:space="0" w:color="auto"/>
      </w:divBdr>
    </w:div>
    <w:div w:id="1658605388">
      <w:bodyDiv w:val="1"/>
      <w:marLeft w:val="0"/>
      <w:marRight w:val="0"/>
      <w:marTop w:val="0"/>
      <w:marBottom w:val="0"/>
      <w:divBdr>
        <w:top w:val="none" w:sz="0" w:space="0" w:color="auto"/>
        <w:left w:val="none" w:sz="0" w:space="0" w:color="auto"/>
        <w:bottom w:val="none" w:sz="0" w:space="0" w:color="auto"/>
        <w:right w:val="none" w:sz="0" w:space="0" w:color="auto"/>
      </w:divBdr>
    </w:div>
    <w:div w:id="1666127760">
      <w:bodyDiv w:val="1"/>
      <w:marLeft w:val="0"/>
      <w:marRight w:val="0"/>
      <w:marTop w:val="0"/>
      <w:marBottom w:val="0"/>
      <w:divBdr>
        <w:top w:val="none" w:sz="0" w:space="0" w:color="auto"/>
        <w:left w:val="none" w:sz="0" w:space="0" w:color="auto"/>
        <w:bottom w:val="none" w:sz="0" w:space="0" w:color="auto"/>
        <w:right w:val="none" w:sz="0" w:space="0" w:color="auto"/>
      </w:divBdr>
    </w:div>
    <w:div w:id="1671179272">
      <w:bodyDiv w:val="1"/>
      <w:marLeft w:val="0"/>
      <w:marRight w:val="0"/>
      <w:marTop w:val="0"/>
      <w:marBottom w:val="0"/>
      <w:divBdr>
        <w:top w:val="none" w:sz="0" w:space="0" w:color="auto"/>
        <w:left w:val="none" w:sz="0" w:space="0" w:color="auto"/>
        <w:bottom w:val="none" w:sz="0" w:space="0" w:color="auto"/>
        <w:right w:val="none" w:sz="0" w:space="0" w:color="auto"/>
      </w:divBdr>
    </w:div>
    <w:div w:id="1673558189">
      <w:bodyDiv w:val="1"/>
      <w:marLeft w:val="0"/>
      <w:marRight w:val="0"/>
      <w:marTop w:val="0"/>
      <w:marBottom w:val="0"/>
      <w:divBdr>
        <w:top w:val="none" w:sz="0" w:space="0" w:color="auto"/>
        <w:left w:val="none" w:sz="0" w:space="0" w:color="auto"/>
        <w:bottom w:val="none" w:sz="0" w:space="0" w:color="auto"/>
        <w:right w:val="none" w:sz="0" w:space="0" w:color="auto"/>
      </w:divBdr>
    </w:div>
    <w:div w:id="1673601699">
      <w:bodyDiv w:val="1"/>
      <w:marLeft w:val="0"/>
      <w:marRight w:val="0"/>
      <w:marTop w:val="0"/>
      <w:marBottom w:val="0"/>
      <w:divBdr>
        <w:top w:val="none" w:sz="0" w:space="0" w:color="auto"/>
        <w:left w:val="none" w:sz="0" w:space="0" w:color="auto"/>
        <w:bottom w:val="none" w:sz="0" w:space="0" w:color="auto"/>
        <w:right w:val="none" w:sz="0" w:space="0" w:color="auto"/>
      </w:divBdr>
    </w:div>
    <w:div w:id="1675912877">
      <w:bodyDiv w:val="1"/>
      <w:marLeft w:val="0"/>
      <w:marRight w:val="0"/>
      <w:marTop w:val="0"/>
      <w:marBottom w:val="0"/>
      <w:divBdr>
        <w:top w:val="none" w:sz="0" w:space="0" w:color="auto"/>
        <w:left w:val="none" w:sz="0" w:space="0" w:color="auto"/>
        <w:bottom w:val="none" w:sz="0" w:space="0" w:color="auto"/>
        <w:right w:val="none" w:sz="0" w:space="0" w:color="auto"/>
      </w:divBdr>
    </w:div>
    <w:div w:id="1681278248">
      <w:bodyDiv w:val="1"/>
      <w:marLeft w:val="0"/>
      <w:marRight w:val="0"/>
      <w:marTop w:val="0"/>
      <w:marBottom w:val="0"/>
      <w:divBdr>
        <w:top w:val="none" w:sz="0" w:space="0" w:color="auto"/>
        <w:left w:val="none" w:sz="0" w:space="0" w:color="auto"/>
        <w:bottom w:val="none" w:sz="0" w:space="0" w:color="auto"/>
        <w:right w:val="none" w:sz="0" w:space="0" w:color="auto"/>
      </w:divBdr>
    </w:div>
    <w:div w:id="1683050294">
      <w:bodyDiv w:val="1"/>
      <w:marLeft w:val="0"/>
      <w:marRight w:val="0"/>
      <w:marTop w:val="0"/>
      <w:marBottom w:val="0"/>
      <w:divBdr>
        <w:top w:val="none" w:sz="0" w:space="0" w:color="auto"/>
        <w:left w:val="none" w:sz="0" w:space="0" w:color="auto"/>
        <w:bottom w:val="none" w:sz="0" w:space="0" w:color="auto"/>
        <w:right w:val="none" w:sz="0" w:space="0" w:color="auto"/>
      </w:divBdr>
    </w:div>
    <w:div w:id="1689987655">
      <w:bodyDiv w:val="1"/>
      <w:marLeft w:val="0"/>
      <w:marRight w:val="0"/>
      <w:marTop w:val="0"/>
      <w:marBottom w:val="0"/>
      <w:divBdr>
        <w:top w:val="none" w:sz="0" w:space="0" w:color="auto"/>
        <w:left w:val="none" w:sz="0" w:space="0" w:color="auto"/>
        <w:bottom w:val="none" w:sz="0" w:space="0" w:color="auto"/>
        <w:right w:val="none" w:sz="0" w:space="0" w:color="auto"/>
      </w:divBdr>
    </w:div>
    <w:div w:id="1691294688">
      <w:bodyDiv w:val="1"/>
      <w:marLeft w:val="0"/>
      <w:marRight w:val="0"/>
      <w:marTop w:val="0"/>
      <w:marBottom w:val="0"/>
      <w:divBdr>
        <w:top w:val="none" w:sz="0" w:space="0" w:color="auto"/>
        <w:left w:val="none" w:sz="0" w:space="0" w:color="auto"/>
        <w:bottom w:val="none" w:sz="0" w:space="0" w:color="auto"/>
        <w:right w:val="none" w:sz="0" w:space="0" w:color="auto"/>
      </w:divBdr>
    </w:div>
    <w:div w:id="1692024856">
      <w:bodyDiv w:val="1"/>
      <w:marLeft w:val="0"/>
      <w:marRight w:val="0"/>
      <w:marTop w:val="0"/>
      <w:marBottom w:val="0"/>
      <w:divBdr>
        <w:top w:val="none" w:sz="0" w:space="0" w:color="auto"/>
        <w:left w:val="none" w:sz="0" w:space="0" w:color="auto"/>
        <w:bottom w:val="none" w:sz="0" w:space="0" w:color="auto"/>
        <w:right w:val="none" w:sz="0" w:space="0" w:color="auto"/>
      </w:divBdr>
    </w:div>
    <w:div w:id="1692686423">
      <w:bodyDiv w:val="1"/>
      <w:marLeft w:val="0"/>
      <w:marRight w:val="0"/>
      <w:marTop w:val="0"/>
      <w:marBottom w:val="0"/>
      <w:divBdr>
        <w:top w:val="none" w:sz="0" w:space="0" w:color="auto"/>
        <w:left w:val="none" w:sz="0" w:space="0" w:color="auto"/>
        <w:bottom w:val="none" w:sz="0" w:space="0" w:color="auto"/>
        <w:right w:val="none" w:sz="0" w:space="0" w:color="auto"/>
      </w:divBdr>
    </w:div>
    <w:div w:id="1694573561">
      <w:bodyDiv w:val="1"/>
      <w:marLeft w:val="0"/>
      <w:marRight w:val="0"/>
      <w:marTop w:val="0"/>
      <w:marBottom w:val="0"/>
      <w:divBdr>
        <w:top w:val="none" w:sz="0" w:space="0" w:color="auto"/>
        <w:left w:val="none" w:sz="0" w:space="0" w:color="auto"/>
        <w:bottom w:val="none" w:sz="0" w:space="0" w:color="auto"/>
        <w:right w:val="none" w:sz="0" w:space="0" w:color="auto"/>
      </w:divBdr>
    </w:div>
    <w:div w:id="1694989546">
      <w:bodyDiv w:val="1"/>
      <w:marLeft w:val="0"/>
      <w:marRight w:val="0"/>
      <w:marTop w:val="0"/>
      <w:marBottom w:val="0"/>
      <w:divBdr>
        <w:top w:val="none" w:sz="0" w:space="0" w:color="auto"/>
        <w:left w:val="none" w:sz="0" w:space="0" w:color="auto"/>
        <w:bottom w:val="none" w:sz="0" w:space="0" w:color="auto"/>
        <w:right w:val="none" w:sz="0" w:space="0" w:color="auto"/>
      </w:divBdr>
    </w:div>
    <w:div w:id="1697846147">
      <w:bodyDiv w:val="1"/>
      <w:marLeft w:val="0"/>
      <w:marRight w:val="0"/>
      <w:marTop w:val="0"/>
      <w:marBottom w:val="0"/>
      <w:divBdr>
        <w:top w:val="none" w:sz="0" w:space="0" w:color="auto"/>
        <w:left w:val="none" w:sz="0" w:space="0" w:color="auto"/>
        <w:bottom w:val="none" w:sz="0" w:space="0" w:color="auto"/>
        <w:right w:val="none" w:sz="0" w:space="0" w:color="auto"/>
      </w:divBdr>
    </w:div>
    <w:div w:id="1699768581">
      <w:bodyDiv w:val="1"/>
      <w:marLeft w:val="0"/>
      <w:marRight w:val="0"/>
      <w:marTop w:val="0"/>
      <w:marBottom w:val="0"/>
      <w:divBdr>
        <w:top w:val="none" w:sz="0" w:space="0" w:color="auto"/>
        <w:left w:val="none" w:sz="0" w:space="0" w:color="auto"/>
        <w:bottom w:val="none" w:sz="0" w:space="0" w:color="auto"/>
        <w:right w:val="none" w:sz="0" w:space="0" w:color="auto"/>
      </w:divBdr>
    </w:div>
    <w:div w:id="1702319031">
      <w:bodyDiv w:val="1"/>
      <w:marLeft w:val="0"/>
      <w:marRight w:val="0"/>
      <w:marTop w:val="0"/>
      <w:marBottom w:val="0"/>
      <w:divBdr>
        <w:top w:val="none" w:sz="0" w:space="0" w:color="auto"/>
        <w:left w:val="none" w:sz="0" w:space="0" w:color="auto"/>
        <w:bottom w:val="none" w:sz="0" w:space="0" w:color="auto"/>
        <w:right w:val="none" w:sz="0" w:space="0" w:color="auto"/>
      </w:divBdr>
    </w:div>
    <w:div w:id="1706710623">
      <w:bodyDiv w:val="1"/>
      <w:marLeft w:val="0"/>
      <w:marRight w:val="0"/>
      <w:marTop w:val="0"/>
      <w:marBottom w:val="0"/>
      <w:divBdr>
        <w:top w:val="none" w:sz="0" w:space="0" w:color="auto"/>
        <w:left w:val="none" w:sz="0" w:space="0" w:color="auto"/>
        <w:bottom w:val="none" w:sz="0" w:space="0" w:color="auto"/>
        <w:right w:val="none" w:sz="0" w:space="0" w:color="auto"/>
      </w:divBdr>
    </w:div>
    <w:div w:id="1712608763">
      <w:bodyDiv w:val="1"/>
      <w:marLeft w:val="0"/>
      <w:marRight w:val="0"/>
      <w:marTop w:val="0"/>
      <w:marBottom w:val="0"/>
      <w:divBdr>
        <w:top w:val="none" w:sz="0" w:space="0" w:color="auto"/>
        <w:left w:val="none" w:sz="0" w:space="0" w:color="auto"/>
        <w:bottom w:val="none" w:sz="0" w:space="0" w:color="auto"/>
        <w:right w:val="none" w:sz="0" w:space="0" w:color="auto"/>
      </w:divBdr>
    </w:div>
    <w:div w:id="1713505860">
      <w:bodyDiv w:val="1"/>
      <w:marLeft w:val="0"/>
      <w:marRight w:val="0"/>
      <w:marTop w:val="0"/>
      <w:marBottom w:val="0"/>
      <w:divBdr>
        <w:top w:val="none" w:sz="0" w:space="0" w:color="auto"/>
        <w:left w:val="none" w:sz="0" w:space="0" w:color="auto"/>
        <w:bottom w:val="none" w:sz="0" w:space="0" w:color="auto"/>
        <w:right w:val="none" w:sz="0" w:space="0" w:color="auto"/>
      </w:divBdr>
    </w:div>
    <w:div w:id="1713772988">
      <w:bodyDiv w:val="1"/>
      <w:marLeft w:val="0"/>
      <w:marRight w:val="0"/>
      <w:marTop w:val="0"/>
      <w:marBottom w:val="0"/>
      <w:divBdr>
        <w:top w:val="none" w:sz="0" w:space="0" w:color="auto"/>
        <w:left w:val="none" w:sz="0" w:space="0" w:color="auto"/>
        <w:bottom w:val="none" w:sz="0" w:space="0" w:color="auto"/>
        <w:right w:val="none" w:sz="0" w:space="0" w:color="auto"/>
      </w:divBdr>
    </w:div>
    <w:div w:id="1716193719">
      <w:bodyDiv w:val="1"/>
      <w:marLeft w:val="0"/>
      <w:marRight w:val="0"/>
      <w:marTop w:val="0"/>
      <w:marBottom w:val="0"/>
      <w:divBdr>
        <w:top w:val="none" w:sz="0" w:space="0" w:color="auto"/>
        <w:left w:val="none" w:sz="0" w:space="0" w:color="auto"/>
        <w:bottom w:val="none" w:sz="0" w:space="0" w:color="auto"/>
        <w:right w:val="none" w:sz="0" w:space="0" w:color="auto"/>
      </w:divBdr>
    </w:div>
    <w:div w:id="1719428540">
      <w:bodyDiv w:val="1"/>
      <w:marLeft w:val="0"/>
      <w:marRight w:val="0"/>
      <w:marTop w:val="0"/>
      <w:marBottom w:val="0"/>
      <w:divBdr>
        <w:top w:val="none" w:sz="0" w:space="0" w:color="auto"/>
        <w:left w:val="none" w:sz="0" w:space="0" w:color="auto"/>
        <w:bottom w:val="none" w:sz="0" w:space="0" w:color="auto"/>
        <w:right w:val="none" w:sz="0" w:space="0" w:color="auto"/>
      </w:divBdr>
    </w:div>
    <w:div w:id="1721518683">
      <w:bodyDiv w:val="1"/>
      <w:marLeft w:val="0"/>
      <w:marRight w:val="0"/>
      <w:marTop w:val="0"/>
      <w:marBottom w:val="0"/>
      <w:divBdr>
        <w:top w:val="none" w:sz="0" w:space="0" w:color="auto"/>
        <w:left w:val="none" w:sz="0" w:space="0" w:color="auto"/>
        <w:bottom w:val="none" w:sz="0" w:space="0" w:color="auto"/>
        <w:right w:val="none" w:sz="0" w:space="0" w:color="auto"/>
      </w:divBdr>
    </w:div>
    <w:div w:id="1722366988">
      <w:bodyDiv w:val="1"/>
      <w:marLeft w:val="0"/>
      <w:marRight w:val="0"/>
      <w:marTop w:val="0"/>
      <w:marBottom w:val="0"/>
      <w:divBdr>
        <w:top w:val="none" w:sz="0" w:space="0" w:color="auto"/>
        <w:left w:val="none" w:sz="0" w:space="0" w:color="auto"/>
        <w:bottom w:val="none" w:sz="0" w:space="0" w:color="auto"/>
        <w:right w:val="none" w:sz="0" w:space="0" w:color="auto"/>
      </w:divBdr>
    </w:div>
    <w:div w:id="1724712461">
      <w:bodyDiv w:val="1"/>
      <w:marLeft w:val="0"/>
      <w:marRight w:val="0"/>
      <w:marTop w:val="0"/>
      <w:marBottom w:val="0"/>
      <w:divBdr>
        <w:top w:val="none" w:sz="0" w:space="0" w:color="auto"/>
        <w:left w:val="none" w:sz="0" w:space="0" w:color="auto"/>
        <w:bottom w:val="none" w:sz="0" w:space="0" w:color="auto"/>
        <w:right w:val="none" w:sz="0" w:space="0" w:color="auto"/>
      </w:divBdr>
    </w:div>
    <w:div w:id="1729836660">
      <w:bodyDiv w:val="1"/>
      <w:marLeft w:val="0"/>
      <w:marRight w:val="0"/>
      <w:marTop w:val="0"/>
      <w:marBottom w:val="0"/>
      <w:divBdr>
        <w:top w:val="none" w:sz="0" w:space="0" w:color="auto"/>
        <w:left w:val="none" w:sz="0" w:space="0" w:color="auto"/>
        <w:bottom w:val="none" w:sz="0" w:space="0" w:color="auto"/>
        <w:right w:val="none" w:sz="0" w:space="0" w:color="auto"/>
      </w:divBdr>
      <w:divsChild>
        <w:div w:id="525018780">
          <w:marLeft w:val="288"/>
          <w:marRight w:val="0"/>
          <w:marTop w:val="120"/>
          <w:marBottom w:val="0"/>
          <w:divBdr>
            <w:top w:val="none" w:sz="0" w:space="0" w:color="auto"/>
            <w:left w:val="none" w:sz="0" w:space="0" w:color="auto"/>
            <w:bottom w:val="none" w:sz="0" w:space="0" w:color="auto"/>
            <w:right w:val="none" w:sz="0" w:space="0" w:color="auto"/>
          </w:divBdr>
        </w:div>
        <w:div w:id="1055619497">
          <w:marLeft w:val="288"/>
          <w:marRight w:val="0"/>
          <w:marTop w:val="120"/>
          <w:marBottom w:val="0"/>
          <w:divBdr>
            <w:top w:val="none" w:sz="0" w:space="0" w:color="auto"/>
            <w:left w:val="none" w:sz="0" w:space="0" w:color="auto"/>
            <w:bottom w:val="none" w:sz="0" w:space="0" w:color="auto"/>
            <w:right w:val="none" w:sz="0" w:space="0" w:color="auto"/>
          </w:divBdr>
        </w:div>
      </w:divsChild>
    </w:div>
    <w:div w:id="1730838218">
      <w:bodyDiv w:val="1"/>
      <w:marLeft w:val="0"/>
      <w:marRight w:val="0"/>
      <w:marTop w:val="0"/>
      <w:marBottom w:val="0"/>
      <w:divBdr>
        <w:top w:val="none" w:sz="0" w:space="0" w:color="auto"/>
        <w:left w:val="none" w:sz="0" w:space="0" w:color="auto"/>
        <w:bottom w:val="none" w:sz="0" w:space="0" w:color="auto"/>
        <w:right w:val="none" w:sz="0" w:space="0" w:color="auto"/>
      </w:divBdr>
    </w:div>
    <w:div w:id="1731416194">
      <w:bodyDiv w:val="1"/>
      <w:marLeft w:val="0"/>
      <w:marRight w:val="0"/>
      <w:marTop w:val="0"/>
      <w:marBottom w:val="0"/>
      <w:divBdr>
        <w:top w:val="none" w:sz="0" w:space="0" w:color="auto"/>
        <w:left w:val="none" w:sz="0" w:space="0" w:color="auto"/>
        <w:bottom w:val="none" w:sz="0" w:space="0" w:color="auto"/>
        <w:right w:val="none" w:sz="0" w:space="0" w:color="auto"/>
      </w:divBdr>
    </w:div>
    <w:div w:id="1732266195">
      <w:bodyDiv w:val="1"/>
      <w:marLeft w:val="0"/>
      <w:marRight w:val="0"/>
      <w:marTop w:val="0"/>
      <w:marBottom w:val="0"/>
      <w:divBdr>
        <w:top w:val="none" w:sz="0" w:space="0" w:color="auto"/>
        <w:left w:val="none" w:sz="0" w:space="0" w:color="auto"/>
        <w:bottom w:val="none" w:sz="0" w:space="0" w:color="auto"/>
        <w:right w:val="none" w:sz="0" w:space="0" w:color="auto"/>
      </w:divBdr>
    </w:div>
    <w:div w:id="1736586855">
      <w:bodyDiv w:val="1"/>
      <w:marLeft w:val="0"/>
      <w:marRight w:val="0"/>
      <w:marTop w:val="0"/>
      <w:marBottom w:val="0"/>
      <w:divBdr>
        <w:top w:val="none" w:sz="0" w:space="0" w:color="auto"/>
        <w:left w:val="none" w:sz="0" w:space="0" w:color="auto"/>
        <w:bottom w:val="none" w:sz="0" w:space="0" w:color="auto"/>
        <w:right w:val="none" w:sz="0" w:space="0" w:color="auto"/>
      </w:divBdr>
    </w:div>
    <w:div w:id="1742945738">
      <w:bodyDiv w:val="1"/>
      <w:marLeft w:val="0"/>
      <w:marRight w:val="0"/>
      <w:marTop w:val="0"/>
      <w:marBottom w:val="0"/>
      <w:divBdr>
        <w:top w:val="none" w:sz="0" w:space="0" w:color="auto"/>
        <w:left w:val="none" w:sz="0" w:space="0" w:color="auto"/>
        <w:bottom w:val="none" w:sz="0" w:space="0" w:color="auto"/>
        <w:right w:val="none" w:sz="0" w:space="0" w:color="auto"/>
      </w:divBdr>
    </w:div>
    <w:div w:id="1743480224">
      <w:bodyDiv w:val="1"/>
      <w:marLeft w:val="0"/>
      <w:marRight w:val="0"/>
      <w:marTop w:val="0"/>
      <w:marBottom w:val="0"/>
      <w:divBdr>
        <w:top w:val="none" w:sz="0" w:space="0" w:color="auto"/>
        <w:left w:val="none" w:sz="0" w:space="0" w:color="auto"/>
        <w:bottom w:val="none" w:sz="0" w:space="0" w:color="auto"/>
        <w:right w:val="none" w:sz="0" w:space="0" w:color="auto"/>
      </w:divBdr>
    </w:div>
    <w:div w:id="1747923818">
      <w:bodyDiv w:val="1"/>
      <w:marLeft w:val="0"/>
      <w:marRight w:val="0"/>
      <w:marTop w:val="0"/>
      <w:marBottom w:val="0"/>
      <w:divBdr>
        <w:top w:val="none" w:sz="0" w:space="0" w:color="auto"/>
        <w:left w:val="none" w:sz="0" w:space="0" w:color="auto"/>
        <w:bottom w:val="none" w:sz="0" w:space="0" w:color="auto"/>
        <w:right w:val="none" w:sz="0" w:space="0" w:color="auto"/>
      </w:divBdr>
    </w:div>
    <w:div w:id="1748192236">
      <w:bodyDiv w:val="1"/>
      <w:marLeft w:val="0"/>
      <w:marRight w:val="0"/>
      <w:marTop w:val="0"/>
      <w:marBottom w:val="0"/>
      <w:divBdr>
        <w:top w:val="none" w:sz="0" w:space="0" w:color="auto"/>
        <w:left w:val="none" w:sz="0" w:space="0" w:color="auto"/>
        <w:bottom w:val="none" w:sz="0" w:space="0" w:color="auto"/>
        <w:right w:val="none" w:sz="0" w:space="0" w:color="auto"/>
      </w:divBdr>
    </w:div>
    <w:div w:id="1751730867">
      <w:bodyDiv w:val="1"/>
      <w:marLeft w:val="0"/>
      <w:marRight w:val="0"/>
      <w:marTop w:val="0"/>
      <w:marBottom w:val="0"/>
      <w:divBdr>
        <w:top w:val="none" w:sz="0" w:space="0" w:color="auto"/>
        <w:left w:val="none" w:sz="0" w:space="0" w:color="auto"/>
        <w:bottom w:val="none" w:sz="0" w:space="0" w:color="auto"/>
        <w:right w:val="none" w:sz="0" w:space="0" w:color="auto"/>
      </w:divBdr>
    </w:div>
    <w:div w:id="1755662125">
      <w:bodyDiv w:val="1"/>
      <w:marLeft w:val="0"/>
      <w:marRight w:val="0"/>
      <w:marTop w:val="0"/>
      <w:marBottom w:val="0"/>
      <w:divBdr>
        <w:top w:val="none" w:sz="0" w:space="0" w:color="auto"/>
        <w:left w:val="none" w:sz="0" w:space="0" w:color="auto"/>
        <w:bottom w:val="none" w:sz="0" w:space="0" w:color="auto"/>
        <w:right w:val="none" w:sz="0" w:space="0" w:color="auto"/>
      </w:divBdr>
    </w:div>
    <w:div w:id="1759328273">
      <w:bodyDiv w:val="1"/>
      <w:marLeft w:val="0"/>
      <w:marRight w:val="0"/>
      <w:marTop w:val="0"/>
      <w:marBottom w:val="0"/>
      <w:divBdr>
        <w:top w:val="none" w:sz="0" w:space="0" w:color="auto"/>
        <w:left w:val="none" w:sz="0" w:space="0" w:color="auto"/>
        <w:bottom w:val="none" w:sz="0" w:space="0" w:color="auto"/>
        <w:right w:val="none" w:sz="0" w:space="0" w:color="auto"/>
      </w:divBdr>
    </w:div>
    <w:div w:id="1760521263">
      <w:bodyDiv w:val="1"/>
      <w:marLeft w:val="0"/>
      <w:marRight w:val="0"/>
      <w:marTop w:val="0"/>
      <w:marBottom w:val="0"/>
      <w:divBdr>
        <w:top w:val="none" w:sz="0" w:space="0" w:color="auto"/>
        <w:left w:val="none" w:sz="0" w:space="0" w:color="auto"/>
        <w:bottom w:val="none" w:sz="0" w:space="0" w:color="auto"/>
        <w:right w:val="none" w:sz="0" w:space="0" w:color="auto"/>
      </w:divBdr>
    </w:div>
    <w:div w:id="1761946741">
      <w:bodyDiv w:val="1"/>
      <w:marLeft w:val="0"/>
      <w:marRight w:val="0"/>
      <w:marTop w:val="0"/>
      <w:marBottom w:val="0"/>
      <w:divBdr>
        <w:top w:val="none" w:sz="0" w:space="0" w:color="auto"/>
        <w:left w:val="none" w:sz="0" w:space="0" w:color="auto"/>
        <w:bottom w:val="none" w:sz="0" w:space="0" w:color="auto"/>
        <w:right w:val="none" w:sz="0" w:space="0" w:color="auto"/>
      </w:divBdr>
    </w:div>
    <w:div w:id="1764183493">
      <w:bodyDiv w:val="1"/>
      <w:marLeft w:val="0"/>
      <w:marRight w:val="0"/>
      <w:marTop w:val="0"/>
      <w:marBottom w:val="0"/>
      <w:divBdr>
        <w:top w:val="none" w:sz="0" w:space="0" w:color="auto"/>
        <w:left w:val="none" w:sz="0" w:space="0" w:color="auto"/>
        <w:bottom w:val="none" w:sz="0" w:space="0" w:color="auto"/>
        <w:right w:val="none" w:sz="0" w:space="0" w:color="auto"/>
      </w:divBdr>
    </w:div>
    <w:div w:id="1765572416">
      <w:bodyDiv w:val="1"/>
      <w:marLeft w:val="0"/>
      <w:marRight w:val="0"/>
      <w:marTop w:val="0"/>
      <w:marBottom w:val="0"/>
      <w:divBdr>
        <w:top w:val="none" w:sz="0" w:space="0" w:color="auto"/>
        <w:left w:val="none" w:sz="0" w:space="0" w:color="auto"/>
        <w:bottom w:val="none" w:sz="0" w:space="0" w:color="auto"/>
        <w:right w:val="none" w:sz="0" w:space="0" w:color="auto"/>
      </w:divBdr>
    </w:div>
    <w:div w:id="1766264627">
      <w:bodyDiv w:val="1"/>
      <w:marLeft w:val="0"/>
      <w:marRight w:val="0"/>
      <w:marTop w:val="0"/>
      <w:marBottom w:val="0"/>
      <w:divBdr>
        <w:top w:val="none" w:sz="0" w:space="0" w:color="auto"/>
        <w:left w:val="none" w:sz="0" w:space="0" w:color="auto"/>
        <w:bottom w:val="none" w:sz="0" w:space="0" w:color="auto"/>
        <w:right w:val="none" w:sz="0" w:space="0" w:color="auto"/>
      </w:divBdr>
    </w:div>
    <w:div w:id="1767269093">
      <w:bodyDiv w:val="1"/>
      <w:marLeft w:val="0"/>
      <w:marRight w:val="0"/>
      <w:marTop w:val="0"/>
      <w:marBottom w:val="0"/>
      <w:divBdr>
        <w:top w:val="none" w:sz="0" w:space="0" w:color="auto"/>
        <w:left w:val="none" w:sz="0" w:space="0" w:color="auto"/>
        <w:bottom w:val="none" w:sz="0" w:space="0" w:color="auto"/>
        <w:right w:val="none" w:sz="0" w:space="0" w:color="auto"/>
      </w:divBdr>
    </w:div>
    <w:div w:id="1767532493">
      <w:bodyDiv w:val="1"/>
      <w:marLeft w:val="0"/>
      <w:marRight w:val="0"/>
      <w:marTop w:val="0"/>
      <w:marBottom w:val="0"/>
      <w:divBdr>
        <w:top w:val="none" w:sz="0" w:space="0" w:color="auto"/>
        <w:left w:val="none" w:sz="0" w:space="0" w:color="auto"/>
        <w:bottom w:val="none" w:sz="0" w:space="0" w:color="auto"/>
        <w:right w:val="none" w:sz="0" w:space="0" w:color="auto"/>
      </w:divBdr>
    </w:div>
    <w:div w:id="1770470900">
      <w:bodyDiv w:val="1"/>
      <w:marLeft w:val="0"/>
      <w:marRight w:val="0"/>
      <w:marTop w:val="0"/>
      <w:marBottom w:val="0"/>
      <w:divBdr>
        <w:top w:val="none" w:sz="0" w:space="0" w:color="auto"/>
        <w:left w:val="none" w:sz="0" w:space="0" w:color="auto"/>
        <w:bottom w:val="none" w:sz="0" w:space="0" w:color="auto"/>
        <w:right w:val="none" w:sz="0" w:space="0" w:color="auto"/>
      </w:divBdr>
    </w:div>
    <w:div w:id="1773476517">
      <w:bodyDiv w:val="1"/>
      <w:marLeft w:val="0"/>
      <w:marRight w:val="0"/>
      <w:marTop w:val="0"/>
      <w:marBottom w:val="0"/>
      <w:divBdr>
        <w:top w:val="none" w:sz="0" w:space="0" w:color="auto"/>
        <w:left w:val="none" w:sz="0" w:space="0" w:color="auto"/>
        <w:bottom w:val="none" w:sz="0" w:space="0" w:color="auto"/>
        <w:right w:val="none" w:sz="0" w:space="0" w:color="auto"/>
      </w:divBdr>
    </w:div>
    <w:div w:id="1774130963">
      <w:bodyDiv w:val="1"/>
      <w:marLeft w:val="0"/>
      <w:marRight w:val="0"/>
      <w:marTop w:val="0"/>
      <w:marBottom w:val="0"/>
      <w:divBdr>
        <w:top w:val="none" w:sz="0" w:space="0" w:color="auto"/>
        <w:left w:val="none" w:sz="0" w:space="0" w:color="auto"/>
        <w:bottom w:val="none" w:sz="0" w:space="0" w:color="auto"/>
        <w:right w:val="none" w:sz="0" w:space="0" w:color="auto"/>
      </w:divBdr>
    </w:div>
    <w:div w:id="1774202304">
      <w:bodyDiv w:val="1"/>
      <w:marLeft w:val="0"/>
      <w:marRight w:val="0"/>
      <w:marTop w:val="0"/>
      <w:marBottom w:val="0"/>
      <w:divBdr>
        <w:top w:val="none" w:sz="0" w:space="0" w:color="auto"/>
        <w:left w:val="none" w:sz="0" w:space="0" w:color="auto"/>
        <w:bottom w:val="none" w:sz="0" w:space="0" w:color="auto"/>
        <w:right w:val="none" w:sz="0" w:space="0" w:color="auto"/>
      </w:divBdr>
    </w:div>
    <w:div w:id="1775323456">
      <w:bodyDiv w:val="1"/>
      <w:marLeft w:val="0"/>
      <w:marRight w:val="0"/>
      <w:marTop w:val="0"/>
      <w:marBottom w:val="0"/>
      <w:divBdr>
        <w:top w:val="none" w:sz="0" w:space="0" w:color="auto"/>
        <w:left w:val="none" w:sz="0" w:space="0" w:color="auto"/>
        <w:bottom w:val="none" w:sz="0" w:space="0" w:color="auto"/>
        <w:right w:val="none" w:sz="0" w:space="0" w:color="auto"/>
      </w:divBdr>
    </w:div>
    <w:div w:id="1782644915">
      <w:bodyDiv w:val="1"/>
      <w:marLeft w:val="0"/>
      <w:marRight w:val="0"/>
      <w:marTop w:val="0"/>
      <w:marBottom w:val="0"/>
      <w:divBdr>
        <w:top w:val="none" w:sz="0" w:space="0" w:color="auto"/>
        <w:left w:val="none" w:sz="0" w:space="0" w:color="auto"/>
        <w:bottom w:val="none" w:sz="0" w:space="0" w:color="auto"/>
        <w:right w:val="none" w:sz="0" w:space="0" w:color="auto"/>
      </w:divBdr>
    </w:div>
    <w:div w:id="1792284693">
      <w:bodyDiv w:val="1"/>
      <w:marLeft w:val="0"/>
      <w:marRight w:val="0"/>
      <w:marTop w:val="0"/>
      <w:marBottom w:val="0"/>
      <w:divBdr>
        <w:top w:val="none" w:sz="0" w:space="0" w:color="auto"/>
        <w:left w:val="none" w:sz="0" w:space="0" w:color="auto"/>
        <w:bottom w:val="none" w:sz="0" w:space="0" w:color="auto"/>
        <w:right w:val="none" w:sz="0" w:space="0" w:color="auto"/>
      </w:divBdr>
    </w:div>
    <w:div w:id="1803036469">
      <w:bodyDiv w:val="1"/>
      <w:marLeft w:val="0"/>
      <w:marRight w:val="0"/>
      <w:marTop w:val="0"/>
      <w:marBottom w:val="0"/>
      <w:divBdr>
        <w:top w:val="none" w:sz="0" w:space="0" w:color="auto"/>
        <w:left w:val="none" w:sz="0" w:space="0" w:color="auto"/>
        <w:bottom w:val="none" w:sz="0" w:space="0" w:color="auto"/>
        <w:right w:val="none" w:sz="0" w:space="0" w:color="auto"/>
      </w:divBdr>
    </w:div>
    <w:div w:id="1805148902">
      <w:bodyDiv w:val="1"/>
      <w:marLeft w:val="0"/>
      <w:marRight w:val="0"/>
      <w:marTop w:val="0"/>
      <w:marBottom w:val="0"/>
      <w:divBdr>
        <w:top w:val="none" w:sz="0" w:space="0" w:color="auto"/>
        <w:left w:val="none" w:sz="0" w:space="0" w:color="auto"/>
        <w:bottom w:val="none" w:sz="0" w:space="0" w:color="auto"/>
        <w:right w:val="none" w:sz="0" w:space="0" w:color="auto"/>
      </w:divBdr>
    </w:div>
    <w:div w:id="1805614768">
      <w:bodyDiv w:val="1"/>
      <w:marLeft w:val="0"/>
      <w:marRight w:val="0"/>
      <w:marTop w:val="0"/>
      <w:marBottom w:val="0"/>
      <w:divBdr>
        <w:top w:val="none" w:sz="0" w:space="0" w:color="auto"/>
        <w:left w:val="none" w:sz="0" w:space="0" w:color="auto"/>
        <w:bottom w:val="none" w:sz="0" w:space="0" w:color="auto"/>
        <w:right w:val="none" w:sz="0" w:space="0" w:color="auto"/>
      </w:divBdr>
    </w:div>
    <w:div w:id="1805854335">
      <w:marLeft w:val="0"/>
      <w:marRight w:val="0"/>
      <w:marTop w:val="0"/>
      <w:marBottom w:val="0"/>
      <w:divBdr>
        <w:top w:val="none" w:sz="0" w:space="0" w:color="auto"/>
        <w:left w:val="none" w:sz="0" w:space="0" w:color="auto"/>
        <w:bottom w:val="none" w:sz="0" w:space="0" w:color="auto"/>
        <w:right w:val="none" w:sz="0" w:space="0" w:color="auto"/>
      </w:divBdr>
      <w:divsChild>
        <w:div w:id="1954090995">
          <w:marLeft w:val="0"/>
          <w:marRight w:val="0"/>
          <w:marTop w:val="0"/>
          <w:marBottom w:val="0"/>
          <w:divBdr>
            <w:top w:val="none" w:sz="0" w:space="0" w:color="auto"/>
            <w:left w:val="none" w:sz="0" w:space="0" w:color="auto"/>
            <w:bottom w:val="none" w:sz="0" w:space="0" w:color="auto"/>
            <w:right w:val="none" w:sz="0" w:space="0" w:color="auto"/>
          </w:divBdr>
          <w:divsChild>
            <w:div w:id="27278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29314">
      <w:bodyDiv w:val="1"/>
      <w:marLeft w:val="0"/>
      <w:marRight w:val="0"/>
      <w:marTop w:val="0"/>
      <w:marBottom w:val="0"/>
      <w:divBdr>
        <w:top w:val="none" w:sz="0" w:space="0" w:color="auto"/>
        <w:left w:val="none" w:sz="0" w:space="0" w:color="auto"/>
        <w:bottom w:val="none" w:sz="0" w:space="0" w:color="auto"/>
        <w:right w:val="none" w:sz="0" w:space="0" w:color="auto"/>
      </w:divBdr>
    </w:div>
    <w:div w:id="1811366719">
      <w:bodyDiv w:val="1"/>
      <w:marLeft w:val="0"/>
      <w:marRight w:val="0"/>
      <w:marTop w:val="0"/>
      <w:marBottom w:val="0"/>
      <w:divBdr>
        <w:top w:val="none" w:sz="0" w:space="0" w:color="auto"/>
        <w:left w:val="none" w:sz="0" w:space="0" w:color="auto"/>
        <w:bottom w:val="none" w:sz="0" w:space="0" w:color="auto"/>
        <w:right w:val="none" w:sz="0" w:space="0" w:color="auto"/>
      </w:divBdr>
    </w:div>
    <w:div w:id="1824160987">
      <w:bodyDiv w:val="1"/>
      <w:marLeft w:val="0"/>
      <w:marRight w:val="0"/>
      <w:marTop w:val="0"/>
      <w:marBottom w:val="0"/>
      <w:divBdr>
        <w:top w:val="none" w:sz="0" w:space="0" w:color="auto"/>
        <w:left w:val="none" w:sz="0" w:space="0" w:color="auto"/>
        <w:bottom w:val="none" w:sz="0" w:space="0" w:color="auto"/>
        <w:right w:val="none" w:sz="0" w:space="0" w:color="auto"/>
      </w:divBdr>
    </w:div>
    <w:div w:id="1824925727">
      <w:bodyDiv w:val="1"/>
      <w:marLeft w:val="0"/>
      <w:marRight w:val="0"/>
      <w:marTop w:val="0"/>
      <w:marBottom w:val="0"/>
      <w:divBdr>
        <w:top w:val="none" w:sz="0" w:space="0" w:color="auto"/>
        <w:left w:val="none" w:sz="0" w:space="0" w:color="auto"/>
        <w:bottom w:val="none" w:sz="0" w:space="0" w:color="auto"/>
        <w:right w:val="none" w:sz="0" w:space="0" w:color="auto"/>
      </w:divBdr>
    </w:div>
    <w:div w:id="1827630355">
      <w:bodyDiv w:val="1"/>
      <w:marLeft w:val="0"/>
      <w:marRight w:val="0"/>
      <w:marTop w:val="0"/>
      <w:marBottom w:val="0"/>
      <w:divBdr>
        <w:top w:val="none" w:sz="0" w:space="0" w:color="auto"/>
        <w:left w:val="none" w:sz="0" w:space="0" w:color="auto"/>
        <w:bottom w:val="none" w:sz="0" w:space="0" w:color="auto"/>
        <w:right w:val="none" w:sz="0" w:space="0" w:color="auto"/>
      </w:divBdr>
      <w:divsChild>
        <w:div w:id="89277363">
          <w:marLeft w:val="288"/>
          <w:marRight w:val="0"/>
          <w:marTop w:val="120"/>
          <w:marBottom w:val="0"/>
          <w:divBdr>
            <w:top w:val="none" w:sz="0" w:space="0" w:color="auto"/>
            <w:left w:val="none" w:sz="0" w:space="0" w:color="auto"/>
            <w:bottom w:val="none" w:sz="0" w:space="0" w:color="auto"/>
            <w:right w:val="none" w:sz="0" w:space="0" w:color="auto"/>
          </w:divBdr>
        </w:div>
        <w:div w:id="144594297">
          <w:marLeft w:val="288"/>
          <w:marRight w:val="0"/>
          <w:marTop w:val="120"/>
          <w:marBottom w:val="0"/>
          <w:divBdr>
            <w:top w:val="none" w:sz="0" w:space="0" w:color="auto"/>
            <w:left w:val="none" w:sz="0" w:space="0" w:color="auto"/>
            <w:bottom w:val="none" w:sz="0" w:space="0" w:color="auto"/>
            <w:right w:val="none" w:sz="0" w:space="0" w:color="auto"/>
          </w:divBdr>
        </w:div>
        <w:div w:id="202716784">
          <w:marLeft w:val="288"/>
          <w:marRight w:val="0"/>
          <w:marTop w:val="120"/>
          <w:marBottom w:val="0"/>
          <w:divBdr>
            <w:top w:val="none" w:sz="0" w:space="0" w:color="auto"/>
            <w:left w:val="none" w:sz="0" w:space="0" w:color="auto"/>
            <w:bottom w:val="none" w:sz="0" w:space="0" w:color="auto"/>
            <w:right w:val="none" w:sz="0" w:space="0" w:color="auto"/>
          </w:divBdr>
        </w:div>
        <w:div w:id="805506863">
          <w:marLeft w:val="288"/>
          <w:marRight w:val="0"/>
          <w:marTop w:val="120"/>
          <w:marBottom w:val="0"/>
          <w:divBdr>
            <w:top w:val="none" w:sz="0" w:space="0" w:color="auto"/>
            <w:left w:val="none" w:sz="0" w:space="0" w:color="auto"/>
            <w:bottom w:val="none" w:sz="0" w:space="0" w:color="auto"/>
            <w:right w:val="none" w:sz="0" w:space="0" w:color="auto"/>
          </w:divBdr>
        </w:div>
        <w:div w:id="939918479">
          <w:marLeft w:val="288"/>
          <w:marRight w:val="0"/>
          <w:marTop w:val="120"/>
          <w:marBottom w:val="0"/>
          <w:divBdr>
            <w:top w:val="none" w:sz="0" w:space="0" w:color="auto"/>
            <w:left w:val="none" w:sz="0" w:space="0" w:color="auto"/>
            <w:bottom w:val="none" w:sz="0" w:space="0" w:color="auto"/>
            <w:right w:val="none" w:sz="0" w:space="0" w:color="auto"/>
          </w:divBdr>
        </w:div>
        <w:div w:id="1335255188">
          <w:marLeft w:val="288"/>
          <w:marRight w:val="0"/>
          <w:marTop w:val="120"/>
          <w:marBottom w:val="0"/>
          <w:divBdr>
            <w:top w:val="none" w:sz="0" w:space="0" w:color="auto"/>
            <w:left w:val="none" w:sz="0" w:space="0" w:color="auto"/>
            <w:bottom w:val="none" w:sz="0" w:space="0" w:color="auto"/>
            <w:right w:val="none" w:sz="0" w:space="0" w:color="auto"/>
          </w:divBdr>
        </w:div>
        <w:div w:id="1342664147">
          <w:marLeft w:val="288"/>
          <w:marRight w:val="0"/>
          <w:marTop w:val="120"/>
          <w:marBottom w:val="0"/>
          <w:divBdr>
            <w:top w:val="none" w:sz="0" w:space="0" w:color="auto"/>
            <w:left w:val="none" w:sz="0" w:space="0" w:color="auto"/>
            <w:bottom w:val="none" w:sz="0" w:space="0" w:color="auto"/>
            <w:right w:val="none" w:sz="0" w:space="0" w:color="auto"/>
          </w:divBdr>
        </w:div>
        <w:div w:id="1607228845">
          <w:marLeft w:val="288"/>
          <w:marRight w:val="0"/>
          <w:marTop w:val="120"/>
          <w:marBottom w:val="0"/>
          <w:divBdr>
            <w:top w:val="none" w:sz="0" w:space="0" w:color="auto"/>
            <w:left w:val="none" w:sz="0" w:space="0" w:color="auto"/>
            <w:bottom w:val="none" w:sz="0" w:space="0" w:color="auto"/>
            <w:right w:val="none" w:sz="0" w:space="0" w:color="auto"/>
          </w:divBdr>
        </w:div>
        <w:div w:id="1682245504">
          <w:marLeft w:val="288"/>
          <w:marRight w:val="0"/>
          <w:marTop w:val="120"/>
          <w:marBottom w:val="0"/>
          <w:divBdr>
            <w:top w:val="none" w:sz="0" w:space="0" w:color="auto"/>
            <w:left w:val="none" w:sz="0" w:space="0" w:color="auto"/>
            <w:bottom w:val="none" w:sz="0" w:space="0" w:color="auto"/>
            <w:right w:val="none" w:sz="0" w:space="0" w:color="auto"/>
          </w:divBdr>
        </w:div>
      </w:divsChild>
    </w:div>
    <w:div w:id="1828400614">
      <w:bodyDiv w:val="1"/>
      <w:marLeft w:val="0"/>
      <w:marRight w:val="0"/>
      <w:marTop w:val="0"/>
      <w:marBottom w:val="0"/>
      <w:divBdr>
        <w:top w:val="none" w:sz="0" w:space="0" w:color="auto"/>
        <w:left w:val="none" w:sz="0" w:space="0" w:color="auto"/>
        <w:bottom w:val="none" w:sz="0" w:space="0" w:color="auto"/>
        <w:right w:val="none" w:sz="0" w:space="0" w:color="auto"/>
      </w:divBdr>
    </w:div>
    <w:div w:id="1828747204">
      <w:bodyDiv w:val="1"/>
      <w:marLeft w:val="0"/>
      <w:marRight w:val="0"/>
      <w:marTop w:val="0"/>
      <w:marBottom w:val="0"/>
      <w:divBdr>
        <w:top w:val="none" w:sz="0" w:space="0" w:color="auto"/>
        <w:left w:val="none" w:sz="0" w:space="0" w:color="auto"/>
        <w:bottom w:val="none" w:sz="0" w:space="0" w:color="auto"/>
        <w:right w:val="none" w:sz="0" w:space="0" w:color="auto"/>
      </w:divBdr>
    </w:div>
    <w:div w:id="1828982088">
      <w:bodyDiv w:val="1"/>
      <w:marLeft w:val="0"/>
      <w:marRight w:val="0"/>
      <w:marTop w:val="0"/>
      <w:marBottom w:val="0"/>
      <w:divBdr>
        <w:top w:val="none" w:sz="0" w:space="0" w:color="auto"/>
        <w:left w:val="none" w:sz="0" w:space="0" w:color="auto"/>
        <w:bottom w:val="none" w:sz="0" w:space="0" w:color="auto"/>
        <w:right w:val="none" w:sz="0" w:space="0" w:color="auto"/>
      </w:divBdr>
    </w:div>
    <w:div w:id="1831671478">
      <w:bodyDiv w:val="1"/>
      <w:marLeft w:val="0"/>
      <w:marRight w:val="0"/>
      <w:marTop w:val="0"/>
      <w:marBottom w:val="0"/>
      <w:divBdr>
        <w:top w:val="none" w:sz="0" w:space="0" w:color="auto"/>
        <w:left w:val="none" w:sz="0" w:space="0" w:color="auto"/>
        <w:bottom w:val="none" w:sz="0" w:space="0" w:color="auto"/>
        <w:right w:val="none" w:sz="0" w:space="0" w:color="auto"/>
      </w:divBdr>
    </w:div>
    <w:div w:id="1831824302">
      <w:bodyDiv w:val="1"/>
      <w:marLeft w:val="0"/>
      <w:marRight w:val="0"/>
      <w:marTop w:val="0"/>
      <w:marBottom w:val="0"/>
      <w:divBdr>
        <w:top w:val="none" w:sz="0" w:space="0" w:color="auto"/>
        <w:left w:val="none" w:sz="0" w:space="0" w:color="auto"/>
        <w:bottom w:val="none" w:sz="0" w:space="0" w:color="auto"/>
        <w:right w:val="none" w:sz="0" w:space="0" w:color="auto"/>
      </w:divBdr>
    </w:div>
    <w:div w:id="1834299695">
      <w:bodyDiv w:val="1"/>
      <w:marLeft w:val="0"/>
      <w:marRight w:val="0"/>
      <w:marTop w:val="0"/>
      <w:marBottom w:val="0"/>
      <w:divBdr>
        <w:top w:val="none" w:sz="0" w:space="0" w:color="auto"/>
        <w:left w:val="none" w:sz="0" w:space="0" w:color="auto"/>
        <w:bottom w:val="none" w:sz="0" w:space="0" w:color="auto"/>
        <w:right w:val="none" w:sz="0" w:space="0" w:color="auto"/>
      </w:divBdr>
    </w:div>
    <w:div w:id="1835535651">
      <w:bodyDiv w:val="1"/>
      <w:marLeft w:val="0"/>
      <w:marRight w:val="0"/>
      <w:marTop w:val="0"/>
      <w:marBottom w:val="0"/>
      <w:divBdr>
        <w:top w:val="none" w:sz="0" w:space="0" w:color="auto"/>
        <w:left w:val="none" w:sz="0" w:space="0" w:color="auto"/>
        <w:bottom w:val="none" w:sz="0" w:space="0" w:color="auto"/>
        <w:right w:val="none" w:sz="0" w:space="0" w:color="auto"/>
      </w:divBdr>
    </w:div>
    <w:div w:id="1838034921">
      <w:bodyDiv w:val="1"/>
      <w:marLeft w:val="0"/>
      <w:marRight w:val="0"/>
      <w:marTop w:val="0"/>
      <w:marBottom w:val="0"/>
      <w:divBdr>
        <w:top w:val="none" w:sz="0" w:space="0" w:color="auto"/>
        <w:left w:val="none" w:sz="0" w:space="0" w:color="auto"/>
        <w:bottom w:val="none" w:sz="0" w:space="0" w:color="auto"/>
        <w:right w:val="none" w:sz="0" w:space="0" w:color="auto"/>
      </w:divBdr>
    </w:div>
    <w:div w:id="1838381023">
      <w:bodyDiv w:val="1"/>
      <w:marLeft w:val="0"/>
      <w:marRight w:val="0"/>
      <w:marTop w:val="0"/>
      <w:marBottom w:val="0"/>
      <w:divBdr>
        <w:top w:val="none" w:sz="0" w:space="0" w:color="auto"/>
        <w:left w:val="none" w:sz="0" w:space="0" w:color="auto"/>
        <w:bottom w:val="none" w:sz="0" w:space="0" w:color="auto"/>
        <w:right w:val="none" w:sz="0" w:space="0" w:color="auto"/>
      </w:divBdr>
    </w:div>
    <w:div w:id="1840655531">
      <w:bodyDiv w:val="1"/>
      <w:marLeft w:val="0"/>
      <w:marRight w:val="0"/>
      <w:marTop w:val="0"/>
      <w:marBottom w:val="0"/>
      <w:divBdr>
        <w:top w:val="none" w:sz="0" w:space="0" w:color="auto"/>
        <w:left w:val="none" w:sz="0" w:space="0" w:color="auto"/>
        <w:bottom w:val="none" w:sz="0" w:space="0" w:color="auto"/>
        <w:right w:val="none" w:sz="0" w:space="0" w:color="auto"/>
      </w:divBdr>
    </w:div>
    <w:div w:id="1843935674">
      <w:bodyDiv w:val="1"/>
      <w:marLeft w:val="0"/>
      <w:marRight w:val="0"/>
      <w:marTop w:val="0"/>
      <w:marBottom w:val="0"/>
      <w:divBdr>
        <w:top w:val="none" w:sz="0" w:space="0" w:color="auto"/>
        <w:left w:val="none" w:sz="0" w:space="0" w:color="auto"/>
        <w:bottom w:val="none" w:sz="0" w:space="0" w:color="auto"/>
        <w:right w:val="none" w:sz="0" w:space="0" w:color="auto"/>
      </w:divBdr>
    </w:div>
    <w:div w:id="1844734273">
      <w:bodyDiv w:val="1"/>
      <w:marLeft w:val="0"/>
      <w:marRight w:val="0"/>
      <w:marTop w:val="0"/>
      <w:marBottom w:val="0"/>
      <w:divBdr>
        <w:top w:val="none" w:sz="0" w:space="0" w:color="auto"/>
        <w:left w:val="none" w:sz="0" w:space="0" w:color="auto"/>
        <w:bottom w:val="none" w:sz="0" w:space="0" w:color="auto"/>
        <w:right w:val="none" w:sz="0" w:space="0" w:color="auto"/>
      </w:divBdr>
    </w:div>
    <w:div w:id="1847020050">
      <w:bodyDiv w:val="1"/>
      <w:marLeft w:val="0"/>
      <w:marRight w:val="0"/>
      <w:marTop w:val="0"/>
      <w:marBottom w:val="0"/>
      <w:divBdr>
        <w:top w:val="none" w:sz="0" w:space="0" w:color="auto"/>
        <w:left w:val="none" w:sz="0" w:space="0" w:color="auto"/>
        <w:bottom w:val="none" w:sz="0" w:space="0" w:color="auto"/>
        <w:right w:val="none" w:sz="0" w:space="0" w:color="auto"/>
      </w:divBdr>
    </w:div>
    <w:div w:id="1848248465">
      <w:bodyDiv w:val="1"/>
      <w:marLeft w:val="0"/>
      <w:marRight w:val="0"/>
      <w:marTop w:val="0"/>
      <w:marBottom w:val="0"/>
      <w:divBdr>
        <w:top w:val="none" w:sz="0" w:space="0" w:color="auto"/>
        <w:left w:val="none" w:sz="0" w:space="0" w:color="auto"/>
        <w:bottom w:val="none" w:sz="0" w:space="0" w:color="auto"/>
        <w:right w:val="none" w:sz="0" w:space="0" w:color="auto"/>
      </w:divBdr>
    </w:div>
    <w:div w:id="1852648288">
      <w:bodyDiv w:val="1"/>
      <w:marLeft w:val="0"/>
      <w:marRight w:val="0"/>
      <w:marTop w:val="0"/>
      <w:marBottom w:val="0"/>
      <w:divBdr>
        <w:top w:val="none" w:sz="0" w:space="0" w:color="auto"/>
        <w:left w:val="none" w:sz="0" w:space="0" w:color="auto"/>
        <w:bottom w:val="none" w:sz="0" w:space="0" w:color="auto"/>
        <w:right w:val="none" w:sz="0" w:space="0" w:color="auto"/>
      </w:divBdr>
    </w:div>
    <w:div w:id="1859269239">
      <w:bodyDiv w:val="1"/>
      <w:marLeft w:val="0"/>
      <w:marRight w:val="0"/>
      <w:marTop w:val="0"/>
      <w:marBottom w:val="0"/>
      <w:divBdr>
        <w:top w:val="none" w:sz="0" w:space="0" w:color="auto"/>
        <w:left w:val="none" w:sz="0" w:space="0" w:color="auto"/>
        <w:bottom w:val="none" w:sz="0" w:space="0" w:color="auto"/>
        <w:right w:val="none" w:sz="0" w:space="0" w:color="auto"/>
      </w:divBdr>
    </w:div>
    <w:div w:id="1859732063">
      <w:bodyDiv w:val="1"/>
      <w:marLeft w:val="0"/>
      <w:marRight w:val="0"/>
      <w:marTop w:val="0"/>
      <w:marBottom w:val="0"/>
      <w:divBdr>
        <w:top w:val="none" w:sz="0" w:space="0" w:color="auto"/>
        <w:left w:val="none" w:sz="0" w:space="0" w:color="auto"/>
        <w:bottom w:val="none" w:sz="0" w:space="0" w:color="auto"/>
        <w:right w:val="none" w:sz="0" w:space="0" w:color="auto"/>
      </w:divBdr>
    </w:div>
    <w:div w:id="1859925464">
      <w:bodyDiv w:val="1"/>
      <w:marLeft w:val="0"/>
      <w:marRight w:val="0"/>
      <w:marTop w:val="0"/>
      <w:marBottom w:val="0"/>
      <w:divBdr>
        <w:top w:val="none" w:sz="0" w:space="0" w:color="auto"/>
        <w:left w:val="none" w:sz="0" w:space="0" w:color="auto"/>
        <w:bottom w:val="none" w:sz="0" w:space="0" w:color="auto"/>
        <w:right w:val="none" w:sz="0" w:space="0" w:color="auto"/>
      </w:divBdr>
    </w:div>
    <w:div w:id="1860267531">
      <w:bodyDiv w:val="1"/>
      <w:marLeft w:val="0"/>
      <w:marRight w:val="0"/>
      <w:marTop w:val="0"/>
      <w:marBottom w:val="0"/>
      <w:divBdr>
        <w:top w:val="none" w:sz="0" w:space="0" w:color="auto"/>
        <w:left w:val="none" w:sz="0" w:space="0" w:color="auto"/>
        <w:bottom w:val="none" w:sz="0" w:space="0" w:color="auto"/>
        <w:right w:val="none" w:sz="0" w:space="0" w:color="auto"/>
      </w:divBdr>
    </w:div>
    <w:div w:id="1869952977">
      <w:bodyDiv w:val="1"/>
      <w:marLeft w:val="0"/>
      <w:marRight w:val="0"/>
      <w:marTop w:val="0"/>
      <w:marBottom w:val="0"/>
      <w:divBdr>
        <w:top w:val="none" w:sz="0" w:space="0" w:color="auto"/>
        <w:left w:val="none" w:sz="0" w:space="0" w:color="auto"/>
        <w:bottom w:val="none" w:sz="0" w:space="0" w:color="auto"/>
        <w:right w:val="none" w:sz="0" w:space="0" w:color="auto"/>
      </w:divBdr>
    </w:div>
    <w:div w:id="1878394446">
      <w:bodyDiv w:val="1"/>
      <w:marLeft w:val="0"/>
      <w:marRight w:val="0"/>
      <w:marTop w:val="0"/>
      <w:marBottom w:val="0"/>
      <w:divBdr>
        <w:top w:val="none" w:sz="0" w:space="0" w:color="auto"/>
        <w:left w:val="none" w:sz="0" w:space="0" w:color="auto"/>
        <w:bottom w:val="none" w:sz="0" w:space="0" w:color="auto"/>
        <w:right w:val="none" w:sz="0" w:space="0" w:color="auto"/>
      </w:divBdr>
    </w:div>
    <w:div w:id="1882552966">
      <w:bodyDiv w:val="1"/>
      <w:marLeft w:val="0"/>
      <w:marRight w:val="0"/>
      <w:marTop w:val="0"/>
      <w:marBottom w:val="0"/>
      <w:divBdr>
        <w:top w:val="none" w:sz="0" w:space="0" w:color="auto"/>
        <w:left w:val="none" w:sz="0" w:space="0" w:color="auto"/>
        <w:bottom w:val="none" w:sz="0" w:space="0" w:color="auto"/>
        <w:right w:val="none" w:sz="0" w:space="0" w:color="auto"/>
      </w:divBdr>
    </w:div>
    <w:div w:id="1887057589">
      <w:bodyDiv w:val="1"/>
      <w:marLeft w:val="0"/>
      <w:marRight w:val="0"/>
      <w:marTop w:val="0"/>
      <w:marBottom w:val="0"/>
      <w:divBdr>
        <w:top w:val="none" w:sz="0" w:space="0" w:color="auto"/>
        <w:left w:val="none" w:sz="0" w:space="0" w:color="auto"/>
        <w:bottom w:val="none" w:sz="0" w:space="0" w:color="auto"/>
        <w:right w:val="none" w:sz="0" w:space="0" w:color="auto"/>
      </w:divBdr>
    </w:div>
    <w:div w:id="1890457000">
      <w:bodyDiv w:val="1"/>
      <w:marLeft w:val="0"/>
      <w:marRight w:val="0"/>
      <w:marTop w:val="0"/>
      <w:marBottom w:val="0"/>
      <w:divBdr>
        <w:top w:val="none" w:sz="0" w:space="0" w:color="auto"/>
        <w:left w:val="none" w:sz="0" w:space="0" w:color="auto"/>
        <w:bottom w:val="none" w:sz="0" w:space="0" w:color="auto"/>
        <w:right w:val="none" w:sz="0" w:space="0" w:color="auto"/>
      </w:divBdr>
    </w:div>
    <w:div w:id="1892303443">
      <w:bodyDiv w:val="1"/>
      <w:marLeft w:val="0"/>
      <w:marRight w:val="0"/>
      <w:marTop w:val="0"/>
      <w:marBottom w:val="0"/>
      <w:divBdr>
        <w:top w:val="none" w:sz="0" w:space="0" w:color="auto"/>
        <w:left w:val="none" w:sz="0" w:space="0" w:color="auto"/>
        <w:bottom w:val="none" w:sz="0" w:space="0" w:color="auto"/>
        <w:right w:val="none" w:sz="0" w:space="0" w:color="auto"/>
      </w:divBdr>
    </w:div>
    <w:div w:id="1893030437">
      <w:bodyDiv w:val="1"/>
      <w:marLeft w:val="0"/>
      <w:marRight w:val="0"/>
      <w:marTop w:val="0"/>
      <w:marBottom w:val="0"/>
      <w:divBdr>
        <w:top w:val="none" w:sz="0" w:space="0" w:color="auto"/>
        <w:left w:val="none" w:sz="0" w:space="0" w:color="auto"/>
        <w:bottom w:val="none" w:sz="0" w:space="0" w:color="auto"/>
        <w:right w:val="none" w:sz="0" w:space="0" w:color="auto"/>
      </w:divBdr>
    </w:div>
    <w:div w:id="1900358154">
      <w:bodyDiv w:val="1"/>
      <w:marLeft w:val="0"/>
      <w:marRight w:val="0"/>
      <w:marTop w:val="0"/>
      <w:marBottom w:val="0"/>
      <w:divBdr>
        <w:top w:val="none" w:sz="0" w:space="0" w:color="auto"/>
        <w:left w:val="none" w:sz="0" w:space="0" w:color="auto"/>
        <w:bottom w:val="none" w:sz="0" w:space="0" w:color="auto"/>
        <w:right w:val="none" w:sz="0" w:space="0" w:color="auto"/>
      </w:divBdr>
    </w:div>
    <w:div w:id="1902518762">
      <w:bodyDiv w:val="1"/>
      <w:marLeft w:val="0"/>
      <w:marRight w:val="0"/>
      <w:marTop w:val="0"/>
      <w:marBottom w:val="0"/>
      <w:divBdr>
        <w:top w:val="none" w:sz="0" w:space="0" w:color="auto"/>
        <w:left w:val="none" w:sz="0" w:space="0" w:color="auto"/>
        <w:bottom w:val="none" w:sz="0" w:space="0" w:color="auto"/>
        <w:right w:val="none" w:sz="0" w:space="0" w:color="auto"/>
      </w:divBdr>
    </w:div>
    <w:div w:id="1906524886">
      <w:bodyDiv w:val="1"/>
      <w:marLeft w:val="0"/>
      <w:marRight w:val="0"/>
      <w:marTop w:val="0"/>
      <w:marBottom w:val="0"/>
      <w:divBdr>
        <w:top w:val="none" w:sz="0" w:space="0" w:color="auto"/>
        <w:left w:val="none" w:sz="0" w:space="0" w:color="auto"/>
        <w:bottom w:val="none" w:sz="0" w:space="0" w:color="auto"/>
        <w:right w:val="none" w:sz="0" w:space="0" w:color="auto"/>
      </w:divBdr>
    </w:div>
    <w:div w:id="1910186881">
      <w:bodyDiv w:val="1"/>
      <w:marLeft w:val="0"/>
      <w:marRight w:val="0"/>
      <w:marTop w:val="0"/>
      <w:marBottom w:val="0"/>
      <w:divBdr>
        <w:top w:val="none" w:sz="0" w:space="0" w:color="auto"/>
        <w:left w:val="none" w:sz="0" w:space="0" w:color="auto"/>
        <w:bottom w:val="none" w:sz="0" w:space="0" w:color="auto"/>
        <w:right w:val="none" w:sz="0" w:space="0" w:color="auto"/>
      </w:divBdr>
    </w:div>
    <w:div w:id="1917740155">
      <w:bodyDiv w:val="1"/>
      <w:marLeft w:val="0"/>
      <w:marRight w:val="0"/>
      <w:marTop w:val="0"/>
      <w:marBottom w:val="0"/>
      <w:divBdr>
        <w:top w:val="none" w:sz="0" w:space="0" w:color="auto"/>
        <w:left w:val="none" w:sz="0" w:space="0" w:color="auto"/>
        <w:bottom w:val="none" w:sz="0" w:space="0" w:color="auto"/>
        <w:right w:val="none" w:sz="0" w:space="0" w:color="auto"/>
      </w:divBdr>
    </w:div>
    <w:div w:id="1919319641">
      <w:bodyDiv w:val="1"/>
      <w:marLeft w:val="0"/>
      <w:marRight w:val="0"/>
      <w:marTop w:val="0"/>
      <w:marBottom w:val="0"/>
      <w:divBdr>
        <w:top w:val="none" w:sz="0" w:space="0" w:color="auto"/>
        <w:left w:val="none" w:sz="0" w:space="0" w:color="auto"/>
        <w:bottom w:val="none" w:sz="0" w:space="0" w:color="auto"/>
        <w:right w:val="none" w:sz="0" w:space="0" w:color="auto"/>
      </w:divBdr>
    </w:div>
    <w:div w:id="1924795486">
      <w:bodyDiv w:val="1"/>
      <w:marLeft w:val="0"/>
      <w:marRight w:val="0"/>
      <w:marTop w:val="0"/>
      <w:marBottom w:val="0"/>
      <w:divBdr>
        <w:top w:val="none" w:sz="0" w:space="0" w:color="auto"/>
        <w:left w:val="none" w:sz="0" w:space="0" w:color="auto"/>
        <w:bottom w:val="none" w:sz="0" w:space="0" w:color="auto"/>
        <w:right w:val="none" w:sz="0" w:space="0" w:color="auto"/>
      </w:divBdr>
      <w:divsChild>
        <w:div w:id="15548935">
          <w:marLeft w:val="288"/>
          <w:marRight w:val="0"/>
          <w:marTop w:val="40"/>
          <w:marBottom w:val="0"/>
          <w:divBdr>
            <w:top w:val="none" w:sz="0" w:space="0" w:color="auto"/>
            <w:left w:val="none" w:sz="0" w:space="0" w:color="auto"/>
            <w:bottom w:val="none" w:sz="0" w:space="0" w:color="auto"/>
            <w:right w:val="none" w:sz="0" w:space="0" w:color="auto"/>
          </w:divBdr>
        </w:div>
        <w:div w:id="232929875">
          <w:marLeft w:val="288"/>
          <w:marRight w:val="0"/>
          <w:marTop w:val="40"/>
          <w:marBottom w:val="0"/>
          <w:divBdr>
            <w:top w:val="none" w:sz="0" w:space="0" w:color="auto"/>
            <w:left w:val="none" w:sz="0" w:space="0" w:color="auto"/>
            <w:bottom w:val="none" w:sz="0" w:space="0" w:color="auto"/>
            <w:right w:val="none" w:sz="0" w:space="0" w:color="auto"/>
          </w:divBdr>
        </w:div>
        <w:div w:id="265120342">
          <w:marLeft w:val="288"/>
          <w:marRight w:val="0"/>
          <w:marTop w:val="40"/>
          <w:marBottom w:val="0"/>
          <w:divBdr>
            <w:top w:val="none" w:sz="0" w:space="0" w:color="auto"/>
            <w:left w:val="none" w:sz="0" w:space="0" w:color="auto"/>
            <w:bottom w:val="none" w:sz="0" w:space="0" w:color="auto"/>
            <w:right w:val="none" w:sz="0" w:space="0" w:color="auto"/>
          </w:divBdr>
        </w:div>
        <w:div w:id="433592073">
          <w:marLeft w:val="288"/>
          <w:marRight w:val="0"/>
          <w:marTop w:val="40"/>
          <w:marBottom w:val="0"/>
          <w:divBdr>
            <w:top w:val="none" w:sz="0" w:space="0" w:color="auto"/>
            <w:left w:val="none" w:sz="0" w:space="0" w:color="auto"/>
            <w:bottom w:val="none" w:sz="0" w:space="0" w:color="auto"/>
            <w:right w:val="none" w:sz="0" w:space="0" w:color="auto"/>
          </w:divBdr>
        </w:div>
        <w:div w:id="627706014">
          <w:marLeft w:val="288"/>
          <w:marRight w:val="0"/>
          <w:marTop w:val="40"/>
          <w:marBottom w:val="0"/>
          <w:divBdr>
            <w:top w:val="none" w:sz="0" w:space="0" w:color="auto"/>
            <w:left w:val="none" w:sz="0" w:space="0" w:color="auto"/>
            <w:bottom w:val="none" w:sz="0" w:space="0" w:color="auto"/>
            <w:right w:val="none" w:sz="0" w:space="0" w:color="auto"/>
          </w:divBdr>
        </w:div>
        <w:div w:id="643047865">
          <w:marLeft w:val="288"/>
          <w:marRight w:val="0"/>
          <w:marTop w:val="40"/>
          <w:marBottom w:val="0"/>
          <w:divBdr>
            <w:top w:val="none" w:sz="0" w:space="0" w:color="auto"/>
            <w:left w:val="none" w:sz="0" w:space="0" w:color="auto"/>
            <w:bottom w:val="none" w:sz="0" w:space="0" w:color="auto"/>
            <w:right w:val="none" w:sz="0" w:space="0" w:color="auto"/>
          </w:divBdr>
        </w:div>
        <w:div w:id="725563556">
          <w:marLeft w:val="288"/>
          <w:marRight w:val="0"/>
          <w:marTop w:val="40"/>
          <w:marBottom w:val="0"/>
          <w:divBdr>
            <w:top w:val="none" w:sz="0" w:space="0" w:color="auto"/>
            <w:left w:val="none" w:sz="0" w:space="0" w:color="auto"/>
            <w:bottom w:val="none" w:sz="0" w:space="0" w:color="auto"/>
            <w:right w:val="none" w:sz="0" w:space="0" w:color="auto"/>
          </w:divBdr>
        </w:div>
        <w:div w:id="761412957">
          <w:marLeft w:val="288"/>
          <w:marRight w:val="0"/>
          <w:marTop w:val="40"/>
          <w:marBottom w:val="0"/>
          <w:divBdr>
            <w:top w:val="none" w:sz="0" w:space="0" w:color="auto"/>
            <w:left w:val="none" w:sz="0" w:space="0" w:color="auto"/>
            <w:bottom w:val="none" w:sz="0" w:space="0" w:color="auto"/>
            <w:right w:val="none" w:sz="0" w:space="0" w:color="auto"/>
          </w:divBdr>
        </w:div>
        <w:div w:id="777989590">
          <w:marLeft w:val="288"/>
          <w:marRight w:val="0"/>
          <w:marTop w:val="40"/>
          <w:marBottom w:val="0"/>
          <w:divBdr>
            <w:top w:val="none" w:sz="0" w:space="0" w:color="auto"/>
            <w:left w:val="none" w:sz="0" w:space="0" w:color="auto"/>
            <w:bottom w:val="none" w:sz="0" w:space="0" w:color="auto"/>
            <w:right w:val="none" w:sz="0" w:space="0" w:color="auto"/>
          </w:divBdr>
        </w:div>
        <w:div w:id="787311801">
          <w:marLeft w:val="288"/>
          <w:marRight w:val="0"/>
          <w:marTop w:val="40"/>
          <w:marBottom w:val="0"/>
          <w:divBdr>
            <w:top w:val="none" w:sz="0" w:space="0" w:color="auto"/>
            <w:left w:val="none" w:sz="0" w:space="0" w:color="auto"/>
            <w:bottom w:val="none" w:sz="0" w:space="0" w:color="auto"/>
            <w:right w:val="none" w:sz="0" w:space="0" w:color="auto"/>
          </w:divBdr>
        </w:div>
        <w:div w:id="916012576">
          <w:marLeft w:val="288"/>
          <w:marRight w:val="0"/>
          <w:marTop w:val="40"/>
          <w:marBottom w:val="0"/>
          <w:divBdr>
            <w:top w:val="none" w:sz="0" w:space="0" w:color="auto"/>
            <w:left w:val="none" w:sz="0" w:space="0" w:color="auto"/>
            <w:bottom w:val="none" w:sz="0" w:space="0" w:color="auto"/>
            <w:right w:val="none" w:sz="0" w:space="0" w:color="auto"/>
          </w:divBdr>
        </w:div>
        <w:div w:id="1058094097">
          <w:marLeft w:val="288"/>
          <w:marRight w:val="0"/>
          <w:marTop w:val="40"/>
          <w:marBottom w:val="0"/>
          <w:divBdr>
            <w:top w:val="none" w:sz="0" w:space="0" w:color="auto"/>
            <w:left w:val="none" w:sz="0" w:space="0" w:color="auto"/>
            <w:bottom w:val="none" w:sz="0" w:space="0" w:color="auto"/>
            <w:right w:val="none" w:sz="0" w:space="0" w:color="auto"/>
          </w:divBdr>
        </w:div>
        <w:div w:id="1159809874">
          <w:marLeft w:val="288"/>
          <w:marRight w:val="0"/>
          <w:marTop w:val="40"/>
          <w:marBottom w:val="0"/>
          <w:divBdr>
            <w:top w:val="none" w:sz="0" w:space="0" w:color="auto"/>
            <w:left w:val="none" w:sz="0" w:space="0" w:color="auto"/>
            <w:bottom w:val="none" w:sz="0" w:space="0" w:color="auto"/>
            <w:right w:val="none" w:sz="0" w:space="0" w:color="auto"/>
          </w:divBdr>
        </w:div>
        <w:div w:id="1678270108">
          <w:marLeft w:val="288"/>
          <w:marRight w:val="0"/>
          <w:marTop w:val="40"/>
          <w:marBottom w:val="0"/>
          <w:divBdr>
            <w:top w:val="none" w:sz="0" w:space="0" w:color="auto"/>
            <w:left w:val="none" w:sz="0" w:space="0" w:color="auto"/>
            <w:bottom w:val="none" w:sz="0" w:space="0" w:color="auto"/>
            <w:right w:val="none" w:sz="0" w:space="0" w:color="auto"/>
          </w:divBdr>
        </w:div>
        <w:div w:id="1840735687">
          <w:marLeft w:val="288"/>
          <w:marRight w:val="0"/>
          <w:marTop w:val="40"/>
          <w:marBottom w:val="0"/>
          <w:divBdr>
            <w:top w:val="none" w:sz="0" w:space="0" w:color="auto"/>
            <w:left w:val="none" w:sz="0" w:space="0" w:color="auto"/>
            <w:bottom w:val="none" w:sz="0" w:space="0" w:color="auto"/>
            <w:right w:val="none" w:sz="0" w:space="0" w:color="auto"/>
          </w:divBdr>
        </w:div>
        <w:div w:id="1904561614">
          <w:marLeft w:val="288"/>
          <w:marRight w:val="0"/>
          <w:marTop w:val="40"/>
          <w:marBottom w:val="0"/>
          <w:divBdr>
            <w:top w:val="none" w:sz="0" w:space="0" w:color="auto"/>
            <w:left w:val="none" w:sz="0" w:space="0" w:color="auto"/>
            <w:bottom w:val="none" w:sz="0" w:space="0" w:color="auto"/>
            <w:right w:val="none" w:sz="0" w:space="0" w:color="auto"/>
          </w:divBdr>
        </w:div>
        <w:div w:id="1998460700">
          <w:marLeft w:val="288"/>
          <w:marRight w:val="0"/>
          <w:marTop w:val="40"/>
          <w:marBottom w:val="0"/>
          <w:divBdr>
            <w:top w:val="none" w:sz="0" w:space="0" w:color="auto"/>
            <w:left w:val="none" w:sz="0" w:space="0" w:color="auto"/>
            <w:bottom w:val="none" w:sz="0" w:space="0" w:color="auto"/>
            <w:right w:val="none" w:sz="0" w:space="0" w:color="auto"/>
          </w:divBdr>
        </w:div>
        <w:div w:id="2111971106">
          <w:marLeft w:val="288"/>
          <w:marRight w:val="0"/>
          <w:marTop w:val="40"/>
          <w:marBottom w:val="0"/>
          <w:divBdr>
            <w:top w:val="none" w:sz="0" w:space="0" w:color="auto"/>
            <w:left w:val="none" w:sz="0" w:space="0" w:color="auto"/>
            <w:bottom w:val="none" w:sz="0" w:space="0" w:color="auto"/>
            <w:right w:val="none" w:sz="0" w:space="0" w:color="auto"/>
          </w:divBdr>
        </w:div>
      </w:divsChild>
    </w:div>
    <w:div w:id="1927762971">
      <w:bodyDiv w:val="1"/>
      <w:marLeft w:val="0"/>
      <w:marRight w:val="0"/>
      <w:marTop w:val="0"/>
      <w:marBottom w:val="0"/>
      <w:divBdr>
        <w:top w:val="none" w:sz="0" w:space="0" w:color="auto"/>
        <w:left w:val="none" w:sz="0" w:space="0" w:color="auto"/>
        <w:bottom w:val="none" w:sz="0" w:space="0" w:color="auto"/>
        <w:right w:val="none" w:sz="0" w:space="0" w:color="auto"/>
      </w:divBdr>
      <w:divsChild>
        <w:div w:id="47806195">
          <w:marLeft w:val="288"/>
          <w:marRight w:val="0"/>
          <w:marTop w:val="120"/>
          <w:marBottom w:val="0"/>
          <w:divBdr>
            <w:top w:val="none" w:sz="0" w:space="0" w:color="auto"/>
            <w:left w:val="none" w:sz="0" w:space="0" w:color="auto"/>
            <w:bottom w:val="none" w:sz="0" w:space="0" w:color="auto"/>
            <w:right w:val="none" w:sz="0" w:space="0" w:color="auto"/>
          </w:divBdr>
        </w:div>
        <w:div w:id="618688621">
          <w:marLeft w:val="288"/>
          <w:marRight w:val="0"/>
          <w:marTop w:val="120"/>
          <w:marBottom w:val="0"/>
          <w:divBdr>
            <w:top w:val="none" w:sz="0" w:space="0" w:color="auto"/>
            <w:left w:val="none" w:sz="0" w:space="0" w:color="auto"/>
            <w:bottom w:val="none" w:sz="0" w:space="0" w:color="auto"/>
            <w:right w:val="none" w:sz="0" w:space="0" w:color="auto"/>
          </w:divBdr>
        </w:div>
        <w:div w:id="902177708">
          <w:marLeft w:val="288"/>
          <w:marRight w:val="0"/>
          <w:marTop w:val="120"/>
          <w:marBottom w:val="0"/>
          <w:divBdr>
            <w:top w:val="none" w:sz="0" w:space="0" w:color="auto"/>
            <w:left w:val="none" w:sz="0" w:space="0" w:color="auto"/>
            <w:bottom w:val="none" w:sz="0" w:space="0" w:color="auto"/>
            <w:right w:val="none" w:sz="0" w:space="0" w:color="auto"/>
          </w:divBdr>
        </w:div>
        <w:div w:id="1156645669">
          <w:marLeft w:val="288"/>
          <w:marRight w:val="0"/>
          <w:marTop w:val="120"/>
          <w:marBottom w:val="0"/>
          <w:divBdr>
            <w:top w:val="none" w:sz="0" w:space="0" w:color="auto"/>
            <w:left w:val="none" w:sz="0" w:space="0" w:color="auto"/>
            <w:bottom w:val="none" w:sz="0" w:space="0" w:color="auto"/>
            <w:right w:val="none" w:sz="0" w:space="0" w:color="auto"/>
          </w:divBdr>
        </w:div>
      </w:divsChild>
    </w:div>
    <w:div w:id="1927837437">
      <w:bodyDiv w:val="1"/>
      <w:marLeft w:val="0"/>
      <w:marRight w:val="0"/>
      <w:marTop w:val="0"/>
      <w:marBottom w:val="0"/>
      <w:divBdr>
        <w:top w:val="none" w:sz="0" w:space="0" w:color="auto"/>
        <w:left w:val="none" w:sz="0" w:space="0" w:color="auto"/>
        <w:bottom w:val="none" w:sz="0" w:space="0" w:color="auto"/>
        <w:right w:val="none" w:sz="0" w:space="0" w:color="auto"/>
      </w:divBdr>
    </w:div>
    <w:div w:id="1930457824">
      <w:bodyDiv w:val="1"/>
      <w:marLeft w:val="0"/>
      <w:marRight w:val="0"/>
      <w:marTop w:val="0"/>
      <w:marBottom w:val="0"/>
      <w:divBdr>
        <w:top w:val="none" w:sz="0" w:space="0" w:color="auto"/>
        <w:left w:val="none" w:sz="0" w:space="0" w:color="auto"/>
        <w:bottom w:val="none" w:sz="0" w:space="0" w:color="auto"/>
        <w:right w:val="none" w:sz="0" w:space="0" w:color="auto"/>
      </w:divBdr>
    </w:div>
    <w:div w:id="1938101970">
      <w:bodyDiv w:val="1"/>
      <w:marLeft w:val="0"/>
      <w:marRight w:val="0"/>
      <w:marTop w:val="0"/>
      <w:marBottom w:val="0"/>
      <w:divBdr>
        <w:top w:val="none" w:sz="0" w:space="0" w:color="auto"/>
        <w:left w:val="none" w:sz="0" w:space="0" w:color="auto"/>
        <w:bottom w:val="none" w:sz="0" w:space="0" w:color="auto"/>
        <w:right w:val="none" w:sz="0" w:space="0" w:color="auto"/>
      </w:divBdr>
    </w:div>
    <w:div w:id="1940793767">
      <w:bodyDiv w:val="1"/>
      <w:marLeft w:val="0"/>
      <w:marRight w:val="0"/>
      <w:marTop w:val="0"/>
      <w:marBottom w:val="0"/>
      <w:divBdr>
        <w:top w:val="none" w:sz="0" w:space="0" w:color="auto"/>
        <w:left w:val="none" w:sz="0" w:space="0" w:color="auto"/>
        <w:bottom w:val="none" w:sz="0" w:space="0" w:color="auto"/>
        <w:right w:val="none" w:sz="0" w:space="0" w:color="auto"/>
      </w:divBdr>
    </w:div>
    <w:div w:id="1943495133">
      <w:bodyDiv w:val="1"/>
      <w:marLeft w:val="0"/>
      <w:marRight w:val="0"/>
      <w:marTop w:val="0"/>
      <w:marBottom w:val="0"/>
      <w:divBdr>
        <w:top w:val="none" w:sz="0" w:space="0" w:color="auto"/>
        <w:left w:val="none" w:sz="0" w:space="0" w:color="auto"/>
        <w:bottom w:val="none" w:sz="0" w:space="0" w:color="auto"/>
        <w:right w:val="none" w:sz="0" w:space="0" w:color="auto"/>
      </w:divBdr>
    </w:div>
    <w:div w:id="1946838132">
      <w:bodyDiv w:val="1"/>
      <w:marLeft w:val="0"/>
      <w:marRight w:val="0"/>
      <w:marTop w:val="0"/>
      <w:marBottom w:val="0"/>
      <w:divBdr>
        <w:top w:val="none" w:sz="0" w:space="0" w:color="auto"/>
        <w:left w:val="none" w:sz="0" w:space="0" w:color="auto"/>
        <w:bottom w:val="none" w:sz="0" w:space="0" w:color="auto"/>
        <w:right w:val="none" w:sz="0" w:space="0" w:color="auto"/>
      </w:divBdr>
    </w:div>
    <w:div w:id="1951162053">
      <w:bodyDiv w:val="1"/>
      <w:marLeft w:val="0"/>
      <w:marRight w:val="0"/>
      <w:marTop w:val="0"/>
      <w:marBottom w:val="0"/>
      <w:divBdr>
        <w:top w:val="none" w:sz="0" w:space="0" w:color="auto"/>
        <w:left w:val="none" w:sz="0" w:space="0" w:color="auto"/>
        <w:bottom w:val="none" w:sz="0" w:space="0" w:color="auto"/>
        <w:right w:val="none" w:sz="0" w:space="0" w:color="auto"/>
      </w:divBdr>
      <w:divsChild>
        <w:div w:id="21826163">
          <w:marLeft w:val="288"/>
          <w:marRight w:val="0"/>
          <w:marTop w:val="120"/>
          <w:marBottom w:val="0"/>
          <w:divBdr>
            <w:top w:val="none" w:sz="0" w:space="0" w:color="auto"/>
            <w:left w:val="none" w:sz="0" w:space="0" w:color="auto"/>
            <w:bottom w:val="none" w:sz="0" w:space="0" w:color="auto"/>
            <w:right w:val="none" w:sz="0" w:space="0" w:color="auto"/>
          </w:divBdr>
        </w:div>
        <w:div w:id="130830769">
          <w:marLeft w:val="288"/>
          <w:marRight w:val="0"/>
          <w:marTop w:val="120"/>
          <w:marBottom w:val="0"/>
          <w:divBdr>
            <w:top w:val="none" w:sz="0" w:space="0" w:color="auto"/>
            <w:left w:val="none" w:sz="0" w:space="0" w:color="auto"/>
            <w:bottom w:val="none" w:sz="0" w:space="0" w:color="auto"/>
            <w:right w:val="none" w:sz="0" w:space="0" w:color="auto"/>
          </w:divBdr>
        </w:div>
        <w:div w:id="180048388">
          <w:marLeft w:val="288"/>
          <w:marRight w:val="0"/>
          <w:marTop w:val="120"/>
          <w:marBottom w:val="0"/>
          <w:divBdr>
            <w:top w:val="none" w:sz="0" w:space="0" w:color="auto"/>
            <w:left w:val="none" w:sz="0" w:space="0" w:color="auto"/>
            <w:bottom w:val="none" w:sz="0" w:space="0" w:color="auto"/>
            <w:right w:val="none" w:sz="0" w:space="0" w:color="auto"/>
          </w:divBdr>
        </w:div>
        <w:div w:id="249044860">
          <w:marLeft w:val="288"/>
          <w:marRight w:val="0"/>
          <w:marTop w:val="120"/>
          <w:marBottom w:val="0"/>
          <w:divBdr>
            <w:top w:val="none" w:sz="0" w:space="0" w:color="auto"/>
            <w:left w:val="none" w:sz="0" w:space="0" w:color="auto"/>
            <w:bottom w:val="none" w:sz="0" w:space="0" w:color="auto"/>
            <w:right w:val="none" w:sz="0" w:space="0" w:color="auto"/>
          </w:divBdr>
        </w:div>
        <w:div w:id="1090469262">
          <w:marLeft w:val="288"/>
          <w:marRight w:val="0"/>
          <w:marTop w:val="120"/>
          <w:marBottom w:val="0"/>
          <w:divBdr>
            <w:top w:val="none" w:sz="0" w:space="0" w:color="auto"/>
            <w:left w:val="none" w:sz="0" w:space="0" w:color="auto"/>
            <w:bottom w:val="none" w:sz="0" w:space="0" w:color="auto"/>
            <w:right w:val="none" w:sz="0" w:space="0" w:color="auto"/>
          </w:divBdr>
        </w:div>
        <w:div w:id="1835993639">
          <w:marLeft w:val="288"/>
          <w:marRight w:val="0"/>
          <w:marTop w:val="120"/>
          <w:marBottom w:val="0"/>
          <w:divBdr>
            <w:top w:val="none" w:sz="0" w:space="0" w:color="auto"/>
            <w:left w:val="none" w:sz="0" w:space="0" w:color="auto"/>
            <w:bottom w:val="none" w:sz="0" w:space="0" w:color="auto"/>
            <w:right w:val="none" w:sz="0" w:space="0" w:color="auto"/>
          </w:divBdr>
        </w:div>
        <w:div w:id="2049064269">
          <w:marLeft w:val="288"/>
          <w:marRight w:val="0"/>
          <w:marTop w:val="120"/>
          <w:marBottom w:val="0"/>
          <w:divBdr>
            <w:top w:val="none" w:sz="0" w:space="0" w:color="auto"/>
            <w:left w:val="none" w:sz="0" w:space="0" w:color="auto"/>
            <w:bottom w:val="none" w:sz="0" w:space="0" w:color="auto"/>
            <w:right w:val="none" w:sz="0" w:space="0" w:color="auto"/>
          </w:divBdr>
        </w:div>
      </w:divsChild>
    </w:div>
    <w:div w:id="1955556264">
      <w:bodyDiv w:val="1"/>
      <w:marLeft w:val="0"/>
      <w:marRight w:val="0"/>
      <w:marTop w:val="0"/>
      <w:marBottom w:val="0"/>
      <w:divBdr>
        <w:top w:val="none" w:sz="0" w:space="0" w:color="auto"/>
        <w:left w:val="none" w:sz="0" w:space="0" w:color="auto"/>
        <w:bottom w:val="none" w:sz="0" w:space="0" w:color="auto"/>
        <w:right w:val="none" w:sz="0" w:space="0" w:color="auto"/>
      </w:divBdr>
    </w:div>
    <w:div w:id="1959947407">
      <w:bodyDiv w:val="1"/>
      <w:marLeft w:val="0"/>
      <w:marRight w:val="0"/>
      <w:marTop w:val="0"/>
      <w:marBottom w:val="0"/>
      <w:divBdr>
        <w:top w:val="none" w:sz="0" w:space="0" w:color="auto"/>
        <w:left w:val="none" w:sz="0" w:space="0" w:color="auto"/>
        <w:bottom w:val="none" w:sz="0" w:space="0" w:color="auto"/>
        <w:right w:val="none" w:sz="0" w:space="0" w:color="auto"/>
      </w:divBdr>
    </w:div>
    <w:div w:id="1960143526">
      <w:bodyDiv w:val="1"/>
      <w:marLeft w:val="0"/>
      <w:marRight w:val="0"/>
      <w:marTop w:val="0"/>
      <w:marBottom w:val="0"/>
      <w:divBdr>
        <w:top w:val="none" w:sz="0" w:space="0" w:color="auto"/>
        <w:left w:val="none" w:sz="0" w:space="0" w:color="auto"/>
        <w:bottom w:val="none" w:sz="0" w:space="0" w:color="auto"/>
        <w:right w:val="none" w:sz="0" w:space="0" w:color="auto"/>
      </w:divBdr>
    </w:div>
    <w:div w:id="1961959977">
      <w:bodyDiv w:val="1"/>
      <w:marLeft w:val="0"/>
      <w:marRight w:val="0"/>
      <w:marTop w:val="0"/>
      <w:marBottom w:val="0"/>
      <w:divBdr>
        <w:top w:val="none" w:sz="0" w:space="0" w:color="auto"/>
        <w:left w:val="none" w:sz="0" w:space="0" w:color="auto"/>
        <w:bottom w:val="none" w:sz="0" w:space="0" w:color="auto"/>
        <w:right w:val="none" w:sz="0" w:space="0" w:color="auto"/>
      </w:divBdr>
    </w:div>
    <w:div w:id="1963464105">
      <w:bodyDiv w:val="1"/>
      <w:marLeft w:val="0"/>
      <w:marRight w:val="0"/>
      <w:marTop w:val="0"/>
      <w:marBottom w:val="0"/>
      <w:divBdr>
        <w:top w:val="none" w:sz="0" w:space="0" w:color="auto"/>
        <w:left w:val="none" w:sz="0" w:space="0" w:color="auto"/>
        <w:bottom w:val="none" w:sz="0" w:space="0" w:color="auto"/>
        <w:right w:val="none" w:sz="0" w:space="0" w:color="auto"/>
      </w:divBdr>
    </w:div>
    <w:div w:id="1964459167">
      <w:bodyDiv w:val="1"/>
      <w:marLeft w:val="0"/>
      <w:marRight w:val="0"/>
      <w:marTop w:val="0"/>
      <w:marBottom w:val="0"/>
      <w:divBdr>
        <w:top w:val="none" w:sz="0" w:space="0" w:color="auto"/>
        <w:left w:val="none" w:sz="0" w:space="0" w:color="auto"/>
        <w:bottom w:val="none" w:sz="0" w:space="0" w:color="auto"/>
        <w:right w:val="none" w:sz="0" w:space="0" w:color="auto"/>
      </w:divBdr>
    </w:div>
    <w:div w:id="1965116756">
      <w:bodyDiv w:val="1"/>
      <w:marLeft w:val="0"/>
      <w:marRight w:val="0"/>
      <w:marTop w:val="0"/>
      <w:marBottom w:val="0"/>
      <w:divBdr>
        <w:top w:val="none" w:sz="0" w:space="0" w:color="auto"/>
        <w:left w:val="none" w:sz="0" w:space="0" w:color="auto"/>
        <w:bottom w:val="none" w:sz="0" w:space="0" w:color="auto"/>
        <w:right w:val="none" w:sz="0" w:space="0" w:color="auto"/>
      </w:divBdr>
    </w:div>
    <w:div w:id="1969242203">
      <w:bodyDiv w:val="1"/>
      <w:marLeft w:val="0"/>
      <w:marRight w:val="0"/>
      <w:marTop w:val="0"/>
      <w:marBottom w:val="0"/>
      <w:divBdr>
        <w:top w:val="none" w:sz="0" w:space="0" w:color="auto"/>
        <w:left w:val="none" w:sz="0" w:space="0" w:color="auto"/>
        <w:bottom w:val="none" w:sz="0" w:space="0" w:color="auto"/>
        <w:right w:val="none" w:sz="0" w:space="0" w:color="auto"/>
      </w:divBdr>
    </w:div>
    <w:div w:id="1974014819">
      <w:bodyDiv w:val="1"/>
      <w:marLeft w:val="0"/>
      <w:marRight w:val="0"/>
      <w:marTop w:val="0"/>
      <w:marBottom w:val="0"/>
      <w:divBdr>
        <w:top w:val="none" w:sz="0" w:space="0" w:color="auto"/>
        <w:left w:val="none" w:sz="0" w:space="0" w:color="auto"/>
        <w:bottom w:val="none" w:sz="0" w:space="0" w:color="auto"/>
        <w:right w:val="none" w:sz="0" w:space="0" w:color="auto"/>
      </w:divBdr>
    </w:div>
    <w:div w:id="1977684906">
      <w:bodyDiv w:val="1"/>
      <w:marLeft w:val="0"/>
      <w:marRight w:val="0"/>
      <w:marTop w:val="0"/>
      <w:marBottom w:val="0"/>
      <w:divBdr>
        <w:top w:val="none" w:sz="0" w:space="0" w:color="auto"/>
        <w:left w:val="none" w:sz="0" w:space="0" w:color="auto"/>
        <w:bottom w:val="none" w:sz="0" w:space="0" w:color="auto"/>
        <w:right w:val="none" w:sz="0" w:space="0" w:color="auto"/>
      </w:divBdr>
    </w:div>
    <w:div w:id="1979918301">
      <w:bodyDiv w:val="1"/>
      <w:marLeft w:val="0"/>
      <w:marRight w:val="0"/>
      <w:marTop w:val="0"/>
      <w:marBottom w:val="0"/>
      <w:divBdr>
        <w:top w:val="none" w:sz="0" w:space="0" w:color="auto"/>
        <w:left w:val="none" w:sz="0" w:space="0" w:color="auto"/>
        <w:bottom w:val="none" w:sz="0" w:space="0" w:color="auto"/>
        <w:right w:val="none" w:sz="0" w:space="0" w:color="auto"/>
      </w:divBdr>
    </w:div>
    <w:div w:id="1980262421">
      <w:bodyDiv w:val="1"/>
      <w:marLeft w:val="0"/>
      <w:marRight w:val="0"/>
      <w:marTop w:val="0"/>
      <w:marBottom w:val="0"/>
      <w:divBdr>
        <w:top w:val="none" w:sz="0" w:space="0" w:color="auto"/>
        <w:left w:val="none" w:sz="0" w:space="0" w:color="auto"/>
        <w:bottom w:val="none" w:sz="0" w:space="0" w:color="auto"/>
        <w:right w:val="none" w:sz="0" w:space="0" w:color="auto"/>
      </w:divBdr>
    </w:div>
    <w:div w:id="1982037824">
      <w:bodyDiv w:val="1"/>
      <w:marLeft w:val="0"/>
      <w:marRight w:val="0"/>
      <w:marTop w:val="0"/>
      <w:marBottom w:val="0"/>
      <w:divBdr>
        <w:top w:val="none" w:sz="0" w:space="0" w:color="auto"/>
        <w:left w:val="none" w:sz="0" w:space="0" w:color="auto"/>
        <w:bottom w:val="none" w:sz="0" w:space="0" w:color="auto"/>
        <w:right w:val="none" w:sz="0" w:space="0" w:color="auto"/>
      </w:divBdr>
    </w:div>
    <w:div w:id="1982421645">
      <w:bodyDiv w:val="1"/>
      <w:marLeft w:val="0"/>
      <w:marRight w:val="0"/>
      <w:marTop w:val="0"/>
      <w:marBottom w:val="0"/>
      <w:divBdr>
        <w:top w:val="none" w:sz="0" w:space="0" w:color="auto"/>
        <w:left w:val="none" w:sz="0" w:space="0" w:color="auto"/>
        <w:bottom w:val="none" w:sz="0" w:space="0" w:color="auto"/>
        <w:right w:val="none" w:sz="0" w:space="0" w:color="auto"/>
      </w:divBdr>
      <w:divsChild>
        <w:div w:id="976031418">
          <w:marLeft w:val="0"/>
          <w:marRight w:val="0"/>
          <w:marTop w:val="0"/>
          <w:marBottom w:val="0"/>
          <w:divBdr>
            <w:top w:val="none" w:sz="0" w:space="0" w:color="auto"/>
            <w:left w:val="none" w:sz="0" w:space="0" w:color="auto"/>
            <w:bottom w:val="none" w:sz="0" w:space="0" w:color="auto"/>
            <w:right w:val="none" w:sz="0" w:space="0" w:color="auto"/>
          </w:divBdr>
          <w:divsChild>
            <w:div w:id="1082218504">
              <w:marLeft w:val="0"/>
              <w:marRight w:val="0"/>
              <w:marTop w:val="0"/>
              <w:marBottom w:val="0"/>
              <w:divBdr>
                <w:top w:val="none" w:sz="0" w:space="0" w:color="auto"/>
                <w:left w:val="none" w:sz="0" w:space="0" w:color="auto"/>
                <w:bottom w:val="none" w:sz="0" w:space="0" w:color="auto"/>
                <w:right w:val="none" w:sz="0" w:space="0" w:color="auto"/>
              </w:divBdr>
              <w:divsChild>
                <w:div w:id="15157882">
                  <w:marLeft w:val="0"/>
                  <w:marRight w:val="0"/>
                  <w:marTop w:val="0"/>
                  <w:marBottom w:val="0"/>
                  <w:divBdr>
                    <w:top w:val="none" w:sz="0" w:space="0" w:color="auto"/>
                    <w:left w:val="none" w:sz="0" w:space="0" w:color="auto"/>
                    <w:bottom w:val="none" w:sz="0" w:space="0" w:color="auto"/>
                    <w:right w:val="none" w:sz="0" w:space="0" w:color="auto"/>
                  </w:divBdr>
                  <w:divsChild>
                    <w:div w:id="2137916923">
                      <w:marLeft w:val="0"/>
                      <w:marRight w:val="0"/>
                      <w:marTop w:val="0"/>
                      <w:marBottom w:val="0"/>
                      <w:divBdr>
                        <w:top w:val="none" w:sz="0" w:space="0" w:color="auto"/>
                        <w:left w:val="none" w:sz="0" w:space="0" w:color="auto"/>
                        <w:bottom w:val="none" w:sz="0" w:space="0" w:color="auto"/>
                        <w:right w:val="none" w:sz="0" w:space="0" w:color="auto"/>
                      </w:divBdr>
                      <w:divsChild>
                        <w:div w:id="1608539142">
                          <w:marLeft w:val="0"/>
                          <w:marRight w:val="0"/>
                          <w:marTop w:val="0"/>
                          <w:marBottom w:val="0"/>
                          <w:divBdr>
                            <w:top w:val="none" w:sz="0" w:space="0" w:color="auto"/>
                            <w:left w:val="none" w:sz="0" w:space="0" w:color="auto"/>
                            <w:bottom w:val="none" w:sz="0" w:space="0" w:color="auto"/>
                            <w:right w:val="none" w:sz="0" w:space="0" w:color="auto"/>
                          </w:divBdr>
                          <w:divsChild>
                            <w:div w:id="2075202514">
                              <w:marLeft w:val="0"/>
                              <w:marRight w:val="0"/>
                              <w:marTop w:val="60"/>
                              <w:marBottom w:val="0"/>
                              <w:divBdr>
                                <w:top w:val="none" w:sz="0" w:space="0" w:color="auto"/>
                                <w:left w:val="none" w:sz="0" w:space="0" w:color="auto"/>
                                <w:bottom w:val="none" w:sz="0" w:space="0" w:color="auto"/>
                                <w:right w:val="none" w:sz="0" w:space="0" w:color="auto"/>
                              </w:divBdr>
                              <w:divsChild>
                                <w:div w:id="65040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418150">
              <w:marLeft w:val="780"/>
              <w:marRight w:val="0"/>
              <w:marTop w:val="0"/>
              <w:marBottom w:val="0"/>
              <w:divBdr>
                <w:top w:val="none" w:sz="0" w:space="0" w:color="auto"/>
                <w:left w:val="none" w:sz="0" w:space="0" w:color="auto"/>
                <w:bottom w:val="none" w:sz="0" w:space="0" w:color="auto"/>
                <w:right w:val="none" w:sz="0" w:space="0" w:color="auto"/>
              </w:divBdr>
              <w:divsChild>
                <w:div w:id="577592726">
                  <w:marLeft w:val="0"/>
                  <w:marRight w:val="0"/>
                  <w:marTop w:val="0"/>
                  <w:marBottom w:val="0"/>
                  <w:divBdr>
                    <w:top w:val="none" w:sz="0" w:space="0" w:color="auto"/>
                    <w:left w:val="none" w:sz="0" w:space="0" w:color="auto"/>
                    <w:bottom w:val="none" w:sz="0" w:space="0" w:color="auto"/>
                    <w:right w:val="none" w:sz="0" w:space="0" w:color="auto"/>
                  </w:divBdr>
                  <w:divsChild>
                    <w:div w:id="1138183554">
                      <w:marLeft w:val="0"/>
                      <w:marRight w:val="0"/>
                      <w:marTop w:val="0"/>
                      <w:marBottom w:val="0"/>
                      <w:divBdr>
                        <w:top w:val="none" w:sz="0" w:space="0" w:color="auto"/>
                        <w:left w:val="none" w:sz="0" w:space="0" w:color="auto"/>
                        <w:bottom w:val="none" w:sz="0" w:space="0" w:color="auto"/>
                        <w:right w:val="none" w:sz="0" w:space="0" w:color="auto"/>
                      </w:divBdr>
                      <w:divsChild>
                        <w:div w:id="1685865335">
                          <w:marLeft w:val="0"/>
                          <w:marRight w:val="0"/>
                          <w:marTop w:val="0"/>
                          <w:marBottom w:val="0"/>
                          <w:divBdr>
                            <w:top w:val="none" w:sz="0" w:space="0" w:color="auto"/>
                            <w:left w:val="none" w:sz="0" w:space="0" w:color="auto"/>
                            <w:bottom w:val="none" w:sz="0" w:space="0" w:color="auto"/>
                            <w:right w:val="none" w:sz="0" w:space="0" w:color="auto"/>
                          </w:divBdr>
                          <w:divsChild>
                            <w:div w:id="299773337">
                              <w:marLeft w:val="0"/>
                              <w:marRight w:val="0"/>
                              <w:marTop w:val="0"/>
                              <w:marBottom w:val="0"/>
                              <w:divBdr>
                                <w:top w:val="none" w:sz="0" w:space="0" w:color="auto"/>
                                <w:left w:val="none" w:sz="0" w:space="0" w:color="auto"/>
                                <w:bottom w:val="none" w:sz="0" w:space="0" w:color="auto"/>
                                <w:right w:val="none" w:sz="0" w:space="0" w:color="auto"/>
                              </w:divBdr>
                              <w:divsChild>
                                <w:div w:id="1421172253">
                                  <w:marLeft w:val="0"/>
                                  <w:marRight w:val="0"/>
                                  <w:marTop w:val="0"/>
                                  <w:marBottom w:val="0"/>
                                  <w:divBdr>
                                    <w:top w:val="none" w:sz="0" w:space="0" w:color="auto"/>
                                    <w:left w:val="none" w:sz="0" w:space="0" w:color="auto"/>
                                    <w:bottom w:val="none" w:sz="0" w:space="0" w:color="auto"/>
                                    <w:right w:val="none" w:sz="0" w:space="0" w:color="auto"/>
                                  </w:divBdr>
                                  <w:divsChild>
                                    <w:div w:id="1442409208">
                                      <w:marLeft w:val="0"/>
                                      <w:marRight w:val="0"/>
                                      <w:marTop w:val="0"/>
                                      <w:marBottom w:val="0"/>
                                      <w:divBdr>
                                        <w:top w:val="none" w:sz="0" w:space="0" w:color="auto"/>
                                        <w:left w:val="none" w:sz="0" w:space="0" w:color="auto"/>
                                        <w:bottom w:val="none" w:sz="0" w:space="0" w:color="auto"/>
                                        <w:right w:val="none" w:sz="0" w:space="0" w:color="auto"/>
                                      </w:divBdr>
                                      <w:divsChild>
                                        <w:div w:id="198710597">
                                          <w:marLeft w:val="0"/>
                                          <w:marRight w:val="0"/>
                                          <w:marTop w:val="0"/>
                                          <w:marBottom w:val="0"/>
                                          <w:divBdr>
                                            <w:top w:val="none" w:sz="0" w:space="0" w:color="auto"/>
                                            <w:left w:val="none" w:sz="0" w:space="0" w:color="auto"/>
                                            <w:bottom w:val="none" w:sz="0" w:space="0" w:color="auto"/>
                                            <w:right w:val="none" w:sz="0" w:space="0" w:color="auto"/>
                                          </w:divBdr>
                                          <w:divsChild>
                                            <w:div w:id="1409956671">
                                              <w:marLeft w:val="0"/>
                                              <w:marRight w:val="0"/>
                                              <w:marTop w:val="0"/>
                                              <w:marBottom w:val="0"/>
                                              <w:divBdr>
                                                <w:top w:val="none" w:sz="0" w:space="0" w:color="auto"/>
                                                <w:left w:val="none" w:sz="0" w:space="0" w:color="auto"/>
                                                <w:bottom w:val="none" w:sz="0" w:space="0" w:color="auto"/>
                                                <w:right w:val="none" w:sz="0" w:space="0" w:color="auto"/>
                                              </w:divBdr>
                                              <w:divsChild>
                                                <w:div w:id="9491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572827">
                                          <w:marLeft w:val="0"/>
                                          <w:marRight w:val="0"/>
                                          <w:marTop w:val="0"/>
                                          <w:marBottom w:val="0"/>
                                          <w:divBdr>
                                            <w:top w:val="none" w:sz="0" w:space="0" w:color="auto"/>
                                            <w:left w:val="none" w:sz="0" w:space="0" w:color="auto"/>
                                            <w:bottom w:val="none" w:sz="0" w:space="0" w:color="auto"/>
                                            <w:right w:val="none" w:sz="0" w:space="0" w:color="auto"/>
                                          </w:divBdr>
                                          <w:divsChild>
                                            <w:div w:id="805002434">
                                              <w:marLeft w:val="0"/>
                                              <w:marRight w:val="0"/>
                                              <w:marTop w:val="0"/>
                                              <w:marBottom w:val="0"/>
                                              <w:divBdr>
                                                <w:top w:val="none" w:sz="0" w:space="0" w:color="auto"/>
                                                <w:left w:val="none" w:sz="0" w:space="0" w:color="auto"/>
                                                <w:bottom w:val="none" w:sz="0" w:space="0" w:color="auto"/>
                                                <w:right w:val="none" w:sz="0" w:space="0" w:color="auto"/>
                                              </w:divBdr>
                                              <w:divsChild>
                                                <w:div w:id="13515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455337">
                                          <w:marLeft w:val="0"/>
                                          <w:marRight w:val="0"/>
                                          <w:marTop w:val="0"/>
                                          <w:marBottom w:val="0"/>
                                          <w:divBdr>
                                            <w:top w:val="none" w:sz="0" w:space="0" w:color="auto"/>
                                            <w:left w:val="none" w:sz="0" w:space="0" w:color="auto"/>
                                            <w:bottom w:val="none" w:sz="0" w:space="0" w:color="auto"/>
                                            <w:right w:val="none" w:sz="0" w:space="0" w:color="auto"/>
                                          </w:divBdr>
                                          <w:divsChild>
                                            <w:div w:id="86310946">
                                              <w:marLeft w:val="0"/>
                                              <w:marRight w:val="0"/>
                                              <w:marTop w:val="0"/>
                                              <w:marBottom w:val="0"/>
                                              <w:divBdr>
                                                <w:top w:val="none" w:sz="0" w:space="0" w:color="auto"/>
                                                <w:left w:val="none" w:sz="0" w:space="0" w:color="auto"/>
                                                <w:bottom w:val="none" w:sz="0" w:space="0" w:color="auto"/>
                                                <w:right w:val="none" w:sz="0" w:space="0" w:color="auto"/>
                                              </w:divBdr>
                                              <w:divsChild>
                                                <w:div w:id="587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2478">
                                          <w:marLeft w:val="0"/>
                                          <w:marRight w:val="0"/>
                                          <w:marTop w:val="0"/>
                                          <w:marBottom w:val="0"/>
                                          <w:divBdr>
                                            <w:top w:val="none" w:sz="0" w:space="0" w:color="auto"/>
                                            <w:left w:val="none" w:sz="0" w:space="0" w:color="auto"/>
                                            <w:bottom w:val="none" w:sz="0" w:space="0" w:color="auto"/>
                                            <w:right w:val="none" w:sz="0" w:space="0" w:color="auto"/>
                                          </w:divBdr>
                                          <w:divsChild>
                                            <w:div w:id="1698122382">
                                              <w:marLeft w:val="0"/>
                                              <w:marRight w:val="0"/>
                                              <w:marTop w:val="0"/>
                                              <w:marBottom w:val="0"/>
                                              <w:divBdr>
                                                <w:top w:val="none" w:sz="0" w:space="0" w:color="auto"/>
                                                <w:left w:val="none" w:sz="0" w:space="0" w:color="auto"/>
                                                <w:bottom w:val="none" w:sz="0" w:space="0" w:color="auto"/>
                                                <w:right w:val="none" w:sz="0" w:space="0" w:color="auto"/>
                                              </w:divBdr>
                                              <w:divsChild>
                                                <w:div w:id="950822531">
                                                  <w:marLeft w:val="0"/>
                                                  <w:marRight w:val="0"/>
                                                  <w:marTop w:val="0"/>
                                                  <w:marBottom w:val="0"/>
                                                  <w:divBdr>
                                                    <w:top w:val="none" w:sz="0" w:space="0" w:color="auto"/>
                                                    <w:left w:val="none" w:sz="0" w:space="0" w:color="auto"/>
                                                    <w:bottom w:val="none" w:sz="0" w:space="0" w:color="auto"/>
                                                    <w:right w:val="none" w:sz="0" w:space="0" w:color="auto"/>
                                                  </w:divBdr>
                                                  <w:divsChild>
                                                    <w:div w:id="146303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532345">
                                          <w:marLeft w:val="0"/>
                                          <w:marRight w:val="0"/>
                                          <w:marTop w:val="0"/>
                                          <w:marBottom w:val="0"/>
                                          <w:divBdr>
                                            <w:top w:val="none" w:sz="0" w:space="0" w:color="auto"/>
                                            <w:left w:val="none" w:sz="0" w:space="0" w:color="auto"/>
                                            <w:bottom w:val="none" w:sz="0" w:space="0" w:color="auto"/>
                                            <w:right w:val="none" w:sz="0" w:space="0" w:color="auto"/>
                                          </w:divBdr>
                                          <w:divsChild>
                                            <w:div w:id="2053262784">
                                              <w:marLeft w:val="0"/>
                                              <w:marRight w:val="0"/>
                                              <w:marTop w:val="0"/>
                                              <w:marBottom w:val="0"/>
                                              <w:divBdr>
                                                <w:top w:val="none" w:sz="0" w:space="0" w:color="auto"/>
                                                <w:left w:val="none" w:sz="0" w:space="0" w:color="auto"/>
                                                <w:bottom w:val="none" w:sz="0" w:space="0" w:color="auto"/>
                                                <w:right w:val="none" w:sz="0" w:space="0" w:color="auto"/>
                                              </w:divBdr>
                                            </w:div>
                                          </w:divsChild>
                                        </w:div>
                                        <w:div w:id="2106073611">
                                          <w:marLeft w:val="0"/>
                                          <w:marRight w:val="0"/>
                                          <w:marTop w:val="0"/>
                                          <w:marBottom w:val="0"/>
                                          <w:divBdr>
                                            <w:top w:val="none" w:sz="0" w:space="0" w:color="auto"/>
                                            <w:left w:val="none" w:sz="0" w:space="0" w:color="auto"/>
                                            <w:bottom w:val="none" w:sz="0" w:space="0" w:color="auto"/>
                                            <w:right w:val="none" w:sz="0" w:space="0" w:color="auto"/>
                                          </w:divBdr>
                                          <w:divsChild>
                                            <w:div w:id="1416785871">
                                              <w:marLeft w:val="0"/>
                                              <w:marRight w:val="0"/>
                                              <w:marTop w:val="0"/>
                                              <w:marBottom w:val="0"/>
                                              <w:divBdr>
                                                <w:top w:val="none" w:sz="0" w:space="0" w:color="auto"/>
                                                <w:left w:val="none" w:sz="0" w:space="0" w:color="auto"/>
                                                <w:bottom w:val="none" w:sz="0" w:space="0" w:color="auto"/>
                                                <w:right w:val="none" w:sz="0" w:space="0" w:color="auto"/>
                                              </w:divBdr>
                                              <w:divsChild>
                                                <w:div w:id="25278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3512361">
                  <w:marLeft w:val="0"/>
                  <w:marRight w:val="0"/>
                  <w:marTop w:val="0"/>
                  <w:marBottom w:val="0"/>
                  <w:divBdr>
                    <w:top w:val="none" w:sz="0" w:space="0" w:color="auto"/>
                    <w:left w:val="none" w:sz="0" w:space="0" w:color="auto"/>
                    <w:bottom w:val="none" w:sz="0" w:space="0" w:color="auto"/>
                    <w:right w:val="none" w:sz="0" w:space="0" w:color="auto"/>
                  </w:divBdr>
                  <w:divsChild>
                    <w:div w:id="43301397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345550035">
          <w:marLeft w:val="720"/>
          <w:marRight w:val="240"/>
          <w:marTop w:val="0"/>
          <w:marBottom w:val="0"/>
          <w:divBdr>
            <w:top w:val="none" w:sz="0" w:space="0" w:color="auto"/>
            <w:left w:val="none" w:sz="0" w:space="0" w:color="auto"/>
            <w:bottom w:val="none" w:sz="0" w:space="0" w:color="auto"/>
            <w:right w:val="none" w:sz="0" w:space="0" w:color="auto"/>
          </w:divBdr>
          <w:divsChild>
            <w:div w:id="1339428170">
              <w:marLeft w:val="0"/>
              <w:marRight w:val="0"/>
              <w:marTop w:val="150"/>
              <w:marBottom w:val="0"/>
              <w:divBdr>
                <w:top w:val="none" w:sz="0" w:space="0" w:color="auto"/>
                <w:left w:val="none" w:sz="0" w:space="0" w:color="auto"/>
                <w:bottom w:val="none" w:sz="0" w:space="0" w:color="auto"/>
                <w:right w:val="none" w:sz="0" w:space="0" w:color="auto"/>
              </w:divBdr>
              <w:divsChild>
                <w:div w:id="815683379">
                  <w:marLeft w:val="0"/>
                  <w:marRight w:val="0"/>
                  <w:marTop w:val="0"/>
                  <w:marBottom w:val="0"/>
                  <w:divBdr>
                    <w:top w:val="none" w:sz="0" w:space="0" w:color="auto"/>
                    <w:left w:val="none" w:sz="0" w:space="0" w:color="auto"/>
                    <w:bottom w:val="none" w:sz="0" w:space="0" w:color="auto"/>
                    <w:right w:val="none" w:sz="0" w:space="0" w:color="auto"/>
                  </w:divBdr>
                  <w:divsChild>
                    <w:div w:id="1818447795">
                      <w:marLeft w:val="15"/>
                      <w:marRight w:val="150"/>
                      <w:marTop w:val="15"/>
                      <w:marBottom w:val="150"/>
                      <w:divBdr>
                        <w:top w:val="none" w:sz="0" w:space="0" w:color="auto"/>
                        <w:left w:val="none" w:sz="0" w:space="0" w:color="auto"/>
                        <w:bottom w:val="none" w:sz="0" w:space="0" w:color="auto"/>
                        <w:right w:val="none" w:sz="0" w:space="0" w:color="auto"/>
                      </w:divBdr>
                      <w:divsChild>
                        <w:div w:id="613286775">
                          <w:marLeft w:val="0"/>
                          <w:marRight w:val="0"/>
                          <w:marTop w:val="0"/>
                          <w:marBottom w:val="0"/>
                          <w:divBdr>
                            <w:top w:val="single" w:sz="6" w:space="0" w:color="auto"/>
                            <w:left w:val="single" w:sz="6" w:space="0" w:color="auto"/>
                            <w:bottom w:val="single" w:sz="6" w:space="0" w:color="auto"/>
                            <w:right w:val="single" w:sz="6" w:space="0" w:color="auto"/>
                          </w:divBdr>
                          <w:divsChild>
                            <w:div w:id="606543428">
                              <w:marLeft w:val="0"/>
                              <w:marRight w:val="0"/>
                              <w:marTop w:val="0"/>
                              <w:marBottom w:val="0"/>
                              <w:divBdr>
                                <w:top w:val="none" w:sz="0" w:space="0" w:color="auto"/>
                                <w:left w:val="none" w:sz="0" w:space="0" w:color="auto"/>
                                <w:bottom w:val="none" w:sz="0" w:space="0" w:color="auto"/>
                                <w:right w:val="none" w:sz="0" w:space="0" w:color="auto"/>
                              </w:divBdr>
                              <w:divsChild>
                                <w:div w:id="1051031434">
                                  <w:marLeft w:val="0"/>
                                  <w:marRight w:val="0"/>
                                  <w:marTop w:val="0"/>
                                  <w:marBottom w:val="0"/>
                                  <w:divBdr>
                                    <w:top w:val="none" w:sz="0" w:space="0" w:color="auto"/>
                                    <w:left w:val="none" w:sz="0" w:space="0" w:color="auto"/>
                                    <w:bottom w:val="none" w:sz="0" w:space="0" w:color="auto"/>
                                    <w:right w:val="none" w:sz="0" w:space="0" w:color="auto"/>
                                  </w:divBdr>
                                  <w:divsChild>
                                    <w:div w:id="469900865">
                                      <w:marLeft w:val="0"/>
                                      <w:marRight w:val="0"/>
                                      <w:marTop w:val="0"/>
                                      <w:marBottom w:val="0"/>
                                      <w:divBdr>
                                        <w:top w:val="none" w:sz="0" w:space="0" w:color="auto"/>
                                        <w:left w:val="none" w:sz="0" w:space="0" w:color="auto"/>
                                        <w:bottom w:val="none" w:sz="0" w:space="0" w:color="auto"/>
                                        <w:right w:val="none" w:sz="0" w:space="0" w:color="auto"/>
                                      </w:divBdr>
                                    </w:div>
                                    <w:div w:id="1283150484">
                                      <w:marLeft w:val="0"/>
                                      <w:marRight w:val="0"/>
                                      <w:marTop w:val="0"/>
                                      <w:marBottom w:val="0"/>
                                      <w:divBdr>
                                        <w:top w:val="none" w:sz="0" w:space="0" w:color="auto"/>
                                        <w:left w:val="none" w:sz="0" w:space="0" w:color="auto"/>
                                        <w:bottom w:val="none" w:sz="0" w:space="0" w:color="auto"/>
                                        <w:right w:val="none" w:sz="0" w:space="0" w:color="auto"/>
                                      </w:divBdr>
                                      <w:divsChild>
                                        <w:div w:id="539128041">
                                          <w:marLeft w:val="0"/>
                                          <w:marRight w:val="0"/>
                                          <w:marTop w:val="0"/>
                                          <w:marBottom w:val="0"/>
                                          <w:divBdr>
                                            <w:top w:val="none" w:sz="0" w:space="0" w:color="auto"/>
                                            <w:left w:val="none" w:sz="0" w:space="0" w:color="auto"/>
                                            <w:bottom w:val="none" w:sz="0" w:space="0" w:color="auto"/>
                                            <w:right w:val="none" w:sz="0" w:space="0" w:color="auto"/>
                                          </w:divBdr>
                                          <w:divsChild>
                                            <w:div w:id="279067132">
                                              <w:marLeft w:val="0"/>
                                              <w:marRight w:val="0"/>
                                              <w:marTop w:val="0"/>
                                              <w:marBottom w:val="0"/>
                                              <w:divBdr>
                                                <w:top w:val="none" w:sz="0" w:space="0" w:color="auto"/>
                                                <w:left w:val="none" w:sz="0" w:space="0" w:color="auto"/>
                                                <w:bottom w:val="none" w:sz="0" w:space="0" w:color="auto"/>
                                                <w:right w:val="none" w:sz="0" w:space="0" w:color="auto"/>
                                              </w:divBdr>
                                            </w:div>
                                            <w:div w:id="45510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3652557">
      <w:bodyDiv w:val="1"/>
      <w:marLeft w:val="0"/>
      <w:marRight w:val="0"/>
      <w:marTop w:val="0"/>
      <w:marBottom w:val="0"/>
      <w:divBdr>
        <w:top w:val="none" w:sz="0" w:space="0" w:color="auto"/>
        <w:left w:val="none" w:sz="0" w:space="0" w:color="auto"/>
        <w:bottom w:val="none" w:sz="0" w:space="0" w:color="auto"/>
        <w:right w:val="none" w:sz="0" w:space="0" w:color="auto"/>
      </w:divBdr>
    </w:div>
    <w:div w:id="1990163064">
      <w:bodyDiv w:val="1"/>
      <w:marLeft w:val="0"/>
      <w:marRight w:val="0"/>
      <w:marTop w:val="0"/>
      <w:marBottom w:val="0"/>
      <w:divBdr>
        <w:top w:val="none" w:sz="0" w:space="0" w:color="auto"/>
        <w:left w:val="none" w:sz="0" w:space="0" w:color="auto"/>
        <w:bottom w:val="none" w:sz="0" w:space="0" w:color="auto"/>
        <w:right w:val="none" w:sz="0" w:space="0" w:color="auto"/>
      </w:divBdr>
    </w:div>
    <w:div w:id="1991396619">
      <w:bodyDiv w:val="1"/>
      <w:marLeft w:val="0"/>
      <w:marRight w:val="0"/>
      <w:marTop w:val="0"/>
      <w:marBottom w:val="0"/>
      <w:divBdr>
        <w:top w:val="none" w:sz="0" w:space="0" w:color="auto"/>
        <w:left w:val="none" w:sz="0" w:space="0" w:color="auto"/>
        <w:bottom w:val="none" w:sz="0" w:space="0" w:color="auto"/>
        <w:right w:val="none" w:sz="0" w:space="0" w:color="auto"/>
      </w:divBdr>
    </w:div>
    <w:div w:id="1992295114">
      <w:bodyDiv w:val="1"/>
      <w:marLeft w:val="0"/>
      <w:marRight w:val="0"/>
      <w:marTop w:val="0"/>
      <w:marBottom w:val="0"/>
      <w:divBdr>
        <w:top w:val="none" w:sz="0" w:space="0" w:color="auto"/>
        <w:left w:val="none" w:sz="0" w:space="0" w:color="auto"/>
        <w:bottom w:val="none" w:sz="0" w:space="0" w:color="auto"/>
        <w:right w:val="none" w:sz="0" w:space="0" w:color="auto"/>
      </w:divBdr>
      <w:divsChild>
        <w:div w:id="2106537734">
          <w:marLeft w:val="547"/>
          <w:marRight w:val="0"/>
          <w:marTop w:val="200"/>
          <w:marBottom w:val="0"/>
          <w:divBdr>
            <w:top w:val="none" w:sz="0" w:space="0" w:color="auto"/>
            <w:left w:val="none" w:sz="0" w:space="0" w:color="auto"/>
            <w:bottom w:val="none" w:sz="0" w:space="0" w:color="auto"/>
            <w:right w:val="none" w:sz="0" w:space="0" w:color="auto"/>
          </w:divBdr>
        </w:div>
      </w:divsChild>
    </w:div>
    <w:div w:id="1999730376">
      <w:bodyDiv w:val="1"/>
      <w:marLeft w:val="0"/>
      <w:marRight w:val="0"/>
      <w:marTop w:val="0"/>
      <w:marBottom w:val="0"/>
      <w:divBdr>
        <w:top w:val="none" w:sz="0" w:space="0" w:color="auto"/>
        <w:left w:val="none" w:sz="0" w:space="0" w:color="auto"/>
        <w:bottom w:val="none" w:sz="0" w:space="0" w:color="auto"/>
        <w:right w:val="none" w:sz="0" w:space="0" w:color="auto"/>
      </w:divBdr>
    </w:div>
    <w:div w:id="2003310348">
      <w:bodyDiv w:val="1"/>
      <w:marLeft w:val="0"/>
      <w:marRight w:val="0"/>
      <w:marTop w:val="0"/>
      <w:marBottom w:val="0"/>
      <w:divBdr>
        <w:top w:val="none" w:sz="0" w:space="0" w:color="auto"/>
        <w:left w:val="none" w:sz="0" w:space="0" w:color="auto"/>
        <w:bottom w:val="none" w:sz="0" w:space="0" w:color="auto"/>
        <w:right w:val="none" w:sz="0" w:space="0" w:color="auto"/>
      </w:divBdr>
    </w:div>
    <w:div w:id="2003506528">
      <w:bodyDiv w:val="1"/>
      <w:marLeft w:val="0"/>
      <w:marRight w:val="0"/>
      <w:marTop w:val="0"/>
      <w:marBottom w:val="0"/>
      <w:divBdr>
        <w:top w:val="none" w:sz="0" w:space="0" w:color="auto"/>
        <w:left w:val="none" w:sz="0" w:space="0" w:color="auto"/>
        <w:bottom w:val="none" w:sz="0" w:space="0" w:color="auto"/>
        <w:right w:val="none" w:sz="0" w:space="0" w:color="auto"/>
      </w:divBdr>
    </w:div>
    <w:div w:id="2005622762">
      <w:bodyDiv w:val="1"/>
      <w:marLeft w:val="0"/>
      <w:marRight w:val="0"/>
      <w:marTop w:val="0"/>
      <w:marBottom w:val="0"/>
      <w:divBdr>
        <w:top w:val="none" w:sz="0" w:space="0" w:color="auto"/>
        <w:left w:val="none" w:sz="0" w:space="0" w:color="auto"/>
        <w:bottom w:val="none" w:sz="0" w:space="0" w:color="auto"/>
        <w:right w:val="none" w:sz="0" w:space="0" w:color="auto"/>
      </w:divBdr>
    </w:div>
    <w:div w:id="2011714662">
      <w:bodyDiv w:val="1"/>
      <w:marLeft w:val="0"/>
      <w:marRight w:val="0"/>
      <w:marTop w:val="0"/>
      <w:marBottom w:val="0"/>
      <w:divBdr>
        <w:top w:val="none" w:sz="0" w:space="0" w:color="auto"/>
        <w:left w:val="none" w:sz="0" w:space="0" w:color="auto"/>
        <w:bottom w:val="none" w:sz="0" w:space="0" w:color="auto"/>
        <w:right w:val="none" w:sz="0" w:space="0" w:color="auto"/>
      </w:divBdr>
    </w:div>
    <w:div w:id="2013487949">
      <w:bodyDiv w:val="1"/>
      <w:marLeft w:val="0"/>
      <w:marRight w:val="0"/>
      <w:marTop w:val="0"/>
      <w:marBottom w:val="0"/>
      <w:divBdr>
        <w:top w:val="none" w:sz="0" w:space="0" w:color="auto"/>
        <w:left w:val="none" w:sz="0" w:space="0" w:color="auto"/>
        <w:bottom w:val="none" w:sz="0" w:space="0" w:color="auto"/>
        <w:right w:val="none" w:sz="0" w:space="0" w:color="auto"/>
      </w:divBdr>
    </w:div>
    <w:div w:id="2016032768">
      <w:bodyDiv w:val="1"/>
      <w:marLeft w:val="0"/>
      <w:marRight w:val="0"/>
      <w:marTop w:val="0"/>
      <w:marBottom w:val="0"/>
      <w:divBdr>
        <w:top w:val="none" w:sz="0" w:space="0" w:color="auto"/>
        <w:left w:val="none" w:sz="0" w:space="0" w:color="auto"/>
        <w:bottom w:val="none" w:sz="0" w:space="0" w:color="auto"/>
        <w:right w:val="none" w:sz="0" w:space="0" w:color="auto"/>
      </w:divBdr>
    </w:div>
    <w:div w:id="2017922602">
      <w:bodyDiv w:val="1"/>
      <w:marLeft w:val="0"/>
      <w:marRight w:val="0"/>
      <w:marTop w:val="0"/>
      <w:marBottom w:val="0"/>
      <w:divBdr>
        <w:top w:val="none" w:sz="0" w:space="0" w:color="auto"/>
        <w:left w:val="none" w:sz="0" w:space="0" w:color="auto"/>
        <w:bottom w:val="none" w:sz="0" w:space="0" w:color="auto"/>
        <w:right w:val="none" w:sz="0" w:space="0" w:color="auto"/>
      </w:divBdr>
    </w:div>
    <w:div w:id="2018270073">
      <w:bodyDiv w:val="1"/>
      <w:marLeft w:val="0"/>
      <w:marRight w:val="0"/>
      <w:marTop w:val="0"/>
      <w:marBottom w:val="0"/>
      <w:divBdr>
        <w:top w:val="none" w:sz="0" w:space="0" w:color="auto"/>
        <w:left w:val="none" w:sz="0" w:space="0" w:color="auto"/>
        <w:bottom w:val="none" w:sz="0" w:space="0" w:color="auto"/>
        <w:right w:val="none" w:sz="0" w:space="0" w:color="auto"/>
      </w:divBdr>
    </w:div>
    <w:div w:id="2019849629">
      <w:bodyDiv w:val="1"/>
      <w:marLeft w:val="0"/>
      <w:marRight w:val="0"/>
      <w:marTop w:val="0"/>
      <w:marBottom w:val="0"/>
      <w:divBdr>
        <w:top w:val="none" w:sz="0" w:space="0" w:color="auto"/>
        <w:left w:val="none" w:sz="0" w:space="0" w:color="auto"/>
        <w:bottom w:val="none" w:sz="0" w:space="0" w:color="auto"/>
        <w:right w:val="none" w:sz="0" w:space="0" w:color="auto"/>
      </w:divBdr>
    </w:div>
    <w:div w:id="2025479129">
      <w:bodyDiv w:val="1"/>
      <w:marLeft w:val="0"/>
      <w:marRight w:val="0"/>
      <w:marTop w:val="0"/>
      <w:marBottom w:val="0"/>
      <w:divBdr>
        <w:top w:val="none" w:sz="0" w:space="0" w:color="auto"/>
        <w:left w:val="none" w:sz="0" w:space="0" w:color="auto"/>
        <w:bottom w:val="none" w:sz="0" w:space="0" w:color="auto"/>
        <w:right w:val="none" w:sz="0" w:space="0" w:color="auto"/>
      </w:divBdr>
    </w:div>
    <w:div w:id="2033260887">
      <w:bodyDiv w:val="1"/>
      <w:marLeft w:val="0"/>
      <w:marRight w:val="0"/>
      <w:marTop w:val="0"/>
      <w:marBottom w:val="0"/>
      <w:divBdr>
        <w:top w:val="none" w:sz="0" w:space="0" w:color="auto"/>
        <w:left w:val="none" w:sz="0" w:space="0" w:color="auto"/>
        <w:bottom w:val="none" w:sz="0" w:space="0" w:color="auto"/>
        <w:right w:val="none" w:sz="0" w:space="0" w:color="auto"/>
      </w:divBdr>
    </w:div>
    <w:div w:id="2034259529">
      <w:bodyDiv w:val="1"/>
      <w:marLeft w:val="0"/>
      <w:marRight w:val="0"/>
      <w:marTop w:val="0"/>
      <w:marBottom w:val="0"/>
      <w:divBdr>
        <w:top w:val="none" w:sz="0" w:space="0" w:color="auto"/>
        <w:left w:val="none" w:sz="0" w:space="0" w:color="auto"/>
        <w:bottom w:val="none" w:sz="0" w:space="0" w:color="auto"/>
        <w:right w:val="none" w:sz="0" w:space="0" w:color="auto"/>
      </w:divBdr>
    </w:div>
    <w:div w:id="2034919531">
      <w:bodyDiv w:val="1"/>
      <w:marLeft w:val="0"/>
      <w:marRight w:val="0"/>
      <w:marTop w:val="0"/>
      <w:marBottom w:val="0"/>
      <w:divBdr>
        <w:top w:val="none" w:sz="0" w:space="0" w:color="auto"/>
        <w:left w:val="none" w:sz="0" w:space="0" w:color="auto"/>
        <w:bottom w:val="none" w:sz="0" w:space="0" w:color="auto"/>
        <w:right w:val="none" w:sz="0" w:space="0" w:color="auto"/>
      </w:divBdr>
    </w:div>
    <w:div w:id="2038503329">
      <w:bodyDiv w:val="1"/>
      <w:marLeft w:val="0"/>
      <w:marRight w:val="0"/>
      <w:marTop w:val="0"/>
      <w:marBottom w:val="0"/>
      <w:divBdr>
        <w:top w:val="none" w:sz="0" w:space="0" w:color="auto"/>
        <w:left w:val="none" w:sz="0" w:space="0" w:color="auto"/>
        <w:bottom w:val="none" w:sz="0" w:space="0" w:color="auto"/>
        <w:right w:val="none" w:sz="0" w:space="0" w:color="auto"/>
      </w:divBdr>
    </w:div>
    <w:div w:id="2050103121">
      <w:bodyDiv w:val="1"/>
      <w:marLeft w:val="0"/>
      <w:marRight w:val="0"/>
      <w:marTop w:val="0"/>
      <w:marBottom w:val="0"/>
      <w:divBdr>
        <w:top w:val="none" w:sz="0" w:space="0" w:color="auto"/>
        <w:left w:val="none" w:sz="0" w:space="0" w:color="auto"/>
        <w:bottom w:val="none" w:sz="0" w:space="0" w:color="auto"/>
        <w:right w:val="none" w:sz="0" w:space="0" w:color="auto"/>
      </w:divBdr>
    </w:div>
    <w:div w:id="2050301070">
      <w:bodyDiv w:val="1"/>
      <w:marLeft w:val="0"/>
      <w:marRight w:val="0"/>
      <w:marTop w:val="0"/>
      <w:marBottom w:val="0"/>
      <w:divBdr>
        <w:top w:val="none" w:sz="0" w:space="0" w:color="auto"/>
        <w:left w:val="none" w:sz="0" w:space="0" w:color="auto"/>
        <w:bottom w:val="none" w:sz="0" w:space="0" w:color="auto"/>
        <w:right w:val="none" w:sz="0" w:space="0" w:color="auto"/>
      </w:divBdr>
    </w:div>
    <w:div w:id="2055882284">
      <w:bodyDiv w:val="1"/>
      <w:marLeft w:val="0"/>
      <w:marRight w:val="0"/>
      <w:marTop w:val="0"/>
      <w:marBottom w:val="0"/>
      <w:divBdr>
        <w:top w:val="none" w:sz="0" w:space="0" w:color="auto"/>
        <w:left w:val="none" w:sz="0" w:space="0" w:color="auto"/>
        <w:bottom w:val="none" w:sz="0" w:space="0" w:color="auto"/>
        <w:right w:val="none" w:sz="0" w:space="0" w:color="auto"/>
      </w:divBdr>
    </w:div>
    <w:div w:id="2063821852">
      <w:bodyDiv w:val="1"/>
      <w:marLeft w:val="0"/>
      <w:marRight w:val="0"/>
      <w:marTop w:val="0"/>
      <w:marBottom w:val="0"/>
      <w:divBdr>
        <w:top w:val="none" w:sz="0" w:space="0" w:color="auto"/>
        <w:left w:val="none" w:sz="0" w:space="0" w:color="auto"/>
        <w:bottom w:val="none" w:sz="0" w:space="0" w:color="auto"/>
        <w:right w:val="none" w:sz="0" w:space="0" w:color="auto"/>
      </w:divBdr>
    </w:div>
    <w:div w:id="2065055116">
      <w:bodyDiv w:val="1"/>
      <w:marLeft w:val="0"/>
      <w:marRight w:val="0"/>
      <w:marTop w:val="0"/>
      <w:marBottom w:val="0"/>
      <w:divBdr>
        <w:top w:val="none" w:sz="0" w:space="0" w:color="auto"/>
        <w:left w:val="none" w:sz="0" w:space="0" w:color="auto"/>
        <w:bottom w:val="none" w:sz="0" w:space="0" w:color="auto"/>
        <w:right w:val="none" w:sz="0" w:space="0" w:color="auto"/>
      </w:divBdr>
    </w:div>
    <w:div w:id="2065447671">
      <w:bodyDiv w:val="1"/>
      <w:marLeft w:val="0"/>
      <w:marRight w:val="0"/>
      <w:marTop w:val="0"/>
      <w:marBottom w:val="0"/>
      <w:divBdr>
        <w:top w:val="none" w:sz="0" w:space="0" w:color="auto"/>
        <w:left w:val="none" w:sz="0" w:space="0" w:color="auto"/>
        <w:bottom w:val="none" w:sz="0" w:space="0" w:color="auto"/>
        <w:right w:val="none" w:sz="0" w:space="0" w:color="auto"/>
      </w:divBdr>
    </w:div>
    <w:div w:id="2068452507">
      <w:bodyDiv w:val="1"/>
      <w:marLeft w:val="0"/>
      <w:marRight w:val="0"/>
      <w:marTop w:val="0"/>
      <w:marBottom w:val="0"/>
      <w:divBdr>
        <w:top w:val="none" w:sz="0" w:space="0" w:color="auto"/>
        <w:left w:val="none" w:sz="0" w:space="0" w:color="auto"/>
        <w:bottom w:val="none" w:sz="0" w:space="0" w:color="auto"/>
        <w:right w:val="none" w:sz="0" w:space="0" w:color="auto"/>
      </w:divBdr>
    </w:div>
    <w:div w:id="2070573724">
      <w:bodyDiv w:val="1"/>
      <w:marLeft w:val="0"/>
      <w:marRight w:val="0"/>
      <w:marTop w:val="0"/>
      <w:marBottom w:val="0"/>
      <w:divBdr>
        <w:top w:val="none" w:sz="0" w:space="0" w:color="auto"/>
        <w:left w:val="none" w:sz="0" w:space="0" w:color="auto"/>
        <w:bottom w:val="none" w:sz="0" w:space="0" w:color="auto"/>
        <w:right w:val="none" w:sz="0" w:space="0" w:color="auto"/>
      </w:divBdr>
    </w:div>
    <w:div w:id="2072119253">
      <w:bodyDiv w:val="1"/>
      <w:marLeft w:val="0"/>
      <w:marRight w:val="0"/>
      <w:marTop w:val="0"/>
      <w:marBottom w:val="0"/>
      <w:divBdr>
        <w:top w:val="none" w:sz="0" w:space="0" w:color="auto"/>
        <w:left w:val="none" w:sz="0" w:space="0" w:color="auto"/>
        <w:bottom w:val="none" w:sz="0" w:space="0" w:color="auto"/>
        <w:right w:val="none" w:sz="0" w:space="0" w:color="auto"/>
      </w:divBdr>
    </w:div>
    <w:div w:id="2076932505">
      <w:bodyDiv w:val="1"/>
      <w:marLeft w:val="0"/>
      <w:marRight w:val="0"/>
      <w:marTop w:val="0"/>
      <w:marBottom w:val="0"/>
      <w:divBdr>
        <w:top w:val="none" w:sz="0" w:space="0" w:color="auto"/>
        <w:left w:val="none" w:sz="0" w:space="0" w:color="auto"/>
        <w:bottom w:val="none" w:sz="0" w:space="0" w:color="auto"/>
        <w:right w:val="none" w:sz="0" w:space="0" w:color="auto"/>
      </w:divBdr>
    </w:div>
    <w:div w:id="2081979073">
      <w:bodyDiv w:val="1"/>
      <w:marLeft w:val="0"/>
      <w:marRight w:val="0"/>
      <w:marTop w:val="0"/>
      <w:marBottom w:val="0"/>
      <w:divBdr>
        <w:top w:val="none" w:sz="0" w:space="0" w:color="auto"/>
        <w:left w:val="none" w:sz="0" w:space="0" w:color="auto"/>
        <w:bottom w:val="none" w:sz="0" w:space="0" w:color="auto"/>
        <w:right w:val="none" w:sz="0" w:space="0" w:color="auto"/>
      </w:divBdr>
    </w:div>
    <w:div w:id="2084331987">
      <w:bodyDiv w:val="1"/>
      <w:marLeft w:val="0"/>
      <w:marRight w:val="0"/>
      <w:marTop w:val="0"/>
      <w:marBottom w:val="0"/>
      <w:divBdr>
        <w:top w:val="none" w:sz="0" w:space="0" w:color="auto"/>
        <w:left w:val="none" w:sz="0" w:space="0" w:color="auto"/>
        <w:bottom w:val="none" w:sz="0" w:space="0" w:color="auto"/>
        <w:right w:val="none" w:sz="0" w:space="0" w:color="auto"/>
      </w:divBdr>
    </w:div>
    <w:div w:id="2086027329">
      <w:bodyDiv w:val="1"/>
      <w:marLeft w:val="0"/>
      <w:marRight w:val="0"/>
      <w:marTop w:val="0"/>
      <w:marBottom w:val="0"/>
      <w:divBdr>
        <w:top w:val="none" w:sz="0" w:space="0" w:color="auto"/>
        <w:left w:val="none" w:sz="0" w:space="0" w:color="auto"/>
        <w:bottom w:val="none" w:sz="0" w:space="0" w:color="auto"/>
        <w:right w:val="none" w:sz="0" w:space="0" w:color="auto"/>
      </w:divBdr>
    </w:div>
    <w:div w:id="2091730106">
      <w:bodyDiv w:val="1"/>
      <w:marLeft w:val="0"/>
      <w:marRight w:val="0"/>
      <w:marTop w:val="0"/>
      <w:marBottom w:val="0"/>
      <w:divBdr>
        <w:top w:val="none" w:sz="0" w:space="0" w:color="auto"/>
        <w:left w:val="none" w:sz="0" w:space="0" w:color="auto"/>
        <w:bottom w:val="none" w:sz="0" w:space="0" w:color="auto"/>
        <w:right w:val="none" w:sz="0" w:space="0" w:color="auto"/>
      </w:divBdr>
    </w:div>
    <w:div w:id="2091928695">
      <w:bodyDiv w:val="1"/>
      <w:marLeft w:val="0"/>
      <w:marRight w:val="0"/>
      <w:marTop w:val="0"/>
      <w:marBottom w:val="0"/>
      <w:divBdr>
        <w:top w:val="none" w:sz="0" w:space="0" w:color="auto"/>
        <w:left w:val="none" w:sz="0" w:space="0" w:color="auto"/>
        <w:bottom w:val="none" w:sz="0" w:space="0" w:color="auto"/>
        <w:right w:val="none" w:sz="0" w:space="0" w:color="auto"/>
      </w:divBdr>
    </w:div>
    <w:div w:id="2094890469">
      <w:bodyDiv w:val="1"/>
      <w:marLeft w:val="0"/>
      <w:marRight w:val="0"/>
      <w:marTop w:val="0"/>
      <w:marBottom w:val="0"/>
      <w:divBdr>
        <w:top w:val="none" w:sz="0" w:space="0" w:color="auto"/>
        <w:left w:val="none" w:sz="0" w:space="0" w:color="auto"/>
        <w:bottom w:val="none" w:sz="0" w:space="0" w:color="auto"/>
        <w:right w:val="none" w:sz="0" w:space="0" w:color="auto"/>
      </w:divBdr>
    </w:div>
    <w:div w:id="2097290287">
      <w:bodyDiv w:val="1"/>
      <w:marLeft w:val="0"/>
      <w:marRight w:val="0"/>
      <w:marTop w:val="0"/>
      <w:marBottom w:val="0"/>
      <w:divBdr>
        <w:top w:val="none" w:sz="0" w:space="0" w:color="auto"/>
        <w:left w:val="none" w:sz="0" w:space="0" w:color="auto"/>
        <w:bottom w:val="none" w:sz="0" w:space="0" w:color="auto"/>
        <w:right w:val="none" w:sz="0" w:space="0" w:color="auto"/>
      </w:divBdr>
      <w:divsChild>
        <w:div w:id="422728768">
          <w:marLeft w:val="288"/>
          <w:marRight w:val="0"/>
          <w:marTop w:val="120"/>
          <w:marBottom w:val="0"/>
          <w:divBdr>
            <w:top w:val="none" w:sz="0" w:space="0" w:color="auto"/>
            <w:left w:val="none" w:sz="0" w:space="0" w:color="auto"/>
            <w:bottom w:val="none" w:sz="0" w:space="0" w:color="auto"/>
            <w:right w:val="none" w:sz="0" w:space="0" w:color="auto"/>
          </w:divBdr>
        </w:div>
        <w:div w:id="787429142">
          <w:marLeft w:val="288"/>
          <w:marRight w:val="0"/>
          <w:marTop w:val="120"/>
          <w:marBottom w:val="0"/>
          <w:divBdr>
            <w:top w:val="none" w:sz="0" w:space="0" w:color="auto"/>
            <w:left w:val="none" w:sz="0" w:space="0" w:color="auto"/>
            <w:bottom w:val="none" w:sz="0" w:space="0" w:color="auto"/>
            <w:right w:val="none" w:sz="0" w:space="0" w:color="auto"/>
          </w:divBdr>
        </w:div>
        <w:div w:id="1410425679">
          <w:marLeft w:val="288"/>
          <w:marRight w:val="0"/>
          <w:marTop w:val="120"/>
          <w:marBottom w:val="0"/>
          <w:divBdr>
            <w:top w:val="none" w:sz="0" w:space="0" w:color="auto"/>
            <w:left w:val="none" w:sz="0" w:space="0" w:color="auto"/>
            <w:bottom w:val="none" w:sz="0" w:space="0" w:color="auto"/>
            <w:right w:val="none" w:sz="0" w:space="0" w:color="auto"/>
          </w:divBdr>
        </w:div>
        <w:div w:id="1555123609">
          <w:marLeft w:val="288"/>
          <w:marRight w:val="0"/>
          <w:marTop w:val="120"/>
          <w:marBottom w:val="0"/>
          <w:divBdr>
            <w:top w:val="none" w:sz="0" w:space="0" w:color="auto"/>
            <w:left w:val="none" w:sz="0" w:space="0" w:color="auto"/>
            <w:bottom w:val="none" w:sz="0" w:space="0" w:color="auto"/>
            <w:right w:val="none" w:sz="0" w:space="0" w:color="auto"/>
          </w:divBdr>
        </w:div>
        <w:div w:id="1705640442">
          <w:marLeft w:val="288"/>
          <w:marRight w:val="0"/>
          <w:marTop w:val="120"/>
          <w:marBottom w:val="0"/>
          <w:divBdr>
            <w:top w:val="none" w:sz="0" w:space="0" w:color="auto"/>
            <w:left w:val="none" w:sz="0" w:space="0" w:color="auto"/>
            <w:bottom w:val="none" w:sz="0" w:space="0" w:color="auto"/>
            <w:right w:val="none" w:sz="0" w:space="0" w:color="auto"/>
          </w:divBdr>
        </w:div>
        <w:div w:id="1971594570">
          <w:marLeft w:val="288"/>
          <w:marRight w:val="0"/>
          <w:marTop w:val="120"/>
          <w:marBottom w:val="0"/>
          <w:divBdr>
            <w:top w:val="none" w:sz="0" w:space="0" w:color="auto"/>
            <w:left w:val="none" w:sz="0" w:space="0" w:color="auto"/>
            <w:bottom w:val="none" w:sz="0" w:space="0" w:color="auto"/>
            <w:right w:val="none" w:sz="0" w:space="0" w:color="auto"/>
          </w:divBdr>
        </w:div>
      </w:divsChild>
    </w:div>
    <w:div w:id="2098093633">
      <w:bodyDiv w:val="1"/>
      <w:marLeft w:val="0"/>
      <w:marRight w:val="0"/>
      <w:marTop w:val="0"/>
      <w:marBottom w:val="0"/>
      <w:divBdr>
        <w:top w:val="none" w:sz="0" w:space="0" w:color="auto"/>
        <w:left w:val="none" w:sz="0" w:space="0" w:color="auto"/>
        <w:bottom w:val="none" w:sz="0" w:space="0" w:color="auto"/>
        <w:right w:val="none" w:sz="0" w:space="0" w:color="auto"/>
      </w:divBdr>
    </w:div>
    <w:div w:id="2101366831">
      <w:bodyDiv w:val="1"/>
      <w:marLeft w:val="0"/>
      <w:marRight w:val="0"/>
      <w:marTop w:val="0"/>
      <w:marBottom w:val="0"/>
      <w:divBdr>
        <w:top w:val="none" w:sz="0" w:space="0" w:color="auto"/>
        <w:left w:val="none" w:sz="0" w:space="0" w:color="auto"/>
        <w:bottom w:val="none" w:sz="0" w:space="0" w:color="auto"/>
        <w:right w:val="none" w:sz="0" w:space="0" w:color="auto"/>
      </w:divBdr>
    </w:div>
    <w:div w:id="2105956858">
      <w:bodyDiv w:val="1"/>
      <w:marLeft w:val="0"/>
      <w:marRight w:val="0"/>
      <w:marTop w:val="0"/>
      <w:marBottom w:val="0"/>
      <w:divBdr>
        <w:top w:val="none" w:sz="0" w:space="0" w:color="auto"/>
        <w:left w:val="none" w:sz="0" w:space="0" w:color="auto"/>
        <w:bottom w:val="none" w:sz="0" w:space="0" w:color="auto"/>
        <w:right w:val="none" w:sz="0" w:space="0" w:color="auto"/>
      </w:divBdr>
    </w:div>
    <w:div w:id="2107967833">
      <w:bodyDiv w:val="1"/>
      <w:marLeft w:val="0"/>
      <w:marRight w:val="0"/>
      <w:marTop w:val="0"/>
      <w:marBottom w:val="0"/>
      <w:divBdr>
        <w:top w:val="none" w:sz="0" w:space="0" w:color="auto"/>
        <w:left w:val="none" w:sz="0" w:space="0" w:color="auto"/>
        <w:bottom w:val="none" w:sz="0" w:space="0" w:color="auto"/>
        <w:right w:val="none" w:sz="0" w:space="0" w:color="auto"/>
      </w:divBdr>
    </w:div>
    <w:div w:id="2124036913">
      <w:bodyDiv w:val="1"/>
      <w:marLeft w:val="0"/>
      <w:marRight w:val="0"/>
      <w:marTop w:val="0"/>
      <w:marBottom w:val="0"/>
      <w:divBdr>
        <w:top w:val="none" w:sz="0" w:space="0" w:color="auto"/>
        <w:left w:val="none" w:sz="0" w:space="0" w:color="auto"/>
        <w:bottom w:val="none" w:sz="0" w:space="0" w:color="auto"/>
        <w:right w:val="none" w:sz="0" w:space="0" w:color="auto"/>
      </w:divBdr>
    </w:div>
    <w:div w:id="2124615493">
      <w:bodyDiv w:val="1"/>
      <w:marLeft w:val="0"/>
      <w:marRight w:val="0"/>
      <w:marTop w:val="0"/>
      <w:marBottom w:val="0"/>
      <w:divBdr>
        <w:top w:val="none" w:sz="0" w:space="0" w:color="auto"/>
        <w:left w:val="none" w:sz="0" w:space="0" w:color="auto"/>
        <w:bottom w:val="none" w:sz="0" w:space="0" w:color="auto"/>
        <w:right w:val="none" w:sz="0" w:space="0" w:color="auto"/>
      </w:divBdr>
    </w:div>
    <w:div w:id="2126804805">
      <w:bodyDiv w:val="1"/>
      <w:marLeft w:val="0"/>
      <w:marRight w:val="0"/>
      <w:marTop w:val="0"/>
      <w:marBottom w:val="0"/>
      <w:divBdr>
        <w:top w:val="none" w:sz="0" w:space="0" w:color="auto"/>
        <w:left w:val="none" w:sz="0" w:space="0" w:color="auto"/>
        <w:bottom w:val="none" w:sz="0" w:space="0" w:color="auto"/>
        <w:right w:val="none" w:sz="0" w:space="0" w:color="auto"/>
      </w:divBdr>
    </w:div>
    <w:div w:id="2129035151">
      <w:bodyDiv w:val="1"/>
      <w:marLeft w:val="0"/>
      <w:marRight w:val="0"/>
      <w:marTop w:val="0"/>
      <w:marBottom w:val="0"/>
      <w:divBdr>
        <w:top w:val="none" w:sz="0" w:space="0" w:color="auto"/>
        <w:left w:val="none" w:sz="0" w:space="0" w:color="auto"/>
        <w:bottom w:val="none" w:sz="0" w:space="0" w:color="auto"/>
        <w:right w:val="none" w:sz="0" w:space="0" w:color="auto"/>
      </w:divBdr>
    </w:div>
    <w:div w:id="2131581811">
      <w:bodyDiv w:val="1"/>
      <w:marLeft w:val="0"/>
      <w:marRight w:val="0"/>
      <w:marTop w:val="0"/>
      <w:marBottom w:val="0"/>
      <w:divBdr>
        <w:top w:val="none" w:sz="0" w:space="0" w:color="auto"/>
        <w:left w:val="none" w:sz="0" w:space="0" w:color="auto"/>
        <w:bottom w:val="none" w:sz="0" w:space="0" w:color="auto"/>
        <w:right w:val="none" w:sz="0" w:space="0" w:color="auto"/>
      </w:divBdr>
    </w:div>
    <w:div w:id="2136942022">
      <w:bodyDiv w:val="1"/>
      <w:marLeft w:val="0"/>
      <w:marRight w:val="0"/>
      <w:marTop w:val="0"/>
      <w:marBottom w:val="0"/>
      <w:divBdr>
        <w:top w:val="none" w:sz="0" w:space="0" w:color="auto"/>
        <w:left w:val="none" w:sz="0" w:space="0" w:color="auto"/>
        <w:bottom w:val="none" w:sz="0" w:space="0" w:color="auto"/>
        <w:right w:val="none" w:sz="0" w:space="0" w:color="auto"/>
      </w:divBdr>
    </w:div>
    <w:div w:id="21397624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eader" Target="header3.xml"/><Relationship Id="rId34" Type="http://schemas.openxmlformats.org/officeDocument/2006/relationships/image" Target="media/image12.jpeg"/><Relationship Id="rId42" Type="http://schemas.openxmlformats.org/officeDocument/2006/relationships/hyperlink" Target="https://www.staatsolie.com/en/staatsolie-hydrocarbon-institute/overview-pscs-1957-now/" TargetMode="External"/><Relationship Id="rId47" Type="http://schemas.openxmlformats.org/officeDocument/2006/relationships/hyperlink" Target="https://www.staatsolie.com/en/media-center/" TargetMode="External"/><Relationship Id="rId50" Type="http://schemas.openxmlformats.org/officeDocument/2006/relationships/hyperlink" Target="https://eitisuriname.org/wp-content/uploads/2021/03/FINAL-" TargetMode="External"/><Relationship Id="rId55" Type="http://schemas.openxmlformats.org/officeDocument/2006/relationships/hyperlink" Target="https://www.cbvs.sr/en/publications-research/cbvs-reports/semi-annual-reports" TargetMode="External"/><Relationship Id="rId63" Type="http://schemas.openxmlformats.org/officeDocument/2006/relationships/chart" Target="charts/chart2.xml"/><Relationship Id="rId68" Type="http://schemas.openxmlformats.org/officeDocument/2006/relationships/chart" Target="charts/chart7.xml"/><Relationship Id="rId76" Type="http://schemas.openxmlformats.org/officeDocument/2006/relationships/image" Target="media/image21.emf"/><Relationship Id="rId84" Type="http://schemas.openxmlformats.org/officeDocument/2006/relationships/image" Target="media/image29.emf"/><Relationship Id="rId89" Type="http://schemas.openxmlformats.org/officeDocument/2006/relationships/image" Target="media/image34.emf"/><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footer" Target="footer8.xml"/><Relationship Id="rId92" Type="http://schemas.openxmlformats.org/officeDocument/2006/relationships/image" Target="media/image37.emf"/><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8.emf"/><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image" Target="media/image11.emf"/><Relationship Id="rId37" Type="http://schemas.openxmlformats.org/officeDocument/2006/relationships/hyperlink" Target="https://www.staatsolie.com/media/3amj5eb5/persbericht-iamgold-rosebel-tekent-vof-overeenkomst-met-staatsolie.pdf" TargetMode="External"/><Relationship Id="rId40" Type="http://schemas.openxmlformats.org/officeDocument/2006/relationships/hyperlink" Target="https://www.staatsolie.com/media/1m5dpvwi/instruction-to-bidders-16-11-20.pdf" TargetMode="External"/><Relationship Id="rId45" Type="http://schemas.openxmlformats.org/officeDocument/2006/relationships/hyperlink" Target="https://www.staatsolie.com/en/media-center/" TargetMode="External"/><Relationship Id="rId53" Type="http://schemas.openxmlformats.org/officeDocument/2006/relationships/hyperlink" Target="https://www.cbvs.sr/en/publications-research/cbvs-reports/annual-reports" TargetMode="External"/><Relationship Id="rId58" Type="http://schemas.openxmlformats.org/officeDocument/2006/relationships/hyperlink" Target="https://www.oas.org/en/sms/dtoc/docs/suriname-eng-digital.pdf" TargetMode="External"/><Relationship Id="rId66" Type="http://schemas.openxmlformats.org/officeDocument/2006/relationships/chart" Target="charts/chart5.xml"/><Relationship Id="rId74" Type="http://schemas.openxmlformats.org/officeDocument/2006/relationships/image" Target="media/image19.emf"/><Relationship Id="rId79" Type="http://schemas.openxmlformats.org/officeDocument/2006/relationships/image" Target="media/image24.emf"/><Relationship Id="rId87" Type="http://schemas.openxmlformats.org/officeDocument/2006/relationships/image" Target="media/image32.emf"/><Relationship Id="rId5" Type="http://schemas.openxmlformats.org/officeDocument/2006/relationships/numbering" Target="numbering.xml"/><Relationship Id="rId61" Type="http://schemas.openxmlformats.org/officeDocument/2006/relationships/header" Target="header5.xml"/><Relationship Id="rId82" Type="http://schemas.openxmlformats.org/officeDocument/2006/relationships/image" Target="media/image27.emf"/><Relationship Id="rId90" Type="http://schemas.openxmlformats.org/officeDocument/2006/relationships/image" Target="media/image35.emf"/><Relationship Id="rId95" Type="http://schemas.openxmlformats.org/officeDocument/2006/relationships/image" Target="media/image40.emf"/><Relationship Id="rId1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image" Target="media/image13.jpeg"/><Relationship Id="rId43" Type="http://schemas.openxmlformats.org/officeDocument/2006/relationships/hyperlink" Target="https://geologymining-sr.maps.arcgis.com/home/index.html" TargetMode="External"/><Relationship Id="rId48" Type="http://schemas.openxmlformats.org/officeDocument/2006/relationships/hyperlink" Target="https://www.staatsolie.com/media/hy0l20ld/annual_repport_staatsolie_2016_lr.pdf" TargetMode="External"/><Relationship Id="rId56" Type="http://schemas.openxmlformats.org/officeDocument/2006/relationships/hyperlink" Target="https://www.planningofficesuriname.com/wp-content/uploads/2020/09/Nationaal-JaarPlan-2020.pdf" TargetMode="External"/><Relationship Id="rId64" Type="http://schemas.openxmlformats.org/officeDocument/2006/relationships/chart" Target="charts/chart3.xml"/><Relationship Id="rId69" Type="http://schemas.openxmlformats.org/officeDocument/2006/relationships/chart" Target="charts/chart8.xml"/><Relationship Id="rId77" Type="http://schemas.openxmlformats.org/officeDocument/2006/relationships/image" Target="media/image22.emf"/><Relationship Id="rId8" Type="http://schemas.openxmlformats.org/officeDocument/2006/relationships/webSettings" Target="webSettings.xml"/><Relationship Id="rId51" Type="http://schemas.openxmlformats.org/officeDocument/2006/relationships/hyperlink" Target="https://eitisuriname.org/wp-content/uploads/2021/03/FINAL-Assessment-Document-PB300920-1.pdf" TargetMode="External"/><Relationship Id="rId72" Type="http://schemas.openxmlformats.org/officeDocument/2006/relationships/hyperlink" Target="https://www.sec.gov/ix?doc=/Archives/edgar/data/0001509991/000150999121000031/kos-20201231.htm" TargetMode="External"/><Relationship Id="rId80" Type="http://schemas.openxmlformats.org/officeDocument/2006/relationships/image" Target="media/image25.emf"/><Relationship Id="rId85" Type="http://schemas.openxmlformats.org/officeDocument/2006/relationships/image" Target="media/image30.emf"/><Relationship Id="rId93" Type="http://schemas.openxmlformats.org/officeDocument/2006/relationships/image" Target="media/image38.emf"/><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hyperlink" Target="https://eiti.org/files/documents/eiti_standard2019_a4_en.pdf" TargetMode="External"/><Relationship Id="rId33" Type="http://schemas.openxmlformats.org/officeDocument/2006/relationships/hyperlink" Target="file:///D:/Users/Meher%20Ben%20Mbarek/Desktop/MS/Assigment/Formulaire%20de%20d&#233;claration%20-%20ITIE%20Burkina%20-%20Ann&#233;e%202012%20(V1t).xlsx" TargetMode="External"/><Relationship Id="rId38" Type="http://schemas.openxmlformats.org/officeDocument/2006/relationships/hyperlink" Target="https://www.staatsolie.com/media/tuvjyme3/model-psc.pdf" TargetMode="External"/><Relationship Id="rId46" Type="http://schemas.openxmlformats.org/officeDocument/2006/relationships/hyperlink" Target="https://www.staatsolie.com/en/media-center/" TargetMode="External"/><Relationship Id="rId59" Type="http://schemas.openxmlformats.org/officeDocument/2006/relationships/hyperlink" Target="https://statistics--suriname-org.translate.goog/wp-content/uploads/2022/07/Import-Export-Re-export-Totale-Exporten-en-handelsbalans-2017-2020-EG.xls?_x_tr_sl=nl&amp;_x_tr_tl=en&amp;_x_tr_hl=en&amp;_x_tr_pto=sc" TargetMode="External"/><Relationship Id="rId67" Type="http://schemas.openxmlformats.org/officeDocument/2006/relationships/chart" Target="charts/chart6.xml"/><Relationship Id="rId20" Type="http://schemas.openxmlformats.org/officeDocument/2006/relationships/footer" Target="footer5.xml"/><Relationship Id="rId41" Type="http://schemas.openxmlformats.org/officeDocument/2006/relationships/image" Target="media/image16.png"/><Relationship Id="rId54" Type="http://schemas.openxmlformats.org/officeDocument/2006/relationships/hyperlink" Target="https://www.caribank.org/sites/default/files/publication-resources/CER%202019%20Suriname.pdf" TargetMode="External"/><Relationship Id="rId62" Type="http://schemas.openxmlformats.org/officeDocument/2006/relationships/chart" Target="charts/chart1.xml"/><Relationship Id="rId70" Type="http://schemas.openxmlformats.org/officeDocument/2006/relationships/chart" Target="charts/chart9.xml"/><Relationship Id="rId75" Type="http://schemas.openxmlformats.org/officeDocument/2006/relationships/image" Target="media/image20.emf"/><Relationship Id="rId83" Type="http://schemas.openxmlformats.org/officeDocument/2006/relationships/image" Target="media/image28.emf"/><Relationship Id="rId88" Type="http://schemas.openxmlformats.org/officeDocument/2006/relationships/image" Target="media/image33.emf"/><Relationship Id="rId91" Type="http://schemas.openxmlformats.org/officeDocument/2006/relationships/image" Target="media/image36.emf"/><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image" Target="media/image7.emf"/><Relationship Id="rId36" Type="http://schemas.openxmlformats.org/officeDocument/2006/relationships/image" Target="media/image14.png"/><Relationship Id="rId49" Type="http://schemas.openxmlformats.org/officeDocument/2006/relationships/hyperlink" Target="https://www.staatsolie.com/en/media-center/" TargetMode="External"/><Relationship Id="rId57" Type="http://schemas.openxmlformats.org/officeDocument/2006/relationships/hyperlink" Target="https://www.planningofficesuriname.com/wp-content/uploads/2020/09/Nationaal-JaarPlan-2020.pdf" TargetMode="External"/><Relationship Id="rId10" Type="http://schemas.openxmlformats.org/officeDocument/2006/relationships/endnotes" Target="endnotes.xml"/><Relationship Id="rId31" Type="http://schemas.openxmlformats.org/officeDocument/2006/relationships/image" Target="media/image10.emf"/><Relationship Id="rId44" Type="http://schemas.openxmlformats.org/officeDocument/2006/relationships/hyperlink" Target="https://www.staatsolie.com/en/staatsolie-hydrocarbon-institute/" TargetMode="External"/><Relationship Id="rId52" Type="http://schemas.openxmlformats.org/officeDocument/2006/relationships/image" Target="media/image17.emf"/><Relationship Id="rId60" Type="http://schemas.openxmlformats.org/officeDocument/2006/relationships/hyperlink" Target="https://www.staatsolie.com/en/media-center/" TargetMode="External"/><Relationship Id="rId65" Type="http://schemas.openxmlformats.org/officeDocument/2006/relationships/chart" Target="charts/chart4.xml"/><Relationship Id="rId73" Type="http://schemas.openxmlformats.org/officeDocument/2006/relationships/image" Target="media/image18.emf"/><Relationship Id="rId78" Type="http://schemas.openxmlformats.org/officeDocument/2006/relationships/image" Target="media/image23.emf"/><Relationship Id="rId81" Type="http://schemas.openxmlformats.org/officeDocument/2006/relationships/image" Target="media/image26.emf"/><Relationship Id="rId86" Type="http://schemas.openxmlformats.org/officeDocument/2006/relationships/image" Target="media/image31.emf"/><Relationship Id="rId94" Type="http://schemas.openxmlformats.org/officeDocument/2006/relationships/image" Target="media/image39.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8" Type="http://schemas.openxmlformats.org/officeDocument/2006/relationships/hyperlink" Target="https://www.iisd.org/publications/report/igf-mining-policy-framework-assessment-suriname" TargetMode="External"/><Relationship Id="rId13" Type="http://schemas.openxmlformats.org/officeDocument/2006/relationships/hyperlink" Target="https://www.iisd.org/publications/report/igf-mining-policy-framework-assessment-suriname" TargetMode="External"/><Relationship Id="rId18" Type="http://schemas.openxmlformats.org/officeDocument/2006/relationships/hyperlink" Target="https://www.oas.org/en/sms/dtoc/docs/suriname-eng-digital.pdf" TargetMode="External"/><Relationship Id="rId26" Type="http://schemas.openxmlformats.org/officeDocument/2006/relationships/hyperlink" Target="file:///\\BDOFASVR\BAS\1.%20BAS%20LOPENDE%20PROJECTEN\III.%20Suriname\SEITI\SEITI%20-%20M1977%202018,%202019,%202020\Amended%20report\89.4%20MM%20bbls%20of%20proven%20reserves" TargetMode="External"/><Relationship Id="rId3" Type="http://schemas.openxmlformats.org/officeDocument/2006/relationships/hyperlink" Target="https://www.iisd.org/publications/report/igf-mining-policy-framework-assessment-suriname" TargetMode="External"/><Relationship Id="rId21" Type="http://schemas.openxmlformats.org/officeDocument/2006/relationships/hyperlink" Target="https://www.iisd.org/publications/report/igf-mining-policy-framework-assessment-suriname" TargetMode="External"/><Relationship Id="rId7" Type="http://schemas.openxmlformats.org/officeDocument/2006/relationships/hyperlink" Target="https://www.iisd.org/publications/report/igf-mining-policy-framework-assessment-suriname" TargetMode="External"/><Relationship Id="rId12" Type="http://schemas.openxmlformats.org/officeDocument/2006/relationships/hyperlink" Target="https://www.forestpeoples.org/sites/default/files/publication/2010/08/fpicsurinamemar07dutch.pdf" TargetMode="External"/><Relationship Id="rId17" Type="http://schemas.openxmlformats.org/officeDocument/2006/relationships/hyperlink" Target="https://gov.sr/thema/ordening-goudsector-ogs/" TargetMode="External"/><Relationship Id="rId25" Type="http://schemas.openxmlformats.org/officeDocument/2006/relationships/hyperlink" Target="https://www.dna.sr/media/291351/SB_2020___97.pdf" TargetMode="External"/><Relationship Id="rId2" Type="http://schemas.openxmlformats.org/officeDocument/2006/relationships/hyperlink" Target="https://eiti.org/document/eiti-standard-requirements-2016" TargetMode="External"/><Relationship Id="rId16" Type="http://schemas.openxmlformats.org/officeDocument/2006/relationships/hyperlink" Target="https://www.iisd.org/publications/report/igf-mining-policy-framework-assessment-suriname" TargetMode="External"/><Relationship Id="rId20" Type="http://schemas.openxmlformats.org/officeDocument/2006/relationships/hyperlink" Target="https://www.iisd.org/publications/report/igf-mining-policy-framework-assessment-suriname" TargetMode="External"/><Relationship Id="rId29" Type="http://schemas.openxmlformats.org/officeDocument/2006/relationships/hyperlink" Target="https://www.dna.sr/media/263434/Wet_Gelijke_Behandeling_Arbeid__ID_50211_.pdf" TargetMode="External"/><Relationship Id="rId1" Type="http://schemas.openxmlformats.org/officeDocument/2006/relationships/hyperlink" Target="https://eiti.org/document/eiti-standard-requirements-2016" TargetMode="External"/><Relationship Id="rId6" Type="http://schemas.openxmlformats.org/officeDocument/2006/relationships/hyperlink" Target="https://www.iisd.org/publications/report/igf-mining-policy-framework-assessment-suriname" TargetMode="External"/><Relationship Id="rId11" Type="http://schemas.openxmlformats.org/officeDocument/2006/relationships/hyperlink" Target="https://www.iisd.org/publications/report/igf-mining-policy-framework-assessment-suriname" TargetMode="External"/><Relationship Id="rId24" Type="http://schemas.openxmlformats.org/officeDocument/2006/relationships/hyperlink" Target="https://www.staatsolie.com/media/1m5dpvwi/instruction-to-bidders-16-11-20.pdf" TargetMode="External"/><Relationship Id="rId5" Type="http://schemas.openxmlformats.org/officeDocument/2006/relationships/hyperlink" Target="https://www.iisd.org/publications/report/igf-mining-policy-framework-assessment-suriname" TargetMode="External"/><Relationship Id="rId15" Type="http://schemas.openxmlformats.org/officeDocument/2006/relationships/hyperlink" Target="https://www.iisd.org/publications/report/igf-mining-policy-framework-assessment-suriname" TargetMode="External"/><Relationship Id="rId23" Type="http://schemas.openxmlformats.org/officeDocument/2006/relationships/hyperlink" Target="https://www.staatsolie.com/media/0vwhuuv3/mining-decree-1986.pdf" TargetMode="External"/><Relationship Id="rId28" Type="http://schemas.openxmlformats.org/officeDocument/2006/relationships/hyperlink" Target="https://documents-dds-ny.un.org/doc/UNDOC/GEN/G21/229/40/PDF/G2122940.pdf?OpenElement" TargetMode="External"/><Relationship Id="rId10" Type="http://schemas.openxmlformats.org/officeDocument/2006/relationships/hyperlink" Target="https://suriname.un.org/sites/default/files/2020-10/Report%20L2Mercury-FNweb.pdf" TargetMode="External"/><Relationship Id="rId19" Type="http://schemas.openxmlformats.org/officeDocument/2006/relationships/hyperlink" Target="https://www.iisd.org/publications/report/igf-mining-policy-framework-assessment-suriname" TargetMode="External"/><Relationship Id="rId4" Type="http://schemas.openxmlformats.org/officeDocument/2006/relationships/hyperlink" Target="https://www.iisd.org/publications/report/igf-mining-policy-framework-assessment-suriname" TargetMode="External"/><Relationship Id="rId9" Type="http://schemas.openxmlformats.org/officeDocument/2006/relationships/hyperlink" Target="https://www.mercuryconvention.org/en/parties/sur" TargetMode="External"/><Relationship Id="rId14" Type="http://schemas.openxmlformats.org/officeDocument/2006/relationships/hyperlink" Target="https://www.iisd.org/publications/report/igf-mining-policy-framework-assessment-suriname" TargetMode="External"/><Relationship Id="rId22" Type="http://schemas.openxmlformats.org/officeDocument/2006/relationships/hyperlink" Target="https://www.iisd.org/publications/report/igf-mining-policy-framework-assessment-suriname" TargetMode="External"/><Relationship Id="rId27" Type="http://schemas.openxmlformats.org/officeDocument/2006/relationships/hyperlink" Target="https://api.worldbank.org/v2/en/indicator/SL.EMP.TOTL.SP.ZS?downloadformat=excel" TargetMode="External"/><Relationship Id="rId30" Type="http://schemas.openxmlformats.org/officeDocument/2006/relationships/hyperlink" Target="https://www.dna.sr/media/263873/Wet_Geweld_en_Seksuele_Intimidatie_Arbeid.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6-%20EITI\EITI%20SURINAME\V5\SREITI%20EITI%20Data%20base%202018%20-%20V091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6-%20EITI\EITI%20SURINAME\V7\SREITI%20EITI%20Data%20base%202019%20-%20VFina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6-%20EITI\EITI%20SURINAME\V5\SREITI%20EITI%20Data%20base%202020%20-%20V091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6-%20EITI\EITI%20SURINAME\V5\SREITI%20EITI%20Data%20base%202018%20-%20V091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6-%20EITI\EITI%20SURINAME\V7\SREITI%20EITI%20Data%20base%202019%20-%20VFina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6-%20EITI\EITI%20SURINAME\V5\SREITI%20EITI%20Data%20base%202020%20-%20V091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6-%20EITI\EITI%20SURINAME\V5\SREITI%20EITI%20Data%20base%202018%20-%20V091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6-%20EITI\EITI%20SURINAME\V5\SREITI%20EITI%20Data%20base%202019%20-%20V091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6-%20EITI\EITI%20SURINAME\V5\SREITI%20EITI%20Data%20base%202020%20-%20V091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485397123047468E-2"/>
          <c:y val="9.4571082799106934E-2"/>
          <c:w val="0.58230973850092793"/>
          <c:h val="0.85390239451567829"/>
        </c:manualLayout>
      </c:layout>
      <c:doughnutChart>
        <c:varyColors val="1"/>
        <c:ser>
          <c:idx val="0"/>
          <c:order val="0"/>
          <c:dPt>
            <c:idx val="0"/>
            <c:bubble3D val="0"/>
            <c:explosion val="4"/>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5CBE-459E-B986-E2998EBEC35A}"/>
              </c:ext>
            </c:extLst>
          </c:dPt>
          <c:dPt>
            <c:idx val="1"/>
            <c:bubble3D val="0"/>
            <c:explosion val="5"/>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5CBE-459E-B986-E2998EBEC35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'All table Section 1 &amp; 6'!$C$387:$C$388</c:f>
              <c:strCache>
                <c:ptCount val="2"/>
                <c:pt idx="0">
                  <c:v>Mining Sector</c:v>
                </c:pt>
                <c:pt idx="1">
                  <c:v>Oil &amp; Gas Sector</c:v>
                </c:pt>
              </c:strCache>
            </c:strRef>
          </c:cat>
          <c:val>
            <c:numRef>
              <c:f>'All table Section 1 &amp; 6'!$E$387:$E$388</c:f>
              <c:numCache>
                <c:formatCode>0%</c:formatCode>
                <c:ptCount val="2"/>
                <c:pt idx="0">
                  <c:v>0.43234998505947536</c:v>
                </c:pt>
                <c:pt idx="1">
                  <c:v>0.56765001494052458</c:v>
                </c:pt>
              </c:numCache>
            </c:numRef>
          </c:val>
          <c:extLst xmlns:c16r2="http://schemas.microsoft.com/office/drawing/2015/06/chart">
            <c:ext xmlns:c16="http://schemas.microsoft.com/office/drawing/2014/chart" uri="{C3380CC4-5D6E-409C-BE32-E72D297353CC}">
              <c16:uniqueId val="{00000004-5CBE-459E-B986-E2998EBEC35A}"/>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5208250875939"/>
          <c:y val="0.20600068382735137"/>
          <c:w val="0.30270695364610312"/>
          <c:h val="0.5881422492649514"/>
        </c:manualLayout>
      </c:layout>
      <c:overlay val="0"/>
      <c:spPr>
        <a:noFill/>
        <a:ln>
          <a:noFill/>
        </a:ln>
        <a:effectLst/>
      </c:spPr>
      <c:txPr>
        <a:bodyPr rot="0" spcFirstLastPara="1" vertOverflow="ellipsis" vert="horz" wrap="square" anchor="ctr" anchorCtr="1"/>
        <a:lstStyle/>
        <a:p>
          <a:pPr algn="ctr" rtl="0">
            <a:defRPr lang="fr-FR" sz="900" b="1" i="0" u="none" strike="noStrike" kern="1200" baseline="0">
              <a:solidFill>
                <a:sysClr val="windowText" lastClr="000000"/>
              </a:solidFill>
              <a:latin typeface="+mj-lt"/>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485397123047468E-2"/>
          <c:y val="9.4571082799106934E-2"/>
          <c:w val="0.58230973850092793"/>
          <c:h val="0.85390239451567829"/>
        </c:manualLayout>
      </c:layout>
      <c:doughnutChart>
        <c:varyColors val="1"/>
        <c:ser>
          <c:idx val="0"/>
          <c:order val="0"/>
          <c:dPt>
            <c:idx val="0"/>
            <c:bubble3D val="0"/>
            <c:explosion val="4"/>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48B6-47D7-A3EE-41A519F33A64}"/>
              </c:ext>
            </c:extLst>
          </c:dPt>
          <c:dPt>
            <c:idx val="1"/>
            <c:bubble3D val="0"/>
            <c:explosion val="5"/>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48B6-47D7-A3EE-41A519F33A6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'All table Section 1 &amp; 6'!$C$386:$C$387</c:f>
              <c:strCache>
                <c:ptCount val="2"/>
                <c:pt idx="0">
                  <c:v>Mining Sector</c:v>
                </c:pt>
                <c:pt idx="1">
                  <c:v>Oil &amp; Gas Sector</c:v>
                </c:pt>
              </c:strCache>
            </c:strRef>
          </c:cat>
          <c:val>
            <c:numRef>
              <c:f>'All table Section 1 &amp; 6'!$E$386:$E$387</c:f>
              <c:numCache>
                <c:formatCode>0%</c:formatCode>
                <c:ptCount val="2"/>
                <c:pt idx="0">
                  <c:v>0.82016393785699082</c:v>
                </c:pt>
                <c:pt idx="1">
                  <c:v>0.17983606214300921</c:v>
                </c:pt>
              </c:numCache>
            </c:numRef>
          </c:val>
          <c:extLst xmlns:c16r2="http://schemas.microsoft.com/office/drawing/2015/06/chart">
            <c:ext xmlns:c16="http://schemas.microsoft.com/office/drawing/2014/chart" uri="{C3380CC4-5D6E-409C-BE32-E72D297353CC}">
              <c16:uniqueId val="{00000004-48B6-47D7-A3EE-41A519F33A64}"/>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5208250875939"/>
          <c:y val="0.20600068382735137"/>
          <c:w val="0.30270695364610312"/>
          <c:h val="0.5881422492649514"/>
        </c:manualLayout>
      </c:layout>
      <c:overlay val="0"/>
      <c:spPr>
        <a:noFill/>
        <a:ln>
          <a:noFill/>
        </a:ln>
        <a:effectLst/>
      </c:spPr>
      <c:txPr>
        <a:bodyPr rot="0" spcFirstLastPara="1" vertOverflow="ellipsis" vert="horz" wrap="square" anchor="ctr" anchorCtr="1"/>
        <a:lstStyle/>
        <a:p>
          <a:pPr algn="ctr" rtl="0">
            <a:defRPr lang="fr-FR" sz="900" b="1" i="0" u="none" strike="noStrike" kern="1200" baseline="0">
              <a:solidFill>
                <a:sysClr val="windowText" lastClr="000000"/>
              </a:solidFill>
              <a:latin typeface="+mj-lt"/>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485397123047468E-2"/>
          <c:y val="9.4571082799106934E-2"/>
          <c:w val="0.58230973850092793"/>
          <c:h val="0.85390239451567829"/>
        </c:manualLayout>
      </c:layout>
      <c:doughnutChart>
        <c:varyColors val="1"/>
        <c:ser>
          <c:idx val="0"/>
          <c:order val="0"/>
          <c:dPt>
            <c:idx val="0"/>
            <c:bubble3D val="0"/>
            <c:explosion val="4"/>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59E1-4F0A-A9B3-BFE6CFC414D8}"/>
              </c:ext>
            </c:extLst>
          </c:dPt>
          <c:dPt>
            <c:idx val="1"/>
            <c:bubble3D val="0"/>
            <c:explosion val="5"/>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59E1-4F0A-A9B3-BFE6CFC414D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'All table Section 1 &amp; 6'!$C$386:$C$387</c:f>
              <c:strCache>
                <c:ptCount val="2"/>
                <c:pt idx="0">
                  <c:v>Mining Sector</c:v>
                </c:pt>
                <c:pt idx="1">
                  <c:v>Oil &amp; Gas Sector</c:v>
                </c:pt>
              </c:strCache>
            </c:strRef>
          </c:cat>
          <c:val>
            <c:numRef>
              <c:f>'All table Section 1 &amp; 6'!$E$386:$E$387</c:f>
              <c:numCache>
                <c:formatCode>0%</c:formatCode>
                <c:ptCount val="2"/>
                <c:pt idx="0">
                  <c:v>0.88957492860601517</c:v>
                </c:pt>
                <c:pt idx="1">
                  <c:v>0.1104250713939848</c:v>
                </c:pt>
              </c:numCache>
            </c:numRef>
          </c:val>
          <c:extLst xmlns:c16r2="http://schemas.microsoft.com/office/drawing/2015/06/chart">
            <c:ext xmlns:c16="http://schemas.microsoft.com/office/drawing/2014/chart" uri="{C3380CC4-5D6E-409C-BE32-E72D297353CC}">
              <c16:uniqueId val="{00000004-59E1-4F0A-A9B3-BFE6CFC414D8}"/>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5208250875939"/>
          <c:y val="0.20600068382735137"/>
          <c:w val="0.30270695364610312"/>
          <c:h val="0.5881422492649514"/>
        </c:manualLayout>
      </c:layout>
      <c:overlay val="0"/>
      <c:spPr>
        <a:noFill/>
        <a:ln>
          <a:noFill/>
        </a:ln>
        <a:effectLst/>
      </c:spPr>
      <c:txPr>
        <a:bodyPr rot="0" spcFirstLastPara="1" vertOverflow="ellipsis" vert="horz" wrap="square" anchor="ctr" anchorCtr="1"/>
        <a:lstStyle/>
        <a:p>
          <a:pPr algn="ctr" rtl="0">
            <a:defRPr lang="fr-FR" sz="900" b="1" i="0" u="none" strike="noStrike" kern="1200" baseline="0">
              <a:solidFill>
                <a:sysClr val="windowText" lastClr="000000"/>
              </a:solidFill>
              <a:latin typeface="+mj-lt"/>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0045809110309809E-2"/>
          <c:y val="0.12983675391610147"/>
          <c:w val="0.55169591826722597"/>
          <c:h val="0.93980439012287642"/>
        </c:manualLayout>
      </c:layout>
      <c:doughnut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445D-48D2-8C05-162A289D1550}"/>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445D-48D2-8C05-162A289D1550}"/>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445D-48D2-8C05-162A289D1550}"/>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445D-48D2-8C05-162A289D1550}"/>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9-445D-48D2-8C05-162A289D1550}"/>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B-445D-48D2-8C05-162A289D155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rebuchet MS" panose="020B0603020202020204" pitchFamily="34" charset="0"/>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'All table Section 1 &amp; 6'!$C$407:$C$412</c:f>
              <c:strCache>
                <c:ptCount val="6"/>
                <c:pt idx="0">
                  <c:v>Staatsolie Maatschappij Suriname N.V.</c:v>
                </c:pt>
                <c:pt idx="1">
                  <c:v>Newmont  Suriname Llc</c:v>
                </c:pt>
                <c:pt idx="2">
                  <c:v>Rosebel Golde Mines N.V.</c:v>
                </c:pt>
                <c:pt idx="3">
                  <c:v>Kosmos Energy Suriname</c:v>
                </c:pt>
                <c:pt idx="4">
                  <c:v>Petronas Suriname Exploration &amp; production B.V.</c:v>
                </c:pt>
                <c:pt idx="5">
                  <c:v>Other</c:v>
                </c:pt>
              </c:strCache>
            </c:strRef>
          </c:cat>
          <c:val>
            <c:numRef>
              <c:f>'All table Section 1 &amp; 6'!$F$407:$F$412</c:f>
              <c:numCache>
                <c:formatCode>0%</c:formatCode>
                <c:ptCount val="6"/>
                <c:pt idx="0">
                  <c:v>0.56198743504711823</c:v>
                </c:pt>
                <c:pt idx="1">
                  <c:v>0.25149605783689633</c:v>
                </c:pt>
                <c:pt idx="2">
                  <c:v>0.1808506460112119</c:v>
                </c:pt>
                <c:pt idx="3">
                  <c:v>3.4458536694865088E-3</c:v>
                </c:pt>
                <c:pt idx="4">
                  <c:v>1.8016047716095491E-3</c:v>
                </c:pt>
                <c:pt idx="5">
                  <c:v>4.1840266367758691E-4</c:v>
                </c:pt>
              </c:numCache>
            </c:numRef>
          </c:val>
          <c:extLst xmlns:c16r2="http://schemas.microsoft.com/office/drawing/2015/06/chart">
            <c:ext xmlns:c16="http://schemas.microsoft.com/office/drawing/2014/chart" uri="{C3380CC4-5D6E-409C-BE32-E72D297353CC}">
              <c16:uniqueId val="{0000000C-445D-48D2-8C05-162A289D1550}"/>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56886544263742733"/>
          <c:y val="2.9312574245976268E-2"/>
          <c:w val="0.33767661343733901"/>
          <c:h val="0.97068724618377922"/>
        </c:manualLayout>
      </c:layout>
      <c:overlay val="0"/>
      <c:spPr>
        <a:noFill/>
        <a:ln>
          <a:noFill/>
        </a:ln>
        <a:effectLst/>
      </c:spPr>
      <c:txPr>
        <a:bodyPr rot="0" spcFirstLastPara="1" vertOverflow="ellipsis" vert="horz" wrap="square" anchor="ctr" anchorCtr="1"/>
        <a:lstStyle/>
        <a:p>
          <a:pPr algn="ctr" rtl="0">
            <a:defRPr sz="8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900">
          <a:latin typeface="Trebuchet MS" panose="020B0603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249343832020998E-3"/>
          <c:y val="0.140625"/>
          <c:w val="0.40555555555555556"/>
          <c:h val="0.76041666666666663"/>
        </c:manualLayout>
      </c:layout>
      <c:doughnut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DF4E-4D01-A615-F55D9581110E}"/>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DF4E-4D01-A615-F55D9581110E}"/>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DF4E-4D01-A615-F55D9581110E}"/>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DF4E-4D01-A615-F55D9581110E}"/>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9-DF4E-4D01-A615-F55D9581110E}"/>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B-DF4E-4D01-A615-F55D9581110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rebuchet MS" panose="020B0603020202020204" pitchFamily="34" charset="0"/>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'All table Section 1 &amp; 6'!$C$406:$C$411</c:f>
              <c:strCache>
                <c:ptCount val="6"/>
                <c:pt idx="0">
                  <c:v>Newmont  Suriname Llc</c:v>
                </c:pt>
                <c:pt idx="1">
                  <c:v>Rosebel Golde Mines N.V.</c:v>
                </c:pt>
                <c:pt idx="2">
                  <c:v>Staatsolie Maatschappij Suriname N.V.</c:v>
                </c:pt>
                <c:pt idx="3">
                  <c:v>Grasshopper Aluminum Company N.V.</c:v>
                </c:pt>
                <c:pt idx="4">
                  <c:v>Kosmos Energy Suriname</c:v>
                </c:pt>
                <c:pt idx="5">
                  <c:v>Other</c:v>
                </c:pt>
              </c:strCache>
            </c:strRef>
          </c:cat>
          <c:val>
            <c:numRef>
              <c:f>'All table Section 1 &amp; 6'!$F$406:$F$411</c:f>
              <c:numCache>
                <c:formatCode>0%</c:formatCode>
                <c:ptCount val="6"/>
                <c:pt idx="0">
                  <c:v>0.45244359016101443</c:v>
                </c:pt>
                <c:pt idx="1">
                  <c:v>0.32568614598921253</c:v>
                </c:pt>
                <c:pt idx="2">
                  <c:v>0.17384572756954889</c:v>
                </c:pt>
                <c:pt idx="3">
                  <c:v>4.2034201706763856E-2</c:v>
                </c:pt>
                <c:pt idx="4">
                  <c:v>3.2561700462686877E-3</c:v>
                </c:pt>
                <c:pt idx="5">
                  <c:v>2.7341645271916348E-3</c:v>
                </c:pt>
              </c:numCache>
            </c:numRef>
          </c:val>
          <c:extLst xmlns:c16r2="http://schemas.microsoft.com/office/drawing/2015/06/chart">
            <c:ext xmlns:c16="http://schemas.microsoft.com/office/drawing/2014/chart" uri="{C3380CC4-5D6E-409C-BE32-E72D297353CC}">
              <c16:uniqueId val="{0000000C-DF4E-4D01-A615-F55D9581110E}"/>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4214013560804899"/>
          <c:y val="4.1288549868766407E-2"/>
          <c:w val="0.22582086614173225"/>
          <c:h val="0.83408956692913383"/>
        </c:manualLayout>
      </c:layout>
      <c:overlay val="0"/>
      <c:spPr>
        <a:noFill/>
        <a:ln>
          <a:noFill/>
        </a:ln>
        <a:effectLst/>
      </c:spPr>
      <c:txPr>
        <a:bodyPr rot="0" spcFirstLastPara="1" vertOverflow="ellipsis" vert="horz" wrap="square" anchor="ctr" anchorCtr="1"/>
        <a:lstStyle/>
        <a:p>
          <a:pPr algn="ctr" rtl="0">
            <a:defRPr sz="8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900">
          <a:latin typeface="Trebuchet MS" panose="020B0603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432672956696741E-2"/>
          <c:y val="0.14361956071280563"/>
          <c:w val="0.55630219691926264"/>
          <c:h val="0.7532038955656859"/>
        </c:manualLayout>
      </c:layout>
      <c:doughnut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1A7F-4513-AAC7-8A5C4AFA638B}"/>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1A7F-4513-AAC7-8A5C4AFA638B}"/>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1A7F-4513-AAC7-8A5C4AFA638B}"/>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1A7F-4513-AAC7-8A5C4AFA638B}"/>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9-1A7F-4513-AAC7-8A5C4AFA638B}"/>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B-1A7F-4513-AAC7-8A5C4AFA638B}"/>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Trebuchet MS" panose="020B0603020202020204" pitchFamily="34" charset="0"/>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'All table Section 1 &amp; 6'!$C$406:$C$411</c:f>
              <c:strCache>
                <c:ptCount val="6"/>
                <c:pt idx="0">
                  <c:v>Newmont  Suriname Llc</c:v>
                </c:pt>
                <c:pt idx="1">
                  <c:v>Rosebel Golde Mines N.V.</c:v>
                </c:pt>
                <c:pt idx="2">
                  <c:v>Staatsolie Maatschappij Suriname N.V.</c:v>
                </c:pt>
                <c:pt idx="3">
                  <c:v>Kosmos Energy Suriname</c:v>
                </c:pt>
                <c:pt idx="4">
                  <c:v>Petronas Suriname Exploration &amp; production B.V.</c:v>
                </c:pt>
                <c:pt idx="5">
                  <c:v>Grasshopper Aluminum Company N.V.</c:v>
                </c:pt>
              </c:strCache>
            </c:strRef>
          </c:cat>
          <c:val>
            <c:numRef>
              <c:f>'All table Section 1 &amp; 6'!$F$406:$F$411</c:f>
              <c:numCache>
                <c:formatCode>0%</c:formatCode>
                <c:ptCount val="6"/>
                <c:pt idx="0">
                  <c:v>0.6370990386330444</c:v>
                </c:pt>
                <c:pt idx="1">
                  <c:v>0.25247037118905369</c:v>
                </c:pt>
                <c:pt idx="2">
                  <c:v>0.10722145476496785</c:v>
                </c:pt>
                <c:pt idx="3">
                  <c:v>2.328079770403666E-3</c:v>
                </c:pt>
                <c:pt idx="4">
                  <c:v>4.133339468925E-4</c:v>
                </c:pt>
                <c:pt idx="5">
                  <c:v>4.6772169563786908E-4</c:v>
                </c:pt>
              </c:numCache>
            </c:numRef>
          </c:val>
          <c:extLst xmlns:c16r2="http://schemas.microsoft.com/office/drawing/2015/06/chart">
            <c:ext xmlns:c16="http://schemas.microsoft.com/office/drawing/2014/chart" uri="{C3380CC4-5D6E-409C-BE32-E72D297353CC}">
              <c16:uniqueId val="{0000000C-1A7F-4513-AAC7-8A5C4AFA638B}"/>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57346188869248482"/>
          <c:y val="3.9325976446252763E-2"/>
          <c:w val="0.34490545824629065"/>
          <c:h val="0.96067394028684239"/>
        </c:manualLayout>
      </c:layout>
      <c:overlay val="0"/>
      <c:spPr>
        <a:noFill/>
        <a:ln>
          <a:noFill/>
        </a:ln>
        <a:effectLst/>
      </c:spPr>
      <c:txPr>
        <a:bodyPr rot="0" spcFirstLastPara="1" vertOverflow="ellipsis" vert="horz" wrap="square" anchor="ctr" anchorCtr="1"/>
        <a:lstStyle/>
        <a:p>
          <a:pPr algn="ctr" rtl="0">
            <a:defRPr sz="8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latin typeface="Trebuchet MS" panose="020B0603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588097088722205E-3"/>
          <c:y val="2.170828557488718E-2"/>
          <c:w val="0.57767339168440857"/>
          <c:h val="0.83799463549119801"/>
        </c:manualLayout>
      </c:layout>
      <c:doughnut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4FFE-4EE2-9851-665764574455}"/>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4FFE-4EE2-9851-665764574455}"/>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4FFE-4EE2-9851-665764574455}"/>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4FFE-4EE2-9851-665764574455}"/>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9-4FFE-4EE2-9851-665764574455}"/>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B-4FFE-4EE2-9851-665764574455}"/>
              </c:ext>
            </c:extLst>
          </c:dPt>
          <c:dLbls>
            <c:dLbl>
              <c:idx val="3"/>
              <c:layout>
                <c:manualLayout>
                  <c:x val="-2.5545507209062845E-2"/>
                  <c:y val="3.94931689256552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4FFE-4EE2-9851-66576457445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'All table Section 1 &amp; 6'!$C$431:$C$436</c:f>
              <c:strCache>
                <c:ptCount val="6"/>
                <c:pt idx="0">
                  <c:v>Royalty fees MoF</c:v>
                </c:pt>
                <c:pt idx="1">
                  <c:v>Income Tax</c:v>
                </c:pt>
                <c:pt idx="2">
                  <c:v>Wage Tax &amp; OP-premium (AOV)</c:v>
                </c:pt>
                <c:pt idx="3">
                  <c:v>Cash Dividends</c:v>
                </c:pt>
                <c:pt idx="4">
                  <c:v>Sales Tax</c:v>
                </c:pt>
                <c:pt idx="5">
                  <c:v>Other</c:v>
                </c:pt>
              </c:strCache>
            </c:strRef>
          </c:cat>
          <c:val>
            <c:numRef>
              <c:f>'All table Section 1 &amp; 6'!$E$431:$E$436</c:f>
              <c:numCache>
                <c:formatCode>0%</c:formatCode>
                <c:ptCount val="6"/>
                <c:pt idx="0">
                  <c:v>0.21254864694227604</c:v>
                </c:pt>
                <c:pt idx="1">
                  <c:v>0.16970677855349769</c:v>
                </c:pt>
                <c:pt idx="2">
                  <c:v>0.1458685998676687</c:v>
                </c:pt>
                <c:pt idx="3">
                  <c:v>4.3522004436011237E-2</c:v>
                </c:pt>
                <c:pt idx="4">
                  <c:v>5.8457939469080027E-3</c:v>
                </c:pt>
                <c:pt idx="5">
                  <c:v>0.42250817625363835</c:v>
                </c:pt>
              </c:numCache>
            </c:numRef>
          </c:val>
          <c:extLst xmlns:c16r2="http://schemas.microsoft.com/office/drawing/2015/06/chart">
            <c:ext xmlns:c16="http://schemas.microsoft.com/office/drawing/2014/chart" uri="{C3380CC4-5D6E-409C-BE32-E72D297353CC}">
              <c16:uniqueId val="{0000000C-4FFE-4EE2-9851-665764574455}"/>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5474453193350823"/>
          <c:y val="4.5850914205344595E-2"/>
          <c:w val="0.31704524058956152"/>
          <c:h val="0.93287267345361846"/>
        </c:manualLayout>
      </c:layout>
      <c:overlay val="0"/>
      <c:spPr>
        <a:noFill/>
        <a:ln>
          <a:noFill/>
        </a:ln>
        <a:effectLst/>
      </c:spPr>
      <c:txPr>
        <a:bodyPr rot="0" spcFirstLastPara="1" vertOverflow="ellipsis" vert="horz" wrap="square" anchor="ctr" anchorCtr="1"/>
        <a:lstStyle/>
        <a:p>
          <a:pPr algn="ctr" rtl="0">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4.6728971962616821E-2"/>
          <c:w val="0.55823732339864207"/>
          <c:h val="0.8781536110803051"/>
        </c:manualLayout>
      </c:layout>
      <c:doughnut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E210-4E2E-9A8B-9EC63EDDFB94}"/>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E210-4E2E-9A8B-9EC63EDDFB94}"/>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E210-4E2E-9A8B-9EC63EDDFB94}"/>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E210-4E2E-9A8B-9EC63EDDFB94}"/>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9-E210-4E2E-9A8B-9EC63EDDFB94}"/>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B-E210-4E2E-9A8B-9EC63EDDFB94}"/>
              </c:ext>
            </c:extLst>
          </c:dPt>
          <c:dLbls>
            <c:dLbl>
              <c:idx val="3"/>
              <c:layout>
                <c:manualLayout>
                  <c:x val="-2.5545507209062845E-2"/>
                  <c:y val="3.94931689256552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E210-4E2E-9A8B-9EC63EDDFB9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'All table Section 1 &amp; 6'!$C$430:$C$435</c:f>
              <c:strCache>
                <c:ptCount val="6"/>
                <c:pt idx="0">
                  <c:v>Royalty fees MoF</c:v>
                </c:pt>
                <c:pt idx="1">
                  <c:v>Wage Tax &amp; OP-premium (AOV)</c:v>
                </c:pt>
                <c:pt idx="2">
                  <c:v>Income Tax</c:v>
                </c:pt>
                <c:pt idx="3">
                  <c:v>All other payments (signature bonus, bidding fees, penalties, petroleum levy)</c:v>
                </c:pt>
                <c:pt idx="4">
                  <c:v>Cash Dividends</c:v>
                </c:pt>
                <c:pt idx="5">
                  <c:v>Other</c:v>
                </c:pt>
              </c:strCache>
            </c:strRef>
          </c:cat>
          <c:val>
            <c:numRef>
              <c:f>'All table Section 1 &amp; 6'!$E$430:$E$435</c:f>
              <c:numCache>
                <c:formatCode>0%</c:formatCode>
                <c:ptCount val="6"/>
                <c:pt idx="0">
                  <c:v>0.40313358069861538</c:v>
                </c:pt>
                <c:pt idx="1">
                  <c:v>0.27969684231161979</c:v>
                </c:pt>
                <c:pt idx="2">
                  <c:v>0.2064830739637683</c:v>
                </c:pt>
                <c:pt idx="3">
                  <c:v>5.7806824095103057E-2</c:v>
                </c:pt>
                <c:pt idx="4">
                  <c:v>4.998255133141543E-2</c:v>
                </c:pt>
                <c:pt idx="5">
                  <c:v>2.897127599478023E-3</c:v>
                </c:pt>
              </c:numCache>
            </c:numRef>
          </c:val>
          <c:extLst xmlns:c16r2="http://schemas.microsoft.com/office/drawing/2015/06/chart">
            <c:ext xmlns:c16="http://schemas.microsoft.com/office/drawing/2014/chart" uri="{C3380CC4-5D6E-409C-BE32-E72D297353CC}">
              <c16:uniqueId val="{0000000C-E210-4E2E-9A8B-9EC63EDDFB94}"/>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59505500531096567"/>
          <c:y val="4.4388843917874754E-3"/>
          <c:w val="0.39812283213901883"/>
          <c:h val="0.96285083523438075"/>
        </c:manualLayout>
      </c:layout>
      <c:overlay val="0"/>
      <c:spPr>
        <a:noFill/>
        <a:ln>
          <a:noFill/>
        </a:ln>
        <a:effectLst/>
      </c:spPr>
      <c:txPr>
        <a:bodyPr rot="0" spcFirstLastPara="1" vertOverflow="ellipsis" vert="horz" wrap="square" anchor="ctr" anchorCtr="1"/>
        <a:lstStyle/>
        <a:p>
          <a:pPr algn="ctr" rtl="0">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322580645161282E-3"/>
          <c:y val="0"/>
          <c:w val="0.44713261648745517"/>
          <c:h val="0.78090766823161184"/>
        </c:manualLayout>
      </c:layout>
      <c:doughnut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DA1F-4DCF-8FBA-D4E53324AC72}"/>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DA1F-4DCF-8FBA-D4E53324AC72}"/>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DA1F-4DCF-8FBA-D4E53324AC72}"/>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DA1F-4DCF-8FBA-D4E53324AC72}"/>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9-DA1F-4DCF-8FBA-D4E53324AC72}"/>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B-DA1F-4DCF-8FBA-D4E53324AC72}"/>
              </c:ext>
            </c:extLst>
          </c:dPt>
          <c:dLbls>
            <c:dLbl>
              <c:idx val="3"/>
              <c:layout>
                <c:manualLayout>
                  <c:x val="-2.5545507209062845E-2"/>
                  <c:y val="3.94931689256552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DA1F-4DCF-8FBA-D4E53324AC7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'All table Section 1 &amp; 6'!$C$430:$C$435</c:f>
              <c:strCache>
                <c:ptCount val="6"/>
                <c:pt idx="0">
                  <c:v>Royalty fees MoF</c:v>
                </c:pt>
                <c:pt idx="1">
                  <c:v>Income Tax</c:v>
                </c:pt>
                <c:pt idx="2">
                  <c:v>Wage Tax &amp; OP-premium (AOV)</c:v>
                </c:pt>
                <c:pt idx="3">
                  <c:v>All other payments (signature bonus, bidding fees, penalties, petroleum levy)</c:v>
                </c:pt>
                <c:pt idx="4">
                  <c:v>Consent &amp; Statistic rights</c:v>
                </c:pt>
                <c:pt idx="5">
                  <c:v>Other</c:v>
                </c:pt>
              </c:strCache>
            </c:strRef>
          </c:cat>
          <c:val>
            <c:numRef>
              <c:f>'All table Section 1 &amp; 6'!$E$430:$E$435</c:f>
              <c:numCache>
                <c:formatCode>0%</c:formatCode>
                <c:ptCount val="6"/>
                <c:pt idx="0">
                  <c:v>0.39287252952872032</c:v>
                </c:pt>
                <c:pt idx="1">
                  <c:v>0.37729133572865642</c:v>
                </c:pt>
                <c:pt idx="2">
                  <c:v>0.21576945184124835</c:v>
                </c:pt>
                <c:pt idx="3">
                  <c:v>1.1156976730072359E-2</c:v>
                </c:pt>
                <c:pt idx="4">
                  <c:v>2.3899925567733666E-3</c:v>
                </c:pt>
                <c:pt idx="5">
                  <c:v>5.1971361452915075E-4</c:v>
                </c:pt>
              </c:numCache>
            </c:numRef>
          </c:val>
          <c:extLst xmlns:c16r2="http://schemas.microsoft.com/office/drawing/2015/06/chart">
            <c:ext xmlns:c16="http://schemas.microsoft.com/office/drawing/2014/chart" uri="{C3380CC4-5D6E-409C-BE32-E72D297353CC}">
              <c16:uniqueId val="{0000000C-DA1F-4DCF-8FBA-D4E53324AC72}"/>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4697615217452657"/>
          <c:y val="1.9282589676290464E-2"/>
          <c:w val="0.40837467897158025"/>
          <c:h val="0.98071718848139233"/>
        </c:manualLayout>
      </c:layout>
      <c:overlay val="0"/>
      <c:spPr>
        <a:noFill/>
        <a:ln>
          <a:noFill/>
        </a:ln>
        <a:effectLst/>
      </c:spPr>
      <c:txPr>
        <a:bodyPr rot="0" spcFirstLastPara="1" vertOverflow="ellipsis" vert="horz" wrap="square" anchor="ctr" anchorCtr="1"/>
        <a:lstStyle/>
        <a:p>
          <a:pPr algn="ctr" rtl="0">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BDO">
  <a:themeElements>
    <a:clrScheme name="BDO SB2">
      <a:dk1>
        <a:sysClr val="windowText" lastClr="000000"/>
      </a:dk1>
      <a:lt1>
        <a:sysClr val="window" lastClr="FFFFFF"/>
      </a:lt1>
      <a:dk2>
        <a:srgbClr val="685040"/>
      </a:dk2>
      <a:lt2>
        <a:srgbClr val="EEE8E5"/>
      </a:lt2>
      <a:accent1>
        <a:srgbClr val="ED1A3B"/>
      </a:accent1>
      <a:accent2>
        <a:srgbClr val="2EAFA4"/>
      </a:accent2>
      <a:accent3>
        <a:srgbClr val="98002E"/>
      </a:accent3>
      <a:accent4>
        <a:srgbClr val="62CAE3"/>
      </a:accent4>
      <a:accent5>
        <a:srgbClr val="F65275"/>
      </a:accent5>
      <a:accent6>
        <a:srgbClr val="F3D03E"/>
      </a:accent6>
      <a:hlink>
        <a:srgbClr val="ED1A3B"/>
      </a:hlink>
      <a:folHlink>
        <a:srgbClr val="22409A"/>
      </a:folHlink>
    </a:clrScheme>
    <a:fontScheme name="BDO">
      <a:majorFont>
        <a:latin typeface="Trebuchet MS"/>
        <a:ea typeface=""/>
        <a:cs typeface=""/>
      </a:majorFont>
      <a:minorFont>
        <a:latin typeface="Trebuchet MS"/>
        <a:ea typeface=""/>
        <a:cs typeface=""/>
      </a:minorFont>
    </a:fontScheme>
    <a:fmtScheme name="BDO">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eee4ff9-25d8-4092-a47c-041c6cde6848" xsi:nil="true"/>
    <lcf76f155ced4ddcb4097134ff3c332f xmlns="d8b835c3-d8af-4195-9f46-a0c7f37ab64b">
      <Terms xmlns="http://schemas.microsoft.com/office/infopath/2007/PartnerControls"/>
    </lcf76f155ced4ddcb4097134ff3c332f>
    <Photograph_x002f_Source xmlns="d8b835c3-d8af-4195-9f46-a0c7f37ab64b" xsi:nil="true"/>
    <Imagelocation xmlns="d8b835c3-d8af-4195-9f46-a0c7f37ab64b" xsi:nil="true"/>
    <Imagetag xmlns="d8b835c3-d8af-4195-9f46-a0c7f37ab64b" xsi:nil="true"/>
    <_Flow_SignoffStatus xmlns="d8b835c3-d8af-4195-9f46-a0c7f37ab64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D873232EBE4CB4BBBB01CF679333667" ma:contentTypeVersion="21" ma:contentTypeDescription="Create a new document." ma:contentTypeScope="" ma:versionID="4cc32e9a32091cbf5656615df1ab529f">
  <xsd:schema xmlns:xsd="http://www.w3.org/2001/XMLSchema" xmlns:xs="http://www.w3.org/2001/XMLSchema" xmlns:p="http://schemas.microsoft.com/office/2006/metadata/properties" xmlns:ns2="deee4ff9-25d8-4092-a47c-041c6cde6848" xmlns:ns3="d8b835c3-d8af-4195-9f46-a0c7f37ab64b" targetNamespace="http://schemas.microsoft.com/office/2006/metadata/properties" ma:root="true" ma:fieldsID="6e68f92cbf9e73b09a931f0aab7d5cae" ns2:_="" ns3:_="">
    <xsd:import namespace="deee4ff9-25d8-4092-a47c-041c6cde6848"/>
    <xsd:import namespace="d8b835c3-d8af-4195-9f46-a0c7f37ab64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Imagetag" minOccurs="0"/>
                <xsd:element ref="ns3:Photograph_x002f_Source" minOccurs="0"/>
                <xsd:element ref="ns3:Imagelocation" minOccurs="0"/>
                <xsd:element ref="ns3:MediaLengthInSeconds" minOccurs="0"/>
                <xsd:element ref="ns3:lcf76f155ced4ddcb4097134ff3c332f" minOccurs="0"/>
                <xsd:element ref="ns2:TaxCatchAll" minOccurs="0"/>
                <xsd:element ref="ns3:_Flow_SignoffStatu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ee4ff9-25d8-4092-a47c-041c6cde684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6b9cecb5-4e20-42a7-8bf3-d7bb27ffec0e}" ma:internalName="TaxCatchAll" ma:showField="CatchAllData" ma:web="deee4ff9-25d8-4092-a47c-041c6cde684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8b835c3-d8af-4195-9f46-a0c7f37ab64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ternalName="MediaServiceLocation" ma:readOnly="true">
      <xsd:simpleType>
        <xsd:restriction base="dms:Text"/>
      </xsd:simpleType>
    </xsd:element>
    <xsd:element name="Imagetag" ma:index="20" nillable="true" ma:displayName="Image tag" ma:format="Dropdown" ma:internalName="Imagetag">
      <xsd:complexType>
        <xsd:complexContent>
          <xsd:extension base="dms:MultiChoice">
            <xsd:sequence>
              <xsd:element name="Value" maxOccurs="unbounded" minOccurs="0" nillable="true">
                <xsd:simpleType>
                  <xsd:restriction base="dms:Choice">
                    <xsd:enumeration value="Environment"/>
                    <xsd:enumeration value="Social"/>
                    <xsd:enumeration value="Urban"/>
                    <xsd:enumeration value="Rural"/>
                  </xsd:restriction>
                </xsd:simpleType>
              </xsd:element>
            </xsd:sequence>
          </xsd:extension>
        </xsd:complexContent>
      </xsd:complexType>
    </xsd:element>
    <xsd:element name="Photograph_x002f_Source" ma:index="21" nillable="true" ma:displayName="Photograph/Source" ma:format="Dropdown" ma:internalName="Photograph_x002f_Source">
      <xsd:simpleType>
        <xsd:restriction base="dms:Text">
          <xsd:maxLength value="255"/>
        </xsd:restriction>
      </xsd:simpleType>
    </xsd:element>
    <xsd:element name="Imagelocation" ma:index="22" nillable="true" ma:displayName="Image location" ma:format="Dropdown" ma:internalName="Imagelocation">
      <xsd:simpleType>
        <xsd:restriction base="dms:Text">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fd5fdd18-c9b7-4c10-b252-07d2a28191ec" ma:termSetId="09814cd3-568e-fe90-9814-8d621ff8fb84" ma:anchorId="fba54fb3-c3e1-fe81-a776-ca4b69148c4d" ma:open="true" ma:isKeyword="false">
      <xsd:complexType>
        <xsd:sequence>
          <xsd:element ref="pc:Terms" minOccurs="0" maxOccurs="1"/>
        </xsd:sequence>
      </xsd:complexType>
    </xsd:element>
    <xsd:element name="_Flow_SignoffStatus" ma:index="27" nillable="true" ma:displayName="Sign-off status" ma:internalName="Sign_x002d_off_x0020_status">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B48365-1483-4B8C-B540-B21FAC2B68C9}">
  <ds:schemaRefs>
    <ds:schemaRef ds:uri="http://schemas.microsoft.com/office/2006/metadata/properties"/>
    <ds:schemaRef ds:uri="http://schemas.microsoft.com/office/infopath/2007/PartnerControls"/>
    <ds:schemaRef ds:uri="deee4ff9-25d8-4092-a47c-041c6cde6848"/>
    <ds:schemaRef ds:uri="d8b835c3-d8af-4195-9f46-a0c7f37ab64b"/>
  </ds:schemaRefs>
</ds:datastoreItem>
</file>

<file path=customXml/itemProps2.xml><?xml version="1.0" encoding="utf-8"?>
<ds:datastoreItem xmlns:ds="http://schemas.openxmlformats.org/officeDocument/2006/customXml" ds:itemID="{A4DE6D01-972C-45D2-9461-CA88F382C3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ee4ff9-25d8-4092-a47c-041c6cde6848"/>
    <ds:schemaRef ds:uri="d8b835c3-d8af-4195-9f46-a0c7f37ab6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AC9568-64C7-4C43-BAED-6B7D82C58A3A}">
  <ds:schemaRefs>
    <ds:schemaRef ds:uri="http://schemas.microsoft.com/sharepoint/v3/contenttype/forms"/>
  </ds:schemaRefs>
</ds:datastoreItem>
</file>

<file path=customXml/itemProps4.xml><?xml version="1.0" encoding="utf-8"?>
<ds:datastoreItem xmlns:ds="http://schemas.openxmlformats.org/officeDocument/2006/customXml" ds:itemID="{71BEA039-CA58-49F0-970E-DA4B70A73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46427</Words>
  <Characters>264636</Characters>
  <Application>Microsoft Office Word</Application>
  <DocSecurity>0</DocSecurity>
  <Lines>2205</Lines>
  <Paragraphs>620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BDO LLP</Company>
  <LinksUpToDate>false</LinksUpToDate>
  <CharactersWithSpaces>310443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ANDERRX</dc:creator>
  <cp:keywords/>
  <dc:description/>
  <cp:lastModifiedBy>User</cp:lastModifiedBy>
  <cp:revision>3</cp:revision>
  <cp:lastPrinted>2022-12-21T11:22:00Z</cp:lastPrinted>
  <dcterms:created xsi:type="dcterms:W3CDTF">2023-10-04T16:03:00Z</dcterms:created>
  <dcterms:modified xsi:type="dcterms:W3CDTF">2023-10-04T16:03:00Z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0x010100DD873232EBE4CB4BBBB01CF679333667</vt:lpwstr>
  </property>
</Properties>
</file>